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26C1BF0" w14:textId="0E44B2B7" w:rsidR="00BE666B" w:rsidRPr="00BE666B" w:rsidRDefault="00BE666B" w:rsidP="00BE666B">
      <w:pPr>
        <w:spacing w:after="120" w:line="360" w:lineRule="auto"/>
        <w:rPr>
          <w:rFonts w:ascii="Times New Roman" w:eastAsia="Arial Unicode MS" w:hAnsi="Times New Roman"/>
          <w:i/>
          <w:sz w:val="18"/>
          <w:szCs w:val="18"/>
        </w:rPr>
      </w:pPr>
      <w:r w:rsidRPr="00BE666B">
        <w:rPr>
          <w:rFonts w:ascii="Times New Roman" w:eastAsia="Arial Unicode MS" w:hAnsi="Times New Roman"/>
          <w:i/>
          <w:sz w:val="18"/>
          <w:szCs w:val="18"/>
        </w:rPr>
        <w:t>Accepted for publication on the 30</w:t>
      </w:r>
      <w:r w:rsidRPr="00BE666B">
        <w:rPr>
          <w:rFonts w:ascii="Times New Roman" w:eastAsia="Arial Unicode MS" w:hAnsi="Times New Roman"/>
          <w:i/>
          <w:sz w:val="18"/>
          <w:szCs w:val="18"/>
          <w:vertAlign w:val="superscript"/>
        </w:rPr>
        <w:t>th</w:t>
      </w:r>
      <w:r w:rsidRPr="00BE666B">
        <w:rPr>
          <w:rFonts w:ascii="Times New Roman" w:eastAsia="Arial Unicode MS" w:hAnsi="Times New Roman"/>
          <w:i/>
          <w:sz w:val="18"/>
          <w:szCs w:val="18"/>
        </w:rPr>
        <w:t xml:space="preserve"> January, 2017</w:t>
      </w:r>
    </w:p>
    <w:p w14:paraId="3BB2D2EA" w14:textId="77777777" w:rsidR="006C517D" w:rsidRPr="00AC4AD8" w:rsidRDefault="006C517D" w:rsidP="00936A31">
      <w:pPr>
        <w:spacing w:after="120" w:line="360" w:lineRule="auto"/>
        <w:jc w:val="center"/>
        <w:rPr>
          <w:rFonts w:ascii="Times New Roman" w:eastAsia="Arial Unicode MS" w:hAnsi="Times New Roman"/>
          <w:sz w:val="32"/>
          <w:szCs w:val="32"/>
        </w:rPr>
      </w:pPr>
      <w:r w:rsidRPr="00AC4AD8">
        <w:rPr>
          <w:rFonts w:ascii="Times New Roman" w:eastAsia="Arial Unicode MS" w:hAnsi="Times New Roman"/>
          <w:sz w:val="32"/>
          <w:szCs w:val="32"/>
        </w:rPr>
        <w:t xml:space="preserve">Microbial inoculants </w:t>
      </w:r>
      <w:r w:rsidR="00784C0F" w:rsidRPr="00AC4AD8">
        <w:rPr>
          <w:rFonts w:ascii="Times New Roman" w:eastAsia="Arial Unicode MS" w:hAnsi="Times New Roman"/>
          <w:sz w:val="32"/>
          <w:szCs w:val="32"/>
        </w:rPr>
        <w:t xml:space="preserve">as a </w:t>
      </w:r>
      <w:r w:rsidR="002274E0" w:rsidRPr="00AC4AD8">
        <w:rPr>
          <w:rFonts w:ascii="Times New Roman" w:eastAsia="Arial Unicode MS" w:hAnsi="Times New Roman"/>
          <w:sz w:val="32"/>
          <w:szCs w:val="32"/>
        </w:rPr>
        <w:t xml:space="preserve">soil </w:t>
      </w:r>
      <w:r w:rsidR="00784C0F" w:rsidRPr="00AC4AD8">
        <w:rPr>
          <w:rFonts w:ascii="Times New Roman" w:eastAsia="Arial Unicode MS" w:hAnsi="Times New Roman"/>
          <w:sz w:val="32"/>
          <w:szCs w:val="32"/>
        </w:rPr>
        <w:t xml:space="preserve">remediation tool for </w:t>
      </w:r>
      <w:r w:rsidRPr="00AC4AD8">
        <w:rPr>
          <w:rFonts w:ascii="Times New Roman" w:eastAsia="Arial Unicode MS" w:hAnsi="Times New Roman"/>
          <w:sz w:val="32"/>
          <w:szCs w:val="32"/>
        </w:rPr>
        <w:t>extensive green roofs</w:t>
      </w:r>
    </w:p>
    <w:p w14:paraId="56523F43" w14:textId="77777777" w:rsidR="006C517D" w:rsidRPr="00AC4AD8" w:rsidRDefault="006C517D" w:rsidP="00936A31">
      <w:pPr>
        <w:spacing w:after="120" w:line="360" w:lineRule="auto"/>
        <w:jc w:val="center"/>
        <w:rPr>
          <w:rFonts w:ascii="Times New Roman" w:hAnsi="Times New Roman"/>
          <w:sz w:val="28"/>
          <w:szCs w:val="28"/>
        </w:rPr>
      </w:pPr>
      <w:r w:rsidRPr="00AC4AD8">
        <w:rPr>
          <w:rFonts w:ascii="Times New Roman" w:hAnsi="Times New Roman"/>
          <w:sz w:val="28"/>
          <w:szCs w:val="28"/>
        </w:rPr>
        <w:t xml:space="preserve">Heather </w:t>
      </w:r>
      <w:proofErr w:type="spellStart"/>
      <w:r w:rsidRPr="00AC4AD8">
        <w:rPr>
          <w:rFonts w:ascii="Times New Roman" w:hAnsi="Times New Roman"/>
          <w:sz w:val="28"/>
          <w:szCs w:val="28"/>
        </w:rPr>
        <w:t>Rumble</w:t>
      </w:r>
      <w:r w:rsidRPr="00AC4AD8">
        <w:rPr>
          <w:rFonts w:ascii="Times New Roman" w:hAnsi="Times New Roman"/>
          <w:sz w:val="28"/>
          <w:szCs w:val="28"/>
          <w:vertAlign w:val="superscript"/>
        </w:rPr>
        <w:t>a</w:t>
      </w:r>
      <w:proofErr w:type="gramStart"/>
      <w:r w:rsidR="0087081B" w:rsidRPr="00AC4AD8">
        <w:rPr>
          <w:rFonts w:ascii="Times New Roman" w:hAnsi="Times New Roman"/>
          <w:sz w:val="28"/>
          <w:szCs w:val="28"/>
          <w:vertAlign w:val="superscript"/>
        </w:rPr>
        <w:t>,b</w:t>
      </w:r>
      <w:proofErr w:type="spellEnd"/>
      <w:proofErr w:type="gramEnd"/>
      <w:r w:rsidRPr="00AC4AD8">
        <w:rPr>
          <w:rFonts w:ascii="Times New Roman" w:hAnsi="Times New Roman"/>
          <w:sz w:val="28"/>
          <w:szCs w:val="28"/>
          <w:vertAlign w:val="superscript"/>
        </w:rPr>
        <w:t xml:space="preserve"> *</w:t>
      </w:r>
      <w:r w:rsidRPr="00AC4AD8">
        <w:rPr>
          <w:rFonts w:ascii="Times New Roman" w:hAnsi="Times New Roman"/>
          <w:sz w:val="28"/>
          <w:szCs w:val="28"/>
        </w:rPr>
        <w:t xml:space="preserve"> and Alan C. </w:t>
      </w:r>
      <w:proofErr w:type="spellStart"/>
      <w:r w:rsidRPr="00AC4AD8">
        <w:rPr>
          <w:rFonts w:ascii="Times New Roman" w:hAnsi="Times New Roman"/>
          <w:sz w:val="28"/>
          <w:szCs w:val="28"/>
        </w:rPr>
        <w:t>Gange</w:t>
      </w:r>
      <w:r w:rsidR="0087081B" w:rsidRPr="00AC4AD8">
        <w:rPr>
          <w:rFonts w:ascii="Times New Roman" w:hAnsi="Times New Roman"/>
          <w:sz w:val="28"/>
          <w:szCs w:val="28"/>
          <w:vertAlign w:val="superscript"/>
        </w:rPr>
        <w:t>a</w:t>
      </w:r>
      <w:proofErr w:type="spellEnd"/>
    </w:p>
    <w:p w14:paraId="65572762" w14:textId="7103CAFA" w:rsidR="00AC7D9D" w:rsidRPr="00AC4AD8" w:rsidRDefault="0087081B" w:rsidP="00AC7D9D">
      <w:pPr>
        <w:spacing w:after="120" w:line="360" w:lineRule="auto"/>
        <w:jc w:val="center"/>
        <w:rPr>
          <w:rFonts w:ascii="Times New Roman" w:hAnsi="Times New Roman"/>
          <w:i/>
          <w:sz w:val="26"/>
          <w:szCs w:val="26"/>
        </w:rPr>
      </w:pPr>
      <w:proofErr w:type="spellStart"/>
      <w:r w:rsidRPr="00AC4AD8">
        <w:rPr>
          <w:rFonts w:ascii="Times New Roman" w:hAnsi="Times New Roman"/>
          <w:sz w:val="26"/>
          <w:szCs w:val="26"/>
          <w:vertAlign w:val="superscript"/>
        </w:rPr>
        <w:t>a</w:t>
      </w:r>
      <w:r w:rsidR="006C517D" w:rsidRPr="00AC4AD8">
        <w:rPr>
          <w:rFonts w:ascii="Times New Roman" w:hAnsi="Times New Roman"/>
          <w:i/>
          <w:sz w:val="26"/>
          <w:szCs w:val="26"/>
        </w:rPr>
        <w:t>School</w:t>
      </w:r>
      <w:proofErr w:type="spellEnd"/>
      <w:r w:rsidR="006C517D" w:rsidRPr="00AC4AD8">
        <w:rPr>
          <w:rFonts w:ascii="Times New Roman" w:hAnsi="Times New Roman"/>
          <w:i/>
          <w:sz w:val="26"/>
          <w:szCs w:val="26"/>
        </w:rPr>
        <w:t xml:space="preserve"> of Biological Sciences, Royal Holloway, University of London, Egham Hill, Egham, Surrey. United Kingdom. TW20 0EX</w:t>
      </w:r>
    </w:p>
    <w:p w14:paraId="5886BF0E" w14:textId="3FEEF64C" w:rsidR="0087081B" w:rsidRPr="00AC4AD8" w:rsidRDefault="0070455A" w:rsidP="00936A31">
      <w:pPr>
        <w:spacing w:after="120" w:line="360" w:lineRule="auto"/>
        <w:jc w:val="center"/>
        <w:rPr>
          <w:rFonts w:ascii="Times New Roman" w:hAnsi="Times New Roman"/>
          <w:i/>
          <w:sz w:val="26"/>
          <w:szCs w:val="26"/>
        </w:rPr>
      </w:pPr>
      <w:proofErr w:type="spellStart"/>
      <w:proofErr w:type="gramStart"/>
      <w:r w:rsidRPr="00AC4AD8">
        <w:rPr>
          <w:rFonts w:ascii="Times New Roman" w:hAnsi="Times New Roman"/>
          <w:sz w:val="26"/>
          <w:szCs w:val="26"/>
          <w:vertAlign w:val="superscript"/>
        </w:rPr>
        <w:t>b</w:t>
      </w:r>
      <w:r w:rsidR="00AC7D9D" w:rsidRPr="00AC4AD8">
        <w:rPr>
          <w:rFonts w:ascii="Times New Roman" w:hAnsi="Times New Roman"/>
          <w:sz w:val="26"/>
          <w:szCs w:val="26"/>
        </w:rPr>
        <w:t>Present</w:t>
      </w:r>
      <w:proofErr w:type="spellEnd"/>
      <w:proofErr w:type="gramEnd"/>
      <w:r w:rsidR="00AC7D9D" w:rsidRPr="00AC4AD8">
        <w:rPr>
          <w:rFonts w:ascii="Times New Roman" w:hAnsi="Times New Roman"/>
          <w:sz w:val="26"/>
          <w:szCs w:val="26"/>
        </w:rPr>
        <w:t xml:space="preserve"> address</w:t>
      </w:r>
      <w:r w:rsidRPr="00AC4AD8">
        <w:rPr>
          <w:rFonts w:ascii="Times New Roman" w:hAnsi="Times New Roman"/>
          <w:sz w:val="26"/>
          <w:szCs w:val="26"/>
        </w:rPr>
        <w:t xml:space="preserve">: </w:t>
      </w:r>
      <w:r w:rsidR="0087081B" w:rsidRPr="00AC4AD8">
        <w:rPr>
          <w:rFonts w:ascii="Times New Roman" w:hAnsi="Times New Roman"/>
          <w:i/>
          <w:sz w:val="26"/>
          <w:szCs w:val="26"/>
        </w:rPr>
        <w:t xml:space="preserve">Department of Geography, University of Portsmouth, Buckingham </w:t>
      </w:r>
      <w:bookmarkStart w:id="0" w:name="_GoBack"/>
      <w:bookmarkEnd w:id="0"/>
      <w:r w:rsidR="0087081B" w:rsidRPr="00AC4AD8">
        <w:rPr>
          <w:rFonts w:ascii="Times New Roman" w:hAnsi="Times New Roman"/>
          <w:i/>
          <w:sz w:val="26"/>
          <w:szCs w:val="26"/>
        </w:rPr>
        <w:t>Building, Lion Terrace, Portsmouth. PO1 3HE</w:t>
      </w:r>
    </w:p>
    <w:p w14:paraId="445C5806" w14:textId="2D426D7C" w:rsidR="006C517D" w:rsidRPr="00AC4AD8" w:rsidRDefault="0087081B" w:rsidP="00936A31">
      <w:pPr>
        <w:spacing w:after="120" w:line="360" w:lineRule="auto"/>
        <w:jc w:val="center"/>
        <w:rPr>
          <w:rFonts w:ascii="Times New Roman" w:hAnsi="Times New Roman"/>
          <w:sz w:val="26"/>
          <w:szCs w:val="26"/>
        </w:rPr>
      </w:pPr>
      <w:r w:rsidRPr="00AC4AD8">
        <w:rPr>
          <w:rFonts w:ascii="Times New Roman" w:hAnsi="Times New Roman"/>
          <w:sz w:val="26"/>
          <w:szCs w:val="26"/>
          <w:vertAlign w:val="superscript"/>
        </w:rPr>
        <w:t>b</w:t>
      </w:r>
      <w:r w:rsidR="006C517D" w:rsidRPr="00AC4AD8">
        <w:rPr>
          <w:rFonts w:ascii="Times New Roman" w:hAnsi="Times New Roman"/>
          <w:sz w:val="26"/>
          <w:szCs w:val="26"/>
        </w:rPr>
        <w:t>heather.rumble@</w:t>
      </w:r>
      <w:r w:rsidRPr="00AC4AD8">
        <w:rPr>
          <w:rFonts w:ascii="Times New Roman" w:hAnsi="Times New Roman"/>
          <w:sz w:val="26"/>
          <w:szCs w:val="26"/>
        </w:rPr>
        <w:t>port</w:t>
      </w:r>
      <w:r w:rsidR="006C517D" w:rsidRPr="00AC4AD8">
        <w:rPr>
          <w:rFonts w:ascii="Times New Roman" w:hAnsi="Times New Roman"/>
          <w:sz w:val="26"/>
          <w:szCs w:val="26"/>
        </w:rPr>
        <w:t xml:space="preserve">.ac.uk, </w:t>
      </w:r>
      <w:r w:rsidR="00A6062D" w:rsidRPr="00AC4AD8">
        <w:rPr>
          <w:rFonts w:ascii="Times New Roman" w:hAnsi="Times New Roman"/>
          <w:sz w:val="26"/>
          <w:szCs w:val="26"/>
          <w:vertAlign w:val="superscript"/>
        </w:rPr>
        <w:t>a</w:t>
      </w:r>
      <w:r w:rsidR="006C517D" w:rsidRPr="00AC4AD8">
        <w:rPr>
          <w:rFonts w:ascii="Times New Roman" w:hAnsi="Times New Roman"/>
          <w:sz w:val="26"/>
          <w:szCs w:val="26"/>
        </w:rPr>
        <w:t>a.gange@rhul.ac.uk</w:t>
      </w:r>
    </w:p>
    <w:p w14:paraId="25A9B326" w14:textId="77777777" w:rsidR="006C517D" w:rsidRPr="00AC4AD8" w:rsidRDefault="006C517D" w:rsidP="00936A31">
      <w:pPr>
        <w:spacing w:after="120" w:line="360" w:lineRule="auto"/>
        <w:rPr>
          <w:rFonts w:ascii="Times New Roman" w:hAnsi="Times New Roman"/>
          <w:sz w:val="24"/>
          <w:szCs w:val="24"/>
          <w:vertAlign w:val="superscript"/>
        </w:rPr>
      </w:pPr>
    </w:p>
    <w:p w14:paraId="7A4A91E4" w14:textId="77777777" w:rsidR="006C517D" w:rsidRPr="00AC4AD8" w:rsidRDefault="006C517D" w:rsidP="00936A31">
      <w:pPr>
        <w:spacing w:after="120" w:line="360" w:lineRule="auto"/>
        <w:rPr>
          <w:rFonts w:ascii="Times New Roman" w:hAnsi="Times New Roman"/>
          <w:sz w:val="24"/>
          <w:szCs w:val="24"/>
        </w:rPr>
      </w:pPr>
      <w:r w:rsidRPr="00AC4AD8">
        <w:rPr>
          <w:rFonts w:ascii="Times New Roman" w:hAnsi="Times New Roman"/>
          <w:sz w:val="24"/>
          <w:szCs w:val="24"/>
          <w:vertAlign w:val="superscript"/>
        </w:rPr>
        <w:t>*</w:t>
      </w:r>
      <w:r w:rsidRPr="00AC4AD8">
        <w:rPr>
          <w:rFonts w:ascii="Times New Roman" w:hAnsi="Times New Roman"/>
          <w:sz w:val="24"/>
          <w:szCs w:val="24"/>
        </w:rPr>
        <w:t>Corresponding author. Tel.: +44(0)</w:t>
      </w:r>
      <w:r w:rsidR="00A451EC" w:rsidRPr="00AC4AD8">
        <w:rPr>
          <w:rFonts w:ascii="Times New Roman" w:hAnsi="Times New Roman"/>
          <w:sz w:val="24"/>
          <w:szCs w:val="24"/>
        </w:rPr>
        <w:t>2392 846540</w:t>
      </w:r>
      <w:r w:rsidRPr="00AC4AD8">
        <w:rPr>
          <w:rFonts w:ascii="Times New Roman" w:hAnsi="Times New Roman"/>
          <w:sz w:val="24"/>
          <w:szCs w:val="24"/>
        </w:rPr>
        <w:t xml:space="preserve"> </w:t>
      </w:r>
    </w:p>
    <w:p w14:paraId="19CBD6E9" w14:textId="77777777" w:rsidR="006C517D" w:rsidRPr="00AC4AD8" w:rsidRDefault="006C517D" w:rsidP="00936A31">
      <w:pPr>
        <w:spacing w:after="120" w:line="360" w:lineRule="auto"/>
        <w:rPr>
          <w:rFonts w:ascii="Times New Roman" w:hAnsi="Times New Roman"/>
          <w:sz w:val="24"/>
          <w:szCs w:val="24"/>
        </w:rPr>
        <w:sectPr w:rsidR="006C517D" w:rsidRPr="00AC4AD8" w:rsidSect="006C517D">
          <w:headerReference w:type="default" r:id="rId8"/>
          <w:footerReference w:type="default" r:id="rId9"/>
          <w:pgSz w:w="11906" w:h="16838"/>
          <w:pgMar w:top="1440" w:right="1440" w:bottom="1440" w:left="1440" w:header="708" w:footer="708" w:gutter="0"/>
          <w:lnNumType w:countBy="1" w:restart="continuous"/>
          <w:cols w:space="708"/>
          <w:docGrid w:linePitch="360"/>
        </w:sectPr>
      </w:pPr>
      <w:r w:rsidRPr="00AC4AD8">
        <w:rPr>
          <w:rFonts w:ascii="Times New Roman" w:hAnsi="Times New Roman"/>
          <w:i/>
          <w:sz w:val="24"/>
          <w:szCs w:val="24"/>
        </w:rPr>
        <w:t>E-mail address:</w:t>
      </w:r>
      <w:r w:rsidRPr="00AC4AD8">
        <w:rPr>
          <w:rFonts w:ascii="Times New Roman" w:hAnsi="Times New Roman"/>
          <w:sz w:val="24"/>
          <w:szCs w:val="24"/>
        </w:rPr>
        <w:t xml:space="preserve"> heather.rumble@</w:t>
      </w:r>
      <w:r w:rsidR="00B45AED" w:rsidRPr="00AC4AD8">
        <w:rPr>
          <w:rFonts w:ascii="Times New Roman" w:hAnsi="Times New Roman"/>
          <w:sz w:val="24"/>
          <w:szCs w:val="24"/>
        </w:rPr>
        <w:t>port</w:t>
      </w:r>
      <w:r w:rsidRPr="00AC4AD8">
        <w:rPr>
          <w:rFonts w:ascii="Times New Roman" w:hAnsi="Times New Roman"/>
          <w:sz w:val="24"/>
          <w:szCs w:val="24"/>
        </w:rPr>
        <w:t>.ac.uk (H. Rumble).</w:t>
      </w:r>
    </w:p>
    <w:p w14:paraId="3C005E85" w14:textId="4471CA5A" w:rsidR="0037798F" w:rsidRPr="00AC4AD8" w:rsidRDefault="00F40B2C" w:rsidP="00936A31">
      <w:pPr>
        <w:spacing w:after="120" w:line="360" w:lineRule="auto"/>
        <w:rPr>
          <w:rFonts w:ascii="Times New Roman" w:hAnsi="Times New Roman"/>
          <w:b/>
        </w:rPr>
      </w:pPr>
      <w:r w:rsidRPr="00AC4AD8">
        <w:rPr>
          <w:rFonts w:ascii="Times New Roman" w:hAnsi="Times New Roman"/>
          <w:b/>
        </w:rPr>
        <w:lastRenderedPageBreak/>
        <w:t>Abstract</w:t>
      </w:r>
    </w:p>
    <w:p w14:paraId="6BE471DB" w14:textId="62EE2DC8" w:rsidR="00F56433" w:rsidRPr="00AC4AD8" w:rsidRDefault="00F40B2C" w:rsidP="00F03F20">
      <w:pPr>
        <w:spacing w:after="120" w:line="360" w:lineRule="auto"/>
        <w:jc w:val="both"/>
        <w:rPr>
          <w:rFonts w:ascii="Times New Roman" w:hAnsi="Times New Roman"/>
        </w:rPr>
      </w:pPr>
      <w:r w:rsidRPr="00AC4AD8">
        <w:rPr>
          <w:rFonts w:ascii="Times New Roman" w:hAnsi="Times New Roman"/>
        </w:rPr>
        <w:t>Green roofs are increasingly used in the urban environment to insulate buildings, reduce stormwater runoff and remediate biodiversity lost in construction. Most common in the Northern Hemisphere are extensive green roofs</w:t>
      </w:r>
      <w:r w:rsidR="00CB0BE6" w:rsidRPr="00AC4AD8">
        <w:rPr>
          <w:rFonts w:ascii="Times New Roman" w:hAnsi="Times New Roman"/>
        </w:rPr>
        <w:t>,</w:t>
      </w:r>
      <w:r w:rsidRPr="00AC4AD8">
        <w:rPr>
          <w:rFonts w:ascii="Times New Roman" w:hAnsi="Times New Roman"/>
        </w:rPr>
        <w:t xml:space="preserve"> due to their low cost and low maintenance requirements. However, plant growth on these roofs is often limited and this could have implications for ecosystem servi</w:t>
      </w:r>
      <w:r w:rsidR="00CB0BE6" w:rsidRPr="00AC4AD8">
        <w:rPr>
          <w:rFonts w:ascii="Times New Roman" w:hAnsi="Times New Roman"/>
        </w:rPr>
        <w:t>ce provision as well as reduce</w:t>
      </w:r>
      <w:r w:rsidRPr="00AC4AD8">
        <w:rPr>
          <w:rFonts w:ascii="Times New Roman" w:hAnsi="Times New Roman"/>
        </w:rPr>
        <w:t xml:space="preserve"> the economic feasibility of </w:t>
      </w:r>
      <w:r w:rsidR="00F56433" w:rsidRPr="00AC4AD8">
        <w:rPr>
          <w:rFonts w:ascii="Times New Roman" w:hAnsi="Times New Roman"/>
        </w:rPr>
        <w:t xml:space="preserve">green roofs as an aesthetically successful </w:t>
      </w:r>
      <w:r w:rsidRPr="00AC4AD8">
        <w:rPr>
          <w:rFonts w:ascii="Times New Roman" w:hAnsi="Times New Roman"/>
        </w:rPr>
        <w:t xml:space="preserve">product. </w:t>
      </w:r>
      <w:r w:rsidR="00F56433" w:rsidRPr="00AC4AD8">
        <w:rPr>
          <w:rFonts w:ascii="Times New Roman" w:hAnsi="Times New Roman"/>
        </w:rPr>
        <w:t xml:space="preserve">In addition, the increasing popularity of green roofs as an eco-product means that a high number of these roofs, that do not reach their maximum potential in terms of plant growth, </w:t>
      </w:r>
      <w:r w:rsidR="00252805" w:rsidRPr="00AC4AD8">
        <w:rPr>
          <w:rFonts w:ascii="Times New Roman" w:hAnsi="Times New Roman"/>
        </w:rPr>
        <w:t xml:space="preserve">already </w:t>
      </w:r>
      <w:r w:rsidR="00F56433" w:rsidRPr="00AC4AD8">
        <w:rPr>
          <w:rFonts w:ascii="Times New Roman" w:hAnsi="Times New Roman"/>
        </w:rPr>
        <w:t>exist, highlighting a need for a successful remediation tool</w:t>
      </w:r>
      <w:r w:rsidR="00252805" w:rsidRPr="00AC4AD8">
        <w:rPr>
          <w:rFonts w:ascii="Times New Roman" w:hAnsi="Times New Roman"/>
        </w:rPr>
        <w:t xml:space="preserve"> post-build</w:t>
      </w:r>
      <w:r w:rsidR="00F56433" w:rsidRPr="00AC4AD8">
        <w:rPr>
          <w:rFonts w:ascii="Times New Roman" w:hAnsi="Times New Roman"/>
        </w:rPr>
        <w:t>.</w:t>
      </w:r>
    </w:p>
    <w:p w14:paraId="71563C6E" w14:textId="25148D5D" w:rsidR="00F40B2C" w:rsidRPr="00AC4AD8" w:rsidRDefault="00F40B2C" w:rsidP="00F03F20">
      <w:pPr>
        <w:spacing w:after="120" w:line="360" w:lineRule="auto"/>
        <w:jc w:val="both"/>
        <w:rPr>
          <w:rFonts w:ascii="Times New Roman" w:hAnsi="Times New Roman"/>
        </w:rPr>
      </w:pPr>
      <w:r w:rsidRPr="00AC4AD8">
        <w:rPr>
          <w:rFonts w:ascii="Times New Roman" w:hAnsi="Times New Roman"/>
        </w:rPr>
        <w:t>Previous studies suggest that the soil food web on green roofs, integral for nutrient cycling in soils, is also lacking and that this may be an effective aspect to target in order to improve p</w:t>
      </w:r>
      <w:r w:rsidR="00F56433" w:rsidRPr="00AC4AD8">
        <w:rPr>
          <w:rFonts w:ascii="Times New Roman" w:hAnsi="Times New Roman"/>
        </w:rPr>
        <w:t>l</w:t>
      </w:r>
      <w:r w:rsidRPr="00AC4AD8">
        <w:rPr>
          <w:rFonts w:ascii="Times New Roman" w:hAnsi="Times New Roman"/>
        </w:rPr>
        <w:t xml:space="preserve">ant establishment and success. </w:t>
      </w:r>
      <w:r w:rsidR="00F56433" w:rsidRPr="00AC4AD8">
        <w:rPr>
          <w:rFonts w:ascii="Times New Roman" w:hAnsi="Times New Roman"/>
        </w:rPr>
        <w:t xml:space="preserve">Microbial inoculants have already been added to green roofs, but with little scientific research informing their application. In this </w:t>
      </w:r>
      <w:r w:rsidR="00252805" w:rsidRPr="00AC4AD8">
        <w:rPr>
          <w:rFonts w:ascii="Times New Roman" w:hAnsi="Times New Roman"/>
        </w:rPr>
        <w:t>field experiment</w:t>
      </w:r>
      <w:r w:rsidR="00F56433" w:rsidRPr="00AC4AD8">
        <w:rPr>
          <w:rFonts w:ascii="Times New Roman" w:hAnsi="Times New Roman"/>
        </w:rPr>
        <w:t xml:space="preserve"> we aimed </w:t>
      </w:r>
      <w:r w:rsidRPr="00AC4AD8">
        <w:rPr>
          <w:rFonts w:ascii="Times New Roman" w:hAnsi="Times New Roman"/>
        </w:rPr>
        <w:t xml:space="preserve">to determine if </w:t>
      </w:r>
      <w:r w:rsidR="00F56433" w:rsidRPr="00AC4AD8">
        <w:rPr>
          <w:rFonts w:ascii="Times New Roman" w:hAnsi="Times New Roman"/>
        </w:rPr>
        <w:t xml:space="preserve">the addition of these foundation species in green roof soil food webs, including mycorrhizas, </w:t>
      </w:r>
      <w:r w:rsidR="00F56433" w:rsidRPr="00AC4AD8">
        <w:rPr>
          <w:rFonts w:ascii="Times New Roman" w:hAnsi="Times New Roman"/>
          <w:i/>
        </w:rPr>
        <w:t>Trichoderma spp.</w:t>
      </w:r>
      <w:r w:rsidR="00F56433" w:rsidRPr="00AC4AD8">
        <w:rPr>
          <w:rFonts w:ascii="Times New Roman" w:hAnsi="Times New Roman"/>
        </w:rPr>
        <w:t xml:space="preserve"> and soil bacteria</w:t>
      </w:r>
      <w:r w:rsidR="00CB0BE6" w:rsidRPr="00AC4AD8">
        <w:rPr>
          <w:rFonts w:ascii="Times New Roman" w:hAnsi="Times New Roman"/>
        </w:rPr>
        <w:t>,</w:t>
      </w:r>
      <w:r w:rsidR="00F56433" w:rsidRPr="00AC4AD8">
        <w:rPr>
          <w:rFonts w:ascii="Times New Roman" w:hAnsi="Times New Roman"/>
        </w:rPr>
        <w:t xml:space="preserve"> could improve the abundance and biodiversity of higher trophic species, such as microarthropods, and if this had resultant effects on plant growth on a mature green roof. </w:t>
      </w:r>
    </w:p>
    <w:p w14:paraId="165AA848" w14:textId="7A35F1C7" w:rsidR="00F56433" w:rsidRPr="00AC4AD8" w:rsidRDefault="00F56433" w:rsidP="00F03F20">
      <w:pPr>
        <w:spacing w:after="120" w:line="360" w:lineRule="auto"/>
        <w:jc w:val="both"/>
        <w:rPr>
          <w:rFonts w:ascii="Times New Roman" w:hAnsi="Times New Roman"/>
        </w:rPr>
      </w:pPr>
      <w:r w:rsidRPr="00AC4AD8">
        <w:rPr>
          <w:rFonts w:ascii="Times New Roman" w:hAnsi="Times New Roman"/>
        </w:rPr>
        <w:t xml:space="preserve">It was found that some microbial inoculants were more successful at remediating soil food webs than others, with </w:t>
      </w:r>
      <w:r w:rsidRPr="00AC4AD8">
        <w:rPr>
          <w:rFonts w:ascii="Times New Roman" w:hAnsi="Times New Roman"/>
          <w:i/>
        </w:rPr>
        <w:t>Trichoderma</w:t>
      </w:r>
      <w:r w:rsidRPr="00AC4AD8">
        <w:rPr>
          <w:rFonts w:ascii="Times New Roman" w:hAnsi="Times New Roman"/>
        </w:rPr>
        <w:t xml:space="preserve"> in particular </w:t>
      </w:r>
      <w:r w:rsidR="001A7A8A" w:rsidRPr="00AC4AD8">
        <w:rPr>
          <w:rFonts w:ascii="Times New Roman" w:hAnsi="Times New Roman"/>
        </w:rPr>
        <w:t>producing</w:t>
      </w:r>
      <w:r w:rsidRPr="00AC4AD8">
        <w:rPr>
          <w:rFonts w:ascii="Times New Roman" w:hAnsi="Times New Roman"/>
        </w:rPr>
        <w:t xml:space="preserve"> higher populations of some microarthropod groups. However, these changes in microarthropod community dynamics did not have a re</w:t>
      </w:r>
      <w:r w:rsidR="00CB0BE6" w:rsidRPr="00AC4AD8">
        <w:rPr>
          <w:rFonts w:ascii="Times New Roman" w:hAnsi="Times New Roman"/>
        </w:rPr>
        <w:t xml:space="preserve">sultant positive effect on </w:t>
      </w:r>
      <w:r w:rsidR="00CB0BE6" w:rsidRPr="00AC4AD8">
        <w:rPr>
          <w:rFonts w:ascii="Times New Roman" w:hAnsi="Times New Roman"/>
          <w:i/>
        </w:rPr>
        <w:t>Sedum spp.</w:t>
      </w:r>
      <w:r w:rsidRPr="00AC4AD8">
        <w:rPr>
          <w:rFonts w:ascii="Times New Roman" w:hAnsi="Times New Roman"/>
        </w:rPr>
        <w:t xml:space="preserve"> growth. The authors hypothesise that mature </w:t>
      </w:r>
      <w:r w:rsidR="00871F23" w:rsidRPr="00AC4AD8">
        <w:rPr>
          <w:rFonts w:ascii="Times New Roman" w:hAnsi="Times New Roman"/>
        </w:rPr>
        <w:t xml:space="preserve">extensive </w:t>
      </w:r>
      <w:r w:rsidRPr="00AC4AD8">
        <w:rPr>
          <w:rFonts w:ascii="Times New Roman" w:hAnsi="Times New Roman"/>
        </w:rPr>
        <w:t>green roofs have an established microbial community that may limit the success of commercial inoculants.</w:t>
      </w:r>
      <w:r w:rsidR="00252805" w:rsidRPr="00AC4AD8">
        <w:rPr>
          <w:rFonts w:ascii="Times New Roman" w:hAnsi="Times New Roman"/>
        </w:rPr>
        <w:t xml:space="preserve"> This is the first study to demonstrate multi-trophic community changes as a result of the addition of </w:t>
      </w:r>
      <w:r w:rsidR="00122ED9" w:rsidRPr="00AC4AD8">
        <w:rPr>
          <w:rFonts w:ascii="Times New Roman" w:hAnsi="Times New Roman"/>
        </w:rPr>
        <w:t xml:space="preserve">soil </w:t>
      </w:r>
      <w:r w:rsidR="00252805" w:rsidRPr="00AC4AD8">
        <w:rPr>
          <w:rFonts w:ascii="Times New Roman" w:hAnsi="Times New Roman"/>
        </w:rPr>
        <w:t>microbial inoculants.</w:t>
      </w:r>
    </w:p>
    <w:p w14:paraId="6D216E70" w14:textId="621830E0" w:rsidR="005C6A3E" w:rsidRPr="00AC4AD8" w:rsidRDefault="00F40B2C" w:rsidP="00936A31">
      <w:pPr>
        <w:spacing w:after="120" w:line="360" w:lineRule="auto"/>
        <w:rPr>
          <w:rFonts w:ascii="Times New Roman" w:hAnsi="Times New Roman"/>
          <w:b/>
        </w:rPr>
      </w:pPr>
      <w:r w:rsidRPr="00AC4AD8">
        <w:rPr>
          <w:rFonts w:ascii="Times New Roman" w:hAnsi="Times New Roman"/>
          <w:b/>
        </w:rPr>
        <w:t>Keywords</w:t>
      </w:r>
    </w:p>
    <w:p w14:paraId="1121A3C1" w14:textId="31BB4337" w:rsidR="00F40B2C" w:rsidRPr="00AC4AD8" w:rsidRDefault="00F40B2C" w:rsidP="00936A31">
      <w:pPr>
        <w:spacing w:after="120" w:line="360" w:lineRule="auto"/>
        <w:rPr>
          <w:rFonts w:ascii="Times New Roman" w:hAnsi="Times New Roman"/>
        </w:rPr>
      </w:pPr>
      <w:r w:rsidRPr="00AC4AD8">
        <w:rPr>
          <w:rFonts w:ascii="Times New Roman" w:hAnsi="Times New Roman"/>
        </w:rPr>
        <w:t xml:space="preserve">Microarthropod; Mycorrhiza; Trichoderma; Bacteria; </w:t>
      </w:r>
      <w:r w:rsidRPr="00AC4AD8">
        <w:rPr>
          <w:rFonts w:ascii="Times New Roman" w:hAnsi="Times New Roman"/>
          <w:i/>
        </w:rPr>
        <w:t xml:space="preserve">Bacillus; </w:t>
      </w:r>
      <w:r w:rsidRPr="00AC4AD8">
        <w:rPr>
          <w:rFonts w:ascii="Times New Roman" w:hAnsi="Times New Roman"/>
        </w:rPr>
        <w:t>Green Roof</w:t>
      </w:r>
    </w:p>
    <w:p w14:paraId="7536DECB" w14:textId="6EE88A8D" w:rsidR="006C517D" w:rsidRPr="00AC4AD8" w:rsidRDefault="0091767D" w:rsidP="00936A31">
      <w:pPr>
        <w:spacing w:after="120" w:line="360" w:lineRule="auto"/>
        <w:rPr>
          <w:rFonts w:ascii="Times New Roman" w:hAnsi="Times New Roman"/>
          <w:b/>
        </w:rPr>
      </w:pPr>
      <w:r w:rsidRPr="00AC4AD8">
        <w:rPr>
          <w:rFonts w:ascii="Times New Roman" w:hAnsi="Times New Roman"/>
          <w:b/>
        </w:rPr>
        <w:t>1. Introduction</w:t>
      </w:r>
    </w:p>
    <w:p w14:paraId="550E00B7" w14:textId="1D4A2879" w:rsidR="00CD0700" w:rsidRPr="00AC4AD8" w:rsidRDefault="00CD0700" w:rsidP="00F03F20">
      <w:pPr>
        <w:spacing w:after="120" w:line="360" w:lineRule="auto"/>
        <w:ind w:firstLine="340"/>
        <w:jc w:val="both"/>
        <w:rPr>
          <w:rFonts w:ascii="Times New Roman" w:hAnsi="Times New Roman"/>
        </w:rPr>
      </w:pPr>
      <w:r w:rsidRPr="00AC4AD8">
        <w:rPr>
          <w:rFonts w:ascii="Times New Roman" w:hAnsi="Times New Roman"/>
        </w:rPr>
        <w:t>Green</w:t>
      </w:r>
      <w:r w:rsidR="00A713C0" w:rsidRPr="00AC4AD8">
        <w:rPr>
          <w:rFonts w:ascii="Times New Roman" w:hAnsi="Times New Roman"/>
        </w:rPr>
        <w:t xml:space="preserve">, or </w:t>
      </w:r>
      <w:r w:rsidR="0084320F" w:rsidRPr="00AC4AD8">
        <w:rPr>
          <w:rFonts w:ascii="Times New Roman" w:hAnsi="Times New Roman"/>
        </w:rPr>
        <w:t>‘</w:t>
      </w:r>
      <w:r w:rsidR="00A713C0" w:rsidRPr="00AC4AD8">
        <w:rPr>
          <w:rFonts w:ascii="Times New Roman" w:hAnsi="Times New Roman"/>
        </w:rPr>
        <w:t>living</w:t>
      </w:r>
      <w:r w:rsidR="0084320F" w:rsidRPr="00AC4AD8">
        <w:rPr>
          <w:rFonts w:ascii="Times New Roman" w:hAnsi="Times New Roman"/>
        </w:rPr>
        <w:t>’</w:t>
      </w:r>
      <w:r w:rsidR="00A713C0" w:rsidRPr="00AC4AD8">
        <w:rPr>
          <w:rFonts w:ascii="Times New Roman" w:hAnsi="Times New Roman"/>
        </w:rPr>
        <w:t>,</w:t>
      </w:r>
      <w:r w:rsidRPr="00AC4AD8">
        <w:rPr>
          <w:rFonts w:ascii="Times New Roman" w:hAnsi="Times New Roman"/>
        </w:rPr>
        <w:t xml:space="preserve"> roofs (vegetated roofs) are of increasing interest to architects, city planners and civil engineers</w:t>
      </w:r>
      <w:r w:rsidR="001C7609" w:rsidRPr="00AC4AD8">
        <w:rPr>
          <w:rFonts w:ascii="Times New Roman" w:hAnsi="Times New Roman"/>
        </w:rPr>
        <w:t xml:space="preserve"> across the globe</w:t>
      </w:r>
      <w:r w:rsidRPr="00AC4AD8">
        <w:rPr>
          <w:rFonts w:ascii="Times New Roman" w:hAnsi="Times New Roman"/>
        </w:rPr>
        <w:t xml:space="preserve"> due to the multitude of benefits they can contribute to a building</w:t>
      </w:r>
      <w:r w:rsidR="00E514D8" w:rsidRPr="00AC4AD8">
        <w:rPr>
          <w:rFonts w:ascii="Times New Roman" w:hAnsi="Times New Roman"/>
        </w:rPr>
        <w:t>’</w:t>
      </w:r>
      <w:r w:rsidRPr="00AC4AD8">
        <w:rPr>
          <w:rFonts w:ascii="Times New Roman" w:hAnsi="Times New Roman"/>
        </w:rPr>
        <w:t xml:space="preserve">s performance in areas such as </w:t>
      </w:r>
      <w:r w:rsidR="00983486" w:rsidRPr="00AC4AD8">
        <w:rPr>
          <w:rFonts w:ascii="Times New Roman" w:hAnsi="Times New Roman"/>
        </w:rPr>
        <w:t>energy efficiency</w:t>
      </w:r>
      <w:r w:rsidRPr="00AC4AD8">
        <w:rPr>
          <w:rFonts w:ascii="Times New Roman" w:hAnsi="Times New Roman"/>
        </w:rPr>
        <w:t xml:space="preserve"> and sustainable drainage</w:t>
      </w:r>
      <w:r w:rsidR="004B1897" w:rsidRPr="00AC4AD8">
        <w:rPr>
          <w:rFonts w:ascii="Times New Roman" w:hAnsi="Times New Roman"/>
        </w:rPr>
        <w:t xml:space="preserve"> </w:t>
      </w:r>
      <w:r w:rsidR="004B1897" w:rsidRPr="00AC4AD8">
        <w:rPr>
          <w:rFonts w:ascii="Times New Roman" w:hAnsi="Times New Roman"/>
        </w:rPr>
        <w:fldChar w:fldCharType="begin" w:fldLock="1"/>
      </w:r>
      <w:r w:rsidR="004B1897" w:rsidRPr="00AC4AD8">
        <w:rPr>
          <w:rFonts w:ascii="Times New Roman" w:hAnsi="Times New Roman"/>
        </w:rPr>
        <w:instrText>ADDIN CSL_CITATION { "citationItems" : [ { "id" : "ITEM-1", "itemData" : { "abstract" : "Green roofs are an increasingly common, environmentally responsible building practice in the United States and abroad. They represent a new and growing market for the horticulture field, but require vegetation tolerant of harsh environmental conditions. Historically, Sedum species have been the most commonly used plants because, with proper species selection, they are tolerant of extreme temperatures, high winds, low fertility, and a limited water supply. A greenhouse study was conducted to determine how water availability influences growth and survival of a mixture of Sedum spp. on a green roof drainage system. Results indicate that substrate volumetric moisture content can be reduced to 0 m3{middle dot}m-3 within 1 day after watering depending on substrate depth and composition. Deeper substrates provided additional growth with sufficient water, but also required additional irrigation because of the higher evapotranspiration rates resulting from the greater biomass. Over the 88 day study, water was required at least once every 14 days to support growth in green roof substrates with a 2-cm media depth. However, substrates with a 6-cm media depth could do so with a watering only once every 28 days. Although vegetation was still viable after 88 days of drought, water should be applied at least once every 28 days for typical green roof substrates and more frequently for shallower substrates to sustain growth. The ability of Sedum to withstand extended drought conditions makes it ideal for shallow green roof systems.", "author" : [ { "dropping-particle" : "", "family" : "VanWoert", "given" : "Nicholaus D.", "non-dropping-particle" : "", "parse-names" : false, "suffix" : "" }, { "dropping-particle" : "", "family" : "Rowe", "given" : "D. Bradley", "non-dropping-particle" : "", "parse-names" : false, "suffix" : "" }, { "dropping-particle" : "", "family" : "Andresen", "given" : "Jeffrey A.", "non-dropping-particle" : "", "parse-names" : false, "suffix" : "" }, { "dropping-particle" : "", "family" : "Rugh", "given" : "Clayton L.", "non-dropping-particle" : "", "parse-names" : false, "suffix" : "" }, { "dropping-particle" : "", "family" : "Xiao", "given" : "Lan", "non-dropping-particle" : "", "parse-names" : false, "suffix" : "" } ], "container-title" : "HortScience", "id" : "ITEM-1", "issue" : "3", "issued" : { "date-parts" : [ [ "2005", "6", "1" ] ] }, "page" : "659-664", "title" : "Watering regime and green roof substrate design affect Sedum plant growth", "type" : "article-journal", "volume" : "40" }, "uris" : [ "http://www.mendeley.com/documents/?uuid=9dec7076-9a4f-41aa-a636-0a05b78b0cd4" ] }, { "id" : "ITEM-2", "itemData" : { "DOI" : "10.1016/j.renene.2011.12.004", "ISSN" : "09601481", "abstract" : "Green roofs have several environmental benefits, such as improving building energy efficiency. The present paper provides a comprehensive study of the impact of a green roof on building energy performance. A model of green roof thermal behavior was coupled with a building code to allow the evaluation of green roof foliage and soil surface temperatures. Simulations were conducted for a single-family house with conventional and green roofs in a temperate French climate. In the summer, the fluctuation amplitude of the roof slab temperature was found to be reduced by 30\u00b0C due to the green roof. The heat flux through the roof was also evaluated. In the summer, the roof passive cooling effect was three times more efficient with the green roof. In the winter, the green roof reduced roof heat losses during cold days; however, it increased these losses during sunny days. The impact of the green roof on indoor air temperature and cooling and heating demand was analyzed. With a green roof, the summer indoor air temperature was decreased by 2\u00b0C, and the annual energy demand was reduced by 6%. The present study shows that the thermal impact of green roofs is not functionally proportional to the leaf area index parameter. It also shows the high dependency of this impact on the roof insulation. Finally, the simulations suggest that green roofs are thermally beneficial for hot, temperate, and cold European climates.", "author" : [ { "dropping-particle" : "", "family" : "Jaffal", "given" : "Issa", "non-dropping-particle" : "", "parse-names" : false, "suffix" : "" }, { "dropping-particle" : "", "family" : "Ouldboukhitine", "given" : "Salah-Eddine", "non-dropping-particle" : "", "parse-names" : false, "suffix" : "" }, { "dropping-particle" : "", "family" : "Belarbi", "given" : "Rafik", "non-dropping-particle" : "", "parse-names" : false, "suffix" : "" } ], "container-title" : "Renewable Energy", "id" : "ITEM-2", "issued" : { "date-parts" : [ [ "2012", "7" ] ] }, "page" : "157-164", "title" : "A comprehensive study of the impact of green roofs on building energy performance", "type" : "article-journal", "volume" : "43" }, "uris" : [ "http://www.mendeley.com/documents/?uuid=e7162052-b158-4144-a15f-ce8bed7b13a2" ] } ], "mendeley" : { "formattedCitation" : "(Jaffal et al., 2012; VanWoert et al., 2005)", "manualFormatting" : "(VanWoert et al., 2005; Jaffal et al., 2012)", "plainTextFormattedCitation" : "(Jaffal et al., 2012; VanWoert et al., 2005)", "previouslyFormattedCitation" : "(Jaffal et al., 2012; VanWoert et al., 2005)" }, "properties" : { "noteIndex" : 0 }, "schema" : "https://github.com/citation-style-language/schema/raw/master/csl-citation.json" }</w:instrText>
      </w:r>
      <w:r w:rsidR="004B1897" w:rsidRPr="00AC4AD8">
        <w:rPr>
          <w:rFonts w:ascii="Times New Roman" w:hAnsi="Times New Roman"/>
        </w:rPr>
        <w:fldChar w:fldCharType="separate"/>
      </w:r>
      <w:r w:rsidR="004B1897" w:rsidRPr="00AC4AD8">
        <w:rPr>
          <w:rFonts w:ascii="Times New Roman" w:hAnsi="Times New Roman"/>
          <w:noProof/>
        </w:rPr>
        <w:t>(VanWoert et al., 2005; Jaffal et al., 2012)</w:t>
      </w:r>
      <w:r w:rsidR="004B1897" w:rsidRPr="00AC4AD8">
        <w:rPr>
          <w:rFonts w:ascii="Times New Roman" w:hAnsi="Times New Roman"/>
        </w:rPr>
        <w:fldChar w:fldCharType="end"/>
      </w:r>
      <w:r w:rsidR="004B1897" w:rsidRPr="00AC4AD8">
        <w:rPr>
          <w:rFonts w:ascii="Times New Roman" w:hAnsi="Times New Roman"/>
        </w:rPr>
        <w:t>.</w:t>
      </w:r>
      <w:r w:rsidRPr="00AC4AD8">
        <w:rPr>
          <w:rFonts w:ascii="Times New Roman" w:hAnsi="Times New Roman"/>
        </w:rPr>
        <w:t xml:space="preserve"> </w:t>
      </w:r>
      <w:r w:rsidR="0001371D" w:rsidRPr="00AC4AD8">
        <w:rPr>
          <w:rFonts w:ascii="Times New Roman" w:hAnsi="Times New Roman"/>
        </w:rPr>
        <w:t>Extensive green roofs are common in the</w:t>
      </w:r>
      <w:r w:rsidR="001C7609" w:rsidRPr="00AC4AD8">
        <w:rPr>
          <w:rFonts w:ascii="Times New Roman" w:hAnsi="Times New Roman"/>
        </w:rPr>
        <w:t xml:space="preserve"> Northern Hemisphere</w:t>
      </w:r>
      <w:r w:rsidR="001931DF" w:rsidRPr="00AC4AD8">
        <w:rPr>
          <w:rFonts w:ascii="Times New Roman" w:hAnsi="Times New Roman"/>
        </w:rPr>
        <w:t>,</w:t>
      </w:r>
      <w:r w:rsidR="0001371D" w:rsidRPr="00AC4AD8">
        <w:rPr>
          <w:rFonts w:ascii="Times New Roman" w:hAnsi="Times New Roman"/>
        </w:rPr>
        <w:t xml:space="preserve"> </w:t>
      </w:r>
      <w:r w:rsidR="001C7609" w:rsidRPr="00AC4AD8">
        <w:rPr>
          <w:rFonts w:ascii="Times New Roman" w:hAnsi="Times New Roman"/>
        </w:rPr>
        <w:t xml:space="preserve">and in the UK </w:t>
      </w:r>
      <w:r w:rsidR="0001371D" w:rsidRPr="00AC4AD8">
        <w:rPr>
          <w:rFonts w:ascii="Times New Roman" w:hAnsi="Times New Roman"/>
        </w:rPr>
        <w:t>usually compris</w:t>
      </w:r>
      <w:r w:rsidR="001C7609" w:rsidRPr="00AC4AD8">
        <w:rPr>
          <w:rFonts w:ascii="Times New Roman" w:hAnsi="Times New Roman"/>
        </w:rPr>
        <w:t>e of</w:t>
      </w:r>
      <w:r w:rsidR="0001371D" w:rsidRPr="00AC4AD8">
        <w:rPr>
          <w:rFonts w:ascii="Times New Roman" w:hAnsi="Times New Roman"/>
        </w:rPr>
        <w:t xml:space="preserve"> a shallow substrate (no more than 10cm) consisting of crushed brick, planted with hardy plants of the genus </w:t>
      </w:r>
      <w:r w:rsidR="0001371D" w:rsidRPr="00AC4AD8">
        <w:rPr>
          <w:rFonts w:ascii="Times New Roman" w:hAnsi="Times New Roman"/>
          <w:i/>
        </w:rPr>
        <w:t xml:space="preserve">Sedum </w:t>
      </w:r>
      <w:r w:rsidR="00416CA1"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"Grant", "given" : "G.", "non-dropping-particle" : "", "parse-names" : false, "suffix" : "" } ], "container-title" : "Urban Habitats", "id" : "ITEM-1", "issued" : { "date-parts" : [ [ "2006" ] ] }, "page" : "51-65", "title" : "Extensive green roofs in London", "type" : "article-journal", "volume" : "4" }, "uris" : [ "http://www.mendeley.com/documents/?uuid=f2fa994d-5458-4848-a076-a15095d5cbaf" ] } ], "mendeley" : { "formattedCitation" : "(Grant, 2006)", "plainTextFormattedCitation" : "(Grant, 2006)", "previouslyFormattedCitation" : "(Grant, 2006)" }, "properties" : { "noteIndex" : 0 }, "schema" : "https://github.com/citation-style-language/schema/raw/master/csl-citation.json" }</w:instrText>
      </w:r>
      <w:r w:rsidR="00416CA1" w:rsidRPr="00AC4AD8">
        <w:rPr>
          <w:rFonts w:ascii="Times New Roman" w:hAnsi="Times New Roman"/>
        </w:rPr>
        <w:fldChar w:fldCharType="separate"/>
      </w:r>
      <w:r w:rsidR="00416CA1" w:rsidRPr="00AC4AD8">
        <w:rPr>
          <w:rFonts w:ascii="Times New Roman" w:hAnsi="Times New Roman"/>
          <w:noProof/>
        </w:rPr>
        <w:t>(Grant, 2006)</w:t>
      </w:r>
      <w:r w:rsidR="00416CA1" w:rsidRPr="00AC4AD8">
        <w:rPr>
          <w:rFonts w:ascii="Times New Roman" w:hAnsi="Times New Roman"/>
        </w:rPr>
        <w:fldChar w:fldCharType="end"/>
      </w:r>
      <w:r w:rsidR="0001371D" w:rsidRPr="00AC4AD8">
        <w:rPr>
          <w:rFonts w:ascii="Times New Roman" w:hAnsi="Times New Roman"/>
        </w:rPr>
        <w:t xml:space="preserve">. </w:t>
      </w:r>
      <w:r w:rsidR="001931DF" w:rsidRPr="00AC4AD8">
        <w:rPr>
          <w:rFonts w:ascii="Times New Roman" w:hAnsi="Times New Roman"/>
        </w:rPr>
        <w:t>Despite their continuing prevalence</w:t>
      </w:r>
      <w:r w:rsidRPr="00AC4AD8">
        <w:rPr>
          <w:rFonts w:ascii="Times New Roman" w:hAnsi="Times New Roman"/>
        </w:rPr>
        <w:t xml:space="preserve">, many extensive green roofs fail to establish at a satisfactory rate or, in some cases, fail to establish completely and require costly remediation </w:t>
      </w:r>
      <w:r w:rsidR="00416CA1"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"ISBN" : "160469257X", "abstract" : "Green roofs \u2014 the ultimate in sustainable building practices \u2014 continue to generate enormous interest and enthusiasm among architects, landscape designers, and urban planners. Increasingly strict stormwater regulations and the appeal of LEED-related projects have also boosted the popularity and desirability of green roofs. Those who want to build green roofs, however, have few resources to guide them. Until now, no book has taken a comprehensive look at how to effectively adapt green-roof technology to the variable and extreme North American climate, and how to design projects that will function and endure as successfully as those in Germany, Switzerland, and other European countries.This book fills the gap by providing an overview of practices and techniques that have been effective in North America. The authors offer options regarding structure, function, horticulture, and logistics, as well as surveys of actual projects and analyses of why they have or haven\u2019t succeeded. Approachable and reader-friendly, the manual clearly explains how these complex systems function and how to plan and carry out projects successfully from concept through construction and maintenance. Ideally suited to professionals (including architects, landscape architects, engineers, and designers) and their clients, it brings together key lessons from leaders in the field. Numerous photographs highlight the range of design possibilities and show green roofs both during construction and at various stages of maturity.At last, those seeking basic information about how to design and build green roofs have a concise, authoritative guide to this exciting new technology.", "author" : [ { "dropping-particle" : "", "family" : "McIntyre", "given" : "Linda", "non-dropping-particle" : "", "parse-names" : false, "suffix" : "" }, { "dropping-particle" : "", "family" : "Snodgrass", "given" : "Edmund C.", "non-dropping-particle" : "", "parse-names" : false, "suffix" : "" } ], "id" : "ITEM-1", "issued" : { "date-parts" : [ [ "2010" ] ] }, "number-of-pages" : "296", "publisher" : "Timber Press", "publisher-place" : "Portland", "title" : "The green roof manual: A professional guide to design, installation, and maintenance", "type" : "book" }, "uris" : [ "http://www.mendeley.com/documents/?uuid=ce30a0f1-07d5-4e8e-b4ff-91821c614987" ] } ], "mendeley" : { "formattedCitation" : "(McIntyre and Snodgrass, 2010)", "plainTextFormattedCitation" : "(McIntyre and Snodgrass, 2010)", "previouslyFormattedCitation" : "(McIntyre and Snodgrass, 2010)" }, "properties" : { "noteIndex" : 0 }, "schema" : "https://github.com/citation-style-language/schema/raw/master/csl-citation.json" }</w:instrText>
      </w:r>
      <w:r w:rsidR="00416CA1" w:rsidRPr="00AC4AD8">
        <w:rPr>
          <w:rFonts w:ascii="Times New Roman" w:hAnsi="Times New Roman"/>
        </w:rPr>
        <w:fldChar w:fldCharType="separate"/>
      </w:r>
      <w:r w:rsidR="00416CA1" w:rsidRPr="00AC4AD8">
        <w:rPr>
          <w:rFonts w:ascii="Times New Roman" w:hAnsi="Times New Roman"/>
          <w:noProof/>
        </w:rPr>
        <w:t>(McIntyre and Snodgrass, 2010)</w:t>
      </w:r>
      <w:r w:rsidR="00416CA1" w:rsidRPr="00AC4AD8">
        <w:rPr>
          <w:rFonts w:ascii="Times New Roman" w:hAnsi="Times New Roman"/>
        </w:rPr>
        <w:fldChar w:fldCharType="end"/>
      </w:r>
      <w:r w:rsidR="00416CA1" w:rsidRPr="00AC4AD8">
        <w:rPr>
          <w:rFonts w:ascii="Times New Roman" w:hAnsi="Times New Roman"/>
        </w:rPr>
        <w:t xml:space="preserve">. </w:t>
      </w:r>
      <w:r w:rsidRPr="00AC4AD8">
        <w:rPr>
          <w:rFonts w:ascii="Times New Roman" w:hAnsi="Times New Roman"/>
        </w:rPr>
        <w:t xml:space="preserve">In addition to this economic problem, poor plant establishment could </w:t>
      </w:r>
      <w:r w:rsidR="00997615" w:rsidRPr="00AC4AD8">
        <w:rPr>
          <w:rFonts w:ascii="Times New Roman" w:hAnsi="Times New Roman"/>
        </w:rPr>
        <w:t xml:space="preserve">also </w:t>
      </w:r>
      <w:r w:rsidR="00983486" w:rsidRPr="00AC4AD8">
        <w:rPr>
          <w:rFonts w:ascii="Times New Roman" w:hAnsi="Times New Roman"/>
        </w:rPr>
        <w:t>result in</w:t>
      </w:r>
      <w:r w:rsidRPr="00AC4AD8">
        <w:rPr>
          <w:rFonts w:ascii="Times New Roman" w:hAnsi="Times New Roman"/>
        </w:rPr>
        <w:t xml:space="preserve"> green roofs </w:t>
      </w:r>
      <w:r w:rsidR="0001371D" w:rsidRPr="00AC4AD8">
        <w:rPr>
          <w:rFonts w:ascii="Times New Roman" w:hAnsi="Times New Roman"/>
        </w:rPr>
        <w:t xml:space="preserve">that </w:t>
      </w:r>
      <w:r w:rsidRPr="00AC4AD8">
        <w:rPr>
          <w:rFonts w:ascii="Times New Roman" w:hAnsi="Times New Roman"/>
        </w:rPr>
        <w:t>are not maximised in terms of the</w:t>
      </w:r>
      <w:r w:rsidR="0001371D" w:rsidRPr="00AC4AD8">
        <w:rPr>
          <w:rFonts w:ascii="Times New Roman" w:hAnsi="Times New Roman"/>
        </w:rPr>
        <w:t>ir</w:t>
      </w:r>
      <w:r w:rsidRPr="00AC4AD8">
        <w:rPr>
          <w:rFonts w:ascii="Times New Roman" w:hAnsi="Times New Roman"/>
        </w:rPr>
        <w:t xml:space="preserve"> ecosystem services </w:t>
      </w:r>
      <w:r w:rsidR="0001371D" w:rsidRPr="00AC4AD8">
        <w:rPr>
          <w:rFonts w:ascii="Times New Roman" w:hAnsi="Times New Roman"/>
        </w:rPr>
        <w:t>provision</w:t>
      </w:r>
      <w:r w:rsidR="00B503BA" w:rsidRPr="00AC4AD8">
        <w:rPr>
          <w:rFonts w:ascii="Times New Roman" w:hAnsi="Times New Roman"/>
        </w:rPr>
        <w:t xml:space="preserve"> </w:t>
      </w:r>
      <w:r w:rsidR="00943A9A" w:rsidRPr="00AC4AD8">
        <w:rPr>
          <w:rFonts w:ascii="Times New Roman" w:hAnsi="Times New Roman"/>
        </w:rPr>
        <w:fldChar w:fldCharType="begin" w:fldLock="1"/>
      </w:r>
      <w:r w:rsidR="00943A9A" w:rsidRPr="00AC4AD8">
        <w:rPr>
          <w:rFonts w:ascii="Times New Roman" w:hAnsi="Times New Roman"/>
        </w:rPr>
        <w:instrText>ADDIN CSL_CITATION { "citationItems" : [ { "id" : "ITEM-1", "itemData" : { "DOI" : "10.1111/1365-2664.12333", "ISSN" : "00218901", "author" : [ { "dropping-particle" : "", "family" : "Williams", "given" : "Nicholas S. G.", "non-dropping-particle" : "", "parse-names" : false, "suffix" : "" }, { "dropping-particle" : "", "family" : "Lundholm", "given" : "Jeremy", "non-dropping-particle" : "", "parse-names" : false, "suffix" : "" }, { "dropping-particle" : "", "family" : "Scott MacIvor", "given" : "J.", "non-dropping-particle" : "", "parse-names" : false, "suffix" : "" } ], "container-title" : "Journal of Applied Ecology", "editor" : [ { "dropping-particle" : "", "family" : "Fuller", "given" : "Richard", "non-dropping-particle" : "", "parse-names" : false, "suffix" : "" } ], "id" : "ITEM-1", "issue" : "6", "issued" : { "date-parts" : [ [ "2014", "9", "3" ] ] }, "page" : "n/a-n/a", "title" : "Do green roofs help urban biodiversity conservation?", "type" : "article-journal", "volume" : "51" }, "uris" : [ "http://www.mendeley.com/documents/?uuid=f7f8d19b-5888-49e8-adf6-9ccddafa366a" ] } ], "mendeley" : { "formattedCitation" : "(Williams et al., 2014)", "plainTextFormattedCitation" : "(Williams et al., 2014)", "previouslyFormattedCitation" : "(Williams et al., 2014)" }, "properties" : { "noteIndex" : 0 }, "schema" : "https://github.com/citation-style-language/schema/raw/master/csl-citation.json" }</w:instrText>
      </w:r>
      <w:r w:rsidR="00943A9A" w:rsidRPr="00AC4AD8">
        <w:rPr>
          <w:rFonts w:ascii="Times New Roman" w:hAnsi="Times New Roman"/>
        </w:rPr>
        <w:fldChar w:fldCharType="separate"/>
      </w:r>
      <w:r w:rsidR="00943A9A" w:rsidRPr="00AC4AD8">
        <w:rPr>
          <w:rFonts w:ascii="Times New Roman" w:hAnsi="Times New Roman"/>
          <w:noProof/>
        </w:rPr>
        <w:t>(Williams et al., 2014)</w:t>
      </w:r>
      <w:r w:rsidR="00943A9A" w:rsidRPr="00AC4AD8">
        <w:rPr>
          <w:rFonts w:ascii="Times New Roman" w:hAnsi="Times New Roman"/>
        </w:rPr>
        <w:fldChar w:fldCharType="end"/>
      </w:r>
      <w:r w:rsidR="0001371D" w:rsidRPr="00AC4AD8">
        <w:rPr>
          <w:rFonts w:ascii="Times New Roman" w:hAnsi="Times New Roman"/>
        </w:rPr>
        <w:t>.</w:t>
      </w:r>
      <w:r w:rsidRPr="00AC4AD8">
        <w:rPr>
          <w:rFonts w:ascii="Times New Roman" w:hAnsi="Times New Roman"/>
        </w:rPr>
        <w:t xml:space="preserve"> For example, </w:t>
      </w:r>
      <w:r w:rsidR="000A0970" w:rsidRPr="00AC4AD8">
        <w:rPr>
          <w:rFonts w:ascii="Times New Roman" w:hAnsi="Times New Roman"/>
        </w:rPr>
        <w:t xml:space="preserve">as </w:t>
      </w:r>
      <w:r w:rsidRPr="00AC4AD8">
        <w:rPr>
          <w:rFonts w:ascii="Times New Roman" w:hAnsi="Times New Roman"/>
        </w:rPr>
        <w:t xml:space="preserve">carbon sequestration is </w:t>
      </w:r>
      <w:r w:rsidR="000A0970" w:rsidRPr="00AC4AD8">
        <w:rPr>
          <w:rFonts w:ascii="Times New Roman" w:hAnsi="Times New Roman"/>
        </w:rPr>
        <w:t xml:space="preserve">related to plant biomass </w:t>
      </w:r>
      <w:r w:rsidR="000A0970" w:rsidRPr="00AC4AD8">
        <w:rPr>
          <w:rFonts w:ascii="Times New Roman" w:hAnsi="Times New Roman"/>
        </w:rPr>
        <w:fldChar w:fldCharType="begin" w:fldLock="1"/>
      </w:r>
      <w:r w:rsidR="00791BA3" w:rsidRPr="00AC4AD8">
        <w:rPr>
          <w:rFonts w:ascii="Times New Roman" w:hAnsi="Times New Roman"/>
        </w:rPr>
        <w:instrText>ADDIN CSL_CITATION { "citationItems" : [ { "id" : "ITEM-1", "itemData" : { "DOI" : "10.1021/es901539x", "ISSN" : "0013-936X", "abstract" : "Two studies were conducted with the objective of quantifying the carbon storage potential of extensive green roofs. The first was performed on eight roofs in Michigan and four roofs in Maryland, ranging from 1 to 6 years in age. All 12 green roofs were composed primarily of Sedum species, and substrate depths ranged from 2.5 to 12.7 cm. Aboveground plant material was harvested in the fall of 2006. On average, these roofs stored 162 g C\u00b7m?2 in aboveground biomass. The second study was conducted on a roof in East Lansing, MI. Twenty plots were established on 21 April 2007 with a substrate depth of 6.0 cm. In addition to a substrate only control, the other plots were sown with a single species of Sedum (S. acre, S. album, S. kamtshaticum, or S. spurium). Species and substrate depth represent typical extensive green roofs in the United States. Plant material and substrate were harvested seven times across two growing seasons. Results at the end of the second year showed that aboveground plant material storage varied by species, ranging from 64 g C\u00b7m?2 (S. acre) to 239 g C\u00b7m?2 (S. album), with an average of 168 g C\u00b7m?2. Belowground biomass ranged from 37 g C\u00b7m?2 (S. acre) to 185 g C\u00b7m?2 (S. kamtschaticum) and averaged 107 g C\u00b7m?2. Substrate carbon content averaged 913 g C\u00b7m?2, with no species effect, which represents a sequestration rate of 100 g C\u00b7m?2 over the 2 years of this study. The entire extensive green roof system sequestered 375 g C\u00b7m?2 in above- and belowground biomass and substrate organic matter. Two studies were conducted with the objective of quantifying the carbon storage potential of extensive green roofs. The first was performed on eight roofs in Michigan and four roofs in Maryland, ranging from 1 to 6 years in age. All 12 green roofs were composed primarily of Sedum species, and substrate depths ranged from 2.5 to 12.7 cm. Aboveground plant material was harvested in the fall of 2006. On average, these roofs stored 162 g C\u00b7m?2 in aboveground biomass. The second study was conducted on a roof in East Lansing, MI. Twenty plots were established on 21 April 2007 with a substrate depth of 6.0 cm. In addition to a substrate only control, the other plots were sown with a single species of Sedum (S. acre, S. album, S. kamtshaticum, or S. spurium). Species and substrate depth represent typical extensive green roofs in the United States. Plant material and substrate were harvested seven times across two growing seasons. Results at the end of the second\u2026", "author" : [ { "dropping-particle" : "", "family" : "Getter", "given" : "Kristin L.", "non-dropping-particle" : "", "parse-names" : false, "suffix" : "" }, { "dropping-particle" : "", "family" : "Rowe", "given" : "D. Bradley", "non-dropping-particle" : "", "parse-names" : false, "suffix" : "" }, { "dropping-particle" : "", "family" : "Robertson", "given" : "G. Philip", "non-dropping-particle" : "", "parse-names" : false, "suffix" : "" }, { "dropping-particle" : "", "family" : "Cregg", "given" : "Bert M.", "non-dropping-particle" : "", "parse-names" : false, "suffix" : "" }, { "dropping-particle" : "", "family" : "Andresen", "given" : "Jeffrey A.", "non-dropping-particle" : "", "parse-names" : false, "suffix" : "" } ], "container-title" : "Environmental Science &amp; Technology", "id" : "ITEM-1", "issue" : "19", "issued" : { "date-parts" : [ [ "2009", "10" ] ] }, "page" : "7564-7570", "publisher" : "American Chemical Society", "title" : "Carbon sequestration potential of extensive green roofs", "type" : "article-journal", "volume" : "43" }, "uris" : [ "http://www.mendeley.com/documents/?uuid=2dc20f5c-84c6-4388-804f-1312ffd3e881" ] } ], "mendeley" : { "formattedCitation" : "(Getter et al., 2009)", "plainTextFormattedCitation" : "(Getter et al., 2009)", "previouslyFormattedCitation" : "(Getter et al., 2009)" }, "properties" : { "noteIndex" : 0 }, "schema" : "https://github.com/citation-style-language/schema/raw/master/csl-citation.json" }</w:instrText>
      </w:r>
      <w:r w:rsidR="000A0970" w:rsidRPr="00AC4AD8">
        <w:rPr>
          <w:rFonts w:ascii="Times New Roman" w:hAnsi="Times New Roman"/>
        </w:rPr>
        <w:fldChar w:fldCharType="separate"/>
      </w:r>
      <w:r w:rsidR="000A0970" w:rsidRPr="00AC4AD8">
        <w:rPr>
          <w:rFonts w:ascii="Times New Roman" w:hAnsi="Times New Roman"/>
          <w:noProof/>
        </w:rPr>
        <w:t>(Getter et al., 2009)</w:t>
      </w:r>
      <w:r w:rsidR="000A0970" w:rsidRPr="00AC4AD8">
        <w:rPr>
          <w:rFonts w:ascii="Times New Roman" w:hAnsi="Times New Roman"/>
        </w:rPr>
        <w:fldChar w:fldCharType="end"/>
      </w:r>
      <w:r w:rsidR="000A0970" w:rsidRPr="00AC4AD8">
        <w:rPr>
          <w:rFonts w:ascii="Times New Roman" w:hAnsi="Times New Roman"/>
        </w:rPr>
        <w:t xml:space="preserve">, </w:t>
      </w:r>
      <w:r w:rsidR="0001371D" w:rsidRPr="00AC4AD8">
        <w:rPr>
          <w:rFonts w:ascii="Times New Roman" w:hAnsi="Times New Roman"/>
        </w:rPr>
        <w:t>the contribution to carbon savings afforded by a green roof with poor plant growth is likely to be negligible</w:t>
      </w:r>
      <w:r w:rsidRPr="00AC4AD8">
        <w:rPr>
          <w:rFonts w:ascii="Times New Roman" w:hAnsi="Times New Roman"/>
        </w:rPr>
        <w:t xml:space="preserve">. </w:t>
      </w:r>
      <w:r w:rsidR="0033764A" w:rsidRPr="00AC4AD8">
        <w:rPr>
          <w:rFonts w:ascii="Times New Roman" w:hAnsi="Times New Roman"/>
        </w:rPr>
        <w:t xml:space="preserve">Green roof vegetation is also expected to reduce indoor air temperatures via </w:t>
      </w:r>
      <w:proofErr w:type="spellStart"/>
      <w:r w:rsidR="0033764A" w:rsidRPr="00AC4AD8">
        <w:rPr>
          <w:rFonts w:ascii="Times New Roman" w:hAnsi="Times New Roman"/>
        </w:rPr>
        <w:t>evapo</w:t>
      </w:r>
      <w:proofErr w:type="spellEnd"/>
      <w:r w:rsidR="0033764A" w:rsidRPr="00AC4AD8">
        <w:rPr>
          <w:rFonts w:ascii="Times New Roman" w:hAnsi="Times New Roman"/>
        </w:rPr>
        <w:t>-transpiration</w:t>
      </w:r>
      <w:r w:rsidR="00CB5534" w:rsidRPr="00AC4AD8">
        <w:rPr>
          <w:rFonts w:ascii="Times New Roman" w:hAnsi="Times New Roman"/>
        </w:rPr>
        <w:t xml:space="preserve"> </w:t>
      </w:r>
      <w:r w:rsidR="00CB5534" w:rsidRPr="00AC4AD8">
        <w:rPr>
          <w:rFonts w:ascii="Times New Roman" w:hAnsi="Times New Roman"/>
        </w:rPr>
        <w:fldChar w:fldCharType="begin" w:fldLock="1"/>
      </w:r>
      <w:r w:rsidR="004C1FED" w:rsidRPr="00AC4AD8">
        <w:rPr>
          <w:rFonts w:ascii="Times New Roman" w:hAnsi="Times New Roman"/>
        </w:rPr>
        <w:instrText>ADDIN CSL_CITATION { "citationItems" : [ { "id" : "ITEM-1", "itemData" : { "DOI" : "10.1016/j.buildenv.2010.12.013", "ISSN" : "03601323", "abstract" : "Green roofs have been increasingly enlisted to alleviate urban environmental problems associated with urban heat island effect and stormwater quantity and quality. Most studies focus on extensive green roofs, with inadequate assessment of the complex intensive type, subtropical region, and thermal insulation effect. This study examines the physical properties, biological processes, and thermal insulation performance of an intensive green roof through four seasons. An experimental woodland installed on a Hong Kong building rooftop was equipped with environmental sensors to monitor microclimatic and soil parameters. The excellent thermal performance of the intensive green roof is verified. Even though our site has a 100cm thick soil to support tree growth, we found that a thin soil layer of 10cm is sufficient to reduce heat penetration into building. Seasonal weather variations notably control transpiration and associated cooling effect. The tree canopy reduces solar radiation reaching the soil surface, but the trapped air increases air temperature near the soil surface. The substrate operates an effective heat sink to dampen temperature fluctuations. In winter, the subtropical green roof triggers notable heat loss from the substrate into the ambient air, and draws heat upwards from warmer indoor air to increase energy consumption to warm indoor air. This finding deviates from temperate latitude studies. The results offer hints to optimize the design and thermal performance of intensive green roofs.", "author" : [ { "dropping-particle" : "", "family" : "Jim", "given" : "C.Y.", "non-dropping-particle" : "", "parse-names" : false, "suffix" : "" }, { "dropping-particle" : "", "family" : "Tsang", "given" : "S.W.", "non-dropping-particle" : "", "parse-names" : false, "suffix" : "" } ], "container-title" : "Building and Environment", "id" : "ITEM-1", "issue" : "6", "issued" : { "date-parts" : [ [ "2011", "6" ] ] }, "page" : "1263-1274", "title" : "Biophysical properties and thermal performance of an intensive green roof", "type" : "article-journal", "volume" : "46" }, "uris" : [ "http://www.mendeley.com/documents/?uuid=8e824093-d4cb-4a28-be7e-99037b63b28f" ] } ], "mendeley" : { "formattedCitation" : "(Jim and Tsang, 2011)", "plainTextFormattedCitation" : "(Jim and Tsang, 2011)", "previouslyFormattedCitation" : "(Jim and Tsang, 2011)" }, "properties" : { "noteIndex" : 0 }, "schema" : "https://github.com/citation-style-language/schema/raw/master/csl-citation.json" }</w:instrText>
      </w:r>
      <w:r w:rsidR="00CB5534" w:rsidRPr="00AC4AD8">
        <w:rPr>
          <w:rFonts w:ascii="Times New Roman" w:hAnsi="Times New Roman"/>
        </w:rPr>
        <w:fldChar w:fldCharType="separate"/>
      </w:r>
      <w:r w:rsidR="00CB5534" w:rsidRPr="00AC4AD8">
        <w:rPr>
          <w:rFonts w:ascii="Times New Roman" w:hAnsi="Times New Roman"/>
          <w:noProof/>
        </w:rPr>
        <w:t>(Jim and Tsang, 2011)</w:t>
      </w:r>
      <w:r w:rsidR="00CB5534" w:rsidRPr="00AC4AD8">
        <w:rPr>
          <w:rFonts w:ascii="Times New Roman" w:hAnsi="Times New Roman"/>
        </w:rPr>
        <w:fldChar w:fldCharType="end"/>
      </w:r>
      <w:r w:rsidR="00CB5534" w:rsidRPr="00AC4AD8">
        <w:rPr>
          <w:rFonts w:ascii="Times New Roman" w:hAnsi="Times New Roman"/>
        </w:rPr>
        <w:t xml:space="preserve"> which, again, is likely to be </w:t>
      </w:r>
      <w:r w:rsidR="008E4719" w:rsidRPr="00AC4AD8">
        <w:rPr>
          <w:rFonts w:ascii="Times New Roman" w:hAnsi="Times New Roman"/>
        </w:rPr>
        <w:t>a</w:t>
      </w:r>
      <w:r w:rsidR="00CB5534" w:rsidRPr="00AC4AD8">
        <w:rPr>
          <w:rFonts w:ascii="Times New Roman" w:hAnsi="Times New Roman"/>
        </w:rPr>
        <w:t xml:space="preserve">ffected by </w:t>
      </w:r>
      <w:r w:rsidR="0001371D" w:rsidRPr="00AC4AD8">
        <w:rPr>
          <w:rFonts w:ascii="Times New Roman" w:hAnsi="Times New Roman"/>
        </w:rPr>
        <w:t xml:space="preserve">the </w:t>
      </w:r>
      <w:r w:rsidR="00CB5534" w:rsidRPr="00AC4AD8">
        <w:rPr>
          <w:rFonts w:ascii="Times New Roman" w:hAnsi="Times New Roman"/>
        </w:rPr>
        <w:t>size and health of plants</w:t>
      </w:r>
      <w:r w:rsidR="007E50D3" w:rsidRPr="00AC4AD8">
        <w:rPr>
          <w:rFonts w:ascii="Times New Roman" w:hAnsi="Times New Roman"/>
        </w:rPr>
        <w:t xml:space="preserve"> on the roof</w:t>
      </w:r>
      <w:r w:rsidRPr="00AC4AD8">
        <w:rPr>
          <w:rFonts w:ascii="Times New Roman" w:hAnsi="Times New Roman"/>
        </w:rPr>
        <w:t xml:space="preserve">. </w:t>
      </w:r>
      <w:r w:rsidR="007E50D3" w:rsidRPr="00AC4AD8">
        <w:rPr>
          <w:rFonts w:ascii="Times New Roman" w:hAnsi="Times New Roman"/>
        </w:rPr>
        <w:t>Hence</w:t>
      </w:r>
      <w:r w:rsidRPr="00AC4AD8">
        <w:rPr>
          <w:rFonts w:ascii="Times New Roman" w:hAnsi="Times New Roman"/>
        </w:rPr>
        <w:t xml:space="preserve"> the </w:t>
      </w:r>
      <w:r w:rsidR="00115503" w:rsidRPr="00AC4AD8">
        <w:rPr>
          <w:rFonts w:ascii="Times New Roman" w:hAnsi="Times New Roman"/>
        </w:rPr>
        <w:t>reported benefits of a green roof are inherently reliant on the success of vegetati</w:t>
      </w:r>
      <w:r w:rsidR="007E50D3" w:rsidRPr="00AC4AD8">
        <w:rPr>
          <w:rFonts w:ascii="Times New Roman" w:hAnsi="Times New Roman"/>
        </w:rPr>
        <w:t>ve</w:t>
      </w:r>
      <w:r w:rsidR="00115503" w:rsidRPr="00AC4AD8">
        <w:rPr>
          <w:rFonts w:ascii="Times New Roman" w:hAnsi="Times New Roman"/>
        </w:rPr>
        <w:t xml:space="preserve"> growth.</w:t>
      </w:r>
    </w:p>
    <w:p w14:paraId="153E46C6" w14:textId="1D19919E" w:rsidR="00BB4A7D" w:rsidRPr="00AC4AD8" w:rsidRDefault="004C13DE" w:rsidP="00F03F20">
      <w:pPr>
        <w:spacing w:after="120" w:line="360" w:lineRule="auto"/>
        <w:ind w:firstLine="340"/>
        <w:jc w:val="both"/>
        <w:rPr>
          <w:rFonts w:ascii="Times New Roman" w:hAnsi="Times New Roman"/>
        </w:rPr>
      </w:pPr>
      <w:r w:rsidRPr="00AC4AD8">
        <w:rPr>
          <w:rFonts w:ascii="Times New Roman" w:hAnsi="Times New Roman"/>
        </w:rPr>
        <w:t xml:space="preserve">Examining the </w:t>
      </w:r>
      <w:r w:rsidR="00B503BA" w:rsidRPr="00AC4AD8">
        <w:rPr>
          <w:rFonts w:ascii="Times New Roman" w:hAnsi="Times New Roman"/>
        </w:rPr>
        <w:t>soil biota</w:t>
      </w:r>
      <w:r w:rsidRPr="00AC4AD8">
        <w:rPr>
          <w:rFonts w:ascii="Times New Roman" w:hAnsi="Times New Roman"/>
        </w:rPr>
        <w:t xml:space="preserve"> present within the substrate of a green roof could hold the key to ensuring the success of vegetation establishment. To date, interactions</w:t>
      </w:r>
      <w:r w:rsidR="00613B25" w:rsidRPr="00AC4AD8">
        <w:rPr>
          <w:rFonts w:ascii="Times New Roman" w:hAnsi="Times New Roman"/>
        </w:rPr>
        <w:t xml:space="preserve"> between soil fauna and above-ground communities</w:t>
      </w:r>
      <w:r w:rsidRPr="00AC4AD8">
        <w:rPr>
          <w:rFonts w:ascii="Times New Roman" w:hAnsi="Times New Roman"/>
        </w:rPr>
        <w:t xml:space="preserve"> on green roofs have been largely ignored, despite </w:t>
      </w:r>
      <w:r w:rsidR="005F7460" w:rsidRPr="00AC4AD8">
        <w:rPr>
          <w:rFonts w:ascii="Times New Roman" w:hAnsi="Times New Roman"/>
        </w:rPr>
        <w:t xml:space="preserve">above and below-ground communities at ground level having been shown to be </w:t>
      </w:r>
      <w:r w:rsidRPr="00AC4AD8">
        <w:rPr>
          <w:rFonts w:ascii="Times New Roman" w:hAnsi="Times New Roman"/>
        </w:rPr>
        <w:t xml:space="preserve">inextricably linked </w:t>
      </w:r>
      <w:r w:rsidR="004C1FED" w:rsidRPr="00AC4AD8">
        <w:rPr>
          <w:rFonts w:ascii="Times New Roman" w:hAnsi="Times New Roman"/>
        </w:rPr>
        <w:fldChar w:fldCharType="begin" w:fldLock="1"/>
      </w:r>
      <w:r w:rsidR="00943A9A" w:rsidRPr="00AC4AD8">
        <w:rPr>
          <w:rFonts w:ascii="Times New Roman" w:hAnsi="Times New Roman"/>
        </w:rPr>
        <w:instrText>ADDIN CSL_CITATION { "citationItems" : [ { "id" : "ITEM-1", "itemData" : { "DOI" : "10.1126/science.1094875", "ISSN" : "1095-9203", "PMID" : "15192218", "abstract" : "All terrestrial ecosystems consist of aboveground and belowground components that interact to influence community- and ecosystem-level processes and properties. Here we show how these components are closely interlinked at the community level, reinforced by a greater degree of specificity between plants and soil organisms than has been previously supposed. As such, aboveground and belowground communities can be powerful mutual drivers, with both positive and negative feedbacks. A combined aboveground-belowground approach to community and ecosystem ecology is enhancing our understanding of the regulation and functional significance of biodiversity and of the environmental impacts of human-induced global change phenomena.", "author" : [ { "dropping-particle" : "", "family" : "Wardle", "given" : "David A", "non-dropping-particle" : "", "parse-names" : false, "suffix" : "" }, { "dropping-particle" : "", "family" : "Bardgett", "given" : "Richard D", "non-dropping-particle" : "", "parse-names" : false, "suffix" : "" }, { "dropping-particle" : "", "family" : "Klironomos", "given" : "John N", "non-dropping-particle" : "", "parse-names" : false, "suffix" : "" }, { "dropping-particle" : "", "family" : "Set\u00e4l\u00e4", "given" : "Heikki", "non-dropping-particle" : "", "parse-names" : false, "suffix" : "" }, { "dropping-particle" : "", "family" : "Putten", "given" : "Wim H", "non-dropping-particle" : "van der", "parse-names" : false, "suffix" : "" }, { "dropping-particle" : "", "family" : "Wall", "given" : "Diana H", "non-dropping-particle" : "", "parse-names" : false, "suffix" : "" } ], "container-title" : "Science (New York, N.Y.)", "id" : "ITEM-1", "issue" : "5677", "issued" : { "date-parts" : [ [ "2004", "6", "11" ] ] }, "page" : "1629-33", "title" : "Ecological linkages between aboveground and belowground biota.", "type" : "article-journal", "volume" : "304" }, "uris" : [ "http://www.mendeley.com/documents/?uuid=e04cda62-31b5-4555-81d3-44a0048479b6" ] } ], "mendeley" : { "formattedCitation" : "(Wardle et al., 2004)", "plainTextFormattedCitation" : "(Wardle et al., 2004)", "previouslyFormattedCitation" : "(Wardle et al., 2004)" }, "properties" : { "noteIndex" : 0 }, "schema" : "https://github.com/citation-style-language/schema/raw/master/csl-citation.json" }</w:instrText>
      </w:r>
      <w:r w:rsidR="004C1FED" w:rsidRPr="00AC4AD8">
        <w:rPr>
          <w:rFonts w:ascii="Times New Roman" w:hAnsi="Times New Roman"/>
        </w:rPr>
        <w:fldChar w:fldCharType="separate"/>
      </w:r>
      <w:r w:rsidR="004C1FED" w:rsidRPr="00AC4AD8">
        <w:rPr>
          <w:rFonts w:ascii="Times New Roman" w:hAnsi="Times New Roman"/>
          <w:noProof/>
        </w:rPr>
        <w:t>(Wardle et al., 2004)</w:t>
      </w:r>
      <w:r w:rsidR="004C1FED" w:rsidRPr="00AC4AD8">
        <w:rPr>
          <w:rFonts w:ascii="Times New Roman" w:hAnsi="Times New Roman"/>
        </w:rPr>
        <w:fldChar w:fldCharType="end"/>
      </w:r>
      <w:r w:rsidRPr="00AC4AD8">
        <w:rPr>
          <w:rFonts w:ascii="Times New Roman" w:hAnsi="Times New Roman"/>
        </w:rPr>
        <w:t xml:space="preserve">. Below-ground processes </w:t>
      </w:r>
      <w:r w:rsidR="0001371D" w:rsidRPr="00AC4AD8">
        <w:rPr>
          <w:rFonts w:ascii="Times New Roman" w:hAnsi="Times New Roman"/>
        </w:rPr>
        <w:t xml:space="preserve">(or within-substrate in the case of a green roof) </w:t>
      </w:r>
      <w:r w:rsidRPr="00AC4AD8">
        <w:rPr>
          <w:rFonts w:ascii="Times New Roman" w:hAnsi="Times New Roman"/>
        </w:rPr>
        <w:t xml:space="preserve">are key for nutrient cycling, promoting plant productivity, permitting decomposition, buffering environmental changes and improving water retention </w:t>
      </w:r>
      <w:r w:rsidR="004C1FED" w:rsidRPr="00AC4AD8">
        <w:rPr>
          <w:rFonts w:ascii="Times New Roman" w:hAnsi="Times New Roman"/>
        </w:rPr>
        <w:fldChar w:fldCharType="begin" w:fldLock="1"/>
      </w:r>
      <w:r w:rsidR="0038079D" w:rsidRPr="00AC4AD8">
        <w:rPr>
          <w:rFonts w:ascii="Times New Roman" w:hAnsi="Times New Roman"/>
        </w:rPr>
        <w:instrText>ADDIN CSL_CITATION { "citationItems" : [ { "id" : "ITEM-1", "itemData" : { "DOI" : "10.1023/A:1006299100678", "ISSN" : "1572-9680", "author" : [ { "dropping-particle" : "", "family" : "Neher", "given" : "D. A.", "non-dropping-particle" : "", "parse-names" : false, "suffix" : "" } ], "container-title" : "Agroforestry Systems", "id" : "ITEM-1", "issue" : "1-3", "issued" : { "date-parts" : [ [ "1999" ] ] }, "language" : "en", "page" : "159-185", "publisher" : "Kluwer Academic Publishers", "title" : "Soil community composition and ecosystem processes: Comparing agricultural ecosystems with natural ecosystems", "type" : "article-journal", "volume" : "45" }, "uris" : [ "http://www.mendeley.com/documents/?uuid=4ff3e365-73c3-422d-a7fc-d6c16d7d3ee3" ] } ], "mendeley" : { "formattedCitation" : "(Neher, 1999)", "plainTextFormattedCitation" : "(Neher, 1999)", "previouslyFormattedCitation" : "(Neher, 1999)" }, "properties" : { "noteIndex" : 0 }, "schema" : "https://github.com/citation-style-language/schema/raw/master/csl-citation.json" }</w:instrText>
      </w:r>
      <w:r w:rsidR="004C1FED" w:rsidRPr="00AC4AD8">
        <w:rPr>
          <w:rFonts w:ascii="Times New Roman" w:hAnsi="Times New Roman"/>
        </w:rPr>
        <w:fldChar w:fldCharType="separate"/>
      </w:r>
      <w:r w:rsidR="004C1FED" w:rsidRPr="00AC4AD8">
        <w:rPr>
          <w:rFonts w:ascii="Times New Roman" w:hAnsi="Times New Roman"/>
          <w:noProof/>
        </w:rPr>
        <w:t>(Neher, 1999)</w:t>
      </w:r>
      <w:r w:rsidR="004C1FED" w:rsidRPr="00AC4AD8">
        <w:rPr>
          <w:rFonts w:ascii="Times New Roman" w:hAnsi="Times New Roman"/>
        </w:rPr>
        <w:fldChar w:fldCharType="end"/>
      </w:r>
      <w:r w:rsidRPr="00AC4AD8">
        <w:rPr>
          <w:rFonts w:ascii="Times New Roman" w:hAnsi="Times New Roman"/>
        </w:rPr>
        <w:t>.</w:t>
      </w:r>
    </w:p>
    <w:p w14:paraId="112DC8B0" w14:textId="404D8BF3" w:rsidR="00BB4A7D" w:rsidRPr="00AC4AD8" w:rsidRDefault="00BB4A7D" w:rsidP="00F03F20">
      <w:pPr>
        <w:spacing w:after="120" w:line="360" w:lineRule="auto"/>
        <w:ind w:firstLine="340"/>
        <w:jc w:val="both"/>
        <w:rPr>
          <w:rFonts w:ascii="Times New Roman" w:hAnsi="Times New Roman"/>
        </w:rPr>
      </w:pPr>
      <w:r w:rsidRPr="00AC4AD8">
        <w:rPr>
          <w:rFonts w:ascii="Times New Roman" w:hAnsi="Times New Roman"/>
        </w:rPr>
        <w:t xml:space="preserve">Much of the nutrient cycling occurring in soils relies on three things: </w:t>
      </w:r>
      <w:r w:rsidR="0001371D" w:rsidRPr="00AC4AD8">
        <w:rPr>
          <w:rFonts w:ascii="Times New Roman" w:hAnsi="Times New Roman"/>
        </w:rPr>
        <w:t>the decomposition of plants, exudate production</w:t>
      </w:r>
      <w:r w:rsidRPr="00AC4AD8">
        <w:rPr>
          <w:rFonts w:ascii="Times New Roman" w:hAnsi="Times New Roman"/>
        </w:rPr>
        <w:t xml:space="preserve"> by living plants and inputs of inorganic nitrogen </w:t>
      </w:r>
      <w:r w:rsidR="0038079D" w:rsidRPr="00AC4AD8">
        <w:rPr>
          <w:rFonts w:ascii="Times New Roman" w:hAnsi="Times New Roman"/>
        </w:rPr>
        <w:fldChar w:fldCharType="begin" w:fldLock="1"/>
      </w:r>
      <w:r w:rsidR="0038079D" w:rsidRPr="00AC4AD8">
        <w:rPr>
          <w:rFonts w:ascii="Times New Roman" w:hAnsi="Times New Roman"/>
        </w:rPr>
        <w:instrText>ADDIN CSL_CITATION { "citationItems" : [ { "id" : "ITEM-1", "itemData" : { "DOI" : "10.1023/A:1006299100678", "ISSN" : "1572-9680", "author" : [ { "dropping-particle" : "", "family" : "Neher", "given" : "D. A.", "non-dropping-particle" : "", "parse-names" : false, "suffix" : "" } ], "container-title" : "Agroforestry Systems", "id" : "ITEM-1", "issue" : "1-3", "issued" : { "date-parts" : [ [ "1999" ] ] }, "language" : "en", "page" : "159-185", "publisher" : "Kluwer Academic Publishers", "title" : "Soil community composition and ecosystem processes: Comparing agricultural ecosystems with natural ecosystems", "type" : "article-journal", "volume" : "45" }, "uris" : [ "http://www.mendeley.com/documents/?uuid=4ff3e365-73c3-422d-a7fc-d6c16d7d3ee3" ] } ], "mendeley" : { "formattedCitation" : "(Neher, 1999)", "plainTextFormattedCitation" : "(Neher, 1999)", "previouslyFormattedCitation" : "(Neher, 1999)" }, "properties" : { "noteIndex" : 0 }, "schema" : "https://github.com/citation-style-language/schema/raw/master/csl-citation.json" }</w:instrText>
      </w:r>
      <w:r w:rsidR="0038079D" w:rsidRPr="00AC4AD8">
        <w:rPr>
          <w:rFonts w:ascii="Times New Roman" w:hAnsi="Times New Roman"/>
        </w:rPr>
        <w:fldChar w:fldCharType="separate"/>
      </w:r>
      <w:r w:rsidR="0038079D" w:rsidRPr="00AC4AD8">
        <w:rPr>
          <w:rFonts w:ascii="Times New Roman" w:hAnsi="Times New Roman"/>
          <w:noProof/>
        </w:rPr>
        <w:t>(Neher, 1999)</w:t>
      </w:r>
      <w:r w:rsidR="0038079D" w:rsidRPr="00AC4AD8">
        <w:rPr>
          <w:rFonts w:ascii="Times New Roman" w:hAnsi="Times New Roman"/>
        </w:rPr>
        <w:fldChar w:fldCharType="end"/>
      </w:r>
      <w:r w:rsidRPr="00AC4AD8">
        <w:rPr>
          <w:rFonts w:ascii="Times New Roman" w:hAnsi="Times New Roman"/>
        </w:rPr>
        <w:t xml:space="preserve">. Decomposition is facilitated by microbes, including bacteria and fungi, microarthropods, such as mites and </w:t>
      </w:r>
      <w:r w:rsidR="00FF46CA" w:rsidRPr="00AC4AD8">
        <w:rPr>
          <w:rFonts w:ascii="Times New Roman" w:hAnsi="Times New Roman"/>
        </w:rPr>
        <w:t>C</w:t>
      </w:r>
      <w:r w:rsidRPr="00AC4AD8">
        <w:rPr>
          <w:rFonts w:ascii="Times New Roman" w:hAnsi="Times New Roman"/>
        </w:rPr>
        <w:t>ollembola, and macro-arthropods, such as earthworms, all of which reside in the soil</w:t>
      </w:r>
      <w:r w:rsidR="0038079D" w:rsidRPr="00AC4AD8">
        <w:rPr>
          <w:rFonts w:ascii="Times New Roman" w:hAnsi="Times New Roman"/>
        </w:rPr>
        <w:t xml:space="preserve"> </w:t>
      </w:r>
      <w:r w:rsidR="0038079D" w:rsidRPr="00AC4AD8">
        <w:rPr>
          <w:rFonts w:ascii="Times New Roman" w:hAnsi="Times New Roman"/>
        </w:rPr>
        <w:fldChar w:fldCharType="begin" w:fldLock="1"/>
      </w:r>
      <w:r w:rsidR="0038079D" w:rsidRPr="00AC4AD8">
        <w:rPr>
          <w:rFonts w:ascii="Times New Roman" w:hAnsi="Times New Roman"/>
        </w:rPr>
        <w:instrText>ADDIN CSL_CITATION { "citationItems" : [ { "id" : "ITEM-1", "itemData" : { "DOI" : "10.1023/A:1006299100678", "ISSN" : "1572-9680", "author" : [ { "dropping-particle" : "", "family" : "Neher", "given" : "D. A.", "non-dropping-particle" : "", "parse-names" : false, "suffix" : "" } ], "container-title" : "Agroforestry Systems", "id" : "ITEM-1", "issue" : "1-3", "issued" : { "date-parts" : [ [ "1999" ] ] }, "language" : "en", "page" : "159-185", "publisher" : "Kluwer Academic Publishers", "title" : "Soil community composition and ecosystem processes: Comparing agricultural ecosystems with natural ecosystems", "type" : "article-journal", "volume" : "45" }, "uris" : [ "http://www.mendeley.com/documents/?uuid=4ff3e365-73c3-422d-a7fc-d6c16d7d3ee3" ] } ], "mendeley" : { "formattedCitation" : "(Neher, 1999)", "plainTextFormattedCitation" : "(Neher, 1999)", "previouslyFormattedCitation" : "(Neher, 1999)" }, "properties" : { "noteIndex" : 0 }, "schema" : "https://github.com/citation-style-language/schema/raw/master/csl-citation.json" }</w:instrText>
      </w:r>
      <w:r w:rsidR="0038079D" w:rsidRPr="00AC4AD8">
        <w:rPr>
          <w:rFonts w:ascii="Times New Roman" w:hAnsi="Times New Roman"/>
        </w:rPr>
        <w:fldChar w:fldCharType="separate"/>
      </w:r>
      <w:r w:rsidR="0038079D" w:rsidRPr="00AC4AD8">
        <w:rPr>
          <w:rFonts w:ascii="Times New Roman" w:hAnsi="Times New Roman"/>
          <w:noProof/>
        </w:rPr>
        <w:t>(Neher, 1999)</w:t>
      </w:r>
      <w:r w:rsidR="0038079D" w:rsidRPr="00AC4AD8">
        <w:rPr>
          <w:rFonts w:ascii="Times New Roman" w:hAnsi="Times New Roman"/>
        </w:rPr>
        <w:fldChar w:fldCharType="end"/>
      </w:r>
      <w:r w:rsidRPr="00AC4AD8">
        <w:rPr>
          <w:rFonts w:ascii="Times New Roman" w:hAnsi="Times New Roman"/>
        </w:rPr>
        <w:t xml:space="preserve">. </w:t>
      </w:r>
      <w:r w:rsidR="007E50D3" w:rsidRPr="00AC4AD8">
        <w:rPr>
          <w:rFonts w:ascii="Times New Roman" w:hAnsi="Times New Roman"/>
        </w:rPr>
        <w:t>Previous</w:t>
      </w:r>
      <w:r w:rsidRPr="00AC4AD8">
        <w:rPr>
          <w:rFonts w:ascii="Times New Roman" w:hAnsi="Times New Roman"/>
        </w:rPr>
        <w:t xml:space="preserve"> research suggests that</w:t>
      </w:r>
      <w:r w:rsidR="0001371D" w:rsidRPr="00AC4AD8">
        <w:rPr>
          <w:rFonts w:ascii="Times New Roman" w:hAnsi="Times New Roman"/>
        </w:rPr>
        <w:t xml:space="preserve"> many of these key functional groups are missing or impoverished in a green roof environment </w:t>
      </w:r>
      <w:r w:rsidR="0001371D"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01371D" w:rsidRPr="00AC4AD8">
        <w:rPr>
          <w:rFonts w:ascii="Times New Roman" w:hAnsi="Times New Roman"/>
        </w:rPr>
        <w:fldChar w:fldCharType="separate"/>
      </w:r>
      <w:r w:rsidR="005B2891" w:rsidRPr="00AC4AD8">
        <w:rPr>
          <w:rFonts w:ascii="Times New Roman" w:hAnsi="Times New Roman"/>
          <w:noProof/>
        </w:rPr>
        <w:t>(Rumble and Gange, 2013)</w:t>
      </w:r>
      <w:r w:rsidR="0001371D" w:rsidRPr="00AC4AD8">
        <w:rPr>
          <w:rFonts w:ascii="Times New Roman" w:hAnsi="Times New Roman"/>
        </w:rPr>
        <w:fldChar w:fldCharType="end"/>
      </w:r>
      <w:r w:rsidR="0001371D" w:rsidRPr="00AC4AD8">
        <w:rPr>
          <w:rFonts w:ascii="Times New Roman" w:hAnsi="Times New Roman"/>
        </w:rPr>
        <w:t>. In addition, those populations of microarthropods that are present on green roofs</w:t>
      </w:r>
      <w:r w:rsidRPr="00AC4AD8">
        <w:rPr>
          <w:rFonts w:ascii="Times New Roman" w:hAnsi="Times New Roman"/>
        </w:rPr>
        <w:t xml:space="preserve"> </w:t>
      </w:r>
      <w:r w:rsidR="007E50D3" w:rsidRPr="00AC4AD8">
        <w:rPr>
          <w:rFonts w:ascii="Times New Roman" w:hAnsi="Times New Roman"/>
        </w:rPr>
        <w:t xml:space="preserve">can </w:t>
      </w:r>
      <w:r w:rsidRPr="00AC4AD8">
        <w:rPr>
          <w:rFonts w:ascii="Times New Roman" w:hAnsi="Times New Roman"/>
        </w:rPr>
        <w:t xml:space="preserve">experience </w:t>
      </w:r>
      <w:r w:rsidR="008E4719" w:rsidRPr="00AC4AD8">
        <w:rPr>
          <w:rFonts w:ascii="Times New Roman" w:hAnsi="Times New Roman"/>
        </w:rPr>
        <w:t xml:space="preserve">dramatic </w:t>
      </w:r>
      <w:r w:rsidRPr="00AC4AD8">
        <w:rPr>
          <w:rFonts w:ascii="Times New Roman" w:hAnsi="Times New Roman"/>
        </w:rPr>
        <w:t xml:space="preserve">seasonal population declines caused by drought </w:t>
      </w:r>
      <w:r w:rsidR="00943A9A"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943A9A" w:rsidRPr="00AC4AD8">
        <w:rPr>
          <w:rFonts w:ascii="Times New Roman" w:hAnsi="Times New Roman"/>
        </w:rPr>
        <w:fldChar w:fldCharType="separate"/>
      </w:r>
      <w:r w:rsidR="00997615" w:rsidRPr="00AC4AD8">
        <w:rPr>
          <w:rFonts w:ascii="Times New Roman" w:hAnsi="Times New Roman"/>
          <w:noProof/>
        </w:rPr>
        <w:t>(Rumble and Gange, 2013)</w:t>
      </w:r>
      <w:r w:rsidR="00943A9A" w:rsidRPr="00AC4AD8">
        <w:rPr>
          <w:rFonts w:ascii="Times New Roman" w:hAnsi="Times New Roman"/>
        </w:rPr>
        <w:fldChar w:fldCharType="end"/>
      </w:r>
      <w:r w:rsidRPr="00AC4AD8">
        <w:rPr>
          <w:rFonts w:ascii="Times New Roman" w:hAnsi="Times New Roman"/>
        </w:rPr>
        <w:t>.</w:t>
      </w:r>
    </w:p>
    <w:p w14:paraId="2478C89A" w14:textId="7A2451AC" w:rsidR="00847BE0" w:rsidRPr="00AC4AD8" w:rsidRDefault="00AF2A38" w:rsidP="00F03F20">
      <w:pPr>
        <w:spacing w:after="120" w:line="360" w:lineRule="auto"/>
        <w:ind w:firstLine="340"/>
        <w:jc w:val="both"/>
        <w:rPr>
          <w:rFonts w:ascii="Times New Roman" w:hAnsi="Times New Roman"/>
        </w:rPr>
      </w:pPr>
      <w:r w:rsidRPr="00AC4AD8">
        <w:rPr>
          <w:rFonts w:ascii="Times New Roman" w:hAnsi="Times New Roman"/>
        </w:rPr>
        <w:fldChar w:fldCharType="begin" w:fldLock="1"/>
      </w:r>
      <w:r w:rsidRPr="00AC4AD8">
        <w:rPr>
          <w:rFonts w:ascii="Times New Roman" w:hAnsi="Times New Roman"/>
        </w:rPr>
        <w:instrText>ADDIN CSL_CITATION { "citationItems" : [ { "id" : "ITEM-1", "itemData" : { "DOI" : "10.1007/s11252-008-0052-0", "ISSN" : "1083-8155", "author" : [ { "dropping-particle" : "", "family" : "Getter", "given" : "Kristin L.", "non-dropping-particle" : "", "parse-names" : false, "suffix" : "" }, { "dropping-particle" : "", "family" : "Rowe", "given" : "D. Bradley", "non-dropping-particle" : "", "parse-names" : false, "suffix" : "" } ], "container-title" : "Urban Ecosystems", "id" : "ITEM-1", "issue" : "4", "issued" : { "date-parts" : [ [ "2008", "4", "23" ] ] }, "page" : "361-372", "title" : "Media depth influences Sedum green roof establishment", "type" : "article-journal", "volume" : "11" }, "uris" : [ "http://www.mendeley.com/documents/?uuid=edb62b7f-9012-4214-b429-eec31f518953" ] } ], "mendeley" : { "formattedCitation" : "(Getter and Rowe, 2008)", "manualFormatting" : "Getter and Rowe (2008)", "plainTextFormattedCitation" : "(Getter and Rowe, 2008)", "previouslyFormattedCitation" : "(Getter and Rowe, 2008)"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Getter and Rowe (2008)</w:t>
      </w:r>
      <w:r w:rsidRPr="00AC4AD8">
        <w:rPr>
          <w:rFonts w:ascii="Times New Roman" w:hAnsi="Times New Roman"/>
        </w:rPr>
        <w:fldChar w:fldCharType="end"/>
      </w:r>
      <w:r w:rsidR="00847BE0" w:rsidRPr="00AC4AD8">
        <w:rPr>
          <w:rFonts w:ascii="Times New Roman" w:hAnsi="Times New Roman"/>
        </w:rPr>
        <w:t xml:space="preserve"> suggest t</w:t>
      </w:r>
      <w:r w:rsidR="0001371D" w:rsidRPr="00AC4AD8">
        <w:rPr>
          <w:rFonts w:ascii="Times New Roman" w:hAnsi="Times New Roman"/>
        </w:rPr>
        <w:t xml:space="preserve">hat increasing the depth of green roof </w:t>
      </w:r>
      <w:r w:rsidR="00847BE0" w:rsidRPr="00AC4AD8">
        <w:rPr>
          <w:rFonts w:ascii="Times New Roman" w:hAnsi="Times New Roman"/>
        </w:rPr>
        <w:t>substrate</w:t>
      </w:r>
      <w:r w:rsidRPr="00AC4AD8">
        <w:rPr>
          <w:rFonts w:ascii="Times New Roman" w:hAnsi="Times New Roman"/>
        </w:rPr>
        <w:t xml:space="preserve"> benefits the growth of some </w:t>
      </w:r>
      <w:r w:rsidRPr="00AC4AD8">
        <w:rPr>
          <w:rFonts w:ascii="Times New Roman" w:hAnsi="Times New Roman"/>
          <w:i/>
        </w:rPr>
        <w:t>Sedum spp.</w:t>
      </w:r>
      <w:r w:rsidR="00847BE0" w:rsidRPr="00AC4AD8">
        <w:rPr>
          <w:rFonts w:ascii="Times New Roman" w:hAnsi="Times New Roman"/>
        </w:rPr>
        <w:t xml:space="preserve"> However, </w:t>
      </w:r>
      <w:r w:rsidRPr="00AC4AD8">
        <w:rPr>
          <w:rFonts w:ascii="Times New Roman" w:hAnsi="Times New Roman"/>
        </w:rPr>
        <w:t xml:space="preserve">in the case of remediating green roofs that are already seen to be failing, adding substrate is far from ideal due to incurred cost, increased loading and the requirement to replant the roof. </w:t>
      </w:r>
      <w:r w:rsidR="00847BE0" w:rsidRPr="00AC4AD8">
        <w:rPr>
          <w:rFonts w:ascii="Times New Roman" w:hAnsi="Times New Roman"/>
        </w:rPr>
        <w:t xml:space="preserve">Thus, a remediation tool that is low cost and low maintenance </w:t>
      </w:r>
      <w:r w:rsidRPr="00AC4AD8">
        <w:rPr>
          <w:rFonts w:ascii="Times New Roman" w:hAnsi="Times New Roman"/>
        </w:rPr>
        <w:t>needs to</w:t>
      </w:r>
      <w:r w:rsidR="00847BE0" w:rsidRPr="00AC4AD8">
        <w:rPr>
          <w:rFonts w:ascii="Times New Roman" w:hAnsi="Times New Roman"/>
        </w:rPr>
        <w:t xml:space="preserve"> be investigated.</w:t>
      </w:r>
      <w:r w:rsidR="00C81032" w:rsidRPr="00AC4AD8">
        <w:rPr>
          <w:rFonts w:ascii="Times New Roman" w:hAnsi="Times New Roman"/>
        </w:rPr>
        <w:t xml:space="preserve"> </w:t>
      </w:r>
    </w:p>
    <w:p w14:paraId="48B48C6B" w14:textId="311ED362" w:rsidR="00847BE0" w:rsidRPr="00AC4AD8" w:rsidRDefault="00115503" w:rsidP="00F03F20">
      <w:pPr>
        <w:spacing w:after="120" w:line="360" w:lineRule="auto"/>
        <w:ind w:firstLine="340"/>
        <w:jc w:val="both"/>
        <w:rPr>
          <w:rFonts w:ascii="Times New Roman" w:hAnsi="Times New Roman"/>
        </w:rPr>
      </w:pPr>
      <w:r w:rsidRPr="00AC4AD8">
        <w:rPr>
          <w:rFonts w:ascii="Times New Roman" w:hAnsi="Times New Roman"/>
        </w:rPr>
        <w:t xml:space="preserve">Green roofs are a harsh environment, typically experiencing high surface temperatures in summer and </w:t>
      </w:r>
      <w:r w:rsidR="0001371D" w:rsidRPr="00AC4AD8">
        <w:rPr>
          <w:rFonts w:ascii="Times New Roman" w:hAnsi="Times New Roman"/>
        </w:rPr>
        <w:t>high winds throughout the year</w:t>
      </w:r>
      <w:r w:rsidR="00BD1DF4" w:rsidRPr="00AC4AD8">
        <w:rPr>
          <w:rFonts w:ascii="Times New Roman" w:hAnsi="Times New Roman"/>
        </w:rPr>
        <w:t xml:space="preserve"> (</w:t>
      </w:r>
      <w:r w:rsidR="00A234D8" w:rsidRPr="00AC4AD8">
        <w:rPr>
          <w:rFonts w:ascii="Times New Roman" w:hAnsi="Times New Roman"/>
        </w:rPr>
        <w:t>Getter and Rowe, 2008</w:t>
      </w:r>
      <w:r w:rsidR="00BD1DF4" w:rsidRPr="00AC4AD8">
        <w:rPr>
          <w:rFonts w:ascii="Times New Roman" w:hAnsi="Times New Roman"/>
        </w:rPr>
        <w:t>)</w:t>
      </w:r>
      <w:r w:rsidRPr="00AC4AD8">
        <w:rPr>
          <w:rFonts w:ascii="Times New Roman" w:hAnsi="Times New Roman"/>
        </w:rPr>
        <w:t xml:space="preserve">. </w:t>
      </w:r>
      <w:r w:rsidR="00847BE0" w:rsidRPr="00AC4AD8">
        <w:rPr>
          <w:rFonts w:ascii="Times New Roman" w:hAnsi="Times New Roman"/>
        </w:rPr>
        <w:t xml:space="preserve">The microarthropod communities present reflect this, with the type of species found and their abundance similar to that of a desert, or glacial foreland </w:t>
      </w:r>
      <w:r w:rsidR="002C53DA"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"10.2307/3470", "author" : [ { "dropping-particle" : "", "family" : "Wallwork", "given" : "J A", "non-dropping-particle" : "", "parse-names" : false, "suffix" : "" } ], "container-title" : "Journal of Animal Ecology", "id" : "ITEM-1", "issued" : { "date-parts" : [ [ "1972" ] ] }, "note" : "[Original String]:\n360. Wallwork, J.A., (1972). Distribution patterns and population dynamics of the micro-arthropods of a desert soil in Southern California. Journal of Animal Ecology, 41, 291-310", "page" : "291-310", "title" : "Distribution patterns and population dynamics of the micro-arthropods of a desert soil in Southern California.", "type" : "article-journal", "volume" : "41" }, "uris" : [ "http://www.mendeley.com/documents/?uuid=bdca2ff7-c788-49e1-80c4-446e9fa3423b" ] }, { "id" : "ITEM-2", "itemData" : { "DOI" : "10.2307/1552481", "author" : [ { "dropping-particle" : "", "family" : "Kaufmann", "given" : "R.", "non-dropping-particle" : "", "parse-names" : false, "suffix" : "" }, { "dropping-particle" : "", "family" : "Fuchs", "given" : "M.", "non-dropping-particle" : "", "parse-names" : false, "suffix" : "" }, { "dropping-particle" : "", "family" : "Gosterxeier", "given" : "N.", "non-dropping-particle" : "", "parse-names" : false, "suffix" : "" } ], "container-title" : "Arctic, Antarctic, and Alpine Research", "id" : "ITEM-2", "issued" : { "date-parts" : [ [ "2002" ] ] }, "page" : "242-250", "title" : "The soil fauna of an Alpine glacier foreland: Colonization and succession", "type" : "article-journal", "volume" : "34" }, "uris" : [ "http://www.mendeley.com/documents/?uuid=b76ce371-c172-41ff-aa98-2119c9b0e810" ] }, { "id" : "ITEM-3",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"ITEM-3", "issued" : { "date-parts" : [ [ "2013", "8" ] ] }, "page" : "197-204", "title" : "Soil microarthropod community dynamics in extensive green roofs", "type" : "article-journal", "volume" : "57" }, "uris" : [ "http://www.mendeley.com/documents/?uuid=f1a27e36-6a74-4b6e-982f-428c94e640d0" ] } ], "mendeley" : { "formattedCitation" : "(Kaufmann et al., 2002; Rumble and Gange, 2013; Wallwork, 1972)", "manualFormatting" : "(Wallwork, 1972; Kaufmann et al., 2002; Rumble and Gange, 2013)", "plainTextFormattedCitation" : "(Kaufmann et al., 2002; Rumble and Gange, 2013; Wallwork, 1972)", "previouslyFormattedCitation" : "(Kaufmann et al., 2002; Rumble and Gange, 2013; Wallwork, 1972)" }, "properties" : { "noteIndex" : 0 }, "schema" : "https://github.com/citation-style-language/schema/raw/master/csl-citation.json" }</w:instrText>
      </w:r>
      <w:r w:rsidR="002C53DA" w:rsidRPr="00AC4AD8">
        <w:rPr>
          <w:rFonts w:ascii="Times New Roman" w:hAnsi="Times New Roman"/>
        </w:rPr>
        <w:fldChar w:fldCharType="separate"/>
      </w:r>
      <w:r w:rsidR="00997615" w:rsidRPr="00AC4AD8">
        <w:rPr>
          <w:rFonts w:ascii="Times New Roman" w:hAnsi="Times New Roman"/>
          <w:noProof/>
        </w:rPr>
        <w:t>(</w:t>
      </w:r>
      <w:r w:rsidR="008F039F" w:rsidRPr="00AC4AD8">
        <w:rPr>
          <w:rFonts w:ascii="Times New Roman" w:hAnsi="Times New Roman"/>
          <w:noProof/>
        </w:rPr>
        <w:t xml:space="preserve">Wallwork, 1972; </w:t>
      </w:r>
      <w:r w:rsidR="00997615" w:rsidRPr="00AC4AD8">
        <w:rPr>
          <w:rFonts w:ascii="Times New Roman" w:hAnsi="Times New Roman"/>
          <w:noProof/>
        </w:rPr>
        <w:t>Kaufmann et al., 2002; Rumble and Gange, 2013)</w:t>
      </w:r>
      <w:r w:rsidR="002C53DA" w:rsidRPr="00AC4AD8">
        <w:rPr>
          <w:rFonts w:ascii="Times New Roman" w:hAnsi="Times New Roman"/>
        </w:rPr>
        <w:fldChar w:fldCharType="end"/>
      </w:r>
      <w:r w:rsidR="002C53DA" w:rsidRPr="00AC4AD8" w:rsidDel="002C53DA">
        <w:rPr>
          <w:rFonts w:ascii="Times New Roman" w:hAnsi="Times New Roman"/>
        </w:rPr>
        <w:t xml:space="preserve"> </w:t>
      </w:r>
      <w:r w:rsidR="00847BE0" w:rsidRPr="00AC4AD8">
        <w:rPr>
          <w:rFonts w:ascii="Times New Roman" w:hAnsi="Times New Roman"/>
        </w:rPr>
        <w:t xml:space="preserve">. </w:t>
      </w:r>
      <w:r w:rsidR="00FB35C2" w:rsidRPr="00AC4AD8">
        <w:rPr>
          <w:rFonts w:ascii="Times New Roman" w:hAnsi="Times New Roman"/>
        </w:rPr>
        <w:fldChar w:fldCharType="begin" w:fldLock="1"/>
      </w:r>
      <w:r w:rsidR="002C53DA" w:rsidRPr="00AC4AD8">
        <w:rPr>
          <w:rFonts w:ascii="Times New Roman" w:hAnsi="Times New Roman"/>
        </w:rPr>
        <w:instrText>ADDIN CSL_CITATION { "citationItems" : [ { "id" : "ITEM-1", "itemData" : { "DOI" : "10.1111/j.1461-0248.2007.01139.x", "ISSN" : "1461-0248", "PMID" : "18047587", "abstract" : "Microbes are the unseen majority in soil and comprise a large portion of life's genetic diversity. Despite their abundance, the impact of soil microbes on ecosystem processes is still poorly understood. Here we explore the various roles that soil microbes play in terrestrial ecosystems with special emphasis on their contribution to plant productivity and diversity. Soil microbes are important regulators of plant productivity, especially in nutrient poor ecosystems where plant symbionts are responsible for the acquisition of limiting nutrients. Mycorrhizal fungi and nitrogen-fixing bacteria are responsible for c. 5-20% (grassland and savannah) to 80% (temperate and boreal forests) of all nitrogen, and up to 75% of phosphorus, that is acquired by plants annually. Free-living microbes also strongly regulate plant productivity, through the mineralization of, and competition for, nutrients that sustain plant productivity. Soil microbes, including microbial pathogens, are also important regulators of plant community dynamics and plant diversity, determining plant abundance and, in some cases, facilitating invasion by exotic plants. Conservative estimates suggest that c. 20 000 plant species are completely dependent on microbial symbionts for growth and survival pointing to the importance of soil microbes as regulators of plant species richness on Earth. Overall, this review shows that soil microbes must be considered as important drivers of plant diversity and productivity in terrestrial ecosystems.", "author" : [ { "dropping-particle" : "", "family" : "Heijden", "given" : "Marcel G A", "non-dropping-particle" : "van der", "parse-names" : false, "suffix" : "" }, { "dropping-particle" : "", "family" : "Bardgett", "given" : "Richard D", "non-dropping-particle" : "", "parse-names" : false, "suffix" : "" }, { "dropping-particle" : "", "family" : "Straalen", "given" : "Nico M", "non-dropping-particle" : "van", "parse-names" : false, "suffix" : "" } ], "container-title" : "Ecology letters", "id" : "ITEM-1", "issue" : "3", "issued" : { "date-parts" : [ [ "2008", "3" ] ] }, "page" : "296-310", "title" : "The unseen majority: soil microbes as drivers of plant diversity and productivity in terrestrial ecosystems.", "type" : "article-journal", "volume" : "11" }, "uris" : [ "http://www.mendeley.com/documents/?uuid=84ec7d7b-062e-40af-9e0e-aca6d54a48af" ] } ], "mendeley" : { "formattedCitation" : "(van der Heijden et al., 2008)", "manualFormatting" : "van der Heijden et al., (2008)", "plainTextFormattedCitation" : "(van der Heijden et al., 2008)", "previouslyFormattedCitation" : "(van der Heijden et al., 2008)" }, "properties" : { "noteIndex" : 0 }, "schema" : "https://github.com/citation-style-language/schema/raw/master/csl-citation.json" }</w:instrText>
      </w:r>
      <w:r w:rsidR="00FB35C2" w:rsidRPr="00AC4AD8">
        <w:rPr>
          <w:rFonts w:ascii="Times New Roman" w:hAnsi="Times New Roman"/>
        </w:rPr>
        <w:fldChar w:fldCharType="separate"/>
      </w:r>
      <w:r w:rsidR="002C53DA" w:rsidRPr="00AC4AD8">
        <w:rPr>
          <w:rFonts w:ascii="Times New Roman" w:hAnsi="Times New Roman"/>
          <w:noProof/>
        </w:rPr>
        <w:t>van der Heijden et al., (2008)</w:t>
      </w:r>
      <w:r w:rsidR="00FB35C2" w:rsidRPr="00AC4AD8">
        <w:rPr>
          <w:rFonts w:ascii="Times New Roman" w:hAnsi="Times New Roman"/>
        </w:rPr>
        <w:fldChar w:fldCharType="end"/>
      </w:r>
      <w:r w:rsidR="00847BE0" w:rsidRPr="00AC4AD8">
        <w:rPr>
          <w:rFonts w:ascii="Times New Roman" w:hAnsi="Times New Roman"/>
        </w:rPr>
        <w:t xml:space="preserve"> suggest that bacteria and fungi are responsible for the majority of decomposition taking place in soils, but this varies between habitats. In desert soils, for example, the removal of fungi from soils can cause a decrease in soil decomposition of nearly 30%, whilst the exclusion of microarthropods can reduce decomposition by over 50% </w:t>
      </w:r>
      <w:r w:rsidR="00FB35C2"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"10.2307/1937733", "ISSN" : "00129658", "abstract" : "We compared decomposition of surface and buried, untreated, mixed desert shrub litter to that of insecticide\u2014 and fungicide\u2014treated litter. Suppression of fungi reduced decomposition by \u00b029%; exclusion of microarthropods reduced decomposition by \u00b053%. Approximately 55% of the organic mass of the untreated litter disappeared during the 6\u2014mo growing season and 23\u201429% disappeared in the winter months (November through March). There was a consistent pattern of microarthropod colonization of buried litter that was related to the percent organic matter lost. This sequence was tydeid mites, tarsonemid and pyemotid mites, gamasina and predatory Prostigmata, Collembola and Psocoptera, and oribatids. After 1 yr, large numbers of enchytraeid worms were extracted from buried litter. Decomposition of insecticide\u2014treated litter varied directly with rainfall and soil temperature while abiotic factors accounted for &lt;50% of the variation in decomposition of untreated buried litter. We hypothesize that microarthropods affe...", "author" : [ { "dropping-particle" : "", "family" : "Santos", "given" : "Perseu F.", "non-dropping-particle" : "", "parse-names" : false, "suffix" : "" }, { "dropping-particle" : "", "family" : "Whitford", "given" : "Walter G.", "non-dropping-particle" : "", "parse-names" : false, "suffix" : "" } ], "container-title" : "Ecology", "id" : "ITEM-1", "issue" : "3", "issued" : { "date-parts" : [ [ "1981", "6", "11" ] ] }, "language" : "EN", "page" : "654-663", "title" : "The effects of microarthropods on litter decomposition in a Chihuahuan desert ecosystem", "type" : "article-journal", "volume" : "62" }, "uris" : [ "http://www.mendeley.com/documents/?uuid=09cc56c1-2f69-4115-b15f-08cd2c90871a" ] } ], "mendeley" : { "formattedCitation" : "(Santos and Whitford, 1981)", "plainTextFormattedCitation" : "(Santos and Whitford, 1981)", "previouslyFormattedCitation" : "(Santos and Whitford, 1981)" }, "properties" : { "noteIndex" : 0 }, "schema" : "https://github.com/citation-style-language/schema/raw/master/csl-citation.json" }</w:instrText>
      </w:r>
      <w:r w:rsidR="00FB35C2" w:rsidRPr="00AC4AD8">
        <w:rPr>
          <w:rFonts w:ascii="Times New Roman" w:hAnsi="Times New Roman"/>
        </w:rPr>
        <w:fldChar w:fldCharType="separate"/>
      </w:r>
      <w:r w:rsidR="00FB35C2" w:rsidRPr="00AC4AD8">
        <w:rPr>
          <w:rFonts w:ascii="Times New Roman" w:hAnsi="Times New Roman"/>
          <w:noProof/>
        </w:rPr>
        <w:t>(Santos and Whitford, 1981)</w:t>
      </w:r>
      <w:r w:rsidR="00FB35C2" w:rsidRPr="00AC4AD8">
        <w:rPr>
          <w:rFonts w:ascii="Times New Roman" w:hAnsi="Times New Roman"/>
        </w:rPr>
        <w:fldChar w:fldCharType="end"/>
      </w:r>
      <w:r w:rsidR="00847BE0" w:rsidRPr="00AC4AD8">
        <w:rPr>
          <w:rFonts w:ascii="Times New Roman" w:hAnsi="Times New Roman"/>
        </w:rPr>
        <w:t xml:space="preserve">. Thus, it can be inferred, that </w:t>
      </w:r>
      <w:r w:rsidR="0059356C" w:rsidRPr="00AC4AD8">
        <w:rPr>
          <w:rFonts w:ascii="Times New Roman" w:hAnsi="Times New Roman"/>
        </w:rPr>
        <w:t xml:space="preserve">in an impoverished </w:t>
      </w:r>
      <w:r w:rsidR="00A83376" w:rsidRPr="00AC4AD8">
        <w:rPr>
          <w:rFonts w:ascii="Times New Roman" w:hAnsi="Times New Roman"/>
        </w:rPr>
        <w:t xml:space="preserve">green roof </w:t>
      </w:r>
      <w:r w:rsidR="0059356C" w:rsidRPr="00AC4AD8">
        <w:rPr>
          <w:rFonts w:ascii="Times New Roman" w:hAnsi="Times New Roman"/>
        </w:rPr>
        <w:t xml:space="preserve">soil community, decomposition may be limited and </w:t>
      </w:r>
      <w:r w:rsidR="005C14B0" w:rsidRPr="00AC4AD8">
        <w:rPr>
          <w:rFonts w:ascii="Times New Roman" w:hAnsi="Times New Roman"/>
        </w:rPr>
        <w:t xml:space="preserve">therefore </w:t>
      </w:r>
      <w:r w:rsidR="0091767D" w:rsidRPr="00AC4AD8">
        <w:rPr>
          <w:rFonts w:ascii="Times New Roman" w:hAnsi="Times New Roman"/>
        </w:rPr>
        <w:t>enhancement of</w:t>
      </w:r>
      <w:r w:rsidR="00997615" w:rsidRPr="00AC4AD8">
        <w:rPr>
          <w:rFonts w:ascii="Times New Roman" w:hAnsi="Times New Roman"/>
        </w:rPr>
        <w:t xml:space="preserve"> the soil community</w:t>
      </w:r>
      <w:r w:rsidR="00847BE0" w:rsidRPr="00AC4AD8">
        <w:rPr>
          <w:rFonts w:ascii="Times New Roman" w:hAnsi="Times New Roman"/>
        </w:rPr>
        <w:t xml:space="preserve"> could have a positive effect on plant growth.</w:t>
      </w:r>
    </w:p>
    <w:p w14:paraId="517BC1DB" w14:textId="6F8A5249" w:rsidR="00113C19" w:rsidRPr="00AC4AD8" w:rsidRDefault="00423B44" w:rsidP="00F03F20">
      <w:pPr>
        <w:spacing w:after="120" w:line="360" w:lineRule="auto"/>
        <w:ind w:firstLine="340"/>
        <w:jc w:val="both"/>
        <w:rPr>
          <w:rFonts w:ascii="Times New Roman" w:hAnsi="Times New Roman"/>
        </w:rPr>
      </w:pPr>
      <w:r w:rsidRPr="00AC4AD8">
        <w:rPr>
          <w:rFonts w:ascii="Times New Roman" w:hAnsi="Times New Roman"/>
        </w:rPr>
        <w:t xml:space="preserve">Previous research suggests that green roof </w:t>
      </w:r>
      <w:r w:rsidRPr="00AC4AD8">
        <w:rPr>
          <w:rFonts w:ascii="Times New Roman" w:hAnsi="Times New Roman"/>
          <w:i/>
        </w:rPr>
        <w:t>Sedum spp.</w:t>
      </w:r>
      <w:r w:rsidRPr="00AC4AD8">
        <w:rPr>
          <w:rFonts w:ascii="Times New Roman" w:hAnsi="Times New Roman"/>
        </w:rPr>
        <w:t xml:space="preserve"> can establish relationships with mycorrhizal fungi </w:t>
      </w:r>
      <w:r w:rsidR="00B54A8D"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B54A8D" w:rsidRPr="00AC4AD8">
        <w:rPr>
          <w:rFonts w:ascii="Times New Roman" w:hAnsi="Times New Roman"/>
        </w:rPr>
        <w:fldChar w:fldCharType="separate"/>
      </w:r>
      <w:r w:rsidR="005B2891" w:rsidRPr="00AC4AD8">
        <w:rPr>
          <w:rFonts w:ascii="Times New Roman" w:hAnsi="Times New Roman"/>
          <w:noProof/>
        </w:rPr>
        <w:t>(Rumble and Gange, 2013)</w:t>
      </w:r>
      <w:r w:rsidR="00B54A8D" w:rsidRPr="00AC4AD8">
        <w:rPr>
          <w:rFonts w:ascii="Times New Roman" w:hAnsi="Times New Roman"/>
        </w:rPr>
        <w:fldChar w:fldCharType="end"/>
      </w:r>
      <w:r w:rsidRPr="00AC4AD8">
        <w:rPr>
          <w:rFonts w:ascii="Times New Roman" w:hAnsi="Times New Roman"/>
        </w:rPr>
        <w:t>, but that bacteria and free-living fungi are not present at sustainable levels</w:t>
      </w:r>
      <w:r w:rsidR="00113C19" w:rsidRPr="00AC4AD8">
        <w:rPr>
          <w:rFonts w:ascii="Times New Roman" w:hAnsi="Times New Roman"/>
        </w:rPr>
        <w:t xml:space="preserve"> in mature green roofs</w:t>
      </w:r>
      <w:r w:rsidRPr="00AC4AD8">
        <w:rPr>
          <w:rFonts w:ascii="Times New Roman" w:hAnsi="Times New Roman"/>
        </w:rPr>
        <w:t xml:space="preserve"> </w:t>
      </w:r>
      <w:r w:rsidR="00B54A8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"Rumble", "given" : "Heather", "non-dropping-particle" : "", "parse-names" : false, "suffix" : "" } ], "id" : "ITEM-1", "issued" : { "date-parts" : [ [ "2013" ] ] }, "language" : "eng", "publisher" : "Royal Holloway, University of London", "title" : "Quantifying the soil community on green roofs", "type" : "thesis" }, "uris" : [ "http://www.mendeley.com/documents/?uuid=24024942-486a-468b-97e3-791675a13ea5" ] } ], "mendeley" : { "formattedCitation" : "(Rumble, 2013)", "plainTextFormattedCitation" : "(Rumble, 2013)", "previouslyFormattedCitation" : "(Rumble, 2013)" }, "properties" : { "noteIndex" : 0 }, "schema" : "https://github.com/citation-style-language/schema/raw/master/csl-citation.json" }</w:instrText>
      </w:r>
      <w:r w:rsidR="00B54A8D" w:rsidRPr="00AC4AD8">
        <w:rPr>
          <w:rFonts w:ascii="Times New Roman" w:hAnsi="Times New Roman"/>
        </w:rPr>
        <w:fldChar w:fldCharType="separate"/>
      </w:r>
      <w:r w:rsidR="0064255C" w:rsidRPr="00AC4AD8">
        <w:rPr>
          <w:rFonts w:ascii="Times New Roman" w:hAnsi="Times New Roman"/>
          <w:noProof/>
        </w:rPr>
        <w:t>(Rumble, 2013)</w:t>
      </w:r>
      <w:r w:rsidR="00B54A8D" w:rsidRPr="00AC4AD8">
        <w:rPr>
          <w:rFonts w:ascii="Times New Roman" w:hAnsi="Times New Roman"/>
        </w:rPr>
        <w:fldChar w:fldCharType="end"/>
      </w:r>
      <w:r w:rsidRPr="00AC4AD8">
        <w:rPr>
          <w:rFonts w:ascii="Times New Roman" w:hAnsi="Times New Roman"/>
        </w:rPr>
        <w:t>.</w:t>
      </w:r>
      <w:r w:rsidR="00113C19" w:rsidRPr="00AC4AD8">
        <w:rPr>
          <w:rFonts w:ascii="Times New Roman" w:hAnsi="Times New Roman"/>
        </w:rPr>
        <w:t xml:space="preserve"> </w:t>
      </w:r>
      <w:r w:rsidR="009008C3" w:rsidRPr="00AC4AD8">
        <w:rPr>
          <w:rFonts w:ascii="Times New Roman" w:hAnsi="Times New Roman"/>
        </w:rPr>
        <w:t xml:space="preserve">In other anthropogenic </w:t>
      </w:r>
      <w:proofErr w:type="spellStart"/>
      <w:r w:rsidR="00A83376" w:rsidRPr="00AC4AD8">
        <w:rPr>
          <w:rFonts w:ascii="Times New Roman" w:hAnsi="Times New Roman"/>
        </w:rPr>
        <w:t>microbially</w:t>
      </w:r>
      <w:proofErr w:type="spellEnd"/>
      <w:r w:rsidR="00A83376" w:rsidRPr="00AC4AD8">
        <w:rPr>
          <w:rFonts w:ascii="Times New Roman" w:hAnsi="Times New Roman"/>
        </w:rPr>
        <w:t xml:space="preserve">-poor </w:t>
      </w:r>
      <w:r w:rsidR="009008C3" w:rsidRPr="00AC4AD8">
        <w:rPr>
          <w:rFonts w:ascii="Times New Roman" w:hAnsi="Times New Roman"/>
        </w:rPr>
        <w:t xml:space="preserve">environments, such as </w:t>
      </w:r>
      <w:r w:rsidR="00A83376" w:rsidRPr="00AC4AD8">
        <w:rPr>
          <w:rFonts w:ascii="Times New Roman" w:hAnsi="Times New Roman"/>
        </w:rPr>
        <w:t>amenity turf</w:t>
      </w:r>
      <w:r w:rsidR="009008C3" w:rsidRPr="00AC4AD8">
        <w:rPr>
          <w:rFonts w:ascii="Times New Roman" w:hAnsi="Times New Roman"/>
        </w:rPr>
        <w:t xml:space="preserve">, the addition of microbial </w:t>
      </w:r>
      <w:r w:rsidR="00484455" w:rsidRPr="00AC4AD8">
        <w:rPr>
          <w:rFonts w:ascii="Times New Roman" w:hAnsi="Times New Roman"/>
        </w:rPr>
        <w:t>inoculants</w:t>
      </w:r>
      <w:r w:rsidR="009008C3" w:rsidRPr="00AC4AD8">
        <w:rPr>
          <w:rFonts w:ascii="Times New Roman" w:hAnsi="Times New Roman"/>
        </w:rPr>
        <w:t xml:space="preserve"> has been shown to have some beneficial effects </w:t>
      </w:r>
      <w:r w:rsidR="009A58A7" w:rsidRPr="00AC4AD8">
        <w:rPr>
          <w:rFonts w:ascii="Times New Roman" w:hAnsi="Times New Roman"/>
        </w:rPr>
        <w:t>on</w:t>
      </w:r>
      <w:r w:rsidR="009008C3" w:rsidRPr="00AC4AD8">
        <w:rPr>
          <w:rFonts w:ascii="Times New Roman" w:hAnsi="Times New Roman"/>
        </w:rPr>
        <w:t xml:space="preserve"> plant growth. For example,</w:t>
      </w:r>
      <w:r w:rsidR="00113C19" w:rsidRPr="00AC4AD8">
        <w:rPr>
          <w:rFonts w:ascii="Times New Roman" w:hAnsi="Times New Roman"/>
        </w:rPr>
        <w:t xml:space="preserve"> </w:t>
      </w:r>
      <w:r w:rsidR="00B54A8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"10.17660/ActaHortic.2008.783.35", "author" : [ { "dropping-particle" : "", "family" : "Butler", "given" : "T.", "non-dropping-particle" : "", "parse-names" : false, "suffix" : "" }, { "dropping-particle" : "", "family" : "Hunter", "given" : "A.", "non-dropping-particle" : "", "parse-names" : false, "suffix" : "" } ], "container-title" : "Acta Horticulturae", "id" : "ITEM-1", "issued" : { "date-parts" : [ [ "2008" ] ] }, "page" : "333-340", "title" : "Impact of microbial inoculant application on Agrostis stolonifera var. 'Penn a4' performance under reduced fertilisation", "type" : "article-journal", "volume" : "783" }, "uris" : [ "http://www.mendeley.com/documents/?uuid=45055dda-e96d-4933-a1fd-bf3813f89a7d" ] } ], "mendeley" : { "formattedCitation" : "(Butler and Hunter, 2008)", "manualFormatting" : "Butler and Hunter (2008)", "plainTextFormattedCitation" : "(Butler and Hunter, 2008)", "previouslyFormattedCitation" : "(Butler and Hunter, 2008)" }, "properties" : { "noteIndex" : 0 }, "schema" : "https://github.com/citation-style-language/schema/raw/master/csl-citation.json" }</w:instrText>
      </w:r>
      <w:r w:rsidR="00B54A8D" w:rsidRPr="00AC4AD8">
        <w:rPr>
          <w:rFonts w:ascii="Times New Roman" w:hAnsi="Times New Roman"/>
        </w:rPr>
        <w:fldChar w:fldCharType="separate"/>
      </w:r>
      <w:r w:rsidR="00435AA5" w:rsidRPr="00AC4AD8">
        <w:rPr>
          <w:rFonts w:ascii="Times New Roman" w:hAnsi="Times New Roman"/>
          <w:noProof/>
        </w:rPr>
        <w:t>Butler and Hunter (2008)</w:t>
      </w:r>
      <w:r w:rsidR="00B54A8D" w:rsidRPr="00AC4AD8">
        <w:rPr>
          <w:rFonts w:ascii="Times New Roman" w:hAnsi="Times New Roman"/>
        </w:rPr>
        <w:fldChar w:fldCharType="end"/>
      </w:r>
      <w:r w:rsidR="009008C3" w:rsidRPr="00AC4AD8">
        <w:rPr>
          <w:rFonts w:ascii="Times New Roman" w:hAnsi="Times New Roman"/>
        </w:rPr>
        <w:t>,</w:t>
      </w:r>
      <w:r w:rsidR="00C81032" w:rsidRPr="00AC4AD8">
        <w:rPr>
          <w:rFonts w:ascii="Times New Roman" w:hAnsi="Times New Roman"/>
        </w:rPr>
        <w:t xml:space="preserve"> found that the addition of microbial inoculants to golf </w:t>
      </w:r>
      <w:r w:rsidR="00A83376" w:rsidRPr="00AC4AD8">
        <w:rPr>
          <w:rFonts w:ascii="Times New Roman" w:hAnsi="Times New Roman"/>
        </w:rPr>
        <w:t>putting greens</w:t>
      </w:r>
      <w:r w:rsidR="00C81032" w:rsidRPr="00AC4AD8">
        <w:rPr>
          <w:rFonts w:ascii="Times New Roman" w:hAnsi="Times New Roman"/>
        </w:rPr>
        <w:t xml:space="preserve"> increased plant tolerance to stress</w:t>
      </w:r>
      <w:r w:rsidR="009A58A7" w:rsidRPr="00AC4AD8">
        <w:rPr>
          <w:rFonts w:ascii="Times New Roman" w:hAnsi="Times New Roman"/>
        </w:rPr>
        <w:t>. However,</w:t>
      </w:r>
      <w:r w:rsidR="00C81032" w:rsidRPr="00AC4AD8">
        <w:rPr>
          <w:rFonts w:ascii="Times New Roman" w:hAnsi="Times New Roman"/>
        </w:rPr>
        <w:t xml:space="preserve"> they questioned the ability of mycorrhiza</w:t>
      </w:r>
      <w:r w:rsidR="00A83376" w:rsidRPr="00AC4AD8">
        <w:rPr>
          <w:rFonts w:ascii="Times New Roman" w:hAnsi="Times New Roman"/>
        </w:rPr>
        <w:t>s</w:t>
      </w:r>
      <w:r w:rsidR="00C81032" w:rsidRPr="00AC4AD8">
        <w:rPr>
          <w:rFonts w:ascii="Times New Roman" w:hAnsi="Times New Roman"/>
        </w:rPr>
        <w:t xml:space="preserve"> to colonise roots in this environment. </w:t>
      </w:r>
      <w:r w:rsidR="0074022B" w:rsidRPr="00AC4AD8">
        <w:rPr>
          <w:rFonts w:ascii="Times New Roman" w:hAnsi="Times New Roman"/>
        </w:rPr>
        <w:t>In general</w:t>
      </w:r>
      <w:r w:rsidR="009A58A7" w:rsidRPr="00AC4AD8">
        <w:rPr>
          <w:rFonts w:ascii="Times New Roman" w:hAnsi="Times New Roman"/>
        </w:rPr>
        <w:t>, it is</w:t>
      </w:r>
      <w:r w:rsidR="00C81032" w:rsidRPr="00AC4AD8">
        <w:rPr>
          <w:rFonts w:ascii="Times New Roman" w:hAnsi="Times New Roman"/>
        </w:rPr>
        <w:t xml:space="preserve"> recommended that testing be carried out on each </w:t>
      </w:r>
      <w:r w:rsidR="009A58A7" w:rsidRPr="00AC4AD8">
        <w:rPr>
          <w:rFonts w:ascii="Times New Roman" w:hAnsi="Times New Roman"/>
        </w:rPr>
        <w:t xml:space="preserve">new </w:t>
      </w:r>
      <w:r w:rsidR="00C81032" w:rsidRPr="00AC4AD8">
        <w:rPr>
          <w:rFonts w:ascii="Times New Roman" w:hAnsi="Times New Roman"/>
        </w:rPr>
        <w:t>environment before industrial scale application</w:t>
      </w:r>
      <w:r w:rsidR="009A58A7" w:rsidRPr="00AC4AD8">
        <w:rPr>
          <w:rFonts w:ascii="Times New Roman" w:hAnsi="Times New Roman"/>
        </w:rPr>
        <w:t xml:space="preserve"> of inoculants takes place, due to the potentially unpredictable results interacting soil microbes may proffer</w:t>
      </w:r>
      <w:r w:rsidR="00C81032" w:rsidRPr="00AC4AD8">
        <w:rPr>
          <w:rFonts w:ascii="Times New Roman" w:hAnsi="Times New Roman"/>
        </w:rPr>
        <w:t xml:space="preserve"> </w:t>
      </w:r>
      <w:r w:rsidR="00435AA5" w:rsidRPr="00AC4AD8">
        <w:rPr>
          <w:rFonts w:ascii="Times New Roman" w:hAnsi="Times New Roman"/>
        </w:rPr>
        <w:fldChar w:fldCharType="begin" w:fldLock="1"/>
      </w:r>
      <w:r w:rsidR="00357275" w:rsidRPr="00AC4AD8">
        <w:rPr>
          <w:rFonts w:ascii="Times New Roman" w:hAnsi="Times New Roman"/>
        </w:rPr>
        <w:instrText>ADDIN CSL_CITATION { "citationItems" : [ { "id" : "ITEM-1", "itemData" : { "author" : [ { "dropping-particle" : "", "family" : "Corkidi", "given" : "L.", "non-dropping-particle" : "", "parse-names" : false, "suffix" : "" }, { "dropping-particle" : "", "family" : "Allen", "given" : "E. B.", "non-dropping-particle" : "", "parse-names" : false, "suffix" : "" }, { "dropping-particle" : "", "family" : "Merhaut", "given" : "D.", "non-dropping-particle" : "", "parse-names" : false, "suffix" : "" }, { "dropping-particle" : "", "family" : "Allen", "given" : "M. F.", "non-dropping-particle" : "", "parse-names" : false, "suffix" : "" }, { "dropping-particle" : "", "family" : "Downer", "given" : "J.", "non-dropping-particle" : "", "parse-names" : false, "suffix" : "" }, { "dropping-particle" : "", "family" : "Bohn", "given" : "J.", "non-dropping-particle" : "", "parse-names" : false, "suffix" : "" }, { "dropping-particle" : "", "family" : "Evans", "given" : "M.", "non-dropping-particle" : "", "parse-names" : false, "suffix" : "" } ], "container-title" : "Journal of Environmental Horticulture", "id" : "ITEM-1", "issued" : { "date-parts" : [ [ "2004" ] ] }, "page" : "149-154", "title" : "Assessing the infectivity of commercial mycorrhizal inoculants in plant nursery conditions", "type" : "article-journal", "volume" : "22" }, "uris" : [ "http://www.mendeley.com/documents/?uuid=4b6a3359-db29-4ea3-9f9f-db01941f4b77" ] } ], "mendeley" : { "formattedCitation" : "(Corkidi et al., 2004)", "plainTextFormattedCitation" : "(Corkidi et al., 2004)", "previouslyFormattedCitation" : "(Corkidi et al., 2004)" }, "properties" : { "noteIndex" : 0 }, "schema" : "https://github.com/citation-style-language/schema/raw/master/csl-citation.json" }</w:instrText>
      </w:r>
      <w:r w:rsidR="00435AA5" w:rsidRPr="00AC4AD8">
        <w:rPr>
          <w:rFonts w:ascii="Times New Roman" w:hAnsi="Times New Roman"/>
        </w:rPr>
        <w:fldChar w:fldCharType="separate"/>
      </w:r>
      <w:r w:rsidR="00435AA5" w:rsidRPr="00AC4AD8">
        <w:rPr>
          <w:rFonts w:ascii="Times New Roman" w:hAnsi="Times New Roman"/>
          <w:noProof/>
        </w:rPr>
        <w:t>(Corkidi et al., 2004)</w:t>
      </w:r>
      <w:r w:rsidR="00435AA5" w:rsidRPr="00AC4AD8">
        <w:rPr>
          <w:rFonts w:ascii="Times New Roman" w:hAnsi="Times New Roman"/>
        </w:rPr>
        <w:fldChar w:fldCharType="end"/>
      </w:r>
      <w:r w:rsidR="00C81032" w:rsidRPr="00AC4AD8">
        <w:rPr>
          <w:rFonts w:ascii="Times New Roman" w:hAnsi="Times New Roman"/>
        </w:rPr>
        <w:t>.</w:t>
      </w:r>
    </w:p>
    <w:p w14:paraId="13C8D85C" w14:textId="75B4EAFA" w:rsidR="00115503" w:rsidRPr="00AC4AD8" w:rsidRDefault="007E50D3" w:rsidP="00F03F20">
      <w:pPr>
        <w:spacing w:after="120" w:line="360" w:lineRule="auto"/>
        <w:ind w:firstLine="340"/>
        <w:jc w:val="both"/>
        <w:rPr>
          <w:rFonts w:ascii="Times New Roman" w:hAnsi="Times New Roman"/>
        </w:rPr>
      </w:pPr>
      <w:r w:rsidRPr="00AC4AD8">
        <w:rPr>
          <w:rFonts w:ascii="Times New Roman" w:hAnsi="Times New Roman"/>
        </w:rPr>
        <w:t xml:space="preserve">Little such testing has been carried out on green roofs, but the few studies that </w:t>
      </w:r>
      <w:r w:rsidR="008E4719" w:rsidRPr="00AC4AD8">
        <w:rPr>
          <w:rFonts w:ascii="Times New Roman" w:hAnsi="Times New Roman"/>
        </w:rPr>
        <w:t xml:space="preserve">exist </w:t>
      </w:r>
      <w:r w:rsidR="00A83376" w:rsidRPr="00AC4AD8">
        <w:rPr>
          <w:rFonts w:ascii="Times New Roman" w:hAnsi="Times New Roman"/>
        </w:rPr>
        <w:t xml:space="preserve">have also </w:t>
      </w:r>
      <w:r w:rsidRPr="00AC4AD8">
        <w:rPr>
          <w:rFonts w:ascii="Times New Roman" w:hAnsi="Times New Roman"/>
        </w:rPr>
        <w:t>report</w:t>
      </w:r>
      <w:r w:rsidR="00A83376" w:rsidRPr="00AC4AD8">
        <w:rPr>
          <w:rFonts w:ascii="Times New Roman" w:hAnsi="Times New Roman"/>
        </w:rPr>
        <w:t>ed</w:t>
      </w:r>
      <w:r w:rsidRPr="00AC4AD8">
        <w:rPr>
          <w:rFonts w:ascii="Times New Roman" w:hAnsi="Times New Roman"/>
        </w:rPr>
        <w:t xml:space="preserve"> unpredictable findings. </w:t>
      </w:r>
      <w:r w:rsidR="005D67E0"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"Molineux", "given" : "C. J.", "non-dropping-particle" : "", "parse-names" : false, "suffix" : "" } ], "id" : "ITEM-1", "issued" : { "date-parts" : [ [ "2010" ] ] }, "publisher" : "Royal Holloway, University of London", "title" : "Development of suitable growing media for effective green roofs.", "type" : "thesis" }, "uris" : [ "http://www.mendeley.com/documents/?uuid=7579020c-69cd-400e-bd89-f09b16e8cb03" ] } ], "mendeley" : { "formattedCitation" : "(Molineux, 2010)", "manualFormatting" : "Molineux (2010)", "plainTextFormattedCitation" : "(Molineux, 2010)", "previouslyFormattedCitation" : "(Molineux, 2010)" }, "properties" : { "noteIndex" : 0 }, "schema" : "https://github.com/citation-style-language/schema/raw/master/csl-citation.json" }</w:instrText>
      </w:r>
      <w:r w:rsidR="005D67E0" w:rsidRPr="00AC4AD8">
        <w:rPr>
          <w:rFonts w:ascii="Times New Roman" w:hAnsi="Times New Roman"/>
        </w:rPr>
        <w:fldChar w:fldCharType="separate"/>
      </w:r>
      <w:r w:rsidR="005D67E0" w:rsidRPr="00AC4AD8">
        <w:rPr>
          <w:rFonts w:ascii="Times New Roman" w:hAnsi="Times New Roman"/>
          <w:noProof/>
        </w:rPr>
        <w:t>Molineux (2010)</w:t>
      </w:r>
      <w:r w:rsidR="005D67E0" w:rsidRPr="00AC4AD8">
        <w:rPr>
          <w:rFonts w:ascii="Times New Roman" w:hAnsi="Times New Roman"/>
        </w:rPr>
        <w:fldChar w:fldCharType="end"/>
      </w:r>
      <w:r w:rsidRPr="00AC4AD8">
        <w:rPr>
          <w:rFonts w:ascii="Times New Roman" w:hAnsi="Times New Roman"/>
        </w:rPr>
        <w:t xml:space="preserve"> found that the addition of mycorrhiza</w:t>
      </w:r>
      <w:r w:rsidR="0091767D" w:rsidRPr="00AC4AD8">
        <w:rPr>
          <w:rFonts w:ascii="Times New Roman" w:hAnsi="Times New Roman"/>
        </w:rPr>
        <w:t>s</w:t>
      </w:r>
      <w:r w:rsidRPr="00AC4AD8">
        <w:rPr>
          <w:rFonts w:ascii="Times New Roman" w:hAnsi="Times New Roman"/>
        </w:rPr>
        <w:t xml:space="preserve"> and compost tea (liquid obtained via aerobic digestion of composts) to green roofs planted with </w:t>
      </w:r>
      <w:proofErr w:type="spellStart"/>
      <w:r w:rsidRPr="00AC4AD8">
        <w:rPr>
          <w:rFonts w:ascii="Times New Roman" w:hAnsi="Times New Roman"/>
          <w:i/>
        </w:rPr>
        <w:t>P</w:t>
      </w:r>
      <w:r w:rsidR="000225A0" w:rsidRPr="00AC4AD8">
        <w:rPr>
          <w:rFonts w:ascii="Times New Roman" w:hAnsi="Times New Roman"/>
          <w:i/>
        </w:rPr>
        <w:t>lantago</w:t>
      </w:r>
      <w:proofErr w:type="spellEnd"/>
      <w:r w:rsidRPr="00AC4AD8">
        <w:rPr>
          <w:rFonts w:ascii="Times New Roman" w:hAnsi="Times New Roman"/>
          <w:i/>
        </w:rPr>
        <w:t xml:space="preserve"> </w:t>
      </w:r>
      <w:proofErr w:type="spellStart"/>
      <w:r w:rsidRPr="00AC4AD8">
        <w:rPr>
          <w:rFonts w:ascii="Times New Roman" w:hAnsi="Times New Roman"/>
          <w:i/>
        </w:rPr>
        <w:t>lanceolata</w:t>
      </w:r>
      <w:proofErr w:type="spellEnd"/>
      <w:r w:rsidRPr="00AC4AD8">
        <w:rPr>
          <w:rFonts w:ascii="Times New Roman" w:hAnsi="Times New Roman"/>
        </w:rPr>
        <w:t xml:space="preserve"> improved plant growth for the first year </w:t>
      </w:r>
      <w:r w:rsidR="00F63590" w:rsidRPr="00AC4AD8">
        <w:rPr>
          <w:rFonts w:ascii="Times New Roman" w:hAnsi="Times New Roman"/>
        </w:rPr>
        <w:t xml:space="preserve">alone and </w:t>
      </w:r>
      <w:r w:rsidRPr="00AC4AD8">
        <w:rPr>
          <w:rFonts w:ascii="Times New Roman" w:hAnsi="Times New Roman"/>
        </w:rPr>
        <w:t xml:space="preserve">some competitive effects </w:t>
      </w:r>
      <w:r w:rsidR="00F63590" w:rsidRPr="00AC4AD8">
        <w:rPr>
          <w:rFonts w:ascii="Times New Roman" w:hAnsi="Times New Roman"/>
        </w:rPr>
        <w:t xml:space="preserve">between inoculants </w:t>
      </w:r>
      <w:r w:rsidRPr="00AC4AD8">
        <w:rPr>
          <w:rFonts w:ascii="Times New Roman" w:hAnsi="Times New Roman"/>
        </w:rPr>
        <w:t xml:space="preserve">were noted. She also found that fungal and bacterial biomass on green roofs could be enhanced with the addition of microbial inoculants </w:t>
      </w:r>
      <w:r w:rsidRPr="00AC4AD8">
        <w:rPr>
          <w:rFonts w:ascii="Times New Roman" w:hAnsi="Times New Roman"/>
        </w:rPr>
        <w:fldChar w:fldCharType="begin" w:fldLock="1"/>
      </w:r>
      <w:r w:rsidRPr="00AC4AD8">
        <w:rPr>
          <w:rFonts w:ascii="Times New Roman" w:hAnsi="Times New Roman"/>
        </w:rPr>
        <w:instrText>ADDIN CSL_CITATION { "citationItems" : [ { "id" : "ITEM-1", "itemData" : { "DOI" : "10.1016/j.scitotenv.2014.06.045", "ISSN" : "1879-1026", "PMID" : "24992459", "abstract" : "There has been very little investigation into the soil microbial community on green roofs, yet this below ground habitat is vital for ecosystem functioning. Green roofs are often harsh environments that would greatly benefit from having a healthy microbial system, allowing efficient nutrient cycling and a degree of drought tolerance in dry summer months. To test if green roof microbial communities could be manipulated, we added mycorrhizal fungi and a microbial mixture ('compost tea') to green roof rootzones, composed mainly of crushed brick or crushed concrete. The study revealed that growing media type and depth play a vital role in the microbial ecology of green roofs. There are complex relationships between depth and type of substrate and the biomass of different microbial groups, with no clear pattern being observed. Following the addition of inoculants, bacterial groups tended to increase in biomass in shallower substrates, whereas fungal biomass change was dependent on depth and type of substrate. Increased fungal biomass was found in shallow plots containing more crushed concrete and deeper plots containing more crushed brick where compost tea (a live mixture of beneficial bacteria) was added, perhaps due to the presence of helper bacteria for arbuscular mycorrhizal fungi (AMF). Often there was not an additive affect of the microbial inoculations but instead an antagonistic interaction between the added AM fungi and the compost tea. This suggests that some species of microbes may not be compatible with others, as competition for limited resources occurs within the various substrates. The overall results suggest that microbial inoculations of green roof habitats are sustainable. They need only be done once for increased biomass to be found in subsequent years, indicating that this is a novel and viable method of enhancing roof community composition.", "author" : [ { "dropping-particle" : "", "family" : "Molineux", "given" : "Chloe J", "non-dropping-particle" : "", "parse-names" : false, "suffix" : "" }, { "dropping-particle" : "", "family" : "Connop", "given" : "Stuart P", "non-dropping-particle" : "", "parse-names" : false, "suffix" : "" }, { "dropping-particle" : "", "family" : "Gange", "given" : "Alan C", "non-dropping-particle" : "", "parse-names" : false, "suffix" : "" } ], "container-title" : "The Science of the total environment", "id" : "ITEM-1", "issued" : { "date-parts" : [ [ "2014", "9", "15" ] ] }, "page" : "632-8", "title" : "Manipulating soil microbial communities in extensive green roof substrates.", "type" : "article-journal", "volume" : "493" }, "uris" : [ "http://www.mendeley.com/documents/?uuid=c59d246b-471b-4f19-99f4-39bc7861dea9" ] } ], "mendeley" : { "formattedCitation" : "(Molineux et al., 2014)", "plainTextFormattedCitation" : "(Molineux et al., 2014)", "previouslyFormattedCitation" : "(Molineux et al., 2014)"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(Molineux et al., 2014)</w:t>
      </w:r>
      <w:r w:rsidRPr="00AC4AD8">
        <w:rPr>
          <w:rFonts w:ascii="Times New Roman" w:hAnsi="Times New Roman"/>
        </w:rPr>
        <w:fldChar w:fldCharType="end"/>
      </w:r>
      <w:r w:rsidRPr="00AC4AD8">
        <w:rPr>
          <w:rFonts w:ascii="Times New Roman" w:hAnsi="Times New Roman"/>
        </w:rPr>
        <w:t>.</w:t>
      </w:r>
      <w:r w:rsidR="00F63590" w:rsidRPr="00AC4AD8">
        <w:rPr>
          <w:rFonts w:ascii="Times New Roman" w:hAnsi="Times New Roman"/>
        </w:rPr>
        <w:t xml:space="preserve"> The need for studies such as this is pressing, as c</w:t>
      </w:r>
      <w:r w:rsidR="00C81032" w:rsidRPr="00AC4AD8">
        <w:rPr>
          <w:rFonts w:ascii="Times New Roman" w:hAnsi="Times New Roman"/>
        </w:rPr>
        <w:t>ommercial inoculants, including mycorrhizas and other microbes, are already used in the green roof industry</w:t>
      </w:r>
      <w:r w:rsidR="00A713C0" w:rsidRPr="00AC4AD8">
        <w:rPr>
          <w:rFonts w:ascii="Times New Roman" w:hAnsi="Times New Roman"/>
        </w:rPr>
        <w:t xml:space="preserve">, </w:t>
      </w:r>
      <w:r w:rsidRPr="00AC4AD8">
        <w:rPr>
          <w:rFonts w:ascii="Times New Roman" w:hAnsi="Times New Roman"/>
        </w:rPr>
        <w:t>for example on the</w:t>
      </w:r>
      <w:r w:rsidR="00A713C0" w:rsidRPr="00AC4AD8">
        <w:rPr>
          <w:rFonts w:ascii="Times New Roman" w:hAnsi="Times New Roman"/>
        </w:rPr>
        <w:t xml:space="preserve"> California Academy of Sciences </w:t>
      </w:r>
      <w:r w:rsidRPr="00AC4AD8">
        <w:rPr>
          <w:rFonts w:ascii="Times New Roman" w:hAnsi="Times New Roman"/>
        </w:rPr>
        <w:t xml:space="preserve">green roof </w:t>
      </w:r>
      <w:r w:rsidR="00A713C0"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"ISBN" : "160469257X", "abstract" : "Green roofs \u2014 the ultimate in sustainable building practices \u2014 continue to generate enormous interest and enthusiasm among architects, landscape designers, and urban planners. Increasingly strict stormwater regulations and the appeal of LEED-related projects have also boosted the popularity and desirability of green roofs. Those who want to build green roofs, however, have few resources to guide them. Until now, no book has taken a comprehensive look at how to effectively adapt green-roof technology to the variable and extreme North American climate, and how to design projects that will function and endure as successfully as those in Germany, Switzerland, and other European countries.This book fills the gap by providing an overview of practices and techniques that have been effective in North America. The authors offer options regarding structure, function, horticulture, and logistics, as well as surveys of actual projects and analyses of why they have or haven\u2019t succeeded. Approachable and reader-friendly, the manual clearly explains how these complex systems function and how to plan and carry out projects successfully from concept through construction and maintenance. Ideally suited to professionals (including architects, landscape architects, engineers, and designers) and their clients, it brings together key lessons from leaders in the field. Numerous photographs highlight the range of design possibilities and show green roofs both during construction and at various stages of maturity.At last, those seeking basic information about how to design and build green roofs have a concise, authoritative guide to this exciting new technology.", "author" : [ { "dropping-particle" : "", "family" : "McIntyre", "given" : "Linda", "non-dropping-particle" : "", "parse-names" : false, "suffix" : "" }, { "dropping-particle" : "", "family" : "Snodgrass", "given" : "Edmund C.", "non-dropping-particle" : "", "parse-names" : false, "suffix" : "" } ], "id" : "ITEM-1", "issued" : { "date-parts" : [ [ "2010" ] ] }, "number-of-pages" : "296", "publisher" : "Timber Press", "publisher-place" : "Portland", "title" : "The green roof manual: A professional guide to design, installation, and maintenance", "type" : "book" }, "uris" : [ "http://www.mendeley.com/documents/?uuid=ce30a0f1-07d5-4e8e-b4ff-91821c614987" ] } ], "mendeley" : { "formattedCitation" : "(McIntyre and Snodgrass, 2010)", "plainTextFormattedCitation" : "(McIntyre and Snodgrass, 2010)", "previouslyFormattedCitation" : "(McIntyre and Snodgrass, 2010)" }, "properties" : { "noteIndex" : 0 }, "schema" : "https://github.com/citation-style-language/schema/raw/master/csl-citation.json" }</w:instrText>
      </w:r>
      <w:r w:rsidR="00A713C0" w:rsidRPr="00AC4AD8">
        <w:rPr>
          <w:rFonts w:ascii="Times New Roman" w:hAnsi="Times New Roman"/>
        </w:rPr>
        <w:fldChar w:fldCharType="separate"/>
      </w:r>
      <w:r w:rsidR="00A713C0" w:rsidRPr="00AC4AD8">
        <w:rPr>
          <w:rFonts w:ascii="Times New Roman" w:hAnsi="Times New Roman"/>
          <w:noProof/>
        </w:rPr>
        <w:t>(McIntyre and Snodgrass, 2010)</w:t>
      </w:r>
      <w:r w:rsidR="00A713C0" w:rsidRPr="00AC4AD8">
        <w:rPr>
          <w:rFonts w:ascii="Times New Roman" w:hAnsi="Times New Roman"/>
        </w:rPr>
        <w:fldChar w:fldCharType="end"/>
      </w:r>
      <w:r w:rsidR="00A83376" w:rsidRPr="00AC4AD8">
        <w:rPr>
          <w:rFonts w:ascii="Times New Roman" w:hAnsi="Times New Roman"/>
        </w:rPr>
        <w:t>.</w:t>
      </w:r>
      <w:r w:rsidR="00F63590" w:rsidRPr="00AC4AD8">
        <w:rPr>
          <w:rFonts w:ascii="Times New Roman" w:hAnsi="Times New Roman"/>
        </w:rPr>
        <w:t xml:space="preserve"> </w:t>
      </w:r>
      <w:r w:rsidR="00A83376" w:rsidRPr="00AC4AD8">
        <w:rPr>
          <w:rFonts w:ascii="Times New Roman" w:hAnsi="Times New Roman"/>
        </w:rPr>
        <w:t>This is d</w:t>
      </w:r>
      <w:r w:rsidR="00F63590" w:rsidRPr="00AC4AD8">
        <w:rPr>
          <w:rFonts w:ascii="Times New Roman" w:hAnsi="Times New Roman"/>
        </w:rPr>
        <w:t>espite the relative lack of</w:t>
      </w:r>
      <w:r w:rsidR="00C81032" w:rsidRPr="00AC4AD8">
        <w:rPr>
          <w:rFonts w:ascii="Times New Roman" w:hAnsi="Times New Roman"/>
        </w:rPr>
        <w:t xml:space="preserve"> empirical evidence to determine if they improve plant growth</w:t>
      </w:r>
      <w:r w:rsidR="00A713C0" w:rsidRPr="00AC4AD8">
        <w:rPr>
          <w:rFonts w:ascii="Times New Roman" w:hAnsi="Times New Roman"/>
        </w:rPr>
        <w:t xml:space="preserve"> on </w:t>
      </w:r>
      <w:r w:rsidR="005C14B0" w:rsidRPr="00AC4AD8">
        <w:rPr>
          <w:rFonts w:ascii="Times New Roman" w:hAnsi="Times New Roman"/>
        </w:rPr>
        <w:t>green</w:t>
      </w:r>
      <w:r w:rsidR="00A713C0" w:rsidRPr="00AC4AD8">
        <w:rPr>
          <w:rFonts w:ascii="Times New Roman" w:hAnsi="Times New Roman"/>
        </w:rPr>
        <w:t xml:space="preserve"> roofs</w:t>
      </w:r>
      <w:r w:rsidR="00C81032" w:rsidRPr="00AC4AD8">
        <w:rPr>
          <w:rFonts w:ascii="Times New Roman" w:hAnsi="Times New Roman"/>
        </w:rPr>
        <w:t xml:space="preserve">, or have an effect on other </w:t>
      </w:r>
      <w:r w:rsidR="005C14B0" w:rsidRPr="00AC4AD8">
        <w:rPr>
          <w:rFonts w:ascii="Times New Roman" w:hAnsi="Times New Roman"/>
        </w:rPr>
        <w:t>green</w:t>
      </w:r>
      <w:r w:rsidR="00A713C0" w:rsidRPr="00AC4AD8">
        <w:rPr>
          <w:rFonts w:ascii="Times New Roman" w:hAnsi="Times New Roman"/>
        </w:rPr>
        <w:t xml:space="preserve"> </w:t>
      </w:r>
      <w:r w:rsidR="00C81032" w:rsidRPr="00AC4AD8">
        <w:rPr>
          <w:rFonts w:ascii="Times New Roman" w:hAnsi="Times New Roman"/>
        </w:rPr>
        <w:t xml:space="preserve">roof organisms.  </w:t>
      </w:r>
    </w:p>
    <w:p w14:paraId="1B21072F" w14:textId="0E0E78DF" w:rsidR="00BD2A11" w:rsidRPr="00AC4AD8" w:rsidRDefault="0097532A" w:rsidP="00F03F20">
      <w:pPr>
        <w:spacing w:after="120" w:line="360" w:lineRule="auto"/>
        <w:ind w:firstLine="340"/>
        <w:jc w:val="both"/>
        <w:rPr>
          <w:rFonts w:ascii="Times New Roman" w:hAnsi="Times New Roman"/>
        </w:rPr>
      </w:pPr>
      <w:r w:rsidRPr="00AC4AD8">
        <w:rPr>
          <w:rFonts w:ascii="Times New Roman" w:hAnsi="Times New Roman"/>
        </w:rPr>
        <w:t xml:space="preserve">Determining the effects of inocula addition on non-target living roof organisms, such as microarthropods, </w:t>
      </w:r>
      <w:r w:rsidR="00C36830" w:rsidRPr="00AC4AD8">
        <w:rPr>
          <w:rFonts w:ascii="Times New Roman" w:hAnsi="Times New Roman"/>
        </w:rPr>
        <w:t>also provide</w:t>
      </w:r>
      <w:r w:rsidRPr="00AC4AD8">
        <w:rPr>
          <w:rFonts w:ascii="Times New Roman" w:hAnsi="Times New Roman"/>
        </w:rPr>
        <w:t>s</w:t>
      </w:r>
      <w:r w:rsidR="00C36830" w:rsidRPr="00AC4AD8">
        <w:rPr>
          <w:rFonts w:ascii="Times New Roman" w:hAnsi="Times New Roman"/>
        </w:rPr>
        <w:t xml:space="preserve"> clues as to how species interactions occur</w:t>
      </w:r>
      <w:r w:rsidRPr="00AC4AD8">
        <w:rPr>
          <w:rFonts w:ascii="Times New Roman" w:hAnsi="Times New Roman"/>
        </w:rPr>
        <w:t xml:space="preserve"> </w:t>
      </w:r>
      <w:r w:rsidR="00B4742A" w:rsidRPr="00AC4AD8">
        <w:rPr>
          <w:rFonts w:ascii="Times New Roman" w:hAnsi="Times New Roman"/>
        </w:rPr>
        <w:t>in</w:t>
      </w:r>
      <w:r w:rsidRPr="00AC4AD8">
        <w:rPr>
          <w:rFonts w:ascii="Times New Roman" w:hAnsi="Times New Roman"/>
        </w:rPr>
        <w:t xml:space="preserve"> green roof</w:t>
      </w:r>
      <w:r w:rsidR="00B4742A" w:rsidRPr="00AC4AD8">
        <w:rPr>
          <w:rFonts w:ascii="Times New Roman" w:hAnsi="Times New Roman"/>
        </w:rPr>
        <w:t xml:space="preserve"> substrates</w:t>
      </w:r>
      <w:r w:rsidR="00145E16" w:rsidRPr="00AC4AD8">
        <w:rPr>
          <w:rFonts w:ascii="Times New Roman" w:hAnsi="Times New Roman"/>
        </w:rPr>
        <w:t>, a factor that is completely unknown</w:t>
      </w:r>
      <w:r w:rsidR="00C36830" w:rsidRPr="00AC4AD8">
        <w:rPr>
          <w:rFonts w:ascii="Times New Roman" w:hAnsi="Times New Roman"/>
        </w:rPr>
        <w:t xml:space="preserve">. </w:t>
      </w:r>
      <w:r w:rsidR="00E933B4" w:rsidRPr="00AC4AD8">
        <w:rPr>
          <w:rFonts w:ascii="Times New Roman" w:hAnsi="Times New Roman"/>
        </w:rPr>
        <w:t>The success of microbial inoculant addition</w:t>
      </w:r>
      <w:r w:rsidRPr="00AC4AD8">
        <w:rPr>
          <w:rFonts w:ascii="Times New Roman" w:hAnsi="Times New Roman"/>
        </w:rPr>
        <w:t xml:space="preserve"> </w:t>
      </w:r>
      <w:r w:rsidR="00A83376" w:rsidRPr="00AC4AD8">
        <w:rPr>
          <w:rFonts w:ascii="Times New Roman" w:hAnsi="Times New Roman"/>
        </w:rPr>
        <w:t>in</w:t>
      </w:r>
      <w:r w:rsidRPr="00AC4AD8">
        <w:rPr>
          <w:rFonts w:ascii="Times New Roman" w:hAnsi="Times New Roman"/>
        </w:rPr>
        <w:t xml:space="preserve"> enhancing plant growth</w:t>
      </w:r>
      <w:r w:rsidR="00E933B4" w:rsidRPr="00AC4AD8">
        <w:rPr>
          <w:rFonts w:ascii="Times New Roman" w:hAnsi="Times New Roman"/>
        </w:rPr>
        <w:t xml:space="preserve"> is reliant upon the microarthropods present, as these organisms contribute to the regulation of nutrient release from soil microbes </w:t>
      </w:r>
      <w:r w:rsidR="00E933B4" w:rsidRPr="00AC4AD8">
        <w:rPr>
          <w:rFonts w:ascii="Times New Roman" w:hAnsi="Times New Roman"/>
        </w:rPr>
        <w:fldChar w:fldCharType="begin" w:fldLock="1"/>
      </w:r>
      <w:r w:rsidR="005B2891" w:rsidRPr="00AC4AD8">
        <w:rPr>
          <w:rFonts w:ascii="Times New Roman" w:hAnsi="Times New Roman"/>
        </w:rPr>
        <w:instrText>ADDIN CSL_CITATION { "citationItems" : [ { "id" : "ITEM-1", "itemData" : { "DOI" : "10.1071/SR05125", "ISSN" : "0004-9573", "author" : [ { "dropping-particle" : "", "family" : "B\u00fcnemann", "given" : "E. K.", "non-dropping-particle" : "", "parse-names" : false, "suffix" : "" }, { "dropping-particle" : "", "family" : "Schwenke", "given" : "G. D.", "non-dropping-particle" : "", "parse-names" : false, "suffix" : "" }, { "dropping-particle" : "", "family" : "Zwieten", "given" : "L.", "non-dropping-particle" : "Van", "parse-names" : false, "suffix" : "" } ], "container-title" : "Australian Journal of Soil Research", "id" : "ITEM-1", "issue" : "4", "issued" : { "date-parts" : [ [ "2006", "6", "27" ] ] }, "language" : "en", "page" : "379", "publisher" : "CSIRO PUBLISHING", "title" : "Impact of agricultural inputs on soil organisms\u2014a review", "type" : "article-journal", "volume" : "44" }, "uris" : [ "http://www.mendeley.com/documents/?uuid=1f3fb404-430c-409f-aaa3-3aaa2c179511" ] } ], "mendeley" : { "formattedCitation" : "(B\u00fcnemann et al., 2006)", "plainTextFormattedCitation" : "(B\u00fcnemann et al., 2006)", "previouslyFormattedCitation" : "(B\u00fcnemann et al., 2006)" }, "properties" : { "noteIndex" : 0 }, "schema" : "https://github.com/citation-style-language/schema/raw/master/csl-citation.json" }</w:instrText>
      </w:r>
      <w:r w:rsidR="00E933B4" w:rsidRPr="00AC4AD8">
        <w:rPr>
          <w:rFonts w:ascii="Times New Roman" w:hAnsi="Times New Roman"/>
        </w:rPr>
        <w:fldChar w:fldCharType="separate"/>
      </w:r>
      <w:r w:rsidR="00E933B4" w:rsidRPr="00AC4AD8">
        <w:rPr>
          <w:rFonts w:ascii="Times New Roman" w:hAnsi="Times New Roman"/>
          <w:noProof/>
        </w:rPr>
        <w:t>(Bünemann et al., 2006)</w:t>
      </w:r>
      <w:r w:rsidR="00E933B4" w:rsidRPr="00AC4AD8">
        <w:rPr>
          <w:rFonts w:ascii="Times New Roman" w:hAnsi="Times New Roman"/>
        </w:rPr>
        <w:fldChar w:fldCharType="end"/>
      </w:r>
      <w:r w:rsidR="00E933B4" w:rsidRPr="00AC4AD8">
        <w:rPr>
          <w:rFonts w:ascii="Times New Roman" w:hAnsi="Times New Roman"/>
        </w:rPr>
        <w:t xml:space="preserve">. </w:t>
      </w:r>
      <w:r w:rsidRPr="00AC4AD8">
        <w:rPr>
          <w:rFonts w:ascii="Times New Roman" w:hAnsi="Times New Roman"/>
        </w:rPr>
        <w:t xml:space="preserve">The </w:t>
      </w:r>
      <w:r w:rsidR="00E933B4" w:rsidRPr="00AC4AD8">
        <w:rPr>
          <w:rFonts w:ascii="Times New Roman" w:hAnsi="Times New Roman"/>
        </w:rPr>
        <w:t>r</w:t>
      </w:r>
      <w:r w:rsidR="00C36830" w:rsidRPr="00AC4AD8">
        <w:rPr>
          <w:rFonts w:ascii="Times New Roman" w:hAnsi="Times New Roman"/>
        </w:rPr>
        <w:t xml:space="preserve">elationships between </w:t>
      </w:r>
      <w:r w:rsidR="00E933B4" w:rsidRPr="00AC4AD8">
        <w:rPr>
          <w:rFonts w:ascii="Times New Roman" w:hAnsi="Times New Roman"/>
        </w:rPr>
        <w:t xml:space="preserve">and within </w:t>
      </w:r>
      <w:r w:rsidR="00C36830" w:rsidRPr="00AC4AD8">
        <w:rPr>
          <w:rFonts w:ascii="Times New Roman" w:hAnsi="Times New Roman"/>
        </w:rPr>
        <w:t>above and below-ground organisms are difficult to determine, due to the cry</w:t>
      </w:r>
      <w:r w:rsidR="00357275" w:rsidRPr="00AC4AD8">
        <w:rPr>
          <w:rFonts w:ascii="Times New Roman" w:hAnsi="Times New Roman"/>
        </w:rPr>
        <w:t>p</w:t>
      </w:r>
      <w:r w:rsidR="00C36830" w:rsidRPr="00AC4AD8">
        <w:rPr>
          <w:rFonts w:ascii="Times New Roman" w:hAnsi="Times New Roman"/>
        </w:rPr>
        <w:t>tic n</w:t>
      </w:r>
      <w:r w:rsidR="00357275" w:rsidRPr="00AC4AD8">
        <w:rPr>
          <w:rFonts w:ascii="Times New Roman" w:hAnsi="Times New Roman"/>
        </w:rPr>
        <w:t>ature of soil</w:t>
      </w:r>
      <w:r w:rsidRPr="00AC4AD8">
        <w:rPr>
          <w:rFonts w:ascii="Times New Roman" w:hAnsi="Times New Roman"/>
        </w:rPr>
        <w:t>, so soil</w:t>
      </w:r>
      <w:r w:rsidR="00C36830" w:rsidRPr="00AC4AD8">
        <w:rPr>
          <w:rFonts w:ascii="Times New Roman" w:hAnsi="Times New Roman"/>
        </w:rPr>
        <w:t xml:space="preserve"> food web </w:t>
      </w:r>
      <w:r w:rsidR="00357275" w:rsidRPr="00AC4AD8">
        <w:rPr>
          <w:rFonts w:ascii="Times New Roman" w:hAnsi="Times New Roman"/>
        </w:rPr>
        <w:t>experiments</w:t>
      </w:r>
      <w:r w:rsidR="00C36830" w:rsidRPr="00AC4AD8">
        <w:rPr>
          <w:rFonts w:ascii="Times New Roman" w:hAnsi="Times New Roman"/>
        </w:rPr>
        <w:t xml:space="preserve"> have typically been conducted by adding or removing soil food web components in order to observe result</w:t>
      </w:r>
      <w:r w:rsidRPr="00AC4AD8">
        <w:rPr>
          <w:rFonts w:ascii="Times New Roman" w:hAnsi="Times New Roman"/>
        </w:rPr>
        <w:t>ant</w:t>
      </w:r>
      <w:r w:rsidR="00C36830" w:rsidRPr="00AC4AD8">
        <w:rPr>
          <w:rFonts w:ascii="Times New Roman" w:hAnsi="Times New Roman"/>
        </w:rPr>
        <w:t xml:space="preserve"> changes in flora and fauna. For example, </w:t>
      </w:r>
      <w:r w:rsidR="005D67E0"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"10.2307/177015", "author" : [ { "dropping-particle" : "", "family" : "Chen", "given" : "B", "non-dropping-particle" : "", "parse-names" : false, "suffix" : "" }, { "dropping-particle" : "", "family" : "Wise", "given" : "DH", "non-dropping-particle" : "", "parse-names" : false, "suffix" : "" } ], "container-title" : "Ecology", "id" : "ITEM-1", "issued" : { "date-parts" : [ [ "1999" ] ] }, "page" : "761-772", "title" : "Bottom-up limitation of predaceous arthropods in a detritus-based terrestrial food web", "type" : "article-journal", "volume" : "80" }, "uris" : [ "http://www.mendeley.com/documents/?uuid=2b6e11a7-0531-4f3a-874c-594fbf9316ac" ] } ], "mendeley" : { "formattedCitation" : "(Chen and Wise, 1999)", "manualFormatting" : "Chen and Wise (1999)", "plainTextFormattedCitation" : "(Chen and Wise, 1999)", "previouslyFormattedCitation" : "(Chen and Wise, 1999)" }, "properties" : { "noteIndex" : 0 }, "schema" : "https://github.com/citation-style-language/schema/raw/master/csl-citation.json" }</w:instrText>
      </w:r>
      <w:r w:rsidR="005D67E0" w:rsidRPr="00AC4AD8">
        <w:rPr>
          <w:rFonts w:ascii="Times New Roman" w:hAnsi="Times New Roman"/>
        </w:rPr>
        <w:fldChar w:fldCharType="separate"/>
      </w:r>
      <w:r w:rsidR="00AC788D" w:rsidRPr="00AC4AD8">
        <w:rPr>
          <w:rFonts w:ascii="Times New Roman" w:hAnsi="Times New Roman"/>
          <w:noProof/>
        </w:rPr>
        <w:t xml:space="preserve">Chen and Wise </w:t>
      </w:r>
      <w:r w:rsidR="000A1CB1" w:rsidRPr="00AC4AD8">
        <w:rPr>
          <w:rFonts w:ascii="Times New Roman" w:hAnsi="Times New Roman"/>
          <w:noProof/>
        </w:rPr>
        <w:t>(</w:t>
      </w:r>
      <w:r w:rsidR="00AC788D" w:rsidRPr="00AC4AD8">
        <w:rPr>
          <w:rFonts w:ascii="Times New Roman" w:hAnsi="Times New Roman"/>
          <w:noProof/>
        </w:rPr>
        <w:t>1999)</w:t>
      </w:r>
      <w:r w:rsidR="005D67E0" w:rsidRPr="00AC4AD8">
        <w:rPr>
          <w:rFonts w:ascii="Times New Roman" w:hAnsi="Times New Roman"/>
        </w:rPr>
        <w:fldChar w:fldCharType="end"/>
      </w:r>
      <w:r w:rsidR="00C36830" w:rsidRPr="00AC4AD8">
        <w:rPr>
          <w:rFonts w:ascii="Times New Roman" w:hAnsi="Times New Roman"/>
        </w:rPr>
        <w:t xml:space="preserve">, in exploring whether soil food webs are bottom-up </w:t>
      </w:r>
      <w:r w:rsidR="0059356C" w:rsidRPr="00AC4AD8">
        <w:rPr>
          <w:rFonts w:ascii="Times New Roman" w:hAnsi="Times New Roman"/>
        </w:rPr>
        <w:t xml:space="preserve">or top-down </w:t>
      </w:r>
      <w:r w:rsidR="00C36830" w:rsidRPr="00AC4AD8">
        <w:rPr>
          <w:rFonts w:ascii="Times New Roman" w:hAnsi="Times New Roman"/>
        </w:rPr>
        <w:t xml:space="preserve">controlled, added nutrients to the soil in the form of mushrooms, potatoes and instant </w:t>
      </w:r>
      <w:r w:rsidR="00C36830" w:rsidRPr="00AC4AD8">
        <w:rPr>
          <w:rFonts w:ascii="Times New Roman" w:hAnsi="Times New Roman"/>
          <w:i/>
        </w:rPr>
        <w:t xml:space="preserve">Drosophila </w:t>
      </w:r>
      <w:r w:rsidR="00C36830" w:rsidRPr="00AC4AD8">
        <w:rPr>
          <w:rFonts w:ascii="Times New Roman" w:hAnsi="Times New Roman"/>
        </w:rPr>
        <w:t>medium (</w:t>
      </w:r>
      <w:r w:rsidR="00C36830" w:rsidRPr="00AC4AD8">
        <w:rPr>
          <w:rFonts w:ascii="Times New Roman" w:eastAsiaTheme="minorHAnsi" w:hAnsi="Times New Roman"/>
        </w:rPr>
        <w:t>Formula 4-24, Carolina Biological Supply, Burlington, N. Carolina)</w:t>
      </w:r>
      <w:r w:rsidR="00C36830" w:rsidRPr="00AC4AD8">
        <w:rPr>
          <w:rFonts w:ascii="Times New Roman" w:hAnsi="Times New Roman"/>
        </w:rPr>
        <w:t xml:space="preserve">.  They then studied soil arthropod communities to determine if </w:t>
      </w:r>
      <w:r w:rsidR="00D371B3" w:rsidRPr="00AC4AD8">
        <w:rPr>
          <w:rFonts w:ascii="Times New Roman" w:hAnsi="Times New Roman"/>
        </w:rPr>
        <w:t xml:space="preserve">increases </w:t>
      </w:r>
      <w:r w:rsidR="00C36830" w:rsidRPr="00AC4AD8">
        <w:rPr>
          <w:rFonts w:ascii="Times New Roman" w:hAnsi="Times New Roman"/>
        </w:rPr>
        <w:t xml:space="preserve">in populations </w:t>
      </w:r>
      <w:r w:rsidR="00D371B3" w:rsidRPr="00AC4AD8">
        <w:rPr>
          <w:rFonts w:ascii="Times New Roman" w:hAnsi="Times New Roman"/>
        </w:rPr>
        <w:t xml:space="preserve">would result from the addition of these different nutrient sources, </w:t>
      </w:r>
      <w:r w:rsidR="0018786C" w:rsidRPr="00AC4AD8">
        <w:rPr>
          <w:rFonts w:ascii="Times New Roman" w:hAnsi="Times New Roman"/>
        </w:rPr>
        <w:t>finding th</w:t>
      </w:r>
      <w:r w:rsidR="00D371B3" w:rsidRPr="00AC4AD8">
        <w:rPr>
          <w:rFonts w:ascii="Times New Roman" w:hAnsi="Times New Roman"/>
        </w:rPr>
        <w:t xml:space="preserve">is to be true for most groups of </w:t>
      </w:r>
      <w:r w:rsidR="0018786C" w:rsidRPr="00AC4AD8">
        <w:rPr>
          <w:rFonts w:ascii="Times New Roman" w:hAnsi="Times New Roman"/>
        </w:rPr>
        <w:t>soil fauna</w:t>
      </w:r>
      <w:r w:rsidR="00C36830" w:rsidRPr="00AC4AD8">
        <w:rPr>
          <w:rFonts w:ascii="Times New Roman" w:hAnsi="Times New Roman"/>
        </w:rPr>
        <w:t>. Other studies testing the same nutrient addition principl</w:t>
      </w:r>
      <w:r w:rsidR="00ED5573" w:rsidRPr="00AC4AD8">
        <w:rPr>
          <w:rFonts w:ascii="Times New Roman" w:hAnsi="Times New Roman"/>
        </w:rPr>
        <w:t>e</w:t>
      </w:r>
      <w:r w:rsidR="00C36830" w:rsidRPr="00AC4AD8">
        <w:rPr>
          <w:rFonts w:ascii="Times New Roman" w:hAnsi="Times New Roman"/>
        </w:rPr>
        <w:t xml:space="preserve"> have </w:t>
      </w:r>
      <w:r w:rsidR="003025A1" w:rsidRPr="00AC4AD8">
        <w:rPr>
          <w:rFonts w:ascii="Times New Roman" w:hAnsi="Times New Roman"/>
        </w:rPr>
        <w:t xml:space="preserve">reported </w:t>
      </w:r>
      <w:r w:rsidR="00C36830" w:rsidRPr="00AC4AD8">
        <w:rPr>
          <w:rFonts w:ascii="Times New Roman" w:hAnsi="Times New Roman"/>
        </w:rPr>
        <w:t xml:space="preserve">similar results </w:t>
      </w:r>
      <w:r w:rsidR="00681C4D" w:rsidRPr="00AC4AD8">
        <w:rPr>
          <w:rFonts w:ascii="Times New Roman" w:hAnsi="Times New Roman"/>
        </w:rPr>
        <w:fldChar w:fldCharType="begin" w:fldLock="1"/>
      </w:r>
      <w:r w:rsidR="004B1897" w:rsidRPr="00AC4AD8">
        <w:rPr>
          <w:rFonts w:ascii="Times New Roman" w:hAnsi="Times New Roman"/>
        </w:rPr>
        <w:instrText>ADDIN CSL_CITATION { "citationItems" : [ { "id" : "ITEM-1", "itemData" : { "author" : [ { "dropping-particle" : "", "family" : "Kajak", "given" : "A.", "non-dropping-particle" : "", "parse-names" : false, "suffix" : "" } ], "container-title" : "Ekologia Polska", "id" : "ITEM-1", "issued" : { "date-parts" : [ [ "1981" ] ] }, "page" : "213-326", "title" : "Analysis of the effect of mineral fertilisation on the meadow spider community", "type" : "article-journal", "volume" : "29" }, "uris" : [ "http://www.mendeley.com/documents/?uuid=9b3c556d-6c82-4887-ab6a-7918d7963451" ] }, { "id" : "ITEM-2", "itemData" : { "DOI" : "10.1093/jee/88.2.367", "ISBN" : "10.1093/jee/88.2.367", "ISSN" : "0022-0493", "author" : [ { "dropping-particle" : "", "family" : "Davidson", "given" : "A. W.", "non-dropping-particle" : "", "parse-names" : false, "suffix" : "" }, { "dropping-particle" : "", "family" : "Potter", "given" : "D. A.", "non-dropping-particle" : "", "parse-names" : false, "suffix" : "" } ], "container-title" : "Journal of Economic Entomology", "id" : "ITEM-2", "issue" : "2", "issued" : { "date-parts" : [ [ "1995", "4", "1" ] ] }, "language" : "en", "page" : "367-379", "publisher" : "The Oxford University Press", "title" : "Response of plant-feeding, predatory, and soil-inhabiting invertebrates to acremonium endophyte and nitrogen fertilization in tall fescue turf", "type" : "article-journal", "volume" : "88" }, "uris" : [ "http://www.mendeley.com/documents/?uuid=2b4bafff-ea4a-4de5-8f03-b6a1ecc225cf" ] } ], "mendeley" : { "formattedCitation" : "(Davidson and Potter, 1995; Kajak, 1981)", "manualFormatting" : "(Kajak, 1981; Davidson and Potter, 1995)", "plainTextFormattedCitation" : "(Davidson and Potter, 1995; Kajak, 1981)", "previouslyFormattedCitation" : "(Davidson and Potter, 1995; Kajak, 1981)" }, "properties" : { "noteIndex" : 0 }, "schema" : "https://github.com/citation-style-language/schema/raw/master/csl-citation.json" }</w:instrText>
      </w:r>
      <w:r w:rsidR="00681C4D" w:rsidRPr="00AC4AD8">
        <w:rPr>
          <w:rFonts w:ascii="Times New Roman" w:hAnsi="Times New Roman"/>
        </w:rPr>
        <w:fldChar w:fldCharType="separate"/>
      </w:r>
      <w:r w:rsidR="00681C4D" w:rsidRPr="00AC4AD8">
        <w:rPr>
          <w:rFonts w:ascii="Times New Roman" w:hAnsi="Times New Roman"/>
          <w:noProof/>
        </w:rPr>
        <w:t>(</w:t>
      </w:r>
      <w:r w:rsidR="008F039F" w:rsidRPr="00AC4AD8">
        <w:rPr>
          <w:rFonts w:ascii="Times New Roman" w:hAnsi="Times New Roman"/>
          <w:noProof/>
        </w:rPr>
        <w:t xml:space="preserve">Kajak, 1981; </w:t>
      </w:r>
      <w:r w:rsidR="00681C4D" w:rsidRPr="00AC4AD8">
        <w:rPr>
          <w:rFonts w:ascii="Times New Roman" w:hAnsi="Times New Roman"/>
          <w:noProof/>
        </w:rPr>
        <w:t>Davidson and Potter, 1995)</w:t>
      </w:r>
      <w:r w:rsidR="00681C4D" w:rsidRPr="00AC4AD8">
        <w:rPr>
          <w:rFonts w:ascii="Times New Roman" w:hAnsi="Times New Roman"/>
        </w:rPr>
        <w:fldChar w:fldCharType="end"/>
      </w:r>
      <w:r w:rsidR="00C36830" w:rsidRPr="00AC4AD8">
        <w:rPr>
          <w:rFonts w:ascii="Times New Roman" w:hAnsi="Times New Roman"/>
        </w:rPr>
        <w:t>.</w:t>
      </w:r>
      <w:r w:rsidR="00BD2A11" w:rsidRPr="00AC4AD8">
        <w:rPr>
          <w:rFonts w:ascii="Times New Roman" w:hAnsi="Times New Roman"/>
        </w:rPr>
        <w:t xml:space="preserve"> Commercial inocula could</w:t>
      </w:r>
      <w:r w:rsidR="00145E16" w:rsidRPr="00AC4AD8">
        <w:rPr>
          <w:rFonts w:ascii="Times New Roman" w:hAnsi="Times New Roman"/>
        </w:rPr>
        <w:t xml:space="preserve"> have similar effects to </w:t>
      </w:r>
      <w:r w:rsidR="00ED5573" w:rsidRPr="00AC4AD8">
        <w:rPr>
          <w:rFonts w:ascii="Times New Roman" w:hAnsi="Times New Roman"/>
        </w:rPr>
        <w:t>fertilizer</w:t>
      </w:r>
      <w:r w:rsidR="00145E16" w:rsidRPr="00AC4AD8">
        <w:rPr>
          <w:rFonts w:ascii="Times New Roman" w:hAnsi="Times New Roman"/>
        </w:rPr>
        <w:t xml:space="preserve">s, by </w:t>
      </w:r>
      <w:r w:rsidR="003025A1" w:rsidRPr="00AC4AD8">
        <w:rPr>
          <w:rFonts w:ascii="Times New Roman" w:hAnsi="Times New Roman"/>
        </w:rPr>
        <w:t xml:space="preserve">mobilising nutrients currently unavailable to plants, </w:t>
      </w:r>
      <w:r w:rsidR="00145E16" w:rsidRPr="00AC4AD8">
        <w:rPr>
          <w:rFonts w:ascii="Times New Roman" w:hAnsi="Times New Roman"/>
        </w:rPr>
        <w:t xml:space="preserve">enabling higher </w:t>
      </w:r>
      <w:r w:rsidR="00357275" w:rsidRPr="00AC4AD8">
        <w:rPr>
          <w:rFonts w:ascii="Times New Roman" w:hAnsi="Times New Roman"/>
        </w:rPr>
        <w:t>uptake</w:t>
      </w:r>
      <w:r w:rsidR="00145E16" w:rsidRPr="00AC4AD8">
        <w:rPr>
          <w:rFonts w:ascii="Times New Roman" w:hAnsi="Times New Roman"/>
        </w:rPr>
        <w:t xml:space="preserve"> </w:t>
      </w:r>
      <w:r w:rsidR="00357275" w:rsidRPr="00AC4AD8">
        <w:rPr>
          <w:rFonts w:ascii="Times New Roman" w:hAnsi="Times New Roman"/>
        </w:rPr>
        <w:fldChar w:fldCharType="begin" w:fldLock="1"/>
      </w:r>
      <w:r w:rsidR="002E0E84" w:rsidRPr="00AC4AD8">
        <w:rPr>
          <w:rFonts w:ascii="Times New Roman" w:hAnsi="Times New Roman"/>
        </w:rPr>
        <w:instrText>ADDIN CSL_CITATION { "citationItems" : [ { "id" : "ITEM-1", "itemData" : { "DOI" : "10.1016/S0929-1393(00)00086-X", "ISSN" : "09291393", "abstract" : "Apple (Malus pumila L.) plants of the rootstock clone MM106 were micropropagated from axillary buds and, after rooting, were transplanted into pots containing three different commercial-type peat-based substrates, fertilized before planting with about 100mg soluble P per liter (about 300mgkg\u22121 wet substrate). Plants were inoculated at transplant with the arbuscular mycorrhizal fungus Glomus mosseae (Nicol. &amp; Gerd.) Gerd. &amp; Trappe. After 112 days of growth, roots were heavily colonized by mycorrhizal fungi. Inoculation increased P uptake in all substrates. Plant growth was enhanced by inoculation in two of the substrates. During the growth period, the P content of the substrate was severely depleted, and this may explain the intense root colonization and nutrient uptake enhancement observed in such nutrient-rich substrates.", "author" : [ { "dropping-particle" : "", "family" : "Schubert", "given" : "A", "non-dropping-particle" : "", "parse-names" : false, "suffix" : "" }, { "dropping-particle" : "", "family" : "Lubraco", "given" : "G", "non-dropping-particle" : "", "parse-names" : false, "suffix" : "" } ], "container-title" : "Applied Soil Ecology", "id" : "ITEM-1", "issue" : "2", "issued" : { "date-parts" : [ [ "2000", "10" ] ] }, "page" : "113-118", "title" : "Mycorrhizal inoculation enhances growth and nutrient uptake of micropropagated apple rootstocks during weaning in commercial substrates of high nutrient availability", "type" : "article-journal", "volume" : "15" }, "uris" : [ "http://www.mendeley.com/documents/?uuid=fb8d9351-8cdf-4804-b6fc-16b4fb1724cf" ] } ], "mendeley" : { "formattedCitation" : "(Schubert and Lubraco, 2000)", "plainTextFormattedCitation" : "(Schubert and Lubraco, 2000)", "previouslyFormattedCitation" : "(Schubert and Lubraco, 2000)" }, "properties" : { "noteIndex" : 0 }, "schema" : "https://github.com/citation-style-language/schema/raw/master/csl-citation.json" }</w:instrText>
      </w:r>
      <w:r w:rsidR="00357275" w:rsidRPr="00AC4AD8">
        <w:rPr>
          <w:rFonts w:ascii="Times New Roman" w:hAnsi="Times New Roman"/>
        </w:rPr>
        <w:fldChar w:fldCharType="separate"/>
      </w:r>
      <w:r w:rsidR="00357275" w:rsidRPr="00AC4AD8">
        <w:rPr>
          <w:rFonts w:ascii="Times New Roman" w:hAnsi="Times New Roman"/>
          <w:noProof/>
        </w:rPr>
        <w:t>(Schubert and Lubraco, 2000)</w:t>
      </w:r>
      <w:r w:rsidR="00357275" w:rsidRPr="00AC4AD8">
        <w:rPr>
          <w:rFonts w:ascii="Times New Roman" w:hAnsi="Times New Roman"/>
        </w:rPr>
        <w:fldChar w:fldCharType="end"/>
      </w:r>
      <w:r w:rsidR="00BD2A11" w:rsidRPr="00AC4AD8">
        <w:rPr>
          <w:rFonts w:ascii="Times New Roman" w:hAnsi="Times New Roman"/>
        </w:rPr>
        <w:t xml:space="preserve"> and, theoretically, by providing food for higher trophic groups. To </w:t>
      </w:r>
      <w:r w:rsidR="000A1CB1" w:rsidRPr="00AC4AD8">
        <w:rPr>
          <w:rFonts w:ascii="Times New Roman" w:hAnsi="Times New Roman"/>
        </w:rPr>
        <w:t xml:space="preserve">our </w:t>
      </w:r>
      <w:r w:rsidR="00BD2A11" w:rsidRPr="00AC4AD8">
        <w:rPr>
          <w:rFonts w:ascii="Times New Roman" w:hAnsi="Times New Roman"/>
        </w:rPr>
        <w:t xml:space="preserve">knowledge, analysis of higher trophic groups </w:t>
      </w:r>
      <w:r w:rsidR="00800449" w:rsidRPr="00AC4AD8">
        <w:rPr>
          <w:rFonts w:ascii="Times New Roman" w:hAnsi="Times New Roman"/>
        </w:rPr>
        <w:t xml:space="preserve">within the soil </w:t>
      </w:r>
      <w:r w:rsidR="0018726A" w:rsidRPr="00AC4AD8">
        <w:rPr>
          <w:rFonts w:ascii="Times New Roman" w:hAnsi="Times New Roman"/>
        </w:rPr>
        <w:t>after</w:t>
      </w:r>
      <w:r w:rsidR="00BD2A11" w:rsidRPr="00AC4AD8">
        <w:rPr>
          <w:rFonts w:ascii="Times New Roman" w:hAnsi="Times New Roman"/>
        </w:rPr>
        <w:t xml:space="preserve"> the addition of</w:t>
      </w:r>
      <w:r w:rsidR="0018726A" w:rsidRPr="00AC4AD8">
        <w:rPr>
          <w:rFonts w:ascii="Times New Roman" w:hAnsi="Times New Roman"/>
        </w:rPr>
        <w:t xml:space="preserve"> microbial</w:t>
      </w:r>
      <w:r w:rsidR="00BD2A11" w:rsidRPr="00AC4AD8">
        <w:rPr>
          <w:rFonts w:ascii="Times New Roman" w:hAnsi="Times New Roman"/>
        </w:rPr>
        <w:t xml:space="preserve"> inocula has never been conducted to test this theory.</w:t>
      </w:r>
    </w:p>
    <w:p w14:paraId="03B81336" w14:textId="0F1E7DDB" w:rsidR="0064255C" w:rsidRPr="00AC4AD8" w:rsidRDefault="00145E16" w:rsidP="00F03F20">
      <w:pPr>
        <w:spacing w:after="120" w:line="360" w:lineRule="auto"/>
        <w:ind w:firstLine="340"/>
        <w:jc w:val="both"/>
        <w:rPr>
          <w:rFonts w:ascii="Times New Roman" w:hAnsi="Times New Roman"/>
        </w:rPr>
      </w:pPr>
      <w:r w:rsidRPr="00AC4AD8">
        <w:rPr>
          <w:rFonts w:ascii="Times New Roman" w:hAnsi="Times New Roman"/>
        </w:rPr>
        <w:t>Commercial inocula typical</w:t>
      </w:r>
      <w:r w:rsidR="0064255C" w:rsidRPr="00AC4AD8">
        <w:rPr>
          <w:rFonts w:ascii="Times New Roman" w:hAnsi="Times New Roman"/>
        </w:rPr>
        <w:t>ly</w:t>
      </w:r>
      <w:r w:rsidRPr="00AC4AD8">
        <w:rPr>
          <w:rFonts w:ascii="Times New Roman" w:hAnsi="Times New Roman"/>
        </w:rPr>
        <w:t xml:space="preserve"> consist of three major groups of soil organism: mycorrhizal fungi, bacteria (particularly </w:t>
      </w:r>
      <w:r w:rsidRPr="00AC4AD8">
        <w:rPr>
          <w:rFonts w:ascii="Times New Roman" w:hAnsi="Times New Roman"/>
          <w:i/>
        </w:rPr>
        <w:t>Bacillus spp.</w:t>
      </w:r>
      <w:r w:rsidRPr="00AC4AD8">
        <w:rPr>
          <w:rFonts w:ascii="Times New Roman" w:hAnsi="Times New Roman"/>
        </w:rPr>
        <w:t xml:space="preserve">) and </w:t>
      </w:r>
      <w:r w:rsidR="00F468C3" w:rsidRPr="00AC4AD8">
        <w:rPr>
          <w:rFonts w:ascii="Times New Roman" w:hAnsi="Times New Roman"/>
          <w:i/>
        </w:rPr>
        <w:t>Trichoderma</w:t>
      </w:r>
      <w:r w:rsidR="000225A0" w:rsidRPr="00AC4AD8">
        <w:rPr>
          <w:rFonts w:ascii="Times New Roman" w:hAnsi="Times New Roman"/>
        </w:rPr>
        <w:t>, again as a mix of species within the genus</w:t>
      </w:r>
      <w:r w:rsidR="00B4742A" w:rsidRPr="00AC4AD8">
        <w:rPr>
          <w:rFonts w:ascii="Times New Roman" w:hAnsi="Times New Roman"/>
          <w:i/>
        </w:rPr>
        <w:t xml:space="preserve"> </w:t>
      </w:r>
      <w:r w:rsidR="00681C4D" w:rsidRPr="00AC4AD8">
        <w:rPr>
          <w:rFonts w:ascii="Times New Roman" w:hAnsi="Times New Roman"/>
          <w:i/>
        </w:rPr>
        <w:fldChar w:fldCharType="begin" w:fldLock="1"/>
      </w:r>
      <w:r w:rsidR="00681C4D" w:rsidRPr="00AC4AD8">
        <w:rPr>
          <w:rFonts w:ascii="Times New Roman" w:hAnsi="Times New Roman"/>
          <w:i/>
        </w:rPr>
        <w:instrText>ADDIN CSL_CITATION { "citationItems" : [ { "id" : "ITEM-1", "itemData" : { "DOI" : "10.1155/2013/863240", "ISSN" : "2314-6141", "PMID" : "23957006", "abstract" : "The knowledge of the survival of inoculated fungal and bacterial strains in field and the effects of their release on the indigenous microbial communities has been of great interest since the practical use of selected natural or genetically modified microorganisms has been developed. Soil inoculation or seed bacterization may lead to changes in the structure of the indigenous microbial communities, which is important with regard to the safety of introduction of microbes into the environment. Many reports indicate that application of microbial inoculants can influence, at least temporarily, the resident microbial communities. However, the major concern remains regarding how the impact on taxonomic groups can be related to effects on functional capabilities of the soil microbial communities. These changes could be the result of direct effects resulting from trophic competitions and antagonistic/synergic interactions with the resident microbial populations, or indirect effects mediated by enhanced root growth and exudation. Combination of inoculants will not necessarily produce an additive or synergic effect, but rather a competitive process. The extent of the inoculation impact on the subsequent crops in relation to the buffering capacity of the plant-soil-biota is still not well documented and should be the focus of future research.", "author" : [ { "dropping-particle" : "", "family" : "Trabelsi", "given" : "Darine", "non-dropping-particle" : "", "parse-names" : false, "suffix" : "" }, { "dropping-particle" : "", "family" : "Mhamdi", "given" : "Ridha", "non-dropping-particle" : "", "parse-names" : false, "suffix" : "" } ], "container-title" : "BioMed research international", "id" : "ITEM-1", "issued" : { "date-parts" : [ [ "2013", "1" ] ] }, "language" : "eng", "page" : "863240", "title" : "Microbial inoculants and their impact on soil microbial communities: a review.", "type" : "article-journal", "volume" : "2013" }, "uris" : [ "http://www.mendeley.com/documents/?uuid=79b8887a-8528-45f0-885d-48c701f74252" ] } ], "mendeley" : { "formattedCitation" : "(Trabelsi and Mhamdi, 2013)", "plainTextFormattedCitation" : "(Trabelsi and Mhamdi, 2013)", "previouslyFormattedCitation" : "(Trabelsi and Mhamdi, 2013)" }, "properties" : { "noteIndex" : 0 }, "schema" : "https://github.com/citation-style-language/schema/raw/master/csl-citation.json" }</w:instrText>
      </w:r>
      <w:r w:rsidR="00681C4D" w:rsidRPr="00AC4AD8">
        <w:rPr>
          <w:rFonts w:ascii="Times New Roman" w:hAnsi="Times New Roman"/>
          <w:i/>
        </w:rPr>
        <w:fldChar w:fldCharType="separate"/>
      </w:r>
      <w:r w:rsidR="00681C4D" w:rsidRPr="00AC4AD8">
        <w:rPr>
          <w:rFonts w:ascii="Times New Roman" w:hAnsi="Times New Roman"/>
          <w:noProof/>
        </w:rPr>
        <w:t>(Trabelsi and Mhamdi, 2013)</w:t>
      </w:r>
      <w:r w:rsidR="00681C4D" w:rsidRPr="00AC4AD8">
        <w:rPr>
          <w:rFonts w:ascii="Times New Roman" w:hAnsi="Times New Roman"/>
          <w:i/>
        </w:rPr>
        <w:fldChar w:fldCharType="end"/>
      </w:r>
      <w:r w:rsidR="00942968" w:rsidRPr="00AC4AD8">
        <w:rPr>
          <w:rFonts w:ascii="Times New Roman" w:hAnsi="Times New Roman"/>
        </w:rPr>
        <w:t>.</w:t>
      </w:r>
      <w:r w:rsidR="00942968" w:rsidRPr="00AC4AD8">
        <w:rPr>
          <w:rFonts w:ascii="Times New Roman" w:hAnsi="Times New Roman"/>
          <w:i/>
        </w:rPr>
        <w:t xml:space="preserve"> </w:t>
      </w:r>
      <w:r w:rsidRPr="00AC4AD8">
        <w:rPr>
          <w:rFonts w:ascii="Times New Roman" w:hAnsi="Times New Roman"/>
        </w:rPr>
        <w:t xml:space="preserve"> In addition, commercial inoculants typically </w:t>
      </w:r>
      <w:r w:rsidR="00484455" w:rsidRPr="00AC4AD8">
        <w:rPr>
          <w:rFonts w:ascii="Times New Roman" w:hAnsi="Times New Roman"/>
        </w:rPr>
        <w:t>contain mixes of species,</w:t>
      </w:r>
      <w:r w:rsidRPr="00AC4AD8">
        <w:rPr>
          <w:rFonts w:ascii="Times New Roman" w:hAnsi="Times New Roman"/>
        </w:rPr>
        <w:t xml:space="preserve"> in order to increase the probability that a species specific relationship can develop </w:t>
      </w:r>
      <w:r w:rsidR="00681C4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"10.1016/0038-0717(87)90096-4", "ISSN" : "00380717", "abstract" : "Mycorrhizal inocula containing one to four species of Glomus were tested on clover and strawberry plants in a low-phosphate soil at pH 4.8 and pH 6.8. Inoculum containing four species was equally or more effective than inoculum with only a single species in promoting plant growth at both pHs. Spore production following multiple inoculation indicated that Glomus sp. \u201cE3\u201d was the most competitive species at pH 4.8 and Glomus mosseae at pH 6.8. It was concluded that mixed (multi-species) inocula should be used for field inoculation to ensure wider adaptation to different environmental conditions and greater consistency in benefits to the host plant.", "author" : [ { "dropping-particle" : "", "family" : "Koomen", "given" : "Irene", "non-dropping-particle" : "", "parse-names" : false, "suffix" : "" }, { "dropping-particle" : "", "family" : "Grace", "given" : "Carol", "non-dropping-particle" : "", "parse-names" : false, "suffix" : "" }, { "dropping-particle" : "", "family" : "Hayman", "given" : "D.S.", "non-dropping-particle" : "", "parse-names" : false, "suffix" : "" } ], "container-title" : "Soil Biology and Biochemistry", "id" : "ITEM-1", "issue" : "5", "issued" : { "date-parts" : [ [ "1987", "1" ] ] }, "page" : "539-544", "title" : "Effectiveness of single and multiple mycorrhizal inocula on growth of clover and strawberry plants at two soil pHs", "type" : "article-journal", "volume" : "19" }, "uris" : [ "http://www.mendeley.com/documents/?uuid=0014f8e5-ebc1-4fda-9d7d-4b359a9d95b9" ] } ], "mendeley" : { "formattedCitation" : "(Koomen et al., 1987)", "manualFormatting" : "(Koomen et al., 1987; Gadhave et al., 2016)", "plainTextFormattedCitation" : "(Koomen et al., 1987)", "previouslyFormattedCitation" : "(Koomen et al., 1987)" }, "properties" : { "noteIndex" : 0 }, "schema" : "https://github.com/citation-style-language/schema/raw/master/csl-citation.json" }</w:instrText>
      </w:r>
      <w:r w:rsidR="00681C4D" w:rsidRPr="00AC4AD8">
        <w:rPr>
          <w:rFonts w:ascii="Times New Roman" w:hAnsi="Times New Roman"/>
        </w:rPr>
        <w:fldChar w:fldCharType="separate"/>
      </w:r>
      <w:r w:rsidR="00681C4D" w:rsidRPr="00AC4AD8">
        <w:rPr>
          <w:rFonts w:ascii="Times New Roman" w:hAnsi="Times New Roman"/>
          <w:noProof/>
        </w:rPr>
        <w:t>(Koomen et al., 1987</w:t>
      </w:r>
      <w:r w:rsidR="00800449" w:rsidRPr="00AC4AD8">
        <w:rPr>
          <w:rFonts w:ascii="Times New Roman" w:hAnsi="Times New Roman"/>
          <w:noProof/>
        </w:rPr>
        <w:t>; Gadhave et al., 2016</w:t>
      </w:r>
      <w:r w:rsidR="00681C4D" w:rsidRPr="00AC4AD8">
        <w:rPr>
          <w:rFonts w:ascii="Times New Roman" w:hAnsi="Times New Roman"/>
          <w:noProof/>
        </w:rPr>
        <w:t>)</w:t>
      </w:r>
      <w:r w:rsidR="00681C4D" w:rsidRPr="00AC4AD8">
        <w:rPr>
          <w:rFonts w:ascii="Times New Roman" w:hAnsi="Times New Roman"/>
        </w:rPr>
        <w:fldChar w:fldCharType="end"/>
      </w:r>
      <w:r w:rsidRPr="00AC4AD8">
        <w:rPr>
          <w:rFonts w:ascii="Times New Roman" w:hAnsi="Times New Roman"/>
        </w:rPr>
        <w:t>. There is evidence to suggest that in some cases, however, an antagonistic relationship may develop between i</w:t>
      </w:r>
      <w:r w:rsidR="00BD2A11" w:rsidRPr="00AC4AD8">
        <w:rPr>
          <w:rFonts w:ascii="Times New Roman" w:hAnsi="Times New Roman"/>
        </w:rPr>
        <w:t xml:space="preserve">nocula species </w:t>
      </w:r>
      <w:r w:rsidR="00681C4D" w:rsidRPr="00AC4AD8">
        <w:rPr>
          <w:rFonts w:ascii="Times New Roman" w:hAnsi="Times New Roman"/>
        </w:rPr>
        <w:fldChar w:fldCharType="begin" w:fldLock="1"/>
      </w:r>
      <w:r w:rsidR="00681C4D" w:rsidRPr="00AC4AD8">
        <w:rPr>
          <w:rFonts w:ascii="Times New Roman" w:hAnsi="Times New Roman"/>
        </w:rPr>
        <w:instrText>ADDIN CSL_CITATION { "citationItems" : [ { "id" : "ITEM-1", "itemData" : { "author" : [ { "dropping-particle" : "", "family" : "Molineux", "given" : "C. J.", "non-dropping-particle" : "", "parse-names" : false, "suffix" : "" } ], "id" : "ITEM-1", "issued" : { "date-parts" : [ [ "2010" ] ] }, "publisher" : "Royal Holloway, University of London", "title" : "Development of suitable growing media for effective green roofs.", "type" : "thesis" }, "uris" : [ "http://www.mendeley.com/documents/?uuid=7579020c-69cd-400e-bd89-f09b16e8cb03" ] } ], "mendeley" : { "formattedCitation" : "(Molineux, 2010)", "plainTextFormattedCitation" : "(Molineux, 2010)", "previouslyFormattedCitation" : "(Molineux, 2010)" }, "properties" : { "noteIndex" : 0 }, "schema" : "https://github.com/citation-style-language/schema/raw/master/csl-citation.json" }</w:instrText>
      </w:r>
      <w:r w:rsidR="00681C4D" w:rsidRPr="00AC4AD8">
        <w:rPr>
          <w:rFonts w:ascii="Times New Roman" w:hAnsi="Times New Roman"/>
        </w:rPr>
        <w:fldChar w:fldCharType="separate"/>
      </w:r>
      <w:r w:rsidR="00681C4D" w:rsidRPr="00AC4AD8">
        <w:rPr>
          <w:rFonts w:ascii="Times New Roman" w:hAnsi="Times New Roman"/>
          <w:noProof/>
        </w:rPr>
        <w:t>(Molineux, 2010)</w:t>
      </w:r>
      <w:r w:rsidR="00681C4D" w:rsidRPr="00AC4AD8">
        <w:rPr>
          <w:rFonts w:ascii="Times New Roman" w:hAnsi="Times New Roman"/>
        </w:rPr>
        <w:fldChar w:fldCharType="end"/>
      </w:r>
      <w:r w:rsidR="00BD2A11" w:rsidRPr="00AC4AD8">
        <w:rPr>
          <w:rFonts w:ascii="Times New Roman" w:hAnsi="Times New Roman"/>
        </w:rPr>
        <w:t xml:space="preserve">, </w:t>
      </w:r>
      <w:r w:rsidR="00D45376" w:rsidRPr="00AC4AD8">
        <w:rPr>
          <w:rFonts w:ascii="Times New Roman" w:hAnsi="Times New Roman"/>
        </w:rPr>
        <w:t xml:space="preserve">negating </w:t>
      </w:r>
      <w:r w:rsidR="003228F4" w:rsidRPr="00AC4AD8">
        <w:rPr>
          <w:rFonts w:ascii="Times New Roman" w:hAnsi="Times New Roman"/>
        </w:rPr>
        <w:t>their desired effect.</w:t>
      </w:r>
      <w:r w:rsidR="00B4742A" w:rsidRPr="00AC4AD8">
        <w:rPr>
          <w:rFonts w:ascii="Times New Roman" w:hAnsi="Times New Roman"/>
        </w:rPr>
        <w:t xml:space="preserve"> </w:t>
      </w:r>
      <w:r w:rsidR="004528D1" w:rsidRPr="00AC4AD8">
        <w:rPr>
          <w:rFonts w:ascii="Times New Roman" w:hAnsi="Times New Roman"/>
        </w:rPr>
        <w:t>Here we describe a</w:t>
      </w:r>
      <w:r w:rsidRPr="00AC4AD8">
        <w:rPr>
          <w:rFonts w:ascii="Times New Roman" w:hAnsi="Times New Roman"/>
        </w:rPr>
        <w:t xml:space="preserve"> study</w:t>
      </w:r>
      <w:r w:rsidR="004528D1" w:rsidRPr="00AC4AD8">
        <w:rPr>
          <w:rFonts w:ascii="Times New Roman" w:hAnsi="Times New Roman"/>
        </w:rPr>
        <w:t xml:space="preserve"> in which</w:t>
      </w:r>
      <w:r w:rsidRPr="00AC4AD8">
        <w:rPr>
          <w:rFonts w:ascii="Times New Roman" w:hAnsi="Times New Roman"/>
        </w:rPr>
        <w:t xml:space="preserve"> three commercial inocula mixes, encompassing mycorrhiza</w:t>
      </w:r>
      <w:r w:rsidR="00942968" w:rsidRPr="00AC4AD8">
        <w:rPr>
          <w:rFonts w:ascii="Times New Roman" w:hAnsi="Times New Roman"/>
        </w:rPr>
        <w:t>s</w:t>
      </w:r>
      <w:r w:rsidRPr="00AC4AD8">
        <w:rPr>
          <w:rFonts w:ascii="Times New Roman" w:hAnsi="Times New Roman"/>
        </w:rPr>
        <w:t xml:space="preserve">, bacteria and </w:t>
      </w:r>
      <w:r w:rsidR="00F468C3" w:rsidRPr="00AC4AD8">
        <w:rPr>
          <w:rFonts w:ascii="Times New Roman" w:hAnsi="Times New Roman"/>
          <w:i/>
        </w:rPr>
        <w:t>Trichoderma</w:t>
      </w:r>
      <w:r w:rsidRPr="00AC4AD8">
        <w:rPr>
          <w:rFonts w:ascii="Times New Roman" w:hAnsi="Times New Roman"/>
        </w:rPr>
        <w:t xml:space="preserve"> </w:t>
      </w:r>
      <w:r w:rsidR="003228F4" w:rsidRPr="00AC4AD8">
        <w:rPr>
          <w:rFonts w:ascii="Times New Roman" w:hAnsi="Times New Roman"/>
        </w:rPr>
        <w:t>were</w:t>
      </w:r>
      <w:r w:rsidRPr="00AC4AD8">
        <w:rPr>
          <w:rFonts w:ascii="Times New Roman" w:hAnsi="Times New Roman"/>
        </w:rPr>
        <w:t xml:space="preserve"> added to a mature green roof to determine if commercial inocula applied singly, or in combinations, </w:t>
      </w:r>
      <w:r w:rsidR="00942968" w:rsidRPr="00AC4AD8">
        <w:rPr>
          <w:rFonts w:ascii="Times New Roman" w:hAnsi="Times New Roman"/>
        </w:rPr>
        <w:t>a</w:t>
      </w:r>
      <w:r w:rsidRPr="00AC4AD8">
        <w:rPr>
          <w:rFonts w:ascii="Times New Roman" w:hAnsi="Times New Roman"/>
        </w:rPr>
        <w:t xml:space="preserve">ffects the </w:t>
      </w:r>
      <w:r w:rsidR="004528D1" w:rsidRPr="00AC4AD8">
        <w:rPr>
          <w:rFonts w:ascii="Times New Roman" w:hAnsi="Times New Roman"/>
        </w:rPr>
        <w:t xml:space="preserve">soil </w:t>
      </w:r>
      <w:r w:rsidRPr="00AC4AD8">
        <w:rPr>
          <w:rFonts w:ascii="Times New Roman" w:hAnsi="Times New Roman"/>
        </w:rPr>
        <w:t>microarthropod community, and if this has resultant (or indepen</w:t>
      </w:r>
      <w:r w:rsidR="001F0094" w:rsidRPr="00AC4AD8">
        <w:rPr>
          <w:rFonts w:ascii="Times New Roman" w:hAnsi="Times New Roman"/>
        </w:rPr>
        <w:t>den</w:t>
      </w:r>
      <w:r w:rsidRPr="00AC4AD8">
        <w:rPr>
          <w:rFonts w:ascii="Times New Roman" w:hAnsi="Times New Roman"/>
        </w:rPr>
        <w:t xml:space="preserve">t) effects on plant growth. </w:t>
      </w:r>
      <w:r w:rsidR="0064255C" w:rsidRPr="00AC4AD8">
        <w:rPr>
          <w:rFonts w:ascii="Times New Roman" w:hAnsi="Times New Roman"/>
        </w:rPr>
        <w:t>We hypothesise</w:t>
      </w:r>
      <w:r w:rsidR="00942968" w:rsidRPr="00AC4AD8">
        <w:rPr>
          <w:rFonts w:ascii="Times New Roman" w:hAnsi="Times New Roman"/>
        </w:rPr>
        <w:t>d</w:t>
      </w:r>
      <w:r w:rsidR="0064255C" w:rsidRPr="00AC4AD8">
        <w:rPr>
          <w:rFonts w:ascii="Times New Roman" w:hAnsi="Times New Roman"/>
        </w:rPr>
        <w:t xml:space="preserve"> that the addition of microbial inocula</w:t>
      </w:r>
      <w:r w:rsidR="00CA4578" w:rsidRPr="00AC4AD8">
        <w:rPr>
          <w:rFonts w:ascii="Times New Roman" w:hAnsi="Times New Roman"/>
        </w:rPr>
        <w:t>nts</w:t>
      </w:r>
      <w:r w:rsidR="0064255C" w:rsidRPr="00AC4AD8">
        <w:rPr>
          <w:rFonts w:ascii="Times New Roman" w:hAnsi="Times New Roman"/>
        </w:rPr>
        <w:t xml:space="preserve"> to a green roof will alter the abundance and community structure of microarthropods and that this w</w:t>
      </w:r>
      <w:r w:rsidR="00942968" w:rsidRPr="00AC4AD8">
        <w:rPr>
          <w:rFonts w:ascii="Times New Roman" w:hAnsi="Times New Roman"/>
        </w:rPr>
        <w:t>ould</w:t>
      </w:r>
      <w:r w:rsidR="0064255C" w:rsidRPr="00AC4AD8">
        <w:rPr>
          <w:rFonts w:ascii="Times New Roman" w:hAnsi="Times New Roman"/>
        </w:rPr>
        <w:t xml:space="preserve"> have a resultant effect on plant growth. However, whether this effect w</w:t>
      </w:r>
      <w:r w:rsidR="000A1CB1" w:rsidRPr="00AC4AD8">
        <w:rPr>
          <w:rFonts w:ascii="Times New Roman" w:hAnsi="Times New Roman"/>
        </w:rPr>
        <w:t>ould</w:t>
      </w:r>
      <w:r w:rsidR="0064255C" w:rsidRPr="00AC4AD8">
        <w:rPr>
          <w:rFonts w:ascii="Times New Roman" w:hAnsi="Times New Roman"/>
        </w:rPr>
        <w:t xml:space="preserve"> be positive, or negative, is not predictable based on past research.</w:t>
      </w:r>
    </w:p>
    <w:p w14:paraId="483990C8" w14:textId="67BD4EA6" w:rsidR="00145E16" w:rsidRPr="00AC4AD8" w:rsidRDefault="001F0094" w:rsidP="00F03F20">
      <w:pPr>
        <w:spacing w:after="120" w:line="360" w:lineRule="auto"/>
        <w:ind w:firstLine="340"/>
        <w:jc w:val="both"/>
        <w:rPr>
          <w:rFonts w:ascii="Times New Roman" w:hAnsi="Times New Roman"/>
        </w:rPr>
      </w:pPr>
      <w:r w:rsidRPr="00AC4AD8">
        <w:rPr>
          <w:rFonts w:ascii="Times New Roman" w:hAnsi="Times New Roman"/>
        </w:rPr>
        <w:t>This is not only the first study to examine such interactions on a green roof but, to the authors knowledge, is the first study to examine if the addition of soil microbes has an effect on soil microarthropod</w:t>
      </w:r>
      <w:r w:rsidR="006675DC" w:rsidRPr="00AC4AD8">
        <w:rPr>
          <w:rFonts w:ascii="Times New Roman" w:hAnsi="Times New Roman"/>
        </w:rPr>
        <w:t xml:space="preserve"> communities</w:t>
      </w:r>
      <w:r w:rsidR="00942968" w:rsidRPr="00AC4AD8">
        <w:rPr>
          <w:rFonts w:ascii="Times New Roman" w:hAnsi="Times New Roman"/>
        </w:rPr>
        <w:t xml:space="preserve"> in a field situation</w:t>
      </w:r>
      <w:r w:rsidRPr="00AC4AD8">
        <w:rPr>
          <w:rFonts w:ascii="Times New Roman" w:hAnsi="Times New Roman"/>
        </w:rPr>
        <w:t>.</w:t>
      </w:r>
      <w:r w:rsidR="00B4742A" w:rsidRPr="00AC4AD8">
        <w:rPr>
          <w:rFonts w:ascii="Times New Roman" w:hAnsi="Times New Roman"/>
        </w:rPr>
        <w:t xml:space="preserve"> It also has direct applicability to the green roof industry, where commercial inoculants are already applied but have not been thoroughly tested.</w:t>
      </w:r>
    </w:p>
    <w:p w14:paraId="63742591" w14:textId="1FCEEE09" w:rsidR="006C517D" w:rsidRPr="00AC4AD8" w:rsidRDefault="00ED14D7" w:rsidP="00936A31">
      <w:pPr>
        <w:spacing w:after="120" w:line="360" w:lineRule="auto"/>
        <w:rPr>
          <w:rFonts w:ascii="Times New Roman" w:hAnsi="Times New Roman"/>
        </w:rPr>
      </w:pPr>
      <w:r w:rsidRPr="00AC4AD8">
        <w:rPr>
          <w:rFonts w:ascii="Times New Roman" w:hAnsi="Times New Roman"/>
          <w:b/>
        </w:rPr>
        <w:t>2. Materials and methods</w:t>
      </w:r>
    </w:p>
    <w:p w14:paraId="79D20E81" w14:textId="608EA0F1" w:rsidR="00865076" w:rsidRPr="00AC4AD8" w:rsidRDefault="00ED14D7" w:rsidP="00936A31">
      <w:pPr>
        <w:spacing w:after="120" w:line="360" w:lineRule="auto"/>
        <w:jc w:val="both"/>
        <w:rPr>
          <w:rFonts w:ascii="Times New Roman" w:hAnsi="Times New Roman"/>
          <w:i/>
        </w:rPr>
      </w:pPr>
      <w:r w:rsidRPr="00AC4AD8">
        <w:rPr>
          <w:rFonts w:ascii="Times New Roman" w:hAnsi="Times New Roman"/>
          <w:i/>
        </w:rPr>
        <w:t>2.1 Study site</w:t>
      </w:r>
      <w:r w:rsidR="00865076" w:rsidRPr="00AC4AD8">
        <w:rPr>
          <w:rFonts w:ascii="Times New Roman" w:hAnsi="Times New Roman"/>
          <w:i/>
        </w:rPr>
        <w:t>s</w:t>
      </w:r>
    </w:p>
    <w:p w14:paraId="0A835B1C" w14:textId="4BC026FD" w:rsidR="00577246" w:rsidRPr="00AC4AD8" w:rsidRDefault="00577246" w:rsidP="00F03F20">
      <w:pPr>
        <w:spacing w:after="120" w:line="360" w:lineRule="auto"/>
        <w:ind w:firstLine="340"/>
        <w:jc w:val="both"/>
        <w:rPr>
          <w:rFonts w:ascii="Times New Roman" w:hAnsi="Times New Roman"/>
          <w:shd w:val="clear" w:color="auto" w:fill="FFFFFF"/>
        </w:rPr>
      </w:pPr>
      <w:r w:rsidRPr="00AC4AD8">
        <w:rPr>
          <w:rFonts w:ascii="Times New Roman" w:hAnsi="Times New Roman"/>
        </w:rPr>
        <w:t>Permanent plots were established in a randomised block design on a green roof situated in the grounds of Royal Holloway, University of London</w:t>
      </w:r>
      <w:r w:rsidR="00B74117" w:rsidRPr="00AC4AD8">
        <w:rPr>
          <w:rFonts w:ascii="Times New Roman" w:hAnsi="Times New Roman"/>
        </w:rPr>
        <w:t xml:space="preserve"> in July 2011</w:t>
      </w:r>
      <w:r w:rsidR="00542BBF" w:rsidRPr="00AC4AD8">
        <w:rPr>
          <w:rFonts w:ascii="Times New Roman" w:hAnsi="Times New Roman"/>
        </w:rPr>
        <w:t>. This roof</w:t>
      </w:r>
      <w:r w:rsidRPr="00AC4AD8">
        <w:rPr>
          <w:rFonts w:ascii="Times New Roman" w:hAnsi="Times New Roman"/>
        </w:rPr>
        <w:t xml:space="preserve"> </w:t>
      </w:r>
      <w:r w:rsidR="00B74117" w:rsidRPr="00AC4AD8">
        <w:rPr>
          <w:rFonts w:ascii="Times New Roman" w:hAnsi="Times New Roman"/>
        </w:rPr>
        <w:t xml:space="preserve">was the focus of a previous study examining </w:t>
      </w:r>
      <w:r w:rsidRPr="00AC4AD8">
        <w:rPr>
          <w:rFonts w:ascii="Times New Roman" w:hAnsi="Times New Roman"/>
        </w:rPr>
        <w:t>microarthropod communities</w:t>
      </w:r>
      <w:r w:rsidR="00B74117" w:rsidRPr="00AC4AD8">
        <w:rPr>
          <w:rFonts w:ascii="Times New Roman" w:hAnsi="Times New Roman"/>
        </w:rPr>
        <w:t xml:space="preserve"> present in 2010-11</w:t>
      </w:r>
      <w:r w:rsidRPr="00AC4AD8">
        <w:rPr>
          <w:rFonts w:ascii="Times New Roman" w:hAnsi="Times New Roman"/>
        </w:rPr>
        <w:t xml:space="preserve"> (Roof B: </w:t>
      </w:r>
      <w:r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Rumble and Gange, 2013)</w:t>
      </w:r>
      <w:r w:rsidRPr="00AC4AD8">
        <w:rPr>
          <w:rFonts w:ascii="Times New Roman" w:hAnsi="Times New Roman"/>
        </w:rPr>
        <w:fldChar w:fldCharType="end"/>
      </w:r>
      <w:r w:rsidRPr="00AC4AD8">
        <w:rPr>
          <w:rFonts w:ascii="Times New Roman" w:hAnsi="Times New Roman"/>
        </w:rPr>
        <w:t xml:space="preserve">. </w:t>
      </w:r>
      <w:r w:rsidR="00B74117" w:rsidRPr="00AC4AD8">
        <w:rPr>
          <w:rFonts w:ascii="Times New Roman" w:hAnsi="Times New Roman"/>
        </w:rPr>
        <w:t>The green roof</w:t>
      </w:r>
      <w:r w:rsidRPr="00AC4AD8">
        <w:rPr>
          <w:rFonts w:ascii="Times New Roman" w:hAnsi="Times New Roman"/>
        </w:rPr>
        <w:t xml:space="preserve"> is situated on the top of a 12m high building and </w:t>
      </w:r>
      <w:r w:rsidR="00DF063F" w:rsidRPr="00AC4AD8">
        <w:rPr>
          <w:rFonts w:ascii="Times New Roman" w:hAnsi="Times New Roman"/>
        </w:rPr>
        <w:t xml:space="preserve">has an area of </w:t>
      </w:r>
      <w:r w:rsidR="00EA06EA" w:rsidRPr="00AC4AD8">
        <w:rPr>
          <w:rFonts w:ascii="Times New Roman" w:hAnsi="Times New Roman"/>
        </w:rPr>
        <w:t>approximately</w:t>
      </w:r>
      <w:r w:rsidR="00936A31" w:rsidRPr="00AC4AD8">
        <w:rPr>
          <w:rFonts w:ascii="Times New Roman" w:hAnsi="Times New Roman"/>
        </w:rPr>
        <w:t xml:space="preserve"> </w:t>
      </w:r>
      <w:r w:rsidRPr="00AC4AD8">
        <w:rPr>
          <w:rFonts w:ascii="Times New Roman" w:hAnsi="Times New Roman"/>
        </w:rPr>
        <w:t>2240m</w:t>
      </w:r>
      <w:r w:rsidRPr="00AC4AD8">
        <w:rPr>
          <w:rFonts w:ascii="Times New Roman" w:hAnsi="Times New Roman"/>
          <w:vertAlign w:val="superscript"/>
        </w:rPr>
        <w:t>2</w:t>
      </w:r>
      <w:r w:rsidR="00B74117" w:rsidRPr="00AC4AD8">
        <w:rPr>
          <w:rFonts w:ascii="Times New Roman" w:hAnsi="Times New Roman"/>
        </w:rPr>
        <w:t xml:space="preserve"> in total</w:t>
      </w:r>
      <w:r w:rsidRPr="00AC4AD8">
        <w:rPr>
          <w:rFonts w:ascii="Times New Roman" w:hAnsi="Times New Roman"/>
        </w:rPr>
        <w:t xml:space="preserve">. </w:t>
      </w:r>
      <w:r w:rsidR="00936A31" w:rsidRPr="00AC4AD8">
        <w:rPr>
          <w:rFonts w:ascii="Times New Roman" w:hAnsi="Times New Roman"/>
        </w:rPr>
        <w:t>It was built in 2004, so was 7</w:t>
      </w:r>
      <w:r w:rsidR="00B74117" w:rsidRPr="00AC4AD8">
        <w:rPr>
          <w:rFonts w:ascii="Times New Roman" w:hAnsi="Times New Roman"/>
        </w:rPr>
        <w:t>-8</w:t>
      </w:r>
      <w:r w:rsidRPr="00AC4AD8">
        <w:rPr>
          <w:rFonts w:ascii="Times New Roman" w:hAnsi="Times New Roman"/>
        </w:rPr>
        <w:t xml:space="preserve"> years old at the time of </w:t>
      </w:r>
      <w:r w:rsidR="00B74117" w:rsidRPr="00AC4AD8">
        <w:rPr>
          <w:rFonts w:ascii="Times New Roman" w:hAnsi="Times New Roman"/>
        </w:rPr>
        <w:t>the current study</w:t>
      </w:r>
      <w:r w:rsidRPr="00AC4AD8">
        <w:rPr>
          <w:rFonts w:ascii="Times New Roman" w:hAnsi="Times New Roman"/>
        </w:rPr>
        <w:t>. The roof substrate is comprised of approximately 75mm of a 4:1 crushed brick: to organic matter mix (</w:t>
      </w:r>
      <w:r w:rsidR="00EA06EA" w:rsidRPr="00AC4AD8">
        <w:rPr>
          <w:rFonts w:ascii="Times New Roman" w:hAnsi="Times New Roman"/>
        </w:rPr>
        <w:t>respectively</w:t>
      </w:r>
      <w:r w:rsidRPr="00AC4AD8">
        <w:rPr>
          <w:rFonts w:ascii="Times New Roman" w:hAnsi="Times New Roman"/>
        </w:rPr>
        <w:t xml:space="preserve">), planted with </w:t>
      </w:r>
      <w:r w:rsidRPr="00AC4AD8">
        <w:rPr>
          <w:rStyle w:val="Emphasis"/>
          <w:rFonts w:ascii="Times New Roman" w:hAnsi="Times New Roman"/>
          <w:bdr w:val="none" w:sz="0" w:space="0" w:color="auto" w:frame="1"/>
        </w:rPr>
        <w:t>Sedum album</w:t>
      </w:r>
      <w:r w:rsidRPr="00AC4AD8">
        <w:rPr>
          <w:rFonts w:ascii="Times New Roman" w:hAnsi="Times New Roman"/>
        </w:rPr>
        <w:t>,</w:t>
      </w:r>
      <w:r w:rsidR="004D0FE0" w:rsidRPr="00AC4AD8">
        <w:rPr>
          <w:rStyle w:val="apple-converted-space"/>
          <w:rFonts w:ascii="Times New Roman" w:hAnsi="Times New Roman"/>
        </w:rPr>
        <w:t xml:space="preserve"> </w:t>
      </w:r>
      <w:r w:rsidRPr="00AC4AD8">
        <w:rPr>
          <w:rStyle w:val="Emphasis"/>
          <w:rFonts w:ascii="Times New Roman" w:hAnsi="Times New Roman"/>
          <w:bdr w:val="none" w:sz="0" w:space="0" w:color="auto" w:frame="1"/>
        </w:rPr>
        <w:t>S. acre</w:t>
      </w:r>
      <w:r w:rsidRPr="00AC4AD8">
        <w:rPr>
          <w:rFonts w:ascii="Times New Roman" w:hAnsi="Times New Roman"/>
        </w:rPr>
        <w:t>,</w:t>
      </w:r>
      <w:r w:rsidR="004D0FE0" w:rsidRPr="00AC4AD8">
        <w:rPr>
          <w:rStyle w:val="apple-converted-space"/>
          <w:rFonts w:ascii="Times New Roman" w:hAnsi="Times New Roman"/>
        </w:rPr>
        <w:t xml:space="preserve"> </w:t>
      </w:r>
      <w:r w:rsidRPr="00AC4AD8">
        <w:rPr>
          <w:rStyle w:val="Emphasis"/>
          <w:rFonts w:ascii="Times New Roman" w:hAnsi="Times New Roman"/>
          <w:bdr w:val="none" w:sz="0" w:space="0" w:color="auto" w:frame="1"/>
        </w:rPr>
        <w:t xml:space="preserve">S. </w:t>
      </w:r>
      <w:proofErr w:type="spellStart"/>
      <w:r w:rsidRPr="00AC4AD8">
        <w:rPr>
          <w:rStyle w:val="Emphasis"/>
          <w:rFonts w:ascii="Times New Roman" w:hAnsi="Times New Roman"/>
          <w:bdr w:val="none" w:sz="0" w:space="0" w:color="auto" w:frame="1"/>
        </w:rPr>
        <w:t>spurium</w:t>
      </w:r>
      <w:proofErr w:type="spellEnd"/>
      <w:r w:rsidRPr="00AC4AD8">
        <w:rPr>
          <w:rFonts w:ascii="Times New Roman" w:hAnsi="Times New Roman"/>
        </w:rPr>
        <w:t>,</w:t>
      </w:r>
      <w:r w:rsidR="004D0FE0" w:rsidRPr="00AC4AD8">
        <w:rPr>
          <w:rStyle w:val="apple-converted-space"/>
          <w:rFonts w:ascii="Times New Roman" w:hAnsi="Times New Roman"/>
        </w:rPr>
        <w:t xml:space="preserve"> </w:t>
      </w:r>
      <w:r w:rsidRPr="00AC4AD8">
        <w:rPr>
          <w:rStyle w:val="Emphasis"/>
          <w:rFonts w:ascii="Times New Roman" w:hAnsi="Times New Roman"/>
          <w:bdr w:val="none" w:sz="0" w:space="0" w:color="auto" w:frame="1"/>
        </w:rPr>
        <w:t xml:space="preserve">S. </w:t>
      </w:r>
      <w:proofErr w:type="spellStart"/>
      <w:r w:rsidRPr="00AC4AD8">
        <w:rPr>
          <w:rStyle w:val="Emphasis"/>
          <w:rFonts w:ascii="Times New Roman" w:hAnsi="Times New Roman"/>
          <w:bdr w:val="none" w:sz="0" w:space="0" w:color="auto" w:frame="1"/>
        </w:rPr>
        <w:t>kamtschaticum</w:t>
      </w:r>
      <w:proofErr w:type="spellEnd"/>
      <w:r w:rsidR="004D0FE0" w:rsidRPr="00AC4AD8">
        <w:rPr>
          <w:rStyle w:val="apple-converted-space"/>
          <w:rFonts w:ascii="Times New Roman" w:hAnsi="Times New Roman"/>
        </w:rPr>
        <w:t xml:space="preserve"> </w:t>
      </w:r>
      <w:r w:rsidRPr="00AC4AD8">
        <w:rPr>
          <w:rFonts w:ascii="Times New Roman" w:hAnsi="Times New Roman"/>
        </w:rPr>
        <w:t>and</w:t>
      </w:r>
      <w:r w:rsidR="004D0FE0" w:rsidRPr="00AC4AD8">
        <w:rPr>
          <w:rStyle w:val="apple-converted-space"/>
          <w:rFonts w:ascii="Times New Roman" w:hAnsi="Times New Roman"/>
        </w:rPr>
        <w:t xml:space="preserve"> </w:t>
      </w:r>
      <w:r w:rsidRPr="00AC4AD8">
        <w:rPr>
          <w:rStyle w:val="Emphasis"/>
          <w:rFonts w:ascii="Times New Roman" w:hAnsi="Times New Roman"/>
          <w:bdr w:val="none" w:sz="0" w:space="0" w:color="auto" w:frame="1"/>
        </w:rPr>
        <w:t xml:space="preserve">S. </w:t>
      </w:r>
      <w:proofErr w:type="spellStart"/>
      <w:r w:rsidRPr="00AC4AD8">
        <w:rPr>
          <w:rStyle w:val="Emphasis"/>
          <w:rFonts w:ascii="Times New Roman" w:hAnsi="Times New Roman"/>
          <w:bdr w:val="none" w:sz="0" w:space="0" w:color="auto" w:frame="1"/>
        </w:rPr>
        <w:t>rupestre</w:t>
      </w:r>
      <w:proofErr w:type="spellEnd"/>
      <w:r w:rsidRPr="00AC4AD8">
        <w:rPr>
          <w:rFonts w:ascii="Times New Roman" w:hAnsi="Times New Roman"/>
        </w:rPr>
        <w:t>, in proportions of approximately 3.5:3.5:1:1:1. No fertilisation, supplementary watering or removal of naturally colonising plants has ever occurred on this roof.</w:t>
      </w:r>
    </w:p>
    <w:p w14:paraId="5376C901" w14:textId="19E38A81" w:rsidR="00EE2681" w:rsidRPr="00AC4AD8" w:rsidRDefault="00797C15" w:rsidP="00F03F20">
      <w:pPr>
        <w:spacing w:after="120" w:line="360" w:lineRule="auto"/>
        <w:ind w:firstLine="340"/>
        <w:jc w:val="both"/>
        <w:rPr>
          <w:rFonts w:ascii="Times New Roman" w:hAnsi="Times New Roman"/>
        </w:rPr>
      </w:pPr>
      <w:r w:rsidRPr="00AC4AD8">
        <w:rPr>
          <w:rFonts w:ascii="Times New Roman" w:hAnsi="Times New Roman"/>
        </w:rPr>
        <w:t>Each plot was 1m</w:t>
      </w:r>
      <w:r w:rsidR="00BE3719" w:rsidRPr="00AC4AD8">
        <w:rPr>
          <w:rFonts w:ascii="Times New Roman" w:hAnsi="Times New Roman"/>
        </w:rPr>
        <w:t xml:space="preserve"> </w:t>
      </w:r>
      <w:r w:rsidRPr="00AC4AD8">
        <w:rPr>
          <w:rFonts w:ascii="Times New Roman" w:hAnsi="Times New Roman"/>
        </w:rPr>
        <w:t>x</w:t>
      </w:r>
      <w:r w:rsidR="00BE3719" w:rsidRPr="00AC4AD8">
        <w:rPr>
          <w:rFonts w:ascii="Times New Roman" w:hAnsi="Times New Roman"/>
        </w:rPr>
        <w:t xml:space="preserve"> </w:t>
      </w:r>
      <w:r w:rsidRPr="00AC4AD8">
        <w:rPr>
          <w:rFonts w:ascii="Times New Roman" w:hAnsi="Times New Roman"/>
        </w:rPr>
        <w:t xml:space="preserve">1m, with no plot closer than 1m to another in any direction. The </w:t>
      </w:r>
      <w:r w:rsidR="00EA06EA" w:rsidRPr="00AC4AD8">
        <w:rPr>
          <w:rFonts w:ascii="Times New Roman" w:hAnsi="Times New Roman"/>
        </w:rPr>
        <w:t xml:space="preserve">commercial inoculants, supplied by </w:t>
      </w:r>
      <w:proofErr w:type="spellStart"/>
      <w:r w:rsidR="00EA06EA" w:rsidRPr="00AC4AD8">
        <w:rPr>
          <w:rFonts w:ascii="Times New Roman" w:hAnsi="Times New Roman"/>
        </w:rPr>
        <w:t>Symbio</w:t>
      </w:r>
      <w:proofErr w:type="spellEnd"/>
      <w:r w:rsidR="00EA06EA" w:rsidRPr="00AC4AD8">
        <w:rPr>
          <w:rFonts w:ascii="Times New Roman" w:hAnsi="Times New Roman"/>
        </w:rPr>
        <w:t xml:space="preserve"> Ltd. (</w:t>
      </w:r>
      <w:proofErr w:type="spellStart"/>
      <w:r w:rsidR="00EA06EA" w:rsidRPr="00AC4AD8">
        <w:rPr>
          <w:rFonts w:ascii="Times New Roman" w:hAnsi="Times New Roman"/>
        </w:rPr>
        <w:t>Wormley</w:t>
      </w:r>
      <w:proofErr w:type="spellEnd"/>
      <w:r w:rsidR="00EA06EA" w:rsidRPr="00AC4AD8">
        <w:rPr>
          <w:rFonts w:ascii="Times New Roman" w:hAnsi="Times New Roman"/>
        </w:rPr>
        <w:t xml:space="preserve">, Surrey), were </w:t>
      </w:r>
      <w:r w:rsidR="000225A0" w:rsidRPr="00AC4AD8">
        <w:rPr>
          <w:rFonts w:ascii="Times New Roman" w:hAnsi="Times New Roman"/>
        </w:rPr>
        <w:t xml:space="preserve">species </w:t>
      </w:r>
      <w:r w:rsidR="00EA06EA" w:rsidRPr="00AC4AD8">
        <w:rPr>
          <w:rFonts w:ascii="Times New Roman" w:hAnsi="Times New Roman"/>
        </w:rPr>
        <w:t>mixes of</w:t>
      </w:r>
      <w:r w:rsidRPr="00AC4AD8">
        <w:rPr>
          <w:rFonts w:ascii="Times New Roman" w:hAnsi="Times New Roman"/>
        </w:rPr>
        <w:t xml:space="preserve"> bacteria</w:t>
      </w:r>
      <w:r w:rsidR="00BA3613" w:rsidRPr="00AC4AD8">
        <w:rPr>
          <w:rFonts w:ascii="Times New Roman" w:hAnsi="Times New Roman"/>
        </w:rPr>
        <w:t xml:space="preserve"> (Bac)</w:t>
      </w:r>
      <w:r w:rsidRPr="00AC4AD8">
        <w:rPr>
          <w:rFonts w:ascii="Times New Roman" w:hAnsi="Times New Roman"/>
        </w:rPr>
        <w:t>, mycorrhiza</w:t>
      </w:r>
      <w:r w:rsidR="00BA3613" w:rsidRPr="00AC4AD8">
        <w:rPr>
          <w:rFonts w:ascii="Times New Roman" w:hAnsi="Times New Roman"/>
        </w:rPr>
        <w:t xml:space="preserve"> (</w:t>
      </w:r>
      <w:proofErr w:type="spellStart"/>
      <w:r w:rsidR="00BA3613" w:rsidRPr="00AC4AD8">
        <w:rPr>
          <w:rFonts w:ascii="Times New Roman" w:hAnsi="Times New Roman"/>
        </w:rPr>
        <w:t>Myc</w:t>
      </w:r>
      <w:proofErr w:type="spellEnd"/>
      <w:r w:rsidR="00BA3613" w:rsidRPr="00AC4AD8">
        <w:rPr>
          <w:rFonts w:ascii="Times New Roman" w:hAnsi="Times New Roman"/>
        </w:rPr>
        <w:t>)</w:t>
      </w:r>
      <w:r w:rsidRPr="00AC4AD8">
        <w:rPr>
          <w:rFonts w:ascii="Times New Roman" w:hAnsi="Times New Roman"/>
        </w:rPr>
        <w:t xml:space="preserve"> and </w:t>
      </w:r>
      <w:r w:rsidR="00F468C3" w:rsidRPr="00AC4AD8">
        <w:rPr>
          <w:rFonts w:ascii="Times New Roman" w:hAnsi="Times New Roman"/>
          <w:i/>
        </w:rPr>
        <w:t>Trichoderma</w:t>
      </w:r>
      <w:r w:rsidR="00BA3613" w:rsidRPr="00AC4AD8">
        <w:rPr>
          <w:rFonts w:ascii="Times New Roman" w:hAnsi="Times New Roman"/>
          <w:i/>
        </w:rPr>
        <w:t xml:space="preserve"> </w:t>
      </w:r>
      <w:r w:rsidR="00BA3613" w:rsidRPr="00AC4AD8">
        <w:rPr>
          <w:rFonts w:ascii="Times New Roman" w:hAnsi="Times New Roman"/>
        </w:rPr>
        <w:t>(Tri)</w:t>
      </w:r>
      <w:r w:rsidRPr="00AC4AD8">
        <w:rPr>
          <w:rFonts w:ascii="Times New Roman" w:hAnsi="Times New Roman"/>
          <w:i/>
        </w:rPr>
        <w:t xml:space="preserve"> </w:t>
      </w:r>
      <w:r w:rsidR="002A275C" w:rsidRPr="00AC4AD8">
        <w:rPr>
          <w:rFonts w:ascii="Times New Roman" w:hAnsi="Times New Roman"/>
        </w:rPr>
        <w:t>(</w:t>
      </w:r>
      <w:proofErr w:type="spellStart"/>
      <w:r w:rsidR="00F017D7" w:rsidRPr="00AC4AD8">
        <w:rPr>
          <w:rFonts w:ascii="Times New Roman" w:hAnsi="Times New Roman"/>
        </w:rPr>
        <w:t>Supp</w:t>
      </w:r>
      <w:proofErr w:type="spellEnd"/>
      <w:r w:rsidR="00F017D7" w:rsidRPr="00AC4AD8">
        <w:rPr>
          <w:rFonts w:ascii="Times New Roman" w:hAnsi="Times New Roman"/>
        </w:rPr>
        <w:t xml:space="preserve"> 1</w:t>
      </w:r>
      <w:r w:rsidR="002A275C" w:rsidRPr="00AC4AD8">
        <w:rPr>
          <w:rFonts w:ascii="Times New Roman" w:hAnsi="Times New Roman"/>
        </w:rPr>
        <w:t xml:space="preserve">) </w:t>
      </w:r>
      <w:r w:rsidR="00EA06EA" w:rsidRPr="00AC4AD8">
        <w:rPr>
          <w:rFonts w:ascii="Times New Roman" w:hAnsi="Times New Roman"/>
        </w:rPr>
        <w:t xml:space="preserve">and </w:t>
      </w:r>
      <w:r w:rsidRPr="00AC4AD8">
        <w:rPr>
          <w:rFonts w:ascii="Times New Roman" w:hAnsi="Times New Roman"/>
        </w:rPr>
        <w:t xml:space="preserve">were </w:t>
      </w:r>
      <w:r w:rsidR="00936A31" w:rsidRPr="00AC4AD8">
        <w:rPr>
          <w:rFonts w:ascii="Times New Roman" w:hAnsi="Times New Roman"/>
        </w:rPr>
        <w:t>applied</w:t>
      </w:r>
      <w:r w:rsidR="00136E5B" w:rsidRPr="00AC4AD8">
        <w:rPr>
          <w:rFonts w:ascii="Times New Roman" w:hAnsi="Times New Roman"/>
        </w:rPr>
        <w:t xml:space="preserve"> once</w:t>
      </w:r>
      <w:r w:rsidR="00936A31" w:rsidRPr="00AC4AD8">
        <w:rPr>
          <w:rFonts w:ascii="Times New Roman" w:hAnsi="Times New Roman"/>
        </w:rPr>
        <w:t xml:space="preserve"> to </w:t>
      </w:r>
      <w:r w:rsidRPr="00AC4AD8">
        <w:rPr>
          <w:rFonts w:ascii="Times New Roman" w:hAnsi="Times New Roman"/>
        </w:rPr>
        <w:t xml:space="preserve">the plots in </w:t>
      </w:r>
      <w:r w:rsidR="00936A31" w:rsidRPr="00AC4AD8">
        <w:rPr>
          <w:rFonts w:ascii="Times New Roman" w:hAnsi="Times New Roman"/>
        </w:rPr>
        <w:t xml:space="preserve">July 2011 in </w:t>
      </w:r>
      <w:r w:rsidRPr="00AC4AD8">
        <w:rPr>
          <w:rFonts w:ascii="Times New Roman" w:hAnsi="Times New Roman"/>
        </w:rPr>
        <w:t>a fully factorial randomised block design</w:t>
      </w:r>
      <w:r w:rsidR="00EA06EA" w:rsidRPr="00AC4AD8">
        <w:rPr>
          <w:rFonts w:ascii="Times New Roman" w:hAnsi="Times New Roman"/>
        </w:rPr>
        <w:t xml:space="preserve"> (</w:t>
      </w:r>
      <w:proofErr w:type="spellStart"/>
      <w:r w:rsidR="00F017D7" w:rsidRPr="00AC4AD8">
        <w:rPr>
          <w:rFonts w:ascii="Times New Roman" w:hAnsi="Times New Roman"/>
        </w:rPr>
        <w:t>Supp</w:t>
      </w:r>
      <w:proofErr w:type="spellEnd"/>
      <w:r w:rsidR="00F017D7" w:rsidRPr="00AC4AD8">
        <w:rPr>
          <w:rFonts w:ascii="Times New Roman" w:hAnsi="Times New Roman"/>
        </w:rPr>
        <w:t xml:space="preserve"> 2</w:t>
      </w:r>
      <w:r w:rsidR="00EA06EA" w:rsidRPr="00AC4AD8">
        <w:rPr>
          <w:rFonts w:ascii="Times New Roman" w:hAnsi="Times New Roman"/>
        </w:rPr>
        <w:t>)</w:t>
      </w:r>
      <w:r w:rsidR="0018786C" w:rsidRPr="00AC4AD8">
        <w:rPr>
          <w:rFonts w:ascii="Times New Roman" w:hAnsi="Times New Roman"/>
        </w:rPr>
        <w:t>, resulting in a total of eight treatments</w:t>
      </w:r>
      <w:r w:rsidR="000E3AFE" w:rsidRPr="00AC4AD8">
        <w:rPr>
          <w:rFonts w:ascii="Times New Roman" w:hAnsi="Times New Roman"/>
        </w:rPr>
        <w:t xml:space="preserve"> including the control</w:t>
      </w:r>
      <w:r w:rsidR="00BE3719" w:rsidRPr="00AC4AD8">
        <w:rPr>
          <w:rFonts w:ascii="Times New Roman" w:hAnsi="Times New Roman"/>
        </w:rPr>
        <w:t>. They</w:t>
      </w:r>
      <w:r w:rsidR="00136E5B" w:rsidRPr="00AC4AD8">
        <w:rPr>
          <w:rFonts w:ascii="Times New Roman" w:hAnsi="Times New Roman"/>
        </w:rPr>
        <w:t xml:space="preserve"> were not reapplied at a further time point</w:t>
      </w:r>
      <w:r w:rsidR="00EA06EA" w:rsidRPr="00AC4AD8">
        <w:rPr>
          <w:rFonts w:ascii="Times New Roman" w:hAnsi="Times New Roman"/>
        </w:rPr>
        <w:t xml:space="preserve">. </w:t>
      </w:r>
      <w:r w:rsidR="00F017D7" w:rsidRPr="00AC4AD8">
        <w:rPr>
          <w:rFonts w:ascii="Times New Roman" w:hAnsi="Times New Roman"/>
        </w:rPr>
        <w:t xml:space="preserve">Inoculants were applied at the manufacturers recommended concentrations. For </w:t>
      </w:r>
      <w:r w:rsidR="00F468C3" w:rsidRPr="00AC4AD8">
        <w:rPr>
          <w:rFonts w:ascii="Times New Roman" w:hAnsi="Times New Roman"/>
          <w:i/>
        </w:rPr>
        <w:t>Trichoderma</w:t>
      </w:r>
      <w:r w:rsidR="00F017D7" w:rsidRPr="00AC4AD8">
        <w:rPr>
          <w:rFonts w:ascii="Times New Roman" w:hAnsi="Times New Roman"/>
          <w:i/>
        </w:rPr>
        <w:t xml:space="preserve"> </w:t>
      </w:r>
      <w:r w:rsidR="00F017D7" w:rsidRPr="00AC4AD8">
        <w:rPr>
          <w:rFonts w:ascii="Times New Roman" w:hAnsi="Times New Roman"/>
        </w:rPr>
        <w:t xml:space="preserve">this concentration was </w:t>
      </w:r>
      <w:r w:rsidR="00F017D7" w:rsidRPr="00AC4AD8">
        <w:rPr>
          <w:rFonts w:ascii="Times New Roman" w:eastAsia="Times New Roman" w:hAnsi="Times New Roman"/>
        </w:rPr>
        <w:t>2.46ml in 0.6l water m</w:t>
      </w:r>
      <w:r w:rsidR="00F017D7" w:rsidRPr="00AC4AD8">
        <w:rPr>
          <w:rFonts w:ascii="Times New Roman" w:eastAsia="Times New Roman" w:hAnsi="Times New Roman"/>
          <w:vertAlign w:val="superscript"/>
        </w:rPr>
        <w:t>-2</w:t>
      </w:r>
      <w:r w:rsidR="00F017D7" w:rsidRPr="00AC4AD8">
        <w:rPr>
          <w:rFonts w:ascii="Times New Roman" w:eastAsia="Times New Roman" w:hAnsi="Times New Roman"/>
        </w:rPr>
        <w:t xml:space="preserve"> and</w:t>
      </w:r>
      <w:r w:rsidR="00F017D7" w:rsidRPr="00AC4AD8">
        <w:rPr>
          <w:rFonts w:ascii="Times New Roman" w:eastAsia="Times New Roman" w:hAnsi="Times New Roman"/>
          <w:vertAlign w:val="superscript"/>
        </w:rPr>
        <w:t xml:space="preserve"> </w:t>
      </w:r>
      <w:r w:rsidR="00F017D7" w:rsidRPr="00AC4AD8">
        <w:rPr>
          <w:rFonts w:ascii="Times New Roman" w:hAnsi="Times New Roman"/>
        </w:rPr>
        <w:t xml:space="preserve">for bacteria it was </w:t>
      </w:r>
      <w:r w:rsidR="00F017D7" w:rsidRPr="00AC4AD8">
        <w:rPr>
          <w:rFonts w:ascii="Times New Roman" w:eastAsia="Times New Roman" w:hAnsi="Times New Roman"/>
        </w:rPr>
        <w:t>0.96ml in 0.6l water m</w:t>
      </w:r>
      <w:r w:rsidR="00F017D7" w:rsidRPr="00AC4AD8">
        <w:rPr>
          <w:rFonts w:ascii="Times New Roman" w:eastAsia="Times New Roman" w:hAnsi="Times New Roman"/>
          <w:vertAlign w:val="superscript"/>
        </w:rPr>
        <w:t>-2</w:t>
      </w:r>
      <w:r w:rsidR="00F017D7" w:rsidRPr="00AC4AD8">
        <w:rPr>
          <w:rFonts w:ascii="Times New Roman" w:eastAsia="Times New Roman" w:hAnsi="Times New Roman"/>
        </w:rPr>
        <w:t xml:space="preserve">. The recommended rate for mycorrhiza was 2-3g per large plant, resulting in 6g applied to each plot (as, on average, each plot contained two large </w:t>
      </w:r>
      <w:r w:rsidR="00F017D7" w:rsidRPr="00AC4AD8">
        <w:rPr>
          <w:rFonts w:ascii="Times New Roman" w:eastAsia="Times New Roman" w:hAnsi="Times New Roman"/>
          <w:i/>
        </w:rPr>
        <w:t>Sedum</w:t>
      </w:r>
      <w:r w:rsidR="0072776D" w:rsidRPr="00AC4AD8">
        <w:rPr>
          <w:rFonts w:ascii="Times New Roman" w:eastAsia="Times New Roman" w:hAnsi="Times New Roman"/>
          <w:i/>
        </w:rPr>
        <w:t xml:space="preserve"> spp.</w:t>
      </w:r>
      <w:r w:rsidR="00F017D7" w:rsidRPr="00AC4AD8">
        <w:rPr>
          <w:rFonts w:ascii="Times New Roman" w:eastAsia="Times New Roman" w:hAnsi="Times New Roman"/>
          <w:i/>
        </w:rPr>
        <w:t xml:space="preserve"> </w:t>
      </w:r>
      <w:r w:rsidR="00F017D7" w:rsidRPr="00AC4AD8">
        <w:rPr>
          <w:rFonts w:ascii="Times New Roman" w:eastAsia="Times New Roman" w:hAnsi="Times New Roman"/>
        </w:rPr>
        <w:t xml:space="preserve">plants). This was mixed with 0.6l of deionised water to aid equal dispersal and to ensure all plots received equal volumes of water. </w:t>
      </w:r>
      <w:r w:rsidR="00EA06EA" w:rsidRPr="00AC4AD8">
        <w:rPr>
          <w:rFonts w:ascii="Times New Roman" w:hAnsi="Times New Roman"/>
        </w:rPr>
        <w:t xml:space="preserve">Deionised water </w:t>
      </w:r>
      <w:r w:rsidR="00B74117" w:rsidRPr="00AC4AD8">
        <w:rPr>
          <w:rFonts w:ascii="Times New Roman" w:hAnsi="Times New Roman"/>
        </w:rPr>
        <w:t xml:space="preserve">alone </w:t>
      </w:r>
      <w:r w:rsidR="00EA06EA" w:rsidRPr="00AC4AD8">
        <w:rPr>
          <w:rFonts w:ascii="Times New Roman" w:hAnsi="Times New Roman"/>
        </w:rPr>
        <w:t xml:space="preserve">was added to control plots. </w:t>
      </w:r>
      <w:r w:rsidR="00EE2681" w:rsidRPr="00AC4AD8">
        <w:rPr>
          <w:rFonts w:ascii="Times New Roman" w:hAnsi="Times New Roman"/>
        </w:rPr>
        <w:t>There were five replicates of each treatment.</w:t>
      </w:r>
      <w:r w:rsidR="00BB4F8C" w:rsidRPr="00AC4AD8">
        <w:rPr>
          <w:rFonts w:ascii="Times New Roman" w:hAnsi="Times New Roman"/>
        </w:rPr>
        <w:t xml:space="preserve"> These plots were then monitored, as outlined in the following sections, for a period of twelve months, with the trial period ending in July 2012.</w:t>
      </w:r>
    </w:p>
    <w:p w14:paraId="4B4FFE70" w14:textId="0641B79C" w:rsidR="005D2012"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2.2. </w:t>
      </w:r>
      <w:r w:rsidR="005D2012" w:rsidRPr="00AC4AD8">
        <w:rPr>
          <w:rFonts w:ascii="Times New Roman" w:hAnsi="Times New Roman"/>
          <w:i/>
        </w:rPr>
        <w:t>Abiotic factors</w:t>
      </w:r>
    </w:p>
    <w:p w14:paraId="57B891DE" w14:textId="5C09A189" w:rsidR="005D2012" w:rsidRPr="00AC4AD8" w:rsidRDefault="005D2012" w:rsidP="00F03F20">
      <w:pPr>
        <w:spacing w:after="120" w:line="360" w:lineRule="auto"/>
        <w:ind w:firstLine="340"/>
        <w:jc w:val="both"/>
        <w:rPr>
          <w:rFonts w:ascii="Times New Roman" w:hAnsi="Times New Roman"/>
        </w:rPr>
      </w:pPr>
      <w:r w:rsidRPr="00AC4AD8">
        <w:rPr>
          <w:rFonts w:ascii="Times New Roman" w:hAnsi="Times New Roman"/>
        </w:rPr>
        <w:t>Mean monthly temperature and rainfall for the South-East of England was acq</w:t>
      </w:r>
      <w:r w:rsidR="00DF063F" w:rsidRPr="00AC4AD8">
        <w:rPr>
          <w:rFonts w:ascii="Times New Roman" w:hAnsi="Times New Roman"/>
        </w:rPr>
        <w:t>uired from the Met Office (Met Office, Exeter, UK</w:t>
      </w:r>
      <w:r w:rsidRPr="00AC4AD8">
        <w:rPr>
          <w:rFonts w:ascii="Times New Roman" w:hAnsi="Times New Roman"/>
        </w:rPr>
        <w:t xml:space="preserve">) and means calculated for the entire period preceding the sample date (i.e. the January value is the mean of dates taken in January pre-sample, December and November post-sample). Two </w:t>
      </w:r>
      <w:proofErr w:type="spellStart"/>
      <w:r w:rsidRPr="00AC4AD8">
        <w:rPr>
          <w:rFonts w:ascii="Times New Roman" w:hAnsi="Times New Roman"/>
        </w:rPr>
        <w:t>dataloggers</w:t>
      </w:r>
      <w:proofErr w:type="spellEnd"/>
      <w:r w:rsidRPr="00AC4AD8">
        <w:rPr>
          <w:rFonts w:ascii="Times New Roman" w:hAnsi="Times New Roman"/>
        </w:rPr>
        <w:t xml:space="preserve"> (EL-USB 2; Lascar, Salisbury, UK) </w:t>
      </w:r>
      <w:r w:rsidR="001E4A61" w:rsidRPr="00AC4AD8">
        <w:rPr>
          <w:rFonts w:ascii="Times New Roman" w:hAnsi="Times New Roman"/>
        </w:rPr>
        <w:t>were placed on the roof, one near</w:t>
      </w:r>
      <w:r w:rsidRPr="00AC4AD8">
        <w:rPr>
          <w:rFonts w:ascii="Times New Roman" w:hAnsi="Times New Roman"/>
        </w:rPr>
        <w:t xml:space="preserve"> the West en</w:t>
      </w:r>
      <w:r w:rsidR="001E4A61" w:rsidRPr="00AC4AD8">
        <w:rPr>
          <w:rFonts w:ascii="Times New Roman" w:hAnsi="Times New Roman"/>
        </w:rPr>
        <w:t>d of the roof and one near</w:t>
      </w:r>
      <w:r w:rsidRPr="00AC4AD8">
        <w:rPr>
          <w:rFonts w:ascii="Times New Roman" w:hAnsi="Times New Roman"/>
        </w:rPr>
        <w:t xml:space="preserve"> the East end of the roof. These recorded surface temperatures and relative humidity every 30 minutes. The average of both </w:t>
      </w:r>
      <w:proofErr w:type="spellStart"/>
      <w:r w:rsidRPr="00AC4AD8">
        <w:rPr>
          <w:rFonts w:ascii="Times New Roman" w:hAnsi="Times New Roman"/>
        </w:rPr>
        <w:t>dataloggers</w:t>
      </w:r>
      <w:proofErr w:type="spellEnd"/>
      <w:r w:rsidRPr="00AC4AD8">
        <w:rPr>
          <w:rFonts w:ascii="Times New Roman" w:hAnsi="Times New Roman"/>
        </w:rPr>
        <w:t xml:space="preserve"> was used in </w:t>
      </w:r>
      <w:r w:rsidR="0072776D" w:rsidRPr="00AC4AD8">
        <w:rPr>
          <w:rFonts w:ascii="Times New Roman" w:hAnsi="Times New Roman"/>
        </w:rPr>
        <w:t xml:space="preserve">the </w:t>
      </w:r>
      <w:r w:rsidRPr="00AC4AD8">
        <w:rPr>
          <w:rFonts w:ascii="Times New Roman" w:hAnsi="Times New Roman"/>
        </w:rPr>
        <w:t>analysis.</w:t>
      </w:r>
    </w:p>
    <w:p w14:paraId="0BE30BAA" w14:textId="4F9B5FF2" w:rsidR="00865076"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2.3. </w:t>
      </w:r>
      <w:r w:rsidR="00865076" w:rsidRPr="00AC4AD8">
        <w:rPr>
          <w:rFonts w:ascii="Times New Roman" w:hAnsi="Times New Roman"/>
          <w:i/>
        </w:rPr>
        <w:t>Plant surveys</w:t>
      </w:r>
    </w:p>
    <w:p w14:paraId="204338AD" w14:textId="38EFA7B5" w:rsidR="008D3635" w:rsidRPr="00AC4AD8" w:rsidRDefault="00865076" w:rsidP="00F03F20">
      <w:pPr>
        <w:spacing w:after="120" w:line="360" w:lineRule="auto"/>
        <w:ind w:firstLine="340"/>
        <w:jc w:val="both"/>
        <w:rPr>
          <w:rFonts w:ascii="Times New Roman" w:hAnsi="Times New Roman"/>
        </w:rPr>
      </w:pPr>
      <w:r w:rsidRPr="00AC4AD8">
        <w:rPr>
          <w:rFonts w:ascii="Times New Roman" w:hAnsi="Times New Roman"/>
        </w:rPr>
        <w:t>Plant surveys of each plot were carried out in January, May and July 2012</w:t>
      </w:r>
      <w:r w:rsidR="008D3635" w:rsidRPr="00AC4AD8">
        <w:rPr>
          <w:rFonts w:ascii="Times New Roman" w:hAnsi="Times New Roman"/>
        </w:rPr>
        <w:t>.</w:t>
      </w:r>
      <w:r w:rsidRPr="00AC4AD8">
        <w:rPr>
          <w:rFonts w:ascii="Times New Roman" w:hAnsi="Times New Roman"/>
        </w:rPr>
        <w:t xml:space="preserve"> </w:t>
      </w:r>
      <w:r w:rsidR="008D3635" w:rsidRPr="00AC4AD8">
        <w:rPr>
          <w:rFonts w:ascii="Times New Roman" w:hAnsi="Times New Roman"/>
        </w:rPr>
        <w:t xml:space="preserve">Individuals were counted and identified to species level where possible using </w:t>
      </w:r>
      <w:r w:rsidR="008E690D" w:rsidRPr="00AC4AD8">
        <w:rPr>
          <w:rFonts w:ascii="Times New Roman" w:hAnsi="Times New Roman"/>
        </w:rPr>
        <w:fldChar w:fldCharType="begin" w:fldLock="1"/>
      </w:r>
      <w:r w:rsidR="00E1267A" w:rsidRPr="00AC4AD8">
        <w:rPr>
          <w:rFonts w:ascii="Times New Roman" w:hAnsi="Times New Roman"/>
        </w:rPr>
        <w:instrText>ADDIN CSL_CITATION { "citationItems" : [ { "id" : "ITEM-1", "itemData" : { "author" : [ { "dropping-particle" : "", "family" : "Blamey", "given" : "Marjorie", "non-dropping-particle" : "", "parse-names" : false, "suffix" : "" }, { "dropping-particle" : "", "family" : "Fitter", "given" : "Richard", "non-dropping-particle" : "", "parse-names" : false, "suffix" : "" }, { "dropping-particle" : "", "family" : "Fitter", "given" : "Alastair", "non-dropping-particle" : "", "parse-names" : false, "suffix" : "" } ], "id" : "ITEM-1", "issued" : { "date-parts" : [ [ "2003" ] ] }, "publisher" : "Bloomsbury", "publisher-place" : "London", "title" : "The Wild Flowers of Britain and Ireland", "type" : "book" }, "uris" : [ "http://www.mendeley.com/documents/?uuid=3145169d-b5c4-48a9-995b-9cd92cae7a4b" ] } ], "mendeley" : { "formattedCitation" : "(Blamey et al., 2003)", "manualFormatting" : "Blamey et al., (2003)", "plainTextFormattedCitation" : "(Blamey et al., 2003)", "previouslyFormattedCitation" : "(Blamey et al., 2003)" }, "properties" : { "noteIndex" : 0 }, "schema" : "https://github.com/citation-style-language/schema/raw/master/csl-citation.json" }</w:instrText>
      </w:r>
      <w:r w:rsidR="008E690D" w:rsidRPr="00AC4AD8">
        <w:rPr>
          <w:rFonts w:ascii="Times New Roman" w:hAnsi="Times New Roman"/>
        </w:rPr>
        <w:fldChar w:fldCharType="separate"/>
      </w:r>
      <w:r w:rsidR="008E690D" w:rsidRPr="00AC4AD8">
        <w:rPr>
          <w:rFonts w:ascii="Times New Roman" w:hAnsi="Times New Roman"/>
          <w:noProof/>
        </w:rPr>
        <w:t>Blamey et al., (</w:t>
      </w:r>
      <w:r w:rsidR="00E1267A" w:rsidRPr="00AC4AD8">
        <w:rPr>
          <w:rFonts w:ascii="Times New Roman" w:hAnsi="Times New Roman"/>
          <w:noProof/>
        </w:rPr>
        <w:t>200</w:t>
      </w:r>
      <w:r w:rsidR="008E690D" w:rsidRPr="00AC4AD8">
        <w:rPr>
          <w:rFonts w:ascii="Times New Roman" w:hAnsi="Times New Roman"/>
          <w:noProof/>
        </w:rPr>
        <w:t>3)</w:t>
      </w:r>
      <w:r w:rsidR="008E690D" w:rsidRPr="00AC4AD8">
        <w:rPr>
          <w:rFonts w:ascii="Times New Roman" w:hAnsi="Times New Roman"/>
        </w:rPr>
        <w:fldChar w:fldCharType="end"/>
      </w:r>
      <w:r w:rsidR="008D3635" w:rsidRPr="00AC4AD8">
        <w:rPr>
          <w:rFonts w:ascii="Times New Roman" w:hAnsi="Times New Roman"/>
        </w:rPr>
        <w:t>. Additionally, vegetation cover was estimated by eye</w:t>
      </w:r>
      <w:r w:rsidR="00E514D8" w:rsidRPr="00AC4AD8">
        <w:rPr>
          <w:rFonts w:ascii="Times New Roman" w:hAnsi="Times New Roman"/>
        </w:rPr>
        <w:t>, with the aid of a gridded quadrat</w:t>
      </w:r>
      <w:r w:rsidR="00CF0C5C" w:rsidRPr="00AC4AD8">
        <w:rPr>
          <w:rFonts w:ascii="Times New Roman" w:hAnsi="Times New Roman"/>
        </w:rPr>
        <w:t xml:space="preserve"> containing 100 divisions of 10</w:t>
      </w:r>
      <w:r w:rsidR="00677A37">
        <w:rPr>
          <w:rFonts w:ascii="Times New Roman" w:hAnsi="Times New Roman"/>
        </w:rPr>
        <w:t>0</w:t>
      </w:r>
      <w:r w:rsidR="00CF0C5C" w:rsidRPr="00AC4AD8">
        <w:rPr>
          <w:rFonts w:ascii="Times New Roman" w:hAnsi="Times New Roman"/>
        </w:rPr>
        <w:t>cm</w:t>
      </w:r>
      <w:r w:rsidR="00CF0C5C" w:rsidRPr="00AC4AD8">
        <w:rPr>
          <w:rFonts w:ascii="Times New Roman" w:hAnsi="Times New Roman"/>
          <w:vertAlign w:val="superscript"/>
        </w:rPr>
        <w:t>2</w:t>
      </w:r>
      <w:r w:rsidR="00CF0C5C" w:rsidRPr="00AC4AD8">
        <w:rPr>
          <w:rFonts w:ascii="Times New Roman" w:hAnsi="Times New Roman"/>
        </w:rPr>
        <w:t xml:space="preserve"> each</w:t>
      </w:r>
      <w:r w:rsidR="00F017D7" w:rsidRPr="00AC4AD8">
        <w:rPr>
          <w:rFonts w:ascii="Times New Roman" w:hAnsi="Times New Roman"/>
        </w:rPr>
        <w:t xml:space="preserve">. </w:t>
      </w:r>
      <w:r w:rsidR="00CF0C5C" w:rsidRPr="00AC4AD8">
        <w:rPr>
          <w:rFonts w:ascii="Times New Roman" w:hAnsi="Times New Roman"/>
        </w:rPr>
        <w:t>Plant cover was estimated for each of these divisions and summed to obtain the total plant cover for the 1m</w:t>
      </w:r>
      <w:r w:rsidR="00CF0C5C" w:rsidRPr="00AC4AD8">
        <w:rPr>
          <w:rFonts w:ascii="Times New Roman" w:hAnsi="Times New Roman"/>
          <w:vertAlign w:val="superscript"/>
        </w:rPr>
        <w:t>2</w:t>
      </w:r>
      <w:r w:rsidR="00CF0C5C" w:rsidRPr="00AC4AD8">
        <w:rPr>
          <w:rFonts w:ascii="Times New Roman" w:hAnsi="Times New Roman"/>
        </w:rPr>
        <w:t xml:space="preserve"> plot. </w:t>
      </w:r>
    </w:p>
    <w:p w14:paraId="4DE1F600" w14:textId="25B88162" w:rsidR="00865076"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2.4. </w:t>
      </w:r>
      <w:r w:rsidR="00865076" w:rsidRPr="00AC4AD8">
        <w:rPr>
          <w:rFonts w:ascii="Times New Roman" w:hAnsi="Times New Roman"/>
          <w:i/>
        </w:rPr>
        <w:t>Mycorrhizal sampling</w:t>
      </w:r>
    </w:p>
    <w:p w14:paraId="70A73DD5" w14:textId="3F1C9746" w:rsidR="00EA06EA" w:rsidRPr="00AC4AD8" w:rsidRDefault="00865076" w:rsidP="00F03F20">
      <w:pPr>
        <w:spacing w:after="120" w:line="360" w:lineRule="auto"/>
        <w:ind w:firstLine="340"/>
        <w:jc w:val="both"/>
        <w:rPr>
          <w:rFonts w:ascii="Times New Roman" w:hAnsi="Times New Roman"/>
        </w:rPr>
      </w:pPr>
      <w:r w:rsidRPr="00AC4AD8">
        <w:rPr>
          <w:rFonts w:ascii="Times New Roman" w:hAnsi="Times New Roman"/>
        </w:rPr>
        <w:t>Before inoculation</w:t>
      </w:r>
      <w:r w:rsidR="00B74117" w:rsidRPr="00AC4AD8">
        <w:rPr>
          <w:rFonts w:ascii="Times New Roman" w:hAnsi="Times New Roman"/>
        </w:rPr>
        <w:t>, in July 2011,</w:t>
      </w:r>
      <w:r w:rsidRPr="00AC4AD8">
        <w:rPr>
          <w:rFonts w:ascii="Times New Roman" w:hAnsi="Times New Roman"/>
        </w:rPr>
        <w:t xml:space="preserve"> </w:t>
      </w:r>
      <w:r w:rsidR="009E0C93" w:rsidRPr="00AC4AD8">
        <w:rPr>
          <w:rFonts w:ascii="Times New Roman" w:hAnsi="Times New Roman"/>
        </w:rPr>
        <w:t>two subsamples</w:t>
      </w:r>
      <w:r w:rsidRPr="00AC4AD8">
        <w:rPr>
          <w:rFonts w:ascii="Times New Roman" w:hAnsi="Times New Roman"/>
        </w:rPr>
        <w:t xml:space="preserve"> </w:t>
      </w:r>
      <w:r w:rsidR="009E0C93" w:rsidRPr="00AC4AD8">
        <w:rPr>
          <w:rFonts w:ascii="Times New Roman" w:hAnsi="Times New Roman"/>
        </w:rPr>
        <w:t xml:space="preserve">of </w:t>
      </w:r>
      <w:r w:rsidRPr="00AC4AD8">
        <w:rPr>
          <w:rFonts w:ascii="Times New Roman" w:hAnsi="Times New Roman"/>
        </w:rPr>
        <w:t xml:space="preserve">root </w:t>
      </w:r>
      <w:r w:rsidR="00EA06EA" w:rsidRPr="00AC4AD8">
        <w:rPr>
          <w:rFonts w:ascii="Times New Roman" w:hAnsi="Times New Roman"/>
        </w:rPr>
        <w:t>(approximately 2g</w:t>
      </w:r>
      <w:r w:rsidR="009E0C93" w:rsidRPr="00AC4AD8">
        <w:rPr>
          <w:rFonts w:ascii="Times New Roman" w:hAnsi="Times New Roman"/>
        </w:rPr>
        <w:t xml:space="preserve"> each</w:t>
      </w:r>
      <w:r w:rsidR="00EA06EA" w:rsidRPr="00AC4AD8">
        <w:rPr>
          <w:rFonts w:ascii="Times New Roman" w:hAnsi="Times New Roman"/>
        </w:rPr>
        <w:t xml:space="preserve">) </w:t>
      </w:r>
      <w:r w:rsidRPr="00AC4AD8">
        <w:rPr>
          <w:rFonts w:ascii="Times New Roman" w:hAnsi="Times New Roman"/>
        </w:rPr>
        <w:t>w</w:t>
      </w:r>
      <w:r w:rsidR="009E0C93" w:rsidRPr="00AC4AD8">
        <w:rPr>
          <w:rFonts w:ascii="Times New Roman" w:hAnsi="Times New Roman"/>
        </w:rPr>
        <w:t>ere</w:t>
      </w:r>
      <w:r w:rsidRPr="00AC4AD8">
        <w:rPr>
          <w:rFonts w:ascii="Times New Roman" w:hAnsi="Times New Roman"/>
        </w:rPr>
        <w:t xml:space="preserve"> taken from one individual of </w:t>
      </w:r>
      <w:r w:rsidRPr="00AC4AD8">
        <w:rPr>
          <w:rFonts w:ascii="Times New Roman" w:hAnsi="Times New Roman"/>
          <w:i/>
        </w:rPr>
        <w:t xml:space="preserve">S. </w:t>
      </w:r>
      <w:proofErr w:type="spellStart"/>
      <w:r w:rsidRPr="00AC4AD8">
        <w:rPr>
          <w:rFonts w:ascii="Times New Roman" w:hAnsi="Times New Roman"/>
          <w:i/>
        </w:rPr>
        <w:t>spurium</w:t>
      </w:r>
      <w:proofErr w:type="spellEnd"/>
      <w:r w:rsidRPr="00AC4AD8">
        <w:rPr>
          <w:rFonts w:ascii="Times New Roman" w:hAnsi="Times New Roman"/>
          <w:i/>
        </w:rPr>
        <w:t xml:space="preserve"> </w:t>
      </w:r>
      <w:r w:rsidRPr="00AC4AD8">
        <w:rPr>
          <w:rFonts w:ascii="Times New Roman" w:hAnsi="Times New Roman"/>
        </w:rPr>
        <w:t>from each plot</w:t>
      </w:r>
      <w:r w:rsidR="00F017D7" w:rsidRPr="00AC4AD8">
        <w:rPr>
          <w:rFonts w:ascii="Times New Roman" w:hAnsi="Times New Roman"/>
        </w:rPr>
        <w:t xml:space="preserve"> without removing the plant</w:t>
      </w:r>
      <w:r w:rsidR="00442A3F" w:rsidRPr="00AC4AD8">
        <w:rPr>
          <w:rFonts w:ascii="Times New Roman" w:hAnsi="Times New Roman"/>
        </w:rPr>
        <w:t xml:space="preserve">, and tested for the presence of </w:t>
      </w:r>
      <w:r w:rsidR="009E0C93" w:rsidRPr="00AC4AD8">
        <w:rPr>
          <w:rFonts w:ascii="Times New Roman" w:hAnsi="Times New Roman"/>
        </w:rPr>
        <w:t>mycorrhiza</w:t>
      </w:r>
      <w:r w:rsidR="004D0FE0" w:rsidRPr="00AC4AD8">
        <w:rPr>
          <w:rFonts w:ascii="Times New Roman" w:hAnsi="Times New Roman"/>
        </w:rPr>
        <w:t>s</w:t>
      </w:r>
      <w:r w:rsidR="00F017D7" w:rsidRPr="00AC4AD8">
        <w:rPr>
          <w:rFonts w:ascii="Times New Roman" w:hAnsi="Times New Roman"/>
        </w:rPr>
        <w:t xml:space="preserve">. </w:t>
      </w:r>
      <w:r w:rsidR="00442A3F" w:rsidRPr="00AC4AD8">
        <w:rPr>
          <w:rFonts w:ascii="Times New Roman" w:hAnsi="Times New Roman"/>
        </w:rPr>
        <w:t xml:space="preserve">Individual </w:t>
      </w:r>
      <w:r w:rsidR="00F468C3" w:rsidRPr="00AC4AD8">
        <w:rPr>
          <w:rFonts w:ascii="Times New Roman" w:hAnsi="Times New Roman"/>
          <w:i/>
        </w:rPr>
        <w:t>Sedum</w:t>
      </w:r>
      <w:r w:rsidR="00442A3F" w:rsidRPr="00AC4AD8">
        <w:rPr>
          <w:rFonts w:ascii="Times New Roman" w:hAnsi="Times New Roman"/>
          <w:i/>
        </w:rPr>
        <w:t xml:space="preserve"> </w:t>
      </w:r>
      <w:r w:rsidR="00442A3F" w:rsidRPr="00AC4AD8">
        <w:rPr>
          <w:rFonts w:ascii="Times New Roman" w:hAnsi="Times New Roman"/>
        </w:rPr>
        <w:t>plants on the green roof were large, but there were few individuals (</w:t>
      </w:r>
      <w:r w:rsidR="00715FBE" w:rsidRPr="00AC4AD8">
        <w:rPr>
          <w:rFonts w:ascii="Times New Roman" w:hAnsi="Times New Roman"/>
        </w:rPr>
        <w:t xml:space="preserve">approx. </w:t>
      </w:r>
      <w:r w:rsidR="00442A3F" w:rsidRPr="00AC4AD8">
        <w:rPr>
          <w:rFonts w:ascii="Times New Roman" w:hAnsi="Times New Roman"/>
        </w:rPr>
        <w:t xml:space="preserve">two per plot), so destructive sampling </w:t>
      </w:r>
      <w:r w:rsidR="00C365DE" w:rsidRPr="00AC4AD8">
        <w:rPr>
          <w:rFonts w:ascii="Times New Roman" w:hAnsi="Times New Roman"/>
        </w:rPr>
        <w:t xml:space="preserve">of the entire plant </w:t>
      </w:r>
      <w:r w:rsidR="00442A3F" w:rsidRPr="00AC4AD8">
        <w:rPr>
          <w:rFonts w:ascii="Times New Roman" w:hAnsi="Times New Roman"/>
        </w:rPr>
        <w:t>was not deemed appropriate</w:t>
      </w:r>
      <w:r w:rsidR="009E0C93" w:rsidRPr="00AC4AD8">
        <w:rPr>
          <w:rFonts w:ascii="Times New Roman" w:hAnsi="Times New Roman"/>
        </w:rPr>
        <w:t>, and no more than two subsamples could be taken</w:t>
      </w:r>
      <w:r w:rsidR="00442A3F" w:rsidRPr="00AC4AD8">
        <w:rPr>
          <w:rFonts w:ascii="Times New Roman" w:hAnsi="Times New Roman"/>
        </w:rPr>
        <w:t xml:space="preserve">. </w:t>
      </w:r>
      <w:r w:rsidR="00F468C3" w:rsidRPr="00AC4AD8">
        <w:rPr>
          <w:rFonts w:ascii="Times New Roman" w:hAnsi="Times New Roman"/>
          <w:i/>
        </w:rPr>
        <w:t>Sedum</w:t>
      </w:r>
      <w:r w:rsidR="00442A3F" w:rsidRPr="00AC4AD8">
        <w:rPr>
          <w:rFonts w:ascii="Times New Roman" w:hAnsi="Times New Roman"/>
        </w:rPr>
        <w:t xml:space="preserve"> on the roof had extremely large root systems (approximately 3-4x larger than above-ground biomass),</w:t>
      </w:r>
      <w:r w:rsidR="00C365DE" w:rsidRPr="00AC4AD8">
        <w:rPr>
          <w:rFonts w:ascii="Times New Roman" w:hAnsi="Times New Roman"/>
        </w:rPr>
        <w:t xml:space="preserve"> and the loose nature of the substrate meant that small portions of root could be removed</w:t>
      </w:r>
      <w:r w:rsidR="00B4742A" w:rsidRPr="00AC4AD8">
        <w:rPr>
          <w:rFonts w:ascii="Times New Roman" w:hAnsi="Times New Roman"/>
        </w:rPr>
        <w:t xml:space="preserve"> easily</w:t>
      </w:r>
      <w:r w:rsidR="00C365DE" w:rsidRPr="00AC4AD8">
        <w:rPr>
          <w:rFonts w:ascii="Times New Roman" w:hAnsi="Times New Roman"/>
        </w:rPr>
        <w:t>. This meant that</w:t>
      </w:r>
      <w:r w:rsidR="00442A3F" w:rsidRPr="00AC4AD8">
        <w:rPr>
          <w:rFonts w:ascii="Times New Roman" w:hAnsi="Times New Roman"/>
        </w:rPr>
        <w:t xml:space="preserve"> repetitive root sampling, as </w:t>
      </w:r>
      <w:r w:rsidR="009E0C93" w:rsidRPr="00AC4AD8">
        <w:rPr>
          <w:rFonts w:ascii="Times New Roman" w:hAnsi="Times New Roman"/>
        </w:rPr>
        <w:t>has been</w:t>
      </w:r>
      <w:r w:rsidR="00442A3F" w:rsidRPr="00AC4AD8">
        <w:rPr>
          <w:rFonts w:ascii="Times New Roman" w:hAnsi="Times New Roman"/>
        </w:rPr>
        <w:t xml:space="preserve"> performed on trees </w:t>
      </w:r>
      <w:r w:rsidR="009E0C93" w:rsidRPr="00AC4AD8">
        <w:rPr>
          <w:rFonts w:ascii="Times New Roman" w:hAnsi="Times New Roman"/>
        </w:rPr>
        <w:fldChar w:fldCharType="begin" w:fldLock="1"/>
      </w:r>
      <w:r w:rsidR="00D26350" w:rsidRPr="00AC4AD8">
        <w:rPr>
          <w:rFonts w:ascii="Times New Roman" w:hAnsi="Times New Roman"/>
        </w:rPr>
        <w:instrText>ADDIN CSL_CITATION { "citationItems" : [ { "id" : "ITEM-1", "itemData" : { "DOI" : "10.1590/S0103-90162006000400009", "ISSN" : "0103-9016", "author" : [ { "dropping-particle" : "", "family" : "Moreira", "given" : "Milene", "non-dropping-particle" : "", "parse-names" : false, "suffix" : "" }, { "dropping-particle" : "", "family" : "Baretta", "given" : "Dilmar", "non-dropping-particle" : "", "parse-names" : false, "suffix" : "" }, { "dropping-particle" : "", "family" : "Tsai", "given" : "Siu Mui", "non-dropping-particle" : "", "parse-names" : false, "suffix" : "" }, { "dropping-particle" : "", "family" : "Cardoso", "given" : "Elke Jurandy Bran Nogueira", "non-dropping-particle" : "", "parse-names" : false, "suffix" : "" } ], "container-title" : "Scientia Agricola", "id" : "ITEM-1", "issue" : "4", "issued" : { "date-parts" : [ [ "2006", "8" ] ] }, "page" : "380-385", "publisher" : "Scientia Agricola", "title" : "Spore density and root colonization by arbuscular mycorrhizal fungi in preserved or disturbed Araucaria angustifolia (Bert.) O. Ktze. ecosystems", "type" : "article-journal", "volume" : "63" }, "uris" : [ "http://www.mendeley.com/documents/?uuid=5c3d29ff-e088-482d-b2cc-ab8174300270" ] } ], "mendeley" : { "formattedCitation" : "(Moreira et al., 2006)", "plainTextFormattedCitation" : "(Moreira et al., 2006)", "previouslyFormattedCitation" : "(Moreira et al., 2006)" }, "properties" : { "noteIndex" : 0 }, "schema" : "https://github.com/citation-style-language/schema/raw/master/csl-citation.json" }</w:instrText>
      </w:r>
      <w:r w:rsidR="009E0C93" w:rsidRPr="00AC4AD8">
        <w:rPr>
          <w:rFonts w:ascii="Times New Roman" w:hAnsi="Times New Roman"/>
        </w:rPr>
        <w:fldChar w:fldCharType="separate"/>
      </w:r>
      <w:r w:rsidR="009E0C93" w:rsidRPr="00AC4AD8">
        <w:rPr>
          <w:rFonts w:ascii="Times New Roman" w:hAnsi="Times New Roman"/>
          <w:noProof/>
        </w:rPr>
        <w:t>(Moreira et al., 2006)</w:t>
      </w:r>
      <w:r w:rsidR="009E0C93" w:rsidRPr="00AC4AD8">
        <w:rPr>
          <w:rFonts w:ascii="Times New Roman" w:hAnsi="Times New Roman"/>
        </w:rPr>
        <w:fldChar w:fldCharType="end"/>
      </w:r>
      <w:r w:rsidR="00442A3F" w:rsidRPr="00AC4AD8">
        <w:rPr>
          <w:rFonts w:ascii="Times New Roman" w:hAnsi="Times New Roman"/>
        </w:rPr>
        <w:t xml:space="preserve">, </w:t>
      </w:r>
      <w:r w:rsidR="00C365DE" w:rsidRPr="00AC4AD8">
        <w:rPr>
          <w:rFonts w:ascii="Times New Roman" w:hAnsi="Times New Roman"/>
        </w:rPr>
        <w:t>could be implemented</w:t>
      </w:r>
      <w:r w:rsidR="00442A3F" w:rsidRPr="00AC4AD8">
        <w:rPr>
          <w:rFonts w:ascii="Times New Roman" w:hAnsi="Times New Roman"/>
        </w:rPr>
        <w:t>. Thus, i</w:t>
      </w:r>
      <w:r w:rsidR="00134D7A" w:rsidRPr="00AC4AD8">
        <w:rPr>
          <w:rFonts w:ascii="Times New Roman" w:hAnsi="Times New Roman"/>
        </w:rPr>
        <w:t xml:space="preserve">n July 2012, the same </w:t>
      </w:r>
      <w:r w:rsidR="00134D7A" w:rsidRPr="00AC4AD8">
        <w:rPr>
          <w:rFonts w:ascii="Times New Roman" w:hAnsi="Times New Roman"/>
          <w:i/>
        </w:rPr>
        <w:t xml:space="preserve">S. </w:t>
      </w:r>
      <w:proofErr w:type="spellStart"/>
      <w:r w:rsidR="00134D7A" w:rsidRPr="00AC4AD8">
        <w:rPr>
          <w:rFonts w:ascii="Times New Roman" w:hAnsi="Times New Roman"/>
          <w:i/>
        </w:rPr>
        <w:t>spurium</w:t>
      </w:r>
      <w:proofErr w:type="spellEnd"/>
      <w:r w:rsidR="00134D7A" w:rsidRPr="00AC4AD8">
        <w:rPr>
          <w:rFonts w:ascii="Times New Roman" w:hAnsi="Times New Roman"/>
          <w:i/>
        </w:rPr>
        <w:t xml:space="preserve"> </w:t>
      </w:r>
      <w:r w:rsidR="00134D7A" w:rsidRPr="00AC4AD8">
        <w:rPr>
          <w:rFonts w:ascii="Times New Roman" w:hAnsi="Times New Roman"/>
        </w:rPr>
        <w:t xml:space="preserve">individuals were once again </w:t>
      </w:r>
      <w:r w:rsidR="004D0FE0" w:rsidRPr="00AC4AD8">
        <w:rPr>
          <w:rFonts w:ascii="Times New Roman" w:hAnsi="Times New Roman"/>
        </w:rPr>
        <w:t>examin</w:t>
      </w:r>
      <w:r w:rsidR="00134D7A" w:rsidRPr="00AC4AD8">
        <w:rPr>
          <w:rFonts w:ascii="Times New Roman" w:hAnsi="Times New Roman"/>
        </w:rPr>
        <w:t>ed for mycorrhiza</w:t>
      </w:r>
      <w:r w:rsidR="004D0FE0" w:rsidRPr="00AC4AD8">
        <w:rPr>
          <w:rFonts w:ascii="Times New Roman" w:hAnsi="Times New Roman"/>
        </w:rPr>
        <w:t>s</w:t>
      </w:r>
      <w:r w:rsidR="00442A3F" w:rsidRPr="00AC4AD8">
        <w:rPr>
          <w:rFonts w:ascii="Times New Roman" w:hAnsi="Times New Roman"/>
        </w:rPr>
        <w:t>, by removing a</w:t>
      </w:r>
      <w:r w:rsidR="004D0FE0" w:rsidRPr="00AC4AD8">
        <w:rPr>
          <w:rFonts w:ascii="Times New Roman" w:hAnsi="Times New Roman"/>
        </w:rPr>
        <w:t>nother</w:t>
      </w:r>
      <w:r w:rsidR="00442A3F" w:rsidRPr="00AC4AD8">
        <w:rPr>
          <w:rFonts w:ascii="Times New Roman" w:hAnsi="Times New Roman"/>
        </w:rPr>
        <w:t xml:space="preserve"> portion of their root systems</w:t>
      </w:r>
      <w:r w:rsidR="00134D7A" w:rsidRPr="00AC4AD8">
        <w:rPr>
          <w:rFonts w:ascii="Times New Roman" w:hAnsi="Times New Roman"/>
        </w:rPr>
        <w:t>.</w:t>
      </w:r>
      <w:r w:rsidR="00EA06EA" w:rsidRPr="00AC4AD8">
        <w:rPr>
          <w:rFonts w:ascii="Times New Roman" w:hAnsi="Times New Roman"/>
        </w:rPr>
        <w:t xml:space="preserve"> Roots were washed with tap water and cleared in 10% potassium hydroxide (KOH) in a water bath at 80˚C for 25 minutes. </w:t>
      </w:r>
      <w:r w:rsidR="00B74117" w:rsidRPr="00AC4AD8">
        <w:rPr>
          <w:rFonts w:ascii="Times New Roman" w:hAnsi="Times New Roman"/>
        </w:rPr>
        <w:t xml:space="preserve">The </w:t>
      </w:r>
      <w:r w:rsidR="00EA06EA" w:rsidRPr="00AC4AD8">
        <w:rPr>
          <w:rFonts w:ascii="Times New Roman" w:hAnsi="Times New Roman"/>
        </w:rPr>
        <w:t xml:space="preserve">KOH was then disposed of and roots were thoroughly washed and dried. Visualization of mycorrhizas in the roots was performed using a modified ink staining method of </w:t>
      </w:r>
      <w:r w:rsidR="00681C4D" w:rsidRPr="00AC4AD8">
        <w:rPr>
          <w:rFonts w:ascii="Times New Roman" w:hAnsi="Times New Roman"/>
        </w:rPr>
        <w:fldChar w:fldCharType="begin" w:fldLock="1"/>
      </w:r>
      <w:r w:rsidR="00681C4D" w:rsidRPr="00AC4AD8">
        <w:rPr>
          <w:rFonts w:ascii="Times New Roman" w:hAnsi="Times New Roman"/>
        </w:rPr>
        <w:instrText>ADDIN CSL_CITATION { "citationItems" : [ { "id" : "ITEM-1", "itemData" : { "ISSN" : "0099-2240", "abstract" : "We developed a reliable, inexpensive, and simple method for staining arbuscular-mycorrhizal fungal colonizations in root tissues. Apart from applications in research, this nontoxic, high-quality staining method also could be of great utility in teaching exercises. After adequate clearing with KOH, an ink-vinegar solution successfully stained all fungal structures, rendering them clearly visible.", "author" : [ { "dropping-particle" : "", "family" : "Vierheilig", "given" : "", "non-dropping-particle" : "", "parse-names" : false, "suffix" : "" }, { "dropping-particle" : "", "family" : "Coughlan", "given" : "", "non-dropping-particle" : "", "parse-names" : false, "suffix" : "" }, { "dropping-particle" : "", "family" : "Wyss", "given" : "", "non-dropping-particle" : "", "parse-names" : false, "suffix" : "" }, { "dropping-particle" : "", "family" : "Piche", "given" : "", "non-dropping-particle" : "", "parse-names" : false, "suffix" : "" } ], "container-title" : "Applied and environmental microbiology", "id" : "ITEM-1", "issue" : "12", "issued" : { "date-parts" : [ [ "1998" ] ] }, "page" : "5004-5007", "publisher-place" : "Centre de Recherche en Biologie Forestiere, Universite Laval, Quebec G1K 7P4, Canada. SRC - Pubmed ID2 - 9835596 FG - 0", "title" : "Ink and vinegar, a simple staining technique for arbuscular-mycorrhizal fungi", "type" : "article-journal", "volume" : "64" }, "uris" : [ "http://www.mendeley.com/documents/?uuid=0d08a82e-05b4-4351-9f65-139fdb1ef36b" ] } ], "mendeley" : { "formattedCitation" : "(Vierheilig et al., 1998)", "manualFormatting" : "Vierheilig et al., (1998)", "plainTextFormattedCitation" : "(Vierheilig et al., 1998)", "previouslyFormattedCitation" : "(Vierheilig et al., 1998)" }, "properties" : { "noteIndex" : 0 }, "schema" : "https://github.com/citation-style-language/schema/raw/master/csl-citation.json" }</w:instrText>
      </w:r>
      <w:r w:rsidR="00681C4D" w:rsidRPr="00AC4AD8">
        <w:rPr>
          <w:rFonts w:ascii="Times New Roman" w:hAnsi="Times New Roman"/>
        </w:rPr>
        <w:fldChar w:fldCharType="separate"/>
      </w:r>
      <w:r w:rsidR="00681C4D" w:rsidRPr="00AC4AD8">
        <w:rPr>
          <w:rFonts w:ascii="Times New Roman" w:hAnsi="Times New Roman"/>
          <w:noProof/>
        </w:rPr>
        <w:t>Vierheilig et al., (1998)</w:t>
      </w:r>
      <w:r w:rsidR="00681C4D" w:rsidRPr="00AC4AD8">
        <w:rPr>
          <w:rFonts w:ascii="Times New Roman" w:hAnsi="Times New Roman"/>
        </w:rPr>
        <w:fldChar w:fldCharType="end"/>
      </w:r>
      <w:r w:rsidR="00EA06EA" w:rsidRPr="00AC4AD8">
        <w:rPr>
          <w:rFonts w:ascii="Times New Roman" w:hAnsi="Times New Roman"/>
        </w:rPr>
        <w:t xml:space="preserve">, whereby commercial ink mixed with 1% </w:t>
      </w:r>
      <w:proofErr w:type="spellStart"/>
      <w:r w:rsidR="00EA06EA" w:rsidRPr="00AC4AD8">
        <w:rPr>
          <w:rFonts w:ascii="Times New Roman" w:hAnsi="Times New Roman"/>
        </w:rPr>
        <w:t>HCl</w:t>
      </w:r>
      <w:proofErr w:type="spellEnd"/>
      <w:r w:rsidR="00EA06EA" w:rsidRPr="00AC4AD8">
        <w:rPr>
          <w:rFonts w:ascii="Times New Roman" w:hAnsi="Times New Roman"/>
        </w:rPr>
        <w:t xml:space="preserve"> and water in the ratio 84.4:15:0.6 was added to the samples and heated at 80˚C in a water bath for 15 minutes. Root samples were stored in stain until ready to be analysed.</w:t>
      </w:r>
    </w:p>
    <w:p w14:paraId="5AFBFA6E" w14:textId="040043D0" w:rsidR="00865076" w:rsidRPr="00AC4AD8" w:rsidRDefault="00EA06EA" w:rsidP="00F03F20">
      <w:pPr>
        <w:spacing w:after="120" w:line="360" w:lineRule="auto"/>
        <w:ind w:firstLine="340"/>
        <w:jc w:val="both"/>
        <w:rPr>
          <w:rFonts w:ascii="Times New Roman" w:hAnsi="Times New Roman"/>
        </w:rPr>
      </w:pPr>
      <w:r w:rsidRPr="00AC4AD8">
        <w:rPr>
          <w:rFonts w:ascii="Times New Roman" w:hAnsi="Times New Roman"/>
        </w:rPr>
        <w:t xml:space="preserve">Percentage root length colonized was obtained with the cross-hair eyepiece method of </w:t>
      </w:r>
      <w:r w:rsidR="00681C4D" w:rsidRPr="00AC4AD8">
        <w:rPr>
          <w:rFonts w:ascii="Times New Roman" w:hAnsi="Times New Roman"/>
        </w:rPr>
        <w:fldChar w:fldCharType="begin" w:fldLock="1"/>
      </w:r>
      <w:r w:rsidR="00997615" w:rsidRPr="00AC4AD8">
        <w:rPr>
          <w:rFonts w:ascii="Times New Roman" w:hAnsi="Times New Roman"/>
        </w:rPr>
        <w:instrText>ADDIN CSL_CITATION { "citationItems" : [ { "id" : "ITEM-1", "itemData" : { "DOI" : "10.1111/j.1469-8137.1990.tb00476.x", "ISSN" : "0028-646X", "author" : [ { "dropping-particle" : "", "family" : "McGonigle", "given" : "T. P.", "non-dropping-particle" : "", "parse-names" : false, "suffix" : "" }, { "dropping-particle" : "", "family" : "Miller", "given" : "M. H.", "non-dropping-particle" : "", "parse-names" : false, "suffix" : "" }, { "dropping-particle" : "", "family" : "Evans", "given" : "D. G.", "non-dropping-particle" : "", "parse-names" : false, "suffix" : "" }, { "dropping-particle" : "", "family" : "Fairchild", "given" : "G. L.", "non-dropping-particle" : "", "parse-names" : false, "suffix" : "" }, { "dropping-particle" : "", "family" : "Swan", "given" : "J. A.", "non-dropping-particle" : "", "parse-names" : false, "suffix" : "" } ], "container-title" : "New Phytologist", "id" : "ITEM-1", "issue" : "3", "issued" : { "date-parts" : [ [ "1990", "7" ] ] }, "page" : "495-501", "title" : "A new method which gives an objective measure of colonization of roots by vesicular-arbuscular mycorrhizal fungi", "type" : "article-journal", "volume" : "115" }, "uris" : [ "http://www.mendeley.com/documents/?uuid=d9f1f6f6-0569-4b82-a50c-56b356de59c2" ] } ], "mendeley" : { "formattedCitation" : "(McGonigle et al., 1990)", "manualFormatting" : "McGonigle et al., (1990)", "plainTextFormattedCitation" : "(McGonigle et al., 1990)", "previouslyFormattedCitation" : "(McGonigle et al., 1990)" }, "properties" : { "noteIndex" : 0 }, "schema" : "https://github.com/citation-style-language/schema/raw/master/csl-citation.json" }</w:instrText>
      </w:r>
      <w:r w:rsidR="00681C4D" w:rsidRPr="00AC4AD8">
        <w:rPr>
          <w:rFonts w:ascii="Times New Roman" w:hAnsi="Times New Roman"/>
        </w:rPr>
        <w:fldChar w:fldCharType="separate"/>
      </w:r>
      <w:r w:rsidR="00681C4D" w:rsidRPr="00AC4AD8">
        <w:rPr>
          <w:rFonts w:ascii="Times New Roman" w:hAnsi="Times New Roman"/>
          <w:noProof/>
        </w:rPr>
        <w:t>McG</w:t>
      </w:r>
      <w:r w:rsidR="00D80EB8" w:rsidRPr="00AC4AD8">
        <w:rPr>
          <w:rFonts w:ascii="Times New Roman" w:hAnsi="Times New Roman"/>
          <w:noProof/>
        </w:rPr>
        <w:t>onigle</w:t>
      </w:r>
      <w:r w:rsidR="00681C4D" w:rsidRPr="00AC4AD8">
        <w:rPr>
          <w:rFonts w:ascii="Times New Roman" w:hAnsi="Times New Roman"/>
          <w:noProof/>
        </w:rPr>
        <w:t xml:space="preserve"> et al., (1990)</w:t>
      </w:r>
      <w:r w:rsidR="00681C4D" w:rsidRPr="00AC4AD8">
        <w:rPr>
          <w:rFonts w:ascii="Times New Roman" w:hAnsi="Times New Roman"/>
        </w:rPr>
        <w:fldChar w:fldCharType="end"/>
      </w:r>
      <w:r w:rsidRPr="00AC4AD8">
        <w:rPr>
          <w:rFonts w:ascii="Times New Roman" w:hAnsi="Times New Roman"/>
        </w:rPr>
        <w:t xml:space="preserve">, whereby samples are spread evenly across a slide and observed at x200 magnification. Each root piece crossing the centre of the eyepiece, or the crosshair, is observed for </w:t>
      </w:r>
      <w:r w:rsidR="000C3A81" w:rsidRPr="00AC4AD8">
        <w:rPr>
          <w:rFonts w:ascii="Times New Roman" w:hAnsi="Times New Roman"/>
        </w:rPr>
        <w:t xml:space="preserve">the </w:t>
      </w:r>
      <w:r w:rsidRPr="00AC4AD8">
        <w:rPr>
          <w:rFonts w:ascii="Times New Roman" w:hAnsi="Times New Roman"/>
        </w:rPr>
        <w:t xml:space="preserve">presence or absence of fungi in the form of hyphae, vesicles or </w:t>
      </w:r>
      <w:proofErr w:type="spellStart"/>
      <w:r w:rsidRPr="00AC4AD8">
        <w:rPr>
          <w:rFonts w:ascii="Times New Roman" w:hAnsi="Times New Roman"/>
        </w:rPr>
        <w:t>arbuscules</w:t>
      </w:r>
      <w:proofErr w:type="spellEnd"/>
      <w:r w:rsidRPr="00AC4AD8">
        <w:rPr>
          <w:rFonts w:ascii="Times New Roman" w:hAnsi="Times New Roman"/>
        </w:rPr>
        <w:t>, and recorded. Approximately 100 counts were obtained from each sample.</w:t>
      </w:r>
    </w:p>
    <w:p w14:paraId="0FC33717" w14:textId="6E7045AA" w:rsidR="00865076"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2.5. </w:t>
      </w:r>
      <w:r w:rsidR="00865076" w:rsidRPr="00AC4AD8">
        <w:rPr>
          <w:rFonts w:ascii="Times New Roman" w:hAnsi="Times New Roman"/>
          <w:i/>
        </w:rPr>
        <w:t>Microarthropod sampling</w:t>
      </w:r>
    </w:p>
    <w:p w14:paraId="4F251AC3" w14:textId="0E132B1F" w:rsidR="00EA06EA" w:rsidRPr="00AC4AD8" w:rsidRDefault="00865076" w:rsidP="00F03F20">
      <w:pPr>
        <w:spacing w:after="120" w:line="360" w:lineRule="auto"/>
        <w:ind w:firstLine="340"/>
        <w:jc w:val="both"/>
        <w:rPr>
          <w:rFonts w:ascii="Times New Roman" w:hAnsi="Times New Roman"/>
        </w:rPr>
      </w:pPr>
      <w:r w:rsidRPr="00AC4AD8">
        <w:rPr>
          <w:rFonts w:ascii="Times New Roman" w:hAnsi="Times New Roman"/>
        </w:rPr>
        <w:t xml:space="preserve">Microarthropod samples were taken </w:t>
      </w:r>
      <w:r w:rsidR="000C3A81" w:rsidRPr="00AC4AD8">
        <w:rPr>
          <w:rFonts w:ascii="Times New Roman" w:hAnsi="Times New Roman"/>
        </w:rPr>
        <w:t xml:space="preserve">from each plot, </w:t>
      </w:r>
      <w:r w:rsidRPr="00AC4AD8">
        <w:rPr>
          <w:rFonts w:ascii="Times New Roman" w:hAnsi="Times New Roman"/>
        </w:rPr>
        <w:t>every two months between September 2011 and July 2012</w:t>
      </w:r>
      <w:r w:rsidR="000C3A81" w:rsidRPr="00AC4AD8">
        <w:rPr>
          <w:rFonts w:ascii="Times New Roman" w:hAnsi="Times New Roman"/>
        </w:rPr>
        <w:t>.</w:t>
      </w:r>
      <w:r w:rsidRPr="00AC4AD8">
        <w:rPr>
          <w:rFonts w:ascii="Times New Roman" w:hAnsi="Times New Roman"/>
        </w:rPr>
        <w:t xml:space="preserve"> </w:t>
      </w:r>
      <w:r w:rsidR="000C3A81" w:rsidRPr="00AC4AD8">
        <w:rPr>
          <w:rFonts w:ascii="Times New Roman" w:hAnsi="Times New Roman"/>
        </w:rPr>
        <w:t>A</w:t>
      </w:r>
      <w:r w:rsidRPr="00AC4AD8">
        <w:rPr>
          <w:rFonts w:ascii="Times New Roman" w:hAnsi="Times New Roman"/>
        </w:rPr>
        <w:t xml:space="preserve"> 5cm diameter soil corer</w:t>
      </w:r>
      <w:r w:rsidR="000C3A81" w:rsidRPr="00AC4AD8">
        <w:rPr>
          <w:rFonts w:ascii="Times New Roman" w:hAnsi="Times New Roman"/>
        </w:rPr>
        <w:t xml:space="preserve"> was pushed</w:t>
      </w:r>
      <w:r w:rsidRPr="00AC4AD8">
        <w:rPr>
          <w:rFonts w:ascii="Times New Roman" w:hAnsi="Times New Roman"/>
        </w:rPr>
        <w:t xml:space="preserve"> down to the roof lining</w:t>
      </w:r>
      <w:r w:rsidR="008D3635" w:rsidRPr="00AC4AD8">
        <w:rPr>
          <w:rFonts w:ascii="Times New Roman" w:hAnsi="Times New Roman"/>
        </w:rPr>
        <w:t xml:space="preserve"> at approximately 7.5</w:t>
      </w:r>
      <w:r w:rsidRPr="00AC4AD8">
        <w:rPr>
          <w:rFonts w:ascii="Times New Roman" w:hAnsi="Times New Roman"/>
        </w:rPr>
        <w:t xml:space="preserve">cm. This was </w:t>
      </w:r>
      <w:r w:rsidR="000C3A81" w:rsidRPr="00AC4AD8">
        <w:rPr>
          <w:rFonts w:ascii="Times New Roman" w:hAnsi="Times New Roman"/>
        </w:rPr>
        <w:t>repeated once in each plot</w:t>
      </w:r>
      <w:r w:rsidRPr="00AC4AD8">
        <w:rPr>
          <w:rFonts w:ascii="Times New Roman" w:hAnsi="Times New Roman"/>
        </w:rPr>
        <w:t xml:space="preserve"> </w:t>
      </w:r>
      <w:r w:rsidR="000C3A81" w:rsidRPr="00AC4AD8">
        <w:rPr>
          <w:rFonts w:ascii="Times New Roman" w:hAnsi="Times New Roman"/>
        </w:rPr>
        <w:t>and the two</w:t>
      </w:r>
      <w:r w:rsidRPr="00AC4AD8">
        <w:rPr>
          <w:rFonts w:ascii="Times New Roman" w:hAnsi="Times New Roman"/>
        </w:rPr>
        <w:t xml:space="preserve"> samples pooled to overcome problems associated with clumped microarthropod distributions</w:t>
      </w:r>
      <w:r w:rsidR="00E1267A" w:rsidRPr="00AC4AD8">
        <w:rPr>
          <w:rFonts w:ascii="Times New Roman" w:hAnsi="Times New Roman"/>
        </w:rPr>
        <w:t xml:space="preserve"> </w:t>
      </w:r>
      <w:r w:rsidR="00E1267A" w:rsidRPr="00AC4AD8">
        <w:rPr>
          <w:rFonts w:ascii="Times New Roman" w:hAnsi="Times New Roman"/>
        </w:rPr>
        <w:fldChar w:fldCharType="begin" w:fldLock="1"/>
      </w:r>
      <w:r w:rsidR="004B1897" w:rsidRPr="00AC4AD8">
        <w:rPr>
          <w:rFonts w:ascii="Times New Roman" w:hAnsi="Times New Roman"/>
        </w:rPr>
        <w:instrText>ADDIN CSL_CITATION { "citationItems" : [ { "id" : "ITEM-1", "itemData" : { "DOI" : "doi:10.1016/S0169-5347(02)02496-5", "author" : [ { "dropping-particle" : "", "family" : "Ettema", "given" : "Christien H.", "non-dropping-particle" : "", "parse-names" : false, "suffix" : "" }, { "dropping-particle" : "", "family" : "Wardle", "given" : "David A", "non-dropping-particle" : "", "parse-names" : false, "suffix" : "" } ], "container-title" : "Trends in Ecology and Evolution", "id" : "ITEM-1", "issued" : { "date-parts" : [ [ "2002" ] ] }, "page" : "177-183", "title" : "Spatial soil ecology", "type" : "article-journal", "volume" : "17" }, "uris" : [ "http://www.mendeley.com/documents/?uuid=15a0c65f-bf97-43d2-82b5-862b9920ee66" ] } ], "mendeley" : { "formattedCitation" : "(Ettema and Wardle, 2002)", "plainTextFormattedCitation" : "(Ettema and Wardle, 2002)", "previouslyFormattedCitation" : "(Ettema and Wardle, 2002)" }, "properties" : { "noteIndex" : 0 }, "schema" : "https://github.com/citation-style-language/schema/raw/master/csl-citation.json" }</w:instrText>
      </w:r>
      <w:r w:rsidR="00E1267A" w:rsidRPr="00AC4AD8">
        <w:rPr>
          <w:rFonts w:ascii="Times New Roman" w:hAnsi="Times New Roman"/>
        </w:rPr>
        <w:fldChar w:fldCharType="separate"/>
      </w:r>
      <w:r w:rsidR="00E1267A" w:rsidRPr="00AC4AD8">
        <w:rPr>
          <w:rFonts w:ascii="Times New Roman" w:hAnsi="Times New Roman"/>
          <w:noProof/>
        </w:rPr>
        <w:t>(Ettema and Wardle, 2002)</w:t>
      </w:r>
      <w:r w:rsidR="00E1267A" w:rsidRPr="00AC4AD8">
        <w:rPr>
          <w:rFonts w:ascii="Times New Roman" w:hAnsi="Times New Roman"/>
        </w:rPr>
        <w:fldChar w:fldCharType="end"/>
      </w:r>
      <w:r w:rsidR="000C3A81" w:rsidRPr="00AC4AD8">
        <w:rPr>
          <w:rFonts w:ascii="Times New Roman" w:hAnsi="Times New Roman"/>
        </w:rPr>
        <w:t>. This resulted in a 295</w:t>
      </w:r>
      <w:r w:rsidRPr="00AC4AD8">
        <w:rPr>
          <w:rFonts w:ascii="Times New Roman" w:hAnsi="Times New Roman"/>
        </w:rPr>
        <w:t>cm</w:t>
      </w:r>
      <w:r w:rsidRPr="00AC4AD8">
        <w:rPr>
          <w:rFonts w:ascii="Times New Roman" w:hAnsi="Times New Roman"/>
          <w:vertAlign w:val="superscript"/>
        </w:rPr>
        <w:t>3</w:t>
      </w:r>
      <w:r w:rsidRPr="00AC4AD8">
        <w:rPr>
          <w:rFonts w:ascii="Times New Roman" w:hAnsi="Times New Roman"/>
        </w:rPr>
        <w:t xml:space="preserve"> sample </w:t>
      </w:r>
      <w:r w:rsidR="000C3A81" w:rsidRPr="00AC4AD8">
        <w:rPr>
          <w:rFonts w:ascii="Times New Roman" w:hAnsi="Times New Roman"/>
        </w:rPr>
        <w:t xml:space="preserve">of substrate </w:t>
      </w:r>
      <w:r w:rsidRPr="00AC4AD8">
        <w:rPr>
          <w:rFonts w:ascii="Times New Roman" w:hAnsi="Times New Roman"/>
        </w:rPr>
        <w:t>from each plot</w:t>
      </w:r>
      <w:proofErr w:type="gramStart"/>
      <w:r w:rsidRPr="00AC4AD8">
        <w:rPr>
          <w:rFonts w:ascii="Times New Roman" w:hAnsi="Times New Roman"/>
        </w:rPr>
        <w:t>.</w:t>
      </w:r>
      <w:r w:rsidR="00134D7A" w:rsidRPr="00AC4AD8">
        <w:rPr>
          <w:rFonts w:ascii="Times New Roman" w:hAnsi="Times New Roman"/>
        </w:rPr>
        <w:t>.</w:t>
      </w:r>
      <w:proofErr w:type="gramEnd"/>
      <w:r w:rsidR="00134D7A" w:rsidRPr="00AC4AD8">
        <w:rPr>
          <w:rFonts w:ascii="Times New Roman" w:hAnsi="Times New Roman"/>
        </w:rPr>
        <w:t xml:space="preserve"> </w:t>
      </w:r>
      <w:r w:rsidR="00E514D8" w:rsidRPr="00AC4AD8">
        <w:rPr>
          <w:rFonts w:ascii="Times New Roman" w:hAnsi="Times New Roman"/>
        </w:rPr>
        <w:t>T</w:t>
      </w:r>
      <w:r w:rsidR="00134D7A" w:rsidRPr="00AC4AD8">
        <w:rPr>
          <w:rFonts w:ascii="Times New Roman" w:hAnsi="Times New Roman"/>
        </w:rPr>
        <w:t xml:space="preserve">he soil sample was </w:t>
      </w:r>
      <w:r w:rsidR="00EA06EA" w:rsidRPr="00AC4AD8">
        <w:rPr>
          <w:rFonts w:ascii="Times New Roman" w:hAnsi="Times New Roman"/>
        </w:rPr>
        <w:t xml:space="preserve">weighed to obtain wet weight and then placed in Berlese </w:t>
      </w:r>
      <w:proofErr w:type="spellStart"/>
      <w:r w:rsidR="00EA06EA" w:rsidRPr="00AC4AD8">
        <w:rPr>
          <w:rFonts w:ascii="Times New Roman" w:hAnsi="Times New Roman"/>
        </w:rPr>
        <w:t>Tullgren</w:t>
      </w:r>
      <w:proofErr w:type="spellEnd"/>
      <w:r w:rsidR="00EA06EA" w:rsidRPr="00AC4AD8">
        <w:rPr>
          <w:rFonts w:ascii="Times New Roman" w:hAnsi="Times New Roman"/>
        </w:rPr>
        <w:t xml:space="preserve"> funnels at approximately 18˚C for 7 days </w:t>
      </w:r>
      <w:r w:rsidR="004D143A" w:rsidRPr="00AC4AD8">
        <w:rPr>
          <w:rFonts w:ascii="Times New Roman" w:hAnsi="Times New Roman"/>
        </w:rPr>
        <w:fldChar w:fldCharType="begin" w:fldLock="1"/>
      </w:r>
      <w:r w:rsidR="001C3B27" w:rsidRPr="00AC4AD8">
        <w:rPr>
          <w:rFonts w:ascii="Times New Roman" w:hAnsi="Times New Roman"/>
        </w:rPr>
        <w:instrText>ADDIN CSL_CITATION { "citationItems" : [ { "id" : "ITEM-1", "itemData" : { "DOI" : "10.2307/1691", "author" : [ { "dropping-particle" : "", "family" : "MacFadyen", "given" : "A.", "non-dropping-particle" : "", "parse-names" : false, "suffix" : "" } ], "container-title" : "Journal of Animal Ecology", "id" : "ITEM-1", "issued" : { "date-parts" : [ [ "1953" ] ] }, "page" : "65-77", "title" : "Notes on methods for the extraction of small soil arthropods", "type" : "article-journal", "volume" : "22" }, "uris" : [ "http://www.mendeley.com/documents/?uuid=977309db-73aa-445b-ac82-0773519af596" ] } ], "mendeley" : { "formattedCitation" : "(MacFadyen, 1953)", "plainTextFormattedCitation" : "(MacFadyen, 1953)", "previouslyFormattedCitation" : "(MacFadyen, 1953)"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(MacFadyen, 1953)</w:t>
      </w:r>
      <w:r w:rsidR="004D143A" w:rsidRPr="00AC4AD8">
        <w:rPr>
          <w:rFonts w:ascii="Times New Roman" w:hAnsi="Times New Roman"/>
        </w:rPr>
        <w:fldChar w:fldCharType="end"/>
      </w:r>
      <w:r w:rsidR="002067DE" w:rsidRPr="00AC4AD8">
        <w:rPr>
          <w:rFonts w:ascii="Times New Roman" w:hAnsi="Times New Roman"/>
        </w:rPr>
        <w:t>, after which the substrate was reweighed to obtain dry weight</w:t>
      </w:r>
      <w:r w:rsidR="00EA06EA" w:rsidRPr="00AC4AD8">
        <w:rPr>
          <w:rFonts w:ascii="Times New Roman" w:hAnsi="Times New Roman"/>
        </w:rPr>
        <w:t>.</w:t>
      </w:r>
      <w:r w:rsidR="002067DE" w:rsidRPr="00AC4AD8">
        <w:rPr>
          <w:rFonts w:ascii="Times New Roman" w:hAnsi="Times New Roman"/>
        </w:rPr>
        <w:t xml:space="preserve"> Substrate water content at the time of sampling could then be calculated.</w:t>
      </w:r>
      <w:r w:rsidR="00EA06EA" w:rsidRPr="00AC4AD8">
        <w:rPr>
          <w:rFonts w:ascii="Times New Roman" w:hAnsi="Times New Roman"/>
        </w:rPr>
        <w:t xml:space="preserve"> Soil organisms were collected in 70% ethanol and stored until further analysis. Microarthropods were sorted to morphospecies using a dissecting microscope at x100 magnification. Species identification, where possible, was then performed at higher magnifications (x200-1000) using a compound microscope. In the case of mites, this was usually restricted to the most prevalent mite</w:t>
      </w:r>
      <w:r w:rsidR="000C3A81" w:rsidRPr="00AC4AD8">
        <w:rPr>
          <w:rFonts w:ascii="Times New Roman" w:hAnsi="Times New Roman"/>
        </w:rPr>
        <w:t>s</w:t>
      </w:r>
      <w:r w:rsidR="00EA06EA" w:rsidRPr="00AC4AD8">
        <w:rPr>
          <w:rFonts w:ascii="Times New Roman" w:hAnsi="Times New Roman"/>
        </w:rPr>
        <w:t>, and species level identifications were rare</w:t>
      </w:r>
      <w:r w:rsidR="00E82A83" w:rsidRPr="00AC4AD8">
        <w:rPr>
          <w:rFonts w:ascii="Times New Roman" w:hAnsi="Times New Roman"/>
        </w:rPr>
        <w:t>ly obtained</w:t>
      </w:r>
      <w:r w:rsidR="00EA06EA" w:rsidRPr="00AC4AD8">
        <w:rPr>
          <w:rFonts w:ascii="Times New Roman" w:hAnsi="Times New Roman"/>
        </w:rPr>
        <w:t xml:space="preserve">. Less common mites were identified to the highest level possible or assigned a morphospecies. All </w:t>
      </w:r>
      <w:r w:rsidR="00DB5301" w:rsidRPr="00AC4AD8">
        <w:rPr>
          <w:rFonts w:ascii="Times New Roman" w:hAnsi="Times New Roman"/>
        </w:rPr>
        <w:t>C</w:t>
      </w:r>
      <w:r w:rsidR="00EA06EA" w:rsidRPr="00AC4AD8">
        <w:rPr>
          <w:rFonts w:ascii="Times New Roman" w:hAnsi="Times New Roman"/>
        </w:rPr>
        <w:t xml:space="preserve">ollembola </w:t>
      </w:r>
      <w:r w:rsidR="000C3A81" w:rsidRPr="00AC4AD8">
        <w:rPr>
          <w:rFonts w:ascii="Times New Roman" w:hAnsi="Times New Roman"/>
        </w:rPr>
        <w:t xml:space="preserve">and </w:t>
      </w:r>
      <w:proofErr w:type="spellStart"/>
      <w:r w:rsidR="00DB5301" w:rsidRPr="00AC4AD8">
        <w:rPr>
          <w:rFonts w:ascii="Times New Roman" w:hAnsi="Times New Roman"/>
        </w:rPr>
        <w:t>H</w:t>
      </w:r>
      <w:r w:rsidR="000C3A81" w:rsidRPr="00AC4AD8">
        <w:rPr>
          <w:rFonts w:ascii="Times New Roman" w:hAnsi="Times New Roman"/>
        </w:rPr>
        <w:t>emiptera</w:t>
      </w:r>
      <w:proofErr w:type="spellEnd"/>
      <w:r w:rsidR="000C3A81" w:rsidRPr="00AC4AD8">
        <w:rPr>
          <w:rFonts w:ascii="Times New Roman" w:hAnsi="Times New Roman"/>
        </w:rPr>
        <w:t xml:space="preserve"> </w:t>
      </w:r>
      <w:r w:rsidR="00EA06EA" w:rsidRPr="00AC4AD8">
        <w:rPr>
          <w:rFonts w:ascii="Times New Roman" w:hAnsi="Times New Roman"/>
        </w:rPr>
        <w:t>wer</w:t>
      </w:r>
      <w:r w:rsidR="000C3A81" w:rsidRPr="00AC4AD8">
        <w:rPr>
          <w:rFonts w:ascii="Times New Roman" w:hAnsi="Times New Roman"/>
        </w:rPr>
        <w:t>e identified to species level. Larvae of flying insects were identified where possible, but more commonly were assigned a morphospecies.</w:t>
      </w:r>
    </w:p>
    <w:p w14:paraId="5D808786" w14:textId="2E3BDB77" w:rsidR="00865076" w:rsidRPr="00AC4AD8" w:rsidRDefault="00EA06EA" w:rsidP="00F03F20">
      <w:pPr>
        <w:spacing w:after="120" w:line="360" w:lineRule="auto"/>
        <w:ind w:firstLine="340"/>
        <w:jc w:val="both"/>
        <w:rPr>
          <w:rFonts w:ascii="Times New Roman" w:hAnsi="Times New Roman"/>
        </w:rPr>
      </w:pPr>
      <w:r w:rsidRPr="00AC4AD8">
        <w:rPr>
          <w:rFonts w:ascii="Times New Roman" w:hAnsi="Times New Roman"/>
        </w:rPr>
        <w:t xml:space="preserve">Collembola were identified using </w:t>
      </w:r>
      <w:r w:rsidR="004D143A" w:rsidRPr="00AC4AD8">
        <w:rPr>
          <w:rFonts w:ascii="Times New Roman" w:hAnsi="Times New Roman"/>
        </w:rPr>
        <w:fldChar w:fldCharType="begin" w:fldLock="1"/>
      </w:r>
      <w:r w:rsidR="004D143A" w:rsidRPr="00AC4AD8">
        <w:rPr>
          <w:rFonts w:ascii="Times New Roman" w:hAnsi="Times New Roman"/>
        </w:rPr>
        <w:instrText>ADDIN CSL_CITATION { "citationItems" : [ { "id" : "ITEM-1", "itemData" : { "author" : [ { "dropping-particle" : "", "family" : "Hopkin", "given" : "S. P.", "non-dropping-particle" : "", "parse-names" : false, "suffix" : "" } ], "id" : "ITEM-1", "issued" : { "date-parts" : [ [ "2007" ] ] }, "publisher" : "FSC Publications", "publisher-place" : "Shrewsbury", "title" : "A key to the Collembola (Springtails) of Britain and Ireland", "type" : "book" }, "uris" : [ "http://www.mendeley.com/documents/?uuid=7eb1c94e-cda3-40c7-ae9c-171145b30bb6" ] } ], "mendeley" : { "formattedCitation" : "(Hopkin, 2007)", "manualFormatting" : "Hopkin, (2007)", "plainTextFormattedCitation" : "(Hopkin, 2007)", "previouslyFormattedCitation" : "(Hopkin, 2007)"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Hopkin, (2007)</w:t>
      </w:r>
      <w:r w:rsidR="004D143A" w:rsidRPr="00AC4AD8">
        <w:rPr>
          <w:rFonts w:ascii="Times New Roman" w:hAnsi="Times New Roman"/>
        </w:rPr>
        <w:fldChar w:fldCharType="end"/>
      </w:r>
      <w:r w:rsidRPr="00AC4AD8">
        <w:rPr>
          <w:rFonts w:ascii="Times New Roman" w:hAnsi="Times New Roman"/>
        </w:rPr>
        <w:t xml:space="preserve">. Mites were identified using </w:t>
      </w:r>
      <w:r w:rsidR="004D143A"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"Strandtmann", "given" : "R W", "non-dropping-particle" : "", "parse-names" : false, "suffix" : "" } ], "container-title" : "Pacific Insects", "id" : "ITEM-1", "issued" : { "date-parts" : [ [ "1971" ] ] }, "note" : "[Original String]:\n329. Strandtmann, R.W., (1971) The Eupodid mites of Alaska (Acarina: Prostigmata). Pacific Insects, 13, 75-118", "page" : "75-118", "title" : "The Eupodid mites of Alaska (Acarina: Prostigmata).", "type" : "article-journal", "volume" : "13" }, "uris" : [ "http://www.mendeley.com/documents/?uuid=09bf2930-2f08-438b-a138-79cd89cce547" ] } ], "mendeley" : { "formattedCitation" : "(Strandtmann, 1971)", "manualFormatting" : "Strandtmann (1971)", "plainTextFormattedCitation" : "(Strandtmann, 1971)", "previouslyFormattedCitation" : "(Strandtmann, 1971)"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Strandtmann (1971)</w:t>
      </w:r>
      <w:r w:rsidR="004D143A" w:rsidRPr="00AC4AD8">
        <w:rPr>
          <w:rFonts w:ascii="Times New Roman" w:hAnsi="Times New Roman"/>
        </w:rPr>
        <w:fldChar w:fldCharType="end"/>
      </w:r>
      <w:r w:rsidRPr="00AC4AD8">
        <w:rPr>
          <w:rFonts w:ascii="Times New Roman" w:hAnsi="Times New Roman"/>
        </w:rPr>
        <w:t xml:space="preserve">, </w:t>
      </w:r>
      <w:r w:rsidR="004D143A"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"Strandtmann", "given" : "R W", "non-dropping-particle" : "", "parse-names" : false, "suffix" : "" }, { "dropping-particle" : "", "family" : "Davies", "given" : "L", "non-dropping-particle" : "", "parse-names" : false, "suffix" : "" } ], "container-title" : "Pacific Insects", "id" : "ITEM-1", "issued" : { "date-parts" : [ [ "1972" ] ] }, "note" : "[Original String]:\n330. Strandtmann, R.W. &amp;amp; Davies, L., (1972) Eupodiform mites from Possession Island, Crozet Islands, with a key to the species of Eupodes (Acarina: Prostigmata). Pacific Insects, 14, 39-56", "page" : "39-56", "title" : "Eupodiform mites from Possession with a key to the species of Eupodes (Acarina: Prostigmata).", "type" : "article-journal", "volume" : "14" }, "uris" : [ "http://www.mendeley.com/documents/?uuid=b1fc6192-a186-45d3-9e3b-81cfd16f2293" ] } ], "mendeley" : { "formattedCitation" : "(Strandtmann and Davies, 1972)", "manualFormatting" : "Strandtmann and Davies (1972)", "plainTextFormattedCitation" : "(Strandtmann and Davies, 1972)", "previouslyFormattedCitation" : "(Strandtmann and Davies, 1972)"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Strandtmann and Davies (1972)</w:t>
      </w:r>
      <w:r w:rsidR="004D143A" w:rsidRPr="00AC4AD8">
        <w:rPr>
          <w:rFonts w:ascii="Times New Roman" w:hAnsi="Times New Roman"/>
        </w:rPr>
        <w:fldChar w:fldCharType="end"/>
      </w:r>
      <w:r w:rsidRPr="00AC4AD8">
        <w:rPr>
          <w:rFonts w:ascii="Times New Roman" w:hAnsi="Times New Roman"/>
        </w:rPr>
        <w:t>,</w:t>
      </w:r>
      <w:r w:rsidR="00791BA3" w:rsidRPr="00AC4AD8" w:rsidDel="00791BA3">
        <w:rPr>
          <w:rFonts w:ascii="Times New Roman" w:hAnsi="Times New Roman"/>
        </w:rPr>
        <w:t xml:space="preserve"> </w:t>
      </w:r>
      <w:r w:rsidR="00791BA3"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"URL" : "http://keys.lucidcentral.org/keys/cpitt/public/mites/Soil Mites/Index.html", "author" : [ { "dropping-particle" : "", "family" : "Walter", "given" : "P.", "non-dropping-particle" : "", "parse-names" : false, "suffix" : "" }, { "dropping-particle" : "", "family" : "Proctor", "given" : "H.", "non-dropping-particle" : "", "parse-names" : false, "suffix" : "" } ], "id" : "ITEM-1", "issued" : { "date-parts" : [ [ "2001" ] ] }, "title" : "Mites in soil - Orders, suborders, cohorts", "type" : "webpage" }, "uris" : [ "http://www.mendeley.com/documents/?uuid=57cea543-509b-4e59-8240-dbbb5a481874" ] } ], "mendeley" : { "formattedCitation" : "(Walter and Proctor, 2001)", "manualFormatting" : "Walter and Proctor (2001", "plainTextFormattedCitation" : "(Walter and Proctor, 2001)", "previouslyFormattedCitation" : "(Walter and Proctor, 2001)" }, "properties" : { "noteIndex" : 0 }, "schema" : "https://github.com/citation-style-language/schema/raw/master/csl-citation.json" }</w:instrText>
      </w:r>
      <w:r w:rsidR="00791BA3" w:rsidRPr="00AC4AD8">
        <w:rPr>
          <w:rFonts w:ascii="Times New Roman" w:hAnsi="Times New Roman"/>
        </w:rPr>
        <w:fldChar w:fldCharType="separate"/>
      </w:r>
      <w:r w:rsidR="00791BA3" w:rsidRPr="00AC4AD8">
        <w:rPr>
          <w:rFonts w:ascii="Times New Roman" w:hAnsi="Times New Roman"/>
          <w:noProof/>
        </w:rPr>
        <w:t xml:space="preserve">Walter and Proctor </w:t>
      </w:r>
      <w:r w:rsidR="009A252C" w:rsidRPr="00AC4AD8">
        <w:rPr>
          <w:rFonts w:ascii="Times New Roman" w:hAnsi="Times New Roman"/>
          <w:noProof/>
        </w:rPr>
        <w:t>(</w:t>
      </w:r>
      <w:r w:rsidR="00791BA3" w:rsidRPr="00AC4AD8">
        <w:rPr>
          <w:rFonts w:ascii="Times New Roman" w:hAnsi="Times New Roman"/>
          <w:noProof/>
        </w:rPr>
        <w:t>2001</w:t>
      </w:r>
      <w:r w:rsidR="00791BA3" w:rsidRPr="00AC4AD8">
        <w:rPr>
          <w:rFonts w:ascii="Times New Roman" w:hAnsi="Times New Roman"/>
        </w:rPr>
        <w:fldChar w:fldCharType="end"/>
      </w:r>
      <w:r w:rsidR="009A252C" w:rsidRPr="00AC4AD8">
        <w:rPr>
          <w:rFonts w:ascii="Times New Roman" w:hAnsi="Times New Roman"/>
        </w:rPr>
        <w:t>)</w:t>
      </w:r>
      <w:r w:rsidRPr="00AC4AD8">
        <w:rPr>
          <w:rFonts w:ascii="Times New Roman" w:hAnsi="Times New Roman"/>
        </w:rPr>
        <w:t xml:space="preserve"> and </w:t>
      </w:r>
      <w:r w:rsidR="004D143A"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"Krantz", "given" : "G. W.", "non-dropping-particle" : "", "parse-names" : false, "suffix" : "" }, { "dropping-particle" : "", "family" : "Walter", "given" : "D. E.", "non-dropping-particle" : "", "parse-names" : false, "suffix" : "" } ], "edition" : "3", "id" : "ITEM-1", "issued" : { "date-parts" : [ [ "2009" ] ] }, "publisher" : "Texas Tech University Press", "publisher-place" : "Lubbock", "title" : "A manual of acarology,", "type" : "book" }, "uris" : [ "http://www.mendeley.com/documents/?uuid=576b5a3a-a4a9-4c83-ba22-07f45ced266b" ] } ], "mendeley" : { "formattedCitation" : "(Krantz and Walter, 2009)", "manualFormatting" : "Krantz and Walter (2009)", "plainTextFormattedCitation" : "(Krantz and Walter, 2009)", "previouslyFormattedCitation" : "(Krantz and Walter, 2009)"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Krantz and Walter (2009)</w:t>
      </w:r>
      <w:r w:rsidR="004D143A" w:rsidRPr="00AC4AD8">
        <w:rPr>
          <w:rFonts w:ascii="Times New Roman" w:hAnsi="Times New Roman"/>
        </w:rPr>
        <w:fldChar w:fldCharType="end"/>
      </w:r>
      <w:r w:rsidRPr="00AC4AD8">
        <w:rPr>
          <w:rFonts w:ascii="Times New Roman" w:hAnsi="Times New Roman"/>
        </w:rPr>
        <w:t xml:space="preserve">. </w:t>
      </w:r>
      <w:proofErr w:type="spellStart"/>
      <w:r w:rsidRPr="00AC4AD8">
        <w:rPr>
          <w:rFonts w:ascii="Times New Roman" w:hAnsi="Times New Roman"/>
        </w:rPr>
        <w:t>Hemiptera</w:t>
      </w:r>
      <w:proofErr w:type="spellEnd"/>
      <w:r w:rsidRPr="00AC4AD8">
        <w:rPr>
          <w:rFonts w:ascii="Times New Roman" w:hAnsi="Times New Roman"/>
        </w:rPr>
        <w:t xml:space="preserve"> were identified using </w:t>
      </w:r>
      <w:r w:rsidR="004D143A"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"author" : [ { "dropping-particle" : "", "family" : "Southwood", "given" : "T. R. E.", "non-dropping-particle" : "", "parse-names" : false, "suffix" : "" }, { "dropping-particle" : "", "family" : "Leston", "given" : "D.", "non-dropping-particle" : "", "parse-names" : false, "suffix" : "" } ], "id" : "ITEM-1", "issued" : { "date-parts" : [ [ "2005" ] ] }, "publisher" : "Pisces Conservation", "publisher-place" : "New Milton", "title" : "Land and water bugs of the British Isles", "type" : "book" }, "uris" : [ "http://www.mendeley.com/documents/?uuid=4657bbe3-76f9-4c45-aff2-53a29aac8985" ] } ], "mendeley" : { "formattedCitation" : "(Southwood and Leston, 2005)", "manualFormatting" : "Southwood and Leston (2005)", "plainTextFormattedCitation" : "(Southwood and Leston, 2005)", "previouslyFormattedCitation" : "(Southwood and Leston, 2005)" }, "properties" : { "noteIndex" : 0 }, "schema" : "https://github.com/citation-style-language/schema/raw/master/csl-citation.json" }</w:instrText>
      </w:r>
      <w:r w:rsidR="004D143A" w:rsidRPr="00AC4AD8">
        <w:rPr>
          <w:rFonts w:ascii="Times New Roman" w:hAnsi="Times New Roman"/>
        </w:rPr>
        <w:fldChar w:fldCharType="separate"/>
      </w:r>
      <w:r w:rsidR="004D143A" w:rsidRPr="00AC4AD8">
        <w:rPr>
          <w:rFonts w:ascii="Times New Roman" w:hAnsi="Times New Roman"/>
          <w:noProof/>
        </w:rPr>
        <w:t>Southwood and Leston (2005)</w:t>
      </w:r>
      <w:r w:rsidR="004D143A" w:rsidRPr="00AC4AD8">
        <w:rPr>
          <w:rFonts w:ascii="Times New Roman" w:hAnsi="Times New Roman"/>
        </w:rPr>
        <w:fldChar w:fldCharType="end"/>
      </w:r>
      <w:r w:rsidR="00E82A83" w:rsidRPr="00AC4AD8">
        <w:rPr>
          <w:rFonts w:ascii="Times New Roman" w:hAnsi="Times New Roman"/>
        </w:rPr>
        <w:t>.</w:t>
      </w:r>
    </w:p>
    <w:p w14:paraId="26DC13F8" w14:textId="2A9F1A7B" w:rsidR="009347BE"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2.6. </w:t>
      </w:r>
      <w:r w:rsidR="009347BE" w:rsidRPr="00AC4AD8">
        <w:rPr>
          <w:rFonts w:ascii="Times New Roman" w:hAnsi="Times New Roman"/>
          <w:i/>
        </w:rPr>
        <w:t>Statistical analysis</w:t>
      </w:r>
    </w:p>
    <w:p w14:paraId="1215AAB5" w14:textId="50DA56B2" w:rsidR="005A4D97" w:rsidRPr="00AC4AD8" w:rsidRDefault="009347BE" w:rsidP="00F03F20">
      <w:pPr>
        <w:spacing w:after="120" w:line="360" w:lineRule="auto"/>
        <w:ind w:firstLine="340"/>
        <w:jc w:val="both"/>
        <w:rPr>
          <w:rFonts w:ascii="Times New Roman" w:hAnsi="Times New Roman"/>
        </w:rPr>
      </w:pPr>
      <w:r w:rsidRPr="00AC4AD8">
        <w:rPr>
          <w:rFonts w:ascii="Times New Roman" w:hAnsi="Times New Roman"/>
        </w:rPr>
        <w:t xml:space="preserve">Analysis was performed using SPSS 22.0, except PCA, which was performed using R </w:t>
      </w:r>
      <w:r w:rsidRPr="00AC4AD8">
        <w:rPr>
          <w:rFonts w:ascii="Times New Roman" w:hAnsi="Times New Roman"/>
        </w:rPr>
        <w:fldChar w:fldCharType="begin" w:fldLock="1"/>
      </w:r>
      <w:r w:rsidR="00791BA3" w:rsidRPr="00AC4AD8">
        <w:rPr>
          <w:rFonts w:ascii="Times New Roman" w:hAnsi="Times New Roman"/>
        </w:rPr>
        <w:instrText>ADDIN CSL_CITATION { "citationItems" : [ { "id" : "ITEM-1", "itemData" : { "author" : [ { "dropping-particle" : "", "family" : "R Core Team", "given" : "", "non-dropping-particle" : "", "parse-names" : false, "suffix" : "" } ], "id" : "ITEM-1", "issued" : { "date-parts" : [ [ "2015" ] ] }, "page" : "R Foundation for Statistical Computing, Vienna, Au", "title" : "R: A language and environment for statistical computing", "type" : "article" }, "uris" : [ "http://www.mendeley.com/documents/?uuid=e708163c-9371-4c3c-b98a-6ecc22113aa2" ] } ], "mendeley" : { "formattedCitation" : "(R Core Team, 2015)", "plainTextFormattedCitation" : "(R Core Team, 2015)", "previouslyFormattedCitation" : "(R Core Team, 2015)" }, "properties" : { "noteIndex" : 0 }, "schema" : "https://github.com/citation-style-language/schema/raw/master/csl-citation.json" }</w:instrText>
      </w:r>
      <w:r w:rsidRPr="00AC4AD8">
        <w:rPr>
          <w:rFonts w:ascii="Times New Roman" w:hAnsi="Times New Roman"/>
        </w:rPr>
        <w:fldChar w:fldCharType="separate"/>
      </w:r>
      <w:r w:rsidR="00CD44A6" w:rsidRPr="00AC4AD8">
        <w:rPr>
          <w:rFonts w:ascii="Times New Roman" w:hAnsi="Times New Roman"/>
          <w:noProof/>
        </w:rPr>
        <w:t>(R Core Team, 2015)</w:t>
      </w:r>
      <w:r w:rsidRPr="00AC4AD8">
        <w:rPr>
          <w:rFonts w:ascii="Times New Roman" w:hAnsi="Times New Roman"/>
        </w:rPr>
        <w:fldChar w:fldCharType="end"/>
      </w:r>
      <w:r w:rsidRPr="00AC4AD8">
        <w:rPr>
          <w:rFonts w:ascii="Times New Roman" w:hAnsi="Times New Roman"/>
        </w:rPr>
        <w:t xml:space="preserve">. </w:t>
      </w:r>
      <w:r w:rsidR="002067DE" w:rsidRPr="00AC4AD8">
        <w:rPr>
          <w:rFonts w:ascii="Times New Roman" w:hAnsi="Times New Roman"/>
        </w:rPr>
        <w:t xml:space="preserve">Diversity of vegetation was measured using </w:t>
      </w:r>
      <w:r w:rsidR="009B68D0" w:rsidRPr="00AC4AD8">
        <w:rPr>
          <w:rFonts w:ascii="Times New Roman" w:hAnsi="Times New Roman"/>
        </w:rPr>
        <w:t xml:space="preserve">the </w:t>
      </w:r>
      <w:r w:rsidR="002067DE" w:rsidRPr="00AC4AD8">
        <w:rPr>
          <w:rFonts w:ascii="Times New Roman" w:hAnsi="Times New Roman"/>
        </w:rPr>
        <w:t xml:space="preserve">Shannon-Wiener </w:t>
      </w:r>
      <w:r w:rsidR="009B68D0" w:rsidRPr="00AC4AD8">
        <w:rPr>
          <w:rFonts w:ascii="Times New Roman" w:hAnsi="Times New Roman"/>
        </w:rPr>
        <w:t xml:space="preserve">index </w:t>
      </w:r>
      <w:r w:rsidR="00BB468A" w:rsidRPr="00AC4AD8">
        <w:rPr>
          <w:rFonts w:ascii="Times New Roman" w:hAnsi="Times New Roman"/>
        </w:rPr>
        <w:t>and</w:t>
      </w:r>
      <w:r w:rsidR="002067DE" w:rsidRPr="00AC4AD8">
        <w:rPr>
          <w:rFonts w:ascii="Times New Roman" w:hAnsi="Times New Roman"/>
        </w:rPr>
        <w:t xml:space="preserve"> </w:t>
      </w:r>
      <w:r w:rsidR="00E514D8" w:rsidRPr="00AC4AD8">
        <w:rPr>
          <w:rFonts w:ascii="Times New Roman" w:hAnsi="Times New Roman"/>
        </w:rPr>
        <w:t xml:space="preserve">mycorrhizal colonisation in addition to differences in </w:t>
      </w:r>
      <w:r w:rsidR="002067DE" w:rsidRPr="00AC4AD8">
        <w:rPr>
          <w:rFonts w:ascii="Times New Roman" w:hAnsi="Times New Roman"/>
        </w:rPr>
        <w:t>cover</w:t>
      </w:r>
      <w:r w:rsidR="00BB468A" w:rsidRPr="00AC4AD8">
        <w:rPr>
          <w:rFonts w:ascii="Times New Roman" w:hAnsi="Times New Roman"/>
        </w:rPr>
        <w:t xml:space="preserve"> of </w:t>
      </w:r>
      <w:r w:rsidR="00BB468A" w:rsidRPr="00AC4AD8">
        <w:rPr>
          <w:rFonts w:ascii="Times New Roman" w:hAnsi="Times New Roman"/>
          <w:i/>
        </w:rPr>
        <w:t>Sedum spp.</w:t>
      </w:r>
      <w:r w:rsidR="00E514D8" w:rsidRPr="00AC4AD8">
        <w:rPr>
          <w:rFonts w:ascii="Times New Roman" w:hAnsi="Times New Roman"/>
          <w:i/>
        </w:rPr>
        <w:t xml:space="preserve"> </w:t>
      </w:r>
      <w:r w:rsidR="00E514D8" w:rsidRPr="00AC4AD8">
        <w:rPr>
          <w:rFonts w:ascii="Times New Roman" w:hAnsi="Times New Roman"/>
        </w:rPr>
        <w:t>and</w:t>
      </w:r>
      <w:r w:rsidR="00BB468A" w:rsidRPr="00AC4AD8">
        <w:rPr>
          <w:rFonts w:ascii="Times New Roman" w:hAnsi="Times New Roman"/>
          <w:i/>
        </w:rPr>
        <w:t xml:space="preserve"> </w:t>
      </w:r>
      <w:r w:rsidR="00BB468A" w:rsidRPr="00AC4AD8">
        <w:rPr>
          <w:rFonts w:ascii="Times New Roman" w:hAnsi="Times New Roman"/>
        </w:rPr>
        <w:t>bryophyte</w:t>
      </w:r>
      <w:r w:rsidR="00E514D8" w:rsidRPr="00AC4AD8">
        <w:rPr>
          <w:rFonts w:ascii="Times New Roman" w:hAnsi="Times New Roman"/>
        </w:rPr>
        <w:t>s</w:t>
      </w:r>
      <w:r w:rsidR="00BB468A" w:rsidRPr="00AC4AD8">
        <w:rPr>
          <w:rFonts w:ascii="Times New Roman" w:hAnsi="Times New Roman"/>
        </w:rPr>
        <w:t xml:space="preserve"> </w:t>
      </w:r>
      <w:r w:rsidR="002067DE" w:rsidRPr="00AC4AD8">
        <w:rPr>
          <w:rFonts w:ascii="Times New Roman" w:hAnsi="Times New Roman"/>
        </w:rPr>
        <w:t>w</w:t>
      </w:r>
      <w:r w:rsidR="00E514D8" w:rsidRPr="00AC4AD8">
        <w:rPr>
          <w:rFonts w:ascii="Times New Roman" w:hAnsi="Times New Roman"/>
        </w:rPr>
        <w:t>ere</w:t>
      </w:r>
      <w:r w:rsidR="002067DE" w:rsidRPr="00AC4AD8">
        <w:rPr>
          <w:rFonts w:ascii="Times New Roman" w:hAnsi="Times New Roman"/>
        </w:rPr>
        <w:t xml:space="preserve"> tested using repeated measures ANOVA with bacteria, mycorrhiza and </w:t>
      </w:r>
      <w:r w:rsidR="00F468C3" w:rsidRPr="00AC4AD8">
        <w:rPr>
          <w:rFonts w:ascii="Times New Roman" w:hAnsi="Times New Roman"/>
          <w:i/>
        </w:rPr>
        <w:t>Trichoderma</w:t>
      </w:r>
      <w:r w:rsidR="002067DE" w:rsidRPr="00AC4AD8">
        <w:rPr>
          <w:rFonts w:ascii="Times New Roman" w:hAnsi="Times New Roman"/>
          <w:i/>
        </w:rPr>
        <w:t xml:space="preserve"> </w:t>
      </w:r>
      <w:r w:rsidR="002067DE" w:rsidRPr="00AC4AD8">
        <w:rPr>
          <w:rFonts w:ascii="Times New Roman" w:hAnsi="Times New Roman"/>
        </w:rPr>
        <w:t>treatments and time as</w:t>
      </w:r>
      <w:r w:rsidR="00BB468A" w:rsidRPr="00AC4AD8">
        <w:rPr>
          <w:rFonts w:ascii="Times New Roman" w:hAnsi="Times New Roman"/>
        </w:rPr>
        <w:t xml:space="preserve"> </w:t>
      </w:r>
      <w:r w:rsidR="002067DE" w:rsidRPr="00AC4AD8">
        <w:rPr>
          <w:rFonts w:ascii="Times New Roman" w:hAnsi="Times New Roman"/>
        </w:rPr>
        <w:t>main effect</w:t>
      </w:r>
      <w:r w:rsidR="00E82A83" w:rsidRPr="00AC4AD8">
        <w:rPr>
          <w:rFonts w:ascii="Times New Roman" w:hAnsi="Times New Roman"/>
        </w:rPr>
        <w:t>s</w:t>
      </w:r>
      <w:r w:rsidR="002067DE" w:rsidRPr="00AC4AD8">
        <w:rPr>
          <w:rFonts w:ascii="Times New Roman" w:hAnsi="Times New Roman"/>
        </w:rPr>
        <w:t>.</w:t>
      </w:r>
      <w:r w:rsidR="00E51358" w:rsidRPr="00AC4AD8">
        <w:rPr>
          <w:rFonts w:ascii="Times New Roman" w:hAnsi="Times New Roman"/>
        </w:rPr>
        <w:t xml:space="preserve"> </w:t>
      </w:r>
    </w:p>
    <w:p w14:paraId="4D485558" w14:textId="7B672B87" w:rsidR="00BB468A" w:rsidRPr="00AC4AD8" w:rsidRDefault="009347BE" w:rsidP="00F03F20">
      <w:pPr>
        <w:spacing w:after="120" w:line="360" w:lineRule="auto"/>
        <w:ind w:firstLine="340"/>
        <w:jc w:val="both"/>
        <w:rPr>
          <w:rFonts w:ascii="Times New Roman" w:hAnsi="Times New Roman"/>
        </w:rPr>
      </w:pPr>
      <w:r w:rsidRPr="00AC4AD8">
        <w:rPr>
          <w:rFonts w:ascii="Times New Roman" w:hAnsi="Times New Roman"/>
        </w:rPr>
        <w:t xml:space="preserve">Shannon-Wiener indices were used to assess changes in </w:t>
      </w:r>
      <w:r w:rsidR="005A4D97" w:rsidRPr="00AC4AD8">
        <w:rPr>
          <w:rFonts w:ascii="Times New Roman" w:hAnsi="Times New Roman"/>
        </w:rPr>
        <w:t xml:space="preserve">microarthropod </w:t>
      </w:r>
      <w:r w:rsidRPr="00AC4AD8">
        <w:rPr>
          <w:rFonts w:ascii="Times New Roman" w:hAnsi="Times New Roman"/>
        </w:rPr>
        <w:t xml:space="preserve">biodiversity between September 2011 and July 2012 for all microarthropods and within </w:t>
      </w:r>
      <w:proofErr w:type="spellStart"/>
      <w:r w:rsidRPr="00AC4AD8">
        <w:rPr>
          <w:rFonts w:ascii="Times New Roman" w:hAnsi="Times New Roman"/>
        </w:rPr>
        <w:t>microarthopod</w:t>
      </w:r>
      <w:proofErr w:type="spellEnd"/>
      <w:r w:rsidRPr="00AC4AD8">
        <w:rPr>
          <w:rFonts w:ascii="Times New Roman" w:hAnsi="Times New Roman"/>
        </w:rPr>
        <w:t xml:space="preserve"> groups (</w:t>
      </w:r>
      <w:r w:rsidR="00FF46CA" w:rsidRPr="00AC4AD8">
        <w:rPr>
          <w:rFonts w:ascii="Times New Roman" w:hAnsi="Times New Roman"/>
        </w:rPr>
        <w:t>C</w:t>
      </w:r>
      <w:r w:rsidRPr="00AC4AD8">
        <w:rPr>
          <w:rFonts w:ascii="Times New Roman" w:hAnsi="Times New Roman"/>
        </w:rPr>
        <w:t>ollembola, mites and larvae of flying insects).  Each of these groups, as well as total microarthropod</w:t>
      </w:r>
      <w:r w:rsidR="0072776D" w:rsidRPr="00AC4AD8">
        <w:rPr>
          <w:rFonts w:ascii="Times New Roman" w:hAnsi="Times New Roman"/>
        </w:rPr>
        <w:t xml:space="preserve"> abundance</w:t>
      </w:r>
      <w:r w:rsidRPr="00AC4AD8">
        <w:rPr>
          <w:rFonts w:ascii="Times New Roman" w:hAnsi="Times New Roman"/>
        </w:rPr>
        <w:t xml:space="preserve">, was compared using a repeated measures ANOVA with bacteria, mycorrhiza and </w:t>
      </w:r>
      <w:r w:rsidR="00F468C3" w:rsidRPr="00AC4AD8">
        <w:rPr>
          <w:rFonts w:ascii="Times New Roman" w:hAnsi="Times New Roman"/>
          <w:i/>
        </w:rPr>
        <w:t>Trichoderma</w:t>
      </w:r>
      <w:r w:rsidRPr="00AC4AD8">
        <w:rPr>
          <w:rFonts w:ascii="Times New Roman" w:hAnsi="Times New Roman"/>
        </w:rPr>
        <w:t xml:space="preserve"> as treatments and time as </w:t>
      </w:r>
      <w:r w:rsidR="0072776D" w:rsidRPr="00AC4AD8">
        <w:rPr>
          <w:rFonts w:ascii="Times New Roman" w:hAnsi="Times New Roman"/>
        </w:rPr>
        <w:t xml:space="preserve">a </w:t>
      </w:r>
      <w:r w:rsidRPr="00AC4AD8">
        <w:rPr>
          <w:rFonts w:ascii="Times New Roman" w:hAnsi="Times New Roman"/>
        </w:rPr>
        <w:t xml:space="preserve">main effect. </w:t>
      </w:r>
      <w:r w:rsidR="005A4D97" w:rsidRPr="00AC4AD8">
        <w:rPr>
          <w:rFonts w:ascii="Times New Roman" w:hAnsi="Times New Roman"/>
        </w:rPr>
        <w:t xml:space="preserve">Greenhouse-geisser </w:t>
      </w:r>
      <w:r w:rsidR="003473D2" w:rsidRPr="00AC4AD8">
        <w:rPr>
          <w:rFonts w:ascii="Times New Roman" w:hAnsi="Times New Roman"/>
        </w:rPr>
        <w:t>corrections</w:t>
      </w:r>
      <w:r w:rsidR="005A4D97" w:rsidRPr="00AC4AD8">
        <w:rPr>
          <w:rFonts w:ascii="Times New Roman" w:hAnsi="Times New Roman"/>
        </w:rPr>
        <w:t xml:space="preserve"> were applied to non-spherical data</w:t>
      </w:r>
      <w:r w:rsidR="00FA2ADA" w:rsidRPr="00AC4AD8">
        <w:rPr>
          <w:rFonts w:ascii="Times New Roman" w:hAnsi="Times New Roman"/>
        </w:rPr>
        <w:t xml:space="preserve"> </w:t>
      </w:r>
      <w:r w:rsidR="00FA2ADA" w:rsidRPr="00AC4AD8">
        <w:rPr>
          <w:rFonts w:ascii="Times New Roman" w:hAnsi="Times New Roman"/>
        </w:rPr>
        <w:fldChar w:fldCharType="begin" w:fldLock="1"/>
      </w:r>
      <w:r w:rsidR="00FA2ADA" w:rsidRPr="00AC4AD8">
        <w:rPr>
          <w:rFonts w:ascii="Times New Roman" w:hAnsi="Times New Roman"/>
        </w:rPr>
        <w:instrText>ADDIN CSL_CITATION { "citationItems" : [ { "id" : "ITEM-1", "itemData" : { "author" : [ { "dropping-particle" : "", "family" : "Greenhouse", "given" : "S. W.", "non-dropping-particle" : "", "parse-names" : false, "suffix" : "" }, { "dropping-particle" : "", "family" : "Geisser", "given" : "S.", "non-dropping-particle" : "", "parse-names" : false, "suffix" : "" } ], "container-title" : "Psychometrika", "id" : "ITEM-1", "issue" : "24", "issued" : { "date-parts" : [ [ "1959" ] ] }, "page" : "95-112", "title" : "On methods in the analysis of profile data", "type" : "article-journal" }, "uris" : [ "http://www.mendeley.com/documents/?uuid=c3172fe7-00de-4bbd-8679-75dd092b4830" ] } ], "mendeley" : { "formattedCitation" : "(Greenhouse and Geisser, 1959)", "plainTextFormattedCitation" : "(Greenhouse and Geisser, 1959)" }, "properties" : { "noteIndex" : 0 }, "schema" : "https://github.com/citation-style-language/schema/raw/master/csl-citation.json" }</w:instrText>
      </w:r>
      <w:r w:rsidR="00FA2ADA" w:rsidRPr="00AC4AD8">
        <w:rPr>
          <w:rFonts w:ascii="Times New Roman" w:hAnsi="Times New Roman"/>
        </w:rPr>
        <w:fldChar w:fldCharType="separate"/>
      </w:r>
      <w:r w:rsidR="00FA2ADA" w:rsidRPr="00AC4AD8">
        <w:rPr>
          <w:rFonts w:ascii="Times New Roman" w:hAnsi="Times New Roman"/>
          <w:noProof/>
        </w:rPr>
        <w:t>(Greenhouse and Geisser, 1959)</w:t>
      </w:r>
      <w:r w:rsidR="00FA2ADA" w:rsidRPr="00AC4AD8">
        <w:rPr>
          <w:rFonts w:ascii="Times New Roman" w:hAnsi="Times New Roman"/>
        </w:rPr>
        <w:fldChar w:fldCharType="end"/>
      </w:r>
      <w:r w:rsidR="005A4D97" w:rsidRPr="00AC4AD8">
        <w:rPr>
          <w:rFonts w:ascii="Times New Roman" w:hAnsi="Times New Roman"/>
        </w:rPr>
        <w:t xml:space="preserve">. </w:t>
      </w:r>
      <w:r w:rsidRPr="00AC4AD8">
        <w:rPr>
          <w:rFonts w:ascii="Times New Roman" w:hAnsi="Times New Roman"/>
        </w:rPr>
        <w:t xml:space="preserve">Bonferroni </w:t>
      </w:r>
      <w:r w:rsidR="003473D2" w:rsidRPr="00AC4AD8">
        <w:rPr>
          <w:rFonts w:ascii="Times New Roman" w:hAnsi="Times New Roman"/>
        </w:rPr>
        <w:t>post-hoc tests were</w:t>
      </w:r>
      <w:r w:rsidRPr="00AC4AD8">
        <w:rPr>
          <w:rFonts w:ascii="Times New Roman" w:hAnsi="Times New Roman"/>
        </w:rPr>
        <w:t xml:space="preserve"> used to separate differences between time points. </w:t>
      </w:r>
      <w:r w:rsidR="00BB468A" w:rsidRPr="00AC4AD8">
        <w:rPr>
          <w:rFonts w:ascii="Times New Roman" w:hAnsi="Times New Roman"/>
        </w:rPr>
        <w:t>T</w:t>
      </w:r>
      <w:r w:rsidR="00FF46CA" w:rsidRPr="00AC4AD8">
        <w:rPr>
          <w:rFonts w:ascii="Times New Roman" w:hAnsi="Times New Roman"/>
        </w:rPr>
        <w:t>he number of C</w:t>
      </w:r>
      <w:r w:rsidR="00BB468A" w:rsidRPr="00AC4AD8">
        <w:rPr>
          <w:rFonts w:ascii="Times New Roman" w:hAnsi="Times New Roman"/>
        </w:rPr>
        <w:t>ollembola and insect larvae present in May and July was not sufficient for inclusion into the statistical analysis.</w:t>
      </w:r>
    </w:p>
    <w:p w14:paraId="6259EB3D" w14:textId="54B0D491" w:rsidR="002067DE" w:rsidRPr="00AC4AD8" w:rsidRDefault="00E51358" w:rsidP="00F03F20">
      <w:pPr>
        <w:spacing w:after="120" w:line="360" w:lineRule="auto"/>
        <w:ind w:firstLine="340"/>
        <w:jc w:val="both"/>
        <w:rPr>
          <w:rFonts w:ascii="Times New Roman" w:hAnsi="Times New Roman"/>
        </w:rPr>
      </w:pPr>
      <w:r w:rsidRPr="00AC4AD8">
        <w:rPr>
          <w:rFonts w:ascii="Times New Roman" w:hAnsi="Times New Roman"/>
        </w:rPr>
        <w:t>Data w</w:t>
      </w:r>
      <w:r w:rsidR="009A001F" w:rsidRPr="00AC4AD8">
        <w:rPr>
          <w:rFonts w:ascii="Times New Roman" w:hAnsi="Times New Roman"/>
        </w:rPr>
        <w:t>ere</w:t>
      </w:r>
      <w:r w:rsidRPr="00AC4AD8">
        <w:rPr>
          <w:rFonts w:ascii="Times New Roman" w:hAnsi="Times New Roman"/>
        </w:rPr>
        <w:t xml:space="preserve"> transformed using square root transformation to meet the ass</w:t>
      </w:r>
      <w:r w:rsidR="00AF3490" w:rsidRPr="00AC4AD8">
        <w:rPr>
          <w:rFonts w:ascii="Times New Roman" w:hAnsi="Times New Roman"/>
        </w:rPr>
        <w:t>umptions of ANOVA</w:t>
      </w:r>
      <w:r w:rsidR="009347E7" w:rsidRPr="00AC4AD8">
        <w:rPr>
          <w:rFonts w:ascii="Times New Roman" w:hAnsi="Times New Roman"/>
        </w:rPr>
        <w:t>, except for plant data, which met the assumptions of ANOVA untransformed</w:t>
      </w:r>
      <w:r w:rsidRPr="00AC4AD8">
        <w:rPr>
          <w:rFonts w:ascii="Times New Roman" w:hAnsi="Times New Roman"/>
        </w:rPr>
        <w:t>.</w:t>
      </w:r>
      <w:r w:rsidR="000B0658" w:rsidRPr="00AC4AD8">
        <w:rPr>
          <w:rFonts w:ascii="Times New Roman" w:hAnsi="Times New Roman"/>
        </w:rPr>
        <w:t xml:space="preserve"> Mycorrhizal data, as count data, was </w:t>
      </w:r>
      <w:proofErr w:type="spellStart"/>
      <w:r w:rsidR="000B0658" w:rsidRPr="00AC4AD8">
        <w:rPr>
          <w:rFonts w:ascii="Times New Roman" w:hAnsi="Times New Roman"/>
        </w:rPr>
        <w:t>ArcSine</w:t>
      </w:r>
      <w:proofErr w:type="spellEnd"/>
      <w:r w:rsidR="000B0658" w:rsidRPr="00AC4AD8">
        <w:rPr>
          <w:rFonts w:ascii="Times New Roman" w:hAnsi="Times New Roman"/>
        </w:rPr>
        <w:t xml:space="preserve"> transformed.</w:t>
      </w:r>
      <w:r w:rsidRPr="00AC4AD8">
        <w:rPr>
          <w:rFonts w:ascii="Times New Roman" w:hAnsi="Times New Roman"/>
        </w:rPr>
        <w:t xml:space="preserve"> V</w:t>
      </w:r>
      <w:r w:rsidR="002067DE" w:rsidRPr="00AC4AD8">
        <w:rPr>
          <w:rFonts w:ascii="Times New Roman" w:hAnsi="Times New Roman"/>
        </w:rPr>
        <w:t>ariances</w:t>
      </w:r>
      <w:r w:rsidRPr="00AC4AD8">
        <w:rPr>
          <w:rFonts w:ascii="Times New Roman" w:hAnsi="Times New Roman"/>
        </w:rPr>
        <w:t xml:space="preserve"> were tested for heterogeneity</w:t>
      </w:r>
      <w:r w:rsidR="002067DE" w:rsidRPr="00AC4AD8">
        <w:rPr>
          <w:rFonts w:ascii="Times New Roman" w:hAnsi="Times New Roman"/>
        </w:rPr>
        <w:t xml:space="preserve"> using </w:t>
      </w:r>
      <w:proofErr w:type="spellStart"/>
      <w:r w:rsidR="002067DE" w:rsidRPr="00AC4AD8">
        <w:rPr>
          <w:rFonts w:ascii="Times New Roman" w:hAnsi="Times New Roman"/>
        </w:rPr>
        <w:t>Levene’s</w:t>
      </w:r>
      <w:proofErr w:type="spellEnd"/>
      <w:r w:rsidR="002067DE" w:rsidRPr="00AC4AD8">
        <w:rPr>
          <w:rFonts w:ascii="Times New Roman" w:hAnsi="Times New Roman"/>
        </w:rPr>
        <w:t xml:space="preserve"> </w:t>
      </w:r>
      <w:r w:rsidR="007E5EAB" w:rsidRPr="00AC4AD8">
        <w:rPr>
          <w:rFonts w:ascii="Times New Roman" w:hAnsi="Times New Roman"/>
        </w:rPr>
        <w:t xml:space="preserve">median </w:t>
      </w:r>
      <w:r w:rsidR="002067DE" w:rsidRPr="00AC4AD8">
        <w:rPr>
          <w:rFonts w:ascii="Times New Roman" w:hAnsi="Times New Roman"/>
        </w:rPr>
        <w:t xml:space="preserve">test for non-skewed data and by a non-parametric (rank) </w:t>
      </w:r>
      <w:proofErr w:type="spellStart"/>
      <w:r w:rsidR="002067DE" w:rsidRPr="00AC4AD8">
        <w:rPr>
          <w:rFonts w:ascii="Times New Roman" w:hAnsi="Times New Roman"/>
        </w:rPr>
        <w:t>Levene’s</w:t>
      </w:r>
      <w:proofErr w:type="spellEnd"/>
      <w:r w:rsidR="002067DE" w:rsidRPr="00AC4AD8">
        <w:rPr>
          <w:rFonts w:ascii="Times New Roman" w:hAnsi="Times New Roman"/>
        </w:rPr>
        <w:t xml:space="preserve"> test for skewed data </w:t>
      </w:r>
      <w:r w:rsidR="002067DE" w:rsidRPr="00AC4AD8">
        <w:rPr>
          <w:rFonts w:ascii="Times New Roman" w:hAnsi="Times New Roman"/>
        </w:rPr>
        <w:fldChar w:fldCharType="begin" w:fldLock="1"/>
      </w:r>
      <w:r w:rsidR="002067DE" w:rsidRPr="00AC4AD8">
        <w:rPr>
          <w:rFonts w:ascii="Times New Roman" w:hAnsi="Times New Roman"/>
        </w:rPr>
        <w:instrText>ADDIN CSL_CITATION { "citationItems" : [ { "id" : "ITEM-1", "itemData" : { "author" : [ { "dropping-particle" : "", "family" : "Nordstokke", "given" : "D. W.", "non-dropping-particle" : "", "parse-names" : false, "suffix" : "" }, { "dropping-particle" : "", "family" : "Zumbo", "given" : "B. D.", "non-dropping-particle" : "", "parse-names" : false, "suffix" : "" } ], "container-title" : "Psicologica", "id" : "ITEM-1", "issued" : { "date-parts" : [ [ "2010" ] ] }, "page" : "401-430", "title" : "A new nonparametric Levene test for equal variances", "type" : "article-journal", "volume" : "31" }, "uris" : [ "http://www.mendeley.com/documents/?uuid=1d284b61-853a-459f-ab18-e00b52fa62dc", "http://www.mendeley.com/documents/?uuid=ad1e04a9-3c91-42a2-82e0-cd4650e09048" ] } ], "mendeley" : { "formattedCitation" : "(Nordstokke and Zumbo, 2010)", "plainTextFormattedCitation" : "(Nordstokke and Zumbo, 2010)", "previouslyFormattedCitation" : "(Nordstokke and Zumbo, 2010)" }, "properties" : { "noteIndex" : 0 }, "schema" : "https://github.com/citation-style-language/schema/raw/master/csl-citation.json" }</w:instrText>
      </w:r>
      <w:r w:rsidR="002067DE" w:rsidRPr="00AC4AD8">
        <w:rPr>
          <w:rFonts w:ascii="Times New Roman" w:hAnsi="Times New Roman"/>
        </w:rPr>
        <w:fldChar w:fldCharType="separate"/>
      </w:r>
      <w:r w:rsidR="002067DE" w:rsidRPr="00AC4AD8">
        <w:rPr>
          <w:rFonts w:ascii="Times New Roman" w:hAnsi="Times New Roman"/>
          <w:noProof/>
        </w:rPr>
        <w:t>(Nordstokke and Zumbo, 2010)</w:t>
      </w:r>
      <w:r w:rsidR="002067DE" w:rsidRPr="00AC4AD8">
        <w:rPr>
          <w:rFonts w:ascii="Times New Roman" w:hAnsi="Times New Roman"/>
        </w:rPr>
        <w:fldChar w:fldCharType="end"/>
      </w:r>
      <w:r w:rsidR="002067DE" w:rsidRPr="00AC4AD8">
        <w:rPr>
          <w:rFonts w:ascii="Times New Roman" w:hAnsi="Times New Roman"/>
        </w:rPr>
        <w:t>.  Data analysed passed the assumption of homogeneity of variances</w:t>
      </w:r>
      <w:r w:rsidR="0072776D" w:rsidRPr="00AC4AD8">
        <w:rPr>
          <w:rFonts w:ascii="Times New Roman" w:hAnsi="Times New Roman"/>
        </w:rPr>
        <w:t>.</w:t>
      </w:r>
    </w:p>
    <w:p w14:paraId="6A388088" w14:textId="1ED7B331" w:rsidR="009347BE" w:rsidRPr="00AC4AD8" w:rsidRDefault="009347BE" w:rsidP="00F03F20">
      <w:pPr>
        <w:spacing w:after="120" w:line="360" w:lineRule="auto"/>
        <w:ind w:firstLine="340"/>
        <w:jc w:val="both"/>
        <w:rPr>
          <w:rFonts w:ascii="Times New Roman" w:hAnsi="Times New Roman"/>
        </w:rPr>
      </w:pPr>
      <w:r w:rsidRPr="00AC4AD8">
        <w:rPr>
          <w:rFonts w:ascii="Times New Roman" w:hAnsi="Times New Roman"/>
        </w:rPr>
        <w:t xml:space="preserve">PCA was conducted on </w:t>
      </w:r>
      <w:r w:rsidR="002067DE" w:rsidRPr="00AC4AD8">
        <w:rPr>
          <w:rFonts w:ascii="Times New Roman" w:hAnsi="Times New Roman"/>
        </w:rPr>
        <w:t xml:space="preserve">all microarthropods in one analysis and additionally on </w:t>
      </w:r>
      <w:r w:rsidRPr="00AC4AD8">
        <w:rPr>
          <w:rFonts w:ascii="Times New Roman" w:hAnsi="Times New Roman"/>
        </w:rPr>
        <w:t xml:space="preserve">groups of microarthropods </w:t>
      </w:r>
      <w:r w:rsidR="00FF46CA" w:rsidRPr="00AC4AD8">
        <w:rPr>
          <w:rFonts w:ascii="Times New Roman" w:hAnsi="Times New Roman"/>
        </w:rPr>
        <w:t>(C</w:t>
      </w:r>
      <w:r w:rsidR="00C55C12" w:rsidRPr="00AC4AD8">
        <w:rPr>
          <w:rFonts w:ascii="Times New Roman" w:hAnsi="Times New Roman"/>
        </w:rPr>
        <w:t>ollembola</w:t>
      </w:r>
      <w:r w:rsidR="002067DE" w:rsidRPr="00AC4AD8">
        <w:rPr>
          <w:rFonts w:ascii="Times New Roman" w:hAnsi="Times New Roman"/>
        </w:rPr>
        <w:t xml:space="preserve">, mites and larvae of flying insects) </w:t>
      </w:r>
      <w:r w:rsidRPr="00AC4AD8">
        <w:rPr>
          <w:rFonts w:ascii="Times New Roman" w:hAnsi="Times New Roman"/>
        </w:rPr>
        <w:t>to determine how their communities were organised.</w:t>
      </w:r>
      <w:r w:rsidR="002067DE" w:rsidRPr="00AC4AD8">
        <w:rPr>
          <w:rFonts w:ascii="Times New Roman" w:hAnsi="Times New Roman"/>
        </w:rPr>
        <w:t xml:space="preserve"> Data w</w:t>
      </w:r>
      <w:r w:rsidR="009A252C" w:rsidRPr="00AC4AD8">
        <w:rPr>
          <w:rFonts w:ascii="Times New Roman" w:hAnsi="Times New Roman"/>
        </w:rPr>
        <w:t>ere</w:t>
      </w:r>
      <w:r w:rsidR="002067DE" w:rsidRPr="00AC4AD8">
        <w:rPr>
          <w:rFonts w:ascii="Times New Roman" w:hAnsi="Times New Roman"/>
        </w:rPr>
        <w:t xml:space="preserve"> </w:t>
      </w:r>
      <w:r w:rsidR="0066509A" w:rsidRPr="00AC4AD8">
        <w:rPr>
          <w:rFonts w:ascii="Times New Roman" w:hAnsi="Times New Roman"/>
        </w:rPr>
        <w:t>unconstrained</w:t>
      </w:r>
      <w:r w:rsidR="00286E22" w:rsidRPr="00AC4AD8">
        <w:rPr>
          <w:rFonts w:ascii="Times New Roman" w:hAnsi="Times New Roman"/>
        </w:rPr>
        <w:t>. Additionally, each PCA was plot</w:t>
      </w:r>
      <w:r w:rsidR="009A252C" w:rsidRPr="00AC4AD8">
        <w:rPr>
          <w:rFonts w:ascii="Times New Roman" w:hAnsi="Times New Roman"/>
        </w:rPr>
        <w:t>ted</w:t>
      </w:r>
      <w:r w:rsidR="00286E22" w:rsidRPr="00AC4AD8">
        <w:rPr>
          <w:rFonts w:ascii="Times New Roman" w:hAnsi="Times New Roman"/>
        </w:rPr>
        <w:t xml:space="preserve"> twice, with 95% confidence ellipses (SEM) plotted based on microarthropods grouped into (1) different sample months and (2) different microbial treatments. This was to allow clearer visualisation of species groupings over time and within different treatments.</w:t>
      </w:r>
      <w:r w:rsidRPr="00AC4AD8">
        <w:rPr>
          <w:rFonts w:ascii="Times New Roman" w:hAnsi="Times New Roman"/>
        </w:rPr>
        <w:t xml:space="preserve"> </w:t>
      </w:r>
      <w:r w:rsidR="00286E22" w:rsidRPr="00AC4AD8">
        <w:rPr>
          <w:rFonts w:ascii="Times New Roman" w:hAnsi="Times New Roman"/>
        </w:rPr>
        <w:t>These analyses were</w:t>
      </w:r>
      <w:r w:rsidR="00622794" w:rsidRPr="00AC4AD8">
        <w:rPr>
          <w:rFonts w:ascii="Times New Roman" w:hAnsi="Times New Roman"/>
        </w:rPr>
        <w:t xml:space="preserve"> conducted using the v</w:t>
      </w:r>
      <w:r w:rsidR="002067DE" w:rsidRPr="00AC4AD8">
        <w:rPr>
          <w:rFonts w:ascii="Times New Roman" w:hAnsi="Times New Roman"/>
        </w:rPr>
        <w:t>egan</w:t>
      </w:r>
      <w:r w:rsidR="00353228" w:rsidRPr="00AC4AD8">
        <w:rPr>
          <w:rFonts w:ascii="Times New Roman" w:hAnsi="Times New Roman"/>
        </w:rPr>
        <w:t xml:space="preserve"> </w:t>
      </w:r>
      <w:r w:rsidR="00622794" w:rsidRPr="00AC4AD8">
        <w:rPr>
          <w:rFonts w:ascii="Times New Roman" w:hAnsi="Times New Roman"/>
        </w:rPr>
        <w:fldChar w:fldCharType="begin" w:fldLock="1"/>
      </w:r>
      <w:r w:rsidR="00416CA1" w:rsidRPr="00AC4AD8">
        <w:rPr>
          <w:rFonts w:ascii="Times New Roman" w:hAnsi="Times New Roman"/>
        </w:rPr>
        <w:instrText>ADDIN CSL_CITATION { "citationItems" : [ { "id" : "ITEM-1", "itemData" : { "author" : [ { "dropping-particle" : "", "family" : "Oksanen", "given" : "J.", "non-dropping-particle" : "", "parse-names" : false, "suffix" : "" }, { "dropping-particle" : "", "family" : "Blanchet", "given" : "F. G.", "non-dropping-particle" : "", "parse-names" : false, "suffix" : "" }, { "dropping-particle" : "", "family" : "Kindt", "given" : "R.", "non-dropping-particle" : "", "parse-names" : false, "suffix" : "" }, { "dropping-particle" : "", "family" : "Legendre", "given" : "P.", "non-dropping-particle" : "", "parse-names" : false, "suffix" : "" }, { "dropping-particle" : "", "family" : "Minchin", "given" : "P. R.", "non-dropping-particle" : "", "parse-names" : false, "suffix" : "" }, { "dropping-particle" : "", "family" : "O'Hara", "given" : "R. B.", "non-dropping-particle" : "", "parse-names" : false, "suffix" : "" }, { "dropping-particle" : "", "family" : "Simpson", "given" : "G. L.", "non-dropping-particle" : "", "parse-names" : false, "suffix" : "" }, { "dropping-particle" : "", "family" : "Solymos", "given" : "P.", "non-dropping-particle" : "", "parse-names" : false, "suffix" : "" }, { "dropping-particle" : "", "family" : "Stevens", "given" : "M. H. H.", "non-dropping-particle" : "", "parse-names" : false, "suffix" : "" }, { "dropping-particle" : "", "family" : "Wagner", "given" : "H.", "non-dropping-particle" : "", "parse-names" : false, "suffix" : "" } ], "id" : "ITEM-1", "issued" : { "date-parts" : [ [ "2015" ] ] }, "number" : "2.3-0", "title" : "vegan: Community Ecology Package", "type" : "article" }, "uris" : [ "http://www.mendeley.com/documents/?uuid=20321294-4645-4bf9-b90b-812f385235d0", "http://www.mendeley.com/documents/?uuid=ffb1c196-c028-499e-9f25-04a74b51213d" ] } ], "mendeley" : { "formattedCitation" : "(Oksanen et al., 2015)", "plainTextFormattedCitation" : "(Oksanen et al., 2015)", "previouslyFormattedCitation" : "(Oksanen et al., 2015)" }, "properties" : { "noteIndex" : 0 }, "schema" : "https://github.com/citation-style-language/schema/raw/master/csl-citation.json" }</w:instrText>
      </w:r>
      <w:r w:rsidR="00622794" w:rsidRPr="00AC4AD8">
        <w:rPr>
          <w:rFonts w:ascii="Times New Roman" w:hAnsi="Times New Roman"/>
        </w:rPr>
        <w:fldChar w:fldCharType="separate"/>
      </w:r>
      <w:r w:rsidR="00622794" w:rsidRPr="00AC4AD8">
        <w:rPr>
          <w:rFonts w:ascii="Times New Roman" w:hAnsi="Times New Roman"/>
          <w:noProof/>
        </w:rPr>
        <w:t>(Oksanen et al., 2015)</w:t>
      </w:r>
      <w:r w:rsidR="00622794" w:rsidRPr="00AC4AD8">
        <w:rPr>
          <w:rFonts w:ascii="Times New Roman" w:hAnsi="Times New Roman"/>
        </w:rPr>
        <w:fldChar w:fldCharType="end"/>
      </w:r>
      <w:r w:rsidR="00353228" w:rsidRPr="00AC4AD8">
        <w:rPr>
          <w:rFonts w:ascii="Times New Roman" w:hAnsi="Times New Roman"/>
        </w:rPr>
        <w:t xml:space="preserve">, </w:t>
      </w:r>
      <w:proofErr w:type="spellStart"/>
      <w:r w:rsidR="00353228" w:rsidRPr="00AC4AD8">
        <w:rPr>
          <w:rFonts w:ascii="Times New Roman" w:hAnsi="Times New Roman"/>
        </w:rPr>
        <w:t>nFactor</w:t>
      </w:r>
      <w:r w:rsidR="00271D62" w:rsidRPr="00AC4AD8">
        <w:rPr>
          <w:rFonts w:ascii="Times New Roman" w:hAnsi="Times New Roman"/>
        </w:rPr>
        <w:t>s</w:t>
      </w:r>
      <w:proofErr w:type="spellEnd"/>
      <w:r w:rsidR="00353228" w:rsidRPr="00AC4AD8">
        <w:rPr>
          <w:rFonts w:ascii="Times New Roman" w:hAnsi="Times New Roman"/>
        </w:rPr>
        <w:t xml:space="preserve"> </w:t>
      </w:r>
      <w:r w:rsidR="00271D62" w:rsidRPr="00AC4AD8">
        <w:rPr>
          <w:rFonts w:ascii="Times New Roman" w:hAnsi="Times New Roman"/>
        </w:rPr>
        <w:fldChar w:fldCharType="begin" w:fldLock="1"/>
      </w:r>
      <w:r w:rsidR="00271D62" w:rsidRPr="00AC4AD8">
        <w:rPr>
          <w:rFonts w:ascii="Times New Roman" w:hAnsi="Times New Roman"/>
        </w:rPr>
        <w:instrText>ADDIN CSL_CITATION { "citationItems" : [ { "id" : "ITEM-1", "itemData" : { "author" : [ { "dropping-particle" : "", "family" : "Raiche", "given" : "G", "non-dropping-particle" : "", "parse-names" : false, "suffix" : "" }, { "dropping-particle" : "", "family" : "Magis", "given" : "D", "non-dropping-particle" : "", "parse-names" : false, "suffix" : "" } ], "id" : "ITEM-1", "issued" : { "date-parts" : [ [ "2011" ] ] }, "title" : "nFactors", "type" : "article" }, "uris" : [ "http://www.mendeley.com/documents/?uuid=90446ff3-49de-460c-b160-5f0ff70f23c3" ] } ], "mendeley" : { "formattedCitation" : "(Raiche and Magis, 2011)", "plainTextFormattedCitation" : "(Raiche and Magis, 2011)", "previouslyFormattedCitation" : "(Raiche and Magis, 2011)" }, "properties" : { "noteIndex" : 0 }, "schema" : "https://github.com/citation-style-language/schema/raw/master/csl-citation.json" }</w:instrText>
      </w:r>
      <w:r w:rsidR="00271D62" w:rsidRPr="00AC4AD8">
        <w:rPr>
          <w:rFonts w:ascii="Times New Roman" w:hAnsi="Times New Roman"/>
        </w:rPr>
        <w:fldChar w:fldCharType="separate"/>
      </w:r>
      <w:r w:rsidR="00271D62" w:rsidRPr="00AC4AD8">
        <w:rPr>
          <w:rFonts w:ascii="Times New Roman" w:hAnsi="Times New Roman"/>
          <w:noProof/>
        </w:rPr>
        <w:t>(Raiche and Magis, 2011)</w:t>
      </w:r>
      <w:r w:rsidR="00271D62" w:rsidRPr="00AC4AD8">
        <w:rPr>
          <w:rFonts w:ascii="Times New Roman" w:hAnsi="Times New Roman"/>
        </w:rPr>
        <w:fldChar w:fldCharType="end"/>
      </w:r>
      <w:r w:rsidR="00353228" w:rsidRPr="00AC4AD8">
        <w:rPr>
          <w:rFonts w:ascii="Times New Roman" w:hAnsi="Times New Roman"/>
        </w:rPr>
        <w:t xml:space="preserve"> and </w:t>
      </w:r>
      <w:proofErr w:type="spellStart"/>
      <w:r w:rsidR="00353228" w:rsidRPr="00AC4AD8">
        <w:rPr>
          <w:rFonts w:ascii="Times New Roman" w:hAnsi="Times New Roman"/>
        </w:rPr>
        <w:t>BiodiversityR</w:t>
      </w:r>
      <w:proofErr w:type="spellEnd"/>
      <w:r w:rsidR="00353228" w:rsidRPr="00AC4AD8">
        <w:rPr>
          <w:rFonts w:ascii="Times New Roman" w:hAnsi="Times New Roman"/>
        </w:rPr>
        <w:t xml:space="preserve"> </w:t>
      </w:r>
      <w:r w:rsidR="00271D62" w:rsidRPr="00AC4AD8">
        <w:rPr>
          <w:rFonts w:ascii="Times New Roman" w:hAnsi="Times New Roman"/>
        </w:rPr>
        <w:fldChar w:fldCharType="begin" w:fldLock="1"/>
      </w:r>
      <w:r w:rsidR="001C3B27" w:rsidRPr="00AC4AD8">
        <w:rPr>
          <w:rFonts w:ascii="Times New Roman" w:hAnsi="Times New Roman"/>
        </w:rPr>
        <w:instrText>ADDIN CSL_CITATION { "citationItems" : [ { "id" : "ITEM-1", "itemData" : { "author" : [ { "dropping-particle" : "", "family" : "Kindt", "given" : "R", "non-dropping-particle" : "", "parse-names" : false, "suffix" : "" }, { "dropping-particle" : "", "family" : "Coe", "given" : "R", "non-dropping-particle" : "", "parse-names" : false, "suffix" : "" } ], "id" : "ITEM-1", "issued" : { "date-parts" : [ [ "2005" ] ] }, "publisher" : "World Agroforestry Centre (ICRAF)", "publisher-place" : "Nairobi", "title" : "BiodiversityR", "type" : "article" }, "uris" : [ "http://www.mendeley.com/documents/?uuid=d4788cd9-d5e0-4ade-a576-a3ba081c587a" ] } ], "mendeley" : { "formattedCitation" : "(Kindt and Coe, 2005)", "plainTextFormattedCitation" : "(Kindt and Coe, 2005)", "previouslyFormattedCitation" : "(Kindt and Coe, 2005)" }, "properties" : { "noteIndex" : 0 }, "schema" : "https://github.com/citation-style-language/schema/raw/master/csl-citation.json" }</w:instrText>
      </w:r>
      <w:r w:rsidR="00271D62" w:rsidRPr="00AC4AD8">
        <w:rPr>
          <w:rFonts w:ascii="Times New Roman" w:hAnsi="Times New Roman"/>
        </w:rPr>
        <w:fldChar w:fldCharType="separate"/>
      </w:r>
      <w:r w:rsidR="006E179D" w:rsidRPr="00AC4AD8">
        <w:rPr>
          <w:rFonts w:ascii="Times New Roman" w:hAnsi="Times New Roman"/>
          <w:noProof/>
        </w:rPr>
        <w:t>(Kindt and Coe, 2005)</w:t>
      </w:r>
      <w:r w:rsidR="00271D62" w:rsidRPr="00AC4AD8">
        <w:rPr>
          <w:rFonts w:ascii="Times New Roman" w:hAnsi="Times New Roman"/>
        </w:rPr>
        <w:fldChar w:fldCharType="end"/>
      </w:r>
      <w:r w:rsidR="00353228" w:rsidRPr="00AC4AD8">
        <w:rPr>
          <w:rFonts w:ascii="Times New Roman" w:hAnsi="Times New Roman"/>
        </w:rPr>
        <w:t xml:space="preserve"> packages</w:t>
      </w:r>
      <w:r w:rsidR="00622794" w:rsidRPr="00AC4AD8">
        <w:rPr>
          <w:rFonts w:ascii="Times New Roman" w:hAnsi="Times New Roman"/>
        </w:rPr>
        <w:t xml:space="preserve"> </w:t>
      </w:r>
      <w:r w:rsidR="00C55C12" w:rsidRPr="00AC4AD8">
        <w:rPr>
          <w:rFonts w:ascii="Times New Roman" w:hAnsi="Times New Roman"/>
        </w:rPr>
        <w:t>for</w:t>
      </w:r>
      <w:r w:rsidR="002067DE" w:rsidRPr="00AC4AD8">
        <w:rPr>
          <w:rFonts w:ascii="Times New Roman" w:hAnsi="Times New Roman"/>
        </w:rPr>
        <w:t xml:space="preserve"> R</w:t>
      </w:r>
      <w:r w:rsidR="00622794" w:rsidRPr="00AC4AD8">
        <w:rPr>
          <w:rFonts w:ascii="Times New Roman" w:hAnsi="Times New Roman"/>
        </w:rPr>
        <w:t xml:space="preserve"> </w:t>
      </w:r>
      <w:r w:rsidR="00622794" w:rsidRPr="00AC4AD8">
        <w:rPr>
          <w:rFonts w:ascii="Times New Roman" w:hAnsi="Times New Roman"/>
        </w:rPr>
        <w:fldChar w:fldCharType="begin" w:fldLock="1"/>
      </w:r>
      <w:r w:rsidR="00791BA3" w:rsidRPr="00AC4AD8">
        <w:rPr>
          <w:rFonts w:ascii="Times New Roman" w:hAnsi="Times New Roman"/>
        </w:rPr>
        <w:instrText>ADDIN CSL_CITATION { "citationItems" : [ { "id" : "ITEM-1", "itemData" : { "author" : [ { "dropping-particle" : "", "family" : "R Core Team", "given" : "", "non-dropping-particle" : "", "parse-names" : false, "suffix" : "" } ], "id" : "ITEM-1", "issued" : { "date-parts" : [ [ "2015" ] ] }, "page" : "R Foundation for Statistical Computing, Vienna, Au", "title" : "R: A language and environment for statistical computing", "type" : "article" }, "uris" : [ "http://www.mendeley.com/documents/?uuid=e708163c-9371-4c3c-b98a-6ecc22113aa2" ] } ], "mendeley" : { "formattedCitation" : "(R Core Team, 2015)", "plainTextFormattedCitation" : "(R Core Team, 2015)", "previouslyFormattedCitation" : "(R Core Team, 2015)" }, "properties" : { "noteIndex" : 0 }, "schema" : "https://github.com/citation-style-language/schema/raw/master/csl-citation.json" }</w:instrText>
      </w:r>
      <w:r w:rsidR="00622794" w:rsidRPr="00AC4AD8">
        <w:rPr>
          <w:rFonts w:ascii="Times New Roman" w:hAnsi="Times New Roman"/>
        </w:rPr>
        <w:fldChar w:fldCharType="separate"/>
      </w:r>
      <w:r w:rsidR="00CD44A6" w:rsidRPr="00AC4AD8">
        <w:rPr>
          <w:rFonts w:ascii="Times New Roman" w:hAnsi="Times New Roman"/>
          <w:noProof/>
        </w:rPr>
        <w:t>(R Core Team, 2015)</w:t>
      </w:r>
      <w:r w:rsidR="00622794" w:rsidRPr="00AC4AD8">
        <w:rPr>
          <w:rFonts w:ascii="Times New Roman" w:hAnsi="Times New Roman"/>
        </w:rPr>
        <w:fldChar w:fldCharType="end"/>
      </w:r>
      <w:r w:rsidR="002067DE" w:rsidRPr="00AC4AD8">
        <w:rPr>
          <w:rFonts w:ascii="Times New Roman" w:hAnsi="Times New Roman"/>
        </w:rPr>
        <w:t>.</w:t>
      </w:r>
    </w:p>
    <w:p w14:paraId="67A5544B" w14:textId="29AA498C" w:rsidR="00C5492C" w:rsidRPr="00AC4AD8" w:rsidRDefault="00C5492C" w:rsidP="00F03F20">
      <w:pPr>
        <w:spacing w:after="120" w:line="360" w:lineRule="auto"/>
        <w:ind w:firstLine="340"/>
        <w:jc w:val="both"/>
        <w:rPr>
          <w:rFonts w:ascii="Times New Roman" w:hAnsi="Times New Roman"/>
        </w:rPr>
      </w:pPr>
      <w:r w:rsidRPr="00AC4AD8">
        <w:rPr>
          <w:rFonts w:ascii="Times New Roman" w:hAnsi="Times New Roman"/>
        </w:rPr>
        <w:t xml:space="preserve">For the months January and July, where </w:t>
      </w:r>
      <w:proofErr w:type="spellStart"/>
      <w:r w:rsidRPr="00AC4AD8">
        <w:rPr>
          <w:rFonts w:ascii="Times New Roman" w:hAnsi="Times New Roman"/>
        </w:rPr>
        <w:t>Tingidae</w:t>
      </w:r>
      <w:proofErr w:type="spellEnd"/>
      <w:r w:rsidRPr="00AC4AD8">
        <w:rPr>
          <w:rFonts w:ascii="Times New Roman" w:hAnsi="Times New Roman"/>
        </w:rPr>
        <w:t xml:space="preserve"> were present and plant surveys had been conducted, </w:t>
      </w:r>
      <w:r w:rsidR="003328F7" w:rsidRPr="00AC4AD8">
        <w:rPr>
          <w:rFonts w:ascii="Times New Roman" w:hAnsi="Times New Roman"/>
        </w:rPr>
        <w:t>Spearman’s</w:t>
      </w:r>
      <w:r w:rsidRPr="00AC4AD8">
        <w:rPr>
          <w:rFonts w:ascii="Times New Roman" w:hAnsi="Times New Roman"/>
        </w:rPr>
        <w:t xml:space="preserve"> Rank-Order Correlation was performed in SPSS. This was to determine if there was an association between bryophyte cover and the abundance of </w:t>
      </w:r>
      <w:proofErr w:type="spellStart"/>
      <w:r w:rsidRPr="00AC4AD8">
        <w:rPr>
          <w:rFonts w:ascii="Times New Roman" w:hAnsi="Times New Roman"/>
        </w:rPr>
        <w:t>Tingidae</w:t>
      </w:r>
      <w:proofErr w:type="spellEnd"/>
      <w:r w:rsidR="00225167" w:rsidRPr="00AC4AD8">
        <w:rPr>
          <w:rFonts w:ascii="Times New Roman" w:hAnsi="Times New Roman"/>
        </w:rPr>
        <w:t xml:space="preserve">, as some species of the family are associated with bryophyte dominated communities </w:t>
      </w:r>
      <w:r w:rsidR="00A503B1"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"abstract" : "As a third part of a series of papers on the ground-living true bugs of Hungary, the species belonging to the lace bug genus Acalypta Westwood, 1840 (Insecta: Heteroptera: Tingidae) were studied. Extensive materials collected with Berlese funnels during about 20 years all over Hungary were identified. Based on these sporadic data of many years, faunistic notes are given on some Hungarian species. The seasonal occurrence of the species are discussed. The numbers of specimens of different Acalypta species collected in diverse plant communities are compared with multivariate methods. Materials collected with pitfall traps between 1979\u20131982 at Bugac, Kiskuns\u00e1g National Park were also processed. In this area, only A. marginata and A. gracilis occurred, both in great number. The temporal changes of the populations are discussed. Significant differences could be observed between the microhabitat distribution of the two species: both species occurred in very low number in traps placed out in patches colonized by dune-slack purple moorgrass meadow; Acalypta gracilis preferred distinctly the Pannonic dune open grassland patches; A. marginata occurred in almost equal number in Pannonic dune open grassland and in Pannonic sand puszta patches.", "author" : [ { "dropping-particle" : "", "family" : "Hufnagel", "given" : "Levente", "non-dropping-particle" : "", "parse-names" : false, "suffix" : "" }, { "dropping-particle" : "", "family" : "R\u00e9dei", "given" : "D.", "non-dropping-particle" : "", "parse-names" : false, "suffix" : "" }, { "dropping-particle" : "", "family" : "Harmat", "given" : "B.", "non-dropping-particle" : "", "parse-names" : false, "suffix" : "" } ], "container-title" : "Applied Ecology and Environmental Research", "id" : "ITEM-1", "issued" : { "date-parts" : [ [ "2004", "2", "19" ] ] }, "page" : "73-91", "publisher" : "Penkala Bt.", "title" : "Ecology of the Acalypta species occurring in Hungary (Insecta: Heteroptera: Tingidae) data to the knowledge on the ground-living Heteroptera of Hungary, No 3", "type" : "article-journal", "volume" : "2" }, "uris" : [ "http://www.mendeley.com/documents/?uuid=b7cad352-7d73-4cea-a307-4a2fb8b014fb" ] } ], "mendeley" : { "formattedCitation" : "(Hufnagel et al., 2004)", "plainTextFormattedCitation" : "(Hufnagel et al., 2004)", "previouslyFormattedCitation" : "(Hufnagel et al., 2004)" }, "properties" : { "noteIndex" : 0 }, "schema" : "https://github.com/citation-style-language/schema/raw/master/csl-citation.json" }</w:instrText>
      </w:r>
      <w:r w:rsidR="00A503B1" w:rsidRPr="00AC4AD8">
        <w:rPr>
          <w:rFonts w:ascii="Times New Roman" w:hAnsi="Times New Roman"/>
        </w:rPr>
        <w:fldChar w:fldCharType="separate"/>
      </w:r>
      <w:r w:rsidR="00A503B1" w:rsidRPr="00AC4AD8">
        <w:rPr>
          <w:rFonts w:ascii="Times New Roman" w:hAnsi="Times New Roman"/>
          <w:noProof/>
        </w:rPr>
        <w:t>(Hufnagel et al., 2004)</w:t>
      </w:r>
      <w:r w:rsidR="00A503B1" w:rsidRPr="00AC4AD8">
        <w:rPr>
          <w:rFonts w:ascii="Times New Roman" w:hAnsi="Times New Roman"/>
        </w:rPr>
        <w:fldChar w:fldCharType="end"/>
      </w:r>
      <w:r w:rsidR="0071561D" w:rsidRPr="00AC4AD8">
        <w:rPr>
          <w:rFonts w:ascii="Times New Roman" w:hAnsi="Times New Roman"/>
        </w:rPr>
        <w:t xml:space="preserve">, perhaps as a source of food </w:t>
      </w:r>
      <w:r w:rsidR="0071561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"10.2307/3241388", "ISSN" : "00072745", "author" : [ { "dropping-particle" : "", "family" : "Gerson", "given" : "Uri", "non-dropping-particle" : "", "parse-names" : false, "suffix" : "" } ], "container-title" : "The Bryologist", "id" : "ITEM-1", "issue" : "4", "issued" : { "date-parts" : [ [ "1969", "1" ] ] }, "page" : "495-500", "title" : "Moss-Arthropod Associations", "type" : "article-journal", "volume" : "72" }, "uris" : [ "http://www.mendeley.com/documents/?uuid=78ab8e1b-61d6-36ef-88ec-af143e79fd85" ] } ], "mendeley" : { "formattedCitation" : "(Gerson, 1969)", "plainTextFormattedCitation" : "(Gerson, 1969)", "previouslyFormattedCitation" : "(Gerson, 1969)" }, "properties" : { "noteIndex" : 0 }, "schema" : "https://github.com/citation-style-language/schema/raw/master/csl-citation.json" }</w:instrText>
      </w:r>
      <w:r w:rsidR="0071561D" w:rsidRPr="00AC4AD8">
        <w:rPr>
          <w:rFonts w:ascii="Times New Roman" w:hAnsi="Times New Roman"/>
        </w:rPr>
        <w:fldChar w:fldCharType="separate"/>
      </w:r>
      <w:r w:rsidR="0071561D" w:rsidRPr="00AC4AD8">
        <w:rPr>
          <w:rFonts w:ascii="Times New Roman" w:hAnsi="Times New Roman"/>
          <w:noProof/>
        </w:rPr>
        <w:t>(Gerson, 1969)</w:t>
      </w:r>
      <w:r w:rsidR="0071561D" w:rsidRPr="00AC4AD8">
        <w:rPr>
          <w:rFonts w:ascii="Times New Roman" w:hAnsi="Times New Roman"/>
        </w:rPr>
        <w:fldChar w:fldCharType="end"/>
      </w:r>
      <w:r w:rsidR="00225167" w:rsidRPr="00AC4AD8">
        <w:rPr>
          <w:rFonts w:ascii="Times New Roman" w:hAnsi="Times New Roman"/>
        </w:rPr>
        <w:t>.</w:t>
      </w:r>
    </w:p>
    <w:p w14:paraId="14A7E31C" w14:textId="54022396" w:rsidR="00C1230F" w:rsidRPr="00AC4AD8" w:rsidRDefault="00ED14D7" w:rsidP="00936A31">
      <w:pPr>
        <w:spacing w:after="120" w:line="360" w:lineRule="auto"/>
        <w:jc w:val="both"/>
        <w:rPr>
          <w:rFonts w:ascii="Times New Roman" w:hAnsi="Times New Roman"/>
        </w:rPr>
      </w:pPr>
      <w:r w:rsidRPr="00AC4AD8">
        <w:rPr>
          <w:rFonts w:ascii="Times New Roman" w:hAnsi="Times New Roman"/>
          <w:b/>
        </w:rPr>
        <w:t>3. Results</w:t>
      </w:r>
    </w:p>
    <w:p w14:paraId="2E9D539D" w14:textId="68635575" w:rsidR="00F80D96" w:rsidRPr="00AC4AD8" w:rsidRDefault="00ED14D7" w:rsidP="00031538">
      <w:pPr>
        <w:spacing w:after="120" w:line="360" w:lineRule="auto"/>
        <w:jc w:val="both"/>
        <w:rPr>
          <w:rFonts w:ascii="Times New Roman" w:hAnsi="Times New Roman"/>
          <w:i/>
        </w:rPr>
      </w:pPr>
      <w:r w:rsidRPr="00AC4AD8">
        <w:rPr>
          <w:rFonts w:ascii="Times New Roman" w:hAnsi="Times New Roman"/>
          <w:i/>
        </w:rPr>
        <w:t xml:space="preserve">3.1. </w:t>
      </w:r>
      <w:r w:rsidR="00F80D96" w:rsidRPr="00AC4AD8">
        <w:rPr>
          <w:rFonts w:ascii="Times New Roman" w:hAnsi="Times New Roman"/>
          <w:i/>
        </w:rPr>
        <w:t>Abiotic conditions</w:t>
      </w:r>
    </w:p>
    <w:p w14:paraId="17649576" w14:textId="7C71AB51" w:rsidR="003A2405" w:rsidRPr="00AC4AD8" w:rsidRDefault="0022580A" w:rsidP="00F03F20">
      <w:pPr>
        <w:spacing w:after="120" w:line="360" w:lineRule="auto"/>
        <w:ind w:firstLine="340"/>
        <w:jc w:val="both"/>
        <w:rPr>
          <w:rFonts w:ascii="Times New Roman" w:hAnsi="Times New Roman"/>
        </w:rPr>
      </w:pPr>
      <w:r w:rsidRPr="00AC4AD8">
        <w:rPr>
          <w:rFonts w:ascii="Times New Roman" w:hAnsi="Times New Roman"/>
        </w:rPr>
        <w:t xml:space="preserve">All mean monthly temperatures for sampled months in the current study were warmer than in the two years preceding them, with the exception of July 2012, which was approximately 2°C cooler than in 2010 and 0.3°C warmer than in 2011. Autumn and winter </w:t>
      </w:r>
      <w:r w:rsidR="00286BC3" w:rsidRPr="00AC4AD8">
        <w:rPr>
          <w:rFonts w:ascii="Times New Roman" w:hAnsi="Times New Roman"/>
        </w:rPr>
        <w:t xml:space="preserve">sample months </w:t>
      </w:r>
      <w:r w:rsidRPr="00AC4AD8">
        <w:rPr>
          <w:rFonts w:ascii="Times New Roman" w:hAnsi="Times New Roman"/>
        </w:rPr>
        <w:t xml:space="preserve">(September, November and January) were drier than in the </w:t>
      </w:r>
      <w:r w:rsidR="00286BC3" w:rsidRPr="00AC4AD8">
        <w:rPr>
          <w:rFonts w:ascii="Times New Roman" w:hAnsi="Times New Roman"/>
        </w:rPr>
        <w:t>year preceding them</w:t>
      </w:r>
      <w:r w:rsidRPr="00AC4AD8">
        <w:rPr>
          <w:rFonts w:ascii="Times New Roman" w:hAnsi="Times New Roman"/>
        </w:rPr>
        <w:t xml:space="preserve">, particularly in January 2012, where rainfall was approximately half that of the previous year. Summer rainfall (May and July) was considerably higher </w:t>
      </w:r>
      <w:r w:rsidR="00286BC3" w:rsidRPr="00AC4AD8">
        <w:rPr>
          <w:rFonts w:ascii="Times New Roman" w:hAnsi="Times New Roman"/>
        </w:rPr>
        <w:t xml:space="preserve">in 2012 </w:t>
      </w:r>
      <w:r w:rsidRPr="00AC4AD8">
        <w:rPr>
          <w:rFonts w:ascii="Times New Roman" w:hAnsi="Times New Roman"/>
        </w:rPr>
        <w:t xml:space="preserve">than in both preceding years (42.5 mm and </w:t>
      </w:r>
      <w:r w:rsidR="00286BC3" w:rsidRPr="00AC4AD8">
        <w:rPr>
          <w:rFonts w:ascii="Times New Roman" w:hAnsi="Times New Roman"/>
        </w:rPr>
        <w:t>103.6 mm respectively compared to 27 mm and 49.1 mm in 2011 and 30.2 mm and 26.1 mm in 2010).</w:t>
      </w:r>
    </w:p>
    <w:p w14:paraId="6D8C4948" w14:textId="77777777" w:rsidR="00873C19" w:rsidRPr="00AC4AD8" w:rsidRDefault="00F80D96" w:rsidP="00F03F20">
      <w:pPr>
        <w:spacing w:after="120" w:line="360" w:lineRule="auto"/>
        <w:ind w:firstLine="340"/>
        <w:jc w:val="both"/>
        <w:rPr>
          <w:rFonts w:ascii="Times New Roman" w:hAnsi="Times New Roman"/>
        </w:rPr>
      </w:pPr>
      <w:r w:rsidRPr="00AC4AD8">
        <w:rPr>
          <w:rFonts w:ascii="Times New Roman" w:hAnsi="Times New Roman"/>
        </w:rPr>
        <w:t xml:space="preserve">The lowest mean sample period </w:t>
      </w:r>
      <w:r w:rsidR="00B77AAE" w:rsidRPr="00AC4AD8">
        <w:rPr>
          <w:rFonts w:ascii="Times New Roman" w:hAnsi="Times New Roman"/>
        </w:rPr>
        <w:t xml:space="preserve">surface </w:t>
      </w:r>
      <w:r w:rsidRPr="00AC4AD8">
        <w:rPr>
          <w:rFonts w:ascii="Times New Roman" w:hAnsi="Times New Roman"/>
        </w:rPr>
        <w:t>temperature was between the January and March 2012 survey</w:t>
      </w:r>
      <w:r w:rsidR="00B77AAE" w:rsidRPr="00AC4AD8">
        <w:rPr>
          <w:rFonts w:ascii="Times New Roman" w:hAnsi="Times New Roman"/>
        </w:rPr>
        <w:t>s</w:t>
      </w:r>
      <w:r w:rsidRPr="00AC4AD8">
        <w:rPr>
          <w:rFonts w:ascii="Times New Roman" w:hAnsi="Times New Roman"/>
        </w:rPr>
        <w:t xml:space="preserve">, with a mean temperature of 5.76°C (±6.15). </w:t>
      </w:r>
      <w:r w:rsidR="00B77AAE" w:rsidRPr="00AC4AD8">
        <w:rPr>
          <w:rFonts w:ascii="Times New Roman" w:hAnsi="Times New Roman"/>
        </w:rPr>
        <w:t xml:space="preserve">The coldest absolute surface temperature recorded by the </w:t>
      </w:r>
      <w:proofErr w:type="spellStart"/>
      <w:r w:rsidR="00B77AAE" w:rsidRPr="00AC4AD8">
        <w:rPr>
          <w:rFonts w:ascii="Times New Roman" w:hAnsi="Times New Roman"/>
        </w:rPr>
        <w:t>dataloggers</w:t>
      </w:r>
      <w:proofErr w:type="spellEnd"/>
      <w:r w:rsidR="00B77AAE" w:rsidRPr="00AC4AD8">
        <w:rPr>
          <w:rFonts w:ascii="Times New Roman" w:hAnsi="Times New Roman"/>
        </w:rPr>
        <w:t xml:space="preserve"> was -10.5°C, recorded in February 2012. The warmest mean sample period surface temperature was between May and July 2012 surveys, with a mean temperature of 19.96°C (±9.05). The highest surface temperature recorded on the roof was 53.5°C, recorded in May 2012. </w:t>
      </w:r>
    </w:p>
    <w:p w14:paraId="18290759" w14:textId="39E451AF" w:rsidR="00F80D96" w:rsidRPr="00AC4AD8" w:rsidRDefault="00B77AAE" w:rsidP="00F03F20">
      <w:pPr>
        <w:spacing w:after="120" w:line="360" w:lineRule="auto"/>
        <w:ind w:firstLine="340"/>
        <w:jc w:val="both"/>
        <w:rPr>
          <w:rFonts w:ascii="Times New Roman" w:hAnsi="Times New Roman"/>
        </w:rPr>
      </w:pPr>
      <w:r w:rsidRPr="00AC4AD8">
        <w:rPr>
          <w:rFonts w:ascii="Times New Roman" w:hAnsi="Times New Roman"/>
        </w:rPr>
        <w:t>Relative humidity ranged between 9.5% (May 2012) and 100% (frequent throughout the year), with least mean surface humidity in the May to July sample period (76.76%, ±23.18%) and highest mean surface humidity in the November to January sample period (95.50%, ±5.77%).</w:t>
      </w:r>
    </w:p>
    <w:p w14:paraId="6C9EC55B" w14:textId="29680E26" w:rsidR="00A15D48" w:rsidRPr="00AC4AD8" w:rsidRDefault="00873C19" w:rsidP="00F03F20">
      <w:pPr>
        <w:spacing w:after="120" w:line="360" w:lineRule="auto"/>
        <w:ind w:firstLine="340"/>
        <w:jc w:val="both"/>
        <w:rPr>
          <w:rFonts w:ascii="Times New Roman" w:hAnsi="Times New Roman"/>
        </w:rPr>
      </w:pPr>
      <w:r w:rsidRPr="00AC4AD8">
        <w:rPr>
          <w:rFonts w:ascii="Times New Roman" w:hAnsi="Times New Roman"/>
        </w:rPr>
        <w:t>Substrate water content varied between 7.24% (May 2012) and 39.04% (January 2012), with total mean substrate water content recorded at 21.14% (±6.90%). The driest month sampled, according to mean substrate water content, was May 2012 (</w:t>
      </w:r>
      <w:r w:rsidR="000620F5" w:rsidRPr="00AC4AD8">
        <w:rPr>
          <w:rFonts w:ascii="Times New Roman" w:hAnsi="Times New Roman"/>
        </w:rPr>
        <w:t>13.55%,</w:t>
      </w:r>
      <w:r w:rsidRPr="00AC4AD8">
        <w:rPr>
          <w:rFonts w:ascii="Times New Roman" w:hAnsi="Times New Roman"/>
        </w:rPr>
        <w:t xml:space="preserve"> ±3.51%) and the wettest mean substrate period was January 2012 (31.81%, ±2.33%).</w:t>
      </w:r>
    </w:p>
    <w:p w14:paraId="07C06CC3" w14:textId="10B2F789" w:rsidR="00031538" w:rsidRPr="00AC4AD8" w:rsidRDefault="00ED14D7" w:rsidP="00031538">
      <w:pPr>
        <w:spacing w:after="120" w:line="360" w:lineRule="auto"/>
        <w:jc w:val="both"/>
        <w:rPr>
          <w:rFonts w:ascii="Times New Roman" w:hAnsi="Times New Roman"/>
          <w:i/>
        </w:rPr>
      </w:pPr>
      <w:r w:rsidRPr="00AC4AD8">
        <w:rPr>
          <w:rFonts w:ascii="Times New Roman" w:hAnsi="Times New Roman"/>
          <w:i/>
        </w:rPr>
        <w:t xml:space="preserve">3.2. </w:t>
      </w:r>
      <w:r w:rsidR="00031538" w:rsidRPr="00AC4AD8">
        <w:rPr>
          <w:rFonts w:ascii="Times New Roman" w:hAnsi="Times New Roman"/>
          <w:i/>
        </w:rPr>
        <w:t>Vegetation and fungi</w:t>
      </w:r>
    </w:p>
    <w:p w14:paraId="7C19222B" w14:textId="0EE7E3F8" w:rsidR="00031538" w:rsidRPr="00AC4AD8" w:rsidRDefault="00C54FD9" w:rsidP="00F03F20">
      <w:pPr>
        <w:spacing w:after="120" w:line="360" w:lineRule="auto"/>
        <w:ind w:firstLine="340"/>
        <w:jc w:val="both"/>
        <w:rPr>
          <w:rFonts w:ascii="Times New Roman" w:hAnsi="Times New Roman"/>
        </w:rPr>
      </w:pPr>
      <w:r w:rsidRPr="00AC4AD8">
        <w:rPr>
          <w:rFonts w:ascii="Times New Roman" w:hAnsi="Times New Roman"/>
        </w:rPr>
        <w:t>Plant diversity was exceptionally low on the roof, with a</w:t>
      </w:r>
      <w:r w:rsidR="00031538" w:rsidRPr="00AC4AD8">
        <w:rPr>
          <w:rFonts w:ascii="Times New Roman" w:hAnsi="Times New Roman"/>
        </w:rPr>
        <w:t xml:space="preserve">ll plots dominated by </w:t>
      </w:r>
      <w:r w:rsidR="00031538" w:rsidRPr="00AC4AD8">
        <w:rPr>
          <w:rFonts w:ascii="Times New Roman" w:hAnsi="Times New Roman"/>
          <w:i/>
        </w:rPr>
        <w:t>Sedum spp</w:t>
      </w:r>
      <w:r w:rsidR="00031538" w:rsidRPr="00AC4AD8">
        <w:rPr>
          <w:rFonts w:ascii="Times New Roman" w:hAnsi="Times New Roman"/>
        </w:rPr>
        <w:t xml:space="preserve">. and bryophytes, with the addition of lichen, </w:t>
      </w:r>
      <w:proofErr w:type="spellStart"/>
      <w:r w:rsidR="00031538" w:rsidRPr="00AC4AD8">
        <w:rPr>
          <w:rFonts w:ascii="Times New Roman" w:hAnsi="Times New Roman"/>
          <w:i/>
        </w:rPr>
        <w:t>Trifolium</w:t>
      </w:r>
      <w:proofErr w:type="spellEnd"/>
      <w:r w:rsidR="00031538" w:rsidRPr="00AC4AD8">
        <w:rPr>
          <w:rFonts w:ascii="Times New Roman" w:hAnsi="Times New Roman"/>
          <w:i/>
        </w:rPr>
        <w:t xml:space="preserve"> </w:t>
      </w:r>
      <w:proofErr w:type="spellStart"/>
      <w:r w:rsidR="00031538" w:rsidRPr="00AC4AD8">
        <w:rPr>
          <w:rFonts w:ascii="Times New Roman" w:hAnsi="Times New Roman"/>
          <w:i/>
        </w:rPr>
        <w:t>arvense</w:t>
      </w:r>
      <w:proofErr w:type="spellEnd"/>
      <w:r w:rsidR="00031538" w:rsidRPr="00AC4AD8">
        <w:rPr>
          <w:rFonts w:ascii="Times New Roman" w:hAnsi="Times New Roman"/>
        </w:rPr>
        <w:t xml:space="preserve"> and few other plants. </w:t>
      </w:r>
      <w:r w:rsidR="0005210A" w:rsidRPr="00AC4AD8">
        <w:rPr>
          <w:rFonts w:ascii="Times New Roman" w:hAnsi="Times New Roman"/>
        </w:rPr>
        <w:t xml:space="preserve">One individual of </w:t>
      </w:r>
      <w:proofErr w:type="spellStart"/>
      <w:r w:rsidR="005E4057" w:rsidRPr="00AC4AD8">
        <w:rPr>
          <w:rFonts w:ascii="Times New Roman" w:hAnsi="Times New Roman"/>
          <w:i/>
        </w:rPr>
        <w:t>Epilobium</w:t>
      </w:r>
      <w:proofErr w:type="spellEnd"/>
      <w:r w:rsidR="005E4057" w:rsidRPr="00AC4AD8">
        <w:rPr>
          <w:rFonts w:ascii="Times New Roman" w:hAnsi="Times New Roman"/>
          <w:i/>
        </w:rPr>
        <w:t xml:space="preserve"> </w:t>
      </w:r>
      <w:proofErr w:type="spellStart"/>
      <w:r w:rsidR="005E4057" w:rsidRPr="00AC4AD8">
        <w:rPr>
          <w:rFonts w:ascii="Times New Roman" w:hAnsi="Times New Roman"/>
          <w:i/>
        </w:rPr>
        <w:t>angustifolium</w:t>
      </w:r>
      <w:proofErr w:type="spellEnd"/>
      <w:r w:rsidR="005E4057" w:rsidRPr="00AC4AD8">
        <w:rPr>
          <w:rFonts w:ascii="Times New Roman" w:hAnsi="Times New Roman"/>
          <w:i/>
        </w:rPr>
        <w:t xml:space="preserve"> </w:t>
      </w:r>
      <w:r w:rsidR="00EE2681" w:rsidRPr="00AC4AD8">
        <w:rPr>
          <w:rFonts w:ascii="Times New Roman" w:hAnsi="Times New Roman"/>
        </w:rPr>
        <w:t>was present</w:t>
      </w:r>
      <w:r w:rsidR="00EE2681" w:rsidRPr="00AC4AD8">
        <w:rPr>
          <w:rFonts w:ascii="Times New Roman" w:hAnsi="Times New Roman"/>
          <w:i/>
        </w:rPr>
        <w:t xml:space="preserve"> </w:t>
      </w:r>
      <w:r w:rsidR="005E4057" w:rsidRPr="00AC4AD8">
        <w:rPr>
          <w:rFonts w:ascii="Times New Roman" w:hAnsi="Times New Roman"/>
        </w:rPr>
        <w:t>in March 2012</w:t>
      </w:r>
      <w:r w:rsidR="0005210A" w:rsidRPr="00AC4AD8">
        <w:rPr>
          <w:rFonts w:ascii="Times New Roman" w:hAnsi="Times New Roman"/>
        </w:rPr>
        <w:t xml:space="preserve">. </w:t>
      </w:r>
      <w:proofErr w:type="spellStart"/>
      <w:r w:rsidR="005E4057" w:rsidRPr="00AC4AD8">
        <w:rPr>
          <w:rFonts w:ascii="Times New Roman" w:hAnsi="Times New Roman"/>
          <w:i/>
        </w:rPr>
        <w:t>Anthyllis</w:t>
      </w:r>
      <w:proofErr w:type="spellEnd"/>
      <w:r w:rsidR="005E4057" w:rsidRPr="00AC4AD8">
        <w:rPr>
          <w:rFonts w:ascii="Times New Roman" w:hAnsi="Times New Roman"/>
          <w:i/>
        </w:rPr>
        <w:t xml:space="preserve"> </w:t>
      </w:r>
      <w:proofErr w:type="spellStart"/>
      <w:r w:rsidR="005E4057" w:rsidRPr="00AC4AD8">
        <w:rPr>
          <w:rFonts w:ascii="Times New Roman" w:hAnsi="Times New Roman"/>
          <w:i/>
        </w:rPr>
        <w:t>vulneraria</w:t>
      </w:r>
      <w:proofErr w:type="spellEnd"/>
      <w:r w:rsidR="005E4057" w:rsidRPr="00AC4AD8">
        <w:rPr>
          <w:rFonts w:ascii="Times New Roman" w:hAnsi="Times New Roman"/>
          <w:i/>
        </w:rPr>
        <w:t xml:space="preserve"> </w:t>
      </w:r>
      <w:r w:rsidR="005E4057" w:rsidRPr="00AC4AD8">
        <w:rPr>
          <w:rFonts w:ascii="Times New Roman" w:hAnsi="Times New Roman"/>
        </w:rPr>
        <w:t xml:space="preserve">was present sparsely throughout the year (maximum of </w:t>
      </w:r>
      <w:r w:rsidR="00EE2681" w:rsidRPr="00AC4AD8">
        <w:rPr>
          <w:rFonts w:ascii="Times New Roman" w:hAnsi="Times New Roman"/>
        </w:rPr>
        <w:t>three</w:t>
      </w:r>
      <w:r w:rsidR="005E4057" w:rsidRPr="00AC4AD8">
        <w:rPr>
          <w:rFonts w:ascii="Times New Roman" w:hAnsi="Times New Roman"/>
        </w:rPr>
        <w:t xml:space="preserve"> small individuals in any one month). Seedlings of </w:t>
      </w:r>
      <w:r w:rsidR="005E4057" w:rsidRPr="00AC4AD8">
        <w:rPr>
          <w:rFonts w:ascii="Times New Roman" w:hAnsi="Times New Roman"/>
          <w:i/>
        </w:rPr>
        <w:t xml:space="preserve">Acer </w:t>
      </w:r>
      <w:proofErr w:type="spellStart"/>
      <w:r w:rsidR="005E4057" w:rsidRPr="00AC4AD8">
        <w:rPr>
          <w:rFonts w:ascii="Times New Roman" w:hAnsi="Times New Roman"/>
          <w:i/>
        </w:rPr>
        <w:t>pseudoplatanus</w:t>
      </w:r>
      <w:proofErr w:type="spellEnd"/>
      <w:r w:rsidR="005E4057" w:rsidRPr="00AC4AD8">
        <w:rPr>
          <w:rFonts w:ascii="Times New Roman" w:hAnsi="Times New Roman"/>
          <w:i/>
        </w:rPr>
        <w:t xml:space="preserve"> </w:t>
      </w:r>
      <w:r w:rsidR="005E4057" w:rsidRPr="00AC4AD8">
        <w:rPr>
          <w:rFonts w:ascii="Times New Roman" w:hAnsi="Times New Roman"/>
        </w:rPr>
        <w:t>populated the roof in March before dying</w:t>
      </w:r>
      <w:r w:rsidR="001E14C3" w:rsidRPr="00AC4AD8">
        <w:rPr>
          <w:rFonts w:ascii="Times New Roman" w:hAnsi="Times New Roman"/>
        </w:rPr>
        <w:t>,</w:t>
      </w:r>
      <w:r w:rsidR="00C55C12" w:rsidRPr="00AC4AD8">
        <w:rPr>
          <w:rFonts w:ascii="Times New Roman" w:hAnsi="Times New Roman"/>
        </w:rPr>
        <w:t xml:space="preserve"> presumably due to water stress</w:t>
      </w:r>
      <w:r w:rsidR="005E4057" w:rsidRPr="00AC4AD8">
        <w:rPr>
          <w:rFonts w:ascii="Times New Roman" w:hAnsi="Times New Roman"/>
        </w:rPr>
        <w:t>.</w:t>
      </w:r>
      <w:r w:rsidR="0005210A" w:rsidRPr="00AC4AD8">
        <w:rPr>
          <w:rFonts w:ascii="Times New Roman" w:hAnsi="Times New Roman"/>
        </w:rPr>
        <w:t xml:space="preserve"> </w:t>
      </w:r>
      <w:r w:rsidR="005E4057" w:rsidRPr="00AC4AD8">
        <w:rPr>
          <w:rFonts w:ascii="Times New Roman" w:hAnsi="Times New Roman"/>
        </w:rPr>
        <w:t xml:space="preserve">As such, </w:t>
      </w:r>
      <w:r w:rsidR="00031538" w:rsidRPr="00AC4AD8">
        <w:rPr>
          <w:rFonts w:ascii="Times New Roman" w:hAnsi="Times New Roman"/>
        </w:rPr>
        <w:t xml:space="preserve">Shannon-Wiener values for seasonal </w:t>
      </w:r>
      <w:r w:rsidRPr="00AC4AD8">
        <w:rPr>
          <w:rFonts w:ascii="Times New Roman" w:hAnsi="Times New Roman"/>
        </w:rPr>
        <w:t xml:space="preserve">(vascular) </w:t>
      </w:r>
      <w:r w:rsidR="00031538" w:rsidRPr="00AC4AD8">
        <w:rPr>
          <w:rFonts w:ascii="Times New Roman" w:hAnsi="Times New Roman"/>
        </w:rPr>
        <w:t>migrants were 0 for all plots, with the exception of one plot, sampled in March, where the value was 0.3.</w:t>
      </w:r>
      <w:r w:rsidRPr="00AC4AD8">
        <w:rPr>
          <w:rFonts w:ascii="Times New Roman" w:hAnsi="Times New Roman"/>
        </w:rPr>
        <w:t xml:space="preserve"> </w:t>
      </w:r>
    </w:p>
    <w:p w14:paraId="080821F3" w14:textId="711C0196" w:rsidR="00EE2681" w:rsidRPr="00AC4AD8" w:rsidRDefault="00031538" w:rsidP="00F03F20">
      <w:pPr>
        <w:spacing w:after="120" w:line="360" w:lineRule="auto"/>
        <w:ind w:firstLine="340"/>
        <w:jc w:val="both"/>
        <w:rPr>
          <w:rFonts w:ascii="Times New Roman" w:hAnsi="Times New Roman"/>
        </w:rPr>
      </w:pPr>
      <w:r w:rsidRPr="00AC4AD8">
        <w:rPr>
          <w:rFonts w:ascii="Times New Roman" w:hAnsi="Times New Roman"/>
        </w:rPr>
        <w:t xml:space="preserve">On average </w:t>
      </w:r>
      <w:r w:rsidR="00F468C3" w:rsidRPr="00AC4AD8">
        <w:rPr>
          <w:rFonts w:ascii="Times New Roman" w:hAnsi="Times New Roman"/>
          <w:i/>
        </w:rPr>
        <w:t>Sedum</w:t>
      </w:r>
      <w:r w:rsidRPr="00AC4AD8">
        <w:rPr>
          <w:rFonts w:ascii="Times New Roman" w:hAnsi="Times New Roman"/>
        </w:rPr>
        <w:t xml:space="preserve"> </w:t>
      </w:r>
      <w:r w:rsidR="00660816" w:rsidRPr="00AC4AD8">
        <w:rPr>
          <w:rFonts w:ascii="Times New Roman" w:hAnsi="Times New Roman"/>
        </w:rPr>
        <w:t>was the dominant genus,</w:t>
      </w:r>
      <w:r w:rsidRPr="00AC4AD8">
        <w:rPr>
          <w:rFonts w:ascii="Times New Roman" w:hAnsi="Times New Roman"/>
        </w:rPr>
        <w:t xml:space="preserve"> reaching 43.4</w:t>
      </w:r>
      <w:r w:rsidR="00BB468A" w:rsidRPr="00AC4AD8">
        <w:rPr>
          <w:rFonts w:ascii="Times New Roman" w:hAnsi="Times New Roman"/>
        </w:rPr>
        <w:t xml:space="preserve"> </w:t>
      </w:r>
      <w:r w:rsidRPr="00AC4AD8">
        <w:rPr>
          <w:rFonts w:ascii="Times New Roman" w:hAnsi="Times New Roman"/>
        </w:rPr>
        <w:t>(±1.52</w:t>
      </w:r>
      <w:proofErr w:type="gramStart"/>
      <w:r w:rsidRPr="00AC4AD8">
        <w:rPr>
          <w:rFonts w:ascii="Times New Roman" w:hAnsi="Times New Roman"/>
        </w:rPr>
        <w:t>)%</w:t>
      </w:r>
      <w:proofErr w:type="gramEnd"/>
      <w:r w:rsidRPr="00AC4AD8">
        <w:rPr>
          <w:rFonts w:ascii="Times New Roman" w:hAnsi="Times New Roman"/>
        </w:rPr>
        <w:t xml:space="preserve">  cover for the entire sample period, closely followed by bryophytes, which obtained 31.1</w:t>
      </w:r>
      <w:r w:rsidR="00BB468A" w:rsidRPr="00AC4AD8">
        <w:rPr>
          <w:rFonts w:ascii="Times New Roman" w:hAnsi="Times New Roman"/>
        </w:rPr>
        <w:t xml:space="preserve"> </w:t>
      </w:r>
      <w:r w:rsidRPr="00AC4AD8">
        <w:rPr>
          <w:rFonts w:ascii="Times New Roman" w:hAnsi="Times New Roman"/>
        </w:rPr>
        <w:t xml:space="preserve">(±2.0)% cover. </w:t>
      </w:r>
      <w:proofErr w:type="spellStart"/>
      <w:r w:rsidRPr="00AC4AD8">
        <w:rPr>
          <w:rFonts w:ascii="Times New Roman" w:hAnsi="Times New Roman"/>
          <w:i/>
        </w:rPr>
        <w:t>Trifolium</w:t>
      </w:r>
      <w:proofErr w:type="spellEnd"/>
      <w:r w:rsidRPr="00AC4AD8">
        <w:rPr>
          <w:rFonts w:ascii="Times New Roman" w:hAnsi="Times New Roman"/>
          <w:i/>
        </w:rPr>
        <w:t xml:space="preserve"> </w:t>
      </w:r>
      <w:proofErr w:type="spellStart"/>
      <w:r w:rsidRPr="00AC4AD8">
        <w:rPr>
          <w:rFonts w:ascii="Times New Roman" w:hAnsi="Times New Roman"/>
          <w:i/>
        </w:rPr>
        <w:t>arvense</w:t>
      </w:r>
      <w:proofErr w:type="spellEnd"/>
      <w:r w:rsidRPr="00AC4AD8">
        <w:rPr>
          <w:rFonts w:ascii="Times New Roman" w:hAnsi="Times New Roman"/>
          <w:i/>
        </w:rPr>
        <w:t xml:space="preserve"> </w:t>
      </w:r>
      <w:r w:rsidRPr="00AC4AD8">
        <w:rPr>
          <w:rFonts w:ascii="Times New Roman" w:hAnsi="Times New Roman"/>
        </w:rPr>
        <w:t>was extremely common during the sample period, particularly in July. Over the year it obtained an average cover of 11.7</w:t>
      </w:r>
      <w:r w:rsidR="00BB468A" w:rsidRPr="00AC4AD8">
        <w:rPr>
          <w:rFonts w:ascii="Times New Roman" w:hAnsi="Times New Roman"/>
        </w:rPr>
        <w:t xml:space="preserve"> </w:t>
      </w:r>
      <w:r w:rsidRPr="00AC4AD8">
        <w:rPr>
          <w:rFonts w:ascii="Times New Roman" w:hAnsi="Times New Roman"/>
        </w:rPr>
        <w:t>(±1.3</w:t>
      </w:r>
      <w:proofErr w:type="gramStart"/>
      <w:r w:rsidRPr="00AC4AD8">
        <w:rPr>
          <w:rFonts w:ascii="Times New Roman" w:hAnsi="Times New Roman"/>
        </w:rPr>
        <w:t>)%</w:t>
      </w:r>
      <w:proofErr w:type="gramEnd"/>
      <w:r w:rsidRPr="00AC4AD8">
        <w:rPr>
          <w:rFonts w:ascii="Times New Roman" w:hAnsi="Times New Roman"/>
        </w:rPr>
        <w:t>. On average, 15.6</w:t>
      </w:r>
      <w:r w:rsidR="00BB468A" w:rsidRPr="00AC4AD8">
        <w:rPr>
          <w:rFonts w:ascii="Times New Roman" w:hAnsi="Times New Roman"/>
        </w:rPr>
        <w:t xml:space="preserve"> </w:t>
      </w:r>
      <w:r w:rsidRPr="00AC4AD8">
        <w:rPr>
          <w:rFonts w:ascii="Times New Roman" w:hAnsi="Times New Roman"/>
        </w:rPr>
        <w:t>(±1.1</w:t>
      </w:r>
      <w:proofErr w:type="gramStart"/>
      <w:r w:rsidRPr="00AC4AD8">
        <w:rPr>
          <w:rFonts w:ascii="Times New Roman" w:hAnsi="Times New Roman"/>
        </w:rPr>
        <w:t>)%</w:t>
      </w:r>
      <w:proofErr w:type="gramEnd"/>
      <w:r w:rsidRPr="00AC4AD8">
        <w:rPr>
          <w:rFonts w:ascii="Times New Roman" w:hAnsi="Times New Roman"/>
        </w:rPr>
        <w:t xml:space="preserve"> of the plot area was bare. Lichen and seasonal migrants each accounted for less than 1% of cover</w:t>
      </w:r>
      <w:r w:rsidR="00EE2681" w:rsidRPr="00AC4AD8">
        <w:rPr>
          <w:rFonts w:ascii="Times New Roman" w:hAnsi="Times New Roman"/>
        </w:rPr>
        <w:t>.</w:t>
      </w:r>
    </w:p>
    <w:p w14:paraId="7459D38A" w14:textId="0CE3B539" w:rsidR="00B32F26" w:rsidRPr="00AC4AD8" w:rsidRDefault="002B194F" w:rsidP="00F03F20">
      <w:pPr>
        <w:spacing w:after="120" w:line="360" w:lineRule="auto"/>
        <w:ind w:firstLine="340"/>
        <w:jc w:val="both"/>
        <w:rPr>
          <w:rFonts w:ascii="Times New Roman" w:hAnsi="Times New Roman"/>
        </w:rPr>
      </w:pPr>
      <w:r w:rsidRPr="00AC4AD8">
        <w:rPr>
          <w:rFonts w:ascii="Times New Roman" w:hAnsi="Times New Roman"/>
        </w:rPr>
        <w:t xml:space="preserve">All three of the main plant species on the roof changed in abundance over time (Time vs: Sedum </w:t>
      </w:r>
      <w:r w:rsidRPr="00AC4AD8">
        <w:rPr>
          <w:rFonts w:ascii="Times New Roman" w:hAnsi="Times New Roman"/>
          <w:i/>
        </w:rPr>
        <w:t>F</w:t>
      </w:r>
      <w:r w:rsidRPr="00AC4AD8">
        <w:rPr>
          <w:rFonts w:ascii="Times New Roman" w:hAnsi="Times New Roman"/>
          <w:i/>
          <w:vertAlign w:val="subscript"/>
        </w:rPr>
        <w:t>2</w:t>
      </w:r>
      <w:r w:rsidRPr="00AC4AD8">
        <w:rPr>
          <w:rFonts w:ascii="Times New Roman" w:hAnsi="Times New Roman"/>
          <w:vertAlign w:val="subscript"/>
        </w:rPr>
        <w:t>, 80</w:t>
      </w:r>
      <w:r w:rsidRPr="00AC4AD8">
        <w:rPr>
          <w:rFonts w:ascii="Times New Roman" w:hAnsi="Times New Roman"/>
        </w:rPr>
        <w:t xml:space="preserve"> = 32.70, </w:t>
      </w:r>
      <w:r w:rsidRPr="00AC4AD8">
        <w:rPr>
          <w:rFonts w:ascii="Times New Roman" w:hAnsi="Times New Roman"/>
          <w:i/>
        </w:rPr>
        <w:t>p</w:t>
      </w:r>
      <w:r w:rsidRPr="00AC4AD8">
        <w:rPr>
          <w:rFonts w:ascii="Times New Roman" w:hAnsi="Times New Roman"/>
        </w:rPr>
        <w:t xml:space="preserve"> &lt; 0.001; Bryophytes </w:t>
      </w:r>
      <w:r w:rsidRPr="00AC4AD8">
        <w:rPr>
          <w:rFonts w:ascii="Times New Roman" w:hAnsi="Times New Roman"/>
          <w:i/>
        </w:rPr>
        <w:t>F</w:t>
      </w:r>
      <w:r w:rsidRPr="00AC4AD8">
        <w:rPr>
          <w:rFonts w:ascii="Times New Roman" w:hAnsi="Times New Roman"/>
          <w:vertAlign w:val="subscript"/>
        </w:rPr>
        <w:t>1.46, 58.19</w:t>
      </w:r>
      <w:r w:rsidR="00FE6FC1" w:rsidRPr="00AC4AD8">
        <w:rPr>
          <w:rFonts w:ascii="Times New Roman" w:hAnsi="Times New Roman"/>
        </w:rPr>
        <w:t xml:space="preserve"> = 210.46</w:t>
      </w:r>
      <w:r w:rsidRPr="00AC4AD8">
        <w:rPr>
          <w:rFonts w:ascii="Times New Roman" w:hAnsi="Times New Roman"/>
        </w:rPr>
        <w:t xml:space="preserve">, </w:t>
      </w:r>
      <w:r w:rsidRPr="00AC4AD8">
        <w:rPr>
          <w:rFonts w:ascii="Times New Roman" w:hAnsi="Times New Roman"/>
          <w:i/>
        </w:rPr>
        <w:t>p</w:t>
      </w:r>
      <w:r w:rsidR="00FE6FC1" w:rsidRPr="00AC4AD8">
        <w:rPr>
          <w:rFonts w:ascii="Times New Roman" w:hAnsi="Times New Roman"/>
        </w:rPr>
        <w:t xml:space="preserve"> &lt; 0.001; </w:t>
      </w:r>
      <w:r w:rsidR="00FE6FC1" w:rsidRPr="00AC4AD8">
        <w:rPr>
          <w:rFonts w:ascii="Times New Roman" w:hAnsi="Times New Roman"/>
          <w:i/>
        </w:rPr>
        <w:t xml:space="preserve">T. </w:t>
      </w:r>
      <w:proofErr w:type="spellStart"/>
      <w:r w:rsidR="00FE6FC1" w:rsidRPr="00AC4AD8">
        <w:rPr>
          <w:rFonts w:ascii="Times New Roman" w:hAnsi="Times New Roman"/>
          <w:i/>
        </w:rPr>
        <w:t>arvense</w:t>
      </w:r>
      <w:proofErr w:type="spellEnd"/>
      <w:r w:rsidR="00921207" w:rsidRPr="00AC4AD8">
        <w:rPr>
          <w:rFonts w:ascii="Times New Roman" w:hAnsi="Times New Roman"/>
          <w:i/>
        </w:rPr>
        <w:t xml:space="preserve"> F</w:t>
      </w:r>
      <w:r w:rsidR="00921207" w:rsidRPr="00AC4AD8">
        <w:rPr>
          <w:rFonts w:ascii="Times New Roman" w:hAnsi="Times New Roman"/>
          <w:vertAlign w:val="subscript"/>
        </w:rPr>
        <w:t>1, 40</w:t>
      </w:r>
      <w:r w:rsidR="00921207" w:rsidRPr="00AC4AD8">
        <w:rPr>
          <w:rFonts w:ascii="Times New Roman" w:hAnsi="Times New Roman"/>
        </w:rPr>
        <w:t xml:space="preserve"> = 13.36, </w:t>
      </w:r>
      <w:r w:rsidR="00921207" w:rsidRPr="00AC4AD8">
        <w:rPr>
          <w:rFonts w:ascii="Times New Roman" w:hAnsi="Times New Roman"/>
          <w:i/>
        </w:rPr>
        <w:t>p</w:t>
      </w:r>
      <w:r w:rsidR="00921207" w:rsidRPr="00AC4AD8">
        <w:rPr>
          <w:rFonts w:ascii="Times New Roman" w:hAnsi="Times New Roman"/>
        </w:rPr>
        <w:t xml:space="preserve"> &lt; 0.01</w:t>
      </w:r>
      <w:r w:rsidR="00FE6FC1" w:rsidRPr="00AC4AD8">
        <w:rPr>
          <w:rFonts w:ascii="Times New Roman" w:hAnsi="Times New Roman"/>
        </w:rPr>
        <w:t>)</w:t>
      </w:r>
      <w:r w:rsidRPr="00AC4AD8">
        <w:rPr>
          <w:rFonts w:ascii="Times New Roman" w:hAnsi="Times New Roman"/>
        </w:rPr>
        <w:t xml:space="preserve"> (Fig 1a). </w:t>
      </w:r>
      <w:r w:rsidR="0087737F" w:rsidRPr="00AC4AD8">
        <w:rPr>
          <w:rFonts w:ascii="Times New Roman" w:hAnsi="Times New Roman"/>
        </w:rPr>
        <w:t>T</w:t>
      </w:r>
      <w:r w:rsidR="00031538" w:rsidRPr="00AC4AD8">
        <w:rPr>
          <w:rFonts w:ascii="Times New Roman" w:hAnsi="Times New Roman"/>
        </w:rPr>
        <w:t xml:space="preserve">he plant community displayed a clear shift from winter to summer, dominated by bryophytes in January before </w:t>
      </w:r>
      <w:r w:rsidR="00F468C3" w:rsidRPr="00AC4AD8">
        <w:rPr>
          <w:rFonts w:ascii="Times New Roman" w:hAnsi="Times New Roman"/>
          <w:i/>
        </w:rPr>
        <w:t>Sedum</w:t>
      </w:r>
      <w:r w:rsidR="00031538" w:rsidRPr="00AC4AD8">
        <w:rPr>
          <w:rFonts w:ascii="Times New Roman" w:hAnsi="Times New Roman"/>
          <w:i/>
        </w:rPr>
        <w:t xml:space="preserve"> </w:t>
      </w:r>
      <w:r w:rsidR="00031538" w:rsidRPr="00AC4AD8">
        <w:rPr>
          <w:rFonts w:ascii="Times New Roman" w:hAnsi="Times New Roman"/>
        </w:rPr>
        <w:t xml:space="preserve">became the most </w:t>
      </w:r>
      <w:r w:rsidR="00EE2681" w:rsidRPr="00AC4AD8">
        <w:rPr>
          <w:rFonts w:ascii="Times New Roman" w:hAnsi="Times New Roman"/>
        </w:rPr>
        <w:t xml:space="preserve">prevalent </w:t>
      </w:r>
      <w:r w:rsidR="00F468C3" w:rsidRPr="00AC4AD8">
        <w:rPr>
          <w:rFonts w:ascii="Times New Roman" w:hAnsi="Times New Roman"/>
        </w:rPr>
        <w:t>genus</w:t>
      </w:r>
      <w:r w:rsidR="00031538" w:rsidRPr="00AC4AD8">
        <w:rPr>
          <w:rFonts w:ascii="Times New Roman" w:hAnsi="Times New Roman"/>
        </w:rPr>
        <w:t xml:space="preserve"> in the summer months</w:t>
      </w:r>
      <w:r w:rsidR="0087737F" w:rsidRPr="00AC4AD8">
        <w:rPr>
          <w:rFonts w:ascii="Times New Roman" w:hAnsi="Times New Roman"/>
        </w:rPr>
        <w:t xml:space="preserve"> (Fig 1a)</w:t>
      </w:r>
      <w:r w:rsidR="00031538" w:rsidRPr="00AC4AD8">
        <w:rPr>
          <w:rFonts w:ascii="Times New Roman" w:hAnsi="Times New Roman"/>
        </w:rPr>
        <w:t xml:space="preserve">. </w:t>
      </w:r>
      <w:r w:rsidR="00031538" w:rsidRPr="00AC4AD8">
        <w:rPr>
          <w:rFonts w:ascii="Times New Roman" w:hAnsi="Times New Roman"/>
          <w:i/>
        </w:rPr>
        <w:t xml:space="preserve">T. </w:t>
      </w:r>
      <w:proofErr w:type="spellStart"/>
      <w:r w:rsidR="00031538" w:rsidRPr="00AC4AD8">
        <w:rPr>
          <w:rFonts w:ascii="Times New Roman" w:hAnsi="Times New Roman"/>
          <w:i/>
        </w:rPr>
        <w:t>arvense</w:t>
      </w:r>
      <w:proofErr w:type="spellEnd"/>
      <w:r w:rsidR="00031538" w:rsidRPr="00AC4AD8">
        <w:rPr>
          <w:rFonts w:ascii="Times New Roman" w:hAnsi="Times New Roman"/>
          <w:i/>
        </w:rPr>
        <w:t xml:space="preserve"> </w:t>
      </w:r>
      <w:r w:rsidR="00031538" w:rsidRPr="00AC4AD8">
        <w:rPr>
          <w:rFonts w:ascii="Times New Roman" w:hAnsi="Times New Roman"/>
        </w:rPr>
        <w:t xml:space="preserve">was absent in January but grew throughout the summer period. However, the decline of bryophytes in the summer was not compensated for by </w:t>
      </w:r>
      <w:r w:rsidR="00031538" w:rsidRPr="00AC4AD8">
        <w:rPr>
          <w:rFonts w:ascii="Times New Roman" w:hAnsi="Times New Roman"/>
          <w:i/>
        </w:rPr>
        <w:t xml:space="preserve">T. </w:t>
      </w:r>
      <w:proofErr w:type="spellStart"/>
      <w:r w:rsidR="00031538" w:rsidRPr="00AC4AD8">
        <w:rPr>
          <w:rFonts w:ascii="Times New Roman" w:hAnsi="Times New Roman"/>
          <w:i/>
        </w:rPr>
        <w:t>arvense</w:t>
      </w:r>
      <w:proofErr w:type="spellEnd"/>
      <w:r w:rsidR="00031538" w:rsidRPr="00AC4AD8">
        <w:rPr>
          <w:rFonts w:ascii="Times New Roman" w:hAnsi="Times New Roman"/>
          <w:i/>
        </w:rPr>
        <w:t xml:space="preserve"> </w:t>
      </w:r>
      <w:r w:rsidR="00031538" w:rsidRPr="00AC4AD8">
        <w:rPr>
          <w:rFonts w:ascii="Times New Roman" w:hAnsi="Times New Roman"/>
        </w:rPr>
        <w:t xml:space="preserve">and </w:t>
      </w:r>
      <w:r w:rsidR="00F468C3" w:rsidRPr="00AC4AD8">
        <w:rPr>
          <w:rFonts w:ascii="Times New Roman" w:hAnsi="Times New Roman"/>
          <w:i/>
        </w:rPr>
        <w:t>Sedum</w:t>
      </w:r>
      <w:r w:rsidR="00031538" w:rsidRPr="00AC4AD8">
        <w:rPr>
          <w:rFonts w:ascii="Times New Roman" w:hAnsi="Times New Roman"/>
          <w:i/>
        </w:rPr>
        <w:t>,</w:t>
      </w:r>
      <w:r w:rsidR="00031538" w:rsidRPr="00AC4AD8">
        <w:rPr>
          <w:rFonts w:ascii="Times New Roman" w:hAnsi="Times New Roman"/>
        </w:rPr>
        <w:t xml:space="preserve"> so an overall increase in bare substrate occurred in March and July. None of the inoculants added had an effect on total plant cover, cover of</w:t>
      </w:r>
      <w:r w:rsidR="00F468C3" w:rsidRPr="00AC4AD8">
        <w:rPr>
          <w:rFonts w:ascii="Times New Roman" w:hAnsi="Times New Roman"/>
        </w:rPr>
        <w:t xml:space="preserve"> </w:t>
      </w:r>
      <w:r w:rsidR="00F468C3" w:rsidRPr="00AC4AD8">
        <w:rPr>
          <w:rFonts w:ascii="Times New Roman" w:hAnsi="Times New Roman"/>
          <w:i/>
        </w:rPr>
        <w:t>Sedum</w:t>
      </w:r>
      <w:r w:rsidR="00031538" w:rsidRPr="00AC4AD8">
        <w:rPr>
          <w:rFonts w:ascii="Times New Roman" w:hAnsi="Times New Roman"/>
        </w:rPr>
        <w:t xml:space="preserve"> or cover of </w:t>
      </w:r>
      <w:r w:rsidR="00031538" w:rsidRPr="00AC4AD8">
        <w:rPr>
          <w:rFonts w:ascii="Times New Roman" w:hAnsi="Times New Roman"/>
          <w:i/>
        </w:rPr>
        <w:t xml:space="preserve">T. </w:t>
      </w:r>
      <w:proofErr w:type="spellStart"/>
      <w:r w:rsidR="00031538" w:rsidRPr="00AC4AD8">
        <w:rPr>
          <w:rFonts w:ascii="Times New Roman" w:hAnsi="Times New Roman"/>
          <w:i/>
        </w:rPr>
        <w:t>arvense</w:t>
      </w:r>
      <w:proofErr w:type="spellEnd"/>
      <w:r w:rsidR="00031538" w:rsidRPr="00AC4AD8">
        <w:rPr>
          <w:rFonts w:ascii="Times New Roman" w:hAnsi="Times New Roman"/>
        </w:rPr>
        <w:t xml:space="preserve"> (data not shown). Lichen</w:t>
      </w:r>
      <w:r w:rsidR="001E14C3" w:rsidRPr="00AC4AD8">
        <w:rPr>
          <w:rFonts w:ascii="Times New Roman" w:hAnsi="Times New Roman"/>
        </w:rPr>
        <w:t>s</w:t>
      </w:r>
      <w:r w:rsidR="00031538" w:rsidRPr="00AC4AD8">
        <w:rPr>
          <w:rFonts w:ascii="Times New Roman" w:hAnsi="Times New Roman"/>
        </w:rPr>
        <w:t xml:space="preserve"> w</w:t>
      </w:r>
      <w:r w:rsidR="001E14C3" w:rsidRPr="00AC4AD8">
        <w:rPr>
          <w:rFonts w:ascii="Times New Roman" w:hAnsi="Times New Roman"/>
        </w:rPr>
        <w:t>ere</w:t>
      </w:r>
      <w:r w:rsidR="00031538" w:rsidRPr="00AC4AD8">
        <w:rPr>
          <w:rFonts w:ascii="Times New Roman" w:hAnsi="Times New Roman"/>
        </w:rPr>
        <w:t xml:space="preserve"> </w:t>
      </w:r>
      <w:r w:rsidR="001E14C3" w:rsidRPr="00AC4AD8">
        <w:rPr>
          <w:rFonts w:ascii="Times New Roman" w:hAnsi="Times New Roman"/>
        </w:rPr>
        <w:t>too rare</w:t>
      </w:r>
      <w:r w:rsidR="00031538" w:rsidRPr="00AC4AD8">
        <w:rPr>
          <w:rFonts w:ascii="Times New Roman" w:hAnsi="Times New Roman"/>
        </w:rPr>
        <w:t xml:space="preserve"> to analyse. The addition of </w:t>
      </w:r>
      <w:r w:rsidR="00F468C3" w:rsidRPr="00AC4AD8">
        <w:rPr>
          <w:rFonts w:ascii="Times New Roman" w:hAnsi="Times New Roman"/>
          <w:i/>
        </w:rPr>
        <w:t>Trichoderma</w:t>
      </w:r>
      <w:r w:rsidR="00031538" w:rsidRPr="00AC4AD8">
        <w:rPr>
          <w:rFonts w:ascii="Times New Roman" w:hAnsi="Times New Roman"/>
        </w:rPr>
        <w:t xml:space="preserve"> to plots altered the pattern in bryophyte cover over time</w:t>
      </w:r>
      <w:r w:rsidRPr="00AC4AD8">
        <w:rPr>
          <w:rFonts w:ascii="Times New Roman" w:hAnsi="Times New Roman"/>
        </w:rPr>
        <w:t xml:space="preserve"> (</w:t>
      </w:r>
      <w:r w:rsidRPr="00AC4AD8">
        <w:rPr>
          <w:rFonts w:ascii="Times New Roman" w:hAnsi="Times New Roman"/>
          <w:i/>
        </w:rPr>
        <w:t>F</w:t>
      </w:r>
      <w:r w:rsidRPr="00AC4AD8">
        <w:rPr>
          <w:rFonts w:ascii="Times New Roman" w:hAnsi="Times New Roman"/>
          <w:vertAlign w:val="subscript"/>
        </w:rPr>
        <w:t>1.46, 58.19</w:t>
      </w:r>
      <w:r w:rsidRPr="00AC4AD8">
        <w:rPr>
          <w:rFonts w:ascii="Times New Roman" w:hAnsi="Times New Roman"/>
        </w:rPr>
        <w:t xml:space="preserve"> = 3.70, </w:t>
      </w:r>
      <w:r w:rsidRPr="00AC4AD8">
        <w:rPr>
          <w:rFonts w:ascii="Times New Roman" w:hAnsi="Times New Roman"/>
          <w:i/>
        </w:rPr>
        <w:t>p</w:t>
      </w:r>
      <w:r w:rsidRPr="00AC4AD8">
        <w:rPr>
          <w:rFonts w:ascii="Times New Roman" w:hAnsi="Times New Roman"/>
        </w:rPr>
        <w:t xml:space="preserve"> &lt; 0.05). Figure 1b outlines that </w:t>
      </w:r>
      <w:r w:rsidR="00031538" w:rsidRPr="00AC4AD8">
        <w:rPr>
          <w:rFonts w:ascii="Times New Roman" w:hAnsi="Times New Roman"/>
        </w:rPr>
        <w:t>bryophytes perform</w:t>
      </w:r>
      <w:r w:rsidRPr="00AC4AD8">
        <w:rPr>
          <w:rFonts w:ascii="Times New Roman" w:hAnsi="Times New Roman"/>
        </w:rPr>
        <w:t>ed</w:t>
      </w:r>
      <w:r w:rsidR="00031538" w:rsidRPr="00AC4AD8">
        <w:rPr>
          <w:rFonts w:ascii="Times New Roman" w:hAnsi="Times New Roman"/>
        </w:rPr>
        <w:t xml:space="preserve"> better in plots treated with </w:t>
      </w:r>
      <w:r w:rsidR="00F468C3" w:rsidRPr="00AC4AD8">
        <w:rPr>
          <w:rFonts w:ascii="Times New Roman" w:hAnsi="Times New Roman"/>
          <w:i/>
        </w:rPr>
        <w:t>Trichoderma</w:t>
      </w:r>
      <w:r w:rsidR="00031538" w:rsidRPr="00AC4AD8">
        <w:rPr>
          <w:rFonts w:ascii="Times New Roman" w:hAnsi="Times New Roman"/>
        </w:rPr>
        <w:t xml:space="preserve"> in January, but worse in </w:t>
      </w:r>
      <w:r w:rsidR="00480945" w:rsidRPr="00AC4AD8">
        <w:rPr>
          <w:rFonts w:ascii="Times New Roman" w:hAnsi="Times New Roman"/>
        </w:rPr>
        <w:t xml:space="preserve">the </w:t>
      </w:r>
      <w:r w:rsidR="00031538" w:rsidRPr="00AC4AD8">
        <w:rPr>
          <w:rFonts w:ascii="Times New Roman" w:hAnsi="Times New Roman"/>
        </w:rPr>
        <w:t>following months</w:t>
      </w:r>
      <w:r w:rsidRPr="00AC4AD8">
        <w:rPr>
          <w:rFonts w:ascii="Times New Roman" w:hAnsi="Times New Roman"/>
        </w:rPr>
        <w:t>, though these differences are very small</w:t>
      </w:r>
      <w:r w:rsidR="00031538" w:rsidRPr="00AC4AD8">
        <w:rPr>
          <w:rFonts w:ascii="Times New Roman" w:hAnsi="Times New Roman"/>
        </w:rPr>
        <w:t xml:space="preserve">. </w:t>
      </w:r>
    </w:p>
    <w:p w14:paraId="1506E79C" w14:textId="66A80F88" w:rsidR="00705CEC" w:rsidRPr="00AC4AD8" w:rsidRDefault="00705CEC" w:rsidP="00F03F20">
      <w:pPr>
        <w:spacing w:after="120" w:line="360" w:lineRule="auto"/>
        <w:ind w:firstLine="340"/>
        <w:jc w:val="both"/>
        <w:rPr>
          <w:rFonts w:ascii="Times New Roman" w:hAnsi="Times New Roman"/>
        </w:rPr>
      </w:pPr>
      <w:r w:rsidRPr="00AC4AD8">
        <w:rPr>
          <w:rFonts w:ascii="Times New Roman" w:hAnsi="Times New Roman"/>
        </w:rPr>
        <w:t>&lt;FIGURE 1 NEAR HERE&gt;</w:t>
      </w:r>
    </w:p>
    <w:p w14:paraId="74B4BA12" w14:textId="240C77B8" w:rsidR="00A24BC8" w:rsidRPr="00AC4AD8" w:rsidRDefault="00031538" w:rsidP="00F03F20">
      <w:pPr>
        <w:spacing w:after="120" w:line="360" w:lineRule="auto"/>
        <w:ind w:firstLine="340"/>
        <w:jc w:val="both"/>
        <w:rPr>
          <w:rFonts w:ascii="Times New Roman" w:hAnsi="Times New Roman"/>
        </w:rPr>
      </w:pPr>
      <w:r w:rsidRPr="00AC4AD8">
        <w:rPr>
          <w:rFonts w:ascii="Times New Roman" w:hAnsi="Times New Roman"/>
        </w:rPr>
        <w:t xml:space="preserve">Colonisation of </w:t>
      </w:r>
      <w:r w:rsidR="00F468C3" w:rsidRPr="00AC4AD8">
        <w:rPr>
          <w:rFonts w:ascii="Times New Roman" w:hAnsi="Times New Roman"/>
          <w:i/>
        </w:rPr>
        <w:t>Sedum</w:t>
      </w:r>
      <w:r w:rsidR="00E07FFD" w:rsidRPr="00AC4AD8">
        <w:rPr>
          <w:rFonts w:ascii="Times New Roman" w:hAnsi="Times New Roman"/>
        </w:rPr>
        <w:t xml:space="preserve"> </w:t>
      </w:r>
      <w:r w:rsidRPr="00AC4AD8">
        <w:rPr>
          <w:rFonts w:ascii="Times New Roman" w:hAnsi="Times New Roman"/>
        </w:rPr>
        <w:t xml:space="preserve">roots by mycorrhizal fungi </w:t>
      </w:r>
      <w:r w:rsidR="00E07FFD" w:rsidRPr="00AC4AD8">
        <w:rPr>
          <w:rFonts w:ascii="Times New Roman" w:hAnsi="Times New Roman"/>
        </w:rPr>
        <w:t xml:space="preserve">at the end of the trial period </w:t>
      </w:r>
      <w:r w:rsidR="00BB4F8C" w:rsidRPr="00AC4AD8">
        <w:rPr>
          <w:rFonts w:ascii="Times New Roman" w:hAnsi="Times New Roman"/>
        </w:rPr>
        <w:t xml:space="preserve">in July 2012 </w:t>
      </w:r>
      <w:r w:rsidRPr="00AC4AD8">
        <w:rPr>
          <w:rFonts w:ascii="Times New Roman" w:hAnsi="Times New Roman"/>
        </w:rPr>
        <w:t>was high</w:t>
      </w:r>
      <w:r w:rsidR="00660816" w:rsidRPr="00AC4AD8">
        <w:rPr>
          <w:rFonts w:ascii="Times New Roman" w:hAnsi="Times New Roman"/>
        </w:rPr>
        <w:t>,</w:t>
      </w:r>
      <w:r w:rsidRPr="00AC4AD8">
        <w:rPr>
          <w:rFonts w:ascii="Times New Roman" w:hAnsi="Times New Roman"/>
        </w:rPr>
        <w:t xml:space="preserve"> with a mean </w:t>
      </w:r>
      <w:r w:rsidR="0011419A" w:rsidRPr="00AC4AD8">
        <w:rPr>
          <w:rFonts w:ascii="Times New Roman" w:hAnsi="Times New Roman"/>
        </w:rPr>
        <w:t>colonisation</w:t>
      </w:r>
      <w:r w:rsidRPr="00AC4AD8">
        <w:rPr>
          <w:rFonts w:ascii="Times New Roman" w:hAnsi="Times New Roman"/>
        </w:rPr>
        <w:t xml:space="preserve"> across all treatments </w:t>
      </w:r>
      <w:r w:rsidR="0011419A" w:rsidRPr="00AC4AD8">
        <w:rPr>
          <w:rFonts w:ascii="Times New Roman" w:hAnsi="Times New Roman"/>
        </w:rPr>
        <w:t>of</w:t>
      </w:r>
      <w:r w:rsidRPr="00AC4AD8">
        <w:rPr>
          <w:rFonts w:ascii="Times New Roman" w:hAnsi="Times New Roman"/>
        </w:rPr>
        <w:t xml:space="preserve"> 7</w:t>
      </w:r>
      <w:r w:rsidR="00021D88" w:rsidRPr="00AC4AD8">
        <w:rPr>
          <w:rFonts w:ascii="Times New Roman" w:hAnsi="Times New Roman"/>
        </w:rPr>
        <w:t>5</w:t>
      </w:r>
      <w:r w:rsidRPr="00AC4AD8">
        <w:rPr>
          <w:rFonts w:ascii="Times New Roman" w:hAnsi="Times New Roman"/>
        </w:rPr>
        <w:t>.</w:t>
      </w:r>
      <w:r w:rsidR="00021D88" w:rsidRPr="00AC4AD8">
        <w:rPr>
          <w:rFonts w:ascii="Times New Roman" w:hAnsi="Times New Roman"/>
        </w:rPr>
        <w:t>7</w:t>
      </w:r>
      <w:r w:rsidR="00BB468A" w:rsidRPr="00AC4AD8">
        <w:rPr>
          <w:rFonts w:ascii="Times New Roman" w:hAnsi="Times New Roman"/>
        </w:rPr>
        <w:t xml:space="preserve"> </w:t>
      </w:r>
      <w:r w:rsidRPr="00AC4AD8">
        <w:rPr>
          <w:rFonts w:ascii="Times New Roman" w:hAnsi="Times New Roman"/>
        </w:rPr>
        <w:t>(±1.</w:t>
      </w:r>
      <w:r w:rsidR="00021D88" w:rsidRPr="00AC4AD8">
        <w:rPr>
          <w:rFonts w:ascii="Times New Roman" w:hAnsi="Times New Roman"/>
        </w:rPr>
        <w:t>6</w:t>
      </w:r>
      <w:proofErr w:type="gramStart"/>
      <w:r w:rsidRPr="00AC4AD8">
        <w:rPr>
          <w:rFonts w:ascii="Times New Roman" w:hAnsi="Times New Roman"/>
        </w:rPr>
        <w:t>)%</w:t>
      </w:r>
      <w:proofErr w:type="gramEnd"/>
      <w:r w:rsidRPr="00AC4AD8">
        <w:rPr>
          <w:rFonts w:ascii="Times New Roman" w:hAnsi="Times New Roman"/>
        </w:rPr>
        <w:t>. The proportion of counts containing vesicles was also exceptionally high, averaging 5</w:t>
      </w:r>
      <w:r w:rsidR="00021D88" w:rsidRPr="00AC4AD8">
        <w:rPr>
          <w:rFonts w:ascii="Times New Roman" w:hAnsi="Times New Roman"/>
        </w:rPr>
        <w:t>0</w:t>
      </w:r>
      <w:r w:rsidRPr="00AC4AD8">
        <w:rPr>
          <w:rFonts w:ascii="Times New Roman" w:hAnsi="Times New Roman"/>
        </w:rPr>
        <w:t>.</w:t>
      </w:r>
      <w:r w:rsidR="00021D88" w:rsidRPr="00AC4AD8">
        <w:rPr>
          <w:rFonts w:ascii="Times New Roman" w:hAnsi="Times New Roman"/>
        </w:rPr>
        <w:t>2</w:t>
      </w:r>
      <w:r w:rsidR="00BB468A" w:rsidRPr="00AC4AD8">
        <w:rPr>
          <w:rFonts w:ascii="Times New Roman" w:hAnsi="Times New Roman"/>
        </w:rPr>
        <w:t xml:space="preserve"> </w:t>
      </w:r>
      <w:r w:rsidRPr="00AC4AD8">
        <w:rPr>
          <w:rFonts w:ascii="Times New Roman" w:hAnsi="Times New Roman"/>
        </w:rPr>
        <w:t>(±2.</w:t>
      </w:r>
      <w:r w:rsidR="00021D88" w:rsidRPr="00AC4AD8">
        <w:rPr>
          <w:rFonts w:ascii="Times New Roman" w:hAnsi="Times New Roman"/>
        </w:rPr>
        <w:t>0</w:t>
      </w:r>
      <w:proofErr w:type="gramStart"/>
      <w:r w:rsidRPr="00AC4AD8">
        <w:rPr>
          <w:rFonts w:ascii="Times New Roman" w:hAnsi="Times New Roman"/>
        </w:rPr>
        <w:t>)%</w:t>
      </w:r>
      <w:proofErr w:type="gramEnd"/>
      <w:r w:rsidRPr="00AC4AD8">
        <w:rPr>
          <w:rFonts w:ascii="Times New Roman" w:hAnsi="Times New Roman"/>
        </w:rPr>
        <w:t xml:space="preserve"> across the whole roof. 2</w:t>
      </w:r>
      <w:r w:rsidR="00021D88" w:rsidRPr="00AC4AD8">
        <w:rPr>
          <w:rFonts w:ascii="Times New Roman" w:hAnsi="Times New Roman"/>
        </w:rPr>
        <w:t>5</w:t>
      </w:r>
      <w:r w:rsidRPr="00AC4AD8">
        <w:rPr>
          <w:rFonts w:ascii="Times New Roman" w:hAnsi="Times New Roman"/>
        </w:rPr>
        <w:t>.</w:t>
      </w:r>
      <w:r w:rsidR="00021D88" w:rsidRPr="00AC4AD8">
        <w:rPr>
          <w:rFonts w:ascii="Times New Roman" w:hAnsi="Times New Roman"/>
        </w:rPr>
        <w:t>5</w:t>
      </w:r>
      <w:r w:rsidRPr="00AC4AD8">
        <w:rPr>
          <w:rFonts w:ascii="Times New Roman" w:hAnsi="Times New Roman"/>
        </w:rPr>
        <w:t>(±1.3</w:t>
      </w:r>
      <w:proofErr w:type="gramStart"/>
      <w:r w:rsidRPr="00AC4AD8">
        <w:rPr>
          <w:rFonts w:ascii="Times New Roman" w:hAnsi="Times New Roman"/>
        </w:rPr>
        <w:t>)%</w:t>
      </w:r>
      <w:proofErr w:type="gramEnd"/>
      <w:r w:rsidRPr="00AC4AD8">
        <w:rPr>
          <w:rFonts w:ascii="Times New Roman" w:hAnsi="Times New Roman"/>
        </w:rPr>
        <w:t xml:space="preserve"> of counts contained hyphae only and </w:t>
      </w:r>
      <w:r w:rsidR="00660816" w:rsidRPr="00AC4AD8">
        <w:rPr>
          <w:rFonts w:ascii="Times New Roman" w:hAnsi="Times New Roman"/>
        </w:rPr>
        <w:t xml:space="preserve">prevalence of </w:t>
      </w:r>
      <w:proofErr w:type="spellStart"/>
      <w:r w:rsidR="00660816" w:rsidRPr="00AC4AD8">
        <w:rPr>
          <w:rFonts w:ascii="Times New Roman" w:hAnsi="Times New Roman"/>
        </w:rPr>
        <w:t>arbuscules</w:t>
      </w:r>
      <w:proofErr w:type="spellEnd"/>
      <w:r w:rsidR="00660816" w:rsidRPr="00AC4AD8">
        <w:rPr>
          <w:rFonts w:ascii="Times New Roman" w:hAnsi="Times New Roman"/>
        </w:rPr>
        <w:t xml:space="preserve"> was</w:t>
      </w:r>
      <w:r w:rsidRPr="00AC4AD8">
        <w:rPr>
          <w:rFonts w:ascii="Times New Roman" w:hAnsi="Times New Roman"/>
        </w:rPr>
        <w:t xml:space="preserve"> extremely low, averaging only 0.05(±0.03)% across the whole roof. All counts containing vesicles and/or </w:t>
      </w:r>
      <w:proofErr w:type="spellStart"/>
      <w:r w:rsidRPr="00AC4AD8">
        <w:rPr>
          <w:rFonts w:ascii="Times New Roman" w:hAnsi="Times New Roman"/>
        </w:rPr>
        <w:t>arbuscules</w:t>
      </w:r>
      <w:proofErr w:type="spellEnd"/>
      <w:r w:rsidRPr="00AC4AD8">
        <w:rPr>
          <w:rFonts w:ascii="Times New Roman" w:hAnsi="Times New Roman"/>
        </w:rPr>
        <w:t xml:space="preserve"> also </w:t>
      </w:r>
      <w:r w:rsidR="00A24BC8" w:rsidRPr="00AC4AD8">
        <w:rPr>
          <w:rFonts w:ascii="Times New Roman" w:hAnsi="Times New Roman"/>
        </w:rPr>
        <w:t>contained hyphae.</w:t>
      </w:r>
    </w:p>
    <w:p w14:paraId="3D8968A8" w14:textId="13CCA740" w:rsidR="00031538" w:rsidRPr="00AC4AD8" w:rsidRDefault="00031538" w:rsidP="00F03F20">
      <w:pPr>
        <w:spacing w:after="120" w:line="360" w:lineRule="auto"/>
        <w:ind w:firstLine="340"/>
        <w:jc w:val="both"/>
        <w:rPr>
          <w:rFonts w:ascii="Times New Roman" w:hAnsi="Times New Roman"/>
        </w:rPr>
      </w:pPr>
      <w:r w:rsidRPr="00AC4AD8">
        <w:rPr>
          <w:rFonts w:ascii="Times New Roman" w:hAnsi="Times New Roman"/>
        </w:rPr>
        <w:t xml:space="preserve">The </w:t>
      </w:r>
      <w:r w:rsidR="002A58E9" w:rsidRPr="00AC4AD8">
        <w:rPr>
          <w:rFonts w:ascii="Times New Roman" w:hAnsi="Times New Roman"/>
        </w:rPr>
        <w:t xml:space="preserve">total </w:t>
      </w:r>
      <w:r w:rsidRPr="00AC4AD8">
        <w:rPr>
          <w:rFonts w:ascii="Times New Roman" w:hAnsi="Times New Roman"/>
        </w:rPr>
        <w:t xml:space="preserve">percentage colonisation of roots by mycorrhizal fungi </w:t>
      </w:r>
      <w:r w:rsidR="00AB4D70" w:rsidRPr="00AC4AD8">
        <w:rPr>
          <w:rFonts w:ascii="Times New Roman" w:hAnsi="Times New Roman"/>
        </w:rPr>
        <w:t xml:space="preserve">at the end of the experiment </w:t>
      </w:r>
      <w:r w:rsidR="00BB4F8C" w:rsidRPr="00AC4AD8">
        <w:rPr>
          <w:rFonts w:ascii="Times New Roman" w:hAnsi="Times New Roman"/>
        </w:rPr>
        <w:t xml:space="preserve">in July 2012 </w:t>
      </w:r>
      <w:r w:rsidRPr="00AC4AD8">
        <w:rPr>
          <w:rFonts w:ascii="Times New Roman" w:hAnsi="Times New Roman"/>
        </w:rPr>
        <w:t xml:space="preserve">was </w:t>
      </w:r>
      <w:r w:rsidR="00021D88" w:rsidRPr="00AC4AD8">
        <w:rPr>
          <w:rFonts w:ascii="Times New Roman" w:hAnsi="Times New Roman"/>
        </w:rPr>
        <w:t>unaffected by the addition of inoculants</w:t>
      </w:r>
      <w:r w:rsidR="00AB4D70" w:rsidRPr="00AC4AD8">
        <w:rPr>
          <w:rFonts w:ascii="Times New Roman" w:hAnsi="Times New Roman"/>
        </w:rPr>
        <w:t>, with no significant differences between treatments and the control, and no interactions between treatments</w:t>
      </w:r>
      <w:r w:rsidRPr="00AC4AD8">
        <w:rPr>
          <w:rFonts w:ascii="Times New Roman" w:hAnsi="Times New Roman"/>
        </w:rPr>
        <w:t xml:space="preserve"> (</w:t>
      </w:r>
      <w:r w:rsidRPr="00AC4AD8">
        <w:rPr>
          <w:rFonts w:ascii="Times New Roman" w:hAnsi="Times New Roman"/>
          <w:i/>
        </w:rPr>
        <w:t>F</w:t>
      </w:r>
      <w:r w:rsidRPr="00AC4AD8">
        <w:rPr>
          <w:rFonts w:ascii="Times New Roman" w:hAnsi="Times New Roman"/>
          <w:vertAlign w:val="subscript"/>
        </w:rPr>
        <w:t xml:space="preserve">1, </w:t>
      </w:r>
      <w:r w:rsidR="00021D88" w:rsidRPr="00AC4AD8">
        <w:rPr>
          <w:rFonts w:ascii="Times New Roman" w:hAnsi="Times New Roman"/>
          <w:vertAlign w:val="subscript"/>
        </w:rPr>
        <w:t>55</w:t>
      </w:r>
      <w:r w:rsidRPr="00AC4AD8">
        <w:rPr>
          <w:rFonts w:ascii="Times New Roman" w:hAnsi="Times New Roman"/>
        </w:rPr>
        <w:t xml:space="preserve"> = </w:t>
      </w:r>
      <w:r w:rsidR="00021D88" w:rsidRPr="00AC4AD8">
        <w:rPr>
          <w:rFonts w:ascii="Times New Roman" w:hAnsi="Times New Roman"/>
        </w:rPr>
        <w:t>0.74</w:t>
      </w:r>
      <w:r w:rsidRPr="00AC4AD8">
        <w:rPr>
          <w:rFonts w:ascii="Times New Roman" w:hAnsi="Times New Roman"/>
        </w:rPr>
        <w:t xml:space="preserve">, </w:t>
      </w:r>
      <w:r w:rsidRPr="00AC4AD8">
        <w:rPr>
          <w:rFonts w:ascii="Times New Roman" w:hAnsi="Times New Roman"/>
          <w:i/>
        </w:rPr>
        <w:t>p</w:t>
      </w:r>
      <w:r w:rsidRPr="00AC4AD8">
        <w:rPr>
          <w:rFonts w:ascii="Times New Roman" w:hAnsi="Times New Roman"/>
        </w:rPr>
        <w:t xml:space="preserve"> </w:t>
      </w:r>
      <w:r w:rsidR="00021D88" w:rsidRPr="00AC4AD8">
        <w:rPr>
          <w:rFonts w:ascii="Times New Roman" w:hAnsi="Times New Roman"/>
        </w:rPr>
        <w:t>&gt;</w:t>
      </w:r>
      <w:r w:rsidRPr="00AC4AD8">
        <w:rPr>
          <w:rFonts w:ascii="Times New Roman" w:hAnsi="Times New Roman"/>
        </w:rPr>
        <w:t xml:space="preserve"> 0.05)</w:t>
      </w:r>
      <w:r w:rsidR="00867214" w:rsidRPr="00AC4AD8">
        <w:rPr>
          <w:rFonts w:ascii="Times New Roman" w:hAnsi="Times New Roman"/>
        </w:rPr>
        <w:t>. Vesicles and hyphae alone, when analysed separately, were not found to have been affected by any of the inoculants, nor were there any interactions between treatments.</w:t>
      </w:r>
      <w:r w:rsidRPr="00AC4AD8">
        <w:rPr>
          <w:rFonts w:ascii="Times New Roman" w:hAnsi="Times New Roman"/>
        </w:rPr>
        <w:t xml:space="preserve"> Numbers of </w:t>
      </w:r>
      <w:proofErr w:type="spellStart"/>
      <w:r w:rsidRPr="00AC4AD8">
        <w:rPr>
          <w:rFonts w:ascii="Times New Roman" w:hAnsi="Times New Roman"/>
        </w:rPr>
        <w:t>arbuscules</w:t>
      </w:r>
      <w:proofErr w:type="spellEnd"/>
      <w:r w:rsidRPr="00AC4AD8">
        <w:rPr>
          <w:rFonts w:ascii="Times New Roman" w:hAnsi="Times New Roman"/>
        </w:rPr>
        <w:t xml:space="preserve"> were too low to analyse.</w:t>
      </w:r>
    </w:p>
    <w:p w14:paraId="4AB3329F" w14:textId="02B01963" w:rsidR="00C1230F"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3.3. </w:t>
      </w:r>
      <w:r w:rsidR="00C1230F" w:rsidRPr="00AC4AD8">
        <w:rPr>
          <w:rFonts w:ascii="Times New Roman" w:hAnsi="Times New Roman"/>
          <w:i/>
        </w:rPr>
        <w:t>Microarthropods</w:t>
      </w:r>
    </w:p>
    <w:p w14:paraId="57A9D13B" w14:textId="26D6EC26" w:rsidR="00C1230F" w:rsidRPr="00AC4AD8" w:rsidRDefault="00C1230F" w:rsidP="00F03F20">
      <w:pPr>
        <w:spacing w:after="120" w:line="360" w:lineRule="auto"/>
        <w:ind w:firstLine="340"/>
        <w:jc w:val="both"/>
        <w:rPr>
          <w:rFonts w:ascii="Times New Roman" w:hAnsi="Times New Roman"/>
        </w:rPr>
      </w:pPr>
      <w:r w:rsidRPr="00AC4AD8">
        <w:rPr>
          <w:rFonts w:ascii="Times New Roman" w:hAnsi="Times New Roman"/>
        </w:rPr>
        <w:t xml:space="preserve">Forty </w:t>
      </w:r>
      <w:r w:rsidR="00D371B3" w:rsidRPr="00AC4AD8">
        <w:rPr>
          <w:rFonts w:ascii="Times New Roman" w:hAnsi="Times New Roman"/>
        </w:rPr>
        <w:t xml:space="preserve">microarthropod </w:t>
      </w:r>
      <w:r w:rsidRPr="00AC4AD8">
        <w:rPr>
          <w:rFonts w:ascii="Times New Roman" w:hAnsi="Times New Roman"/>
        </w:rPr>
        <w:t xml:space="preserve">species were found on the roof during the sample period.  </w:t>
      </w:r>
      <w:r w:rsidR="00E12571" w:rsidRPr="00AC4AD8">
        <w:rPr>
          <w:rFonts w:ascii="Times New Roman" w:hAnsi="Times New Roman"/>
        </w:rPr>
        <w:t xml:space="preserve">Of note was a species of </w:t>
      </w:r>
      <w:proofErr w:type="spellStart"/>
      <w:r w:rsidR="00E12571" w:rsidRPr="00AC4AD8">
        <w:rPr>
          <w:rFonts w:ascii="Times New Roman" w:hAnsi="Times New Roman"/>
        </w:rPr>
        <w:t>Hemiptera</w:t>
      </w:r>
      <w:proofErr w:type="spellEnd"/>
      <w:r w:rsidR="00E12571" w:rsidRPr="00AC4AD8">
        <w:rPr>
          <w:rFonts w:ascii="Times New Roman" w:hAnsi="Times New Roman"/>
        </w:rPr>
        <w:t xml:space="preserve"> </w:t>
      </w:r>
      <w:r w:rsidR="003B6A84" w:rsidRPr="00AC4AD8">
        <w:rPr>
          <w:rFonts w:ascii="Times New Roman" w:hAnsi="Times New Roman"/>
        </w:rPr>
        <w:t xml:space="preserve">not previously recorded on this roof, </w:t>
      </w:r>
      <w:r w:rsidR="00163EE0" w:rsidRPr="00AC4AD8">
        <w:rPr>
          <w:rFonts w:ascii="Times New Roman" w:hAnsi="Times New Roman"/>
        </w:rPr>
        <w:t xml:space="preserve">in the </w:t>
      </w:r>
      <w:r w:rsidRPr="00AC4AD8">
        <w:rPr>
          <w:rFonts w:ascii="Times New Roman" w:hAnsi="Times New Roman"/>
        </w:rPr>
        <w:t xml:space="preserve">family </w:t>
      </w:r>
      <w:proofErr w:type="spellStart"/>
      <w:r w:rsidRPr="00AC4AD8">
        <w:rPr>
          <w:rFonts w:ascii="Times New Roman" w:hAnsi="Times New Roman"/>
        </w:rPr>
        <w:t>Tingida</w:t>
      </w:r>
      <w:r w:rsidR="00163EE0" w:rsidRPr="00AC4AD8">
        <w:rPr>
          <w:rFonts w:ascii="Times New Roman" w:hAnsi="Times New Roman"/>
        </w:rPr>
        <w:t>e</w:t>
      </w:r>
      <w:proofErr w:type="spellEnd"/>
      <w:r w:rsidR="00163EE0" w:rsidRPr="00AC4AD8">
        <w:rPr>
          <w:rFonts w:ascii="Times New Roman" w:hAnsi="Times New Roman"/>
        </w:rPr>
        <w:t xml:space="preserve">, identified as </w:t>
      </w:r>
      <w:proofErr w:type="spellStart"/>
      <w:r w:rsidR="00460D70" w:rsidRPr="00AC4AD8">
        <w:rPr>
          <w:rFonts w:ascii="Times New Roman" w:hAnsi="Times New Roman"/>
          <w:i/>
        </w:rPr>
        <w:t>Acalypta</w:t>
      </w:r>
      <w:proofErr w:type="spellEnd"/>
      <w:r w:rsidR="00460D70" w:rsidRPr="00AC4AD8">
        <w:rPr>
          <w:rFonts w:ascii="Times New Roman" w:hAnsi="Times New Roman"/>
          <w:i/>
        </w:rPr>
        <w:t xml:space="preserve"> </w:t>
      </w:r>
      <w:proofErr w:type="spellStart"/>
      <w:proofErr w:type="gramStart"/>
      <w:r w:rsidR="00460D70" w:rsidRPr="00AC4AD8">
        <w:rPr>
          <w:rFonts w:ascii="Times New Roman" w:hAnsi="Times New Roman"/>
          <w:i/>
        </w:rPr>
        <w:t>parvula</w:t>
      </w:r>
      <w:proofErr w:type="spellEnd"/>
      <w:r w:rsidR="00163EE0" w:rsidRPr="00AC4AD8">
        <w:rPr>
          <w:rFonts w:ascii="Times New Roman" w:hAnsi="Times New Roman"/>
          <w:i/>
        </w:rPr>
        <w:t>.</w:t>
      </w:r>
      <w:proofErr w:type="gramEnd"/>
      <w:r w:rsidRPr="00AC4AD8">
        <w:rPr>
          <w:rFonts w:ascii="Times New Roman" w:hAnsi="Times New Roman"/>
        </w:rPr>
        <w:t xml:space="preserve"> </w:t>
      </w:r>
      <w:r w:rsidR="001463CE" w:rsidRPr="00AC4AD8">
        <w:rPr>
          <w:rFonts w:ascii="Times New Roman" w:hAnsi="Times New Roman"/>
        </w:rPr>
        <w:t>A</w:t>
      </w:r>
      <w:r w:rsidR="003B6A84" w:rsidRPr="00AC4AD8">
        <w:rPr>
          <w:rFonts w:ascii="Times New Roman" w:hAnsi="Times New Roman"/>
        </w:rPr>
        <w:t xml:space="preserve">nother species not previously recorded on this roof was </w:t>
      </w:r>
      <w:r w:rsidR="009A252C" w:rsidRPr="00AC4AD8">
        <w:rPr>
          <w:rFonts w:ascii="Times New Roman" w:hAnsi="Times New Roman"/>
        </w:rPr>
        <w:t>the aphid</w:t>
      </w:r>
      <w:r w:rsidR="001463CE" w:rsidRPr="00AC4AD8">
        <w:rPr>
          <w:rFonts w:ascii="Times New Roman" w:hAnsi="Times New Roman"/>
        </w:rPr>
        <w:t xml:space="preserve">, </w:t>
      </w:r>
      <w:r w:rsidR="001463CE" w:rsidRPr="00AC4AD8">
        <w:rPr>
          <w:rFonts w:ascii="Times New Roman" w:hAnsi="Times New Roman"/>
          <w:i/>
        </w:rPr>
        <w:t xml:space="preserve">Aphis </w:t>
      </w:r>
      <w:proofErr w:type="spellStart"/>
      <w:r w:rsidR="001463CE" w:rsidRPr="00AC4AD8">
        <w:rPr>
          <w:rFonts w:ascii="Times New Roman" w:hAnsi="Times New Roman"/>
          <w:i/>
        </w:rPr>
        <w:t>sedi</w:t>
      </w:r>
      <w:proofErr w:type="spellEnd"/>
      <w:r w:rsidR="003B6A84" w:rsidRPr="00AC4AD8">
        <w:rPr>
          <w:rFonts w:ascii="Times New Roman" w:hAnsi="Times New Roman"/>
          <w:i/>
        </w:rPr>
        <w:t xml:space="preserve">. </w:t>
      </w:r>
      <w:r w:rsidRPr="00AC4AD8">
        <w:rPr>
          <w:rFonts w:ascii="Times New Roman" w:hAnsi="Times New Roman"/>
        </w:rPr>
        <w:t xml:space="preserve">One </w:t>
      </w:r>
      <w:proofErr w:type="spellStart"/>
      <w:r w:rsidRPr="00AC4AD8">
        <w:rPr>
          <w:rFonts w:ascii="Times New Roman" w:hAnsi="Times New Roman"/>
        </w:rPr>
        <w:t>morphospecies</w:t>
      </w:r>
      <w:proofErr w:type="spellEnd"/>
      <w:r w:rsidRPr="00AC4AD8">
        <w:rPr>
          <w:rFonts w:ascii="Times New Roman" w:hAnsi="Times New Roman"/>
        </w:rPr>
        <w:t xml:space="preserve"> of </w:t>
      </w:r>
      <w:proofErr w:type="spellStart"/>
      <w:r w:rsidRPr="00AC4AD8">
        <w:rPr>
          <w:rFonts w:ascii="Times New Roman" w:hAnsi="Times New Roman"/>
        </w:rPr>
        <w:t>Thysanoptera</w:t>
      </w:r>
      <w:proofErr w:type="spellEnd"/>
      <w:r w:rsidRPr="00AC4AD8">
        <w:rPr>
          <w:rFonts w:ascii="Times New Roman" w:hAnsi="Times New Roman"/>
        </w:rPr>
        <w:t xml:space="preserve"> and one species of </w:t>
      </w:r>
      <w:proofErr w:type="spellStart"/>
      <w:r w:rsidRPr="00AC4AD8">
        <w:rPr>
          <w:rFonts w:ascii="Times New Roman" w:hAnsi="Times New Roman"/>
        </w:rPr>
        <w:t>Gastropoda</w:t>
      </w:r>
      <w:proofErr w:type="spellEnd"/>
      <w:r w:rsidRPr="00AC4AD8">
        <w:rPr>
          <w:rFonts w:ascii="Times New Roman" w:hAnsi="Times New Roman"/>
        </w:rPr>
        <w:t xml:space="preserve"> (</w:t>
      </w:r>
      <w:r w:rsidRPr="00AC4AD8">
        <w:rPr>
          <w:rFonts w:ascii="Times New Roman" w:hAnsi="Times New Roman"/>
          <w:i/>
        </w:rPr>
        <w:t>Vallonia costata</w:t>
      </w:r>
      <w:r w:rsidRPr="00AC4AD8">
        <w:rPr>
          <w:rFonts w:ascii="Times New Roman" w:hAnsi="Times New Roman"/>
        </w:rPr>
        <w:t>) w</w:t>
      </w:r>
      <w:r w:rsidR="00E12571" w:rsidRPr="00AC4AD8">
        <w:rPr>
          <w:rFonts w:ascii="Times New Roman" w:hAnsi="Times New Roman"/>
        </w:rPr>
        <w:t>ere</w:t>
      </w:r>
      <w:r w:rsidRPr="00AC4AD8">
        <w:rPr>
          <w:rFonts w:ascii="Times New Roman" w:hAnsi="Times New Roman"/>
        </w:rPr>
        <w:t xml:space="preserve"> also found on the roof </w:t>
      </w:r>
      <w:r w:rsidR="00660816" w:rsidRPr="00AC4AD8">
        <w:rPr>
          <w:rFonts w:ascii="Times New Roman" w:hAnsi="Times New Roman"/>
        </w:rPr>
        <w:t xml:space="preserve">for the first time (the latter in </w:t>
      </w:r>
      <w:r w:rsidRPr="00AC4AD8">
        <w:rPr>
          <w:rFonts w:ascii="Times New Roman" w:hAnsi="Times New Roman"/>
        </w:rPr>
        <w:t xml:space="preserve">low abundance towards the end of the sampling period). Aside from these, key functional groups </w:t>
      </w:r>
      <w:r w:rsidR="00E12571" w:rsidRPr="00AC4AD8">
        <w:rPr>
          <w:rFonts w:ascii="Times New Roman" w:hAnsi="Times New Roman"/>
        </w:rPr>
        <w:t xml:space="preserve">expected in ground level soils, such as </w:t>
      </w:r>
      <w:r w:rsidRPr="00AC4AD8">
        <w:rPr>
          <w:rFonts w:ascii="Times New Roman" w:hAnsi="Times New Roman"/>
        </w:rPr>
        <w:t>Isopoda</w:t>
      </w:r>
      <w:r w:rsidR="00276D9A" w:rsidRPr="00AC4AD8">
        <w:rPr>
          <w:rFonts w:ascii="Times New Roman" w:hAnsi="Times New Roman"/>
        </w:rPr>
        <w:t>, Annelida</w:t>
      </w:r>
      <w:r w:rsidR="00E12571" w:rsidRPr="00AC4AD8">
        <w:rPr>
          <w:rFonts w:ascii="Times New Roman" w:hAnsi="Times New Roman"/>
        </w:rPr>
        <w:t xml:space="preserve"> and </w:t>
      </w:r>
      <w:proofErr w:type="spellStart"/>
      <w:r w:rsidR="00E12571" w:rsidRPr="00AC4AD8">
        <w:rPr>
          <w:rFonts w:ascii="Times New Roman" w:hAnsi="Times New Roman"/>
        </w:rPr>
        <w:t>Formicidae</w:t>
      </w:r>
      <w:proofErr w:type="spellEnd"/>
      <w:r w:rsidRPr="00AC4AD8">
        <w:rPr>
          <w:rFonts w:ascii="Times New Roman" w:hAnsi="Times New Roman"/>
        </w:rPr>
        <w:t xml:space="preserve">, </w:t>
      </w:r>
      <w:r w:rsidR="009A252C" w:rsidRPr="00AC4AD8">
        <w:rPr>
          <w:rFonts w:ascii="Times New Roman" w:hAnsi="Times New Roman"/>
        </w:rPr>
        <w:t>were absent</w:t>
      </w:r>
      <w:r w:rsidRPr="00AC4AD8">
        <w:rPr>
          <w:rFonts w:ascii="Times New Roman" w:hAnsi="Times New Roman"/>
        </w:rPr>
        <w:t>.</w:t>
      </w:r>
    </w:p>
    <w:p w14:paraId="1F42EC9A" w14:textId="5EABC848" w:rsidR="00B12968" w:rsidRPr="00AC4AD8" w:rsidRDefault="00C1230F" w:rsidP="00F03F20">
      <w:pPr>
        <w:spacing w:after="120" w:line="360" w:lineRule="auto"/>
        <w:ind w:firstLine="340"/>
        <w:jc w:val="both"/>
        <w:rPr>
          <w:rFonts w:ascii="Times New Roman" w:hAnsi="Times New Roman"/>
        </w:rPr>
      </w:pPr>
      <w:r w:rsidRPr="00AC4AD8">
        <w:rPr>
          <w:rFonts w:ascii="Times New Roman" w:hAnsi="Times New Roman"/>
        </w:rPr>
        <w:t xml:space="preserve">Insect larvae of </w:t>
      </w:r>
      <w:proofErr w:type="spellStart"/>
      <w:r w:rsidRPr="00AC4AD8">
        <w:rPr>
          <w:rFonts w:ascii="Times New Roman" w:hAnsi="Times New Roman"/>
        </w:rPr>
        <w:t>Coleoptera</w:t>
      </w:r>
      <w:proofErr w:type="spellEnd"/>
      <w:r w:rsidRPr="00AC4AD8">
        <w:rPr>
          <w:rFonts w:ascii="Times New Roman" w:hAnsi="Times New Roman"/>
        </w:rPr>
        <w:t xml:space="preserve">, </w:t>
      </w:r>
      <w:proofErr w:type="spellStart"/>
      <w:r w:rsidRPr="00AC4AD8">
        <w:rPr>
          <w:rFonts w:ascii="Times New Roman" w:hAnsi="Times New Roman"/>
        </w:rPr>
        <w:t>Diptera</w:t>
      </w:r>
      <w:proofErr w:type="spellEnd"/>
      <w:r w:rsidRPr="00AC4AD8">
        <w:rPr>
          <w:rFonts w:ascii="Times New Roman" w:hAnsi="Times New Roman"/>
        </w:rPr>
        <w:t xml:space="preserve"> and Lepidoptera </w:t>
      </w:r>
      <w:r w:rsidR="003473D2" w:rsidRPr="00AC4AD8">
        <w:rPr>
          <w:rFonts w:ascii="Times New Roman" w:hAnsi="Times New Roman"/>
        </w:rPr>
        <w:t xml:space="preserve">(hereafter referred to as “larvae of flying insects”) </w:t>
      </w:r>
      <w:r w:rsidRPr="00AC4AD8">
        <w:rPr>
          <w:rFonts w:ascii="Times New Roman" w:hAnsi="Times New Roman"/>
        </w:rPr>
        <w:t xml:space="preserve">were the most abundant group aside from mites and </w:t>
      </w:r>
      <w:r w:rsidR="00FF46CA" w:rsidRPr="00AC4AD8">
        <w:rPr>
          <w:rFonts w:ascii="Times New Roman" w:hAnsi="Times New Roman"/>
        </w:rPr>
        <w:t>C</w:t>
      </w:r>
      <w:r w:rsidRPr="00AC4AD8">
        <w:rPr>
          <w:rFonts w:ascii="Times New Roman" w:hAnsi="Times New Roman"/>
        </w:rPr>
        <w:t xml:space="preserve">ollembola. </w:t>
      </w:r>
      <w:proofErr w:type="spellStart"/>
      <w:r w:rsidRPr="00AC4AD8">
        <w:rPr>
          <w:rFonts w:ascii="Times New Roman" w:hAnsi="Times New Roman"/>
        </w:rPr>
        <w:t>H</w:t>
      </w:r>
      <w:r w:rsidR="00154803" w:rsidRPr="00AC4AD8">
        <w:rPr>
          <w:rFonts w:ascii="Times New Roman" w:hAnsi="Times New Roman"/>
        </w:rPr>
        <w:t>o</w:t>
      </w:r>
      <w:r w:rsidRPr="00AC4AD8">
        <w:rPr>
          <w:rFonts w:ascii="Times New Roman" w:hAnsi="Times New Roman"/>
        </w:rPr>
        <w:t>miptera</w:t>
      </w:r>
      <w:proofErr w:type="spellEnd"/>
      <w:r w:rsidRPr="00AC4AD8">
        <w:rPr>
          <w:rFonts w:ascii="Times New Roman" w:hAnsi="Times New Roman"/>
        </w:rPr>
        <w:t xml:space="preserve"> </w:t>
      </w:r>
      <w:r w:rsidR="00024D29" w:rsidRPr="00AC4AD8">
        <w:rPr>
          <w:rFonts w:ascii="Times New Roman" w:hAnsi="Times New Roman"/>
        </w:rPr>
        <w:t xml:space="preserve">were </w:t>
      </w:r>
      <w:r w:rsidR="002B5372" w:rsidRPr="00AC4AD8">
        <w:rPr>
          <w:rFonts w:ascii="Times New Roman" w:hAnsi="Times New Roman"/>
        </w:rPr>
        <w:t>most abundant</w:t>
      </w:r>
      <w:r w:rsidR="00024D29" w:rsidRPr="00AC4AD8">
        <w:rPr>
          <w:rFonts w:ascii="Times New Roman" w:hAnsi="Times New Roman"/>
        </w:rPr>
        <w:t xml:space="preserve"> in summer</w:t>
      </w:r>
      <w:r w:rsidR="002B5372" w:rsidRPr="00AC4AD8">
        <w:rPr>
          <w:rFonts w:ascii="Times New Roman" w:hAnsi="Times New Roman"/>
        </w:rPr>
        <w:t>,</w:t>
      </w:r>
      <w:r w:rsidR="00024D29" w:rsidRPr="00AC4AD8">
        <w:rPr>
          <w:rFonts w:ascii="Times New Roman" w:hAnsi="Times New Roman"/>
        </w:rPr>
        <w:t xml:space="preserve"> when an aphid population w</w:t>
      </w:r>
      <w:r w:rsidR="00A564BC" w:rsidRPr="00AC4AD8">
        <w:rPr>
          <w:rFonts w:ascii="Times New Roman" w:hAnsi="Times New Roman"/>
        </w:rPr>
        <w:t>as</w:t>
      </w:r>
      <w:r w:rsidR="00024D29" w:rsidRPr="00AC4AD8">
        <w:rPr>
          <w:rFonts w:ascii="Times New Roman" w:hAnsi="Times New Roman"/>
        </w:rPr>
        <w:t xml:space="preserve"> present</w:t>
      </w:r>
      <w:r w:rsidR="00B32F26" w:rsidRPr="00AC4AD8">
        <w:rPr>
          <w:rFonts w:ascii="Times New Roman" w:hAnsi="Times New Roman"/>
        </w:rPr>
        <w:t xml:space="preserve"> on the substrate surface</w:t>
      </w:r>
      <w:r w:rsidR="00B12968" w:rsidRPr="00AC4AD8">
        <w:rPr>
          <w:rFonts w:ascii="Times New Roman" w:hAnsi="Times New Roman"/>
        </w:rPr>
        <w:t>.</w:t>
      </w:r>
    </w:p>
    <w:p w14:paraId="1EC48B1A" w14:textId="7F2F4EFD" w:rsidR="00B32F26" w:rsidRPr="00AC4AD8" w:rsidRDefault="00B86E30" w:rsidP="00F03F20">
      <w:pPr>
        <w:spacing w:after="120" w:line="360" w:lineRule="auto"/>
        <w:ind w:firstLine="340"/>
        <w:jc w:val="both"/>
        <w:rPr>
          <w:rFonts w:ascii="Times New Roman" w:hAnsi="Times New Roman"/>
        </w:rPr>
      </w:pPr>
      <w:r w:rsidRPr="00AC4AD8">
        <w:rPr>
          <w:rFonts w:ascii="Times New Roman" w:hAnsi="Times New Roman"/>
        </w:rPr>
        <w:t>Mean</w:t>
      </w:r>
      <w:r w:rsidR="00B32F26" w:rsidRPr="00AC4AD8">
        <w:rPr>
          <w:rFonts w:ascii="Times New Roman" w:hAnsi="Times New Roman"/>
        </w:rPr>
        <w:t xml:space="preserve"> microarthropod abundance for all treatments changed over the sample period </w:t>
      </w:r>
      <w:r w:rsidR="00235227" w:rsidRPr="00AC4AD8">
        <w:rPr>
          <w:rFonts w:ascii="Times New Roman" w:hAnsi="Times New Roman"/>
        </w:rPr>
        <w:t xml:space="preserve">(Time: </w:t>
      </w:r>
      <w:r w:rsidR="00235227" w:rsidRPr="00AC4AD8">
        <w:rPr>
          <w:rFonts w:ascii="Times New Roman" w:hAnsi="Times New Roman"/>
          <w:i/>
        </w:rPr>
        <w:t>F</w:t>
      </w:r>
      <w:r w:rsidR="00235227" w:rsidRPr="00AC4AD8">
        <w:rPr>
          <w:rFonts w:ascii="Times New Roman" w:hAnsi="Times New Roman"/>
          <w:vertAlign w:val="subscript"/>
        </w:rPr>
        <w:t>3.12, 124.67</w:t>
      </w:r>
      <w:r w:rsidR="00235227" w:rsidRPr="00AC4AD8">
        <w:rPr>
          <w:rFonts w:ascii="Times New Roman" w:hAnsi="Times New Roman"/>
        </w:rPr>
        <w:t xml:space="preserve"> = 48.09, </w:t>
      </w:r>
      <w:r w:rsidR="00235227" w:rsidRPr="00AC4AD8">
        <w:rPr>
          <w:rFonts w:ascii="Times New Roman" w:hAnsi="Times New Roman"/>
          <w:i/>
        </w:rPr>
        <w:t>p</w:t>
      </w:r>
      <w:r w:rsidR="00235227" w:rsidRPr="00AC4AD8">
        <w:rPr>
          <w:rFonts w:ascii="Times New Roman" w:hAnsi="Times New Roman"/>
        </w:rPr>
        <w:t xml:space="preserve"> &gt; 0.001) </w:t>
      </w:r>
      <w:r w:rsidR="00B32F26" w:rsidRPr="00AC4AD8">
        <w:rPr>
          <w:rFonts w:ascii="Times New Roman" w:hAnsi="Times New Roman"/>
        </w:rPr>
        <w:t xml:space="preserve">(Fig 2a), peaking in September 2011, steadily declining until March 2012 and steeply declining in the summer sample months (Fig 2a). The total number of microarthropods sampled was 60,357 (±35). Parallel analysis determined that the first six PCA axes explained the majority of the variance within the microarthropod community. These six axes accounted for 30.78% of the variance (axis 1 = 7.87%, axis 2 = 5.87%). Confidence ellipses suggested that microarthropod communities were different each month. The most notable seasonal patterns highlighted by PCA are the groupings of Collembola and the mite </w:t>
      </w:r>
      <w:r w:rsidR="00B32F26" w:rsidRPr="00AC4AD8">
        <w:rPr>
          <w:rFonts w:ascii="Times New Roman" w:hAnsi="Times New Roman"/>
          <w:i/>
        </w:rPr>
        <w:t>Eupodes viridis</w:t>
      </w:r>
      <w:r w:rsidR="00B32F26" w:rsidRPr="00AC4AD8">
        <w:rPr>
          <w:rFonts w:ascii="Times New Roman" w:hAnsi="Times New Roman"/>
        </w:rPr>
        <w:t xml:space="preserve"> associated with the March confidence ellipse and axis 1 and the groupings of mites, spiders and centipedes associated with the September ellipse (“M#”, “Chi”, “Ara”) and axis 2 (Fig. 2b). Collembola, particularly </w:t>
      </w:r>
      <w:r w:rsidR="00B32F26" w:rsidRPr="00AC4AD8">
        <w:rPr>
          <w:rFonts w:ascii="Times New Roman" w:hAnsi="Times New Roman"/>
          <w:i/>
        </w:rPr>
        <w:t>Sminthurinus aureus</w:t>
      </w:r>
      <w:r w:rsidR="00B32F26" w:rsidRPr="00AC4AD8">
        <w:rPr>
          <w:rFonts w:ascii="Times New Roman" w:hAnsi="Times New Roman"/>
        </w:rPr>
        <w:t xml:space="preserve">, were abundant in January and March before declining in summer months. Most mites were abundant in September and November, before populations declined rapidly. This is with the exception of Scutoverticidae, which declined to a lesser extent in the summer months. </w:t>
      </w:r>
      <w:proofErr w:type="spellStart"/>
      <w:r w:rsidR="00B32F26" w:rsidRPr="00AC4AD8">
        <w:rPr>
          <w:rFonts w:ascii="Times New Roman" w:hAnsi="Times New Roman"/>
        </w:rPr>
        <w:t>Tingidae</w:t>
      </w:r>
      <w:proofErr w:type="spellEnd"/>
      <w:r w:rsidR="00B32F26" w:rsidRPr="00AC4AD8">
        <w:rPr>
          <w:rFonts w:ascii="Times New Roman" w:hAnsi="Times New Roman"/>
        </w:rPr>
        <w:t xml:space="preserve"> were prevalent throughout the year, with the exception of March and May 2012, whilst </w:t>
      </w:r>
      <w:proofErr w:type="spellStart"/>
      <w:r w:rsidR="00B32F26" w:rsidRPr="00AC4AD8">
        <w:rPr>
          <w:rFonts w:ascii="Times New Roman" w:hAnsi="Times New Roman"/>
        </w:rPr>
        <w:t>Aphididae</w:t>
      </w:r>
      <w:proofErr w:type="spellEnd"/>
      <w:r w:rsidR="00B32F26" w:rsidRPr="00AC4AD8">
        <w:rPr>
          <w:rFonts w:ascii="Times New Roman" w:hAnsi="Times New Roman"/>
        </w:rPr>
        <w:t xml:space="preserve"> were only present in large numbers in May 2012.</w:t>
      </w:r>
    </w:p>
    <w:p w14:paraId="3276A410" w14:textId="74DECFEE" w:rsidR="00705CEC" w:rsidRPr="00AC4AD8" w:rsidRDefault="00705CEC" w:rsidP="00F03F20">
      <w:pPr>
        <w:spacing w:after="120" w:line="360" w:lineRule="auto"/>
        <w:ind w:firstLine="340"/>
        <w:jc w:val="both"/>
        <w:rPr>
          <w:rFonts w:ascii="Times New Roman" w:hAnsi="Times New Roman"/>
        </w:rPr>
      </w:pPr>
      <w:r w:rsidRPr="00AC4AD8">
        <w:rPr>
          <w:rFonts w:ascii="Times New Roman" w:hAnsi="Times New Roman"/>
        </w:rPr>
        <w:t>&lt;FIGURE 2 NEAR HERE&gt;</w:t>
      </w:r>
    </w:p>
    <w:p w14:paraId="11FD0C68" w14:textId="065406DE" w:rsidR="00BD4D14" w:rsidRPr="00AC4AD8" w:rsidRDefault="00C1230F" w:rsidP="00DF6147">
      <w:pPr>
        <w:spacing w:after="120" w:line="360" w:lineRule="auto"/>
        <w:ind w:firstLine="340"/>
        <w:jc w:val="both"/>
        <w:rPr>
          <w:rFonts w:ascii="Times New Roman" w:hAnsi="Times New Roman"/>
        </w:rPr>
      </w:pPr>
      <w:r w:rsidRPr="00AC4AD8">
        <w:rPr>
          <w:rFonts w:ascii="Times New Roman" w:hAnsi="Times New Roman"/>
        </w:rPr>
        <w:t xml:space="preserve">The </w:t>
      </w:r>
      <w:r w:rsidR="00B86E30" w:rsidRPr="00AC4AD8">
        <w:rPr>
          <w:rFonts w:ascii="Times New Roman" w:hAnsi="Times New Roman"/>
        </w:rPr>
        <w:t>mean</w:t>
      </w:r>
      <w:r w:rsidRPr="00AC4AD8">
        <w:rPr>
          <w:rFonts w:ascii="Times New Roman" w:hAnsi="Times New Roman"/>
        </w:rPr>
        <w:t xml:space="preserve"> microarthropod community was higher in abundance in those plots treated with </w:t>
      </w:r>
      <w:r w:rsidR="00F468C3" w:rsidRPr="00AC4AD8">
        <w:rPr>
          <w:rFonts w:ascii="Times New Roman" w:hAnsi="Times New Roman"/>
          <w:i/>
        </w:rPr>
        <w:t>Trichoderma</w:t>
      </w:r>
      <w:r w:rsidRPr="00AC4AD8">
        <w:rPr>
          <w:rFonts w:ascii="Times New Roman" w:hAnsi="Times New Roman"/>
        </w:rPr>
        <w:t xml:space="preserve"> than in other treatments and the control (</w:t>
      </w:r>
      <w:r w:rsidRPr="00AC4AD8">
        <w:rPr>
          <w:rFonts w:ascii="Times New Roman" w:hAnsi="Times New Roman"/>
          <w:i/>
        </w:rPr>
        <w:t>F</w:t>
      </w:r>
      <w:r w:rsidRPr="00AC4AD8">
        <w:rPr>
          <w:rFonts w:ascii="Times New Roman" w:hAnsi="Times New Roman"/>
          <w:vertAlign w:val="subscript"/>
        </w:rPr>
        <w:t>1, 40</w:t>
      </w:r>
      <w:r w:rsidR="00024D29" w:rsidRPr="00AC4AD8">
        <w:rPr>
          <w:rFonts w:ascii="Times New Roman" w:hAnsi="Times New Roman"/>
        </w:rPr>
        <w:t xml:space="preserve"> = </w:t>
      </w:r>
      <w:r w:rsidR="00E51358" w:rsidRPr="00AC4AD8">
        <w:rPr>
          <w:rFonts w:ascii="Times New Roman" w:hAnsi="Times New Roman"/>
        </w:rPr>
        <w:t>5.6</w:t>
      </w:r>
      <w:r w:rsidRPr="00AC4AD8">
        <w:rPr>
          <w:rFonts w:ascii="Times New Roman" w:hAnsi="Times New Roman"/>
        </w:rPr>
        <w:t xml:space="preserve">, </w:t>
      </w:r>
      <w:r w:rsidRPr="00AC4AD8">
        <w:rPr>
          <w:rFonts w:ascii="Times New Roman" w:hAnsi="Times New Roman"/>
          <w:i/>
        </w:rPr>
        <w:t>p</w:t>
      </w:r>
      <w:r w:rsidR="00641688" w:rsidRPr="00AC4AD8">
        <w:rPr>
          <w:rFonts w:ascii="Times New Roman" w:hAnsi="Times New Roman"/>
        </w:rPr>
        <w:t xml:space="preserve"> &lt; 0.05) (Fig.</w:t>
      </w:r>
      <w:r w:rsidRPr="00AC4AD8">
        <w:rPr>
          <w:rFonts w:ascii="Times New Roman" w:hAnsi="Times New Roman"/>
        </w:rPr>
        <w:t xml:space="preserve"> </w:t>
      </w:r>
      <w:r w:rsidR="0093537C" w:rsidRPr="00AC4AD8">
        <w:rPr>
          <w:rFonts w:ascii="Times New Roman" w:hAnsi="Times New Roman"/>
        </w:rPr>
        <w:t>3a</w:t>
      </w:r>
      <w:r w:rsidRPr="00AC4AD8">
        <w:rPr>
          <w:rFonts w:ascii="Times New Roman" w:hAnsi="Times New Roman"/>
        </w:rPr>
        <w:t xml:space="preserve">). </w:t>
      </w:r>
      <w:r w:rsidR="009029DD" w:rsidRPr="00AC4AD8">
        <w:rPr>
          <w:rFonts w:ascii="Times New Roman" w:hAnsi="Times New Roman"/>
        </w:rPr>
        <w:t xml:space="preserve">No </w:t>
      </w:r>
      <w:r w:rsidR="00B238B0" w:rsidRPr="00AC4AD8">
        <w:rPr>
          <w:rFonts w:ascii="Times New Roman" w:hAnsi="Times New Roman"/>
        </w:rPr>
        <w:t xml:space="preserve">interactions between </w:t>
      </w:r>
      <w:r w:rsidR="009029DD" w:rsidRPr="00AC4AD8">
        <w:rPr>
          <w:rFonts w:ascii="Times New Roman" w:hAnsi="Times New Roman"/>
        </w:rPr>
        <w:t xml:space="preserve">microarthropod abundance over time </w:t>
      </w:r>
      <w:r w:rsidR="00B238B0" w:rsidRPr="00AC4AD8">
        <w:rPr>
          <w:rFonts w:ascii="Times New Roman" w:hAnsi="Times New Roman"/>
        </w:rPr>
        <w:t xml:space="preserve">and treatment </w:t>
      </w:r>
      <w:r w:rsidR="009029DD" w:rsidRPr="00AC4AD8">
        <w:rPr>
          <w:rFonts w:ascii="Times New Roman" w:hAnsi="Times New Roman"/>
        </w:rPr>
        <w:t xml:space="preserve">could be detected. </w:t>
      </w:r>
      <w:r w:rsidRPr="00AC4AD8">
        <w:rPr>
          <w:rFonts w:ascii="Times New Roman" w:hAnsi="Times New Roman"/>
        </w:rPr>
        <w:t xml:space="preserve">For </w:t>
      </w:r>
      <w:r w:rsidR="00B86E30" w:rsidRPr="00AC4AD8">
        <w:rPr>
          <w:rFonts w:ascii="Times New Roman" w:hAnsi="Times New Roman"/>
        </w:rPr>
        <w:t xml:space="preserve">mean </w:t>
      </w:r>
      <w:r w:rsidRPr="00AC4AD8">
        <w:rPr>
          <w:rFonts w:ascii="Times New Roman" w:hAnsi="Times New Roman"/>
        </w:rPr>
        <w:t xml:space="preserve">microarthropods, PCA </w:t>
      </w:r>
      <w:r w:rsidR="00B238B0" w:rsidRPr="00AC4AD8">
        <w:rPr>
          <w:rFonts w:ascii="Times New Roman" w:hAnsi="Times New Roman"/>
        </w:rPr>
        <w:t xml:space="preserve">confidence intervals </w:t>
      </w:r>
      <w:r w:rsidRPr="00AC4AD8">
        <w:rPr>
          <w:rFonts w:ascii="Times New Roman" w:hAnsi="Times New Roman"/>
        </w:rPr>
        <w:t xml:space="preserve">did not depict </w:t>
      </w:r>
      <w:r w:rsidR="00B238B0" w:rsidRPr="00AC4AD8">
        <w:rPr>
          <w:rFonts w:ascii="Times New Roman" w:hAnsi="Times New Roman"/>
        </w:rPr>
        <w:t>clear separations between</w:t>
      </w:r>
      <w:r w:rsidRPr="00AC4AD8">
        <w:rPr>
          <w:rFonts w:ascii="Times New Roman" w:hAnsi="Times New Roman"/>
        </w:rPr>
        <w:t xml:space="preserve"> treatments, with all treatments overlapping in community structure to some extent. However, the community present in </w:t>
      </w:r>
      <w:r w:rsidR="0076458B" w:rsidRPr="00AC4AD8">
        <w:rPr>
          <w:rFonts w:ascii="Times New Roman" w:hAnsi="Times New Roman"/>
        </w:rPr>
        <w:t xml:space="preserve">plots treated with </w:t>
      </w:r>
      <w:r w:rsidR="00F468C3" w:rsidRPr="00AC4AD8">
        <w:rPr>
          <w:rFonts w:ascii="Times New Roman" w:hAnsi="Times New Roman"/>
          <w:i/>
        </w:rPr>
        <w:t>Trichoderma</w:t>
      </w:r>
      <w:r w:rsidR="0076458B" w:rsidRPr="00AC4AD8">
        <w:rPr>
          <w:rFonts w:ascii="Times New Roman" w:hAnsi="Times New Roman"/>
          <w:i/>
        </w:rPr>
        <w:t xml:space="preserve"> </w:t>
      </w:r>
      <w:r w:rsidR="0076458B" w:rsidRPr="00AC4AD8">
        <w:rPr>
          <w:rFonts w:ascii="Times New Roman" w:hAnsi="Times New Roman"/>
        </w:rPr>
        <w:t>showed a more variable microarthropod community</w:t>
      </w:r>
      <w:r w:rsidRPr="00AC4AD8">
        <w:rPr>
          <w:rFonts w:ascii="Times New Roman" w:hAnsi="Times New Roman"/>
        </w:rPr>
        <w:t xml:space="preserve"> (Fig. </w:t>
      </w:r>
      <w:r w:rsidR="0093537C" w:rsidRPr="00AC4AD8">
        <w:rPr>
          <w:rFonts w:ascii="Times New Roman" w:hAnsi="Times New Roman"/>
        </w:rPr>
        <w:t>3b</w:t>
      </w:r>
      <w:r w:rsidRPr="00AC4AD8">
        <w:rPr>
          <w:rFonts w:ascii="Times New Roman" w:hAnsi="Times New Roman"/>
        </w:rPr>
        <w:t>)</w:t>
      </w:r>
      <w:r w:rsidR="00641688" w:rsidRPr="00AC4AD8">
        <w:rPr>
          <w:rFonts w:ascii="Times New Roman" w:hAnsi="Times New Roman"/>
        </w:rPr>
        <w:t xml:space="preserve">, </w:t>
      </w:r>
      <w:r w:rsidR="00B238B0" w:rsidRPr="00AC4AD8">
        <w:rPr>
          <w:rFonts w:ascii="Times New Roman" w:hAnsi="Times New Roman"/>
        </w:rPr>
        <w:t xml:space="preserve">with the </w:t>
      </w:r>
      <w:r w:rsidR="00F468C3" w:rsidRPr="00AC4AD8">
        <w:rPr>
          <w:rFonts w:ascii="Times New Roman" w:hAnsi="Times New Roman"/>
          <w:i/>
        </w:rPr>
        <w:t>Trichoderma</w:t>
      </w:r>
      <w:r w:rsidR="00B238B0" w:rsidRPr="00AC4AD8">
        <w:rPr>
          <w:rFonts w:ascii="Times New Roman" w:hAnsi="Times New Roman"/>
          <w:i/>
        </w:rPr>
        <w:t xml:space="preserve"> </w:t>
      </w:r>
      <w:r w:rsidR="00B238B0" w:rsidRPr="00AC4AD8">
        <w:rPr>
          <w:rFonts w:ascii="Times New Roman" w:hAnsi="Times New Roman"/>
        </w:rPr>
        <w:t xml:space="preserve">confidence interval aligning more with axis 1 than other treatments. This axis was </w:t>
      </w:r>
      <w:r w:rsidR="00641688" w:rsidRPr="00AC4AD8">
        <w:rPr>
          <w:rFonts w:ascii="Times New Roman" w:hAnsi="Times New Roman"/>
        </w:rPr>
        <w:t xml:space="preserve">influenced by </w:t>
      </w:r>
      <w:r w:rsidR="00FF46CA" w:rsidRPr="00AC4AD8">
        <w:rPr>
          <w:rFonts w:ascii="Times New Roman" w:hAnsi="Times New Roman"/>
        </w:rPr>
        <w:t>C</w:t>
      </w:r>
      <w:r w:rsidR="00641688" w:rsidRPr="00AC4AD8">
        <w:rPr>
          <w:rFonts w:ascii="Times New Roman" w:hAnsi="Times New Roman"/>
        </w:rPr>
        <w:t>ollembola (</w:t>
      </w:r>
      <w:r w:rsidR="00641688" w:rsidRPr="00AC4AD8">
        <w:rPr>
          <w:rFonts w:ascii="Times New Roman" w:hAnsi="Times New Roman"/>
          <w:i/>
        </w:rPr>
        <w:t xml:space="preserve">S. aureus </w:t>
      </w:r>
      <w:r w:rsidR="00641688" w:rsidRPr="00AC4AD8">
        <w:rPr>
          <w:rFonts w:ascii="Times New Roman" w:hAnsi="Times New Roman"/>
        </w:rPr>
        <w:t xml:space="preserve">in particular), </w:t>
      </w:r>
      <w:r w:rsidR="00B238B0" w:rsidRPr="00AC4AD8">
        <w:rPr>
          <w:rFonts w:ascii="Times New Roman" w:hAnsi="Times New Roman"/>
        </w:rPr>
        <w:t xml:space="preserve">the </w:t>
      </w:r>
      <w:r w:rsidR="00641688" w:rsidRPr="00AC4AD8">
        <w:rPr>
          <w:rFonts w:ascii="Times New Roman" w:hAnsi="Times New Roman"/>
        </w:rPr>
        <w:t xml:space="preserve">mite </w:t>
      </w:r>
      <w:r w:rsidR="00641688" w:rsidRPr="00AC4AD8">
        <w:rPr>
          <w:rFonts w:ascii="Times New Roman" w:hAnsi="Times New Roman"/>
          <w:i/>
        </w:rPr>
        <w:t>E. viridis</w:t>
      </w:r>
      <w:r w:rsidR="00641688" w:rsidRPr="00AC4AD8">
        <w:rPr>
          <w:rFonts w:ascii="Times New Roman" w:hAnsi="Times New Roman"/>
        </w:rPr>
        <w:t xml:space="preserve"> and a number of </w:t>
      </w:r>
      <w:r w:rsidR="00B238B0" w:rsidRPr="00AC4AD8">
        <w:rPr>
          <w:rFonts w:ascii="Times New Roman" w:hAnsi="Times New Roman"/>
        </w:rPr>
        <w:t xml:space="preserve">larvae of </w:t>
      </w:r>
      <w:r w:rsidR="0085754A" w:rsidRPr="00AC4AD8">
        <w:rPr>
          <w:rFonts w:ascii="Times New Roman" w:hAnsi="Times New Roman"/>
        </w:rPr>
        <w:t>flying</w:t>
      </w:r>
      <w:r w:rsidR="00B238B0" w:rsidRPr="00AC4AD8">
        <w:rPr>
          <w:rFonts w:ascii="Times New Roman" w:hAnsi="Times New Roman"/>
        </w:rPr>
        <w:t xml:space="preserve"> insects</w:t>
      </w:r>
      <w:r w:rsidR="00641688" w:rsidRPr="00AC4AD8">
        <w:rPr>
          <w:rFonts w:ascii="Times New Roman" w:hAnsi="Times New Roman"/>
        </w:rPr>
        <w:t xml:space="preserve"> (Fig. </w:t>
      </w:r>
      <w:r w:rsidR="0093537C" w:rsidRPr="00AC4AD8">
        <w:rPr>
          <w:rFonts w:ascii="Times New Roman" w:hAnsi="Times New Roman"/>
        </w:rPr>
        <w:t>3b</w:t>
      </w:r>
      <w:r w:rsidR="00641688" w:rsidRPr="00AC4AD8">
        <w:rPr>
          <w:rFonts w:ascii="Times New Roman" w:hAnsi="Times New Roman"/>
        </w:rPr>
        <w:t>)</w:t>
      </w:r>
      <w:r w:rsidRPr="00AC4AD8">
        <w:rPr>
          <w:rFonts w:ascii="Times New Roman" w:hAnsi="Times New Roman"/>
        </w:rPr>
        <w:t>.</w:t>
      </w:r>
    </w:p>
    <w:p w14:paraId="6332C248" w14:textId="77777777" w:rsidR="00D2258C" w:rsidRPr="00AC4AD8" w:rsidRDefault="00705CEC" w:rsidP="00F03F20">
      <w:pPr>
        <w:spacing w:after="120" w:line="360" w:lineRule="auto"/>
        <w:ind w:firstLine="340"/>
        <w:jc w:val="both"/>
        <w:rPr>
          <w:rFonts w:ascii="Times New Roman" w:hAnsi="Times New Roman"/>
        </w:rPr>
      </w:pPr>
      <w:r w:rsidRPr="00AC4AD8">
        <w:rPr>
          <w:rFonts w:ascii="Times New Roman" w:hAnsi="Times New Roman"/>
        </w:rPr>
        <w:t>&lt;FIGURE 3 NEAR HERE&gt;</w:t>
      </w:r>
    </w:p>
    <w:p w14:paraId="3AE6575F" w14:textId="2D543021" w:rsidR="00BB468A" w:rsidRPr="00AC4AD8" w:rsidRDefault="00641688" w:rsidP="00F03F20">
      <w:pPr>
        <w:spacing w:after="120" w:line="360" w:lineRule="auto"/>
        <w:ind w:firstLine="340"/>
        <w:jc w:val="both"/>
        <w:rPr>
          <w:rFonts w:ascii="Times New Roman" w:hAnsi="Times New Roman"/>
        </w:rPr>
      </w:pPr>
      <w:r w:rsidRPr="00AC4AD8">
        <w:rPr>
          <w:rFonts w:ascii="Times New Roman" w:hAnsi="Times New Roman"/>
        </w:rPr>
        <w:t xml:space="preserve">As a group, </w:t>
      </w:r>
      <w:r w:rsidR="00FF46CA" w:rsidRPr="00AC4AD8">
        <w:rPr>
          <w:rFonts w:ascii="Times New Roman" w:hAnsi="Times New Roman"/>
        </w:rPr>
        <w:t>C</w:t>
      </w:r>
      <w:r w:rsidR="00C1230F" w:rsidRPr="00AC4AD8">
        <w:rPr>
          <w:rFonts w:ascii="Times New Roman" w:hAnsi="Times New Roman"/>
        </w:rPr>
        <w:t xml:space="preserve">ollembola were </w:t>
      </w:r>
      <w:r w:rsidR="00CA4AAD" w:rsidRPr="00AC4AD8">
        <w:rPr>
          <w:rFonts w:ascii="Times New Roman" w:hAnsi="Times New Roman"/>
        </w:rPr>
        <w:t xml:space="preserve">extremely low in abundance, with only </w:t>
      </w:r>
      <w:r w:rsidR="00C1230F" w:rsidRPr="00AC4AD8">
        <w:rPr>
          <w:rFonts w:ascii="Times New Roman" w:hAnsi="Times New Roman"/>
        </w:rPr>
        <w:t>12</w:t>
      </w:r>
      <w:r w:rsidR="007A1186" w:rsidRPr="00AC4AD8">
        <w:rPr>
          <w:rFonts w:ascii="Times New Roman" w:hAnsi="Times New Roman"/>
        </w:rPr>
        <w:t>,</w:t>
      </w:r>
      <w:r w:rsidR="00C1230F" w:rsidRPr="00AC4AD8">
        <w:rPr>
          <w:rFonts w:ascii="Times New Roman" w:hAnsi="Times New Roman"/>
        </w:rPr>
        <w:t>124</w:t>
      </w:r>
      <w:r w:rsidR="00C923BF" w:rsidRPr="00AC4AD8">
        <w:rPr>
          <w:rFonts w:ascii="Times New Roman" w:hAnsi="Times New Roman"/>
        </w:rPr>
        <w:t xml:space="preserve"> </w:t>
      </w:r>
      <w:r w:rsidR="00BB468A" w:rsidRPr="00AC4AD8">
        <w:rPr>
          <w:rFonts w:ascii="Times New Roman" w:hAnsi="Times New Roman"/>
        </w:rPr>
        <w:t>(±35</w:t>
      </w:r>
      <w:r w:rsidR="00C923BF" w:rsidRPr="00AC4AD8">
        <w:rPr>
          <w:rFonts w:ascii="Times New Roman" w:hAnsi="Times New Roman"/>
        </w:rPr>
        <w:t>)</w:t>
      </w:r>
      <w:r w:rsidR="00C1230F" w:rsidRPr="00AC4AD8">
        <w:rPr>
          <w:rFonts w:ascii="Times New Roman" w:hAnsi="Times New Roman"/>
        </w:rPr>
        <w:t xml:space="preserve"> individuals </w:t>
      </w:r>
      <w:r w:rsidR="00CA4AAD" w:rsidRPr="00AC4AD8">
        <w:rPr>
          <w:rFonts w:ascii="Times New Roman" w:hAnsi="Times New Roman"/>
        </w:rPr>
        <w:t>encountered i</w:t>
      </w:r>
      <w:r w:rsidR="00C1230F" w:rsidRPr="00AC4AD8">
        <w:rPr>
          <w:rFonts w:ascii="Times New Roman" w:hAnsi="Times New Roman"/>
        </w:rPr>
        <w:t>n total on the six sample dates</w:t>
      </w:r>
      <w:r w:rsidR="0090201A" w:rsidRPr="00AC4AD8">
        <w:rPr>
          <w:rFonts w:ascii="Times New Roman" w:hAnsi="Times New Roman"/>
        </w:rPr>
        <w:t>, making up approximately 20% of the microarthropod population</w:t>
      </w:r>
      <w:r w:rsidR="00CA4AAD" w:rsidRPr="00AC4AD8">
        <w:rPr>
          <w:rFonts w:ascii="Times New Roman" w:hAnsi="Times New Roman"/>
        </w:rPr>
        <w:t xml:space="preserve">. </w:t>
      </w:r>
      <w:r w:rsidR="0026546F" w:rsidRPr="00AC4AD8">
        <w:rPr>
          <w:rFonts w:ascii="Times New Roman" w:hAnsi="Times New Roman"/>
        </w:rPr>
        <w:t xml:space="preserve">The roof was dominated by one species, </w:t>
      </w:r>
      <w:r w:rsidR="0026546F" w:rsidRPr="00AC4AD8">
        <w:rPr>
          <w:rFonts w:ascii="Times New Roman" w:hAnsi="Times New Roman"/>
          <w:i/>
        </w:rPr>
        <w:t xml:space="preserve">S. aureus, </w:t>
      </w:r>
      <w:r w:rsidR="0026546F" w:rsidRPr="00AC4AD8">
        <w:rPr>
          <w:rFonts w:ascii="Times New Roman" w:hAnsi="Times New Roman"/>
        </w:rPr>
        <w:t xml:space="preserve">which made up </w:t>
      </w:r>
      <w:r w:rsidR="00C1230F" w:rsidRPr="00AC4AD8">
        <w:rPr>
          <w:rFonts w:ascii="Times New Roman" w:hAnsi="Times New Roman"/>
        </w:rPr>
        <w:t>96.7%</w:t>
      </w:r>
      <w:r w:rsidR="0026546F" w:rsidRPr="00AC4AD8">
        <w:rPr>
          <w:rFonts w:ascii="Times New Roman" w:hAnsi="Times New Roman"/>
        </w:rPr>
        <w:t xml:space="preserve"> of the collembolan population. Other species were present in low abundance, including</w:t>
      </w:r>
      <w:r w:rsidR="00C1230F" w:rsidRPr="00AC4AD8">
        <w:rPr>
          <w:rFonts w:ascii="Times New Roman" w:hAnsi="Times New Roman"/>
        </w:rPr>
        <w:t xml:space="preserve"> </w:t>
      </w:r>
      <w:proofErr w:type="spellStart"/>
      <w:r w:rsidR="0026546F" w:rsidRPr="00AC4AD8">
        <w:rPr>
          <w:rFonts w:ascii="Times New Roman" w:hAnsi="Times New Roman"/>
          <w:i/>
        </w:rPr>
        <w:t>Deuterosmithurus</w:t>
      </w:r>
      <w:proofErr w:type="spellEnd"/>
      <w:r w:rsidR="00C1230F" w:rsidRPr="00AC4AD8">
        <w:rPr>
          <w:rFonts w:ascii="Times New Roman" w:hAnsi="Times New Roman"/>
          <w:i/>
        </w:rPr>
        <w:t xml:space="preserve"> </w:t>
      </w:r>
      <w:proofErr w:type="spellStart"/>
      <w:r w:rsidR="00C1230F" w:rsidRPr="00AC4AD8">
        <w:rPr>
          <w:rFonts w:ascii="Times New Roman" w:hAnsi="Times New Roman"/>
          <w:i/>
        </w:rPr>
        <w:t>pallipes</w:t>
      </w:r>
      <w:proofErr w:type="spellEnd"/>
      <w:r w:rsidR="00C1230F" w:rsidRPr="00AC4AD8">
        <w:rPr>
          <w:rFonts w:ascii="Times New Roman" w:hAnsi="Times New Roman"/>
          <w:i/>
        </w:rPr>
        <w:t xml:space="preserve"> </w:t>
      </w:r>
      <w:r w:rsidR="0026546F" w:rsidRPr="00AC4AD8">
        <w:rPr>
          <w:rFonts w:ascii="Times New Roman" w:hAnsi="Times New Roman"/>
        </w:rPr>
        <w:t xml:space="preserve">(2.8%) </w:t>
      </w:r>
      <w:r w:rsidR="00C1230F" w:rsidRPr="00AC4AD8">
        <w:rPr>
          <w:rFonts w:ascii="Times New Roman" w:hAnsi="Times New Roman"/>
        </w:rPr>
        <w:t xml:space="preserve">and less than 1% each of </w:t>
      </w:r>
      <w:proofErr w:type="spellStart"/>
      <w:r w:rsidR="00C1230F" w:rsidRPr="00AC4AD8">
        <w:rPr>
          <w:rFonts w:ascii="Times New Roman" w:hAnsi="Times New Roman"/>
          <w:i/>
        </w:rPr>
        <w:t>I</w:t>
      </w:r>
      <w:r w:rsidR="0026546F" w:rsidRPr="00AC4AD8">
        <w:rPr>
          <w:rFonts w:ascii="Times New Roman" w:hAnsi="Times New Roman"/>
          <w:i/>
        </w:rPr>
        <w:t>sotomurus</w:t>
      </w:r>
      <w:proofErr w:type="spellEnd"/>
      <w:r w:rsidR="00C1230F" w:rsidRPr="00AC4AD8">
        <w:rPr>
          <w:rFonts w:ascii="Times New Roman" w:hAnsi="Times New Roman"/>
          <w:i/>
        </w:rPr>
        <w:t xml:space="preserve"> </w:t>
      </w:r>
      <w:proofErr w:type="spellStart"/>
      <w:r w:rsidR="00C1230F" w:rsidRPr="00AC4AD8">
        <w:rPr>
          <w:rFonts w:ascii="Times New Roman" w:hAnsi="Times New Roman"/>
          <w:i/>
        </w:rPr>
        <w:t>palustris</w:t>
      </w:r>
      <w:proofErr w:type="spellEnd"/>
      <w:r w:rsidR="00C1230F" w:rsidRPr="00AC4AD8">
        <w:rPr>
          <w:rFonts w:ascii="Times New Roman" w:hAnsi="Times New Roman"/>
          <w:i/>
        </w:rPr>
        <w:t xml:space="preserve"> </w:t>
      </w:r>
      <w:r w:rsidR="00C1230F" w:rsidRPr="00AC4AD8">
        <w:rPr>
          <w:rFonts w:ascii="Times New Roman" w:hAnsi="Times New Roman"/>
        </w:rPr>
        <w:t xml:space="preserve">and </w:t>
      </w:r>
      <w:proofErr w:type="spellStart"/>
      <w:r w:rsidR="00C1230F" w:rsidRPr="00AC4AD8">
        <w:rPr>
          <w:rFonts w:ascii="Times New Roman" w:hAnsi="Times New Roman"/>
          <w:i/>
        </w:rPr>
        <w:t>P</w:t>
      </w:r>
      <w:r w:rsidR="0026546F" w:rsidRPr="00AC4AD8">
        <w:rPr>
          <w:rFonts w:ascii="Times New Roman" w:hAnsi="Times New Roman"/>
          <w:i/>
        </w:rPr>
        <w:t>arisotoma</w:t>
      </w:r>
      <w:proofErr w:type="spellEnd"/>
      <w:r w:rsidR="00C1230F" w:rsidRPr="00AC4AD8">
        <w:rPr>
          <w:rFonts w:ascii="Times New Roman" w:hAnsi="Times New Roman"/>
          <w:i/>
        </w:rPr>
        <w:t xml:space="preserve"> </w:t>
      </w:r>
      <w:proofErr w:type="spellStart"/>
      <w:r w:rsidR="00C1230F" w:rsidRPr="00AC4AD8">
        <w:rPr>
          <w:rFonts w:ascii="Times New Roman" w:hAnsi="Times New Roman"/>
          <w:i/>
        </w:rPr>
        <w:t>notabilis</w:t>
      </w:r>
      <w:proofErr w:type="spellEnd"/>
      <w:r w:rsidR="00C1230F" w:rsidRPr="00AC4AD8">
        <w:rPr>
          <w:rFonts w:ascii="Times New Roman" w:hAnsi="Times New Roman"/>
        </w:rPr>
        <w:t xml:space="preserve">. </w:t>
      </w:r>
      <w:r w:rsidR="00CA4AAD" w:rsidRPr="00AC4AD8">
        <w:rPr>
          <w:rFonts w:ascii="Times New Roman" w:hAnsi="Times New Roman"/>
        </w:rPr>
        <w:t xml:space="preserve">The density of </w:t>
      </w:r>
      <w:r w:rsidR="00DB5301" w:rsidRPr="00AC4AD8">
        <w:rPr>
          <w:rFonts w:ascii="Times New Roman" w:hAnsi="Times New Roman"/>
        </w:rPr>
        <w:t>C</w:t>
      </w:r>
      <w:r w:rsidR="00CA4AAD" w:rsidRPr="00AC4AD8">
        <w:rPr>
          <w:rFonts w:ascii="Times New Roman" w:hAnsi="Times New Roman"/>
        </w:rPr>
        <w:t>ollembola varied between 0 – 91 000 individuals m</w:t>
      </w:r>
      <w:r w:rsidR="00CA4AAD" w:rsidRPr="00AC4AD8">
        <w:rPr>
          <w:rFonts w:ascii="Times New Roman" w:hAnsi="Times New Roman"/>
          <w:vertAlign w:val="superscript"/>
        </w:rPr>
        <w:t>-2</w:t>
      </w:r>
      <w:r w:rsidR="00CA4AAD" w:rsidRPr="00AC4AD8">
        <w:rPr>
          <w:rFonts w:ascii="Times New Roman" w:hAnsi="Times New Roman"/>
        </w:rPr>
        <w:t xml:space="preserve"> throughout the sample period</w:t>
      </w:r>
      <w:r w:rsidR="0066593B" w:rsidRPr="00AC4AD8">
        <w:rPr>
          <w:rFonts w:ascii="Times New Roman" w:hAnsi="Times New Roman"/>
        </w:rPr>
        <w:t xml:space="preserve"> (Time: </w:t>
      </w:r>
      <w:r w:rsidR="0066593B" w:rsidRPr="00AC4AD8">
        <w:rPr>
          <w:rFonts w:ascii="Times New Roman" w:hAnsi="Times New Roman"/>
          <w:i/>
        </w:rPr>
        <w:t>F</w:t>
      </w:r>
      <w:r w:rsidR="0066593B" w:rsidRPr="00AC4AD8">
        <w:rPr>
          <w:rFonts w:ascii="Times New Roman" w:hAnsi="Times New Roman"/>
          <w:vertAlign w:val="subscript"/>
        </w:rPr>
        <w:t xml:space="preserve">3, </w:t>
      </w:r>
      <w:r w:rsidR="003947AD" w:rsidRPr="00AC4AD8">
        <w:rPr>
          <w:rFonts w:ascii="Times New Roman" w:hAnsi="Times New Roman"/>
          <w:vertAlign w:val="subscript"/>
        </w:rPr>
        <w:t>120</w:t>
      </w:r>
      <w:r w:rsidR="0066593B" w:rsidRPr="00AC4AD8">
        <w:rPr>
          <w:rFonts w:ascii="Times New Roman" w:hAnsi="Times New Roman"/>
        </w:rPr>
        <w:t xml:space="preserve"> = </w:t>
      </w:r>
      <w:r w:rsidR="003947AD" w:rsidRPr="00AC4AD8">
        <w:rPr>
          <w:rFonts w:ascii="Times New Roman" w:hAnsi="Times New Roman"/>
        </w:rPr>
        <w:t>34.60</w:t>
      </w:r>
      <w:r w:rsidR="0066593B" w:rsidRPr="00AC4AD8">
        <w:rPr>
          <w:rFonts w:ascii="Times New Roman" w:hAnsi="Times New Roman"/>
        </w:rPr>
        <w:t xml:space="preserve">, </w:t>
      </w:r>
      <w:r w:rsidR="0066593B" w:rsidRPr="00AC4AD8">
        <w:rPr>
          <w:rFonts w:ascii="Times New Roman" w:hAnsi="Times New Roman"/>
          <w:i/>
        </w:rPr>
        <w:t>p</w:t>
      </w:r>
      <w:r w:rsidR="0066593B" w:rsidRPr="00AC4AD8">
        <w:rPr>
          <w:rFonts w:ascii="Times New Roman" w:hAnsi="Times New Roman"/>
        </w:rPr>
        <w:t xml:space="preserve"> &gt; 0.001)</w:t>
      </w:r>
      <w:r w:rsidR="0090201A" w:rsidRPr="00AC4AD8">
        <w:rPr>
          <w:rFonts w:ascii="Times New Roman" w:hAnsi="Times New Roman"/>
        </w:rPr>
        <w:t xml:space="preserve">. </w:t>
      </w:r>
      <w:r w:rsidR="00594A78" w:rsidRPr="00AC4AD8">
        <w:rPr>
          <w:rFonts w:ascii="Times New Roman" w:hAnsi="Times New Roman"/>
        </w:rPr>
        <w:t xml:space="preserve">Peak abundance was </w:t>
      </w:r>
      <w:r w:rsidR="00C1230F" w:rsidRPr="00AC4AD8">
        <w:rPr>
          <w:rFonts w:ascii="Times New Roman" w:hAnsi="Times New Roman"/>
        </w:rPr>
        <w:t>in January 2012, before numbers decreased dramatically du</w:t>
      </w:r>
      <w:r w:rsidR="00FF3AD5" w:rsidRPr="00AC4AD8">
        <w:rPr>
          <w:rFonts w:ascii="Times New Roman" w:hAnsi="Times New Roman"/>
        </w:rPr>
        <w:t>ring the summer period</w:t>
      </w:r>
      <w:r w:rsidR="00C1230F" w:rsidRPr="00AC4AD8">
        <w:rPr>
          <w:rFonts w:ascii="Times New Roman" w:hAnsi="Times New Roman"/>
        </w:rPr>
        <w:t>. The inoculants had no effect</w:t>
      </w:r>
      <w:r w:rsidR="00204D27" w:rsidRPr="00AC4AD8">
        <w:rPr>
          <w:rFonts w:ascii="Times New Roman" w:hAnsi="Times New Roman"/>
        </w:rPr>
        <w:t xml:space="preserve"> on </w:t>
      </w:r>
      <w:r w:rsidR="00DB5301" w:rsidRPr="00AC4AD8">
        <w:rPr>
          <w:rFonts w:ascii="Times New Roman" w:hAnsi="Times New Roman"/>
        </w:rPr>
        <w:t>C</w:t>
      </w:r>
      <w:r w:rsidR="00204D27" w:rsidRPr="00AC4AD8">
        <w:rPr>
          <w:rFonts w:ascii="Times New Roman" w:hAnsi="Times New Roman"/>
        </w:rPr>
        <w:t>ollembola as a group</w:t>
      </w:r>
      <w:r w:rsidR="00E51358" w:rsidRPr="00AC4AD8">
        <w:rPr>
          <w:rFonts w:ascii="Times New Roman" w:hAnsi="Times New Roman"/>
        </w:rPr>
        <w:t>. T</w:t>
      </w:r>
      <w:r w:rsidR="00FF3AD5" w:rsidRPr="00AC4AD8">
        <w:rPr>
          <w:rFonts w:ascii="Times New Roman" w:hAnsi="Times New Roman"/>
        </w:rPr>
        <w:t xml:space="preserve">he </w:t>
      </w:r>
      <w:r w:rsidR="00E51358" w:rsidRPr="00AC4AD8">
        <w:rPr>
          <w:rFonts w:ascii="Times New Roman" w:hAnsi="Times New Roman"/>
        </w:rPr>
        <w:t xml:space="preserve">mycorrhizal </w:t>
      </w:r>
      <w:r w:rsidR="00FF3AD5" w:rsidRPr="00AC4AD8">
        <w:rPr>
          <w:rFonts w:ascii="Times New Roman" w:hAnsi="Times New Roman"/>
        </w:rPr>
        <w:t>treatment affected the pattern of collembolan abundance over time (Time*</w:t>
      </w:r>
      <w:r w:rsidR="00E51358" w:rsidRPr="00AC4AD8">
        <w:rPr>
          <w:rFonts w:ascii="Times New Roman" w:hAnsi="Times New Roman"/>
        </w:rPr>
        <w:t>Mycorrhiza</w:t>
      </w:r>
      <w:r w:rsidR="00204D27" w:rsidRPr="00AC4AD8">
        <w:rPr>
          <w:rFonts w:ascii="Times New Roman" w:hAnsi="Times New Roman"/>
        </w:rPr>
        <w:t>:</w:t>
      </w:r>
      <w:r w:rsidR="00C1230F" w:rsidRPr="00AC4AD8">
        <w:rPr>
          <w:rFonts w:ascii="Times New Roman" w:hAnsi="Times New Roman"/>
        </w:rPr>
        <w:t xml:space="preserve"> </w:t>
      </w:r>
      <w:r w:rsidR="00C1230F" w:rsidRPr="00AC4AD8">
        <w:rPr>
          <w:rFonts w:ascii="Times New Roman" w:hAnsi="Times New Roman"/>
          <w:i/>
        </w:rPr>
        <w:t>F</w:t>
      </w:r>
      <w:r w:rsidR="007E5EAB" w:rsidRPr="00AC4AD8">
        <w:rPr>
          <w:rFonts w:ascii="Times New Roman" w:hAnsi="Times New Roman"/>
          <w:vertAlign w:val="subscript"/>
        </w:rPr>
        <w:t>3.0, 120.0</w:t>
      </w:r>
      <w:r w:rsidR="00C923BF" w:rsidRPr="00AC4AD8">
        <w:rPr>
          <w:rFonts w:ascii="Times New Roman" w:hAnsi="Times New Roman"/>
        </w:rPr>
        <w:t xml:space="preserve"> </w:t>
      </w:r>
      <w:r w:rsidR="00204D27" w:rsidRPr="00AC4AD8">
        <w:rPr>
          <w:rFonts w:ascii="Times New Roman" w:hAnsi="Times New Roman"/>
        </w:rPr>
        <w:t xml:space="preserve">= </w:t>
      </w:r>
      <w:r w:rsidR="00665546" w:rsidRPr="00AC4AD8">
        <w:rPr>
          <w:rFonts w:ascii="Times New Roman" w:hAnsi="Times New Roman"/>
        </w:rPr>
        <w:t>2.</w:t>
      </w:r>
      <w:r w:rsidR="00E51358" w:rsidRPr="00AC4AD8">
        <w:rPr>
          <w:rFonts w:ascii="Times New Roman" w:hAnsi="Times New Roman"/>
        </w:rPr>
        <w:t>90</w:t>
      </w:r>
      <w:r w:rsidR="00C1230F" w:rsidRPr="00AC4AD8">
        <w:rPr>
          <w:rFonts w:ascii="Times New Roman" w:hAnsi="Times New Roman"/>
        </w:rPr>
        <w:t xml:space="preserve">, </w:t>
      </w:r>
      <w:r w:rsidR="00C1230F" w:rsidRPr="00AC4AD8">
        <w:rPr>
          <w:rFonts w:ascii="Times New Roman" w:hAnsi="Times New Roman"/>
          <w:i/>
        </w:rPr>
        <w:t xml:space="preserve">p </w:t>
      </w:r>
      <w:r w:rsidR="00E51358" w:rsidRPr="00AC4AD8">
        <w:rPr>
          <w:rFonts w:ascii="Times New Roman" w:hAnsi="Times New Roman"/>
        </w:rPr>
        <w:t>&lt;</w:t>
      </w:r>
      <w:r w:rsidR="00C1230F" w:rsidRPr="00AC4AD8">
        <w:rPr>
          <w:rFonts w:ascii="Times New Roman" w:hAnsi="Times New Roman"/>
          <w:vertAlign w:val="subscript"/>
        </w:rPr>
        <w:t xml:space="preserve"> </w:t>
      </w:r>
      <w:r w:rsidR="00C1230F" w:rsidRPr="00AC4AD8">
        <w:rPr>
          <w:rFonts w:ascii="Times New Roman" w:hAnsi="Times New Roman"/>
        </w:rPr>
        <w:t>0.05</w:t>
      </w:r>
      <w:r w:rsidR="00FF3AD5" w:rsidRPr="00AC4AD8">
        <w:rPr>
          <w:rFonts w:ascii="Times New Roman" w:hAnsi="Times New Roman"/>
        </w:rPr>
        <w:t>)</w:t>
      </w:r>
      <w:r w:rsidR="00D42613" w:rsidRPr="00AC4AD8">
        <w:rPr>
          <w:rFonts w:ascii="Times New Roman" w:hAnsi="Times New Roman"/>
        </w:rPr>
        <w:t xml:space="preserve">. </w:t>
      </w:r>
      <w:r w:rsidR="00865EF0" w:rsidRPr="00AC4AD8">
        <w:rPr>
          <w:rFonts w:ascii="Times New Roman" w:hAnsi="Times New Roman"/>
        </w:rPr>
        <w:t>Figure 4a suggests that</w:t>
      </w:r>
      <w:r w:rsidR="00804CCC" w:rsidRPr="00AC4AD8">
        <w:rPr>
          <w:rFonts w:ascii="Times New Roman" w:hAnsi="Times New Roman"/>
        </w:rPr>
        <w:t xml:space="preserve"> collembolan abundance </w:t>
      </w:r>
      <w:r w:rsidR="00D42613" w:rsidRPr="00AC4AD8">
        <w:rPr>
          <w:rFonts w:ascii="Times New Roman" w:hAnsi="Times New Roman"/>
        </w:rPr>
        <w:t xml:space="preserve">was </w:t>
      </w:r>
      <w:r w:rsidR="00407D6A" w:rsidRPr="00AC4AD8">
        <w:rPr>
          <w:rFonts w:ascii="Times New Roman" w:hAnsi="Times New Roman"/>
        </w:rPr>
        <w:t>significantly lower</w:t>
      </w:r>
      <w:r w:rsidR="00E51358" w:rsidRPr="00AC4AD8">
        <w:rPr>
          <w:rFonts w:ascii="Times New Roman" w:hAnsi="Times New Roman"/>
        </w:rPr>
        <w:t xml:space="preserve"> </w:t>
      </w:r>
      <w:r w:rsidR="00804CCC" w:rsidRPr="00AC4AD8">
        <w:rPr>
          <w:rFonts w:ascii="Times New Roman" w:hAnsi="Times New Roman"/>
        </w:rPr>
        <w:t xml:space="preserve">in </w:t>
      </w:r>
      <w:r w:rsidR="00E51358" w:rsidRPr="00AC4AD8">
        <w:rPr>
          <w:rFonts w:ascii="Times New Roman" w:hAnsi="Times New Roman"/>
        </w:rPr>
        <w:t xml:space="preserve">mycorrhiza </w:t>
      </w:r>
      <w:r w:rsidR="00804CCC" w:rsidRPr="00AC4AD8">
        <w:rPr>
          <w:rFonts w:ascii="Times New Roman" w:hAnsi="Times New Roman"/>
        </w:rPr>
        <w:t>treated plots</w:t>
      </w:r>
      <w:r w:rsidR="00407D6A" w:rsidRPr="00AC4AD8">
        <w:rPr>
          <w:rFonts w:ascii="Times New Roman" w:hAnsi="Times New Roman"/>
        </w:rPr>
        <w:t xml:space="preserve"> than in other treatment plots and the control</w:t>
      </w:r>
      <w:r w:rsidR="00804CCC" w:rsidRPr="00AC4AD8">
        <w:rPr>
          <w:rFonts w:ascii="Times New Roman" w:hAnsi="Times New Roman"/>
        </w:rPr>
        <w:t xml:space="preserve"> in </w:t>
      </w:r>
      <w:r w:rsidR="00407D6A" w:rsidRPr="00AC4AD8">
        <w:rPr>
          <w:rFonts w:ascii="Times New Roman" w:hAnsi="Times New Roman"/>
        </w:rPr>
        <w:t>September and March</w:t>
      </w:r>
      <w:r w:rsidR="00D42613" w:rsidRPr="00AC4AD8">
        <w:rPr>
          <w:rFonts w:ascii="Times New Roman" w:hAnsi="Times New Roman"/>
        </w:rPr>
        <w:t>, but not in other months</w:t>
      </w:r>
      <w:r w:rsidR="00204D27" w:rsidRPr="00AC4AD8">
        <w:rPr>
          <w:rFonts w:ascii="Times New Roman" w:hAnsi="Times New Roman"/>
        </w:rPr>
        <w:t>.</w:t>
      </w:r>
      <w:r w:rsidR="00594A78" w:rsidRPr="00AC4AD8">
        <w:rPr>
          <w:rFonts w:ascii="Times New Roman" w:hAnsi="Times New Roman"/>
        </w:rPr>
        <w:t xml:space="preserve"> </w:t>
      </w:r>
      <w:r w:rsidR="00E51358" w:rsidRPr="00AC4AD8">
        <w:rPr>
          <w:rFonts w:ascii="Times New Roman" w:hAnsi="Times New Roman"/>
        </w:rPr>
        <w:t xml:space="preserve">The plots with bacteria and </w:t>
      </w:r>
      <w:r w:rsidR="00F468C3" w:rsidRPr="00AC4AD8">
        <w:rPr>
          <w:rFonts w:ascii="Times New Roman" w:hAnsi="Times New Roman"/>
          <w:i/>
        </w:rPr>
        <w:t>Trichoderma</w:t>
      </w:r>
      <w:r w:rsidR="00E51358" w:rsidRPr="00AC4AD8">
        <w:rPr>
          <w:rFonts w:ascii="Times New Roman" w:hAnsi="Times New Roman"/>
          <w:i/>
        </w:rPr>
        <w:t xml:space="preserve"> </w:t>
      </w:r>
      <w:r w:rsidR="00E51358" w:rsidRPr="00AC4AD8">
        <w:rPr>
          <w:rFonts w:ascii="Times New Roman" w:hAnsi="Times New Roman"/>
        </w:rPr>
        <w:t>added together also had a combined effect with time (Time*Bacteria*</w:t>
      </w:r>
      <w:r w:rsidR="00F468C3" w:rsidRPr="00AC4AD8">
        <w:rPr>
          <w:rFonts w:ascii="Times New Roman" w:hAnsi="Times New Roman"/>
          <w:i/>
        </w:rPr>
        <w:t>Trichoderma</w:t>
      </w:r>
      <w:r w:rsidR="00E51358" w:rsidRPr="00AC4AD8">
        <w:rPr>
          <w:rFonts w:ascii="Times New Roman" w:hAnsi="Times New Roman"/>
        </w:rPr>
        <w:t xml:space="preserve">: </w:t>
      </w:r>
      <w:r w:rsidR="00E51358" w:rsidRPr="00AC4AD8">
        <w:rPr>
          <w:rFonts w:ascii="Times New Roman" w:hAnsi="Times New Roman"/>
          <w:i/>
        </w:rPr>
        <w:t>F</w:t>
      </w:r>
      <w:r w:rsidR="00E51358" w:rsidRPr="00AC4AD8">
        <w:rPr>
          <w:rFonts w:ascii="Times New Roman" w:hAnsi="Times New Roman"/>
          <w:vertAlign w:val="subscript"/>
        </w:rPr>
        <w:t>3.0, 120.0</w:t>
      </w:r>
      <w:r w:rsidR="00E51358" w:rsidRPr="00AC4AD8">
        <w:rPr>
          <w:rFonts w:ascii="Times New Roman" w:hAnsi="Times New Roman"/>
        </w:rPr>
        <w:t xml:space="preserve"> = 2.90, </w:t>
      </w:r>
      <w:r w:rsidR="00E51358" w:rsidRPr="00AC4AD8">
        <w:rPr>
          <w:rFonts w:ascii="Times New Roman" w:hAnsi="Times New Roman"/>
          <w:i/>
        </w:rPr>
        <w:t xml:space="preserve">p </w:t>
      </w:r>
      <w:r w:rsidR="00E51358" w:rsidRPr="00AC4AD8">
        <w:rPr>
          <w:rFonts w:ascii="Times New Roman" w:hAnsi="Times New Roman"/>
        </w:rPr>
        <w:t>&lt;</w:t>
      </w:r>
      <w:r w:rsidR="00E51358" w:rsidRPr="00AC4AD8">
        <w:rPr>
          <w:rFonts w:ascii="Times New Roman" w:hAnsi="Times New Roman"/>
          <w:vertAlign w:val="subscript"/>
        </w:rPr>
        <w:t xml:space="preserve"> </w:t>
      </w:r>
      <w:r w:rsidR="00E51358" w:rsidRPr="00AC4AD8">
        <w:rPr>
          <w:rFonts w:ascii="Times New Roman" w:hAnsi="Times New Roman"/>
        </w:rPr>
        <w:t>0.05)</w:t>
      </w:r>
      <w:r w:rsidR="00D42613" w:rsidRPr="00AC4AD8">
        <w:rPr>
          <w:rFonts w:ascii="Times New Roman" w:hAnsi="Times New Roman"/>
        </w:rPr>
        <w:t xml:space="preserve">. Figure 4b suggests that the abundance </w:t>
      </w:r>
      <w:proofErr w:type="gramStart"/>
      <w:r w:rsidR="00D42613" w:rsidRPr="00AC4AD8">
        <w:rPr>
          <w:rFonts w:ascii="Times New Roman" w:hAnsi="Times New Roman"/>
        </w:rPr>
        <w:t xml:space="preserve">of </w:t>
      </w:r>
      <w:r w:rsidR="00DB5301" w:rsidRPr="00AC4AD8">
        <w:rPr>
          <w:rFonts w:ascii="Times New Roman" w:hAnsi="Times New Roman"/>
        </w:rPr>
        <w:t>,</w:t>
      </w:r>
      <w:proofErr w:type="gramEnd"/>
      <w:r w:rsidR="00DB5301" w:rsidRPr="00AC4AD8">
        <w:rPr>
          <w:rFonts w:ascii="Times New Roman" w:hAnsi="Times New Roman"/>
        </w:rPr>
        <w:t xml:space="preserve"> C</w:t>
      </w:r>
      <w:r w:rsidR="00407D6A" w:rsidRPr="00AC4AD8">
        <w:rPr>
          <w:rFonts w:ascii="Times New Roman" w:hAnsi="Times New Roman"/>
        </w:rPr>
        <w:t>ollembola in January</w:t>
      </w:r>
      <w:r w:rsidR="00D42613" w:rsidRPr="00AC4AD8">
        <w:rPr>
          <w:rFonts w:ascii="Times New Roman" w:hAnsi="Times New Roman"/>
        </w:rPr>
        <w:t xml:space="preserve"> within these treatment plots was higher than in other treatments</w:t>
      </w:r>
      <w:r w:rsidR="00FF46CA" w:rsidRPr="00AC4AD8">
        <w:rPr>
          <w:rFonts w:ascii="Times New Roman" w:hAnsi="Times New Roman"/>
        </w:rPr>
        <w:t>,</w:t>
      </w:r>
      <w:r w:rsidR="0093537C" w:rsidRPr="00AC4AD8">
        <w:rPr>
          <w:rFonts w:ascii="Times New Roman" w:hAnsi="Times New Roman"/>
        </w:rPr>
        <w:t xml:space="preserve"> but</w:t>
      </w:r>
      <w:r w:rsidR="00D42613" w:rsidRPr="00AC4AD8">
        <w:rPr>
          <w:rFonts w:ascii="Times New Roman" w:hAnsi="Times New Roman"/>
        </w:rPr>
        <w:t xml:space="preserve"> this was not the case</w:t>
      </w:r>
      <w:r w:rsidR="0093537C" w:rsidRPr="00AC4AD8">
        <w:rPr>
          <w:rFonts w:ascii="Times New Roman" w:hAnsi="Times New Roman"/>
        </w:rPr>
        <w:t xml:space="preserve"> in other months (Fig 4b</w:t>
      </w:r>
      <w:r w:rsidR="00407D6A" w:rsidRPr="00AC4AD8">
        <w:rPr>
          <w:rFonts w:ascii="Times New Roman" w:hAnsi="Times New Roman"/>
        </w:rPr>
        <w:t>)</w:t>
      </w:r>
      <w:r w:rsidR="00E51358" w:rsidRPr="00AC4AD8">
        <w:rPr>
          <w:rFonts w:ascii="Times New Roman" w:hAnsi="Times New Roman"/>
        </w:rPr>
        <w:t>.</w:t>
      </w:r>
      <w:r w:rsidR="00BB468A" w:rsidRPr="00AC4AD8">
        <w:rPr>
          <w:rFonts w:ascii="Times New Roman" w:hAnsi="Times New Roman"/>
        </w:rPr>
        <w:t xml:space="preserve"> </w:t>
      </w:r>
      <w:r w:rsidR="00DB5301" w:rsidRPr="00AC4AD8">
        <w:rPr>
          <w:rFonts w:ascii="Times New Roman" w:hAnsi="Times New Roman"/>
        </w:rPr>
        <w:t>The lack of diversity of C</w:t>
      </w:r>
      <w:r w:rsidR="00BB468A" w:rsidRPr="00AC4AD8">
        <w:rPr>
          <w:rFonts w:ascii="Times New Roman" w:hAnsi="Times New Roman"/>
        </w:rPr>
        <w:t xml:space="preserve">ollembola meant that PCA added little value to data analysis (data not shown). </w:t>
      </w:r>
    </w:p>
    <w:p w14:paraId="5CF4DC03" w14:textId="297D255E" w:rsidR="00705CEC" w:rsidRPr="00AC4AD8" w:rsidRDefault="00705CEC" w:rsidP="00F03F20">
      <w:pPr>
        <w:spacing w:after="120" w:line="360" w:lineRule="auto"/>
        <w:ind w:firstLine="340"/>
        <w:jc w:val="both"/>
        <w:rPr>
          <w:rFonts w:ascii="Times New Roman" w:hAnsi="Times New Roman"/>
        </w:rPr>
      </w:pPr>
      <w:r w:rsidRPr="00AC4AD8">
        <w:rPr>
          <w:rFonts w:ascii="Times New Roman" w:hAnsi="Times New Roman"/>
        </w:rPr>
        <w:t>&lt;FIGURE 4 NEAR HERE&gt;</w:t>
      </w:r>
    </w:p>
    <w:p w14:paraId="57BCD6A5" w14:textId="24CED0FC" w:rsidR="00B32F26" w:rsidRPr="00AC4AD8" w:rsidRDefault="007F3387" w:rsidP="00F03F20">
      <w:pPr>
        <w:spacing w:after="120" w:line="360" w:lineRule="auto"/>
        <w:ind w:firstLine="340"/>
        <w:jc w:val="both"/>
        <w:rPr>
          <w:rFonts w:ascii="Times New Roman" w:hAnsi="Times New Roman"/>
        </w:rPr>
      </w:pPr>
      <w:r w:rsidRPr="00AC4AD8">
        <w:rPr>
          <w:rFonts w:ascii="Times New Roman" w:hAnsi="Times New Roman"/>
        </w:rPr>
        <w:t>46</w:t>
      </w:r>
      <w:r w:rsidR="007A1186" w:rsidRPr="00AC4AD8">
        <w:rPr>
          <w:rFonts w:ascii="Times New Roman" w:hAnsi="Times New Roman"/>
        </w:rPr>
        <w:t>,</w:t>
      </w:r>
      <w:r w:rsidRPr="00AC4AD8">
        <w:rPr>
          <w:rFonts w:ascii="Times New Roman" w:hAnsi="Times New Roman"/>
        </w:rPr>
        <w:t>444</w:t>
      </w:r>
      <w:r w:rsidR="005A5018" w:rsidRPr="00AC4AD8">
        <w:rPr>
          <w:rFonts w:ascii="Times New Roman" w:hAnsi="Times New Roman"/>
        </w:rPr>
        <w:t xml:space="preserve"> (</w:t>
      </w:r>
      <w:r w:rsidR="00BB468A" w:rsidRPr="00AC4AD8">
        <w:rPr>
          <w:rFonts w:ascii="Times New Roman" w:hAnsi="Times New Roman"/>
        </w:rPr>
        <w:t>±53</w:t>
      </w:r>
      <w:r w:rsidR="005A5018" w:rsidRPr="00AC4AD8">
        <w:rPr>
          <w:rFonts w:ascii="Times New Roman" w:hAnsi="Times New Roman"/>
        </w:rPr>
        <w:t>)</w:t>
      </w:r>
      <w:r w:rsidRPr="00AC4AD8">
        <w:rPr>
          <w:rFonts w:ascii="Times New Roman" w:hAnsi="Times New Roman"/>
        </w:rPr>
        <w:t xml:space="preserve"> mite individuals were encountered on the roof, consisting of fifteen morphospecies, five of which </w:t>
      </w:r>
      <w:r w:rsidR="00E70826" w:rsidRPr="00AC4AD8">
        <w:rPr>
          <w:rFonts w:ascii="Times New Roman" w:hAnsi="Times New Roman"/>
        </w:rPr>
        <w:t xml:space="preserve">had not been found </w:t>
      </w:r>
      <w:r w:rsidR="005A5018" w:rsidRPr="00AC4AD8">
        <w:rPr>
          <w:rFonts w:ascii="Times New Roman" w:hAnsi="Times New Roman"/>
        </w:rPr>
        <w:t>on the roof previously</w:t>
      </w:r>
      <w:r w:rsidRPr="00AC4AD8">
        <w:rPr>
          <w:rFonts w:ascii="Times New Roman" w:hAnsi="Times New Roman"/>
        </w:rPr>
        <w:t xml:space="preserve">. </w:t>
      </w:r>
      <w:r w:rsidR="0090201A" w:rsidRPr="00AC4AD8">
        <w:rPr>
          <w:rFonts w:ascii="Times New Roman" w:hAnsi="Times New Roman"/>
        </w:rPr>
        <w:t xml:space="preserve">Mites were the most common group on the roof, representing 77% of the total microarthropod abundance. </w:t>
      </w:r>
      <w:r w:rsidRPr="00AC4AD8">
        <w:rPr>
          <w:rFonts w:ascii="Times New Roman" w:hAnsi="Times New Roman"/>
        </w:rPr>
        <w:t xml:space="preserve">A mite of the family Scutoverticidae dominated, making up 79.3% of the </w:t>
      </w:r>
      <w:r w:rsidR="0090201A" w:rsidRPr="00AC4AD8">
        <w:rPr>
          <w:rFonts w:ascii="Times New Roman" w:hAnsi="Times New Roman"/>
        </w:rPr>
        <w:t>mite population</w:t>
      </w:r>
      <w:r w:rsidRPr="00AC4AD8">
        <w:rPr>
          <w:rFonts w:ascii="Times New Roman" w:hAnsi="Times New Roman"/>
        </w:rPr>
        <w:t>. Mite abundance varied between 0 and 250</w:t>
      </w:r>
      <w:r w:rsidR="007A1186" w:rsidRPr="00AC4AD8">
        <w:rPr>
          <w:rFonts w:ascii="Times New Roman" w:hAnsi="Times New Roman"/>
        </w:rPr>
        <w:t>,</w:t>
      </w:r>
      <w:r w:rsidRPr="00AC4AD8">
        <w:rPr>
          <w:rFonts w:ascii="Times New Roman" w:hAnsi="Times New Roman"/>
        </w:rPr>
        <w:t xml:space="preserve">000 </w:t>
      </w:r>
      <w:r w:rsidR="00865EF0" w:rsidRPr="00AC4AD8">
        <w:rPr>
          <w:rFonts w:ascii="Times New Roman" w:hAnsi="Times New Roman"/>
        </w:rPr>
        <w:t>individual’s</w:t>
      </w:r>
      <w:r w:rsidRPr="00AC4AD8">
        <w:rPr>
          <w:rFonts w:ascii="Times New Roman" w:hAnsi="Times New Roman"/>
        </w:rPr>
        <w:t xml:space="preserve"> m</w:t>
      </w:r>
      <w:r w:rsidRPr="00AC4AD8">
        <w:rPr>
          <w:rFonts w:ascii="Times New Roman" w:hAnsi="Times New Roman"/>
          <w:vertAlign w:val="superscript"/>
        </w:rPr>
        <w:t>-2</w:t>
      </w:r>
      <w:r w:rsidRPr="00AC4AD8">
        <w:rPr>
          <w:rFonts w:ascii="Times New Roman" w:hAnsi="Times New Roman"/>
        </w:rPr>
        <w:t>, decreasing throughout the sample period</w:t>
      </w:r>
      <w:r w:rsidR="003947AD" w:rsidRPr="00AC4AD8">
        <w:rPr>
          <w:rFonts w:ascii="Times New Roman" w:hAnsi="Times New Roman"/>
        </w:rPr>
        <w:t xml:space="preserve"> (Time: </w:t>
      </w:r>
      <w:r w:rsidR="003947AD" w:rsidRPr="00AC4AD8">
        <w:rPr>
          <w:rFonts w:ascii="Times New Roman" w:hAnsi="Times New Roman"/>
          <w:i/>
        </w:rPr>
        <w:t>F</w:t>
      </w:r>
      <w:r w:rsidR="003947AD" w:rsidRPr="00AC4AD8">
        <w:rPr>
          <w:rFonts w:ascii="Times New Roman" w:hAnsi="Times New Roman"/>
          <w:i/>
          <w:vertAlign w:val="subscript"/>
        </w:rPr>
        <w:t>1.87</w:t>
      </w:r>
      <w:r w:rsidR="003947AD" w:rsidRPr="00AC4AD8">
        <w:rPr>
          <w:rFonts w:ascii="Times New Roman" w:hAnsi="Times New Roman"/>
          <w:vertAlign w:val="subscript"/>
        </w:rPr>
        <w:t>, 74.97</w:t>
      </w:r>
      <w:r w:rsidR="003947AD" w:rsidRPr="00AC4AD8">
        <w:rPr>
          <w:rFonts w:ascii="Times New Roman" w:hAnsi="Times New Roman"/>
        </w:rPr>
        <w:t xml:space="preserve"> = 28.47, </w:t>
      </w:r>
      <w:r w:rsidR="003947AD" w:rsidRPr="00AC4AD8">
        <w:rPr>
          <w:rFonts w:ascii="Times New Roman" w:hAnsi="Times New Roman"/>
          <w:i/>
        </w:rPr>
        <w:t>p</w:t>
      </w:r>
      <w:r w:rsidR="003947AD" w:rsidRPr="00AC4AD8">
        <w:rPr>
          <w:rFonts w:ascii="Times New Roman" w:hAnsi="Times New Roman"/>
        </w:rPr>
        <w:t xml:space="preserve"> &gt; 0.001)</w:t>
      </w:r>
      <w:r w:rsidRPr="00AC4AD8">
        <w:rPr>
          <w:rFonts w:ascii="Times New Roman" w:hAnsi="Times New Roman"/>
        </w:rPr>
        <w:t>. Mites were unaffected by any of the inoculants added, with no inoculated plots differing from the control (data not shown). PCA also suggested that community structure did not</w:t>
      </w:r>
      <w:r w:rsidR="00851988" w:rsidRPr="00AC4AD8">
        <w:rPr>
          <w:rFonts w:ascii="Times New Roman" w:hAnsi="Times New Roman"/>
        </w:rPr>
        <w:t xml:space="preserve"> vary between treatments (</w:t>
      </w:r>
      <w:r w:rsidR="00CF41EB" w:rsidRPr="00AC4AD8">
        <w:rPr>
          <w:rFonts w:ascii="Times New Roman" w:hAnsi="Times New Roman"/>
        </w:rPr>
        <w:t>data not shown</w:t>
      </w:r>
      <w:r w:rsidRPr="00AC4AD8">
        <w:rPr>
          <w:rFonts w:ascii="Times New Roman" w:hAnsi="Times New Roman"/>
        </w:rPr>
        <w:t>).</w:t>
      </w:r>
      <w:r w:rsidR="00B32F26" w:rsidRPr="00AC4AD8">
        <w:rPr>
          <w:rFonts w:ascii="Times New Roman" w:hAnsi="Times New Roman"/>
        </w:rPr>
        <w:t xml:space="preserve"> </w:t>
      </w:r>
    </w:p>
    <w:p w14:paraId="7D688E9A" w14:textId="31741F4C" w:rsidR="007F3387" w:rsidRPr="00AC4AD8" w:rsidRDefault="00B32F26" w:rsidP="00F03F20">
      <w:pPr>
        <w:spacing w:after="120" w:line="360" w:lineRule="auto"/>
        <w:ind w:firstLine="340"/>
        <w:jc w:val="both"/>
        <w:rPr>
          <w:rFonts w:ascii="Times New Roman" w:hAnsi="Times New Roman"/>
        </w:rPr>
      </w:pPr>
      <w:r w:rsidRPr="00AC4AD8">
        <w:rPr>
          <w:rFonts w:ascii="Times New Roman" w:hAnsi="Times New Roman"/>
        </w:rPr>
        <w:t xml:space="preserve">The community of larvae of flying insects peaked in the winter months </w:t>
      </w:r>
      <w:r w:rsidR="003947AD" w:rsidRPr="00AC4AD8">
        <w:rPr>
          <w:rFonts w:ascii="Times New Roman" w:hAnsi="Times New Roman"/>
        </w:rPr>
        <w:t xml:space="preserve">(Time: </w:t>
      </w:r>
      <w:r w:rsidR="003947AD" w:rsidRPr="00AC4AD8">
        <w:rPr>
          <w:rFonts w:ascii="Times New Roman" w:hAnsi="Times New Roman"/>
          <w:i/>
        </w:rPr>
        <w:t>F</w:t>
      </w:r>
      <w:r w:rsidR="003947AD" w:rsidRPr="00AC4AD8">
        <w:rPr>
          <w:rFonts w:ascii="Times New Roman" w:hAnsi="Times New Roman"/>
          <w:i/>
          <w:vertAlign w:val="subscript"/>
        </w:rPr>
        <w:t>3, 120</w:t>
      </w:r>
      <w:r w:rsidR="003947AD" w:rsidRPr="00AC4AD8">
        <w:rPr>
          <w:rFonts w:ascii="Times New Roman" w:hAnsi="Times New Roman"/>
        </w:rPr>
        <w:t xml:space="preserve"> = 12.78, </w:t>
      </w:r>
      <w:r w:rsidR="003947AD" w:rsidRPr="00AC4AD8">
        <w:rPr>
          <w:rFonts w:ascii="Times New Roman" w:hAnsi="Times New Roman"/>
          <w:i/>
        </w:rPr>
        <w:t>p</w:t>
      </w:r>
      <w:r w:rsidR="003947AD" w:rsidRPr="00AC4AD8">
        <w:rPr>
          <w:rFonts w:ascii="Times New Roman" w:hAnsi="Times New Roman"/>
        </w:rPr>
        <w:t xml:space="preserve"> &gt; 0.001; </w:t>
      </w:r>
      <w:r w:rsidRPr="00AC4AD8">
        <w:rPr>
          <w:rFonts w:ascii="Times New Roman" w:hAnsi="Times New Roman"/>
        </w:rPr>
        <w:t>data not shown) and was less dominated by one morphospecies than mites and Collembola were.  In total 1,092 (±2) larvae were encountered, 2% of the total microarthropod population. Larvae were lower in abundance in those plots where the bacterial treatment and the mycorrhizal treatment had been added together (</w:t>
      </w:r>
      <w:r w:rsidRPr="00AC4AD8">
        <w:rPr>
          <w:rFonts w:ascii="Times New Roman" w:hAnsi="Times New Roman"/>
          <w:i/>
        </w:rPr>
        <w:t>F</w:t>
      </w:r>
      <w:r w:rsidRPr="00AC4AD8">
        <w:rPr>
          <w:rFonts w:ascii="Times New Roman" w:hAnsi="Times New Roman"/>
          <w:vertAlign w:val="subscript"/>
        </w:rPr>
        <w:t>1, 40</w:t>
      </w:r>
      <w:r w:rsidRPr="00AC4AD8">
        <w:rPr>
          <w:rFonts w:ascii="Times New Roman" w:hAnsi="Times New Roman"/>
        </w:rPr>
        <w:t xml:space="preserve"> = 5.20, </w:t>
      </w:r>
      <w:r w:rsidRPr="00AC4AD8">
        <w:rPr>
          <w:rFonts w:ascii="Times New Roman" w:hAnsi="Times New Roman"/>
          <w:i/>
        </w:rPr>
        <w:t>p</w:t>
      </w:r>
      <w:r w:rsidRPr="00AC4AD8">
        <w:rPr>
          <w:rFonts w:ascii="Times New Roman" w:hAnsi="Times New Roman"/>
        </w:rPr>
        <w:t xml:space="preserve"> &lt; 0.05) but higher in plots with the </w:t>
      </w:r>
      <w:r w:rsidRPr="00AC4AD8">
        <w:rPr>
          <w:rFonts w:ascii="Times New Roman" w:hAnsi="Times New Roman"/>
          <w:i/>
        </w:rPr>
        <w:t>Trichoderma</w:t>
      </w:r>
      <w:r w:rsidRPr="00AC4AD8">
        <w:rPr>
          <w:rFonts w:ascii="Times New Roman" w:hAnsi="Times New Roman"/>
        </w:rPr>
        <w:t xml:space="preserve"> treatment (</w:t>
      </w:r>
      <w:r w:rsidRPr="00AC4AD8">
        <w:rPr>
          <w:rFonts w:ascii="Times New Roman" w:hAnsi="Times New Roman"/>
          <w:i/>
        </w:rPr>
        <w:t>F</w:t>
      </w:r>
      <w:r w:rsidRPr="00AC4AD8">
        <w:rPr>
          <w:rFonts w:ascii="Times New Roman" w:hAnsi="Times New Roman"/>
          <w:vertAlign w:val="subscript"/>
        </w:rPr>
        <w:t>1</w:t>
      </w:r>
      <w:proofErr w:type="gramStart"/>
      <w:r w:rsidRPr="00AC4AD8">
        <w:rPr>
          <w:rFonts w:ascii="Times New Roman" w:hAnsi="Times New Roman"/>
          <w:vertAlign w:val="subscript"/>
        </w:rPr>
        <w:t>,40</w:t>
      </w:r>
      <w:proofErr w:type="gramEnd"/>
      <w:r w:rsidRPr="00AC4AD8">
        <w:rPr>
          <w:rFonts w:ascii="Times New Roman" w:hAnsi="Times New Roman"/>
          <w:vertAlign w:val="subscript"/>
        </w:rPr>
        <w:t xml:space="preserve"> </w:t>
      </w:r>
      <w:r w:rsidRPr="00AC4AD8">
        <w:rPr>
          <w:rFonts w:ascii="Times New Roman" w:hAnsi="Times New Roman"/>
        </w:rPr>
        <w:t xml:space="preserve">= 4.84, </w:t>
      </w:r>
      <w:r w:rsidRPr="00AC4AD8">
        <w:rPr>
          <w:rFonts w:ascii="Times New Roman" w:hAnsi="Times New Roman"/>
          <w:i/>
        </w:rPr>
        <w:t>p</w:t>
      </w:r>
      <w:r w:rsidRPr="00AC4AD8">
        <w:rPr>
          <w:rFonts w:ascii="Times New Roman" w:hAnsi="Times New Roman"/>
        </w:rPr>
        <w:t xml:space="preserve"> &lt; 0.05) (Fig 5a).  Parallel analysis determined that the first four PCA axes explained the majority of the variance within the larvae of flying insect community. These four axes accounted for 48.49% of the variance (axis 1 = 14.97%, axis 2 = 13.31%). PCA suggested that the community present in plots treated with </w:t>
      </w:r>
      <w:r w:rsidRPr="00AC4AD8">
        <w:rPr>
          <w:rFonts w:ascii="Times New Roman" w:hAnsi="Times New Roman"/>
          <w:i/>
        </w:rPr>
        <w:t>Trichoderma</w:t>
      </w:r>
      <w:r w:rsidRPr="00AC4AD8">
        <w:rPr>
          <w:rFonts w:ascii="Times New Roman" w:hAnsi="Times New Roman"/>
        </w:rPr>
        <w:t xml:space="preserve"> was more variable than in other treatments and the control plots (Fig 5b) and that this community may be aligned with axis 2. Axis 2 was dominated by two larval species, a </w:t>
      </w:r>
      <w:proofErr w:type="spellStart"/>
      <w:r w:rsidRPr="00AC4AD8">
        <w:rPr>
          <w:rFonts w:ascii="Times New Roman" w:hAnsi="Times New Roman"/>
        </w:rPr>
        <w:t>Chironomid</w:t>
      </w:r>
      <w:proofErr w:type="spellEnd"/>
      <w:r w:rsidRPr="00AC4AD8">
        <w:rPr>
          <w:rFonts w:ascii="Times New Roman" w:hAnsi="Times New Roman"/>
        </w:rPr>
        <w:t xml:space="preserve"> midge and a species belonging to the superfamily </w:t>
      </w:r>
      <w:proofErr w:type="spellStart"/>
      <w:r w:rsidRPr="00AC4AD8">
        <w:rPr>
          <w:rFonts w:ascii="Times New Roman" w:hAnsi="Times New Roman"/>
        </w:rPr>
        <w:t>Mycetophiloidea</w:t>
      </w:r>
      <w:proofErr w:type="spellEnd"/>
      <w:r w:rsidRPr="00AC4AD8">
        <w:rPr>
          <w:rFonts w:ascii="Times New Roman" w:hAnsi="Times New Roman"/>
        </w:rPr>
        <w:t xml:space="preserve"> (“L5”, “L6”).</w:t>
      </w:r>
    </w:p>
    <w:p w14:paraId="2B6578C4" w14:textId="3B837F33" w:rsidR="00705CEC" w:rsidRPr="00AC4AD8" w:rsidRDefault="00705CEC" w:rsidP="00F03F20">
      <w:pPr>
        <w:spacing w:after="120" w:line="360" w:lineRule="auto"/>
        <w:ind w:firstLine="340"/>
        <w:jc w:val="both"/>
        <w:rPr>
          <w:rFonts w:ascii="Times New Roman" w:hAnsi="Times New Roman"/>
          <w:i/>
        </w:rPr>
      </w:pPr>
      <w:r w:rsidRPr="00AC4AD8">
        <w:rPr>
          <w:rFonts w:ascii="Times New Roman" w:hAnsi="Times New Roman"/>
        </w:rPr>
        <w:t>&lt;FIGURE 5 NEAR HERE&gt;</w:t>
      </w:r>
    </w:p>
    <w:p w14:paraId="6CF6BDFB" w14:textId="7703A5AF" w:rsidR="00C1230F" w:rsidRPr="00AC4AD8" w:rsidRDefault="00C1230F" w:rsidP="00F03F20">
      <w:pPr>
        <w:spacing w:after="120" w:line="360" w:lineRule="auto"/>
        <w:ind w:firstLine="340"/>
        <w:jc w:val="both"/>
        <w:rPr>
          <w:rFonts w:ascii="Times New Roman" w:hAnsi="Times New Roman"/>
          <w:noProof/>
          <w:lang w:eastAsia="en-GB"/>
        </w:rPr>
      </w:pPr>
      <w:r w:rsidRPr="00AC4AD8">
        <w:rPr>
          <w:rFonts w:ascii="Times New Roman" w:hAnsi="Times New Roman"/>
        </w:rPr>
        <w:t>Other organisms present on the roof</w:t>
      </w:r>
      <w:r w:rsidR="00122DB1" w:rsidRPr="00AC4AD8">
        <w:rPr>
          <w:rFonts w:ascii="Times New Roman" w:hAnsi="Times New Roman"/>
        </w:rPr>
        <w:t xml:space="preserve"> (</w:t>
      </w:r>
      <w:proofErr w:type="spellStart"/>
      <w:r w:rsidR="00122DB1" w:rsidRPr="00AC4AD8">
        <w:rPr>
          <w:rFonts w:ascii="Times New Roman" w:hAnsi="Times New Roman"/>
        </w:rPr>
        <w:t>Hemiptera</w:t>
      </w:r>
      <w:proofErr w:type="spellEnd"/>
      <w:r w:rsidR="008D483C" w:rsidRPr="00AC4AD8">
        <w:rPr>
          <w:rFonts w:ascii="Times New Roman" w:hAnsi="Times New Roman"/>
        </w:rPr>
        <w:t xml:space="preserve"> and</w:t>
      </w:r>
      <w:r w:rsidR="00122DB1" w:rsidRPr="00AC4AD8">
        <w:rPr>
          <w:rFonts w:ascii="Times New Roman" w:hAnsi="Times New Roman"/>
        </w:rPr>
        <w:t xml:space="preserve"> </w:t>
      </w:r>
      <w:proofErr w:type="spellStart"/>
      <w:r w:rsidR="00122DB1" w:rsidRPr="00AC4AD8">
        <w:rPr>
          <w:rFonts w:ascii="Times New Roman" w:hAnsi="Times New Roman"/>
        </w:rPr>
        <w:t>Gastropoda</w:t>
      </w:r>
      <w:proofErr w:type="spellEnd"/>
      <w:r w:rsidR="00122DB1" w:rsidRPr="00AC4AD8">
        <w:rPr>
          <w:rFonts w:ascii="Times New Roman" w:hAnsi="Times New Roman"/>
        </w:rPr>
        <w:t>)</w:t>
      </w:r>
      <w:r w:rsidRPr="00AC4AD8">
        <w:rPr>
          <w:rFonts w:ascii="Times New Roman" w:hAnsi="Times New Roman"/>
        </w:rPr>
        <w:t xml:space="preserve"> remained low throughout the sample period but reached a peak in May 2012 (</w:t>
      </w:r>
      <w:r w:rsidR="007F3387" w:rsidRPr="00AC4AD8">
        <w:rPr>
          <w:rFonts w:ascii="Times New Roman" w:hAnsi="Times New Roman"/>
        </w:rPr>
        <w:t>data not shown</w:t>
      </w:r>
      <w:r w:rsidRPr="00AC4AD8">
        <w:rPr>
          <w:rFonts w:ascii="Times New Roman" w:hAnsi="Times New Roman"/>
        </w:rPr>
        <w:t xml:space="preserve">). </w:t>
      </w:r>
      <w:r w:rsidR="008D483C" w:rsidRPr="00AC4AD8">
        <w:rPr>
          <w:rFonts w:ascii="Times New Roman" w:hAnsi="Times New Roman"/>
        </w:rPr>
        <w:t>However, t</w:t>
      </w:r>
      <w:r w:rsidR="00136EC4" w:rsidRPr="00AC4AD8">
        <w:rPr>
          <w:rFonts w:ascii="Times New Roman" w:hAnsi="Times New Roman"/>
          <w:noProof/>
          <w:lang w:eastAsia="en-GB"/>
        </w:rPr>
        <w:t xml:space="preserve">he Tingid, </w:t>
      </w:r>
      <w:r w:rsidR="00136EC4" w:rsidRPr="00AC4AD8">
        <w:rPr>
          <w:rFonts w:ascii="Times New Roman" w:hAnsi="Times New Roman"/>
          <w:i/>
          <w:noProof/>
          <w:lang w:eastAsia="en-GB"/>
        </w:rPr>
        <w:t>Acalypta parvula</w:t>
      </w:r>
      <w:r w:rsidR="00136EC4" w:rsidRPr="00AC4AD8">
        <w:rPr>
          <w:rFonts w:ascii="Times New Roman" w:hAnsi="Times New Roman"/>
          <w:noProof/>
          <w:lang w:eastAsia="en-GB"/>
        </w:rPr>
        <w:t xml:space="preserve">, was negatively correlated with bryophyte cover </w:t>
      </w:r>
      <w:r w:rsidR="00E616D2" w:rsidRPr="00AC4AD8">
        <w:rPr>
          <w:rFonts w:ascii="Times New Roman" w:hAnsi="Times New Roman"/>
          <w:noProof/>
          <w:lang w:eastAsia="en-GB"/>
        </w:rPr>
        <w:t xml:space="preserve">during the sample period </w:t>
      </w:r>
      <w:r w:rsidR="00136EC4" w:rsidRPr="00AC4AD8">
        <w:rPr>
          <w:rFonts w:ascii="Times New Roman" w:hAnsi="Times New Roman"/>
          <w:noProof/>
          <w:lang w:eastAsia="en-GB"/>
        </w:rPr>
        <w:t>(r</w:t>
      </w:r>
      <w:r w:rsidR="00136EC4" w:rsidRPr="00AC4AD8">
        <w:rPr>
          <w:rFonts w:ascii="Times New Roman" w:hAnsi="Times New Roman"/>
          <w:noProof/>
          <w:vertAlign w:val="subscript"/>
          <w:lang w:eastAsia="en-GB"/>
        </w:rPr>
        <w:t>s</w:t>
      </w:r>
      <w:r w:rsidR="00136EC4" w:rsidRPr="00AC4AD8">
        <w:rPr>
          <w:rFonts w:ascii="Times New Roman" w:hAnsi="Times New Roman"/>
          <w:noProof/>
          <w:lang w:eastAsia="en-GB"/>
        </w:rPr>
        <w:t xml:space="preserve"> = -0.28, </w:t>
      </w:r>
      <w:r w:rsidR="00136EC4" w:rsidRPr="00AC4AD8">
        <w:rPr>
          <w:rFonts w:ascii="Times New Roman" w:hAnsi="Times New Roman"/>
          <w:i/>
          <w:noProof/>
          <w:lang w:eastAsia="en-GB"/>
        </w:rPr>
        <w:t>p</w:t>
      </w:r>
      <w:r w:rsidR="00136EC4" w:rsidRPr="00AC4AD8">
        <w:rPr>
          <w:rFonts w:ascii="Times New Roman" w:hAnsi="Times New Roman"/>
          <w:noProof/>
          <w:lang w:eastAsia="en-GB"/>
        </w:rPr>
        <w:t xml:space="preserve"> &lt; 0.01).</w:t>
      </w:r>
    </w:p>
    <w:p w14:paraId="7A360D90" w14:textId="61F8139F" w:rsidR="006C517D" w:rsidRPr="00AC4AD8" w:rsidRDefault="00ED14D7" w:rsidP="00936A31">
      <w:pPr>
        <w:spacing w:after="120" w:line="360" w:lineRule="auto"/>
        <w:rPr>
          <w:rFonts w:ascii="Times New Roman" w:hAnsi="Times New Roman"/>
        </w:rPr>
      </w:pPr>
      <w:r w:rsidRPr="00AC4AD8">
        <w:rPr>
          <w:rFonts w:ascii="Times New Roman" w:hAnsi="Times New Roman"/>
          <w:b/>
        </w:rPr>
        <w:t xml:space="preserve">4. Discussion </w:t>
      </w:r>
    </w:p>
    <w:p w14:paraId="418F97C4" w14:textId="64120B7A" w:rsidR="004D6A13" w:rsidRPr="00AC4AD8" w:rsidRDefault="00ED14D7" w:rsidP="00936A31">
      <w:pPr>
        <w:spacing w:after="120" w:line="360" w:lineRule="auto"/>
        <w:rPr>
          <w:rFonts w:ascii="Times New Roman" w:hAnsi="Times New Roman"/>
          <w:i/>
        </w:rPr>
      </w:pPr>
      <w:r w:rsidRPr="00AC4AD8">
        <w:rPr>
          <w:rFonts w:ascii="Times New Roman" w:hAnsi="Times New Roman"/>
          <w:i/>
        </w:rPr>
        <w:t>4.1.</w:t>
      </w:r>
      <w:r w:rsidRPr="00AC4AD8">
        <w:rPr>
          <w:rFonts w:ascii="Times New Roman" w:hAnsi="Times New Roman"/>
        </w:rPr>
        <w:t xml:space="preserve"> </w:t>
      </w:r>
      <w:r w:rsidR="009F1065" w:rsidRPr="00AC4AD8">
        <w:rPr>
          <w:rFonts w:ascii="Times New Roman" w:hAnsi="Times New Roman"/>
        </w:rPr>
        <w:t>G</w:t>
      </w:r>
      <w:r w:rsidR="003701BE" w:rsidRPr="00AC4AD8">
        <w:rPr>
          <w:rFonts w:ascii="Times New Roman" w:hAnsi="Times New Roman"/>
          <w:i/>
        </w:rPr>
        <w:t>reen Roof Development</w:t>
      </w:r>
    </w:p>
    <w:p w14:paraId="13EE5129" w14:textId="5F26EFE1" w:rsidR="00FD7052" w:rsidRPr="00AC4AD8" w:rsidRDefault="00577CC6" w:rsidP="00705119">
      <w:pPr>
        <w:spacing w:after="120" w:line="360" w:lineRule="auto"/>
        <w:ind w:firstLine="340"/>
        <w:jc w:val="both"/>
        <w:rPr>
          <w:rFonts w:ascii="Times New Roman" w:hAnsi="Times New Roman"/>
        </w:rPr>
      </w:pPr>
      <w:r w:rsidRPr="00AC4AD8">
        <w:rPr>
          <w:rFonts w:ascii="Times New Roman" w:hAnsi="Times New Roman"/>
        </w:rPr>
        <w:t>After eight years of development, the green roof had switched from a bryophyte dominated community structure (</w:t>
      </w:r>
      <w:r w:rsidR="00063995" w:rsidRPr="00AC4AD8">
        <w:rPr>
          <w:rFonts w:ascii="Times New Roman" w:hAnsi="Times New Roman"/>
        </w:rPr>
        <w:t xml:space="preserve">see: </w:t>
      </w:r>
      <w:r w:rsidR="00A503B1"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A503B1" w:rsidRPr="00AC4AD8">
        <w:rPr>
          <w:rFonts w:ascii="Times New Roman" w:hAnsi="Times New Roman"/>
        </w:rPr>
        <w:fldChar w:fldCharType="separate"/>
      </w:r>
      <w:r w:rsidR="00A503B1" w:rsidRPr="00AC4AD8">
        <w:rPr>
          <w:rFonts w:ascii="Times New Roman" w:hAnsi="Times New Roman"/>
          <w:noProof/>
        </w:rPr>
        <w:t>Rumble and Gange, 2013)</w:t>
      </w:r>
      <w:r w:rsidR="00A503B1" w:rsidRPr="00AC4AD8">
        <w:rPr>
          <w:rFonts w:ascii="Times New Roman" w:hAnsi="Times New Roman"/>
        </w:rPr>
        <w:fldChar w:fldCharType="end"/>
      </w:r>
      <w:r w:rsidRPr="00AC4AD8">
        <w:rPr>
          <w:rFonts w:ascii="Times New Roman" w:hAnsi="Times New Roman"/>
        </w:rPr>
        <w:t xml:space="preserve"> to a </w:t>
      </w:r>
      <w:r w:rsidRPr="00AC4AD8">
        <w:rPr>
          <w:rFonts w:ascii="Times New Roman" w:hAnsi="Times New Roman"/>
          <w:i/>
        </w:rPr>
        <w:t xml:space="preserve">Sedum spp. </w:t>
      </w:r>
      <w:r w:rsidRPr="00AC4AD8">
        <w:rPr>
          <w:rFonts w:ascii="Times New Roman" w:hAnsi="Times New Roman"/>
        </w:rPr>
        <w:t>dominated community</w:t>
      </w:r>
      <w:r w:rsidR="00FA0C1D" w:rsidRPr="00AC4AD8">
        <w:rPr>
          <w:rFonts w:ascii="Times New Roman" w:hAnsi="Times New Roman"/>
        </w:rPr>
        <w:t>, achieving just over 40% total cover of</w:t>
      </w:r>
      <w:r w:rsidR="00F468C3" w:rsidRPr="00AC4AD8">
        <w:rPr>
          <w:rFonts w:ascii="Times New Roman" w:hAnsi="Times New Roman"/>
        </w:rPr>
        <w:t xml:space="preserve"> the </w:t>
      </w:r>
      <w:r w:rsidR="00F468C3" w:rsidRPr="00AC4AD8">
        <w:rPr>
          <w:rFonts w:ascii="Times New Roman" w:hAnsi="Times New Roman"/>
          <w:i/>
        </w:rPr>
        <w:t>Sedum</w:t>
      </w:r>
      <w:r w:rsidR="00F468C3" w:rsidRPr="00AC4AD8">
        <w:rPr>
          <w:rFonts w:ascii="Times New Roman" w:hAnsi="Times New Roman"/>
        </w:rPr>
        <w:t xml:space="preserve"> genus</w:t>
      </w:r>
      <w:r w:rsidR="00FA0C1D" w:rsidRPr="00AC4AD8">
        <w:rPr>
          <w:rFonts w:ascii="Times New Roman" w:hAnsi="Times New Roman"/>
          <w:i/>
        </w:rPr>
        <w:t>.</w:t>
      </w:r>
      <w:r w:rsidR="00FA0C1D" w:rsidRPr="00AC4AD8">
        <w:rPr>
          <w:rFonts w:ascii="Times New Roman" w:hAnsi="Times New Roman"/>
        </w:rPr>
        <w:t xml:space="preserve"> </w:t>
      </w:r>
      <w:r w:rsidR="00DB5301" w:rsidRPr="00AC4AD8">
        <w:rPr>
          <w:rFonts w:ascii="Times New Roman" w:hAnsi="Times New Roman"/>
        </w:rPr>
        <w:t>It is unclear, with limited long term studies</w:t>
      </w:r>
      <w:r w:rsidR="008A0F8D" w:rsidRPr="00AC4AD8">
        <w:rPr>
          <w:rFonts w:ascii="Times New Roman" w:hAnsi="Times New Roman"/>
        </w:rPr>
        <w:t xml:space="preserve"> in similar climates</w:t>
      </w:r>
      <w:r w:rsidR="00DB5301" w:rsidRPr="00AC4AD8">
        <w:rPr>
          <w:rFonts w:ascii="Times New Roman" w:hAnsi="Times New Roman"/>
        </w:rPr>
        <w:t>, whether this is representative of other green roofs</w:t>
      </w:r>
      <w:r w:rsidR="008A0F8D" w:rsidRPr="00AC4AD8">
        <w:rPr>
          <w:rFonts w:ascii="Times New Roman" w:hAnsi="Times New Roman"/>
        </w:rPr>
        <w:t xml:space="preserve">, but studies </w:t>
      </w:r>
      <w:r w:rsidR="00DB5301" w:rsidRPr="00AC4AD8">
        <w:rPr>
          <w:rFonts w:ascii="Times New Roman" w:hAnsi="Times New Roman"/>
        </w:rPr>
        <w:t xml:space="preserve">in </w:t>
      </w:r>
      <w:r w:rsidR="008A0F8D" w:rsidRPr="00AC4AD8">
        <w:rPr>
          <w:rFonts w:ascii="Times New Roman" w:hAnsi="Times New Roman"/>
        </w:rPr>
        <w:t>northern</w:t>
      </w:r>
      <w:r w:rsidR="00DB5301" w:rsidRPr="00AC4AD8">
        <w:rPr>
          <w:rFonts w:ascii="Times New Roman" w:hAnsi="Times New Roman"/>
        </w:rPr>
        <w:t xml:space="preserve"> Europe</w:t>
      </w:r>
      <w:r w:rsidR="008A0F8D" w:rsidRPr="00AC4AD8">
        <w:rPr>
          <w:rFonts w:ascii="Times New Roman" w:hAnsi="Times New Roman"/>
        </w:rPr>
        <w:t xml:space="preserve"> by</w:t>
      </w:r>
      <w:r w:rsidR="00982AB4" w:rsidRPr="00AC4AD8">
        <w:rPr>
          <w:rFonts w:ascii="Times New Roman" w:hAnsi="Times New Roman"/>
        </w:rPr>
        <w:t xml:space="preserve"> </w:t>
      </w:r>
      <w:proofErr w:type="spellStart"/>
      <w:r w:rsidR="00982AB4" w:rsidRPr="00AC4AD8">
        <w:rPr>
          <w:rFonts w:ascii="Times New Roman" w:hAnsi="Times New Roman"/>
        </w:rPr>
        <w:t>Emilsson</w:t>
      </w:r>
      <w:proofErr w:type="spellEnd"/>
      <w:r w:rsidR="00982AB4" w:rsidRPr="00AC4AD8">
        <w:rPr>
          <w:rFonts w:ascii="Times New Roman" w:hAnsi="Times New Roman"/>
        </w:rPr>
        <w:t xml:space="preserve"> (2008) </w:t>
      </w:r>
      <w:r w:rsidR="008A0F8D" w:rsidRPr="00AC4AD8">
        <w:rPr>
          <w:rFonts w:ascii="Times New Roman" w:hAnsi="Times New Roman"/>
        </w:rPr>
        <w:t xml:space="preserve">report similar slow rates of development. </w:t>
      </w:r>
      <w:r w:rsidR="008C2CD6" w:rsidRPr="00AC4AD8">
        <w:rPr>
          <w:rFonts w:ascii="Times New Roman" w:hAnsi="Times New Roman"/>
        </w:rPr>
        <w:t>If complete vascular plant cover is a design aim for a green roof</w:t>
      </w:r>
      <w:r w:rsidR="009E69D5" w:rsidRPr="00AC4AD8">
        <w:rPr>
          <w:rFonts w:ascii="Times New Roman" w:hAnsi="Times New Roman"/>
        </w:rPr>
        <w:t>s</w:t>
      </w:r>
      <w:r w:rsidR="008C2CD6" w:rsidRPr="00AC4AD8">
        <w:rPr>
          <w:rFonts w:ascii="Times New Roman" w:hAnsi="Times New Roman"/>
        </w:rPr>
        <w:t xml:space="preserve">, </w:t>
      </w:r>
      <w:r w:rsidR="009E69D5" w:rsidRPr="00AC4AD8">
        <w:rPr>
          <w:rFonts w:ascii="Times New Roman" w:hAnsi="Times New Roman"/>
        </w:rPr>
        <w:t>accelerating this process may be a research priority.</w:t>
      </w:r>
      <w:r w:rsidR="008C2CD6" w:rsidRPr="00AC4AD8">
        <w:rPr>
          <w:rFonts w:ascii="Times New Roman" w:hAnsi="Times New Roman"/>
        </w:rPr>
        <w:t xml:space="preserve"> </w:t>
      </w:r>
      <w:r w:rsidR="008A0F8D" w:rsidRPr="00AC4AD8">
        <w:rPr>
          <w:rFonts w:ascii="Times New Roman" w:hAnsi="Times New Roman"/>
        </w:rPr>
        <w:t>O</w:t>
      </w:r>
      <w:r w:rsidRPr="00AC4AD8">
        <w:rPr>
          <w:rFonts w:ascii="Times New Roman" w:hAnsi="Times New Roman"/>
        </w:rPr>
        <w:t xml:space="preserve">ther </w:t>
      </w:r>
      <w:r w:rsidR="00063995" w:rsidRPr="00AC4AD8">
        <w:rPr>
          <w:rFonts w:ascii="Times New Roman" w:hAnsi="Times New Roman"/>
        </w:rPr>
        <w:t>colonising vascular plants had reduced</w:t>
      </w:r>
      <w:r w:rsidRPr="00AC4AD8">
        <w:rPr>
          <w:rFonts w:ascii="Times New Roman" w:hAnsi="Times New Roman"/>
        </w:rPr>
        <w:t xml:space="preserve"> dramatically</w:t>
      </w:r>
      <w:r w:rsidR="00063995" w:rsidRPr="00AC4AD8">
        <w:rPr>
          <w:rFonts w:ascii="Times New Roman" w:hAnsi="Times New Roman"/>
        </w:rPr>
        <w:t xml:space="preserve"> in both number and cover since the 2010-11 sample period</w:t>
      </w:r>
      <w:r w:rsidRPr="00AC4AD8">
        <w:rPr>
          <w:rFonts w:ascii="Times New Roman" w:hAnsi="Times New Roman"/>
        </w:rPr>
        <w:t xml:space="preserve"> (see </w:t>
      </w:r>
      <w:r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Rumble and Gange, 2013)</w:t>
      </w:r>
      <w:r w:rsidRPr="00AC4AD8">
        <w:rPr>
          <w:rFonts w:ascii="Times New Roman" w:hAnsi="Times New Roman"/>
        </w:rPr>
        <w:fldChar w:fldCharType="end"/>
      </w:r>
      <w:r w:rsidR="008A0F8D" w:rsidRPr="00AC4AD8">
        <w:rPr>
          <w:rFonts w:ascii="Times New Roman" w:hAnsi="Times New Roman"/>
        </w:rPr>
        <w:t xml:space="preserve"> </w:t>
      </w:r>
      <w:r w:rsidR="007B7AEE" w:rsidRPr="00AC4AD8">
        <w:rPr>
          <w:rFonts w:ascii="Times New Roman" w:hAnsi="Times New Roman"/>
        </w:rPr>
        <w:t xml:space="preserve">despite more favourable </w:t>
      </w:r>
      <w:r w:rsidR="00E427A3" w:rsidRPr="00AC4AD8">
        <w:rPr>
          <w:rFonts w:ascii="Times New Roman" w:hAnsi="Times New Roman"/>
        </w:rPr>
        <w:t xml:space="preserve">weather </w:t>
      </w:r>
      <w:r w:rsidR="007B7AEE" w:rsidRPr="00AC4AD8">
        <w:rPr>
          <w:rFonts w:ascii="Times New Roman" w:hAnsi="Times New Roman"/>
        </w:rPr>
        <w:t>conditions</w:t>
      </w:r>
      <w:r w:rsidR="00063995" w:rsidRPr="00AC4AD8">
        <w:rPr>
          <w:rFonts w:ascii="Times New Roman" w:hAnsi="Times New Roman"/>
        </w:rPr>
        <w:t xml:space="preserve"> prevailing</w:t>
      </w:r>
      <w:r w:rsidR="008A0F8D" w:rsidRPr="00AC4AD8">
        <w:rPr>
          <w:rFonts w:ascii="Times New Roman" w:hAnsi="Times New Roman"/>
        </w:rPr>
        <w:t xml:space="preserve">. It is not known whether this was due to conditions at the time of germination or due to competitive exclusion by </w:t>
      </w:r>
      <w:r w:rsidR="00F468C3" w:rsidRPr="00AC4AD8">
        <w:rPr>
          <w:rFonts w:ascii="Times New Roman" w:hAnsi="Times New Roman"/>
          <w:i/>
        </w:rPr>
        <w:t>Sedum</w:t>
      </w:r>
      <w:r w:rsidR="008A0F8D" w:rsidRPr="00AC4AD8">
        <w:rPr>
          <w:rFonts w:ascii="Times New Roman" w:hAnsi="Times New Roman"/>
          <w:i/>
        </w:rPr>
        <w:t xml:space="preserve">. </w:t>
      </w:r>
      <w:r w:rsidR="008A0F8D" w:rsidRPr="00AC4AD8">
        <w:rPr>
          <w:rFonts w:ascii="Times New Roman" w:hAnsi="Times New Roman"/>
        </w:rPr>
        <w:t xml:space="preserve">The presence of the legume </w:t>
      </w:r>
      <w:r w:rsidR="008A0F8D" w:rsidRPr="00AC4AD8">
        <w:rPr>
          <w:rFonts w:ascii="Times New Roman" w:hAnsi="Times New Roman"/>
          <w:i/>
        </w:rPr>
        <w:t xml:space="preserve">T. </w:t>
      </w:r>
      <w:proofErr w:type="spellStart"/>
      <w:r w:rsidR="008A0F8D" w:rsidRPr="00AC4AD8">
        <w:rPr>
          <w:rFonts w:ascii="Times New Roman" w:hAnsi="Times New Roman"/>
          <w:i/>
        </w:rPr>
        <w:t>arvense</w:t>
      </w:r>
      <w:proofErr w:type="spellEnd"/>
      <w:r w:rsidR="008A0F8D" w:rsidRPr="00AC4AD8">
        <w:rPr>
          <w:rFonts w:ascii="Times New Roman" w:hAnsi="Times New Roman"/>
        </w:rPr>
        <w:t xml:space="preserve"> as one of the few colonising vascular plants, along with the high level of mycorrhizal colonisation in </w:t>
      </w:r>
      <w:r w:rsidR="008A0F8D" w:rsidRPr="00AC4AD8">
        <w:rPr>
          <w:rFonts w:ascii="Times New Roman" w:hAnsi="Times New Roman"/>
          <w:i/>
        </w:rPr>
        <w:t xml:space="preserve">Sedum spp. </w:t>
      </w:r>
      <w:r w:rsidR="008A0F8D" w:rsidRPr="00AC4AD8">
        <w:rPr>
          <w:rFonts w:ascii="Times New Roman" w:hAnsi="Times New Roman"/>
        </w:rPr>
        <w:t xml:space="preserve">could be indicative of a nutrient limited environment, where specialists could dominate. </w:t>
      </w:r>
    </w:p>
    <w:p w14:paraId="7B3DCEAC" w14:textId="68E05D08" w:rsidR="0081408E" w:rsidRPr="00AC4AD8" w:rsidRDefault="00DF4430" w:rsidP="00F03F20">
      <w:pPr>
        <w:spacing w:after="120" w:line="360" w:lineRule="auto"/>
        <w:ind w:firstLine="340"/>
        <w:jc w:val="both"/>
        <w:rPr>
          <w:rFonts w:ascii="Times New Roman" w:hAnsi="Times New Roman"/>
        </w:rPr>
      </w:pPr>
      <w:r w:rsidRPr="00AC4AD8">
        <w:rPr>
          <w:rFonts w:ascii="Times New Roman" w:hAnsi="Times New Roman"/>
        </w:rPr>
        <w:t>Succession</w:t>
      </w:r>
      <w:r w:rsidR="008C2CD6" w:rsidRPr="00AC4AD8">
        <w:rPr>
          <w:rFonts w:ascii="Times New Roman" w:hAnsi="Times New Roman"/>
        </w:rPr>
        <w:t xml:space="preserve"> </w:t>
      </w:r>
      <w:r w:rsidRPr="00AC4AD8">
        <w:rPr>
          <w:rFonts w:ascii="Times New Roman" w:hAnsi="Times New Roman"/>
        </w:rPr>
        <w:t>in the microarthropod community</w:t>
      </w:r>
      <w:r w:rsidR="008C2CD6" w:rsidRPr="00AC4AD8">
        <w:rPr>
          <w:rFonts w:ascii="Times New Roman" w:hAnsi="Times New Roman"/>
        </w:rPr>
        <w:t>, although slow,</w:t>
      </w:r>
      <w:r w:rsidRPr="00AC4AD8">
        <w:rPr>
          <w:rFonts w:ascii="Times New Roman" w:hAnsi="Times New Roman"/>
        </w:rPr>
        <w:t xml:space="preserve"> had </w:t>
      </w:r>
      <w:r w:rsidR="009A1927" w:rsidRPr="00AC4AD8">
        <w:rPr>
          <w:rFonts w:ascii="Times New Roman" w:hAnsi="Times New Roman"/>
        </w:rPr>
        <w:t>progressed in terms of</w:t>
      </w:r>
      <w:r w:rsidR="008C2CD6" w:rsidRPr="00AC4AD8">
        <w:rPr>
          <w:rFonts w:ascii="Times New Roman" w:hAnsi="Times New Roman"/>
        </w:rPr>
        <w:t xml:space="preserve"> a</w:t>
      </w:r>
      <w:r w:rsidR="003701BE" w:rsidRPr="00AC4AD8">
        <w:rPr>
          <w:rFonts w:ascii="Times New Roman" w:hAnsi="Times New Roman"/>
        </w:rPr>
        <w:t xml:space="preserve">bundance, </w:t>
      </w:r>
      <w:r w:rsidR="00577CC6" w:rsidRPr="00AC4AD8">
        <w:rPr>
          <w:rFonts w:ascii="Times New Roman" w:hAnsi="Times New Roman"/>
        </w:rPr>
        <w:t>though</w:t>
      </w:r>
      <w:r w:rsidR="003701BE" w:rsidRPr="00AC4AD8">
        <w:rPr>
          <w:rFonts w:ascii="Times New Roman" w:hAnsi="Times New Roman"/>
        </w:rPr>
        <w:t xml:space="preserve"> not diversity, </w:t>
      </w:r>
      <w:r w:rsidR="00577CC6" w:rsidRPr="00AC4AD8">
        <w:rPr>
          <w:rFonts w:ascii="Times New Roman" w:hAnsi="Times New Roman"/>
        </w:rPr>
        <w:t>increas</w:t>
      </w:r>
      <w:r w:rsidR="008C2CD6" w:rsidRPr="00AC4AD8">
        <w:rPr>
          <w:rFonts w:ascii="Times New Roman" w:hAnsi="Times New Roman"/>
        </w:rPr>
        <w:t>ing</w:t>
      </w:r>
      <w:r w:rsidR="003701BE" w:rsidRPr="00AC4AD8">
        <w:rPr>
          <w:rFonts w:ascii="Times New Roman" w:hAnsi="Times New Roman"/>
        </w:rPr>
        <w:t xml:space="preserve"> </w:t>
      </w:r>
      <w:r w:rsidR="00577CC6" w:rsidRPr="00AC4AD8">
        <w:rPr>
          <w:rFonts w:ascii="Times New Roman" w:hAnsi="Times New Roman"/>
        </w:rPr>
        <w:t>from</w:t>
      </w:r>
      <w:r w:rsidR="003701BE" w:rsidRPr="00AC4AD8">
        <w:rPr>
          <w:rFonts w:ascii="Times New Roman" w:hAnsi="Times New Roman"/>
        </w:rPr>
        <w:t xml:space="preserve"> the previous sample period (see: </w:t>
      </w:r>
      <w:r w:rsidR="003701BE"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3701BE" w:rsidRPr="00AC4AD8">
        <w:rPr>
          <w:rFonts w:ascii="Times New Roman" w:hAnsi="Times New Roman"/>
        </w:rPr>
        <w:fldChar w:fldCharType="separate"/>
      </w:r>
      <w:r w:rsidR="003701BE" w:rsidRPr="00AC4AD8">
        <w:rPr>
          <w:rFonts w:ascii="Times New Roman" w:hAnsi="Times New Roman"/>
          <w:noProof/>
        </w:rPr>
        <w:t>Rumble and Gange, 2013)</w:t>
      </w:r>
      <w:r w:rsidR="003701BE" w:rsidRPr="00AC4AD8">
        <w:rPr>
          <w:rFonts w:ascii="Times New Roman" w:hAnsi="Times New Roman"/>
        </w:rPr>
        <w:fldChar w:fldCharType="end"/>
      </w:r>
      <w:r w:rsidR="00577CC6" w:rsidRPr="00AC4AD8">
        <w:rPr>
          <w:rFonts w:ascii="Times New Roman" w:hAnsi="Times New Roman"/>
        </w:rPr>
        <w:t>.</w:t>
      </w:r>
      <w:r w:rsidR="003701BE" w:rsidRPr="00AC4AD8">
        <w:rPr>
          <w:rFonts w:ascii="Times New Roman" w:hAnsi="Times New Roman"/>
        </w:rPr>
        <w:t xml:space="preserve"> </w:t>
      </w:r>
      <w:r w:rsidR="009A1927" w:rsidRPr="00AC4AD8">
        <w:rPr>
          <w:rFonts w:ascii="Times New Roman" w:hAnsi="Times New Roman"/>
        </w:rPr>
        <w:t>W</w:t>
      </w:r>
      <w:r w:rsidR="008C2CD6" w:rsidRPr="00AC4AD8">
        <w:rPr>
          <w:rFonts w:ascii="Times New Roman" w:hAnsi="Times New Roman"/>
        </w:rPr>
        <w:t xml:space="preserve">hilst </w:t>
      </w:r>
      <w:r w:rsidR="00E616D2" w:rsidRPr="00AC4AD8">
        <w:rPr>
          <w:rFonts w:ascii="Times New Roman" w:hAnsi="Times New Roman"/>
        </w:rPr>
        <w:t xml:space="preserve">the </w:t>
      </w:r>
      <w:r w:rsidR="008C2CD6" w:rsidRPr="00AC4AD8">
        <w:rPr>
          <w:rFonts w:ascii="Times New Roman" w:hAnsi="Times New Roman"/>
        </w:rPr>
        <w:t>abundance</w:t>
      </w:r>
      <w:r w:rsidR="00E616D2" w:rsidRPr="00AC4AD8">
        <w:rPr>
          <w:rFonts w:ascii="Times New Roman" w:hAnsi="Times New Roman"/>
        </w:rPr>
        <w:t xml:space="preserve"> of microarthropods as a whole</w:t>
      </w:r>
      <w:r w:rsidR="008C2CD6" w:rsidRPr="00AC4AD8">
        <w:rPr>
          <w:rFonts w:ascii="Times New Roman" w:hAnsi="Times New Roman"/>
        </w:rPr>
        <w:t xml:space="preserve"> increased</w:t>
      </w:r>
      <w:r w:rsidR="002967C2" w:rsidRPr="00AC4AD8">
        <w:rPr>
          <w:rFonts w:ascii="Times New Roman" w:hAnsi="Times New Roman"/>
        </w:rPr>
        <w:t xml:space="preserve"> in response to inoculants</w:t>
      </w:r>
      <w:r w:rsidR="008C2CD6" w:rsidRPr="00AC4AD8">
        <w:rPr>
          <w:rFonts w:ascii="Times New Roman" w:hAnsi="Times New Roman"/>
        </w:rPr>
        <w:t xml:space="preserve">, this </w:t>
      </w:r>
      <w:r w:rsidR="00E616D2" w:rsidRPr="00AC4AD8">
        <w:rPr>
          <w:rFonts w:ascii="Times New Roman" w:hAnsi="Times New Roman"/>
        </w:rPr>
        <w:t xml:space="preserve">population growth </w:t>
      </w:r>
      <w:r w:rsidR="008C2CD6" w:rsidRPr="00AC4AD8">
        <w:rPr>
          <w:rFonts w:ascii="Times New Roman" w:hAnsi="Times New Roman"/>
        </w:rPr>
        <w:t xml:space="preserve">was not equal across all </w:t>
      </w:r>
      <w:r w:rsidR="00E616D2" w:rsidRPr="00AC4AD8">
        <w:rPr>
          <w:rFonts w:ascii="Times New Roman" w:hAnsi="Times New Roman"/>
        </w:rPr>
        <w:t xml:space="preserve">faunal </w:t>
      </w:r>
      <w:r w:rsidR="008C2CD6" w:rsidRPr="00AC4AD8">
        <w:rPr>
          <w:rFonts w:ascii="Times New Roman" w:hAnsi="Times New Roman"/>
        </w:rPr>
        <w:t xml:space="preserve">groups. </w:t>
      </w:r>
      <w:r w:rsidR="009A1927" w:rsidRPr="00AC4AD8">
        <w:rPr>
          <w:rFonts w:ascii="Times New Roman" w:hAnsi="Times New Roman"/>
        </w:rPr>
        <w:t xml:space="preserve">In 2011, the population of Collembola had decreased dramatically due to two drought events (see: </w:t>
      </w:r>
      <w:r w:rsidR="009A1927" w:rsidRPr="00AC4AD8">
        <w:rPr>
          <w:rFonts w:ascii="Times New Roman" w:hAnsi="Times New Roman"/>
        </w:rPr>
        <w:fldChar w:fldCharType="begin" w:fldLock="1"/>
      </w:r>
      <w:r w:rsidR="006322AA" w:rsidRPr="00AC4AD8">
        <w:rPr>
          <w:rFonts w:ascii="Times New Roman" w:hAnsi="Times New Roman"/>
        </w:rPr>
        <w:instrText>ADDIN CSL_CITATION { "citationItems" : [ { "id" : "ITEM-1", "itemData" : { "DOI" : "10.1016/j.ecoleng.2013.04.012", "ISSN" : "09258574", "abstract" : "Green roofs are of increasing interest to ecologists, engineers and architects, as cities grow and aim to become more sustainable. They could be exploited to improve urban biodiversity and ecosystem services, yet almost nothing is known about them from a soil community ecology perspective, despite how critical soil food webs are to ecosystem functioning. This paper provides the first comprehensive study incorporating the annual cycle of green roof soil microarthropods. Microarthropod communities were monitored over 14 months on two extensive green roofs. Abiotic factors, including substrate moisture, were recorded, as were biotic factors such as plant and mycorrhizal colonisation. Microarthropod interactions with these variables were then examined. Microarthropod diversity was low overall, with a few dominant species peaking seasonally. On occasion, total abundance was comparable to other early successional soils. The majority of species present were drought tolerant collembola and xerophillic mites, suggesting that moisture levels on green roofs are a major limiting factor for soil microarthropods. Our results suggest that the microarthropod community present in extensive green roof soils is impoverished, limiting the success of above-ground flora and fauna and ultimately the success of the roof as an urban habitat. We conclude that green roof building guidelines should incorporate soil communities in their design and should aim to be heterogeneous at the roof and landscape level, for the purpose of supporting soil biodiversity and creating sustainable habitats.", "author" : [ { "dropping-particle" : "", "family" : "Rumble", "given" : "Heather", "non-dropping-particle" : "", "parse-names" : false, "suffix" : "" }, { "dropping-particle" : "", "family" : "Gange", "given" : "Alan C.", "non-dropping-particle" : "", "parse-names" : false, "suffix" : "" } ], "container-title" : "Ecological Engineering", "id" : "ITEM-1", "issued" : { "date-parts" : [ [ "2013", "8" ] ] }, "page" : "197-204", "title" : "Soil microarthropod community dynamics in extensive green roofs", "type" : "article-journal", "volume" : "57" }, "uris" : [ "http://www.mendeley.com/documents/?uuid=f1a27e36-6a74-4b6e-982f-428c94e640d0" ] } ], "mendeley" : { "formattedCitation" : "(Rumble and Gange, 2013)", "manualFormatting" : "Rumble and Gange, 2013)", "plainTextFormattedCitation" : "(Rumble and Gange, 2013)", "previouslyFormattedCitation" : "(Rumble and Gange, 2013)" }, "properties" : { "noteIndex" : 0 }, "schema" : "https://github.com/citation-style-language/schema/raw/master/csl-citation.json" }</w:instrText>
      </w:r>
      <w:r w:rsidR="009A1927" w:rsidRPr="00AC4AD8">
        <w:rPr>
          <w:rFonts w:ascii="Times New Roman" w:hAnsi="Times New Roman"/>
        </w:rPr>
        <w:fldChar w:fldCharType="separate"/>
      </w:r>
      <w:r w:rsidR="009A1927" w:rsidRPr="00AC4AD8">
        <w:rPr>
          <w:rFonts w:ascii="Times New Roman" w:hAnsi="Times New Roman"/>
          <w:noProof/>
        </w:rPr>
        <w:t>Rumble and Gange, 2013)</w:t>
      </w:r>
      <w:r w:rsidR="009A1927" w:rsidRPr="00AC4AD8">
        <w:rPr>
          <w:rFonts w:ascii="Times New Roman" w:hAnsi="Times New Roman"/>
        </w:rPr>
        <w:fldChar w:fldCharType="end"/>
      </w:r>
      <w:r w:rsidR="009A1927" w:rsidRPr="00AC4AD8">
        <w:rPr>
          <w:rFonts w:ascii="Times New Roman" w:hAnsi="Times New Roman"/>
        </w:rPr>
        <w:t>. Over a year later, d</w:t>
      </w:r>
      <w:r w:rsidR="00BB555E" w:rsidRPr="00AC4AD8">
        <w:rPr>
          <w:rFonts w:ascii="Times New Roman" w:hAnsi="Times New Roman"/>
        </w:rPr>
        <w:t>espite higher average rainfall</w:t>
      </w:r>
      <w:r w:rsidR="002F145C" w:rsidRPr="00AC4AD8">
        <w:rPr>
          <w:rFonts w:ascii="Times New Roman" w:hAnsi="Times New Roman"/>
        </w:rPr>
        <w:t>,</w:t>
      </w:r>
      <w:r w:rsidR="00BB555E" w:rsidRPr="00AC4AD8">
        <w:rPr>
          <w:rFonts w:ascii="Times New Roman" w:hAnsi="Times New Roman"/>
        </w:rPr>
        <w:t xml:space="preserve"> the absence of extreme drought</w:t>
      </w:r>
      <w:r w:rsidR="002F145C" w:rsidRPr="00AC4AD8">
        <w:rPr>
          <w:rFonts w:ascii="Times New Roman" w:hAnsi="Times New Roman"/>
        </w:rPr>
        <w:t xml:space="preserve"> and generally more stable temperatures</w:t>
      </w:r>
      <w:r w:rsidR="00BB555E" w:rsidRPr="00AC4AD8">
        <w:rPr>
          <w:rFonts w:ascii="Times New Roman" w:hAnsi="Times New Roman"/>
        </w:rPr>
        <w:t xml:space="preserve">, the abundance of </w:t>
      </w:r>
      <w:r w:rsidR="00FF46CA" w:rsidRPr="00AC4AD8">
        <w:rPr>
          <w:rFonts w:ascii="Times New Roman" w:hAnsi="Times New Roman"/>
        </w:rPr>
        <w:t>C</w:t>
      </w:r>
      <w:r w:rsidR="00BB555E" w:rsidRPr="00AC4AD8">
        <w:rPr>
          <w:rFonts w:ascii="Times New Roman" w:hAnsi="Times New Roman"/>
        </w:rPr>
        <w:t xml:space="preserve">ollembola </w:t>
      </w:r>
      <w:r w:rsidR="009A1927" w:rsidRPr="00AC4AD8">
        <w:rPr>
          <w:rFonts w:ascii="Times New Roman" w:hAnsi="Times New Roman"/>
        </w:rPr>
        <w:t>was still very low in this study</w:t>
      </w:r>
      <w:r w:rsidR="00BB555E" w:rsidRPr="00AC4AD8">
        <w:rPr>
          <w:rFonts w:ascii="Times New Roman" w:hAnsi="Times New Roman"/>
        </w:rPr>
        <w:t xml:space="preserve">. </w:t>
      </w:r>
      <w:r w:rsidR="0081408E" w:rsidRPr="00AC4AD8">
        <w:rPr>
          <w:rFonts w:ascii="Times New Roman" w:hAnsi="Times New Roman"/>
        </w:rPr>
        <w:t xml:space="preserve">This demonstrates the long term </w:t>
      </w:r>
      <w:r w:rsidR="00460D70" w:rsidRPr="00AC4AD8">
        <w:rPr>
          <w:rFonts w:ascii="Times New Roman" w:hAnsi="Times New Roman"/>
        </w:rPr>
        <w:t xml:space="preserve">detrimental </w:t>
      </w:r>
      <w:r w:rsidR="0081408E" w:rsidRPr="00AC4AD8">
        <w:rPr>
          <w:rFonts w:ascii="Times New Roman" w:hAnsi="Times New Roman"/>
        </w:rPr>
        <w:t xml:space="preserve">effect of drought on </w:t>
      </w:r>
      <w:r w:rsidR="00BB555E" w:rsidRPr="00AC4AD8">
        <w:rPr>
          <w:rFonts w:ascii="Times New Roman" w:hAnsi="Times New Roman"/>
        </w:rPr>
        <w:t xml:space="preserve">some green roof </w:t>
      </w:r>
      <w:r w:rsidR="0081408E" w:rsidRPr="00AC4AD8">
        <w:rPr>
          <w:rFonts w:ascii="Times New Roman" w:hAnsi="Times New Roman"/>
        </w:rPr>
        <w:t>microarthropods, even if the weather is more favourable in subsequent years</w:t>
      </w:r>
      <w:r w:rsidR="00B67F5A" w:rsidRPr="00AC4AD8">
        <w:rPr>
          <w:rFonts w:ascii="Times New Roman" w:hAnsi="Times New Roman"/>
        </w:rPr>
        <w:t xml:space="preserve">, and </w:t>
      </w:r>
      <w:r w:rsidR="008C2CD6" w:rsidRPr="00AC4AD8">
        <w:rPr>
          <w:rFonts w:ascii="Times New Roman" w:hAnsi="Times New Roman"/>
        </w:rPr>
        <w:t xml:space="preserve">reveals </w:t>
      </w:r>
      <w:r w:rsidR="009A1927" w:rsidRPr="00AC4AD8">
        <w:rPr>
          <w:rFonts w:ascii="Times New Roman" w:hAnsi="Times New Roman"/>
        </w:rPr>
        <w:t>h</w:t>
      </w:r>
      <w:r w:rsidR="008C2CD6" w:rsidRPr="00AC4AD8">
        <w:rPr>
          <w:rFonts w:ascii="Times New Roman" w:hAnsi="Times New Roman"/>
        </w:rPr>
        <w:t>ow fragile these communities are</w:t>
      </w:r>
      <w:r w:rsidR="0081408E" w:rsidRPr="00AC4AD8">
        <w:rPr>
          <w:rFonts w:ascii="Times New Roman" w:hAnsi="Times New Roman"/>
        </w:rPr>
        <w:t xml:space="preserve">. </w:t>
      </w:r>
      <w:r w:rsidR="008A0F8D" w:rsidRPr="00AC4AD8">
        <w:rPr>
          <w:rFonts w:ascii="Times New Roman" w:hAnsi="Times New Roman"/>
        </w:rPr>
        <w:t>In this instance, the addition of inoculants did not help this faunal group recover from the previous year’s unfavourable conditions, highlighting that as a remediation tool, the success of inoculants is dependent on the starting population.</w:t>
      </w:r>
    </w:p>
    <w:p w14:paraId="3CBE0056" w14:textId="2133231A" w:rsidR="004D6A13" w:rsidRPr="00AC4AD8" w:rsidRDefault="00ED14D7" w:rsidP="00936A31">
      <w:pPr>
        <w:spacing w:after="120" w:line="360" w:lineRule="auto"/>
        <w:rPr>
          <w:rFonts w:ascii="Times New Roman" w:hAnsi="Times New Roman"/>
          <w:i/>
        </w:rPr>
      </w:pPr>
      <w:r w:rsidRPr="00AC4AD8">
        <w:rPr>
          <w:rFonts w:ascii="Times New Roman" w:hAnsi="Times New Roman"/>
          <w:i/>
        </w:rPr>
        <w:t xml:space="preserve">4.2. </w:t>
      </w:r>
      <w:r w:rsidR="004D6A13" w:rsidRPr="00AC4AD8">
        <w:rPr>
          <w:rFonts w:ascii="Times New Roman" w:hAnsi="Times New Roman"/>
          <w:i/>
        </w:rPr>
        <w:t xml:space="preserve">Inoculant </w:t>
      </w:r>
      <w:r w:rsidR="00B67F5A" w:rsidRPr="00AC4AD8">
        <w:rPr>
          <w:rFonts w:ascii="Times New Roman" w:hAnsi="Times New Roman"/>
          <w:i/>
        </w:rPr>
        <w:t>A</w:t>
      </w:r>
      <w:r w:rsidR="004D6A13" w:rsidRPr="00AC4AD8">
        <w:rPr>
          <w:rFonts w:ascii="Times New Roman" w:hAnsi="Times New Roman"/>
          <w:i/>
        </w:rPr>
        <w:t>ddition</w:t>
      </w:r>
    </w:p>
    <w:p w14:paraId="601FBDAE" w14:textId="6C6A0D4C" w:rsidR="008924D5" w:rsidRPr="00AC4AD8" w:rsidRDefault="004D6A13" w:rsidP="00F03F20">
      <w:pPr>
        <w:spacing w:after="120" w:line="360" w:lineRule="auto"/>
        <w:ind w:firstLine="340"/>
        <w:jc w:val="both"/>
        <w:rPr>
          <w:rFonts w:ascii="Times New Roman" w:hAnsi="Times New Roman"/>
        </w:rPr>
      </w:pPr>
      <w:r w:rsidRPr="00AC4AD8">
        <w:rPr>
          <w:rFonts w:ascii="Times New Roman" w:hAnsi="Times New Roman"/>
        </w:rPr>
        <w:t xml:space="preserve">There was no evidence that application of </w:t>
      </w:r>
      <w:r w:rsidR="003701BE" w:rsidRPr="00AC4AD8">
        <w:rPr>
          <w:rFonts w:ascii="Times New Roman" w:hAnsi="Times New Roman"/>
        </w:rPr>
        <w:t xml:space="preserve">any of </w:t>
      </w:r>
      <w:r w:rsidRPr="00AC4AD8">
        <w:rPr>
          <w:rFonts w:ascii="Times New Roman" w:hAnsi="Times New Roman"/>
        </w:rPr>
        <w:t xml:space="preserve">the commercial inoculants </w:t>
      </w:r>
      <w:r w:rsidR="007B7AEE" w:rsidRPr="00AC4AD8">
        <w:rPr>
          <w:rFonts w:ascii="Times New Roman" w:hAnsi="Times New Roman"/>
        </w:rPr>
        <w:t>t</w:t>
      </w:r>
      <w:r w:rsidRPr="00AC4AD8">
        <w:rPr>
          <w:rFonts w:ascii="Times New Roman" w:hAnsi="Times New Roman"/>
        </w:rPr>
        <w:t xml:space="preserve">o a mature green roof had any effect on </w:t>
      </w:r>
      <w:r w:rsidR="003701BE" w:rsidRPr="00AC4AD8">
        <w:rPr>
          <w:rFonts w:ascii="Times New Roman" w:hAnsi="Times New Roman"/>
        </w:rPr>
        <w:t>vascular plants. However, bryophytes, whilst unaffected by</w:t>
      </w:r>
      <w:r w:rsidR="00C07C85" w:rsidRPr="00AC4AD8">
        <w:rPr>
          <w:rFonts w:ascii="Times New Roman" w:hAnsi="Times New Roman"/>
        </w:rPr>
        <w:t xml:space="preserve"> the addition of</w:t>
      </w:r>
      <w:r w:rsidR="003701BE" w:rsidRPr="00AC4AD8">
        <w:rPr>
          <w:rFonts w:ascii="Times New Roman" w:hAnsi="Times New Roman"/>
        </w:rPr>
        <w:t xml:space="preserve"> bacteria or mycorrhiza, were affected by the addition of </w:t>
      </w:r>
      <w:r w:rsidR="00F468C3" w:rsidRPr="00AC4AD8">
        <w:rPr>
          <w:rFonts w:ascii="Times New Roman" w:hAnsi="Times New Roman"/>
          <w:i/>
        </w:rPr>
        <w:t>Trichoderma</w:t>
      </w:r>
      <w:r w:rsidR="003701BE" w:rsidRPr="00AC4AD8">
        <w:rPr>
          <w:rFonts w:ascii="Times New Roman" w:hAnsi="Times New Roman"/>
          <w:i/>
        </w:rPr>
        <w:t xml:space="preserve"> </w:t>
      </w:r>
      <w:r w:rsidR="00850797" w:rsidRPr="00AC4AD8">
        <w:rPr>
          <w:rFonts w:ascii="Times New Roman" w:hAnsi="Times New Roman"/>
        </w:rPr>
        <w:t xml:space="preserve">in different ways </w:t>
      </w:r>
      <w:r w:rsidR="003701BE" w:rsidRPr="00AC4AD8">
        <w:rPr>
          <w:rFonts w:ascii="Times New Roman" w:hAnsi="Times New Roman"/>
        </w:rPr>
        <w:t xml:space="preserve">at different times of the year. </w:t>
      </w:r>
      <w:r w:rsidR="00850797" w:rsidRPr="00AC4AD8">
        <w:rPr>
          <w:rFonts w:ascii="Times New Roman" w:hAnsi="Times New Roman"/>
        </w:rPr>
        <w:t>C</w:t>
      </w:r>
      <w:r w:rsidR="005A4CE8" w:rsidRPr="00AC4AD8">
        <w:rPr>
          <w:rFonts w:ascii="Times New Roman" w:hAnsi="Times New Roman"/>
        </w:rPr>
        <w:t>over in January 2012</w:t>
      </w:r>
      <w:r w:rsidRPr="00AC4AD8">
        <w:rPr>
          <w:rFonts w:ascii="Times New Roman" w:hAnsi="Times New Roman"/>
        </w:rPr>
        <w:t xml:space="preserve"> was higher in plots treated with </w:t>
      </w:r>
      <w:r w:rsidR="00F468C3" w:rsidRPr="00AC4AD8">
        <w:rPr>
          <w:rFonts w:ascii="Times New Roman" w:hAnsi="Times New Roman"/>
          <w:i/>
        </w:rPr>
        <w:t>Trichoderma</w:t>
      </w:r>
      <w:r w:rsidRPr="00AC4AD8">
        <w:rPr>
          <w:rFonts w:ascii="Times New Roman" w:hAnsi="Times New Roman"/>
        </w:rPr>
        <w:t xml:space="preserve"> than in other plots, but subsequently, in March and July, </w:t>
      </w:r>
      <w:r w:rsidR="00096A93" w:rsidRPr="00AC4AD8">
        <w:rPr>
          <w:rFonts w:ascii="Times New Roman" w:hAnsi="Times New Roman"/>
        </w:rPr>
        <w:t xml:space="preserve">the </w:t>
      </w:r>
      <w:r w:rsidR="005A4CE8" w:rsidRPr="00AC4AD8">
        <w:rPr>
          <w:rFonts w:ascii="Times New Roman" w:hAnsi="Times New Roman"/>
        </w:rPr>
        <w:t xml:space="preserve">rate of </w:t>
      </w:r>
      <w:r w:rsidRPr="00AC4AD8">
        <w:rPr>
          <w:rFonts w:ascii="Times New Roman" w:hAnsi="Times New Roman"/>
        </w:rPr>
        <w:t xml:space="preserve">bryophyte cover was </w:t>
      </w:r>
      <w:r w:rsidR="00850797" w:rsidRPr="00AC4AD8">
        <w:rPr>
          <w:rFonts w:ascii="Times New Roman" w:hAnsi="Times New Roman"/>
        </w:rPr>
        <w:t xml:space="preserve">less in </w:t>
      </w:r>
      <w:r w:rsidR="00F468C3" w:rsidRPr="00AC4AD8">
        <w:rPr>
          <w:rFonts w:ascii="Times New Roman" w:hAnsi="Times New Roman"/>
          <w:i/>
        </w:rPr>
        <w:t>Trichoderma</w:t>
      </w:r>
      <w:r w:rsidR="00850797" w:rsidRPr="00AC4AD8">
        <w:rPr>
          <w:rFonts w:ascii="Times New Roman" w:hAnsi="Times New Roman"/>
        </w:rPr>
        <w:t xml:space="preserve"> plots than in others.</w:t>
      </w:r>
      <w:r w:rsidRPr="00AC4AD8">
        <w:rPr>
          <w:rFonts w:ascii="Times New Roman" w:hAnsi="Times New Roman"/>
        </w:rPr>
        <w:t xml:space="preserve">  </w:t>
      </w:r>
    </w:p>
    <w:p w14:paraId="3CF65A32" w14:textId="7D01F33B" w:rsidR="003659DD" w:rsidRPr="00AC4AD8" w:rsidRDefault="00093042" w:rsidP="00F03F20">
      <w:pPr>
        <w:spacing w:after="120" w:line="360" w:lineRule="auto"/>
        <w:ind w:firstLine="340"/>
        <w:jc w:val="both"/>
        <w:rPr>
          <w:rFonts w:ascii="Times New Roman" w:hAnsi="Times New Roman"/>
        </w:rPr>
      </w:pPr>
      <w:r w:rsidRPr="00AC4AD8">
        <w:rPr>
          <w:rFonts w:ascii="Times New Roman" w:hAnsi="Times New Roman"/>
        </w:rPr>
        <w:t xml:space="preserve">In vascular plants, </w:t>
      </w:r>
      <w:r w:rsidR="00F468C3" w:rsidRPr="00AC4AD8">
        <w:rPr>
          <w:rFonts w:ascii="Times New Roman" w:hAnsi="Times New Roman"/>
          <w:i/>
        </w:rPr>
        <w:t>Trichoderma</w:t>
      </w:r>
      <w:r w:rsidRPr="00AC4AD8">
        <w:rPr>
          <w:rFonts w:ascii="Times New Roman" w:hAnsi="Times New Roman"/>
          <w:i/>
        </w:rPr>
        <w:t xml:space="preserve"> </w:t>
      </w:r>
      <w:r w:rsidRPr="00AC4AD8">
        <w:rPr>
          <w:rFonts w:ascii="Times New Roman" w:hAnsi="Times New Roman"/>
        </w:rPr>
        <w:t xml:space="preserve">may increase </w:t>
      </w:r>
      <w:r w:rsidR="00CD2FF9" w:rsidRPr="00AC4AD8">
        <w:rPr>
          <w:rFonts w:ascii="Times New Roman" w:hAnsi="Times New Roman"/>
        </w:rPr>
        <w:t>plant</w:t>
      </w:r>
      <w:r w:rsidRPr="00AC4AD8">
        <w:rPr>
          <w:rFonts w:ascii="Times New Roman" w:hAnsi="Times New Roman"/>
        </w:rPr>
        <w:t xml:space="preserve"> tolerance to disease </w:t>
      </w:r>
      <w:r w:rsidR="00687E33"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"10.1146/annurev.py.23.090185.000323", "author" : [ { "dropping-particle" : "", "family" : "Papavizas", "given" : "GC", "non-dropping-particle" : "", "parse-names" : false, "suffix" : "" } ], "container-title" : "Annual review of phytopathology", "id" : "ITEM-1", "issued" : { "date-parts" : [ [ "1985" ] ] }, "page" : "23-54", "title" : "Trichoderma and Gliocladium: biology, ecology, and potential for biocontrol", "type" : "article-journal", "volume" : "23" }, "uris" : [ "http://www.mendeley.com/documents/?uuid=de78a745-8789-40a4-b4c2-a63b117e2727" ] }, { "id" : "ITEM-2", "itemData" : { "DOI" : "10.1023/A:1006512519895", "author" : [ { "dropping-particle" : "", "family" : "Mousseaux", "given" : "MR", "non-dropping-particle" : "", "parse-names" : false, "suffix" : "" }, { "dropping-particle" : "", "family" : "Dumroese", "given" : "RK", "non-dropping-particle" : "", "parse-names" : false, "suffix" : "" }, { "dropping-particle" : "", "family" : "James", "given" : "RL", "non-dropping-particle" : "", "parse-names" : false, "suffix" : "" } ], "container-title" : "New Forests", "id" : "ITEM-2", "issued" : { "date-parts" : [ [ "1998" ] ] }, "page" : "11-21", "title" : "Efficacy of Trichoderma harzianum as a biological control of Fusarium oxysporum in container-grown Douglas-fir seedlings", "type" : "article-journal", "volume" : "15" }, "uris" : [ "http://www.mendeley.com/documents/?uuid=88080bb5-3ade-443d-be3f-4979ba4319dc" ] }, { "id" : "ITEM-3", "itemData" : { "author" : [ { "dropping-particle" : "", "family" : "Cuevas", "given" : "VC", "non-dropping-particle" : "", "parse-names" : false, "suffix" : "" } ], "container-title" : "The Philippine Agricultural Scientist", "id" : "ITEM-3", "issued" : { "date-parts" : [ [ "2011" ] ] }, "page" : "171-178", "title" : "Potential impacts of the use of Trichoderma spp. on farmers' profit in the field control of club root disease of crucifers caused by Plasmodiophora brassicae Wor.", "type" : "article-journal", "volume" : "94" }, "uris" : [ "http://www.mendeley.com/documents/?uuid=2de4031f-b325-4531-a8d5-f24cbafa96ac" ] } ], "mendeley" : { "formattedCitation" : "(Cuevas, 2011; Mousseaux et al., 1998; Papavizas, 1985)", "manualFormatting" : "(Papavizas, 1985; Mousseaux et al., 1998; Cuevas, 2011)", "plainTextFormattedCitation" : "(Cuevas, 2011; Mousseaux et al., 1998; Papavizas, 1985)", "previouslyFormattedCitation" : "(Cuevas, 2011; Mousseaux et al., 1998; Papavizas, 1985)" }, "properties" : { "noteIndex" : 0 }, "schema" : "https://github.com/citation-style-language/schema/raw/master/csl-citation.json" }</w:instrText>
      </w:r>
      <w:r w:rsidR="00687E33" w:rsidRPr="00AC4AD8">
        <w:rPr>
          <w:rFonts w:ascii="Times New Roman" w:hAnsi="Times New Roman"/>
        </w:rPr>
        <w:fldChar w:fldCharType="separate"/>
      </w:r>
      <w:r w:rsidR="00687E33" w:rsidRPr="00AC4AD8">
        <w:rPr>
          <w:rFonts w:ascii="Times New Roman" w:hAnsi="Times New Roman"/>
          <w:noProof/>
        </w:rPr>
        <w:t>(</w:t>
      </w:r>
      <w:r w:rsidR="00196679" w:rsidRPr="00AC4AD8">
        <w:rPr>
          <w:rFonts w:ascii="Times New Roman" w:hAnsi="Times New Roman"/>
          <w:noProof/>
        </w:rPr>
        <w:t xml:space="preserve">Papavizas, 1985; Mousseaux et al., 1998; </w:t>
      </w:r>
      <w:r w:rsidR="00687E33" w:rsidRPr="00AC4AD8">
        <w:rPr>
          <w:rFonts w:ascii="Times New Roman" w:hAnsi="Times New Roman"/>
          <w:noProof/>
        </w:rPr>
        <w:t>Cuevas, 2011)</w:t>
      </w:r>
      <w:r w:rsidR="00687E33" w:rsidRPr="00AC4AD8">
        <w:rPr>
          <w:rFonts w:ascii="Times New Roman" w:hAnsi="Times New Roman"/>
        </w:rPr>
        <w:fldChar w:fldCharType="end"/>
      </w:r>
      <w:r w:rsidR="00CD2FF9" w:rsidRPr="00AC4AD8">
        <w:rPr>
          <w:rFonts w:ascii="Times New Roman" w:hAnsi="Times New Roman"/>
        </w:rPr>
        <w:t xml:space="preserve"> and abiotic stress </w:t>
      </w:r>
      <w:r w:rsidR="0002699F"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"10.1094/PHYTO-03-10-0091", "author" : [ { "dropping-particle" : "", "family" : "Mastouri", "given" : "F", "non-dropping-particle" : "", "parse-names" : false, "suffix" : "" }, { "dropping-particle" : "", "family" : "Bj\u00f6rkman", "given" : "T", "non-dropping-particle" : "", "parse-names" : false, "suffix" : "" }, { "dropping-particle" : "", "family" : "Harman", "given" : "GE", "non-dropping-particle" : "", "parse-names" : false, "suffix" : "" } ], "container-title" : "Phytopathology", "id" : "ITEM-1", "issued" : { "date-parts" : [ [ "2010" ] ] }, "page" : "1213-1221", "title" : "Seed treatment with Trichoderma harzianum alleviates biotic, abiotic, and physiological stresses in germinating seeds and seedlings", "type" : "article-journal", "volume" : "100" }, "uris" : [ "http://www.mendeley.com/documents/?uuid=2ef40a44-5994-4d3f-b0ff-6fa70d605758" ] } ], "mendeley" : { "formattedCitation" : "(Mastouri et al., 2010)", "plainTextFormattedCitation" : "(Mastouri et al., 2010)", "previouslyFormattedCitation" : "(Mastouri et al., 2010)" }, "properties" : { "noteIndex" : 0 }, "schema" : "https://github.com/citation-style-language/schema/raw/master/csl-citation.json" }</w:instrText>
      </w:r>
      <w:r w:rsidR="0002699F" w:rsidRPr="00AC4AD8">
        <w:rPr>
          <w:rFonts w:ascii="Times New Roman" w:hAnsi="Times New Roman"/>
        </w:rPr>
        <w:fldChar w:fldCharType="separate"/>
      </w:r>
      <w:r w:rsidR="0002699F" w:rsidRPr="00AC4AD8">
        <w:rPr>
          <w:rFonts w:ascii="Times New Roman" w:hAnsi="Times New Roman"/>
          <w:noProof/>
        </w:rPr>
        <w:t>(Mastouri et al., 2010)</w:t>
      </w:r>
      <w:r w:rsidR="0002699F" w:rsidRPr="00AC4AD8">
        <w:rPr>
          <w:rFonts w:ascii="Times New Roman" w:hAnsi="Times New Roman"/>
        </w:rPr>
        <w:fldChar w:fldCharType="end"/>
      </w:r>
      <w:r w:rsidR="00CD2FF9" w:rsidRPr="00AC4AD8">
        <w:rPr>
          <w:rFonts w:ascii="Times New Roman" w:hAnsi="Times New Roman"/>
        </w:rPr>
        <w:t xml:space="preserve">, enabling enhanced growth. However, this has not been studied extensively in bryophyte species. In terms of the reduction in bryophyte growth in </w:t>
      </w:r>
      <w:r w:rsidR="00F468C3" w:rsidRPr="00AC4AD8">
        <w:rPr>
          <w:rFonts w:ascii="Times New Roman" w:hAnsi="Times New Roman"/>
          <w:i/>
        </w:rPr>
        <w:t>Trichoderma</w:t>
      </w:r>
      <w:r w:rsidR="00CD2FF9" w:rsidRPr="00AC4AD8">
        <w:rPr>
          <w:rFonts w:ascii="Times New Roman" w:hAnsi="Times New Roman"/>
          <w:i/>
        </w:rPr>
        <w:t xml:space="preserve"> </w:t>
      </w:r>
      <w:r w:rsidR="00CD2FF9" w:rsidRPr="00AC4AD8">
        <w:rPr>
          <w:rFonts w:ascii="Times New Roman" w:hAnsi="Times New Roman"/>
        </w:rPr>
        <w:t>treated plots</w:t>
      </w:r>
      <w:r w:rsidR="003701BE" w:rsidRPr="00AC4AD8">
        <w:rPr>
          <w:rFonts w:ascii="Times New Roman" w:hAnsi="Times New Roman"/>
        </w:rPr>
        <w:t xml:space="preserve"> in spring and summer, we do not suggest</w:t>
      </w:r>
      <w:r w:rsidR="00E50AFA" w:rsidRPr="00AC4AD8">
        <w:rPr>
          <w:rFonts w:ascii="Times New Roman" w:hAnsi="Times New Roman"/>
        </w:rPr>
        <w:t xml:space="preserve"> that there is a direct effect of</w:t>
      </w:r>
      <w:r w:rsidR="003701BE" w:rsidRPr="00AC4AD8">
        <w:rPr>
          <w:rFonts w:ascii="Times New Roman" w:hAnsi="Times New Roman"/>
        </w:rPr>
        <w:t xml:space="preserve"> the </w:t>
      </w:r>
      <w:r w:rsidR="00F468C3" w:rsidRPr="00AC4AD8">
        <w:rPr>
          <w:rFonts w:ascii="Times New Roman" w:hAnsi="Times New Roman"/>
          <w:i/>
        </w:rPr>
        <w:t>Trichoderma</w:t>
      </w:r>
      <w:r w:rsidR="000225A0" w:rsidRPr="00AC4AD8">
        <w:rPr>
          <w:rFonts w:ascii="Times New Roman" w:hAnsi="Times New Roman"/>
        </w:rPr>
        <w:t>.</w:t>
      </w:r>
      <w:r w:rsidR="003701BE" w:rsidRPr="00AC4AD8">
        <w:rPr>
          <w:rFonts w:ascii="Times New Roman" w:hAnsi="Times New Roman"/>
        </w:rPr>
        <w:t xml:space="preserve"> Whilst </w:t>
      </w:r>
      <w:r w:rsidR="00F468C3" w:rsidRPr="00AC4AD8">
        <w:rPr>
          <w:rFonts w:ascii="Times New Roman" w:hAnsi="Times New Roman"/>
          <w:i/>
        </w:rPr>
        <w:t>Trichoderma</w:t>
      </w:r>
      <w:r w:rsidR="003701BE" w:rsidRPr="00AC4AD8">
        <w:rPr>
          <w:rFonts w:ascii="Times New Roman" w:hAnsi="Times New Roman"/>
          <w:i/>
        </w:rPr>
        <w:t xml:space="preserve"> </w:t>
      </w:r>
      <w:r w:rsidR="003C598E" w:rsidRPr="00AC4AD8">
        <w:rPr>
          <w:rFonts w:ascii="Times New Roman" w:hAnsi="Times New Roman"/>
        </w:rPr>
        <w:t xml:space="preserve">are </w:t>
      </w:r>
      <w:r w:rsidR="00895FB0" w:rsidRPr="00AC4AD8">
        <w:rPr>
          <w:rFonts w:ascii="Times New Roman" w:hAnsi="Times New Roman"/>
        </w:rPr>
        <w:t xml:space="preserve">commonly </w:t>
      </w:r>
      <w:r w:rsidR="003C598E" w:rsidRPr="00AC4AD8">
        <w:rPr>
          <w:rFonts w:ascii="Times New Roman" w:hAnsi="Times New Roman"/>
        </w:rPr>
        <w:t xml:space="preserve">found within </w:t>
      </w:r>
      <w:r w:rsidR="003701BE" w:rsidRPr="00AC4AD8">
        <w:rPr>
          <w:rFonts w:ascii="Times New Roman" w:hAnsi="Times New Roman"/>
        </w:rPr>
        <w:t xml:space="preserve">decaying or senescent </w:t>
      </w:r>
      <w:r w:rsidR="003C598E" w:rsidRPr="00AC4AD8">
        <w:rPr>
          <w:rFonts w:ascii="Times New Roman" w:hAnsi="Times New Roman"/>
        </w:rPr>
        <w:t xml:space="preserve">bryophyte tissues in natural </w:t>
      </w:r>
      <w:r w:rsidR="00F24958" w:rsidRPr="00AC4AD8">
        <w:rPr>
          <w:rFonts w:ascii="Times New Roman" w:hAnsi="Times New Roman"/>
        </w:rPr>
        <w:t>environments</w:t>
      </w:r>
      <w:r w:rsidR="003C598E" w:rsidRPr="00AC4AD8">
        <w:rPr>
          <w:rFonts w:ascii="Times New Roman" w:hAnsi="Times New Roman"/>
        </w:rPr>
        <w:t xml:space="preserve"> </w:t>
      </w:r>
      <w:r w:rsidR="008E690D" w:rsidRPr="00AC4AD8">
        <w:rPr>
          <w:rFonts w:ascii="Times New Roman" w:hAnsi="Times New Roman"/>
        </w:rPr>
        <w:fldChar w:fldCharType="begin" w:fldLock="1"/>
      </w:r>
      <w:r w:rsidR="004B1897" w:rsidRPr="00AC4AD8">
        <w:rPr>
          <w:rFonts w:ascii="Times New Roman" w:hAnsi="Times New Roman"/>
        </w:rPr>
        <w:instrText>ADDIN CSL_CITATION { "citationItems" : [ { "id" : "ITEM-1", "itemData" : { "author" : [ { "dropping-particle" : "", "family" : "Scheirer", "given" : "Daniel C.", "non-dropping-particle" : "", "parse-names" : false, "suffix" : "" }, { "dropping-particle" : "", "family" : "Dolan", "given" : "Heidi A.", "non-dropping-particle" : "", "parse-names" : false, "suffix" : "" } ], "container-title" : "American Journal of Botany", "id" : "ITEM-1", "issued" : { "date-parts" : [ [ "1983" ] ] }, "page" : "712-718", "title" : "Bryophyte leaf epiflora: An SEM and TEM study of Polytrichum commune Hedw.", "type" : "article-journal", "volume" : "70" }, "uris" : [ "http://www.mendeley.com/documents/?uuid=034af5e2-f5a6-490f-a929-fe238d074934" ] }, { "id" : "ITEM-2", "itemData" : { "DOI" : "doi:10.1016/j.polar.2011.12.001", "author" : [ { "dropping-particle" : "", "family" : "Osono", "given" : "Takashi", "non-dropping-particle" : "", "parse-names" : false, "suffix" : "" }, { "dropping-particle" : "", "family" : "Ueno", "given" : "Takeshi", "non-dropping-particle" : "", "parse-names" : false, "suffix" : "" }, { "dropping-particle" : "", "family" : "Uchida", "given" : "Masaki", "non-dropping-particle" : "", "parse-names" : false, "suffix" : "" }, { "dropping-particle" : "", "family" : "Kanda", "given" : "Hiroshi", "non-dropping-particle" : "", "parse-names" : false, "suffix" : "" } ], "container-title" : "Polar Science", "id" : "ITEM-2", "issued" : { "date-parts" : [ [ "2012" ] ] }, "page" : "121-131", "title" : "Abundance and diversity of fungi in relation to chemical changes in arctic moss profiles", "type" : "article-journal", "volume" : "6" }, "uris" : [ "http://www.mendeley.com/documents/?uuid=8bf6ad82-e374-4cb8-9831-0af21e5cc010" ] } ], "mendeley" : { "formattedCitation" : "(Osono et al., 2012; Scheirer and Dolan, 1983)", "plainTextFormattedCitation" : "(Osono et al., 2012; Scheirer and Dolan, 1983)", "previouslyFormattedCitation" : "(Osono et al., 2012; Scheirer and Dolan, 1983)" }, "properties" : { "noteIndex" : 0 }, "schema" : "https://github.com/citation-style-language/schema/raw/master/csl-citation.json" }</w:instrText>
      </w:r>
      <w:r w:rsidR="008E690D" w:rsidRPr="00AC4AD8">
        <w:rPr>
          <w:rFonts w:ascii="Times New Roman" w:hAnsi="Times New Roman"/>
        </w:rPr>
        <w:fldChar w:fldCharType="separate"/>
      </w:r>
      <w:r w:rsidR="008E690D" w:rsidRPr="00AC4AD8">
        <w:rPr>
          <w:rFonts w:ascii="Times New Roman" w:hAnsi="Times New Roman"/>
          <w:noProof/>
        </w:rPr>
        <w:t>(Osono et al., 2012; Scheirer and Dolan, 1983)</w:t>
      </w:r>
      <w:r w:rsidR="008E690D" w:rsidRPr="00AC4AD8">
        <w:rPr>
          <w:rFonts w:ascii="Times New Roman" w:hAnsi="Times New Roman"/>
        </w:rPr>
        <w:fldChar w:fldCharType="end"/>
      </w:r>
      <w:r w:rsidR="00850797" w:rsidRPr="00AC4AD8">
        <w:rPr>
          <w:rFonts w:ascii="Times New Roman" w:hAnsi="Times New Roman"/>
        </w:rPr>
        <w:t xml:space="preserve"> it has rarely been reported that </w:t>
      </w:r>
      <w:r w:rsidR="00F468C3" w:rsidRPr="00AC4AD8">
        <w:rPr>
          <w:rFonts w:ascii="Times New Roman" w:hAnsi="Times New Roman"/>
          <w:i/>
        </w:rPr>
        <w:t>Trichoderma</w:t>
      </w:r>
      <w:r w:rsidR="00850797" w:rsidRPr="00AC4AD8">
        <w:rPr>
          <w:rFonts w:ascii="Times New Roman" w:hAnsi="Times New Roman"/>
          <w:i/>
        </w:rPr>
        <w:t xml:space="preserve"> </w:t>
      </w:r>
      <w:r w:rsidR="00850797" w:rsidRPr="00AC4AD8">
        <w:rPr>
          <w:rFonts w:ascii="Times New Roman" w:hAnsi="Times New Roman"/>
        </w:rPr>
        <w:t>cause specific harm to bryophyte species. A</w:t>
      </w:r>
      <w:r w:rsidR="003C598E" w:rsidRPr="00AC4AD8">
        <w:rPr>
          <w:rFonts w:ascii="Times New Roman" w:hAnsi="Times New Roman"/>
        </w:rPr>
        <w:t>s saprotrophic fungi,</w:t>
      </w:r>
      <w:r w:rsidR="008A20F0" w:rsidRPr="00AC4AD8">
        <w:rPr>
          <w:rFonts w:ascii="Times New Roman" w:hAnsi="Times New Roman"/>
        </w:rPr>
        <w:t xml:space="preserve"> they</w:t>
      </w:r>
      <w:r w:rsidR="003C598E" w:rsidRPr="00AC4AD8">
        <w:rPr>
          <w:rFonts w:ascii="Times New Roman" w:hAnsi="Times New Roman"/>
        </w:rPr>
        <w:t xml:space="preserve"> are thought to decompose bryophyte tissues at later decomposition stages than other fungi</w:t>
      </w:r>
      <w:r w:rsidR="00F24958" w:rsidRPr="00AC4AD8">
        <w:rPr>
          <w:rFonts w:ascii="Times New Roman" w:hAnsi="Times New Roman"/>
        </w:rPr>
        <w:t xml:space="preserve"> </w:t>
      </w:r>
      <w:r w:rsidR="00F24958"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"10.1016/j.scitotenv.2011.05.009", "ISSN" : "1879-1026", "PMID" : "21624641", "abstract" : "Drought and heat tolerance of the Sunagoke moss (Racomitrium japonicum) and the low thermal conductivity of the dry moss tissue offer novel greening and insulation possibilities of roofs and walls to mitigate the heat island phenomenon in urban environments. However, damage may appear in the moss panels under humid conditions in Japan. In this study we characterized fungi associated with the damaged areas of the Sunagoke moss panels. Fungi were identified by morphology and internal transcribed spacer (ITS) sequence analysis and tested for pathogenicity on R. japonicum (Grimmiaceae) and an unrelated moss species (Physcomitrella patens; Funariaceae) under controlled conditions. Alternaria alternata, Fusarium avenaceum and Fusarium oxysporum caused severe necrosis and death, whereas Cladosporium oxysporum and Epicoccum nigrum caused milder discoloration or chlorosis in both moss species. The fungi pathogenic on moss were closely related to fungal pathogens described from cultivated vascular plants. Ammonium increased severity of fungal diseases in moss. This study demonstrated that fungi can cause economically significant diseases in cultivated moss and hamper commercial use of the moss panels unless appropriate control methods are developed. Use of a single moss clone to cover large surfaces and the air pollutants such as ammonium may increase the risk for fungal disease problems.", "author" : [ { "dropping-particle" : "", "family" : "Akita", "given" : "Motomu", "non-dropping-particle" : "", "parse-names" : false, "suffix" : "" }, { "dropping-particle" : "", "family" : "Lehtonen", "given" : "Mikko T", "non-dropping-particle" : "", "parse-names" : false, "suffix" : "" }, { "dropping-particle" : "", "family" : "Koponen", "given" : "Hilkka", "non-dropping-particle" : "", "parse-names" : false, "suffix" : "" }, { "dropping-particle" : "", "family" : "Marttinen", "given" : "Eeva M", "non-dropping-particle" : "", "parse-names" : false, "suffix" : "" }, { "dropping-particle" : "", "family" : "Valkonen", "given" : "Jari P T", "non-dropping-particle" : "", "parse-names" : false, "suffix" : "" } ], "container-title" : "The Science of the total environment", "id" : "ITEM-1", "issue" : "17", "issued" : { "date-parts" : [ [ "2011", "8", "1" ] ] }, "page" : "3166-73", "title" : "Infection of the Sunagoke moss panels with fungal pathogens hampers sustainable greening in urban environments.", "type" : "article-journal", "volume" : "409" }, "uris" : [ "http://www.mendeley.com/documents/?uuid=2dac2f42-9a7d-4035-b630-54646cc06c36" ] }, { "id" : "ITEM-2", "itemData" : { "DOI" : "10.1023/A:1022845604385", "ISSN" : "1573-5036", "author" : [ { "dropping-particle" : "", "family" : "Thormann", "given" : "Markus N.", "non-dropping-particle" : "", "parse-names" : false, "suffix" : "" }, { "dropping-particle" : "", "family" : "Currah", "given" : "Randolph S.", "non-dropping-particle" : "", "parse-names" : false, "suffix" : "" }, { "dropping-particle" : "", "family" : "Bayley", "given" : "Suzanne E.", "non-dropping-particle" : "", "parse-names" : false, "suffix" : "" } ], "container-title" : "Plant and Soil", "id" : "ITEM-2", "issue" : "2", "issued" : { "date-parts" : [ [ "2003" ] ] }, "language" : "en", "page" : "323-333", "publisher" : "Kluwer Academic Publishers", "title" : "Succession of microfungal assemblages in decomposing peatland plants", "type" : "article-journal", "volume" : "250" }, "uris" : [ "http://www.mendeley.com/documents/?uuid=73f2ba4a-6cde-4e1e-949f-d187b9eb5b75" ] } ], "mendeley" : { "formattedCitation" : "(Akita et al., 2011; Thormann et al., 2003)", "manualFormatting" : "(Thormann et al., 2003; Akita et al., 2011)", "plainTextFormattedCitation" : "(Akita et al., 2011; Thormann et al., 2003)", "previouslyFormattedCitation" : "(Akita et al., 2011; Thormann et al., 2003)" }, "properties" : { "noteIndex" : 0 }, "schema" : "https://github.com/citation-style-language/schema/raw/master/csl-citation.json" }</w:instrText>
      </w:r>
      <w:r w:rsidR="00F24958" w:rsidRPr="00AC4AD8">
        <w:rPr>
          <w:rFonts w:ascii="Times New Roman" w:hAnsi="Times New Roman"/>
        </w:rPr>
        <w:fldChar w:fldCharType="separate"/>
      </w:r>
      <w:r w:rsidR="0002699F" w:rsidRPr="00AC4AD8">
        <w:rPr>
          <w:rFonts w:ascii="Times New Roman" w:hAnsi="Times New Roman"/>
          <w:noProof/>
        </w:rPr>
        <w:t>(</w:t>
      </w:r>
      <w:r w:rsidR="00196679" w:rsidRPr="00AC4AD8">
        <w:rPr>
          <w:rFonts w:ascii="Times New Roman" w:hAnsi="Times New Roman"/>
          <w:noProof/>
        </w:rPr>
        <w:t xml:space="preserve">Thormann et al., 2003; </w:t>
      </w:r>
      <w:r w:rsidR="0002699F" w:rsidRPr="00AC4AD8">
        <w:rPr>
          <w:rFonts w:ascii="Times New Roman" w:hAnsi="Times New Roman"/>
          <w:noProof/>
        </w:rPr>
        <w:t>Akita et al., 2011)</w:t>
      </w:r>
      <w:r w:rsidR="00F24958" w:rsidRPr="00AC4AD8">
        <w:rPr>
          <w:rFonts w:ascii="Times New Roman" w:hAnsi="Times New Roman"/>
        </w:rPr>
        <w:fldChar w:fldCharType="end"/>
      </w:r>
      <w:r w:rsidR="003701BE" w:rsidRPr="00AC4AD8">
        <w:rPr>
          <w:rFonts w:ascii="Times New Roman" w:hAnsi="Times New Roman"/>
        </w:rPr>
        <w:t xml:space="preserve">. </w:t>
      </w:r>
      <w:r w:rsidR="008A20F0"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"10.1016/j.scitotenv.2011.05.009", "ISSN" : "1879-1026", "PMID" : "21624641", "abstract" : "Drought and heat tolerance of the Sunagoke moss (Racomitrium japonicum) and the low thermal conductivity of the dry moss tissue offer novel greening and insulation possibilities of roofs and walls to mitigate the heat island phenomenon in urban environments. However, damage may appear in the moss panels under humid conditions in Japan. In this study we characterized fungi associated with the damaged areas of the Sunagoke moss panels. Fungi were identified by morphology and internal transcribed spacer (ITS) sequence analysis and tested for pathogenicity on R. japonicum (Grimmiaceae) and an unrelated moss species (Physcomitrella patens; Funariaceae) under controlled conditions. Alternaria alternata, Fusarium avenaceum and Fusarium oxysporum caused severe necrosis and death, whereas Cladosporium oxysporum and Epicoccum nigrum caused milder discoloration or chlorosis in both moss species. The fungi pathogenic on moss were closely related to fungal pathogens described from cultivated vascular plants. Ammonium increased severity of fungal diseases in moss. This study demonstrated that fungi can cause economically significant diseases in cultivated moss and hamper commercial use of the moss panels unless appropriate control methods are developed. Use of a single moss clone to cover large surfaces and the air pollutants such as ammonium may increase the risk for fungal disease problems.", "author" : [ { "dropping-particle" : "", "family" : "Akita", "given" : "Motomu", "non-dropping-particle" : "", "parse-names" : false, "suffix" : "" }, { "dropping-particle" : "", "family" : "Lehtonen", "given" : "Mikko T", "non-dropping-particle" : "", "parse-names" : false, "suffix" : "" }, { "dropping-particle" : "", "family" : "Koponen", "given" : "Hilkka", "non-dropping-particle" : "", "parse-names" : false, "suffix" : "" }, { "dropping-particle" : "", "family" : "Marttinen", "given" : "Eeva M", "non-dropping-particle" : "", "parse-names" : false, "suffix" : "" }, { "dropping-particle" : "", "family" : "Valkonen", "given" : "Jari P T", "non-dropping-particle" : "", "parse-names" : false, "suffix" : "" } ], "container-title" : "The Science of the total environment", "id" : "ITEM-1", "issue" : "17", "issued" : { "date-parts" : [ [ "2011", "8", "1" ] ] }, "page" : "3166-73", "title" : "Infection of the Sunagoke moss panels with fungal pathogens hampers sustainable greening in urban environments.", "type" : "article-journal", "volume" : "409" }, "uris" : [ "http://www.mendeley.com/documents/?uuid=2dac2f42-9a7d-4035-b630-54646cc06c36" ] } ], "mendeley" : { "formattedCitation" : "(Akita et al., 2011)", "manualFormatting" : "Akita et al. (2011)", "plainTextFormattedCitation" : "(Akita et al., 2011)", "previouslyFormattedCitation" : "(Akita et al., 2011)" }, "properties" : { "noteIndex" : 0 }, "schema" : "https://github.com/citation-style-language/schema/raw/master/csl-citation.json" }</w:instrText>
      </w:r>
      <w:r w:rsidR="008A20F0" w:rsidRPr="00AC4AD8">
        <w:rPr>
          <w:rFonts w:ascii="Times New Roman" w:hAnsi="Times New Roman"/>
        </w:rPr>
        <w:fldChar w:fldCharType="separate"/>
      </w:r>
      <w:r w:rsidR="008A20F0" w:rsidRPr="00AC4AD8">
        <w:rPr>
          <w:rFonts w:ascii="Times New Roman" w:hAnsi="Times New Roman"/>
          <w:noProof/>
        </w:rPr>
        <w:t>Akita et al. (2011)</w:t>
      </w:r>
      <w:r w:rsidR="008A20F0" w:rsidRPr="00AC4AD8">
        <w:rPr>
          <w:rFonts w:ascii="Times New Roman" w:hAnsi="Times New Roman"/>
        </w:rPr>
        <w:fldChar w:fldCharType="end"/>
      </w:r>
      <w:r w:rsidR="008A20F0" w:rsidRPr="00AC4AD8">
        <w:rPr>
          <w:rFonts w:ascii="Times New Roman" w:hAnsi="Times New Roman"/>
        </w:rPr>
        <w:t xml:space="preserve">, </w:t>
      </w:r>
      <w:r w:rsidR="003701BE" w:rsidRPr="00AC4AD8">
        <w:rPr>
          <w:rFonts w:ascii="Times New Roman" w:hAnsi="Times New Roman"/>
        </w:rPr>
        <w:t>suggested, after extensive laboratory testing,</w:t>
      </w:r>
      <w:r w:rsidR="00F24958" w:rsidRPr="00AC4AD8">
        <w:rPr>
          <w:rFonts w:ascii="Times New Roman" w:hAnsi="Times New Roman"/>
        </w:rPr>
        <w:t xml:space="preserve"> that </w:t>
      </w:r>
      <w:r w:rsidR="00850797" w:rsidRPr="00AC4AD8">
        <w:rPr>
          <w:rFonts w:ascii="Times New Roman" w:hAnsi="Times New Roman"/>
        </w:rPr>
        <w:t>it is</w:t>
      </w:r>
      <w:r w:rsidR="00F24958" w:rsidRPr="00AC4AD8">
        <w:rPr>
          <w:rFonts w:ascii="Times New Roman" w:hAnsi="Times New Roman"/>
        </w:rPr>
        <w:t xml:space="preserve"> likely that </w:t>
      </w:r>
      <w:r w:rsidR="00F468C3" w:rsidRPr="00AC4AD8">
        <w:rPr>
          <w:rFonts w:ascii="Times New Roman" w:hAnsi="Times New Roman"/>
          <w:i/>
        </w:rPr>
        <w:t>Trichoderma</w:t>
      </w:r>
      <w:r w:rsidR="00F24958" w:rsidRPr="00AC4AD8">
        <w:rPr>
          <w:rFonts w:ascii="Times New Roman" w:hAnsi="Times New Roman"/>
        </w:rPr>
        <w:t xml:space="preserve"> only damage bryophyte tissues once some form of decomposition has already occurre</w:t>
      </w:r>
      <w:r w:rsidR="00A60F07" w:rsidRPr="00AC4AD8">
        <w:rPr>
          <w:rFonts w:ascii="Times New Roman" w:hAnsi="Times New Roman"/>
        </w:rPr>
        <w:t>d</w:t>
      </w:r>
      <w:r w:rsidR="00F24958" w:rsidRPr="00AC4AD8">
        <w:rPr>
          <w:rFonts w:ascii="Times New Roman" w:hAnsi="Times New Roman"/>
        </w:rPr>
        <w:t xml:space="preserve">. Thus, in the current study, it is likely that another factor, such as </w:t>
      </w:r>
      <w:r w:rsidR="003C2F76" w:rsidRPr="00AC4AD8">
        <w:rPr>
          <w:rFonts w:ascii="Times New Roman" w:hAnsi="Times New Roman"/>
        </w:rPr>
        <w:t xml:space="preserve">infection by </w:t>
      </w:r>
      <w:r w:rsidR="00F24958" w:rsidRPr="00AC4AD8">
        <w:rPr>
          <w:rFonts w:ascii="Times New Roman" w:hAnsi="Times New Roman"/>
        </w:rPr>
        <w:t>a more virulent fungal pathogen, grazing from herbivores or abiotic stress</w:t>
      </w:r>
      <w:r w:rsidR="003C2F76" w:rsidRPr="00AC4AD8">
        <w:rPr>
          <w:rFonts w:ascii="Times New Roman" w:hAnsi="Times New Roman"/>
        </w:rPr>
        <w:t>,</w:t>
      </w:r>
      <w:r w:rsidR="00F24958" w:rsidRPr="00AC4AD8">
        <w:rPr>
          <w:rFonts w:ascii="Times New Roman" w:hAnsi="Times New Roman"/>
        </w:rPr>
        <w:t xml:space="preserve"> </w:t>
      </w:r>
      <w:r w:rsidR="003C2F76" w:rsidRPr="00AC4AD8">
        <w:rPr>
          <w:rFonts w:ascii="Times New Roman" w:hAnsi="Times New Roman"/>
        </w:rPr>
        <w:t>caused</w:t>
      </w:r>
      <w:r w:rsidR="00F24958" w:rsidRPr="00AC4AD8">
        <w:rPr>
          <w:rFonts w:ascii="Times New Roman" w:hAnsi="Times New Roman"/>
        </w:rPr>
        <w:t xml:space="preserve"> </w:t>
      </w:r>
      <w:r w:rsidR="003C2F76" w:rsidRPr="00AC4AD8">
        <w:rPr>
          <w:rFonts w:ascii="Times New Roman" w:hAnsi="Times New Roman"/>
        </w:rPr>
        <w:t>initial</w:t>
      </w:r>
      <w:r w:rsidR="00F24958" w:rsidRPr="00AC4AD8">
        <w:rPr>
          <w:rFonts w:ascii="Times New Roman" w:hAnsi="Times New Roman"/>
        </w:rPr>
        <w:t xml:space="preserve"> senescence</w:t>
      </w:r>
      <w:r w:rsidR="003701BE" w:rsidRPr="00AC4AD8">
        <w:rPr>
          <w:rFonts w:ascii="Times New Roman" w:hAnsi="Times New Roman"/>
        </w:rPr>
        <w:t xml:space="preserve"> in bryophyte tissues. Th</w:t>
      </w:r>
      <w:r w:rsidR="003C598E" w:rsidRPr="00AC4AD8">
        <w:rPr>
          <w:rFonts w:ascii="Times New Roman" w:hAnsi="Times New Roman"/>
        </w:rPr>
        <w:t xml:space="preserve">us, the application of </w:t>
      </w:r>
      <w:r w:rsidR="00F468C3" w:rsidRPr="00AC4AD8">
        <w:rPr>
          <w:rFonts w:ascii="Times New Roman" w:hAnsi="Times New Roman"/>
          <w:i/>
        </w:rPr>
        <w:t>Trichoderma</w:t>
      </w:r>
      <w:r w:rsidR="003C598E" w:rsidRPr="00AC4AD8">
        <w:rPr>
          <w:rFonts w:ascii="Times New Roman" w:hAnsi="Times New Roman"/>
        </w:rPr>
        <w:t xml:space="preserve"> to </w:t>
      </w:r>
      <w:r w:rsidR="003C2F76" w:rsidRPr="00AC4AD8">
        <w:rPr>
          <w:rFonts w:ascii="Times New Roman" w:hAnsi="Times New Roman"/>
        </w:rPr>
        <w:t>green roofs</w:t>
      </w:r>
      <w:r w:rsidR="00850797" w:rsidRPr="00AC4AD8">
        <w:rPr>
          <w:rFonts w:ascii="Times New Roman" w:hAnsi="Times New Roman"/>
        </w:rPr>
        <w:t>,</w:t>
      </w:r>
      <w:r w:rsidR="003C2F76" w:rsidRPr="00AC4AD8">
        <w:rPr>
          <w:rFonts w:ascii="Times New Roman" w:hAnsi="Times New Roman"/>
        </w:rPr>
        <w:t xml:space="preserve"> where bryophyte communities are </w:t>
      </w:r>
      <w:r w:rsidR="003701BE" w:rsidRPr="00AC4AD8">
        <w:rPr>
          <w:rFonts w:ascii="Times New Roman" w:hAnsi="Times New Roman"/>
        </w:rPr>
        <w:t xml:space="preserve">already </w:t>
      </w:r>
      <w:r w:rsidR="003C2F76" w:rsidRPr="00AC4AD8">
        <w:rPr>
          <w:rFonts w:ascii="Times New Roman" w:hAnsi="Times New Roman"/>
        </w:rPr>
        <w:t>stressed, may exacerbate the</w:t>
      </w:r>
      <w:r w:rsidR="003701BE" w:rsidRPr="00AC4AD8">
        <w:rPr>
          <w:rFonts w:ascii="Times New Roman" w:hAnsi="Times New Roman"/>
        </w:rPr>
        <w:t>se</w:t>
      </w:r>
      <w:r w:rsidR="003C2F76" w:rsidRPr="00AC4AD8">
        <w:rPr>
          <w:rFonts w:ascii="Times New Roman" w:hAnsi="Times New Roman"/>
        </w:rPr>
        <w:t xml:space="preserve"> effects</w:t>
      </w:r>
      <w:r w:rsidR="00850797" w:rsidRPr="00AC4AD8">
        <w:rPr>
          <w:rFonts w:ascii="Times New Roman" w:hAnsi="Times New Roman"/>
        </w:rPr>
        <w:t>. In terms of nutrient cycling</w:t>
      </w:r>
      <w:r w:rsidR="003C2F76" w:rsidRPr="00AC4AD8">
        <w:rPr>
          <w:rFonts w:ascii="Times New Roman" w:hAnsi="Times New Roman"/>
        </w:rPr>
        <w:t>,</w:t>
      </w:r>
      <w:r w:rsidR="00850797" w:rsidRPr="00AC4AD8">
        <w:rPr>
          <w:rFonts w:ascii="Times New Roman" w:hAnsi="Times New Roman"/>
        </w:rPr>
        <w:t xml:space="preserve"> </w:t>
      </w:r>
      <w:r w:rsidR="00F468C3" w:rsidRPr="00AC4AD8">
        <w:rPr>
          <w:rFonts w:ascii="Times New Roman" w:hAnsi="Times New Roman"/>
          <w:i/>
        </w:rPr>
        <w:t>Trichoderma</w:t>
      </w:r>
      <w:r w:rsidR="00850797" w:rsidRPr="00AC4AD8">
        <w:rPr>
          <w:rFonts w:ascii="Times New Roman" w:hAnsi="Times New Roman"/>
        </w:rPr>
        <w:t xml:space="preserve"> are clearly performing as successful decomposers in this environment</w:t>
      </w:r>
      <w:r w:rsidR="00E50AFA" w:rsidRPr="00AC4AD8">
        <w:rPr>
          <w:rFonts w:ascii="Times New Roman" w:hAnsi="Times New Roman"/>
        </w:rPr>
        <w:t xml:space="preserve"> when added as an inoculant, potentially increasing nutrient availability</w:t>
      </w:r>
      <w:r w:rsidR="00705119" w:rsidRPr="00AC4AD8">
        <w:rPr>
          <w:rFonts w:ascii="Times New Roman" w:hAnsi="Times New Roman"/>
        </w:rPr>
        <w:t xml:space="preserve"> for other species</w:t>
      </w:r>
      <w:r w:rsidR="00850797" w:rsidRPr="00AC4AD8">
        <w:rPr>
          <w:rFonts w:ascii="Times New Roman" w:hAnsi="Times New Roman"/>
        </w:rPr>
        <w:t>.</w:t>
      </w:r>
    </w:p>
    <w:p w14:paraId="683E3A07" w14:textId="2E9027DC" w:rsidR="00316903" w:rsidRPr="00AC4AD8" w:rsidRDefault="00316903" w:rsidP="00F03F20">
      <w:pPr>
        <w:spacing w:after="120" w:line="360" w:lineRule="auto"/>
        <w:ind w:firstLine="340"/>
        <w:jc w:val="both"/>
        <w:rPr>
          <w:rFonts w:ascii="Times New Roman" w:hAnsi="Times New Roman"/>
        </w:rPr>
      </w:pPr>
      <w:r w:rsidRPr="00AC4AD8">
        <w:rPr>
          <w:rFonts w:ascii="Times New Roman" w:hAnsi="Times New Roman"/>
        </w:rPr>
        <w:t xml:space="preserve">The addition of </w:t>
      </w:r>
      <w:r w:rsidR="00F468C3" w:rsidRPr="00AC4AD8">
        <w:rPr>
          <w:rFonts w:ascii="Times New Roman" w:hAnsi="Times New Roman"/>
          <w:i/>
        </w:rPr>
        <w:t>Trichoderma</w:t>
      </w:r>
      <w:r w:rsidR="003659DD" w:rsidRPr="00AC4AD8">
        <w:rPr>
          <w:rFonts w:ascii="Times New Roman" w:hAnsi="Times New Roman"/>
          <w:i/>
        </w:rPr>
        <w:t xml:space="preserve"> </w:t>
      </w:r>
      <w:r w:rsidR="003659DD" w:rsidRPr="00AC4AD8">
        <w:rPr>
          <w:rFonts w:ascii="Times New Roman" w:hAnsi="Times New Roman"/>
        </w:rPr>
        <w:t>also</w:t>
      </w:r>
      <w:r w:rsidRPr="00AC4AD8">
        <w:rPr>
          <w:rFonts w:ascii="Times New Roman" w:hAnsi="Times New Roman"/>
        </w:rPr>
        <w:t xml:space="preserve"> caused a</w:t>
      </w:r>
      <w:r w:rsidR="003659DD" w:rsidRPr="00AC4AD8">
        <w:rPr>
          <w:rFonts w:ascii="Times New Roman" w:hAnsi="Times New Roman"/>
        </w:rPr>
        <w:t>n</w:t>
      </w:r>
      <w:r w:rsidRPr="00AC4AD8">
        <w:rPr>
          <w:rFonts w:ascii="Times New Roman" w:hAnsi="Times New Roman"/>
        </w:rPr>
        <w:t xml:space="preserve"> increase in the total abundance of microarthropods</w:t>
      </w:r>
      <w:r w:rsidR="00803114" w:rsidRPr="00AC4AD8">
        <w:rPr>
          <w:rFonts w:ascii="Times New Roman" w:hAnsi="Times New Roman"/>
        </w:rPr>
        <w:t xml:space="preserve"> compared to other treatments and the control</w:t>
      </w:r>
      <w:r w:rsidRPr="00AC4AD8">
        <w:rPr>
          <w:rFonts w:ascii="Times New Roman" w:hAnsi="Times New Roman"/>
        </w:rPr>
        <w:t xml:space="preserve">. Community analysis highlighted differences in community structure in plots treated with </w:t>
      </w:r>
      <w:r w:rsidR="00F468C3" w:rsidRPr="00AC4AD8">
        <w:rPr>
          <w:rFonts w:ascii="Times New Roman" w:hAnsi="Times New Roman"/>
          <w:i/>
        </w:rPr>
        <w:t>Trichoderma</w:t>
      </w:r>
      <w:r w:rsidRPr="00AC4AD8">
        <w:rPr>
          <w:rFonts w:ascii="Times New Roman" w:hAnsi="Times New Roman"/>
          <w:i/>
        </w:rPr>
        <w:t>,</w:t>
      </w:r>
      <w:r w:rsidRPr="00AC4AD8">
        <w:rPr>
          <w:rFonts w:ascii="Times New Roman" w:hAnsi="Times New Roman"/>
        </w:rPr>
        <w:t xml:space="preserve"> wit</w:t>
      </w:r>
      <w:r w:rsidR="00FF46CA" w:rsidRPr="00AC4AD8">
        <w:rPr>
          <w:rFonts w:ascii="Times New Roman" w:hAnsi="Times New Roman"/>
        </w:rPr>
        <w:t>h a cluster of larval species, C</w:t>
      </w:r>
      <w:r w:rsidRPr="00AC4AD8">
        <w:rPr>
          <w:rFonts w:ascii="Times New Roman" w:hAnsi="Times New Roman"/>
        </w:rPr>
        <w:t>ollembola (</w:t>
      </w:r>
      <w:r w:rsidRPr="00AC4AD8">
        <w:rPr>
          <w:rFonts w:ascii="Times New Roman" w:hAnsi="Times New Roman"/>
          <w:i/>
        </w:rPr>
        <w:t xml:space="preserve">S. aureus, D. </w:t>
      </w:r>
      <w:proofErr w:type="spellStart"/>
      <w:r w:rsidRPr="00AC4AD8">
        <w:rPr>
          <w:rFonts w:ascii="Times New Roman" w:hAnsi="Times New Roman"/>
          <w:i/>
        </w:rPr>
        <w:t>pallipes</w:t>
      </w:r>
      <w:proofErr w:type="spellEnd"/>
      <w:r w:rsidRPr="00AC4AD8">
        <w:rPr>
          <w:rFonts w:ascii="Times New Roman" w:hAnsi="Times New Roman"/>
          <w:i/>
        </w:rPr>
        <w:t xml:space="preserve"> </w:t>
      </w:r>
      <w:r w:rsidRPr="00AC4AD8">
        <w:rPr>
          <w:rFonts w:ascii="Times New Roman" w:hAnsi="Times New Roman"/>
        </w:rPr>
        <w:t xml:space="preserve">and </w:t>
      </w:r>
      <w:r w:rsidRPr="00AC4AD8">
        <w:rPr>
          <w:rFonts w:ascii="Times New Roman" w:hAnsi="Times New Roman"/>
          <w:i/>
        </w:rPr>
        <w:t xml:space="preserve">P. </w:t>
      </w:r>
      <w:proofErr w:type="spellStart"/>
      <w:r w:rsidRPr="00AC4AD8">
        <w:rPr>
          <w:rFonts w:ascii="Times New Roman" w:hAnsi="Times New Roman"/>
          <w:i/>
        </w:rPr>
        <w:t>notabilis</w:t>
      </w:r>
      <w:proofErr w:type="spellEnd"/>
      <w:r w:rsidRPr="00AC4AD8">
        <w:rPr>
          <w:rFonts w:ascii="Times New Roman" w:hAnsi="Times New Roman"/>
        </w:rPr>
        <w:t xml:space="preserve">) and the mite </w:t>
      </w:r>
      <w:r w:rsidRPr="00AC4AD8">
        <w:rPr>
          <w:rFonts w:ascii="Times New Roman" w:hAnsi="Times New Roman"/>
          <w:i/>
        </w:rPr>
        <w:t xml:space="preserve">E. viridis </w:t>
      </w:r>
      <w:r w:rsidRPr="00AC4AD8">
        <w:rPr>
          <w:rFonts w:ascii="Times New Roman" w:hAnsi="Times New Roman"/>
        </w:rPr>
        <w:t xml:space="preserve">driving this pattern. Larvae of flying insects were also found to be present in higher abundances in plots treated with </w:t>
      </w:r>
      <w:r w:rsidR="00F468C3" w:rsidRPr="00AC4AD8">
        <w:rPr>
          <w:rFonts w:ascii="Times New Roman" w:hAnsi="Times New Roman"/>
          <w:i/>
        </w:rPr>
        <w:t>Trichoderma</w:t>
      </w:r>
      <w:r w:rsidRPr="00AC4AD8">
        <w:rPr>
          <w:rFonts w:ascii="Times New Roman" w:hAnsi="Times New Roman"/>
          <w:i/>
        </w:rPr>
        <w:t xml:space="preserve"> </w:t>
      </w:r>
      <w:r w:rsidRPr="00AC4AD8">
        <w:rPr>
          <w:rFonts w:ascii="Times New Roman" w:hAnsi="Times New Roman"/>
        </w:rPr>
        <w:t>and</w:t>
      </w:r>
      <w:r w:rsidRPr="00AC4AD8">
        <w:rPr>
          <w:rFonts w:ascii="Times New Roman" w:hAnsi="Times New Roman"/>
          <w:i/>
        </w:rPr>
        <w:t xml:space="preserve"> </w:t>
      </w:r>
      <w:r w:rsidRPr="00AC4AD8">
        <w:rPr>
          <w:rFonts w:ascii="Times New Roman" w:hAnsi="Times New Roman"/>
        </w:rPr>
        <w:t xml:space="preserve">the larval community structure also differed in </w:t>
      </w:r>
      <w:r w:rsidR="00F468C3" w:rsidRPr="00AC4AD8">
        <w:rPr>
          <w:rFonts w:ascii="Times New Roman" w:hAnsi="Times New Roman"/>
          <w:i/>
        </w:rPr>
        <w:t>Trichoderma</w:t>
      </w:r>
      <w:r w:rsidRPr="00AC4AD8">
        <w:rPr>
          <w:rFonts w:ascii="Times New Roman" w:hAnsi="Times New Roman"/>
        </w:rPr>
        <w:t xml:space="preserve"> treated plots compared to other treatments, driven by “L5” (</w:t>
      </w:r>
      <w:r w:rsidR="00644066" w:rsidRPr="00AC4AD8">
        <w:rPr>
          <w:rFonts w:ascii="Times New Roman" w:hAnsi="Times New Roman"/>
        </w:rPr>
        <w:t>of the</w:t>
      </w:r>
      <w:r w:rsidR="00FF46CA" w:rsidRPr="00AC4AD8">
        <w:rPr>
          <w:rFonts w:ascii="Times New Roman" w:hAnsi="Times New Roman"/>
        </w:rPr>
        <w:t xml:space="preserve"> </w:t>
      </w:r>
      <w:proofErr w:type="spellStart"/>
      <w:r w:rsidR="00FF46CA" w:rsidRPr="00AC4AD8">
        <w:rPr>
          <w:rFonts w:ascii="Times New Roman" w:hAnsi="Times New Roman"/>
        </w:rPr>
        <w:t>Mycetophiloidea</w:t>
      </w:r>
      <w:proofErr w:type="spellEnd"/>
      <w:r w:rsidR="00FF46CA" w:rsidRPr="00AC4AD8">
        <w:rPr>
          <w:rFonts w:ascii="Times New Roman" w:hAnsi="Times New Roman"/>
        </w:rPr>
        <w:t xml:space="preserve">) and “L6” (a </w:t>
      </w:r>
      <w:proofErr w:type="spellStart"/>
      <w:r w:rsidR="00FF46CA" w:rsidRPr="00AC4AD8">
        <w:rPr>
          <w:rFonts w:ascii="Times New Roman" w:hAnsi="Times New Roman"/>
        </w:rPr>
        <w:t>C</w:t>
      </w:r>
      <w:r w:rsidRPr="00AC4AD8">
        <w:rPr>
          <w:rFonts w:ascii="Times New Roman" w:hAnsi="Times New Roman"/>
        </w:rPr>
        <w:t>hironomid</w:t>
      </w:r>
      <w:proofErr w:type="spellEnd"/>
      <w:r w:rsidRPr="00AC4AD8">
        <w:rPr>
          <w:rFonts w:ascii="Times New Roman" w:hAnsi="Times New Roman"/>
        </w:rPr>
        <w:t xml:space="preserve"> larvae). </w:t>
      </w:r>
      <w:r w:rsidR="00803114" w:rsidRPr="00AC4AD8">
        <w:rPr>
          <w:rFonts w:ascii="Times New Roman" w:hAnsi="Times New Roman"/>
        </w:rPr>
        <w:t xml:space="preserve">The likeliest explanation for this is an addition of food source for fungal feeding species on addition of </w:t>
      </w:r>
      <w:r w:rsidR="00F468C3" w:rsidRPr="00AC4AD8">
        <w:rPr>
          <w:rFonts w:ascii="Times New Roman" w:hAnsi="Times New Roman"/>
          <w:i/>
        </w:rPr>
        <w:t>Trichoderma</w:t>
      </w:r>
      <w:r w:rsidR="00803114" w:rsidRPr="00AC4AD8">
        <w:rPr>
          <w:rFonts w:ascii="Times New Roman" w:hAnsi="Times New Roman"/>
          <w:i/>
        </w:rPr>
        <w:t xml:space="preserve">. </w:t>
      </w:r>
      <w:r w:rsidRPr="00AC4AD8">
        <w:rPr>
          <w:rFonts w:ascii="Times New Roman" w:hAnsi="Times New Roman"/>
        </w:rPr>
        <w:t>Many soil microarthropods and, in particular, those separated by</w:t>
      </w:r>
      <w:r w:rsidR="00803114" w:rsidRPr="00AC4AD8">
        <w:rPr>
          <w:rFonts w:ascii="Times New Roman" w:hAnsi="Times New Roman"/>
        </w:rPr>
        <w:t xml:space="preserve"> the current</w:t>
      </w:r>
      <w:r w:rsidRPr="00AC4AD8">
        <w:rPr>
          <w:rFonts w:ascii="Times New Roman" w:hAnsi="Times New Roman"/>
        </w:rPr>
        <w:t xml:space="preserve"> PCA, are known to be fungal feeders. </w:t>
      </w:r>
      <w:r w:rsidR="00803114" w:rsidRPr="00AC4AD8">
        <w:rPr>
          <w:rFonts w:ascii="Times New Roman" w:hAnsi="Times New Roman"/>
        </w:rPr>
        <w:t>O</w:t>
      </w:r>
      <w:r w:rsidRPr="00AC4AD8">
        <w:rPr>
          <w:rFonts w:ascii="Times New Roman" w:hAnsi="Times New Roman"/>
        </w:rPr>
        <w:t xml:space="preserve">bservations of fungal feeding </w:t>
      </w:r>
      <w:r w:rsidR="00803114" w:rsidRPr="00AC4AD8">
        <w:rPr>
          <w:rFonts w:ascii="Times New Roman" w:hAnsi="Times New Roman"/>
        </w:rPr>
        <w:t xml:space="preserve">are </w:t>
      </w:r>
      <w:r w:rsidRPr="00AC4AD8">
        <w:rPr>
          <w:rFonts w:ascii="Times New Roman" w:hAnsi="Times New Roman"/>
        </w:rPr>
        <w:t xml:space="preserve">recorded for both </w:t>
      </w:r>
      <w:r w:rsidRPr="00AC4AD8">
        <w:rPr>
          <w:rFonts w:ascii="Times New Roman" w:hAnsi="Times New Roman"/>
          <w:i/>
        </w:rPr>
        <w:t xml:space="preserve">S. aureus </w:t>
      </w:r>
      <w:r w:rsidRPr="00AC4AD8">
        <w:rPr>
          <w:rFonts w:ascii="Times New Roman" w:hAnsi="Times New Roman"/>
        </w:rPr>
        <w:t xml:space="preserve">and </w:t>
      </w:r>
      <w:r w:rsidRPr="00AC4AD8">
        <w:rPr>
          <w:rFonts w:ascii="Times New Roman" w:hAnsi="Times New Roman"/>
          <w:i/>
        </w:rPr>
        <w:t xml:space="preserve">P. </w:t>
      </w:r>
      <w:proofErr w:type="spellStart"/>
      <w:r w:rsidRPr="00AC4AD8">
        <w:rPr>
          <w:rFonts w:ascii="Times New Roman" w:hAnsi="Times New Roman"/>
          <w:i/>
        </w:rPr>
        <w:t>notabilis</w:t>
      </w:r>
      <w:proofErr w:type="spellEnd"/>
      <w:r w:rsidRPr="00AC4AD8">
        <w:rPr>
          <w:rFonts w:ascii="Times New Roman" w:hAnsi="Times New Roman"/>
        </w:rPr>
        <w:t xml:space="preserve"> </w:t>
      </w:r>
      <w:r w:rsidR="0002699F"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"10.1016/j.ejsobi.2005.07.001", "author" : [ { "dropping-particle" : "", "family" : "Gillet", "given" : "S", "non-dropping-particle" : "", "parse-names" : false, "suffix" : "" }, { "dropping-particle" : "", "family" : "Ponge", "given" : "JF", "non-dropping-particle" : "", "parse-names" : false, "suffix" : "" } ], "container-title" : "European journal of soil biology", "id" : "ITEM-1", "issued" : { "date-parts" : [ [ "2005" ] ] }, "page" : "39-44", "title" : "Species assemblages and diets of Collembola in the organic matter accumulated over an old tar deposit", "type" : "article-journal", "volume" : "41" }, "uris" : [ "http://www.mendeley.com/documents/?uuid=f38c47c5-9883-4123-94d5-6a333a1b29b1" ] }, { "id" : "ITEM-2", "itemData" : { "DOI" : "10.2307/1938826", "author" : [ { "dropping-particle" : "", "family" : "Walter", "given" : "DE", "non-dropping-particle" : "", "parse-names" : false, "suffix" : "" } ], "container-title" : "Ecology", "id" : "ITEM-2", "issued" : { "date-parts" : [ [ "1987" ] ] }, "page" : "226-229", "title" : "Trophic behavior of\" mycophagous\" microarthropods", "type" : "article-journal", "volume" : "68" }, "uris" : [ "http://www.mendeley.com/documents/?uuid=3ef4e474-29bd-447d-bfaa-a9c71c6037a0" ] } ], "mendeley" : { "formattedCitation" : "(Gillet and Ponge, 2005; Walter, 1987)", "manualFormatting" : "(Walter, 1987; Gillet and Ponge, 2005)", "plainTextFormattedCitation" : "(Gillet and Ponge, 2005; Walter, 1987)", "previouslyFormattedCitation" : "(Gillet and Ponge, 2005; Walter, 1987)" }, "properties" : { "noteIndex" : 0 }, "schema" : "https://github.com/citation-style-language/schema/raw/master/csl-citation.json" }</w:instrText>
      </w:r>
      <w:r w:rsidR="0002699F" w:rsidRPr="00AC4AD8">
        <w:rPr>
          <w:rFonts w:ascii="Times New Roman" w:hAnsi="Times New Roman"/>
        </w:rPr>
        <w:fldChar w:fldCharType="separate"/>
      </w:r>
      <w:r w:rsidR="0002699F" w:rsidRPr="00AC4AD8">
        <w:rPr>
          <w:rFonts w:ascii="Times New Roman" w:hAnsi="Times New Roman"/>
          <w:noProof/>
        </w:rPr>
        <w:t>(</w:t>
      </w:r>
      <w:r w:rsidR="00196679" w:rsidRPr="00AC4AD8">
        <w:rPr>
          <w:rFonts w:ascii="Times New Roman" w:hAnsi="Times New Roman"/>
          <w:noProof/>
        </w:rPr>
        <w:t xml:space="preserve">Walter, 1987; </w:t>
      </w:r>
      <w:r w:rsidR="0002699F" w:rsidRPr="00AC4AD8">
        <w:rPr>
          <w:rFonts w:ascii="Times New Roman" w:hAnsi="Times New Roman"/>
          <w:noProof/>
        </w:rPr>
        <w:t>Gillet and Ponge, 2005)</w:t>
      </w:r>
      <w:r w:rsidR="0002699F" w:rsidRPr="00AC4AD8">
        <w:rPr>
          <w:rFonts w:ascii="Times New Roman" w:hAnsi="Times New Roman"/>
        </w:rPr>
        <w:fldChar w:fldCharType="end"/>
      </w:r>
      <w:r w:rsidRPr="00AC4AD8">
        <w:rPr>
          <w:rFonts w:ascii="Times New Roman" w:hAnsi="Times New Roman"/>
        </w:rPr>
        <w:t xml:space="preserve">. </w:t>
      </w:r>
      <w:r w:rsidR="00803114" w:rsidRPr="00AC4AD8">
        <w:rPr>
          <w:rFonts w:ascii="Times New Roman" w:hAnsi="Times New Roman"/>
        </w:rPr>
        <w:t>T</w:t>
      </w:r>
      <w:r w:rsidRPr="00AC4AD8">
        <w:rPr>
          <w:rFonts w:ascii="Times New Roman" w:hAnsi="Times New Roman"/>
        </w:rPr>
        <w:t xml:space="preserve">he diet of </w:t>
      </w:r>
      <w:r w:rsidRPr="00AC4AD8">
        <w:rPr>
          <w:rFonts w:ascii="Times New Roman" w:hAnsi="Times New Roman"/>
          <w:i/>
        </w:rPr>
        <w:t xml:space="preserve">E. viridis </w:t>
      </w:r>
      <w:r w:rsidRPr="00AC4AD8">
        <w:rPr>
          <w:rFonts w:ascii="Times New Roman" w:hAnsi="Times New Roman"/>
        </w:rPr>
        <w:t xml:space="preserve">specifically is not well known but </w:t>
      </w:r>
      <w:r w:rsidR="0002699F"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"10.2307/1938826", "author" : [ { "dropping-particle" : "", "family" : "Walter", "given" : "DE", "non-dropping-particle" : "", "parse-names" : false, "suffix" : "" } ], "container-title" : "Ecology", "id" : "ITEM-1", "issued" : { "date-parts" : [ [ "1987" ] ] }, "page" : "226-229", "title" : "Trophic behavior of\" mycophagous\" microarthropods", "type" : "article-journal", "volume" : "68" }, "uris" : [ "http://www.mendeley.com/documents/?uuid=3ef4e474-29bd-447d-bfaa-a9c71c6037a0" ] } ], "mendeley" : { "formattedCitation" : "(Walter, 1987)", "manualFormatting" : "Walter, (1987)", "plainTextFormattedCitation" : "(Walter, 1987)", "previouslyFormattedCitation" : "(Walter, 1987)" }, "properties" : { "noteIndex" : 0 }, "schema" : "https://github.com/citation-style-language/schema/raw/master/csl-citation.json" }</w:instrText>
      </w:r>
      <w:r w:rsidR="0002699F" w:rsidRPr="00AC4AD8">
        <w:rPr>
          <w:rFonts w:ascii="Times New Roman" w:hAnsi="Times New Roman"/>
        </w:rPr>
        <w:fldChar w:fldCharType="separate"/>
      </w:r>
      <w:r w:rsidR="0002699F" w:rsidRPr="00AC4AD8">
        <w:rPr>
          <w:rFonts w:ascii="Times New Roman" w:hAnsi="Times New Roman"/>
          <w:noProof/>
        </w:rPr>
        <w:t>Walter, (1987)</w:t>
      </w:r>
      <w:r w:rsidR="0002699F" w:rsidRPr="00AC4AD8">
        <w:rPr>
          <w:rFonts w:ascii="Times New Roman" w:hAnsi="Times New Roman"/>
        </w:rPr>
        <w:fldChar w:fldCharType="end"/>
      </w:r>
      <w:r w:rsidRPr="00AC4AD8">
        <w:rPr>
          <w:rFonts w:ascii="Times New Roman" w:hAnsi="Times New Roman"/>
        </w:rPr>
        <w:t xml:space="preserve"> inferred from laboratory feeding experiments that mites of the </w:t>
      </w:r>
      <w:r w:rsidR="00803114" w:rsidRPr="00AC4AD8">
        <w:rPr>
          <w:rFonts w:ascii="Times New Roman" w:hAnsi="Times New Roman"/>
          <w:i/>
        </w:rPr>
        <w:t xml:space="preserve">Eupodes </w:t>
      </w:r>
      <w:r w:rsidRPr="00AC4AD8">
        <w:rPr>
          <w:rFonts w:ascii="Times New Roman" w:hAnsi="Times New Roman"/>
        </w:rPr>
        <w:t xml:space="preserve">genus do feed on fungi, including </w:t>
      </w:r>
      <w:r w:rsidR="00F468C3" w:rsidRPr="00AC4AD8">
        <w:rPr>
          <w:rFonts w:ascii="Times New Roman" w:hAnsi="Times New Roman"/>
          <w:i/>
        </w:rPr>
        <w:t>Trichoderma</w:t>
      </w:r>
      <w:r w:rsidRPr="00AC4AD8">
        <w:rPr>
          <w:rFonts w:ascii="Times New Roman" w:hAnsi="Times New Roman"/>
          <w:i/>
        </w:rPr>
        <w:t>.</w:t>
      </w:r>
      <w:r w:rsidR="00CD138E" w:rsidRPr="00AC4AD8">
        <w:rPr>
          <w:rFonts w:ascii="Times New Roman" w:hAnsi="Times New Roman"/>
          <w:i/>
        </w:rPr>
        <w:t xml:space="preserve"> </w:t>
      </w:r>
      <w:r w:rsidR="00CD138E" w:rsidRPr="00AC4AD8">
        <w:rPr>
          <w:rFonts w:ascii="Times New Roman" w:hAnsi="Times New Roman"/>
        </w:rPr>
        <w:t xml:space="preserve">The separation of </w:t>
      </w:r>
      <w:r w:rsidR="00CD138E" w:rsidRPr="00AC4AD8">
        <w:rPr>
          <w:rFonts w:ascii="Times New Roman" w:hAnsi="Times New Roman"/>
          <w:i/>
        </w:rPr>
        <w:t xml:space="preserve">E. viridis </w:t>
      </w:r>
      <w:r w:rsidR="00CD138E" w:rsidRPr="00AC4AD8">
        <w:rPr>
          <w:rFonts w:ascii="Times New Roman" w:hAnsi="Times New Roman"/>
        </w:rPr>
        <w:t>from other mites in the study, suggests that it may have a unique ecology amongst green r</w:t>
      </w:r>
      <w:r w:rsidR="000225A0" w:rsidRPr="00AC4AD8">
        <w:rPr>
          <w:rFonts w:ascii="Times New Roman" w:hAnsi="Times New Roman"/>
        </w:rPr>
        <w:t>oof mite species, more akin to C</w:t>
      </w:r>
      <w:r w:rsidR="00CD138E" w:rsidRPr="00AC4AD8">
        <w:rPr>
          <w:rFonts w:ascii="Times New Roman" w:hAnsi="Times New Roman"/>
        </w:rPr>
        <w:t>ollembola.</w:t>
      </w:r>
      <w:r w:rsidRPr="00AC4AD8">
        <w:rPr>
          <w:rFonts w:ascii="Times New Roman" w:hAnsi="Times New Roman"/>
          <w:i/>
        </w:rPr>
        <w:t xml:space="preserve"> </w:t>
      </w:r>
      <w:r w:rsidRPr="00AC4AD8">
        <w:rPr>
          <w:rFonts w:ascii="Times New Roman" w:hAnsi="Times New Roman"/>
        </w:rPr>
        <w:t>Larval species</w:t>
      </w:r>
      <w:r w:rsidR="00FF46CA" w:rsidRPr="00AC4AD8">
        <w:rPr>
          <w:rFonts w:ascii="Times New Roman" w:hAnsi="Times New Roman"/>
        </w:rPr>
        <w:t xml:space="preserve"> of the superfamily </w:t>
      </w:r>
      <w:proofErr w:type="spellStart"/>
      <w:r w:rsidR="00FF46CA" w:rsidRPr="00AC4AD8">
        <w:rPr>
          <w:rFonts w:ascii="Times New Roman" w:hAnsi="Times New Roman"/>
        </w:rPr>
        <w:t>M</w:t>
      </w:r>
      <w:r w:rsidRPr="00AC4AD8">
        <w:rPr>
          <w:rFonts w:ascii="Times New Roman" w:hAnsi="Times New Roman"/>
        </w:rPr>
        <w:t>ycetophiloidea</w:t>
      </w:r>
      <w:proofErr w:type="spellEnd"/>
      <w:r w:rsidRPr="00AC4AD8">
        <w:rPr>
          <w:rFonts w:ascii="Times New Roman" w:hAnsi="Times New Roman"/>
        </w:rPr>
        <w:t xml:space="preserve"> are also known to feed primarily on fungi </w:t>
      </w:r>
      <w:r w:rsidR="0002699F"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"10.1134/S1062359008060071", "author" : [ { "dropping-particle" : "", "family" : "Krivosheina", "given" : "NP", "non-dropping-particle" : "", "parse-names" : false, "suffix" : "" }, { "dropping-particle" : "", "family" : "Zaitzev", "given" : "AI", "non-dropping-particle" : "", "parse-names" : false, "suffix" : "" } ], "container-title" : "Biology Bulletin", "id" : "ITEM-1", "issued" : { "date-parts" : [ [ "2008" ] ] }, "page" : "606-614", "title" : "Trophic relationships and main trends in morphological adaptations of larval mouthparts in sciaroid dipterans (Diptera, Sciaroidea)", "type" : "article-journal", "volume" : "35" }, "uris" : [ "http://www.mendeley.com/documents/?uuid=22054d82-a10a-409c-ac78-be9d1b2fbcb3" ] } ], "mendeley" : { "formattedCitation" : "(Krivosheina and Zaitzev, 2008)", "plainTextFormattedCitation" : "(Krivosheina and Zaitzev, 2008)", "previouslyFormattedCitation" : "(Krivosheina and Zaitzev, 2008)" }, "properties" : { "noteIndex" : 0 }, "schema" : "https://github.com/citation-style-language/schema/raw/master/csl-citation.json" }</w:instrText>
      </w:r>
      <w:r w:rsidR="0002699F" w:rsidRPr="00AC4AD8">
        <w:rPr>
          <w:rFonts w:ascii="Times New Roman" w:hAnsi="Times New Roman"/>
        </w:rPr>
        <w:fldChar w:fldCharType="separate"/>
      </w:r>
      <w:r w:rsidR="0002699F" w:rsidRPr="00AC4AD8">
        <w:rPr>
          <w:rFonts w:ascii="Times New Roman" w:hAnsi="Times New Roman"/>
          <w:noProof/>
        </w:rPr>
        <w:t>(Krivosheina and Zaitzev, 2008)</w:t>
      </w:r>
      <w:r w:rsidR="0002699F" w:rsidRPr="00AC4AD8">
        <w:rPr>
          <w:rFonts w:ascii="Times New Roman" w:hAnsi="Times New Roman"/>
        </w:rPr>
        <w:fldChar w:fldCharType="end"/>
      </w:r>
      <w:r w:rsidRPr="00AC4AD8">
        <w:rPr>
          <w:rFonts w:ascii="Times New Roman" w:hAnsi="Times New Roman"/>
        </w:rPr>
        <w:t xml:space="preserve">, so may directly benefit from </w:t>
      </w:r>
      <w:r w:rsidR="00F468C3" w:rsidRPr="00AC4AD8">
        <w:rPr>
          <w:rFonts w:ascii="Times New Roman" w:hAnsi="Times New Roman"/>
          <w:i/>
        </w:rPr>
        <w:t>Trichoderma</w:t>
      </w:r>
      <w:r w:rsidRPr="00AC4AD8">
        <w:rPr>
          <w:rFonts w:ascii="Times New Roman" w:hAnsi="Times New Roman"/>
          <w:i/>
        </w:rPr>
        <w:t xml:space="preserve"> </w:t>
      </w:r>
      <w:r w:rsidRPr="00AC4AD8">
        <w:rPr>
          <w:rFonts w:ascii="Times New Roman" w:hAnsi="Times New Roman"/>
        </w:rPr>
        <w:t xml:space="preserve">addition. </w:t>
      </w:r>
      <w:proofErr w:type="spellStart"/>
      <w:r w:rsidR="00803114" w:rsidRPr="00AC4AD8">
        <w:rPr>
          <w:rFonts w:ascii="Times New Roman" w:hAnsi="Times New Roman"/>
        </w:rPr>
        <w:t>Chironomid</w:t>
      </w:r>
      <w:proofErr w:type="spellEnd"/>
      <w:r w:rsidR="00803114" w:rsidRPr="00AC4AD8">
        <w:rPr>
          <w:rFonts w:ascii="Times New Roman" w:hAnsi="Times New Roman"/>
        </w:rPr>
        <w:t xml:space="preserve"> larvae, which grouped with fungal feeders in the PCA,</w:t>
      </w:r>
      <w:r w:rsidRPr="00AC4AD8">
        <w:rPr>
          <w:rFonts w:ascii="Times New Roman" w:hAnsi="Times New Roman"/>
        </w:rPr>
        <w:t xml:space="preserve"> do not feed directly on fungi</w:t>
      </w:r>
      <w:r w:rsidR="00803114" w:rsidRPr="00AC4AD8">
        <w:rPr>
          <w:rFonts w:ascii="Times New Roman" w:hAnsi="Times New Roman"/>
        </w:rPr>
        <w:t xml:space="preserve"> but</w:t>
      </w:r>
      <w:r w:rsidRPr="00AC4AD8">
        <w:rPr>
          <w:rFonts w:ascii="Times New Roman" w:hAnsi="Times New Roman"/>
        </w:rPr>
        <w:t xml:space="preserve"> on faecal matter</w:t>
      </w:r>
      <w:r w:rsidR="00850797" w:rsidRPr="00AC4AD8">
        <w:rPr>
          <w:rFonts w:ascii="Times New Roman" w:hAnsi="Times New Roman"/>
        </w:rPr>
        <w:t xml:space="preserve"> </w:t>
      </w:r>
      <w:r w:rsidR="0002699F"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"10.1016/0016-7061(91)90090-G", "author" : [ { "dropping-particle" : "", "family" : "Ponge", "given" : "JF", "non-dropping-particle" : "", "parse-names" : false, "suffix" : "" } ], "container-title" : "Geoderma", "id" : "ITEM-1", "issued" : { "date-parts" : [ [ "1991" ] ] }, "page" : "33-62", "title" : "Food resources and diets of soil animals in a small area of Scots pine litter", "type" : "article-journal", "volume" : "49" }, "uris" : [ "http://www.mendeley.com/documents/?uuid=9a865fef-07a1-49de-8964-21daf1a1b755" ] } ], "mendeley" : { "formattedCitation" : "(Ponge, 1991)", "plainTextFormattedCitation" : "(Ponge, 1991)", "previouslyFormattedCitation" : "(Ponge, 1991)" }, "properties" : { "noteIndex" : 0 }, "schema" : "https://github.com/citation-style-language/schema/raw/master/csl-citation.json" }</w:instrText>
      </w:r>
      <w:r w:rsidR="0002699F" w:rsidRPr="00AC4AD8">
        <w:rPr>
          <w:rFonts w:ascii="Times New Roman" w:hAnsi="Times New Roman"/>
        </w:rPr>
        <w:fldChar w:fldCharType="separate"/>
      </w:r>
      <w:r w:rsidR="0002699F" w:rsidRPr="00AC4AD8">
        <w:rPr>
          <w:rFonts w:ascii="Times New Roman" w:hAnsi="Times New Roman"/>
          <w:noProof/>
        </w:rPr>
        <w:t>(Ponge, 1991)</w:t>
      </w:r>
      <w:r w:rsidR="0002699F" w:rsidRPr="00AC4AD8">
        <w:rPr>
          <w:rFonts w:ascii="Times New Roman" w:hAnsi="Times New Roman"/>
        </w:rPr>
        <w:fldChar w:fldCharType="end"/>
      </w:r>
      <w:r w:rsidRPr="00AC4AD8">
        <w:rPr>
          <w:rFonts w:ascii="Times New Roman" w:hAnsi="Times New Roman"/>
        </w:rPr>
        <w:t xml:space="preserve">, </w:t>
      </w:r>
      <w:r w:rsidR="00803114" w:rsidRPr="00AC4AD8">
        <w:rPr>
          <w:rFonts w:ascii="Times New Roman" w:hAnsi="Times New Roman"/>
        </w:rPr>
        <w:t xml:space="preserve">and </w:t>
      </w:r>
      <w:r w:rsidRPr="00AC4AD8">
        <w:rPr>
          <w:rFonts w:ascii="Times New Roman" w:hAnsi="Times New Roman"/>
        </w:rPr>
        <w:t xml:space="preserve">may have indirectly benefitted from the increase in abundance of other microarthropods as a result of </w:t>
      </w:r>
      <w:r w:rsidR="00F468C3" w:rsidRPr="00AC4AD8">
        <w:rPr>
          <w:rFonts w:ascii="Times New Roman" w:hAnsi="Times New Roman"/>
          <w:i/>
        </w:rPr>
        <w:t>Trichoderma</w:t>
      </w:r>
      <w:r w:rsidRPr="00AC4AD8">
        <w:rPr>
          <w:rFonts w:ascii="Times New Roman" w:hAnsi="Times New Roman"/>
          <w:i/>
        </w:rPr>
        <w:t xml:space="preserve"> </w:t>
      </w:r>
      <w:r w:rsidRPr="00AC4AD8">
        <w:rPr>
          <w:rFonts w:ascii="Times New Roman" w:hAnsi="Times New Roman"/>
        </w:rPr>
        <w:t>addition. To the author’s knowledge, this is the first demonstration that changes in microarthropod abundance can occur as a result of the addition o</w:t>
      </w:r>
      <w:r w:rsidR="00190ABC" w:rsidRPr="00AC4AD8">
        <w:rPr>
          <w:rFonts w:ascii="Times New Roman" w:hAnsi="Times New Roman"/>
        </w:rPr>
        <w:t>f free-living saprophytic fungi</w:t>
      </w:r>
      <w:r w:rsidRPr="00AC4AD8">
        <w:rPr>
          <w:rFonts w:ascii="Times New Roman" w:hAnsi="Times New Roman"/>
        </w:rPr>
        <w:t xml:space="preserve"> to soils</w:t>
      </w:r>
      <w:r w:rsidR="007A50EE" w:rsidRPr="00AC4AD8">
        <w:rPr>
          <w:rFonts w:ascii="Times New Roman" w:hAnsi="Times New Roman"/>
        </w:rPr>
        <w:t>, demonstrating a multi-level food web impacted by the addition of commercial inoculants</w:t>
      </w:r>
      <w:r w:rsidRPr="00AC4AD8">
        <w:rPr>
          <w:rFonts w:ascii="Times New Roman" w:hAnsi="Times New Roman"/>
        </w:rPr>
        <w:t xml:space="preserve">. </w:t>
      </w:r>
      <w:r w:rsidR="004802ED" w:rsidRPr="00AC4AD8">
        <w:rPr>
          <w:rFonts w:ascii="Times New Roman" w:hAnsi="Times New Roman"/>
        </w:rPr>
        <w:fldChar w:fldCharType="begin" w:fldLock="1"/>
      </w:r>
      <w:r w:rsidR="001C3B27" w:rsidRPr="00AC4AD8">
        <w:rPr>
          <w:rFonts w:ascii="Times New Roman" w:hAnsi="Times New Roman"/>
        </w:rPr>
        <w:instrText>ADDIN CSL_CITATION { "citationItems" : [ { "id" : "ITEM-1", "itemData" : { "DOI" : "10.18641/jbc/22/1/40181", "author" : [ { "dropping-particle" : "", "family" : "Sibi", "given" : "MC", "non-dropping-particle" : "", "parse-names" : false, "suffix" : "" }, { "dropping-particle" : "", "family" : "Anandaraj", "given" : "M", "non-dropping-particle" : "", "parse-names" : false, "suffix" : "" }, { "dropping-particle" : "", "family" : "Eapen", "given" : "SJ", "non-dropping-particle" : "", "parse-names" : false, "suffix" : "" }, { "dropping-particle" : "", "family" : "Devasahayam", "given" : "S", "non-dropping-particle" : "", "parse-names" : false, "suffix" : "" } ], "container-title" : "Journal of Biological Control", "id" : "ITEM-1", "issued" : { "date-parts" : [ [ "2008" ] ] }, "page" : "25-32", "title" : "Effect of carrier media on population fluctuation of Trichoderma harzianum (MTCC5179) in black pepper (Piper nigrum L.) rhizosphere and their interaction with soil microflora and fauna", "type" : "article-journal", "volume" : "22" }, "uris" : [ "http://www.mendeley.com/documents/?uuid=71f3dbfd-b2e8-468a-8f3c-d242667e4d5a" ] } ], "mendeley" : { "formattedCitation" : "(Sibi et al., 2008)", "manualFormatting" : "Sibi and Anandaraj (2008)", "plainTextFormattedCitation" : "(Sibi et al., 2008)", "previouslyFormattedCitation" : "(Sibi et al., 2008)"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Sibi and Anandaraj (2008)</w:t>
      </w:r>
      <w:r w:rsidR="004802ED" w:rsidRPr="00AC4AD8">
        <w:rPr>
          <w:rFonts w:ascii="Times New Roman" w:hAnsi="Times New Roman"/>
        </w:rPr>
        <w:fldChar w:fldCharType="end"/>
      </w:r>
      <w:r w:rsidR="00085021" w:rsidRPr="00AC4AD8">
        <w:rPr>
          <w:rFonts w:ascii="Times New Roman" w:hAnsi="Times New Roman"/>
        </w:rPr>
        <w:t xml:space="preserve"> found</w:t>
      </w:r>
      <w:r w:rsidR="00276D9A" w:rsidRPr="00AC4AD8">
        <w:rPr>
          <w:rFonts w:ascii="Times New Roman" w:hAnsi="Times New Roman"/>
        </w:rPr>
        <w:t xml:space="preserve"> that, when adding a range </w:t>
      </w:r>
      <w:r w:rsidR="00276D9A" w:rsidRPr="00AC4AD8">
        <w:rPr>
          <w:rFonts w:ascii="Times New Roman" w:hAnsi="Times New Roman"/>
          <w:i/>
        </w:rPr>
        <w:t xml:space="preserve">T. </w:t>
      </w:r>
      <w:proofErr w:type="spellStart"/>
      <w:r w:rsidR="00276D9A" w:rsidRPr="00AC4AD8">
        <w:rPr>
          <w:rFonts w:ascii="Times New Roman" w:hAnsi="Times New Roman"/>
          <w:i/>
        </w:rPr>
        <w:t>harzianum</w:t>
      </w:r>
      <w:proofErr w:type="spellEnd"/>
      <w:r w:rsidR="00276D9A" w:rsidRPr="00AC4AD8">
        <w:rPr>
          <w:rFonts w:ascii="Times New Roman" w:hAnsi="Times New Roman"/>
          <w:i/>
        </w:rPr>
        <w:t xml:space="preserve"> </w:t>
      </w:r>
      <w:r w:rsidR="00276D9A" w:rsidRPr="00AC4AD8">
        <w:rPr>
          <w:rFonts w:ascii="Times New Roman" w:hAnsi="Times New Roman"/>
        </w:rPr>
        <w:t>amplifiers (e.g. manure),</w:t>
      </w:r>
      <w:r w:rsidR="00085021" w:rsidRPr="00AC4AD8">
        <w:rPr>
          <w:rFonts w:ascii="Times New Roman" w:hAnsi="Times New Roman"/>
        </w:rPr>
        <w:t xml:space="preserve"> </w:t>
      </w:r>
      <w:r w:rsidR="00276D9A" w:rsidRPr="00AC4AD8">
        <w:rPr>
          <w:rFonts w:ascii="Times New Roman" w:hAnsi="Times New Roman"/>
        </w:rPr>
        <w:t>S</w:t>
      </w:r>
      <w:r w:rsidR="00B20E32" w:rsidRPr="00AC4AD8">
        <w:rPr>
          <w:rFonts w:ascii="Times New Roman" w:hAnsi="Times New Roman"/>
        </w:rPr>
        <w:t>orghum</w:t>
      </w:r>
      <w:r w:rsidR="00276D9A" w:rsidRPr="00AC4AD8">
        <w:rPr>
          <w:rFonts w:ascii="Times New Roman" w:hAnsi="Times New Roman"/>
        </w:rPr>
        <w:t xml:space="preserve"> </w:t>
      </w:r>
      <w:r w:rsidR="00154803" w:rsidRPr="00AC4AD8">
        <w:rPr>
          <w:rFonts w:ascii="Times New Roman" w:hAnsi="Times New Roman"/>
        </w:rPr>
        <w:t xml:space="preserve">residues </w:t>
      </w:r>
      <w:r w:rsidR="00276D9A" w:rsidRPr="00AC4AD8">
        <w:rPr>
          <w:rFonts w:ascii="Times New Roman" w:hAnsi="Times New Roman"/>
        </w:rPr>
        <w:t>in particular</w:t>
      </w:r>
      <w:r w:rsidR="00B20E32" w:rsidRPr="00AC4AD8">
        <w:rPr>
          <w:rFonts w:ascii="Times New Roman" w:hAnsi="Times New Roman"/>
        </w:rPr>
        <w:t xml:space="preserve"> enhance</w:t>
      </w:r>
      <w:r w:rsidR="00276D9A" w:rsidRPr="00AC4AD8">
        <w:rPr>
          <w:rFonts w:ascii="Times New Roman" w:hAnsi="Times New Roman"/>
        </w:rPr>
        <w:t>d</w:t>
      </w:r>
      <w:r w:rsidR="00085021" w:rsidRPr="00AC4AD8">
        <w:rPr>
          <w:rFonts w:ascii="Times New Roman" w:hAnsi="Times New Roman"/>
        </w:rPr>
        <w:t xml:space="preserve"> </w:t>
      </w:r>
      <w:r w:rsidR="00085021" w:rsidRPr="00AC4AD8">
        <w:rPr>
          <w:rFonts w:ascii="Times New Roman" w:hAnsi="Times New Roman"/>
          <w:i/>
        </w:rPr>
        <w:t xml:space="preserve">T. </w:t>
      </w:r>
      <w:proofErr w:type="spellStart"/>
      <w:r w:rsidR="00085021" w:rsidRPr="00AC4AD8">
        <w:rPr>
          <w:rFonts w:ascii="Times New Roman" w:hAnsi="Times New Roman"/>
          <w:i/>
        </w:rPr>
        <w:t>harzianum</w:t>
      </w:r>
      <w:proofErr w:type="spellEnd"/>
      <w:r w:rsidR="00085021" w:rsidRPr="00AC4AD8">
        <w:rPr>
          <w:rFonts w:ascii="Times New Roman" w:hAnsi="Times New Roman"/>
        </w:rPr>
        <w:t xml:space="preserve"> in the rhizo</w:t>
      </w:r>
      <w:r w:rsidR="00E8130C" w:rsidRPr="00AC4AD8">
        <w:rPr>
          <w:rFonts w:ascii="Times New Roman" w:hAnsi="Times New Roman"/>
        </w:rPr>
        <w:t>sphere</w:t>
      </w:r>
      <w:r w:rsidR="00085021" w:rsidRPr="00AC4AD8">
        <w:rPr>
          <w:rFonts w:ascii="Times New Roman" w:hAnsi="Times New Roman"/>
        </w:rPr>
        <w:t xml:space="preserve"> of</w:t>
      </w:r>
      <w:r w:rsidR="00B20E32" w:rsidRPr="00AC4AD8">
        <w:rPr>
          <w:rFonts w:ascii="Times New Roman" w:hAnsi="Times New Roman"/>
        </w:rPr>
        <w:t xml:space="preserve"> black pepper,</w:t>
      </w:r>
      <w:r w:rsidR="00085021" w:rsidRPr="00AC4AD8">
        <w:rPr>
          <w:rFonts w:ascii="Times New Roman" w:hAnsi="Times New Roman"/>
        </w:rPr>
        <w:t xml:space="preserve"> </w:t>
      </w:r>
      <w:r w:rsidR="00B20E32" w:rsidRPr="00AC4AD8">
        <w:rPr>
          <w:rFonts w:ascii="Times New Roman" w:hAnsi="Times New Roman"/>
          <w:i/>
        </w:rPr>
        <w:t xml:space="preserve">Piper </w:t>
      </w:r>
      <w:proofErr w:type="spellStart"/>
      <w:r w:rsidR="00B20E32" w:rsidRPr="00AC4AD8">
        <w:rPr>
          <w:rFonts w:ascii="Times New Roman" w:hAnsi="Times New Roman"/>
          <w:i/>
        </w:rPr>
        <w:t>nigrum</w:t>
      </w:r>
      <w:proofErr w:type="spellEnd"/>
      <w:r w:rsidR="00B20E32" w:rsidRPr="00AC4AD8">
        <w:rPr>
          <w:rFonts w:ascii="Times New Roman" w:hAnsi="Times New Roman"/>
        </w:rPr>
        <w:t>,</w:t>
      </w:r>
      <w:r w:rsidR="00085021" w:rsidRPr="00AC4AD8">
        <w:rPr>
          <w:rFonts w:ascii="Times New Roman" w:hAnsi="Times New Roman"/>
        </w:rPr>
        <w:t xml:space="preserve"> </w:t>
      </w:r>
      <w:r w:rsidR="00276D9A" w:rsidRPr="00AC4AD8">
        <w:rPr>
          <w:rFonts w:ascii="Times New Roman" w:hAnsi="Times New Roman"/>
        </w:rPr>
        <w:t>which</w:t>
      </w:r>
      <w:r w:rsidR="004D22C3" w:rsidRPr="00AC4AD8">
        <w:rPr>
          <w:rFonts w:ascii="Times New Roman" w:hAnsi="Times New Roman"/>
        </w:rPr>
        <w:t>,</w:t>
      </w:r>
      <w:r w:rsidR="00276D9A" w:rsidRPr="00AC4AD8">
        <w:rPr>
          <w:rFonts w:ascii="Times New Roman" w:hAnsi="Times New Roman"/>
        </w:rPr>
        <w:t xml:space="preserve"> as a result</w:t>
      </w:r>
      <w:r w:rsidR="004D22C3" w:rsidRPr="00AC4AD8">
        <w:rPr>
          <w:rFonts w:ascii="Times New Roman" w:hAnsi="Times New Roman"/>
        </w:rPr>
        <w:t>,</w:t>
      </w:r>
      <w:r w:rsidR="00085021" w:rsidRPr="00AC4AD8">
        <w:rPr>
          <w:rFonts w:ascii="Times New Roman" w:hAnsi="Times New Roman"/>
        </w:rPr>
        <w:t xml:space="preserve"> increased populations of </w:t>
      </w:r>
      <w:proofErr w:type="spellStart"/>
      <w:r w:rsidR="00085021" w:rsidRPr="00AC4AD8">
        <w:rPr>
          <w:rFonts w:ascii="Times New Roman" w:hAnsi="Times New Roman"/>
        </w:rPr>
        <w:t>mycophagous</w:t>
      </w:r>
      <w:proofErr w:type="spellEnd"/>
      <w:r w:rsidR="00085021" w:rsidRPr="00AC4AD8">
        <w:rPr>
          <w:rFonts w:ascii="Times New Roman" w:hAnsi="Times New Roman"/>
        </w:rPr>
        <w:t xml:space="preserve"> mites </w:t>
      </w:r>
      <w:r w:rsidR="00276D9A" w:rsidRPr="00AC4AD8">
        <w:rPr>
          <w:rFonts w:ascii="Times New Roman" w:hAnsi="Times New Roman"/>
        </w:rPr>
        <w:t>and</w:t>
      </w:r>
      <w:r w:rsidR="00085021" w:rsidRPr="00AC4AD8">
        <w:rPr>
          <w:rFonts w:ascii="Times New Roman" w:hAnsi="Times New Roman"/>
        </w:rPr>
        <w:t xml:space="preserve"> their associated predators. Thus, with a longer development time or repeated applications, higher order trophic responses to the addition of these microbial inoculants may also be seen, improving microarthropod diversity on green roofs by encouraging the colonisation of predatory arthropods.</w:t>
      </w:r>
    </w:p>
    <w:p w14:paraId="378492AD" w14:textId="020D4D1B" w:rsidR="00085021" w:rsidRPr="00AC4AD8" w:rsidRDefault="00085021" w:rsidP="00F03F20">
      <w:pPr>
        <w:spacing w:after="200" w:line="360" w:lineRule="auto"/>
        <w:ind w:firstLine="340"/>
        <w:jc w:val="both"/>
        <w:rPr>
          <w:rFonts w:ascii="Times New Roman" w:hAnsi="Times New Roman"/>
        </w:rPr>
      </w:pPr>
      <w:r w:rsidRPr="00AC4AD8">
        <w:rPr>
          <w:rFonts w:ascii="Times New Roman" w:hAnsi="Times New Roman"/>
        </w:rPr>
        <w:t xml:space="preserve">The impacts of the addition of </w:t>
      </w:r>
      <w:r w:rsidR="00F468C3" w:rsidRPr="00AC4AD8">
        <w:rPr>
          <w:rFonts w:ascii="Times New Roman" w:hAnsi="Times New Roman"/>
          <w:i/>
        </w:rPr>
        <w:t>Trichoderma</w:t>
      </w:r>
      <w:r w:rsidRPr="00AC4AD8">
        <w:rPr>
          <w:rFonts w:ascii="Times New Roman" w:hAnsi="Times New Roman"/>
        </w:rPr>
        <w:t xml:space="preserve"> on the microarthropod community suggest that species population numbers are not only limited by water, as highlighted by Rumble and Gange (2013), but also, in more favourable weather spells, by nutrient availability. This has implications for the long-term sustainability of green roofs; the addition of water or water reservoirs, as suggested as a solution for impoverished microarthropod communities by Rumble and Gange (2013), may not boost populations as much as is possible in this environment. As highlighted in Rumble and Gange (2013)</w:t>
      </w:r>
      <w:r w:rsidR="00B20E32" w:rsidRPr="00AC4AD8">
        <w:rPr>
          <w:rFonts w:ascii="Times New Roman" w:hAnsi="Times New Roman"/>
        </w:rPr>
        <w:t>, populations of Collembola are limited below a critical threshold of substrate water content (approximately 10%), after which there are other factors controlling population</w:t>
      </w:r>
      <w:r w:rsidR="00190ABC" w:rsidRPr="00AC4AD8">
        <w:rPr>
          <w:rFonts w:ascii="Times New Roman" w:hAnsi="Times New Roman"/>
        </w:rPr>
        <w:t xml:space="preserve"> growth</w:t>
      </w:r>
      <w:r w:rsidR="00B20E32" w:rsidRPr="00AC4AD8">
        <w:rPr>
          <w:rFonts w:ascii="Times New Roman" w:hAnsi="Times New Roman"/>
        </w:rPr>
        <w:t>.</w:t>
      </w:r>
      <w:r w:rsidRPr="00AC4AD8">
        <w:rPr>
          <w:rFonts w:ascii="Times New Roman" w:hAnsi="Times New Roman"/>
        </w:rPr>
        <w:t xml:space="preserve"> </w:t>
      </w:r>
      <w:r w:rsidR="00B20E32" w:rsidRPr="00AC4AD8">
        <w:rPr>
          <w:rFonts w:ascii="Times New Roman" w:hAnsi="Times New Roman"/>
        </w:rPr>
        <w:t>B</w:t>
      </w:r>
      <w:r w:rsidRPr="00AC4AD8">
        <w:rPr>
          <w:rFonts w:ascii="Times New Roman" w:hAnsi="Times New Roman"/>
        </w:rPr>
        <w:t>eyond this</w:t>
      </w:r>
      <w:r w:rsidR="00B20E32" w:rsidRPr="00AC4AD8">
        <w:rPr>
          <w:rFonts w:ascii="Times New Roman" w:hAnsi="Times New Roman"/>
        </w:rPr>
        <w:t xml:space="preserve"> threshold</w:t>
      </w:r>
      <w:r w:rsidRPr="00AC4AD8">
        <w:rPr>
          <w:rFonts w:ascii="Times New Roman" w:hAnsi="Times New Roman"/>
        </w:rPr>
        <w:t xml:space="preserve">, </w:t>
      </w:r>
      <w:r w:rsidR="00B20E32" w:rsidRPr="00AC4AD8">
        <w:rPr>
          <w:rFonts w:ascii="Times New Roman" w:hAnsi="Times New Roman"/>
        </w:rPr>
        <w:t xml:space="preserve">the </w:t>
      </w:r>
      <w:r w:rsidRPr="00AC4AD8">
        <w:rPr>
          <w:rFonts w:ascii="Times New Roman" w:hAnsi="Times New Roman"/>
        </w:rPr>
        <w:t xml:space="preserve">addition of nutrients, whether it be in the form of inoculants such as </w:t>
      </w:r>
      <w:r w:rsidR="00F468C3" w:rsidRPr="00AC4AD8">
        <w:rPr>
          <w:rFonts w:ascii="Times New Roman" w:hAnsi="Times New Roman"/>
          <w:i/>
        </w:rPr>
        <w:t>Trichoderma</w:t>
      </w:r>
      <w:r w:rsidRPr="00AC4AD8">
        <w:rPr>
          <w:rFonts w:ascii="Times New Roman" w:hAnsi="Times New Roman"/>
        </w:rPr>
        <w:t xml:space="preserve"> or in terms of slow release nutrient supplies, could promote a more sustainable soil community. </w:t>
      </w:r>
      <w:r w:rsidR="00F66CEE" w:rsidRPr="00AC4AD8">
        <w:rPr>
          <w:rFonts w:ascii="Times New Roman" w:hAnsi="Times New Roman"/>
        </w:rPr>
        <w:t>Along with the prevalence of detrital</w:t>
      </w:r>
      <w:r w:rsidR="00B20E32" w:rsidRPr="00AC4AD8">
        <w:rPr>
          <w:rFonts w:ascii="Times New Roman" w:hAnsi="Times New Roman"/>
        </w:rPr>
        <w:t xml:space="preserve"> and </w:t>
      </w:r>
      <w:r w:rsidR="00F66CEE" w:rsidRPr="00AC4AD8">
        <w:rPr>
          <w:rFonts w:ascii="Times New Roman" w:hAnsi="Times New Roman"/>
        </w:rPr>
        <w:t xml:space="preserve">fungal feeding species on the roof and the lack of predators encountered, this supports the hypothesis that population dynamics on these roofs are primarily controlled by resources from the bottom-up, rather than top-down by predators </w:t>
      </w:r>
      <w:r w:rsidR="004802E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"10.2307/177015", "author" : [ { "dropping-particle" : "", "family" : "Chen", "given" : "B", "non-dropping-particle" : "", "parse-names" : false, "suffix" : "" }, { "dropping-particle" : "", "family" : "Wise", "given" : "DH", "non-dropping-particle" : "", "parse-names" : false, "suffix" : "" } ], "container-title" : "Ecology", "id" : "ITEM-1", "issued" : { "date-parts" : [ [ "1999" ] ] }, "page" : "761-772", "title" : "Bottom-up limitation of predaceous arthropods in a detritus-based terrestrial food web", "type" : "article-journal", "volume" : "80" }, "uris" : [ "http://www.mendeley.com/documents/?uuid=2b6e11a7-0531-4f3a-874c-594fbf9316ac" ] } ], "mendeley" : { "formattedCitation" : "(Chen and Wise, 1999)", "manualFormatting" : "(Chen and Wise, 1999)", "plainTextFormattedCitation" : "(Chen and Wise, 1999)", "previouslyFormattedCitation" : "(Chen and Wise, 1999)"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(Chen and Wise, 1999)</w:t>
      </w:r>
      <w:r w:rsidR="004802ED" w:rsidRPr="00AC4AD8">
        <w:rPr>
          <w:rFonts w:ascii="Times New Roman" w:hAnsi="Times New Roman"/>
        </w:rPr>
        <w:fldChar w:fldCharType="end"/>
      </w:r>
      <w:r w:rsidR="00F66CEE" w:rsidRPr="00AC4AD8">
        <w:rPr>
          <w:rFonts w:ascii="Times New Roman" w:hAnsi="Times New Roman"/>
        </w:rPr>
        <w:t xml:space="preserve">.  Thus, if the resource base on green roofs could be sufficiently improved, increased abundances of not only soil dwelling microarthropods would be seen, but also their above ground predators, such as spiders and wasps </w:t>
      </w:r>
      <w:r w:rsidR="004802E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"10.2307/177015", "author" : [ { "dropping-particle" : "", "family" : "Chen", "given" : "B", "non-dropping-particle" : "", "parse-names" : false, "suffix" : "" }, { "dropping-particle" : "", "family" : "Wise", "given" : "DH", "non-dropping-particle" : "", "parse-names" : false, "suffix" : "" } ], "container-title" : "Ecology", "id" : "ITEM-1", "issued" : { "date-parts" : [ [ "1999" ] ] }, "page" : "761-772", "title" : "Bottom-up limitation of predaceous arthropods in a detritus-based terrestrial food web", "type" : "article-journal", "volume" : "80" }, "uris" : [ "http://www.mendeley.com/documents/?uuid=2b6e11a7-0531-4f3a-874c-594fbf9316ac" ] } ], "mendeley" : { "formattedCitation" : "(Chen and Wise, 1999)", "manualFormatting" : "(Chen and Wise, 1999)", "plainTextFormattedCitation" : "(Chen and Wise, 1999)", "previouslyFormattedCitation" : "(Chen and Wise, 1999)"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(Chen and Wise, 1999)</w:t>
      </w:r>
      <w:r w:rsidR="004802ED" w:rsidRPr="00AC4AD8">
        <w:rPr>
          <w:rFonts w:ascii="Times New Roman" w:hAnsi="Times New Roman"/>
        </w:rPr>
        <w:fldChar w:fldCharType="end"/>
      </w:r>
      <w:r w:rsidR="00F66CEE" w:rsidRPr="00AC4AD8">
        <w:rPr>
          <w:rFonts w:ascii="Times New Roman" w:hAnsi="Times New Roman"/>
        </w:rPr>
        <w:t xml:space="preserve"> contributing to a more diverse ecosystem overall.</w:t>
      </w:r>
    </w:p>
    <w:p w14:paraId="3F72CD01" w14:textId="3B5DD2DA" w:rsidR="00702AEB" w:rsidRPr="00AC4AD8" w:rsidRDefault="00705119" w:rsidP="00F03F20">
      <w:pPr>
        <w:spacing w:after="120" w:line="360" w:lineRule="auto"/>
        <w:ind w:firstLine="340"/>
        <w:jc w:val="both"/>
        <w:rPr>
          <w:rFonts w:ascii="Times New Roman" w:hAnsi="Times New Roman"/>
        </w:rPr>
      </w:pPr>
      <w:r w:rsidRPr="00AC4AD8">
        <w:rPr>
          <w:rFonts w:ascii="Times New Roman" w:hAnsi="Times New Roman"/>
        </w:rPr>
        <w:t>N</w:t>
      </w:r>
      <w:r w:rsidR="00702AEB" w:rsidRPr="00AC4AD8">
        <w:rPr>
          <w:rFonts w:ascii="Times New Roman" w:hAnsi="Times New Roman"/>
        </w:rPr>
        <w:t xml:space="preserve">ot all species or microarthropod families responded to </w:t>
      </w:r>
      <w:r w:rsidR="00F66CEE" w:rsidRPr="00AC4AD8">
        <w:rPr>
          <w:rFonts w:ascii="Times New Roman" w:hAnsi="Times New Roman"/>
        </w:rPr>
        <w:t>inoculants</w:t>
      </w:r>
      <w:r w:rsidR="00702AEB" w:rsidRPr="00AC4AD8">
        <w:rPr>
          <w:rFonts w:ascii="Times New Roman" w:hAnsi="Times New Roman"/>
        </w:rPr>
        <w:t xml:space="preserve"> in the same way. As a group studied independently, mites were unaffected by any of the inoculants, either in terms of abundance or community structure. As the mite community was dominated by the hardy, </w:t>
      </w:r>
      <w:proofErr w:type="spellStart"/>
      <w:r w:rsidR="00702AEB" w:rsidRPr="00AC4AD8">
        <w:rPr>
          <w:rFonts w:ascii="Times New Roman" w:hAnsi="Times New Roman"/>
        </w:rPr>
        <w:t>xerophillic</w:t>
      </w:r>
      <w:proofErr w:type="spellEnd"/>
      <w:r w:rsidR="00702AEB" w:rsidRPr="00AC4AD8">
        <w:rPr>
          <w:rFonts w:ascii="Times New Roman" w:hAnsi="Times New Roman"/>
        </w:rPr>
        <w:t xml:space="preserve"> mite order, Scutoverticidae, this is perhaps unsurprising. Scutoverticidae are thought to be generalist feeders, so could be expected to shift diet </w:t>
      </w:r>
      <w:r w:rsidR="004802ED" w:rsidRPr="00AC4AD8">
        <w:rPr>
          <w:rFonts w:ascii="Times New Roman" w:hAnsi="Times New Roman"/>
        </w:rPr>
        <w:t xml:space="preserve">depending on food availability </w:t>
      </w:r>
      <w:r w:rsidR="004802E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"10.1007/s00114-006-0141-y", "author" : [ { "dropping-particle" : "", "family" : "Smr\u017e", "given" : "J", "non-dropping-particle" : "", "parse-names" : false, "suffix" : "" } ], "container-title" : "Naturwissenschaften", "id" : "ITEM-1", "issued" : { "date-parts" : [ [ "2006" ] ] }, "page" : "570-576", "title" : "Microhabitat selection in the simple oribatid community dwelling in epilithic moss cover (Acari: Oribatida)", "type" : "article-journal", "volume" : "93" }, "uris" : [ "http://www.mendeley.com/documents/?uuid=2a6785e5-5719-4269-ac9b-109f20808aa4" ] } ], "mendeley" : { "formattedCitation" : "(Smr\u017e, 2006)", "plainTextFormattedCitation" : "(Smr\u017e, 2006)", "previouslyFormattedCitation" : "(Smr\u017e, 2006)"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(Smrž, 2006)</w:t>
      </w:r>
      <w:r w:rsidR="004802ED" w:rsidRPr="00AC4AD8">
        <w:rPr>
          <w:rFonts w:ascii="Times New Roman" w:hAnsi="Times New Roman"/>
        </w:rPr>
        <w:fldChar w:fldCharType="end"/>
      </w:r>
      <w:r w:rsidR="00702AEB" w:rsidRPr="00AC4AD8">
        <w:rPr>
          <w:rFonts w:ascii="Times New Roman" w:hAnsi="Times New Roman"/>
        </w:rPr>
        <w:t>. In addition, whilst this order is thought to be associated with moss</w:t>
      </w:r>
      <w:r w:rsidR="004802ED" w:rsidRPr="00AC4AD8">
        <w:rPr>
          <w:rFonts w:ascii="Times New Roman" w:hAnsi="Times New Roman"/>
        </w:rPr>
        <w:t xml:space="preserve"> </w:t>
      </w:r>
      <w:r w:rsidR="004802ED" w:rsidRPr="00AC4AD8">
        <w:rPr>
          <w:rFonts w:ascii="Times New Roman" w:hAnsi="Times New Roman"/>
        </w:rPr>
        <w:fldChar w:fldCharType="begin" w:fldLock="1"/>
      </w:r>
      <w:r w:rsidR="004802ED" w:rsidRPr="00AC4AD8">
        <w:rPr>
          <w:rFonts w:ascii="Times New Roman" w:hAnsi="Times New Roman"/>
        </w:rPr>
        <w:instrText>ADDIN CSL_CITATION { "citationItems" : [ { "id" : "ITEM-1", "itemData" : { "DOI" : "10.1016/j.ympev.2009.11.025", "ISSN" : "1095-9513", "PMID" : "20006724", "abstract" : "The soil and moss dwelling oribatid mite family Scutoverticidae is considered to represent an assemblage of distantly related but morphologically similar genera. We used nucleotide sequences of one mitochondrial (COI) and two nuclear (28S rDNA, ef-1alpha) genes, and 79 morphological characters to elucidate the phylogenetic relationships among 11 nominal plus two undescribed European mite species of the family Scutoverticidae with a particular focus on the genus Scutovertex. Both molecular genetic and morphological data revealed a paraphyletic genus Scutovertex, with S. pictus probably representing a distinct genus, and Provertex kuehnelti was confirmed as member of the family Scutoverticidae. Molecular genetic data confirmed several recently described Scutovertex species and thus the high species diversity within this genus in Europe and suggest that S. sculptus represents a complex of several cryptic species exhibiting marked genetic, but hardly any morphological divergence.", "author" : [ { "dropping-particle" : "", "family" : "Sch\u00e4ffer", "given" : "Sylvia", "non-dropping-particle" : "", "parse-names" : false, "suffix" : "" }, { "dropping-particle" : "", "family" : "Pfingstl", "given" : "Tobias", "non-dropping-particle" : "", "parse-names" : false, "suffix" : "" }, { "dropping-particle" : "", "family" : "Koblm\u00fcller", "given" : "Stephan", "non-dropping-particle" : "", "parse-names" : false, "suffix" : "" }, { "dropping-particle" : "", "family" : "Winkler", "given" : "Kathrin A", "non-dropping-particle" : "", "parse-names" : false, "suffix" : "" }, { "dropping-particle" : "", "family" : "Sturmbauer", "given" : "Christian", "non-dropping-particle" : "", "parse-names" : false, "suffix" : "" }, { "dropping-particle" : "", "family" : "Krisper", "given" : "G\u00fcnther", "non-dropping-particle" : "", "parse-names" : false, "suffix" : "" } ], "container-title" : "Molecular phylogenetics and evolution", "id" : "ITEM-1", "issue" : "2", "issued" : { "date-parts" : [ [ "2010", "5" ] ] }, "page" : "677-88", "title" : "Phylogenetic analysis of European Scutovertex mites (Acari, Oribatida, Scutoverticidae) reveals paraphyly and cryptic diversity: A molecular genetic and morphological approach.", "type" : "article-journal", "volume" : "55" }, "uris" : [ "http://www.mendeley.com/documents/?uuid=84a61f4c-975b-46b3-b8ac-b8faecf89906" ] } ], "mendeley" : { "formattedCitation" : "(Sch\u00e4ffer et al., 2010)", "plainTextFormattedCitation" : "(Sch\u00e4ffer et al., 2010)", "previouslyFormattedCitation" : "(Sch\u00e4ffer et al., 2010)"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(Schäffer et al., 2010)</w:t>
      </w:r>
      <w:r w:rsidR="004802ED" w:rsidRPr="00AC4AD8">
        <w:rPr>
          <w:rFonts w:ascii="Times New Roman" w:hAnsi="Times New Roman"/>
        </w:rPr>
        <w:fldChar w:fldCharType="end"/>
      </w:r>
      <w:r w:rsidR="00702AEB" w:rsidRPr="00AC4AD8">
        <w:rPr>
          <w:rFonts w:ascii="Times New Roman" w:hAnsi="Times New Roman"/>
        </w:rPr>
        <w:t xml:space="preserve">, the effect of </w:t>
      </w:r>
      <w:r w:rsidR="00F468C3" w:rsidRPr="00AC4AD8">
        <w:rPr>
          <w:rFonts w:ascii="Times New Roman" w:hAnsi="Times New Roman"/>
          <w:i/>
        </w:rPr>
        <w:t>Trichoderma</w:t>
      </w:r>
      <w:r w:rsidR="00702AEB" w:rsidRPr="00AC4AD8">
        <w:rPr>
          <w:rFonts w:ascii="Times New Roman" w:hAnsi="Times New Roman"/>
          <w:i/>
        </w:rPr>
        <w:t xml:space="preserve"> </w:t>
      </w:r>
      <w:r w:rsidR="00702AEB" w:rsidRPr="00AC4AD8">
        <w:rPr>
          <w:rFonts w:ascii="Times New Roman" w:hAnsi="Times New Roman"/>
        </w:rPr>
        <w:t>on the green roof bryophyte community did not translate to the mite community, suggesting that these organisms are robust to changes in their environment.</w:t>
      </w:r>
    </w:p>
    <w:p w14:paraId="437E6961" w14:textId="5359AAF1" w:rsidR="009F1065" w:rsidRPr="00AC4AD8" w:rsidRDefault="00B20E32" w:rsidP="00F03F20">
      <w:pPr>
        <w:spacing w:after="120" w:line="360" w:lineRule="auto"/>
        <w:ind w:firstLine="340"/>
        <w:jc w:val="both"/>
        <w:rPr>
          <w:rFonts w:ascii="Times New Roman" w:hAnsi="Times New Roman"/>
        </w:rPr>
      </w:pPr>
      <w:r w:rsidRPr="00AC4AD8">
        <w:rPr>
          <w:rFonts w:ascii="Times New Roman" w:hAnsi="Times New Roman"/>
        </w:rPr>
        <w:t xml:space="preserve">Some inoculants had more complex, or even negative effects on microarthropod groups. For example, </w:t>
      </w:r>
      <w:r w:rsidR="00C07C85" w:rsidRPr="00AC4AD8">
        <w:rPr>
          <w:rFonts w:ascii="Times New Roman" w:hAnsi="Times New Roman"/>
        </w:rPr>
        <w:t>Collembola in bacteria treated plots were higher in abundance than in other plots in the month of January</w:t>
      </w:r>
      <w:r w:rsidRPr="00AC4AD8">
        <w:rPr>
          <w:rFonts w:ascii="Times New Roman" w:hAnsi="Times New Roman"/>
        </w:rPr>
        <w:t>, but i</w:t>
      </w:r>
      <w:r w:rsidR="009F1065" w:rsidRPr="00AC4AD8">
        <w:rPr>
          <w:rFonts w:ascii="Times New Roman" w:hAnsi="Times New Roman"/>
        </w:rPr>
        <w:t>n subsequent months were less abundant.</w:t>
      </w:r>
      <w:r w:rsidRPr="00AC4AD8">
        <w:rPr>
          <w:rFonts w:ascii="Times New Roman" w:hAnsi="Times New Roman"/>
        </w:rPr>
        <w:t xml:space="preserve"> Whilst bacteria are a dietary component for some </w:t>
      </w:r>
      <w:r w:rsidR="00FF46CA" w:rsidRPr="00AC4AD8">
        <w:rPr>
          <w:rFonts w:ascii="Times New Roman" w:hAnsi="Times New Roman"/>
        </w:rPr>
        <w:t>C</w:t>
      </w:r>
      <w:r w:rsidRPr="00AC4AD8">
        <w:rPr>
          <w:rFonts w:ascii="Times New Roman" w:hAnsi="Times New Roman"/>
        </w:rPr>
        <w:t>ollembola species</w:t>
      </w:r>
      <w:r w:rsidR="009F1065" w:rsidRPr="00AC4AD8">
        <w:rPr>
          <w:rFonts w:ascii="Times New Roman" w:hAnsi="Times New Roman"/>
        </w:rPr>
        <w:t xml:space="preserve"> </w:t>
      </w:r>
      <w:r w:rsidRPr="00AC4AD8">
        <w:rPr>
          <w:rFonts w:ascii="Times New Roman" w:hAnsi="Times New Roman"/>
        </w:rPr>
        <w:t>(</w:t>
      </w:r>
      <w:r w:rsidR="004802E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"10.1016/j.ejsobi.2005.07.001", "author" : [ { "dropping-particle" : "", "family" : "Gillet", "given" : "S", "non-dropping-particle" : "", "parse-names" : false, "suffix" : "" }, { "dropping-particle" : "", "family" : "Ponge", "given" : "JF", "non-dropping-particle" : "", "parse-names" : false, "suffix" : "" } ], "container-title" : "European journal of soil biology", "id" : "ITEM-1", "issued" : { "date-parts" : [ [ "2005" ] ] }, "page" : "39-44", "title" : "Species assemblages and diets of Collembola in the organic matter accumulated over an old tar deposit", "type" : "article-journal", "volume" : "41" }, "uris" : [ "http://www.mendeley.com/documents/?uuid=f38c47c5-9883-4123-94d5-6a333a1b29b1" ] } ], "mendeley" : { "formattedCitation" : "(Gillet and Ponge, 2005)", "manualFormatting" : "Gillet and Ponge, 2005)", "plainTextFormattedCitation" : "(Gillet and Ponge, 2005)", "previouslyFormattedCitation" : "(Gillet and Ponge, 2005)"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Gillet and Ponge, 2005)</w:t>
      </w:r>
      <w:r w:rsidR="004802ED" w:rsidRPr="00AC4AD8">
        <w:rPr>
          <w:rFonts w:ascii="Times New Roman" w:hAnsi="Times New Roman"/>
        </w:rPr>
        <w:fldChar w:fldCharType="end"/>
      </w:r>
      <w:r w:rsidR="00765566" w:rsidRPr="00AC4AD8">
        <w:rPr>
          <w:rFonts w:ascii="Times New Roman" w:hAnsi="Times New Roman"/>
        </w:rPr>
        <w:t xml:space="preserve"> </w:t>
      </w:r>
      <w:r w:rsidRPr="00AC4AD8">
        <w:rPr>
          <w:rFonts w:ascii="Times New Roman" w:hAnsi="Times New Roman"/>
        </w:rPr>
        <w:t xml:space="preserve">the increased mass of bacteria after inoculation is short lived, with studies reporting a drop in bacterial mass 60 days after inoculation </w:t>
      </w:r>
      <w:r w:rsidRPr="00AC4AD8">
        <w:rPr>
          <w:rFonts w:ascii="Times New Roman" w:hAnsi="Times New Roman"/>
        </w:rPr>
        <w:fldChar w:fldCharType="begin" w:fldLock="1"/>
      </w:r>
      <w:r w:rsidRPr="00AC4AD8">
        <w:rPr>
          <w:rFonts w:ascii="Times New Roman" w:hAnsi="Times New Roman"/>
        </w:rPr>
        <w:instrText>ADDIN CSL_CITATION { "citationItems" : [ { "id" : "ITEM-1", "itemData" : { "DOI" : "10.1016/j.foreco.2004.02.026", "ISSN" : "03781127", "abstract" : "A local species of oak (Quercus ilex ssp. ballota) was inoculated or co-inoculated with the ectomycorrhizal fungus Pisolithus tinctorius and two plant growth promoting rhizobacteria (PGPR) of the genus Bacillus (Bacillus licheniformis CECT 5106 and Bacillus pumilus CECT 5105). Effects of inoculation on growth, on N acquisition by the plant roots, changes in rhizosphere microbial communities and the degree of mycorrhization were evaluated. Only B. licheniformis promoted the growth of Q. ilex seedlings while co-inoculation of either bacterial strain with P. tinctorius had a negative effect on plant growth. Furthermore, B. licheniformis inhibited fungal growth as revealed by ergosterol/chitin analysis. As shown by phospholipid fatty acid profiles, the inoculation caused a slight alteration in the microbial community structure of the rhizosphere, both in the total community and the culturable populations.", "author" : [ { "dropping-particle" : "", "family" : "Domenech", "given" : "Jezabel", "non-dropping-particle" : "", "parse-names" : false, "suffix" : "" }, { "dropping-particle" : "", "family" : "Ramos-Solano", "given" : "Beatriz", "non-dropping-particle" : "", "parse-names" : false, "suffix" : "" }, { "dropping-particle" : "", "family" : "Probanza", "given" : "Agustin", "non-dropping-particle" : "", "parse-names" : false, "suffix" : "" }, { "dropping-particle" : "", "family" : "Lucas-Garc\u0131\u0301a", "given" : "Jos\u00e9 Antonio", "non-dropping-particle" : "", "parse-names" : false, "suffix" : "" }, { "dropping-particle" : "", "family" : "Col\u00f3n", "given" : "Juan Jos\u00e9", "non-dropping-particle" : "", "parse-names" : false, "suffix" : "" }, { "dropping-particle" : "", "family" : "Guti\u00e9rrez-Ma\u00f1ero", "given" : "Francisco Javier", "non-dropping-particle" : "", "parse-names" : false, "suffix" : "" } ], "container-title" : "Forest Ecology and Management", "id" : "ITEM-1", "issue" : "1-3", "issued" : { "date-parts" : [ [ "2004", "6" ] ] }, "page" : "293-303", "title" : "Bacillus spp. and Pisolithus tinctorius effects on Quercus ilex ssp. ballota: a study on tree growth, rhizosphere community structure and mycorrhizal infection", "type" : "article-journal", "volume" : "194" }, "uris" : [ "http://www.mendeley.com/documents/?uuid=3b799452-af40-4ce1-abe9-795c7985fc22" ] } ], "mendeley" : { "formattedCitation" : "(Domenech et al., 2004)", "plainTextFormattedCitation" : "(Domenech et al., 2004)", "previouslyFormattedCitation" : "(Domenech et al., 2004)"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(Domenech et al., 2004)</w:t>
      </w:r>
      <w:r w:rsidRPr="00AC4AD8">
        <w:rPr>
          <w:rFonts w:ascii="Times New Roman" w:hAnsi="Times New Roman"/>
        </w:rPr>
        <w:fldChar w:fldCharType="end"/>
      </w:r>
      <w:r w:rsidRPr="00AC4AD8">
        <w:rPr>
          <w:rFonts w:ascii="Times New Roman" w:hAnsi="Times New Roman"/>
        </w:rPr>
        <w:t xml:space="preserve">. Instead </w:t>
      </w:r>
      <w:r w:rsidR="000E20A1" w:rsidRPr="00AC4AD8">
        <w:rPr>
          <w:rFonts w:ascii="Times New Roman" w:hAnsi="Times New Roman"/>
        </w:rPr>
        <w:t>bacterial inoculants are</w:t>
      </w:r>
      <w:r w:rsidR="005130E4" w:rsidRPr="00AC4AD8">
        <w:rPr>
          <w:rFonts w:ascii="Times New Roman" w:hAnsi="Times New Roman"/>
        </w:rPr>
        <w:t xml:space="preserve"> thought to </w:t>
      </w:r>
      <w:r w:rsidR="000E20A1" w:rsidRPr="00AC4AD8">
        <w:rPr>
          <w:rFonts w:ascii="Times New Roman" w:hAnsi="Times New Roman"/>
        </w:rPr>
        <w:t>have</w:t>
      </w:r>
      <w:r w:rsidR="005130E4" w:rsidRPr="00AC4AD8">
        <w:rPr>
          <w:rFonts w:ascii="Times New Roman" w:hAnsi="Times New Roman"/>
        </w:rPr>
        <w:t xml:space="preserve"> long lived impacts on successional development </w:t>
      </w:r>
      <w:r w:rsidR="004802ED" w:rsidRPr="00AC4AD8">
        <w:rPr>
          <w:rFonts w:ascii="Times New Roman" w:hAnsi="Times New Roman"/>
        </w:rPr>
        <w:fldChar w:fldCharType="begin" w:fldLock="1"/>
      </w:r>
      <w:r w:rsidR="006E179D" w:rsidRPr="00AC4AD8">
        <w:rPr>
          <w:rFonts w:ascii="Times New Roman" w:hAnsi="Times New Roman"/>
        </w:rPr>
        <w:instrText>ADDIN CSL_CITATION { "citationItems" : [ { "id" : "ITEM-1", "itemData" : { "DOI" : "10.1016/S0929-1393(02)00007-0", "author" : [ { "dropping-particle" : "", "family" : "Probanza", "given" : "A", "non-dropping-particle" : "", "parse-names" : false, "suffix" : "" }, { "dropping-particle" : "", "family" : "Garc\u0131a", "given" : "JAL", "non-dropping-particle" : "", "parse-names" : false, "suffix" : "" }, { "dropping-particle" : "", "family" : "Palomino", "given" : "MR", "non-dropping-particle" : "", "parse-names" : false, "suffix" : "" } ], "container-title" : "Applied Soil Ecology", "id" : "ITEM-1", "issued" : { "date-parts" : [ [ "2002" ] ] }, "page" : "75-84", "title" : "Pinus pinea L. seedling growth and bacterial rhizosphere structure after inoculation with PGPR Bacillus (B. licheniformis CECT 5106 and B. pumilus CECT 5105)", "type" : "article-journal", "volume" : "20" }, "uris" : [ "http://www.mendeley.com/documents/?uuid=19e86887-963c-404d-9672-fe6dfe4580d9" ] } ], "mendeley" : { "formattedCitation" : "(Probanza et al., 2002)", "plainTextFormattedCitation" : "(Probanza et al., 2002)", "previouslyFormattedCitation" : "(Probanza et al., 2002)" }, "properties" : { "noteIndex" : 0 }, "schema" : "https://github.com/citation-style-language/schema/raw/master/csl-citation.json" }</w:instrText>
      </w:r>
      <w:r w:rsidR="004802ED" w:rsidRPr="00AC4AD8">
        <w:rPr>
          <w:rFonts w:ascii="Times New Roman" w:hAnsi="Times New Roman"/>
        </w:rPr>
        <w:fldChar w:fldCharType="separate"/>
      </w:r>
      <w:r w:rsidR="004802ED" w:rsidRPr="00AC4AD8">
        <w:rPr>
          <w:rFonts w:ascii="Times New Roman" w:hAnsi="Times New Roman"/>
          <w:noProof/>
        </w:rPr>
        <w:t>(Probanza et al., 2002)</w:t>
      </w:r>
      <w:r w:rsidR="004802ED" w:rsidRPr="00AC4AD8">
        <w:rPr>
          <w:rFonts w:ascii="Times New Roman" w:hAnsi="Times New Roman"/>
        </w:rPr>
        <w:fldChar w:fldCharType="end"/>
      </w:r>
      <w:r w:rsidR="005130E4" w:rsidRPr="00AC4AD8">
        <w:rPr>
          <w:rFonts w:ascii="Times New Roman" w:hAnsi="Times New Roman"/>
        </w:rPr>
        <w:t>.</w:t>
      </w:r>
      <w:r w:rsidR="000E20A1" w:rsidRPr="00AC4AD8">
        <w:rPr>
          <w:rFonts w:ascii="Times New Roman" w:hAnsi="Times New Roman"/>
        </w:rPr>
        <w:t xml:space="preserve"> </w:t>
      </w:r>
      <w:r w:rsidR="000E20A1" w:rsidRPr="00AC4AD8">
        <w:rPr>
          <w:rFonts w:ascii="Times New Roman" w:hAnsi="Times New Roman"/>
          <w:i/>
        </w:rPr>
        <w:t xml:space="preserve">Bacillus spp., </w:t>
      </w:r>
      <w:r w:rsidR="000E20A1" w:rsidRPr="00AC4AD8">
        <w:rPr>
          <w:rFonts w:ascii="Times New Roman" w:hAnsi="Times New Roman"/>
        </w:rPr>
        <w:t xml:space="preserve">for example, have been shown to decrease the survival rate of some fungal mycelia </w:t>
      </w:r>
      <w:r w:rsidR="000E20A1" w:rsidRPr="00AC4AD8">
        <w:rPr>
          <w:rFonts w:ascii="Times New Roman" w:hAnsi="Times New Roman"/>
        </w:rPr>
        <w:fldChar w:fldCharType="begin" w:fldLock="1"/>
      </w:r>
      <w:r w:rsidR="004B1897" w:rsidRPr="00AC4AD8">
        <w:rPr>
          <w:rFonts w:ascii="Times New Roman" w:hAnsi="Times New Roman"/>
        </w:rPr>
        <w:instrText>ADDIN CSL_CITATION { "citationItems" : [ { "id" : "ITEM-1", "itemData" : { "DOI" : "10.1007/s002480000081", "author" : [ { "dropping-particle" : "", "family" : "Probanza", "given" : "A", "non-dropping-particle" : "", "parse-names" : false, "suffix" : "" }, { "dropping-particle" : "", "family" : "Mateos", "given" : "JL", "non-dropping-particle" : "", "parse-names" : false, "suffix" : "" }, { "dropping-particle" : "", "family" : "Garcia", "given" : "JAL", "non-dropping-particle" : "", "parse-names" : false, "suffix" : "" } ], "container-title" : "Microbial Ecology", "id" : "ITEM-1", "issued" : { "date-parts" : [ [ "2001" ] ] }, "page" : "140-148", "title" : "Effects of inoculation with PGPR Bacillus and Pisolithus tinctorius on Pinus pinea L. growth, bacterial rhizosphere colonization, and mycorrhizal infection", "type" : "article-journal", "volume" : "41" }, "uris" : [ "http://www.mendeley.com/documents/?uuid=008c5cd5-e8eb-4f87-b7d8-df79d9ea9eda" ] }, { "id" : "ITEM-2", "itemData" : { "DOI" : "10.1016/j.foreco.2004.02.026", "ISSN" : "03781127", "abstract" : "A local species of oak (Quercus ilex ssp. ballota) was inoculated or co-inoculated with the ectomycorrhizal fungus Pisolithus tinctorius and two plant growth promoting rhizobacteria (PGPR) of the genus Bacillus (Bacillus licheniformis CECT 5106 and Bacillus pumilus CECT 5105). Effects of inoculation on growth, on N acquisition by the plant roots, changes in rhizosphere microbial communities and the degree of mycorrhization were evaluated. Only B. licheniformis promoted the growth of Q. ilex seedlings while co-inoculation of either bacterial strain with P. tinctorius had a negative effect on plant growth. Furthermore, B. licheniformis inhibited fungal growth as revealed by ergosterol/chitin analysis. As shown by phospholipid fatty acid profiles, the inoculation caused a slight alteration in the microbial community structure of the rhizosphere, both in the total community and the culturable populations.", "author" : [ { "dropping-particle" : "", "family" : "Domenech", "given" : "Jezabel", "non-dropping-particle" : "", "parse-names" : false, "suffix" : "" }, { "dropping-particle" : "", "family" : "Ramos-Solano", "given" : "Beatriz", "non-dropping-particle" : "", "parse-names" : false, "suffix" : "" }, { "dropping-particle" : "", "family" : "Probanza", "given" : "Agustin", "non-dropping-particle" : "", "parse-names" : false, "suffix" : "" }, { "dropping-particle" : "", "family" : "Lucas-Garc\u0131\u0301a", "given" : "Jos\u00e9 Antonio", "non-dropping-particle" : "", "parse-names" : false, "suffix" : "" }, { "dropping-particle" : "", "family" : "Col\u00f3n", "given" : "Juan Jos\u00e9", "non-dropping-particle" : "", "parse-names" : false, "suffix" : "" }, { "dropping-particle" : "", "family" : "Guti\u00e9rrez-Ma\u00f1ero", "given" : "Francisco Javier", "non-dropping-particle" : "", "parse-names" : false, "suffix" : "" } ], "container-title" : "Forest Ecology and Management", "id" : "ITEM-2", "issue" : "1-3", "issued" : { "date-parts" : [ [ "2004", "6" ] ] }, "page" : "293-303", "title" : "Bacillus spp. and Pisolithus tinctorius effects on Quercus ilex ssp. ballota: a study on tree growth, rhizosphere community structure and mycorrhizal infection", "type" : "article-journal", "volume" : "194" }, "uris" : [ "http://www.mendeley.com/documents/?uuid=3b799452-af40-4ce1-abe9-795c7985fc22" ] } ], "mendeley" : { "formattedCitation" : "(Domenech et al., 2004; Probanza et al., 2001)", "manualFormatting" : "(Probanza et al., 2001; Domenech et al., 2004)", "plainTextFormattedCitation" : "(Domenech et al., 2004; Probanza et al., 2001)", "previouslyFormattedCitation" : "(Domenech et al., 2004; Probanza et al., 2001)" }, "properties" : { "noteIndex" : 0 }, "schema" : "https://github.com/citation-style-language/schema/raw/master/csl-citation.json" }</w:instrText>
      </w:r>
      <w:r w:rsidR="000E20A1" w:rsidRPr="00AC4AD8">
        <w:rPr>
          <w:rFonts w:ascii="Times New Roman" w:hAnsi="Times New Roman"/>
        </w:rPr>
        <w:fldChar w:fldCharType="separate"/>
      </w:r>
      <w:r w:rsidR="000E20A1" w:rsidRPr="00AC4AD8">
        <w:rPr>
          <w:rFonts w:ascii="Times New Roman" w:hAnsi="Times New Roman"/>
          <w:noProof/>
        </w:rPr>
        <w:t>(</w:t>
      </w:r>
      <w:r w:rsidR="00196679" w:rsidRPr="00AC4AD8">
        <w:rPr>
          <w:rFonts w:ascii="Times New Roman" w:hAnsi="Times New Roman"/>
          <w:noProof/>
        </w:rPr>
        <w:t xml:space="preserve">Probanza et al., 2001; </w:t>
      </w:r>
      <w:r w:rsidR="000E20A1" w:rsidRPr="00AC4AD8">
        <w:rPr>
          <w:rFonts w:ascii="Times New Roman" w:hAnsi="Times New Roman"/>
          <w:noProof/>
        </w:rPr>
        <w:t>Domenech et al., 2004)</w:t>
      </w:r>
      <w:r w:rsidR="000E20A1" w:rsidRPr="00AC4AD8">
        <w:rPr>
          <w:rFonts w:ascii="Times New Roman" w:hAnsi="Times New Roman"/>
        </w:rPr>
        <w:fldChar w:fldCharType="end"/>
      </w:r>
      <w:r w:rsidR="000E20A1" w:rsidRPr="00AC4AD8">
        <w:rPr>
          <w:rFonts w:ascii="Times New Roman" w:hAnsi="Times New Roman"/>
        </w:rPr>
        <w:t>.</w:t>
      </w:r>
      <w:r w:rsidR="005130E4" w:rsidRPr="00AC4AD8">
        <w:rPr>
          <w:rFonts w:ascii="Times New Roman" w:hAnsi="Times New Roman"/>
        </w:rPr>
        <w:t xml:space="preserve"> Thus, </w:t>
      </w:r>
      <w:r w:rsidR="00765566" w:rsidRPr="00AC4AD8">
        <w:rPr>
          <w:rFonts w:ascii="Times New Roman" w:hAnsi="Times New Roman"/>
        </w:rPr>
        <w:t>the particular seasonal pa</w:t>
      </w:r>
      <w:r w:rsidR="00FF46CA" w:rsidRPr="00AC4AD8">
        <w:rPr>
          <w:rFonts w:ascii="Times New Roman" w:hAnsi="Times New Roman"/>
        </w:rPr>
        <w:t>tterns in bacteria</w:t>
      </w:r>
      <w:r w:rsidR="00E8130C" w:rsidRPr="00AC4AD8">
        <w:rPr>
          <w:rFonts w:ascii="Times New Roman" w:hAnsi="Times New Roman"/>
        </w:rPr>
        <w:t>l</w:t>
      </w:r>
      <w:r w:rsidR="00FF46CA" w:rsidRPr="00AC4AD8">
        <w:rPr>
          <w:rFonts w:ascii="Times New Roman" w:hAnsi="Times New Roman"/>
        </w:rPr>
        <w:t xml:space="preserve"> effect</w:t>
      </w:r>
      <w:r w:rsidR="009B6318" w:rsidRPr="00AC4AD8">
        <w:rPr>
          <w:rFonts w:ascii="Times New Roman" w:hAnsi="Times New Roman"/>
        </w:rPr>
        <w:t>s</w:t>
      </w:r>
      <w:r w:rsidR="00FF46CA" w:rsidRPr="00AC4AD8">
        <w:rPr>
          <w:rFonts w:ascii="Times New Roman" w:hAnsi="Times New Roman"/>
        </w:rPr>
        <w:t xml:space="preserve"> on C</w:t>
      </w:r>
      <w:r w:rsidR="00765566" w:rsidRPr="00AC4AD8">
        <w:rPr>
          <w:rFonts w:ascii="Times New Roman" w:hAnsi="Times New Roman"/>
        </w:rPr>
        <w:t xml:space="preserve">ollembola populations </w:t>
      </w:r>
      <w:r w:rsidR="000E20A1" w:rsidRPr="00AC4AD8">
        <w:rPr>
          <w:rFonts w:ascii="Times New Roman" w:hAnsi="Times New Roman"/>
        </w:rPr>
        <w:t xml:space="preserve">could be due to a long term lowering of collembolan food sources. </w:t>
      </w:r>
    </w:p>
    <w:p w14:paraId="67AA7BC9" w14:textId="36BAD937" w:rsidR="009F1065" w:rsidRPr="00AC4AD8" w:rsidRDefault="001F439F" w:rsidP="00F03F20">
      <w:pPr>
        <w:spacing w:after="120" w:line="360" w:lineRule="auto"/>
        <w:ind w:firstLine="340"/>
        <w:jc w:val="both"/>
        <w:rPr>
          <w:rFonts w:ascii="Times New Roman" w:hAnsi="Times New Roman"/>
        </w:rPr>
      </w:pPr>
      <w:r w:rsidRPr="00AC4AD8">
        <w:rPr>
          <w:rFonts w:ascii="Times New Roman" w:hAnsi="Times New Roman"/>
        </w:rPr>
        <w:t>Further microbial-microarthropod interactions were observed in this study that are difficult to explain without further research. For example,</w:t>
      </w:r>
      <w:r w:rsidR="009F1065" w:rsidRPr="00AC4AD8">
        <w:rPr>
          <w:rFonts w:ascii="Times New Roman" w:hAnsi="Times New Roman"/>
        </w:rPr>
        <w:t xml:space="preserve"> when bacteria and mycorrhiza were added together, the </w:t>
      </w:r>
      <w:r w:rsidRPr="00AC4AD8">
        <w:rPr>
          <w:rFonts w:ascii="Times New Roman" w:hAnsi="Times New Roman"/>
        </w:rPr>
        <w:t>group of insect larvae</w:t>
      </w:r>
      <w:r w:rsidR="009F1065" w:rsidRPr="00AC4AD8">
        <w:rPr>
          <w:rFonts w:ascii="Times New Roman" w:hAnsi="Times New Roman"/>
        </w:rPr>
        <w:t xml:space="preserve"> decreased in abundance, though no community changes </w:t>
      </w:r>
      <w:r w:rsidR="00420454" w:rsidRPr="00AC4AD8">
        <w:rPr>
          <w:rFonts w:ascii="Times New Roman" w:hAnsi="Times New Roman"/>
        </w:rPr>
        <w:t>or enhancement of mycorrhizal colonisation was</w:t>
      </w:r>
      <w:r w:rsidR="009F1065" w:rsidRPr="00AC4AD8">
        <w:rPr>
          <w:rFonts w:ascii="Times New Roman" w:hAnsi="Times New Roman"/>
        </w:rPr>
        <w:t xml:space="preserve"> demonstrated.</w:t>
      </w:r>
      <w:r w:rsidR="005130E4" w:rsidRPr="00AC4AD8">
        <w:rPr>
          <w:rFonts w:ascii="Times New Roman" w:hAnsi="Times New Roman"/>
        </w:rPr>
        <w:t xml:space="preserve"> </w:t>
      </w:r>
      <w:r w:rsidR="009F1065" w:rsidRPr="00AC4AD8">
        <w:rPr>
          <w:rFonts w:ascii="Times New Roman" w:hAnsi="Times New Roman"/>
        </w:rPr>
        <w:t xml:space="preserve"> </w:t>
      </w:r>
      <w:r w:rsidR="00044109" w:rsidRPr="00AC4AD8">
        <w:rPr>
          <w:rFonts w:ascii="Times New Roman" w:hAnsi="Times New Roman"/>
        </w:rPr>
        <w:t xml:space="preserve">Mycorrhizal colonization can reduce </w:t>
      </w:r>
      <w:r w:rsidR="00CB569D" w:rsidRPr="00AC4AD8">
        <w:rPr>
          <w:rFonts w:ascii="Times New Roman" w:hAnsi="Times New Roman"/>
        </w:rPr>
        <w:t xml:space="preserve">the </w:t>
      </w:r>
      <w:r w:rsidR="00044109" w:rsidRPr="00AC4AD8">
        <w:rPr>
          <w:rFonts w:ascii="Times New Roman" w:hAnsi="Times New Roman"/>
        </w:rPr>
        <w:t xml:space="preserve">growth of </w:t>
      </w:r>
      <w:proofErr w:type="spellStart"/>
      <w:r w:rsidR="00044109" w:rsidRPr="00AC4AD8">
        <w:rPr>
          <w:rFonts w:ascii="Times New Roman" w:hAnsi="Times New Roman"/>
        </w:rPr>
        <w:t>rhizophagous</w:t>
      </w:r>
      <w:proofErr w:type="spellEnd"/>
      <w:r w:rsidR="00044109" w:rsidRPr="00AC4AD8">
        <w:rPr>
          <w:rFonts w:ascii="Times New Roman" w:hAnsi="Times New Roman"/>
        </w:rPr>
        <w:t xml:space="preserve"> insect larvae </w:t>
      </w:r>
      <w:r w:rsidR="008E690D"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"10.1146/annurev-ento-010814-020608", "author" : [ { "dropping-particle" : "", "family" : "Johnson", "given" : "Scott N.", "non-dropping-particle" : "", "parse-names" : false, "suffix" : "" }, { "dropping-particle" : "", "family" : "Rasmann", "given" : "Sergio", "non-dropping-particle" : "", "parse-names" : false, "suffix" : "" } ], "container-title" : "Annual Review of Entomology", "id" : "ITEM-1", "issued" : { "date-parts" : [ [ "2015" ] ] }, "page" : "517-535", "title" : "Root-feeding insects and their interactions with organisms in the rhizosphere", "type" : "article-journal", "volume" : "60" }, "uris" : [ "http://www.mendeley.com/documents/?uuid=6ec67944-b315-4fc4-bc6f-f565589dcf78" ] } ], "mendeley" : { "formattedCitation" : "(Johnson and Rasmann, 2015)", "plainTextFormattedCitation" : "(Johnson and Rasmann, 2015)", "previouslyFormattedCitation" : "(Johnson and Rasmann, 2015)" }, "properties" : { "noteIndex" : 0 }, "schema" : "https://github.com/citation-style-language/schema/raw/master/csl-citation.json" }</w:instrText>
      </w:r>
      <w:r w:rsidR="008E690D" w:rsidRPr="00AC4AD8">
        <w:rPr>
          <w:rFonts w:ascii="Times New Roman" w:hAnsi="Times New Roman"/>
        </w:rPr>
        <w:fldChar w:fldCharType="separate"/>
      </w:r>
      <w:r w:rsidR="008E690D" w:rsidRPr="00AC4AD8">
        <w:rPr>
          <w:rFonts w:ascii="Times New Roman" w:hAnsi="Times New Roman"/>
          <w:noProof/>
        </w:rPr>
        <w:t>(Johnson and Rasmann, 2015)</w:t>
      </w:r>
      <w:r w:rsidR="008E690D" w:rsidRPr="00AC4AD8">
        <w:rPr>
          <w:rFonts w:ascii="Times New Roman" w:hAnsi="Times New Roman"/>
        </w:rPr>
        <w:fldChar w:fldCharType="end"/>
      </w:r>
      <w:r w:rsidR="00044109" w:rsidRPr="00AC4AD8">
        <w:rPr>
          <w:rFonts w:ascii="Times New Roman" w:hAnsi="Times New Roman"/>
        </w:rPr>
        <w:t xml:space="preserve">, but </w:t>
      </w:r>
      <w:r w:rsidR="00705119" w:rsidRPr="00AC4AD8">
        <w:rPr>
          <w:rFonts w:ascii="Times New Roman" w:hAnsi="Times New Roman"/>
        </w:rPr>
        <w:t xml:space="preserve">as no difference in mycorrhizal prevalence was noted, </w:t>
      </w:r>
      <w:r w:rsidR="00420454" w:rsidRPr="00AC4AD8">
        <w:rPr>
          <w:rFonts w:ascii="Times New Roman" w:hAnsi="Times New Roman"/>
        </w:rPr>
        <w:t>perhaps</w:t>
      </w:r>
      <w:r w:rsidR="00705119" w:rsidRPr="00AC4AD8">
        <w:rPr>
          <w:rFonts w:ascii="Times New Roman" w:hAnsi="Times New Roman"/>
        </w:rPr>
        <w:t xml:space="preserve"> this is dependent on mycorrhizal species rather than abundance</w:t>
      </w:r>
      <w:r w:rsidR="00420454" w:rsidRPr="00AC4AD8">
        <w:rPr>
          <w:rFonts w:ascii="Times New Roman" w:hAnsi="Times New Roman"/>
        </w:rPr>
        <w:t>. W</w:t>
      </w:r>
      <w:r w:rsidR="00044109" w:rsidRPr="00AC4AD8">
        <w:rPr>
          <w:rFonts w:ascii="Times New Roman" w:hAnsi="Times New Roman"/>
        </w:rPr>
        <w:t>ithout</w:t>
      </w:r>
      <w:r w:rsidR="00420454" w:rsidRPr="00AC4AD8">
        <w:rPr>
          <w:rFonts w:ascii="Times New Roman" w:hAnsi="Times New Roman"/>
        </w:rPr>
        <w:t xml:space="preserve"> higher resolution data for both fungal and insect groups</w:t>
      </w:r>
      <w:r w:rsidR="00044109" w:rsidRPr="00AC4AD8">
        <w:rPr>
          <w:rFonts w:ascii="Times New Roman" w:hAnsi="Times New Roman"/>
        </w:rPr>
        <w:t>, it is difficult to speculate further on the mechanism involved.</w:t>
      </w:r>
    </w:p>
    <w:p w14:paraId="412E0DEC" w14:textId="4FE106B4" w:rsidR="009F1065" w:rsidRPr="00AC4AD8" w:rsidRDefault="00705119" w:rsidP="00F03F20">
      <w:pPr>
        <w:spacing w:after="120" w:line="360" w:lineRule="auto"/>
        <w:ind w:firstLine="340"/>
        <w:jc w:val="both"/>
        <w:rPr>
          <w:rFonts w:ascii="Times New Roman" w:hAnsi="Times New Roman"/>
        </w:rPr>
      </w:pPr>
      <w:r w:rsidRPr="00AC4AD8">
        <w:rPr>
          <w:rFonts w:ascii="Times New Roman" w:hAnsi="Times New Roman"/>
        </w:rPr>
        <w:t>In general</w:t>
      </w:r>
      <w:r w:rsidR="009F1065" w:rsidRPr="00AC4AD8">
        <w:rPr>
          <w:rFonts w:ascii="Times New Roman" w:hAnsi="Times New Roman"/>
        </w:rPr>
        <w:t>, bacterial and mycorrhizal inoculants were relatively unsuccessful</w:t>
      </w:r>
      <w:r w:rsidR="00850258" w:rsidRPr="00AC4AD8">
        <w:rPr>
          <w:rFonts w:ascii="Times New Roman" w:hAnsi="Times New Roman"/>
        </w:rPr>
        <w:t>, with no enhancement to p</w:t>
      </w:r>
      <w:r w:rsidR="009F1065" w:rsidRPr="00AC4AD8">
        <w:rPr>
          <w:rFonts w:ascii="Times New Roman" w:hAnsi="Times New Roman"/>
        </w:rPr>
        <w:t xml:space="preserve">lant growth </w:t>
      </w:r>
      <w:r w:rsidR="00850258" w:rsidRPr="00AC4AD8">
        <w:rPr>
          <w:rFonts w:ascii="Times New Roman" w:hAnsi="Times New Roman"/>
        </w:rPr>
        <w:t>when added</w:t>
      </w:r>
      <w:r w:rsidR="009F1065" w:rsidRPr="00AC4AD8">
        <w:rPr>
          <w:rFonts w:ascii="Times New Roman" w:hAnsi="Times New Roman"/>
        </w:rPr>
        <w:t xml:space="preserve"> singly, or in conjunction with </w:t>
      </w:r>
      <w:r w:rsidR="00850258" w:rsidRPr="00AC4AD8">
        <w:rPr>
          <w:rFonts w:ascii="Times New Roman" w:hAnsi="Times New Roman"/>
        </w:rPr>
        <w:t>one another.</w:t>
      </w:r>
      <w:r w:rsidR="002973AC" w:rsidRPr="00AC4AD8">
        <w:rPr>
          <w:rFonts w:ascii="Times New Roman" w:hAnsi="Times New Roman"/>
        </w:rPr>
        <w:t xml:space="preserve"> </w:t>
      </w:r>
      <w:r w:rsidR="00850258" w:rsidRPr="00AC4AD8">
        <w:rPr>
          <w:rFonts w:ascii="Times New Roman" w:hAnsi="Times New Roman"/>
        </w:rPr>
        <w:t>In addition, r</w:t>
      </w:r>
      <w:r w:rsidR="002973AC" w:rsidRPr="00AC4AD8">
        <w:rPr>
          <w:rFonts w:ascii="Times New Roman" w:hAnsi="Times New Roman"/>
        </w:rPr>
        <w:t xml:space="preserve">oot </w:t>
      </w:r>
      <w:r w:rsidR="00CB569D" w:rsidRPr="00AC4AD8">
        <w:rPr>
          <w:rFonts w:ascii="Times New Roman" w:hAnsi="Times New Roman"/>
        </w:rPr>
        <w:t>colonizat</w:t>
      </w:r>
      <w:r w:rsidR="002973AC" w:rsidRPr="00AC4AD8">
        <w:rPr>
          <w:rFonts w:ascii="Times New Roman" w:hAnsi="Times New Roman"/>
        </w:rPr>
        <w:t xml:space="preserve">ion by mycorrhizal fungi </w:t>
      </w:r>
      <w:r w:rsidR="00850258" w:rsidRPr="00AC4AD8">
        <w:rPr>
          <w:rFonts w:ascii="Times New Roman" w:hAnsi="Times New Roman"/>
        </w:rPr>
        <w:t xml:space="preserve">was not </w:t>
      </w:r>
      <w:r w:rsidR="002973AC" w:rsidRPr="00AC4AD8">
        <w:rPr>
          <w:rFonts w:ascii="Times New Roman" w:hAnsi="Times New Roman"/>
        </w:rPr>
        <w:t xml:space="preserve">higher in plants treated with </w:t>
      </w:r>
      <w:r w:rsidR="00850258" w:rsidRPr="00AC4AD8">
        <w:rPr>
          <w:rFonts w:ascii="Times New Roman" w:hAnsi="Times New Roman"/>
        </w:rPr>
        <w:t>these two inoculants</w:t>
      </w:r>
      <w:r w:rsidR="009F1065" w:rsidRPr="00AC4AD8">
        <w:rPr>
          <w:rFonts w:ascii="Times New Roman" w:hAnsi="Times New Roman"/>
        </w:rPr>
        <w:t xml:space="preserve">. Whilst little is known about the microbial community in green roofs, this particular roof was </w:t>
      </w:r>
      <w:r w:rsidRPr="00AC4AD8">
        <w:rPr>
          <w:rFonts w:ascii="Times New Roman" w:hAnsi="Times New Roman"/>
        </w:rPr>
        <w:t>already mycorrhizal</w:t>
      </w:r>
      <w:r w:rsidR="009F1065" w:rsidRPr="00AC4AD8">
        <w:rPr>
          <w:rFonts w:ascii="Times New Roman" w:hAnsi="Times New Roman"/>
        </w:rPr>
        <w:t xml:space="preserve"> at the beginning of the study, suggesting an incumbent microbial community. Thus, it is possible that the generalist species added to this habitat either could not establish, due to </w:t>
      </w:r>
      <w:r w:rsidR="00F66CEE" w:rsidRPr="00AC4AD8">
        <w:rPr>
          <w:rFonts w:ascii="Times New Roman" w:hAnsi="Times New Roman"/>
        </w:rPr>
        <w:t>competition</w:t>
      </w:r>
      <w:r w:rsidR="009F1065" w:rsidRPr="00AC4AD8">
        <w:rPr>
          <w:rFonts w:ascii="Times New Roman" w:hAnsi="Times New Roman"/>
        </w:rPr>
        <w:t xml:space="preserve"> with native soil microbes, perhaps exacerbated by addition in a volume too low to contribute to this community, or were not specific enough to successfully establish with the plants present.</w:t>
      </w:r>
      <w:r w:rsidR="000973CD" w:rsidRPr="00AC4AD8">
        <w:rPr>
          <w:rFonts w:ascii="Times New Roman" w:hAnsi="Times New Roman"/>
        </w:rPr>
        <w:t xml:space="preserve"> Whilst there are still significant difficulties in monitoring bacterial species assemblages in complex ecosystems, there is evidence to suggest that soil bacterial biodiversity may prevent new species entering an ecosystem </w:t>
      </w:r>
      <w:r w:rsidR="006E6FA1" w:rsidRPr="00AC4AD8">
        <w:rPr>
          <w:rFonts w:ascii="Times New Roman" w:hAnsi="Times New Roman"/>
        </w:rPr>
        <w:t xml:space="preserve">by utilising more available resources </w:t>
      </w:r>
      <w:r w:rsidR="00D82EA6" w:rsidRPr="00AC4AD8">
        <w:rPr>
          <w:rFonts w:ascii="Times New Roman" w:hAnsi="Times New Roman"/>
        </w:rPr>
        <w:fldChar w:fldCharType="begin" w:fldLock="1"/>
      </w:r>
      <w:r w:rsidR="004802ED" w:rsidRPr="00AC4AD8">
        <w:rPr>
          <w:rFonts w:ascii="Times New Roman" w:hAnsi="Times New Roman"/>
        </w:rPr>
        <w:instrText>ADDIN CSL_CITATION { "citationItems" : [ { "id" : "ITEM-1", "itemData" : { "DOI" : "10.1073/pnas.1109326109", "ISSN" : "1091-6490", "PMID" : "22232669", "abstract" : "Natural ecosystems show variable resistance to invasion by alien species, and this resistance can relate to the species diversity in the system. In soil, microorganisms are key components that determine life support functions, but the functional redundancy in the microbiota of most soils has long been thought to overwhelm microbial diversity-function relationships. We here show an inverse relationship between soil microbial diversity and survival of the invading species Escherichia coli O157:H7, assessed by using the marked derivative strain T. The invader's fate in soil was determined in the presence of (i) differentially constructed culturable bacterial communities, and (ii) microbial communities established using a dilution-to-extinction approach. Both approaches revealed a negative correlation between the diversity of the soil microbiota and survival of the invader. The relationship could be explained by a decrease in the competitive ability of the invader in species-rich vs. species-poor bacterial communities, reflected in the amount of resources used and the rate of their consumption. Soil microbial diversity is a key factor that controls the extent to which bacterial invaders can establish.", "author" : [ { "dropping-particle" : "", "family" : "Elsas", "given" : "Jan Dirk", "non-dropping-particle" : "van", "parse-names" : false, "suffix" : "" }, { "dropping-particle" : "", "family" : "Chiurazzi", "given" : "Mario", "non-dropping-particle" : "", "parse-names" : false, "suffix" : "" }, { "dropping-particle" : "", "family" : "Mallon", "given" : "Cyrus A", "non-dropping-particle" : "", "parse-names" : false, "suffix" : "" }, { "dropping-particle" : "", "family" : "Elhottova", "given" : "Dana", "non-dropping-particle" : "", "parse-names" : false, "suffix" : "" }, { "dropping-particle" : "", "family" : "Kristufek", "given" : "V\u00e1clav", "non-dropping-particle" : "", "parse-names" : false, "suffix" : "" }, { "dropping-particle" : "", "family" : "Salles", "given" : "Joana Falc\u00e3o", "non-dropping-particle" : "", "parse-names" : false, "suffix" : "" } ], "container-title" : "Proceedings of the National Academy of Sciences of the United States of America", "id" : "ITEM-1", "issue" : "4", "issued" : { "date-parts" : [ [ "2012", "1", "24" ] ] }, "page" : "1159-64", "title" : "Microbial diversity determines the invasion of soil by a bacterial pathogen.", "type" : "article-journal", "volume" : "109" }, "uris" : [ "http://www.mendeley.com/documents/?uuid=fa3dae4d-1f03-4ca2-8c2c-2f6a06c1eb97" ] } ], "mendeley" : { "formattedCitation" : "(van Elsas et al., 2012)", "plainTextFormattedCitation" : "(van Elsas et al., 2012)", "previouslyFormattedCitation" : "(van Elsas et al., 2012)" }, "properties" : { "noteIndex" : 0 }, "schema" : "https://github.com/citation-style-language/schema/raw/master/csl-citation.json" }</w:instrText>
      </w:r>
      <w:r w:rsidR="00D82EA6" w:rsidRPr="00AC4AD8">
        <w:rPr>
          <w:rFonts w:ascii="Times New Roman" w:hAnsi="Times New Roman"/>
        </w:rPr>
        <w:fldChar w:fldCharType="separate"/>
      </w:r>
      <w:r w:rsidR="00D82EA6" w:rsidRPr="00AC4AD8">
        <w:rPr>
          <w:rFonts w:ascii="Times New Roman" w:hAnsi="Times New Roman"/>
          <w:noProof/>
        </w:rPr>
        <w:t>(van Elsas et al., 2012)</w:t>
      </w:r>
      <w:r w:rsidR="00D82EA6" w:rsidRPr="00AC4AD8">
        <w:rPr>
          <w:rFonts w:ascii="Times New Roman" w:hAnsi="Times New Roman"/>
        </w:rPr>
        <w:fldChar w:fldCharType="end"/>
      </w:r>
      <w:r w:rsidR="000973CD" w:rsidRPr="00AC4AD8">
        <w:rPr>
          <w:rFonts w:ascii="Times New Roman" w:hAnsi="Times New Roman"/>
        </w:rPr>
        <w:t xml:space="preserve">. There is also evidence to suggest that resident mycorrhizal populations greatly influence bacterial communities </w:t>
      </w:r>
      <w:r w:rsidR="00D82EA6" w:rsidRPr="00AC4AD8">
        <w:rPr>
          <w:rFonts w:ascii="Times New Roman" w:hAnsi="Times New Roman"/>
        </w:rPr>
        <w:fldChar w:fldCharType="begin" w:fldLock="1"/>
      </w:r>
      <w:r w:rsidR="00D82EA6" w:rsidRPr="00AC4AD8">
        <w:rPr>
          <w:rFonts w:ascii="Times New Roman" w:hAnsi="Times New Roman"/>
        </w:rPr>
        <w:instrText>ADDIN CSL_CITATION { "citationItems" : [ { "id" : "ITEM-1", "itemData" : { "DOI" : "10.1111/1462-2920.12081", "ISSN" : "1462-2920", "PMID" : "23360621", "abstract" : "Arbuscular mycorrhizal fungi (AMF) perform an important ecosystem service by improving plant nutrient capture from soil, yet little is known about how AMF influence soil microbial communities during nutrient uptake. We tested whether an AMF modifies the soil microbial community and nitrogen cycling during litter decomposition. A two-chamber microcosm system was employed to create a root-free soil environment to control AMF access to (13) C- and (15) N-labelled root litter. Using a 16S rRNA gene microarray, we documented that approximately 10% of the bacterial community responded to the AMF, Glomus hoi. Taxa from the Firmicutes responded positively to AMF, while taxa from the Actinobacteria and Comamonadaceae responded negatively to AMF. Phylogenetic analyses indicate that AMF may influence bacterial community assembly processes. Using nanometre-scale secondary ion mass spectrometry (NanoSIMS) we visualized the location of AMF-transported (13) C and (15) N in plant roots. Bulk isotope ratio mass spectrometry revealed that the AMF exported 4.9% of the litter (15) N to the host plant (Plantago lanceolata\u2005L.), and litter-derived (15) N was preferentially exported relative to litter-derived (13) C. Our results suggest that the AMF primarily took up N in the inorganic form, and N export is one mechanism by which AMF could modify the soil microbial community and decomposition processes.", "author" : [ { "dropping-particle" : "", "family" : "Nuccio", "given" : "Erin E", "non-dropping-particle" : "", "parse-names" : false, "suffix" : "" }, { "dropping-particle" : "", "family" : "Hodge", "given" : "Angela", "non-dropping-particle" : "", "parse-names" : false, "suffix" : "" }, { "dropping-particle" : "", "family" : "Pett-Ridge", "given" : "Jennifer", "non-dropping-particle" : "", "parse-names" : false, "suffix" : "" }, { "dropping-particle" : "", "family" : "Herman", "given" : "Donald J", "non-dropping-particle" : "", "parse-names" : false, "suffix" : "" }, { "dropping-particle" : "", "family" : "Weber", "given" : "Peter K", "non-dropping-particle" : "", "parse-names" : false, "suffix" : "" }, { "dropping-particle" : "", "family" : "Firestone", "given" : "Mary K", "non-dropping-particle" : "", "parse-names" : false, "suffix" : "" } ], "container-title" : "Environmental microbiology", "id" : "ITEM-1", "issue" : "6", "issued" : { "date-parts" : [ [ "2013", "6" ] ] }, "page" : "1870-81", "title" : "An arbuscular mycorrhizal fungus significantly modifies the soil bacterial community and nitrogen cycling during litter decomposition.", "type" : "article-journal", "volume" : "15" }, "uris" : [ "http://www.mendeley.com/documents/?uuid=62f37921-29e6-42c4-8aa6-744a61a2f9bb" ] } ], "mendeley" : { "formattedCitation" : "(Nuccio et al., 2013)", "plainTextFormattedCitation" : "(Nuccio et al., 2013)", "previouslyFormattedCitation" : "(Nuccio et al., 2013)" }, "properties" : { "noteIndex" : 0 }, "schema" : "https://github.com/citation-style-language/schema/raw/master/csl-citation.json" }</w:instrText>
      </w:r>
      <w:r w:rsidR="00D82EA6" w:rsidRPr="00AC4AD8">
        <w:rPr>
          <w:rFonts w:ascii="Times New Roman" w:hAnsi="Times New Roman"/>
        </w:rPr>
        <w:fldChar w:fldCharType="separate"/>
      </w:r>
      <w:r w:rsidR="00D82EA6" w:rsidRPr="00AC4AD8">
        <w:rPr>
          <w:rFonts w:ascii="Times New Roman" w:hAnsi="Times New Roman"/>
          <w:noProof/>
        </w:rPr>
        <w:t>(Nuccio et al., 2013)</w:t>
      </w:r>
      <w:r w:rsidR="00D82EA6" w:rsidRPr="00AC4AD8">
        <w:rPr>
          <w:rFonts w:ascii="Times New Roman" w:hAnsi="Times New Roman"/>
        </w:rPr>
        <w:fldChar w:fldCharType="end"/>
      </w:r>
      <w:r w:rsidR="00375C18" w:rsidRPr="00AC4AD8">
        <w:rPr>
          <w:rFonts w:ascii="Times New Roman" w:hAnsi="Times New Roman"/>
        </w:rPr>
        <w:t xml:space="preserve"> and that </w:t>
      </w:r>
      <w:r w:rsidR="002973AC" w:rsidRPr="00AC4AD8">
        <w:rPr>
          <w:rFonts w:ascii="Times New Roman" w:hAnsi="Times New Roman"/>
        </w:rPr>
        <w:t>incumbent mycorrhizal communities may prevent new mycorrhizal species from establishing in a new habitat</w:t>
      </w:r>
      <w:r w:rsidR="00D82EA6" w:rsidRPr="00AC4AD8">
        <w:rPr>
          <w:rFonts w:ascii="Times New Roman" w:hAnsi="Times New Roman"/>
        </w:rPr>
        <w:t xml:space="preserve"> </w:t>
      </w:r>
      <w:r w:rsidR="00D82EA6"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"10.1016/S0038-0717(99)00155-8", "author" : [ { "dropping-particle" : "", "family" : "Vierheilig", "given" : "H", "non-dropping-particle" : "", "parse-names" : false, "suffix" : "" }, { "dropping-particle" : "", "family" : "Garcia-Garrido", "given" : "J M", "non-dropping-particle" : "", "parse-names" : false, "suffix" : "" }, { "dropping-particle" : "", "family" : "Wyss", "given" : "U", "non-dropping-particle" : "", "parse-names" : false, "suffix" : "" }, { "dropping-particle" : "", "family" : "Pich\u00e9", "given" : "Y.", "non-dropping-particle" : "", "parse-names" : false, "suffix" : "" } ], "container-title" : "Soil Biology and Biochemistry", "id" : "ITEM-1", "issued" : { "date-parts" : [ [ "2000" ] ] }, "note" : "[Original String]:\n356. Vierheilig, H., Garcia-Garrido, J. M., Wyss, U. &amp;amp; Pich\u00e9, Y., (2000) Systemic suppression of mycorrhizal colonization of barley roots already colonized by AM fungi. Soil Biology and Biochemistry, 32, 589-595", "page" : "589-595", "title" : "Systemic suppression of mycorrhizal colonization of barley roots already colonized by AM fungi.", "type" : "article-journal", "volume" : "32" }, "uris" : [ "http://www.mendeley.com/documents/?uuid=85fefbbe-0026-44ee-899f-b2827f49291a" ] }, { "id" : "ITEM-2", "itemData" : { "DOI" : "10.1078/0176-1617-01097", "ISSN" : "0176-1617", "abstract" : "An established arbuscular mycorrhizal symbiosis suppresses further mycorrhization. It is not clear whether the observed suppressional effect is linked with the level of root colonization or not. In the present work we studied the effect of the degree of root colonization by the arbuscular mycorrhizal fungus Glomus mosseae on further root colonization by G. mosseae. At different time points barley plants grown in split-root compartments were pre-inoculated on one half of the split-root system with G. mosseae. Sequential inoculation resulted in different colonization levels. Thereafter, the second half of the split root system was inoculated. The results indicate an enhanced suppression of root colonization on the second side of the split-root system when colonization levels increased on the first side.", "author" : [ { "dropping-particle" : "", "family" : "Vierheilig", "given" : "Horst", "non-dropping-particle" : "", "parse-names" : false, "suffix" : "" } ], "container-title" : "Journal of plant physiology", "id" : "ITEM-2", "issue" : "3", "issued" : { "date-parts" : [ [ "2004" ] ] }, "page" : "339-341", "publisher-place" : "Institut f\u00fcr Pflanzenschutz, Universit\u00e4t f\u00fcr Bodenkultur Wien, Peter-Jordan-Str. 82, 1190-Wien, Austria. nonhorst@boku.ac.at DOI - 10.1078/0176-1617-01097 SRC - Pubmed ID2 - 15077632 FG - 0", "title" : "Further root colonization by arbuscular mycorrhizal fungi in already mycorrhizal plants is suppressed after a critical level of root colonization.", "type" : "article-journal", "volume" : "161" }, "uris" : [ "http://www.mendeley.com/documents/?uuid=d0910176-cedb-4ed3-a0b1-1ce0f815deaa" ] } ], "mendeley" : { "formattedCitation" : "(Vierheilig, 2004; Vierheilig et al., 2000)", "manualFormatting" : "(Vierheilig et al., 2000; Vierheilig, 2004)", "plainTextFormattedCitation" : "(Vierheilig, 2004; Vierheilig et al., 2000)", "previouslyFormattedCitation" : "(Vierheilig, 2004; Vierheilig et al., 2000)" }, "properties" : { "noteIndex" : 0 }, "schema" : "https://github.com/citation-style-language/schema/raw/master/csl-citation.json" }</w:instrText>
      </w:r>
      <w:r w:rsidR="00D82EA6" w:rsidRPr="00AC4AD8">
        <w:rPr>
          <w:rFonts w:ascii="Times New Roman" w:hAnsi="Times New Roman"/>
        </w:rPr>
        <w:fldChar w:fldCharType="separate"/>
      </w:r>
      <w:r w:rsidR="00D82EA6" w:rsidRPr="00AC4AD8">
        <w:rPr>
          <w:rFonts w:ascii="Times New Roman" w:hAnsi="Times New Roman"/>
          <w:noProof/>
        </w:rPr>
        <w:t>(</w:t>
      </w:r>
      <w:r w:rsidR="00206A99" w:rsidRPr="00AC4AD8">
        <w:rPr>
          <w:rFonts w:ascii="Times New Roman" w:hAnsi="Times New Roman"/>
          <w:noProof/>
        </w:rPr>
        <w:t xml:space="preserve">Vierheilig et al., 2000; </w:t>
      </w:r>
      <w:r w:rsidR="00D82EA6" w:rsidRPr="00AC4AD8">
        <w:rPr>
          <w:rFonts w:ascii="Times New Roman" w:hAnsi="Times New Roman"/>
          <w:noProof/>
        </w:rPr>
        <w:t>Vierheilig, 2004)</w:t>
      </w:r>
      <w:r w:rsidR="00D82EA6" w:rsidRPr="00AC4AD8">
        <w:rPr>
          <w:rFonts w:ascii="Times New Roman" w:hAnsi="Times New Roman"/>
        </w:rPr>
        <w:fldChar w:fldCharType="end"/>
      </w:r>
      <w:r w:rsidR="002973AC" w:rsidRPr="00AC4AD8">
        <w:rPr>
          <w:rFonts w:ascii="Times New Roman" w:hAnsi="Times New Roman"/>
        </w:rPr>
        <w:t>.</w:t>
      </w:r>
      <w:r w:rsidR="006E6FA1" w:rsidRPr="00AC4AD8">
        <w:rPr>
          <w:rFonts w:ascii="Times New Roman" w:hAnsi="Times New Roman"/>
        </w:rPr>
        <w:t xml:space="preserve"> Thus, inoculant addition when a roof i</w:t>
      </w:r>
      <w:r w:rsidR="001F439F" w:rsidRPr="00AC4AD8">
        <w:rPr>
          <w:rFonts w:ascii="Times New Roman" w:hAnsi="Times New Roman"/>
        </w:rPr>
        <w:t>s constructed, when there is no</w:t>
      </w:r>
      <w:r w:rsidR="006E6FA1" w:rsidRPr="00AC4AD8">
        <w:rPr>
          <w:rFonts w:ascii="Times New Roman" w:hAnsi="Times New Roman"/>
        </w:rPr>
        <w:t xml:space="preserve"> prior microbial community present, may have very different results to those resulting from application to a mature green roof.</w:t>
      </w:r>
      <w:r w:rsidRPr="00AC4AD8">
        <w:rPr>
          <w:rFonts w:ascii="Times New Roman" w:hAnsi="Times New Roman"/>
        </w:rPr>
        <w:t xml:space="preserve"> In addition, amplifying the microbial community already present may be a more successful approach.</w:t>
      </w:r>
    </w:p>
    <w:p w14:paraId="6AA8575D" w14:textId="65E90E16" w:rsidR="00B20E32" w:rsidRPr="00AC4AD8" w:rsidRDefault="00B20E32" w:rsidP="00F03F20">
      <w:pPr>
        <w:spacing w:after="120" w:line="360" w:lineRule="auto"/>
        <w:ind w:firstLine="340"/>
        <w:jc w:val="both"/>
        <w:rPr>
          <w:rFonts w:ascii="Times New Roman" w:hAnsi="Times New Roman"/>
        </w:rPr>
      </w:pPr>
      <w:r w:rsidRPr="00AC4AD8">
        <w:rPr>
          <w:rFonts w:ascii="Times New Roman" w:hAnsi="Times New Roman"/>
        </w:rPr>
        <w:t xml:space="preserve">Whilst the microarthropod community was altered by the addition of </w:t>
      </w:r>
      <w:r w:rsidR="00F468C3" w:rsidRPr="00AC4AD8">
        <w:rPr>
          <w:rFonts w:ascii="Times New Roman" w:hAnsi="Times New Roman"/>
          <w:i/>
        </w:rPr>
        <w:t>Trichoderma</w:t>
      </w:r>
      <w:r w:rsidRPr="00AC4AD8">
        <w:rPr>
          <w:rFonts w:ascii="Times New Roman" w:hAnsi="Times New Roman"/>
          <w:i/>
        </w:rPr>
        <w:t>,</w:t>
      </w:r>
      <w:r w:rsidRPr="00AC4AD8">
        <w:rPr>
          <w:rFonts w:ascii="Times New Roman" w:hAnsi="Times New Roman"/>
        </w:rPr>
        <w:t xml:space="preserve"> these population increases may have been too modest to affect plant growth. Microarthropods play an important role in nutrient regulation in soils </w:t>
      </w:r>
      <w:r w:rsidRPr="00AC4AD8">
        <w:rPr>
          <w:rFonts w:ascii="Times New Roman" w:hAnsi="Times New Roman"/>
        </w:rPr>
        <w:fldChar w:fldCharType="begin" w:fldLock="1"/>
      </w:r>
      <w:r w:rsidRPr="00AC4AD8">
        <w:rPr>
          <w:rFonts w:ascii="Times New Roman" w:hAnsi="Times New Roman"/>
        </w:rPr>
        <w:instrText>ADDIN CSL_CITATION { "citationItems" : [ { "id" : "ITEM-1", "itemData" : { "DOI" : "10.1126/science.1094875", "ISSN" : "1095-9203", "PMID" : "15192218", "abstract" : "All terrestrial ecosystems consist of aboveground and belowground components that interact to influence community- and ecosystem-level processes and properties. Here we show how these components are closely interlinked at the community level, reinforced by a greater degree of specificity between plants and soil organisms than has been previously supposed. As such, aboveground and belowground communities can be powerful mutual drivers, with both positive and negative feedbacks. A combined aboveground-belowground approach to community and ecosystem ecology is enhancing our understanding of the regulation and functional significance of biodiversity and of the environmental impacts of human-induced global change phenomena.", "author" : [ { "dropping-particle" : "", "family" : "Wardle", "given" : "David A", "non-dropping-particle" : "", "parse-names" : false, "suffix" : "" }, { "dropping-particle" : "", "family" : "Bardgett", "given" : "Richard D", "non-dropping-particle" : "", "parse-names" : false, "suffix" : "" }, { "dropping-particle" : "", "family" : "Klironomos", "given" : "John N", "non-dropping-particle" : "", "parse-names" : false, "suffix" : "" }, { "dropping-particle" : "", "family" : "Set\u00e4l\u00e4", "given" : "Heikki", "non-dropping-particle" : "", "parse-names" : false, "suffix" : "" }, { "dropping-particle" : "", "family" : "Putten", "given" : "Wim H", "non-dropping-particle" : "van der", "parse-names" : false, "suffix" : "" }, { "dropping-particle" : "", "family" : "Wall", "given" : "Diana H", "non-dropping-particle" : "", "parse-names" : false, "suffix" : "" } ], "container-title" : "Science (New York, N.Y.)", "id" : "ITEM-1", "issue" : "5677", "issued" : { "date-parts" : [ [ "2004", "6", "11" ] ] }, "page" : "1629-33", "title" : "Ecological linkages between aboveground and belowground biota.", "type" : "article-journal", "volume" : "304" }, "uris" : [ "http://www.mendeley.com/documents/?uuid=e04cda62-31b5-4555-81d3-44a0048479b6" ] } ], "mendeley" : { "formattedCitation" : "(Wardle et al., 2004)", "plainTextFormattedCitation" : "(Wardle et al., 2004)", "previouslyFormattedCitation" : "(Wardle et al., 2004)" }, "properties" : { "noteIndex" : 0 }, "schema" : "https://github.com/citation-style-language/schema/raw/master/csl-citation.json" }</w:instrText>
      </w:r>
      <w:r w:rsidRPr="00AC4AD8">
        <w:rPr>
          <w:rFonts w:ascii="Times New Roman" w:hAnsi="Times New Roman"/>
        </w:rPr>
        <w:fldChar w:fldCharType="separate"/>
      </w:r>
      <w:r w:rsidRPr="00AC4AD8">
        <w:rPr>
          <w:rFonts w:ascii="Times New Roman" w:hAnsi="Times New Roman"/>
          <w:noProof/>
        </w:rPr>
        <w:t>(Wardle et al., 2004)</w:t>
      </w:r>
      <w:r w:rsidRPr="00AC4AD8">
        <w:rPr>
          <w:rFonts w:ascii="Times New Roman" w:hAnsi="Times New Roman"/>
        </w:rPr>
        <w:fldChar w:fldCharType="end"/>
      </w:r>
      <w:r w:rsidRPr="00AC4AD8">
        <w:rPr>
          <w:rFonts w:ascii="Times New Roman" w:hAnsi="Times New Roman"/>
        </w:rPr>
        <w:t xml:space="preserve">, but no resultant effect of their increase in abundance was seen in plant cover in this study. This suggests that the increases in abundance were not sufficient (at these concentrations of inocula, or within the time scale studied) to translate into increased plant cover. In addition, colonisation of plant species to the roof and therefore diversity, was not facilitated by an enhanced soil food web. Whilst we have demonstrated that green roof faunal biodiversity can be altered via the addition of inoculants, more research is needed to determine if the same can be achieved to facilitate plant growth on green roofs. </w:t>
      </w:r>
    </w:p>
    <w:p w14:paraId="203EC72B" w14:textId="5B2C80AD" w:rsidR="00AA0886" w:rsidRPr="00AC4AD8" w:rsidRDefault="00ED14D7" w:rsidP="00936A31">
      <w:pPr>
        <w:spacing w:after="120" w:line="360" w:lineRule="auto"/>
        <w:jc w:val="both"/>
        <w:rPr>
          <w:rFonts w:ascii="Times New Roman" w:hAnsi="Times New Roman"/>
          <w:i/>
        </w:rPr>
      </w:pPr>
      <w:r w:rsidRPr="00AC4AD8">
        <w:rPr>
          <w:rFonts w:ascii="Times New Roman" w:hAnsi="Times New Roman"/>
          <w:i/>
        </w:rPr>
        <w:t xml:space="preserve">4.3. </w:t>
      </w:r>
      <w:r w:rsidR="00AA0886" w:rsidRPr="00AC4AD8">
        <w:rPr>
          <w:rFonts w:ascii="Times New Roman" w:hAnsi="Times New Roman"/>
          <w:i/>
        </w:rPr>
        <w:t>Applicability</w:t>
      </w:r>
    </w:p>
    <w:p w14:paraId="22DF7A2F" w14:textId="17A94586" w:rsidR="0081408E" w:rsidRPr="00AC4AD8" w:rsidRDefault="00F468C3" w:rsidP="00F03F20">
      <w:pPr>
        <w:spacing w:after="120" w:line="360" w:lineRule="auto"/>
        <w:ind w:firstLine="340"/>
        <w:jc w:val="both"/>
        <w:rPr>
          <w:rFonts w:ascii="Times New Roman" w:hAnsi="Times New Roman"/>
        </w:rPr>
      </w:pPr>
      <w:r w:rsidRPr="00AC4AD8">
        <w:rPr>
          <w:rFonts w:ascii="Times New Roman" w:hAnsi="Times New Roman"/>
          <w:i/>
        </w:rPr>
        <w:t>Trichoderma</w:t>
      </w:r>
      <w:r w:rsidR="0081408E" w:rsidRPr="00AC4AD8">
        <w:rPr>
          <w:rFonts w:ascii="Times New Roman" w:hAnsi="Times New Roman"/>
          <w:i/>
        </w:rPr>
        <w:t xml:space="preserve"> </w:t>
      </w:r>
      <w:r w:rsidR="0081408E" w:rsidRPr="00AC4AD8">
        <w:rPr>
          <w:rFonts w:ascii="Times New Roman" w:hAnsi="Times New Roman"/>
        </w:rPr>
        <w:t xml:space="preserve">has been shown in this study to be a promising inoculant to enhance microarthropod abundance on </w:t>
      </w:r>
      <w:r w:rsidR="00F018C5" w:rsidRPr="00AC4AD8">
        <w:rPr>
          <w:rFonts w:ascii="Times New Roman" w:hAnsi="Times New Roman"/>
        </w:rPr>
        <w:t xml:space="preserve">mature extensive </w:t>
      </w:r>
      <w:r w:rsidR="0081408E" w:rsidRPr="00AC4AD8">
        <w:rPr>
          <w:rFonts w:ascii="Times New Roman" w:hAnsi="Times New Roman"/>
        </w:rPr>
        <w:t>green roofs</w:t>
      </w:r>
      <w:r w:rsidR="00F018C5" w:rsidRPr="00AC4AD8">
        <w:rPr>
          <w:rFonts w:ascii="Times New Roman" w:hAnsi="Times New Roman"/>
        </w:rPr>
        <w:t>, whilst bacterial and mycorrhizal inoculants have been shown to have little effect</w:t>
      </w:r>
      <w:r w:rsidR="0081408E" w:rsidRPr="00AC4AD8">
        <w:rPr>
          <w:rFonts w:ascii="Times New Roman" w:hAnsi="Times New Roman"/>
        </w:rPr>
        <w:t xml:space="preserve">. In particular, </w:t>
      </w:r>
      <w:r w:rsidRPr="00AC4AD8">
        <w:rPr>
          <w:rFonts w:ascii="Times New Roman" w:hAnsi="Times New Roman"/>
          <w:i/>
        </w:rPr>
        <w:t>Trichoderma</w:t>
      </w:r>
      <w:r w:rsidR="00F018C5" w:rsidRPr="00AC4AD8">
        <w:rPr>
          <w:rFonts w:ascii="Times New Roman" w:hAnsi="Times New Roman"/>
          <w:i/>
        </w:rPr>
        <w:t xml:space="preserve"> </w:t>
      </w:r>
      <w:r w:rsidR="0081408E" w:rsidRPr="00AC4AD8">
        <w:rPr>
          <w:rFonts w:ascii="Times New Roman" w:hAnsi="Times New Roman"/>
        </w:rPr>
        <w:t xml:space="preserve">could be useful for the extensive green roofs in temperate climates, </w:t>
      </w:r>
      <w:r w:rsidR="00F018C5" w:rsidRPr="00AC4AD8">
        <w:rPr>
          <w:rFonts w:ascii="Times New Roman" w:hAnsi="Times New Roman"/>
        </w:rPr>
        <w:t xml:space="preserve">of which many are bryophyte and </w:t>
      </w:r>
      <w:r w:rsidR="00F018C5" w:rsidRPr="00AC4AD8">
        <w:rPr>
          <w:rFonts w:ascii="Times New Roman" w:hAnsi="Times New Roman"/>
          <w:i/>
        </w:rPr>
        <w:t xml:space="preserve">Sedum </w:t>
      </w:r>
      <w:r w:rsidR="00F018C5" w:rsidRPr="00AC4AD8">
        <w:rPr>
          <w:rFonts w:ascii="Times New Roman" w:hAnsi="Times New Roman"/>
        </w:rPr>
        <w:t>dominated habitats</w:t>
      </w:r>
      <w:r w:rsidR="0081408E" w:rsidRPr="00AC4AD8">
        <w:rPr>
          <w:rFonts w:ascii="Times New Roman" w:hAnsi="Times New Roman"/>
        </w:rPr>
        <w:t xml:space="preserve"> </w:t>
      </w:r>
      <w:r w:rsidR="00D82EA6" w:rsidRPr="00AC4AD8">
        <w:rPr>
          <w:rFonts w:ascii="Times New Roman" w:hAnsi="Times New Roman"/>
        </w:rPr>
        <w:fldChar w:fldCharType="begin" w:fldLock="1"/>
      </w:r>
      <w:r w:rsidR="008E690D" w:rsidRPr="00AC4AD8">
        <w:rPr>
          <w:rFonts w:ascii="Times New Roman" w:hAnsi="Times New Roman"/>
        </w:rPr>
        <w:instrText>ADDIN CSL_CITATION { "citationItems" : [ { "id" : "ITEM-1", "itemData" : { "DOI" : "10.1016/j.ecoleng.2008.05.005", "ISSN" : "09258574", "abstract" : "Technology for establishment of vegetated roofs (green roofs) has developed rapidly over recent years but knowledge about how these systems will develop over time is still limited. This study investigates vegetation development on unfertilised thin extensive vegetated roofs during a 3-year period. The vegetation systems investigated were designed to be low maintenance and had a saturated weight of 50kg/m2, a thickness of 4cm and drought-resistant succulent and bryophyte vegetation. Vegetation development was investigated in relation to: establishment method, species mixture and substrate composition in a factorial experiment. Vegetation cover was investigated using point intercept. Moss was found to develop on most substrates and reached more than 80% cover on some plots. Sedum album and Sedum acre were the dominant species on the roofs. S. acre was found to decrease drastically after 2 years. The lack of difference found in this study between the establishment techniques shows that there are other possible marketable ways to construct vegetated roofs in Sweden, as an alternative to vegetation mats. Uniform extensive vegetated roofs with a high dominance of succulent species have limited value for plant biodiversity, as few species establish spontaneously.", "author" : [ { "dropping-particle" : "", "family" : "Emilsson", "given" : "Tobias", "non-dropping-particle" : "", "parse-names" : false, "suffix" : "" } ], "container-title" : "Ecological Engineering", "id" : "ITEM-1", "issue" : "3-4", "issued" : { "date-parts" : [ [ "2008", "7" ] ] }, "page" : "265-277", "title" : "Vegetation development on extensive vegetated green roofs: Influence of substrate composition, establishment method and species mix", "type" : "article-journal", "volume" : "33" }, "uris" : [ "http://www.mendeley.com/documents/?uuid=011e56dc-484c-45a4-9532-d6d32178e5af" ] }, { "id" : "ITEM-2", "itemData" : { "DOI" : "10.1016/j.ecoleng.2006.01.001", "ISSN" : "09258574", "abstract" : "Extensive vegetated roofs are becoming popular as a way to improve the environmental quality of cities. As more vegetated roofs are installed, there is a need for knowledge pertaining to maintenance and impact vegetated roofs have on stormwater quality. Our study investigated nutrient runoff, substrate nutrient storage and plant uptake following fertilisation of vegetation mats, shoot-established vegetation systems and unvegetated substrate using three levels of fertiliser applied as either controlled release fertiliser (CRF), or as a combination of CRF and conventional fertiliser. Conventional fertilisers caused high nutrient concentrations in the runoff water. Concentrations decreased during the duration of the experiment but at the end of the experiment they were still higher than after fertilisation with CRF. Conventional fertiliser also increased the total nutrient runoff. Vegetation system type influenced nutrient runoff and fertilisation of old vegetation mats reduced the risk for nutrient leaching compared to fertilisation of newly established surfaces. This can be attributed to temporary storage in substrate and increased uptake by vegetation. The temporary storage of nutrients following fertilisation indicated that there might be a risk for prolonged leaching. Thus, addition of conventional fertilisers or nutrient-rich material during production can reduce stormwater quality.", "author" : [ { "dropping-particle" : "", "family" : "Emilsson", "given" : "Tobias", "non-dropping-particle" : "", "parse-names" : false, "suffix" : "" }, { "dropping-particle" : "", "family" : "Czemiel Berndtsson", "given" : "Justyna", "non-dropping-particle" : "", "parse-names" : false, "suffix" : "" }, { "dropping-particle" : "", "family" : "Mattsson", "given" : "Jan Erik", "non-dropping-particle" : "", "parse-names" : false, "suffix" : "" }, { "dropping-particle" : "", "family" : "Rolf", "given" : "Kaj", "non-dropping-particle" : "", "parse-names" : false, "suffix" : "" } ], "container-title" : "Ecological Engineering", "id" : "ITEM-2", "issue" : "3", "issued" : { "date-parts" : [ [ "2007", "3" ] ] }, "page" : "260-271", "title" : "Effect of using conventional and controlled release fertiliser on nutrient runoff from various vegetated roof systems", "type" : "article-journal", "volume" : "29" }, "uris" : [ "http://www.mendeley.com/documents/?uuid=9368c79b-1f21-460f-b0fb-253996358d0a" ] }, { "id" : "ITEM-3", "itemData" : { "DOI" : "10.1016/j.pedobi.2006.06.003", "ISSN" : "00314056", "abstract" : "In urban areas, green roofs are part of the so-called environmental \u201cgreen lung\u201d providing important environmental, economic and technical advantages compared to conventional flat roofs. We hypothesised that soil formation occurs in the growing medium of extensive roof greening, and that the successive development in the growing medium promotes urban biodiversity and counters habitat loss. To demonstrate this, we selected 10 representative green roofs of two different age classes within the inner urban area of Hanover (Germany). \u201cOld roofs\u201d were constructed between 1990 and 1994 and \u201cyoung roofs\u201d between 1998 and 1999. During summer 2002, the roofs were sampled to determine abundance and species diversity of collembolans and to measure selected soil properties. Discriminant and cluster analyses, considering abiotic properties only, separated the growing media of the roofs into the groups \u201cyoung roofs\u201d and \u201cold roofs\u201d. The results indicated a more stable environment in the substrate of old roofs due to advanced soil formation and improved niche occupancy of collembolans. In the mature growing media of old green roofs, pH was lower, while Corg and Nt contents, as well as dehydrogenase activity, were higher compared to young green roofs. The cluster analysis on the substrate properties revealed young roofs to be more similar compared to old roofs, which are characterised by increasing dissimilarities. The collembolan densities were only slightly higher on old roofs (57,000ind.m\u22122) compared to young roofs (55,000ind.m\u22122). Also, differences in species richness were small with 26 and 24 species on young and old roofs, respectively. However, differences became obvious at the species level. Species diversity was highly dynamic over time, undergoing successive development comparable to that occurring in extreme soil environments like newly reclaimed mining areas. We conclude that extensive roof greening promotes urban biodiversity but does not replace nature.", "author" : [ { "dropping-particle" : "", "family" : "Schrader", "given" : "Stefan", "non-dropping-particle" : "", "parse-names" : false, "suffix" : "" }, { "dropping-particle" : "", "family" : "B\u00f6ning", "given" : "Matthias", "non-dropping-particle" : "", "parse-names" : false, "suffix" : "" } ], "container-title" : "Pedobiologia", "id" : "ITEM-3", "issue" : "4", "issued" : { "date-parts" : [ [ "2006", "9" ] ] }, "page" : "347-356", "title" : "Soil formation on green roofs and its contribution to urban biodiversity with emphasis on Collembolans", "type" : "article-journal", "volume" : "50" }, "uris" : [ "http://www.mendeley.com/documents/?uuid=8cb29527-8a9b-4d09-bee7-0856fe2b761f" ] } ], "mendeley" : { "formattedCitation" : "(Emilsson, 2008; Emilsson et al., 2007; Schrader and B\u00f6ning, 2006)", "manualFormatting" : "(Schrader and B\u00f6ning, 2006; Emilsson et al., 2007; Emilsson, 2008)", "plainTextFormattedCitation" : "(Emilsson, 2008; Emilsson et al., 2007; Schrader and B\u00f6ning, 2006)", "previouslyFormattedCitation" : "(Emilsson, 2008; Emilsson et al., 2007; Schrader and B\u00f6ning, 2006)" }, "properties" : { "noteIndex" : 0 }, "schema" : "https://github.com/citation-style-language/schema/raw/master/csl-citation.json" }</w:instrText>
      </w:r>
      <w:r w:rsidR="00D82EA6" w:rsidRPr="00AC4AD8">
        <w:rPr>
          <w:rFonts w:ascii="Times New Roman" w:hAnsi="Times New Roman"/>
        </w:rPr>
        <w:fldChar w:fldCharType="separate"/>
      </w:r>
      <w:r w:rsidR="00D82EA6" w:rsidRPr="00AC4AD8">
        <w:rPr>
          <w:rFonts w:ascii="Times New Roman" w:hAnsi="Times New Roman"/>
          <w:noProof/>
        </w:rPr>
        <w:t>(</w:t>
      </w:r>
      <w:r w:rsidR="00206A99" w:rsidRPr="00AC4AD8">
        <w:rPr>
          <w:rFonts w:ascii="Times New Roman" w:hAnsi="Times New Roman"/>
          <w:noProof/>
        </w:rPr>
        <w:t xml:space="preserve">Schrader and Böning, 2006; Emilsson et al., 2007; </w:t>
      </w:r>
      <w:r w:rsidR="00D82EA6" w:rsidRPr="00AC4AD8">
        <w:rPr>
          <w:rFonts w:ascii="Times New Roman" w:hAnsi="Times New Roman"/>
          <w:noProof/>
        </w:rPr>
        <w:t>Emilsson, 2008)</w:t>
      </w:r>
      <w:r w:rsidR="00D82EA6" w:rsidRPr="00AC4AD8">
        <w:rPr>
          <w:rFonts w:ascii="Times New Roman" w:hAnsi="Times New Roman"/>
        </w:rPr>
        <w:fldChar w:fldCharType="end"/>
      </w:r>
      <w:r w:rsidR="00D82EA6" w:rsidRPr="00AC4AD8">
        <w:rPr>
          <w:rFonts w:ascii="Times New Roman" w:hAnsi="Times New Roman"/>
        </w:rPr>
        <w:t>.</w:t>
      </w:r>
    </w:p>
    <w:p w14:paraId="066E2BB8" w14:textId="5714FDC1" w:rsidR="0081408E" w:rsidRPr="00AC4AD8" w:rsidRDefault="00F018C5" w:rsidP="00F03F20">
      <w:pPr>
        <w:spacing w:after="120" w:line="360" w:lineRule="auto"/>
        <w:ind w:firstLine="340"/>
        <w:jc w:val="both"/>
        <w:rPr>
          <w:rFonts w:ascii="Times New Roman" w:hAnsi="Times New Roman"/>
          <w:i/>
        </w:rPr>
      </w:pPr>
      <w:r w:rsidRPr="00AC4AD8">
        <w:rPr>
          <w:rFonts w:ascii="Times New Roman" w:hAnsi="Times New Roman"/>
        </w:rPr>
        <w:t xml:space="preserve">More research, however, is still needed. </w:t>
      </w:r>
      <w:r w:rsidR="0081408E" w:rsidRPr="00AC4AD8">
        <w:rPr>
          <w:rFonts w:ascii="Times New Roman" w:hAnsi="Times New Roman"/>
        </w:rPr>
        <w:t xml:space="preserve">Whilst the abundance of some microarthropods was enhanced by the addition of </w:t>
      </w:r>
      <w:r w:rsidR="00F468C3" w:rsidRPr="00AC4AD8">
        <w:rPr>
          <w:rFonts w:ascii="Times New Roman" w:hAnsi="Times New Roman"/>
          <w:i/>
        </w:rPr>
        <w:t>Trichoderma</w:t>
      </w:r>
      <w:r w:rsidR="0081408E" w:rsidRPr="00AC4AD8">
        <w:rPr>
          <w:rFonts w:ascii="Times New Roman" w:hAnsi="Times New Roman"/>
        </w:rPr>
        <w:t>, overall abundance was still very low, considerably lower than that</w:t>
      </w:r>
      <w:r w:rsidR="00DF4430" w:rsidRPr="00AC4AD8">
        <w:rPr>
          <w:rFonts w:ascii="Times New Roman" w:hAnsi="Times New Roman"/>
        </w:rPr>
        <w:t xml:space="preserve"> expected in other urban soils</w:t>
      </w:r>
      <w:r w:rsidR="001015A7" w:rsidRPr="00AC4AD8">
        <w:rPr>
          <w:rFonts w:ascii="Times New Roman" w:hAnsi="Times New Roman"/>
        </w:rPr>
        <w:t xml:space="preserve"> </w:t>
      </w:r>
      <w:r w:rsidR="001015A7" w:rsidRPr="00AC4AD8">
        <w:rPr>
          <w:rFonts w:ascii="Times New Roman" w:hAnsi="Times New Roman"/>
        </w:rPr>
        <w:fldChar w:fldCharType="begin" w:fldLock="1"/>
      </w:r>
      <w:r w:rsidR="00D82EA6" w:rsidRPr="00AC4AD8">
        <w:rPr>
          <w:rFonts w:ascii="Times New Roman" w:hAnsi="Times New Roman"/>
        </w:rPr>
        <w:instrText>ADDIN CSL_CITATION { "citationItems" : [ { "id" : "ITEM-1", "itemData" : { "DOI" : "10.1016/j.envpol.2011.09.042", "ISSN" : "1873-6424", "PMID" : "22230068", "abstract" : "This study aimed at relating the abundance and diversity of invertebrate communities of urban soils to chemical and physical soil characteristics and to identify the taxa most sensitive or tolerant to soil stressors. The invertebrate community of five urban soils in Naples, Italy, was sampled. To assess soil quality invertebrate community indices (Shannon, Simpson, Menhinick and Pielou indices), Acarina/Collembola ratios, and the soil biological quality index (QBS) were calculated. The chemical and physical characteristics of the soils strongly differed. Abundance rather than taxa richness of invertebrates were more affected by soil characteristics. The community was more abundant and diverse in the soils with high organic matter and water content and low metal (Cu, Pb, Zn) concentrations. The taxa more resistant to the urban environment included Acarina, Enchytraeids, Collembola and Nematoda. Collembolans appeared particularly sensitive to changing soil properties. Among the investigated indices, QBS seems most appropriate for soil quality assessment.", "author" : [ { "dropping-particle" : "", "family" : "Santorufo", "given" : "Lucia", "non-dropping-particle" : "", "parse-names" : false, "suffix" : "" }, { "dropping-particle" : "", "family" : "Gestel", "given" : "Cornelis A M", "non-dropping-particle" : "Van", "parse-names" : false, "suffix" : "" }, { "dropping-particle" : "", "family" : "Rocco", "given" : "Annamaria", "non-dropping-particle" : "", "parse-names" : false, "suffix" : "" }, { "dropping-particle" : "", "family" : "Maisto", "given" : "Giulia", "non-dropping-particle" : "", "parse-names" : false, "suffix" : "" } ], "container-title" : "Environmental pollution (Barking, Essex : 1987)", "id" : "ITEM-1", "issued" : { "date-parts" : [ [ "2012", "2" ] ] }, "page" : "57-63", "title" : "Soil invertebrates as bioindicators of urban soil quality.", "type" : "article-journal", "volume" : "161" }, "uris" : [ "http://www.mendeley.com/documents/?uuid=4a8de2ef-c96b-4578-9e19-c437879dba79" ] }, { "id" : "ITEM-2", "itemData" : { "DOI" : "10.1016/j.scitotenv.2008.06.004", "ISSN" : "0048-9697", "PMID" : "18632139", "abstract" : "Anthropogenic urban soils, including brownfield soils, are currently characterised and evaluated using mainly physico-chemical properties. Our objective was to determine if biological indicators could provide a more comprehensive soil quality assessment relative to sustainability, identifying contamination issues, and effectiveness of remediation strategies. Plant, invertebrate and microbial assays and functional processes were evaluated at 10 brownfield/anthropogenic urban locations at different stages of remediation in northwest England. Extreme sites were discriminated on the basis of earthworm counts and a small number of indicators likely to be related to their activity. It was concluded that identifying a universally-applicable benchmark suite of biological indicators is very unlikely without considerable advancement of knowledge and technology.", "author" : [ { "dropping-particle" : "", "family" : "Hartley", "given" : "W", "non-dropping-particle" : "", "parse-names" : false, "suffix" : "" }, { "dropping-particle" : "", "family" : "Uffindell", "given" : "L", "non-dropping-particle" : "", "parse-names" : false, "suffix" : "" }, { "dropping-particle" : "", "family" : "Plumb", "given" : "A", "non-dropping-particle" : "", "parse-names" : false, "suffix" : "" }, { "dropping-particle" : "", "family" : "Rawlinson", "given" : "H A", "non-dropping-particle" : "", "parse-names" : false, "suffix" : "" }, { "dropping-particle" : "", "family" : "Putwain", "given" : "P", "non-dropping-particle" : "", "parse-names" : false, "suffix" : "" }, { "dropping-particle" : "", "family" : "Dickinson", "given" : "N M", "non-dropping-particle" : "", "parse-names" : false, "suffix" : "" } ], "container-title" : "The Science of the total environment", "id" : "ITEM-2", "issue" : "1-3", "issued" : { "date-parts" : [ [ "2008", "11", "1" ] ] }, "page" : "358-69", "title" : "Assessing biological indicators for remediated anthropogenic urban soils.", "type" : "article-journal", "volume" : "405" }, "uris" : [ "http://www.mendeley.com/documents/?uuid=45621c31-8845-4859-830e-6442e347737c" ] } ], "mendeley" : { "formattedCitation" : "(Hartley et al., 2008; Santorufo et al., 2012)", "plainTextFormattedCitation" : "(Hartley et al., 2008; Santorufo et al., 2012)", "previouslyFormattedCitation" : "(Hartley et al., 2008; Santorufo et al., 2012)" }, "properties" : { "noteIndex" : 0 }, "schema" : "https://github.com/citation-style-language/schema/raw/master/csl-citation.json" }</w:instrText>
      </w:r>
      <w:r w:rsidR="001015A7" w:rsidRPr="00AC4AD8">
        <w:rPr>
          <w:rFonts w:ascii="Times New Roman" w:hAnsi="Times New Roman"/>
        </w:rPr>
        <w:fldChar w:fldCharType="separate"/>
      </w:r>
      <w:r w:rsidR="001015A7" w:rsidRPr="00AC4AD8">
        <w:rPr>
          <w:rFonts w:ascii="Times New Roman" w:hAnsi="Times New Roman"/>
          <w:noProof/>
        </w:rPr>
        <w:t>(Hartley et al., 2008; Santorufo et al., 2012)</w:t>
      </w:r>
      <w:r w:rsidR="001015A7" w:rsidRPr="00AC4AD8">
        <w:rPr>
          <w:rFonts w:ascii="Times New Roman" w:hAnsi="Times New Roman"/>
        </w:rPr>
        <w:fldChar w:fldCharType="end"/>
      </w:r>
      <w:r w:rsidR="0081408E" w:rsidRPr="00AC4AD8">
        <w:rPr>
          <w:rFonts w:ascii="Times New Roman" w:hAnsi="Times New Roman"/>
        </w:rPr>
        <w:t xml:space="preserve">. Diversity was also unchanged compared to the previous sample period. Thus, whilst this inoculant has shown promise, further measures, such as providing </w:t>
      </w:r>
      <w:proofErr w:type="spellStart"/>
      <w:r w:rsidR="0081408E" w:rsidRPr="00AC4AD8">
        <w:rPr>
          <w:rFonts w:ascii="Times New Roman" w:hAnsi="Times New Roman"/>
        </w:rPr>
        <w:t>refugia</w:t>
      </w:r>
      <w:proofErr w:type="spellEnd"/>
      <w:r w:rsidR="0081408E" w:rsidRPr="00AC4AD8">
        <w:rPr>
          <w:rFonts w:ascii="Times New Roman" w:hAnsi="Times New Roman"/>
        </w:rPr>
        <w:t xml:space="preserve"> for soil microarthropods,</w:t>
      </w:r>
      <w:r w:rsidR="002973AC" w:rsidRPr="00AC4AD8">
        <w:rPr>
          <w:rFonts w:ascii="Times New Roman" w:hAnsi="Times New Roman"/>
        </w:rPr>
        <w:t xml:space="preserve"> as well as experimenting with concentrations of inocula,</w:t>
      </w:r>
      <w:r w:rsidR="0081408E" w:rsidRPr="00AC4AD8">
        <w:rPr>
          <w:rFonts w:ascii="Times New Roman" w:hAnsi="Times New Roman"/>
        </w:rPr>
        <w:t xml:space="preserve"> must be explored to remediate impoverished green roofs to a satisfactory level and to determine if resultant improvements of the plant community can occur.</w:t>
      </w:r>
      <w:r w:rsidR="00CB569D" w:rsidRPr="00AC4AD8">
        <w:rPr>
          <w:rFonts w:ascii="Times New Roman" w:hAnsi="Times New Roman"/>
        </w:rPr>
        <w:t xml:space="preserve"> Sequential additions of microbial inoculants </w:t>
      </w:r>
      <w:r w:rsidR="00E64A1B" w:rsidRPr="00AC4AD8">
        <w:rPr>
          <w:rFonts w:ascii="Times New Roman" w:hAnsi="Times New Roman"/>
        </w:rPr>
        <w:t xml:space="preserve">at different times in the year </w:t>
      </w:r>
      <w:r w:rsidR="00CB569D" w:rsidRPr="00AC4AD8">
        <w:rPr>
          <w:rFonts w:ascii="Times New Roman" w:hAnsi="Times New Roman"/>
        </w:rPr>
        <w:t xml:space="preserve">may also prove to be more successful than single inoculation </w:t>
      </w:r>
      <w:r w:rsidR="00ED14D7" w:rsidRPr="00AC4AD8">
        <w:rPr>
          <w:rFonts w:ascii="Times New Roman" w:hAnsi="Times New Roman"/>
        </w:rPr>
        <w:t xml:space="preserve">in affecting microbial populations </w:t>
      </w:r>
      <w:r w:rsidR="00CB569D" w:rsidRPr="00AC4AD8">
        <w:rPr>
          <w:rFonts w:ascii="Times New Roman" w:hAnsi="Times New Roman"/>
        </w:rPr>
        <w:t>(Molineux et al., 2014).</w:t>
      </w:r>
    </w:p>
    <w:p w14:paraId="6CC95477" w14:textId="3CCDC4BF" w:rsidR="00BB1842" w:rsidRPr="00AC4AD8" w:rsidRDefault="00F018C5" w:rsidP="00F03F20">
      <w:pPr>
        <w:spacing w:after="120" w:line="360" w:lineRule="auto"/>
        <w:ind w:firstLine="340"/>
        <w:jc w:val="both"/>
        <w:rPr>
          <w:rFonts w:ascii="Times New Roman" w:hAnsi="Times New Roman"/>
        </w:rPr>
      </w:pPr>
      <w:r w:rsidRPr="00AC4AD8">
        <w:rPr>
          <w:rFonts w:ascii="Times New Roman" w:hAnsi="Times New Roman"/>
        </w:rPr>
        <w:t>In addition, s</w:t>
      </w:r>
      <w:r w:rsidR="00BB1842" w:rsidRPr="00AC4AD8">
        <w:rPr>
          <w:rFonts w:ascii="Times New Roman" w:hAnsi="Times New Roman"/>
        </w:rPr>
        <w:t xml:space="preserve">pecies composition </w:t>
      </w:r>
      <w:r w:rsidRPr="00AC4AD8">
        <w:rPr>
          <w:rFonts w:ascii="Times New Roman" w:hAnsi="Times New Roman"/>
        </w:rPr>
        <w:t xml:space="preserve">of microarthropods </w:t>
      </w:r>
      <w:r w:rsidR="00BB1842" w:rsidRPr="00AC4AD8">
        <w:rPr>
          <w:rFonts w:ascii="Times New Roman" w:hAnsi="Times New Roman"/>
        </w:rPr>
        <w:t xml:space="preserve">is likely to differ locally, and this may be </w:t>
      </w:r>
      <w:r w:rsidR="00610637" w:rsidRPr="00AC4AD8">
        <w:rPr>
          <w:rFonts w:ascii="Times New Roman" w:hAnsi="Times New Roman"/>
        </w:rPr>
        <w:t>a</w:t>
      </w:r>
      <w:r w:rsidR="00BB1842" w:rsidRPr="00AC4AD8">
        <w:rPr>
          <w:rFonts w:ascii="Times New Roman" w:hAnsi="Times New Roman"/>
        </w:rPr>
        <w:t xml:space="preserve"> factor that alters the success of microbial inoculants. In the current study, inoculants </w:t>
      </w:r>
      <w:r w:rsidR="002973AC" w:rsidRPr="00AC4AD8">
        <w:rPr>
          <w:rFonts w:ascii="Times New Roman" w:hAnsi="Times New Roman"/>
        </w:rPr>
        <w:t xml:space="preserve">enhanced </w:t>
      </w:r>
      <w:r w:rsidR="00BB1842" w:rsidRPr="00AC4AD8">
        <w:rPr>
          <w:rFonts w:ascii="Times New Roman" w:hAnsi="Times New Roman"/>
        </w:rPr>
        <w:t>a certain trophic group (</w:t>
      </w:r>
      <w:proofErr w:type="spellStart"/>
      <w:r w:rsidR="00BB1842" w:rsidRPr="00AC4AD8">
        <w:rPr>
          <w:rFonts w:ascii="Times New Roman" w:hAnsi="Times New Roman"/>
        </w:rPr>
        <w:t>mycophages</w:t>
      </w:r>
      <w:proofErr w:type="spellEnd"/>
      <w:r w:rsidR="00BB1842" w:rsidRPr="00AC4AD8">
        <w:rPr>
          <w:rFonts w:ascii="Times New Roman" w:hAnsi="Times New Roman"/>
        </w:rPr>
        <w:t xml:space="preserve">) </w:t>
      </w:r>
      <w:r w:rsidR="00ED14D7" w:rsidRPr="00AC4AD8">
        <w:rPr>
          <w:rFonts w:ascii="Times New Roman" w:hAnsi="Times New Roman"/>
        </w:rPr>
        <w:t>but</w:t>
      </w:r>
      <w:r w:rsidR="00BB1842" w:rsidRPr="00AC4AD8">
        <w:rPr>
          <w:rFonts w:ascii="Times New Roman" w:hAnsi="Times New Roman"/>
        </w:rPr>
        <w:t xml:space="preserve"> this extended only to organisms that were already</w:t>
      </w:r>
      <w:r w:rsidR="00C923C2" w:rsidRPr="00AC4AD8">
        <w:rPr>
          <w:rFonts w:ascii="Times New Roman" w:hAnsi="Times New Roman"/>
        </w:rPr>
        <w:t xml:space="preserve"> present on the roof</w:t>
      </w:r>
      <w:r w:rsidR="00610637" w:rsidRPr="00AC4AD8">
        <w:rPr>
          <w:rFonts w:ascii="Times New Roman" w:hAnsi="Times New Roman"/>
        </w:rPr>
        <w:t>, it did not facilitate colonisation of new species</w:t>
      </w:r>
      <w:r w:rsidR="00F92FC3" w:rsidRPr="00AC4AD8">
        <w:rPr>
          <w:rFonts w:ascii="Times New Roman" w:hAnsi="Times New Roman"/>
        </w:rPr>
        <w:t xml:space="preserve"> of microarthropods</w:t>
      </w:r>
      <w:r w:rsidR="00C923C2" w:rsidRPr="00AC4AD8">
        <w:rPr>
          <w:rFonts w:ascii="Times New Roman" w:hAnsi="Times New Roman"/>
        </w:rPr>
        <w:t>. Presumably</w:t>
      </w:r>
      <w:r w:rsidR="00BB1842" w:rsidRPr="00AC4AD8">
        <w:rPr>
          <w:rFonts w:ascii="Times New Roman" w:hAnsi="Times New Roman"/>
        </w:rPr>
        <w:t xml:space="preserve"> this was due to a lack of </w:t>
      </w:r>
      <w:r w:rsidR="004C245B" w:rsidRPr="00AC4AD8">
        <w:rPr>
          <w:rFonts w:ascii="Times New Roman" w:hAnsi="Times New Roman"/>
        </w:rPr>
        <w:t xml:space="preserve">an </w:t>
      </w:r>
      <w:r w:rsidR="00610637" w:rsidRPr="00AC4AD8">
        <w:rPr>
          <w:rFonts w:ascii="Times New Roman" w:hAnsi="Times New Roman"/>
        </w:rPr>
        <w:t xml:space="preserve">appropriate nearby </w:t>
      </w:r>
      <w:r w:rsidR="004C245B" w:rsidRPr="00AC4AD8">
        <w:rPr>
          <w:rFonts w:ascii="Times New Roman" w:hAnsi="Times New Roman"/>
        </w:rPr>
        <w:t>source population</w:t>
      </w:r>
      <w:r w:rsidR="00BB1842" w:rsidRPr="00AC4AD8">
        <w:rPr>
          <w:rFonts w:ascii="Times New Roman" w:hAnsi="Times New Roman"/>
        </w:rPr>
        <w:t xml:space="preserve"> or </w:t>
      </w:r>
      <w:r w:rsidR="004C245B" w:rsidRPr="00AC4AD8">
        <w:rPr>
          <w:rFonts w:ascii="Times New Roman" w:hAnsi="Times New Roman"/>
        </w:rPr>
        <w:t>due to a barrier to colonisation ability</w:t>
      </w:r>
      <w:r w:rsidR="00BB1842" w:rsidRPr="00AC4AD8">
        <w:rPr>
          <w:rFonts w:ascii="Times New Roman" w:hAnsi="Times New Roman"/>
        </w:rPr>
        <w:t xml:space="preserve">. Green roofs have been shown </w:t>
      </w:r>
      <w:r w:rsidR="002102DC" w:rsidRPr="00AC4AD8">
        <w:rPr>
          <w:rFonts w:ascii="Times New Roman" w:hAnsi="Times New Roman"/>
        </w:rPr>
        <w:t>be less</w:t>
      </w:r>
      <w:r w:rsidR="00BB1842" w:rsidRPr="00AC4AD8">
        <w:rPr>
          <w:rFonts w:ascii="Times New Roman" w:hAnsi="Times New Roman"/>
        </w:rPr>
        <w:t xml:space="preserve"> favourable for less mobile </w:t>
      </w:r>
      <w:r w:rsidR="002102DC" w:rsidRPr="00AC4AD8">
        <w:rPr>
          <w:rFonts w:ascii="Times New Roman" w:hAnsi="Times New Roman"/>
        </w:rPr>
        <w:t xml:space="preserve">faunal </w:t>
      </w:r>
      <w:r w:rsidR="00BB1842" w:rsidRPr="00AC4AD8">
        <w:rPr>
          <w:rFonts w:ascii="Times New Roman" w:hAnsi="Times New Roman"/>
        </w:rPr>
        <w:t xml:space="preserve">species within urban habitat corridors </w:t>
      </w:r>
      <w:r w:rsidR="00C60751" w:rsidRPr="00AC4AD8">
        <w:rPr>
          <w:rFonts w:ascii="Times New Roman" w:hAnsi="Times New Roman"/>
        </w:rPr>
        <w:fldChar w:fldCharType="begin" w:fldLock="1"/>
      </w:r>
      <w:r w:rsidR="002A4D78" w:rsidRPr="00AC4AD8">
        <w:rPr>
          <w:rFonts w:ascii="Times New Roman" w:hAnsi="Times New Roman"/>
        </w:rPr>
        <w:instrText>ADDIN CSL_CITATION { "citationItems" : [ { "id" : "ITEM-1", "itemData" : { "DOI" : "10.1890/13-0705.1", "ISSN" : "0012-9658", "abstract" : "The installation of green roofs, defined here as rooftops with a shallow soil cover and extensive vegetation, has been proposed as a possible measure to mitigate the loss of green space caused by the steady growth of cities. However, the effectiveness of green roofs in supporting arthropod communities, and the extent to which they facilitate connectivity of these communities within the urban environment is currently largely unknown. We investigated the variation of species community composition (\u03b2 diversity) of four arthropod groups with contrasting mobility (Carabidae, Araneae, Curculionidae, and Apidae) on 40 green roofs and 40 extensively managed green sites on the ground in the city of Zurich, Switzerland. With redundancy analysis and variation partitioning, we (1) disentangled the relative importance of local environmental conditions, the surrounding land cover composition, and habitat connectivity on species community composition, (2) searched for specific spatial scales of habitat connectivity for ...", "author" : [ { "dropping-particle" : "", "family" : "Braaker", "given" : "S.", "non-dropping-particle" : "", "parse-names" : false, "suffix" : "" }, { "dropping-particle" : "", "family" : "Ghazoul", "given" : "J.", "non-dropping-particle" : "", "parse-names" : false, "suffix" : "" }, { "dropping-particle" : "", "family" : "Obrist", "given" : "M. K.", "non-dropping-particle" : "", "parse-names" : false, "suffix" : "" }, { "dropping-particle" : "", "family" : "Moretti", "given" : "M.", "non-dropping-particle" : "", "parse-names" : false, "suffix" : "" } ], "container-title" : "Ecology", "id" : "ITEM-1", "issue" : "4", "issued" : { "date-parts" : [ [ "2014", "4", "21" ] ] }, "language" : "EN", "page" : "1010-1021", "publisher" : "Ecological Society of America", "title" : "Habitat connectivity shapes urban arthropod communities: the key role of green roofs", "type" : "article-journal", "volume" : "95" }, "uris" : [ "http://www.mendeley.com/documents/?uuid=56d6e71f-62ac-4d1c-ba2d-15d5a2cb8415" ] } ], "mendeley" : { "formattedCitation" : "(Braaker et al., 2014)", "plainTextFormattedCitation" : "(Braaker et al., 2014)", "previouslyFormattedCitation" : "(Braaker et al., 2014)" }, "properties" : { "noteIndex" : 0 }, "schema" : "https://github.com/citation-style-language/schema/raw/master/csl-citation.json" }</w:instrText>
      </w:r>
      <w:r w:rsidR="00C60751" w:rsidRPr="00AC4AD8">
        <w:rPr>
          <w:rFonts w:ascii="Times New Roman" w:hAnsi="Times New Roman"/>
        </w:rPr>
        <w:fldChar w:fldCharType="separate"/>
      </w:r>
      <w:r w:rsidR="00C60751" w:rsidRPr="00AC4AD8">
        <w:rPr>
          <w:rFonts w:ascii="Times New Roman" w:hAnsi="Times New Roman"/>
          <w:noProof/>
        </w:rPr>
        <w:t>(Braaker et al., 2014)</w:t>
      </w:r>
      <w:r w:rsidR="00C60751" w:rsidRPr="00AC4AD8">
        <w:rPr>
          <w:rFonts w:ascii="Times New Roman" w:hAnsi="Times New Roman"/>
        </w:rPr>
        <w:fldChar w:fldCharType="end"/>
      </w:r>
      <w:r w:rsidR="002973AC" w:rsidRPr="00AC4AD8">
        <w:rPr>
          <w:rFonts w:ascii="Times New Roman" w:hAnsi="Times New Roman"/>
        </w:rPr>
        <w:t>, so i</w:t>
      </w:r>
      <w:r w:rsidR="00BB1842" w:rsidRPr="00AC4AD8">
        <w:rPr>
          <w:rFonts w:ascii="Times New Roman" w:hAnsi="Times New Roman"/>
        </w:rPr>
        <w:t xml:space="preserve">mproving habitat connectivity, allowing local sources of </w:t>
      </w:r>
      <w:r w:rsidR="00C923C2" w:rsidRPr="00AC4AD8">
        <w:rPr>
          <w:rFonts w:ascii="Times New Roman" w:hAnsi="Times New Roman"/>
        </w:rPr>
        <w:t xml:space="preserve">less </w:t>
      </w:r>
      <w:r w:rsidR="00BB1842" w:rsidRPr="00AC4AD8">
        <w:rPr>
          <w:rFonts w:ascii="Times New Roman" w:hAnsi="Times New Roman"/>
        </w:rPr>
        <w:t>mobile species access to green roofs</w:t>
      </w:r>
      <w:r w:rsidR="002973AC" w:rsidRPr="00AC4AD8">
        <w:rPr>
          <w:rFonts w:ascii="Times New Roman" w:hAnsi="Times New Roman"/>
        </w:rPr>
        <w:t>,</w:t>
      </w:r>
      <w:r w:rsidR="00BB1842" w:rsidRPr="00AC4AD8">
        <w:rPr>
          <w:rFonts w:ascii="Times New Roman" w:hAnsi="Times New Roman"/>
        </w:rPr>
        <w:t xml:space="preserve"> may enhance the benefits afforded by the addition of inoculants further.</w:t>
      </w:r>
      <w:r w:rsidR="002102DC" w:rsidRPr="00AC4AD8">
        <w:rPr>
          <w:rFonts w:ascii="Times New Roman" w:hAnsi="Times New Roman"/>
        </w:rPr>
        <w:t xml:space="preserve"> In terms of testing microbial inoculants as a remediation tool, artificially removing barriers to dispersal for plants by planting wildflower mixes</w:t>
      </w:r>
      <w:r w:rsidR="00B32F26" w:rsidRPr="00AC4AD8">
        <w:rPr>
          <w:rFonts w:ascii="Times New Roman" w:hAnsi="Times New Roman"/>
        </w:rPr>
        <w:t xml:space="preserve"> to begin with</w:t>
      </w:r>
      <w:r w:rsidR="002102DC" w:rsidRPr="00AC4AD8">
        <w:rPr>
          <w:rFonts w:ascii="Times New Roman" w:hAnsi="Times New Roman"/>
        </w:rPr>
        <w:t>, could further establish if microbial inoculants can have resulting impacts on plant diversity.</w:t>
      </w:r>
    </w:p>
    <w:p w14:paraId="40C6B75A" w14:textId="50F334E0" w:rsidR="00F8721B" w:rsidRPr="00AC4AD8" w:rsidRDefault="00ED14D7" w:rsidP="00936A31">
      <w:pPr>
        <w:spacing w:after="120" w:line="360" w:lineRule="auto"/>
        <w:jc w:val="both"/>
        <w:rPr>
          <w:rFonts w:ascii="Times New Roman" w:hAnsi="Times New Roman"/>
        </w:rPr>
      </w:pPr>
      <w:r w:rsidRPr="00AC4AD8">
        <w:rPr>
          <w:rFonts w:ascii="Times New Roman" w:hAnsi="Times New Roman"/>
          <w:b/>
        </w:rPr>
        <w:t>5. Conclusions</w:t>
      </w:r>
    </w:p>
    <w:p w14:paraId="458811A8" w14:textId="4346E4C8" w:rsidR="00F8721B" w:rsidRPr="00AC4AD8" w:rsidRDefault="005146B6" w:rsidP="00F03F20">
      <w:pPr>
        <w:spacing w:after="120" w:line="360" w:lineRule="auto"/>
        <w:ind w:firstLine="340"/>
        <w:jc w:val="both"/>
        <w:rPr>
          <w:rFonts w:ascii="Times New Roman" w:hAnsi="Times New Roman"/>
        </w:rPr>
      </w:pPr>
      <w:r w:rsidRPr="00AC4AD8">
        <w:rPr>
          <w:rFonts w:ascii="Times New Roman" w:hAnsi="Times New Roman"/>
        </w:rPr>
        <w:t>In conclusion,</w:t>
      </w:r>
      <w:r w:rsidR="009F0475" w:rsidRPr="00AC4AD8">
        <w:rPr>
          <w:rFonts w:ascii="Times New Roman" w:hAnsi="Times New Roman"/>
        </w:rPr>
        <w:t xml:space="preserve"> microbial inoculants </w:t>
      </w:r>
      <w:r w:rsidR="00F86743" w:rsidRPr="00AC4AD8">
        <w:rPr>
          <w:rFonts w:ascii="Times New Roman" w:hAnsi="Times New Roman"/>
        </w:rPr>
        <w:t xml:space="preserve">applied in this study </w:t>
      </w:r>
      <w:r w:rsidR="009F0475" w:rsidRPr="00AC4AD8">
        <w:rPr>
          <w:rFonts w:ascii="Times New Roman" w:hAnsi="Times New Roman"/>
        </w:rPr>
        <w:t xml:space="preserve">have not been shown to enhance plant diversity </w:t>
      </w:r>
      <w:r w:rsidR="00F87AA0" w:rsidRPr="00AC4AD8">
        <w:rPr>
          <w:rFonts w:ascii="Times New Roman" w:hAnsi="Times New Roman"/>
        </w:rPr>
        <w:t xml:space="preserve">or cover </w:t>
      </w:r>
      <w:r w:rsidR="009F0475" w:rsidRPr="00AC4AD8">
        <w:rPr>
          <w:rFonts w:ascii="Times New Roman" w:hAnsi="Times New Roman"/>
        </w:rPr>
        <w:t>on green roofs, but</w:t>
      </w:r>
      <w:r w:rsidRPr="00AC4AD8">
        <w:rPr>
          <w:rFonts w:ascii="Times New Roman" w:hAnsi="Times New Roman"/>
        </w:rPr>
        <w:t xml:space="preserve"> </w:t>
      </w:r>
      <w:r w:rsidR="00F468C3" w:rsidRPr="00AC4AD8">
        <w:rPr>
          <w:rFonts w:ascii="Times New Roman" w:hAnsi="Times New Roman"/>
          <w:i/>
        </w:rPr>
        <w:t>Trichoderma</w:t>
      </w:r>
      <w:r w:rsidR="00F8721B" w:rsidRPr="00AC4AD8">
        <w:rPr>
          <w:rFonts w:ascii="Times New Roman" w:hAnsi="Times New Roman"/>
          <w:i/>
        </w:rPr>
        <w:t xml:space="preserve"> </w:t>
      </w:r>
      <w:r w:rsidRPr="00AC4AD8">
        <w:rPr>
          <w:rFonts w:ascii="Times New Roman" w:hAnsi="Times New Roman"/>
        </w:rPr>
        <w:t>could</w:t>
      </w:r>
      <w:r w:rsidR="00F8721B" w:rsidRPr="00AC4AD8">
        <w:rPr>
          <w:rFonts w:ascii="Times New Roman" w:hAnsi="Times New Roman"/>
        </w:rPr>
        <w:t xml:space="preserve"> be a promising microbial inoculant for the remediation of impoverished mature green roof soil </w:t>
      </w:r>
      <w:r w:rsidR="00BB6238" w:rsidRPr="00AC4AD8">
        <w:rPr>
          <w:rFonts w:ascii="Times New Roman" w:hAnsi="Times New Roman"/>
        </w:rPr>
        <w:t xml:space="preserve">faunal </w:t>
      </w:r>
      <w:r w:rsidR="00F8721B" w:rsidRPr="00AC4AD8">
        <w:rPr>
          <w:rFonts w:ascii="Times New Roman" w:hAnsi="Times New Roman"/>
        </w:rPr>
        <w:t>communities</w:t>
      </w:r>
      <w:r w:rsidRPr="00AC4AD8">
        <w:rPr>
          <w:rFonts w:ascii="Times New Roman" w:hAnsi="Times New Roman"/>
        </w:rPr>
        <w:t xml:space="preserve">, particularly in terms of </w:t>
      </w:r>
      <w:proofErr w:type="spellStart"/>
      <w:r w:rsidRPr="00AC4AD8">
        <w:rPr>
          <w:rFonts w:ascii="Times New Roman" w:hAnsi="Times New Roman"/>
        </w:rPr>
        <w:t>mycophagous</w:t>
      </w:r>
      <w:proofErr w:type="spellEnd"/>
      <w:r w:rsidRPr="00AC4AD8">
        <w:rPr>
          <w:rFonts w:ascii="Times New Roman" w:hAnsi="Times New Roman"/>
        </w:rPr>
        <w:t xml:space="preserve"> species.</w:t>
      </w:r>
      <w:r w:rsidR="00B32F26" w:rsidRPr="00AC4AD8">
        <w:rPr>
          <w:rFonts w:ascii="Times New Roman" w:hAnsi="Times New Roman"/>
        </w:rPr>
        <w:t xml:space="preserve"> In the long term, whether this benefits plant growth or not, animal species occupying higher trophic levels may be better able to survive on green roofs as a result and thus improve overall faunal biodiversity.</w:t>
      </w:r>
      <w:r w:rsidR="00057607" w:rsidRPr="00AC4AD8">
        <w:rPr>
          <w:rFonts w:ascii="Times New Roman" w:hAnsi="Times New Roman"/>
        </w:rPr>
        <w:t xml:space="preserve"> However, the effects of the addition of soil inoculants vary between soil groups and some inoculants may produce negative, or deleterious, effects, emphasising that thorough testing needs to occur before application.</w:t>
      </w:r>
      <w:r w:rsidRPr="00AC4AD8">
        <w:rPr>
          <w:rFonts w:ascii="Times New Roman" w:hAnsi="Times New Roman"/>
        </w:rPr>
        <w:t xml:space="preserve"> At higher doses or in conjunction with other green roo</w:t>
      </w:r>
      <w:r w:rsidR="00F86743" w:rsidRPr="00AC4AD8">
        <w:rPr>
          <w:rFonts w:ascii="Times New Roman" w:hAnsi="Times New Roman"/>
        </w:rPr>
        <w:t>f</w:t>
      </w:r>
      <w:r w:rsidRPr="00AC4AD8">
        <w:rPr>
          <w:rFonts w:ascii="Times New Roman" w:hAnsi="Times New Roman"/>
        </w:rPr>
        <w:t xml:space="preserve"> remediation techniques, </w:t>
      </w:r>
      <w:r w:rsidR="00F468C3" w:rsidRPr="00AC4AD8">
        <w:rPr>
          <w:rFonts w:ascii="Times New Roman" w:hAnsi="Times New Roman"/>
          <w:i/>
        </w:rPr>
        <w:t>Trichoderma</w:t>
      </w:r>
      <w:r w:rsidRPr="00AC4AD8">
        <w:rPr>
          <w:rFonts w:ascii="Times New Roman" w:hAnsi="Times New Roman"/>
        </w:rPr>
        <w:t xml:space="preserve"> could contribute to </w:t>
      </w:r>
      <w:r w:rsidR="008B1E24" w:rsidRPr="00AC4AD8">
        <w:rPr>
          <w:rFonts w:ascii="Times New Roman" w:hAnsi="Times New Roman"/>
        </w:rPr>
        <w:t>enhancing</w:t>
      </w:r>
      <w:r w:rsidR="00F8721B" w:rsidRPr="00AC4AD8">
        <w:rPr>
          <w:rFonts w:ascii="Times New Roman" w:hAnsi="Times New Roman"/>
        </w:rPr>
        <w:t xml:space="preserve"> the biodiversity of this often overlooked group of organisms</w:t>
      </w:r>
      <w:r w:rsidR="00F018C5" w:rsidRPr="00AC4AD8">
        <w:rPr>
          <w:rFonts w:ascii="Times New Roman" w:hAnsi="Times New Roman"/>
        </w:rPr>
        <w:t xml:space="preserve">, increasing the value of green roofs to </w:t>
      </w:r>
      <w:r w:rsidR="00B32F26" w:rsidRPr="00AC4AD8">
        <w:rPr>
          <w:rFonts w:ascii="Times New Roman" w:hAnsi="Times New Roman"/>
        </w:rPr>
        <w:t xml:space="preserve">the </w:t>
      </w:r>
      <w:r w:rsidR="00F018C5" w:rsidRPr="00AC4AD8">
        <w:rPr>
          <w:rFonts w:ascii="Times New Roman" w:hAnsi="Times New Roman"/>
        </w:rPr>
        <w:t xml:space="preserve">urban </w:t>
      </w:r>
      <w:r w:rsidR="00B32F26" w:rsidRPr="00AC4AD8">
        <w:rPr>
          <w:rFonts w:ascii="Times New Roman" w:hAnsi="Times New Roman"/>
        </w:rPr>
        <w:t>landscape</w:t>
      </w:r>
      <w:r w:rsidR="00F018C5" w:rsidRPr="00AC4AD8">
        <w:rPr>
          <w:rFonts w:ascii="Times New Roman" w:hAnsi="Times New Roman"/>
        </w:rPr>
        <w:t>.</w:t>
      </w:r>
    </w:p>
    <w:p w14:paraId="34EBD974" w14:textId="77777777" w:rsidR="00186DCD" w:rsidRPr="00AC4AD8" w:rsidRDefault="00186DCD" w:rsidP="00F03F20">
      <w:pPr>
        <w:spacing w:after="120" w:line="360" w:lineRule="auto"/>
        <w:ind w:firstLine="340"/>
        <w:jc w:val="both"/>
        <w:rPr>
          <w:rFonts w:ascii="Times New Roman" w:hAnsi="Times New Roman"/>
        </w:rPr>
      </w:pPr>
    </w:p>
    <w:p w14:paraId="6FAB2CE8" w14:textId="07835793" w:rsidR="00553903" w:rsidRPr="00AC4AD8" w:rsidRDefault="00186DCD" w:rsidP="00936A31">
      <w:pPr>
        <w:spacing w:after="120" w:line="360" w:lineRule="auto"/>
        <w:jc w:val="both"/>
        <w:rPr>
          <w:rFonts w:ascii="Times New Roman" w:hAnsi="Times New Roman"/>
        </w:rPr>
      </w:pPr>
      <w:r w:rsidRPr="00AC4AD8">
        <w:rPr>
          <w:rFonts w:ascii="Times New Roman" w:hAnsi="Times New Roman"/>
          <w:b/>
        </w:rPr>
        <w:t>Funding Sources</w:t>
      </w:r>
    </w:p>
    <w:p w14:paraId="17C72A60" w14:textId="77777777" w:rsidR="00186DCD" w:rsidRPr="00AC4AD8" w:rsidRDefault="00791BA3" w:rsidP="00F03F20">
      <w:pPr>
        <w:spacing w:after="120" w:line="360" w:lineRule="auto"/>
        <w:ind w:firstLine="340"/>
        <w:jc w:val="both"/>
        <w:rPr>
          <w:rFonts w:ascii="Times New Roman" w:hAnsi="Times New Roman"/>
        </w:rPr>
      </w:pPr>
      <w:r w:rsidRPr="00AC4AD8">
        <w:rPr>
          <w:rFonts w:ascii="Times New Roman" w:hAnsi="Times New Roman"/>
        </w:rPr>
        <w:t xml:space="preserve">This research was funded by </w:t>
      </w:r>
      <w:r w:rsidR="00ED14D7" w:rsidRPr="00AC4AD8">
        <w:rPr>
          <w:rFonts w:ascii="Times New Roman" w:hAnsi="Times New Roman"/>
        </w:rPr>
        <w:t xml:space="preserve">The </w:t>
      </w:r>
      <w:r w:rsidR="00553903" w:rsidRPr="00AC4AD8">
        <w:rPr>
          <w:rFonts w:ascii="Times New Roman" w:hAnsi="Times New Roman"/>
        </w:rPr>
        <w:t>N</w:t>
      </w:r>
      <w:r w:rsidR="00ED14D7" w:rsidRPr="00AC4AD8">
        <w:rPr>
          <w:rFonts w:ascii="Times New Roman" w:hAnsi="Times New Roman"/>
        </w:rPr>
        <w:t xml:space="preserve">atural </w:t>
      </w:r>
      <w:r w:rsidR="00553903" w:rsidRPr="00AC4AD8">
        <w:rPr>
          <w:rFonts w:ascii="Times New Roman" w:hAnsi="Times New Roman"/>
        </w:rPr>
        <w:t>E</w:t>
      </w:r>
      <w:r w:rsidR="00ED14D7" w:rsidRPr="00AC4AD8">
        <w:rPr>
          <w:rFonts w:ascii="Times New Roman" w:hAnsi="Times New Roman"/>
        </w:rPr>
        <w:t xml:space="preserve">nvironment </w:t>
      </w:r>
      <w:r w:rsidR="00553903" w:rsidRPr="00AC4AD8">
        <w:rPr>
          <w:rFonts w:ascii="Times New Roman" w:hAnsi="Times New Roman"/>
        </w:rPr>
        <w:t>R</w:t>
      </w:r>
      <w:r w:rsidR="00ED14D7" w:rsidRPr="00AC4AD8">
        <w:rPr>
          <w:rFonts w:ascii="Times New Roman" w:hAnsi="Times New Roman"/>
        </w:rPr>
        <w:t xml:space="preserve">esearch </w:t>
      </w:r>
      <w:r w:rsidR="00553903" w:rsidRPr="00AC4AD8">
        <w:rPr>
          <w:rFonts w:ascii="Times New Roman" w:hAnsi="Times New Roman"/>
        </w:rPr>
        <w:t>C</w:t>
      </w:r>
      <w:r w:rsidR="00ED14D7" w:rsidRPr="00AC4AD8">
        <w:rPr>
          <w:rFonts w:ascii="Times New Roman" w:hAnsi="Times New Roman"/>
        </w:rPr>
        <w:t>ouncil, within grant number</w:t>
      </w:r>
      <w:r w:rsidRPr="00AC4AD8">
        <w:rPr>
          <w:rFonts w:ascii="Times New Roman" w:hAnsi="Times New Roman"/>
        </w:rPr>
        <w:t xml:space="preserve"> NE/G012482/1</w:t>
      </w:r>
      <w:r w:rsidR="00DF6147" w:rsidRPr="00AC4AD8">
        <w:rPr>
          <w:rFonts w:ascii="Times New Roman" w:hAnsi="Times New Roman"/>
        </w:rPr>
        <w:t xml:space="preserve"> and by CASE partners</w:t>
      </w:r>
      <w:r w:rsidR="00553903" w:rsidRPr="00AC4AD8">
        <w:rPr>
          <w:rFonts w:ascii="Times New Roman" w:hAnsi="Times New Roman"/>
        </w:rPr>
        <w:t xml:space="preserve"> </w:t>
      </w:r>
      <w:proofErr w:type="spellStart"/>
      <w:r w:rsidR="00553903" w:rsidRPr="00AC4AD8">
        <w:rPr>
          <w:rFonts w:ascii="Times New Roman" w:hAnsi="Times New Roman"/>
        </w:rPr>
        <w:t>Symbio</w:t>
      </w:r>
      <w:proofErr w:type="spellEnd"/>
      <w:r w:rsidRPr="00AC4AD8">
        <w:rPr>
          <w:rFonts w:ascii="Times New Roman" w:hAnsi="Times New Roman"/>
        </w:rPr>
        <w:t xml:space="preserve"> Ltd and</w:t>
      </w:r>
      <w:r w:rsidR="00553903" w:rsidRPr="00AC4AD8">
        <w:rPr>
          <w:rFonts w:ascii="Times New Roman" w:hAnsi="Times New Roman"/>
        </w:rPr>
        <w:t xml:space="preserve"> </w:t>
      </w:r>
      <w:proofErr w:type="spellStart"/>
      <w:r w:rsidR="00553903" w:rsidRPr="00AC4AD8">
        <w:rPr>
          <w:rFonts w:ascii="Times New Roman" w:hAnsi="Times New Roman"/>
        </w:rPr>
        <w:t>Laverstoke</w:t>
      </w:r>
      <w:proofErr w:type="spellEnd"/>
      <w:r w:rsidR="00553903" w:rsidRPr="00AC4AD8">
        <w:rPr>
          <w:rFonts w:ascii="Times New Roman" w:hAnsi="Times New Roman"/>
        </w:rPr>
        <w:t xml:space="preserve"> Park</w:t>
      </w:r>
      <w:r w:rsidR="00DF6147" w:rsidRPr="00AC4AD8">
        <w:rPr>
          <w:rFonts w:ascii="Times New Roman" w:hAnsi="Times New Roman"/>
        </w:rPr>
        <w:t xml:space="preserve">. </w:t>
      </w:r>
    </w:p>
    <w:p w14:paraId="3DE0CEB2" w14:textId="77777777" w:rsidR="00186DCD" w:rsidRPr="00AC4AD8" w:rsidRDefault="00186DCD" w:rsidP="00F03F20">
      <w:pPr>
        <w:spacing w:after="120" w:line="360" w:lineRule="auto"/>
        <w:ind w:firstLine="340"/>
        <w:jc w:val="both"/>
        <w:rPr>
          <w:rFonts w:ascii="Times New Roman" w:hAnsi="Times New Roman"/>
        </w:rPr>
      </w:pPr>
    </w:p>
    <w:p w14:paraId="7DABA992" w14:textId="428D7531" w:rsidR="00186DCD" w:rsidRPr="00AC4AD8" w:rsidRDefault="00186DCD" w:rsidP="00865EF0">
      <w:pPr>
        <w:spacing w:after="120" w:line="360" w:lineRule="auto"/>
        <w:jc w:val="both"/>
        <w:rPr>
          <w:rFonts w:ascii="Times New Roman" w:hAnsi="Times New Roman"/>
          <w:b/>
        </w:rPr>
      </w:pPr>
      <w:r w:rsidRPr="00AC4AD8">
        <w:rPr>
          <w:rFonts w:ascii="Times New Roman" w:hAnsi="Times New Roman"/>
          <w:b/>
        </w:rPr>
        <w:t>Acknowledgements</w:t>
      </w:r>
    </w:p>
    <w:p w14:paraId="62F6F2D5" w14:textId="4EB1665D" w:rsidR="001302B9" w:rsidRPr="00AC4AD8" w:rsidRDefault="00DF6147" w:rsidP="00F03F20">
      <w:pPr>
        <w:spacing w:after="120" w:line="360" w:lineRule="auto"/>
        <w:ind w:firstLine="340"/>
        <w:jc w:val="both"/>
        <w:rPr>
          <w:rFonts w:ascii="Times New Roman" w:hAnsi="Times New Roman"/>
        </w:rPr>
      </w:pPr>
      <w:r w:rsidRPr="00AC4AD8">
        <w:rPr>
          <w:rFonts w:ascii="Times New Roman" w:hAnsi="Times New Roman"/>
        </w:rPr>
        <w:t xml:space="preserve">Thanks </w:t>
      </w:r>
      <w:r w:rsidR="003D7A3C" w:rsidRPr="00AC4AD8">
        <w:rPr>
          <w:rFonts w:ascii="Times New Roman" w:hAnsi="Times New Roman"/>
        </w:rPr>
        <w:t>to</w:t>
      </w:r>
      <w:r w:rsidR="001302B9" w:rsidRPr="00AC4AD8">
        <w:rPr>
          <w:rFonts w:ascii="Times New Roman" w:hAnsi="Times New Roman"/>
        </w:rPr>
        <w:t xml:space="preserve"> our</w:t>
      </w:r>
      <w:r w:rsidR="00791BA3" w:rsidRPr="00AC4AD8">
        <w:rPr>
          <w:rFonts w:ascii="Times New Roman" w:hAnsi="Times New Roman"/>
        </w:rPr>
        <w:t xml:space="preserve"> field assistants</w:t>
      </w:r>
      <w:r w:rsidR="001302B9" w:rsidRPr="00AC4AD8">
        <w:rPr>
          <w:rFonts w:ascii="Times New Roman" w:hAnsi="Times New Roman"/>
        </w:rPr>
        <w:t>:</w:t>
      </w:r>
      <w:r w:rsidR="00553903" w:rsidRPr="00AC4AD8">
        <w:rPr>
          <w:rFonts w:ascii="Times New Roman" w:hAnsi="Times New Roman"/>
        </w:rPr>
        <w:t xml:space="preserve"> </w:t>
      </w:r>
      <w:r w:rsidR="001F439F" w:rsidRPr="00AC4AD8">
        <w:rPr>
          <w:rFonts w:ascii="Times New Roman" w:hAnsi="Times New Roman"/>
        </w:rPr>
        <w:t xml:space="preserve">Liang </w:t>
      </w:r>
      <w:proofErr w:type="spellStart"/>
      <w:r w:rsidR="001F439F" w:rsidRPr="00AC4AD8">
        <w:rPr>
          <w:rFonts w:ascii="Times New Roman" w:hAnsi="Times New Roman"/>
        </w:rPr>
        <w:t>Jin</w:t>
      </w:r>
      <w:proofErr w:type="spellEnd"/>
      <w:r w:rsidR="001F439F" w:rsidRPr="00AC4AD8">
        <w:rPr>
          <w:rFonts w:ascii="Times New Roman" w:hAnsi="Times New Roman"/>
        </w:rPr>
        <w:t>, Catherine Jones,</w:t>
      </w:r>
      <w:r w:rsidR="00553903" w:rsidRPr="00AC4AD8">
        <w:rPr>
          <w:rFonts w:ascii="Times New Roman" w:hAnsi="Times New Roman"/>
        </w:rPr>
        <w:t xml:space="preserve"> Rebecca McVeigh, Neil Morley</w:t>
      </w:r>
      <w:r w:rsidR="001F439F" w:rsidRPr="00AC4AD8">
        <w:rPr>
          <w:rFonts w:ascii="Times New Roman" w:hAnsi="Times New Roman"/>
        </w:rPr>
        <w:t>, George Nichols,</w:t>
      </w:r>
      <w:r w:rsidR="00553903" w:rsidRPr="00AC4AD8">
        <w:rPr>
          <w:rFonts w:ascii="Times New Roman" w:hAnsi="Times New Roman"/>
        </w:rPr>
        <w:t xml:space="preserve"> </w:t>
      </w:r>
      <w:r w:rsidR="001F439F" w:rsidRPr="00AC4AD8">
        <w:rPr>
          <w:rFonts w:ascii="Times New Roman" w:hAnsi="Times New Roman"/>
        </w:rPr>
        <w:t xml:space="preserve">Viv Schroeder, </w:t>
      </w:r>
      <w:r w:rsidR="00553903" w:rsidRPr="00AC4AD8">
        <w:rPr>
          <w:rFonts w:ascii="Times New Roman" w:hAnsi="Times New Roman"/>
        </w:rPr>
        <w:t xml:space="preserve">Simon </w:t>
      </w:r>
      <w:proofErr w:type="spellStart"/>
      <w:r w:rsidR="00553903" w:rsidRPr="00AC4AD8">
        <w:rPr>
          <w:rFonts w:ascii="Times New Roman" w:hAnsi="Times New Roman"/>
        </w:rPr>
        <w:t>Stapley</w:t>
      </w:r>
      <w:proofErr w:type="spellEnd"/>
      <w:r w:rsidR="00553903" w:rsidRPr="00AC4AD8">
        <w:rPr>
          <w:rFonts w:ascii="Times New Roman" w:hAnsi="Times New Roman"/>
        </w:rPr>
        <w:t xml:space="preserve">, </w:t>
      </w:r>
      <w:r w:rsidR="0031783E" w:rsidRPr="00AC4AD8">
        <w:rPr>
          <w:rFonts w:ascii="Times New Roman" w:hAnsi="Times New Roman"/>
        </w:rPr>
        <w:t xml:space="preserve">Stephan </w:t>
      </w:r>
      <w:proofErr w:type="spellStart"/>
      <w:r w:rsidR="0031783E" w:rsidRPr="00AC4AD8">
        <w:rPr>
          <w:rFonts w:ascii="Times New Roman" w:hAnsi="Times New Roman"/>
        </w:rPr>
        <w:t>Tietz</w:t>
      </w:r>
      <w:proofErr w:type="spellEnd"/>
      <w:r w:rsidR="001F439F" w:rsidRPr="00AC4AD8">
        <w:rPr>
          <w:rFonts w:ascii="Times New Roman" w:hAnsi="Times New Roman"/>
        </w:rPr>
        <w:t xml:space="preserve"> and Lizzie Williams. Thanks also to Bryony Taylor for </w:t>
      </w:r>
      <w:r w:rsidR="00FF46CA" w:rsidRPr="00AC4AD8">
        <w:rPr>
          <w:rFonts w:ascii="Times New Roman" w:hAnsi="Times New Roman"/>
        </w:rPr>
        <w:t>assistance</w:t>
      </w:r>
      <w:r w:rsidR="001F439F" w:rsidRPr="00AC4AD8">
        <w:rPr>
          <w:rFonts w:ascii="Times New Roman" w:hAnsi="Times New Roman"/>
        </w:rPr>
        <w:t xml:space="preserve"> with mite identification.</w:t>
      </w:r>
      <w:r w:rsidR="00DF063F" w:rsidRPr="00AC4AD8">
        <w:rPr>
          <w:rFonts w:ascii="Times New Roman" w:hAnsi="Times New Roman"/>
        </w:rPr>
        <w:t xml:space="preserve"> </w:t>
      </w:r>
    </w:p>
    <w:p w14:paraId="4AD25AFF" w14:textId="77777777" w:rsidR="001302B9" w:rsidRPr="00AC4AD8" w:rsidRDefault="00DF063F" w:rsidP="00F03F20">
      <w:pPr>
        <w:spacing w:after="120" w:line="360" w:lineRule="auto"/>
        <w:ind w:firstLine="340"/>
        <w:jc w:val="both"/>
        <w:rPr>
          <w:rFonts w:ascii="Times New Roman" w:hAnsi="Times New Roman"/>
        </w:rPr>
      </w:pPr>
      <w:r w:rsidRPr="00AC4AD8">
        <w:rPr>
          <w:rFonts w:ascii="Times New Roman" w:hAnsi="Times New Roman"/>
        </w:rPr>
        <w:t>This manuscript contains public sector information</w:t>
      </w:r>
      <w:r w:rsidR="008C4828" w:rsidRPr="00AC4AD8">
        <w:rPr>
          <w:rFonts w:ascii="Times New Roman" w:hAnsi="Times New Roman"/>
        </w:rPr>
        <w:t xml:space="preserve"> from the Met Office,</w:t>
      </w:r>
      <w:r w:rsidRPr="00AC4AD8">
        <w:rPr>
          <w:rFonts w:ascii="Times New Roman" w:hAnsi="Times New Roman"/>
        </w:rPr>
        <w:t xml:space="preserve"> licensed under the Open Government Licence v1.0.</w:t>
      </w:r>
      <w:r w:rsidR="001302B9" w:rsidRPr="00AC4AD8">
        <w:rPr>
          <w:rFonts w:ascii="Times New Roman" w:hAnsi="Times New Roman"/>
        </w:rPr>
        <w:t xml:space="preserve"> </w:t>
      </w:r>
    </w:p>
    <w:p w14:paraId="715445D3" w14:textId="77777777" w:rsidR="00186DCD" w:rsidRPr="00AC4AD8" w:rsidRDefault="00186DCD" w:rsidP="00F03F20">
      <w:pPr>
        <w:spacing w:after="120" w:line="360" w:lineRule="auto"/>
        <w:ind w:firstLine="340"/>
        <w:jc w:val="both"/>
        <w:rPr>
          <w:rFonts w:ascii="Times New Roman" w:hAnsi="Times New Roman"/>
        </w:rPr>
      </w:pPr>
    </w:p>
    <w:p w14:paraId="5585F9DC" w14:textId="1B10E2D3" w:rsidR="003D7A3C" w:rsidRPr="00AC4AD8" w:rsidRDefault="003D7A3C" w:rsidP="006E179D">
      <w:pPr>
        <w:spacing w:after="120" w:line="360" w:lineRule="auto"/>
        <w:jc w:val="both"/>
        <w:rPr>
          <w:rFonts w:ascii="Times New Roman" w:hAnsi="Times New Roman"/>
          <w:b/>
        </w:rPr>
      </w:pPr>
      <w:r w:rsidRPr="00AC4AD8">
        <w:rPr>
          <w:rFonts w:ascii="Times New Roman" w:hAnsi="Times New Roman"/>
          <w:b/>
        </w:rPr>
        <w:t>Conflict of Interest Statement</w:t>
      </w:r>
    </w:p>
    <w:p w14:paraId="24DFC3E7" w14:textId="7038604D" w:rsidR="003D7A3C" w:rsidRPr="00AC4AD8" w:rsidRDefault="003D7A3C" w:rsidP="003D7A3C">
      <w:pPr>
        <w:spacing w:after="120" w:line="360" w:lineRule="auto"/>
        <w:ind w:firstLine="340"/>
        <w:jc w:val="both"/>
        <w:rPr>
          <w:rFonts w:ascii="Times New Roman" w:hAnsi="Times New Roman"/>
        </w:rPr>
      </w:pPr>
      <w:r w:rsidRPr="00AC4AD8">
        <w:rPr>
          <w:rFonts w:ascii="Times New Roman" w:hAnsi="Times New Roman"/>
        </w:rPr>
        <w:t xml:space="preserve">The authors are unaware of any conflicts of interest that may have impacted the delivery or content of this manuscript. Project </w:t>
      </w:r>
      <w:r w:rsidR="00DF6147" w:rsidRPr="00AC4AD8">
        <w:rPr>
          <w:rFonts w:ascii="Times New Roman" w:hAnsi="Times New Roman"/>
        </w:rPr>
        <w:t>partners</w:t>
      </w:r>
      <w:r w:rsidRPr="00AC4AD8">
        <w:rPr>
          <w:rFonts w:ascii="Times New Roman" w:hAnsi="Times New Roman"/>
        </w:rPr>
        <w:t xml:space="preserve"> (</w:t>
      </w:r>
      <w:proofErr w:type="spellStart"/>
      <w:r w:rsidRPr="00AC4AD8">
        <w:rPr>
          <w:rFonts w:ascii="Times New Roman" w:hAnsi="Times New Roman"/>
        </w:rPr>
        <w:t>Symbio</w:t>
      </w:r>
      <w:proofErr w:type="spellEnd"/>
      <w:r w:rsidRPr="00AC4AD8">
        <w:rPr>
          <w:rFonts w:ascii="Times New Roman" w:hAnsi="Times New Roman"/>
        </w:rPr>
        <w:t xml:space="preserve"> Ltd and </w:t>
      </w:r>
      <w:proofErr w:type="spellStart"/>
      <w:r w:rsidRPr="00AC4AD8">
        <w:rPr>
          <w:rFonts w:ascii="Times New Roman" w:hAnsi="Times New Roman"/>
        </w:rPr>
        <w:t>Laverstoke</w:t>
      </w:r>
      <w:proofErr w:type="spellEnd"/>
      <w:r w:rsidRPr="00AC4AD8">
        <w:rPr>
          <w:rFonts w:ascii="Times New Roman" w:hAnsi="Times New Roman"/>
        </w:rPr>
        <w:t xml:space="preserve"> Park) provided financial support and commercial products to test. They had no influence on the study; its design, delivery or interpretation. </w:t>
      </w:r>
    </w:p>
    <w:p w14:paraId="1AA39A96" w14:textId="77777777" w:rsidR="00186DCD" w:rsidRPr="00AC4AD8" w:rsidRDefault="00186DCD" w:rsidP="003D7A3C">
      <w:pPr>
        <w:spacing w:after="120" w:line="360" w:lineRule="auto"/>
        <w:ind w:firstLine="340"/>
        <w:jc w:val="both"/>
        <w:rPr>
          <w:rFonts w:ascii="Times New Roman" w:hAnsi="Times New Roman"/>
        </w:rPr>
      </w:pPr>
    </w:p>
    <w:p w14:paraId="74FB36C2" w14:textId="6D061829" w:rsidR="00871F23" w:rsidRPr="00AC4AD8" w:rsidRDefault="00871F23" w:rsidP="00936A31">
      <w:pPr>
        <w:spacing w:after="120" w:line="360" w:lineRule="auto"/>
        <w:jc w:val="both"/>
        <w:rPr>
          <w:rFonts w:ascii="Times New Roman" w:hAnsi="Times New Roman"/>
          <w:b/>
        </w:rPr>
      </w:pPr>
      <w:r w:rsidRPr="00AC4AD8">
        <w:rPr>
          <w:rFonts w:ascii="Times New Roman" w:hAnsi="Times New Roman"/>
          <w:b/>
        </w:rPr>
        <w:t>Glossary</w:t>
      </w:r>
    </w:p>
    <w:p w14:paraId="14C3AB45" w14:textId="50273E70" w:rsidR="00871F23" w:rsidRPr="00AC4AD8" w:rsidRDefault="00871F23" w:rsidP="00936A31">
      <w:pPr>
        <w:spacing w:after="120" w:line="360" w:lineRule="auto"/>
        <w:jc w:val="both"/>
        <w:rPr>
          <w:rFonts w:ascii="Times New Roman" w:hAnsi="Times New Roman"/>
        </w:rPr>
      </w:pPr>
      <w:r w:rsidRPr="00AC4AD8">
        <w:rPr>
          <w:rFonts w:ascii="Times New Roman" w:hAnsi="Times New Roman"/>
        </w:rPr>
        <w:t>Arbuscular mycorrhizal fungi: Distinct group of species of mycorrhizal fungi that penetrate the roots of their host plants</w:t>
      </w:r>
    </w:p>
    <w:p w14:paraId="54835DF1" w14:textId="5CECDB3C" w:rsidR="00871F23" w:rsidRPr="00AC4AD8" w:rsidRDefault="00871F23" w:rsidP="00936A31">
      <w:pPr>
        <w:spacing w:after="120" w:line="360" w:lineRule="auto"/>
        <w:jc w:val="both"/>
        <w:rPr>
          <w:rFonts w:ascii="Times New Roman" w:hAnsi="Times New Roman"/>
        </w:rPr>
      </w:pPr>
      <w:proofErr w:type="spellStart"/>
      <w:r w:rsidRPr="00AC4AD8">
        <w:rPr>
          <w:rFonts w:ascii="Times New Roman" w:hAnsi="Times New Roman"/>
        </w:rPr>
        <w:t>Arbuscule</w:t>
      </w:r>
      <w:proofErr w:type="spellEnd"/>
      <w:r w:rsidRPr="00AC4AD8">
        <w:rPr>
          <w:rFonts w:ascii="Times New Roman" w:hAnsi="Times New Roman"/>
        </w:rPr>
        <w:t>:  Organ responsible for nutrient transfer in arbuscular mycorrhizal fungi</w:t>
      </w:r>
    </w:p>
    <w:p w14:paraId="0C933126" w14:textId="3B4C2041" w:rsidR="00871F23" w:rsidRPr="00AC4AD8" w:rsidRDefault="008A4EE7" w:rsidP="00936A31">
      <w:pPr>
        <w:spacing w:after="120" w:line="360" w:lineRule="auto"/>
        <w:jc w:val="both"/>
        <w:rPr>
          <w:rFonts w:ascii="Times New Roman" w:hAnsi="Times New Roman"/>
        </w:rPr>
      </w:pPr>
      <w:r w:rsidRPr="00AC4AD8">
        <w:rPr>
          <w:rFonts w:ascii="Times New Roman" w:hAnsi="Times New Roman"/>
        </w:rPr>
        <w:t>Extensive (green roof): Green roof with often shallow substrate and low organic matter. Usually planted with hardy succulents.</w:t>
      </w:r>
    </w:p>
    <w:p w14:paraId="53BE017E" w14:textId="000F1C54" w:rsidR="008A4EE7" w:rsidRPr="00AC4AD8" w:rsidRDefault="008A4EE7" w:rsidP="00936A31">
      <w:pPr>
        <w:spacing w:after="120" w:line="360" w:lineRule="auto"/>
        <w:jc w:val="both"/>
        <w:rPr>
          <w:rFonts w:ascii="Times New Roman" w:hAnsi="Times New Roman"/>
        </w:rPr>
      </w:pPr>
      <w:r w:rsidRPr="00AC4AD8">
        <w:rPr>
          <w:rFonts w:ascii="Times New Roman" w:hAnsi="Times New Roman"/>
        </w:rPr>
        <w:t>Inoculant:  The introduction of a microorganism or substance into a new habitat and/or organism</w:t>
      </w:r>
    </w:p>
    <w:p w14:paraId="31CF7D85" w14:textId="6B861362" w:rsidR="008A4EE7" w:rsidRPr="00AC4AD8" w:rsidRDefault="008A4EE7" w:rsidP="00936A31">
      <w:pPr>
        <w:spacing w:after="120" w:line="360" w:lineRule="auto"/>
        <w:jc w:val="both"/>
        <w:rPr>
          <w:rFonts w:ascii="Times New Roman" w:hAnsi="Times New Roman"/>
        </w:rPr>
      </w:pPr>
      <w:r w:rsidRPr="00AC4AD8">
        <w:rPr>
          <w:rFonts w:ascii="Times New Roman" w:hAnsi="Times New Roman"/>
        </w:rPr>
        <w:t>Microarthropod: Small invertebrates in the phylum Arthropoda</w:t>
      </w:r>
    </w:p>
    <w:p w14:paraId="4E4FEEB9" w14:textId="4AD15D0A" w:rsidR="008A4EE7" w:rsidRPr="00AC4AD8" w:rsidRDefault="008A4EE7" w:rsidP="00936A31">
      <w:pPr>
        <w:spacing w:after="120" w:line="360" w:lineRule="auto"/>
        <w:jc w:val="both"/>
        <w:rPr>
          <w:rFonts w:ascii="Times New Roman" w:hAnsi="Times New Roman"/>
        </w:rPr>
      </w:pPr>
      <w:r w:rsidRPr="00AC4AD8">
        <w:rPr>
          <w:rFonts w:ascii="Times New Roman" w:hAnsi="Times New Roman"/>
        </w:rPr>
        <w:t>Morphospecies: Groups of organisms that differ in appearance, but may not be genetically distinct species</w:t>
      </w:r>
    </w:p>
    <w:p w14:paraId="3DA700AA" w14:textId="6810B296" w:rsidR="008A4EE7" w:rsidRPr="00AC4AD8" w:rsidRDefault="008A4EE7" w:rsidP="00936A31">
      <w:pPr>
        <w:spacing w:after="120" w:line="360" w:lineRule="auto"/>
        <w:jc w:val="both"/>
        <w:rPr>
          <w:rFonts w:ascii="Times New Roman" w:hAnsi="Times New Roman"/>
        </w:rPr>
      </w:pPr>
      <w:r w:rsidRPr="00AC4AD8">
        <w:rPr>
          <w:rFonts w:ascii="Times New Roman" w:hAnsi="Times New Roman"/>
        </w:rPr>
        <w:t>Mycorrhiza: Fungal group that associates with the roots of plants</w:t>
      </w:r>
    </w:p>
    <w:p w14:paraId="28ACCAFA" w14:textId="667499B3" w:rsidR="008A4EE7" w:rsidRPr="00AC4AD8" w:rsidRDefault="008A4EE7" w:rsidP="00936A31">
      <w:pPr>
        <w:spacing w:after="120" w:line="360" w:lineRule="auto"/>
        <w:jc w:val="both"/>
        <w:rPr>
          <w:rFonts w:ascii="Times New Roman" w:hAnsi="Times New Roman"/>
        </w:rPr>
      </w:pPr>
      <w:r w:rsidRPr="00AC4AD8">
        <w:rPr>
          <w:rFonts w:ascii="Times New Roman" w:hAnsi="Times New Roman"/>
          <w:i/>
        </w:rPr>
        <w:t>Trichoderma</w:t>
      </w:r>
      <w:r w:rsidRPr="00AC4AD8">
        <w:rPr>
          <w:rFonts w:ascii="Times New Roman" w:hAnsi="Times New Roman"/>
        </w:rPr>
        <w:t>: Genus of free-living soil fungi</w:t>
      </w:r>
    </w:p>
    <w:p w14:paraId="73504FBF" w14:textId="51AA1098" w:rsidR="008A4EE7" w:rsidRPr="00AC4AD8" w:rsidRDefault="008A4EE7" w:rsidP="00936A31">
      <w:pPr>
        <w:spacing w:after="120" w:line="360" w:lineRule="auto"/>
        <w:jc w:val="both"/>
        <w:rPr>
          <w:rFonts w:ascii="Times New Roman" w:hAnsi="Times New Roman"/>
        </w:rPr>
        <w:sectPr w:rsidR="008A4EE7" w:rsidRPr="00AC4AD8" w:rsidSect="006C517D">
          <w:pgSz w:w="11906" w:h="16838"/>
          <w:pgMar w:top="1440" w:right="1440" w:bottom="1440" w:left="1440" w:header="708" w:footer="708" w:gutter="0"/>
          <w:lnNumType w:countBy="1" w:restart="continuous"/>
          <w:cols w:space="708"/>
          <w:docGrid w:linePitch="360"/>
        </w:sectPr>
      </w:pPr>
      <w:r w:rsidRPr="00AC4AD8">
        <w:rPr>
          <w:rFonts w:ascii="Times New Roman" w:hAnsi="Times New Roman"/>
        </w:rPr>
        <w:t xml:space="preserve">Vesicle: Fungal storage organ, storing, for example, lipids </w:t>
      </w:r>
    </w:p>
    <w:p w14:paraId="101A3EAA" w14:textId="37E69B17" w:rsidR="002A4D78" w:rsidRPr="00AC4AD8" w:rsidRDefault="00C925EF" w:rsidP="00936A31">
      <w:pPr>
        <w:spacing w:after="120" w:line="360" w:lineRule="auto"/>
        <w:jc w:val="both"/>
        <w:rPr>
          <w:rFonts w:ascii="Times New Roman" w:hAnsi="Times New Roman"/>
        </w:rPr>
      </w:pPr>
      <w:r w:rsidRPr="00AC4AD8">
        <w:rPr>
          <w:rFonts w:ascii="Times New Roman" w:hAnsi="Times New Roman"/>
          <w:b/>
        </w:rPr>
        <w:t>References</w:t>
      </w:r>
    </w:p>
    <w:p w14:paraId="38F7021B" w14:textId="3C3C9329" w:rsidR="00FA2ADA" w:rsidRPr="00AC4AD8" w:rsidRDefault="002A4D78"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rPr>
        <w:fldChar w:fldCharType="begin" w:fldLock="1"/>
      </w:r>
      <w:r w:rsidRPr="00AC4AD8">
        <w:rPr>
          <w:rFonts w:ascii="Times New Roman" w:hAnsi="Times New Roman"/>
        </w:rPr>
        <w:instrText xml:space="preserve">ADDIN Mendeley Bibliography CSL_BIBLIOGRAPHY </w:instrText>
      </w:r>
      <w:r w:rsidRPr="00AC4AD8">
        <w:rPr>
          <w:rFonts w:ascii="Times New Roman" w:hAnsi="Times New Roman"/>
        </w:rPr>
        <w:fldChar w:fldCharType="separate"/>
      </w:r>
      <w:r w:rsidR="00FA2ADA" w:rsidRPr="00AC4AD8">
        <w:rPr>
          <w:rFonts w:ascii="Times New Roman" w:hAnsi="Times New Roman"/>
          <w:noProof/>
          <w:szCs w:val="24"/>
        </w:rPr>
        <w:t>Akita, M., Lehtonen, M.T., Koponen, H., Marttinen, E.M., Valkonen, J.P.T., 2011. Infection of the Sunagoke moss panels with fungal pathogens hampers sustainable greening in urban environments. Sci. Total Environ. 409, 3166–73. doi:10.1016/j.scitotenv.2011.05.009</w:t>
      </w:r>
    </w:p>
    <w:p w14:paraId="7718861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Blamey, M., Fitter, R., Fitter, A., 2003. The Wild Flowers of Britain and Ireland. Bloomsbury, London.</w:t>
      </w:r>
    </w:p>
    <w:p w14:paraId="02DD4115"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Braaker, S., Ghazoul, J., Obrist, M.K., Moretti, M., 2014. Habitat connectivity shapes urban arthropod communities: the key role of green roofs. Ecology 95, 1010–1021. doi:10.1890/13-0705.1</w:t>
      </w:r>
    </w:p>
    <w:p w14:paraId="7D166791"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Bünemann, E.K., Schwenke, G.D., Van Zwieten, L., 2006. Impact of agricultural inputs on soil organisms—a review. Aust. J. Soil Res. 44, 379. doi:10.1071/SR05125</w:t>
      </w:r>
    </w:p>
    <w:p w14:paraId="5F901492"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Butler, T., Hunter, A., 2008. Impact of microbial inoculant application on Agrostis stolonifera var. “Penn a4” performance under reduced fertilisation. Acta Hortic. 783, 333–340. doi:10.17660/ActaHortic.2008.783.35</w:t>
      </w:r>
    </w:p>
    <w:p w14:paraId="35720F5D"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Chen, B., Wise, D., 1999. Bottom-up limitation of predaceous arthropods in a detritus-based terrestrial food web. Ecology 80, 761–772. doi:10.2307/177015</w:t>
      </w:r>
    </w:p>
    <w:p w14:paraId="73C432F5"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Corkidi, L., Allen, E.B., Merhaut, D., Allen, M.F., Downer, J., Bohn, J., Evans, M., 2004. Assessing the infectivity of commercial mycorrhizal inoculants in plant nursery conditions. J. Environ. Hortic. 22, 149–154.</w:t>
      </w:r>
    </w:p>
    <w:p w14:paraId="48E3C87B"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Cuevas, V., 2011. Potential impacts of the use of Trichoderma spp. on farmers’ profit in the field control of club root disease of crucifers caused by Plasmodiophora brassicae Wor. Philipp. Agric. Sci. 94, 171–178.</w:t>
      </w:r>
    </w:p>
    <w:p w14:paraId="658EEAAD"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Davidson, A.W., Potter, D.A., 1995. Response of plant-feeding, predatory, and soil-inhabiting invertebrates to acremonium endophyte and nitrogen fertilization in tall fescue turf. J. Econ. Entomol. 88, 367–379. doi:10.1093/jee/88.2.367</w:t>
      </w:r>
    </w:p>
    <w:p w14:paraId="36CDE071"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Domenech, J., Ramos-Solano, B., Probanza, A., Lucas-Garcı́a, J.A., Colón, J.J., Gutiérrez-Mañero, F.J., 2004. Bacillus spp. and Pisolithus tinctorius effects on Quercus ilex ssp. ballota: a study on tree growth, rhizosphere community structure and mycorrhizal infection. For. Ecol. Manage. 194, 293–303. doi:10.1016/j.foreco.2004.02.026</w:t>
      </w:r>
    </w:p>
    <w:p w14:paraId="1328109E"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Emilsson, T., 2008. Vegetation development on extensive vegetated green roofs: Influence of substrate composition, establishment method and species mix. Ecol. Eng. 33, 265–277. doi:10.1016/j.ecoleng.2008.05.005</w:t>
      </w:r>
    </w:p>
    <w:p w14:paraId="03122E6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Emilsson, T., Czemiel Berndtsson, J., Mattsson, J.E., Rolf, K., 2007. Effect of using conventional and controlled release fertiliser on nutrient runoff from various vegetated roof systems. Ecol. Eng. 29, 260–271. doi:10.1016/j.ecoleng.2006.01.001</w:t>
      </w:r>
    </w:p>
    <w:p w14:paraId="6B8AF75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Ettema, C.H., Wardle, D.A., 2002. Spatial soil ecology. Trends Ecol. Evol. 17, 177–183. doi:doi:10.1016/S0169-5347(02)02496-5</w:t>
      </w:r>
    </w:p>
    <w:p w14:paraId="4D3EA65C"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Gerson, U., 1969. Moss-Arthropod Associations. Bryologist 72, 495–500. doi:10.2307/3241388</w:t>
      </w:r>
    </w:p>
    <w:p w14:paraId="7780F05C"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Getter, K.L., Rowe, D.B., 2008. Media depth influences Sedum green roof establishment. Urban Ecosyst. 11, 361–372. doi:10.1007/s11252-008-0052-0</w:t>
      </w:r>
    </w:p>
    <w:p w14:paraId="2891EA91"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Getter, K.L., Rowe, D.B., Robertson, G.P., Cregg, B.M., Andresen, J.A., 2009. Carbon sequestration potential of extensive green roofs. Environ. Sci. Technol. 43, 7564–7570. doi:10.1021/es901539x</w:t>
      </w:r>
    </w:p>
    <w:p w14:paraId="00E07AF2"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Gillet, S., Ponge, J., 2005. Species assemblages and diets of Collembola in the organic matter accumulated over an old tar deposit. Eur. J. Soil Biol. 41, 39–44. doi:10.1016/j.ejsobi.2005.07.001</w:t>
      </w:r>
    </w:p>
    <w:p w14:paraId="3ED9473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Grant, G., 2006. Extensive green roofs in London. Urban Habitats 4, 51–65.</w:t>
      </w:r>
    </w:p>
    <w:p w14:paraId="308DF6C1"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Greenhouse, S.W., Geisser, S., 1959. On methods in the analysis of profile data. Psychometrika 95–112.</w:t>
      </w:r>
    </w:p>
    <w:p w14:paraId="51400D06"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Hartley, W., Uffindell, L., Plumb, A., Rawlinson, H.A., Putwain, P., Dickinson, N.M., 2008. Assessing biological indicators for remediated anthropogenic urban soils. Sci. Total Environ. 405, 358–69. doi:10.1016/j.scitotenv.2008.06.004</w:t>
      </w:r>
    </w:p>
    <w:p w14:paraId="214080E3"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Hopkin, S.P., 2007. A key to the Collembola (Springtails) of Britain and Ireland. FSC Publications, Shrewsbury.</w:t>
      </w:r>
    </w:p>
    <w:p w14:paraId="429D58E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Hufnagel, L., Rédei, D., Harmat, B., 2004. Ecology of the Acalypta species occurring in Hungary (Insecta: Heteroptera: Tingidae) data to the knowledge on the ground-living Heteroptera of Hungary, No 3. Appl. Ecol. Environ. Res. 2, 73–91.</w:t>
      </w:r>
    </w:p>
    <w:p w14:paraId="2968B152"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Jaffal, I., Ouldboukhitine, S.-E., Belarbi, R., 2012. A comprehensive study of the impact of green roofs on building energy performance. Renew. Energy 43, 157–164. doi:10.1016/j.renene.2011.12.004</w:t>
      </w:r>
    </w:p>
    <w:p w14:paraId="306765FD"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Jim, C.Y., Tsang, S.W., 2011. Biophysical properties and thermal performance of an intensive green roof. Build. Environ. 46, 1263–1274. doi:10.1016/j.buildenv.2010.12.013</w:t>
      </w:r>
    </w:p>
    <w:p w14:paraId="09C0748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Johnson, S.N., Rasmann, S., 2015. Root-feeding insects and their interactions with organisms in the rhizosphere. Annu. Rev. Entomol. 60, 517–535. doi:10.1146/annurev-ento-010814-020608</w:t>
      </w:r>
    </w:p>
    <w:p w14:paraId="37431BD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Kajak, A., 1981. Analysis of the effect of mineral fertilisation on the meadow spider community. Ekol. Pol. 29, 213–326.</w:t>
      </w:r>
    </w:p>
    <w:p w14:paraId="248EB9F4"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Kaufmann, R., Fuchs, M., Gosterxeier, N., 2002. The soil fauna of an Alpine glacier foreland: Colonization and succession. Arctic, Antarct. Alp. Res. 34, 242–250. doi:10.2307/1552481</w:t>
      </w:r>
    </w:p>
    <w:p w14:paraId="128092BF"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Kindt, R., Coe, R., 2005. BiodiversityR.</w:t>
      </w:r>
    </w:p>
    <w:p w14:paraId="698A595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Koomen, I., Grace, C., Hayman, D.S., 1987. Effectiveness of single and multiple mycorrhizal inocula on growth of clover and strawberry plants at two soil pHs. Soil Biol. Biochem. 19, 539–544. doi:10.1016/0038-0717(87)90096-4</w:t>
      </w:r>
    </w:p>
    <w:p w14:paraId="7B92420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Krantz, G.W., Walter, D.E., 2009. A manual of acarology, 3rd ed. Texas Tech University Press, Lubbock.</w:t>
      </w:r>
    </w:p>
    <w:p w14:paraId="34FC2E8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Krivosheina, N., Zaitzev, A., 2008. Trophic relationships and main trends in morphological adaptations of larval mouthparts in sciaroid dipterans (Diptera, Sciaroidea). Biol. Bull. 35, 606–614. doi:10.1134/S1062359008060071</w:t>
      </w:r>
    </w:p>
    <w:p w14:paraId="4991FA8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MacFadyen, A., 1953. Notes on methods for the extraction of small soil arthropods. J. Anim. Ecol. 22, 65–77. doi:10.2307/1691</w:t>
      </w:r>
    </w:p>
    <w:p w14:paraId="00453F8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Mastouri, F., Björkman, T., Harman, G., 2010. Seed treatment with Trichoderma harzianum alleviates biotic, abiotic, and physiological stresses in germinating seeds and seedlings. Phytopathology 100, 1213–1221. doi:10.1094/PHYTO-03-10-0091</w:t>
      </w:r>
    </w:p>
    <w:p w14:paraId="7BA2C4C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McGonigle, T.P., Miller, M.H., Evans, D.G., Fairchild, G.L., Swan, J.A., 1990. A new method which gives an objective measure of colonization of roots by vesicular-arbuscular mycorrhizal fungi. New Phytol. 115, 495–501. doi:10.1111/j.1469-8137.1990.tb00476.x</w:t>
      </w:r>
    </w:p>
    <w:p w14:paraId="2E6402FA"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McIntyre, L., Snodgrass, E.C., 2010. The green roof manual: A professional guide to design, installation, and maintenance. Timber Press, Portland.</w:t>
      </w:r>
    </w:p>
    <w:p w14:paraId="4DD2FC46"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Molineux, C.J., 2010. Development of suitable growing media for effective green roofs. Royal Holloway, University of London.</w:t>
      </w:r>
    </w:p>
    <w:p w14:paraId="3224DFE6"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Molineux, C.J., Connop, S.P., Gange, A.C., 2014. Manipulating soil microbial communities in extensive green roof substrates. Sci. Total Environ. 493, 632–8. doi:10.1016/j.scitotenv.2014.06.045</w:t>
      </w:r>
    </w:p>
    <w:p w14:paraId="4BAE458F"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Moreira, M., Baretta, D., Tsai, S.M., Cardoso, E.J.B.N., 2006. Spore density and root colonization by arbuscular mycorrhizal fungi in preserved or disturbed Araucaria angustifolia (Bert.) O. Ktze. ecosystems. Sci. Agric. 63, 380–385. doi:10.1590/S0103-90162006000400009</w:t>
      </w:r>
    </w:p>
    <w:p w14:paraId="77AF51F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Mousseaux, M., Dumroese, R., James, R., 1998. Efficacy of Trichoderma harzianum as a biological control of Fusarium oxysporum in container-grown Douglas-fir seedlings. New For. 15, 11–21. doi:10.1023/A:1006512519895</w:t>
      </w:r>
    </w:p>
    <w:p w14:paraId="1BE87AD3"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Neher, D.A., 1999. Soil community composition and ecosystem processes: Comparing agricultural ecosystems with natural ecosystems. Agrofor. Syst. 45, 159–185. doi:10.1023/A:1006299100678</w:t>
      </w:r>
    </w:p>
    <w:p w14:paraId="40BCC18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Nordstokke, D.W., Zumbo, B.D., 2010. A new nonparametric Levene test for equal variances. Psicologica 31, 401–430.</w:t>
      </w:r>
    </w:p>
    <w:p w14:paraId="245824F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Nuccio, E.E., Hodge, A., Pett-Ridge, J., Herman, D.J., Weber, P.K., Firestone, M.K., 2013. An arbuscular mycorrhizal fungus significantly modifies the soil bacterial community and nitrogen cycling during litter decomposition. Environ. Microbiol. 15, 1870–81. doi:10.1111/1462-2920.12081</w:t>
      </w:r>
    </w:p>
    <w:p w14:paraId="648EECEC"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Oksanen, J., Blanchet, F.G., Kindt, R., Legendre, P., Minchin, P.R., O’Hara, R.B., Simpson, G.L., Solymos, P., Stevens, M.H.H., Wagner, H., 2015. vegan: Community Ecology Package.</w:t>
      </w:r>
    </w:p>
    <w:p w14:paraId="5A2407BA"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Osono, T., Ueno, T., Uchida, M., Kanda, H., 2012. Abundance and diversity of fungi in relation to chemical changes in arctic moss profiles. Polar Sci. 6, 121–131. doi:doi:10.1016/j.polar.2011.12.001</w:t>
      </w:r>
    </w:p>
    <w:p w14:paraId="33495D4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Papavizas, G., 1985. Trichoderma and Gliocladium: biology, ecology, and potential for biocontrol. Annu. Rev. Phytopathol. 23, 23–54. doi:10.1146/annurev.py.23.090185.000323</w:t>
      </w:r>
    </w:p>
    <w:p w14:paraId="208C96E2"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Ponge, J., 1991. Food resources and diets of soil animals in a small area of Scots pine litter. Geoderma 49, 33–62. doi:10.1016/0016-7061(91)90090-G</w:t>
      </w:r>
    </w:p>
    <w:p w14:paraId="4C851C04"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Probanza, A., Garcıa, J., Palomino, M., 2002. Pinus pinea L. seedling growth and bacterial rhizosphere structure after inoculation with PGPR Bacillus (B. licheniformis CECT 5106 and B. pumilus CECT 5105). Appl. Soil Ecol. 20, 75–84. doi:10.1016/S0929-1393(02)00007-0</w:t>
      </w:r>
    </w:p>
    <w:p w14:paraId="29909CF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Probanza, A., Mateos, J., Garcia, J., 2001. Effects of inoculation with PGPR Bacillus and Pisolithus tinctorius on Pinus pinea L. growth, bacterial rhizosphere colonization, and mycorrhizal infection. Microb. Ecol. 41, 140–148. doi:10.1007/s002480000081</w:t>
      </w:r>
    </w:p>
    <w:p w14:paraId="2BE2B5EE"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R Core Team, 2015. R: A language and environment for statistical computing.</w:t>
      </w:r>
    </w:p>
    <w:p w14:paraId="336A2B2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Raiche, G., Magis, D., 2011. nFactors.</w:t>
      </w:r>
    </w:p>
    <w:p w14:paraId="0B0639C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Rumble, H., 2013. Quantifying the soil community on green roofs. Royal Holloway, University of London.</w:t>
      </w:r>
    </w:p>
    <w:p w14:paraId="08E3737E"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Rumble, H., Gange, A.C., 2013. Soil microarthropod community dynamics in extensive green roofs. Ecol. Eng. 57, 197–204. doi:10.1016/j.ecoleng.2013.04.012</w:t>
      </w:r>
    </w:p>
    <w:p w14:paraId="18D2675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Santorufo, L., Van Gestel, C.A.M., Rocco, A., Maisto, G., 2012. Soil invertebrates as bioindicators of urban soil quality. Environ. Pollut. 161, 57–63. doi:10.1016/j.envpol.2011.09.042</w:t>
      </w:r>
    </w:p>
    <w:p w14:paraId="5AD341C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Santos, P.F., Whitford, W.G., 1981. The effects of microarthropods on litter decomposition in a Chihuahuan desert ecosystem. Ecology 62, 654–663. doi:10.2307/1937733</w:t>
      </w:r>
    </w:p>
    <w:p w14:paraId="758F72F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Schäffer, S., Pfingstl, T., Koblmüller, S., Winkler, K.A., Sturmbauer, C., Krisper, G., 2010. Phylogenetic analysis of European Scutovertex mites (Acari, Oribatida, Scutoverticidae) reveals paraphyly and cryptic diversity: A molecular genetic and morphological approach. Mol. Phylogenet. Evol. 55, 677–88. doi:10.1016/j.ympev.2009.11.025</w:t>
      </w:r>
    </w:p>
    <w:p w14:paraId="1B3966DD"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Scheirer, D.C., Dolan, H.A., 1983. Bryophyte leaf epiflora: An SEM and TEM study of Polytrichum commune Hedw. Am. J. Bot. 70, 712–718.</w:t>
      </w:r>
    </w:p>
    <w:p w14:paraId="042BE19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Schrader, S., Böning, M., 2006. Soil formation on green roofs and its contribution to urban biodiversity with emphasis on Collembolans. Pedobiologia (Jena). 50, 347–356. doi:10.1016/j.pedobi.2006.06.003</w:t>
      </w:r>
    </w:p>
    <w:p w14:paraId="22790A6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Schubert, A., Lubraco, G., 2000. Mycorrhizal inoculation enhances growth and nutrient uptake of micropropagated apple rootstocks during weaning in commercial substrates of high nutrient availability. Appl. Soil Ecol. 15, 113–118. doi:10.1016/S0929-1393(00)00086-X</w:t>
      </w:r>
    </w:p>
    <w:p w14:paraId="1891215C"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Sibi, M., Anandaraj, M., Eapen, S., Devasahayam, S., 2008. Effect of carrier media on population fluctuation of Trichoderma harzianum (MTCC5179) in black pepper (Piper nigrum L.) rhizosphere and their interaction with soil microflora and fauna. J. Biol. Control 22, 25–32. doi:10.18641/jbc/22/1/40181</w:t>
      </w:r>
    </w:p>
    <w:p w14:paraId="12B9774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Smrž, J., 2006. Microhabitat selection in the simple oribatid community dwelling in epilithic moss cover (Acari: Oribatida). Naturwissenschaften 93, 570–576. doi:10.1007/s00114-006-0141-y</w:t>
      </w:r>
    </w:p>
    <w:p w14:paraId="7021A2C0"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Southwood, T.R.E., Leston, D., 2005. Land and water bugs of the British Isles. Pisces Conservation, New Milton.</w:t>
      </w:r>
    </w:p>
    <w:p w14:paraId="556D9649"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Strandtmann, R.W., 1971. The Eupodid mites of Alaska (Acarina: Prostigmata). Pacific Insects 13, 75–118.</w:t>
      </w:r>
    </w:p>
    <w:p w14:paraId="682B5625"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Strandtmann, R.W., Davies, L., 1972. Eupodiform mites from Possession with a key to the species of Eupodes (Acarina: Prostigmata). Pacific Insects 14, 39–56.</w:t>
      </w:r>
    </w:p>
    <w:p w14:paraId="6194AB4C"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Thormann, M.N., Currah, R.S., Bayley, S.E., 2003. Succession of microfungal assemblages in decomposing peatland plants. Plant Soil 250, 323–333. doi:10.1023/A:1022845604385</w:t>
      </w:r>
    </w:p>
    <w:p w14:paraId="1F7C64FE"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Trabelsi, D., Mhamdi, R., 2013. Microbial inoculants and their impact on soil microbial communities: a review. Biomed Res. Int. 2013, 863240. doi:10.1155/2013/863240</w:t>
      </w:r>
    </w:p>
    <w:p w14:paraId="023B2AB6"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van der Heijden, M.G.A., Bardgett, R.D., van Straalen, N.M., 2008. The unseen majority: soil microbes as drivers of plant diversity and productivity in terrestrial ecosystems. Ecol. Lett. 11, 296–310. doi:10.1111/j.1461-0248.2007.01139.x</w:t>
      </w:r>
    </w:p>
    <w:p w14:paraId="32E231B4"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van Elsas, J.D., Chiurazzi, M., Mallon, C.A., Elhottova, D., Kristufek, V., Salles, J.F., 2012. Microbial diversity determines the invasion of soil by a bacterial pathogen. Proc. Natl. Acad. Sci. U. S. A. 109, 1159–64. doi:10.1073/pnas.1109326109</w:t>
      </w:r>
    </w:p>
    <w:p w14:paraId="2A9998F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VanWoert, N.D., Rowe, D.B., Andresen, J.A., Rugh, C.L., Xiao, L., 2005. Watering regime and green roof substrate design affect Sedum plant growth. HortScience 40, 659–664.</w:t>
      </w:r>
    </w:p>
    <w:p w14:paraId="618E0CA7"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Vierheilig, H., 2004. Further root colonization by arbuscular mycorrhizal fungi in already mycorrhizal plants is suppressed after a critical level of root colonization. J. Plant Physiol. 161, 339–341. doi:10.1078/0176-1617-01097</w:t>
      </w:r>
    </w:p>
    <w:p w14:paraId="2188431A"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Vierheilig, H., Garcia-Garrido, J.M., Wyss, U., Piché, Y., 2000. Systemic suppression of mycorrhizal colonization of barley roots already colonized by AM fungi. Soil Biol. Biochem. 32, 589–595. doi:10.1016/S0038-0717(99)00155-8</w:t>
      </w:r>
    </w:p>
    <w:p w14:paraId="03830D86"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Vierheilig, Coughlan, Wyss, Piche, 1998. Ink and vinegar, a simple staining technique for arbuscular-mycorrhizal fungi. Appl. Environ. Microbiol. 64, 5004–5007.</w:t>
      </w:r>
    </w:p>
    <w:p w14:paraId="55AA6F52"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Wallwork, J.A., 1972. Distribution patterns and population dynamics of the micro-arthropods of a desert soil in Southern California. J. Anim. Ecol. 41, 291–310. doi:10.2307/3470</w:t>
      </w:r>
    </w:p>
    <w:p w14:paraId="067D8BFD"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Walter, D., 1987. Trophic behavior of“ mycophagous” microarthropods. Ecology 68, 226–229. doi:10.2307/1938826</w:t>
      </w:r>
    </w:p>
    <w:p w14:paraId="19700B4E"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Walter, P., Proctor, H., 2001. Mites in soil - Orders, suborders, cohorts [WWW Document]. URL http://keys.lucidcentral.org/keys/cpitt/public/mites/Soil Mites/Index.html</w:t>
      </w:r>
    </w:p>
    <w:p w14:paraId="7A6E711F"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szCs w:val="24"/>
        </w:rPr>
      </w:pPr>
      <w:r w:rsidRPr="00AC4AD8">
        <w:rPr>
          <w:rFonts w:ascii="Times New Roman" w:hAnsi="Times New Roman"/>
          <w:noProof/>
          <w:szCs w:val="24"/>
        </w:rPr>
        <w:t>Wardle, D.A., Bardgett, R.D., Klironomos, J.N., Setälä, H., van der Putten, W.H., Wall, D.H., 2004. Ecological linkages between aboveground and belowground biota. Science 304, 1629–33. doi:10.1126/science.1094875</w:t>
      </w:r>
    </w:p>
    <w:p w14:paraId="79F69E88" w14:textId="77777777" w:rsidR="00FA2ADA" w:rsidRPr="00AC4AD8" w:rsidRDefault="00FA2ADA" w:rsidP="00FA2ADA">
      <w:pPr>
        <w:widowControl w:val="0"/>
        <w:autoSpaceDE w:val="0"/>
        <w:autoSpaceDN w:val="0"/>
        <w:adjustRightInd w:val="0"/>
        <w:spacing w:before="100" w:after="100" w:line="240" w:lineRule="auto"/>
        <w:ind w:left="480" w:hanging="480"/>
        <w:rPr>
          <w:rFonts w:ascii="Times New Roman" w:hAnsi="Times New Roman"/>
          <w:noProof/>
        </w:rPr>
      </w:pPr>
      <w:r w:rsidRPr="00AC4AD8">
        <w:rPr>
          <w:rFonts w:ascii="Times New Roman" w:hAnsi="Times New Roman"/>
          <w:noProof/>
          <w:szCs w:val="24"/>
        </w:rPr>
        <w:t>Williams, N.S.G., Lundholm, J., Scott MacIvor, J., 2014. Do green roofs help urban biodiversity conservation? J. Appl. Ecol. 51, n/a-n/a. doi:10.1111/1365-2664.12333</w:t>
      </w:r>
    </w:p>
    <w:p w14:paraId="38CBCB70" w14:textId="6179A9D0" w:rsidR="001C3B27" w:rsidRPr="00AC4AD8" w:rsidRDefault="002A4D78" w:rsidP="00397383">
      <w:pPr>
        <w:pStyle w:val="NormalWeb"/>
        <w:sectPr w:rsidR="001C3B27" w:rsidRPr="00AC4AD8" w:rsidSect="006C517D">
          <w:pgSz w:w="11906" w:h="16838"/>
          <w:pgMar w:top="1440" w:right="1440" w:bottom="1440" w:left="1440" w:header="708" w:footer="708" w:gutter="0"/>
          <w:lnNumType w:countBy="1" w:restart="continuous"/>
          <w:cols w:space="708"/>
          <w:docGrid w:linePitch="360"/>
        </w:sectPr>
      </w:pPr>
      <w:r w:rsidRPr="00AC4AD8">
        <w:fldChar w:fldCharType="end"/>
      </w:r>
    </w:p>
    <w:p w14:paraId="3926028F" w14:textId="64DDB943" w:rsidR="00283935" w:rsidRPr="00AC4AD8" w:rsidRDefault="000A2C1F" w:rsidP="00283935">
      <w:pPr>
        <w:pStyle w:val="NormalWeb"/>
        <w:divId w:val="439568616"/>
        <w:rPr>
          <w:sz w:val="22"/>
          <w:szCs w:val="22"/>
        </w:rPr>
      </w:pPr>
      <w:r w:rsidRPr="00AC4AD8">
        <w:rPr>
          <w:sz w:val="22"/>
          <w:szCs w:val="22"/>
        </w:rPr>
        <w:t>FIGURES</w:t>
      </w:r>
      <w:r w:rsidR="00283935" w:rsidRPr="00AC4AD8">
        <w:rPr>
          <w:sz w:val="22"/>
          <w:szCs w:val="22"/>
        </w:rPr>
        <w:t xml:space="preserve"> AND CAPTIONS</w:t>
      </w:r>
    </w:p>
    <w:p w14:paraId="15B41C78" w14:textId="3C2E4E17" w:rsidR="00705CEC" w:rsidRPr="00AC4AD8" w:rsidRDefault="00705CEC" w:rsidP="00283935">
      <w:pPr>
        <w:pStyle w:val="NormalWeb"/>
        <w:divId w:val="439568616"/>
        <w:rPr>
          <w:sz w:val="22"/>
          <w:szCs w:val="22"/>
        </w:rPr>
      </w:pPr>
      <w:r w:rsidRPr="00AC4AD8">
        <w:rPr>
          <w:sz w:val="22"/>
          <w:szCs w:val="22"/>
        </w:rPr>
        <w:t xml:space="preserve">Fig 1. Size: 1 column if stacked, </w:t>
      </w:r>
      <w:r w:rsidR="00370D38" w:rsidRPr="00AC4AD8">
        <w:rPr>
          <w:sz w:val="22"/>
          <w:szCs w:val="22"/>
        </w:rPr>
        <w:t>1.5-2 column i</w:t>
      </w:r>
      <w:r w:rsidRPr="00AC4AD8">
        <w:rPr>
          <w:sz w:val="22"/>
          <w:szCs w:val="22"/>
        </w:rPr>
        <w:t>f horizontal</w:t>
      </w:r>
    </w:p>
    <w:p w14:paraId="3C28A2B2" w14:textId="59313FC7" w:rsidR="00705CEC" w:rsidRPr="00AC4AD8" w:rsidRDefault="00705CEC" w:rsidP="00283935">
      <w:pPr>
        <w:pStyle w:val="NormalWeb"/>
        <w:divId w:val="439568616"/>
        <w:rPr>
          <w:rFonts w:ascii="Arial" w:hAnsi="Arial" w:cs="Arial"/>
          <w:noProof/>
        </w:rPr>
      </w:pPr>
      <w:r w:rsidRPr="00AC4AD8">
        <w:rPr>
          <w:noProof/>
        </w:rPr>
        <w:drawing>
          <wp:inline distT="0" distB="0" distL="0" distR="0" wp14:anchorId="1A21186A" wp14:editId="4FE588C1">
            <wp:extent cx="2700000" cy="28800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C4AD8">
        <w:rPr>
          <w:rFonts w:ascii="Arial" w:hAnsi="Arial" w:cs="Arial"/>
          <w:noProof/>
        </w:rPr>
        <w:t xml:space="preserve"> </w:t>
      </w:r>
    </w:p>
    <w:p w14:paraId="0995091D" w14:textId="3C98B2CC" w:rsidR="00705CEC" w:rsidRPr="00AC4AD8" w:rsidRDefault="00705CEC" w:rsidP="00283935">
      <w:pPr>
        <w:pStyle w:val="NormalWeb"/>
        <w:divId w:val="439568616"/>
        <w:rPr>
          <w:sz w:val="22"/>
          <w:szCs w:val="22"/>
        </w:rPr>
      </w:pPr>
      <w:r w:rsidRPr="00AC4AD8">
        <w:rPr>
          <w:rFonts w:ascii="Arial" w:hAnsi="Arial" w:cs="Arial"/>
          <w:noProof/>
        </w:rPr>
        <w:drawing>
          <wp:inline distT="0" distB="0" distL="0" distR="0" wp14:anchorId="4910101B" wp14:editId="154075B4">
            <wp:extent cx="2700000" cy="2520000"/>
            <wp:effectExtent l="0" t="0" r="571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8ADBC7" w14:textId="37DBDE1B" w:rsidR="006532C9" w:rsidRPr="00AC4AD8" w:rsidRDefault="00705CEC" w:rsidP="00865EF0">
      <w:pPr>
        <w:pStyle w:val="NormalWeb"/>
        <w:spacing w:line="360" w:lineRule="auto"/>
        <w:divId w:val="439568616"/>
        <w:rPr>
          <w:sz w:val="22"/>
          <w:szCs w:val="22"/>
        </w:rPr>
      </w:pPr>
      <w:r w:rsidRPr="00AC4AD8">
        <w:rPr>
          <w:noProof/>
          <w:sz w:val="22"/>
          <w:szCs w:val="22"/>
        </w:rPr>
        <w:t xml:space="preserve">Fig 1. (a) Percentage cover of vegetation and bare substrate on the roof. </w:t>
      </w:r>
      <w:r w:rsidRPr="00AC4AD8">
        <w:rPr>
          <w:i/>
          <w:iCs/>
          <w:noProof/>
          <w:sz w:val="22"/>
          <w:szCs w:val="22"/>
        </w:rPr>
        <w:t xml:space="preserve">T. arve </w:t>
      </w:r>
      <w:r w:rsidRPr="00AC4AD8">
        <w:rPr>
          <w:noProof/>
          <w:sz w:val="22"/>
          <w:szCs w:val="22"/>
        </w:rPr>
        <w:t xml:space="preserve">= </w:t>
      </w:r>
      <w:r w:rsidRPr="00AC4AD8">
        <w:rPr>
          <w:i/>
          <w:iCs/>
          <w:noProof/>
          <w:sz w:val="22"/>
          <w:szCs w:val="22"/>
        </w:rPr>
        <w:t>T. arvense.</w:t>
      </w:r>
      <w:r w:rsidRPr="00AC4AD8">
        <w:rPr>
          <w:noProof/>
          <w:sz w:val="22"/>
          <w:szCs w:val="22"/>
        </w:rPr>
        <w:t xml:space="preserve"> (b) Bryophyte cover over the three sample periods in plots treated with </w:t>
      </w:r>
      <w:r w:rsidRPr="00AC4AD8">
        <w:rPr>
          <w:i/>
          <w:noProof/>
          <w:sz w:val="22"/>
          <w:szCs w:val="22"/>
        </w:rPr>
        <w:t>Trichoderma</w:t>
      </w:r>
      <w:r w:rsidRPr="00AC4AD8">
        <w:rPr>
          <w:noProof/>
          <w:sz w:val="22"/>
          <w:szCs w:val="22"/>
        </w:rPr>
        <w:t xml:space="preserve"> (singly or as a combination) and in all plots that did not contain the </w:t>
      </w:r>
      <w:r w:rsidRPr="00AC4AD8">
        <w:rPr>
          <w:i/>
          <w:noProof/>
          <w:sz w:val="22"/>
          <w:szCs w:val="22"/>
        </w:rPr>
        <w:t xml:space="preserve">Trichoderma </w:t>
      </w:r>
      <w:r w:rsidRPr="00AC4AD8">
        <w:rPr>
          <w:noProof/>
          <w:sz w:val="22"/>
          <w:szCs w:val="22"/>
        </w:rPr>
        <w:t xml:space="preserve">inoculant. Error bars represent SEM. </w:t>
      </w:r>
      <w:r w:rsidRPr="00AC4AD8">
        <w:rPr>
          <w:sz w:val="22"/>
          <w:szCs w:val="22"/>
        </w:rPr>
        <w:t xml:space="preserve">Tri = </w:t>
      </w:r>
      <w:r w:rsidRPr="00AC4AD8">
        <w:rPr>
          <w:i/>
          <w:sz w:val="22"/>
          <w:szCs w:val="22"/>
        </w:rPr>
        <w:t xml:space="preserve">Trichoderma </w:t>
      </w:r>
      <w:r w:rsidRPr="00AC4AD8">
        <w:rPr>
          <w:sz w:val="22"/>
          <w:szCs w:val="22"/>
        </w:rPr>
        <w:t>treatment.</w:t>
      </w:r>
    </w:p>
    <w:p w14:paraId="6EF1DE71" w14:textId="77777777" w:rsidR="006532C9" w:rsidRPr="00AC4AD8" w:rsidRDefault="006532C9" w:rsidP="006532C9">
      <w:pPr>
        <w:pStyle w:val="NormalWeb"/>
        <w:divId w:val="439568616"/>
        <w:rPr>
          <w:sz w:val="22"/>
          <w:szCs w:val="22"/>
        </w:rPr>
        <w:sectPr w:rsidR="006532C9" w:rsidRPr="00AC4AD8" w:rsidSect="006C517D">
          <w:pgSz w:w="11906" w:h="16838"/>
          <w:pgMar w:top="1440" w:right="1440" w:bottom="1440" w:left="1440" w:header="708" w:footer="708" w:gutter="0"/>
          <w:lnNumType w:countBy="1" w:restart="continuous"/>
          <w:cols w:space="708"/>
          <w:docGrid w:linePitch="360"/>
        </w:sectPr>
      </w:pPr>
    </w:p>
    <w:p w14:paraId="57AC09D9" w14:textId="77777777" w:rsidR="00AC15BC" w:rsidRPr="00AC4AD8" w:rsidRDefault="006532C9" w:rsidP="00705CEC">
      <w:pPr>
        <w:pStyle w:val="NormalWeb"/>
        <w:divId w:val="439568616"/>
        <w:rPr>
          <w:sz w:val="22"/>
          <w:szCs w:val="22"/>
        </w:rPr>
      </w:pPr>
      <w:r w:rsidRPr="00AC4AD8">
        <w:rPr>
          <w:sz w:val="22"/>
          <w:szCs w:val="22"/>
        </w:rPr>
        <w:t>Fig 2. Size: 1.5 column stacked</w:t>
      </w:r>
    </w:p>
    <w:p w14:paraId="143E9070" w14:textId="7302B3B6" w:rsidR="00AC15BC" w:rsidRPr="00AC4AD8" w:rsidRDefault="00AF399C" w:rsidP="00AC15BC">
      <w:pPr>
        <w:pStyle w:val="NormalWeb"/>
        <w:divId w:val="439568616"/>
        <w:rPr>
          <w:sz w:val="22"/>
          <w:szCs w:val="22"/>
        </w:rPr>
      </w:pPr>
      <w:r>
        <w:rPr>
          <w:sz w:val="22"/>
          <w:szCs w:val="22"/>
        </w:rPr>
        <w:t>Fig 2</w:t>
      </w:r>
      <w:r w:rsidR="00AC15BC" w:rsidRPr="00AC4AD8">
        <w:rPr>
          <w:sz w:val="22"/>
          <w:szCs w:val="22"/>
        </w:rPr>
        <w:t>a relates to interactive plot data: RumbleGange_2016_Remediation_2ndSub_IntFig2a</w:t>
      </w:r>
    </w:p>
    <w:p w14:paraId="733D0561" w14:textId="7E02B20E" w:rsidR="00705CEC" w:rsidRPr="00AC4AD8" w:rsidRDefault="00F73163" w:rsidP="00705CEC">
      <w:pPr>
        <w:pStyle w:val="NormalWeb"/>
        <w:divId w:val="439568616"/>
        <w:rPr>
          <w:sz w:val="22"/>
          <w:szCs w:val="22"/>
        </w:rPr>
      </w:pPr>
      <w:r w:rsidRPr="00AC4AD8">
        <w:rPr>
          <w:rFonts w:ascii="Arial" w:hAnsi="Arial" w:cs="Arial"/>
          <w:noProof/>
          <w:sz w:val="20"/>
          <w:szCs w:val="20"/>
        </w:rPr>
        <w:drawing>
          <wp:inline distT="0" distB="0" distL="0" distR="0" wp14:anchorId="09AAC7DB" wp14:editId="37FF884C">
            <wp:extent cx="5039995" cy="3173506"/>
            <wp:effectExtent l="0" t="0" r="8255" b="82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C4AD8">
        <w:rPr>
          <w:rFonts w:ascii="Arial" w:hAnsi="Arial" w:cs="Arial"/>
          <w:noProof/>
          <w:sz w:val="20"/>
          <w:szCs w:val="20"/>
        </w:rPr>
        <w:t xml:space="preserve"> </w:t>
      </w:r>
      <w:r w:rsidR="00E560E0" w:rsidRPr="00AC4AD8">
        <w:rPr>
          <w:noProof/>
          <w:sz w:val="22"/>
          <w:szCs w:val="22"/>
        </w:rPr>
        <w:drawing>
          <wp:inline distT="0" distB="0" distL="0" distR="0" wp14:anchorId="45C64F65" wp14:editId="2E31F2B8">
            <wp:extent cx="3853917" cy="36058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s Rean Revisio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1052" cy="3621873"/>
                    </a:xfrm>
                    <a:prstGeom prst="rect">
                      <a:avLst/>
                    </a:prstGeom>
                  </pic:spPr>
                </pic:pic>
              </a:graphicData>
            </a:graphic>
          </wp:inline>
        </w:drawing>
      </w:r>
    </w:p>
    <w:p w14:paraId="3B8C9852" w14:textId="5A33B4D9" w:rsidR="00F73163" w:rsidRPr="00AC4AD8" w:rsidRDefault="00F73163" w:rsidP="00865EF0">
      <w:pPr>
        <w:pStyle w:val="NormalWeb"/>
        <w:spacing w:line="360" w:lineRule="auto"/>
        <w:divId w:val="439568616"/>
        <w:rPr>
          <w:sz w:val="22"/>
          <w:szCs w:val="22"/>
        </w:rPr>
        <w:sectPr w:rsidR="00F73163" w:rsidRPr="00AC4AD8" w:rsidSect="006C517D">
          <w:pgSz w:w="11906" w:h="16838"/>
          <w:pgMar w:top="1440" w:right="1440" w:bottom="1440" w:left="1440" w:header="708" w:footer="708" w:gutter="0"/>
          <w:lnNumType w:countBy="1" w:restart="continuous"/>
          <w:cols w:space="708"/>
          <w:docGrid w:linePitch="360"/>
        </w:sectPr>
      </w:pPr>
      <w:r w:rsidRPr="00AC4AD8">
        <w:rPr>
          <w:sz w:val="22"/>
          <w:szCs w:val="22"/>
        </w:rPr>
        <w:t>Fig 2 (a) Mean microarthropods m</w:t>
      </w:r>
      <w:r w:rsidRPr="00AC4AD8">
        <w:rPr>
          <w:sz w:val="22"/>
          <w:szCs w:val="22"/>
          <w:vertAlign w:val="superscript"/>
        </w:rPr>
        <w:t>-2</w:t>
      </w:r>
      <w:r w:rsidRPr="00AC4AD8">
        <w:rPr>
          <w:sz w:val="22"/>
          <w:szCs w:val="22"/>
        </w:rPr>
        <w:t xml:space="preserve"> for all sample points. Error bars denote SEM, (b) PCA ordination plot depicting microarthropod communities throughout the sample period. Confidence ellipses are drawn at the 95% confidence level (SEM), using month as a factor. </w:t>
      </w:r>
      <w:proofErr w:type="gramStart"/>
      <w:r w:rsidRPr="00AC4AD8">
        <w:rPr>
          <w:sz w:val="22"/>
          <w:szCs w:val="22"/>
        </w:rPr>
        <w:t>Bac</w:t>
      </w:r>
      <w:proofErr w:type="gramEnd"/>
      <w:r w:rsidRPr="00AC4AD8">
        <w:rPr>
          <w:sz w:val="22"/>
          <w:szCs w:val="22"/>
        </w:rPr>
        <w:t xml:space="preserve"> = bacterial treatment; </w:t>
      </w:r>
      <w:proofErr w:type="spellStart"/>
      <w:r w:rsidRPr="00AC4AD8">
        <w:rPr>
          <w:sz w:val="22"/>
          <w:szCs w:val="22"/>
        </w:rPr>
        <w:t>Myc</w:t>
      </w:r>
      <w:proofErr w:type="spellEnd"/>
      <w:r w:rsidRPr="00AC4AD8">
        <w:rPr>
          <w:sz w:val="22"/>
          <w:szCs w:val="22"/>
        </w:rPr>
        <w:t xml:space="preserve"> = mycorrhizal treatment; Tri = </w:t>
      </w:r>
      <w:r w:rsidRPr="00AC4AD8">
        <w:rPr>
          <w:i/>
          <w:sz w:val="22"/>
          <w:szCs w:val="22"/>
        </w:rPr>
        <w:t xml:space="preserve">Trichoderma </w:t>
      </w:r>
      <w:r w:rsidR="00B664EB" w:rsidRPr="00AC4AD8">
        <w:rPr>
          <w:sz w:val="22"/>
          <w:szCs w:val="22"/>
        </w:rPr>
        <w:t xml:space="preserve">treatment; </w:t>
      </w:r>
      <w:proofErr w:type="spellStart"/>
      <w:r w:rsidR="00B664EB" w:rsidRPr="00AC4AD8">
        <w:rPr>
          <w:sz w:val="22"/>
          <w:szCs w:val="22"/>
        </w:rPr>
        <w:t>Cont</w:t>
      </w:r>
      <w:proofErr w:type="spellEnd"/>
      <w:r w:rsidRPr="00AC4AD8">
        <w:rPr>
          <w:sz w:val="22"/>
          <w:szCs w:val="22"/>
        </w:rPr>
        <w:t xml:space="preserve"> = control.</w:t>
      </w:r>
    </w:p>
    <w:p w14:paraId="0B315E28" w14:textId="4F7AA854" w:rsidR="000A2C1F" w:rsidRPr="00AC4AD8" w:rsidRDefault="000A2C1F" w:rsidP="000A2C1F">
      <w:pPr>
        <w:pStyle w:val="NormalWeb"/>
        <w:divId w:val="439568616"/>
        <w:rPr>
          <w:sz w:val="22"/>
          <w:szCs w:val="22"/>
        </w:rPr>
      </w:pPr>
      <w:r w:rsidRPr="00AC4AD8">
        <w:rPr>
          <w:sz w:val="22"/>
          <w:szCs w:val="22"/>
        </w:rPr>
        <w:t>Fig 3. Size: 1</w:t>
      </w:r>
      <w:r w:rsidR="006532C9" w:rsidRPr="00AC4AD8">
        <w:rPr>
          <w:sz w:val="22"/>
          <w:szCs w:val="22"/>
        </w:rPr>
        <w:t>.5</w:t>
      </w:r>
      <w:r w:rsidRPr="00AC4AD8">
        <w:rPr>
          <w:sz w:val="22"/>
          <w:szCs w:val="22"/>
        </w:rPr>
        <w:t xml:space="preserve"> column if stacked, 2 column if horizontal</w:t>
      </w:r>
    </w:p>
    <w:p w14:paraId="0A9913B0" w14:textId="2EB810F4" w:rsidR="000A2C1F" w:rsidRPr="00AC4AD8" w:rsidRDefault="006532C9" w:rsidP="00705CEC">
      <w:pPr>
        <w:pStyle w:val="NormalWeb"/>
        <w:divId w:val="439568616"/>
        <w:rPr>
          <w:rFonts w:ascii="Arial" w:hAnsi="Arial" w:cs="Arial"/>
          <w:noProof/>
          <w:sz w:val="20"/>
          <w:szCs w:val="20"/>
        </w:rPr>
      </w:pPr>
      <w:r w:rsidRPr="00AC4AD8">
        <w:rPr>
          <w:rFonts w:ascii="Arial" w:hAnsi="Arial" w:cs="Arial"/>
          <w:noProof/>
          <w:sz w:val="20"/>
          <w:szCs w:val="20"/>
        </w:rPr>
        <w:drawing>
          <wp:inline distT="0" distB="0" distL="0" distR="0" wp14:anchorId="666F383B" wp14:editId="53CD163C">
            <wp:extent cx="3240000" cy="28800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92197B" w14:textId="77777777" w:rsidR="00E560E0" w:rsidRPr="00AC4AD8" w:rsidRDefault="00E560E0" w:rsidP="00865EF0">
      <w:pPr>
        <w:pStyle w:val="NormalWeb"/>
        <w:spacing w:line="360" w:lineRule="auto"/>
        <w:divId w:val="439568616"/>
        <w:rPr>
          <w:noProof/>
          <w:sz w:val="22"/>
          <w:szCs w:val="22"/>
        </w:rPr>
      </w:pPr>
      <w:r w:rsidRPr="00AC4AD8">
        <w:rPr>
          <w:noProof/>
          <w:sz w:val="22"/>
          <w:szCs w:val="22"/>
        </w:rPr>
        <w:drawing>
          <wp:inline distT="0" distB="0" distL="0" distR="0" wp14:anchorId="3AB79AEC" wp14:editId="23490A47">
            <wp:extent cx="3579962" cy="3349521"/>
            <wp:effectExtent l="0" t="0" r="190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s Treat Rean Revision.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4567" cy="3353830"/>
                    </a:xfrm>
                    <a:prstGeom prst="rect">
                      <a:avLst/>
                    </a:prstGeom>
                  </pic:spPr>
                </pic:pic>
              </a:graphicData>
            </a:graphic>
          </wp:inline>
        </w:drawing>
      </w:r>
    </w:p>
    <w:p w14:paraId="6BA59530" w14:textId="11F2064B" w:rsidR="00705CEC" w:rsidRPr="00AC4AD8" w:rsidRDefault="000A2C1F" w:rsidP="00865EF0">
      <w:pPr>
        <w:pStyle w:val="NormalWeb"/>
        <w:spacing w:line="360" w:lineRule="auto"/>
        <w:divId w:val="439568616"/>
        <w:rPr>
          <w:sz w:val="22"/>
          <w:szCs w:val="22"/>
        </w:rPr>
        <w:sectPr w:rsidR="00705CEC" w:rsidRPr="00AC4AD8" w:rsidSect="006C517D">
          <w:pgSz w:w="11906" w:h="16838"/>
          <w:pgMar w:top="1440" w:right="1440" w:bottom="1440" w:left="1440" w:header="708" w:footer="708" w:gutter="0"/>
          <w:lnNumType w:countBy="1" w:restart="continuous"/>
          <w:cols w:space="708"/>
          <w:docGrid w:linePitch="360"/>
        </w:sectPr>
      </w:pPr>
      <w:r w:rsidRPr="00AC4AD8">
        <w:rPr>
          <w:noProof/>
          <w:sz w:val="22"/>
          <w:szCs w:val="22"/>
        </w:rPr>
        <w:t xml:space="preserve">Fig 3 (a) Mean microarthropods per treatment averaged for all time points. Letters denote statistically distinct groups. Error bars represent SEM. (b) </w:t>
      </w:r>
      <w:r w:rsidRPr="00AC4AD8">
        <w:rPr>
          <w:sz w:val="22"/>
          <w:szCs w:val="22"/>
        </w:rPr>
        <w:t xml:space="preserve">PCA ordination plot for all microarthropods, depicting 95% confidence intervals (SEM) for each treatment based on all plots. Starred confidence interval denotes communities in </w:t>
      </w:r>
      <w:r w:rsidRPr="00AC4AD8">
        <w:rPr>
          <w:i/>
          <w:sz w:val="22"/>
          <w:szCs w:val="22"/>
        </w:rPr>
        <w:t>Trichoderma</w:t>
      </w:r>
      <w:r w:rsidRPr="00AC4AD8">
        <w:rPr>
          <w:sz w:val="22"/>
          <w:szCs w:val="22"/>
        </w:rPr>
        <w:t xml:space="preserve"> inoculated plots. </w:t>
      </w:r>
      <w:proofErr w:type="gramStart"/>
      <w:r w:rsidRPr="00AC4AD8">
        <w:rPr>
          <w:sz w:val="22"/>
          <w:szCs w:val="22"/>
        </w:rPr>
        <w:t>Bac</w:t>
      </w:r>
      <w:proofErr w:type="gramEnd"/>
      <w:r w:rsidRPr="00AC4AD8">
        <w:rPr>
          <w:sz w:val="22"/>
          <w:szCs w:val="22"/>
        </w:rPr>
        <w:t xml:space="preserve"> = bacterial treatment; </w:t>
      </w:r>
      <w:proofErr w:type="spellStart"/>
      <w:r w:rsidRPr="00AC4AD8">
        <w:rPr>
          <w:sz w:val="22"/>
          <w:szCs w:val="22"/>
        </w:rPr>
        <w:t>Myc</w:t>
      </w:r>
      <w:proofErr w:type="spellEnd"/>
      <w:r w:rsidRPr="00AC4AD8">
        <w:rPr>
          <w:sz w:val="22"/>
          <w:szCs w:val="22"/>
        </w:rPr>
        <w:t xml:space="preserve"> = mycorrhizal treatment; Tri = </w:t>
      </w:r>
      <w:r w:rsidRPr="00AC4AD8">
        <w:rPr>
          <w:i/>
          <w:sz w:val="22"/>
          <w:szCs w:val="22"/>
        </w:rPr>
        <w:t xml:space="preserve">Trichoderma </w:t>
      </w:r>
      <w:r w:rsidR="00D2258C" w:rsidRPr="00AC4AD8">
        <w:rPr>
          <w:sz w:val="22"/>
          <w:szCs w:val="22"/>
        </w:rPr>
        <w:t xml:space="preserve">treatment; </w:t>
      </w:r>
      <w:proofErr w:type="spellStart"/>
      <w:r w:rsidR="00D2258C" w:rsidRPr="00AC4AD8">
        <w:rPr>
          <w:sz w:val="22"/>
          <w:szCs w:val="22"/>
        </w:rPr>
        <w:t>Cont</w:t>
      </w:r>
      <w:proofErr w:type="spellEnd"/>
      <w:r w:rsidR="00D2258C" w:rsidRPr="00AC4AD8">
        <w:rPr>
          <w:sz w:val="22"/>
          <w:szCs w:val="22"/>
        </w:rPr>
        <w:t xml:space="preserve"> </w:t>
      </w:r>
      <w:r w:rsidRPr="00AC4AD8">
        <w:rPr>
          <w:sz w:val="22"/>
          <w:szCs w:val="22"/>
        </w:rPr>
        <w:t>= control.</w:t>
      </w:r>
    </w:p>
    <w:p w14:paraId="601CB912" w14:textId="15099A73" w:rsidR="00370D38" w:rsidRPr="00AC4AD8" w:rsidRDefault="00182812" w:rsidP="00370D38">
      <w:pPr>
        <w:pStyle w:val="NormalWeb"/>
        <w:divId w:val="439568616"/>
        <w:rPr>
          <w:sz w:val="22"/>
          <w:szCs w:val="22"/>
        </w:rPr>
      </w:pPr>
      <w:r w:rsidRPr="00AC4AD8">
        <w:rPr>
          <w:sz w:val="22"/>
          <w:szCs w:val="22"/>
        </w:rPr>
        <w:t>Fig</w:t>
      </w:r>
      <w:r w:rsidR="00370D38" w:rsidRPr="00AC4AD8">
        <w:rPr>
          <w:sz w:val="22"/>
          <w:szCs w:val="22"/>
        </w:rPr>
        <w:t xml:space="preserve"> 4. Size: 1 column if stacked, 1.5-2 column if horizontal</w:t>
      </w:r>
    </w:p>
    <w:p w14:paraId="4B079C1E" w14:textId="77777777" w:rsidR="00370D38" w:rsidRPr="00AC4AD8" w:rsidRDefault="00370D38" w:rsidP="00370D38">
      <w:pPr>
        <w:pStyle w:val="NormalWeb"/>
        <w:divId w:val="439568616"/>
        <w:rPr>
          <w:rFonts w:ascii="Arial" w:hAnsi="Arial" w:cs="Arial"/>
          <w:noProof/>
          <w:sz w:val="20"/>
          <w:szCs w:val="20"/>
        </w:rPr>
      </w:pPr>
      <w:r w:rsidRPr="00AC4AD8">
        <w:rPr>
          <w:rFonts w:ascii="Arial" w:hAnsi="Arial" w:cs="Arial"/>
          <w:noProof/>
          <w:sz w:val="20"/>
          <w:szCs w:val="20"/>
        </w:rPr>
        <w:drawing>
          <wp:inline distT="0" distB="0" distL="0" distR="0" wp14:anchorId="6DC2C2CE" wp14:editId="63B84D33">
            <wp:extent cx="2700000" cy="2520000"/>
            <wp:effectExtent l="0" t="0" r="571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C4AD8">
        <w:rPr>
          <w:rFonts w:ascii="Arial" w:hAnsi="Arial" w:cs="Arial"/>
          <w:noProof/>
          <w:sz w:val="20"/>
          <w:szCs w:val="20"/>
        </w:rPr>
        <w:t xml:space="preserve"> </w:t>
      </w:r>
      <w:r w:rsidRPr="00AC4AD8">
        <w:rPr>
          <w:rFonts w:ascii="Arial" w:hAnsi="Arial" w:cs="Arial"/>
          <w:noProof/>
          <w:sz w:val="20"/>
          <w:szCs w:val="20"/>
        </w:rPr>
        <w:drawing>
          <wp:inline distT="0" distB="0" distL="0" distR="0" wp14:anchorId="30767AD0" wp14:editId="4C525CDF">
            <wp:extent cx="2700000" cy="2520000"/>
            <wp:effectExtent l="0" t="0" r="571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C4AD8">
        <w:rPr>
          <w:rFonts w:ascii="Arial" w:hAnsi="Arial" w:cs="Arial"/>
          <w:noProof/>
          <w:sz w:val="20"/>
          <w:szCs w:val="20"/>
        </w:rPr>
        <w:t xml:space="preserve"> </w:t>
      </w:r>
    </w:p>
    <w:p w14:paraId="7DFCFEAA" w14:textId="77777777" w:rsidR="00370D38" w:rsidRPr="00AC4AD8" w:rsidRDefault="00370D38" w:rsidP="00865EF0">
      <w:pPr>
        <w:pStyle w:val="NormalWeb"/>
        <w:spacing w:line="360" w:lineRule="auto"/>
        <w:divId w:val="439568616"/>
        <w:rPr>
          <w:sz w:val="22"/>
          <w:szCs w:val="22"/>
        </w:rPr>
      </w:pPr>
      <w:r w:rsidRPr="00AC4AD8">
        <w:rPr>
          <w:noProof/>
          <w:sz w:val="22"/>
          <w:szCs w:val="22"/>
        </w:rPr>
        <w:t xml:space="preserve">Fig 4. Mean collembola over time, in (a) all plots where the mycorrhizal inoculant was added (including as part of a mix) and in all plots where the mycorrhizal inoculant was not added (including mixes and the control) and in (b) all plots where the mycorrhizal inoculant was added in addition to bacteria (including as part of a larger mix) and in all plots where these two inoculants were not added together (including mixes and the control). Error bars denote SEM. </w:t>
      </w:r>
      <w:proofErr w:type="gramStart"/>
      <w:r w:rsidRPr="00AC4AD8">
        <w:rPr>
          <w:sz w:val="22"/>
          <w:szCs w:val="22"/>
        </w:rPr>
        <w:t>Bac</w:t>
      </w:r>
      <w:proofErr w:type="gramEnd"/>
      <w:r w:rsidRPr="00AC4AD8">
        <w:rPr>
          <w:sz w:val="22"/>
          <w:szCs w:val="22"/>
        </w:rPr>
        <w:t xml:space="preserve"> = bacterial treatment; </w:t>
      </w:r>
      <w:proofErr w:type="spellStart"/>
      <w:r w:rsidRPr="00AC4AD8">
        <w:rPr>
          <w:sz w:val="22"/>
          <w:szCs w:val="22"/>
        </w:rPr>
        <w:t>Myc</w:t>
      </w:r>
      <w:proofErr w:type="spellEnd"/>
      <w:r w:rsidRPr="00AC4AD8">
        <w:rPr>
          <w:sz w:val="22"/>
          <w:szCs w:val="22"/>
        </w:rPr>
        <w:t xml:space="preserve"> = mycorrhizal treatment.</w:t>
      </w:r>
    </w:p>
    <w:p w14:paraId="5477DDC0" w14:textId="77777777" w:rsidR="006532C9" w:rsidRPr="00AC4AD8" w:rsidRDefault="006532C9" w:rsidP="006532C9">
      <w:pPr>
        <w:pStyle w:val="NormalWeb"/>
        <w:divId w:val="439568616"/>
        <w:rPr>
          <w:sz w:val="22"/>
          <w:szCs w:val="22"/>
        </w:rPr>
        <w:sectPr w:rsidR="006532C9" w:rsidRPr="00AC4AD8" w:rsidSect="006C517D">
          <w:pgSz w:w="11906" w:h="16838"/>
          <w:pgMar w:top="1440" w:right="1440" w:bottom="1440" w:left="1440" w:header="708" w:footer="708" w:gutter="0"/>
          <w:lnNumType w:countBy="1" w:restart="continuous"/>
          <w:cols w:space="708"/>
          <w:docGrid w:linePitch="360"/>
        </w:sectPr>
      </w:pPr>
    </w:p>
    <w:p w14:paraId="07D4ED07" w14:textId="589C7E7E" w:rsidR="00370D38" w:rsidRPr="00AC4AD8" w:rsidRDefault="00182812">
      <w:pPr>
        <w:pStyle w:val="NormalWeb"/>
        <w:divId w:val="439568616"/>
        <w:rPr>
          <w:sz w:val="22"/>
          <w:szCs w:val="22"/>
        </w:rPr>
      </w:pPr>
      <w:r w:rsidRPr="00AC4AD8">
        <w:rPr>
          <w:sz w:val="22"/>
          <w:szCs w:val="22"/>
        </w:rPr>
        <w:t>Fig</w:t>
      </w:r>
      <w:r w:rsidR="00641386" w:rsidRPr="00AC4AD8">
        <w:rPr>
          <w:sz w:val="22"/>
          <w:szCs w:val="22"/>
        </w:rPr>
        <w:t xml:space="preserve"> 5. Size: 1.5 column if stacked, 2 column if horizontal</w:t>
      </w:r>
    </w:p>
    <w:p w14:paraId="4F3A80DD" w14:textId="4649D8C8" w:rsidR="00641386" w:rsidRPr="00AC4AD8" w:rsidRDefault="00641386">
      <w:pPr>
        <w:pStyle w:val="NormalWeb"/>
        <w:divId w:val="439568616"/>
        <w:rPr>
          <w:rFonts w:ascii="Arial" w:hAnsi="Arial" w:cs="Arial"/>
          <w:noProof/>
          <w:sz w:val="20"/>
          <w:szCs w:val="20"/>
        </w:rPr>
      </w:pPr>
      <w:r w:rsidRPr="00AC4AD8">
        <w:rPr>
          <w:rFonts w:ascii="Arial" w:hAnsi="Arial" w:cs="Arial"/>
          <w:noProof/>
          <w:sz w:val="20"/>
          <w:szCs w:val="20"/>
        </w:rPr>
        <w:drawing>
          <wp:inline distT="0" distB="0" distL="0" distR="0" wp14:anchorId="60E7A94F" wp14:editId="32572DF7">
            <wp:extent cx="3240000" cy="28800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C4AD8">
        <w:rPr>
          <w:rFonts w:ascii="Arial" w:hAnsi="Arial" w:cs="Arial"/>
          <w:noProof/>
          <w:sz w:val="20"/>
          <w:szCs w:val="20"/>
        </w:rPr>
        <w:t xml:space="preserve"> </w:t>
      </w:r>
    </w:p>
    <w:p w14:paraId="0DEEE2D2" w14:textId="77777777" w:rsidR="00E560E0" w:rsidRPr="00AC4AD8" w:rsidRDefault="00E560E0" w:rsidP="00865EF0">
      <w:pPr>
        <w:pStyle w:val="NormalWeb"/>
        <w:spacing w:line="360" w:lineRule="auto"/>
        <w:divId w:val="439568616"/>
        <w:rPr>
          <w:noProof/>
          <w:sz w:val="22"/>
          <w:szCs w:val="22"/>
        </w:rPr>
      </w:pPr>
      <w:r w:rsidRPr="00AC4AD8">
        <w:rPr>
          <w:noProof/>
          <w:sz w:val="22"/>
          <w:szCs w:val="22"/>
        </w:rPr>
        <w:drawing>
          <wp:inline distT="0" distB="0" distL="0" distR="0" wp14:anchorId="2E1C02AC" wp14:editId="4E32B334">
            <wp:extent cx="3321170" cy="310738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arv Rean Revision.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3310" cy="3109390"/>
                    </a:xfrm>
                    <a:prstGeom prst="rect">
                      <a:avLst/>
                    </a:prstGeom>
                  </pic:spPr>
                </pic:pic>
              </a:graphicData>
            </a:graphic>
          </wp:inline>
        </w:drawing>
      </w:r>
    </w:p>
    <w:p w14:paraId="61CDBD55" w14:textId="4BE0012D" w:rsidR="00392E2A" w:rsidRPr="00AC4AD8" w:rsidRDefault="00641386">
      <w:pPr>
        <w:pStyle w:val="NormalWeb"/>
        <w:spacing w:after="120" w:afterAutospacing="0" w:line="360" w:lineRule="auto"/>
        <w:divId w:val="439568616"/>
        <w:rPr>
          <w:sz w:val="22"/>
          <w:szCs w:val="22"/>
        </w:rPr>
      </w:pPr>
      <w:r w:rsidRPr="00AC4AD8">
        <w:rPr>
          <w:noProof/>
          <w:sz w:val="22"/>
          <w:szCs w:val="22"/>
        </w:rPr>
        <w:t xml:space="preserve">Fig 5 (a) Mean larvae of flying insects per treatment, averaged over all treatment times (excluding May and July samples). Letters denote statistically distinct groups. Error bars represent SEM.  (b) </w:t>
      </w:r>
      <w:r w:rsidRPr="00AC4AD8">
        <w:rPr>
          <w:sz w:val="22"/>
          <w:szCs w:val="22"/>
        </w:rPr>
        <w:t xml:space="preserve">PCA ordination plot for larvae of flying insects alone, depicting 95% confidence intervals for each treatment based on all plots. Starred confidence interval denotes the community in plots inoculated with </w:t>
      </w:r>
      <w:r w:rsidRPr="00AC4AD8">
        <w:rPr>
          <w:i/>
          <w:sz w:val="22"/>
          <w:szCs w:val="22"/>
        </w:rPr>
        <w:t>Trichoderma.</w:t>
      </w:r>
    </w:p>
    <w:sectPr w:rsidR="00392E2A" w:rsidRPr="00AC4AD8" w:rsidSect="006C517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53BB" w14:textId="77777777" w:rsidR="00CF0C5C" w:rsidRDefault="00CF0C5C">
      <w:pPr>
        <w:spacing w:line="240" w:lineRule="auto"/>
      </w:pPr>
      <w:r>
        <w:separator/>
      </w:r>
    </w:p>
  </w:endnote>
  <w:endnote w:type="continuationSeparator" w:id="0">
    <w:p w14:paraId="0D67F54A" w14:textId="77777777" w:rsidR="00CF0C5C" w:rsidRDefault="00CF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7CC8" w14:textId="77777777" w:rsidR="00CF0C5C" w:rsidRDefault="00CF0C5C">
    <w:pPr>
      <w:pStyle w:val="Footer"/>
    </w:pPr>
  </w:p>
  <w:p w14:paraId="5CFED594" w14:textId="77777777" w:rsidR="00CF0C5C" w:rsidRDefault="00CF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E9F8" w14:textId="77777777" w:rsidR="00CF0C5C" w:rsidRDefault="00CF0C5C">
      <w:pPr>
        <w:spacing w:line="240" w:lineRule="auto"/>
      </w:pPr>
      <w:r>
        <w:separator/>
      </w:r>
    </w:p>
  </w:footnote>
  <w:footnote w:type="continuationSeparator" w:id="0">
    <w:p w14:paraId="11F69E15" w14:textId="77777777" w:rsidR="00CF0C5C" w:rsidRDefault="00CF0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46DC" w14:textId="77777777" w:rsidR="00CF0C5C" w:rsidRDefault="00CF0C5C">
    <w:pPr>
      <w:pStyle w:val="Header"/>
    </w:pPr>
    <w:r>
      <w:fldChar w:fldCharType="begin"/>
    </w:r>
    <w:r>
      <w:instrText xml:space="preserve"> PAGE   \* MERGEFORMAT </w:instrText>
    </w:r>
    <w:r>
      <w:fldChar w:fldCharType="separate"/>
    </w:r>
    <w:r w:rsidR="00BE666B">
      <w:rPr>
        <w:noProof/>
      </w:rPr>
      <w:t>20</w:t>
    </w:r>
    <w:r>
      <w:rPr>
        <w:noProof/>
      </w:rPr>
      <w:fldChar w:fldCharType="end"/>
    </w:r>
  </w:p>
  <w:p w14:paraId="24F12949" w14:textId="77777777" w:rsidR="00CF0C5C" w:rsidRDefault="00CF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053"/>
    <w:multiLevelType w:val="hybridMultilevel"/>
    <w:tmpl w:val="933C0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33569"/>
    <w:multiLevelType w:val="hybridMultilevel"/>
    <w:tmpl w:val="89CCC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A0E98"/>
    <w:multiLevelType w:val="hybridMultilevel"/>
    <w:tmpl w:val="2A40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54CFD"/>
    <w:multiLevelType w:val="hybridMultilevel"/>
    <w:tmpl w:val="7242F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508E8"/>
    <w:multiLevelType w:val="hybridMultilevel"/>
    <w:tmpl w:val="7478C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8038D5"/>
    <w:multiLevelType w:val="hybridMultilevel"/>
    <w:tmpl w:val="364EA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12707"/>
    <w:multiLevelType w:val="hybridMultilevel"/>
    <w:tmpl w:val="C1241CB2"/>
    <w:lvl w:ilvl="0" w:tplc="A28E96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946A4"/>
    <w:multiLevelType w:val="hybridMultilevel"/>
    <w:tmpl w:val="74404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6442E2"/>
    <w:multiLevelType w:val="hybridMultilevel"/>
    <w:tmpl w:val="B5C03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27BF3"/>
    <w:multiLevelType w:val="hybridMultilevel"/>
    <w:tmpl w:val="CCBE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0"/>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7D"/>
    <w:rsid w:val="0000029D"/>
    <w:rsid w:val="00003F85"/>
    <w:rsid w:val="000110E2"/>
    <w:rsid w:val="00011BDC"/>
    <w:rsid w:val="0001359F"/>
    <w:rsid w:val="0001371D"/>
    <w:rsid w:val="0001577B"/>
    <w:rsid w:val="00021D88"/>
    <w:rsid w:val="000225A0"/>
    <w:rsid w:val="00024337"/>
    <w:rsid w:val="00024D29"/>
    <w:rsid w:val="0002699F"/>
    <w:rsid w:val="00031538"/>
    <w:rsid w:val="00044109"/>
    <w:rsid w:val="0005210A"/>
    <w:rsid w:val="00057607"/>
    <w:rsid w:val="000620F5"/>
    <w:rsid w:val="00063995"/>
    <w:rsid w:val="0007288F"/>
    <w:rsid w:val="00085021"/>
    <w:rsid w:val="000876AA"/>
    <w:rsid w:val="00090954"/>
    <w:rsid w:val="00092FED"/>
    <w:rsid w:val="00093042"/>
    <w:rsid w:val="0009589D"/>
    <w:rsid w:val="00096A93"/>
    <w:rsid w:val="000973CD"/>
    <w:rsid w:val="000A0970"/>
    <w:rsid w:val="000A1CB1"/>
    <w:rsid w:val="000A2023"/>
    <w:rsid w:val="000A2C1F"/>
    <w:rsid w:val="000A647C"/>
    <w:rsid w:val="000B0658"/>
    <w:rsid w:val="000B2E4E"/>
    <w:rsid w:val="000B59FB"/>
    <w:rsid w:val="000C1202"/>
    <w:rsid w:val="000C1B8A"/>
    <w:rsid w:val="000C3410"/>
    <w:rsid w:val="000C3A81"/>
    <w:rsid w:val="000D54EC"/>
    <w:rsid w:val="000E20A1"/>
    <w:rsid w:val="000E35E5"/>
    <w:rsid w:val="000E3AFE"/>
    <w:rsid w:val="000F3686"/>
    <w:rsid w:val="000F3E1A"/>
    <w:rsid w:val="001015A7"/>
    <w:rsid w:val="00102767"/>
    <w:rsid w:val="00113C19"/>
    <w:rsid w:val="0011419A"/>
    <w:rsid w:val="00115503"/>
    <w:rsid w:val="001203CA"/>
    <w:rsid w:val="0012086C"/>
    <w:rsid w:val="00122DB1"/>
    <w:rsid w:val="00122ED9"/>
    <w:rsid w:val="001302B9"/>
    <w:rsid w:val="00134D7A"/>
    <w:rsid w:val="0013630E"/>
    <w:rsid w:val="00136991"/>
    <w:rsid w:val="00136E5B"/>
    <w:rsid w:val="00136EC4"/>
    <w:rsid w:val="0014410A"/>
    <w:rsid w:val="00145E16"/>
    <w:rsid w:val="001463CE"/>
    <w:rsid w:val="001502C7"/>
    <w:rsid w:val="00154803"/>
    <w:rsid w:val="00154818"/>
    <w:rsid w:val="00154B89"/>
    <w:rsid w:val="00154FF6"/>
    <w:rsid w:val="00160798"/>
    <w:rsid w:val="00163EE0"/>
    <w:rsid w:val="001657BA"/>
    <w:rsid w:val="00182812"/>
    <w:rsid w:val="00186DCD"/>
    <w:rsid w:val="0018726A"/>
    <w:rsid w:val="0018786C"/>
    <w:rsid w:val="00190ABC"/>
    <w:rsid w:val="001931DF"/>
    <w:rsid w:val="00196679"/>
    <w:rsid w:val="00196D9B"/>
    <w:rsid w:val="001A7A8A"/>
    <w:rsid w:val="001B0D29"/>
    <w:rsid w:val="001B69BD"/>
    <w:rsid w:val="001B73F7"/>
    <w:rsid w:val="001C0839"/>
    <w:rsid w:val="001C3B27"/>
    <w:rsid w:val="001C5E67"/>
    <w:rsid w:val="001C7609"/>
    <w:rsid w:val="001D40F1"/>
    <w:rsid w:val="001D56DD"/>
    <w:rsid w:val="001E14C3"/>
    <w:rsid w:val="001E4A61"/>
    <w:rsid w:val="001E5ADA"/>
    <w:rsid w:val="001E6430"/>
    <w:rsid w:val="001F0094"/>
    <w:rsid w:val="001F439F"/>
    <w:rsid w:val="0020174B"/>
    <w:rsid w:val="002045E8"/>
    <w:rsid w:val="00204C34"/>
    <w:rsid w:val="00204D27"/>
    <w:rsid w:val="002067DE"/>
    <w:rsid w:val="00206A99"/>
    <w:rsid w:val="002102DC"/>
    <w:rsid w:val="00211EB8"/>
    <w:rsid w:val="0021697B"/>
    <w:rsid w:val="002171B0"/>
    <w:rsid w:val="00225167"/>
    <w:rsid w:val="0022580A"/>
    <w:rsid w:val="00225BE3"/>
    <w:rsid w:val="002274E0"/>
    <w:rsid w:val="0023451C"/>
    <w:rsid w:val="00235227"/>
    <w:rsid w:val="00252805"/>
    <w:rsid w:val="0026546F"/>
    <w:rsid w:val="00266187"/>
    <w:rsid w:val="00267E31"/>
    <w:rsid w:val="00271D62"/>
    <w:rsid w:val="0027238B"/>
    <w:rsid w:val="00276D9A"/>
    <w:rsid w:val="002778FE"/>
    <w:rsid w:val="00283935"/>
    <w:rsid w:val="00286BC3"/>
    <w:rsid w:val="00286E22"/>
    <w:rsid w:val="002967C2"/>
    <w:rsid w:val="002973AC"/>
    <w:rsid w:val="002A275C"/>
    <w:rsid w:val="002A4D78"/>
    <w:rsid w:val="002A58E9"/>
    <w:rsid w:val="002B194F"/>
    <w:rsid w:val="002B3538"/>
    <w:rsid w:val="002B5372"/>
    <w:rsid w:val="002B7848"/>
    <w:rsid w:val="002C2490"/>
    <w:rsid w:val="002C53DA"/>
    <w:rsid w:val="002C5787"/>
    <w:rsid w:val="002D3532"/>
    <w:rsid w:val="002D3818"/>
    <w:rsid w:val="002D776C"/>
    <w:rsid w:val="002E0E84"/>
    <w:rsid w:val="002E2587"/>
    <w:rsid w:val="002E37D0"/>
    <w:rsid w:val="002E5B86"/>
    <w:rsid w:val="002F121C"/>
    <w:rsid w:val="002F145C"/>
    <w:rsid w:val="002F7E30"/>
    <w:rsid w:val="003025A1"/>
    <w:rsid w:val="00314405"/>
    <w:rsid w:val="0031661F"/>
    <w:rsid w:val="00316903"/>
    <w:rsid w:val="0031783E"/>
    <w:rsid w:val="00320DB0"/>
    <w:rsid w:val="003228F4"/>
    <w:rsid w:val="0032418F"/>
    <w:rsid w:val="00327465"/>
    <w:rsid w:val="003328F7"/>
    <w:rsid w:val="0033764A"/>
    <w:rsid w:val="00345D37"/>
    <w:rsid w:val="003473D2"/>
    <w:rsid w:val="00350585"/>
    <w:rsid w:val="00352451"/>
    <w:rsid w:val="00353228"/>
    <w:rsid w:val="00356D86"/>
    <w:rsid w:val="00357275"/>
    <w:rsid w:val="00357DF1"/>
    <w:rsid w:val="003659DD"/>
    <w:rsid w:val="003701BE"/>
    <w:rsid w:val="00370C0E"/>
    <w:rsid w:val="00370D38"/>
    <w:rsid w:val="00375C18"/>
    <w:rsid w:val="0037798F"/>
    <w:rsid w:val="0038079D"/>
    <w:rsid w:val="00391DEB"/>
    <w:rsid w:val="00392E2A"/>
    <w:rsid w:val="003938D1"/>
    <w:rsid w:val="0039441B"/>
    <w:rsid w:val="003947AD"/>
    <w:rsid w:val="00397383"/>
    <w:rsid w:val="003A1DE2"/>
    <w:rsid w:val="003A2405"/>
    <w:rsid w:val="003A6750"/>
    <w:rsid w:val="003B6A84"/>
    <w:rsid w:val="003B6D2B"/>
    <w:rsid w:val="003C2F76"/>
    <w:rsid w:val="003C598E"/>
    <w:rsid w:val="003C7020"/>
    <w:rsid w:val="003D2142"/>
    <w:rsid w:val="003D236A"/>
    <w:rsid w:val="003D7A3C"/>
    <w:rsid w:val="00407D6A"/>
    <w:rsid w:val="00416CA1"/>
    <w:rsid w:val="00420454"/>
    <w:rsid w:val="004221FE"/>
    <w:rsid w:val="004237A7"/>
    <w:rsid w:val="00423B44"/>
    <w:rsid w:val="00426480"/>
    <w:rsid w:val="0042726F"/>
    <w:rsid w:val="004337BA"/>
    <w:rsid w:val="00435AA5"/>
    <w:rsid w:val="00442008"/>
    <w:rsid w:val="00442A3F"/>
    <w:rsid w:val="00451498"/>
    <w:rsid w:val="004528D1"/>
    <w:rsid w:val="00460D70"/>
    <w:rsid w:val="004642EC"/>
    <w:rsid w:val="004802ED"/>
    <w:rsid w:val="00480945"/>
    <w:rsid w:val="00484455"/>
    <w:rsid w:val="00492C85"/>
    <w:rsid w:val="00496CBB"/>
    <w:rsid w:val="004B015D"/>
    <w:rsid w:val="004B1897"/>
    <w:rsid w:val="004B231B"/>
    <w:rsid w:val="004B2E39"/>
    <w:rsid w:val="004C13DE"/>
    <w:rsid w:val="004C1836"/>
    <w:rsid w:val="004C1FED"/>
    <w:rsid w:val="004C245B"/>
    <w:rsid w:val="004C3E48"/>
    <w:rsid w:val="004C6C4B"/>
    <w:rsid w:val="004D0FE0"/>
    <w:rsid w:val="004D143A"/>
    <w:rsid w:val="004D22C3"/>
    <w:rsid w:val="004D6A13"/>
    <w:rsid w:val="004E0682"/>
    <w:rsid w:val="004E363C"/>
    <w:rsid w:val="004E54A2"/>
    <w:rsid w:val="004F5018"/>
    <w:rsid w:val="005015FA"/>
    <w:rsid w:val="00501FC9"/>
    <w:rsid w:val="00502FD6"/>
    <w:rsid w:val="005130E4"/>
    <w:rsid w:val="00513C69"/>
    <w:rsid w:val="005146B6"/>
    <w:rsid w:val="005240CF"/>
    <w:rsid w:val="00535D27"/>
    <w:rsid w:val="0054028B"/>
    <w:rsid w:val="00541687"/>
    <w:rsid w:val="00542BBF"/>
    <w:rsid w:val="005472DC"/>
    <w:rsid w:val="00550355"/>
    <w:rsid w:val="00553903"/>
    <w:rsid w:val="00562C22"/>
    <w:rsid w:val="00570642"/>
    <w:rsid w:val="0057172D"/>
    <w:rsid w:val="00575392"/>
    <w:rsid w:val="00577246"/>
    <w:rsid w:val="00577CC6"/>
    <w:rsid w:val="00582969"/>
    <w:rsid w:val="00585D05"/>
    <w:rsid w:val="00587F11"/>
    <w:rsid w:val="0059110E"/>
    <w:rsid w:val="0059356C"/>
    <w:rsid w:val="005948E5"/>
    <w:rsid w:val="00594A78"/>
    <w:rsid w:val="005A4CE8"/>
    <w:rsid w:val="005A4D97"/>
    <w:rsid w:val="005A5018"/>
    <w:rsid w:val="005B2891"/>
    <w:rsid w:val="005B5FC2"/>
    <w:rsid w:val="005B7D6E"/>
    <w:rsid w:val="005C0A11"/>
    <w:rsid w:val="005C14B0"/>
    <w:rsid w:val="005C5106"/>
    <w:rsid w:val="005C6A3E"/>
    <w:rsid w:val="005D2012"/>
    <w:rsid w:val="005D3059"/>
    <w:rsid w:val="005D34CF"/>
    <w:rsid w:val="005D5965"/>
    <w:rsid w:val="005D67E0"/>
    <w:rsid w:val="005D6F2C"/>
    <w:rsid w:val="005D7FD3"/>
    <w:rsid w:val="005E4057"/>
    <w:rsid w:val="005F4721"/>
    <w:rsid w:val="005F7460"/>
    <w:rsid w:val="00601E2C"/>
    <w:rsid w:val="00610637"/>
    <w:rsid w:val="00613B25"/>
    <w:rsid w:val="00622794"/>
    <w:rsid w:val="00626B9D"/>
    <w:rsid w:val="00626F63"/>
    <w:rsid w:val="00627230"/>
    <w:rsid w:val="006322AA"/>
    <w:rsid w:val="00633942"/>
    <w:rsid w:val="00633E90"/>
    <w:rsid w:val="00636CFF"/>
    <w:rsid w:val="00641386"/>
    <w:rsid w:val="006413CD"/>
    <w:rsid w:val="00641688"/>
    <w:rsid w:val="0064255C"/>
    <w:rsid w:val="00644066"/>
    <w:rsid w:val="0064658F"/>
    <w:rsid w:val="006532C9"/>
    <w:rsid w:val="006564E8"/>
    <w:rsid w:val="00660816"/>
    <w:rsid w:val="00663D17"/>
    <w:rsid w:val="0066509A"/>
    <w:rsid w:val="00665546"/>
    <w:rsid w:val="0066593B"/>
    <w:rsid w:val="006675DC"/>
    <w:rsid w:val="00677A37"/>
    <w:rsid w:val="00677A5B"/>
    <w:rsid w:val="00681C4D"/>
    <w:rsid w:val="00683F72"/>
    <w:rsid w:val="00687E33"/>
    <w:rsid w:val="006A05BB"/>
    <w:rsid w:val="006B6EDE"/>
    <w:rsid w:val="006C22C5"/>
    <w:rsid w:val="006C517D"/>
    <w:rsid w:val="006D0A4E"/>
    <w:rsid w:val="006D40D5"/>
    <w:rsid w:val="006E179D"/>
    <w:rsid w:val="006E571E"/>
    <w:rsid w:val="006E6FA1"/>
    <w:rsid w:val="006F0993"/>
    <w:rsid w:val="00701468"/>
    <w:rsid w:val="00701B22"/>
    <w:rsid w:val="00702AEB"/>
    <w:rsid w:val="0070455A"/>
    <w:rsid w:val="00705119"/>
    <w:rsid w:val="00705CEC"/>
    <w:rsid w:val="0071561D"/>
    <w:rsid w:val="00715FBE"/>
    <w:rsid w:val="00726767"/>
    <w:rsid w:val="00726EF1"/>
    <w:rsid w:val="0072776D"/>
    <w:rsid w:val="00727895"/>
    <w:rsid w:val="00733D27"/>
    <w:rsid w:val="007378EA"/>
    <w:rsid w:val="0074022B"/>
    <w:rsid w:val="00740BAB"/>
    <w:rsid w:val="0074659E"/>
    <w:rsid w:val="00746E6E"/>
    <w:rsid w:val="00751083"/>
    <w:rsid w:val="007531E3"/>
    <w:rsid w:val="0076458B"/>
    <w:rsid w:val="00765091"/>
    <w:rsid w:val="00765566"/>
    <w:rsid w:val="007839A1"/>
    <w:rsid w:val="00784C0F"/>
    <w:rsid w:val="007905CD"/>
    <w:rsid w:val="00790E36"/>
    <w:rsid w:val="00791BA3"/>
    <w:rsid w:val="00797C15"/>
    <w:rsid w:val="007A1186"/>
    <w:rsid w:val="007A1F2C"/>
    <w:rsid w:val="007A4447"/>
    <w:rsid w:val="007A50EE"/>
    <w:rsid w:val="007A551A"/>
    <w:rsid w:val="007A6F5C"/>
    <w:rsid w:val="007A7431"/>
    <w:rsid w:val="007B2C83"/>
    <w:rsid w:val="007B43CA"/>
    <w:rsid w:val="007B4445"/>
    <w:rsid w:val="007B639A"/>
    <w:rsid w:val="007B7AEE"/>
    <w:rsid w:val="007C4A60"/>
    <w:rsid w:val="007C4FE2"/>
    <w:rsid w:val="007C5357"/>
    <w:rsid w:val="007D10EA"/>
    <w:rsid w:val="007E50D3"/>
    <w:rsid w:val="007E5EAB"/>
    <w:rsid w:val="007E6CAF"/>
    <w:rsid w:val="007F3387"/>
    <w:rsid w:val="00800449"/>
    <w:rsid w:val="00803114"/>
    <w:rsid w:val="008048A4"/>
    <w:rsid w:val="00804CCC"/>
    <w:rsid w:val="00811A76"/>
    <w:rsid w:val="0081408E"/>
    <w:rsid w:val="00815725"/>
    <w:rsid w:val="00825D69"/>
    <w:rsid w:val="008342F9"/>
    <w:rsid w:val="008421F5"/>
    <w:rsid w:val="0084320F"/>
    <w:rsid w:val="00845388"/>
    <w:rsid w:val="00847BE0"/>
    <w:rsid w:val="008500A0"/>
    <w:rsid w:val="00850258"/>
    <w:rsid w:val="00850797"/>
    <w:rsid w:val="00851988"/>
    <w:rsid w:val="008570DA"/>
    <w:rsid w:val="0085754A"/>
    <w:rsid w:val="00865076"/>
    <w:rsid w:val="00865EF0"/>
    <w:rsid w:val="00867214"/>
    <w:rsid w:val="0087043D"/>
    <w:rsid w:val="0087081B"/>
    <w:rsid w:val="00871F23"/>
    <w:rsid w:val="00873C19"/>
    <w:rsid w:val="0087467B"/>
    <w:rsid w:val="008756CE"/>
    <w:rsid w:val="00875D03"/>
    <w:rsid w:val="00875DDB"/>
    <w:rsid w:val="0087737F"/>
    <w:rsid w:val="00877FFE"/>
    <w:rsid w:val="0088039A"/>
    <w:rsid w:val="008924D5"/>
    <w:rsid w:val="00895FB0"/>
    <w:rsid w:val="0089775A"/>
    <w:rsid w:val="00897C83"/>
    <w:rsid w:val="008A0F8D"/>
    <w:rsid w:val="008A20F0"/>
    <w:rsid w:val="008A4EE7"/>
    <w:rsid w:val="008B1E24"/>
    <w:rsid w:val="008B4DB2"/>
    <w:rsid w:val="008B603E"/>
    <w:rsid w:val="008B7C30"/>
    <w:rsid w:val="008C2CD6"/>
    <w:rsid w:val="008C4828"/>
    <w:rsid w:val="008D20C1"/>
    <w:rsid w:val="008D3635"/>
    <w:rsid w:val="008D483C"/>
    <w:rsid w:val="008D6A2E"/>
    <w:rsid w:val="008E4719"/>
    <w:rsid w:val="008E5FA8"/>
    <w:rsid w:val="008E690D"/>
    <w:rsid w:val="008F039F"/>
    <w:rsid w:val="008F33E7"/>
    <w:rsid w:val="009008C3"/>
    <w:rsid w:val="0090201A"/>
    <w:rsid w:val="00902646"/>
    <w:rsid w:val="009029DD"/>
    <w:rsid w:val="0090443D"/>
    <w:rsid w:val="0091767D"/>
    <w:rsid w:val="00921207"/>
    <w:rsid w:val="00932EEA"/>
    <w:rsid w:val="009347BE"/>
    <w:rsid w:val="009347E7"/>
    <w:rsid w:val="0093520F"/>
    <w:rsid w:val="0093537C"/>
    <w:rsid w:val="00936A31"/>
    <w:rsid w:val="00937FAF"/>
    <w:rsid w:val="00942968"/>
    <w:rsid w:val="00943A9A"/>
    <w:rsid w:val="00951215"/>
    <w:rsid w:val="009574C8"/>
    <w:rsid w:val="0097044B"/>
    <w:rsid w:val="009745AD"/>
    <w:rsid w:val="0097532A"/>
    <w:rsid w:val="00982AB4"/>
    <w:rsid w:val="00983486"/>
    <w:rsid w:val="0098629F"/>
    <w:rsid w:val="00987033"/>
    <w:rsid w:val="009960CF"/>
    <w:rsid w:val="00997615"/>
    <w:rsid w:val="009A001F"/>
    <w:rsid w:val="009A1927"/>
    <w:rsid w:val="009A252C"/>
    <w:rsid w:val="009A5455"/>
    <w:rsid w:val="009A58A7"/>
    <w:rsid w:val="009B2E5F"/>
    <w:rsid w:val="009B6318"/>
    <w:rsid w:val="009B68D0"/>
    <w:rsid w:val="009E0C93"/>
    <w:rsid w:val="009E18D6"/>
    <w:rsid w:val="009E5D11"/>
    <w:rsid w:val="009E69D5"/>
    <w:rsid w:val="009F0475"/>
    <w:rsid w:val="009F1065"/>
    <w:rsid w:val="009F14E1"/>
    <w:rsid w:val="00A06501"/>
    <w:rsid w:val="00A11075"/>
    <w:rsid w:val="00A13255"/>
    <w:rsid w:val="00A15D48"/>
    <w:rsid w:val="00A1713E"/>
    <w:rsid w:val="00A234D8"/>
    <w:rsid w:val="00A24BC8"/>
    <w:rsid w:val="00A274ED"/>
    <w:rsid w:val="00A302D2"/>
    <w:rsid w:val="00A3257C"/>
    <w:rsid w:val="00A3730F"/>
    <w:rsid w:val="00A4499E"/>
    <w:rsid w:val="00A451EC"/>
    <w:rsid w:val="00A503B1"/>
    <w:rsid w:val="00A564BC"/>
    <w:rsid w:val="00A5724B"/>
    <w:rsid w:val="00A57D51"/>
    <w:rsid w:val="00A6062D"/>
    <w:rsid w:val="00A60F07"/>
    <w:rsid w:val="00A633C1"/>
    <w:rsid w:val="00A713C0"/>
    <w:rsid w:val="00A74F05"/>
    <w:rsid w:val="00A757C2"/>
    <w:rsid w:val="00A7614F"/>
    <w:rsid w:val="00A819AD"/>
    <w:rsid w:val="00A82FB1"/>
    <w:rsid w:val="00A83376"/>
    <w:rsid w:val="00A84BBD"/>
    <w:rsid w:val="00A944B1"/>
    <w:rsid w:val="00A969E7"/>
    <w:rsid w:val="00A97A7C"/>
    <w:rsid w:val="00AA0886"/>
    <w:rsid w:val="00AA3286"/>
    <w:rsid w:val="00AA6ED9"/>
    <w:rsid w:val="00AB0AFC"/>
    <w:rsid w:val="00AB1065"/>
    <w:rsid w:val="00AB2466"/>
    <w:rsid w:val="00AB4D70"/>
    <w:rsid w:val="00AC15BC"/>
    <w:rsid w:val="00AC1D6C"/>
    <w:rsid w:val="00AC4AD8"/>
    <w:rsid w:val="00AC6250"/>
    <w:rsid w:val="00AC744F"/>
    <w:rsid w:val="00AC788D"/>
    <w:rsid w:val="00AC7D9D"/>
    <w:rsid w:val="00AD5400"/>
    <w:rsid w:val="00AE1D28"/>
    <w:rsid w:val="00AE3AF0"/>
    <w:rsid w:val="00AF2A38"/>
    <w:rsid w:val="00AF3490"/>
    <w:rsid w:val="00AF399C"/>
    <w:rsid w:val="00AF5C9D"/>
    <w:rsid w:val="00B01901"/>
    <w:rsid w:val="00B05E8C"/>
    <w:rsid w:val="00B12968"/>
    <w:rsid w:val="00B1296C"/>
    <w:rsid w:val="00B148A9"/>
    <w:rsid w:val="00B20E32"/>
    <w:rsid w:val="00B210CF"/>
    <w:rsid w:val="00B238B0"/>
    <w:rsid w:val="00B2696C"/>
    <w:rsid w:val="00B32F26"/>
    <w:rsid w:val="00B361CE"/>
    <w:rsid w:val="00B41D13"/>
    <w:rsid w:val="00B45AED"/>
    <w:rsid w:val="00B4742A"/>
    <w:rsid w:val="00B503BA"/>
    <w:rsid w:val="00B54A8D"/>
    <w:rsid w:val="00B567AC"/>
    <w:rsid w:val="00B63EEE"/>
    <w:rsid w:val="00B664EB"/>
    <w:rsid w:val="00B67F5A"/>
    <w:rsid w:val="00B74117"/>
    <w:rsid w:val="00B763FC"/>
    <w:rsid w:val="00B77AAE"/>
    <w:rsid w:val="00B82374"/>
    <w:rsid w:val="00B86E30"/>
    <w:rsid w:val="00B8783E"/>
    <w:rsid w:val="00B9748A"/>
    <w:rsid w:val="00BA1144"/>
    <w:rsid w:val="00BA3613"/>
    <w:rsid w:val="00BA78A1"/>
    <w:rsid w:val="00BB1842"/>
    <w:rsid w:val="00BB2B12"/>
    <w:rsid w:val="00BB468A"/>
    <w:rsid w:val="00BB4A7D"/>
    <w:rsid w:val="00BB4AD3"/>
    <w:rsid w:val="00BB4F8C"/>
    <w:rsid w:val="00BB555E"/>
    <w:rsid w:val="00BB6238"/>
    <w:rsid w:val="00BC650C"/>
    <w:rsid w:val="00BD1DF4"/>
    <w:rsid w:val="00BD2A11"/>
    <w:rsid w:val="00BD4D14"/>
    <w:rsid w:val="00BE1033"/>
    <w:rsid w:val="00BE1957"/>
    <w:rsid w:val="00BE3719"/>
    <w:rsid w:val="00BE666B"/>
    <w:rsid w:val="00BF00F0"/>
    <w:rsid w:val="00C063B2"/>
    <w:rsid w:val="00C07C85"/>
    <w:rsid w:val="00C11FAE"/>
    <w:rsid w:val="00C1230F"/>
    <w:rsid w:val="00C33097"/>
    <w:rsid w:val="00C365DE"/>
    <w:rsid w:val="00C36830"/>
    <w:rsid w:val="00C4019E"/>
    <w:rsid w:val="00C47CC6"/>
    <w:rsid w:val="00C537CF"/>
    <w:rsid w:val="00C5492C"/>
    <w:rsid w:val="00C54FD9"/>
    <w:rsid w:val="00C55C12"/>
    <w:rsid w:val="00C60751"/>
    <w:rsid w:val="00C60B94"/>
    <w:rsid w:val="00C73A70"/>
    <w:rsid w:val="00C81032"/>
    <w:rsid w:val="00C8190E"/>
    <w:rsid w:val="00C874AE"/>
    <w:rsid w:val="00C923BF"/>
    <w:rsid w:val="00C923C2"/>
    <w:rsid w:val="00C925EF"/>
    <w:rsid w:val="00CA222C"/>
    <w:rsid w:val="00CA4578"/>
    <w:rsid w:val="00CA4AAD"/>
    <w:rsid w:val="00CA7E6F"/>
    <w:rsid w:val="00CB052B"/>
    <w:rsid w:val="00CB0BE6"/>
    <w:rsid w:val="00CB5534"/>
    <w:rsid w:val="00CB569D"/>
    <w:rsid w:val="00CB735F"/>
    <w:rsid w:val="00CC0541"/>
    <w:rsid w:val="00CC6323"/>
    <w:rsid w:val="00CC6C51"/>
    <w:rsid w:val="00CD0700"/>
    <w:rsid w:val="00CD138E"/>
    <w:rsid w:val="00CD2D58"/>
    <w:rsid w:val="00CD2FF9"/>
    <w:rsid w:val="00CD44A6"/>
    <w:rsid w:val="00CF0C5C"/>
    <w:rsid w:val="00CF41EB"/>
    <w:rsid w:val="00CF66BC"/>
    <w:rsid w:val="00D06AD4"/>
    <w:rsid w:val="00D07703"/>
    <w:rsid w:val="00D12F01"/>
    <w:rsid w:val="00D20578"/>
    <w:rsid w:val="00D2258C"/>
    <w:rsid w:val="00D23C49"/>
    <w:rsid w:val="00D26350"/>
    <w:rsid w:val="00D32515"/>
    <w:rsid w:val="00D336A1"/>
    <w:rsid w:val="00D371B3"/>
    <w:rsid w:val="00D4047F"/>
    <w:rsid w:val="00D413DE"/>
    <w:rsid w:val="00D42613"/>
    <w:rsid w:val="00D45376"/>
    <w:rsid w:val="00D464C7"/>
    <w:rsid w:val="00D571E1"/>
    <w:rsid w:val="00D610EC"/>
    <w:rsid w:val="00D722C5"/>
    <w:rsid w:val="00D7517E"/>
    <w:rsid w:val="00D80EB8"/>
    <w:rsid w:val="00D817F3"/>
    <w:rsid w:val="00D819D7"/>
    <w:rsid w:val="00D823E3"/>
    <w:rsid w:val="00D82EA6"/>
    <w:rsid w:val="00D8703E"/>
    <w:rsid w:val="00D94E36"/>
    <w:rsid w:val="00D95558"/>
    <w:rsid w:val="00DA4605"/>
    <w:rsid w:val="00DA58C3"/>
    <w:rsid w:val="00DA6859"/>
    <w:rsid w:val="00DA7323"/>
    <w:rsid w:val="00DB01AC"/>
    <w:rsid w:val="00DB3012"/>
    <w:rsid w:val="00DB46F4"/>
    <w:rsid w:val="00DB5301"/>
    <w:rsid w:val="00DD2CC1"/>
    <w:rsid w:val="00DD39F4"/>
    <w:rsid w:val="00DD42A3"/>
    <w:rsid w:val="00DD57B0"/>
    <w:rsid w:val="00DE214F"/>
    <w:rsid w:val="00DE71B3"/>
    <w:rsid w:val="00DE730D"/>
    <w:rsid w:val="00DF063F"/>
    <w:rsid w:val="00DF4430"/>
    <w:rsid w:val="00DF6147"/>
    <w:rsid w:val="00E0032D"/>
    <w:rsid w:val="00E03E07"/>
    <w:rsid w:val="00E046FD"/>
    <w:rsid w:val="00E07FFD"/>
    <w:rsid w:val="00E12571"/>
    <w:rsid w:val="00E1267A"/>
    <w:rsid w:val="00E218FC"/>
    <w:rsid w:val="00E27B8D"/>
    <w:rsid w:val="00E30157"/>
    <w:rsid w:val="00E30519"/>
    <w:rsid w:val="00E427A3"/>
    <w:rsid w:val="00E50AFA"/>
    <w:rsid w:val="00E51358"/>
    <w:rsid w:val="00E514D8"/>
    <w:rsid w:val="00E55692"/>
    <w:rsid w:val="00E560E0"/>
    <w:rsid w:val="00E56CAE"/>
    <w:rsid w:val="00E57905"/>
    <w:rsid w:val="00E616D2"/>
    <w:rsid w:val="00E64A1B"/>
    <w:rsid w:val="00E67898"/>
    <w:rsid w:val="00E7061E"/>
    <w:rsid w:val="00E70826"/>
    <w:rsid w:val="00E80982"/>
    <w:rsid w:val="00E8130C"/>
    <w:rsid w:val="00E82A83"/>
    <w:rsid w:val="00E8714C"/>
    <w:rsid w:val="00E933B4"/>
    <w:rsid w:val="00E96AF6"/>
    <w:rsid w:val="00EA06EA"/>
    <w:rsid w:val="00EA68CC"/>
    <w:rsid w:val="00EB5859"/>
    <w:rsid w:val="00EB69D6"/>
    <w:rsid w:val="00ED14D7"/>
    <w:rsid w:val="00ED2BA8"/>
    <w:rsid w:val="00ED5573"/>
    <w:rsid w:val="00EE1C0E"/>
    <w:rsid w:val="00EE2681"/>
    <w:rsid w:val="00EF0D1A"/>
    <w:rsid w:val="00EF48C3"/>
    <w:rsid w:val="00EF6484"/>
    <w:rsid w:val="00EF64E8"/>
    <w:rsid w:val="00EF7AA8"/>
    <w:rsid w:val="00F008A5"/>
    <w:rsid w:val="00F017D7"/>
    <w:rsid w:val="00F018C5"/>
    <w:rsid w:val="00F03F20"/>
    <w:rsid w:val="00F068B8"/>
    <w:rsid w:val="00F22B61"/>
    <w:rsid w:val="00F24958"/>
    <w:rsid w:val="00F258AB"/>
    <w:rsid w:val="00F3187C"/>
    <w:rsid w:val="00F35E83"/>
    <w:rsid w:val="00F375BE"/>
    <w:rsid w:val="00F37B6D"/>
    <w:rsid w:val="00F40B2C"/>
    <w:rsid w:val="00F468C3"/>
    <w:rsid w:val="00F55D0E"/>
    <w:rsid w:val="00F56433"/>
    <w:rsid w:val="00F63590"/>
    <w:rsid w:val="00F66C51"/>
    <w:rsid w:val="00F66CEE"/>
    <w:rsid w:val="00F73163"/>
    <w:rsid w:val="00F80BAC"/>
    <w:rsid w:val="00F80D96"/>
    <w:rsid w:val="00F81081"/>
    <w:rsid w:val="00F86743"/>
    <w:rsid w:val="00F8721B"/>
    <w:rsid w:val="00F87AA0"/>
    <w:rsid w:val="00F9262D"/>
    <w:rsid w:val="00F92A24"/>
    <w:rsid w:val="00F92FC3"/>
    <w:rsid w:val="00F932C3"/>
    <w:rsid w:val="00F96520"/>
    <w:rsid w:val="00FA0C1D"/>
    <w:rsid w:val="00FA2ADA"/>
    <w:rsid w:val="00FB35C2"/>
    <w:rsid w:val="00FC1302"/>
    <w:rsid w:val="00FC6AFE"/>
    <w:rsid w:val="00FD489D"/>
    <w:rsid w:val="00FD6279"/>
    <w:rsid w:val="00FD7052"/>
    <w:rsid w:val="00FD7552"/>
    <w:rsid w:val="00FE02EA"/>
    <w:rsid w:val="00FE6FC1"/>
    <w:rsid w:val="00FF3AD5"/>
    <w:rsid w:val="00FF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132A"/>
  <w15:docId w15:val="{B39F9F4B-55CE-444E-9279-72343943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7D"/>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17D"/>
    <w:pPr>
      <w:tabs>
        <w:tab w:val="center" w:pos="4513"/>
        <w:tab w:val="right" w:pos="9026"/>
      </w:tabs>
      <w:spacing w:line="240" w:lineRule="auto"/>
    </w:pPr>
  </w:style>
  <w:style w:type="character" w:customStyle="1" w:styleId="HeaderChar">
    <w:name w:val="Header Char"/>
    <w:basedOn w:val="DefaultParagraphFont"/>
    <w:link w:val="Header"/>
    <w:uiPriority w:val="99"/>
    <w:rsid w:val="006C517D"/>
    <w:rPr>
      <w:rFonts w:ascii="Calibri" w:eastAsia="Calibri" w:hAnsi="Calibri" w:cs="Times New Roman"/>
    </w:rPr>
  </w:style>
  <w:style w:type="paragraph" w:styleId="Footer">
    <w:name w:val="footer"/>
    <w:basedOn w:val="Normal"/>
    <w:link w:val="FooterChar"/>
    <w:uiPriority w:val="99"/>
    <w:rsid w:val="006C517D"/>
    <w:pPr>
      <w:tabs>
        <w:tab w:val="center" w:pos="4513"/>
        <w:tab w:val="right" w:pos="9026"/>
      </w:tabs>
      <w:spacing w:line="240" w:lineRule="auto"/>
    </w:pPr>
  </w:style>
  <w:style w:type="character" w:customStyle="1" w:styleId="FooterChar">
    <w:name w:val="Footer Char"/>
    <w:basedOn w:val="DefaultParagraphFont"/>
    <w:link w:val="Footer"/>
    <w:uiPriority w:val="99"/>
    <w:rsid w:val="006C517D"/>
    <w:rPr>
      <w:rFonts w:ascii="Calibri" w:eastAsia="Calibri" w:hAnsi="Calibri" w:cs="Times New Roman"/>
    </w:rPr>
  </w:style>
  <w:style w:type="character" w:styleId="FootnoteReference">
    <w:name w:val="footnote reference"/>
    <w:basedOn w:val="DefaultParagraphFont"/>
    <w:uiPriority w:val="99"/>
    <w:semiHidden/>
    <w:unhideWhenUsed/>
    <w:rsid w:val="006C517D"/>
    <w:rPr>
      <w:vertAlign w:val="superscript"/>
    </w:rPr>
  </w:style>
  <w:style w:type="paragraph" w:styleId="BalloonText">
    <w:name w:val="Balloon Text"/>
    <w:basedOn w:val="Normal"/>
    <w:link w:val="BalloonTextChar"/>
    <w:uiPriority w:val="99"/>
    <w:semiHidden/>
    <w:unhideWhenUsed/>
    <w:rsid w:val="006C5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7D"/>
    <w:rPr>
      <w:rFonts w:ascii="Tahoma" w:eastAsia="Calibri" w:hAnsi="Tahoma" w:cs="Tahoma"/>
      <w:sz w:val="16"/>
      <w:szCs w:val="16"/>
    </w:rPr>
  </w:style>
  <w:style w:type="character" w:styleId="LineNumber">
    <w:name w:val="line number"/>
    <w:basedOn w:val="DefaultParagraphFont"/>
    <w:uiPriority w:val="99"/>
    <w:semiHidden/>
    <w:unhideWhenUsed/>
    <w:rsid w:val="006C517D"/>
  </w:style>
  <w:style w:type="character" w:styleId="CommentReference">
    <w:name w:val="annotation reference"/>
    <w:basedOn w:val="DefaultParagraphFont"/>
    <w:uiPriority w:val="99"/>
    <w:semiHidden/>
    <w:unhideWhenUsed/>
    <w:rsid w:val="006C517D"/>
    <w:rPr>
      <w:sz w:val="16"/>
      <w:szCs w:val="16"/>
    </w:rPr>
  </w:style>
  <w:style w:type="paragraph" w:styleId="CommentText">
    <w:name w:val="annotation text"/>
    <w:basedOn w:val="Normal"/>
    <w:link w:val="CommentTextChar"/>
    <w:uiPriority w:val="99"/>
    <w:semiHidden/>
    <w:unhideWhenUsed/>
    <w:rsid w:val="006C517D"/>
    <w:pPr>
      <w:spacing w:line="240" w:lineRule="auto"/>
    </w:pPr>
    <w:rPr>
      <w:sz w:val="20"/>
      <w:szCs w:val="20"/>
    </w:rPr>
  </w:style>
  <w:style w:type="character" w:customStyle="1" w:styleId="CommentTextChar">
    <w:name w:val="Comment Text Char"/>
    <w:basedOn w:val="DefaultParagraphFont"/>
    <w:link w:val="CommentText"/>
    <w:uiPriority w:val="99"/>
    <w:semiHidden/>
    <w:rsid w:val="006C51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517D"/>
    <w:rPr>
      <w:b/>
      <w:bCs/>
    </w:rPr>
  </w:style>
  <w:style w:type="character" w:customStyle="1" w:styleId="CommentSubjectChar">
    <w:name w:val="Comment Subject Char"/>
    <w:basedOn w:val="CommentTextChar"/>
    <w:link w:val="CommentSubject"/>
    <w:uiPriority w:val="99"/>
    <w:semiHidden/>
    <w:rsid w:val="006C517D"/>
    <w:rPr>
      <w:rFonts w:ascii="Calibri" w:eastAsia="Calibri" w:hAnsi="Calibri" w:cs="Times New Roman"/>
      <w:b/>
      <w:bCs/>
      <w:sz w:val="20"/>
      <w:szCs w:val="20"/>
    </w:rPr>
  </w:style>
  <w:style w:type="table" w:styleId="TableGrid">
    <w:name w:val="Table Grid"/>
    <w:basedOn w:val="TableNormal"/>
    <w:uiPriority w:val="59"/>
    <w:rsid w:val="00C1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30F"/>
    <w:pPr>
      <w:spacing w:before="100" w:beforeAutospacing="1" w:after="100" w:afterAutospacing="1" w:line="240" w:lineRule="auto"/>
    </w:pPr>
    <w:rPr>
      <w:rFonts w:ascii="Times New Roman" w:eastAsiaTheme="minorEastAsia" w:hAnsi="Times New Roman"/>
      <w:sz w:val="24"/>
      <w:szCs w:val="24"/>
      <w:lang w:eastAsia="en-GB"/>
    </w:rPr>
  </w:style>
  <w:style w:type="paragraph" w:styleId="ListParagraph">
    <w:name w:val="List Paragraph"/>
    <w:basedOn w:val="Normal"/>
    <w:uiPriority w:val="34"/>
    <w:qFormat/>
    <w:rsid w:val="00C1230F"/>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1230F"/>
    <w:rPr>
      <w:color w:val="0000FF" w:themeColor="hyperlink"/>
      <w:u w:val="single"/>
    </w:rPr>
  </w:style>
  <w:style w:type="paragraph" w:styleId="EndnoteText">
    <w:name w:val="endnote text"/>
    <w:basedOn w:val="Normal"/>
    <w:link w:val="EndnoteTextChar"/>
    <w:uiPriority w:val="99"/>
    <w:semiHidden/>
    <w:unhideWhenUsed/>
    <w:rsid w:val="00AF2A38"/>
    <w:pPr>
      <w:spacing w:line="240" w:lineRule="auto"/>
    </w:pPr>
    <w:rPr>
      <w:sz w:val="20"/>
      <w:szCs w:val="20"/>
    </w:rPr>
  </w:style>
  <w:style w:type="character" w:customStyle="1" w:styleId="EndnoteTextChar">
    <w:name w:val="Endnote Text Char"/>
    <w:basedOn w:val="DefaultParagraphFont"/>
    <w:link w:val="EndnoteText"/>
    <w:uiPriority w:val="99"/>
    <w:semiHidden/>
    <w:rsid w:val="00AF2A3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F2A38"/>
    <w:rPr>
      <w:vertAlign w:val="superscript"/>
    </w:rPr>
  </w:style>
  <w:style w:type="character" w:styleId="Emphasis">
    <w:name w:val="Emphasis"/>
    <w:basedOn w:val="DefaultParagraphFont"/>
    <w:uiPriority w:val="20"/>
    <w:qFormat/>
    <w:rsid w:val="00577246"/>
    <w:rPr>
      <w:i/>
      <w:iCs/>
    </w:rPr>
  </w:style>
  <w:style w:type="character" w:customStyle="1" w:styleId="apple-converted-space">
    <w:name w:val="apple-converted-space"/>
    <w:basedOn w:val="DefaultParagraphFont"/>
    <w:rsid w:val="00577246"/>
  </w:style>
  <w:style w:type="paragraph" w:styleId="FootnoteText">
    <w:name w:val="footnote text"/>
    <w:basedOn w:val="Normal"/>
    <w:link w:val="FootnoteTextChar"/>
    <w:uiPriority w:val="99"/>
    <w:semiHidden/>
    <w:unhideWhenUsed/>
    <w:rsid w:val="00EA06EA"/>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A06EA"/>
    <w:rPr>
      <w:sz w:val="20"/>
      <w:szCs w:val="20"/>
    </w:rPr>
  </w:style>
  <w:style w:type="paragraph" w:styleId="Revision">
    <w:name w:val="Revision"/>
    <w:hidden/>
    <w:uiPriority w:val="99"/>
    <w:semiHidden/>
    <w:rsid w:val="00613B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9001">
      <w:bodyDiv w:val="1"/>
      <w:marLeft w:val="0"/>
      <w:marRight w:val="0"/>
      <w:marTop w:val="0"/>
      <w:marBottom w:val="0"/>
      <w:divBdr>
        <w:top w:val="none" w:sz="0" w:space="0" w:color="auto"/>
        <w:left w:val="none" w:sz="0" w:space="0" w:color="auto"/>
        <w:bottom w:val="none" w:sz="0" w:space="0" w:color="auto"/>
        <w:right w:val="none" w:sz="0" w:space="0" w:color="auto"/>
      </w:divBdr>
    </w:div>
    <w:div w:id="466824509">
      <w:bodyDiv w:val="1"/>
      <w:marLeft w:val="0"/>
      <w:marRight w:val="0"/>
      <w:marTop w:val="0"/>
      <w:marBottom w:val="0"/>
      <w:divBdr>
        <w:top w:val="none" w:sz="0" w:space="0" w:color="auto"/>
        <w:left w:val="none" w:sz="0" w:space="0" w:color="auto"/>
        <w:bottom w:val="none" w:sz="0" w:space="0" w:color="auto"/>
        <w:right w:val="none" w:sz="0" w:space="0" w:color="auto"/>
      </w:divBdr>
      <w:divsChild>
        <w:div w:id="1879079602">
          <w:marLeft w:val="0"/>
          <w:marRight w:val="0"/>
          <w:marTop w:val="0"/>
          <w:marBottom w:val="0"/>
          <w:divBdr>
            <w:top w:val="none" w:sz="0" w:space="0" w:color="auto"/>
            <w:left w:val="none" w:sz="0" w:space="0" w:color="auto"/>
            <w:bottom w:val="none" w:sz="0" w:space="0" w:color="auto"/>
            <w:right w:val="none" w:sz="0" w:space="0" w:color="auto"/>
          </w:divBdr>
          <w:divsChild>
            <w:div w:id="808471729">
              <w:marLeft w:val="0"/>
              <w:marRight w:val="0"/>
              <w:marTop w:val="0"/>
              <w:marBottom w:val="0"/>
              <w:divBdr>
                <w:top w:val="none" w:sz="0" w:space="0" w:color="auto"/>
                <w:left w:val="none" w:sz="0" w:space="0" w:color="auto"/>
                <w:bottom w:val="none" w:sz="0" w:space="0" w:color="auto"/>
                <w:right w:val="none" w:sz="0" w:space="0" w:color="auto"/>
              </w:divBdr>
              <w:divsChild>
                <w:div w:id="631328212">
                  <w:marLeft w:val="0"/>
                  <w:marRight w:val="0"/>
                  <w:marTop w:val="0"/>
                  <w:marBottom w:val="0"/>
                  <w:divBdr>
                    <w:top w:val="none" w:sz="0" w:space="0" w:color="auto"/>
                    <w:left w:val="none" w:sz="0" w:space="0" w:color="auto"/>
                    <w:bottom w:val="none" w:sz="0" w:space="0" w:color="auto"/>
                    <w:right w:val="none" w:sz="0" w:space="0" w:color="auto"/>
                  </w:divBdr>
                  <w:divsChild>
                    <w:div w:id="350574275">
                      <w:marLeft w:val="0"/>
                      <w:marRight w:val="0"/>
                      <w:marTop w:val="0"/>
                      <w:marBottom w:val="0"/>
                      <w:divBdr>
                        <w:top w:val="none" w:sz="0" w:space="0" w:color="auto"/>
                        <w:left w:val="none" w:sz="0" w:space="0" w:color="auto"/>
                        <w:bottom w:val="none" w:sz="0" w:space="0" w:color="auto"/>
                        <w:right w:val="none" w:sz="0" w:space="0" w:color="auto"/>
                      </w:divBdr>
                      <w:divsChild>
                        <w:div w:id="625428948">
                          <w:marLeft w:val="0"/>
                          <w:marRight w:val="0"/>
                          <w:marTop w:val="0"/>
                          <w:marBottom w:val="0"/>
                          <w:divBdr>
                            <w:top w:val="none" w:sz="0" w:space="0" w:color="auto"/>
                            <w:left w:val="none" w:sz="0" w:space="0" w:color="auto"/>
                            <w:bottom w:val="none" w:sz="0" w:space="0" w:color="auto"/>
                            <w:right w:val="none" w:sz="0" w:space="0" w:color="auto"/>
                          </w:divBdr>
                          <w:divsChild>
                            <w:div w:id="439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14416">
      <w:bodyDiv w:val="1"/>
      <w:marLeft w:val="0"/>
      <w:marRight w:val="0"/>
      <w:marTop w:val="0"/>
      <w:marBottom w:val="0"/>
      <w:divBdr>
        <w:top w:val="none" w:sz="0" w:space="0" w:color="auto"/>
        <w:left w:val="none" w:sz="0" w:space="0" w:color="auto"/>
        <w:bottom w:val="none" w:sz="0" w:space="0" w:color="auto"/>
        <w:right w:val="none" w:sz="0" w:space="0" w:color="auto"/>
      </w:divBdr>
    </w:div>
    <w:div w:id="748504609">
      <w:bodyDiv w:val="1"/>
      <w:marLeft w:val="0"/>
      <w:marRight w:val="0"/>
      <w:marTop w:val="0"/>
      <w:marBottom w:val="0"/>
      <w:divBdr>
        <w:top w:val="none" w:sz="0" w:space="0" w:color="auto"/>
        <w:left w:val="none" w:sz="0" w:space="0" w:color="auto"/>
        <w:bottom w:val="none" w:sz="0" w:space="0" w:color="auto"/>
        <w:right w:val="none" w:sz="0" w:space="0" w:color="auto"/>
      </w:divBdr>
    </w:div>
    <w:div w:id="19415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tiff"/><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chart" Target="charts/chart1.xm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PhD\Data%20files%20actually%20in%20use\2012%20Wedderburn%20year%202\Plant%20survey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eather\Documents\Documents\PhD\Data%20files%20actually%20in%20use\2012%20Wedderburn%20year%202\Plant%20surveys.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user\Documents\PhD\Data%20files%20actually%20in%20use\2012%20Wedderburn%20year%202\Wedderburn%20year%20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cuments\PhD\Data%20files%20actually%20in%20use\2012%20Wedderburn%20year%202\Wedderburn%20year%202.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ocuments\PhD\Data%20files%20actually%20in%20use\2012%20Wedderburn%20year%202\Wedderburn%20year%20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ocuments\PhD\Data%20files%20actually%20in%20use\2012%20Wedderburn%20year%202\Wedderburn%20year%20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ocuments\PhD\Data%20files%20actually%20in%20use\2012%20Wedderburn%20year%202\Wedderburn%20year%202.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24053997484617"/>
          <c:y val="5.5443548387096774E-2"/>
          <c:w val="0.7869403586372451"/>
          <c:h val="0.56198882397764793"/>
        </c:manualLayout>
      </c:layout>
      <c:barChart>
        <c:barDir val="col"/>
        <c:grouping val="stacked"/>
        <c:varyColors val="0"/>
        <c:ser>
          <c:idx val="0"/>
          <c:order val="0"/>
          <c:tx>
            <c:v>Sedum spp.</c:v>
          </c:tx>
          <c:spPr>
            <a:solidFill>
              <a:schemeClr val="tx2">
                <a:lumMod val="75000"/>
              </a:schemeClr>
            </a:solidFill>
            <a:ln>
              <a:solidFill>
                <a:sysClr val="windowText" lastClr="000000"/>
              </a:solidFill>
            </a:ln>
          </c:spPr>
          <c:invertIfNegative val="0"/>
          <c:dLbls>
            <c:dLbl>
              <c:idx val="0"/>
              <c:layout>
                <c:manualLayout>
                  <c:x val="7.9981180898612045E-2"/>
                  <c:y val="-4.410143329658214E-3"/>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800282286520824E-2"/>
                  <c:y val="-4.410143329658214E-3"/>
                </c:manualLayout>
              </c:layout>
              <c:tx>
                <c:rich>
                  <a:bodyPr/>
                  <a:lstStyle/>
                  <a:p>
                    <a:r>
                      <a:rPr lang="en-US"/>
                      <a:t>b, c</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276405551634909E-2"/>
                  <c:y val="-8.8202866593164279E-3"/>
                </c:manualLayout>
              </c:layout>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Sheet3!$R$17:$R$19</c:f>
                <c:numCache>
                  <c:formatCode>General</c:formatCode>
                  <c:ptCount val="3"/>
                  <c:pt idx="0">
                    <c:v>2.2026443641422708</c:v>
                  </c:pt>
                  <c:pt idx="1">
                    <c:v>2.376350385778891</c:v>
                  </c:pt>
                  <c:pt idx="2">
                    <c:v>2.6574698010961018</c:v>
                  </c:pt>
                </c:numCache>
              </c:numRef>
            </c:plus>
            <c:minus>
              <c:numRef>
                <c:f>Sheet3!$R$17:$R$19</c:f>
                <c:numCache>
                  <c:formatCode>General</c:formatCode>
                  <c:ptCount val="3"/>
                  <c:pt idx="0">
                    <c:v>2.2026443641422708</c:v>
                  </c:pt>
                  <c:pt idx="1">
                    <c:v>2.376350385778891</c:v>
                  </c:pt>
                  <c:pt idx="2">
                    <c:v>2.6574698010961018</c:v>
                  </c:pt>
                </c:numCache>
              </c:numRef>
            </c:minus>
            <c:spPr>
              <a:ln>
                <a:solidFill>
                  <a:schemeClr val="bg1">
                    <a:lumMod val="75000"/>
                  </a:schemeClr>
                </a:solidFill>
              </a:ln>
            </c:spPr>
          </c:errBars>
          <c:cat>
            <c:strRef>
              <c:f>Sheet3!$A$17:$A$19</c:f>
              <c:strCache>
                <c:ptCount val="3"/>
                <c:pt idx="0">
                  <c:v>Jan</c:v>
                </c:pt>
                <c:pt idx="1">
                  <c:v>Mar</c:v>
                </c:pt>
                <c:pt idx="2">
                  <c:v>Jul</c:v>
                </c:pt>
              </c:strCache>
            </c:strRef>
          </c:cat>
          <c:val>
            <c:numRef>
              <c:f>Sheet3!$R$2:$R$4</c:f>
              <c:numCache>
                <c:formatCode>General</c:formatCode>
                <c:ptCount val="3"/>
                <c:pt idx="0">
                  <c:v>32.977083333333333</c:v>
                </c:pt>
                <c:pt idx="1">
                  <c:v>51.337708333333318</c:v>
                </c:pt>
                <c:pt idx="2">
                  <c:v>45.976041666666667</c:v>
                </c:pt>
              </c:numCache>
            </c:numRef>
          </c:val>
        </c:ser>
        <c:ser>
          <c:idx val="1"/>
          <c:order val="1"/>
          <c:tx>
            <c:strRef>
              <c:f>Sheet3!$S$1</c:f>
              <c:strCache>
                <c:ptCount val="1"/>
                <c:pt idx="0">
                  <c:v>Bryophytes</c:v>
                </c:pt>
              </c:strCache>
            </c:strRef>
          </c:tx>
          <c:spPr>
            <a:solidFill>
              <a:schemeClr val="bg1">
                <a:lumMod val="50000"/>
              </a:schemeClr>
            </a:solidFill>
            <a:ln>
              <a:solidFill>
                <a:sysClr val="windowText" lastClr="000000"/>
              </a:solidFill>
            </a:ln>
          </c:spPr>
          <c:invertIfNegative val="0"/>
          <c:dLbls>
            <c:dLbl>
              <c:idx val="0"/>
              <c:layout>
                <c:manualLayout>
                  <c:x val="7.5276405551634909E-2"/>
                  <c:y val="-8.8202866593164279E-3"/>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276405551634826E-2"/>
                  <c:y val="0"/>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276405551634909E-2"/>
                  <c:y val="0"/>
                </c:manualLayout>
              </c:layout>
              <c:tx>
                <c:rich>
                  <a:bodyPr/>
                  <a:lstStyle/>
                  <a:p>
                    <a:r>
                      <a:rPr lang="en-US"/>
                      <a:t>c</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Sheet3!$S$17:$S$19</c:f>
                <c:numCache>
                  <c:formatCode>General</c:formatCode>
                  <c:ptCount val="3"/>
                  <c:pt idx="0">
                    <c:v>2.0568462389029296</c:v>
                  </c:pt>
                  <c:pt idx="1">
                    <c:v>1.4653813980817312</c:v>
                  </c:pt>
                  <c:pt idx="2">
                    <c:v>2.1865612854150434</c:v>
                  </c:pt>
                </c:numCache>
              </c:numRef>
            </c:plus>
            <c:minus>
              <c:numRef>
                <c:f>Sheet3!$S$17:$S$19</c:f>
                <c:numCache>
                  <c:formatCode>General</c:formatCode>
                  <c:ptCount val="3"/>
                  <c:pt idx="0">
                    <c:v>2.0568462389029296</c:v>
                  </c:pt>
                  <c:pt idx="1">
                    <c:v>1.4653813980817312</c:v>
                  </c:pt>
                  <c:pt idx="2">
                    <c:v>2.1865612854150434</c:v>
                  </c:pt>
                </c:numCache>
              </c:numRef>
            </c:minus>
            <c:spPr>
              <a:ln>
                <a:solidFill>
                  <a:schemeClr val="bg1">
                    <a:lumMod val="75000"/>
                  </a:schemeClr>
                </a:solidFill>
              </a:ln>
            </c:spPr>
          </c:errBars>
          <c:cat>
            <c:strRef>
              <c:f>Sheet3!$A$17:$A$19</c:f>
              <c:strCache>
                <c:ptCount val="3"/>
                <c:pt idx="0">
                  <c:v>Jan</c:v>
                </c:pt>
                <c:pt idx="1">
                  <c:v>Mar</c:v>
                </c:pt>
                <c:pt idx="2">
                  <c:v>Jul</c:v>
                </c:pt>
              </c:strCache>
            </c:strRef>
          </c:cat>
          <c:val>
            <c:numRef>
              <c:f>Sheet3!$S$2:$S$4</c:f>
              <c:numCache>
                <c:formatCode>General</c:formatCode>
                <c:ptCount val="3"/>
                <c:pt idx="0">
                  <c:v>59.280851063829786</c:v>
                </c:pt>
                <c:pt idx="1">
                  <c:v>19.600000000000005</c:v>
                </c:pt>
                <c:pt idx="2">
                  <c:v>15.153124999999998</c:v>
                </c:pt>
              </c:numCache>
            </c:numRef>
          </c:val>
        </c:ser>
        <c:ser>
          <c:idx val="2"/>
          <c:order val="2"/>
          <c:tx>
            <c:strRef>
              <c:f>Sheet3!$T$1</c:f>
              <c:strCache>
                <c:ptCount val="1"/>
                <c:pt idx="0">
                  <c:v>Lichen</c:v>
                </c:pt>
              </c:strCache>
            </c:strRef>
          </c:tx>
          <c:spPr>
            <a:pattFill prst="smGrid">
              <a:fgClr>
                <a:schemeClr val="accent3">
                  <a:lumMod val="50000"/>
                </a:schemeClr>
              </a:fgClr>
              <a:bgClr>
                <a:schemeClr val="accent3">
                  <a:lumMod val="60000"/>
                  <a:lumOff val="40000"/>
                </a:schemeClr>
              </a:bgClr>
            </a:pattFill>
            <a:ln>
              <a:solidFill>
                <a:sysClr val="windowText" lastClr="000000"/>
              </a:solidFill>
            </a:ln>
          </c:spPr>
          <c:invertIfNegative val="0"/>
          <c:cat>
            <c:strRef>
              <c:f>Sheet3!$A$17:$A$19</c:f>
              <c:strCache>
                <c:ptCount val="3"/>
                <c:pt idx="0">
                  <c:v>Jan</c:v>
                </c:pt>
                <c:pt idx="1">
                  <c:v>Mar</c:v>
                </c:pt>
                <c:pt idx="2">
                  <c:v>Jul</c:v>
                </c:pt>
              </c:strCache>
            </c:strRef>
          </c:cat>
          <c:val>
            <c:numRef>
              <c:f>Sheet3!$T$2:$T$4</c:f>
              <c:numCache>
                <c:formatCode>General</c:formatCode>
                <c:ptCount val="3"/>
                <c:pt idx="0">
                  <c:v>1.1388888888888888</c:v>
                </c:pt>
                <c:pt idx="1">
                  <c:v>0.39130434782608697</c:v>
                </c:pt>
                <c:pt idx="2">
                  <c:v>0.27083333333333331</c:v>
                </c:pt>
              </c:numCache>
            </c:numRef>
          </c:val>
        </c:ser>
        <c:ser>
          <c:idx val="3"/>
          <c:order val="3"/>
          <c:tx>
            <c:strRef>
              <c:f>Sheet3!$U$1</c:f>
              <c:strCache>
                <c:ptCount val="1"/>
                <c:pt idx="0">
                  <c:v>T. arve</c:v>
                </c:pt>
              </c:strCache>
            </c:strRef>
          </c:tx>
          <c:spPr>
            <a:pattFill prst="pct75">
              <a:fgClr>
                <a:srgbClr val="FF0000"/>
              </a:fgClr>
              <a:bgClr>
                <a:schemeClr val="bg1"/>
              </a:bgClr>
            </a:pattFill>
            <a:ln>
              <a:solidFill>
                <a:sysClr val="windowText" lastClr="000000"/>
              </a:solidFill>
            </a:ln>
          </c:spPr>
          <c:invertIfNegative val="0"/>
          <c:dLbls>
            <c:dLbl>
              <c:idx val="0"/>
              <c:delete val="1"/>
              <c:extLst>
                <c:ext xmlns:c15="http://schemas.microsoft.com/office/drawing/2012/chart" uri="{CE6537A1-D6FC-4f65-9D91-7224C49458BB}"/>
              </c:extLst>
            </c:dLbl>
            <c:dLbl>
              <c:idx val="1"/>
              <c:layout>
                <c:manualLayout>
                  <c:x val="7.5276405551634826E-2"/>
                  <c:y val="0"/>
                </c:manualLayout>
              </c:layout>
              <c:tx>
                <c:rich>
                  <a:bodyPr/>
                  <a:lstStyle/>
                  <a:p>
                    <a:r>
                      <a:rPr lang="en-US"/>
                      <a:t>a</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571630204657732E-2"/>
                  <c:y val="-4.4101433296582547E-3"/>
                </c:manualLayout>
              </c:layout>
              <c:tx>
                <c:rich>
                  <a:bodyPr/>
                  <a:lstStyle/>
                  <a:p>
                    <a:r>
                      <a:rPr lang="en-US"/>
                      <a:t>b</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Sheet3!$U$17:$U$19</c:f>
                <c:numCache>
                  <c:formatCode>General</c:formatCode>
                  <c:ptCount val="3"/>
                  <c:pt idx="0">
                    <c:v>0.59336610396392986</c:v>
                  </c:pt>
                  <c:pt idx="1">
                    <c:v>1.8329356972604269</c:v>
                  </c:pt>
                  <c:pt idx="2">
                    <c:v>3.0539418291816021</c:v>
                  </c:pt>
                </c:numCache>
              </c:numRef>
            </c:plus>
            <c:minus>
              <c:numRef>
                <c:f>Sheet3!$U$17:$U$19</c:f>
                <c:numCache>
                  <c:formatCode>General</c:formatCode>
                  <c:ptCount val="3"/>
                  <c:pt idx="0">
                    <c:v>0.59336610396392986</c:v>
                  </c:pt>
                  <c:pt idx="1">
                    <c:v>1.8329356972604269</c:v>
                  </c:pt>
                  <c:pt idx="2">
                    <c:v>3.0539418291816021</c:v>
                  </c:pt>
                </c:numCache>
              </c:numRef>
            </c:minus>
            <c:spPr>
              <a:ln>
                <a:solidFill>
                  <a:schemeClr val="bg1">
                    <a:lumMod val="75000"/>
                  </a:schemeClr>
                </a:solidFill>
              </a:ln>
            </c:spPr>
          </c:errBars>
          <c:cat>
            <c:strRef>
              <c:f>Sheet3!$A$17:$A$19</c:f>
              <c:strCache>
                <c:ptCount val="3"/>
                <c:pt idx="0">
                  <c:v>Jan</c:v>
                </c:pt>
                <c:pt idx="1">
                  <c:v>Mar</c:v>
                </c:pt>
                <c:pt idx="2">
                  <c:v>Jul</c:v>
                </c:pt>
              </c:strCache>
            </c:strRef>
          </c:cat>
          <c:val>
            <c:numRef>
              <c:f>Sheet3!$U$2:$U$4</c:f>
              <c:numCache>
                <c:formatCode>General</c:formatCode>
                <c:ptCount val="3"/>
                <c:pt idx="0">
                  <c:v>1.3333333333333333</c:v>
                </c:pt>
                <c:pt idx="1">
                  <c:v>11.916666666666666</c:v>
                </c:pt>
                <c:pt idx="2">
                  <c:v>18.645833333333332</c:v>
                </c:pt>
              </c:numCache>
            </c:numRef>
          </c:val>
        </c:ser>
        <c:ser>
          <c:idx val="4"/>
          <c:order val="4"/>
          <c:tx>
            <c:strRef>
              <c:f>Sheet3!$V$1</c:f>
              <c:strCache>
                <c:ptCount val="1"/>
                <c:pt idx="0">
                  <c:v>Others</c:v>
                </c:pt>
              </c:strCache>
            </c:strRef>
          </c:tx>
          <c:spPr>
            <a:pattFill prst="wdDnDiag">
              <a:fgClr>
                <a:srgbClr val="FFFF00"/>
              </a:fgClr>
              <a:bgClr>
                <a:schemeClr val="tx1"/>
              </a:bgClr>
            </a:pattFill>
            <a:ln>
              <a:solidFill>
                <a:sysClr val="windowText" lastClr="000000"/>
              </a:solidFill>
            </a:ln>
          </c:spPr>
          <c:invertIfNegative val="0"/>
          <c:cat>
            <c:strRef>
              <c:f>Sheet3!$A$17:$A$19</c:f>
              <c:strCache>
                <c:ptCount val="3"/>
                <c:pt idx="0">
                  <c:v>Jan</c:v>
                </c:pt>
                <c:pt idx="1">
                  <c:v>Mar</c:v>
                </c:pt>
                <c:pt idx="2">
                  <c:v>Jul</c:v>
                </c:pt>
              </c:strCache>
            </c:strRef>
          </c:cat>
          <c:val>
            <c:numRef>
              <c:f>Sheet3!$V$2:$V$4</c:f>
              <c:numCache>
                <c:formatCode>General</c:formatCode>
                <c:ptCount val="3"/>
                <c:pt idx="0">
                  <c:v>0</c:v>
                </c:pt>
                <c:pt idx="1">
                  <c:v>8.3333333333333329E-2</c:v>
                </c:pt>
                <c:pt idx="2">
                  <c:v>1.4375</c:v>
                </c:pt>
              </c:numCache>
            </c:numRef>
          </c:val>
        </c:ser>
        <c:ser>
          <c:idx val="5"/>
          <c:order val="5"/>
          <c:tx>
            <c:strRef>
              <c:f>Sheet3!$W$1</c:f>
              <c:strCache>
                <c:ptCount val="1"/>
                <c:pt idx="0">
                  <c:v>Bare</c:v>
                </c:pt>
              </c:strCache>
            </c:strRef>
          </c:tx>
          <c:spPr>
            <a:noFill/>
            <a:ln>
              <a:solidFill>
                <a:sysClr val="windowText" lastClr="000000"/>
              </a:solidFill>
            </a:ln>
          </c:spPr>
          <c:invertIfNegative val="0"/>
          <c:errBars>
            <c:errBarType val="both"/>
            <c:errValType val="cust"/>
            <c:noEndCap val="0"/>
            <c:plus>
              <c:numRef>
                <c:f>Sheet3!$W$17:$W$19</c:f>
                <c:numCache>
                  <c:formatCode>General</c:formatCode>
                  <c:ptCount val="3"/>
                  <c:pt idx="0">
                    <c:v>1.7316313061126023</c:v>
                  </c:pt>
                  <c:pt idx="1">
                    <c:v>1.3460224533219494</c:v>
                  </c:pt>
                  <c:pt idx="2">
                    <c:v>1.7275958989280915</c:v>
                  </c:pt>
                </c:numCache>
              </c:numRef>
            </c:plus>
            <c:minus>
              <c:numRef>
                <c:f>Sheet3!$W$17:$W$19</c:f>
                <c:numCache>
                  <c:formatCode>General</c:formatCode>
                  <c:ptCount val="3"/>
                  <c:pt idx="0">
                    <c:v>1.7316313061126023</c:v>
                  </c:pt>
                  <c:pt idx="1">
                    <c:v>1.3460224533219494</c:v>
                  </c:pt>
                  <c:pt idx="2">
                    <c:v>1.7275958989280915</c:v>
                  </c:pt>
                </c:numCache>
              </c:numRef>
            </c:minus>
          </c:errBars>
          <c:cat>
            <c:strRef>
              <c:f>Sheet3!$A$17:$A$19</c:f>
              <c:strCache>
                <c:ptCount val="3"/>
                <c:pt idx="0">
                  <c:v>Jan</c:v>
                </c:pt>
                <c:pt idx="1">
                  <c:v>Mar</c:v>
                </c:pt>
                <c:pt idx="2">
                  <c:v>Jul</c:v>
                </c:pt>
              </c:strCache>
            </c:strRef>
          </c:cat>
          <c:val>
            <c:numRef>
              <c:f>Sheet3!$W$2:$W$4</c:f>
              <c:numCache>
                <c:formatCode>General</c:formatCode>
                <c:ptCount val="3"/>
                <c:pt idx="0">
                  <c:v>7.3191489361702127</c:v>
                </c:pt>
                <c:pt idx="1">
                  <c:v>16.620833333333334</c:v>
                </c:pt>
                <c:pt idx="2">
                  <c:v>18.937234042553193</c:v>
                </c:pt>
              </c:numCache>
            </c:numRef>
          </c:val>
        </c:ser>
        <c:dLbls>
          <c:showLegendKey val="0"/>
          <c:showVal val="0"/>
          <c:showCatName val="0"/>
          <c:showSerName val="0"/>
          <c:showPercent val="0"/>
          <c:showBubbleSize val="0"/>
        </c:dLbls>
        <c:gapWidth val="150"/>
        <c:overlap val="100"/>
        <c:axId val="740174432"/>
        <c:axId val="1173417968"/>
      </c:barChart>
      <c:catAx>
        <c:axId val="740174432"/>
        <c:scaling>
          <c:orientation val="minMax"/>
        </c:scaling>
        <c:delete val="0"/>
        <c:axPos val="b"/>
        <c:title>
          <c:tx>
            <c:rich>
              <a:bodyPr/>
              <a:lstStyle/>
              <a:p>
                <a:pPr>
                  <a:defRPr/>
                </a:pPr>
                <a:r>
                  <a:rPr lang="en-GB"/>
                  <a:t>Sampling Month</a:t>
                </a:r>
              </a:p>
            </c:rich>
          </c:tx>
          <c:layout>
            <c:manualLayout>
              <c:xMode val="edge"/>
              <c:yMode val="edge"/>
              <c:x val="0.41826823517208556"/>
              <c:y val="0.72182618427736855"/>
            </c:manualLayout>
          </c:layout>
          <c:overlay val="0"/>
        </c:title>
        <c:numFmt formatCode="General" sourceLinked="0"/>
        <c:majorTickMark val="in"/>
        <c:minorTickMark val="none"/>
        <c:tickLblPos val="nextTo"/>
        <c:spPr>
          <a:ln>
            <a:solidFill>
              <a:schemeClr val="tx1"/>
            </a:solidFill>
          </a:ln>
        </c:spPr>
        <c:crossAx val="1173417968"/>
        <c:crosses val="autoZero"/>
        <c:auto val="1"/>
        <c:lblAlgn val="ctr"/>
        <c:lblOffset val="100"/>
        <c:noMultiLvlLbl val="0"/>
      </c:catAx>
      <c:valAx>
        <c:axId val="1173417968"/>
        <c:scaling>
          <c:orientation val="minMax"/>
          <c:max val="105"/>
          <c:min val="0"/>
        </c:scaling>
        <c:delete val="0"/>
        <c:axPos val="l"/>
        <c:title>
          <c:tx>
            <c:rich>
              <a:bodyPr/>
              <a:lstStyle/>
              <a:p>
                <a:pPr>
                  <a:defRPr/>
                </a:pPr>
                <a:r>
                  <a:rPr lang="en-GB"/>
                  <a:t>Plant Cover (%)</a:t>
                </a:r>
              </a:p>
            </c:rich>
          </c:tx>
          <c:layout>
            <c:manualLayout>
              <c:xMode val="edge"/>
              <c:yMode val="edge"/>
              <c:x val="4.7047753469771818E-3"/>
              <c:y val="0.12834804419608839"/>
            </c:manualLayout>
          </c:layout>
          <c:overlay val="0"/>
        </c:title>
        <c:numFmt formatCode="General" sourceLinked="1"/>
        <c:majorTickMark val="in"/>
        <c:minorTickMark val="none"/>
        <c:tickLblPos val="nextTo"/>
        <c:spPr>
          <a:ln>
            <a:solidFill>
              <a:schemeClr val="tx1"/>
            </a:solidFill>
          </a:ln>
        </c:spPr>
        <c:crossAx val="740174432"/>
        <c:crosses val="autoZero"/>
        <c:crossBetween val="between"/>
        <c:majorUnit val="20"/>
      </c:valAx>
    </c:plotArea>
    <c:legend>
      <c:legendPos val="b"/>
      <c:layout>
        <c:manualLayout>
          <c:xMode val="edge"/>
          <c:yMode val="edge"/>
          <c:x val="0"/>
          <c:y val="0.82527305054610112"/>
          <c:w val="1"/>
          <c:h val="0.17472694945389891"/>
        </c:manualLayout>
      </c:layout>
      <c:overlay val="0"/>
    </c:legend>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75966192299357"/>
          <c:y val="5.5960280670561344E-2"/>
          <c:w val="0.78301168599514337"/>
          <c:h val="0.65502960693421386"/>
        </c:manualLayout>
      </c:layout>
      <c:lineChart>
        <c:grouping val="standard"/>
        <c:varyColors val="0"/>
        <c:ser>
          <c:idx val="0"/>
          <c:order val="0"/>
          <c:tx>
            <c:strRef>
              <c:f>'% (2)'!$BP$11</c:f>
              <c:strCache>
                <c:ptCount val="1"/>
                <c:pt idx="0">
                  <c:v>Tri</c:v>
                </c:pt>
              </c:strCache>
            </c:strRef>
          </c:tx>
          <c:spPr>
            <a:ln w="19050">
              <a:solidFill>
                <a:schemeClr val="tx1"/>
              </a:solidFill>
            </a:ln>
          </c:spPr>
          <c:marker>
            <c:symbol val="none"/>
          </c:marker>
          <c:dLbls>
            <c:dLbl>
              <c:idx val="0"/>
              <c:layout/>
              <c:tx>
                <c:rich>
                  <a:bodyPr/>
                  <a:lstStyle/>
                  <a:p>
                    <a:r>
                      <a:rPr lang="en-US"/>
                      <a:t>a</a:t>
                    </a:r>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Dir val="y"/>
            <c:errBarType val="both"/>
            <c:errValType val="cust"/>
            <c:noEndCap val="0"/>
            <c:plus>
              <c:numRef>
                <c:f>'% (2)'!$BY$12:$CA$12</c:f>
                <c:numCache>
                  <c:formatCode>General</c:formatCode>
                  <c:ptCount val="3"/>
                  <c:pt idx="0">
                    <c:v>3.976245038662471</c:v>
                  </c:pt>
                  <c:pt idx="1">
                    <c:v>2.4354323572844758</c:v>
                  </c:pt>
                  <c:pt idx="2">
                    <c:v>3.2990520804712156</c:v>
                  </c:pt>
                </c:numCache>
              </c:numRef>
            </c:plus>
            <c:minus>
              <c:numRef>
                <c:f>'% (2)'!$BY$12:$CA$12</c:f>
                <c:numCache>
                  <c:formatCode>General</c:formatCode>
                  <c:ptCount val="3"/>
                  <c:pt idx="0">
                    <c:v>3.976245038662471</c:v>
                  </c:pt>
                  <c:pt idx="1">
                    <c:v>2.4354323572844758</c:v>
                  </c:pt>
                  <c:pt idx="2">
                    <c:v>3.2990520804712156</c:v>
                  </c:pt>
                </c:numCache>
              </c:numRef>
            </c:minus>
          </c:errBars>
          <c:cat>
            <c:strRef>
              <c:f>'% (2)'!$BQ$1:$BS$1</c:f>
              <c:strCache>
                <c:ptCount val="3"/>
                <c:pt idx="0">
                  <c:v>Jan</c:v>
                </c:pt>
                <c:pt idx="1">
                  <c:v>Mar</c:v>
                </c:pt>
                <c:pt idx="2">
                  <c:v>Jul</c:v>
                </c:pt>
              </c:strCache>
            </c:strRef>
          </c:cat>
          <c:val>
            <c:numRef>
              <c:f>'% (2)'!$BQ$11:$BS$11</c:f>
              <c:numCache>
                <c:formatCode>General</c:formatCode>
                <c:ptCount val="3"/>
                <c:pt idx="0">
                  <c:v>60.895833333333336</c:v>
                </c:pt>
                <c:pt idx="1">
                  <c:v>17.704166666666666</c:v>
                </c:pt>
                <c:pt idx="2">
                  <c:v>12.114583333333334</c:v>
                </c:pt>
              </c:numCache>
            </c:numRef>
          </c:val>
          <c:smooth val="0"/>
        </c:ser>
        <c:ser>
          <c:idx val="1"/>
          <c:order val="1"/>
          <c:tx>
            <c:strRef>
              <c:f>'% (2)'!$BP$12</c:f>
              <c:strCache>
                <c:ptCount val="1"/>
                <c:pt idx="0">
                  <c:v>No Tri</c:v>
                </c:pt>
              </c:strCache>
            </c:strRef>
          </c:tx>
          <c:spPr>
            <a:ln>
              <a:solidFill>
                <a:schemeClr val="tx1"/>
              </a:solidFill>
              <a:prstDash val="sysDot"/>
            </a:ln>
          </c:spPr>
          <c:marker>
            <c:symbol val="none"/>
          </c:marker>
          <c:dLbls>
            <c:dLbl>
              <c:idx val="0"/>
              <c:delete val="1"/>
              <c:extLst>
                <c:ext xmlns:c15="http://schemas.microsoft.com/office/drawing/2012/chart" uri="{CE6537A1-D6FC-4f65-9D91-7224C49458BB}"/>
              </c:extLst>
            </c:dLbl>
            <c:dLbl>
              <c:idx val="1"/>
              <c:layout/>
              <c:tx>
                <c:rich>
                  <a:bodyPr/>
                  <a:lstStyle/>
                  <a:p>
                    <a:r>
                      <a:rPr lang="en-US"/>
                      <a:t>b</a:t>
                    </a:r>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c</a:t>
                    </a:r>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Dir val="y"/>
            <c:errBarType val="both"/>
            <c:errValType val="cust"/>
            <c:noEndCap val="0"/>
            <c:plus>
              <c:numRef>
                <c:f>'% (2)'!$BY$11:$CA$11</c:f>
                <c:numCache>
                  <c:formatCode>General</c:formatCode>
                  <c:ptCount val="3"/>
                  <c:pt idx="0">
                    <c:v>2.507347746809351</c:v>
                  </c:pt>
                  <c:pt idx="1">
                    <c:v>1.59129742852763</c:v>
                  </c:pt>
                  <c:pt idx="2">
                    <c:v>1.9550137123918332</c:v>
                  </c:pt>
                </c:numCache>
              </c:numRef>
            </c:plus>
            <c:minus>
              <c:numRef>
                <c:f>'% (2)'!$BY$11:$CA$11</c:f>
                <c:numCache>
                  <c:formatCode>General</c:formatCode>
                  <c:ptCount val="3"/>
                  <c:pt idx="0">
                    <c:v>2.507347746809351</c:v>
                  </c:pt>
                  <c:pt idx="1">
                    <c:v>1.59129742852763</c:v>
                  </c:pt>
                  <c:pt idx="2">
                    <c:v>1.9550137123918332</c:v>
                  </c:pt>
                </c:numCache>
              </c:numRef>
            </c:minus>
          </c:errBars>
          <c:cat>
            <c:strRef>
              <c:f>'% (2)'!$BQ$1:$BS$1</c:f>
              <c:strCache>
                <c:ptCount val="3"/>
                <c:pt idx="0">
                  <c:v>Jan</c:v>
                </c:pt>
                <c:pt idx="1">
                  <c:v>Mar</c:v>
                </c:pt>
                <c:pt idx="2">
                  <c:v>Jul</c:v>
                </c:pt>
              </c:strCache>
            </c:strRef>
          </c:cat>
          <c:val>
            <c:numRef>
              <c:f>'% (2)'!$BQ$12:$BS$12</c:f>
              <c:numCache>
                <c:formatCode>General</c:formatCode>
                <c:ptCount val="3"/>
                <c:pt idx="0">
                  <c:v>55.195833333333333</c:v>
                </c:pt>
                <c:pt idx="1">
                  <c:v>21.495833333333334</c:v>
                </c:pt>
                <c:pt idx="2">
                  <c:v>17.960869565217394</c:v>
                </c:pt>
              </c:numCache>
            </c:numRef>
          </c:val>
          <c:smooth val="0"/>
        </c:ser>
        <c:dLbls>
          <c:showLegendKey val="0"/>
          <c:showVal val="0"/>
          <c:showCatName val="0"/>
          <c:showSerName val="0"/>
          <c:showPercent val="0"/>
          <c:showBubbleSize val="0"/>
        </c:dLbls>
        <c:smooth val="0"/>
        <c:axId val="1173414704"/>
        <c:axId val="1173418512"/>
      </c:lineChart>
      <c:catAx>
        <c:axId val="1173414704"/>
        <c:scaling>
          <c:orientation val="minMax"/>
        </c:scaling>
        <c:delete val="0"/>
        <c:axPos val="b"/>
        <c:title>
          <c:tx>
            <c:rich>
              <a:bodyPr/>
              <a:lstStyle/>
              <a:p>
                <a:pPr>
                  <a:defRPr/>
                </a:pPr>
                <a:r>
                  <a:rPr lang="en-GB"/>
                  <a:t>Sample month</a:t>
                </a:r>
              </a:p>
            </c:rich>
          </c:tx>
          <c:layout>
            <c:manualLayout>
              <c:xMode val="edge"/>
              <c:yMode val="edge"/>
              <c:x val="0.33259427610363101"/>
              <c:y val="0.82213733489966978"/>
            </c:manualLayout>
          </c:layout>
          <c:overlay val="0"/>
        </c:title>
        <c:numFmt formatCode="General" sourceLinked="0"/>
        <c:majorTickMark val="in"/>
        <c:minorTickMark val="none"/>
        <c:tickLblPos val="nextTo"/>
        <c:spPr>
          <a:ln>
            <a:solidFill>
              <a:schemeClr val="tx1"/>
            </a:solidFill>
          </a:ln>
        </c:spPr>
        <c:crossAx val="1173418512"/>
        <c:crosses val="autoZero"/>
        <c:auto val="1"/>
        <c:lblAlgn val="ctr"/>
        <c:lblOffset val="100"/>
        <c:noMultiLvlLbl val="0"/>
      </c:catAx>
      <c:valAx>
        <c:axId val="1173418512"/>
        <c:scaling>
          <c:orientation val="minMax"/>
        </c:scaling>
        <c:delete val="0"/>
        <c:axPos val="l"/>
        <c:title>
          <c:tx>
            <c:rich>
              <a:bodyPr rot="-5400000" vert="horz"/>
              <a:lstStyle/>
              <a:p>
                <a:pPr>
                  <a:defRPr/>
                </a:pPr>
                <a:r>
                  <a:rPr lang="en-GB"/>
                  <a:t>Bryophyte cover (%)</a:t>
                </a:r>
              </a:p>
            </c:rich>
          </c:tx>
          <c:layout>
            <c:manualLayout>
              <c:xMode val="edge"/>
              <c:yMode val="edge"/>
              <c:x val="9.4095506939543636E-3"/>
              <c:y val="0.11307427927355855"/>
            </c:manualLayout>
          </c:layout>
          <c:overlay val="0"/>
        </c:title>
        <c:numFmt formatCode="General" sourceLinked="1"/>
        <c:majorTickMark val="in"/>
        <c:minorTickMark val="none"/>
        <c:tickLblPos val="nextTo"/>
        <c:spPr>
          <a:ln>
            <a:solidFill>
              <a:schemeClr val="tx1"/>
            </a:solidFill>
          </a:ln>
        </c:spPr>
        <c:crossAx val="1173414704"/>
        <c:crosses val="autoZero"/>
        <c:crossBetween val="between"/>
        <c:majorUnit val="20"/>
      </c:valAx>
    </c:plotArea>
    <c:legend>
      <c:legendPos val="b"/>
      <c:layout>
        <c:manualLayout>
          <c:xMode val="edge"/>
          <c:yMode val="edge"/>
          <c:x val="0"/>
          <c:y val="0.92397725107950213"/>
          <c:w val="0.99722566436429039"/>
          <c:h val="7.6022748920497846E-2"/>
        </c:manualLayout>
      </c:layout>
      <c:overlay val="0"/>
    </c:legend>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30076517933054"/>
          <c:y val="3.1186853047863398E-2"/>
          <c:w val="0.81756331107471325"/>
          <c:h val="0.60973525898443404"/>
        </c:manualLayout>
      </c:layout>
      <c:lineChart>
        <c:grouping val="standard"/>
        <c:varyColors val="0"/>
        <c:ser>
          <c:idx val="0"/>
          <c:order val="0"/>
          <c:tx>
            <c:v>Bac</c:v>
          </c:tx>
          <c:spPr>
            <a:ln w="9525">
              <a:solidFill>
                <a:srgbClr val="C00000"/>
              </a:solidFill>
            </a:ln>
          </c:spPr>
          <c:marker>
            <c:symbol val="circle"/>
            <c:size val="5"/>
            <c:spPr>
              <a:solidFill>
                <a:srgbClr val="C00000"/>
              </a:solidFill>
              <a:ln w="9525">
                <a:solidFill>
                  <a:srgbClr val="C0504D">
                    <a:lumMod val="75000"/>
                  </a:srgbClr>
                </a:solidFill>
              </a:ln>
            </c:spPr>
          </c:marker>
          <c:errBars>
            <c:errDir val="y"/>
            <c:errBarType val="both"/>
            <c:errValType val="cust"/>
            <c:noEndCap val="0"/>
            <c:plus>
              <c:numRef>
                <c:f>('Graph sheet'!$E$3,'Graph sheet'!$E$17,'Graph sheet'!$E$31,'Graph sheet'!$E$45,'Graph sheet'!$E$59,'Graph sheet'!$E$73)</c:f>
                <c:numCache>
                  <c:formatCode>General</c:formatCode>
                  <c:ptCount val="6"/>
                  <c:pt idx="0">
                    <c:v>15582.253523163594</c:v>
                  </c:pt>
                  <c:pt idx="1">
                    <c:v>14184.558303449474</c:v>
                  </c:pt>
                  <c:pt idx="2">
                    <c:v>20174.024226507488</c:v>
                  </c:pt>
                  <c:pt idx="3">
                    <c:v>23070.539968617035</c:v>
                  </c:pt>
                  <c:pt idx="4">
                    <c:v>15698.985644153565</c:v>
                  </c:pt>
                  <c:pt idx="5">
                    <c:v>3961.2099048315636</c:v>
                  </c:pt>
                </c:numCache>
              </c:numRef>
            </c:plus>
            <c:minus>
              <c:numRef>
                <c:f>('Graph sheet'!$E$3,'Graph sheet'!$E$17,'Graph sheet'!$E$31,'Graph sheet'!$E$45,'Graph sheet'!$E$59,'Graph sheet'!$E$73)</c:f>
                <c:numCache>
                  <c:formatCode>General</c:formatCode>
                  <c:ptCount val="6"/>
                  <c:pt idx="0">
                    <c:v>15582.253523163594</c:v>
                  </c:pt>
                  <c:pt idx="1">
                    <c:v>14184.558303449474</c:v>
                  </c:pt>
                  <c:pt idx="2">
                    <c:v>20174.024226507488</c:v>
                  </c:pt>
                  <c:pt idx="3">
                    <c:v>23070.539968617035</c:v>
                  </c:pt>
                  <c:pt idx="4">
                    <c:v>15698.985644153565</c:v>
                  </c:pt>
                  <c:pt idx="5">
                    <c:v>3961.2099048315636</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sheet'!$C$3,'Graph sheet'!$C$17,'Graph sheet'!$C$31,'Graph sheet'!$C$45,'Graph sheet'!$C$59,'Graph sheet'!$C$73)</c:f>
              <c:numCache>
                <c:formatCode>General</c:formatCode>
                <c:ptCount val="6"/>
                <c:pt idx="0">
                  <c:v>73720.569640165908</c:v>
                </c:pt>
                <c:pt idx="1">
                  <c:v>37482.670557677084</c:v>
                </c:pt>
                <c:pt idx="2">
                  <c:v>75503.105002795142</c:v>
                </c:pt>
                <c:pt idx="3">
                  <c:v>71598.503732273981</c:v>
                </c:pt>
                <c:pt idx="4">
                  <c:v>32807.13893600936</c:v>
                </c:pt>
                <c:pt idx="5">
                  <c:v>9337.0899947245271</c:v>
                </c:pt>
              </c:numCache>
            </c:numRef>
          </c:val>
          <c:smooth val="0"/>
        </c:ser>
        <c:ser>
          <c:idx val="1"/>
          <c:order val="1"/>
          <c:tx>
            <c:v>Fun</c:v>
          </c:tx>
          <c:spPr>
            <a:ln w="9525">
              <a:solidFill>
                <a:srgbClr val="F79646">
                  <a:lumMod val="75000"/>
                </a:srgbClr>
              </a:solidFill>
            </a:ln>
          </c:spPr>
          <c:marker>
            <c:symbol val="square"/>
            <c:size val="5"/>
            <c:spPr>
              <a:solidFill>
                <a:srgbClr val="F79646">
                  <a:lumMod val="75000"/>
                </a:srgbClr>
              </a:solidFill>
              <a:ln w="9525">
                <a:solidFill>
                  <a:srgbClr val="F79646">
                    <a:lumMod val="75000"/>
                  </a:srgbClr>
                </a:solidFill>
              </a:ln>
            </c:spPr>
          </c:marker>
          <c:dLbls>
            <c:dLbl>
              <c:idx val="0"/>
              <c:layout/>
              <c:tx>
                <c:rich>
                  <a:bodyPr/>
                  <a:lstStyle/>
                  <a:p>
                    <a:r>
                      <a:rPr lang="en-US"/>
                      <a:t>a</a:t>
                    </a:r>
                  </a:p>
                  <a:p>
                    <a:endParaRPr lang="en-US"/>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b</a:t>
                    </a:r>
                  </a:p>
                  <a:p>
                    <a:endParaRPr lang="en-US"/>
                  </a:p>
                  <a:p>
                    <a:endParaRPr lang="en-US"/>
                  </a:p>
                  <a:p>
                    <a:endParaRPr lang="en-US"/>
                  </a:p>
                  <a:p>
                    <a:endParaRPr lang="en-US"/>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a</a:t>
                    </a:r>
                  </a:p>
                  <a:p>
                    <a:endParaRPr lang="en-US"/>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a</a:t>
                    </a:r>
                  </a:p>
                  <a:p>
                    <a:endParaRPr lang="en-US"/>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c</a:t>
                    </a:r>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d</a:t>
                    </a:r>
                  </a:p>
                  <a:p>
                    <a:endParaRPr lang="en-US"/>
                  </a:p>
                  <a:p>
                    <a:endParaRPr lang="en-US"/>
                  </a:p>
                  <a:p>
                    <a:endParaRPr lang="en-US"/>
                  </a:p>
                  <a:p>
                    <a:endParaRPr lang="en-US"/>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cust"/>
            <c:noEndCap val="0"/>
            <c:plus>
              <c:numRef>
                <c:f>('Graph sheet'!$I$3,'Graph sheet'!$I$17,'Graph sheet'!$I$31,'Graph sheet'!$I$45,'Graph sheet'!$I$59,'Graph sheet'!$I$73)</c:f>
                <c:numCache>
                  <c:formatCode>General</c:formatCode>
                  <c:ptCount val="6"/>
                  <c:pt idx="0">
                    <c:v>22748.261477186181</c:v>
                  </c:pt>
                  <c:pt idx="1">
                    <c:v>14201.567978251218</c:v>
                  </c:pt>
                  <c:pt idx="2">
                    <c:v>20272.85430965275</c:v>
                  </c:pt>
                  <c:pt idx="3">
                    <c:v>18253.211138664039</c:v>
                  </c:pt>
                  <c:pt idx="4">
                    <c:v>20561.826574153827</c:v>
                  </c:pt>
                  <c:pt idx="5">
                    <c:v>12010.758065520084</c:v>
                  </c:pt>
                </c:numCache>
              </c:numRef>
            </c:plus>
            <c:minus>
              <c:numRef>
                <c:f>('Graph sheet'!$I$3,'Graph sheet'!$I$17,'Graph sheet'!$I$31,'Graph sheet'!$I$45,'Graph sheet'!$I$59,'Graph sheet'!$I$73)</c:f>
                <c:numCache>
                  <c:formatCode>General</c:formatCode>
                  <c:ptCount val="6"/>
                  <c:pt idx="0">
                    <c:v>22748.261477186181</c:v>
                  </c:pt>
                  <c:pt idx="1">
                    <c:v>14201.567978251218</c:v>
                  </c:pt>
                  <c:pt idx="2">
                    <c:v>20272.85430965275</c:v>
                  </c:pt>
                  <c:pt idx="3">
                    <c:v>18253.211138664039</c:v>
                  </c:pt>
                  <c:pt idx="4">
                    <c:v>20561.826574153827</c:v>
                  </c:pt>
                  <c:pt idx="5">
                    <c:v>12010.758065520084</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sheet'!$G$3,'Graph sheet'!$G$17,'Graph sheet'!$G$31,'Graph sheet'!$G$45,'Graph sheet'!$G$59,'Graph sheet'!$G$73)</c:f>
              <c:numCache>
                <c:formatCode>General</c:formatCode>
                <c:ptCount val="6"/>
                <c:pt idx="0">
                  <c:v>77328.081683582219</c:v>
                </c:pt>
                <c:pt idx="1">
                  <c:v>34258.561650840253</c:v>
                </c:pt>
                <c:pt idx="2">
                  <c:v>64723.010190704103</c:v>
                </c:pt>
                <c:pt idx="3">
                  <c:v>73211.273822271862</c:v>
                </c:pt>
                <c:pt idx="4">
                  <c:v>40998.313340472239</c:v>
                </c:pt>
                <c:pt idx="5">
                  <c:v>22324.133351023182</c:v>
                </c:pt>
              </c:numCache>
            </c:numRef>
          </c:val>
          <c:smooth val="0"/>
        </c:ser>
        <c:ser>
          <c:idx val="2"/>
          <c:order val="2"/>
          <c:tx>
            <c:v>Tri</c:v>
          </c:tx>
          <c:spPr>
            <a:ln w="9525">
              <a:solidFill>
                <a:srgbClr val="9BBB59">
                  <a:lumMod val="75000"/>
                </a:srgbClr>
              </a:solidFill>
            </a:ln>
          </c:spPr>
          <c:marker>
            <c:symbol val="triangle"/>
            <c:size val="5"/>
            <c:spPr>
              <a:solidFill>
                <a:srgbClr val="9BBB59">
                  <a:lumMod val="75000"/>
                </a:srgbClr>
              </a:solidFill>
              <a:ln w="9525">
                <a:solidFill>
                  <a:srgbClr val="9BBB59">
                    <a:lumMod val="75000"/>
                  </a:srgbClr>
                </a:solidFill>
              </a:ln>
            </c:spPr>
          </c:marker>
          <c:errBars>
            <c:errDir val="y"/>
            <c:errBarType val="both"/>
            <c:errValType val="cust"/>
            <c:noEndCap val="0"/>
            <c:plus>
              <c:numRef>
                <c:f>('Graph sheet'!$M$3,'Graph sheet'!$M$17,'Graph sheet'!$M$31,'Graph sheet'!$M$45,'Graph sheet'!$M$59,'Graph sheet'!$M$73)</c:f>
                <c:numCache>
                  <c:formatCode>General</c:formatCode>
                  <c:ptCount val="6"/>
                  <c:pt idx="0">
                    <c:v>15341.054224911633</c:v>
                  </c:pt>
                  <c:pt idx="1">
                    <c:v>23985.356556361701</c:v>
                  </c:pt>
                  <c:pt idx="2">
                    <c:v>13693.282044291944</c:v>
                  </c:pt>
                  <c:pt idx="3">
                    <c:v>12075.371741242685</c:v>
                  </c:pt>
                  <c:pt idx="4">
                    <c:v>7922.6244337605285</c:v>
                  </c:pt>
                  <c:pt idx="5">
                    <c:v>9699.1552121277891</c:v>
                  </c:pt>
                </c:numCache>
              </c:numRef>
            </c:plus>
            <c:minus>
              <c:numRef>
                <c:f>('Graph sheet'!$M$3,'Graph sheet'!$M$17,'Graph sheet'!$M$31,'Graph sheet'!$M$45,'Graph sheet'!$M$59,'Graph sheet'!$M$73)</c:f>
                <c:numCache>
                  <c:formatCode>General</c:formatCode>
                  <c:ptCount val="6"/>
                  <c:pt idx="0">
                    <c:v>15341.054224911633</c:v>
                  </c:pt>
                  <c:pt idx="1">
                    <c:v>23985.356556361701</c:v>
                  </c:pt>
                  <c:pt idx="2">
                    <c:v>13693.282044291944</c:v>
                  </c:pt>
                  <c:pt idx="3">
                    <c:v>12075.371741242685</c:v>
                  </c:pt>
                  <c:pt idx="4">
                    <c:v>7922.6244337605285</c:v>
                  </c:pt>
                  <c:pt idx="5">
                    <c:v>9699.1552121277891</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sheet'!$K$3,'Graph sheet'!$K$17,'Graph sheet'!$K$31,'Graph sheet'!$K$45,'Graph sheet'!$K$59,'Graph sheet'!$K$73)</c:f>
              <c:numCache>
                <c:formatCode>General</c:formatCode>
                <c:ptCount val="6"/>
                <c:pt idx="0">
                  <c:v>76351.93136595191</c:v>
                </c:pt>
                <c:pt idx="1">
                  <c:v>74558.369353414178</c:v>
                </c:pt>
                <c:pt idx="2">
                  <c:v>64086.390418336523</c:v>
                </c:pt>
                <c:pt idx="3">
                  <c:v>85901.227951465655</c:v>
                </c:pt>
                <c:pt idx="4">
                  <c:v>24743.288486019996</c:v>
                </c:pt>
                <c:pt idx="5">
                  <c:v>19353.241079974472</c:v>
                </c:pt>
              </c:numCache>
            </c:numRef>
          </c:val>
          <c:smooth val="0"/>
        </c:ser>
        <c:ser>
          <c:idx val="3"/>
          <c:order val="3"/>
          <c:tx>
            <c:v>Bac&amp;Fun</c:v>
          </c:tx>
          <c:spPr>
            <a:ln w="9525">
              <a:solidFill>
                <a:srgbClr val="4BACC6">
                  <a:lumMod val="75000"/>
                </a:srgbClr>
              </a:solidFill>
              <a:prstDash val="dash"/>
            </a:ln>
          </c:spPr>
          <c:marker>
            <c:symbol val="circle"/>
            <c:size val="5"/>
            <c:spPr>
              <a:noFill/>
              <a:ln w="9525">
                <a:solidFill>
                  <a:srgbClr val="4BACC6">
                    <a:lumMod val="75000"/>
                  </a:srgbClr>
                </a:solidFill>
                <a:prstDash val="solid"/>
              </a:ln>
            </c:spPr>
          </c:marker>
          <c:errBars>
            <c:errDir val="y"/>
            <c:errBarType val="both"/>
            <c:errValType val="cust"/>
            <c:noEndCap val="0"/>
            <c:plus>
              <c:numRef>
                <c:f>('Graph sheet'!$Q$3,'Graph sheet'!$Q$17,'Graph sheet'!$Q$31,'Graph sheet'!$Q$45,'Graph sheet'!$Q$59,'Graph sheet'!$Q$73)</c:f>
                <c:numCache>
                  <c:formatCode>General</c:formatCode>
                  <c:ptCount val="6"/>
                  <c:pt idx="0">
                    <c:v>11893.387162030143</c:v>
                  </c:pt>
                  <c:pt idx="1">
                    <c:v>18668.278089106218</c:v>
                  </c:pt>
                  <c:pt idx="2">
                    <c:v>11877.929113553435</c:v>
                  </c:pt>
                  <c:pt idx="3">
                    <c:v>16189.24623538392</c:v>
                  </c:pt>
                  <c:pt idx="4">
                    <c:v>7920.9872929709281</c:v>
                  </c:pt>
                  <c:pt idx="5">
                    <c:v>1984.5117436593582</c:v>
                  </c:pt>
                </c:numCache>
              </c:numRef>
            </c:plus>
            <c:minus>
              <c:numRef>
                <c:f>('Graph sheet'!$Q$3,'Graph sheet'!$Q$17,'Graph sheet'!$Q$31,'Graph sheet'!$Q$45,'Graph sheet'!$Q$59,'Graph sheet'!$Q$73)</c:f>
                <c:numCache>
                  <c:formatCode>General</c:formatCode>
                  <c:ptCount val="6"/>
                  <c:pt idx="0">
                    <c:v>11893.387162030143</c:v>
                  </c:pt>
                  <c:pt idx="1">
                    <c:v>18668.278089106218</c:v>
                  </c:pt>
                  <c:pt idx="2">
                    <c:v>11877.929113553435</c:v>
                  </c:pt>
                  <c:pt idx="3">
                    <c:v>16189.24623538392</c:v>
                  </c:pt>
                  <c:pt idx="4">
                    <c:v>7920.9872929709281</c:v>
                  </c:pt>
                  <c:pt idx="5">
                    <c:v>1984.5117436593582</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sheet'!$O$3,'Graph sheet'!$O$17,'Graph sheet'!$O$31,'Graph sheet'!$O$45,'Graph sheet'!$O$59,'Graph sheet'!$O$73)</c:f>
              <c:numCache>
                <c:formatCode>General</c:formatCode>
                <c:ptCount val="6"/>
                <c:pt idx="0">
                  <c:v>51014.464425722195</c:v>
                </c:pt>
                <c:pt idx="1">
                  <c:v>52377.675578004681</c:v>
                </c:pt>
                <c:pt idx="2">
                  <c:v>68670.052779383128</c:v>
                </c:pt>
                <c:pt idx="3">
                  <c:v>49019.722472303758</c:v>
                </c:pt>
                <c:pt idx="4">
                  <c:v>27289.767575490318</c:v>
                </c:pt>
                <c:pt idx="5">
                  <c:v>6875.4935415698783</c:v>
                </c:pt>
              </c:numCache>
            </c:numRef>
          </c:val>
          <c:smooth val="0"/>
        </c:ser>
        <c:ser>
          <c:idx val="4"/>
          <c:order val="4"/>
          <c:tx>
            <c:v>Bac&amp;Tri</c:v>
          </c:tx>
          <c:spPr>
            <a:ln w="9525">
              <a:solidFill>
                <a:srgbClr val="8064A2">
                  <a:lumMod val="75000"/>
                </a:srgbClr>
              </a:solidFill>
              <a:prstDash val="dash"/>
            </a:ln>
          </c:spPr>
          <c:marker>
            <c:symbol val="square"/>
            <c:size val="5"/>
            <c:spPr>
              <a:noFill/>
              <a:ln w="9525">
                <a:solidFill>
                  <a:srgbClr val="8064A2">
                    <a:lumMod val="75000"/>
                  </a:srgbClr>
                </a:solidFill>
                <a:prstDash val="solid"/>
              </a:ln>
            </c:spPr>
          </c:marker>
          <c:errBars>
            <c:errDir val="y"/>
            <c:errBarType val="both"/>
            <c:errValType val="cust"/>
            <c:noEndCap val="0"/>
            <c:plus>
              <c:numRef>
                <c:f>('Graph sheet'!$U$3,'Graph sheet'!$U$17,'Graph sheet'!$U$31,'Graph sheet'!$U$45,'Graph sheet'!$U$59,'Graph sheet'!$U$73)</c:f>
                <c:numCache>
                  <c:formatCode>General</c:formatCode>
                  <c:ptCount val="6"/>
                  <c:pt idx="0">
                    <c:v>36025.179869514846</c:v>
                  </c:pt>
                  <c:pt idx="1">
                    <c:v>15011.236865418283</c:v>
                  </c:pt>
                  <c:pt idx="2">
                    <c:v>22560.880201980723</c:v>
                  </c:pt>
                  <c:pt idx="3">
                    <c:v>17398.963188043053</c:v>
                  </c:pt>
                  <c:pt idx="4">
                    <c:v>7387.8376755872378</c:v>
                  </c:pt>
                  <c:pt idx="5">
                    <c:v>1126.2553688785329</c:v>
                  </c:pt>
                </c:numCache>
              </c:numRef>
            </c:plus>
            <c:minus>
              <c:numRef>
                <c:f>('Graph sheet'!$U$3,'Graph sheet'!$U$17,'Graph sheet'!$U$31,'Graph sheet'!$U$45,'Graph sheet'!$U$59,'Graph sheet'!$U$73)</c:f>
                <c:numCache>
                  <c:formatCode>General</c:formatCode>
                  <c:ptCount val="6"/>
                  <c:pt idx="0">
                    <c:v>36025.179869514846</c:v>
                  </c:pt>
                  <c:pt idx="1">
                    <c:v>15011.236865418283</c:v>
                  </c:pt>
                  <c:pt idx="2">
                    <c:v>22560.880201980723</c:v>
                  </c:pt>
                  <c:pt idx="3">
                    <c:v>17398.963188043053</c:v>
                  </c:pt>
                  <c:pt idx="4">
                    <c:v>7387.8376755872378</c:v>
                  </c:pt>
                  <c:pt idx="5">
                    <c:v>1126.2553688785329</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sheet'!$S$3,'Graph sheet'!$S$17,'Graph sheet'!$S$31,'Graph sheet'!$S$45,'Graph sheet'!$S$59,'Graph sheet'!$S$73)</c:f>
              <c:numCache>
                <c:formatCode>General</c:formatCode>
                <c:ptCount val="6"/>
                <c:pt idx="0">
                  <c:v>85434.373451729422</c:v>
                </c:pt>
                <c:pt idx="1">
                  <c:v>50033.988155201019</c:v>
                </c:pt>
                <c:pt idx="2">
                  <c:v>57168.455558608803</c:v>
                </c:pt>
                <c:pt idx="3">
                  <c:v>68882.259370172309</c:v>
                </c:pt>
                <c:pt idx="4">
                  <c:v>19395.68239813231</c:v>
                </c:pt>
                <c:pt idx="5">
                  <c:v>3098.2162255222288</c:v>
                </c:pt>
              </c:numCache>
            </c:numRef>
          </c:val>
          <c:smooth val="0"/>
        </c:ser>
        <c:ser>
          <c:idx val="6"/>
          <c:order val="5"/>
          <c:tx>
            <c:v>Fun&amp;Tri</c:v>
          </c:tx>
          <c:spPr>
            <a:ln w="12700">
              <a:solidFill>
                <a:srgbClr val="EEECE1">
                  <a:lumMod val="50000"/>
                </a:srgbClr>
              </a:solidFill>
              <a:prstDash val="dash"/>
            </a:ln>
          </c:spPr>
          <c:marker>
            <c:symbol val="triangle"/>
            <c:size val="7"/>
            <c:spPr>
              <a:noFill/>
              <a:ln>
                <a:solidFill>
                  <a:srgbClr val="EEECE1">
                    <a:lumMod val="50000"/>
                  </a:srgbClr>
                </a:solidFill>
              </a:ln>
            </c:spPr>
          </c:marker>
          <c:errBars>
            <c:errDir val="y"/>
            <c:errBarType val="both"/>
            <c:errValType val="cust"/>
            <c:noEndCap val="0"/>
            <c:plus>
              <c:numRef>
                <c:f>('Graph sheet'!$Y$3,'Graph sheet'!$Y$17,'Graph sheet'!$Y$31,'Graph sheet'!$Y$45,'Graph sheet'!$Y$59,'Graph sheet'!$Y$73)</c:f>
                <c:numCache>
                  <c:formatCode>General</c:formatCode>
                  <c:ptCount val="6"/>
                  <c:pt idx="0">
                    <c:v>24812.059958894304</c:v>
                  </c:pt>
                  <c:pt idx="1">
                    <c:v>11344.813333521277</c:v>
                  </c:pt>
                  <c:pt idx="2">
                    <c:v>20296.111073860502</c:v>
                  </c:pt>
                  <c:pt idx="3">
                    <c:v>17264.479283737077</c:v>
                  </c:pt>
                  <c:pt idx="4">
                    <c:v>16143.418865912723</c:v>
                  </c:pt>
                  <c:pt idx="5">
                    <c:v>6999.7044407679614</c:v>
                  </c:pt>
                </c:numCache>
              </c:numRef>
            </c:plus>
            <c:minus>
              <c:numRef>
                <c:f>('Graph sheet'!$Y$3,'Graph sheet'!$Y$17,'Graph sheet'!$Y$31,'Graph sheet'!$Y$45,'Graph sheet'!$Y$59,'Graph sheet'!$Y$73)</c:f>
                <c:numCache>
                  <c:formatCode>General</c:formatCode>
                  <c:ptCount val="6"/>
                  <c:pt idx="0">
                    <c:v>24812.059958894304</c:v>
                  </c:pt>
                  <c:pt idx="1">
                    <c:v>11344.813333521277</c:v>
                  </c:pt>
                  <c:pt idx="2">
                    <c:v>20296.111073860502</c:v>
                  </c:pt>
                  <c:pt idx="3">
                    <c:v>17264.479283737077</c:v>
                  </c:pt>
                  <c:pt idx="4">
                    <c:v>16143.418865912723</c:v>
                  </c:pt>
                  <c:pt idx="5">
                    <c:v>6999.7044407679614</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sheet'!$W$3,'Graph sheet'!$W$17,'Graph sheet'!$W$31,'Graph sheet'!$W$45,'Graph sheet'!$W$59,'Graph sheet'!$W$73)</c:f>
              <c:numCache>
                <c:formatCode>General</c:formatCode>
                <c:ptCount val="6"/>
                <c:pt idx="0">
                  <c:v>77540.288274371414</c:v>
                </c:pt>
                <c:pt idx="1">
                  <c:v>42827.414099246969</c:v>
                </c:pt>
                <c:pt idx="2">
                  <c:v>83694.279407258029</c:v>
                </c:pt>
                <c:pt idx="3">
                  <c:v>67439.254552805782</c:v>
                </c:pt>
                <c:pt idx="4">
                  <c:v>37433.242615213785</c:v>
                </c:pt>
                <c:pt idx="5">
                  <c:v>12817.278083667305</c:v>
                </c:pt>
              </c:numCache>
            </c:numRef>
          </c:val>
          <c:smooth val="0"/>
        </c:ser>
        <c:ser>
          <c:idx val="7"/>
          <c:order val="6"/>
          <c:tx>
            <c:v>Bac,Fun&amp;Tri</c:v>
          </c:tx>
          <c:spPr>
            <a:ln w="12700">
              <a:solidFill>
                <a:sysClr val="windowText" lastClr="000000"/>
              </a:solidFill>
              <a:prstDash val="dash"/>
            </a:ln>
          </c:spPr>
          <c:marker>
            <c:symbol val="diamond"/>
            <c:size val="7"/>
            <c:spPr>
              <a:noFill/>
              <a:ln>
                <a:solidFill>
                  <a:sysClr val="windowText" lastClr="000000"/>
                </a:solidFill>
              </a:ln>
            </c:spPr>
          </c:marker>
          <c:errBars>
            <c:errDir val="y"/>
            <c:errBarType val="both"/>
            <c:errValType val="cust"/>
            <c:noEndCap val="0"/>
            <c:plus>
              <c:numRef>
                <c:f>('Graph sheet'!$AC$3,'Graph sheet'!$AC$17,'Graph sheet'!$AC$31,'Graph sheet'!$AC$45,'Graph sheet'!$AC$59,'Graph sheet'!$AC$73)</c:f>
                <c:numCache>
                  <c:formatCode>General</c:formatCode>
                  <c:ptCount val="6"/>
                  <c:pt idx="0">
                    <c:v>21958.836149530762</c:v>
                  </c:pt>
                  <c:pt idx="1">
                    <c:v>30894.557825811655</c:v>
                  </c:pt>
                  <c:pt idx="2">
                    <c:v>13874.053273675761</c:v>
                  </c:pt>
                  <c:pt idx="3">
                    <c:v>24420.404022431674</c:v>
                  </c:pt>
                  <c:pt idx="4">
                    <c:v>16885.159884216529</c:v>
                  </c:pt>
                  <c:pt idx="5">
                    <c:v>11765.113093102353</c:v>
                  </c:pt>
                </c:numCache>
              </c:numRef>
            </c:plus>
            <c:minus>
              <c:numRef>
                <c:f>('Graph sheet'!$AC$3,'Graph sheet'!$AC$17,'Graph sheet'!$AC$31,'Graph sheet'!$AC$45,'Graph sheet'!$AC$59,'Graph sheet'!$AC$73)</c:f>
                <c:numCache>
                  <c:formatCode>General</c:formatCode>
                  <c:ptCount val="6"/>
                  <c:pt idx="0">
                    <c:v>21958.836149530762</c:v>
                  </c:pt>
                  <c:pt idx="1">
                    <c:v>30894.557825811655</c:v>
                  </c:pt>
                  <c:pt idx="2">
                    <c:v>13874.053273675761</c:v>
                  </c:pt>
                  <c:pt idx="3">
                    <c:v>24420.404022431674</c:v>
                  </c:pt>
                  <c:pt idx="4">
                    <c:v>16885.159884216529</c:v>
                  </c:pt>
                  <c:pt idx="5">
                    <c:v>11765.113093102353</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sheet'!$AA$3,'Graph sheet'!$AA$17,'Graph sheet'!$AA$31,'Graph sheet'!$AA$45,'Graph sheet'!$AA$59,'Graph sheet'!$AA$73)</c:f>
              <c:numCache>
                <c:formatCode>General</c:formatCode>
                <c:ptCount val="6"/>
                <c:pt idx="0">
                  <c:v>81869.302726470967</c:v>
                </c:pt>
                <c:pt idx="1">
                  <c:v>76052.117200604131</c:v>
                </c:pt>
                <c:pt idx="2">
                  <c:v>92394.749629614977</c:v>
                </c:pt>
                <c:pt idx="3">
                  <c:v>78728.64518279089</c:v>
                </c:pt>
                <c:pt idx="4">
                  <c:v>31830.98861837907</c:v>
                </c:pt>
                <c:pt idx="5">
                  <c:v>15873.052991031696</c:v>
                </c:pt>
              </c:numCache>
            </c:numRef>
          </c:val>
          <c:smooth val="0"/>
        </c:ser>
        <c:ser>
          <c:idx val="8"/>
          <c:order val="7"/>
          <c:tx>
            <c:v>Cont</c:v>
          </c:tx>
          <c:spPr>
            <a:ln w="19050">
              <a:solidFill>
                <a:sysClr val="windowText" lastClr="000000"/>
              </a:solidFill>
              <a:prstDash val="sysDot"/>
            </a:ln>
          </c:spPr>
          <c:marker>
            <c:symbol val="none"/>
          </c:marker>
          <c:errBars>
            <c:errDir val="y"/>
            <c:errBarType val="both"/>
            <c:errValType val="cust"/>
            <c:noEndCap val="0"/>
            <c:plus>
              <c:numRef>
                <c:f>('Graph sheet'!$AG$3,'Graph sheet'!$AG$17,'Graph sheet'!$AG$31,'Graph sheet'!$AG$45,'Graph sheet'!$AG$59,'Graph sheet'!$AG$73)</c:f>
                <c:numCache>
                  <c:formatCode>General</c:formatCode>
                  <c:ptCount val="6"/>
                  <c:pt idx="0">
                    <c:v>23178.035015669608</c:v>
                  </c:pt>
                  <c:pt idx="1">
                    <c:v>6343.8814249634761</c:v>
                  </c:pt>
                  <c:pt idx="2">
                    <c:v>7004.6435207515369</c:v>
                  </c:pt>
                  <c:pt idx="3">
                    <c:v>8647.8911445228041</c:v>
                  </c:pt>
                  <c:pt idx="4">
                    <c:v>9606.6746316431509</c:v>
                  </c:pt>
                  <c:pt idx="5">
                    <c:v>795.59078182378232</c:v>
                  </c:pt>
                </c:numCache>
              </c:numRef>
            </c:plus>
            <c:minus>
              <c:numRef>
                <c:f>('Graph sheet'!$AG$3,'Graph sheet'!$AG$17,'Graph sheet'!$AG$31,'Graph sheet'!$AG$45,'Graph sheet'!$AG$59,'Graph sheet'!$AG$73)</c:f>
                <c:numCache>
                  <c:formatCode>General</c:formatCode>
                  <c:ptCount val="6"/>
                  <c:pt idx="0">
                    <c:v>23178.035015669608</c:v>
                  </c:pt>
                  <c:pt idx="1">
                    <c:v>6343.8814249634761</c:v>
                  </c:pt>
                  <c:pt idx="2">
                    <c:v>7004.6435207515369</c:v>
                  </c:pt>
                  <c:pt idx="3">
                    <c:v>8647.8911445228041</c:v>
                  </c:pt>
                  <c:pt idx="4">
                    <c:v>9606.6746316431509</c:v>
                  </c:pt>
                  <c:pt idx="5">
                    <c:v>795.59078182378232</c:v>
                  </c:pt>
                </c:numCache>
              </c:numRef>
            </c:minus>
          </c:errBars>
          <c:cat>
            <c:strRef>
              <c:f>('Graph sheet'!$A$2,'Graph sheet'!$A$16,'Graph sheet'!$A$30,'Graph sheet'!$A$44,'Graph sheet'!$A$58,'Graph sheet'!$A$72)</c:f>
              <c:strCache>
                <c:ptCount val="6"/>
                <c:pt idx="0">
                  <c:v>Sep</c:v>
                </c:pt>
                <c:pt idx="1">
                  <c:v>Nov</c:v>
                </c:pt>
                <c:pt idx="2">
                  <c:v>Jan</c:v>
                </c:pt>
                <c:pt idx="3">
                  <c:v>Mar</c:v>
                </c:pt>
                <c:pt idx="4">
                  <c:v>May</c:v>
                </c:pt>
                <c:pt idx="5">
                  <c:v>Jul</c:v>
                </c:pt>
              </c:strCache>
            </c:strRef>
          </c:cat>
          <c:val>
            <c:numRef>
              <c:f>('Graph sheet'!$AE$3,'Graph sheet'!$AE$17,'Graph sheet'!$AE$31,'Graph sheet'!$AE$45,'Graph sheet'!$AE$59,'Graph sheet'!$AE$73)</c:f>
              <c:numCache>
                <c:formatCode>General</c:formatCode>
                <c:ptCount val="6"/>
                <c:pt idx="0">
                  <c:v>76861.227183845986</c:v>
                </c:pt>
                <c:pt idx="1">
                  <c:v>33498.954588028071</c:v>
                </c:pt>
                <c:pt idx="2">
                  <c:v>53900.474060455221</c:v>
                </c:pt>
                <c:pt idx="3">
                  <c:v>45284.88647441395</c:v>
                </c:pt>
                <c:pt idx="4">
                  <c:v>17825.353626292275</c:v>
                </c:pt>
                <c:pt idx="5">
                  <c:v>3862.1599523633267</c:v>
                </c:pt>
              </c:numCache>
            </c:numRef>
          </c:val>
          <c:smooth val="0"/>
        </c:ser>
        <c:dLbls>
          <c:showLegendKey val="0"/>
          <c:showVal val="0"/>
          <c:showCatName val="0"/>
          <c:showSerName val="0"/>
          <c:showPercent val="0"/>
          <c:showBubbleSize val="0"/>
        </c:dLbls>
        <c:marker val="1"/>
        <c:smooth val="0"/>
        <c:axId val="1173409808"/>
        <c:axId val="1173413072"/>
      </c:lineChart>
      <c:catAx>
        <c:axId val="1173409808"/>
        <c:scaling>
          <c:orientation val="minMax"/>
        </c:scaling>
        <c:delete val="0"/>
        <c:axPos val="b"/>
        <c:title>
          <c:tx>
            <c:rich>
              <a:bodyPr/>
              <a:lstStyle/>
              <a:p>
                <a:pPr>
                  <a:defRPr/>
                </a:pPr>
                <a:r>
                  <a:rPr lang="en-GB"/>
                  <a:t>Sample month</a:t>
                </a:r>
              </a:p>
            </c:rich>
          </c:tx>
          <c:layout>
            <c:manualLayout>
              <c:xMode val="edge"/>
              <c:yMode val="edge"/>
              <c:x val="0.47918341188830543"/>
              <c:y val="0.7495099960799686"/>
            </c:manualLayout>
          </c:layout>
          <c:overlay val="0"/>
        </c:title>
        <c:numFmt formatCode="General" sourceLinked="1"/>
        <c:majorTickMark val="none"/>
        <c:minorTickMark val="in"/>
        <c:tickLblPos val="nextTo"/>
        <c:spPr>
          <a:ln>
            <a:solidFill>
              <a:sysClr val="windowText" lastClr="000000"/>
            </a:solidFill>
          </a:ln>
        </c:spPr>
        <c:txPr>
          <a:bodyPr rot="0" vert="horz"/>
          <a:lstStyle/>
          <a:p>
            <a:pPr>
              <a:defRPr/>
            </a:pPr>
            <a:endParaRPr lang="en-US"/>
          </a:p>
        </c:txPr>
        <c:crossAx val="1173413072"/>
        <c:crosses val="autoZero"/>
        <c:auto val="1"/>
        <c:lblAlgn val="ctr"/>
        <c:lblOffset val="100"/>
        <c:tickLblSkip val="1"/>
        <c:noMultiLvlLbl val="0"/>
      </c:catAx>
      <c:valAx>
        <c:axId val="1173413072"/>
        <c:scaling>
          <c:orientation val="minMax"/>
        </c:scaling>
        <c:delete val="0"/>
        <c:axPos val="l"/>
        <c:title>
          <c:tx>
            <c:rich>
              <a:bodyPr rot="-5400000" vert="horz"/>
              <a:lstStyle/>
              <a:p>
                <a:pPr>
                  <a:defRPr/>
                </a:pPr>
                <a:r>
                  <a:rPr lang="en-US"/>
                  <a:t>Mean microarthropods (inds/m</a:t>
                </a:r>
                <a:r>
                  <a:rPr lang="en-US" baseline="30000"/>
                  <a:t>-2</a:t>
                </a:r>
                <a:r>
                  <a:rPr lang="en-US"/>
                  <a:t>)</a:t>
                </a:r>
              </a:p>
            </c:rich>
          </c:tx>
          <c:layout>
            <c:manualLayout>
              <c:xMode val="edge"/>
              <c:yMode val="edge"/>
              <c:x val="1.0312311817769662E-2"/>
              <c:y val="6.5986993771065788E-2"/>
            </c:manualLayout>
          </c:layout>
          <c:overlay val="0"/>
        </c:title>
        <c:numFmt formatCode="General" sourceLinked="1"/>
        <c:majorTickMark val="in"/>
        <c:minorTickMark val="none"/>
        <c:tickLblPos val="nextTo"/>
        <c:spPr>
          <a:ln>
            <a:solidFill>
              <a:sysClr val="windowText" lastClr="000000"/>
            </a:solidFill>
          </a:ln>
        </c:spPr>
        <c:crossAx val="1173409808"/>
        <c:crosses val="autoZero"/>
        <c:crossBetween val="between"/>
        <c:majorUnit val="40000"/>
      </c:valAx>
    </c:plotArea>
    <c:legend>
      <c:legendPos val="b"/>
      <c:layout>
        <c:manualLayout>
          <c:xMode val="edge"/>
          <c:yMode val="edge"/>
          <c:x val="0.16630968879929445"/>
          <c:y val="0.8249773849933586"/>
          <c:w val="0.83110538800137701"/>
          <c:h val="0.17365502760712342"/>
        </c:manualLayout>
      </c:layout>
      <c:overlay val="0"/>
    </c:legend>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0461236445797"/>
          <c:y val="3.9963845578905283E-2"/>
          <c:w val="0.75810474200329026"/>
          <c:h val="0.61562336681453955"/>
        </c:manualLayout>
      </c:layout>
      <c:barChart>
        <c:barDir val="col"/>
        <c:grouping val="clustered"/>
        <c:varyColors val="0"/>
        <c:ser>
          <c:idx val="1"/>
          <c:order val="0"/>
          <c:tx>
            <c:v/>
          </c:tx>
          <c:spPr>
            <a:solidFill>
              <a:sysClr val="window" lastClr="FFFFFF"/>
            </a:solidFill>
            <a:ln>
              <a:solidFill>
                <a:sysClr val="windowText" lastClr="000000"/>
              </a:solidFill>
            </a:ln>
          </c:spPr>
          <c:invertIfNegative val="0"/>
          <c:dPt>
            <c:idx val="2"/>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'Graphs 2'!$D$51:$D$58</c:f>
                <c:numCache>
                  <c:formatCode>General</c:formatCode>
                  <c:ptCount val="8"/>
                  <c:pt idx="0">
                    <c:v>5791.9464889716228</c:v>
                  </c:pt>
                  <c:pt idx="1">
                    <c:v>5453.4961668924043</c:v>
                  </c:pt>
                  <c:pt idx="2">
                    <c:v>8344.6524528122118</c:v>
                  </c:pt>
                  <c:pt idx="3">
                    <c:v>7649.6339708630358</c:v>
                  </c:pt>
                  <c:pt idx="4">
                    <c:v>7597.2243548748229</c:v>
                  </c:pt>
                  <c:pt idx="5">
                    <c:v>9273.907568548535</c:v>
                  </c:pt>
                  <c:pt idx="6">
                    <c:v>8932.3553272680292</c:v>
                  </c:pt>
                  <c:pt idx="7">
                    <c:v>5603.9126841461812</c:v>
                  </c:pt>
                </c:numCache>
              </c:numRef>
            </c:plus>
            <c:minus>
              <c:numRef>
                <c:f>'Graphs 2'!$D$51:$D$58</c:f>
                <c:numCache>
                  <c:formatCode>General</c:formatCode>
                  <c:ptCount val="8"/>
                  <c:pt idx="0">
                    <c:v>5791.9464889716228</c:v>
                  </c:pt>
                  <c:pt idx="1">
                    <c:v>5453.4961668924043</c:v>
                  </c:pt>
                  <c:pt idx="2">
                    <c:v>8344.6524528122118</c:v>
                  </c:pt>
                  <c:pt idx="3">
                    <c:v>7649.6339708630358</c:v>
                  </c:pt>
                  <c:pt idx="4">
                    <c:v>7597.2243548748229</c:v>
                  </c:pt>
                  <c:pt idx="5">
                    <c:v>9273.907568548535</c:v>
                  </c:pt>
                  <c:pt idx="6">
                    <c:v>8932.3553272680292</c:v>
                  </c:pt>
                  <c:pt idx="7">
                    <c:v>5603.9126841461812</c:v>
                  </c:pt>
                </c:numCache>
              </c:numRef>
            </c:minus>
          </c:errBars>
          <c:cat>
            <c:strRef>
              <c:f>'Graphs 2'!$A$51:$A$58</c:f>
              <c:strCache>
                <c:ptCount val="8"/>
                <c:pt idx="0">
                  <c:v>Bac</c:v>
                </c:pt>
                <c:pt idx="1">
                  <c:v>Myc</c:v>
                </c:pt>
                <c:pt idx="2">
                  <c:v>Tri</c:v>
                </c:pt>
                <c:pt idx="3">
                  <c:v>Bac&amp;Myc</c:v>
                </c:pt>
                <c:pt idx="4">
                  <c:v>Bac&amp;Tri</c:v>
                </c:pt>
                <c:pt idx="5">
                  <c:v>Myc&amp;Tri</c:v>
                </c:pt>
                <c:pt idx="6">
                  <c:v>Bac,Myc&amp;Tri</c:v>
                </c:pt>
                <c:pt idx="7">
                  <c:v>Cont</c:v>
                </c:pt>
              </c:strCache>
            </c:strRef>
          </c:cat>
          <c:val>
            <c:numRef>
              <c:f>'Graphs 2'!$B$51:$B$58</c:f>
              <c:numCache>
                <c:formatCode>General</c:formatCode>
                <c:ptCount val="8"/>
                <c:pt idx="0">
                  <c:v>33904.704092471104</c:v>
                </c:pt>
                <c:pt idx="1">
                  <c:v>40051.860217857909</c:v>
                </c:pt>
                <c:pt idx="2">
                  <c:v>68272.096034925198</c:v>
                </c:pt>
                <c:pt idx="3">
                  <c:v>56398.286440613352</c:v>
                </c:pt>
                <c:pt idx="4">
                  <c:v>60188.141708693183</c:v>
                </c:pt>
                <c:pt idx="5">
                  <c:v>52656.21607415656</c:v>
                </c:pt>
                <c:pt idx="6">
                  <c:v>57104.33942499823</c:v>
                </c:pt>
                <c:pt idx="7">
                  <c:v>38093.20880690917</c:v>
                </c:pt>
              </c:numCache>
            </c:numRef>
          </c:val>
        </c:ser>
        <c:dLbls>
          <c:showLegendKey val="0"/>
          <c:showVal val="0"/>
          <c:showCatName val="0"/>
          <c:showSerName val="0"/>
          <c:showPercent val="0"/>
          <c:showBubbleSize val="0"/>
        </c:dLbls>
        <c:gapWidth val="150"/>
        <c:axId val="1173408176"/>
        <c:axId val="1173419056"/>
      </c:barChart>
      <c:catAx>
        <c:axId val="1173408176"/>
        <c:scaling>
          <c:orientation val="minMax"/>
        </c:scaling>
        <c:delete val="0"/>
        <c:axPos val="b"/>
        <c:title>
          <c:tx>
            <c:rich>
              <a:bodyPr/>
              <a:lstStyle/>
              <a:p>
                <a:pPr>
                  <a:defRPr/>
                </a:pPr>
                <a:r>
                  <a:rPr lang="en-GB"/>
                  <a:t>Treatment</a:t>
                </a:r>
              </a:p>
            </c:rich>
          </c:tx>
          <c:layout>
            <c:manualLayout>
              <c:xMode val="edge"/>
              <c:yMode val="edge"/>
              <c:x val="0.50842714143287948"/>
              <c:y val="0.93218206599588505"/>
            </c:manualLayout>
          </c:layout>
          <c:overlay val="0"/>
        </c:title>
        <c:numFmt formatCode="General" sourceLinked="0"/>
        <c:majorTickMark val="in"/>
        <c:minorTickMark val="none"/>
        <c:tickLblPos val="nextTo"/>
        <c:spPr>
          <a:ln>
            <a:solidFill>
              <a:sysClr val="windowText" lastClr="000000"/>
            </a:solidFill>
          </a:ln>
        </c:spPr>
        <c:txPr>
          <a:bodyPr rot="-5400000" vert="horz"/>
          <a:lstStyle/>
          <a:p>
            <a:pPr>
              <a:defRPr/>
            </a:pPr>
            <a:endParaRPr lang="en-US"/>
          </a:p>
        </c:txPr>
        <c:crossAx val="1173419056"/>
        <c:crosses val="autoZero"/>
        <c:auto val="1"/>
        <c:lblAlgn val="ctr"/>
        <c:lblOffset val="100"/>
        <c:noMultiLvlLbl val="0"/>
      </c:catAx>
      <c:valAx>
        <c:axId val="1173419056"/>
        <c:scaling>
          <c:orientation val="minMax"/>
          <c:max val="80000"/>
        </c:scaling>
        <c:delete val="0"/>
        <c:axPos val="l"/>
        <c:title>
          <c:tx>
            <c:rich>
              <a:bodyPr rot="-5400000" vert="horz"/>
              <a:lstStyle/>
              <a:p>
                <a:pPr>
                  <a:defRPr/>
                </a:pPr>
                <a:r>
                  <a:rPr lang="en-GB"/>
                  <a:t>Mean microarthropods (inds/m</a:t>
                </a:r>
                <a:r>
                  <a:rPr lang="en-GB" baseline="30000"/>
                  <a:t>-2</a:t>
                </a:r>
                <a:r>
                  <a:rPr lang="en-GB"/>
                  <a:t>)</a:t>
                </a:r>
              </a:p>
            </c:rich>
          </c:tx>
          <c:layout>
            <c:manualLayout>
              <c:xMode val="edge"/>
              <c:yMode val="edge"/>
              <c:x val="5.5074897292091713E-3"/>
              <c:y val="1.0283273576469973E-2"/>
            </c:manualLayout>
          </c:layout>
          <c:overlay val="0"/>
        </c:title>
        <c:numFmt formatCode="General" sourceLinked="1"/>
        <c:majorTickMark val="in"/>
        <c:minorTickMark val="none"/>
        <c:tickLblPos val="nextTo"/>
        <c:spPr>
          <a:ln>
            <a:solidFill>
              <a:sysClr val="windowText" lastClr="000000"/>
            </a:solidFill>
          </a:ln>
        </c:spPr>
        <c:crossAx val="1173408176"/>
        <c:crosses val="autoZero"/>
        <c:crossBetween val="between"/>
        <c:majorUnit val="20000"/>
      </c:valAx>
    </c:plotArea>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22733511522068"/>
          <c:y val="5.650137244294845E-2"/>
          <c:w val="0.70524878814989345"/>
          <c:h val="0.63642683977479919"/>
        </c:manualLayout>
      </c:layout>
      <c:lineChart>
        <c:grouping val="standard"/>
        <c:varyColors val="0"/>
        <c:ser>
          <c:idx val="0"/>
          <c:order val="0"/>
          <c:tx>
            <c:strRef>
              <c:f>Sheet3!$K$10</c:f>
              <c:strCache>
                <c:ptCount val="1"/>
                <c:pt idx="0">
                  <c:v>Myc</c:v>
                </c:pt>
              </c:strCache>
            </c:strRef>
          </c:tx>
          <c:spPr>
            <a:ln w="19050">
              <a:solidFill>
                <a:sysClr val="windowText" lastClr="000000"/>
              </a:solidFill>
            </a:ln>
          </c:spPr>
          <c:marker>
            <c:symbol val="x"/>
            <c:size val="5"/>
            <c:spPr>
              <a:ln w="15875">
                <a:solidFill>
                  <a:schemeClr val="tx1"/>
                </a:solidFill>
              </a:ln>
            </c:spPr>
          </c:marker>
          <c:errBars>
            <c:errDir val="y"/>
            <c:errBarType val="both"/>
            <c:errValType val="cust"/>
            <c:noEndCap val="0"/>
            <c:plus>
              <c:numRef>
                <c:f>Sheet3!$P$27:$P$30</c:f>
                <c:numCache>
                  <c:formatCode>General</c:formatCode>
                  <c:ptCount val="4"/>
                  <c:pt idx="0">
                    <c:v>1425.8733417669625</c:v>
                  </c:pt>
                  <c:pt idx="1">
                    <c:v>3648.3491220003853</c:v>
                  </c:pt>
                  <c:pt idx="2">
                    <c:v>4385.4024089220657</c:v>
                  </c:pt>
                  <c:pt idx="3">
                    <c:v>4027.6180927911705</c:v>
                  </c:pt>
                </c:numCache>
              </c:numRef>
            </c:plus>
            <c:minus>
              <c:numRef>
                <c:f>Sheet3!$P$27:$P$30</c:f>
                <c:numCache>
                  <c:formatCode>General</c:formatCode>
                  <c:ptCount val="4"/>
                  <c:pt idx="0">
                    <c:v>1425.8733417669625</c:v>
                  </c:pt>
                  <c:pt idx="1">
                    <c:v>3648.3491220003853</c:v>
                  </c:pt>
                  <c:pt idx="2">
                    <c:v>4385.4024089220657</c:v>
                  </c:pt>
                  <c:pt idx="3">
                    <c:v>4027.6180927911705</c:v>
                  </c:pt>
                </c:numCache>
              </c:numRef>
            </c:minus>
          </c:errBars>
          <c:cat>
            <c:strRef>
              <c:f>Sheet3!$I$19:$I$22</c:f>
              <c:strCache>
                <c:ptCount val="4"/>
                <c:pt idx="0">
                  <c:v>Sep</c:v>
                </c:pt>
                <c:pt idx="1">
                  <c:v>Nov</c:v>
                </c:pt>
                <c:pt idx="2">
                  <c:v>Jan</c:v>
                </c:pt>
                <c:pt idx="3">
                  <c:v>Mar</c:v>
                </c:pt>
              </c:strCache>
            </c:strRef>
          </c:cat>
          <c:val>
            <c:numRef>
              <c:f>Sheet3!$K$11:$K$14</c:f>
              <c:numCache>
                <c:formatCode>General</c:formatCode>
                <c:ptCount val="4"/>
                <c:pt idx="0">
                  <c:v>2695.0237030227618</c:v>
                </c:pt>
                <c:pt idx="1">
                  <c:v>13825.259389915976</c:v>
                </c:pt>
                <c:pt idx="2">
                  <c:v>26897.185382530308</c:v>
                </c:pt>
                <c:pt idx="3">
                  <c:v>12509.578527022974</c:v>
                </c:pt>
              </c:numCache>
            </c:numRef>
          </c:val>
          <c:smooth val="0"/>
        </c:ser>
        <c:ser>
          <c:idx val="1"/>
          <c:order val="1"/>
          <c:tx>
            <c:strRef>
              <c:f>Sheet3!$P$10</c:f>
              <c:strCache>
                <c:ptCount val="1"/>
                <c:pt idx="0">
                  <c:v>No Myc</c:v>
                </c:pt>
              </c:strCache>
            </c:strRef>
          </c:tx>
          <c:spPr>
            <a:ln w="28575">
              <a:solidFill>
                <a:sysClr val="windowText" lastClr="000000"/>
              </a:solidFill>
              <a:prstDash val="sysDot"/>
            </a:ln>
          </c:spPr>
          <c:marker>
            <c:symbol val="x"/>
            <c:size val="5"/>
            <c:spPr>
              <a:ln w="15875">
                <a:solidFill>
                  <a:schemeClr val="tx1"/>
                </a:solidFill>
              </a:ln>
            </c:spPr>
          </c:marker>
          <c:errBars>
            <c:errDir val="y"/>
            <c:errBarType val="both"/>
            <c:errValType val="cust"/>
            <c:noEndCap val="0"/>
            <c:plus>
              <c:numRef>
                <c:f>Sheet3!$K$27:$K$30</c:f>
                <c:numCache>
                  <c:formatCode>General</c:formatCode>
                  <c:ptCount val="4"/>
                  <c:pt idx="0">
                    <c:v>1207.7957268531648</c:v>
                  </c:pt>
                  <c:pt idx="1">
                    <c:v>2748.0539767986852</c:v>
                  </c:pt>
                  <c:pt idx="2">
                    <c:v>3965.6838353943194</c:v>
                  </c:pt>
                  <c:pt idx="3">
                    <c:v>2213.5733837334078</c:v>
                  </c:pt>
                </c:numCache>
              </c:numRef>
            </c:plus>
            <c:minus>
              <c:numRef>
                <c:f>Sheet3!$K$27:$K$30</c:f>
                <c:numCache>
                  <c:formatCode>General</c:formatCode>
                  <c:ptCount val="4"/>
                  <c:pt idx="0">
                    <c:v>1207.7957268531648</c:v>
                  </c:pt>
                  <c:pt idx="1">
                    <c:v>2748.0539767986852</c:v>
                  </c:pt>
                  <c:pt idx="2">
                    <c:v>3965.6838353943194</c:v>
                  </c:pt>
                  <c:pt idx="3">
                    <c:v>2213.5733837334078</c:v>
                  </c:pt>
                </c:numCache>
              </c:numRef>
            </c:minus>
          </c:errBars>
          <c:cat>
            <c:strRef>
              <c:f>Sheet3!$I$19:$I$22</c:f>
              <c:strCache>
                <c:ptCount val="4"/>
                <c:pt idx="0">
                  <c:v>Sep</c:v>
                </c:pt>
                <c:pt idx="1">
                  <c:v>Nov</c:v>
                </c:pt>
                <c:pt idx="2">
                  <c:v>Jan</c:v>
                </c:pt>
                <c:pt idx="3">
                  <c:v>Mar</c:v>
                </c:pt>
              </c:strCache>
            </c:strRef>
          </c:cat>
          <c:val>
            <c:numRef>
              <c:f>Sheet3!$P$11:$P$14</c:f>
              <c:numCache>
                <c:formatCode>General</c:formatCode>
                <c:ptCount val="4"/>
                <c:pt idx="0">
                  <c:v>6213.4089783075951</c:v>
                </c:pt>
                <c:pt idx="1">
                  <c:v>16297.466172610084</c:v>
                </c:pt>
                <c:pt idx="2">
                  <c:v>25456.302631071689</c:v>
                </c:pt>
                <c:pt idx="3">
                  <c:v>20091.720015920866</c:v>
                </c:pt>
              </c:numCache>
            </c:numRef>
          </c:val>
          <c:smooth val="0"/>
        </c:ser>
        <c:dLbls>
          <c:showLegendKey val="0"/>
          <c:showVal val="0"/>
          <c:showCatName val="0"/>
          <c:showSerName val="0"/>
          <c:showPercent val="0"/>
          <c:showBubbleSize val="0"/>
        </c:dLbls>
        <c:marker val="1"/>
        <c:smooth val="0"/>
        <c:axId val="1173404912"/>
        <c:axId val="1173410896"/>
      </c:lineChart>
      <c:catAx>
        <c:axId val="1173404912"/>
        <c:scaling>
          <c:orientation val="minMax"/>
        </c:scaling>
        <c:delete val="0"/>
        <c:axPos val="b"/>
        <c:title>
          <c:tx>
            <c:rich>
              <a:bodyPr/>
              <a:lstStyle/>
              <a:p>
                <a:pPr>
                  <a:defRPr/>
                </a:pPr>
                <a:r>
                  <a:rPr lang="en-GB"/>
                  <a:t>Sample Month</a:t>
                </a:r>
              </a:p>
            </c:rich>
          </c:tx>
          <c:layout>
            <c:manualLayout>
              <c:xMode val="edge"/>
              <c:yMode val="edge"/>
              <c:x val="0.45391783684061371"/>
              <c:y val="0.80006111887223774"/>
            </c:manualLayout>
          </c:layout>
          <c:overlay val="0"/>
        </c:title>
        <c:numFmt formatCode="General" sourceLinked="0"/>
        <c:majorTickMark val="in"/>
        <c:minorTickMark val="none"/>
        <c:tickLblPos val="nextTo"/>
        <c:spPr>
          <a:ln>
            <a:solidFill>
              <a:sysClr val="windowText" lastClr="000000"/>
            </a:solidFill>
          </a:ln>
        </c:spPr>
        <c:crossAx val="1173410896"/>
        <c:crosses val="autoZero"/>
        <c:auto val="1"/>
        <c:lblAlgn val="ctr"/>
        <c:lblOffset val="100"/>
        <c:noMultiLvlLbl val="0"/>
      </c:catAx>
      <c:valAx>
        <c:axId val="1173410896"/>
        <c:scaling>
          <c:orientation val="minMax"/>
        </c:scaling>
        <c:delete val="0"/>
        <c:axPos val="l"/>
        <c:title>
          <c:tx>
            <c:rich>
              <a:bodyPr/>
              <a:lstStyle/>
              <a:p>
                <a:pPr>
                  <a:defRPr/>
                </a:pPr>
                <a:r>
                  <a:rPr lang="en-GB"/>
                  <a:t>Mean collembola (inds/m</a:t>
                </a:r>
                <a:r>
                  <a:rPr lang="en-GB" baseline="30000"/>
                  <a:t>-2</a:t>
                </a:r>
                <a:r>
                  <a:rPr lang="en-GB"/>
                  <a:t>)</a:t>
                </a:r>
              </a:p>
            </c:rich>
          </c:tx>
          <c:layout>
            <c:manualLayout>
              <c:xMode val="edge"/>
              <c:yMode val="edge"/>
              <c:x val="1.1972356666425871E-2"/>
              <c:y val="9.3080073660147325E-2"/>
            </c:manualLayout>
          </c:layout>
          <c:overlay val="0"/>
        </c:title>
        <c:numFmt formatCode="General" sourceLinked="1"/>
        <c:majorTickMark val="in"/>
        <c:minorTickMark val="none"/>
        <c:tickLblPos val="nextTo"/>
        <c:spPr>
          <a:ln>
            <a:solidFill>
              <a:sysClr val="windowText" lastClr="000000"/>
            </a:solidFill>
          </a:ln>
        </c:spPr>
        <c:crossAx val="1173404912"/>
        <c:crosses val="autoZero"/>
        <c:crossBetween val="between"/>
        <c:majorUnit val="10000"/>
      </c:valAx>
    </c:plotArea>
    <c:legend>
      <c:legendPos val="b"/>
      <c:layout>
        <c:manualLayout>
          <c:xMode val="edge"/>
          <c:yMode val="edge"/>
          <c:x val="0"/>
          <c:y val="0.90768272161544328"/>
          <c:w val="0.99846779914684269"/>
          <c:h val="9.2025004508024283E-2"/>
        </c:manualLayout>
      </c:layout>
      <c:overlay val="0"/>
    </c:legend>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327341227724095"/>
          <c:y val="5.650137244294845E-2"/>
          <c:w val="0.69320271098787312"/>
          <c:h val="0.64151589829897204"/>
        </c:manualLayout>
      </c:layout>
      <c:lineChart>
        <c:grouping val="standard"/>
        <c:varyColors val="0"/>
        <c:ser>
          <c:idx val="1"/>
          <c:order val="0"/>
          <c:tx>
            <c:strRef>
              <c:f>Sheet3!$Q$10</c:f>
              <c:strCache>
                <c:ptCount val="1"/>
                <c:pt idx="0">
                  <c:v>"Bac + Myc"</c:v>
                </c:pt>
              </c:strCache>
            </c:strRef>
          </c:tx>
          <c:spPr>
            <a:ln w="19050">
              <a:solidFill>
                <a:sysClr val="windowText" lastClr="000000"/>
              </a:solidFill>
              <a:prstDash val="solid"/>
            </a:ln>
          </c:spPr>
          <c:marker>
            <c:symbol val="x"/>
            <c:size val="5"/>
            <c:spPr>
              <a:ln w="19050">
                <a:solidFill>
                  <a:schemeClr val="tx1"/>
                </a:solidFill>
                <a:prstDash val="solid"/>
              </a:ln>
            </c:spPr>
          </c:marker>
          <c:errBars>
            <c:errDir val="y"/>
            <c:errBarType val="both"/>
            <c:errValType val="cust"/>
            <c:noEndCap val="0"/>
            <c:plus>
              <c:numRef>
                <c:f>Sheet3!$Q$27:$Q$30</c:f>
                <c:numCache>
                  <c:formatCode>General</c:formatCode>
                  <c:ptCount val="4"/>
                  <c:pt idx="0">
                    <c:v>2380.4314145144367</c:v>
                  </c:pt>
                  <c:pt idx="1">
                    <c:v>4153.8272908103108</c:v>
                  </c:pt>
                  <c:pt idx="2">
                    <c:v>6230.9125830007406</c:v>
                  </c:pt>
                  <c:pt idx="3">
                    <c:v>2716.0258166928097</c:v>
                  </c:pt>
                </c:numCache>
              </c:numRef>
            </c:plus>
            <c:minus>
              <c:numRef>
                <c:f>Sheet3!$Q$27:$Q$30</c:f>
                <c:numCache>
                  <c:formatCode>General</c:formatCode>
                  <c:ptCount val="4"/>
                  <c:pt idx="0">
                    <c:v>2380.4314145144367</c:v>
                  </c:pt>
                  <c:pt idx="1">
                    <c:v>4153.8272908103108</c:v>
                  </c:pt>
                  <c:pt idx="2">
                    <c:v>6230.9125830007406</c:v>
                  </c:pt>
                  <c:pt idx="3">
                    <c:v>2716.0258166928097</c:v>
                  </c:pt>
                </c:numCache>
              </c:numRef>
            </c:minus>
          </c:errBars>
          <c:cat>
            <c:strRef>
              <c:f>Sheet3!$I$19:$I$22</c:f>
              <c:strCache>
                <c:ptCount val="4"/>
                <c:pt idx="0">
                  <c:v>Sep</c:v>
                </c:pt>
                <c:pt idx="1">
                  <c:v>Nov</c:v>
                </c:pt>
                <c:pt idx="2">
                  <c:v>Jan</c:v>
                </c:pt>
                <c:pt idx="3">
                  <c:v>Mar</c:v>
                </c:pt>
              </c:strCache>
            </c:strRef>
          </c:cat>
          <c:val>
            <c:numRef>
              <c:f>Sheet3!$Q$11:$Q$14</c:f>
              <c:numCache>
                <c:formatCode>General</c:formatCode>
                <c:ptCount val="4"/>
                <c:pt idx="0">
                  <c:v>3352.8641344692619</c:v>
                </c:pt>
                <c:pt idx="1">
                  <c:v>16785.541331425229</c:v>
                </c:pt>
                <c:pt idx="2">
                  <c:v>34122.819798902361</c:v>
                </c:pt>
                <c:pt idx="3">
                  <c:v>17761.69164905552</c:v>
                </c:pt>
              </c:numCache>
            </c:numRef>
          </c:val>
          <c:smooth val="0"/>
        </c:ser>
        <c:ser>
          <c:idx val="0"/>
          <c:order val="1"/>
          <c:tx>
            <c:strRef>
              <c:f>Sheet3!$R$10</c:f>
              <c:strCache>
                <c:ptCount val="1"/>
                <c:pt idx="0">
                  <c:v>No "Bac + Myc"</c:v>
                </c:pt>
              </c:strCache>
            </c:strRef>
          </c:tx>
          <c:spPr>
            <a:ln w="28575">
              <a:solidFill>
                <a:sysClr val="windowText" lastClr="000000"/>
              </a:solidFill>
              <a:prstDash val="sysDot"/>
            </a:ln>
          </c:spPr>
          <c:marker>
            <c:symbol val="x"/>
            <c:size val="5"/>
            <c:spPr>
              <a:ln w="28575">
                <a:solidFill>
                  <a:schemeClr val="tx1"/>
                </a:solidFill>
                <a:prstDash val="sysDot"/>
              </a:ln>
            </c:spPr>
          </c:marker>
          <c:errBars>
            <c:errDir val="y"/>
            <c:errBarType val="both"/>
            <c:errValType val="cust"/>
            <c:noEndCap val="0"/>
            <c:plus>
              <c:numRef>
                <c:f>Sheet3!$R$27:$R$30</c:f>
                <c:numCache>
                  <c:formatCode>General</c:formatCode>
                  <c:ptCount val="4"/>
                  <c:pt idx="0">
                    <c:v>1027.5367532362529</c:v>
                  </c:pt>
                  <c:pt idx="1">
                    <c:v>2775.6347557794847</c:v>
                  </c:pt>
                  <c:pt idx="2">
                    <c:v>3252.8279026957048</c:v>
                  </c:pt>
                  <c:pt idx="3">
                    <c:v>2997.9907952834346</c:v>
                  </c:pt>
                </c:numCache>
              </c:numRef>
            </c:plus>
            <c:minus>
              <c:numRef>
                <c:f>Sheet3!$R$27:$R$30</c:f>
                <c:numCache>
                  <c:formatCode>General</c:formatCode>
                  <c:ptCount val="4"/>
                  <c:pt idx="0">
                    <c:v>1027.5367532362529</c:v>
                  </c:pt>
                  <c:pt idx="1">
                    <c:v>2775.6347557794847</c:v>
                  </c:pt>
                  <c:pt idx="2">
                    <c:v>3252.8279026957048</c:v>
                  </c:pt>
                  <c:pt idx="3">
                    <c:v>2997.9907952834346</c:v>
                  </c:pt>
                </c:numCache>
              </c:numRef>
            </c:minus>
          </c:errBars>
          <c:cat>
            <c:strRef>
              <c:f>Sheet3!$I$19:$I$22</c:f>
              <c:strCache>
                <c:ptCount val="4"/>
                <c:pt idx="0">
                  <c:v>Sep</c:v>
                </c:pt>
                <c:pt idx="1">
                  <c:v>Nov</c:v>
                </c:pt>
                <c:pt idx="2">
                  <c:v>Jan</c:v>
                </c:pt>
                <c:pt idx="3">
                  <c:v>Mar</c:v>
                </c:pt>
              </c:strCache>
            </c:strRef>
          </c:cat>
          <c:val>
            <c:numRef>
              <c:f>Sheet3!$R$11:$R$14</c:f>
              <c:numCache>
                <c:formatCode>General</c:formatCode>
                <c:ptCount val="4"/>
                <c:pt idx="0">
                  <c:v>4916.1193532829911</c:v>
                </c:pt>
                <c:pt idx="1">
                  <c:v>15328.389408006096</c:v>
                </c:pt>
                <c:pt idx="2">
                  <c:v>23484.196047337449</c:v>
                </c:pt>
                <c:pt idx="3">
                  <c:v>17598.999929450467</c:v>
                </c:pt>
              </c:numCache>
            </c:numRef>
          </c:val>
          <c:smooth val="0"/>
        </c:ser>
        <c:dLbls>
          <c:showLegendKey val="0"/>
          <c:showVal val="0"/>
          <c:showCatName val="0"/>
          <c:showSerName val="0"/>
          <c:showPercent val="0"/>
          <c:showBubbleSize val="0"/>
        </c:dLbls>
        <c:marker val="1"/>
        <c:smooth val="0"/>
        <c:axId val="1173413616"/>
        <c:axId val="1173411440"/>
      </c:lineChart>
      <c:catAx>
        <c:axId val="1173413616"/>
        <c:scaling>
          <c:orientation val="minMax"/>
        </c:scaling>
        <c:delete val="0"/>
        <c:axPos val="b"/>
        <c:title>
          <c:tx>
            <c:rich>
              <a:bodyPr/>
              <a:lstStyle/>
              <a:p>
                <a:pPr>
                  <a:defRPr/>
                </a:pPr>
                <a:r>
                  <a:rPr lang="en-GB"/>
                  <a:t>Sample Month</a:t>
                </a:r>
              </a:p>
            </c:rich>
          </c:tx>
          <c:layout>
            <c:manualLayout>
              <c:xMode val="edge"/>
              <c:yMode val="edge"/>
              <c:x val="0.47448844829470416"/>
              <c:y val="0.81019057975615938"/>
            </c:manualLayout>
          </c:layout>
          <c:overlay val="0"/>
        </c:title>
        <c:numFmt formatCode="General" sourceLinked="0"/>
        <c:majorTickMark val="in"/>
        <c:minorTickMark val="none"/>
        <c:tickLblPos val="nextTo"/>
        <c:spPr>
          <a:ln>
            <a:solidFill>
              <a:sysClr val="windowText" lastClr="000000"/>
            </a:solidFill>
          </a:ln>
        </c:spPr>
        <c:crossAx val="1173411440"/>
        <c:crosses val="autoZero"/>
        <c:auto val="1"/>
        <c:lblAlgn val="ctr"/>
        <c:lblOffset val="100"/>
        <c:noMultiLvlLbl val="0"/>
      </c:catAx>
      <c:valAx>
        <c:axId val="1173411440"/>
        <c:scaling>
          <c:orientation val="minMax"/>
        </c:scaling>
        <c:delete val="0"/>
        <c:axPos val="l"/>
        <c:title>
          <c:tx>
            <c:rich>
              <a:bodyPr/>
              <a:lstStyle/>
              <a:p>
                <a:pPr>
                  <a:defRPr/>
                </a:pPr>
                <a:r>
                  <a:rPr lang="en-GB"/>
                  <a:t>Mean collembola (inds/m</a:t>
                </a:r>
                <a:r>
                  <a:rPr lang="en-GB" baseline="30000"/>
                  <a:t>-2</a:t>
                </a:r>
                <a:r>
                  <a:rPr lang="en-GB"/>
                  <a:t>)</a:t>
                </a:r>
              </a:p>
            </c:rich>
          </c:tx>
          <c:layout>
            <c:manualLayout>
              <c:xMode val="edge"/>
              <c:yMode val="edge"/>
              <c:x val="9.3895461373609181E-3"/>
              <c:y val="9.2140668656337299E-2"/>
            </c:manualLayout>
          </c:layout>
          <c:overlay val="0"/>
        </c:title>
        <c:numFmt formatCode="General" sourceLinked="1"/>
        <c:majorTickMark val="in"/>
        <c:minorTickMark val="none"/>
        <c:tickLblPos val="nextTo"/>
        <c:spPr>
          <a:ln>
            <a:solidFill>
              <a:sysClr val="windowText" lastClr="000000"/>
            </a:solidFill>
          </a:ln>
        </c:spPr>
        <c:crossAx val="1173413616"/>
        <c:crosses val="autoZero"/>
        <c:crossBetween val="between"/>
        <c:majorUnit val="10000"/>
      </c:valAx>
    </c:plotArea>
    <c:legend>
      <c:legendPos val="b"/>
      <c:layout>
        <c:manualLayout>
          <c:xMode val="edge"/>
          <c:yMode val="edge"/>
          <c:x val="0"/>
          <c:y val="0.90768272161544328"/>
          <c:w val="0.99859154929577465"/>
          <c:h val="9.2025004508024283E-2"/>
        </c:manualLayout>
      </c:layout>
      <c:overlay val="0"/>
    </c:legend>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66973760844737"/>
          <c:y val="6.840028127685803E-2"/>
          <c:w val="0.77207054821792909"/>
          <c:h val="0.6187455399387094"/>
        </c:manualLayout>
      </c:layout>
      <c:barChart>
        <c:barDir val="col"/>
        <c:grouping val="clustered"/>
        <c:varyColors val="0"/>
        <c:ser>
          <c:idx val="1"/>
          <c:order val="0"/>
          <c:tx>
            <c:v/>
          </c:tx>
          <c:spPr>
            <a:noFill/>
            <a:ln>
              <a:solidFill>
                <a:sysClr val="windowText" lastClr="000000"/>
              </a:solidFill>
            </a:ln>
          </c:spPr>
          <c:invertIfNegative val="0"/>
          <c:dLbls>
            <c:dLbl>
              <c:idx val="0"/>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c</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b</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b</a:t>
                    </a:r>
                  </a:p>
                  <a:p>
                    <a:endParaRPr lang="en-US"/>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b, c</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a</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cust"/>
            <c:noEndCap val="0"/>
            <c:plus>
              <c:numRef>
                <c:f>'Graphs 2 No sum'!$AG$3:$AG$10</c:f>
                <c:numCache>
                  <c:formatCode>General</c:formatCode>
                  <c:ptCount val="8"/>
                  <c:pt idx="0">
                    <c:v>341.13416553249937</c:v>
                  </c:pt>
                  <c:pt idx="1">
                    <c:v>239.24976135754636</c:v>
                  </c:pt>
                  <c:pt idx="2">
                    <c:v>252.24346667750481</c:v>
                  </c:pt>
                  <c:pt idx="3">
                    <c:v>122.54416366771187</c:v>
                  </c:pt>
                  <c:pt idx="4">
                    <c:v>288.1144728040403</c:v>
                  </c:pt>
                  <c:pt idx="5">
                    <c:v>603.81680548637337</c:v>
                  </c:pt>
                  <c:pt idx="6">
                    <c:v>278.83346379189874</c:v>
                  </c:pt>
                  <c:pt idx="7">
                    <c:v>178.09529962608707</c:v>
                  </c:pt>
                </c:numCache>
              </c:numRef>
            </c:plus>
            <c:minus>
              <c:numRef>
                <c:f>'Graphs 2 No sum'!$AG$3:$AG$10</c:f>
                <c:numCache>
                  <c:formatCode>General</c:formatCode>
                  <c:ptCount val="8"/>
                  <c:pt idx="0">
                    <c:v>341.13416553249937</c:v>
                  </c:pt>
                  <c:pt idx="1">
                    <c:v>239.24976135754636</c:v>
                  </c:pt>
                  <c:pt idx="2">
                    <c:v>252.24346667750481</c:v>
                  </c:pt>
                  <c:pt idx="3">
                    <c:v>122.54416366771187</c:v>
                  </c:pt>
                  <c:pt idx="4">
                    <c:v>288.1144728040403</c:v>
                  </c:pt>
                  <c:pt idx="5">
                    <c:v>603.81680548637337</c:v>
                  </c:pt>
                  <c:pt idx="6">
                    <c:v>278.83346379189874</c:v>
                  </c:pt>
                  <c:pt idx="7">
                    <c:v>178.09529962608707</c:v>
                  </c:pt>
                </c:numCache>
              </c:numRef>
            </c:minus>
          </c:errBars>
          <c:cat>
            <c:strRef>
              <c:f>'Graphs 2 No sum'!$V$3:$V$10</c:f>
              <c:strCache>
                <c:ptCount val="8"/>
                <c:pt idx="0">
                  <c:v>Bac</c:v>
                </c:pt>
                <c:pt idx="1">
                  <c:v>Myc</c:v>
                </c:pt>
                <c:pt idx="2">
                  <c:v>Tri</c:v>
                </c:pt>
                <c:pt idx="3">
                  <c:v>Bac&amp;Myc</c:v>
                </c:pt>
                <c:pt idx="4">
                  <c:v>Bac&amp;Tri</c:v>
                </c:pt>
                <c:pt idx="5">
                  <c:v>Myc&amp;Tri</c:v>
                </c:pt>
                <c:pt idx="6">
                  <c:v>Bac,Myc&amp;Tri</c:v>
                </c:pt>
                <c:pt idx="7">
                  <c:v>Cont</c:v>
                </c:pt>
              </c:strCache>
            </c:strRef>
          </c:cat>
          <c:val>
            <c:numRef>
              <c:f>'Graphs 2 No sum'!$AE$3:$AE$10</c:f>
              <c:numCache>
                <c:formatCode>General</c:formatCode>
                <c:ptCount val="8"/>
                <c:pt idx="0">
                  <c:v>1305.0705333535418</c:v>
                </c:pt>
                <c:pt idx="1">
                  <c:v>1143.7575571349769</c:v>
                </c:pt>
                <c:pt idx="2">
                  <c:v>1252.0188856562434</c:v>
                </c:pt>
                <c:pt idx="3">
                  <c:v>530.51647697298438</c:v>
                </c:pt>
                <c:pt idx="4">
                  <c:v>1496.0564650638162</c:v>
                </c:pt>
                <c:pt idx="5">
                  <c:v>1878.0283284843654</c:v>
                </c:pt>
                <c:pt idx="6">
                  <c:v>1294.4602038140822</c:v>
                </c:pt>
                <c:pt idx="7">
                  <c:v>891.26768131461392</c:v>
                </c:pt>
              </c:numCache>
            </c:numRef>
          </c:val>
        </c:ser>
        <c:dLbls>
          <c:showLegendKey val="0"/>
          <c:showVal val="0"/>
          <c:showCatName val="0"/>
          <c:showSerName val="0"/>
          <c:showPercent val="0"/>
          <c:showBubbleSize val="0"/>
        </c:dLbls>
        <c:gapWidth val="150"/>
        <c:axId val="1173414160"/>
        <c:axId val="1173412528"/>
      </c:barChart>
      <c:catAx>
        <c:axId val="1173414160"/>
        <c:scaling>
          <c:orientation val="minMax"/>
        </c:scaling>
        <c:delete val="0"/>
        <c:axPos val="b"/>
        <c:title>
          <c:tx>
            <c:rich>
              <a:bodyPr/>
              <a:lstStyle/>
              <a:p>
                <a:pPr>
                  <a:defRPr/>
                </a:pPr>
                <a:r>
                  <a:rPr lang="en-GB"/>
                  <a:t>Treatment</a:t>
                </a:r>
              </a:p>
            </c:rich>
          </c:tx>
          <c:layout>
            <c:manualLayout>
              <c:xMode val="edge"/>
              <c:yMode val="edge"/>
              <c:x val="0.44537698663794029"/>
              <c:y val="0.93126913160110769"/>
            </c:manualLayout>
          </c:layout>
          <c:overlay val="0"/>
        </c:title>
        <c:numFmt formatCode="General" sourceLinked="0"/>
        <c:majorTickMark val="in"/>
        <c:minorTickMark val="none"/>
        <c:tickLblPos val="nextTo"/>
        <c:spPr>
          <a:ln>
            <a:solidFill>
              <a:sysClr val="windowText" lastClr="000000"/>
            </a:solidFill>
          </a:ln>
        </c:spPr>
        <c:txPr>
          <a:bodyPr rot="-5400000" vert="horz"/>
          <a:lstStyle/>
          <a:p>
            <a:pPr>
              <a:defRPr/>
            </a:pPr>
            <a:endParaRPr lang="en-US"/>
          </a:p>
        </c:txPr>
        <c:crossAx val="1173412528"/>
        <c:crosses val="autoZero"/>
        <c:auto val="1"/>
        <c:lblAlgn val="ctr"/>
        <c:lblOffset val="100"/>
        <c:noMultiLvlLbl val="0"/>
      </c:catAx>
      <c:valAx>
        <c:axId val="1173412528"/>
        <c:scaling>
          <c:orientation val="minMax"/>
          <c:max val="2500"/>
        </c:scaling>
        <c:delete val="0"/>
        <c:axPos val="l"/>
        <c:title>
          <c:tx>
            <c:rich>
              <a:bodyPr rot="-5400000" vert="horz"/>
              <a:lstStyle/>
              <a:p>
                <a:pPr>
                  <a:defRPr/>
                </a:pPr>
                <a:r>
                  <a:rPr lang="en-GB"/>
                  <a:t>Mean larvae of flying insects (inds/m</a:t>
                </a:r>
                <a:r>
                  <a:rPr lang="en-GB" baseline="30000"/>
                  <a:t>-2</a:t>
                </a:r>
                <a:r>
                  <a:rPr lang="en-GB"/>
                  <a:t>)</a:t>
                </a:r>
              </a:p>
            </c:rich>
          </c:tx>
          <c:layout>
            <c:manualLayout>
              <c:xMode val="edge"/>
              <c:yMode val="edge"/>
              <c:x val="8.7024696197569584E-3"/>
              <c:y val="5.2977280816744673E-3"/>
            </c:manualLayout>
          </c:layout>
          <c:overlay val="0"/>
        </c:title>
        <c:numFmt formatCode="General" sourceLinked="1"/>
        <c:majorTickMark val="in"/>
        <c:minorTickMark val="none"/>
        <c:tickLblPos val="nextTo"/>
        <c:spPr>
          <a:ln>
            <a:solidFill>
              <a:sysClr val="windowText" lastClr="000000"/>
            </a:solidFill>
          </a:ln>
        </c:spPr>
        <c:crossAx val="1173414160"/>
        <c:crosses val="autoZero"/>
        <c:crossBetween val="between"/>
      </c:valAx>
    </c:plotArea>
    <c:plotVisOnly val="1"/>
    <c:dispBlanksAs val="gap"/>
    <c:showDLblsOverMax val="0"/>
  </c:chart>
  <c:spPr>
    <a:ln>
      <a:noFill/>
    </a:ln>
  </c:spPr>
  <c:txPr>
    <a:bodyPr/>
    <a:lstStyle/>
    <a:p>
      <a:pPr>
        <a:defRPr b="0">
          <a:latin typeface="Arial" panose="020B0604020202020204" pitchFamily="34" charset="0"/>
          <a:cs typeface="Arial" panose="020B0604020202020204"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0.11505</cdr:x>
      <cdr:y>0.07788</cdr:y>
    </cdr:to>
    <cdr:sp macro="" textlink="">
      <cdr:nvSpPr>
        <cdr:cNvPr id="2" name="Text Box 1"/>
        <cdr:cNvSpPr txBox="1"/>
      </cdr:nvSpPr>
      <cdr:spPr>
        <a:xfrm xmlns:a="http://schemas.openxmlformats.org/drawingml/2006/main">
          <a:off x="0" y="0"/>
          <a:ext cx="310551" cy="22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0.15339</cdr:x>
      <cdr:y>0.10271</cdr:y>
    </cdr:to>
    <cdr:sp macro="" textlink="">
      <cdr:nvSpPr>
        <cdr:cNvPr id="3" name="Text Box 2"/>
        <cdr:cNvSpPr txBox="1"/>
      </cdr:nvSpPr>
      <cdr:spPr>
        <a:xfrm xmlns:a="http://schemas.openxmlformats.org/drawingml/2006/main">
          <a:off x="0" y="0"/>
          <a:ext cx="414068"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0.06333</cdr:x>
      <cdr:y>0.0734</cdr:y>
    </cdr:to>
    <cdr:sp macro="" textlink="">
      <cdr:nvSpPr>
        <cdr:cNvPr id="2" name="Text Box 1"/>
        <cdr:cNvSpPr txBox="1"/>
      </cdr:nvSpPr>
      <cdr:spPr>
        <a:xfrm xmlns:a="http://schemas.openxmlformats.org/drawingml/2006/main">
          <a:off x="0" y="0"/>
          <a:ext cx="319177" cy="232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0.12463</cdr:x>
      <cdr:y>0.11298</cdr:y>
    </cdr:to>
    <cdr:sp macro="" textlink="">
      <cdr:nvSpPr>
        <cdr:cNvPr id="2" name="Text Box 1"/>
        <cdr:cNvSpPr txBox="1"/>
      </cdr:nvSpPr>
      <cdr:spPr>
        <a:xfrm xmlns:a="http://schemas.openxmlformats.org/drawingml/2006/main">
          <a:off x="0" y="0"/>
          <a:ext cx="336430" cy="2846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a)</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0.11824</cdr:x>
      <cdr:y>0.08559</cdr:y>
    </cdr:to>
    <cdr:sp macro="" textlink="">
      <cdr:nvSpPr>
        <cdr:cNvPr id="2" name="Text Box 1"/>
        <cdr:cNvSpPr txBox="1"/>
      </cdr:nvSpPr>
      <cdr:spPr>
        <a:xfrm xmlns:a="http://schemas.openxmlformats.org/drawingml/2006/main">
          <a:off x="0" y="0"/>
          <a:ext cx="319176" cy="215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3306-4F8C-42BE-A5E8-A19177B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35190</Words>
  <Characters>200589</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cp:lastModifiedBy>
  <cp:revision>3</cp:revision>
  <cp:lastPrinted>2017-01-30T11:05:00Z</cp:lastPrinted>
  <dcterms:created xsi:type="dcterms:W3CDTF">2017-01-30T11:06:00Z</dcterms:created>
  <dcterms:modified xsi:type="dcterms:W3CDTF">2017-01-30T11:07:00Z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http://www.zotero.org/styles/ecological-engineering</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http://www.zotero.org/styles/ecological-engineering</vt:lpwstr>
  </property>
  <property fmtid="{D5CDD505-2E9C-101B-9397-08002B2CF9AE}" pid="13" name="Mendeley Recent Style Name 4_1">
    <vt:lpwstr>Ecological Engineering</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afb482ef-bddb-313b-a344-2884dddf1ced</vt:lpwstr>
  </property>
</Properties>
</file>