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B9B4C" w14:textId="5F060294" w:rsidR="0014374E" w:rsidRPr="00891718" w:rsidRDefault="00DC4546" w:rsidP="00A367E3">
      <w:pPr>
        <w:jc w:val="center"/>
        <w:rPr>
          <w:b/>
          <w:lang w:val="en-GB"/>
        </w:rPr>
      </w:pPr>
      <w:r w:rsidRPr="00891718">
        <w:rPr>
          <w:b/>
          <w:lang w:val="en-GB"/>
        </w:rPr>
        <w:t>JUSTICE SCALIA: TENURED FOX IN THE DEMOCRATIC HEN-HOUSE</w:t>
      </w:r>
      <w:r w:rsidR="000E288B" w:rsidRPr="00891718">
        <w:rPr>
          <w:b/>
          <w:lang w:val="en-GB"/>
        </w:rPr>
        <w:t>?</w:t>
      </w:r>
      <w:bookmarkStart w:id="0" w:name="_Toc456252175"/>
    </w:p>
    <w:p w14:paraId="049DCB33" w14:textId="60771A1F" w:rsidR="002A2DF9" w:rsidRPr="00891718" w:rsidRDefault="002A2DF9" w:rsidP="00A367E3">
      <w:pPr>
        <w:jc w:val="center"/>
        <w:rPr>
          <w:b/>
          <w:lang w:val="en-GB"/>
        </w:rPr>
      </w:pPr>
    </w:p>
    <w:p w14:paraId="543202A2" w14:textId="7387CA78" w:rsidR="002A2DF9" w:rsidRPr="00891718" w:rsidRDefault="002A2DF9" w:rsidP="00A367E3">
      <w:pPr>
        <w:jc w:val="center"/>
        <w:rPr>
          <w:b/>
          <w:lang w:val="en-GB"/>
        </w:rPr>
      </w:pPr>
      <w:r w:rsidRPr="00891718">
        <w:rPr>
          <w:b/>
          <w:lang w:val="en-GB"/>
        </w:rPr>
        <w:t>Jane Marriott</w:t>
      </w:r>
      <w:r w:rsidRPr="00891718">
        <w:rPr>
          <w:rStyle w:val="FootnoteReference"/>
          <w:b/>
          <w:lang w:val="en-GB"/>
        </w:rPr>
        <w:footnoteReference w:customMarkFollows="1" w:id="1"/>
        <w:sym w:font="Symbol" w:char="F02A"/>
      </w:r>
    </w:p>
    <w:p w14:paraId="01A18542" w14:textId="77777777" w:rsidR="00EF6AAE" w:rsidRPr="00891718" w:rsidRDefault="00EF6AAE" w:rsidP="00EF6AAE">
      <w:pPr>
        <w:spacing w:line="480" w:lineRule="auto"/>
        <w:rPr>
          <w:i/>
          <w:lang w:val="en-GB"/>
        </w:rPr>
      </w:pPr>
    </w:p>
    <w:tbl>
      <w:tblPr>
        <w:tblStyle w:val="TableGrid"/>
        <w:tblW w:w="0" w:type="auto"/>
        <w:tblInd w:w="1278" w:type="dxa"/>
        <w:tblLook w:val="04A0" w:firstRow="1" w:lastRow="0" w:firstColumn="1" w:lastColumn="0" w:noHBand="0" w:noVBand="1"/>
      </w:tblPr>
      <w:tblGrid>
        <w:gridCol w:w="6660"/>
      </w:tblGrid>
      <w:tr w:rsidR="00EF6AAE" w:rsidRPr="00891718" w14:paraId="10C204AB" w14:textId="77777777" w:rsidTr="001B3968">
        <w:tc>
          <w:tcPr>
            <w:tcW w:w="6660" w:type="dxa"/>
            <w:tcBorders>
              <w:top w:val="nil"/>
              <w:left w:val="nil"/>
              <w:bottom w:val="nil"/>
              <w:right w:val="nil"/>
            </w:tcBorders>
          </w:tcPr>
          <w:p w14:paraId="2C81F5DE" w14:textId="77777777" w:rsidR="00EF6AAE" w:rsidRPr="00891718" w:rsidRDefault="00EF6AAE" w:rsidP="004367EA">
            <w:pPr>
              <w:jc w:val="both"/>
              <w:rPr>
                <w:rFonts w:eastAsia="Times New Roman"/>
                <w:i/>
                <w:lang w:val="en-GB" w:eastAsia="en-GB"/>
              </w:rPr>
            </w:pPr>
            <w:r w:rsidRPr="00891718">
              <w:rPr>
                <w:i/>
                <w:lang w:val="en-GB"/>
              </w:rPr>
              <w:t>This paper</w:t>
            </w:r>
            <w:r w:rsidRPr="00891718">
              <w:rPr>
                <w:b/>
                <w:i/>
                <w:lang w:val="en-GB"/>
              </w:rPr>
              <w:t xml:space="preserve"> </w:t>
            </w:r>
            <w:r w:rsidRPr="00891718">
              <w:rPr>
                <w:i/>
                <w:lang w:val="en-GB"/>
              </w:rPr>
              <w:t xml:space="preserve">examines Justice Scalia’s approach to campaign finance adjudication, in particular his </w:t>
            </w:r>
            <w:proofErr w:type="spellStart"/>
            <w:r w:rsidRPr="00891718">
              <w:rPr>
                <w:i/>
                <w:lang w:val="en-GB"/>
              </w:rPr>
              <w:t>skepticism</w:t>
            </w:r>
            <w:proofErr w:type="spellEnd"/>
            <w:r w:rsidRPr="00891718">
              <w:rPr>
                <w:i/>
                <w:lang w:val="en-GB"/>
              </w:rPr>
              <w:t xml:space="preserve"> of legislative motive. </w:t>
            </w:r>
            <w:r w:rsidRPr="00891718">
              <w:rPr>
                <w:rFonts w:eastAsia="Times New Roman"/>
                <w:i/>
                <w:lang w:val="en-GB" w:eastAsia="en-GB"/>
              </w:rPr>
              <w:t xml:space="preserve">Three distinct strands of </w:t>
            </w:r>
            <w:proofErr w:type="spellStart"/>
            <w:r w:rsidRPr="00891718">
              <w:rPr>
                <w:rFonts w:eastAsia="Times New Roman"/>
                <w:i/>
                <w:lang w:val="en-GB" w:eastAsia="en-GB"/>
              </w:rPr>
              <w:t>skepticism</w:t>
            </w:r>
            <w:proofErr w:type="spellEnd"/>
            <w:r w:rsidRPr="00891718">
              <w:rPr>
                <w:rFonts w:eastAsia="Times New Roman"/>
                <w:i/>
                <w:lang w:val="en-GB" w:eastAsia="en-GB"/>
              </w:rPr>
              <w:t xml:space="preserve"> are identified: power-grabbing, incumbent-bracing and speech-preventing. As regards democracy Justice Scalia is identified as being caught in definitional dilemma whereby his campaign finance jurisprudence appears to serve a particular vision of democracy, which is</w:t>
            </w:r>
            <w:r w:rsidR="00440624" w:rsidRPr="00891718">
              <w:rPr>
                <w:rFonts w:eastAsia="Times New Roman"/>
                <w:i/>
                <w:lang w:val="en-GB" w:eastAsia="en-GB"/>
              </w:rPr>
              <w:t>, itself,</w:t>
            </w:r>
            <w:r w:rsidR="00641655" w:rsidRPr="00891718">
              <w:rPr>
                <w:rFonts w:eastAsia="Times New Roman"/>
                <w:i/>
                <w:lang w:val="en-GB" w:eastAsia="en-GB"/>
              </w:rPr>
              <w:t xml:space="preserve"> </w:t>
            </w:r>
            <w:r w:rsidRPr="00891718">
              <w:rPr>
                <w:rFonts w:eastAsia="Times New Roman"/>
                <w:i/>
                <w:lang w:val="en-GB" w:eastAsia="en-GB"/>
              </w:rPr>
              <w:t xml:space="preserve">the </w:t>
            </w:r>
            <w:r w:rsidR="00440624" w:rsidRPr="00891718">
              <w:rPr>
                <w:rFonts w:eastAsia="Times New Roman"/>
                <w:i/>
                <w:lang w:val="en-GB" w:eastAsia="en-GB"/>
              </w:rPr>
              <w:t xml:space="preserve">identifiable </w:t>
            </w:r>
            <w:r w:rsidRPr="00891718">
              <w:rPr>
                <w:rFonts w:eastAsia="Times New Roman"/>
                <w:i/>
                <w:lang w:val="en-GB" w:eastAsia="en-GB"/>
              </w:rPr>
              <w:t>creature of his approach to constitutional adjudication.</w:t>
            </w:r>
            <w:r w:rsidR="00641655" w:rsidRPr="00891718">
              <w:rPr>
                <w:rFonts w:eastAsia="Times New Roman"/>
                <w:i/>
                <w:lang w:val="en-GB" w:eastAsia="en-GB"/>
              </w:rPr>
              <w:t xml:space="preserve"> </w:t>
            </w:r>
            <w:r w:rsidRPr="00891718">
              <w:rPr>
                <w:rFonts w:eastAsia="Times New Roman"/>
                <w:i/>
                <w:lang w:val="en-GB" w:eastAsia="en-GB"/>
              </w:rPr>
              <w:t>Ultimately, it is argued that, whilst a liberal dose of mistrust of government might well be warranted in cases concerning the devices of democracy, in the task of scrutinising campaign finance regulation and reform, a strong argument emerges for suspicion of judicial motives too since there is as much danger to democracy posed by the tenured fox as by the incumbent one.</w:t>
            </w:r>
            <w:r w:rsidR="00641655" w:rsidRPr="00891718">
              <w:rPr>
                <w:rFonts w:eastAsia="Times New Roman"/>
                <w:i/>
                <w:lang w:val="en-GB" w:eastAsia="en-GB"/>
              </w:rPr>
              <w:t xml:space="preserve"> </w:t>
            </w:r>
          </w:p>
        </w:tc>
      </w:tr>
    </w:tbl>
    <w:p w14:paraId="7E39C9E1" w14:textId="77777777" w:rsidR="00EF6AAE" w:rsidRPr="00891718" w:rsidRDefault="00EF6AAE" w:rsidP="00EF6AAE">
      <w:pPr>
        <w:spacing w:line="480" w:lineRule="auto"/>
        <w:rPr>
          <w:i/>
          <w:lang w:val="en-GB"/>
        </w:rPr>
      </w:pPr>
    </w:p>
    <w:p w14:paraId="0A02B650" w14:textId="77777777" w:rsidR="00EC66CE" w:rsidRPr="00891718" w:rsidRDefault="00EC66CE" w:rsidP="00A367E3">
      <w:pPr>
        <w:jc w:val="center"/>
        <w:rPr>
          <w:i/>
          <w:lang w:val="en-GB"/>
        </w:rPr>
      </w:pPr>
    </w:p>
    <w:p w14:paraId="2518D6C8" w14:textId="1C461E09" w:rsidR="00493F13" w:rsidRPr="00891718" w:rsidRDefault="00322AD0" w:rsidP="00322AD0">
      <w:pPr>
        <w:pStyle w:val="ListParagraph"/>
        <w:numPr>
          <w:ilvl w:val="0"/>
          <w:numId w:val="3"/>
        </w:numPr>
        <w:ind w:left="0" w:firstLine="0"/>
        <w:jc w:val="center"/>
        <w:rPr>
          <w:rFonts w:ascii="Times New Roman" w:hAnsi="Times New Roman" w:cs="Times New Roman"/>
          <w:b/>
          <w:smallCaps/>
          <w:sz w:val="28"/>
          <w:lang w:val="en-GB"/>
        </w:rPr>
      </w:pPr>
      <w:r w:rsidRPr="00891718">
        <w:rPr>
          <w:rFonts w:ascii="Times New Roman" w:hAnsi="Times New Roman" w:cs="Times New Roman"/>
          <w:b/>
          <w:smallCaps/>
          <w:sz w:val="28"/>
          <w:lang w:val="en-GB"/>
        </w:rPr>
        <w:t>Introduction</w:t>
      </w:r>
      <w:r w:rsidR="00EC66CE" w:rsidRPr="00891718">
        <w:rPr>
          <w:rFonts w:ascii="Times New Roman" w:hAnsi="Times New Roman" w:cs="Times New Roman"/>
          <w:b/>
          <w:smallCaps/>
          <w:sz w:val="28"/>
          <w:lang w:val="en-GB"/>
        </w:rPr>
        <w:t xml:space="preserve"> </w:t>
      </w:r>
    </w:p>
    <w:p w14:paraId="44F48794" w14:textId="77777777" w:rsidR="00A367E3" w:rsidRPr="00891718" w:rsidRDefault="00A367E3" w:rsidP="00A367E3">
      <w:pPr>
        <w:jc w:val="center"/>
        <w:rPr>
          <w:b/>
          <w:lang w:val="en-GB"/>
        </w:rPr>
      </w:pPr>
    </w:p>
    <w:p w14:paraId="74021932" w14:textId="2F7C4347" w:rsidR="009F3FAB" w:rsidRPr="00891718" w:rsidRDefault="00A91FFA" w:rsidP="00891718">
      <w:pPr>
        <w:jc w:val="both"/>
        <w:rPr>
          <w:rFonts w:eastAsia="Times New Roman"/>
          <w:lang w:val="en-GB" w:eastAsia="en-GB"/>
        </w:rPr>
      </w:pPr>
      <w:r w:rsidRPr="00891718">
        <w:rPr>
          <w:rFonts w:eastAsia="Times New Roman"/>
          <w:lang w:val="en-GB" w:eastAsia="en-GB"/>
        </w:rPr>
        <w:t>In the conte</w:t>
      </w:r>
      <w:r w:rsidR="003D7322" w:rsidRPr="00891718">
        <w:rPr>
          <w:rFonts w:eastAsia="Times New Roman"/>
          <w:lang w:val="en-GB" w:eastAsia="en-GB"/>
        </w:rPr>
        <w:t xml:space="preserve">xt of </w:t>
      </w:r>
      <w:r w:rsidR="0000160F" w:rsidRPr="00891718">
        <w:rPr>
          <w:rFonts w:eastAsia="Times New Roman"/>
          <w:lang w:val="en-GB" w:eastAsia="en-GB"/>
        </w:rPr>
        <w:t>the 40</w:t>
      </w:r>
      <w:r w:rsidR="0000160F" w:rsidRPr="00891718">
        <w:rPr>
          <w:rFonts w:eastAsia="Times New Roman"/>
          <w:vertAlign w:val="superscript"/>
          <w:lang w:val="en-GB" w:eastAsia="en-GB"/>
        </w:rPr>
        <w:t>th</w:t>
      </w:r>
      <w:r w:rsidR="0000160F" w:rsidRPr="00891718">
        <w:rPr>
          <w:rFonts w:eastAsia="Times New Roman"/>
          <w:lang w:val="en-GB" w:eastAsia="en-GB"/>
        </w:rPr>
        <w:t xml:space="preserve"> anniversary of</w:t>
      </w:r>
      <w:r w:rsidR="00997682" w:rsidRPr="00891718">
        <w:rPr>
          <w:rFonts w:eastAsia="Times New Roman"/>
          <w:lang w:val="en-GB" w:eastAsia="en-GB"/>
        </w:rPr>
        <w:t xml:space="preserve"> </w:t>
      </w:r>
      <w:r w:rsidR="0000160F" w:rsidRPr="00891718">
        <w:rPr>
          <w:rFonts w:eastAsia="Times New Roman"/>
          <w:i/>
          <w:lang w:val="en-GB" w:eastAsia="en-GB"/>
        </w:rPr>
        <w:t>Buckley v</w:t>
      </w:r>
      <w:r w:rsidR="002616B1" w:rsidRPr="00891718">
        <w:rPr>
          <w:rFonts w:eastAsia="Times New Roman"/>
          <w:i/>
          <w:lang w:val="en-GB" w:eastAsia="en-GB"/>
        </w:rPr>
        <w:t>.</w:t>
      </w:r>
      <w:r w:rsidR="0000160F" w:rsidRPr="00891718">
        <w:rPr>
          <w:rFonts w:eastAsia="Times New Roman"/>
          <w:i/>
          <w:lang w:val="en-GB" w:eastAsia="en-GB"/>
        </w:rPr>
        <w:t xml:space="preserve"> </w:t>
      </w:r>
      <w:proofErr w:type="spellStart"/>
      <w:r w:rsidR="0000160F" w:rsidRPr="00891718">
        <w:rPr>
          <w:rFonts w:eastAsia="Times New Roman"/>
          <w:i/>
          <w:lang w:val="en-GB" w:eastAsia="en-GB"/>
        </w:rPr>
        <w:t>Valeo</w:t>
      </w:r>
      <w:proofErr w:type="spellEnd"/>
      <w:r w:rsidR="00641655" w:rsidRPr="00891718">
        <w:rPr>
          <w:rFonts w:eastAsia="Times New Roman"/>
          <w:i/>
          <w:lang w:val="en-GB" w:eastAsia="en-GB"/>
        </w:rPr>
        <w:t>,</w:t>
      </w:r>
      <w:r w:rsidR="00DB7D57" w:rsidRPr="00891718">
        <w:rPr>
          <w:rStyle w:val="FootnoteReference"/>
          <w:rFonts w:eastAsia="Times New Roman"/>
          <w:sz w:val="24"/>
          <w:lang w:val="en-GB" w:eastAsia="en-GB"/>
        </w:rPr>
        <w:footnoteReference w:id="2"/>
      </w:r>
      <w:r w:rsidR="0000160F" w:rsidRPr="00891718">
        <w:rPr>
          <w:rFonts w:eastAsia="Times New Roman"/>
          <w:lang w:val="en-GB" w:eastAsia="en-GB"/>
        </w:rPr>
        <w:t xml:space="preserve"> </w:t>
      </w:r>
      <w:r w:rsidR="00ED623C" w:rsidRPr="00891718">
        <w:rPr>
          <w:rFonts w:eastAsia="Times New Roman"/>
          <w:lang w:val="en-GB" w:eastAsia="en-GB"/>
        </w:rPr>
        <w:t xml:space="preserve">a </w:t>
      </w:r>
      <w:r w:rsidR="00D71122" w:rsidRPr="00891718">
        <w:rPr>
          <w:rFonts w:eastAsia="Times New Roman"/>
          <w:lang w:val="en-GB" w:eastAsia="en-GB"/>
        </w:rPr>
        <w:t xml:space="preserve">recent </w:t>
      </w:r>
      <w:r w:rsidR="00ED623C" w:rsidRPr="00891718">
        <w:rPr>
          <w:rFonts w:eastAsia="Times New Roman"/>
          <w:lang w:val="en-GB" w:eastAsia="en-GB"/>
        </w:rPr>
        <w:t xml:space="preserve">line of </w:t>
      </w:r>
      <w:r w:rsidR="00A61AC2" w:rsidRPr="00891718">
        <w:rPr>
          <w:rFonts w:eastAsia="Times New Roman"/>
          <w:lang w:val="en-GB" w:eastAsia="en-GB"/>
        </w:rPr>
        <w:t xml:space="preserve">authority </w:t>
      </w:r>
      <w:r w:rsidR="00ED623C" w:rsidRPr="00891718">
        <w:rPr>
          <w:rFonts w:eastAsia="Times New Roman"/>
          <w:lang w:val="en-GB" w:eastAsia="en-GB"/>
        </w:rPr>
        <w:t>spurning electoral reforms</w:t>
      </w:r>
      <w:r w:rsidR="00B4336F" w:rsidRPr="00891718">
        <w:rPr>
          <w:rStyle w:val="FootnoteReference"/>
          <w:rFonts w:eastAsia="Times New Roman"/>
          <w:sz w:val="24"/>
          <w:lang w:val="en-GB" w:eastAsia="en-GB"/>
        </w:rPr>
        <w:footnoteReference w:id="3"/>
      </w:r>
      <w:r w:rsidR="00ED623C" w:rsidRPr="00891718">
        <w:rPr>
          <w:rFonts w:eastAsia="Times New Roman"/>
          <w:lang w:val="en-GB" w:eastAsia="en-GB"/>
        </w:rPr>
        <w:t xml:space="preserve">, </w:t>
      </w:r>
      <w:r w:rsidR="003D7322" w:rsidRPr="00891718">
        <w:rPr>
          <w:rFonts w:eastAsia="Times New Roman"/>
          <w:lang w:val="en-GB" w:eastAsia="en-GB"/>
        </w:rPr>
        <w:t>a</w:t>
      </w:r>
      <w:r w:rsidR="007353B2" w:rsidRPr="00891718">
        <w:rPr>
          <w:rFonts w:eastAsia="Times New Roman"/>
          <w:lang w:val="en-GB" w:eastAsia="en-GB"/>
        </w:rPr>
        <w:t xml:space="preserve">n </w:t>
      </w:r>
      <w:r w:rsidR="003D7322" w:rsidRPr="00891718">
        <w:rPr>
          <w:rFonts w:eastAsia="Times New Roman"/>
          <w:lang w:val="en-GB" w:eastAsia="en-GB"/>
        </w:rPr>
        <w:t>election</w:t>
      </w:r>
      <w:r w:rsidR="007353B2" w:rsidRPr="00891718">
        <w:rPr>
          <w:rFonts w:eastAsia="Times New Roman"/>
          <w:lang w:val="en-GB" w:eastAsia="en-GB"/>
        </w:rPr>
        <w:t xml:space="preserve"> cycle</w:t>
      </w:r>
      <w:r w:rsidR="003D7322" w:rsidRPr="00891718">
        <w:rPr>
          <w:rFonts w:eastAsia="Times New Roman"/>
          <w:lang w:val="en-GB" w:eastAsia="en-GB"/>
        </w:rPr>
        <w:t xml:space="preserve"> </w:t>
      </w:r>
      <w:r w:rsidR="00932486" w:rsidRPr="00891718">
        <w:rPr>
          <w:rFonts w:eastAsia="Times New Roman"/>
          <w:lang w:val="en-GB" w:eastAsia="en-GB"/>
        </w:rPr>
        <w:t xml:space="preserve">in </w:t>
      </w:r>
      <w:r w:rsidR="003D7322" w:rsidRPr="00891718">
        <w:rPr>
          <w:rFonts w:eastAsia="Times New Roman"/>
          <w:lang w:val="en-GB" w:eastAsia="en-GB"/>
        </w:rPr>
        <w:t>which</w:t>
      </w:r>
      <w:r w:rsidR="00BE6E5F" w:rsidRPr="00891718">
        <w:rPr>
          <w:rFonts w:eastAsia="Times New Roman"/>
          <w:lang w:val="en-GB" w:eastAsia="en-GB"/>
        </w:rPr>
        <w:t xml:space="preserve"> expenditure on campaigning </w:t>
      </w:r>
      <w:r w:rsidR="00A73E6E" w:rsidRPr="00891718">
        <w:rPr>
          <w:rFonts w:eastAsia="Times New Roman"/>
          <w:lang w:val="en-GB" w:eastAsia="en-GB"/>
        </w:rPr>
        <w:t>exceed</w:t>
      </w:r>
      <w:r w:rsidR="007304C8" w:rsidRPr="00891718">
        <w:rPr>
          <w:rFonts w:eastAsia="Times New Roman"/>
          <w:lang w:val="en-GB" w:eastAsia="en-GB"/>
        </w:rPr>
        <w:t>ed</w:t>
      </w:r>
      <w:r w:rsidR="00A73E6E" w:rsidRPr="00891718">
        <w:rPr>
          <w:rFonts w:eastAsia="Times New Roman"/>
          <w:lang w:val="en-GB" w:eastAsia="en-GB"/>
        </w:rPr>
        <w:t xml:space="preserve"> </w:t>
      </w:r>
      <w:r w:rsidR="007353B2" w:rsidRPr="00891718">
        <w:rPr>
          <w:rFonts w:eastAsia="Times New Roman"/>
          <w:lang w:val="en-GB" w:eastAsia="en-GB"/>
        </w:rPr>
        <w:t xml:space="preserve">$7 </w:t>
      </w:r>
      <w:r w:rsidR="00BE6E5F" w:rsidRPr="00891718">
        <w:rPr>
          <w:rFonts w:eastAsia="Times New Roman"/>
          <w:lang w:val="en-GB" w:eastAsia="en-GB"/>
        </w:rPr>
        <w:t>billion</w:t>
      </w:r>
      <w:r w:rsidR="00BE6E5F" w:rsidRPr="00891718">
        <w:rPr>
          <w:rStyle w:val="FootnoteReference"/>
          <w:rFonts w:eastAsia="Times New Roman"/>
          <w:sz w:val="24"/>
          <w:lang w:val="en-GB" w:eastAsia="en-GB"/>
        </w:rPr>
        <w:footnoteReference w:id="4"/>
      </w:r>
      <w:r w:rsidR="00BE6E5F" w:rsidRPr="00891718">
        <w:rPr>
          <w:rFonts w:eastAsia="Times New Roman"/>
          <w:lang w:val="en-GB" w:eastAsia="en-GB"/>
        </w:rPr>
        <w:t xml:space="preserve">, </w:t>
      </w:r>
      <w:r w:rsidR="0000160F" w:rsidRPr="00891718">
        <w:rPr>
          <w:rFonts w:eastAsia="Times New Roman"/>
          <w:lang w:val="en-GB" w:eastAsia="en-GB"/>
        </w:rPr>
        <w:t xml:space="preserve">and the death of Justice Scalia, </w:t>
      </w:r>
      <w:r w:rsidR="007E3EC1" w:rsidRPr="00891718">
        <w:rPr>
          <w:rFonts w:eastAsia="Times New Roman"/>
          <w:lang w:val="en-GB" w:eastAsia="en-GB"/>
        </w:rPr>
        <w:t>it was</w:t>
      </w:r>
      <w:r w:rsidR="00BE6E5F" w:rsidRPr="00891718">
        <w:rPr>
          <w:rFonts w:eastAsia="Times New Roman"/>
          <w:lang w:val="en-GB" w:eastAsia="en-GB"/>
        </w:rPr>
        <w:t xml:space="preserve"> perhaps unsurprising that </w:t>
      </w:r>
      <w:r w:rsidR="00ED623C" w:rsidRPr="00891718">
        <w:rPr>
          <w:rFonts w:eastAsia="Times New Roman"/>
          <w:lang w:val="en-GB" w:eastAsia="en-GB"/>
        </w:rPr>
        <w:t>2016 came to be</w:t>
      </w:r>
      <w:r w:rsidR="0000160F" w:rsidRPr="00891718">
        <w:rPr>
          <w:rFonts w:eastAsia="Times New Roman"/>
          <w:lang w:val="en-GB" w:eastAsia="en-GB"/>
        </w:rPr>
        <w:t xml:space="preserve"> </w:t>
      </w:r>
      <w:r w:rsidR="00244F0F" w:rsidRPr="00891718">
        <w:rPr>
          <w:rFonts w:eastAsia="Times New Roman"/>
          <w:lang w:val="en-GB" w:eastAsia="en-GB"/>
        </w:rPr>
        <w:t xml:space="preserve">widely </w:t>
      </w:r>
      <w:r w:rsidR="008B50EF">
        <w:rPr>
          <w:rFonts w:eastAsia="Times New Roman"/>
          <w:lang w:val="en-GB" w:eastAsia="en-GB"/>
        </w:rPr>
        <w:t>regarded</w:t>
      </w:r>
      <w:r w:rsidR="003A0ACA" w:rsidRPr="00891718">
        <w:rPr>
          <w:rFonts w:eastAsia="Times New Roman"/>
          <w:lang w:val="en-GB" w:eastAsia="en-GB"/>
        </w:rPr>
        <w:t xml:space="preserve"> as offering </w:t>
      </w:r>
      <w:r w:rsidR="00BE6E5F" w:rsidRPr="00891718">
        <w:rPr>
          <w:rFonts w:eastAsia="Times New Roman"/>
          <w:lang w:val="en-GB" w:eastAsia="en-GB"/>
        </w:rPr>
        <w:t xml:space="preserve">an opportunity for deliverance from a Supreme Court majority </w:t>
      </w:r>
      <w:r w:rsidR="00A73E6E" w:rsidRPr="00891718">
        <w:rPr>
          <w:rFonts w:eastAsia="Times New Roman"/>
          <w:lang w:val="en-GB" w:eastAsia="en-GB"/>
        </w:rPr>
        <w:t xml:space="preserve">seemingly </w:t>
      </w:r>
      <w:r w:rsidR="00BE6E5F" w:rsidRPr="00891718">
        <w:rPr>
          <w:rFonts w:eastAsia="Times New Roman"/>
          <w:lang w:val="en-GB" w:eastAsia="en-GB"/>
        </w:rPr>
        <w:t>bent on deregulation of the campaign finance system</w:t>
      </w:r>
      <w:r w:rsidR="001E2BB6" w:rsidRPr="00891718">
        <w:rPr>
          <w:rFonts w:eastAsia="Times New Roman"/>
          <w:lang w:val="en-GB" w:eastAsia="en-GB"/>
        </w:rPr>
        <w:t xml:space="preserve"> and in denial of the</w:t>
      </w:r>
      <w:r w:rsidR="007304C8" w:rsidRPr="00891718">
        <w:rPr>
          <w:rFonts w:eastAsia="Times New Roman"/>
          <w:lang w:val="en-GB" w:eastAsia="en-GB"/>
        </w:rPr>
        <w:t xml:space="preserve"> consequences</w:t>
      </w:r>
      <w:r w:rsidR="001E2BB6" w:rsidRPr="00891718">
        <w:rPr>
          <w:rFonts w:eastAsia="Times New Roman"/>
          <w:lang w:val="en-GB" w:eastAsia="en-GB"/>
        </w:rPr>
        <w:t xml:space="preserve"> of its actions</w:t>
      </w:r>
      <w:r w:rsidR="00C46594" w:rsidRPr="00891718">
        <w:rPr>
          <w:rFonts w:eastAsia="Times New Roman"/>
          <w:lang w:val="en-GB" w:eastAsia="en-GB"/>
        </w:rPr>
        <w:t>.</w:t>
      </w:r>
      <w:r w:rsidR="00641655" w:rsidRPr="00891718">
        <w:rPr>
          <w:rFonts w:eastAsia="Times New Roman"/>
          <w:lang w:val="en-GB" w:eastAsia="en-GB"/>
        </w:rPr>
        <w:t xml:space="preserve"> </w:t>
      </w:r>
      <w:r w:rsidR="00C46594" w:rsidRPr="00891718">
        <w:rPr>
          <w:rFonts w:eastAsia="Times New Roman"/>
          <w:lang w:val="en-GB" w:eastAsia="en-GB"/>
        </w:rPr>
        <w:t>Ju</w:t>
      </w:r>
      <w:r w:rsidR="00D646EC" w:rsidRPr="00891718">
        <w:rPr>
          <w:rFonts w:eastAsia="Times New Roman"/>
          <w:lang w:val="en-GB" w:eastAsia="en-GB"/>
        </w:rPr>
        <w:t xml:space="preserve">stice Scalia belonged to </w:t>
      </w:r>
      <w:r w:rsidR="00932486" w:rsidRPr="00891718">
        <w:rPr>
          <w:rFonts w:eastAsia="Times New Roman"/>
          <w:lang w:val="en-GB" w:eastAsia="en-GB"/>
        </w:rPr>
        <w:t>the</w:t>
      </w:r>
      <w:r w:rsidR="00D646EC" w:rsidRPr="00891718">
        <w:rPr>
          <w:rFonts w:eastAsia="Times New Roman"/>
          <w:lang w:val="en-GB" w:eastAsia="en-GB"/>
        </w:rPr>
        <w:t xml:space="preserve"> </w:t>
      </w:r>
      <w:r w:rsidRPr="00891718">
        <w:rPr>
          <w:rFonts w:eastAsia="Times New Roman"/>
          <w:lang w:val="en-GB" w:eastAsia="en-GB"/>
        </w:rPr>
        <w:t xml:space="preserve">gang of five </w:t>
      </w:r>
      <w:r w:rsidR="0013782C" w:rsidRPr="00891718">
        <w:rPr>
          <w:rFonts w:eastAsia="Times New Roman"/>
          <w:lang w:val="en-GB" w:eastAsia="en-GB"/>
        </w:rPr>
        <w:t>–</w:t>
      </w:r>
      <w:r w:rsidRPr="00891718">
        <w:rPr>
          <w:rFonts w:eastAsia="Times New Roman"/>
          <w:lang w:val="en-GB" w:eastAsia="en-GB"/>
        </w:rPr>
        <w:t xml:space="preserve"> </w:t>
      </w:r>
      <w:r w:rsidR="0013782C" w:rsidRPr="00891718">
        <w:rPr>
          <w:rFonts w:eastAsia="Times New Roman"/>
          <w:lang w:val="en-GB" w:eastAsia="en-GB"/>
        </w:rPr>
        <w:t xml:space="preserve">a </w:t>
      </w:r>
      <w:r w:rsidR="00404D0B" w:rsidRPr="00891718">
        <w:rPr>
          <w:rFonts w:eastAsia="Times New Roman"/>
          <w:lang w:val="en-GB" w:eastAsia="en-GB"/>
        </w:rPr>
        <w:t>‘</w:t>
      </w:r>
      <w:r w:rsidR="0013782C" w:rsidRPr="00891718">
        <w:rPr>
          <w:rFonts w:eastAsia="Times New Roman"/>
          <w:lang w:val="en-GB" w:eastAsia="en-GB"/>
        </w:rPr>
        <w:t>conservative</w:t>
      </w:r>
      <w:r w:rsidR="00404D0B" w:rsidRPr="00891718">
        <w:rPr>
          <w:rFonts w:eastAsia="Times New Roman"/>
          <w:lang w:val="en-GB" w:eastAsia="en-GB"/>
        </w:rPr>
        <w:t xml:space="preserve"> on campaign finance’</w:t>
      </w:r>
      <w:r w:rsidR="0013782C" w:rsidRPr="00891718">
        <w:rPr>
          <w:rFonts w:eastAsia="Times New Roman"/>
          <w:lang w:val="en-GB" w:eastAsia="en-GB"/>
        </w:rPr>
        <w:t xml:space="preserve"> cohort </w:t>
      </w:r>
      <w:r w:rsidR="00854D78" w:rsidRPr="00891718">
        <w:rPr>
          <w:rFonts w:eastAsia="Times New Roman"/>
          <w:lang w:val="en-GB" w:eastAsia="en-GB"/>
        </w:rPr>
        <w:t xml:space="preserve">also </w:t>
      </w:r>
      <w:r w:rsidR="0013782C" w:rsidRPr="00891718">
        <w:rPr>
          <w:rFonts w:eastAsia="Times New Roman"/>
          <w:lang w:val="en-GB" w:eastAsia="en-GB"/>
        </w:rPr>
        <w:t>co</w:t>
      </w:r>
      <w:r w:rsidR="00854D78" w:rsidRPr="00891718">
        <w:rPr>
          <w:rFonts w:eastAsia="Times New Roman"/>
          <w:lang w:val="en-GB" w:eastAsia="en-GB"/>
        </w:rPr>
        <w:t xml:space="preserve">mprising Chief Justice Roberts and </w:t>
      </w:r>
      <w:r w:rsidR="0013782C" w:rsidRPr="00891718">
        <w:rPr>
          <w:rFonts w:eastAsia="Times New Roman"/>
          <w:lang w:val="en-GB" w:eastAsia="en-GB"/>
        </w:rPr>
        <w:t xml:space="preserve">Justices </w:t>
      </w:r>
      <w:r w:rsidRPr="00891718">
        <w:rPr>
          <w:rFonts w:eastAsia="Times New Roman"/>
          <w:lang w:val="en-GB" w:eastAsia="en-GB"/>
        </w:rPr>
        <w:t xml:space="preserve">Alito, </w:t>
      </w:r>
      <w:r w:rsidR="00404D0B" w:rsidRPr="00891718">
        <w:rPr>
          <w:rFonts w:eastAsia="Times New Roman"/>
          <w:lang w:val="en-GB" w:eastAsia="en-GB"/>
        </w:rPr>
        <w:t>Kennedy, and Thomas</w:t>
      </w:r>
      <w:r w:rsidR="00AB5168" w:rsidRPr="00891718">
        <w:rPr>
          <w:rFonts w:eastAsia="Times New Roman"/>
          <w:lang w:val="en-GB" w:eastAsia="en-GB"/>
        </w:rPr>
        <w:t>.</w:t>
      </w:r>
      <w:r w:rsidR="003A0ACA" w:rsidRPr="00891718">
        <w:rPr>
          <w:rFonts w:eastAsia="Times New Roman"/>
          <w:lang w:val="en-GB" w:eastAsia="en-GB"/>
        </w:rPr>
        <w:t xml:space="preserve"> C</w:t>
      </w:r>
      <w:r w:rsidR="00164CD2" w:rsidRPr="00891718">
        <w:rPr>
          <w:rFonts w:eastAsia="Times New Roman"/>
          <w:lang w:val="en-GB" w:eastAsia="en-GB"/>
        </w:rPr>
        <w:t>ommentators</w:t>
      </w:r>
      <w:r w:rsidR="00C64C90" w:rsidRPr="00891718">
        <w:rPr>
          <w:rFonts w:eastAsia="Times New Roman"/>
          <w:lang w:val="en-GB" w:eastAsia="en-GB"/>
        </w:rPr>
        <w:t xml:space="preserve"> have condemned </w:t>
      </w:r>
      <w:r w:rsidR="00BC0F51" w:rsidRPr="00891718">
        <w:rPr>
          <w:rFonts w:eastAsia="Times New Roman"/>
          <w:lang w:val="en-GB" w:eastAsia="en-GB"/>
        </w:rPr>
        <w:t xml:space="preserve">the </w:t>
      </w:r>
      <w:r w:rsidR="00460CDA" w:rsidRPr="00891718">
        <w:rPr>
          <w:rFonts w:eastAsia="Times New Roman"/>
          <w:lang w:val="en-GB" w:eastAsia="en-GB"/>
        </w:rPr>
        <w:t>result</w:t>
      </w:r>
      <w:r w:rsidR="00BC0F51" w:rsidRPr="00891718">
        <w:rPr>
          <w:rFonts w:eastAsia="Times New Roman"/>
          <w:lang w:val="en-GB" w:eastAsia="en-GB"/>
        </w:rPr>
        <w:t>ing</w:t>
      </w:r>
      <w:r w:rsidR="00460CDA" w:rsidRPr="00891718">
        <w:rPr>
          <w:rFonts w:eastAsia="Times New Roman"/>
          <w:lang w:val="en-GB" w:eastAsia="en-GB"/>
        </w:rPr>
        <w:t xml:space="preserve"> </w:t>
      </w:r>
      <w:r w:rsidR="007353B2" w:rsidRPr="00891718">
        <w:rPr>
          <w:rFonts w:eastAsia="Times New Roman"/>
          <w:lang w:val="en-GB" w:eastAsia="en-GB"/>
        </w:rPr>
        <w:t xml:space="preserve">disfigurement </w:t>
      </w:r>
      <w:r w:rsidR="00BC0F51" w:rsidRPr="00891718">
        <w:rPr>
          <w:rFonts w:eastAsia="Times New Roman"/>
          <w:lang w:val="en-GB" w:eastAsia="en-GB"/>
        </w:rPr>
        <w:t>of A</w:t>
      </w:r>
      <w:r w:rsidR="004C3EC5" w:rsidRPr="00891718">
        <w:rPr>
          <w:rFonts w:eastAsia="Times New Roman"/>
          <w:lang w:val="en-GB" w:eastAsia="en-GB"/>
        </w:rPr>
        <w:t xml:space="preserve">merican elections, with </w:t>
      </w:r>
      <w:r w:rsidR="00C64C90" w:rsidRPr="00891718">
        <w:rPr>
          <w:rFonts w:eastAsia="Times New Roman"/>
          <w:lang w:val="en-GB" w:eastAsia="en-GB"/>
        </w:rPr>
        <w:t xml:space="preserve">Justice </w:t>
      </w:r>
      <w:r w:rsidR="00BC0F51" w:rsidRPr="00891718">
        <w:rPr>
          <w:rFonts w:eastAsia="Times New Roman"/>
          <w:lang w:val="en-GB" w:eastAsia="en-GB"/>
        </w:rPr>
        <w:t xml:space="preserve">Scalia </w:t>
      </w:r>
      <w:r w:rsidR="001E2BB6" w:rsidRPr="00891718">
        <w:rPr>
          <w:rFonts w:eastAsia="Times New Roman"/>
          <w:lang w:val="en-GB" w:eastAsia="en-GB"/>
        </w:rPr>
        <w:t xml:space="preserve">in receipt of </w:t>
      </w:r>
      <w:r w:rsidR="00932486" w:rsidRPr="00891718">
        <w:rPr>
          <w:rFonts w:eastAsia="Times New Roman"/>
          <w:lang w:val="en-GB" w:eastAsia="en-GB"/>
        </w:rPr>
        <w:t xml:space="preserve">much </w:t>
      </w:r>
      <w:r w:rsidR="00BC0F51" w:rsidRPr="00891718">
        <w:rPr>
          <w:rFonts w:eastAsia="Times New Roman"/>
          <w:lang w:val="en-GB" w:eastAsia="en-GB"/>
        </w:rPr>
        <w:t>academic</w:t>
      </w:r>
      <w:r w:rsidR="00C2594B" w:rsidRPr="00891718">
        <w:rPr>
          <w:rFonts w:eastAsia="Times New Roman"/>
          <w:lang w:val="en-GB" w:eastAsia="en-GB"/>
        </w:rPr>
        <w:t>, political</w:t>
      </w:r>
      <w:r w:rsidR="00BC0F51" w:rsidRPr="00891718">
        <w:rPr>
          <w:rFonts w:eastAsia="Times New Roman"/>
          <w:lang w:val="en-GB" w:eastAsia="en-GB"/>
        </w:rPr>
        <w:t xml:space="preserve"> and public opprobrium</w:t>
      </w:r>
      <w:r w:rsidR="00E00FFD" w:rsidRPr="00891718">
        <w:rPr>
          <w:rFonts w:eastAsia="Times New Roman"/>
          <w:lang w:val="en-GB" w:eastAsia="en-GB"/>
        </w:rPr>
        <w:t>, despite having</w:t>
      </w:r>
      <w:r w:rsidR="00EF4EA7" w:rsidRPr="00891718">
        <w:rPr>
          <w:rFonts w:eastAsia="Times New Roman"/>
          <w:lang w:val="en-GB" w:eastAsia="en-GB"/>
        </w:rPr>
        <w:t xml:space="preserve"> rarely authored a majority campaign finance opinion for the Court</w:t>
      </w:r>
      <w:r w:rsidR="00E00FFD" w:rsidRPr="00891718">
        <w:rPr>
          <w:rFonts w:eastAsia="Times New Roman"/>
          <w:lang w:val="en-GB" w:eastAsia="en-GB"/>
        </w:rPr>
        <w:t>.</w:t>
      </w:r>
      <w:r w:rsidR="00E35DAC" w:rsidRPr="00891718">
        <w:rPr>
          <w:rStyle w:val="FootnoteReference"/>
          <w:rFonts w:eastAsia="Times New Roman"/>
          <w:sz w:val="24"/>
          <w:lang w:val="en-GB" w:eastAsia="en-GB"/>
        </w:rPr>
        <w:footnoteReference w:id="5"/>
      </w:r>
      <w:r w:rsidR="00641655" w:rsidRPr="00891718">
        <w:rPr>
          <w:rFonts w:eastAsia="Times New Roman"/>
          <w:lang w:val="en-GB" w:eastAsia="en-GB"/>
        </w:rPr>
        <w:t xml:space="preserve"> </w:t>
      </w:r>
      <w:r w:rsidR="00E00FFD" w:rsidRPr="00891718">
        <w:rPr>
          <w:rFonts w:eastAsia="Times New Roman"/>
          <w:lang w:val="en-GB" w:eastAsia="en-GB"/>
        </w:rPr>
        <w:t>It must be acknowledged, that</w:t>
      </w:r>
      <w:r w:rsidR="00E35DAC" w:rsidRPr="00891718">
        <w:rPr>
          <w:rFonts w:eastAsia="Times New Roman"/>
          <w:lang w:val="en-GB" w:eastAsia="en-GB"/>
        </w:rPr>
        <w:t>, as in other area</w:t>
      </w:r>
      <w:r w:rsidR="00B4336F" w:rsidRPr="00891718">
        <w:rPr>
          <w:rFonts w:eastAsia="Times New Roman"/>
          <w:lang w:val="en-GB" w:eastAsia="en-GB"/>
        </w:rPr>
        <w:t>s of Supreme Court adjudication</w:t>
      </w:r>
      <w:r w:rsidR="00E35DAC" w:rsidRPr="00891718">
        <w:rPr>
          <w:rFonts w:eastAsia="Times New Roman"/>
          <w:lang w:val="en-GB" w:eastAsia="en-GB"/>
        </w:rPr>
        <w:t>,</w:t>
      </w:r>
      <w:r w:rsidR="00E00FFD" w:rsidRPr="00891718">
        <w:rPr>
          <w:rFonts w:eastAsia="Times New Roman"/>
          <w:lang w:val="en-GB" w:eastAsia="en-GB"/>
        </w:rPr>
        <w:t xml:space="preserve"> </w:t>
      </w:r>
      <w:r w:rsidR="00244F0F" w:rsidRPr="00891718">
        <w:rPr>
          <w:rFonts w:eastAsia="Times New Roman"/>
          <w:lang w:val="en-GB" w:eastAsia="en-GB"/>
        </w:rPr>
        <w:t xml:space="preserve">Justice </w:t>
      </w:r>
      <w:r w:rsidR="007353B2" w:rsidRPr="00891718">
        <w:rPr>
          <w:rFonts w:eastAsia="Times New Roman"/>
          <w:lang w:val="en-GB" w:eastAsia="en-GB"/>
        </w:rPr>
        <w:t>Scalia’s</w:t>
      </w:r>
      <w:r w:rsidR="00E35DAC" w:rsidRPr="00891718">
        <w:rPr>
          <w:rFonts w:eastAsia="Times New Roman"/>
          <w:lang w:val="en-GB" w:eastAsia="en-GB"/>
        </w:rPr>
        <w:t xml:space="preserve"> dissents and concurrences </w:t>
      </w:r>
      <w:r w:rsidR="00510650" w:rsidRPr="00891718">
        <w:rPr>
          <w:rFonts w:eastAsia="Times New Roman"/>
          <w:lang w:val="en-GB" w:eastAsia="en-GB"/>
        </w:rPr>
        <w:t xml:space="preserve">on </w:t>
      </w:r>
      <w:r w:rsidR="00566EDB" w:rsidRPr="00891718">
        <w:rPr>
          <w:rFonts w:eastAsia="Times New Roman"/>
          <w:lang w:val="en-GB" w:eastAsia="en-GB"/>
        </w:rPr>
        <w:t xml:space="preserve">controversies in </w:t>
      </w:r>
      <w:r w:rsidR="00510650" w:rsidRPr="00891718">
        <w:rPr>
          <w:rFonts w:eastAsia="Times New Roman"/>
          <w:lang w:val="en-GB" w:eastAsia="en-GB"/>
        </w:rPr>
        <w:t xml:space="preserve">campaign finance </w:t>
      </w:r>
      <w:r w:rsidR="00C86A9D" w:rsidRPr="00891718">
        <w:rPr>
          <w:rFonts w:eastAsia="Times New Roman"/>
          <w:lang w:val="en-GB" w:eastAsia="en-GB"/>
        </w:rPr>
        <w:t>tend</w:t>
      </w:r>
      <w:r w:rsidR="0092793B" w:rsidRPr="00891718">
        <w:rPr>
          <w:rFonts w:eastAsia="Times New Roman"/>
          <w:lang w:val="en-GB" w:eastAsia="en-GB"/>
        </w:rPr>
        <w:t>ed</w:t>
      </w:r>
      <w:r w:rsidR="00C86A9D" w:rsidRPr="00891718">
        <w:rPr>
          <w:rFonts w:eastAsia="Times New Roman"/>
          <w:lang w:val="en-GB" w:eastAsia="en-GB"/>
        </w:rPr>
        <w:t xml:space="preserve"> to </w:t>
      </w:r>
      <w:r w:rsidR="00B4336F" w:rsidRPr="00891718">
        <w:rPr>
          <w:rFonts w:eastAsia="Times New Roman"/>
          <w:lang w:val="en-GB" w:eastAsia="en-GB"/>
        </w:rPr>
        <w:t>dra</w:t>
      </w:r>
      <w:r w:rsidR="00B24D8D" w:rsidRPr="00891718">
        <w:rPr>
          <w:rFonts w:eastAsia="Times New Roman"/>
          <w:lang w:val="en-GB" w:eastAsia="en-GB"/>
        </w:rPr>
        <w:t xml:space="preserve">w </w:t>
      </w:r>
      <w:r w:rsidR="00E35DAC" w:rsidRPr="00891718">
        <w:rPr>
          <w:rFonts w:eastAsia="Times New Roman"/>
          <w:lang w:val="en-GB" w:eastAsia="en-GB"/>
        </w:rPr>
        <w:t>fire rather more readily</w:t>
      </w:r>
      <w:r w:rsidR="005933AE" w:rsidRPr="00891718">
        <w:rPr>
          <w:rFonts w:eastAsia="Times New Roman"/>
          <w:lang w:val="en-GB" w:eastAsia="en-GB"/>
        </w:rPr>
        <w:t xml:space="preserve"> than others’</w:t>
      </w:r>
      <w:r w:rsidR="00B4336F" w:rsidRPr="00891718">
        <w:rPr>
          <w:rFonts w:eastAsia="Times New Roman"/>
          <w:lang w:val="en-GB" w:eastAsia="en-GB"/>
        </w:rPr>
        <w:t>.</w:t>
      </w:r>
      <w:r w:rsidR="00641655" w:rsidRPr="00891718">
        <w:rPr>
          <w:rFonts w:eastAsia="Times New Roman"/>
          <w:lang w:val="en-GB" w:eastAsia="en-GB"/>
        </w:rPr>
        <w:t xml:space="preserve"> </w:t>
      </w:r>
      <w:r w:rsidR="009628E5" w:rsidRPr="00891718">
        <w:rPr>
          <w:rFonts w:eastAsia="Times New Roman"/>
          <w:lang w:val="en-GB" w:eastAsia="en-GB"/>
        </w:rPr>
        <w:t xml:space="preserve">Given </w:t>
      </w:r>
      <w:r w:rsidR="000C20BB" w:rsidRPr="00891718">
        <w:rPr>
          <w:rFonts w:eastAsia="Times New Roman"/>
          <w:lang w:val="en-GB" w:eastAsia="en-GB"/>
        </w:rPr>
        <w:t xml:space="preserve">his </w:t>
      </w:r>
      <w:r w:rsidR="00250B11" w:rsidRPr="00891718">
        <w:rPr>
          <w:rFonts w:eastAsia="Times New Roman"/>
          <w:lang w:val="en-GB" w:eastAsia="en-GB"/>
        </w:rPr>
        <w:t xml:space="preserve">judgments’ </w:t>
      </w:r>
      <w:r w:rsidR="00366F29" w:rsidRPr="00891718">
        <w:rPr>
          <w:rFonts w:eastAsia="Times New Roman"/>
          <w:lang w:val="en-GB" w:eastAsia="en-GB"/>
        </w:rPr>
        <w:t xml:space="preserve">often </w:t>
      </w:r>
      <w:r w:rsidR="000044AD" w:rsidRPr="00891718">
        <w:rPr>
          <w:rFonts w:eastAsia="Times New Roman"/>
          <w:lang w:val="en-GB" w:eastAsia="en-GB"/>
        </w:rPr>
        <w:t>stark concision</w:t>
      </w:r>
      <w:r w:rsidR="00366F29" w:rsidRPr="00891718">
        <w:rPr>
          <w:rFonts w:eastAsia="Times New Roman"/>
          <w:lang w:val="en-GB" w:eastAsia="en-GB"/>
        </w:rPr>
        <w:t xml:space="preserve"> and potent bite</w:t>
      </w:r>
      <w:r w:rsidR="000C20BB" w:rsidRPr="00891718">
        <w:rPr>
          <w:rFonts w:eastAsia="Times New Roman"/>
          <w:lang w:val="en-GB" w:eastAsia="en-GB"/>
        </w:rPr>
        <w:t>,</w:t>
      </w:r>
      <w:r w:rsidR="00A57A2E" w:rsidRPr="00891718">
        <w:rPr>
          <w:rFonts w:eastAsia="Times New Roman"/>
          <w:lang w:val="en-GB" w:eastAsia="en-GB"/>
        </w:rPr>
        <w:t xml:space="preserve"> </w:t>
      </w:r>
      <w:r w:rsidR="000C20BB" w:rsidRPr="00891718">
        <w:rPr>
          <w:rFonts w:eastAsia="Times New Roman"/>
          <w:lang w:val="en-GB" w:eastAsia="en-GB"/>
        </w:rPr>
        <w:t>s</w:t>
      </w:r>
      <w:r w:rsidR="0092793B" w:rsidRPr="00891718">
        <w:rPr>
          <w:rFonts w:eastAsia="Times New Roman"/>
          <w:lang w:val="en-GB" w:eastAsia="en-GB"/>
        </w:rPr>
        <w:t>uch wa</w:t>
      </w:r>
      <w:r w:rsidR="00164CD2" w:rsidRPr="00891718">
        <w:rPr>
          <w:rFonts w:eastAsia="Times New Roman"/>
          <w:lang w:val="en-GB" w:eastAsia="en-GB"/>
        </w:rPr>
        <w:t>s the natu</w:t>
      </w:r>
      <w:r w:rsidR="00F0415F" w:rsidRPr="00891718">
        <w:rPr>
          <w:rFonts w:eastAsia="Times New Roman"/>
          <w:lang w:val="en-GB" w:eastAsia="en-GB"/>
        </w:rPr>
        <w:t>re of things.</w:t>
      </w:r>
      <w:r w:rsidR="007C00DE" w:rsidRPr="00891718">
        <w:rPr>
          <w:rStyle w:val="FootnoteReference"/>
          <w:rFonts w:eastAsia="Times New Roman"/>
          <w:sz w:val="24"/>
          <w:lang w:val="en-GB" w:eastAsia="en-GB"/>
        </w:rPr>
        <w:footnoteReference w:id="6"/>
      </w:r>
      <w:r w:rsidR="00164CD2" w:rsidRPr="00891718">
        <w:rPr>
          <w:rFonts w:eastAsia="Times New Roman"/>
          <w:lang w:val="en-GB" w:eastAsia="en-GB"/>
        </w:rPr>
        <w:t xml:space="preserve"> </w:t>
      </w:r>
      <w:r w:rsidR="00B4336F" w:rsidRPr="00891718">
        <w:rPr>
          <w:rFonts w:eastAsia="Times New Roman"/>
          <w:lang w:val="en-GB" w:eastAsia="en-GB"/>
        </w:rPr>
        <w:t>It</w:t>
      </w:r>
      <w:r w:rsidR="00AA275B" w:rsidRPr="00891718">
        <w:rPr>
          <w:rFonts w:eastAsia="Times New Roman"/>
          <w:lang w:val="en-GB" w:eastAsia="en-GB"/>
        </w:rPr>
        <w:t xml:space="preserve"> must also be acknowledged that,</w:t>
      </w:r>
      <w:r w:rsidR="007E3EC1" w:rsidRPr="00891718">
        <w:rPr>
          <w:rFonts w:eastAsia="Times New Roman"/>
          <w:lang w:val="en-GB" w:eastAsia="en-GB"/>
        </w:rPr>
        <w:t xml:space="preserve"> </w:t>
      </w:r>
      <w:r w:rsidR="006C5D75" w:rsidRPr="00891718">
        <w:rPr>
          <w:rFonts w:eastAsia="Times New Roman"/>
          <w:lang w:val="en-GB" w:eastAsia="en-GB"/>
        </w:rPr>
        <w:t xml:space="preserve">despite </w:t>
      </w:r>
      <w:r w:rsidR="007E3EC1" w:rsidRPr="00891718">
        <w:rPr>
          <w:rFonts w:eastAsia="Times New Roman"/>
          <w:lang w:val="en-GB" w:eastAsia="en-GB"/>
        </w:rPr>
        <w:t xml:space="preserve">the </w:t>
      </w:r>
      <w:r w:rsidR="004C3EC5" w:rsidRPr="00891718">
        <w:rPr>
          <w:rFonts w:eastAsia="Times New Roman"/>
          <w:lang w:val="en-GB" w:eastAsia="en-GB"/>
        </w:rPr>
        <w:t xml:space="preserve">undoubted </w:t>
      </w:r>
      <w:r w:rsidR="007E3EC1" w:rsidRPr="00891718">
        <w:rPr>
          <w:rFonts w:eastAsia="Times New Roman"/>
          <w:lang w:val="en-GB" w:eastAsia="en-GB"/>
        </w:rPr>
        <w:t xml:space="preserve">transformative </w:t>
      </w:r>
      <w:r w:rsidR="006C5D75" w:rsidRPr="00891718">
        <w:rPr>
          <w:rFonts w:eastAsia="Times New Roman"/>
          <w:lang w:val="en-GB" w:eastAsia="en-GB"/>
        </w:rPr>
        <w:t>power</w:t>
      </w:r>
      <w:r w:rsidR="007E3EC1" w:rsidRPr="00891718">
        <w:rPr>
          <w:rFonts w:eastAsia="Times New Roman"/>
          <w:lang w:val="en-GB" w:eastAsia="en-GB"/>
        </w:rPr>
        <w:t xml:space="preserve"> of elections, the Trump victory is unlikely to liberate the Court from the grip of its </w:t>
      </w:r>
      <w:r w:rsidR="001755BB" w:rsidRPr="00891718">
        <w:rPr>
          <w:rFonts w:eastAsia="Times New Roman"/>
          <w:lang w:val="en-GB" w:eastAsia="en-GB"/>
        </w:rPr>
        <w:t>conservative Justices</w:t>
      </w:r>
      <w:r w:rsidR="00B71C36" w:rsidRPr="00891718">
        <w:rPr>
          <w:rFonts w:eastAsia="Times New Roman"/>
          <w:lang w:val="en-GB" w:eastAsia="en-GB"/>
        </w:rPr>
        <w:t>, or</w:t>
      </w:r>
      <w:r w:rsidR="007E3EC1" w:rsidRPr="00891718">
        <w:rPr>
          <w:rFonts w:eastAsia="Times New Roman"/>
          <w:lang w:val="en-GB" w:eastAsia="en-GB"/>
        </w:rPr>
        <w:t xml:space="preserve"> from </w:t>
      </w:r>
      <w:r w:rsidR="00510650" w:rsidRPr="00891718">
        <w:rPr>
          <w:rFonts w:eastAsia="Times New Roman"/>
          <w:lang w:val="en-GB" w:eastAsia="en-GB"/>
        </w:rPr>
        <w:t>agenda</w:t>
      </w:r>
      <w:r w:rsidR="00566EDB" w:rsidRPr="00891718">
        <w:rPr>
          <w:rFonts w:eastAsia="Times New Roman"/>
          <w:lang w:val="en-GB" w:eastAsia="en-GB"/>
        </w:rPr>
        <w:t xml:space="preserve"> l</w:t>
      </w:r>
      <w:r w:rsidR="00510650" w:rsidRPr="00891718">
        <w:rPr>
          <w:rFonts w:eastAsia="Times New Roman"/>
          <w:lang w:val="en-GB" w:eastAsia="en-GB"/>
        </w:rPr>
        <w:t xml:space="preserve">ed, </w:t>
      </w:r>
      <w:r w:rsidR="007E3EC1" w:rsidRPr="00891718">
        <w:rPr>
          <w:rFonts w:eastAsia="Times New Roman"/>
          <w:lang w:val="en-GB" w:eastAsia="en-GB"/>
        </w:rPr>
        <w:t>market</w:t>
      </w:r>
      <w:r w:rsidR="00566EDB" w:rsidRPr="00891718">
        <w:rPr>
          <w:rFonts w:eastAsia="Times New Roman"/>
          <w:lang w:val="en-GB" w:eastAsia="en-GB"/>
        </w:rPr>
        <w:t xml:space="preserve"> driven</w:t>
      </w:r>
      <w:r w:rsidR="007E3EC1" w:rsidRPr="00891718">
        <w:rPr>
          <w:rFonts w:eastAsia="Times New Roman"/>
          <w:lang w:val="en-GB" w:eastAsia="en-GB"/>
        </w:rPr>
        <w:t xml:space="preserve">, </w:t>
      </w:r>
      <w:r w:rsidR="00566EDB" w:rsidRPr="00891718">
        <w:rPr>
          <w:rFonts w:eastAsia="Times New Roman"/>
          <w:lang w:val="en-GB" w:eastAsia="en-GB"/>
        </w:rPr>
        <w:t>laissez-</w:t>
      </w:r>
      <w:r w:rsidR="007E3EC1" w:rsidRPr="00891718">
        <w:rPr>
          <w:rFonts w:eastAsia="Times New Roman"/>
          <w:lang w:val="en-GB" w:eastAsia="en-GB"/>
        </w:rPr>
        <w:t>faire campaign finance adjudication.</w:t>
      </w:r>
      <w:r w:rsidR="00C2594B" w:rsidRPr="00891718">
        <w:rPr>
          <w:rFonts w:eastAsia="Times New Roman"/>
          <w:lang w:val="en-GB" w:eastAsia="en-GB"/>
        </w:rPr>
        <w:t xml:space="preserve"> </w:t>
      </w:r>
      <w:r w:rsidR="007655F1" w:rsidRPr="00891718">
        <w:rPr>
          <w:rFonts w:eastAsia="Times New Roman"/>
          <w:lang w:val="en-GB" w:eastAsia="en-GB"/>
        </w:rPr>
        <w:t xml:space="preserve">The new </w:t>
      </w:r>
      <w:r w:rsidR="006C5D75" w:rsidRPr="00891718">
        <w:rPr>
          <w:rFonts w:eastAsia="Times New Roman"/>
          <w:lang w:val="en-GB" w:eastAsia="en-GB"/>
        </w:rPr>
        <w:t xml:space="preserve">President’s </w:t>
      </w:r>
      <w:r w:rsidR="00566EDB" w:rsidRPr="00891718">
        <w:rPr>
          <w:rFonts w:eastAsia="Times New Roman"/>
          <w:lang w:val="en-GB" w:eastAsia="en-GB"/>
        </w:rPr>
        <w:lastRenderedPageBreak/>
        <w:t xml:space="preserve">recognition </w:t>
      </w:r>
      <w:r w:rsidR="006C5D75" w:rsidRPr="00891718">
        <w:rPr>
          <w:rFonts w:eastAsia="Times New Roman"/>
          <w:lang w:val="en-GB" w:eastAsia="en-GB"/>
        </w:rPr>
        <w:t>of a “broken”</w:t>
      </w:r>
      <w:r w:rsidR="006C5D75" w:rsidRPr="00891718">
        <w:rPr>
          <w:rStyle w:val="FootnoteReference"/>
          <w:rFonts w:eastAsia="Times New Roman"/>
          <w:sz w:val="24"/>
          <w:lang w:val="en-GB" w:eastAsia="en-GB"/>
        </w:rPr>
        <w:footnoteReference w:id="7"/>
      </w:r>
      <w:r w:rsidR="006C5D75" w:rsidRPr="00891718">
        <w:rPr>
          <w:rFonts w:eastAsia="Times New Roman"/>
          <w:lang w:val="en-GB" w:eastAsia="en-GB"/>
        </w:rPr>
        <w:t xml:space="preserve"> system</w:t>
      </w:r>
      <w:r w:rsidR="007655F1" w:rsidRPr="00891718">
        <w:rPr>
          <w:rFonts w:eastAsia="Times New Roman"/>
          <w:lang w:val="en-GB" w:eastAsia="en-GB"/>
        </w:rPr>
        <w:t xml:space="preserve"> </w:t>
      </w:r>
      <w:r w:rsidR="00C76C9B" w:rsidRPr="00891718">
        <w:rPr>
          <w:rFonts w:eastAsia="Times New Roman"/>
          <w:lang w:val="en-GB" w:eastAsia="en-GB"/>
        </w:rPr>
        <w:t xml:space="preserve">and </w:t>
      </w:r>
      <w:r w:rsidR="00CE3ED3" w:rsidRPr="00891718">
        <w:rPr>
          <w:rFonts w:eastAsia="Times New Roman"/>
          <w:lang w:val="en-GB" w:eastAsia="en-GB"/>
        </w:rPr>
        <w:t xml:space="preserve">promise </w:t>
      </w:r>
      <w:r w:rsidR="00C76C9B" w:rsidRPr="00891718">
        <w:rPr>
          <w:rFonts w:eastAsia="Times New Roman"/>
          <w:lang w:val="en-GB" w:eastAsia="en-GB"/>
        </w:rPr>
        <w:t>to “drain the swamp”</w:t>
      </w:r>
      <w:r w:rsidR="00C76C9B" w:rsidRPr="00891718">
        <w:rPr>
          <w:rStyle w:val="FootnoteReference"/>
          <w:rFonts w:eastAsia="Times New Roman"/>
          <w:sz w:val="24"/>
          <w:lang w:val="en-GB" w:eastAsia="en-GB"/>
        </w:rPr>
        <w:footnoteReference w:id="8"/>
      </w:r>
      <w:r w:rsidR="00C76C9B" w:rsidRPr="00891718">
        <w:rPr>
          <w:rFonts w:eastAsia="Times New Roman"/>
          <w:lang w:val="en-GB" w:eastAsia="en-GB"/>
        </w:rPr>
        <w:t xml:space="preserve"> </w:t>
      </w:r>
      <w:r w:rsidR="007655F1" w:rsidRPr="00891718">
        <w:rPr>
          <w:rFonts w:eastAsia="Times New Roman"/>
          <w:lang w:val="en-GB" w:eastAsia="en-GB"/>
        </w:rPr>
        <w:t xml:space="preserve">might be welcome but </w:t>
      </w:r>
      <w:r w:rsidR="00997682" w:rsidRPr="00891718">
        <w:rPr>
          <w:rFonts w:eastAsia="Times New Roman"/>
          <w:lang w:eastAsia="en-GB"/>
        </w:rPr>
        <w:t>the</w:t>
      </w:r>
      <w:r w:rsidR="007655F1" w:rsidRPr="00891718">
        <w:rPr>
          <w:rFonts w:eastAsia="Times New Roman"/>
          <w:lang w:eastAsia="en-GB"/>
        </w:rPr>
        <w:t xml:space="preserve"> rhetoric is </w:t>
      </w:r>
      <w:r w:rsidR="00B36140" w:rsidRPr="00891718">
        <w:rPr>
          <w:rFonts w:eastAsia="Times New Roman"/>
          <w:lang w:eastAsia="en-GB"/>
        </w:rPr>
        <w:t xml:space="preserve">wholly </w:t>
      </w:r>
      <w:r w:rsidR="007655F1" w:rsidRPr="00891718">
        <w:rPr>
          <w:rFonts w:eastAsia="Times New Roman"/>
          <w:lang w:eastAsia="en-GB"/>
        </w:rPr>
        <w:t xml:space="preserve">disconnected from the reality that, on </w:t>
      </w:r>
      <w:r w:rsidR="004C3EC5" w:rsidRPr="00891718">
        <w:rPr>
          <w:rFonts w:eastAsia="Times New Roman"/>
          <w:lang w:eastAsia="en-GB"/>
        </w:rPr>
        <w:t xml:space="preserve">regulation and </w:t>
      </w:r>
      <w:r w:rsidR="007655F1" w:rsidRPr="00891718">
        <w:rPr>
          <w:rFonts w:eastAsia="Times New Roman"/>
          <w:lang w:eastAsia="en-GB"/>
        </w:rPr>
        <w:t>reform</w:t>
      </w:r>
      <w:r w:rsidR="007E3EC1" w:rsidRPr="00891718">
        <w:rPr>
          <w:rFonts w:eastAsia="Times New Roman"/>
          <w:lang w:val="en-GB" w:eastAsia="en-GB"/>
        </w:rPr>
        <w:t>,</w:t>
      </w:r>
      <w:r w:rsidR="007655F1" w:rsidRPr="00891718">
        <w:rPr>
          <w:rFonts w:eastAsia="Times New Roman"/>
          <w:lang w:val="en-GB" w:eastAsia="en-GB"/>
        </w:rPr>
        <w:t xml:space="preserve"> the Supreme Court’s role is determinative.</w:t>
      </w:r>
      <w:r w:rsidR="00871A4F" w:rsidRPr="00891718">
        <w:rPr>
          <w:rFonts w:eastAsia="Times New Roman"/>
          <w:lang w:val="en-GB" w:eastAsia="en-GB"/>
        </w:rPr>
        <w:t xml:space="preserve"> </w:t>
      </w:r>
    </w:p>
    <w:p w14:paraId="440AFE1A" w14:textId="40042669" w:rsidR="0014374E" w:rsidRDefault="00871A4F" w:rsidP="00891718">
      <w:pPr>
        <w:ind w:firstLine="284"/>
        <w:jc w:val="both"/>
        <w:rPr>
          <w:rFonts w:eastAsia="Times New Roman"/>
          <w:lang w:val="en-GB" w:eastAsia="en-GB"/>
        </w:rPr>
      </w:pPr>
      <w:r w:rsidRPr="00891718">
        <w:rPr>
          <w:rFonts w:eastAsia="Times New Roman"/>
          <w:lang w:val="en-GB" w:eastAsia="en-GB"/>
        </w:rPr>
        <w:t xml:space="preserve">Given the prevalence of the 5-4 split in campaign finance cases, </w:t>
      </w:r>
      <w:r w:rsidR="00F0415F" w:rsidRPr="00891718">
        <w:rPr>
          <w:rFonts w:eastAsia="Times New Roman"/>
          <w:lang w:val="en-GB" w:eastAsia="en-GB"/>
        </w:rPr>
        <w:t>it is self-evident</w:t>
      </w:r>
      <w:r w:rsidRPr="00891718">
        <w:rPr>
          <w:rFonts w:eastAsia="Times New Roman"/>
          <w:lang w:val="en-GB" w:eastAsia="en-GB"/>
        </w:rPr>
        <w:t xml:space="preserve"> </w:t>
      </w:r>
      <w:r w:rsidRPr="00891718">
        <w:rPr>
          <w:rFonts w:eastAsia="Times New Roman"/>
          <w:color w:val="000000"/>
          <w:shd w:val="clear" w:color="auto" w:fill="FFFFFF"/>
        </w:rPr>
        <w:t>that having to fill an empty seat on the Supreme Court bench could “flip national rules for American elections by 180 degrees</w:t>
      </w:r>
      <w:r w:rsidR="00F0415F" w:rsidRPr="00891718">
        <w:rPr>
          <w:rFonts w:eastAsia="Times New Roman"/>
          <w:color w:val="000000"/>
          <w:shd w:val="clear" w:color="auto" w:fill="FFFFFF"/>
        </w:rPr>
        <w:t>.</w:t>
      </w:r>
      <w:r w:rsidRPr="00891718">
        <w:rPr>
          <w:rFonts w:eastAsia="Times New Roman"/>
          <w:color w:val="000000"/>
          <w:shd w:val="clear" w:color="auto" w:fill="FFFFFF"/>
        </w:rPr>
        <w:t>”</w:t>
      </w:r>
      <w:r w:rsidRPr="00891718">
        <w:rPr>
          <w:rStyle w:val="FootnoteReference"/>
          <w:rFonts w:eastAsia="Times New Roman"/>
          <w:color w:val="000000"/>
          <w:sz w:val="24"/>
          <w:shd w:val="clear" w:color="auto" w:fill="FFFFFF"/>
        </w:rPr>
        <w:footnoteReference w:id="9"/>
      </w:r>
      <w:r w:rsidR="00641655" w:rsidRPr="00891718">
        <w:rPr>
          <w:rFonts w:eastAsia="Times New Roman"/>
          <w:color w:val="000000"/>
          <w:shd w:val="clear" w:color="auto" w:fill="FFFFFF"/>
        </w:rPr>
        <w:t xml:space="preserve"> </w:t>
      </w:r>
      <w:r w:rsidR="009F3FAB" w:rsidRPr="00891718">
        <w:rPr>
          <w:rFonts w:eastAsia="Times New Roman"/>
          <w:color w:val="000000"/>
          <w:shd w:val="clear" w:color="auto" w:fill="FFFFFF"/>
        </w:rPr>
        <w:t>C</w:t>
      </w:r>
      <w:r w:rsidR="00935F8E" w:rsidRPr="00891718">
        <w:rPr>
          <w:rFonts w:eastAsia="Times New Roman"/>
          <w:color w:val="000000"/>
          <w:shd w:val="clear" w:color="auto" w:fill="FFFFFF"/>
        </w:rPr>
        <w:t>urrently,</w:t>
      </w:r>
      <w:r w:rsidR="009F3FAB" w:rsidRPr="00891718">
        <w:rPr>
          <w:rFonts w:eastAsia="Times New Roman"/>
          <w:color w:val="000000"/>
          <w:shd w:val="clear" w:color="auto" w:fill="FFFFFF"/>
        </w:rPr>
        <w:t xml:space="preserve"> </w:t>
      </w:r>
      <w:r w:rsidR="00CC6E7A" w:rsidRPr="00891718">
        <w:rPr>
          <w:rFonts w:eastAsia="Times New Roman"/>
          <w:color w:val="000000"/>
          <w:shd w:val="clear" w:color="auto" w:fill="FFFFFF"/>
        </w:rPr>
        <w:t xml:space="preserve">however, </w:t>
      </w:r>
      <w:r w:rsidR="00244F0F" w:rsidRPr="00891718">
        <w:rPr>
          <w:rFonts w:eastAsia="Times New Roman"/>
          <w:color w:val="000000"/>
          <w:shd w:val="clear" w:color="auto" w:fill="FFFFFF"/>
        </w:rPr>
        <w:t>the</w:t>
      </w:r>
      <w:r w:rsidR="009F3FAB" w:rsidRPr="00891718">
        <w:rPr>
          <w:rFonts w:eastAsia="Times New Roman"/>
          <w:color w:val="000000"/>
          <w:shd w:val="clear" w:color="auto" w:fill="FFFFFF"/>
        </w:rPr>
        <w:t xml:space="preserve"> possibility </w:t>
      </w:r>
      <w:r w:rsidR="00244F0F" w:rsidRPr="00891718">
        <w:rPr>
          <w:rFonts w:eastAsia="Times New Roman"/>
          <w:color w:val="000000"/>
          <w:shd w:val="clear" w:color="auto" w:fill="FFFFFF"/>
        </w:rPr>
        <w:t xml:space="preserve">of an about turn </w:t>
      </w:r>
      <w:r w:rsidR="009F3FAB" w:rsidRPr="00891718">
        <w:rPr>
          <w:rFonts w:eastAsia="Times New Roman"/>
          <w:color w:val="000000"/>
          <w:shd w:val="clear" w:color="auto" w:fill="FFFFFF"/>
        </w:rPr>
        <w:t>appears remote</w:t>
      </w:r>
      <w:r w:rsidR="000623A8" w:rsidRPr="00891718">
        <w:rPr>
          <w:rFonts w:eastAsia="Times New Roman"/>
          <w:color w:val="000000"/>
          <w:shd w:val="clear" w:color="auto" w:fill="FFFFFF"/>
        </w:rPr>
        <w:t>.</w:t>
      </w:r>
      <w:r w:rsidR="00641655" w:rsidRPr="00891718">
        <w:rPr>
          <w:rFonts w:eastAsia="Times New Roman"/>
        </w:rPr>
        <w:t xml:space="preserve"> </w:t>
      </w:r>
      <w:r w:rsidR="009F3FAB" w:rsidRPr="00891718">
        <w:rPr>
          <w:rFonts w:eastAsia="Times New Roman"/>
        </w:rPr>
        <w:t>Instead, w</w:t>
      </w:r>
      <w:proofErr w:type="spellStart"/>
      <w:r w:rsidR="007655F1" w:rsidRPr="00891718">
        <w:rPr>
          <w:rFonts w:eastAsia="Times New Roman"/>
          <w:lang w:val="en-GB" w:eastAsia="en-GB"/>
        </w:rPr>
        <w:t>ith</w:t>
      </w:r>
      <w:proofErr w:type="spellEnd"/>
      <w:r w:rsidR="007655F1" w:rsidRPr="00891718">
        <w:rPr>
          <w:rFonts w:eastAsia="Times New Roman"/>
          <w:lang w:val="en-GB" w:eastAsia="en-GB"/>
        </w:rPr>
        <w:t xml:space="preserve"> a probable</w:t>
      </w:r>
      <w:r w:rsidR="00935F8E" w:rsidRPr="00891718">
        <w:rPr>
          <w:rFonts w:eastAsia="Times New Roman"/>
          <w:lang w:val="en-GB" w:eastAsia="en-GB"/>
        </w:rPr>
        <w:t>, and probably increasingly acute,</w:t>
      </w:r>
      <w:r w:rsidR="007655F1" w:rsidRPr="00891718">
        <w:rPr>
          <w:rFonts w:eastAsia="Times New Roman"/>
          <w:lang w:val="en-GB" w:eastAsia="en-GB"/>
        </w:rPr>
        <w:t xml:space="preserve"> lurch to </w:t>
      </w:r>
      <w:r w:rsidR="00935F8E" w:rsidRPr="00891718">
        <w:rPr>
          <w:rFonts w:eastAsia="Times New Roman"/>
          <w:lang w:val="en-GB" w:eastAsia="en-GB"/>
        </w:rPr>
        <w:t>the right as a result of successive Trump</w:t>
      </w:r>
      <w:r w:rsidR="007655F1" w:rsidRPr="00891718">
        <w:rPr>
          <w:rFonts w:eastAsia="Times New Roman"/>
          <w:lang w:val="en-GB" w:eastAsia="en-GB"/>
        </w:rPr>
        <w:t xml:space="preserve"> appointments to the Supreme Court, </w:t>
      </w:r>
      <w:r w:rsidR="009F3FAB" w:rsidRPr="00891718">
        <w:rPr>
          <w:rFonts w:eastAsia="Times New Roman"/>
          <w:lang w:val="en-GB" w:eastAsia="en-GB"/>
        </w:rPr>
        <w:t>2016 may</w:t>
      </w:r>
      <w:r w:rsidR="00F0415F" w:rsidRPr="00891718">
        <w:rPr>
          <w:rFonts w:eastAsia="Times New Roman"/>
          <w:lang w:val="en-GB" w:eastAsia="en-GB"/>
        </w:rPr>
        <w:t xml:space="preserve"> prove</w:t>
      </w:r>
      <w:r w:rsidR="00C2594B" w:rsidRPr="00891718">
        <w:rPr>
          <w:rFonts w:eastAsia="Times New Roman"/>
          <w:lang w:val="en-GB" w:eastAsia="en-GB"/>
        </w:rPr>
        <w:t xml:space="preserve"> a false daw</w:t>
      </w:r>
      <w:r w:rsidR="00F0415F" w:rsidRPr="00891718">
        <w:rPr>
          <w:rFonts w:eastAsia="Times New Roman"/>
          <w:lang w:val="en-GB" w:eastAsia="en-GB"/>
        </w:rPr>
        <w:t>n for campaign finance reform</w:t>
      </w:r>
      <w:r w:rsidR="000623A8" w:rsidRPr="00891718">
        <w:rPr>
          <w:rFonts w:eastAsia="Times New Roman"/>
          <w:lang w:val="en-GB" w:eastAsia="en-GB"/>
        </w:rPr>
        <w:t>.</w:t>
      </w:r>
      <w:r w:rsidR="00641655" w:rsidRPr="00891718">
        <w:rPr>
          <w:rFonts w:eastAsia="Times New Roman"/>
          <w:lang w:val="en-GB" w:eastAsia="en-GB"/>
        </w:rPr>
        <w:t xml:space="preserve"> </w:t>
      </w:r>
      <w:r w:rsidR="000623A8" w:rsidRPr="00891718">
        <w:rPr>
          <w:rFonts w:eastAsia="Times New Roman"/>
          <w:lang w:val="en-GB" w:eastAsia="en-GB"/>
        </w:rPr>
        <w:t>At the time of writing</w:t>
      </w:r>
      <w:r w:rsidR="00F0415F" w:rsidRPr="00891718">
        <w:rPr>
          <w:rFonts w:eastAsia="Times New Roman"/>
          <w:lang w:val="en-GB" w:eastAsia="en-GB"/>
        </w:rPr>
        <w:t xml:space="preserve"> it is too early to say but, for the new administration, </w:t>
      </w:r>
      <w:r w:rsidR="00935F8E" w:rsidRPr="00891718">
        <w:rPr>
          <w:rFonts w:eastAsia="Times New Roman"/>
          <w:lang w:val="en-GB" w:eastAsia="en-GB"/>
        </w:rPr>
        <w:t xml:space="preserve">the issue </w:t>
      </w:r>
      <w:r w:rsidR="00F0415F" w:rsidRPr="00891718">
        <w:rPr>
          <w:rFonts w:eastAsia="Times New Roman"/>
          <w:lang w:val="en-GB" w:eastAsia="en-GB"/>
        </w:rPr>
        <w:t xml:space="preserve">may be set low on the agenda and, given what has been achieved under </w:t>
      </w:r>
      <w:r w:rsidR="000623A8" w:rsidRPr="00891718">
        <w:rPr>
          <w:rFonts w:eastAsia="Times New Roman"/>
          <w:lang w:val="en-GB" w:eastAsia="en-GB"/>
        </w:rPr>
        <w:t>the existing regulatory regime, the political will may well turn out to be l</w:t>
      </w:r>
      <w:r w:rsidR="00F0415F" w:rsidRPr="00891718">
        <w:rPr>
          <w:rFonts w:eastAsia="Times New Roman"/>
          <w:lang w:val="en-GB" w:eastAsia="en-GB"/>
        </w:rPr>
        <w:t>acking</w:t>
      </w:r>
      <w:r w:rsidR="00F61477" w:rsidRPr="00891718">
        <w:rPr>
          <w:rFonts w:eastAsia="Times New Roman"/>
          <w:lang w:val="en-GB" w:eastAsia="en-GB"/>
        </w:rPr>
        <w:t xml:space="preserve">; </w:t>
      </w:r>
      <w:r w:rsidR="000623A8" w:rsidRPr="00891718">
        <w:rPr>
          <w:rFonts w:eastAsia="Times New Roman"/>
          <w:lang w:val="en-GB" w:eastAsia="en-GB"/>
        </w:rPr>
        <w:t xml:space="preserve">even </w:t>
      </w:r>
      <w:r w:rsidR="00F0415F" w:rsidRPr="00891718">
        <w:rPr>
          <w:rFonts w:eastAsia="Times New Roman"/>
          <w:lang w:val="en-GB" w:eastAsia="en-GB"/>
        </w:rPr>
        <w:t>if it is broke, don’</w:t>
      </w:r>
      <w:r w:rsidR="00244F0F" w:rsidRPr="00891718">
        <w:rPr>
          <w:rFonts w:eastAsia="Times New Roman"/>
          <w:lang w:val="en-GB" w:eastAsia="en-GB"/>
        </w:rPr>
        <w:t xml:space="preserve">t fix it. </w:t>
      </w:r>
      <w:r w:rsidR="00B71C36" w:rsidRPr="00891718">
        <w:rPr>
          <w:rFonts w:eastAsia="Times New Roman"/>
          <w:lang w:val="en-GB" w:eastAsia="en-GB"/>
        </w:rPr>
        <w:t xml:space="preserve">Considering </w:t>
      </w:r>
      <w:r w:rsidR="00244F0F" w:rsidRPr="00891718">
        <w:rPr>
          <w:rFonts w:eastAsia="Times New Roman"/>
          <w:lang w:val="en-GB" w:eastAsia="en-GB"/>
        </w:rPr>
        <w:t xml:space="preserve">the circumstances, part of </w:t>
      </w:r>
      <w:r w:rsidR="00F0415F" w:rsidRPr="00891718">
        <w:rPr>
          <w:rFonts w:eastAsia="Times New Roman"/>
          <w:lang w:val="en-GB" w:eastAsia="en-GB"/>
        </w:rPr>
        <w:t xml:space="preserve">Justice Scalia’s </w:t>
      </w:r>
      <w:r w:rsidR="00244F0F" w:rsidRPr="00891718">
        <w:rPr>
          <w:rFonts w:eastAsia="Times New Roman"/>
          <w:lang w:val="en-GB" w:eastAsia="en-GB"/>
        </w:rPr>
        <w:t xml:space="preserve">jurisprudential bequest could turn out to be </w:t>
      </w:r>
      <w:r w:rsidR="00A024C8" w:rsidRPr="00891718">
        <w:rPr>
          <w:rFonts w:eastAsia="Times New Roman"/>
          <w:lang w:val="en-GB" w:eastAsia="en-GB"/>
        </w:rPr>
        <w:t xml:space="preserve">his contribution to </w:t>
      </w:r>
      <w:r w:rsidR="00244F0F" w:rsidRPr="00891718">
        <w:rPr>
          <w:rFonts w:eastAsia="Times New Roman"/>
          <w:lang w:val="en-GB" w:eastAsia="en-GB"/>
        </w:rPr>
        <w:t xml:space="preserve">a </w:t>
      </w:r>
      <w:r w:rsidR="00CC6E7A" w:rsidRPr="00891718">
        <w:rPr>
          <w:rFonts w:eastAsia="Times New Roman"/>
          <w:lang w:val="en-GB" w:eastAsia="en-GB"/>
        </w:rPr>
        <w:t>conservative</w:t>
      </w:r>
      <w:r w:rsidR="007E3EC1" w:rsidRPr="00891718">
        <w:rPr>
          <w:rFonts w:eastAsia="Times New Roman"/>
          <w:lang w:val="en-GB" w:eastAsia="en-GB"/>
        </w:rPr>
        <w:t xml:space="preserve"> blueprint for campaign finance adjudication</w:t>
      </w:r>
      <w:r w:rsidR="001C7CFD" w:rsidRPr="00891718">
        <w:rPr>
          <w:rFonts w:eastAsia="Times New Roman"/>
          <w:lang w:val="en-GB" w:eastAsia="en-GB"/>
        </w:rPr>
        <w:t xml:space="preserve"> </w:t>
      </w:r>
      <w:r w:rsidR="00244F0F" w:rsidRPr="00891718">
        <w:rPr>
          <w:rFonts w:eastAsia="Times New Roman"/>
          <w:lang w:val="en-GB" w:eastAsia="en-GB"/>
        </w:rPr>
        <w:t xml:space="preserve">that may endure </w:t>
      </w:r>
      <w:r w:rsidR="00AA275B" w:rsidRPr="00891718">
        <w:rPr>
          <w:rFonts w:eastAsia="Times New Roman"/>
          <w:lang w:val="en-GB" w:eastAsia="en-GB"/>
        </w:rPr>
        <w:t xml:space="preserve">for decades to </w:t>
      </w:r>
      <w:r w:rsidR="001C7CFD" w:rsidRPr="00891718">
        <w:rPr>
          <w:rFonts w:eastAsia="Times New Roman"/>
          <w:lang w:val="en-GB" w:eastAsia="en-GB"/>
        </w:rPr>
        <w:t>com</w:t>
      </w:r>
      <w:r w:rsidR="00520293" w:rsidRPr="00891718">
        <w:rPr>
          <w:rFonts w:eastAsia="Times New Roman"/>
          <w:lang w:val="en-GB" w:eastAsia="en-GB"/>
        </w:rPr>
        <w:t>e</w:t>
      </w:r>
      <w:r w:rsidR="00244F0F" w:rsidRPr="00891718">
        <w:rPr>
          <w:rFonts w:eastAsia="Times New Roman"/>
          <w:lang w:val="en-GB" w:eastAsia="en-GB"/>
        </w:rPr>
        <w:t>.</w:t>
      </w:r>
      <w:r w:rsidR="00641655" w:rsidRPr="00891718">
        <w:rPr>
          <w:rFonts w:eastAsia="Times New Roman"/>
          <w:lang w:val="en-GB" w:eastAsia="en-GB"/>
        </w:rPr>
        <w:t xml:space="preserve"> </w:t>
      </w:r>
      <w:r w:rsidR="00244F0F" w:rsidRPr="00891718">
        <w:rPr>
          <w:rFonts w:eastAsia="Times New Roman"/>
          <w:lang w:val="en-GB" w:eastAsia="en-GB"/>
        </w:rPr>
        <w:t>His</w:t>
      </w:r>
      <w:r w:rsidR="00935F8E" w:rsidRPr="00891718">
        <w:rPr>
          <w:rFonts w:eastAsia="Times New Roman"/>
          <w:lang w:val="en-GB" w:eastAsia="en-GB"/>
        </w:rPr>
        <w:t xml:space="preserve"> </w:t>
      </w:r>
      <w:r w:rsidR="003B5343" w:rsidRPr="00891718">
        <w:rPr>
          <w:rFonts w:eastAsia="Times New Roman"/>
          <w:lang w:val="en-GB" w:eastAsia="en-GB"/>
        </w:rPr>
        <w:t xml:space="preserve">campaign finance </w:t>
      </w:r>
      <w:r w:rsidR="00244F0F" w:rsidRPr="00891718">
        <w:rPr>
          <w:rFonts w:eastAsia="Times New Roman"/>
          <w:lang w:val="en-GB" w:eastAsia="en-GB"/>
        </w:rPr>
        <w:t xml:space="preserve">jurisprudence </w:t>
      </w:r>
      <w:r w:rsidR="003B5343" w:rsidRPr="00891718">
        <w:rPr>
          <w:rFonts w:eastAsia="Times New Roman"/>
          <w:lang w:val="en-GB" w:eastAsia="en-GB"/>
        </w:rPr>
        <w:t xml:space="preserve">might </w:t>
      </w:r>
      <w:r w:rsidR="00244F0F" w:rsidRPr="00891718">
        <w:rPr>
          <w:rFonts w:eastAsia="Times New Roman"/>
          <w:lang w:val="en-GB" w:eastAsia="en-GB"/>
        </w:rPr>
        <w:t xml:space="preserve">recently have been dammed with faint praise </w:t>
      </w:r>
      <w:r w:rsidR="003B5343" w:rsidRPr="00891718">
        <w:rPr>
          <w:rFonts w:eastAsia="Times New Roman"/>
          <w:lang w:val="en-GB" w:eastAsia="en-GB"/>
        </w:rPr>
        <w:t>as</w:t>
      </w:r>
      <w:r w:rsidR="009F3FAB" w:rsidRPr="00891718">
        <w:rPr>
          <w:rFonts w:eastAsia="Times New Roman"/>
          <w:lang w:val="en-GB" w:eastAsia="en-GB"/>
        </w:rPr>
        <w:t xml:space="preserve"> </w:t>
      </w:r>
      <w:r w:rsidR="00CC6E7A" w:rsidRPr="00891718">
        <w:rPr>
          <w:rFonts w:eastAsia="Times New Roman"/>
          <w:lang w:val="en-GB" w:eastAsia="en-GB"/>
        </w:rPr>
        <w:t xml:space="preserve">merely </w:t>
      </w:r>
      <w:r w:rsidR="001C7CFD" w:rsidRPr="00891718">
        <w:rPr>
          <w:rFonts w:eastAsia="Times New Roman"/>
          <w:lang w:val="en-GB" w:eastAsia="en-GB"/>
        </w:rPr>
        <w:t>“rhetorically effective”</w:t>
      </w:r>
      <w:r w:rsidR="003B5343" w:rsidRPr="00891718">
        <w:rPr>
          <w:rStyle w:val="FootnoteReference"/>
          <w:rFonts w:eastAsia="Times New Roman"/>
          <w:sz w:val="24"/>
          <w:lang w:val="en-GB" w:eastAsia="en-GB"/>
        </w:rPr>
        <w:footnoteReference w:id="10"/>
      </w:r>
      <w:r w:rsidR="00244F0F" w:rsidRPr="00891718">
        <w:rPr>
          <w:rFonts w:eastAsia="Times New Roman"/>
          <w:lang w:val="en-GB" w:eastAsia="en-GB"/>
        </w:rPr>
        <w:t xml:space="preserve"> but t</w:t>
      </w:r>
      <w:r w:rsidR="003B5343" w:rsidRPr="00891718">
        <w:rPr>
          <w:rFonts w:eastAsia="Times New Roman"/>
          <w:lang w:val="en-GB" w:eastAsia="en-GB"/>
        </w:rPr>
        <w:t xml:space="preserve">he question that should perhaps be posed is whether it </w:t>
      </w:r>
      <w:r w:rsidR="00935F8E" w:rsidRPr="00891718">
        <w:rPr>
          <w:rFonts w:eastAsia="Times New Roman"/>
          <w:lang w:val="en-GB" w:eastAsia="en-GB"/>
        </w:rPr>
        <w:t>needs</w:t>
      </w:r>
      <w:r w:rsidR="001C7CFD" w:rsidRPr="00891718">
        <w:rPr>
          <w:rFonts w:eastAsia="Times New Roman"/>
          <w:lang w:val="en-GB" w:eastAsia="en-GB"/>
        </w:rPr>
        <w:t xml:space="preserve"> also be </w:t>
      </w:r>
      <w:r w:rsidR="003B5343" w:rsidRPr="00891718">
        <w:rPr>
          <w:rFonts w:eastAsia="Times New Roman"/>
          <w:lang w:val="en-GB" w:eastAsia="en-GB"/>
        </w:rPr>
        <w:t xml:space="preserve">appreciated </w:t>
      </w:r>
      <w:r w:rsidR="001C7CFD" w:rsidRPr="00891718">
        <w:rPr>
          <w:rFonts w:eastAsia="Times New Roman"/>
          <w:lang w:val="en-GB" w:eastAsia="en-GB"/>
        </w:rPr>
        <w:t xml:space="preserve">for </w:t>
      </w:r>
      <w:r w:rsidR="003B5343" w:rsidRPr="00891718">
        <w:rPr>
          <w:rFonts w:eastAsia="Times New Roman"/>
          <w:lang w:val="en-GB" w:eastAsia="en-GB"/>
        </w:rPr>
        <w:t>its clear</w:t>
      </w:r>
      <w:r w:rsidR="00A05BE6" w:rsidRPr="00891718">
        <w:rPr>
          <w:rFonts w:eastAsia="Times New Roman"/>
          <w:lang w:val="en-GB" w:eastAsia="en-GB"/>
        </w:rPr>
        <w:t xml:space="preserve"> ideological grounding and</w:t>
      </w:r>
      <w:r w:rsidR="001C7CFD" w:rsidRPr="00891718">
        <w:rPr>
          <w:rFonts w:eastAsia="Times New Roman"/>
          <w:lang w:val="en-GB" w:eastAsia="en-GB"/>
        </w:rPr>
        <w:t xml:space="preserve"> </w:t>
      </w:r>
      <w:r w:rsidR="00B944B5" w:rsidRPr="00891718">
        <w:rPr>
          <w:rFonts w:eastAsia="Times New Roman"/>
          <w:lang w:val="en-GB" w:eastAsia="en-GB"/>
        </w:rPr>
        <w:t xml:space="preserve">internal </w:t>
      </w:r>
      <w:r w:rsidR="00266DB7" w:rsidRPr="00891718">
        <w:rPr>
          <w:rFonts w:eastAsia="Times New Roman"/>
          <w:lang w:val="en-GB" w:eastAsia="en-GB"/>
        </w:rPr>
        <w:t xml:space="preserve">jurisprudential </w:t>
      </w:r>
      <w:r w:rsidR="00C2594B" w:rsidRPr="00891718">
        <w:rPr>
          <w:rFonts w:eastAsia="Times New Roman"/>
          <w:lang w:val="en-GB" w:eastAsia="en-GB"/>
        </w:rPr>
        <w:t>consistency</w:t>
      </w:r>
      <w:r w:rsidR="00244F0F" w:rsidRPr="00891718">
        <w:rPr>
          <w:rFonts w:eastAsia="Times New Roman"/>
          <w:lang w:val="en-GB" w:eastAsia="en-GB"/>
        </w:rPr>
        <w:t>?</w:t>
      </w:r>
      <w:r w:rsidR="00C2594B" w:rsidRPr="00891718">
        <w:rPr>
          <w:rFonts w:eastAsia="Times New Roman"/>
          <w:lang w:val="en-GB" w:eastAsia="en-GB"/>
        </w:rPr>
        <w:t xml:space="preserve"> </w:t>
      </w:r>
      <w:r w:rsidR="00244F0F" w:rsidRPr="00891718">
        <w:rPr>
          <w:rFonts w:eastAsia="Times New Roman"/>
          <w:lang w:val="en-GB" w:eastAsia="en-GB"/>
        </w:rPr>
        <w:t xml:space="preserve">Those hallmarks are, after all, largely </w:t>
      </w:r>
      <w:r w:rsidR="00C2594B" w:rsidRPr="00891718">
        <w:rPr>
          <w:rFonts w:eastAsia="Times New Roman"/>
          <w:lang w:val="en-GB" w:eastAsia="en-GB"/>
        </w:rPr>
        <w:t xml:space="preserve">absent from the </w:t>
      </w:r>
      <w:r w:rsidR="001C7CFD" w:rsidRPr="00891718">
        <w:rPr>
          <w:rFonts w:eastAsia="Times New Roman"/>
          <w:lang w:val="en-GB" w:eastAsia="en-GB"/>
        </w:rPr>
        <w:t>broad</w:t>
      </w:r>
      <w:r w:rsidR="00266DB7" w:rsidRPr="00891718">
        <w:rPr>
          <w:rFonts w:eastAsia="Times New Roman"/>
          <w:lang w:val="en-GB" w:eastAsia="en-GB"/>
        </w:rPr>
        <w:t xml:space="preserve"> sweep of </w:t>
      </w:r>
      <w:r w:rsidR="00DA6E41" w:rsidRPr="00891718">
        <w:rPr>
          <w:rFonts w:eastAsia="Times New Roman"/>
          <w:lang w:val="en-GB" w:eastAsia="en-GB"/>
        </w:rPr>
        <w:t xml:space="preserve">either </w:t>
      </w:r>
      <w:r w:rsidR="00266DB7" w:rsidRPr="00891718">
        <w:rPr>
          <w:rFonts w:eastAsia="Times New Roman"/>
          <w:lang w:val="en-GB" w:eastAsia="en-GB"/>
        </w:rPr>
        <w:t xml:space="preserve">the </w:t>
      </w:r>
      <w:r w:rsidR="00C2594B" w:rsidRPr="00891718">
        <w:rPr>
          <w:rFonts w:eastAsia="Times New Roman"/>
          <w:lang w:val="en-GB" w:eastAsia="en-GB"/>
        </w:rPr>
        <w:t>Court’s c</w:t>
      </w:r>
      <w:r w:rsidR="0019057D" w:rsidRPr="00891718">
        <w:rPr>
          <w:rFonts w:eastAsia="Times New Roman"/>
          <w:lang w:val="en-GB" w:eastAsia="en-GB"/>
        </w:rPr>
        <w:t>ampaign finance adjudication</w:t>
      </w:r>
      <w:r w:rsidR="00B944B5" w:rsidRPr="00891718">
        <w:rPr>
          <w:rFonts w:eastAsia="Times New Roman"/>
          <w:lang w:val="en-GB" w:eastAsia="en-GB"/>
        </w:rPr>
        <w:t xml:space="preserve"> which</w:t>
      </w:r>
      <w:r w:rsidR="000623A8" w:rsidRPr="00891718">
        <w:rPr>
          <w:rFonts w:eastAsia="Times New Roman"/>
          <w:lang w:val="en-GB" w:eastAsia="en-GB"/>
        </w:rPr>
        <w:t xml:space="preserve">, </w:t>
      </w:r>
      <w:r w:rsidR="007417DE" w:rsidRPr="00891718">
        <w:rPr>
          <w:rFonts w:eastAsia="Times New Roman"/>
          <w:lang w:val="en-GB" w:eastAsia="en-GB"/>
        </w:rPr>
        <w:t xml:space="preserve">since </w:t>
      </w:r>
      <w:r w:rsidR="007417DE" w:rsidRPr="00891718">
        <w:rPr>
          <w:rFonts w:eastAsia="Times New Roman"/>
          <w:i/>
          <w:lang w:val="en-GB" w:eastAsia="en-GB"/>
        </w:rPr>
        <w:t>Buckley</w:t>
      </w:r>
      <w:r w:rsidR="000623A8" w:rsidRPr="00891718">
        <w:rPr>
          <w:rFonts w:eastAsia="Times New Roman"/>
          <w:lang w:val="en-GB" w:eastAsia="en-GB"/>
        </w:rPr>
        <w:t>,</w:t>
      </w:r>
      <w:r w:rsidR="00B944B5" w:rsidRPr="00891718">
        <w:rPr>
          <w:rFonts w:eastAsia="Times New Roman"/>
          <w:lang w:val="en-GB" w:eastAsia="en-GB"/>
        </w:rPr>
        <w:t xml:space="preserve"> has “swung like a pendulum</w:t>
      </w:r>
      <w:r w:rsidR="00641655" w:rsidRPr="00891718">
        <w:rPr>
          <w:rFonts w:eastAsia="Times New Roman"/>
          <w:lang w:val="en-GB" w:eastAsia="en-GB"/>
        </w:rPr>
        <w:t>,</w:t>
      </w:r>
      <w:r w:rsidR="00B944B5" w:rsidRPr="00891718">
        <w:rPr>
          <w:rFonts w:eastAsia="Times New Roman"/>
          <w:lang w:val="en-GB" w:eastAsia="en-GB"/>
        </w:rPr>
        <w:t>”</w:t>
      </w:r>
      <w:r w:rsidR="00B944B5" w:rsidRPr="00891718">
        <w:rPr>
          <w:rStyle w:val="FootnoteReference"/>
          <w:rFonts w:eastAsia="Times New Roman"/>
          <w:sz w:val="24"/>
          <w:lang w:val="en-GB" w:eastAsia="en-GB"/>
        </w:rPr>
        <w:footnoteReference w:id="11"/>
      </w:r>
      <w:r w:rsidR="009F3FAB" w:rsidRPr="00891718">
        <w:rPr>
          <w:rFonts w:eastAsia="Times New Roman"/>
          <w:lang w:val="en-GB" w:eastAsia="en-GB"/>
        </w:rPr>
        <w:t xml:space="preserve"> or </w:t>
      </w:r>
      <w:r w:rsidR="00B71C36" w:rsidRPr="00891718">
        <w:rPr>
          <w:rFonts w:eastAsia="Times New Roman"/>
          <w:lang w:val="en-GB" w:eastAsia="en-GB"/>
        </w:rPr>
        <w:t xml:space="preserve">Justice </w:t>
      </w:r>
      <w:r w:rsidR="00DA6E41" w:rsidRPr="00891718">
        <w:rPr>
          <w:rFonts w:eastAsia="Times New Roman"/>
          <w:lang w:val="en-GB" w:eastAsia="en-GB"/>
        </w:rPr>
        <w:t xml:space="preserve">Scalia’s </w:t>
      </w:r>
      <w:r w:rsidR="001C7CFD" w:rsidRPr="00891718">
        <w:rPr>
          <w:rFonts w:eastAsia="Times New Roman"/>
          <w:lang w:val="en-GB" w:eastAsia="en-GB"/>
        </w:rPr>
        <w:t xml:space="preserve">judicial responses to matters of </w:t>
      </w:r>
      <w:r w:rsidR="00DA6E41" w:rsidRPr="00891718">
        <w:rPr>
          <w:rFonts w:eastAsia="Times New Roman"/>
          <w:lang w:val="en-GB" w:eastAsia="en-GB"/>
        </w:rPr>
        <w:t>election law</w:t>
      </w:r>
      <w:r w:rsidR="001C7CFD" w:rsidRPr="00891718">
        <w:rPr>
          <w:rFonts w:eastAsia="Times New Roman"/>
          <w:lang w:val="en-GB" w:eastAsia="en-GB"/>
        </w:rPr>
        <w:t xml:space="preserve"> generally</w:t>
      </w:r>
      <w:r w:rsidR="007F23B6" w:rsidRPr="00891718">
        <w:rPr>
          <w:rFonts w:eastAsia="Times New Roman"/>
          <w:lang w:val="en-GB" w:eastAsia="en-GB"/>
        </w:rPr>
        <w:t xml:space="preserve">, which </w:t>
      </w:r>
      <w:r w:rsidR="003B5343" w:rsidRPr="00891718">
        <w:rPr>
          <w:rFonts w:eastAsia="Times New Roman"/>
          <w:lang w:val="en-GB" w:eastAsia="en-GB"/>
        </w:rPr>
        <w:t>lack the same settled characteristics.</w:t>
      </w:r>
      <w:r w:rsidR="009F3FAB" w:rsidRPr="00891718">
        <w:rPr>
          <w:rStyle w:val="FootnoteReference"/>
          <w:rFonts w:eastAsia="Times New Roman"/>
          <w:sz w:val="24"/>
          <w:lang w:val="en-GB" w:eastAsia="en-GB"/>
        </w:rPr>
        <w:footnoteReference w:id="12"/>
      </w:r>
      <w:r w:rsidR="00641655" w:rsidRPr="00891718">
        <w:rPr>
          <w:rFonts w:eastAsia="Times New Roman"/>
          <w:lang w:val="en-GB" w:eastAsia="en-GB"/>
        </w:rPr>
        <w:t xml:space="preserve"> </w:t>
      </w:r>
      <w:r w:rsidR="00935F8E" w:rsidRPr="00891718">
        <w:rPr>
          <w:rFonts w:eastAsia="Times New Roman"/>
          <w:lang w:val="en-GB" w:eastAsia="en-GB"/>
        </w:rPr>
        <w:t xml:space="preserve">Here, Justice Scalia’s campaign finance jurisprudence is examined, in particular its </w:t>
      </w:r>
      <w:proofErr w:type="spellStart"/>
      <w:r w:rsidR="008B50EF">
        <w:rPr>
          <w:rFonts w:eastAsia="Times New Roman"/>
          <w:lang w:val="en-GB" w:eastAsia="en-GB"/>
        </w:rPr>
        <w:t>sk</w:t>
      </w:r>
      <w:r w:rsidR="00322AD0" w:rsidRPr="00891718">
        <w:rPr>
          <w:rFonts w:eastAsia="Times New Roman"/>
          <w:lang w:val="en-GB" w:eastAsia="en-GB"/>
        </w:rPr>
        <w:t>epticism</w:t>
      </w:r>
      <w:proofErr w:type="spellEnd"/>
      <w:r w:rsidR="00935F8E" w:rsidRPr="00891718">
        <w:rPr>
          <w:rFonts w:eastAsia="Times New Roman"/>
          <w:lang w:val="en-GB" w:eastAsia="en-GB"/>
        </w:rPr>
        <w:t xml:space="preserve"> of legislative motive</w:t>
      </w:r>
      <w:r w:rsidR="00EB087B" w:rsidRPr="00891718">
        <w:rPr>
          <w:rFonts w:eastAsia="Times New Roman"/>
          <w:lang w:val="en-GB" w:eastAsia="en-GB"/>
        </w:rPr>
        <w:t>.</w:t>
      </w:r>
      <w:r w:rsidR="00641655" w:rsidRPr="00891718">
        <w:rPr>
          <w:rFonts w:eastAsia="Times New Roman"/>
          <w:lang w:val="en-GB" w:eastAsia="en-GB"/>
        </w:rPr>
        <w:t xml:space="preserve"> </w:t>
      </w:r>
      <w:r w:rsidR="00EB087B" w:rsidRPr="00891718">
        <w:rPr>
          <w:rFonts w:eastAsia="Times New Roman"/>
          <w:lang w:val="en-GB" w:eastAsia="en-GB"/>
        </w:rPr>
        <w:t xml:space="preserve">Three distinct strands of </w:t>
      </w:r>
      <w:proofErr w:type="spellStart"/>
      <w:r w:rsidR="001E7A4C" w:rsidRPr="00891718">
        <w:rPr>
          <w:rFonts w:eastAsia="Times New Roman"/>
          <w:lang w:val="en-GB" w:eastAsia="en-GB"/>
        </w:rPr>
        <w:t>s</w:t>
      </w:r>
      <w:r w:rsidR="008B50EF">
        <w:rPr>
          <w:rFonts w:eastAsia="Times New Roman"/>
          <w:lang w:val="en-GB" w:eastAsia="en-GB"/>
        </w:rPr>
        <w:t>k</w:t>
      </w:r>
      <w:r w:rsidR="00322AD0" w:rsidRPr="00891718">
        <w:rPr>
          <w:rFonts w:eastAsia="Times New Roman"/>
          <w:lang w:val="en-GB" w:eastAsia="en-GB"/>
        </w:rPr>
        <w:t>epticism</w:t>
      </w:r>
      <w:proofErr w:type="spellEnd"/>
      <w:r w:rsidR="00EB087B" w:rsidRPr="00891718">
        <w:rPr>
          <w:rFonts w:eastAsia="Times New Roman"/>
          <w:lang w:val="en-GB" w:eastAsia="en-GB"/>
        </w:rPr>
        <w:t xml:space="preserve"> are identified: power-grabbing, incumbent-bracing and speech-preventing. Ultimately, it is </w:t>
      </w:r>
      <w:r w:rsidR="00935F8E" w:rsidRPr="00891718">
        <w:rPr>
          <w:rFonts w:eastAsia="Times New Roman"/>
          <w:lang w:val="en-GB" w:eastAsia="en-GB"/>
        </w:rPr>
        <w:t xml:space="preserve">argued that, </w:t>
      </w:r>
      <w:r w:rsidR="00F61477" w:rsidRPr="00891718">
        <w:rPr>
          <w:rFonts w:eastAsia="Times New Roman"/>
          <w:lang w:val="en-GB" w:eastAsia="en-GB"/>
        </w:rPr>
        <w:t xml:space="preserve">while </w:t>
      </w:r>
      <w:r w:rsidR="00935F8E" w:rsidRPr="00891718">
        <w:rPr>
          <w:rFonts w:eastAsia="Times New Roman"/>
          <w:lang w:val="en-GB" w:eastAsia="en-GB"/>
        </w:rPr>
        <w:t>a</w:t>
      </w:r>
      <w:r w:rsidR="00EB087B" w:rsidRPr="00891718">
        <w:rPr>
          <w:rFonts w:eastAsia="Times New Roman"/>
          <w:lang w:val="en-GB" w:eastAsia="en-GB"/>
        </w:rPr>
        <w:t xml:space="preserve"> liberal dose of mistrust of government might well be warranted in cases concerning </w:t>
      </w:r>
      <w:r w:rsidR="009F3FAB" w:rsidRPr="00891718">
        <w:rPr>
          <w:rFonts w:eastAsia="Times New Roman"/>
          <w:lang w:val="en-GB" w:eastAsia="en-GB"/>
        </w:rPr>
        <w:t xml:space="preserve">the </w:t>
      </w:r>
      <w:r w:rsidR="00EB087B" w:rsidRPr="00891718">
        <w:rPr>
          <w:rFonts w:eastAsia="Times New Roman"/>
          <w:lang w:val="en-GB" w:eastAsia="en-GB"/>
        </w:rPr>
        <w:t xml:space="preserve">devices of democracy, in the task of scrutinising campaign finance regulation and reform, </w:t>
      </w:r>
      <w:r w:rsidR="009F3FAB" w:rsidRPr="00891718">
        <w:rPr>
          <w:rFonts w:eastAsia="Times New Roman"/>
          <w:lang w:val="en-GB" w:eastAsia="en-GB"/>
        </w:rPr>
        <w:t xml:space="preserve">a strong argument </w:t>
      </w:r>
      <w:r w:rsidR="00A64A8A" w:rsidRPr="00891718">
        <w:rPr>
          <w:rFonts w:eastAsia="Times New Roman"/>
          <w:lang w:val="en-GB" w:eastAsia="en-GB"/>
        </w:rPr>
        <w:t xml:space="preserve">emerges </w:t>
      </w:r>
      <w:r w:rsidR="00EB087B" w:rsidRPr="00891718">
        <w:rPr>
          <w:rFonts w:eastAsia="Times New Roman"/>
          <w:lang w:val="en-GB" w:eastAsia="en-GB"/>
        </w:rPr>
        <w:t>for suspicion of judicial motives too</w:t>
      </w:r>
      <w:r w:rsidR="009F3FAB" w:rsidRPr="00891718">
        <w:rPr>
          <w:rFonts w:eastAsia="Times New Roman"/>
          <w:lang w:val="en-GB" w:eastAsia="en-GB"/>
        </w:rPr>
        <w:t xml:space="preserve"> since there is </w:t>
      </w:r>
      <w:r w:rsidR="00EB087B" w:rsidRPr="00891718">
        <w:rPr>
          <w:rFonts w:eastAsia="Times New Roman"/>
          <w:lang w:val="en-GB" w:eastAsia="en-GB"/>
        </w:rPr>
        <w:t xml:space="preserve">as much </w:t>
      </w:r>
      <w:r w:rsidR="00244F0F" w:rsidRPr="00891718">
        <w:rPr>
          <w:rFonts w:eastAsia="Times New Roman"/>
          <w:lang w:val="en-GB" w:eastAsia="en-GB"/>
        </w:rPr>
        <w:t xml:space="preserve">danger to democracy posed by </w:t>
      </w:r>
      <w:r w:rsidR="00EB087B" w:rsidRPr="00891718">
        <w:rPr>
          <w:rFonts w:eastAsia="Times New Roman"/>
          <w:lang w:val="en-GB" w:eastAsia="en-GB"/>
        </w:rPr>
        <w:t xml:space="preserve">the tenured </w:t>
      </w:r>
      <w:r w:rsidR="009F3FAB" w:rsidRPr="00891718">
        <w:rPr>
          <w:rFonts w:eastAsia="Times New Roman"/>
          <w:lang w:val="en-GB" w:eastAsia="en-GB"/>
        </w:rPr>
        <w:t xml:space="preserve">fox as </w:t>
      </w:r>
      <w:r w:rsidR="00244F0F" w:rsidRPr="00891718">
        <w:rPr>
          <w:rFonts w:eastAsia="Times New Roman"/>
          <w:lang w:val="en-GB" w:eastAsia="en-GB"/>
        </w:rPr>
        <w:t xml:space="preserve">by </w:t>
      </w:r>
      <w:r w:rsidR="009F3FAB" w:rsidRPr="00891718">
        <w:rPr>
          <w:rFonts w:eastAsia="Times New Roman"/>
          <w:lang w:val="en-GB" w:eastAsia="en-GB"/>
        </w:rPr>
        <w:t>the incumbent one</w:t>
      </w:r>
      <w:r w:rsidR="00EB087B" w:rsidRPr="00891718">
        <w:rPr>
          <w:rFonts w:eastAsia="Times New Roman"/>
          <w:lang w:val="en-GB" w:eastAsia="en-GB"/>
        </w:rPr>
        <w:t>.</w:t>
      </w:r>
      <w:r w:rsidR="00641655" w:rsidRPr="00891718">
        <w:rPr>
          <w:rFonts w:eastAsia="Times New Roman"/>
          <w:lang w:val="en-GB" w:eastAsia="en-GB"/>
        </w:rPr>
        <w:t xml:space="preserve"> </w:t>
      </w:r>
    </w:p>
    <w:p w14:paraId="0299ED6D" w14:textId="77777777" w:rsidR="00891718" w:rsidRPr="00891718" w:rsidRDefault="00891718" w:rsidP="00891718">
      <w:pPr>
        <w:ind w:firstLine="284"/>
        <w:rPr>
          <w:rFonts w:eastAsia="Times New Roman"/>
          <w:lang w:val="en-GB" w:eastAsia="en-GB"/>
        </w:rPr>
      </w:pPr>
    </w:p>
    <w:p w14:paraId="74C30236" w14:textId="12FB8991" w:rsidR="00A367E3" w:rsidRPr="00891718" w:rsidRDefault="00997682" w:rsidP="002A2DF9">
      <w:pPr>
        <w:pStyle w:val="ListParagraph"/>
        <w:numPr>
          <w:ilvl w:val="0"/>
          <w:numId w:val="3"/>
        </w:numPr>
        <w:spacing w:line="480" w:lineRule="auto"/>
        <w:ind w:left="0" w:firstLine="0"/>
        <w:jc w:val="center"/>
        <w:rPr>
          <w:rFonts w:ascii="Times New Roman" w:hAnsi="Times New Roman" w:cs="Times New Roman"/>
          <w:b/>
          <w:i/>
          <w:iCs/>
          <w:smallCaps/>
          <w:sz w:val="28"/>
        </w:rPr>
      </w:pPr>
      <w:r w:rsidRPr="00891718">
        <w:rPr>
          <w:rFonts w:ascii="Times New Roman" w:hAnsi="Times New Roman" w:cs="Times New Roman"/>
          <w:b/>
          <w:i/>
          <w:iCs/>
          <w:smallCaps/>
          <w:sz w:val="28"/>
        </w:rPr>
        <w:t>Buckley v</w:t>
      </w:r>
      <w:r w:rsidR="00DD106C" w:rsidRPr="00891718">
        <w:rPr>
          <w:rFonts w:ascii="Times New Roman" w:hAnsi="Times New Roman" w:cs="Times New Roman"/>
          <w:b/>
          <w:i/>
          <w:iCs/>
          <w:smallCaps/>
          <w:sz w:val="28"/>
        </w:rPr>
        <w:t>.</w:t>
      </w:r>
      <w:r w:rsidRPr="00891718">
        <w:rPr>
          <w:rFonts w:ascii="Times New Roman" w:hAnsi="Times New Roman" w:cs="Times New Roman"/>
          <w:b/>
          <w:i/>
          <w:iCs/>
          <w:smallCaps/>
          <w:sz w:val="28"/>
        </w:rPr>
        <w:t xml:space="preserve"> </w:t>
      </w:r>
      <w:proofErr w:type="spellStart"/>
      <w:r w:rsidRPr="00891718">
        <w:rPr>
          <w:rFonts w:ascii="Times New Roman" w:hAnsi="Times New Roman" w:cs="Times New Roman"/>
          <w:b/>
          <w:i/>
          <w:iCs/>
          <w:smallCaps/>
          <w:sz w:val="28"/>
        </w:rPr>
        <w:t>Valeo</w:t>
      </w:r>
      <w:proofErr w:type="spellEnd"/>
    </w:p>
    <w:p w14:paraId="7838B87E" w14:textId="1ECB9189" w:rsidR="00A523C8" w:rsidRPr="00891718" w:rsidRDefault="00A367E3" w:rsidP="00891718">
      <w:pPr>
        <w:jc w:val="both"/>
      </w:pPr>
      <w:r w:rsidRPr="00891718">
        <w:rPr>
          <w:iCs/>
        </w:rPr>
        <w:t xml:space="preserve">In </w:t>
      </w:r>
      <w:r w:rsidRPr="00891718">
        <w:rPr>
          <w:i/>
          <w:iCs/>
        </w:rPr>
        <w:t>Buckley v</w:t>
      </w:r>
      <w:r w:rsidR="00DD106C" w:rsidRPr="00891718">
        <w:rPr>
          <w:i/>
          <w:iCs/>
        </w:rPr>
        <w:t>.</w:t>
      </w:r>
      <w:r w:rsidRPr="00891718">
        <w:rPr>
          <w:i/>
          <w:iCs/>
        </w:rPr>
        <w:t xml:space="preserve"> </w:t>
      </w:r>
      <w:proofErr w:type="spellStart"/>
      <w:r w:rsidRPr="00891718">
        <w:rPr>
          <w:i/>
          <w:iCs/>
        </w:rPr>
        <w:t>Valeo</w:t>
      </w:r>
      <w:proofErr w:type="spellEnd"/>
      <w:r w:rsidR="00C22822" w:rsidRPr="00891718">
        <w:rPr>
          <w:iCs/>
        </w:rPr>
        <w:t xml:space="preserve">, </w:t>
      </w:r>
      <w:r w:rsidR="009F3FAB" w:rsidRPr="00891718">
        <w:rPr>
          <w:iCs/>
        </w:rPr>
        <w:t xml:space="preserve">in opposition to </w:t>
      </w:r>
      <w:r w:rsidR="00C22822" w:rsidRPr="00891718">
        <w:rPr>
          <w:iCs/>
        </w:rPr>
        <w:t>the strongly w</w:t>
      </w:r>
      <w:r w:rsidR="004C3EC5" w:rsidRPr="00891718">
        <w:rPr>
          <w:iCs/>
        </w:rPr>
        <w:t>orded dissent of Justice White maintaining</w:t>
      </w:r>
      <w:r w:rsidR="00C22822" w:rsidRPr="00891718">
        <w:rPr>
          <w:iCs/>
        </w:rPr>
        <w:t xml:space="preserve"> that unlimited election spending constituted </w:t>
      </w:r>
      <w:r w:rsidR="00322AD0" w:rsidRPr="00891718">
        <w:t>“</w:t>
      </w:r>
      <w:r w:rsidR="00C22822" w:rsidRPr="00891718">
        <w:t>a mortal danger</w:t>
      </w:r>
      <w:r w:rsidR="00021083" w:rsidRPr="00891718">
        <w:t>” against which</w:t>
      </w:r>
      <w:r w:rsidR="004C3EC5" w:rsidRPr="00891718">
        <w:t xml:space="preserve"> “</w:t>
      </w:r>
      <w:r w:rsidR="00C22822" w:rsidRPr="00891718">
        <w:t>effective preventive and curative steps</w:t>
      </w:r>
      <w:r w:rsidR="004C3EC5" w:rsidRPr="00891718">
        <w:t>”</w:t>
      </w:r>
      <w:r w:rsidR="00C22822" w:rsidRPr="00891718">
        <w:rPr>
          <w:rStyle w:val="FootnoteReference"/>
          <w:sz w:val="24"/>
        </w:rPr>
        <w:footnoteReference w:id="13"/>
      </w:r>
      <w:r w:rsidR="00021083" w:rsidRPr="00891718">
        <w:t xml:space="preserve"> should </w:t>
      </w:r>
      <w:r w:rsidR="004C3EC5" w:rsidRPr="00891718">
        <w:t>be taken</w:t>
      </w:r>
      <w:r w:rsidR="00C22822" w:rsidRPr="00891718">
        <w:t>,</w:t>
      </w:r>
      <w:r w:rsidRPr="00891718">
        <w:t> the Supreme Court invalidated key provisions of the Federal Election Campaign Act 1974</w:t>
      </w:r>
      <w:r w:rsidR="00A523C8" w:rsidRPr="00891718">
        <w:t xml:space="preserve"> (FECA)</w:t>
      </w:r>
      <w:r w:rsidRPr="00891718">
        <w:t>, Congress’s post-Watergate reforms</w:t>
      </w:r>
      <w:r w:rsidR="00C22822" w:rsidRPr="00891718">
        <w:t xml:space="preserve"> of money in politics. </w:t>
      </w:r>
      <w:r w:rsidRPr="00891718">
        <w:t xml:space="preserve">The decision defined the parameters of constitutionally permissible regulation of election campaigns and has set the tone for campaign finance adjudication for the last forty years. For present purposes, </w:t>
      </w:r>
      <w:r w:rsidRPr="00891718">
        <w:rPr>
          <w:i/>
        </w:rPr>
        <w:t>Buckley</w:t>
      </w:r>
      <w:r w:rsidR="002A4029" w:rsidRPr="00891718">
        <w:t>’s</w:t>
      </w:r>
      <w:r w:rsidRPr="00891718">
        <w:rPr>
          <w:i/>
        </w:rPr>
        <w:t xml:space="preserve"> </w:t>
      </w:r>
      <w:r w:rsidR="00B36140" w:rsidRPr="00891718">
        <w:t>key holdings were four</w:t>
      </w:r>
      <w:r w:rsidRPr="00891718">
        <w:t>fold.</w:t>
      </w:r>
      <w:r w:rsidR="00641655" w:rsidRPr="00891718">
        <w:t xml:space="preserve"> </w:t>
      </w:r>
      <w:r w:rsidRPr="00891718">
        <w:t xml:space="preserve">Firstly, </w:t>
      </w:r>
      <w:r w:rsidR="00A05BE6" w:rsidRPr="00891718">
        <w:t xml:space="preserve">whilst limits on contributions were upheld, </w:t>
      </w:r>
      <w:r w:rsidRPr="00891718">
        <w:t>limits on</w:t>
      </w:r>
      <w:r w:rsidR="00997682" w:rsidRPr="00891718">
        <w:t xml:space="preserve"> election</w:t>
      </w:r>
      <w:r w:rsidRPr="00891718">
        <w:t xml:space="preserve"> expenditures were struck down as unconstitutional because they imposed direct inhibitions on political speech and thus fell foul of the First Amendment.</w:t>
      </w:r>
      <w:r w:rsidR="00641655" w:rsidRPr="00891718">
        <w:t xml:space="preserve"> </w:t>
      </w:r>
      <w:r w:rsidRPr="00891718">
        <w:t xml:space="preserve">Secondly, a governmental interest in equalizing </w:t>
      </w:r>
      <w:r w:rsidR="00365215" w:rsidRPr="00891718">
        <w:t xml:space="preserve">the relative ability of all voters to influence </w:t>
      </w:r>
      <w:r w:rsidR="0077591A" w:rsidRPr="00891718">
        <w:t xml:space="preserve">the outcome of elections </w:t>
      </w:r>
      <w:r w:rsidRPr="00891718">
        <w:t>was not suffic</w:t>
      </w:r>
      <w:r w:rsidR="0077591A" w:rsidRPr="00891718">
        <w:t xml:space="preserve">iently compelling to justify </w:t>
      </w:r>
      <w:r w:rsidR="002E1D57" w:rsidRPr="00891718">
        <w:t xml:space="preserve">the </w:t>
      </w:r>
      <w:r w:rsidR="002E1D57" w:rsidRPr="00891718">
        <w:lastRenderedPageBreak/>
        <w:t>burden placed on First Amendment freedoms as a result</w:t>
      </w:r>
      <w:r w:rsidR="00C22822" w:rsidRPr="00891718">
        <w:t xml:space="preserve">: “the concept that </w:t>
      </w:r>
      <w:r w:rsidR="00C22822" w:rsidRPr="00891718">
        <w:rPr>
          <w:lang w:val="en-GB"/>
        </w:rPr>
        <w:t>government may restrict the</w:t>
      </w:r>
      <w:r w:rsidR="006D6582" w:rsidRPr="00891718">
        <w:rPr>
          <w:lang w:val="en-GB"/>
        </w:rPr>
        <w:t xml:space="preserve"> speech of some elements of our </w:t>
      </w:r>
      <w:r w:rsidR="00C22822" w:rsidRPr="00891718">
        <w:rPr>
          <w:lang w:val="en-GB"/>
        </w:rPr>
        <w:t>society in order to enhance the relative voice of others is wholly foreign to the First Amendment.”</w:t>
      </w:r>
      <w:r w:rsidR="00C22822" w:rsidRPr="00891718">
        <w:rPr>
          <w:rStyle w:val="FootnoteReference"/>
          <w:sz w:val="24"/>
          <w:lang w:val="en-GB"/>
        </w:rPr>
        <w:footnoteReference w:id="14"/>
      </w:r>
      <w:r w:rsidR="002472FD" w:rsidRPr="00891718">
        <w:rPr>
          <w:lang w:val="en-GB"/>
        </w:rPr>
        <w:t xml:space="preserve"> </w:t>
      </w:r>
      <w:r w:rsidRPr="00891718">
        <w:t xml:space="preserve">Thirdly, the only governmental interest </w:t>
      </w:r>
      <w:r w:rsidR="002E1D57" w:rsidRPr="00891718">
        <w:t xml:space="preserve">compelling enough to </w:t>
      </w:r>
      <w:r w:rsidRPr="00891718">
        <w:t>support campaign finance regulation was an interest in preventing corruption or the appearan</w:t>
      </w:r>
      <w:r w:rsidR="00B36140" w:rsidRPr="00891718">
        <w:t>ce of corruption.</w:t>
      </w:r>
      <w:r w:rsidR="00641655" w:rsidRPr="00891718">
        <w:t xml:space="preserve"> </w:t>
      </w:r>
      <w:r w:rsidR="00235F85" w:rsidRPr="00891718">
        <w:t xml:space="preserve">Fourth, </w:t>
      </w:r>
      <w:r w:rsidR="002E1D57" w:rsidRPr="00891718">
        <w:t xml:space="preserve">and finally, </w:t>
      </w:r>
      <w:r w:rsidR="00A523C8" w:rsidRPr="00891718">
        <w:t xml:space="preserve">FECA’s </w:t>
      </w:r>
      <w:r w:rsidR="00235F85" w:rsidRPr="00891718">
        <w:t>disclosure</w:t>
      </w:r>
      <w:r w:rsidR="002E1D57" w:rsidRPr="00891718">
        <w:t xml:space="preserve"> </w:t>
      </w:r>
      <w:r w:rsidR="00A523C8" w:rsidRPr="00891718">
        <w:t xml:space="preserve">provisions were upheld, being deemed </w:t>
      </w:r>
      <w:r w:rsidR="002E1D57" w:rsidRPr="00891718">
        <w:t>instrumental in providing the electorate with information regarding the provenance and deployment of campaign funds</w:t>
      </w:r>
      <w:r w:rsidR="00A523C8" w:rsidRPr="00891718">
        <w:t xml:space="preserve">, deterring </w:t>
      </w:r>
      <w:r w:rsidR="002E1D57" w:rsidRPr="00891718">
        <w:t>actual corruption and avoid</w:t>
      </w:r>
      <w:r w:rsidR="00A523C8" w:rsidRPr="00891718">
        <w:t>ing</w:t>
      </w:r>
      <w:r w:rsidR="002E1D57" w:rsidRPr="00891718">
        <w:t xml:space="preserve"> the appearance of corruption</w:t>
      </w:r>
      <w:r w:rsidR="00A523C8" w:rsidRPr="00891718">
        <w:t xml:space="preserve"> and detecting violations of campaign finance laws.</w:t>
      </w:r>
    </w:p>
    <w:p w14:paraId="3A1265A9" w14:textId="17C263F4" w:rsidR="007417DE" w:rsidRDefault="00A367E3" w:rsidP="00891718">
      <w:pPr>
        <w:ind w:firstLine="284"/>
        <w:jc w:val="both"/>
      </w:pPr>
      <w:r w:rsidRPr="00891718">
        <w:t xml:space="preserve">Prior to </w:t>
      </w:r>
      <w:r w:rsidRPr="00891718">
        <w:rPr>
          <w:i/>
        </w:rPr>
        <w:t>Buckley</w:t>
      </w:r>
      <w:r w:rsidRPr="00891718">
        <w:t>, the Supreme Court had experienced only “glancing encounters”</w:t>
      </w:r>
      <w:r w:rsidRPr="00891718">
        <w:rPr>
          <w:rStyle w:val="FootnoteReference"/>
          <w:sz w:val="24"/>
        </w:rPr>
        <w:footnoteReference w:id="15"/>
      </w:r>
      <w:r w:rsidRPr="00891718">
        <w:t xml:space="preserve"> with the kinds of conflicts presented by campaign finance regulation. </w:t>
      </w:r>
      <w:r w:rsidRPr="00891718">
        <w:rPr>
          <w:i/>
        </w:rPr>
        <w:t xml:space="preserve">Buckley </w:t>
      </w:r>
      <w:r w:rsidRPr="00891718">
        <w:t>was, then, unique because</w:t>
      </w:r>
      <w:r w:rsidR="0056546C" w:rsidRPr="00891718">
        <w:t>, in the c</w:t>
      </w:r>
      <w:r w:rsidR="0092524D" w:rsidRPr="00891718">
        <w:t>ontext of adjudicating on devices of democracy</w:t>
      </w:r>
      <w:r w:rsidR="00DB4791" w:rsidRPr="00891718">
        <w:t xml:space="preserve">, </w:t>
      </w:r>
      <w:r w:rsidRPr="00891718">
        <w:t>it forced the Court to confront the tensions between equality and liberty, individual and collective welfare, the integrity of the democratic system and legislative self-interest, and state and judicial po</w:t>
      </w:r>
      <w:r w:rsidR="00F039F7" w:rsidRPr="00891718">
        <w:t>wer.</w:t>
      </w:r>
      <w:r w:rsidR="00641655" w:rsidRPr="00891718">
        <w:t xml:space="preserve"> </w:t>
      </w:r>
      <w:proofErr w:type="spellStart"/>
      <w:r w:rsidR="00F039F7" w:rsidRPr="00891718">
        <w:t>Polsby</w:t>
      </w:r>
      <w:proofErr w:type="spellEnd"/>
      <w:r w:rsidR="00F039F7" w:rsidRPr="00891718">
        <w:t xml:space="preserve"> states of the much vilified decision</w:t>
      </w:r>
      <w:r w:rsidRPr="00891718">
        <w:t xml:space="preserve"> that there had “never been a more treacherous case for balancing interests and harmonizing values”</w:t>
      </w:r>
      <w:r w:rsidRPr="00891718">
        <w:rPr>
          <w:rStyle w:val="FootnoteReference"/>
          <w:sz w:val="24"/>
        </w:rPr>
        <w:footnoteReference w:id="16"/>
      </w:r>
      <w:r w:rsidRPr="00891718">
        <w:t xml:space="preserve"> and notes that the Court’s opinion “has more than its share of dark places and contradictions.”</w:t>
      </w:r>
      <w:r w:rsidRPr="00891718">
        <w:rPr>
          <w:rStyle w:val="FootnoteReference"/>
          <w:sz w:val="24"/>
        </w:rPr>
        <w:footnoteReference w:id="17"/>
      </w:r>
      <w:r w:rsidR="00641655" w:rsidRPr="00891718">
        <w:t xml:space="preserve"> </w:t>
      </w:r>
      <w:r w:rsidRPr="00891718">
        <w:t>Shortly after his appointment to the Supreme Court in 1986, however, Justice Scalia declared</w:t>
      </w:r>
      <w:r w:rsidR="00B36140" w:rsidRPr="00891718">
        <w:t xml:space="preserve">, in </w:t>
      </w:r>
      <w:r w:rsidR="00B36140" w:rsidRPr="00891718">
        <w:rPr>
          <w:i/>
        </w:rPr>
        <w:t>Austin v</w:t>
      </w:r>
      <w:r w:rsidR="00DD106C" w:rsidRPr="00891718">
        <w:rPr>
          <w:i/>
        </w:rPr>
        <w:t>.</w:t>
      </w:r>
      <w:r w:rsidR="00B36140" w:rsidRPr="00891718">
        <w:rPr>
          <w:i/>
        </w:rPr>
        <w:t xml:space="preserve"> Michigan</w:t>
      </w:r>
      <w:r w:rsidR="00723F28" w:rsidRPr="00891718">
        <w:t>,</w:t>
      </w:r>
      <w:r w:rsidRPr="00891718">
        <w:t xml:space="preserve"> that “</w:t>
      </w:r>
      <w:r w:rsidRPr="00891718">
        <w:rPr>
          <w:i/>
          <w:iCs/>
        </w:rPr>
        <w:t>Buckley</w:t>
      </w:r>
      <w:r w:rsidRPr="00891718">
        <w:t> should not be overruled, because it was entirely correct.”</w:t>
      </w:r>
      <w:r w:rsidRPr="00891718">
        <w:rPr>
          <w:rStyle w:val="FootnoteReference"/>
          <w:sz w:val="24"/>
        </w:rPr>
        <w:footnoteReference w:id="18"/>
      </w:r>
      <w:r w:rsidR="002472FD" w:rsidRPr="00891718">
        <w:t xml:space="preserve"> </w:t>
      </w:r>
      <w:r w:rsidR="00235F85" w:rsidRPr="00891718">
        <w:t xml:space="preserve">Heavily dependent </w:t>
      </w:r>
      <w:r w:rsidR="00235F85" w:rsidRPr="00891718">
        <w:rPr>
          <w:rFonts w:eastAsia="Times New Roman"/>
          <w:lang w:val="en-GB" w:eastAsia="en-GB"/>
        </w:rPr>
        <w:t xml:space="preserve">on the tenets of </w:t>
      </w:r>
      <w:r w:rsidR="00235F85" w:rsidRPr="00891718">
        <w:rPr>
          <w:rFonts w:eastAsia="Times New Roman"/>
          <w:i/>
          <w:lang w:val="en-GB" w:eastAsia="en-GB"/>
        </w:rPr>
        <w:t>Buckley</w:t>
      </w:r>
      <w:r w:rsidR="006F7C99" w:rsidRPr="00891718">
        <w:rPr>
          <w:rStyle w:val="FootnoteReference"/>
          <w:rFonts w:eastAsia="Times New Roman"/>
          <w:i/>
          <w:sz w:val="24"/>
          <w:lang w:val="en-GB" w:eastAsia="en-GB"/>
        </w:rPr>
        <w:footnoteReference w:id="19"/>
      </w:r>
      <w:r w:rsidR="00235F85" w:rsidRPr="00891718">
        <w:rPr>
          <w:rFonts w:eastAsia="Times New Roman"/>
          <w:lang w:val="en-GB" w:eastAsia="en-GB"/>
        </w:rPr>
        <w:t xml:space="preserve">, </w:t>
      </w:r>
      <w:r w:rsidR="00244F0F" w:rsidRPr="00891718">
        <w:rPr>
          <w:rFonts w:eastAsia="Times New Roman"/>
          <w:lang w:val="en-GB" w:eastAsia="en-GB"/>
        </w:rPr>
        <w:t xml:space="preserve">Justice </w:t>
      </w:r>
      <w:r w:rsidR="00235F85" w:rsidRPr="00891718">
        <w:rPr>
          <w:rFonts w:eastAsia="Times New Roman"/>
          <w:lang w:val="en-GB" w:eastAsia="en-GB"/>
        </w:rPr>
        <w:t>Scalia’s</w:t>
      </w:r>
      <w:r w:rsidR="00641655" w:rsidRPr="00891718">
        <w:rPr>
          <w:rFonts w:eastAsia="Times New Roman"/>
          <w:lang w:val="en-GB" w:eastAsia="en-GB"/>
        </w:rPr>
        <w:t xml:space="preserve"> </w:t>
      </w:r>
      <w:r w:rsidR="0056546C" w:rsidRPr="00891718">
        <w:t xml:space="preserve">dissent in </w:t>
      </w:r>
      <w:r w:rsidR="0056546C" w:rsidRPr="00891718">
        <w:rPr>
          <w:i/>
        </w:rPr>
        <w:t xml:space="preserve">Austin </w:t>
      </w:r>
      <w:r w:rsidR="000623A8" w:rsidRPr="00891718">
        <w:t>provided</w:t>
      </w:r>
      <w:r w:rsidR="00235F85" w:rsidRPr="00891718">
        <w:t xml:space="preserve"> the principal, first-person </w:t>
      </w:r>
      <w:r w:rsidR="00B36140" w:rsidRPr="00891718">
        <w:t xml:space="preserve">articulation of </w:t>
      </w:r>
      <w:r w:rsidR="0056546C" w:rsidRPr="00891718">
        <w:t xml:space="preserve">positions that would become characteristic of his campaign finance jurisprudence, namely </w:t>
      </w:r>
      <w:r w:rsidR="004A7F68" w:rsidRPr="00891718">
        <w:t xml:space="preserve">faith in disclosure as </w:t>
      </w:r>
      <w:r w:rsidR="003B16D4" w:rsidRPr="00891718">
        <w:t xml:space="preserve">the </w:t>
      </w:r>
      <w:r w:rsidR="00235F85" w:rsidRPr="00891718">
        <w:t xml:space="preserve">least worst infringement of individuals’ liberties in </w:t>
      </w:r>
      <w:r w:rsidR="00F7652F" w:rsidRPr="00891718">
        <w:t>regulating money in politics</w:t>
      </w:r>
      <w:r w:rsidR="00235F85" w:rsidRPr="00891718">
        <w:rPr>
          <w:rStyle w:val="FootnoteReference"/>
          <w:sz w:val="24"/>
        </w:rPr>
        <w:footnoteReference w:id="20"/>
      </w:r>
      <w:r w:rsidR="00F7652F" w:rsidRPr="00891718">
        <w:t xml:space="preserve">, </w:t>
      </w:r>
      <w:r w:rsidR="00235F85" w:rsidRPr="00891718">
        <w:rPr>
          <w:rFonts w:eastAsia="Times New Roman"/>
          <w:lang w:val="en-GB" w:eastAsia="en-GB"/>
        </w:rPr>
        <w:t xml:space="preserve">a narrow construction of corruption, a correspondingly expansive construction of free speech, </w:t>
      </w:r>
      <w:r w:rsidR="00F7652F" w:rsidRPr="00891718">
        <w:t>a healthy regard for the abilities of ci</w:t>
      </w:r>
      <w:r w:rsidR="003B16D4" w:rsidRPr="00891718">
        <w:t>tizens to make informed choices</w:t>
      </w:r>
      <w:r w:rsidR="00B36140" w:rsidRPr="00891718">
        <w:t xml:space="preserve"> without government interference in fundamental political rights in order for them to do so</w:t>
      </w:r>
      <w:r w:rsidR="002472FD" w:rsidRPr="00891718">
        <w:t>,</w:t>
      </w:r>
      <w:r w:rsidR="003B16D4" w:rsidRPr="00891718">
        <w:rPr>
          <w:rStyle w:val="FootnoteReference"/>
          <w:sz w:val="24"/>
        </w:rPr>
        <w:footnoteReference w:id="21"/>
      </w:r>
      <w:r w:rsidR="002472FD" w:rsidRPr="00891718">
        <w:t xml:space="preserve"> and a skepticism of legislators’ motives.</w:t>
      </w:r>
      <w:r w:rsidR="002472FD" w:rsidRPr="00891718">
        <w:rPr>
          <w:rStyle w:val="FootnoteReference"/>
          <w:sz w:val="24"/>
        </w:rPr>
        <w:footnoteReference w:id="22"/>
      </w:r>
      <w:r w:rsidR="00641655" w:rsidRPr="00891718">
        <w:t xml:space="preserve"> </w:t>
      </w:r>
    </w:p>
    <w:p w14:paraId="17815558" w14:textId="77777777" w:rsidR="00891718" w:rsidRPr="00891718" w:rsidRDefault="00891718" w:rsidP="00891718">
      <w:pPr>
        <w:ind w:firstLine="284"/>
        <w:jc w:val="both"/>
      </w:pPr>
    </w:p>
    <w:p w14:paraId="6ED2C9ED" w14:textId="1FE70497" w:rsidR="00B24D8D" w:rsidRPr="00891718" w:rsidRDefault="007304C8" w:rsidP="002A2DF9">
      <w:pPr>
        <w:pStyle w:val="ListParagraph"/>
        <w:numPr>
          <w:ilvl w:val="0"/>
          <w:numId w:val="3"/>
        </w:numPr>
        <w:spacing w:line="480" w:lineRule="auto"/>
        <w:ind w:left="0" w:firstLine="0"/>
        <w:jc w:val="center"/>
        <w:rPr>
          <w:rFonts w:ascii="Times New Roman" w:eastAsia="Times New Roman" w:hAnsi="Times New Roman" w:cs="Times New Roman"/>
          <w:b/>
          <w:smallCaps/>
          <w:sz w:val="28"/>
          <w:lang w:val="en-GB" w:eastAsia="en-GB"/>
        </w:rPr>
      </w:pPr>
      <w:r w:rsidRPr="00891718">
        <w:rPr>
          <w:rFonts w:ascii="Times New Roman" w:eastAsia="Times New Roman" w:hAnsi="Times New Roman" w:cs="Times New Roman"/>
          <w:b/>
          <w:smallCaps/>
          <w:sz w:val="28"/>
          <w:lang w:val="en-GB" w:eastAsia="en-GB"/>
        </w:rPr>
        <w:t>Self-interest</w:t>
      </w:r>
    </w:p>
    <w:p w14:paraId="27997885" w14:textId="77777777" w:rsidR="008231C3" w:rsidRPr="00891718" w:rsidRDefault="007304C8" w:rsidP="00891718">
      <w:pPr>
        <w:jc w:val="both"/>
        <w:rPr>
          <w:rFonts w:eastAsia="Times New Roman"/>
        </w:rPr>
      </w:pPr>
      <w:r w:rsidRPr="00891718">
        <w:rPr>
          <w:rFonts w:eastAsia="Times New Roman"/>
          <w:lang w:val="en-GB" w:eastAsia="en-GB"/>
        </w:rPr>
        <w:t>According to Ortiz, campaign finance regulation is motivated by four explicit concerns: improving the day to day operation of legislative politics, improving the quality of political discussion and debate, protecting democratic processes from corruption, and maintaining political equality.</w:t>
      </w:r>
      <w:r w:rsidRPr="00891718">
        <w:rPr>
          <w:rFonts w:eastAsia="Times New Roman"/>
          <w:vertAlign w:val="superscript"/>
          <w:lang w:val="en-GB" w:eastAsia="en-GB"/>
        </w:rPr>
        <w:footnoteReference w:id="23"/>
      </w:r>
      <w:r w:rsidR="00641655" w:rsidRPr="00891718">
        <w:rPr>
          <w:rFonts w:eastAsia="Times New Roman"/>
          <w:lang w:val="en-GB" w:eastAsia="en-GB"/>
        </w:rPr>
        <w:t xml:space="preserve"> </w:t>
      </w:r>
      <w:r w:rsidRPr="00891718">
        <w:rPr>
          <w:rFonts w:eastAsia="Times New Roman"/>
          <w:lang w:val="en-GB" w:eastAsia="en-GB"/>
        </w:rPr>
        <w:t>The regulatory exercise meets little ideological resistance, being deemed “amply justified in principle”</w:t>
      </w:r>
      <w:bookmarkStart w:id="1" w:name="_Ref469411424"/>
      <w:r w:rsidRPr="00891718">
        <w:rPr>
          <w:rFonts w:eastAsia="Times New Roman"/>
          <w:vertAlign w:val="superscript"/>
          <w:lang w:val="en-GB" w:eastAsia="en-GB"/>
        </w:rPr>
        <w:footnoteReference w:id="24"/>
      </w:r>
      <w:bookmarkEnd w:id="1"/>
      <w:r w:rsidRPr="00891718">
        <w:rPr>
          <w:rFonts w:eastAsia="Times New Roman"/>
          <w:lang w:val="en-GB" w:eastAsia="en-GB"/>
        </w:rPr>
        <w:t xml:space="preserve"> yet</w:t>
      </w:r>
      <w:r w:rsidR="009A2860" w:rsidRPr="00891718">
        <w:rPr>
          <w:rFonts w:eastAsia="Times New Roman"/>
          <w:lang w:val="en-GB" w:eastAsia="en-GB"/>
        </w:rPr>
        <w:t>,</w:t>
      </w:r>
      <w:r w:rsidRPr="00891718">
        <w:rPr>
          <w:rFonts w:eastAsia="Times New Roman"/>
          <w:lang w:val="en-GB" w:eastAsia="en-GB"/>
        </w:rPr>
        <w:t xml:space="preserve"> in practice</w:t>
      </w:r>
      <w:r w:rsidR="009A2860" w:rsidRPr="00891718">
        <w:rPr>
          <w:rFonts w:eastAsia="Times New Roman"/>
          <w:lang w:val="en-GB" w:eastAsia="en-GB"/>
        </w:rPr>
        <w:t>,</w:t>
      </w:r>
      <w:r w:rsidRPr="00891718">
        <w:rPr>
          <w:rFonts w:eastAsia="Times New Roman"/>
          <w:lang w:val="en-GB" w:eastAsia="en-GB"/>
        </w:rPr>
        <w:t xml:space="preserve"> campaign finance regulation “raises the spectre of governmental efforts to promote the interests of existing legislators.”</w:t>
      </w:r>
      <w:r w:rsidRPr="00891718">
        <w:rPr>
          <w:rFonts w:eastAsia="Times New Roman"/>
          <w:vertAlign w:val="superscript"/>
          <w:lang w:val="en-GB" w:eastAsia="en-GB"/>
        </w:rPr>
        <w:footnoteReference w:id="25"/>
      </w:r>
      <w:r w:rsidR="00641655" w:rsidRPr="00891718">
        <w:rPr>
          <w:rFonts w:eastAsia="Times New Roman"/>
          <w:lang w:val="en-GB" w:eastAsia="en-GB"/>
        </w:rPr>
        <w:t xml:space="preserve"> </w:t>
      </w:r>
      <w:r w:rsidRPr="00891718">
        <w:rPr>
          <w:rFonts w:eastAsia="Times New Roman"/>
          <w:lang w:val="en-GB" w:eastAsia="en-GB"/>
        </w:rPr>
        <w:t xml:space="preserve">Thus, whilst each component of a given regulatory framework might be explicitly directed at ridding politics of </w:t>
      </w:r>
      <w:r w:rsidRPr="00891718">
        <w:rPr>
          <w:rFonts w:eastAsia="Times New Roman"/>
          <w:lang w:val="en-GB" w:eastAsia="en-GB"/>
        </w:rPr>
        <w:lastRenderedPageBreak/>
        <w:t>the malign influence of money it may also implicitly</w:t>
      </w:r>
      <w:r w:rsidR="00735189" w:rsidRPr="00891718">
        <w:rPr>
          <w:rFonts w:eastAsia="Times New Roman"/>
          <w:lang w:val="en-GB" w:eastAsia="en-GB"/>
        </w:rPr>
        <w:t xml:space="preserve"> </w:t>
      </w:r>
      <w:r w:rsidRPr="00891718">
        <w:rPr>
          <w:rFonts w:eastAsia="Times New Roman"/>
          <w:lang w:val="en-GB" w:eastAsia="en-GB"/>
        </w:rPr>
        <w:t>benefit incumbent legislators in possession of “</w:t>
      </w:r>
      <w:proofErr w:type="spellStart"/>
      <w:r w:rsidRPr="00891718">
        <w:rPr>
          <w:rFonts w:eastAsia="Times New Roman"/>
          <w:lang w:val="en-GB" w:eastAsia="en-GB"/>
        </w:rPr>
        <w:t>linedrawing</w:t>
      </w:r>
      <w:proofErr w:type="spellEnd"/>
      <w:r w:rsidRPr="00891718">
        <w:rPr>
          <w:rFonts w:eastAsia="Times New Roman"/>
          <w:lang w:val="en-GB" w:eastAsia="en-GB"/>
        </w:rPr>
        <w:t xml:space="preserve"> power”</w:t>
      </w:r>
      <w:r w:rsidRPr="00891718">
        <w:rPr>
          <w:rFonts w:eastAsia="Times New Roman"/>
          <w:vertAlign w:val="superscript"/>
          <w:lang w:val="en-GB" w:eastAsia="en-GB"/>
        </w:rPr>
        <w:footnoteReference w:id="26"/>
      </w:r>
      <w:r w:rsidRPr="00891718">
        <w:rPr>
          <w:rFonts w:eastAsia="Times New Roman"/>
          <w:lang w:val="en-GB" w:eastAsia="en-GB"/>
        </w:rPr>
        <w:t xml:space="preserve"> and an overwhelmi</w:t>
      </w:r>
      <w:r w:rsidR="00C1606E" w:rsidRPr="00891718">
        <w:rPr>
          <w:rFonts w:eastAsia="Times New Roman"/>
          <w:lang w:val="en-GB" w:eastAsia="en-GB"/>
        </w:rPr>
        <w:t xml:space="preserve">ng desire to remain in office. </w:t>
      </w:r>
      <w:r w:rsidR="00C1606E" w:rsidRPr="00891718">
        <w:t>R</w:t>
      </w:r>
      <w:r w:rsidRPr="00891718">
        <w:t xml:space="preserve">e-election </w:t>
      </w:r>
      <w:r w:rsidR="00C1606E" w:rsidRPr="00891718">
        <w:t xml:space="preserve">appears to be the </w:t>
      </w:r>
      <w:r w:rsidRPr="00891718">
        <w:t xml:space="preserve">one </w:t>
      </w:r>
      <w:r w:rsidR="00C1606E" w:rsidRPr="00891718">
        <w:t>policy on which they all agree.</w:t>
      </w:r>
      <w:r w:rsidRPr="00891718">
        <w:rPr>
          <w:vertAlign w:val="superscript"/>
        </w:rPr>
        <w:footnoteReference w:id="27"/>
      </w:r>
      <w:r w:rsidR="00405BEF" w:rsidRPr="00891718">
        <w:t xml:space="preserve"> </w:t>
      </w:r>
      <w:r w:rsidRPr="00891718">
        <w:t xml:space="preserve">The regulation of campaign finances </w:t>
      </w:r>
      <w:r w:rsidR="008231C3" w:rsidRPr="00891718">
        <w:t>may thus present</w:t>
      </w:r>
      <w:r w:rsidRPr="00891718">
        <w:t xml:space="preserve"> a distinctive situation which appears to run counter to the adversarial nature of partisan politics due to an apparent</w:t>
      </w:r>
      <w:r w:rsidR="004245AC" w:rsidRPr="00891718">
        <w:t>, albeit variable,</w:t>
      </w:r>
      <w:r w:rsidRPr="00891718">
        <w:t xml:space="preserve"> political consensus both on the need to purify the system and the means by which purification is to be achieved.</w:t>
      </w:r>
      <w:r w:rsidRPr="00891718">
        <w:rPr>
          <w:rStyle w:val="FootnoteReference"/>
          <w:sz w:val="24"/>
        </w:rPr>
        <w:footnoteReference w:id="28"/>
      </w:r>
      <w:r w:rsidR="009A2860" w:rsidRPr="00891718">
        <w:t xml:space="preserve"> </w:t>
      </w:r>
      <w:r w:rsidRPr="00891718">
        <w:t>The assumption may not, therefore, be made that regulations governing the raising and spending of money for political purposes are neutral or necessaril</w:t>
      </w:r>
      <w:r w:rsidR="005E50B8" w:rsidRPr="00891718">
        <w:t>y constructed with the health and</w:t>
      </w:r>
      <w:r w:rsidRPr="00891718">
        <w:t xml:space="preserve"> integrity of democratic processes in mind, irrespective of the fact that they may be so labelled.</w:t>
      </w:r>
      <w:r w:rsidR="005E5409" w:rsidRPr="00891718">
        <w:rPr>
          <w:rStyle w:val="FootnoteReference"/>
          <w:sz w:val="24"/>
        </w:rPr>
        <w:footnoteReference w:id="29"/>
      </w:r>
      <w:r w:rsidR="00641655" w:rsidRPr="00891718">
        <w:t xml:space="preserve"> </w:t>
      </w:r>
      <w:r w:rsidRPr="00891718">
        <w:t>The wider impact of self-interested campaign finance regulation can be severe, resultin</w:t>
      </w:r>
      <w:r w:rsidR="003377F4" w:rsidRPr="00891718">
        <w:t>g in uncompetitive elections, a stacked and ossified democratic system with</w:t>
      </w:r>
      <w:r w:rsidRPr="00891718">
        <w:t xml:space="preserve"> representatives </w:t>
      </w:r>
      <w:r w:rsidR="00B17183" w:rsidRPr="00891718">
        <w:t>“</w:t>
      </w:r>
      <w:r w:rsidRPr="00891718">
        <w:t>planted in office for perpetuity.</w:t>
      </w:r>
      <w:r w:rsidR="00B17183" w:rsidRPr="00891718">
        <w:t>”</w:t>
      </w:r>
      <w:r w:rsidRPr="00891718">
        <w:rPr>
          <w:rStyle w:val="FootnoteReference"/>
          <w:sz w:val="24"/>
        </w:rPr>
        <w:footnoteReference w:id="30"/>
      </w:r>
      <w:r w:rsidR="00CC12CB" w:rsidRPr="00891718">
        <w:t xml:space="preserve"> It is apparent, therefore, that </w:t>
      </w:r>
      <w:r w:rsidRPr="00891718">
        <w:t xml:space="preserve">the regulation of </w:t>
      </w:r>
      <w:r w:rsidR="00410AF9" w:rsidRPr="00891718">
        <w:t xml:space="preserve">campaign finance </w:t>
      </w:r>
      <w:r w:rsidRPr="00891718">
        <w:t>can all too easily result in the promotion of political expediency over democratic principle where the state becomes</w:t>
      </w:r>
      <w:r w:rsidR="00772187" w:rsidRPr="00891718">
        <w:t xml:space="preserve"> </w:t>
      </w:r>
      <w:r w:rsidRPr="00891718">
        <w:t>an “institutionalized structure of support, sustaining insiders while excluding outsiders”</w:t>
      </w:r>
      <w:r w:rsidRPr="00891718">
        <w:rPr>
          <w:rStyle w:val="FootnoteReference"/>
          <w:sz w:val="24"/>
        </w:rPr>
        <w:footnoteReference w:id="31"/>
      </w:r>
      <w:r w:rsidRPr="00891718">
        <w:t xml:space="preserve"> which, itself, “counts as a problem of corruption.”</w:t>
      </w:r>
      <w:r w:rsidRPr="00891718">
        <w:rPr>
          <w:rStyle w:val="FootnoteReference"/>
          <w:sz w:val="24"/>
        </w:rPr>
        <w:footnoteReference w:id="32"/>
      </w:r>
      <w:r w:rsidR="00641655" w:rsidRPr="00891718">
        <w:t xml:space="preserve"> </w:t>
      </w:r>
      <w:r w:rsidR="0014374E" w:rsidRPr="00891718">
        <w:t>In campaign finance adjudication, there has been explicit</w:t>
      </w:r>
      <w:r w:rsidR="00382B78" w:rsidRPr="00891718">
        <w:t xml:space="preserve"> and longstanding</w:t>
      </w:r>
      <w:r w:rsidR="0014374E" w:rsidRPr="00891718">
        <w:t xml:space="preserve"> judicial recognition that </w:t>
      </w:r>
      <w:r w:rsidR="003377F4" w:rsidRPr="00891718">
        <w:t xml:space="preserve">both existing regulations and proposals for reform </w:t>
      </w:r>
      <w:r w:rsidR="0014374E" w:rsidRPr="00891718">
        <w:t>may be designed</w:t>
      </w:r>
      <w:r w:rsidR="00772187" w:rsidRPr="00891718">
        <w:t xml:space="preserve"> as mechanisms of power</w:t>
      </w:r>
      <w:r w:rsidR="00F02803" w:rsidRPr="00891718">
        <w:t>-</w:t>
      </w:r>
      <w:r w:rsidR="00772187" w:rsidRPr="00891718">
        <w:t>holding</w:t>
      </w:r>
      <w:r w:rsidR="003C3601" w:rsidRPr="00891718">
        <w:t xml:space="preserve"> or maintenance</w:t>
      </w:r>
      <w:r w:rsidR="00772187" w:rsidRPr="00891718">
        <w:t>,</w:t>
      </w:r>
      <w:r w:rsidR="00641655" w:rsidRPr="00891718">
        <w:t xml:space="preserve"> </w:t>
      </w:r>
      <w:r w:rsidR="00410AF9" w:rsidRPr="00891718">
        <w:t xml:space="preserve">intended </w:t>
      </w:r>
      <w:r w:rsidR="0014374E" w:rsidRPr="00891718">
        <w:t>to “serve the interests of the ‘ins’ … in resisting the incursions of the ‘outs’.”</w:t>
      </w:r>
      <w:r w:rsidR="0014374E" w:rsidRPr="00891718">
        <w:rPr>
          <w:rStyle w:val="FootnoteReference"/>
          <w:sz w:val="24"/>
        </w:rPr>
        <w:footnoteReference w:id="33"/>
      </w:r>
      <w:r w:rsidR="00641655" w:rsidRPr="00891718">
        <w:t xml:space="preserve"> </w:t>
      </w:r>
      <w:r w:rsidR="0014374E" w:rsidRPr="00891718">
        <w:t xml:space="preserve">The Court of Appeals in </w:t>
      </w:r>
      <w:r w:rsidR="0014374E" w:rsidRPr="00891718">
        <w:rPr>
          <w:i/>
        </w:rPr>
        <w:t>Buckley</w:t>
      </w:r>
      <w:r w:rsidR="0014374E" w:rsidRPr="00891718">
        <w:t>, for example, noted that “[t]he wiles of ambitious office seekers and their supporters are not easily cabined.”</w:t>
      </w:r>
      <w:r w:rsidR="0014374E" w:rsidRPr="00891718">
        <w:rPr>
          <w:rStyle w:val="FootnoteReference"/>
          <w:sz w:val="24"/>
        </w:rPr>
        <w:footnoteReference w:id="34"/>
      </w:r>
      <w:r w:rsidR="00641655" w:rsidRPr="00891718">
        <w:rPr>
          <w:b/>
        </w:rPr>
        <w:t xml:space="preserve"> </w:t>
      </w:r>
      <w:r w:rsidR="009A2860" w:rsidRPr="00891718">
        <w:t xml:space="preserve">In similar fashion, rather </w:t>
      </w:r>
      <w:r w:rsidR="0014374E" w:rsidRPr="00891718">
        <w:t xml:space="preserve">than simply expressing deference in the face of what were ostensibly ‘policy decisions’ on regulating campaign finances, Justice Scalia </w:t>
      </w:r>
      <w:r w:rsidR="00CC77AD" w:rsidRPr="00891718">
        <w:t xml:space="preserve">consistently </w:t>
      </w:r>
      <w:r w:rsidR="0014374E" w:rsidRPr="00891718">
        <w:t>proved extremely sensitive to the possibility of legislation “whose temporary political importance may threaten to eclipse respect for in</w:t>
      </w:r>
      <w:r w:rsidR="009A2860" w:rsidRPr="00891718">
        <w:t>convenient individual liberties</w:t>
      </w:r>
      <w:r w:rsidR="0014374E" w:rsidRPr="00891718">
        <w:t>”</w:t>
      </w:r>
      <w:r w:rsidR="0014374E" w:rsidRPr="00891718">
        <w:rPr>
          <w:rStyle w:val="FootnoteReference"/>
          <w:sz w:val="24"/>
        </w:rPr>
        <w:footnoteReference w:id="35"/>
      </w:r>
      <w:r w:rsidR="009A2860" w:rsidRPr="00891718">
        <w:t>, despite evidence that, over the last thirty years, incumbency advantage has dwindled due to rising levels of party loyalty, the nationalization of electoral politics and closer articulation between presidential and congressional elections.</w:t>
      </w:r>
      <w:r w:rsidR="009A2860" w:rsidRPr="00891718">
        <w:rPr>
          <w:vertAlign w:val="superscript"/>
        </w:rPr>
        <w:footnoteReference w:id="36"/>
      </w:r>
      <w:r w:rsidR="00641655" w:rsidRPr="00891718">
        <w:t xml:space="preserve"> </w:t>
      </w:r>
      <w:r w:rsidR="00F73EDD" w:rsidRPr="00891718">
        <w:t>H</w:t>
      </w:r>
      <w:r w:rsidR="003230A1" w:rsidRPr="00891718">
        <w:t xml:space="preserve">ighlighting </w:t>
      </w:r>
      <w:r w:rsidR="00E67C95" w:rsidRPr="00891718">
        <w:t>the weaknesses of the ‘self-interest’ argument for restricting campaign finance regulation</w:t>
      </w:r>
      <w:r w:rsidR="00F73EDD" w:rsidRPr="00891718">
        <w:t xml:space="preserve"> and reform</w:t>
      </w:r>
      <w:r w:rsidR="00E67C95" w:rsidRPr="00891718">
        <w:t xml:space="preserve">, </w:t>
      </w:r>
      <w:proofErr w:type="spellStart"/>
      <w:r w:rsidR="00E67C95" w:rsidRPr="00891718">
        <w:t>Hasen</w:t>
      </w:r>
      <w:proofErr w:type="spellEnd"/>
      <w:r w:rsidR="000B1472" w:rsidRPr="00891718">
        <w:t xml:space="preserve"> maintains that it is</w:t>
      </w:r>
      <w:r w:rsidR="00362727" w:rsidRPr="00891718">
        <w:t xml:space="preserve"> </w:t>
      </w:r>
      <w:r w:rsidR="00E67C95" w:rsidRPr="00891718">
        <w:t xml:space="preserve">both </w:t>
      </w:r>
      <w:r w:rsidR="00362727" w:rsidRPr="00891718">
        <w:t>axiomatic</w:t>
      </w:r>
      <w:r w:rsidR="000B1472" w:rsidRPr="00891718">
        <w:rPr>
          <w:rStyle w:val="FootnoteReference"/>
          <w:sz w:val="24"/>
        </w:rPr>
        <w:footnoteReference w:id="37"/>
      </w:r>
      <w:r w:rsidR="000B1472" w:rsidRPr="00891718">
        <w:t xml:space="preserve"> that politicians might favor campaign finance legislation</w:t>
      </w:r>
      <w:r w:rsidR="00AE7203" w:rsidRPr="00891718">
        <w:t xml:space="preserve"> and</w:t>
      </w:r>
      <w:r w:rsidR="00E67C95" w:rsidRPr="00891718">
        <w:t xml:space="preserve"> </w:t>
      </w:r>
      <w:r w:rsidR="000B6D78" w:rsidRPr="00891718">
        <w:t>in</w:t>
      </w:r>
      <w:r w:rsidR="00362727" w:rsidRPr="00891718">
        <w:t>e</w:t>
      </w:r>
      <w:r w:rsidR="000B6D78" w:rsidRPr="00891718">
        <w:t>v</w:t>
      </w:r>
      <w:r w:rsidR="00362727" w:rsidRPr="00891718">
        <w:t xml:space="preserve">itable </w:t>
      </w:r>
      <w:r w:rsidR="00AE7203" w:rsidRPr="00891718">
        <w:t xml:space="preserve">that the Court’s campaign finance </w:t>
      </w:r>
      <w:r w:rsidR="000B6D78" w:rsidRPr="00891718">
        <w:t>hawk</w:t>
      </w:r>
      <w:r w:rsidR="00AE7203" w:rsidRPr="00891718">
        <w:t xml:space="preserve">s </w:t>
      </w:r>
      <w:r w:rsidR="000B6D78" w:rsidRPr="00891718">
        <w:t xml:space="preserve">would latch </w:t>
      </w:r>
      <w:r w:rsidR="00AE7203" w:rsidRPr="00891718">
        <w:t>on to the</w:t>
      </w:r>
      <w:r w:rsidR="00E67C95" w:rsidRPr="00891718">
        <w:t xml:space="preserve"> un</w:t>
      </w:r>
      <w:r w:rsidR="00DA6E41" w:rsidRPr="00891718">
        <w:t>-</w:t>
      </w:r>
      <w:r w:rsidR="00E67C95" w:rsidRPr="00891718">
        <w:t>nuanced</w:t>
      </w:r>
      <w:r w:rsidR="00AE7203" w:rsidRPr="00891718">
        <w:t xml:space="preserve"> idea </w:t>
      </w:r>
      <w:r w:rsidR="00362727" w:rsidRPr="00891718">
        <w:t xml:space="preserve">of campaign finance laws </w:t>
      </w:r>
      <w:r w:rsidR="00E67C95" w:rsidRPr="00891718">
        <w:t xml:space="preserve">as a </w:t>
      </w:r>
      <w:r w:rsidR="00AE7203" w:rsidRPr="00891718">
        <w:t>“protection racket”</w:t>
      </w:r>
      <w:r w:rsidR="00AE7203" w:rsidRPr="00891718">
        <w:rPr>
          <w:rStyle w:val="FootnoteReference"/>
          <w:sz w:val="24"/>
        </w:rPr>
        <w:footnoteReference w:id="38"/>
      </w:r>
      <w:r w:rsidR="00E67C95" w:rsidRPr="00891718">
        <w:t xml:space="preserve"> since this would </w:t>
      </w:r>
      <w:r w:rsidR="008D0645" w:rsidRPr="00891718">
        <w:t xml:space="preserve">best </w:t>
      </w:r>
      <w:r w:rsidR="00E67C95" w:rsidRPr="00891718">
        <w:t>serve the deregulatory agenda.</w:t>
      </w:r>
      <w:r w:rsidR="00641655" w:rsidRPr="00891718">
        <w:t xml:space="preserve"> </w:t>
      </w:r>
      <w:r w:rsidR="00B25F40" w:rsidRPr="00891718">
        <w:t xml:space="preserve">Notwithstanding his </w:t>
      </w:r>
      <w:r w:rsidR="000B6D78" w:rsidRPr="00891718">
        <w:lastRenderedPageBreak/>
        <w:t>recognition that legislative motivation is often inexplicit and difficult to discern</w:t>
      </w:r>
      <w:r w:rsidR="000B6D78" w:rsidRPr="00891718">
        <w:rPr>
          <w:rStyle w:val="FootnoteReference"/>
          <w:sz w:val="24"/>
        </w:rPr>
        <w:footnoteReference w:id="39"/>
      </w:r>
      <w:r w:rsidR="000B6D78" w:rsidRPr="00891718">
        <w:t>,</w:t>
      </w:r>
      <w:r w:rsidR="00DA6E41" w:rsidRPr="00891718">
        <w:t xml:space="preserve"> </w:t>
      </w:r>
      <w:r w:rsidR="00F02803" w:rsidRPr="00891718">
        <w:t>his philosophy that the meaning of the text was determinative</w:t>
      </w:r>
      <w:r w:rsidR="00F02803" w:rsidRPr="00891718">
        <w:rPr>
          <w:rStyle w:val="FootnoteReference"/>
          <w:sz w:val="24"/>
        </w:rPr>
        <w:footnoteReference w:id="40"/>
      </w:r>
      <w:r w:rsidR="00F02803" w:rsidRPr="00891718">
        <w:t xml:space="preserve"> </w:t>
      </w:r>
      <w:r w:rsidR="00A24C63" w:rsidRPr="00891718">
        <w:t xml:space="preserve">and </w:t>
      </w:r>
      <w:r w:rsidR="00EC215A" w:rsidRPr="00891718">
        <w:t xml:space="preserve">belief </w:t>
      </w:r>
      <w:r w:rsidR="00574C56" w:rsidRPr="00891718">
        <w:t>that, in any event, Justices should be “</w:t>
      </w:r>
      <w:r w:rsidR="00574C56" w:rsidRPr="00891718">
        <w:rPr>
          <w:rFonts w:eastAsia="Times New Roman"/>
        </w:rPr>
        <w:t>governed by laws, not by the intentions of legislatures”</w:t>
      </w:r>
      <w:r w:rsidR="00574C56" w:rsidRPr="00891718">
        <w:rPr>
          <w:rStyle w:val="FootnoteReference"/>
          <w:rFonts w:eastAsia="Times New Roman"/>
          <w:sz w:val="24"/>
        </w:rPr>
        <w:footnoteReference w:id="41"/>
      </w:r>
      <w:r w:rsidR="00574C56" w:rsidRPr="00891718">
        <w:rPr>
          <w:rFonts w:eastAsia="Times New Roman"/>
        </w:rPr>
        <w:t xml:space="preserve"> </w:t>
      </w:r>
      <w:r w:rsidR="00E67C95" w:rsidRPr="00891718">
        <w:t>throughout his tenure</w:t>
      </w:r>
      <w:r w:rsidR="00DA6E41" w:rsidRPr="00891718">
        <w:t>, and with an enthusiasm that perhaps exceeded the political reality,</w:t>
      </w:r>
      <w:r w:rsidR="00E67C95" w:rsidRPr="00891718">
        <w:t xml:space="preserve"> </w:t>
      </w:r>
      <w:r w:rsidR="000B6D78" w:rsidRPr="00891718">
        <w:t xml:space="preserve">Justice Scalia </w:t>
      </w:r>
      <w:r w:rsidR="008D0645" w:rsidRPr="00891718">
        <w:t xml:space="preserve">consistently </w:t>
      </w:r>
      <w:r w:rsidR="00E67C95" w:rsidRPr="00891718">
        <w:t xml:space="preserve">floated </w:t>
      </w:r>
      <w:r w:rsidR="000B6D78" w:rsidRPr="00891718">
        <w:t xml:space="preserve">the idea of </w:t>
      </w:r>
      <w:r w:rsidR="0024399C" w:rsidRPr="00891718">
        <w:t xml:space="preserve">legislators’ </w:t>
      </w:r>
      <w:r w:rsidR="000B6D78" w:rsidRPr="00891718">
        <w:t xml:space="preserve">self-interest </w:t>
      </w:r>
      <w:r w:rsidR="0024399C" w:rsidRPr="00891718">
        <w:t>as a danger to democracy</w:t>
      </w:r>
      <w:r w:rsidR="00DA6E41" w:rsidRPr="00891718">
        <w:t xml:space="preserve"> where it informed campaign finance rules.</w:t>
      </w:r>
      <w:r w:rsidR="0024399C" w:rsidRPr="00891718">
        <w:t xml:space="preserve"> </w:t>
      </w:r>
      <w:r w:rsidR="003377F4" w:rsidRPr="00891718">
        <w:t xml:space="preserve">In the courtroom, where scrutiny might reveal the threat of self-interest having crystallized into legislative output and </w:t>
      </w:r>
      <w:r w:rsidR="00D50358" w:rsidRPr="00891718">
        <w:t xml:space="preserve">political </w:t>
      </w:r>
      <w:r w:rsidR="003377F4" w:rsidRPr="00891718">
        <w:t xml:space="preserve">practice, </w:t>
      </w:r>
      <w:r w:rsidR="00D304CC" w:rsidRPr="00891718">
        <w:t xml:space="preserve">Justice </w:t>
      </w:r>
      <w:r w:rsidR="008D0645" w:rsidRPr="00891718">
        <w:t>Scalia’s</w:t>
      </w:r>
      <w:r w:rsidR="0047148A" w:rsidRPr="00891718">
        <w:t xml:space="preserve"> “hard-charging skeptic”</w:t>
      </w:r>
      <w:r w:rsidR="0047148A" w:rsidRPr="00891718">
        <w:rPr>
          <w:rStyle w:val="FootnoteReference"/>
          <w:sz w:val="24"/>
        </w:rPr>
        <w:footnoteReference w:id="42"/>
      </w:r>
      <w:r w:rsidR="008D0645" w:rsidRPr="00891718">
        <w:t xml:space="preserve"> jurisprudence </w:t>
      </w:r>
      <w:r w:rsidR="00CB1E8B" w:rsidRPr="00891718">
        <w:t xml:space="preserve">reveals </w:t>
      </w:r>
      <w:r w:rsidR="001E5654" w:rsidRPr="00891718">
        <w:t>three</w:t>
      </w:r>
      <w:r w:rsidR="00714863" w:rsidRPr="00891718">
        <w:t xml:space="preserve"> distinct </w:t>
      </w:r>
      <w:r w:rsidR="003230A1" w:rsidRPr="00891718">
        <w:t>manifestations of</w:t>
      </w:r>
      <w:r w:rsidR="00F73EDD" w:rsidRPr="00891718">
        <w:t xml:space="preserve"> legislators’ self-interest</w:t>
      </w:r>
      <w:r w:rsidR="00ED3066" w:rsidRPr="00891718">
        <w:t xml:space="preserve"> in campaign finance regulation</w:t>
      </w:r>
      <w:r w:rsidR="00714863" w:rsidRPr="00891718">
        <w:t xml:space="preserve">: power grabbing, </w:t>
      </w:r>
      <w:r w:rsidR="00ED3066" w:rsidRPr="00891718">
        <w:t>incumbent brac</w:t>
      </w:r>
      <w:r w:rsidR="00714863" w:rsidRPr="00891718">
        <w:t>ing and speech preventing</w:t>
      </w:r>
      <w:r w:rsidR="00ED3066" w:rsidRPr="00891718">
        <w:t>.</w:t>
      </w:r>
      <w:r w:rsidR="00641655" w:rsidRPr="00891718">
        <w:t xml:space="preserve"> </w:t>
      </w:r>
    </w:p>
    <w:p w14:paraId="45B13DB0" w14:textId="77777777" w:rsidR="003B5343" w:rsidRPr="00891718" w:rsidRDefault="003B5343" w:rsidP="00506D1B">
      <w:pPr>
        <w:spacing w:line="600" w:lineRule="auto"/>
        <w:rPr>
          <w:b/>
        </w:rPr>
      </w:pPr>
    </w:p>
    <w:p w14:paraId="3B986BB2" w14:textId="7051A23E" w:rsidR="00A64A8A" w:rsidRPr="00891718" w:rsidRDefault="00A64A8A" w:rsidP="002A2DF9">
      <w:pPr>
        <w:pStyle w:val="ListParagraph"/>
        <w:numPr>
          <w:ilvl w:val="0"/>
          <w:numId w:val="5"/>
        </w:numPr>
        <w:spacing w:line="600" w:lineRule="auto"/>
        <w:ind w:left="0" w:firstLine="0"/>
        <w:jc w:val="center"/>
        <w:rPr>
          <w:rFonts w:ascii="Times New Roman" w:hAnsi="Times New Roman" w:cs="Times New Roman"/>
          <w:b/>
          <w:smallCaps/>
        </w:rPr>
      </w:pPr>
      <w:r w:rsidRPr="00891718">
        <w:rPr>
          <w:rFonts w:ascii="Times New Roman" w:hAnsi="Times New Roman" w:cs="Times New Roman"/>
          <w:b/>
          <w:smallCaps/>
        </w:rPr>
        <w:t>Power grabbing</w:t>
      </w:r>
    </w:p>
    <w:p w14:paraId="61684E93" w14:textId="7ECC84BC" w:rsidR="005C46C6" w:rsidRDefault="005E50B8" w:rsidP="00891718">
      <w:pPr>
        <w:jc w:val="both"/>
        <w:rPr>
          <w:rFonts w:eastAsia="Times New Roman"/>
        </w:rPr>
      </w:pPr>
      <w:r w:rsidRPr="00891718">
        <w:t xml:space="preserve">In the power grabbing sense </w:t>
      </w:r>
      <w:r w:rsidR="00983845" w:rsidRPr="00891718">
        <w:t xml:space="preserve">Justice </w:t>
      </w:r>
      <w:r w:rsidRPr="00891718">
        <w:t xml:space="preserve">Scalia’s judgments depict </w:t>
      </w:r>
      <w:r w:rsidR="00FF4A1C" w:rsidRPr="00891718">
        <w:t>leg</w:t>
      </w:r>
      <w:r w:rsidRPr="00891718">
        <w:t xml:space="preserve">islators as </w:t>
      </w:r>
      <w:r w:rsidR="00716A4A" w:rsidRPr="00891718">
        <w:t xml:space="preserve">disingenuous, moralizing </w:t>
      </w:r>
      <w:r w:rsidRPr="00891718">
        <w:t xml:space="preserve">imperialists </w:t>
      </w:r>
      <w:r w:rsidR="00716A4A" w:rsidRPr="00891718">
        <w:t xml:space="preserve">requiring careful </w:t>
      </w:r>
      <w:r w:rsidR="00DA6E41" w:rsidRPr="00891718">
        <w:t xml:space="preserve">judicial </w:t>
      </w:r>
      <w:r w:rsidR="00716A4A" w:rsidRPr="00891718">
        <w:t>supervision</w:t>
      </w:r>
      <w:r w:rsidR="0021193E" w:rsidRPr="00891718">
        <w:t>,</w:t>
      </w:r>
      <w:r w:rsidR="00716A4A" w:rsidRPr="00891718">
        <w:t xml:space="preserve"> and </w:t>
      </w:r>
      <w:r w:rsidRPr="00891718">
        <w:t xml:space="preserve">from whom the electorate </w:t>
      </w:r>
      <w:r w:rsidR="00244F0F" w:rsidRPr="00891718">
        <w:t xml:space="preserve">and electoral processes need the </w:t>
      </w:r>
      <w:r w:rsidRPr="00891718">
        <w:t xml:space="preserve">protection </w:t>
      </w:r>
      <w:r w:rsidR="00244F0F" w:rsidRPr="00891718">
        <w:t xml:space="preserve">provided by </w:t>
      </w:r>
      <w:r w:rsidRPr="00891718">
        <w:t xml:space="preserve">the </w:t>
      </w:r>
      <w:r w:rsidR="00716A4A" w:rsidRPr="00891718">
        <w:t>Court.</w:t>
      </w:r>
      <w:r w:rsidR="00641655" w:rsidRPr="00891718">
        <w:t xml:space="preserve"> </w:t>
      </w:r>
      <w:r w:rsidR="00716A4A" w:rsidRPr="00891718">
        <w:t xml:space="preserve">The </w:t>
      </w:r>
      <w:r w:rsidR="0021193E" w:rsidRPr="00891718">
        <w:t>path to campaign finance reform</w:t>
      </w:r>
      <w:r w:rsidR="00716A4A" w:rsidRPr="00891718">
        <w:t xml:space="preserve"> may be littered with </w:t>
      </w:r>
      <w:r w:rsidR="00716A4A" w:rsidRPr="00891718">
        <w:rPr>
          <w:rFonts w:eastAsia="Times New Roman"/>
          <w:color w:val="333333"/>
          <w:shd w:val="clear" w:color="auto" w:fill="FFFFFF"/>
        </w:rPr>
        <w:t>“</w:t>
      </w:r>
      <w:r w:rsidR="00716A4A" w:rsidRPr="00891718">
        <w:t>the very best of announced objectives (dictators promise to bring order, not tyranny), and often with the very best of genuinely intended objectives (zealous policemen conduct unlawful searches in order to put dangerous felons behind bars)</w:t>
      </w:r>
      <w:r w:rsidR="00B17183" w:rsidRPr="00891718">
        <w:t>”</w:t>
      </w:r>
      <w:r w:rsidR="00716A4A" w:rsidRPr="00891718">
        <w:rPr>
          <w:rStyle w:val="FootnoteReference"/>
          <w:sz w:val="24"/>
        </w:rPr>
        <w:footnoteReference w:id="43"/>
      </w:r>
      <w:r w:rsidR="00716A4A" w:rsidRPr="00891718">
        <w:t xml:space="preserve"> but </w:t>
      </w:r>
      <w:r w:rsidR="0021193E" w:rsidRPr="00891718">
        <w:t xml:space="preserve">leads to </w:t>
      </w:r>
      <w:r w:rsidR="00716A4A" w:rsidRPr="00891718">
        <w:rPr>
          <w:rFonts w:eastAsia="Times New Roman"/>
          <w:color w:val="333333"/>
          <w:shd w:val="clear" w:color="auto" w:fill="FFFFFF"/>
        </w:rPr>
        <w:t>“</w:t>
      </w:r>
      <w:r w:rsidR="00716A4A" w:rsidRPr="00891718">
        <w:t>governmental abridgement of liberty”</w:t>
      </w:r>
      <w:r w:rsidR="00716A4A" w:rsidRPr="00891718">
        <w:rPr>
          <w:rStyle w:val="FootnoteReference"/>
          <w:sz w:val="24"/>
        </w:rPr>
        <w:footnoteReference w:id="44"/>
      </w:r>
      <w:r w:rsidR="00716A4A" w:rsidRPr="00891718">
        <w:t xml:space="preserve"> nonetheless.</w:t>
      </w:r>
      <w:r w:rsidR="00641655" w:rsidRPr="00891718">
        <w:t xml:space="preserve"> </w:t>
      </w:r>
      <w:r w:rsidR="005247EE" w:rsidRPr="00891718">
        <w:t xml:space="preserve">Dissenting in </w:t>
      </w:r>
      <w:r w:rsidR="005247EE" w:rsidRPr="00891718">
        <w:rPr>
          <w:i/>
        </w:rPr>
        <w:t>Austin v</w:t>
      </w:r>
      <w:r w:rsidR="001308F1" w:rsidRPr="00891718">
        <w:rPr>
          <w:i/>
        </w:rPr>
        <w:t>.</w:t>
      </w:r>
      <w:r w:rsidR="005247EE" w:rsidRPr="00891718">
        <w:rPr>
          <w:i/>
        </w:rPr>
        <w:t xml:space="preserve"> Michigan </w:t>
      </w:r>
      <w:r w:rsidR="00F73EDD" w:rsidRPr="00891718">
        <w:t>Justice Scalia</w:t>
      </w:r>
      <w:r w:rsidR="005247EE" w:rsidRPr="00891718">
        <w:t xml:space="preserve"> argued that</w:t>
      </w:r>
      <w:r w:rsidR="005247EE" w:rsidRPr="00891718">
        <w:rPr>
          <w:i/>
        </w:rPr>
        <w:t xml:space="preserve"> </w:t>
      </w:r>
      <w:r w:rsidR="002A26B7" w:rsidRPr="00891718">
        <w:t xml:space="preserve">the Court’s support for the </w:t>
      </w:r>
      <w:r w:rsidR="005247EE" w:rsidRPr="00891718">
        <w:t xml:space="preserve">Michigan </w:t>
      </w:r>
      <w:r w:rsidR="002A26B7" w:rsidRPr="00891718">
        <w:t xml:space="preserve">Campaign Finance Act’s prohibition on </w:t>
      </w:r>
      <w:r w:rsidR="002A26B7" w:rsidRPr="00891718">
        <w:rPr>
          <w:lang w:val="en-GB"/>
        </w:rPr>
        <w:t xml:space="preserve">corporations using treasury money in independent expenditures </w:t>
      </w:r>
      <w:r w:rsidR="00F73EDD" w:rsidRPr="00891718">
        <w:rPr>
          <w:lang w:val="en-GB"/>
        </w:rPr>
        <w:t xml:space="preserve">supporting or opposing </w:t>
      </w:r>
      <w:r w:rsidR="002A26B7" w:rsidRPr="00891718">
        <w:rPr>
          <w:lang w:val="en-GB"/>
        </w:rPr>
        <w:t>candidates running for stat</w:t>
      </w:r>
      <w:r w:rsidR="00144D0B" w:rsidRPr="00891718">
        <w:rPr>
          <w:lang w:val="en-GB"/>
        </w:rPr>
        <w:t>e office</w:t>
      </w:r>
      <w:r w:rsidR="002A26B7" w:rsidRPr="00891718">
        <w:t xml:space="preserve"> </w:t>
      </w:r>
      <w:r w:rsidR="005247EE" w:rsidRPr="00891718">
        <w:rPr>
          <w:lang w:val="en-GB"/>
        </w:rPr>
        <w:t>e</w:t>
      </w:r>
      <w:r w:rsidR="002A26B7" w:rsidRPr="00891718">
        <w:rPr>
          <w:lang w:val="en-GB"/>
        </w:rPr>
        <w:t>liminated</w:t>
      </w:r>
      <w:r w:rsidR="005247EE" w:rsidRPr="00891718">
        <w:rPr>
          <w:lang w:val="en-GB"/>
        </w:rPr>
        <w:t xml:space="preserve"> org</w:t>
      </w:r>
      <w:r w:rsidR="002A26B7" w:rsidRPr="00891718">
        <w:rPr>
          <w:lang w:val="en-GB"/>
        </w:rPr>
        <w:t>ani</w:t>
      </w:r>
      <w:r w:rsidR="005247EE" w:rsidRPr="00891718">
        <w:rPr>
          <w:lang w:val="en-GB"/>
        </w:rPr>
        <w:t>s</w:t>
      </w:r>
      <w:r w:rsidR="002A26B7" w:rsidRPr="00891718">
        <w:rPr>
          <w:lang w:val="en-GB"/>
        </w:rPr>
        <w:t>ations</w:t>
      </w:r>
      <w:r w:rsidR="005247EE" w:rsidRPr="00891718">
        <w:rPr>
          <w:lang w:val="en-GB"/>
        </w:rPr>
        <w:t xml:space="preserve"> from public debate</w:t>
      </w:r>
      <w:r w:rsidR="002A26B7" w:rsidRPr="00891718">
        <w:rPr>
          <w:lang w:val="en-GB"/>
        </w:rPr>
        <w:t xml:space="preserve"> and</w:t>
      </w:r>
      <w:r w:rsidR="00144D0B" w:rsidRPr="00891718">
        <w:rPr>
          <w:lang w:val="en-GB"/>
        </w:rPr>
        <w:t>,</w:t>
      </w:r>
      <w:r w:rsidR="002A26B7" w:rsidRPr="00891718">
        <w:rPr>
          <w:lang w:val="en-GB"/>
        </w:rPr>
        <w:t xml:space="preserve"> thus</w:t>
      </w:r>
      <w:r w:rsidR="00144D0B" w:rsidRPr="00891718">
        <w:rPr>
          <w:lang w:val="en-GB"/>
        </w:rPr>
        <w:t>,</w:t>
      </w:r>
      <w:r w:rsidR="002A26B7" w:rsidRPr="00891718">
        <w:rPr>
          <w:lang w:val="en-GB"/>
        </w:rPr>
        <w:t xml:space="preserve"> permitted the “always dominant” power </w:t>
      </w:r>
      <w:r w:rsidR="0021193E" w:rsidRPr="00891718">
        <w:rPr>
          <w:lang w:val="en-GB"/>
        </w:rPr>
        <w:t>of government firstly to be augmented and, secondly,</w:t>
      </w:r>
      <w:r w:rsidR="002A26B7" w:rsidRPr="00891718">
        <w:rPr>
          <w:lang w:val="en-GB"/>
        </w:rPr>
        <w:t xml:space="preserve"> </w:t>
      </w:r>
      <w:r w:rsidR="0021193E" w:rsidRPr="00891718">
        <w:rPr>
          <w:lang w:val="en-GB"/>
        </w:rPr>
        <w:t>deploy</w:t>
      </w:r>
      <w:r w:rsidR="002A26B7" w:rsidRPr="00891718">
        <w:rPr>
          <w:lang w:val="en-GB"/>
        </w:rPr>
        <w:t>ed “</w:t>
      </w:r>
      <w:r w:rsidR="005247EE" w:rsidRPr="00891718">
        <w:rPr>
          <w:lang w:val="en-GB"/>
        </w:rPr>
        <w:t>to impoverish the public debate</w:t>
      </w:r>
      <w:r w:rsidR="002A26B7" w:rsidRPr="00891718">
        <w:rPr>
          <w:lang w:val="en-GB"/>
        </w:rPr>
        <w:t>.</w:t>
      </w:r>
      <w:r w:rsidR="005247EE" w:rsidRPr="00891718">
        <w:rPr>
          <w:lang w:val="en-GB"/>
        </w:rPr>
        <w:t>”</w:t>
      </w:r>
      <w:r w:rsidR="002A26B7" w:rsidRPr="00891718">
        <w:rPr>
          <w:rStyle w:val="FootnoteReference"/>
          <w:sz w:val="24"/>
        </w:rPr>
        <w:t xml:space="preserve"> </w:t>
      </w:r>
      <w:r w:rsidR="002A26B7" w:rsidRPr="00891718">
        <w:rPr>
          <w:rStyle w:val="FootnoteReference"/>
          <w:sz w:val="24"/>
        </w:rPr>
        <w:footnoteReference w:id="45"/>
      </w:r>
      <w:r w:rsidR="00641655" w:rsidRPr="00891718">
        <w:rPr>
          <w:lang w:val="en-GB"/>
        </w:rPr>
        <w:t xml:space="preserve"> </w:t>
      </w:r>
      <w:r w:rsidR="008E36CF" w:rsidRPr="00891718">
        <w:rPr>
          <w:lang w:val="en-GB"/>
        </w:rPr>
        <w:t xml:space="preserve">In similar fashion, in </w:t>
      </w:r>
      <w:r w:rsidR="008E36CF" w:rsidRPr="00891718">
        <w:rPr>
          <w:i/>
          <w:lang w:val="en-GB"/>
        </w:rPr>
        <w:t>Citizens United</w:t>
      </w:r>
      <w:r w:rsidR="0021193E" w:rsidRPr="00891718">
        <w:rPr>
          <w:i/>
          <w:lang w:val="en-GB"/>
        </w:rPr>
        <w:t xml:space="preserve"> v</w:t>
      </w:r>
      <w:r w:rsidR="00C91677" w:rsidRPr="00891718">
        <w:rPr>
          <w:i/>
          <w:lang w:val="en-GB"/>
        </w:rPr>
        <w:t>.</w:t>
      </w:r>
      <w:r w:rsidR="0021193E" w:rsidRPr="00891718">
        <w:rPr>
          <w:i/>
          <w:lang w:val="en-GB"/>
        </w:rPr>
        <w:t xml:space="preserve"> F</w:t>
      </w:r>
      <w:r w:rsidR="00DA3ECF" w:rsidRPr="00891718">
        <w:rPr>
          <w:i/>
          <w:lang w:val="en-GB"/>
        </w:rPr>
        <w:t xml:space="preserve">ed. </w:t>
      </w:r>
      <w:r w:rsidR="0021193E" w:rsidRPr="00891718">
        <w:rPr>
          <w:i/>
          <w:lang w:val="en-GB"/>
        </w:rPr>
        <w:t>E</w:t>
      </w:r>
      <w:r w:rsidR="00DA3ECF" w:rsidRPr="00891718">
        <w:rPr>
          <w:i/>
          <w:lang w:val="en-GB"/>
        </w:rPr>
        <w:t xml:space="preserve">lections </w:t>
      </w:r>
      <w:proofErr w:type="spellStart"/>
      <w:r w:rsidR="00DA3ECF" w:rsidRPr="00891718">
        <w:rPr>
          <w:i/>
          <w:lang w:val="en-GB"/>
        </w:rPr>
        <w:t>Comm’n</w:t>
      </w:r>
      <w:proofErr w:type="spellEnd"/>
      <w:r w:rsidR="00A575F7" w:rsidRPr="00891718">
        <w:rPr>
          <w:i/>
          <w:lang w:val="en-GB"/>
        </w:rPr>
        <w:t>,</w:t>
      </w:r>
      <w:r w:rsidR="0021193E" w:rsidRPr="00891718">
        <w:rPr>
          <w:rStyle w:val="FootnoteReference"/>
          <w:i/>
          <w:sz w:val="24"/>
          <w:lang w:val="en-GB"/>
        </w:rPr>
        <w:footnoteReference w:id="46"/>
      </w:r>
      <w:r w:rsidR="008E36CF" w:rsidRPr="00891718">
        <w:rPr>
          <w:lang w:val="en-GB"/>
        </w:rPr>
        <w:t xml:space="preserve"> </w:t>
      </w:r>
      <w:r w:rsidR="00D52F78" w:rsidRPr="00891718">
        <w:rPr>
          <w:lang w:val="en-GB"/>
        </w:rPr>
        <w:t xml:space="preserve">where </w:t>
      </w:r>
      <w:r w:rsidR="00366F45" w:rsidRPr="00891718">
        <w:rPr>
          <w:lang w:val="en-GB"/>
        </w:rPr>
        <w:t xml:space="preserve">the Court held </w:t>
      </w:r>
      <w:r w:rsidR="00E84494" w:rsidRPr="00891718">
        <w:rPr>
          <w:lang w:val="en-GB"/>
        </w:rPr>
        <w:t xml:space="preserve">that </w:t>
      </w:r>
      <w:r w:rsidR="000932E9" w:rsidRPr="00891718">
        <w:rPr>
          <w:lang w:val="en-GB"/>
        </w:rPr>
        <w:t xml:space="preserve">the </w:t>
      </w:r>
      <w:r w:rsidR="0021193E" w:rsidRPr="00891718">
        <w:rPr>
          <w:lang w:val="en-GB"/>
        </w:rPr>
        <w:t xml:space="preserve">federal </w:t>
      </w:r>
      <w:r w:rsidR="00E84494" w:rsidRPr="00891718">
        <w:rPr>
          <w:lang w:val="en-GB"/>
        </w:rPr>
        <w:t xml:space="preserve">government, under cover of </w:t>
      </w:r>
      <w:r w:rsidR="00366F45" w:rsidRPr="00891718">
        <w:rPr>
          <w:lang w:val="en-GB"/>
        </w:rPr>
        <w:t>the Bipartisan Campaign Reform Act</w:t>
      </w:r>
      <w:r w:rsidR="00C22822" w:rsidRPr="00891718">
        <w:rPr>
          <w:lang w:val="en-GB"/>
        </w:rPr>
        <w:t xml:space="preserve"> (BCRA)</w:t>
      </w:r>
      <w:r w:rsidR="00E84494" w:rsidRPr="00891718">
        <w:rPr>
          <w:lang w:val="en-GB"/>
        </w:rPr>
        <w:t>,</w:t>
      </w:r>
      <w:r w:rsidR="00366F45" w:rsidRPr="00891718">
        <w:rPr>
          <w:lang w:val="en-GB"/>
        </w:rPr>
        <w:t xml:space="preserve"> </w:t>
      </w:r>
      <w:r w:rsidR="00366F45" w:rsidRPr="00891718">
        <w:rPr>
          <w:rFonts w:eastAsia="Times New Roman"/>
          <w:color w:val="333333"/>
          <w:shd w:val="clear" w:color="auto" w:fill="FFFFFF"/>
        </w:rPr>
        <w:t>could not prevent corporations from spending money to support or denounce individual candidates in elections</w:t>
      </w:r>
      <w:r w:rsidR="00E84494" w:rsidRPr="00891718">
        <w:rPr>
          <w:rFonts w:eastAsia="Times New Roman"/>
          <w:color w:val="333333"/>
          <w:shd w:val="clear" w:color="auto" w:fill="FFFFFF"/>
        </w:rPr>
        <w:t xml:space="preserve">, </w:t>
      </w:r>
      <w:r w:rsidR="00C50749" w:rsidRPr="00891718">
        <w:rPr>
          <w:rFonts w:eastAsia="Times New Roman"/>
          <w:color w:val="333333"/>
          <w:shd w:val="clear" w:color="auto" w:fill="FFFFFF"/>
        </w:rPr>
        <w:t xml:space="preserve">Justice </w:t>
      </w:r>
      <w:r w:rsidR="00E84494" w:rsidRPr="00891718">
        <w:rPr>
          <w:rFonts w:eastAsia="Times New Roman"/>
          <w:color w:val="333333"/>
          <w:shd w:val="clear" w:color="auto" w:fill="FFFFFF"/>
        </w:rPr>
        <w:t xml:space="preserve">Scalia </w:t>
      </w:r>
      <w:r w:rsidR="00144D0B" w:rsidRPr="00891718">
        <w:rPr>
          <w:lang w:val="en-GB"/>
        </w:rPr>
        <w:t xml:space="preserve">challenged </w:t>
      </w:r>
      <w:r w:rsidR="00D52A86" w:rsidRPr="00891718">
        <w:rPr>
          <w:lang w:val="en-GB"/>
        </w:rPr>
        <w:t>the idea that</w:t>
      </w:r>
      <w:r w:rsidR="00E84494" w:rsidRPr="00891718">
        <w:rPr>
          <w:lang w:val="en-GB"/>
        </w:rPr>
        <w:t xml:space="preserve"> such</w:t>
      </w:r>
      <w:r w:rsidR="00D52A86" w:rsidRPr="00891718">
        <w:rPr>
          <w:lang w:val="en-GB"/>
        </w:rPr>
        <w:t xml:space="preserve"> </w:t>
      </w:r>
      <w:r w:rsidR="00C50749" w:rsidRPr="00891718">
        <w:t xml:space="preserve">speech </w:t>
      </w:r>
      <w:r w:rsidR="00D52A86" w:rsidRPr="00891718">
        <w:t>could</w:t>
      </w:r>
      <w:r w:rsidR="008E36CF" w:rsidRPr="00891718">
        <w:t xml:space="preserve"> be prohibited because, in the </w:t>
      </w:r>
      <w:r w:rsidR="00DA6E41" w:rsidRPr="00891718">
        <w:t xml:space="preserve">view of </w:t>
      </w:r>
      <w:r w:rsidR="0021193E" w:rsidRPr="00891718">
        <w:t>g</w:t>
      </w:r>
      <w:r w:rsidR="00D52A86" w:rsidRPr="00891718">
        <w:t xml:space="preserve">overnment, it </w:t>
      </w:r>
      <w:r w:rsidR="0021193E" w:rsidRPr="00891718">
        <w:t xml:space="preserve">fostered </w:t>
      </w:r>
      <w:r w:rsidR="008E36CF" w:rsidRPr="00891718">
        <w:t>“moral decay”</w:t>
      </w:r>
      <w:r w:rsidR="00D52A86" w:rsidRPr="00891718">
        <w:t xml:space="preserve"> or </w:t>
      </w:r>
      <w:r w:rsidR="0021193E" w:rsidRPr="00891718">
        <w:t xml:space="preserve">failed to </w:t>
      </w:r>
      <w:r w:rsidR="00D52A86" w:rsidRPr="00891718">
        <w:t>serve</w:t>
      </w:r>
      <w:r w:rsidR="0021193E" w:rsidRPr="00891718">
        <w:t xml:space="preserve"> </w:t>
      </w:r>
      <w:r w:rsidR="00D52A86" w:rsidRPr="00891718">
        <w:t>“public ends</w:t>
      </w:r>
      <w:r w:rsidR="0021193E" w:rsidRPr="00891718">
        <w:t>”, t</w:t>
      </w:r>
      <w:r w:rsidR="00D52A86" w:rsidRPr="00891718">
        <w:t xml:space="preserve">he natural </w:t>
      </w:r>
      <w:r w:rsidR="004D7F7A" w:rsidRPr="00891718">
        <w:t>consequence</w:t>
      </w:r>
      <w:r w:rsidR="00D52A86" w:rsidRPr="00891718">
        <w:t xml:space="preserve"> then being “</w:t>
      </w:r>
      <w:r w:rsidR="008E36CF" w:rsidRPr="00891718">
        <w:t>no limit to the Government’s censorship power</w:t>
      </w:r>
      <w:r w:rsidR="00CB1E8B" w:rsidRPr="00891718">
        <w:t>.</w:t>
      </w:r>
      <w:r w:rsidR="008E36CF" w:rsidRPr="00891718">
        <w:t>”</w:t>
      </w:r>
      <w:r w:rsidR="008E36CF" w:rsidRPr="00891718">
        <w:rPr>
          <w:rStyle w:val="FootnoteReference"/>
          <w:sz w:val="24"/>
        </w:rPr>
        <w:footnoteReference w:id="47"/>
      </w:r>
      <w:r w:rsidR="006D6582" w:rsidRPr="00891718">
        <w:rPr>
          <w:rFonts w:eastAsia="Times New Roman"/>
        </w:rPr>
        <w:t xml:space="preserve"> </w:t>
      </w:r>
    </w:p>
    <w:p w14:paraId="070D2BD1" w14:textId="77777777" w:rsidR="00891718" w:rsidRPr="00891718" w:rsidRDefault="00891718" w:rsidP="00891718">
      <w:pPr>
        <w:jc w:val="both"/>
        <w:rPr>
          <w:rFonts w:eastAsia="Times New Roman"/>
        </w:rPr>
      </w:pPr>
    </w:p>
    <w:p w14:paraId="799B3F1B" w14:textId="48D7295D" w:rsidR="003B5343" w:rsidRPr="00891718" w:rsidRDefault="00A64A8A" w:rsidP="002A2DF9">
      <w:pPr>
        <w:pStyle w:val="ListParagraph"/>
        <w:numPr>
          <w:ilvl w:val="0"/>
          <w:numId w:val="5"/>
        </w:numPr>
        <w:spacing w:line="600" w:lineRule="auto"/>
        <w:ind w:left="0" w:firstLine="0"/>
        <w:jc w:val="center"/>
        <w:rPr>
          <w:rFonts w:ascii="Times New Roman" w:eastAsia="Times New Roman" w:hAnsi="Times New Roman" w:cs="Times New Roman"/>
          <w:b/>
          <w:smallCaps/>
        </w:rPr>
      </w:pPr>
      <w:r w:rsidRPr="00891718">
        <w:rPr>
          <w:rFonts w:ascii="Times New Roman" w:eastAsia="Times New Roman" w:hAnsi="Times New Roman" w:cs="Times New Roman"/>
          <w:b/>
          <w:smallCaps/>
        </w:rPr>
        <w:t>Incumbent bracing</w:t>
      </w:r>
    </w:p>
    <w:p w14:paraId="53D0E99D" w14:textId="27E0B864" w:rsidR="00D667FA" w:rsidRPr="00891718" w:rsidRDefault="00F73EDD" w:rsidP="00891718">
      <w:pPr>
        <w:jc w:val="both"/>
        <w:rPr>
          <w:color w:val="000000"/>
        </w:rPr>
      </w:pPr>
      <w:r w:rsidRPr="00891718">
        <w:rPr>
          <w:rFonts w:eastAsia="Times New Roman"/>
          <w:color w:val="333333"/>
          <w:shd w:val="clear" w:color="auto" w:fill="FFFFFF"/>
        </w:rPr>
        <w:lastRenderedPageBreak/>
        <w:t>The second way in whi</w:t>
      </w:r>
      <w:r w:rsidR="005C46C6" w:rsidRPr="00891718">
        <w:rPr>
          <w:rFonts w:eastAsia="Times New Roman"/>
          <w:color w:val="333333"/>
          <w:shd w:val="clear" w:color="auto" w:fill="FFFFFF"/>
        </w:rPr>
        <w:t>ch legislators’ self-interest was</w:t>
      </w:r>
      <w:r w:rsidRPr="00891718">
        <w:rPr>
          <w:rFonts w:eastAsia="Times New Roman"/>
          <w:color w:val="333333"/>
          <w:shd w:val="clear" w:color="auto" w:fill="FFFFFF"/>
        </w:rPr>
        <w:t xml:space="preserve"> </w:t>
      </w:r>
      <w:r w:rsidR="00CB1E8B" w:rsidRPr="00891718">
        <w:rPr>
          <w:rFonts w:eastAsia="Times New Roman"/>
          <w:color w:val="333333"/>
          <w:shd w:val="clear" w:color="auto" w:fill="FFFFFF"/>
        </w:rPr>
        <w:t xml:space="preserve">employed </w:t>
      </w:r>
      <w:r w:rsidR="005C46C6" w:rsidRPr="00891718">
        <w:rPr>
          <w:rFonts w:eastAsia="Times New Roman"/>
          <w:color w:val="333333"/>
          <w:shd w:val="clear" w:color="auto" w:fill="FFFFFF"/>
        </w:rPr>
        <w:t xml:space="preserve">by </w:t>
      </w:r>
      <w:r w:rsidR="00C50749" w:rsidRPr="00891718">
        <w:rPr>
          <w:rFonts w:eastAsia="Times New Roman"/>
          <w:color w:val="333333"/>
          <w:shd w:val="clear" w:color="auto" w:fill="FFFFFF"/>
        </w:rPr>
        <w:t xml:space="preserve">Justice </w:t>
      </w:r>
      <w:r w:rsidR="005C46C6" w:rsidRPr="00891718">
        <w:rPr>
          <w:rFonts w:eastAsia="Times New Roman"/>
          <w:color w:val="333333"/>
          <w:shd w:val="clear" w:color="auto" w:fill="FFFFFF"/>
        </w:rPr>
        <w:t xml:space="preserve">Scalia </w:t>
      </w:r>
      <w:r w:rsidRPr="00891718">
        <w:rPr>
          <w:rFonts w:eastAsia="Times New Roman"/>
          <w:color w:val="333333"/>
          <w:shd w:val="clear" w:color="auto" w:fill="FFFFFF"/>
        </w:rPr>
        <w:t xml:space="preserve">to undercut </w:t>
      </w:r>
      <w:r w:rsidR="00B25F40" w:rsidRPr="00891718">
        <w:rPr>
          <w:rFonts w:eastAsia="Times New Roman"/>
          <w:color w:val="333333"/>
          <w:shd w:val="clear" w:color="auto" w:fill="FFFFFF"/>
        </w:rPr>
        <w:t xml:space="preserve">state and federal governments’ </w:t>
      </w:r>
      <w:r w:rsidRPr="00891718">
        <w:rPr>
          <w:rFonts w:eastAsia="Times New Roman"/>
          <w:color w:val="333333"/>
          <w:shd w:val="clear" w:color="auto" w:fill="FFFFFF"/>
        </w:rPr>
        <w:t>attempts at campaign finance regulation</w:t>
      </w:r>
      <w:r w:rsidR="00CB1E8B" w:rsidRPr="00891718">
        <w:rPr>
          <w:rFonts w:eastAsia="Times New Roman"/>
          <w:color w:val="333333"/>
          <w:shd w:val="clear" w:color="auto" w:fill="FFFFFF"/>
        </w:rPr>
        <w:t xml:space="preserve"> and reform</w:t>
      </w:r>
      <w:r w:rsidR="005C46C6" w:rsidRPr="00891718">
        <w:rPr>
          <w:rFonts w:eastAsia="Times New Roman"/>
          <w:color w:val="333333"/>
          <w:shd w:val="clear" w:color="auto" w:fill="FFFFFF"/>
        </w:rPr>
        <w:t xml:space="preserve"> wa</w:t>
      </w:r>
      <w:r w:rsidRPr="00891718">
        <w:rPr>
          <w:rFonts w:eastAsia="Times New Roman"/>
          <w:color w:val="333333"/>
          <w:shd w:val="clear" w:color="auto" w:fill="FFFFFF"/>
        </w:rPr>
        <w:t>s</w:t>
      </w:r>
      <w:r w:rsidR="00714863" w:rsidRPr="00891718">
        <w:rPr>
          <w:rFonts w:eastAsia="Times New Roman"/>
          <w:color w:val="333333"/>
          <w:shd w:val="clear" w:color="auto" w:fill="FFFFFF"/>
        </w:rPr>
        <w:t xml:space="preserve"> through </w:t>
      </w:r>
      <w:r w:rsidR="00ED3066" w:rsidRPr="00891718">
        <w:rPr>
          <w:rFonts w:eastAsia="Times New Roman"/>
          <w:color w:val="333333"/>
          <w:shd w:val="clear" w:color="auto" w:fill="FFFFFF"/>
        </w:rPr>
        <w:t xml:space="preserve">its depiction as a means of bracing incumbents against the efforts of challengers to gain </w:t>
      </w:r>
      <w:r w:rsidR="00506D1B" w:rsidRPr="00891718">
        <w:rPr>
          <w:rFonts w:eastAsia="Times New Roman"/>
          <w:color w:val="333333"/>
          <w:shd w:val="clear" w:color="auto" w:fill="FFFFFF"/>
        </w:rPr>
        <w:t>office</w:t>
      </w:r>
      <w:r w:rsidRPr="00891718">
        <w:rPr>
          <w:rFonts w:eastAsia="Times New Roman"/>
          <w:color w:val="333333"/>
          <w:shd w:val="clear" w:color="auto" w:fill="FFFFFF"/>
        </w:rPr>
        <w:t>.</w:t>
      </w:r>
      <w:r w:rsidR="00CB1E8B" w:rsidRPr="00891718">
        <w:rPr>
          <w:rFonts w:eastAsia="Times New Roman"/>
          <w:color w:val="333333"/>
          <w:shd w:val="clear" w:color="auto" w:fill="FFFFFF"/>
        </w:rPr>
        <w:t xml:space="preserve"> </w:t>
      </w:r>
      <w:r w:rsidR="00D16A08" w:rsidRPr="00891718">
        <w:rPr>
          <w:rFonts w:eastAsia="Times New Roman"/>
          <w:color w:val="333333"/>
          <w:shd w:val="clear" w:color="auto" w:fill="FFFFFF"/>
        </w:rPr>
        <w:t xml:space="preserve">In </w:t>
      </w:r>
      <w:r w:rsidR="006318DE" w:rsidRPr="00891718">
        <w:rPr>
          <w:rFonts w:eastAsia="Times New Roman"/>
          <w:color w:val="333333"/>
          <w:shd w:val="clear" w:color="auto" w:fill="FFFFFF"/>
        </w:rPr>
        <w:t xml:space="preserve">a number of cases spanning twenty-five of his thirty year </w:t>
      </w:r>
      <w:r w:rsidR="00CB1E8B" w:rsidRPr="00891718">
        <w:rPr>
          <w:rFonts w:eastAsia="Times New Roman"/>
          <w:color w:val="333333"/>
          <w:shd w:val="clear" w:color="auto" w:fill="FFFFFF"/>
        </w:rPr>
        <w:t xml:space="preserve">tenure, </w:t>
      </w:r>
      <w:r w:rsidR="00D16A08" w:rsidRPr="00891718">
        <w:rPr>
          <w:rFonts w:eastAsia="Times New Roman"/>
          <w:color w:val="333333"/>
          <w:shd w:val="clear" w:color="auto" w:fill="FFFFFF"/>
        </w:rPr>
        <w:t>the perceived</w:t>
      </w:r>
      <w:r w:rsidR="00716A4A" w:rsidRPr="00891718">
        <w:rPr>
          <w:rFonts w:eastAsia="Times New Roman"/>
          <w:color w:val="333333"/>
          <w:shd w:val="clear" w:color="auto" w:fill="FFFFFF"/>
        </w:rPr>
        <w:t xml:space="preserve"> character flaws and</w:t>
      </w:r>
      <w:r w:rsidR="00D16A08" w:rsidRPr="00891718">
        <w:rPr>
          <w:rFonts w:eastAsia="Times New Roman"/>
          <w:color w:val="333333"/>
          <w:shd w:val="clear" w:color="auto" w:fill="FFFFFF"/>
        </w:rPr>
        <w:t xml:space="preserve"> shortcomings of incumbents were </w:t>
      </w:r>
      <w:r w:rsidR="006318DE" w:rsidRPr="00891718">
        <w:rPr>
          <w:rFonts w:eastAsia="Times New Roman"/>
          <w:color w:val="333333"/>
          <w:shd w:val="clear" w:color="auto" w:fill="FFFFFF"/>
        </w:rPr>
        <w:t>scathingly identifi</w:t>
      </w:r>
      <w:r w:rsidR="00D16A08" w:rsidRPr="00891718">
        <w:rPr>
          <w:rFonts w:eastAsia="Times New Roman"/>
          <w:color w:val="333333"/>
          <w:shd w:val="clear" w:color="auto" w:fill="FFFFFF"/>
        </w:rPr>
        <w:t>ed</w:t>
      </w:r>
      <w:r w:rsidR="00F3625E" w:rsidRPr="00891718">
        <w:rPr>
          <w:rFonts w:eastAsia="Times New Roman"/>
          <w:color w:val="333333"/>
          <w:shd w:val="clear" w:color="auto" w:fill="FFFFFF"/>
        </w:rPr>
        <w:t>,</w:t>
      </w:r>
      <w:r w:rsidR="00D16A08" w:rsidRPr="00891718">
        <w:rPr>
          <w:rFonts w:eastAsia="Times New Roman"/>
          <w:color w:val="333333"/>
          <w:shd w:val="clear" w:color="auto" w:fill="FFFFFF"/>
        </w:rPr>
        <w:t xml:space="preserve"> and </w:t>
      </w:r>
      <w:r w:rsidR="00506D1B" w:rsidRPr="00891718">
        <w:rPr>
          <w:rFonts w:eastAsia="Times New Roman"/>
          <w:color w:val="333333"/>
          <w:shd w:val="clear" w:color="auto" w:fill="FFFFFF"/>
        </w:rPr>
        <w:t xml:space="preserve">the </w:t>
      </w:r>
      <w:r w:rsidR="00F3625E" w:rsidRPr="00891718">
        <w:rPr>
          <w:rFonts w:eastAsia="Times New Roman"/>
          <w:color w:val="333333"/>
          <w:shd w:val="clear" w:color="auto" w:fill="FFFFFF"/>
        </w:rPr>
        <w:t xml:space="preserve">statistically and anecdotally </w:t>
      </w:r>
      <w:r w:rsidR="00506D1B" w:rsidRPr="00891718">
        <w:rPr>
          <w:rFonts w:eastAsia="Times New Roman"/>
          <w:color w:val="333333"/>
          <w:shd w:val="clear" w:color="auto" w:fill="FFFFFF"/>
        </w:rPr>
        <w:t xml:space="preserve">well-documented </w:t>
      </w:r>
      <w:r w:rsidR="00D16A08" w:rsidRPr="00891718">
        <w:rPr>
          <w:rFonts w:eastAsia="Times New Roman"/>
          <w:color w:val="333333"/>
          <w:shd w:val="clear" w:color="auto" w:fill="FFFFFF"/>
        </w:rPr>
        <w:t>advantages of incumbency</w:t>
      </w:r>
      <w:r w:rsidR="00506D1B" w:rsidRPr="00891718">
        <w:rPr>
          <w:rStyle w:val="FootnoteReference"/>
          <w:rFonts w:eastAsia="Times New Roman"/>
          <w:color w:val="333333"/>
          <w:sz w:val="24"/>
          <w:shd w:val="clear" w:color="auto" w:fill="FFFFFF"/>
        </w:rPr>
        <w:footnoteReference w:id="48"/>
      </w:r>
      <w:r w:rsidR="00714863" w:rsidRPr="00891718">
        <w:rPr>
          <w:rFonts w:eastAsia="Times New Roman"/>
          <w:color w:val="333333"/>
          <w:shd w:val="clear" w:color="auto" w:fill="FFFFFF"/>
        </w:rPr>
        <w:t xml:space="preserve"> made clear</w:t>
      </w:r>
      <w:r w:rsidR="00CB1E8B" w:rsidRPr="00891718">
        <w:rPr>
          <w:rFonts w:eastAsia="Times New Roman"/>
          <w:color w:val="333333"/>
          <w:shd w:val="clear" w:color="auto" w:fill="FFFFFF"/>
        </w:rPr>
        <w:t xml:space="preserve">. </w:t>
      </w:r>
      <w:r w:rsidR="006318DE" w:rsidRPr="00891718">
        <w:rPr>
          <w:rFonts w:eastAsia="Times New Roman"/>
          <w:color w:val="333333"/>
          <w:shd w:val="clear" w:color="auto" w:fill="FFFFFF"/>
        </w:rPr>
        <w:t xml:space="preserve">In </w:t>
      </w:r>
      <w:r w:rsidR="006318DE" w:rsidRPr="00891718">
        <w:rPr>
          <w:rFonts w:eastAsia="Times New Roman"/>
          <w:i/>
          <w:color w:val="333333"/>
          <w:shd w:val="clear" w:color="auto" w:fill="FFFFFF"/>
        </w:rPr>
        <w:t xml:space="preserve">Austin </w:t>
      </w:r>
      <w:r w:rsidR="00CB1E8B" w:rsidRPr="00891718">
        <w:rPr>
          <w:rFonts w:eastAsia="Times New Roman"/>
          <w:color w:val="333333"/>
          <w:shd w:val="clear" w:color="auto" w:fill="FFFFFF"/>
        </w:rPr>
        <w:t xml:space="preserve">Justice Scalia </w:t>
      </w:r>
      <w:r w:rsidR="00C22822" w:rsidRPr="00891718">
        <w:rPr>
          <w:rFonts w:eastAsia="Times New Roman"/>
          <w:color w:val="333333"/>
          <w:shd w:val="clear" w:color="auto" w:fill="FFFFFF"/>
        </w:rPr>
        <w:t>declared</w:t>
      </w:r>
      <w:r w:rsidR="006318DE" w:rsidRPr="00891718">
        <w:rPr>
          <w:rFonts w:eastAsia="Times New Roman"/>
          <w:color w:val="333333"/>
          <w:shd w:val="clear" w:color="auto" w:fill="FFFFFF"/>
        </w:rPr>
        <w:t xml:space="preserve"> that </w:t>
      </w:r>
      <w:r w:rsidRPr="00891718">
        <w:rPr>
          <w:lang w:val="en-GB"/>
        </w:rPr>
        <w:t>“the incumbent politician who says he welcomes full and fair debate is no more to be believed than the entrenched monopolist who says he welcomes full and fair competition”</w:t>
      </w:r>
      <w:r w:rsidRPr="00891718">
        <w:rPr>
          <w:rStyle w:val="FootnoteReference"/>
          <w:sz w:val="24"/>
          <w:lang w:val="en-GB"/>
        </w:rPr>
        <w:footnoteReference w:id="49"/>
      </w:r>
      <w:r w:rsidR="006318DE" w:rsidRPr="00891718">
        <w:rPr>
          <w:lang w:val="en-GB"/>
        </w:rPr>
        <w:t xml:space="preserve"> and in </w:t>
      </w:r>
      <w:r w:rsidR="006318DE" w:rsidRPr="00891718">
        <w:rPr>
          <w:i/>
          <w:lang w:val="en-GB"/>
        </w:rPr>
        <w:t xml:space="preserve">McConnell </w:t>
      </w:r>
      <w:r w:rsidR="007048F6" w:rsidRPr="00891718">
        <w:rPr>
          <w:lang w:val="en-GB"/>
        </w:rPr>
        <w:t>he</w:t>
      </w:r>
      <w:r w:rsidR="007048F6" w:rsidRPr="00891718">
        <w:rPr>
          <w:i/>
          <w:lang w:val="en-GB"/>
        </w:rPr>
        <w:t xml:space="preserve"> </w:t>
      </w:r>
      <w:r w:rsidR="00F3625E" w:rsidRPr="00891718">
        <w:rPr>
          <w:lang w:val="en-GB"/>
        </w:rPr>
        <w:t xml:space="preserve">posed </w:t>
      </w:r>
      <w:r w:rsidR="006318DE" w:rsidRPr="00891718">
        <w:rPr>
          <w:lang w:val="en-GB"/>
        </w:rPr>
        <w:t>the question</w:t>
      </w:r>
      <w:r w:rsidR="00CB1E8B" w:rsidRPr="00891718">
        <w:rPr>
          <w:lang w:val="en-GB"/>
        </w:rPr>
        <w:t xml:space="preserve"> whether</w:t>
      </w:r>
      <w:r w:rsidR="00CD5D3F" w:rsidRPr="00891718">
        <w:rPr>
          <w:lang w:val="en-GB"/>
        </w:rPr>
        <w:t>, through the provisions of</w:t>
      </w:r>
      <w:r w:rsidR="00C22822" w:rsidRPr="00891718">
        <w:rPr>
          <w:lang w:val="en-GB"/>
        </w:rPr>
        <w:t xml:space="preserve"> the BCRA</w:t>
      </w:r>
      <w:r w:rsidR="00CD5D3F" w:rsidRPr="00891718">
        <w:rPr>
          <w:lang w:val="en-GB"/>
        </w:rPr>
        <w:t>,</w:t>
      </w:r>
      <w:r w:rsidR="00CB1E8B" w:rsidRPr="00891718">
        <w:rPr>
          <w:lang w:val="en-GB"/>
        </w:rPr>
        <w:t xml:space="preserve"> it was</w:t>
      </w:r>
      <w:r w:rsidR="006318DE" w:rsidRPr="00891718">
        <w:rPr>
          <w:lang w:val="en-GB"/>
        </w:rPr>
        <w:t xml:space="preserve"> </w:t>
      </w:r>
      <w:r w:rsidR="00CB1E8B" w:rsidRPr="00891718">
        <w:rPr>
          <w:lang w:val="en-GB"/>
        </w:rPr>
        <w:t>“</w:t>
      </w:r>
      <w:r w:rsidR="006318DE" w:rsidRPr="00891718">
        <w:rPr>
          <w:lang w:val="en-GB"/>
        </w:rPr>
        <w:t xml:space="preserve">accidental … that incumbents raise about three times as much ‘hard money’ – the sort of funding generally </w:t>
      </w:r>
      <w:r w:rsidR="006318DE" w:rsidRPr="00891718">
        <w:rPr>
          <w:i/>
          <w:lang w:val="en-GB"/>
        </w:rPr>
        <w:t xml:space="preserve">not </w:t>
      </w:r>
      <w:r w:rsidR="006318DE" w:rsidRPr="00891718">
        <w:rPr>
          <w:lang w:val="en-GB"/>
        </w:rPr>
        <w:t>restricted by this legislation – as do their challengers?”</w:t>
      </w:r>
      <w:r w:rsidR="006318DE" w:rsidRPr="00891718">
        <w:rPr>
          <w:rStyle w:val="FootnoteReference"/>
          <w:sz w:val="24"/>
          <w:lang w:val="en-GB"/>
        </w:rPr>
        <w:footnoteReference w:id="50"/>
      </w:r>
      <w:r w:rsidR="00CB1E8B" w:rsidRPr="00891718">
        <w:rPr>
          <w:lang w:val="en-GB"/>
        </w:rPr>
        <w:t xml:space="preserve"> The </w:t>
      </w:r>
      <w:r w:rsidR="001E57FF" w:rsidRPr="00891718">
        <w:rPr>
          <w:lang w:val="en-GB"/>
        </w:rPr>
        <w:t xml:space="preserve">self-interest </w:t>
      </w:r>
      <w:r w:rsidR="00CB1E8B" w:rsidRPr="00891718">
        <w:rPr>
          <w:lang w:val="en-GB"/>
        </w:rPr>
        <w:t xml:space="preserve">issue </w:t>
      </w:r>
      <w:r w:rsidR="001E57FF" w:rsidRPr="00891718">
        <w:rPr>
          <w:lang w:val="en-GB"/>
        </w:rPr>
        <w:t xml:space="preserve">does not just </w:t>
      </w:r>
      <w:r w:rsidR="00CD5D3F" w:rsidRPr="00891718">
        <w:rPr>
          <w:lang w:val="en-GB"/>
        </w:rPr>
        <w:t xml:space="preserve">feature </w:t>
      </w:r>
      <w:r w:rsidR="00CB1E8B" w:rsidRPr="00891718">
        <w:rPr>
          <w:lang w:val="en-GB"/>
        </w:rPr>
        <w:t xml:space="preserve">disparities in the accumulation of </w:t>
      </w:r>
      <w:r w:rsidR="00B42B67" w:rsidRPr="00891718">
        <w:rPr>
          <w:lang w:val="en-GB"/>
        </w:rPr>
        <w:t xml:space="preserve">cold, hard </w:t>
      </w:r>
      <w:r w:rsidR="00CB1E8B" w:rsidRPr="00891718">
        <w:rPr>
          <w:lang w:val="en-GB"/>
        </w:rPr>
        <w:t>cash, however</w:t>
      </w:r>
      <w:r w:rsidR="00B42B67" w:rsidRPr="00891718">
        <w:rPr>
          <w:lang w:val="en-GB"/>
        </w:rPr>
        <w:t>.</w:t>
      </w:r>
      <w:r w:rsidR="00CB1E8B" w:rsidRPr="00891718">
        <w:rPr>
          <w:lang w:val="en-GB"/>
        </w:rPr>
        <w:t xml:space="preserve"> Often regulation is commended </w:t>
      </w:r>
      <w:r w:rsidR="001E57FF" w:rsidRPr="00891718">
        <w:rPr>
          <w:lang w:val="en-GB"/>
        </w:rPr>
        <w:t xml:space="preserve">by legislators </w:t>
      </w:r>
      <w:r w:rsidR="00CB1E8B" w:rsidRPr="00891718">
        <w:rPr>
          <w:lang w:val="en-GB"/>
        </w:rPr>
        <w:t xml:space="preserve">on the basis of its even-handedness in treating both challengers and incumbents </w:t>
      </w:r>
      <w:r w:rsidR="00B42B67" w:rsidRPr="00891718">
        <w:rPr>
          <w:lang w:val="en-GB"/>
        </w:rPr>
        <w:t xml:space="preserve">equally </w:t>
      </w:r>
      <w:r w:rsidR="00CB1E8B" w:rsidRPr="00891718">
        <w:rPr>
          <w:lang w:val="en-GB"/>
        </w:rPr>
        <w:t>but</w:t>
      </w:r>
      <w:r w:rsidR="00B42B67" w:rsidRPr="00891718">
        <w:rPr>
          <w:lang w:val="en-GB"/>
        </w:rPr>
        <w:t>, even then,</w:t>
      </w:r>
      <w:r w:rsidR="001E57FF" w:rsidRPr="00891718">
        <w:rPr>
          <w:lang w:val="en-GB"/>
        </w:rPr>
        <w:t xml:space="preserve"> </w:t>
      </w:r>
      <w:r w:rsidR="005566DF" w:rsidRPr="00891718">
        <w:rPr>
          <w:lang w:val="en-GB"/>
        </w:rPr>
        <w:t xml:space="preserve">and perhaps in particular then, </w:t>
      </w:r>
      <w:r w:rsidR="0010432B" w:rsidRPr="00891718">
        <w:rPr>
          <w:lang w:val="en-GB"/>
        </w:rPr>
        <w:t>it would</w:t>
      </w:r>
      <w:r w:rsidR="001E57FF" w:rsidRPr="00891718">
        <w:rPr>
          <w:lang w:val="en-GB"/>
        </w:rPr>
        <w:t xml:space="preserve"> be prudent to </w:t>
      </w:r>
      <w:r w:rsidR="00B42B67" w:rsidRPr="00891718">
        <w:rPr>
          <w:lang w:val="en-GB"/>
        </w:rPr>
        <w:t xml:space="preserve">question </w:t>
      </w:r>
      <w:r w:rsidR="001E57FF" w:rsidRPr="00891718">
        <w:rPr>
          <w:rFonts w:eastAsia="Times New Roman"/>
        </w:rPr>
        <w:t>“incumbents’ notions of healthy campaigns</w:t>
      </w:r>
      <w:r w:rsidR="00F261E9" w:rsidRPr="00891718">
        <w:rPr>
          <w:rFonts w:eastAsia="Times New Roman"/>
        </w:rPr>
        <w:t>”</w:t>
      </w:r>
      <w:r w:rsidR="001E57FF" w:rsidRPr="00891718">
        <w:rPr>
          <w:rStyle w:val="FootnoteReference"/>
          <w:rFonts w:eastAsia="Times New Roman"/>
          <w:sz w:val="24"/>
        </w:rPr>
        <w:footnoteReference w:id="51"/>
      </w:r>
      <w:r w:rsidR="001E57FF" w:rsidRPr="00891718">
        <w:rPr>
          <w:rFonts w:eastAsia="Times New Roman"/>
        </w:rPr>
        <w:t xml:space="preserve"> since those notions might be conditioned by a desire to perpetuate the advantages of incumbency</w:t>
      </w:r>
      <w:r w:rsidR="00C22822" w:rsidRPr="00891718">
        <w:rPr>
          <w:rFonts w:eastAsia="Times New Roman"/>
        </w:rPr>
        <w:t xml:space="preserve"> and, in practice, </w:t>
      </w:r>
      <w:r w:rsidR="00CD5D3F" w:rsidRPr="00891718">
        <w:rPr>
          <w:rFonts w:eastAsia="Times New Roman"/>
        </w:rPr>
        <w:t xml:space="preserve">may </w:t>
      </w:r>
      <w:r w:rsidR="00C22822" w:rsidRPr="00891718">
        <w:rPr>
          <w:rFonts w:eastAsia="Times New Roman"/>
        </w:rPr>
        <w:t>lead</w:t>
      </w:r>
      <w:r w:rsidR="00DF72F6" w:rsidRPr="00891718">
        <w:rPr>
          <w:rFonts w:eastAsia="Times New Roman"/>
        </w:rPr>
        <w:t xml:space="preserve"> to the suppression of challengers’ actual speech or opportunities for it.</w:t>
      </w:r>
      <w:r w:rsidR="00DF72F6" w:rsidRPr="00891718">
        <w:rPr>
          <w:rStyle w:val="FootnoteReference"/>
          <w:rFonts w:eastAsia="Times New Roman"/>
          <w:sz w:val="24"/>
        </w:rPr>
        <w:footnoteReference w:id="52"/>
      </w:r>
      <w:r w:rsidR="00641655" w:rsidRPr="00891718">
        <w:rPr>
          <w:rFonts w:eastAsia="Times New Roman"/>
          <w:i/>
        </w:rPr>
        <w:t xml:space="preserve"> </w:t>
      </w:r>
      <w:r w:rsidR="001E57FF" w:rsidRPr="00891718">
        <w:rPr>
          <w:rFonts w:eastAsia="Times New Roman"/>
        </w:rPr>
        <w:t xml:space="preserve">In </w:t>
      </w:r>
      <w:r w:rsidR="001E57FF" w:rsidRPr="00891718">
        <w:rPr>
          <w:rFonts w:eastAsia="Times New Roman"/>
          <w:i/>
        </w:rPr>
        <w:t xml:space="preserve">Austin </w:t>
      </w:r>
      <w:r w:rsidR="00D52CCE" w:rsidRPr="00891718">
        <w:rPr>
          <w:rFonts w:eastAsia="Times New Roman"/>
        </w:rPr>
        <w:t xml:space="preserve">Justice </w:t>
      </w:r>
      <w:r w:rsidR="001E57FF" w:rsidRPr="00891718">
        <w:rPr>
          <w:rFonts w:eastAsia="Times New Roman"/>
        </w:rPr>
        <w:t>Scalia</w:t>
      </w:r>
      <w:r w:rsidR="00B42B67" w:rsidRPr="00891718">
        <w:rPr>
          <w:rFonts w:eastAsia="Times New Roman"/>
        </w:rPr>
        <w:t xml:space="preserve"> addressed the deficiencies of one such statute, saying of the Campaign Finance Act that</w:t>
      </w:r>
      <w:r w:rsidR="001E57FF" w:rsidRPr="00891718">
        <w:rPr>
          <w:rFonts w:eastAsia="Times New Roman"/>
        </w:rPr>
        <w:t xml:space="preserve"> </w:t>
      </w:r>
      <w:r w:rsidRPr="00891718">
        <w:rPr>
          <w:lang w:val="en-GB"/>
        </w:rPr>
        <w:t>“perhaps it was trying to ensure ‘balanced’ presentation because it knows that with evenly balanced speech incumbent officeholders generally win”</w:t>
      </w:r>
      <w:r w:rsidRPr="00891718">
        <w:rPr>
          <w:rStyle w:val="FootnoteReference"/>
          <w:sz w:val="24"/>
          <w:lang w:val="en-GB"/>
        </w:rPr>
        <w:footnoteReference w:id="53"/>
      </w:r>
      <w:r w:rsidR="00716A4A" w:rsidRPr="00891718">
        <w:rPr>
          <w:lang w:val="en-GB"/>
        </w:rPr>
        <w:t xml:space="preserve"> </w:t>
      </w:r>
      <w:r w:rsidR="00322AD0" w:rsidRPr="00891718">
        <w:rPr>
          <w:lang w:val="en-GB"/>
        </w:rPr>
        <w:t>–</w:t>
      </w:r>
      <w:r w:rsidR="00C22822" w:rsidRPr="00891718">
        <w:rPr>
          <w:lang w:val="en-GB"/>
        </w:rPr>
        <w:t xml:space="preserve"> </w:t>
      </w:r>
      <w:r w:rsidR="00CB1E8B" w:rsidRPr="00891718">
        <w:rPr>
          <w:lang w:val="en-GB"/>
        </w:rPr>
        <w:t>because of other advantages that accompany possession of public office, such as profile</w:t>
      </w:r>
      <w:r w:rsidR="00DF72F6" w:rsidRPr="00891718">
        <w:rPr>
          <w:lang w:val="en-GB"/>
        </w:rPr>
        <w:t xml:space="preserve"> </w:t>
      </w:r>
      <w:r w:rsidR="00322AD0" w:rsidRPr="00891718">
        <w:rPr>
          <w:lang w:val="en-GB"/>
        </w:rPr>
        <w:t>–</w:t>
      </w:r>
      <w:r w:rsidR="00DF72F6" w:rsidRPr="00891718">
        <w:rPr>
          <w:lang w:val="en-GB"/>
        </w:rPr>
        <w:t xml:space="preserve"> </w:t>
      </w:r>
      <w:r w:rsidR="00716A4A" w:rsidRPr="00891718">
        <w:rPr>
          <w:lang w:val="en-GB"/>
        </w:rPr>
        <w:t>whilst acknowledging that, ultimately,</w:t>
      </w:r>
      <w:r w:rsidR="00DF72F6" w:rsidRPr="00891718">
        <w:rPr>
          <w:lang w:val="en-GB"/>
        </w:rPr>
        <w:t xml:space="preserve"> “a</w:t>
      </w:r>
      <w:r w:rsidR="00506D1B" w:rsidRPr="00891718">
        <w:rPr>
          <w:lang w:val="en-GB"/>
        </w:rPr>
        <w:t>ny restriction upon a type of campaign speech that is equally available to challengers and incumbents tends to favour incumbents</w:t>
      </w:r>
      <w:r w:rsidR="00DF72F6" w:rsidRPr="00891718">
        <w:rPr>
          <w:lang w:val="en-GB"/>
        </w:rPr>
        <w:t>.</w:t>
      </w:r>
      <w:r w:rsidR="00506D1B" w:rsidRPr="00891718">
        <w:rPr>
          <w:lang w:val="en-GB"/>
        </w:rPr>
        <w:t>”</w:t>
      </w:r>
      <w:r w:rsidR="00506D1B" w:rsidRPr="00891718">
        <w:rPr>
          <w:rStyle w:val="FootnoteReference"/>
          <w:sz w:val="24"/>
          <w:lang w:val="en-GB"/>
        </w:rPr>
        <w:footnoteReference w:id="54"/>
      </w:r>
      <w:r w:rsidR="006D6582" w:rsidRPr="00891718">
        <w:rPr>
          <w:rFonts w:eastAsia="Times New Roman"/>
        </w:rPr>
        <w:t xml:space="preserve"> This brings us to the issue of speech</w:t>
      </w:r>
      <w:r w:rsidR="00CC478C" w:rsidRPr="00891718">
        <w:rPr>
          <w:rFonts w:eastAsia="Times New Roman"/>
        </w:rPr>
        <w:t xml:space="preserve"> prevention as a consequence of self-interest</w:t>
      </w:r>
      <w:r w:rsidR="000932E9" w:rsidRPr="00891718">
        <w:rPr>
          <w:rFonts w:eastAsia="Times New Roman"/>
        </w:rPr>
        <w:t xml:space="preserve">. </w:t>
      </w:r>
      <w:r w:rsidR="00CD5D3F" w:rsidRPr="00891718">
        <w:rPr>
          <w:lang w:val="en-GB"/>
        </w:rPr>
        <w:t xml:space="preserve">It is here, in First Amendment territory, where </w:t>
      </w:r>
      <w:r w:rsidR="00D52CCE" w:rsidRPr="00891718">
        <w:rPr>
          <w:lang w:val="en-GB"/>
        </w:rPr>
        <w:t xml:space="preserve">Justice </w:t>
      </w:r>
      <w:r w:rsidR="00CD5D3F" w:rsidRPr="00891718">
        <w:rPr>
          <w:lang w:val="en-GB"/>
        </w:rPr>
        <w:t>Scalia</w:t>
      </w:r>
      <w:r w:rsidR="004D0FB1" w:rsidRPr="00891718">
        <w:rPr>
          <w:lang w:val="en-GB"/>
        </w:rPr>
        <w:t xml:space="preserve">’s deployment of </w:t>
      </w:r>
      <w:r w:rsidR="004D0FB1" w:rsidRPr="00891718">
        <w:rPr>
          <w:rFonts w:eastAsia="Times New Roman"/>
        </w:rPr>
        <w:t xml:space="preserve">self-interest </w:t>
      </w:r>
      <w:r w:rsidR="00D52CCE" w:rsidRPr="00891718">
        <w:rPr>
          <w:rFonts w:eastAsia="Times New Roman"/>
        </w:rPr>
        <w:t xml:space="preserve">as a </w:t>
      </w:r>
      <w:r w:rsidR="009429C7" w:rsidRPr="00891718">
        <w:rPr>
          <w:rFonts w:eastAsia="Times New Roman"/>
        </w:rPr>
        <w:t xml:space="preserve">counter to regulation and </w:t>
      </w:r>
      <w:r w:rsidR="00D52CCE" w:rsidRPr="00891718">
        <w:rPr>
          <w:rFonts w:eastAsia="Times New Roman"/>
        </w:rPr>
        <w:t xml:space="preserve">reform </w:t>
      </w:r>
      <w:r w:rsidR="004D0FB1" w:rsidRPr="00891718">
        <w:rPr>
          <w:rFonts w:eastAsia="Times New Roman"/>
        </w:rPr>
        <w:t>is</w:t>
      </w:r>
      <w:r w:rsidR="00D52CCE" w:rsidRPr="00891718">
        <w:rPr>
          <w:rFonts w:eastAsia="Times New Roman"/>
        </w:rPr>
        <w:t xml:space="preserve"> most compelling</w:t>
      </w:r>
      <w:r w:rsidR="00831123" w:rsidRPr="00891718">
        <w:rPr>
          <w:rFonts w:eastAsia="Times New Roman"/>
        </w:rPr>
        <w:t xml:space="preserve">, </w:t>
      </w:r>
      <w:r w:rsidR="009429C7" w:rsidRPr="00891718">
        <w:rPr>
          <w:rFonts w:eastAsia="Times New Roman"/>
        </w:rPr>
        <w:t xml:space="preserve">expressing doubt that </w:t>
      </w:r>
      <w:r w:rsidR="009429C7" w:rsidRPr="00891718">
        <w:rPr>
          <w:color w:val="000000"/>
        </w:rPr>
        <w:t xml:space="preserve">America’s </w:t>
      </w:r>
      <w:r w:rsidR="00831123" w:rsidRPr="00891718">
        <w:rPr>
          <w:color w:val="000000"/>
        </w:rPr>
        <w:t>“</w:t>
      </w:r>
      <w:r w:rsidR="009429C7" w:rsidRPr="00891718">
        <w:rPr>
          <w:color w:val="000000"/>
        </w:rPr>
        <w:t>healthy democratic system can survive the legislative power to prescribe how much political speech is too much, who may speak, and who may not.</w:t>
      </w:r>
      <w:r w:rsidR="00831123" w:rsidRPr="00891718">
        <w:rPr>
          <w:color w:val="000000"/>
        </w:rPr>
        <w:t>”</w:t>
      </w:r>
      <w:r w:rsidR="00831123" w:rsidRPr="00891718">
        <w:rPr>
          <w:rStyle w:val="FootnoteReference"/>
          <w:color w:val="000000"/>
          <w:sz w:val="24"/>
        </w:rPr>
        <w:footnoteReference w:id="55"/>
      </w:r>
      <w:r w:rsidR="00641655" w:rsidRPr="00891718">
        <w:rPr>
          <w:color w:val="000000"/>
        </w:rPr>
        <w:t xml:space="preserve"> </w:t>
      </w:r>
      <w:r w:rsidR="00FB2EE9" w:rsidRPr="00891718">
        <w:rPr>
          <w:color w:val="000000"/>
        </w:rPr>
        <w:t xml:space="preserve">It must, however, be said that Justice Scalia’s commitment to skepticism, whilst enduring, was neither total nor complete. </w:t>
      </w:r>
    </w:p>
    <w:p w14:paraId="43C784F9" w14:textId="330D0E7F" w:rsidR="00641655" w:rsidRDefault="00D667FA" w:rsidP="00891718">
      <w:pPr>
        <w:ind w:firstLine="284"/>
        <w:jc w:val="both"/>
      </w:pPr>
      <w:r w:rsidRPr="00891718">
        <w:rPr>
          <w:rFonts w:eastAsia="Times New Roman"/>
          <w:lang w:eastAsia="en-GB"/>
        </w:rPr>
        <w:t>It has been indicated that, in campaign finance cases, Justice Scalia exhibited a high degree of vigilance where legislators’ self-interest was likely to manifest.</w:t>
      </w:r>
      <w:r w:rsidR="00641655" w:rsidRPr="00891718">
        <w:rPr>
          <w:rFonts w:eastAsia="Times New Roman"/>
          <w:lang w:eastAsia="en-GB"/>
        </w:rPr>
        <w:t xml:space="preserve"> </w:t>
      </w:r>
      <w:r w:rsidRPr="00891718">
        <w:rPr>
          <w:rFonts w:eastAsia="Times New Roman"/>
          <w:lang w:eastAsia="en-GB"/>
        </w:rPr>
        <w:t xml:space="preserve">As has also been indicated, he supported disclosure of the sources of campaign contributions as an unquestioned good. </w:t>
      </w:r>
      <w:r w:rsidRPr="00891718">
        <w:rPr>
          <w:i/>
          <w:color w:val="000000"/>
        </w:rPr>
        <w:t>McIntyre</w:t>
      </w:r>
      <w:r w:rsidRPr="00891718">
        <w:rPr>
          <w:color w:val="000000"/>
        </w:rPr>
        <w:t xml:space="preserve"> </w:t>
      </w:r>
      <w:r w:rsidRPr="00891718">
        <w:rPr>
          <w:i/>
          <w:iCs/>
        </w:rPr>
        <w:t>v</w:t>
      </w:r>
      <w:r w:rsidR="001B4D25" w:rsidRPr="00891718">
        <w:rPr>
          <w:i/>
          <w:iCs/>
        </w:rPr>
        <w:t>.</w:t>
      </w:r>
      <w:r w:rsidRPr="00891718">
        <w:rPr>
          <w:i/>
          <w:iCs/>
        </w:rPr>
        <w:t xml:space="preserve"> Ohio Elections Commission</w:t>
      </w:r>
      <w:r w:rsidRPr="00891718">
        <w:rPr>
          <w:rStyle w:val="FootnoteReference"/>
          <w:iCs/>
          <w:sz w:val="24"/>
        </w:rPr>
        <w:footnoteReference w:id="56"/>
      </w:r>
      <w:r w:rsidR="00FB2EE9" w:rsidRPr="00891718">
        <w:rPr>
          <w:i/>
        </w:rPr>
        <w:t xml:space="preserve"> </w:t>
      </w:r>
      <w:r w:rsidR="00FB2EE9" w:rsidRPr="00891718">
        <w:t>concerned a prohibition on the distribution of anonymous campaign literature contained in Ohio’s Elections Commission Code, which the Court found unconstitutional as it violated the First Amendment’s freedom to publish anonymously.</w:t>
      </w:r>
      <w:r w:rsidRPr="00891718">
        <w:rPr>
          <w:rFonts w:eastAsia="Times New Roman"/>
        </w:rPr>
        <w:t xml:space="preserve"> Justice Scalia disagreed.</w:t>
      </w:r>
      <w:r w:rsidR="00641655" w:rsidRPr="00891718">
        <w:rPr>
          <w:rFonts w:eastAsia="Times New Roman"/>
        </w:rPr>
        <w:t xml:space="preserve"> </w:t>
      </w:r>
      <w:r w:rsidR="00FB2EE9" w:rsidRPr="00891718">
        <w:rPr>
          <w:lang w:val="en-GB"/>
        </w:rPr>
        <w:t xml:space="preserve">Bauer notes that where, at the hands of Justice Scalia, </w:t>
      </w:r>
      <w:r w:rsidR="00FB2EE9" w:rsidRPr="00891718">
        <w:t>legislators would usually “come in for rough treatment as self-interested actors who are not to be trusted, as political wolves in policy-makers’ clothing”</w:t>
      </w:r>
      <w:r w:rsidR="00FB2EE9" w:rsidRPr="00891718">
        <w:rPr>
          <w:rStyle w:val="FootnoteReference"/>
          <w:sz w:val="24"/>
        </w:rPr>
        <w:footnoteReference w:id="57"/>
      </w:r>
      <w:r w:rsidR="00FB2EE9" w:rsidRPr="00891718">
        <w:t xml:space="preserve"> </w:t>
      </w:r>
      <w:r w:rsidR="00FB2EE9" w:rsidRPr="00891718">
        <w:rPr>
          <w:lang w:val="en-GB"/>
        </w:rPr>
        <w:t xml:space="preserve">by contrast, in </w:t>
      </w:r>
      <w:r w:rsidR="00FB2EE9" w:rsidRPr="00891718">
        <w:rPr>
          <w:i/>
          <w:iCs/>
        </w:rPr>
        <w:t xml:space="preserve">McIntyre </w:t>
      </w:r>
      <w:r w:rsidR="00FB2EE9" w:rsidRPr="00891718">
        <w:t xml:space="preserve">the views of elected legislators were </w:t>
      </w:r>
      <w:r w:rsidRPr="00891718">
        <w:t xml:space="preserve">much </w:t>
      </w:r>
      <w:r w:rsidR="00FB2EE9" w:rsidRPr="00891718">
        <w:t>better received with the Justice urging the Court to have a “decent regard for the practical judgment of those more familiar with elections th</w:t>
      </w:r>
      <w:r w:rsidR="00AD32AA" w:rsidRPr="00891718">
        <w:t>a</w:t>
      </w:r>
      <w:r w:rsidR="00FB2EE9" w:rsidRPr="00891718">
        <w:t>n we are” and for “universal and long-established American legislative practice.”</w:t>
      </w:r>
      <w:r w:rsidR="00FB2EE9" w:rsidRPr="00891718">
        <w:rPr>
          <w:rStyle w:val="FootnoteReference"/>
          <w:sz w:val="24"/>
        </w:rPr>
        <w:footnoteReference w:id="58"/>
      </w:r>
      <w:r w:rsidR="00A64A8A" w:rsidRPr="00891718">
        <w:t xml:space="preserve"> </w:t>
      </w:r>
      <w:r w:rsidRPr="00891718">
        <w:t xml:space="preserve">It may be argued, therefore, that self-interest – at least in the sense of desiring a particular outcome – operates on more than </w:t>
      </w:r>
      <w:r w:rsidR="00C66DA6" w:rsidRPr="00891718">
        <w:t xml:space="preserve">merely </w:t>
      </w:r>
      <w:r w:rsidRPr="00891718">
        <w:t>the legislative level, appearing to be present in Justices</w:t>
      </w:r>
      <w:r w:rsidR="00A64A8A" w:rsidRPr="00891718">
        <w:t>’ judgments too since here it was deployed by Justice Scalia to support the principle and practice of disclosure, something of which he approved.</w:t>
      </w:r>
      <w:r w:rsidR="001D1591" w:rsidRPr="00891718">
        <w:t xml:space="preserve"> Certainly, his </w:t>
      </w:r>
      <w:r w:rsidR="00212BE5" w:rsidRPr="00891718">
        <w:t xml:space="preserve">mode of </w:t>
      </w:r>
      <w:r w:rsidR="001D1591" w:rsidRPr="00891718">
        <w:t xml:space="preserve">constitutional adjudication has been </w:t>
      </w:r>
      <w:r w:rsidR="00212BE5" w:rsidRPr="00891718">
        <w:t>labell</w:t>
      </w:r>
      <w:r w:rsidR="001D1591" w:rsidRPr="00891718">
        <w:t>ed “essentially opportunistic”</w:t>
      </w:r>
      <w:r w:rsidR="001D1591" w:rsidRPr="00891718">
        <w:rPr>
          <w:rStyle w:val="FootnoteReference"/>
          <w:sz w:val="24"/>
        </w:rPr>
        <w:footnoteReference w:id="59"/>
      </w:r>
      <w:r w:rsidR="001D1591" w:rsidRPr="00891718">
        <w:t xml:space="preserve">, </w:t>
      </w:r>
      <w:r w:rsidR="00212BE5" w:rsidRPr="00891718">
        <w:t xml:space="preserve">through </w:t>
      </w:r>
      <w:r w:rsidR="00C66AB7" w:rsidRPr="00891718">
        <w:t xml:space="preserve">adopting </w:t>
      </w:r>
      <w:r w:rsidR="001D1591" w:rsidRPr="00891718">
        <w:t xml:space="preserve">precedents </w:t>
      </w:r>
      <w:r w:rsidR="00212BE5" w:rsidRPr="00891718">
        <w:t>and approaches</w:t>
      </w:r>
      <w:r w:rsidR="001D1591" w:rsidRPr="00891718">
        <w:t xml:space="preserve"> when they produced a result he wanted</w:t>
      </w:r>
      <w:r w:rsidR="00212BE5" w:rsidRPr="00891718">
        <w:t>. Th</w:t>
      </w:r>
      <w:r w:rsidR="00C66AB7" w:rsidRPr="00891718">
        <w:t xml:space="preserve">is “disingenuous” decision-making and </w:t>
      </w:r>
      <w:r w:rsidR="00212BE5" w:rsidRPr="00891718">
        <w:t xml:space="preserve">resulting jurisprudence </w:t>
      </w:r>
      <w:r w:rsidR="00C66AB7" w:rsidRPr="00891718">
        <w:t>is criticized</w:t>
      </w:r>
      <w:r w:rsidR="00212BE5" w:rsidRPr="00891718">
        <w:t xml:space="preserve"> as the result of value choices masquerading as neutral judicial methodology.</w:t>
      </w:r>
      <w:r w:rsidR="00C66AB7" w:rsidRPr="00891718">
        <w:rPr>
          <w:rStyle w:val="FootnoteReference"/>
          <w:sz w:val="24"/>
        </w:rPr>
        <w:footnoteReference w:id="60"/>
      </w:r>
      <w:r w:rsidR="00641655" w:rsidRPr="00891718">
        <w:t xml:space="preserve"> </w:t>
      </w:r>
    </w:p>
    <w:p w14:paraId="16F1E03A" w14:textId="77777777" w:rsidR="00891718" w:rsidRPr="00891718" w:rsidRDefault="00891718" w:rsidP="00891718">
      <w:pPr>
        <w:ind w:firstLine="284"/>
        <w:jc w:val="both"/>
        <w:rPr>
          <w:rFonts w:eastAsia="Times New Roman"/>
        </w:rPr>
      </w:pPr>
    </w:p>
    <w:p w14:paraId="584519F3" w14:textId="02C5D13F" w:rsidR="00D52CCE" w:rsidRPr="00891718" w:rsidRDefault="00A64A8A" w:rsidP="002A2DF9">
      <w:pPr>
        <w:pStyle w:val="ListParagraph"/>
        <w:numPr>
          <w:ilvl w:val="0"/>
          <w:numId w:val="5"/>
        </w:numPr>
        <w:spacing w:line="600" w:lineRule="auto"/>
        <w:ind w:left="0" w:firstLine="0"/>
        <w:jc w:val="center"/>
        <w:rPr>
          <w:rFonts w:ascii="Times New Roman" w:eastAsia="Times New Roman" w:hAnsi="Times New Roman" w:cs="Times New Roman"/>
          <w:b/>
          <w:smallCaps/>
        </w:rPr>
      </w:pPr>
      <w:r w:rsidRPr="00891718">
        <w:rPr>
          <w:rFonts w:ascii="Times New Roman" w:eastAsia="Times New Roman" w:hAnsi="Times New Roman" w:cs="Times New Roman"/>
          <w:b/>
          <w:smallCaps/>
        </w:rPr>
        <w:t>Speech preventing</w:t>
      </w:r>
    </w:p>
    <w:p w14:paraId="6E0162C8" w14:textId="281F4582" w:rsidR="007F106F" w:rsidRPr="00891718" w:rsidRDefault="004D0FB1" w:rsidP="00891718">
      <w:pPr>
        <w:jc w:val="both"/>
        <w:rPr>
          <w:rFonts w:eastAsia="Times New Roman"/>
        </w:rPr>
      </w:pPr>
      <w:r w:rsidRPr="00891718">
        <w:rPr>
          <w:rFonts w:eastAsia="Times New Roman"/>
        </w:rPr>
        <w:t>There c</w:t>
      </w:r>
      <w:r w:rsidR="00D667FA" w:rsidRPr="00891718">
        <w:rPr>
          <w:rFonts w:eastAsia="Times New Roman"/>
        </w:rPr>
        <w:t>an be no doubt as to the centr</w:t>
      </w:r>
      <w:r w:rsidRPr="00891718">
        <w:rPr>
          <w:rFonts w:eastAsia="Times New Roman"/>
        </w:rPr>
        <w:t>ality of the First Amend</w:t>
      </w:r>
      <w:r w:rsidR="00FA2096" w:rsidRPr="00891718">
        <w:rPr>
          <w:rFonts w:eastAsia="Times New Roman"/>
        </w:rPr>
        <w:t>m</w:t>
      </w:r>
      <w:r w:rsidRPr="00891718">
        <w:rPr>
          <w:rFonts w:eastAsia="Times New Roman"/>
        </w:rPr>
        <w:t>ent to United States’ democracy:</w:t>
      </w:r>
      <w:r w:rsidR="00D33696" w:rsidRPr="00891718">
        <w:rPr>
          <w:rFonts w:eastAsia="Times New Roman"/>
        </w:rPr>
        <w:t xml:space="preserve"> </w:t>
      </w:r>
      <w:r w:rsidR="00FA2096" w:rsidRPr="00891718">
        <w:rPr>
          <w:rFonts w:eastAsia="Times New Roman"/>
        </w:rPr>
        <w:t>“Speech is an essential mechanism of democracy, for it is the means to hold officials accountable to the people.</w:t>
      </w:r>
      <w:r w:rsidR="00641655" w:rsidRPr="00891718">
        <w:rPr>
          <w:rFonts w:eastAsia="Times New Roman"/>
        </w:rPr>
        <w:t xml:space="preserve"> </w:t>
      </w:r>
      <w:r w:rsidR="00FA2096" w:rsidRPr="00891718">
        <w:rPr>
          <w:rFonts w:eastAsia="Times New Roman"/>
        </w:rPr>
        <w:t>The right of citizens to inquire, to hear, to speak, and to use information to reach consensus is a precondition to enlightened self-government and a necessary means to protect it.”</w:t>
      </w:r>
      <w:r w:rsidR="00FA2096" w:rsidRPr="00891718">
        <w:rPr>
          <w:rStyle w:val="FootnoteReference"/>
          <w:rFonts w:eastAsia="Times New Roman"/>
          <w:sz w:val="24"/>
        </w:rPr>
        <w:footnoteReference w:id="61"/>
      </w:r>
      <w:r w:rsidR="00641655" w:rsidRPr="00891718">
        <w:rPr>
          <w:rFonts w:eastAsia="Times New Roman"/>
        </w:rPr>
        <w:t xml:space="preserve"> </w:t>
      </w:r>
      <w:r w:rsidR="00B3015B" w:rsidRPr="00891718">
        <w:rPr>
          <w:rFonts w:eastAsia="Times New Roman"/>
        </w:rPr>
        <w:t xml:space="preserve">To that end, </w:t>
      </w:r>
      <w:proofErr w:type="spellStart"/>
      <w:r w:rsidR="00B3015B" w:rsidRPr="00891718">
        <w:rPr>
          <w:rFonts w:eastAsia="Times New Roman"/>
        </w:rPr>
        <w:t>S</w:t>
      </w:r>
      <w:r w:rsidR="00B3015B" w:rsidRPr="00891718">
        <w:t>unstein</w:t>
      </w:r>
      <w:proofErr w:type="spellEnd"/>
      <w:r w:rsidR="00B3015B" w:rsidRPr="00891718">
        <w:t xml:space="preserve"> </w:t>
      </w:r>
      <w:r w:rsidR="00D52CCE" w:rsidRPr="00891718">
        <w:t>has expressed</w:t>
      </w:r>
      <w:r w:rsidR="0085235B" w:rsidRPr="00891718">
        <w:t xml:space="preserve"> the belief </w:t>
      </w:r>
      <w:r w:rsidR="00B3015B" w:rsidRPr="00891718">
        <w:t xml:space="preserve">that </w:t>
      </w:r>
      <w:r w:rsidR="0085235B" w:rsidRPr="00891718">
        <w:t>“</w:t>
      </w:r>
      <w:r w:rsidR="00B3015B" w:rsidRPr="00891718">
        <w:rPr>
          <w:i/>
        </w:rPr>
        <w:t>properly designed</w:t>
      </w:r>
      <w:r w:rsidR="00B3015B" w:rsidRPr="00891718">
        <w:t xml:space="preserve"> campaign finance legislation may be fully compatible with the system of free expression, insofar as those measures promote the goal of ensuring a deliberative democracy among political (though not economic) equals.”</w:t>
      </w:r>
      <w:r w:rsidR="00B3015B" w:rsidRPr="00891718">
        <w:rPr>
          <w:rStyle w:val="FootnoteReference"/>
          <w:sz w:val="24"/>
        </w:rPr>
        <w:footnoteReference w:id="62"/>
      </w:r>
      <w:r w:rsidR="0085235B" w:rsidRPr="00891718">
        <w:rPr>
          <w:rFonts w:eastAsia="Times New Roman"/>
        </w:rPr>
        <w:t xml:space="preserve"> As we have seen, however,</w:t>
      </w:r>
      <w:r w:rsidR="00D52CCE" w:rsidRPr="00891718">
        <w:rPr>
          <w:rFonts w:eastAsia="Times New Roman"/>
        </w:rPr>
        <w:t xml:space="preserve"> for Justice Scalia</w:t>
      </w:r>
      <w:r w:rsidR="0085235B" w:rsidRPr="00891718">
        <w:rPr>
          <w:rFonts w:eastAsia="Times New Roman"/>
        </w:rPr>
        <w:t xml:space="preserve"> </w:t>
      </w:r>
      <w:r w:rsidR="00C50749" w:rsidRPr="00891718">
        <w:rPr>
          <w:rFonts w:eastAsia="Times New Roman"/>
        </w:rPr>
        <w:t xml:space="preserve">significant and pressing </w:t>
      </w:r>
      <w:r w:rsidR="0085235B" w:rsidRPr="00891718">
        <w:rPr>
          <w:rFonts w:eastAsia="Times New Roman"/>
        </w:rPr>
        <w:t>issue</w:t>
      </w:r>
      <w:r w:rsidR="002B1932" w:rsidRPr="00891718">
        <w:rPr>
          <w:rFonts w:eastAsia="Times New Roman"/>
        </w:rPr>
        <w:t xml:space="preserve">s </w:t>
      </w:r>
      <w:r w:rsidR="00D52CCE" w:rsidRPr="00891718">
        <w:rPr>
          <w:rFonts w:eastAsia="Times New Roman"/>
        </w:rPr>
        <w:t xml:space="preserve">remained regarding the </w:t>
      </w:r>
      <w:r w:rsidR="00C50749" w:rsidRPr="00891718">
        <w:rPr>
          <w:rFonts w:eastAsia="Times New Roman"/>
        </w:rPr>
        <w:t xml:space="preserve">interests and motivations </w:t>
      </w:r>
      <w:r w:rsidR="002B1932" w:rsidRPr="00891718">
        <w:rPr>
          <w:rFonts w:eastAsia="Times New Roman"/>
        </w:rPr>
        <w:t>–</w:t>
      </w:r>
      <w:r w:rsidR="00C50749" w:rsidRPr="00891718">
        <w:rPr>
          <w:rFonts w:eastAsia="Times New Roman"/>
        </w:rPr>
        <w:t xml:space="preserve"> </w:t>
      </w:r>
      <w:r w:rsidR="002B1932" w:rsidRPr="00891718">
        <w:rPr>
          <w:rFonts w:eastAsia="Times New Roman"/>
        </w:rPr>
        <w:t xml:space="preserve">both </w:t>
      </w:r>
      <w:r w:rsidR="00C50749" w:rsidRPr="00891718">
        <w:rPr>
          <w:rFonts w:eastAsia="Times New Roman"/>
        </w:rPr>
        <w:t>foreground and background</w:t>
      </w:r>
      <w:r w:rsidR="00641655" w:rsidRPr="00891718">
        <w:rPr>
          <w:rFonts w:eastAsia="Times New Roman"/>
        </w:rPr>
        <w:t xml:space="preserve"> </w:t>
      </w:r>
      <w:r w:rsidR="00322AD0" w:rsidRPr="00891718">
        <w:rPr>
          <w:rFonts w:eastAsia="Times New Roman"/>
        </w:rPr>
        <w:t>–</w:t>
      </w:r>
      <w:r w:rsidR="00C50749" w:rsidRPr="00891718">
        <w:rPr>
          <w:rFonts w:eastAsia="Times New Roman"/>
        </w:rPr>
        <w:t xml:space="preserve"> </w:t>
      </w:r>
      <w:r w:rsidR="00D52CCE" w:rsidRPr="00891718">
        <w:rPr>
          <w:rFonts w:eastAsia="Times New Roman"/>
        </w:rPr>
        <w:t xml:space="preserve">informing </w:t>
      </w:r>
      <w:r w:rsidR="00C50749" w:rsidRPr="00891718">
        <w:rPr>
          <w:rFonts w:eastAsia="Times New Roman"/>
        </w:rPr>
        <w:t>that ‘proper design’. I</w:t>
      </w:r>
      <w:r w:rsidR="0085235B" w:rsidRPr="00891718">
        <w:rPr>
          <w:rFonts w:eastAsia="Times New Roman"/>
        </w:rPr>
        <w:t>t is argued here</w:t>
      </w:r>
      <w:r w:rsidR="00C50749" w:rsidRPr="00891718">
        <w:rPr>
          <w:rFonts w:eastAsia="Times New Roman"/>
        </w:rPr>
        <w:t xml:space="preserve"> </w:t>
      </w:r>
      <w:r w:rsidR="0085235B" w:rsidRPr="00891718">
        <w:rPr>
          <w:rFonts w:eastAsia="Times New Roman"/>
        </w:rPr>
        <w:t xml:space="preserve">that, in </w:t>
      </w:r>
      <w:r w:rsidR="00422BBC" w:rsidRPr="00891718">
        <w:rPr>
          <w:rFonts w:eastAsia="Times New Roman"/>
        </w:rPr>
        <w:t>circumstances where legislators</w:t>
      </w:r>
      <w:r w:rsidR="00C50749" w:rsidRPr="00891718">
        <w:rPr>
          <w:rFonts w:eastAsia="Times New Roman"/>
        </w:rPr>
        <w:t>’</w:t>
      </w:r>
      <w:r w:rsidR="00422BBC" w:rsidRPr="00891718">
        <w:rPr>
          <w:rFonts w:eastAsia="Times New Roman"/>
        </w:rPr>
        <w:t xml:space="preserve"> motives are likely to be mistrusted, </w:t>
      </w:r>
      <w:r w:rsidR="0085235B" w:rsidRPr="00891718">
        <w:rPr>
          <w:rFonts w:eastAsia="Times New Roman"/>
        </w:rPr>
        <w:t xml:space="preserve">no ‘design’ </w:t>
      </w:r>
      <w:r w:rsidR="00422BBC" w:rsidRPr="00891718">
        <w:rPr>
          <w:rFonts w:eastAsia="Times New Roman"/>
        </w:rPr>
        <w:t xml:space="preserve">under scrutiny </w:t>
      </w:r>
      <w:r w:rsidR="0085235B" w:rsidRPr="00891718">
        <w:rPr>
          <w:rFonts w:eastAsia="Times New Roman"/>
        </w:rPr>
        <w:t xml:space="preserve">– whether presented as ‘proper’ or not </w:t>
      </w:r>
      <w:r w:rsidR="00422BBC" w:rsidRPr="00891718">
        <w:rPr>
          <w:rFonts w:eastAsia="Times New Roman"/>
        </w:rPr>
        <w:t>–</w:t>
      </w:r>
      <w:r w:rsidR="0085235B" w:rsidRPr="00891718">
        <w:rPr>
          <w:rFonts w:eastAsia="Times New Roman"/>
        </w:rPr>
        <w:t xml:space="preserve"> </w:t>
      </w:r>
      <w:r w:rsidR="00C50749" w:rsidRPr="00891718">
        <w:rPr>
          <w:rFonts w:eastAsia="Times New Roman"/>
        </w:rPr>
        <w:t>sh</w:t>
      </w:r>
      <w:r w:rsidR="00422BBC" w:rsidRPr="00891718">
        <w:rPr>
          <w:rFonts w:eastAsia="Times New Roman"/>
        </w:rPr>
        <w:t xml:space="preserve">ould </w:t>
      </w:r>
      <w:r w:rsidR="0085235B" w:rsidRPr="00891718">
        <w:rPr>
          <w:rFonts w:eastAsia="Times New Roman"/>
        </w:rPr>
        <w:t>be taken at face value</w:t>
      </w:r>
      <w:r w:rsidR="00422BBC" w:rsidRPr="00891718">
        <w:rPr>
          <w:rFonts w:eastAsia="Times New Roman"/>
        </w:rPr>
        <w:t>.</w:t>
      </w:r>
      <w:r w:rsidR="00D52CCE" w:rsidRPr="00891718">
        <w:rPr>
          <w:rFonts w:eastAsia="Times New Roman"/>
        </w:rPr>
        <w:t xml:space="preserve"> Indeed the very concept of a ‘proper’ design should set alarm bells ringing</w:t>
      </w:r>
      <w:r w:rsidR="00A64A8A" w:rsidRPr="00891718">
        <w:rPr>
          <w:rFonts w:eastAsia="Times New Roman"/>
        </w:rPr>
        <w:t xml:space="preserve"> since it suggests the fulfilment of some, or somebody’s, vision of campaign finance</w:t>
      </w:r>
      <w:r w:rsidR="00D52CCE" w:rsidRPr="00891718">
        <w:rPr>
          <w:rFonts w:eastAsia="Times New Roman"/>
        </w:rPr>
        <w:t xml:space="preserve">. </w:t>
      </w:r>
      <w:r w:rsidR="0085235B" w:rsidRPr="00891718">
        <w:rPr>
          <w:rFonts w:eastAsia="Times New Roman"/>
        </w:rPr>
        <w:t xml:space="preserve">Given </w:t>
      </w:r>
      <w:r w:rsidR="00503AF9" w:rsidRPr="00891718">
        <w:rPr>
          <w:rFonts w:eastAsia="Times New Roman"/>
        </w:rPr>
        <w:t xml:space="preserve">Justice </w:t>
      </w:r>
      <w:r w:rsidR="00AA025E" w:rsidRPr="00891718">
        <w:rPr>
          <w:rFonts w:eastAsia="Times New Roman"/>
        </w:rPr>
        <w:t>Scalia’s</w:t>
      </w:r>
      <w:r w:rsidR="0085235B" w:rsidRPr="00891718">
        <w:rPr>
          <w:rFonts w:eastAsia="Times New Roman"/>
        </w:rPr>
        <w:t xml:space="preserve"> mistrust of legislative </w:t>
      </w:r>
      <w:r w:rsidR="00422BBC" w:rsidRPr="00891718">
        <w:rPr>
          <w:rFonts w:eastAsia="Times New Roman"/>
        </w:rPr>
        <w:t>motivation</w:t>
      </w:r>
      <w:r w:rsidR="0085235B" w:rsidRPr="00891718">
        <w:rPr>
          <w:rFonts w:eastAsia="Times New Roman"/>
        </w:rPr>
        <w:t>, and his</w:t>
      </w:r>
      <w:r w:rsidR="00AA025E" w:rsidRPr="00891718">
        <w:rPr>
          <w:rFonts w:eastAsia="Times New Roman"/>
        </w:rPr>
        <w:t xml:space="preserve"> adoption of </w:t>
      </w:r>
      <w:r w:rsidR="00AA025E" w:rsidRPr="00891718">
        <w:rPr>
          <w:rFonts w:eastAsia="Times New Roman"/>
          <w:i/>
        </w:rPr>
        <w:t xml:space="preserve">Buckley’s </w:t>
      </w:r>
      <w:r w:rsidR="00AA025E" w:rsidRPr="00891718">
        <w:rPr>
          <w:rFonts w:eastAsia="Times New Roman"/>
        </w:rPr>
        <w:t xml:space="preserve">expansive reading of the First Amendment in the sphere of campaign finance, there can be little surprise at his resistance to efforts to condition or curb free speech in </w:t>
      </w:r>
      <w:r w:rsidR="00503AF9" w:rsidRPr="00891718">
        <w:rPr>
          <w:rFonts w:eastAsia="Times New Roman"/>
        </w:rPr>
        <w:t xml:space="preserve">that </w:t>
      </w:r>
      <w:r w:rsidR="00227C9D" w:rsidRPr="00891718">
        <w:rPr>
          <w:rFonts w:eastAsia="Times New Roman"/>
        </w:rPr>
        <w:t>setting, notably, and controversially,</w:t>
      </w:r>
      <w:r w:rsidR="00AA025E" w:rsidRPr="00891718">
        <w:rPr>
          <w:rFonts w:eastAsia="Times New Roman"/>
        </w:rPr>
        <w:t xml:space="preserve"> in</w:t>
      </w:r>
      <w:r w:rsidR="000A729E" w:rsidRPr="00891718">
        <w:rPr>
          <w:rFonts w:eastAsia="Times New Roman"/>
        </w:rPr>
        <w:t xml:space="preserve"> </w:t>
      </w:r>
      <w:r w:rsidR="000A729E" w:rsidRPr="00891718">
        <w:rPr>
          <w:rFonts w:eastAsia="Times New Roman"/>
          <w:i/>
        </w:rPr>
        <w:t xml:space="preserve">Citizens United </w:t>
      </w:r>
      <w:r w:rsidR="000A729E" w:rsidRPr="00891718">
        <w:rPr>
          <w:rFonts w:eastAsia="Times New Roman"/>
        </w:rPr>
        <w:t>and</w:t>
      </w:r>
      <w:r w:rsidR="00AA025E" w:rsidRPr="00891718">
        <w:rPr>
          <w:rFonts w:eastAsia="Times New Roman"/>
        </w:rPr>
        <w:t xml:space="preserve"> </w:t>
      </w:r>
      <w:r w:rsidR="002215A5" w:rsidRPr="00891718">
        <w:rPr>
          <w:rFonts w:eastAsia="Times New Roman"/>
          <w:i/>
        </w:rPr>
        <w:t>Wisconsin Right to Life</w:t>
      </w:r>
      <w:r w:rsidR="00422BBC" w:rsidRPr="00891718">
        <w:rPr>
          <w:rFonts w:eastAsia="Times New Roman"/>
        </w:rPr>
        <w:t xml:space="preserve">, irrespective of how ‘proper’ </w:t>
      </w:r>
      <w:r w:rsidR="00C50749" w:rsidRPr="00891718">
        <w:rPr>
          <w:rFonts w:eastAsia="Times New Roman"/>
        </w:rPr>
        <w:t>(</w:t>
      </w:r>
      <w:r w:rsidR="000528EB" w:rsidRPr="00891718">
        <w:rPr>
          <w:rFonts w:eastAsia="Times New Roman"/>
        </w:rPr>
        <w:t xml:space="preserve">in the </w:t>
      </w:r>
      <w:proofErr w:type="spellStart"/>
      <w:r w:rsidR="000528EB" w:rsidRPr="00891718">
        <w:rPr>
          <w:rFonts w:eastAsia="Times New Roman"/>
        </w:rPr>
        <w:t>Sunstein</w:t>
      </w:r>
      <w:proofErr w:type="spellEnd"/>
      <w:r w:rsidR="000528EB" w:rsidRPr="00891718">
        <w:rPr>
          <w:rFonts w:eastAsia="Times New Roman"/>
        </w:rPr>
        <w:t xml:space="preserve"> sense of being oriented to </w:t>
      </w:r>
      <w:r w:rsidR="00A10042" w:rsidRPr="00891718">
        <w:rPr>
          <w:rFonts w:eastAsia="Times New Roman"/>
        </w:rPr>
        <w:t xml:space="preserve">the functioning of </w:t>
      </w:r>
      <w:r w:rsidR="00C50749" w:rsidRPr="00891718">
        <w:rPr>
          <w:rFonts w:eastAsia="Times New Roman"/>
        </w:rPr>
        <w:t>a deliberative democracy)</w:t>
      </w:r>
      <w:r w:rsidR="000528EB" w:rsidRPr="00891718">
        <w:rPr>
          <w:rFonts w:eastAsia="Times New Roman"/>
        </w:rPr>
        <w:t xml:space="preserve"> </w:t>
      </w:r>
      <w:r w:rsidR="00422BBC" w:rsidRPr="00891718">
        <w:rPr>
          <w:rFonts w:eastAsia="Times New Roman"/>
        </w:rPr>
        <w:t xml:space="preserve">the design </w:t>
      </w:r>
      <w:r w:rsidR="000528EB" w:rsidRPr="00891718">
        <w:rPr>
          <w:rFonts w:eastAsia="Times New Roman"/>
        </w:rPr>
        <w:t>appeared</w:t>
      </w:r>
      <w:r w:rsidR="00C50749" w:rsidRPr="00891718">
        <w:rPr>
          <w:rFonts w:eastAsia="Times New Roman"/>
        </w:rPr>
        <w:t xml:space="preserve"> to be</w:t>
      </w:r>
      <w:r w:rsidR="00227C9D" w:rsidRPr="00891718">
        <w:rPr>
          <w:rFonts w:eastAsia="Times New Roman"/>
        </w:rPr>
        <w:t>.</w:t>
      </w:r>
      <w:r w:rsidR="00641655" w:rsidRPr="00891718">
        <w:rPr>
          <w:rFonts w:eastAsia="Times New Roman"/>
        </w:rPr>
        <w:t xml:space="preserve"> </w:t>
      </w:r>
      <w:r w:rsidR="003428C2" w:rsidRPr="00891718">
        <w:rPr>
          <w:rFonts w:eastAsia="Times New Roman"/>
        </w:rPr>
        <w:t>The design at issue</w:t>
      </w:r>
      <w:r w:rsidR="003165AC" w:rsidRPr="00891718">
        <w:rPr>
          <w:rFonts w:eastAsia="Times New Roman"/>
        </w:rPr>
        <w:t xml:space="preserve"> on this occasion</w:t>
      </w:r>
      <w:r w:rsidR="003428C2" w:rsidRPr="00891718">
        <w:rPr>
          <w:rFonts w:eastAsia="Times New Roman"/>
        </w:rPr>
        <w:t xml:space="preserve"> was the BCRA, </w:t>
      </w:r>
      <w:r w:rsidR="00BC6E68" w:rsidRPr="00891718">
        <w:rPr>
          <w:rFonts w:eastAsia="Times New Roman"/>
        </w:rPr>
        <w:t>in the “genesis and consequences” of which Justice Scalia found a</w:t>
      </w:r>
      <w:r w:rsidR="00641655" w:rsidRPr="00891718">
        <w:rPr>
          <w:rFonts w:eastAsia="Times New Roman"/>
        </w:rPr>
        <w:t xml:space="preserve"> </w:t>
      </w:r>
      <w:r w:rsidR="00BC6E68" w:rsidRPr="00891718">
        <w:rPr>
          <w:rFonts w:eastAsia="Times New Roman"/>
        </w:rPr>
        <w:t>“</w:t>
      </w:r>
      <w:r w:rsidR="003428C2" w:rsidRPr="00891718">
        <w:rPr>
          <w:rFonts w:eastAsia="Times New Roman"/>
        </w:rPr>
        <w:t>wondrous irony</w:t>
      </w:r>
      <w:r w:rsidR="00BC6E68" w:rsidRPr="00891718">
        <w:rPr>
          <w:rFonts w:eastAsia="Times New Roman"/>
        </w:rPr>
        <w:t>” since</w:t>
      </w:r>
      <w:r w:rsidR="003428C2" w:rsidRPr="00891718">
        <w:rPr>
          <w:rFonts w:eastAsia="Times New Roman"/>
        </w:rPr>
        <w:t xml:space="preserve"> </w:t>
      </w:r>
      <w:r w:rsidR="00BC6E68" w:rsidRPr="00891718">
        <w:rPr>
          <w:rFonts w:eastAsia="Times New Roman"/>
        </w:rPr>
        <w:t>“</w:t>
      </w:r>
      <w:r w:rsidR="003428C2" w:rsidRPr="00891718">
        <w:rPr>
          <w:rFonts w:eastAsia="Times New Roman"/>
        </w:rPr>
        <w:t xml:space="preserve">the institutions it was designed to muzzle </w:t>
      </w:r>
      <w:r w:rsidR="00322AD0" w:rsidRPr="00891718">
        <w:rPr>
          <w:rFonts w:eastAsia="Times New Roman"/>
        </w:rPr>
        <w:t>–</w:t>
      </w:r>
      <w:r w:rsidR="00BC6E68" w:rsidRPr="00891718">
        <w:rPr>
          <w:rFonts w:eastAsia="Times New Roman"/>
        </w:rPr>
        <w:t xml:space="preserve"> </w:t>
      </w:r>
      <w:r w:rsidR="003428C2" w:rsidRPr="00891718">
        <w:rPr>
          <w:rFonts w:eastAsia="Times New Roman"/>
        </w:rPr>
        <w:t>unions and nearly all manner of corporations</w:t>
      </w:r>
      <w:r w:rsidR="00641655" w:rsidRPr="00891718">
        <w:rPr>
          <w:rFonts w:eastAsia="Times New Roman"/>
        </w:rPr>
        <w:t xml:space="preserve"> </w:t>
      </w:r>
      <w:r w:rsidR="00322AD0" w:rsidRPr="00891718">
        <w:rPr>
          <w:rFonts w:eastAsia="Times New Roman"/>
        </w:rPr>
        <w:t>–</w:t>
      </w:r>
      <w:r w:rsidR="00BC6E68" w:rsidRPr="00891718">
        <w:rPr>
          <w:rFonts w:eastAsia="Times New Roman"/>
        </w:rPr>
        <w:t xml:space="preserve"> </w:t>
      </w:r>
      <w:r w:rsidR="003428C2" w:rsidRPr="00891718">
        <w:rPr>
          <w:rFonts w:eastAsia="Times New Roman"/>
        </w:rPr>
        <w:t>for all the corrosive and distorting effects of their immense aggregations of wealth, were utterly impotent to prevent the passage of this legislation that forbids them to criticize candidates (including incumbents).”</w:t>
      </w:r>
      <w:r w:rsidR="003428C2" w:rsidRPr="00891718">
        <w:rPr>
          <w:rStyle w:val="FootnoteReference"/>
          <w:rFonts w:eastAsia="Times New Roman"/>
          <w:sz w:val="24"/>
        </w:rPr>
        <w:footnoteReference w:id="63"/>
      </w:r>
      <w:r w:rsidR="00227C9D" w:rsidRPr="00891718">
        <w:rPr>
          <w:rFonts w:eastAsia="Times New Roman"/>
        </w:rPr>
        <w:t xml:space="preserve"> </w:t>
      </w:r>
    </w:p>
    <w:p w14:paraId="0F04B338" w14:textId="32F8D6E4" w:rsidR="00351ADC" w:rsidRPr="00891718" w:rsidRDefault="007F106F" w:rsidP="00891718">
      <w:pPr>
        <w:ind w:firstLine="284"/>
        <w:jc w:val="both"/>
        <w:rPr>
          <w:lang w:val="en-GB"/>
        </w:rPr>
      </w:pPr>
      <w:r w:rsidRPr="00891718">
        <w:rPr>
          <w:lang w:val="en-GB"/>
        </w:rPr>
        <w:t>Citiz</w:t>
      </w:r>
      <w:r w:rsidR="00A64A8A" w:rsidRPr="00891718">
        <w:rPr>
          <w:lang w:val="en-GB"/>
        </w:rPr>
        <w:t xml:space="preserve">ens United, a conservative, not for </w:t>
      </w:r>
      <w:r w:rsidRPr="00891718">
        <w:rPr>
          <w:lang w:val="en-GB"/>
        </w:rPr>
        <w:t>profit advocacy group, questioned the constitutionality of §441b of the BCRA which, in short, prohibited corporations from spending general funds on electioneering communication or speech expressly advocating the election or defeat of a candidate</w:t>
      </w:r>
      <w:r w:rsidR="00552734" w:rsidRPr="00891718">
        <w:rPr>
          <w:lang w:val="en-GB"/>
        </w:rPr>
        <w:t xml:space="preserve"> within 60 days of an election</w:t>
      </w:r>
      <w:r w:rsidRPr="00891718">
        <w:rPr>
          <w:lang w:val="en-GB"/>
        </w:rPr>
        <w:t>.</w:t>
      </w:r>
      <w:r w:rsidR="00641655" w:rsidRPr="00891718">
        <w:rPr>
          <w:lang w:val="en-GB"/>
        </w:rPr>
        <w:t xml:space="preserve"> </w:t>
      </w:r>
      <w:r w:rsidRPr="00891718">
        <w:rPr>
          <w:lang w:val="en-GB"/>
        </w:rPr>
        <w:t xml:space="preserve">Under strict scrutiny as it implicated First Amendment issues, in the Court’s </w:t>
      </w:r>
      <w:r w:rsidR="00BC6E68" w:rsidRPr="00891718">
        <w:rPr>
          <w:lang w:val="en-GB"/>
        </w:rPr>
        <w:t xml:space="preserve">majority </w:t>
      </w:r>
      <w:r w:rsidR="00006EAD" w:rsidRPr="00891718">
        <w:rPr>
          <w:lang w:val="en-GB"/>
        </w:rPr>
        <w:t>opinion</w:t>
      </w:r>
      <w:r w:rsidRPr="00891718">
        <w:rPr>
          <w:lang w:val="en-GB"/>
        </w:rPr>
        <w:t xml:space="preserve"> §441b failed to further a compelling government interest and, in treating the speech of corporations differently from the speech of others (namely, natural persons) violated First Amendment neutrality as to speakers and points of view.</w:t>
      </w:r>
      <w:r w:rsidR="00641655" w:rsidRPr="00891718">
        <w:rPr>
          <w:lang w:val="en-GB"/>
        </w:rPr>
        <w:t xml:space="preserve"> </w:t>
      </w:r>
      <w:r w:rsidR="00D52CCE" w:rsidRPr="00891718">
        <w:rPr>
          <w:rFonts w:eastAsia="Times New Roman"/>
        </w:rPr>
        <w:t>Against the strongly-worded opinion of the four dissenting Justices expressing concern that unfettered spending by corporations risked their over-influence and distortion of elections the Court’s conservative majority found that non-profit corporations’ independent election expenditures could not be restricted.</w:t>
      </w:r>
      <w:r w:rsidR="00D52CCE" w:rsidRPr="00891718">
        <w:rPr>
          <w:rStyle w:val="FootnoteReference"/>
          <w:rFonts w:eastAsia="Times New Roman"/>
          <w:sz w:val="24"/>
        </w:rPr>
        <w:footnoteReference w:id="64"/>
      </w:r>
      <w:r w:rsidR="00D52CCE" w:rsidRPr="00891718">
        <w:rPr>
          <w:rFonts w:eastAsia="Times New Roman"/>
        </w:rPr>
        <w:t xml:space="preserve"> </w:t>
      </w:r>
      <w:r w:rsidRPr="00891718">
        <w:rPr>
          <w:lang w:val="en-GB"/>
        </w:rPr>
        <w:t xml:space="preserve">The decision removed </w:t>
      </w:r>
      <w:r w:rsidRPr="00891718">
        <w:rPr>
          <w:i/>
          <w:lang w:val="en-GB"/>
        </w:rPr>
        <w:t xml:space="preserve">Austin’s </w:t>
      </w:r>
      <w:r w:rsidRPr="00891718">
        <w:rPr>
          <w:lang w:val="en-GB"/>
        </w:rPr>
        <w:t>shackles, freeing</w:t>
      </w:r>
      <w:r w:rsidR="009429C7" w:rsidRPr="00891718">
        <w:rPr>
          <w:lang w:val="en-GB"/>
        </w:rPr>
        <w:t xml:space="preserve"> </w:t>
      </w:r>
      <w:r w:rsidRPr="00891718">
        <w:t xml:space="preserve">corporations and unions to spend unlimited amounts of money on electioneering and other political activities as long as they were undertaken independently of a party or </w:t>
      </w:r>
      <w:r w:rsidR="0048224A" w:rsidRPr="00891718">
        <w:t xml:space="preserve">candidate. </w:t>
      </w:r>
    </w:p>
    <w:p w14:paraId="614584E9" w14:textId="108F62B8" w:rsidR="003428C2" w:rsidRPr="00891718" w:rsidRDefault="00D35D49" w:rsidP="00891718">
      <w:pPr>
        <w:ind w:firstLine="284"/>
        <w:jc w:val="both"/>
        <w:rPr>
          <w:lang w:val="en-GB"/>
        </w:rPr>
      </w:pPr>
      <w:r w:rsidRPr="00891718">
        <w:rPr>
          <w:rFonts w:eastAsia="Times New Roman"/>
          <w:color w:val="2B2B2B"/>
          <w:bdr w:val="none" w:sz="0" w:space="0" w:color="auto" w:frame="1"/>
          <w:shd w:val="clear" w:color="auto" w:fill="FFFFFF"/>
        </w:rPr>
        <w:t xml:space="preserve">In </w:t>
      </w:r>
      <w:r w:rsidRPr="00891718">
        <w:rPr>
          <w:rFonts w:eastAsia="Times New Roman"/>
          <w:i/>
          <w:color w:val="2B2B2B"/>
          <w:bdr w:val="none" w:sz="0" w:space="0" w:color="auto" w:frame="1"/>
          <w:shd w:val="clear" w:color="auto" w:fill="FFFFFF"/>
        </w:rPr>
        <w:t>Austin</w:t>
      </w:r>
      <w:r w:rsidR="00256328" w:rsidRPr="00891718">
        <w:rPr>
          <w:rFonts w:eastAsia="Times New Roman"/>
          <w:color w:val="2B2B2B"/>
          <w:bdr w:val="none" w:sz="0" w:space="0" w:color="auto" w:frame="1"/>
          <w:shd w:val="clear" w:color="auto" w:fill="FFFFFF"/>
        </w:rPr>
        <w:t xml:space="preserve">, with </w:t>
      </w:r>
      <w:r w:rsidR="00C50749" w:rsidRPr="00891718">
        <w:rPr>
          <w:rFonts w:eastAsia="Times New Roman"/>
          <w:color w:val="2B2B2B"/>
          <w:bdr w:val="none" w:sz="0" w:space="0" w:color="auto" w:frame="1"/>
          <w:shd w:val="clear" w:color="auto" w:fill="FFFFFF"/>
        </w:rPr>
        <w:t xml:space="preserve">Justice </w:t>
      </w:r>
      <w:r w:rsidR="00256328" w:rsidRPr="00891718">
        <w:rPr>
          <w:rFonts w:eastAsia="Times New Roman"/>
          <w:color w:val="2B2B2B"/>
          <w:bdr w:val="none" w:sz="0" w:space="0" w:color="auto" w:frame="1"/>
          <w:shd w:val="clear" w:color="auto" w:fill="FFFFFF"/>
        </w:rPr>
        <w:t>Scalia in dissent,</w:t>
      </w:r>
      <w:r w:rsidRPr="00891718">
        <w:rPr>
          <w:rFonts w:eastAsia="Times New Roman"/>
          <w:i/>
          <w:color w:val="2B2B2B"/>
          <w:bdr w:val="none" w:sz="0" w:space="0" w:color="auto" w:frame="1"/>
          <w:shd w:val="clear" w:color="auto" w:fill="FFFFFF"/>
        </w:rPr>
        <w:t xml:space="preserve"> </w:t>
      </w:r>
      <w:r w:rsidR="00A50211" w:rsidRPr="00891718">
        <w:rPr>
          <w:rFonts w:eastAsia="Times New Roman"/>
          <w:color w:val="2B2B2B"/>
          <w:bdr w:val="none" w:sz="0" w:space="0" w:color="auto" w:frame="1"/>
          <w:shd w:val="clear" w:color="auto" w:fill="FFFFFF"/>
        </w:rPr>
        <w:t>Justice</w:t>
      </w:r>
      <w:r w:rsidR="00A50211" w:rsidRPr="00891718">
        <w:rPr>
          <w:rStyle w:val="apple-converted-space"/>
          <w:color w:val="2B2B2B"/>
          <w:bdr w:val="none" w:sz="0" w:space="0" w:color="auto" w:frame="1"/>
          <w:shd w:val="clear" w:color="auto" w:fill="FFFFFF"/>
        </w:rPr>
        <w:t> </w:t>
      </w:r>
      <w:r w:rsidR="00A50211" w:rsidRPr="00891718">
        <w:rPr>
          <w:rFonts w:eastAsia="Times New Roman"/>
          <w:color w:val="2B2B2B"/>
          <w:bdr w:val="none" w:sz="0" w:space="0" w:color="auto" w:frame="1"/>
          <w:shd w:val="clear" w:color="auto" w:fill="FFFFFF"/>
        </w:rPr>
        <w:t>Thurgood Marshall</w:t>
      </w:r>
      <w:r w:rsidR="00A50211" w:rsidRPr="00891718">
        <w:rPr>
          <w:rStyle w:val="apple-converted-space"/>
          <w:color w:val="2B2B2B"/>
          <w:bdr w:val="none" w:sz="0" w:space="0" w:color="auto" w:frame="1"/>
          <w:shd w:val="clear" w:color="auto" w:fill="FFFFFF"/>
        </w:rPr>
        <w:t> </w:t>
      </w:r>
      <w:r w:rsidR="002B1932" w:rsidRPr="00891718">
        <w:rPr>
          <w:rStyle w:val="apple-converted-space"/>
          <w:color w:val="2B2B2B"/>
          <w:bdr w:val="none" w:sz="0" w:space="0" w:color="auto" w:frame="1"/>
          <w:shd w:val="clear" w:color="auto" w:fill="FFFFFF"/>
        </w:rPr>
        <w:t xml:space="preserve">had </w:t>
      </w:r>
      <w:r w:rsidRPr="00891718">
        <w:rPr>
          <w:rFonts w:eastAsia="Times New Roman"/>
        </w:rPr>
        <w:t xml:space="preserve">delivered the Court’s majority ruling </w:t>
      </w:r>
      <w:r w:rsidR="00A50211" w:rsidRPr="00891718">
        <w:rPr>
          <w:rFonts w:eastAsia="Times New Roman"/>
          <w:color w:val="2B2B2B"/>
          <w:bdr w:val="none" w:sz="0" w:space="0" w:color="auto" w:frame="1"/>
          <w:shd w:val="clear" w:color="auto" w:fill="FFFFFF"/>
        </w:rPr>
        <w:t xml:space="preserve">that the government could ban electoral expenditures by business corporations in </w:t>
      </w:r>
      <w:r w:rsidR="001D17D6" w:rsidRPr="00891718">
        <w:rPr>
          <w:rFonts w:eastAsia="Times New Roman"/>
          <w:color w:val="2B2B2B"/>
          <w:bdr w:val="none" w:sz="0" w:space="0" w:color="auto" w:frame="1"/>
          <w:shd w:val="clear" w:color="auto" w:fill="FFFFFF"/>
        </w:rPr>
        <w:t>order to prevent them from deploying</w:t>
      </w:r>
      <w:r w:rsidR="00A50211" w:rsidRPr="00891718">
        <w:rPr>
          <w:rFonts w:eastAsia="Times New Roman"/>
          <w:color w:val="2B2B2B"/>
          <w:bdr w:val="none" w:sz="0" w:space="0" w:color="auto" w:frame="1"/>
          <w:shd w:val="clear" w:color="auto" w:fill="FFFFFF"/>
        </w:rPr>
        <w:t xml:space="preserve"> “resources amassed in the economic marketplace</w:t>
      </w:r>
      <w:r w:rsidR="00C50749" w:rsidRPr="00891718">
        <w:rPr>
          <w:rFonts w:eastAsia="Times New Roman"/>
          <w:color w:val="2B2B2B"/>
          <w:bdr w:val="none" w:sz="0" w:space="0" w:color="auto" w:frame="1"/>
          <w:shd w:val="clear" w:color="auto" w:fill="FFFFFF"/>
        </w:rPr>
        <w:t>” with</w:t>
      </w:r>
      <w:r w:rsidR="001D17D6" w:rsidRPr="00891718">
        <w:rPr>
          <w:rFonts w:eastAsia="Times New Roman"/>
          <w:color w:val="2B2B2B"/>
          <w:bdr w:val="none" w:sz="0" w:space="0" w:color="auto" w:frame="1"/>
          <w:shd w:val="clear" w:color="auto" w:fill="FFFFFF"/>
        </w:rPr>
        <w:t xml:space="preserve"> the purpose of </w:t>
      </w:r>
      <w:r w:rsidR="00C50749" w:rsidRPr="00891718">
        <w:rPr>
          <w:rFonts w:eastAsia="Times New Roman"/>
          <w:color w:val="2B2B2B"/>
          <w:bdr w:val="none" w:sz="0" w:space="0" w:color="auto" w:frame="1"/>
          <w:shd w:val="clear" w:color="auto" w:fill="FFFFFF"/>
        </w:rPr>
        <w:t>“</w:t>
      </w:r>
      <w:r w:rsidR="00A50211" w:rsidRPr="00891718">
        <w:rPr>
          <w:rFonts w:eastAsia="Times New Roman"/>
          <w:color w:val="2B2B2B"/>
          <w:bdr w:val="none" w:sz="0" w:space="0" w:color="auto" w:frame="1"/>
          <w:shd w:val="clear" w:color="auto" w:fill="FFFFFF"/>
        </w:rPr>
        <w:t>obtain</w:t>
      </w:r>
      <w:r w:rsidR="001D17D6" w:rsidRPr="00891718">
        <w:rPr>
          <w:rFonts w:eastAsia="Times New Roman"/>
          <w:color w:val="2B2B2B"/>
          <w:bdr w:val="none" w:sz="0" w:space="0" w:color="auto" w:frame="1"/>
          <w:shd w:val="clear" w:color="auto" w:fill="FFFFFF"/>
        </w:rPr>
        <w:t>ing</w:t>
      </w:r>
      <w:r w:rsidR="00A50211" w:rsidRPr="00891718">
        <w:rPr>
          <w:rFonts w:eastAsia="Times New Roman"/>
          <w:color w:val="2B2B2B"/>
          <w:bdr w:val="none" w:sz="0" w:space="0" w:color="auto" w:frame="1"/>
          <w:shd w:val="clear" w:color="auto" w:fill="FFFFFF"/>
        </w:rPr>
        <w:t xml:space="preserve"> an unfair advanta</w:t>
      </w:r>
      <w:r w:rsidR="00503AF9" w:rsidRPr="00891718">
        <w:rPr>
          <w:rFonts w:eastAsia="Times New Roman"/>
          <w:color w:val="2B2B2B"/>
          <w:bdr w:val="none" w:sz="0" w:space="0" w:color="auto" w:frame="1"/>
          <w:shd w:val="clear" w:color="auto" w:fill="FFFFFF"/>
        </w:rPr>
        <w:t>ge in the political marketplace.</w:t>
      </w:r>
      <w:r w:rsidR="00A50211" w:rsidRPr="00891718">
        <w:rPr>
          <w:rFonts w:eastAsia="Times New Roman"/>
          <w:color w:val="2B2B2B"/>
          <w:bdr w:val="none" w:sz="0" w:space="0" w:color="auto" w:frame="1"/>
          <w:shd w:val="clear" w:color="auto" w:fill="FFFFFF"/>
        </w:rPr>
        <w:t>”</w:t>
      </w:r>
      <w:r w:rsidRPr="00891718">
        <w:rPr>
          <w:rStyle w:val="FootnoteReference"/>
          <w:rFonts w:eastAsia="Times New Roman"/>
          <w:color w:val="2B2B2B"/>
          <w:sz w:val="24"/>
          <w:bdr w:val="none" w:sz="0" w:space="0" w:color="auto" w:frame="1"/>
          <w:shd w:val="clear" w:color="auto" w:fill="FFFFFF"/>
        </w:rPr>
        <w:footnoteReference w:id="65"/>
      </w:r>
      <w:r w:rsidR="00351ADC" w:rsidRPr="00891718">
        <w:rPr>
          <w:rFonts w:eastAsia="Times New Roman"/>
          <w:color w:val="2B2B2B"/>
          <w:bdr w:val="none" w:sz="0" w:space="0" w:color="auto" w:frame="1"/>
          <w:shd w:val="clear" w:color="auto" w:fill="FFFFFF"/>
        </w:rPr>
        <w:t xml:space="preserve"> </w:t>
      </w:r>
      <w:r w:rsidR="00C50749" w:rsidRPr="00891718">
        <w:rPr>
          <w:rFonts w:eastAsia="Times New Roman"/>
          <w:color w:val="2B2B2B"/>
          <w:bdr w:val="none" w:sz="0" w:space="0" w:color="auto" w:frame="1"/>
          <w:shd w:val="clear" w:color="auto" w:fill="FFFFFF"/>
        </w:rPr>
        <w:t xml:space="preserve">Justice </w:t>
      </w:r>
      <w:r w:rsidR="00503AF9" w:rsidRPr="00891718">
        <w:t>Scalia</w:t>
      </w:r>
      <w:r w:rsidR="005F645C" w:rsidRPr="00891718">
        <w:t xml:space="preserve"> </w:t>
      </w:r>
      <w:r w:rsidR="003428C2" w:rsidRPr="00891718">
        <w:t xml:space="preserve">rejected the idea of </w:t>
      </w:r>
      <w:r w:rsidR="0089412B" w:rsidRPr="00891718">
        <w:t xml:space="preserve">government being permitted to exclude actors from the marketplace of ideas, on the basis </w:t>
      </w:r>
      <w:r w:rsidR="00351ADC" w:rsidRPr="00891718">
        <w:t>that</w:t>
      </w:r>
      <w:r w:rsidR="0089412B" w:rsidRPr="00891718">
        <w:t>, irrespective of how rational and egalitarian it might seem on the face of it,</w:t>
      </w:r>
      <w:r w:rsidR="00351ADC" w:rsidRPr="00891718">
        <w:rPr>
          <w:i/>
        </w:rPr>
        <w:t xml:space="preserve"> </w:t>
      </w:r>
      <w:r w:rsidR="00351ADC" w:rsidRPr="00891718">
        <w:t>“</w:t>
      </w:r>
      <w:r w:rsidR="00351ADC" w:rsidRPr="00891718">
        <w:rPr>
          <w:lang w:val="en-GB"/>
        </w:rPr>
        <w:t>government cannot be trusted to assure … the ‘fairness’ of political debate”</w:t>
      </w:r>
      <w:r w:rsidR="00351ADC" w:rsidRPr="00891718">
        <w:rPr>
          <w:rStyle w:val="FootnoteReference"/>
          <w:sz w:val="24"/>
          <w:lang w:val="en-GB"/>
        </w:rPr>
        <w:footnoteReference w:id="66"/>
      </w:r>
      <w:r w:rsidR="00351ADC" w:rsidRPr="00891718">
        <w:rPr>
          <w:lang w:val="en-GB"/>
        </w:rPr>
        <w:t>, in that case finding it “entirely obvious” that the “object of the law we have approved today is not to prevent wrongdoing but to prevent speech</w:t>
      </w:r>
      <w:r w:rsidR="00C66AB7" w:rsidRPr="00891718">
        <w:rPr>
          <w:lang w:val="en-GB"/>
        </w:rPr>
        <w:t>.</w:t>
      </w:r>
      <w:r w:rsidR="00351ADC" w:rsidRPr="00891718">
        <w:rPr>
          <w:lang w:val="en-GB"/>
        </w:rPr>
        <w:t>”</w:t>
      </w:r>
      <w:r w:rsidR="00351ADC" w:rsidRPr="00891718">
        <w:rPr>
          <w:rStyle w:val="FootnoteReference"/>
          <w:sz w:val="24"/>
        </w:rPr>
        <w:footnoteReference w:id="67"/>
      </w:r>
      <w:r w:rsidR="00641655" w:rsidRPr="00891718">
        <w:rPr>
          <w:lang w:val="en-GB"/>
        </w:rPr>
        <w:t xml:space="preserve"> </w:t>
      </w:r>
    </w:p>
    <w:p w14:paraId="4308C778" w14:textId="14689FFB" w:rsidR="00DF6FD4" w:rsidRPr="00891718" w:rsidRDefault="00351ADC" w:rsidP="00891718">
      <w:pPr>
        <w:ind w:firstLine="284"/>
        <w:jc w:val="both"/>
        <w:rPr>
          <w:rFonts w:eastAsia="Times New Roman"/>
        </w:rPr>
      </w:pPr>
      <w:r w:rsidRPr="00891718">
        <w:rPr>
          <w:rFonts w:eastAsia="Times New Roman"/>
          <w:color w:val="2B2B2B"/>
          <w:bdr w:val="none" w:sz="0" w:space="0" w:color="auto" w:frame="1"/>
          <w:shd w:val="clear" w:color="auto" w:fill="FFFFFF"/>
        </w:rPr>
        <w:t xml:space="preserve">Here, </w:t>
      </w:r>
      <w:r w:rsidR="00FD5439" w:rsidRPr="00891718">
        <w:rPr>
          <w:rFonts w:eastAsia="Times New Roman"/>
          <w:color w:val="2B2B2B"/>
          <w:bdr w:val="none" w:sz="0" w:space="0" w:color="auto" w:frame="1"/>
          <w:shd w:val="clear" w:color="auto" w:fill="FFFFFF"/>
        </w:rPr>
        <w:t xml:space="preserve">in </w:t>
      </w:r>
      <w:r w:rsidR="00FD5439" w:rsidRPr="00891718">
        <w:rPr>
          <w:rFonts w:eastAsia="Times New Roman"/>
          <w:i/>
          <w:color w:val="2B2B2B"/>
          <w:bdr w:val="none" w:sz="0" w:space="0" w:color="auto" w:frame="1"/>
          <w:shd w:val="clear" w:color="auto" w:fill="FFFFFF"/>
        </w:rPr>
        <w:t>Citizens United</w:t>
      </w:r>
      <w:r w:rsidR="00FD5439" w:rsidRPr="00891718">
        <w:rPr>
          <w:rFonts w:eastAsia="Times New Roman"/>
          <w:color w:val="2B2B2B"/>
          <w:bdr w:val="none" w:sz="0" w:space="0" w:color="auto" w:frame="1"/>
          <w:shd w:val="clear" w:color="auto" w:fill="FFFFFF"/>
        </w:rPr>
        <w:t xml:space="preserve">, </w:t>
      </w:r>
      <w:r w:rsidRPr="00891718">
        <w:rPr>
          <w:rFonts w:eastAsia="Times New Roman"/>
          <w:color w:val="2B2B2B"/>
          <w:bdr w:val="none" w:sz="0" w:space="0" w:color="auto" w:frame="1"/>
          <w:shd w:val="clear" w:color="auto" w:fill="FFFFFF"/>
        </w:rPr>
        <w:t>s</w:t>
      </w:r>
      <w:r w:rsidR="00256328" w:rsidRPr="00891718">
        <w:rPr>
          <w:rFonts w:eastAsia="Times New Roman"/>
          <w:color w:val="2B2B2B"/>
          <w:bdr w:val="none" w:sz="0" w:space="0" w:color="auto" w:frame="1"/>
          <w:shd w:val="clear" w:color="auto" w:fill="FFFFFF"/>
        </w:rPr>
        <w:t xml:space="preserve">ome twenty five years later, </w:t>
      </w:r>
      <w:r w:rsidR="00A96565" w:rsidRPr="00891718">
        <w:rPr>
          <w:rFonts w:eastAsia="Times New Roman"/>
          <w:color w:val="2B2B2B"/>
          <w:bdr w:val="none" w:sz="0" w:space="0" w:color="auto" w:frame="1"/>
          <w:shd w:val="clear" w:color="auto" w:fill="FFFFFF"/>
        </w:rPr>
        <w:t xml:space="preserve">Justice </w:t>
      </w:r>
      <w:r w:rsidR="00A50211" w:rsidRPr="00891718">
        <w:rPr>
          <w:rFonts w:eastAsia="Times New Roman"/>
          <w:color w:val="2B2B2B"/>
          <w:bdr w:val="none" w:sz="0" w:space="0" w:color="auto" w:frame="1"/>
          <w:shd w:val="clear" w:color="auto" w:fill="FFFFFF"/>
        </w:rPr>
        <w:t xml:space="preserve">Scalia </w:t>
      </w:r>
      <w:r w:rsidR="004A3F93" w:rsidRPr="00891718">
        <w:rPr>
          <w:rFonts w:eastAsia="Times New Roman"/>
          <w:color w:val="2B2B2B"/>
          <w:bdr w:val="none" w:sz="0" w:space="0" w:color="auto" w:frame="1"/>
          <w:shd w:val="clear" w:color="auto" w:fill="FFFFFF"/>
        </w:rPr>
        <w:t>dismissed</w:t>
      </w:r>
      <w:r w:rsidR="002B3140" w:rsidRPr="00891718">
        <w:rPr>
          <w:rFonts w:eastAsia="Times New Roman"/>
          <w:color w:val="2B2B2B"/>
          <w:bdr w:val="none" w:sz="0" w:space="0" w:color="auto" w:frame="1"/>
          <w:shd w:val="clear" w:color="auto" w:fill="FFFFFF"/>
        </w:rPr>
        <w:t xml:space="preserve"> the majority opinion in</w:t>
      </w:r>
      <w:r w:rsidR="004A3F93" w:rsidRPr="00891718">
        <w:rPr>
          <w:rFonts w:eastAsia="Times New Roman"/>
          <w:color w:val="2B2B2B"/>
          <w:bdr w:val="none" w:sz="0" w:space="0" w:color="auto" w:frame="1"/>
          <w:shd w:val="clear" w:color="auto" w:fill="FFFFFF"/>
        </w:rPr>
        <w:t xml:space="preserve"> </w:t>
      </w:r>
      <w:r w:rsidR="00256328" w:rsidRPr="00891718">
        <w:rPr>
          <w:rFonts w:eastAsia="Times New Roman"/>
          <w:i/>
          <w:color w:val="2B2B2B"/>
          <w:bdr w:val="none" w:sz="0" w:space="0" w:color="auto" w:frame="1"/>
          <w:shd w:val="clear" w:color="auto" w:fill="FFFFFF"/>
        </w:rPr>
        <w:t xml:space="preserve">Austin </w:t>
      </w:r>
      <w:r w:rsidR="00A50211" w:rsidRPr="00891718">
        <w:rPr>
          <w:rFonts w:eastAsia="Times New Roman"/>
          <w:color w:val="2B2B2B"/>
          <w:bdr w:val="none" w:sz="0" w:space="0" w:color="auto" w:frame="1"/>
          <w:shd w:val="clear" w:color="auto" w:fill="FFFFFF"/>
        </w:rPr>
        <w:t>as based on an “Orwellian” view “that too much speech is an evil that the democratic majority can proscribe.”</w:t>
      </w:r>
      <w:r w:rsidRPr="00891718">
        <w:rPr>
          <w:rStyle w:val="FootnoteReference"/>
          <w:rFonts w:eastAsia="Times New Roman"/>
          <w:color w:val="2B2B2B"/>
          <w:sz w:val="24"/>
          <w:bdr w:val="none" w:sz="0" w:space="0" w:color="auto" w:frame="1"/>
          <w:shd w:val="clear" w:color="auto" w:fill="FFFFFF"/>
        </w:rPr>
        <w:footnoteReference w:id="68"/>
      </w:r>
      <w:r w:rsidR="00641655" w:rsidRPr="00891718">
        <w:rPr>
          <w:rFonts w:eastAsia="Times New Roman"/>
          <w:color w:val="2B2B2B"/>
          <w:bdr w:val="none" w:sz="0" w:space="0" w:color="auto" w:frame="1"/>
          <w:shd w:val="clear" w:color="auto" w:fill="FFFFFF"/>
        </w:rPr>
        <w:t xml:space="preserve"> </w:t>
      </w:r>
      <w:r w:rsidR="00D63FAF" w:rsidRPr="00891718">
        <w:rPr>
          <w:rFonts w:eastAsia="Times New Roman"/>
          <w:color w:val="2B2B2B"/>
          <w:bdr w:val="none" w:sz="0" w:space="0" w:color="auto" w:frame="1"/>
          <w:shd w:val="clear" w:color="auto" w:fill="FFFFFF"/>
        </w:rPr>
        <w:t xml:space="preserve">In </w:t>
      </w:r>
      <w:r w:rsidR="003428C2" w:rsidRPr="00891718">
        <w:rPr>
          <w:rFonts w:eastAsia="Times New Roman"/>
          <w:color w:val="2B2B2B"/>
          <w:bdr w:val="none" w:sz="0" w:space="0" w:color="auto" w:frame="1"/>
          <w:shd w:val="clear" w:color="auto" w:fill="FFFFFF"/>
        </w:rPr>
        <w:t xml:space="preserve">later </w:t>
      </w:r>
      <w:r w:rsidR="00D63FAF" w:rsidRPr="00891718">
        <w:rPr>
          <w:rFonts w:eastAsia="Times New Roman"/>
          <w:color w:val="2B2B2B"/>
          <w:bdr w:val="none" w:sz="0" w:space="0" w:color="auto" w:frame="1"/>
          <w:shd w:val="clear" w:color="auto" w:fill="FFFFFF"/>
        </w:rPr>
        <w:t xml:space="preserve">defending the expansion of </w:t>
      </w:r>
      <w:r w:rsidR="00D63FAF" w:rsidRPr="00891718">
        <w:rPr>
          <w:rFonts w:eastAsia="Times New Roman"/>
          <w:i/>
          <w:color w:val="2B2B2B"/>
          <w:bdr w:val="none" w:sz="0" w:space="0" w:color="auto" w:frame="1"/>
          <w:shd w:val="clear" w:color="auto" w:fill="FFFFFF"/>
        </w:rPr>
        <w:t xml:space="preserve">Citizens United’s </w:t>
      </w:r>
      <w:r w:rsidR="00D63FAF" w:rsidRPr="00891718">
        <w:rPr>
          <w:rFonts w:eastAsia="Times New Roman"/>
          <w:color w:val="2B2B2B"/>
          <w:bdr w:val="none" w:sz="0" w:space="0" w:color="auto" w:frame="1"/>
          <w:shd w:val="clear" w:color="auto" w:fill="FFFFFF"/>
        </w:rPr>
        <w:t>principles</w:t>
      </w:r>
      <w:r w:rsidR="00E71409" w:rsidRPr="00891718">
        <w:rPr>
          <w:rFonts w:eastAsia="Times New Roman"/>
          <w:color w:val="2B2B2B"/>
          <w:bdr w:val="none" w:sz="0" w:space="0" w:color="auto" w:frame="1"/>
          <w:shd w:val="clear" w:color="auto" w:fill="FFFFFF"/>
        </w:rPr>
        <w:t xml:space="preserve"> in </w:t>
      </w:r>
      <w:r w:rsidR="00E71409" w:rsidRPr="00891718">
        <w:rPr>
          <w:rFonts w:eastAsia="Times New Roman"/>
          <w:i/>
          <w:color w:val="2B2B2B"/>
          <w:bdr w:val="none" w:sz="0" w:space="0" w:color="auto" w:frame="1"/>
          <w:shd w:val="clear" w:color="auto" w:fill="FFFFFF"/>
        </w:rPr>
        <w:t>Wisconsin Right to Life</w:t>
      </w:r>
      <w:r w:rsidR="00D63FAF" w:rsidRPr="00891718">
        <w:rPr>
          <w:rFonts w:eastAsia="Times New Roman"/>
          <w:color w:val="2B2B2B"/>
          <w:bdr w:val="none" w:sz="0" w:space="0" w:color="auto" w:frame="1"/>
          <w:shd w:val="clear" w:color="auto" w:fill="FFFFFF"/>
        </w:rPr>
        <w:t xml:space="preserve">, </w:t>
      </w:r>
      <w:r w:rsidR="00E71409" w:rsidRPr="00891718">
        <w:rPr>
          <w:rFonts w:eastAsia="Times New Roman"/>
          <w:color w:val="2B2B2B"/>
          <w:bdr w:val="none" w:sz="0" w:space="0" w:color="auto" w:frame="1"/>
          <w:shd w:val="clear" w:color="auto" w:fill="FFFFFF"/>
        </w:rPr>
        <w:t>Justice Scalia identified the Court’s “most important constitutional task</w:t>
      </w:r>
      <w:r w:rsidR="005E64F0" w:rsidRPr="00891718">
        <w:rPr>
          <w:rFonts w:eastAsia="Times New Roman"/>
          <w:color w:val="2B2B2B"/>
          <w:bdr w:val="none" w:sz="0" w:space="0" w:color="auto" w:frame="1"/>
          <w:shd w:val="clear" w:color="auto" w:fill="FFFFFF"/>
        </w:rPr>
        <w:t>”</w:t>
      </w:r>
      <w:r w:rsidR="005E64F0" w:rsidRPr="00891718">
        <w:rPr>
          <w:rStyle w:val="FootnoteReference"/>
          <w:rFonts w:eastAsia="Times New Roman"/>
          <w:color w:val="2B2B2B"/>
          <w:sz w:val="24"/>
          <w:bdr w:val="none" w:sz="0" w:space="0" w:color="auto" w:frame="1"/>
          <w:shd w:val="clear" w:color="auto" w:fill="FFFFFF"/>
        </w:rPr>
        <w:footnoteReference w:id="69"/>
      </w:r>
      <w:r w:rsidR="00E71409" w:rsidRPr="00891718">
        <w:rPr>
          <w:rFonts w:eastAsia="Times New Roman"/>
          <w:color w:val="2B2B2B"/>
          <w:bdr w:val="none" w:sz="0" w:space="0" w:color="auto" w:frame="1"/>
          <w:shd w:val="clear" w:color="auto" w:fill="FFFFFF"/>
        </w:rPr>
        <w:t xml:space="preserve"> as </w:t>
      </w:r>
      <w:r w:rsidR="005E64F0" w:rsidRPr="00891718">
        <w:rPr>
          <w:lang w:val="en-GB"/>
        </w:rPr>
        <w:t xml:space="preserve">ensuring </w:t>
      </w:r>
      <w:r w:rsidR="00E71409" w:rsidRPr="00891718">
        <w:rPr>
          <w:lang w:val="en-GB"/>
        </w:rPr>
        <w:t>freedom of political speech, further noting that “when a statute creates a regime as unworkable and unconstitutional as today’s effort … it is our responsibility to decline enforcement.”</w:t>
      </w:r>
      <w:r w:rsidR="005E64F0" w:rsidRPr="00891718">
        <w:rPr>
          <w:rStyle w:val="FootnoteReference"/>
          <w:sz w:val="24"/>
          <w:lang w:val="en-GB"/>
        </w:rPr>
        <w:footnoteReference w:id="70"/>
      </w:r>
      <w:r w:rsidR="00A96565" w:rsidRPr="00891718">
        <w:rPr>
          <w:lang w:val="en-GB"/>
        </w:rPr>
        <w:t xml:space="preserve"> </w:t>
      </w:r>
      <w:r w:rsidR="0048224A" w:rsidRPr="00891718">
        <w:t>T</w:t>
      </w:r>
      <w:r w:rsidR="00006EAD" w:rsidRPr="00891718">
        <w:rPr>
          <w:lang w:val="en-GB"/>
        </w:rPr>
        <w:t>he Court has been censur</w:t>
      </w:r>
      <w:r w:rsidR="0048224A" w:rsidRPr="00891718">
        <w:rPr>
          <w:lang w:val="en-GB"/>
        </w:rPr>
        <w:t xml:space="preserve">ed for the practical consequences of </w:t>
      </w:r>
      <w:r w:rsidR="0048224A" w:rsidRPr="00891718">
        <w:rPr>
          <w:i/>
          <w:lang w:val="en-GB"/>
        </w:rPr>
        <w:t>Citizens United</w:t>
      </w:r>
      <w:r w:rsidR="0048224A" w:rsidRPr="00891718">
        <w:rPr>
          <w:lang w:val="en-GB"/>
        </w:rPr>
        <w:t>, which opened the floodgates to moneyed interests rather more widely than before.</w:t>
      </w:r>
      <w:r w:rsidR="0048224A" w:rsidRPr="00891718">
        <w:rPr>
          <w:rStyle w:val="FootnoteReference"/>
          <w:sz w:val="24"/>
          <w:lang w:val="en-GB"/>
        </w:rPr>
        <w:footnoteReference w:id="71"/>
      </w:r>
      <w:r w:rsidR="00845D5D" w:rsidRPr="00891718">
        <w:rPr>
          <w:lang w:val="en-GB"/>
        </w:rPr>
        <w:t xml:space="preserve"> </w:t>
      </w:r>
      <w:r w:rsidR="00E83319" w:rsidRPr="00891718">
        <w:rPr>
          <w:lang w:val="en-GB"/>
        </w:rPr>
        <w:t xml:space="preserve">For his part, however, </w:t>
      </w:r>
      <w:r w:rsidR="00BA73CB" w:rsidRPr="00891718">
        <w:rPr>
          <w:lang w:val="en-GB"/>
        </w:rPr>
        <w:t xml:space="preserve">and measured against the ability of political parties to engage in aggregate speech, </w:t>
      </w:r>
      <w:r w:rsidR="00E83319" w:rsidRPr="00891718">
        <w:rPr>
          <w:lang w:val="en-GB"/>
        </w:rPr>
        <w:t xml:space="preserve">Justice Scalia </w:t>
      </w:r>
      <w:r w:rsidR="00E83319" w:rsidRPr="00891718">
        <w:t xml:space="preserve">thought it </w:t>
      </w:r>
      <w:r w:rsidR="00BA73CB" w:rsidRPr="00891718">
        <w:t xml:space="preserve">better </w:t>
      </w:r>
      <w:r w:rsidR="00E83319" w:rsidRPr="00891718">
        <w:t xml:space="preserve">to “celebrate rather than condemn” the addition of </w:t>
      </w:r>
      <w:r w:rsidR="00BA73CB" w:rsidRPr="00891718">
        <w:t xml:space="preserve">corporate </w:t>
      </w:r>
      <w:r w:rsidR="00E83319" w:rsidRPr="00891718">
        <w:t>speech to the public debate</w:t>
      </w:r>
      <w:r w:rsidR="00E71409" w:rsidRPr="00891718">
        <w:rPr>
          <w:lang w:val="en-GB"/>
        </w:rPr>
        <w:t xml:space="preserve"> </w:t>
      </w:r>
      <w:r w:rsidR="00E83319" w:rsidRPr="00891718">
        <w:rPr>
          <w:lang w:val="en-GB"/>
        </w:rPr>
        <w:t xml:space="preserve">since </w:t>
      </w:r>
      <w:r w:rsidR="00BA73CB" w:rsidRPr="00891718">
        <w:rPr>
          <w:lang w:val="en-GB"/>
        </w:rPr>
        <w:t>“</w:t>
      </w:r>
      <w:r w:rsidR="00E83319" w:rsidRPr="00891718">
        <w:rPr>
          <w:lang w:val="en-GB"/>
        </w:rPr>
        <w:t>to exclude or impe</w:t>
      </w:r>
      <w:r w:rsidR="00BA73CB" w:rsidRPr="00891718">
        <w:rPr>
          <w:lang w:val="en-GB"/>
        </w:rPr>
        <w:t>de” it would “</w:t>
      </w:r>
      <w:r w:rsidR="00E83319" w:rsidRPr="00891718">
        <w:t>muzzle the principal agents of the modern free economy</w:t>
      </w:r>
      <w:r w:rsidR="009B5AA0" w:rsidRPr="00891718">
        <w:t>,</w:t>
      </w:r>
      <w:r w:rsidR="00BA73CB" w:rsidRPr="00891718">
        <w:t>”</w:t>
      </w:r>
      <w:r w:rsidR="00BA73CB" w:rsidRPr="00891718">
        <w:rPr>
          <w:rStyle w:val="FootnoteReference"/>
          <w:sz w:val="24"/>
        </w:rPr>
        <w:footnoteReference w:id="72"/>
      </w:r>
      <w:r w:rsidR="003B7D16" w:rsidRPr="00891718">
        <w:t xml:space="preserve"> those agents being corporations rather than politicians or the people.</w:t>
      </w:r>
      <w:r w:rsidR="00DF6FD4" w:rsidRPr="00891718">
        <w:t xml:space="preserve"> </w:t>
      </w:r>
      <w:r w:rsidR="00FD5718" w:rsidRPr="00891718">
        <w:t xml:space="preserve">It has been argued </w:t>
      </w:r>
      <w:r w:rsidR="00DF6FD4" w:rsidRPr="00891718">
        <w:t xml:space="preserve">that </w:t>
      </w:r>
      <w:r w:rsidR="00DF6FD4" w:rsidRPr="00891718">
        <w:rPr>
          <w:rFonts w:eastAsia="Times New Roman"/>
        </w:rPr>
        <w:t xml:space="preserve">the outcome of </w:t>
      </w:r>
      <w:r w:rsidR="00DF6FD4" w:rsidRPr="00891718">
        <w:rPr>
          <w:rFonts w:eastAsia="Times New Roman"/>
          <w:i/>
        </w:rPr>
        <w:t>Citizens United</w:t>
      </w:r>
      <w:r w:rsidR="00DF6FD4" w:rsidRPr="00891718">
        <w:rPr>
          <w:rFonts w:eastAsia="Times New Roman"/>
        </w:rPr>
        <w:t xml:space="preserve"> is best explained as “representing a triumph of the libertarian over the egalitarian vision of free speech</w:t>
      </w:r>
      <w:r w:rsidR="00FD5718" w:rsidRPr="00891718">
        <w:rPr>
          <w:rFonts w:eastAsia="Times New Roman"/>
        </w:rPr>
        <w:t>.</w:t>
      </w:r>
      <w:r w:rsidR="00DF6FD4" w:rsidRPr="00891718">
        <w:rPr>
          <w:rFonts w:eastAsia="Times New Roman"/>
        </w:rPr>
        <w:t>”</w:t>
      </w:r>
      <w:r w:rsidR="00DF6FD4" w:rsidRPr="00891718">
        <w:rPr>
          <w:rStyle w:val="FootnoteReference"/>
          <w:rFonts w:eastAsia="Times New Roman"/>
          <w:sz w:val="24"/>
        </w:rPr>
        <w:footnoteReference w:id="73"/>
      </w:r>
      <w:r w:rsidR="00DF6FD4" w:rsidRPr="00891718">
        <w:rPr>
          <w:rFonts w:eastAsia="Times New Roman"/>
        </w:rPr>
        <w:t xml:space="preserve"> In truth, since </w:t>
      </w:r>
      <w:r w:rsidR="00DF6FD4" w:rsidRPr="00891718">
        <w:rPr>
          <w:rFonts w:eastAsia="Times New Roman"/>
          <w:i/>
        </w:rPr>
        <w:t>Buckley</w:t>
      </w:r>
      <w:r w:rsidR="00DF6FD4" w:rsidRPr="00891718">
        <w:rPr>
          <w:rFonts w:eastAsia="Times New Roman"/>
        </w:rPr>
        <w:t>, the majority of campaign finance</w:t>
      </w:r>
      <w:r w:rsidR="00DF6FD4" w:rsidRPr="00891718">
        <w:rPr>
          <w:rFonts w:eastAsia="Times New Roman"/>
          <w:i/>
        </w:rPr>
        <w:t xml:space="preserve"> </w:t>
      </w:r>
      <w:r w:rsidR="00DF6FD4" w:rsidRPr="00891718">
        <w:rPr>
          <w:rFonts w:eastAsia="Times New Roman"/>
        </w:rPr>
        <w:t>c</w:t>
      </w:r>
      <w:r w:rsidR="0027581B" w:rsidRPr="00891718">
        <w:rPr>
          <w:rFonts w:eastAsia="Times New Roman"/>
        </w:rPr>
        <w:t>ases c</w:t>
      </w:r>
      <w:r w:rsidR="00DF6FD4" w:rsidRPr="00891718">
        <w:rPr>
          <w:rFonts w:eastAsia="Times New Roman"/>
        </w:rPr>
        <w:t>ould</w:t>
      </w:r>
      <w:r w:rsidR="00FD5718" w:rsidRPr="00891718">
        <w:rPr>
          <w:rFonts w:eastAsia="Times New Roman"/>
        </w:rPr>
        <w:t>, in broad terms,</w:t>
      </w:r>
      <w:r w:rsidR="00DF6FD4" w:rsidRPr="00891718">
        <w:rPr>
          <w:rFonts w:eastAsia="Times New Roman"/>
        </w:rPr>
        <w:t xml:space="preserve"> be explained in that way</w:t>
      </w:r>
      <w:r w:rsidR="00FD5718" w:rsidRPr="00891718">
        <w:rPr>
          <w:rFonts w:eastAsia="Times New Roman"/>
        </w:rPr>
        <w:t>. The libertarian vision, Sullivan notes, “serves the end of liberty by checking government overreaching into</w:t>
      </w:r>
      <w:r w:rsidR="006B623E" w:rsidRPr="00891718">
        <w:rPr>
          <w:rFonts w:eastAsia="Times New Roman"/>
        </w:rPr>
        <w:t xml:space="preserve"> the private order.”</w:t>
      </w:r>
      <w:r w:rsidR="00FD5718" w:rsidRPr="00891718">
        <w:rPr>
          <w:rStyle w:val="FootnoteReference"/>
          <w:rFonts w:eastAsia="Times New Roman"/>
          <w:sz w:val="24"/>
        </w:rPr>
        <w:footnoteReference w:id="74"/>
      </w:r>
      <w:r w:rsidR="006B623E" w:rsidRPr="00891718">
        <w:rPr>
          <w:rFonts w:eastAsia="Times New Roman"/>
        </w:rPr>
        <w:t xml:space="preserve"> </w:t>
      </w:r>
      <w:r w:rsidR="00FD5718" w:rsidRPr="00891718">
        <w:rPr>
          <w:rFonts w:eastAsia="Times New Roman"/>
        </w:rPr>
        <w:t>This would seem to chime with Justice Scalia’s preference</w:t>
      </w:r>
      <w:r w:rsidR="0013337E" w:rsidRPr="00891718">
        <w:rPr>
          <w:rFonts w:eastAsia="Times New Roman"/>
        </w:rPr>
        <w:t>s</w:t>
      </w:r>
      <w:r w:rsidR="00FD5718" w:rsidRPr="00891718">
        <w:rPr>
          <w:rFonts w:eastAsia="Times New Roman"/>
        </w:rPr>
        <w:t xml:space="preserve"> for broadly construed freedom of speech and </w:t>
      </w:r>
      <w:r w:rsidR="0013337E" w:rsidRPr="00891718">
        <w:rPr>
          <w:rFonts w:eastAsia="Times New Roman"/>
        </w:rPr>
        <w:t>cynically approached legislative initiatives</w:t>
      </w:r>
      <w:r w:rsidR="002638D6" w:rsidRPr="00891718">
        <w:rPr>
          <w:rFonts w:eastAsia="Times New Roman"/>
        </w:rPr>
        <w:t xml:space="preserve"> in campaign finance cases</w:t>
      </w:r>
      <w:r w:rsidR="0013337E" w:rsidRPr="00891718">
        <w:rPr>
          <w:rFonts w:eastAsia="Times New Roman"/>
        </w:rPr>
        <w:t xml:space="preserve">. </w:t>
      </w:r>
    </w:p>
    <w:p w14:paraId="1F67AC5E" w14:textId="0446180F" w:rsidR="000528EB" w:rsidRPr="00891718" w:rsidRDefault="003B7D16" w:rsidP="00891718">
      <w:pPr>
        <w:ind w:firstLine="284"/>
        <w:jc w:val="both"/>
      </w:pPr>
      <w:r w:rsidRPr="00891718">
        <w:t xml:space="preserve"> </w:t>
      </w:r>
      <w:r w:rsidR="007304C8" w:rsidRPr="00891718">
        <w:t xml:space="preserve">Basham and </w:t>
      </w:r>
      <w:proofErr w:type="spellStart"/>
      <w:r w:rsidR="007304C8" w:rsidRPr="00891718">
        <w:t>Polhill</w:t>
      </w:r>
      <w:proofErr w:type="spellEnd"/>
      <w:r w:rsidR="007304C8" w:rsidRPr="00891718">
        <w:t xml:space="preserve">, arguing that elected representatives should be excluded </w:t>
      </w:r>
      <w:r w:rsidR="00E34BFE" w:rsidRPr="00891718">
        <w:t>from campaign and election rule-</w:t>
      </w:r>
      <w:r w:rsidR="007304C8" w:rsidRPr="00891718">
        <w:t>making and regulation, state that there is unlikely to be an improvement in political competition unless “the incumbent fox ends his tenure as guardian of the democratic henhouse”</w:t>
      </w:r>
      <w:r w:rsidR="007304C8" w:rsidRPr="00891718">
        <w:rPr>
          <w:rStyle w:val="FootnoteReference"/>
          <w:sz w:val="24"/>
        </w:rPr>
        <w:footnoteReference w:id="75"/>
      </w:r>
      <w:r w:rsidR="007304C8" w:rsidRPr="00891718">
        <w:t xml:space="preserve"> but</w:t>
      </w:r>
      <w:r w:rsidR="00E34BFE" w:rsidRPr="00891718">
        <w:t>,</w:t>
      </w:r>
      <w:r w:rsidR="007304C8" w:rsidRPr="00891718">
        <w:t xml:space="preserve"> whatever the concerns over the self-interest of legislators</w:t>
      </w:r>
      <w:r w:rsidR="00E34BFE" w:rsidRPr="00891718">
        <w:t>,</w:t>
      </w:r>
      <w:r w:rsidR="007304C8" w:rsidRPr="00891718">
        <w:t xml:space="preserve"> an equivalent and equally difficult set of issues arises when </w:t>
      </w:r>
      <w:r w:rsidR="00444800" w:rsidRPr="00891718">
        <w:t>courts, rather than legislatures,</w:t>
      </w:r>
      <w:r w:rsidR="007304C8" w:rsidRPr="00891718">
        <w:t xml:space="preserve"> are permitted to determine the fate </w:t>
      </w:r>
      <w:r w:rsidR="00E34BFE" w:rsidRPr="00891718">
        <w:t>of campaign finance regulation.</w:t>
      </w:r>
      <w:r w:rsidR="00641655" w:rsidRPr="00891718">
        <w:t xml:space="preserve"> </w:t>
      </w:r>
      <w:r w:rsidR="00E34BFE" w:rsidRPr="00891718">
        <w:t>Do courts, insulated from p</w:t>
      </w:r>
      <w:r w:rsidR="00444800" w:rsidRPr="00891718">
        <w:t xml:space="preserve">olitics as they supposedly are (but clearly are not) </w:t>
      </w:r>
      <w:r w:rsidR="00E34BFE" w:rsidRPr="00891718">
        <w:t>possess the requisite institutional and democratic competence to allow themselves to overrule the conclusions of legislators on political realities?</w:t>
      </w:r>
      <w:r w:rsidR="00641655" w:rsidRPr="00891718">
        <w:t xml:space="preserve"> </w:t>
      </w:r>
      <w:r w:rsidR="00E34BFE" w:rsidRPr="00891718">
        <w:t xml:space="preserve">In the </w:t>
      </w:r>
      <w:r w:rsidR="009A2860" w:rsidRPr="00891718">
        <w:t xml:space="preserve">immediate aftermath </w:t>
      </w:r>
      <w:r w:rsidR="00E34BFE" w:rsidRPr="00891718">
        <w:t xml:space="preserve">of </w:t>
      </w:r>
      <w:r w:rsidR="00E34BFE" w:rsidRPr="00891718">
        <w:rPr>
          <w:i/>
        </w:rPr>
        <w:t>Buckley</w:t>
      </w:r>
      <w:r w:rsidR="00E34BFE" w:rsidRPr="00891718">
        <w:t>, Leventhal took the view that, where such realities are involved and there is a substantial possibility that a statute might improve the health of democracy, it should be upheld and judged on its results.</w:t>
      </w:r>
      <w:r w:rsidR="00E34BFE" w:rsidRPr="00891718">
        <w:rPr>
          <w:vertAlign w:val="superscript"/>
        </w:rPr>
        <w:footnoteReference w:id="76"/>
      </w:r>
      <w:r w:rsidR="00E34BFE" w:rsidRPr="00891718">
        <w:t xml:space="preserve"> Judicial deference in such cases may</w:t>
      </w:r>
      <w:r w:rsidR="00851961" w:rsidRPr="00891718">
        <w:t xml:space="preserve"> therefore</w:t>
      </w:r>
      <w:r w:rsidR="00E34BFE" w:rsidRPr="00891718">
        <w:t xml:space="preserve"> be “extremely appropriate</w:t>
      </w:r>
      <w:r w:rsidR="001E5654" w:rsidRPr="00891718">
        <w:t xml:space="preserve"> … since legislators have first-</w:t>
      </w:r>
      <w:r w:rsidR="00E34BFE" w:rsidRPr="00891718">
        <w:t>hand knowledge.”</w:t>
      </w:r>
      <w:bookmarkStart w:id="3" w:name="_Ref469412224"/>
      <w:r w:rsidR="00E34BFE" w:rsidRPr="00891718">
        <w:rPr>
          <w:vertAlign w:val="superscript"/>
        </w:rPr>
        <w:footnoteReference w:id="77"/>
      </w:r>
      <w:bookmarkEnd w:id="3"/>
      <w:r w:rsidR="009A2860" w:rsidRPr="00891718">
        <w:t xml:space="preserve"> </w:t>
      </w:r>
      <w:r w:rsidR="00ED432A" w:rsidRPr="00891718">
        <w:t>This was the approach taken by the Sup</w:t>
      </w:r>
      <w:r w:rsidR="000528EB" w:rsidRPr="00891718">
        <w:t>reme Court</w:t>
      </w:r>
      <w:r w:rsidR="00DF56BB" w:rsidRPr="00891718">
        <w:t xml:space="preserve"> </w:t>
      </w:r>
      <w:r w:rsidR="00FA5ECC" w:rsidRPr="00891718">
        <w:t xml:space="preserve">in four </w:t>
      </w:r>
      <w:r w:rsidR="007B2B2F" w:rsidRPr="00891718">
        <w:t xml:space="preserve">campaign finance </w:t>
      </w:r>
      <w:r w:rsidR="00FA5ECC" w:rsidRPr="00891718">
        <w:t>cases</w:t>
      </w:r>
      <w:r w:rsidR="00F17992" w:rsidRPr="00891718">
        <w:t xml:space="preserve"> of the early 2000s</w:t>
      </w:r>
      <w:r w:rsidR="00361C33" w:rsidRPr="00891718">
        <w:t>,</w:t>
      </w:r>
      <w:r w:rsidR="00F17992" w:rsidRPr="00891718">
        <w:t xml:space="preserve"> at the tail end of the Rehnquist Court.</w:t>
      </w:r>
      <w:r w:rsidR="00361C33" w:rsidRPr="00891718">
        <w:t xml:space="preserve"> </w:t>
      </w:r>
      <w:r w:rsidR="003864DA" w:rsidRPr="00891718">
        <w:t xml:space="preserve">The cases </w:t>
      </w:r>
      <w:r w:rsidR="00322AD0" w:rsidRPr="00891718">
        <w:t>–</w:t>
      </w:r>
      <w:r w:rsidR="00F17992" w:rsidRPr="00891718">
        <w:t xml:space="preserve"> identified by </w:t>
      </w:r>
      <w:proofErr w:type="spellStart"/>
      <w:r w:rsidR="00F17992" w:rsidRPr="00891718">
        <w:t>Hasen</w:t>
      </w:r>
      <w:proofErr w:type="spellEnd"/>
      <w:r w:rsidR="00F17992" w:rsidRPr="00891718">
        <w:t xml:space="preserve"> as the “New Deference Quartet”</w:t>
      </w:r>
      <w:r w:rsidR="00F17992" w:rsidRPr="00891718">
        <w:rPr>
          <w:rStyle w:val="FootnoteReference"/>
          <w:sz w:val="24"/>
        </w:rPr>
        <w:footnoteReference w:id="78"/>
      </w:r>
      <w:r w:rsidR="00F17992" w:rsidRPr="00891718">
        <w:t xml:space="preserve"> –</w:t>
      </w:r>
      <w:r w:rsidR="002E1FD5" w:rsidRPr="00891718">
        <w:t xml:space="preserve"> </w:t>
      </w:r>
      <w:r w:rsidR="00E744BA" w:rsidRPr="00891718">
        <w:t xml:space="preserve">diluted </w:t>
      </w:r>
      <w:r w:rsidR="00E744BA" w:rsidRPr="00891718">
        <w:rPr>
          <w:i/>
        </w:rPr>
        <w:t>Buckley’s</w:t>
      </w:r>
      <w:r w:rsidR="00E744BA" w:rsidRPr="00891718">
        <w:t xml:space="preserve"> </w:t>
      </w:r>
      <w:r w:rsidR="00BF2A12" w:rsidRPr="00891718">
        <w:t xml:space="preserve">dogma </w:t>
      </w:r>
      <w:r w:rsidR="00F17992" w:rsidRPr="00891718">
        <w:t>but</w:t>
      </w:r>
      <w:r w:rsidR="00BF2A12" w:rsidRPr="00891718">
        <w:t>, in so doing,</w:t>
      </w:r>
      <w:r w:rsidR="00F17992" w:rsidRPr="00891718">
        <w:t xml:space="preserve"> exhibited “increasing incoherence”</w:t>
      </w:r>
      <w:r w:rsidR="00F17992" w:rsidRPr="00891718">
        <w:rPr>
          <w:rStyle w:val="FootnoteReference"/>
          <w:sz w:val="24"/>
        </w:rPr>
        <w:footnoteReference w:id="79"/>
      </w:r>
      <w:r w:rsidR="00F17992" w:rsidRPr="00891718">
        <w:t xml:space="preserve"> when set against </w:t>
      </w:r>
      <w:r w:rsidR="00BF2A12" w:rsidRPr="00891718">
        <w:t>its</w:t>
      </w:r>
      <w:r w:rsidR="00F17992" w:rsidRPr="00891718">
        <w:rPr>
          <w:i/>
        </w:rPr>
        <w:t xml:space="preserve"> </w:t>
      </w:r>
      <w:r w:rsidR="00F17992" w:rsidRPr="00891718">
        <w:t>rather more definite stan</w:t>
      </w:r>
      <w:r w:rsidR="00282695" w:rsidRPr="00891718">
        <w:t>d</w:t>
      </w:r>
      <w:r w:rsidR="00F17992" w:rsidRPr="00891718">
        <w:t>ards</w:t>
      </w:r>
      <w:r w:rsidR="005D7FC2" w:rsidRPr="00891718">
        <w:t>, due to the “strained reasoning”</w:t>
      </w:r>
      <w:r w:rsidR="00BF2A12" w:rsidRPr="00891718">
        <w:rPr>
          <w:rStyle w:val="FootnoteReference"/>
          <w:sz w:val="24"/>
        </w:rPr>
        <w:footnoteReference w:id="80"/>
      </w:r>
      <w:r w:rsidR="005D7FC2" w:rsidRPr="00891718">
        <w:t xml:space="preserve"> employed to read an equality rationale into campaign finance jurisprudence which forcefully disavowed it. </w:t>
      </w:r>
      <w:r w:rsidR="0030758F" w:rsidRPr="00891718">
        <w:t xml:space="preserve">As </w:t>
      </w:r>
      <w:r w:rsidR="005D7FC2" w:rsidRPr="00891718">
        <w:t xml:space="preserve">might be imagined, Justice Scalia did not </w:t>
      </w:r>
      <w:r w:rsidR="00977076" w:rsidRPr="00891718">
        <w:t>embrace</w:t>
      </w:r>
      <w:r w:rsidR="00BF2A12" w:rsidRPr="00891718">
        <w:t xml:space="preserve"> </w:t>
      </w:r>
      <w:r w:rsidR="005D7FC2" w:rsidRPr="00891718">
        <w:t>‘new deference’</w:t>
      </w:r>
      <w:r w:rsidR="00977076" w:rsidRPr="00891718">
        <w:t xml:space="preserve">, which </w:t>
      </w:r>
      <w:r w:rsidR="00282695" w:rsidRPr="00891718">
        <w:t>would</w:t>
      </w:r>
      <w:r w:rsidR="00977076" w:rsidRPr="00891718">
        <w:t>, in any case,</w:t>
      </w:r>
      <w:r w:rsidR="00282695" w:rsidRPr="00891718">
        <w:t xml:space="preserve"> fall to a reaffirmation of </w:t>
      </w:r>
      <w:r w:rsidR="005D7FC2" w:rsidRPr="00891718">
        <w:rPr>
          <w:i/>
        </w:rPr>
        <w:t xml:space="preserve">Buckley </w:t>
      </w:r>
      <w:r w:rsidR="00282695" w:rsidRPr="00891718">
        <w:t>by the Roberts Court</w:t>
      </w:r>
      <w:r w:rsidR="0030758F" w:rsidRPr="00891718">
        <w:t xml:space="preserve">. As such, </w:t>
      </w:r>
      <w:r w:rsidR="0013337E" w:rsidRPr="00891718">
        <w:t xml:space="preserve">the </w:t>
      </w:r>
      <w:r w:rsidR="0030758F" w:rsidRPr="00891718">
        <w:t xml:space="preserve">characterization of ‘deference quartet’ case </w:t>
      </w:r>
      <w:r w:rsidR="0030758F" w:rsidRPr="00891718">
        <w:rPr>
          <w:i/>
        </w:rPr>
        <w:t xml:space="preserve">McConnell </w:t>
      </w:r>
      <w:r w:rsidR="0030758F" w:rsidRPr="00891718">
        <w:t>as a “precarious … victory for reform”</w:t>
      </w:r>
      <w:r w:rsidR="0030758F" w:rsidRPr="00891718">
        <w:rPr>
          <w:rStyle w:val="FootnoteReference"/>
          <w:sz w:val="24"/>
        </w:rPr>
        <w:footnoteReference w:id="81"/>
      </w:r>
      <w:r w:rsidR="0030758F" w:rsidRPr="00891718">
        <w:t xml:space="preserve"> seems apposite and </w:t>
      </w:r>
      <w:r w:rsidR="009F056C" w:rsidRPr="00891718">
        <w:t>of wider relevance and application</w:t>
      </w:r>
      <w:r w:rsidR="00D63FAF" w:rsidRPr="00891718">
        <w:t xml:space="preserve"> than</w:t>
      </w:r>
      <w:r w:rsidR="00444800" w:rsidRPr="00891718">
        <w:t xml:space="preserve"> to</w:t>
      </w:r>
      <w:r w:rsidR="00D63FAF" w:rsidRPr="00891718">
        <w:t xml:space="preserve"> </w:t>
      </w:r>
      <w:r w:rsidR="00D63FAF" w:rsidRPr="00891718">
        <w:rPr>
          <w:i/>
        </w:rPr>
        <w:t xml:space="preserve">McConnell </w:t>
      </w:r>
      <w:r w:rsidR="00D63FAF" w:rsidRPr="00891718">
        <w:t>alone</w:t>
      </w:r>
      <w:r w:rsidR="0030758F" w:rsidRPr="00891718">
        <w:t>.</w:t>
      </w:r>
    </w:p>
    <w:p w14:paraId="77D511BA" w14:textId="5D92CAD4" w:rsidR="00951955" w:rsidRDefault="009F056C" w:rsidP="00891718">
      <w:pPr>
        <w:ind w:firstLine="284"/>
        <w:jc w:val="both"/>
      </w:pPr>
      <w:proofErr w:type="spellStart"/>
      <w:r w:rsidRPr="00891718">
        <w:rPr>
          <w:lang w:val="en-GB"/>
        </w:rPr>
        <w:t>Schauer</w:t>
      </w:r>
      <w:proofErr w:type="spellEnd"/>
      <w:r w:rsidRPr="00891718">
        <w:rPr>
          <w:lang w:val="en-GB"/>
        </w:rPr>
        <w:t xml:space="preserve"> maintains that campaign finance cases should not be treated as a means of deciding between “competing visions of democracy.”</w:t>
      </w:r>
      <w:r w:rsidRPr="00891718">
        <w:rPr>
          <w:vertAlign w:val="superscript"/>
          <w:lang w:val="en-GB"/>
        </w:rPr>
        <w:footnoteReference w:id="82"/>
      </w:r>
      <w:r w:rsidR="00641655" w:rsidRPr="00891718">
        <w:rPr>
          <w:lang w:val="en-GB"/>
        </w:rPr>
        <w:t xml:space="preserve"> </w:t>
      </w:r>
      <w:r w:rsidRPr="00891718">
        <w:rPr>
          <w:lang w:val="en-GB"/>
        </w:rPr>
        <w:t>Instead, he claims that they are cases concerning “the devices of democracy [which] may have political valence and reflect substantive political values [but] are … in some rough and ready way, procedural.”</w:t>
      </w:r>
      <w:r w:rsidRPr="00891718">
        <w:rPr>
          <w:vertAlign w:val="superscript"/>
          <w:lang w:val="en-GB"/>
        </w:rPr>
        <w:footnoteReference w:id="83"/>
      </w:r>
      <w:r w:rsidR="00641655" w:rsidRPr="00891718">
        <w:rPr>
          <w:lang w:val="en-GB"/>
        </w:rPr>
        <w:t xml:space="preserve"> </w:t>
      </w:r>
      <w:r w:rsidRPr="00891718">
        <w:rPr>
          <w:lang w:val="en-GB"/>
        </w:rPr>
        <w:t>Thus it is necessary to “treat the question of ‘Who Decides?’ as distinct from the question of what is to be decided.”</w:t>
      </w:r>
      <w:r w:rsidRPr="00891718">
        <w:rPr>
          <w:vertAlign w:val="superscript"/>
          <w:lang w:val="en-GB"/>
        </w:rPr>
        <w:footnoteReference w:id="84"/>
      </w:r>
      <w:r w:rsidR="00641655" w:rsidRPr="00891718">
        <w:rPr>
          <w:lang w:val="en-GB"/>
        </w:rPr>
        <w:t xml:space="preserve"> </w:t>
      </w:r>
      <w:r w:rsidRPr="00891718">
        <w:rPr>
          <w:lang w:val="en-GB"/>
        </w:rPr>
        <w:t>Only in this way can we “recapture the possibility that one could simultaneously believe campaign finance reform to be a good idea while believing that legislative decisions about campaign finance reform were suspect.”</w:t>
      </w:r>
      <w:r w:rsidRPr="00891718">
        <w:rPr>
          <w:vertAlign w:val="superscript"/>
          <w:lang w:val="en-GB"/>
        </w:rPr>
        <w:footnoteReference w:id="85"/>
      </w:r>
      <w:r w:rsidR="00641655" w:rsidRPr="00891718">
        <w:rPr>
          <w:lang w:val="en-GB"/>
        </w:rPr>
        <w:t xml:space="preserve"> </w:t>
      </w:r>
      <w:r w:rsidRPr="00891718">
        <w:rPr>
          <w:lang w:val="en-GB"/>
        </w:rPr>
        <w:t xml:space="preserve">The basis for </w:t>
      </w:r>
      <w:proofErr w:type="spellStart"/>
      <w:r w:rsidRPr="00891718">
        <w:rPr>
          <w:lang w:val="en-GB"/>
        </w:rPr>
        <w:t>Schauer’s</w:t>
      </w:r>
      <w:proofErr w:type="spellEnd"/>
      <w:r w:rsidRPr="00891718">
        <w:rPr>
          <w:lang w:val="en-GB"/>
        </w:rPr>
        <w:t xml:space="preserve"> argument is that “[a]</w:t>
      </w:r>
      <w:proofErr w:type="spellStart"/>
      <w:r w:rsidRPr="00891718">
        <w:rPr>
          <w:lang w:val="en-GB"/>
        </w:rPr>
        <w:t>ll</w:t>
      </w:r>
      <w:proofErr w:type="spellEnd"/>
      <w:r w:rsidRPr="00891718">
        <w:rPr>
          <w:lang w:val="en-GB"/>
        </w:rPr>
        <w:t xml:space="preserve"> of the devices of democracy are antecedent to substantive democratic decisions” and are “likely to be </w:t>
      </w:r>
      <w:proofErr w:type="spellStart"/>
      <w:r w:rsidRPr="00891718">
        <w:rPr>
          <w:lang w:val="en-GB"/>
        </w:rPr>
        <w:t>misdecided</w:t>
      </w:r>
      <w:proofErr w:type="spellEnd"/>
      <w:r w:rsidRPr="00891718">
        <w:rPr>
          <w:lang w:val="en-GB"/>
        </w:rPr>
        <w:t xml:space="preserve"> if subject to actual and substantively influenced democratic processes.”</w:t>
      </w:r>
      <w:r w:rsidRPr="00891718">
        <w:rPr>
          <w:vertAlign w:val="superscript"/>
          <w:lang w:val="en-GB"/>
        </w:rPr>
        <w:footnoteReference w:id="86"/>
      </w:r>
      <w:r w:rsidR="00641655" w:rsidRPr="00891718">
        <w:rPr>
          <w:lang w:val="en-GB"/>
        </w:rPr>
        <w:t xml:space="preserve"> </w:t>
      </w:r>
      <w:r w:rsidRPr="00891718">
        <w:rPr>
          <w:lang w:val="en-GB"/>
        </w:rPr>
        <w:t xml:space="preserve">Legislative decisions about campaign finance regulations thus “merit the protections inherent in </w:t>
      </w:r>
      <w:proofErr w:type="spellStart"/>
      <w:r w:rsidRPr="00891718">
        <w:rPr>
          <w:lang w:val="en-GB"/>
        </w:rPr>
        <w:t>constitutionalization</w:t>
      </w:r>
      <w:proofErr w:type="spellEnd"/>
      <w:r w:rsidRPr="00891718">
        <w:rPr>
          <w:lang w:val="en-GB"/>
        </w:rPr>
        <w:t>” since</w:t>
      </w:r>
      <w:r w:rsidR="00951955" w:rsidRPr="00891718">
        <w:rPr>
          <w:lang w:val="en-GB"/>
        </w:rPr>
        <w:t xml:space="preserve"> ‘if debates about the procedures to be employed … might be driven by concerns about which procedures would best facilitate the substantive agendas of various groups, then we might prefer to give the courts … a larger role to play</w:t>
      </w:r>
      <w:proofErr w:type="gramStart"/>
      <w:r w:rsidR="00951955" w:rsidRPr="00891718">
        <w:rPr>
          <w:lang w:val="en-GB"/>
        </w:rPr>
        <w:t>”</w:t>
      </w:r>
      <w:r w:rsidR="00951955" w:rsidRPr="00891718">
        <w:rPr>
          <w:vertAlign w:val="superscript"/>
          <w:lang w:val="en-GB"/>
        </w:rPr>
        <w:t xml:space="preserve"> </w:t>
      </w:r>
      <w:proofErr w:type="gramEnd"/>
      <w:r w:rsidR="00951955" w:rsidRPr="00891718">
        <w:rPr>
          <w:vertAlign w:val="superscript"/>
          <w:lang w:val="en-GB"/>
        </w:rPr>
        <w:footnoteReference w:id="87"/>
      </w:r>
      <w:r w:rsidR="00951955" w:rsidRPr="00891718">
        <w:rPr>
          <w:lang w:val="en-GB"/>
        </w:rPr>
        <w:t xml:space="preserve">, though </w:t>
      </w:r>
      <w:r w:rsidR="00951955" w:rsidRPr="00891718">
        <w:t>turning the courts into “trustbusters of political cartels”</w:t>
      </w:r>
      <w:r w:rsidR="00951955" w:rsidRPr="00891718">
        <w:rPr>
          <w:rStyle w:val="FootnoteReference"/>
          <w:sz w:val="24"/>
        </w:rPr>
        <w:footnoteReference w:id="88"/>
      </w:r>
      <w:r w:rsidR="00951955" w:rsidRPr="00891718">
        <w:t xml:space="preserve"> is, itself, thick with difficulty.</w:t>
      </w:r>
    </w:p>
    <w:p w14:paraId="637C135C" w14:textId="77777777" w:rsidR="00891718" w:rsidRPr="00891718" w:rsidRDefault="00891718" w:rsidP="00891718">
      <w:pPr>
        <w:ind w:firstLine="284"/>
        <w:jc w:val="both"/>
        <w:rPr>
          <w:lang w:val="en-GB"/>
        </w:rPr>
      </w:pPr>
    </w:p>
    <w:p w14:paraId="44161517" w14:textId="3EEAD3C9" w:rsidR="00BA7C85" w:rsidRPr="00891718" w:rsidRDefault="007B4CE5" w:rsidP="00322AD0">
      <w:pPr>
        <w:pStyle w:val="ListParagraph"/>
        <w:numPr>
          <w:ilvl w:val="0"/>
          <w:numId w:val="3"/>
        </w:numPr>
        <w:spacing w:line="480" w:lineRule="auto"/>
        <w:ind w:left="0" w:firstLine="0"/>
        <w:jc w:val="center"/>
        <w:rPr>
          <w:rFonts w:ascii="Times New Roman" w:hAnsi="Times New Roman" w:cs="Times New Roman"/>
          <w:b/>
          <w:smallCaps/>
          <w:sz w:val="28"/>
        </w:rPr>
      </w:pPr>
      <w:r w:rsidRPr="00891718">
        <w:rPr>
          <w:rFonts w:ascii="Times New Roman" w:hAnsi="Times New Roman" w:cs="Times New Roman"/>
          <w:b/>
          <w:smallCaps/>
          <w:sz w:val="28"/>
        </w:rPr>
        <w:t xml:space="preserve">Judging </w:t>
      </w:r>
      <w:r w:rsidR="00F4275B" w:rsidRPr="00891718">
        <w:rPr>
          <w:rFonts w:ascii="Times New Roman" w:hAnsi="Times New Roman" w:cs="Times New Roman"/>
          <w:b/>
          <w:smallCaps/>
          <w:sz w:val="28"/>
        </w:rPr>
        <w:t>Democracy: Paradox and Dilemma</w:t>
      </w:r>
    </w:p>
    <w:p w14:paraId="1E33EB66" w14:textId="3983DF24" w:rsidR="00475C9C" w:rsidRDefault="009F056C" w:rsidP="00891718">
      <w:pPr>
        <w:jc w:val="both"/>
      </w:pPr>
      <w:proofErr w:type="spellStart"/>
      <w:r w:rsidRPr="00891718">
        <w:t>Persily</w:t>
      </w:r>
      <w:proofErr w:type="spellEnd"/>
      <w:r w:rsidRPr="00891718">
        <w:t xml:space="preserve"> urges judicial intervention in campaign finance cases, where “crafty </w:t>
      </w:r>
      <w:proofErr w:type="spellStart"/>
      <w:r w:rsidRPr="00891718">
        <w:t>lindedrawing</w:t>
      </w:r>
      <w:proofErr w:type="spellEnd"/>
      <w:r w:rsidRPr="00891718">
        <w:t>”</w:t>
      </w:r>
      <w:r w:rsidRPr="00891718">
        <w:rPr>
          <w:rStyle w:val="FootnoteReference"/>
          <w:sz w:val="24"/>
        </w:rPr>
        <w:footnoteReference w:id="89"/>
      </w:r>
      <w:r w:rsidRPr="00891718">
        <w:t xml:space="preserve"> risks</w:t>
      </w:r>
      <w:r w:rsidR="000E65D5" w:rsidRPr="00891718">
        <w:t xml:space="preserve"> thwarting </w:t>
      </w:r>
      <w:r w:rsidR="009B28D1" w:rsidRPr="00891718">
        <w:t xml:space="preserve">majority will and </w:t>
      </w:r>
      <w:r w:rsidR="000E65D5" w:rsidRPr="00891718">
        <w:t>threatens to undercut</w:t>
      </w:r>
      <w:r w:rsidRPr="00891718">
        <w:t xml:space="preserve"> the idea of meaningful choice for the electorate through eliminating or reducing the possibility of competition for control of the legislature.</w:t>
      </w:r>
      <w:r w:rsidR="00475C9C" w:rsidRPr="00891718">
        <w:t xml:space="preserve"> </w:t>
      </w:r>
      <w:r w:rsidR="00B3015B" w:rsidRPr="00891718">
        <w:t>In assessing the role played by judges in election law cases, Ortiz identifies what he calls the “democratic paradox”</w:t>
      </w:r>
      <w:r w:rsidR="00B3015B" w:rsidRPr="00891718">
        <w:rPr>
          <w:rStyle w:val="FootnoteReference"/>
          <w:sz w:val="24"/>
        </w:rPr>
        <w:footnoteReference w:id="90"/>
      </w:r>
      <w:r w:rsidR="00B3015B" w:rsidRPr="00891718">
        <w:t xml:space="preserve"> and </w:t>
      </w:r>
      <w:proofErr w:type="spellStart"/>
      <w:r w:rsidR="00B3015B" w:rsidRPr="00891718">
        <w:t>Ringhand</w:t>
      </w:r>
      <w:proofErr w:type="spellEnd"/>
      <w:r w:rsidR="00B3015B" w:rsidRPr="00891718">
        <w:t xml:space="preserve"> </w:t>
      </w:r>
      <w:r w:rsidR="00AF63B6" w:rsidRPr="00891718">
        <w:t>a “</w:t>
      </w:r>
      <w:r w:rsidR="00B3015B" w:rsidRPr="00891718">
        <w:t>definitional dilemma</w:t>
      </w:r>
      <w:r w:rsidR="00AF63B6" w:rsidRPr="00891718">
        <w:t>”</w:t>
      </w:r>
      <w:r w:rsidR="00AF63B6" w:rsidRPr="00891718">
        <w:rPr>
          <w:rStyle w:val="FootnoteReference"/>
          <w:sz w:val="24"/>
        </w:rPr>
        <w:footnoteReference w:id="91"/>
      </w:r>
      <w:r w:rsidR="00AF63B6" w:rsidRPr="00891718">
        <w:t>.</w:t>
      </w:r>
      <w:r w:rsidR="00641655" w:rsidRPr="00891718">
        <w:t xml:space="preserve"> </w:t>
      </w:r>
      <w:r w:rsidR="00475C9C" w:rsidRPr="00891718">
        <w:t>As wi</w:t>
      </w:r>
      <w:r w:rsidR="009B28D1" w:rsidRPr="00891718">
        <w:t>ll become clear, not every Justice</w:t>
      </w:r>
      <w:r w:rsidR="00475C9C" w:rsidRPr="00891718">
        <w:t xml:space="preserve"> would be trapped by the </w:t>
      </w:r>
      <w:r w:rsidR="009B28D1" w:rsidRPr="00891718">
        <w:t xml:space="preserve">paradox, yet every Justice </w:t>
      </w:r>
      <w:r w:rsidR="000E65D5" w:rsidRPr="00891718">
        <w:t>would appear</w:t>
      </w:r>
      <w:r w:rsidR="009B28D1" w:rsidRPr="00891718">
        <w:t xml:space="preserve"> to be</w:t>
      </w:r>
      <w:r w:rsidR="00475C9C" w:rsidRPr="00891718">
        <w:t xml:space="preserve"> caught in the definitional dilemma.</w:t>
      </w:r>
      <w:r w:rsidR="00641655" w:rsidRPr="00891718">
        <w:t xml:space="preserve"> </w:t>
      </w:r>
    </w:p>
    <w:p w14:paraId="13142DD7" w14:textId="77777777" w:rsidR="00891718" w:rsidRPr="00891718" w:rsidRDefault="00891718" w:rsidP="00891718">
      <w:pPr>
        <w:jc w:val="both"/>
      </w:pPr>
    </w:p>
    <w:p w14:paraId="48DA6BF1" w14:textId="0045925B" w:rsidR="00475C9C" w:rsidRPr="00891718" w:rsidRDefault="007B4CE5" w:rsidP="002A2DF9">
      <w:pPr>
        <w:pStyle w:val="ListParagraph"/>
        <w:numPr>
          <w:ilvl w:val="0"/>
          <w:numId w:val="4"/>
        </w:numPr>
        <w:spacing w:line="480" w:lineRule="auto"/>
        <w:ind w:left="0" w:firstLine="0"/>
        <w:jc w:val="center"/>
        <w:rPr>
          <w:rFonts w:ascii="Times New Roman" w:hAnsi="Times New Roman" w:cs="Times New Roman"/>
          <w:b/>
          <w:smallCaps/>
        </w:rPr>
      </w:pPr>
      <w:r w:rsidRPr="00891718">
        <w:rPr>
          <w:rFonts w:ascii="Times New Roman" w:hAnsi="Times New Roman" w:cs="Times New Roman"/>
          <w:b/>
          <w:smallCaps/>
        </w:rPr>
        <w:t>Paradox</w:t>
      </w:r>
    </w:p>
    <w:p w14:paraId="7E6BC5C1" w14:textId="623D60E1" w:rsidR="009B28D1" w:rsidRDefault="00AF63B6" w:rsidP="00891718">
      <w:pPr>
        <w:jc w:val="both"/>
      </w:pPr>
      <w:r w:rsidRPr="00891718">
        <w:t xml:space="preserve">Ortiz argues that </w:t>
      </w:r>
      <w:r w:rsidR="004E5C54" w:rsidRPr="00891718">
        <w:t>campaign finance regulation –</w:t>
      </w:r>
      <w:r w:rsidR="007B2186" w:rsidRPr="00891718">
        <w:t xml:space="preserve"> of whatever hue, and premised upo</w:t>
      </w:r>
      <w:r w:rsidR="004E5C54" w:rsidRPr="00891718">
        <w:t>n whatever basis – should be functionally redundant</w:t>
      </w:r>
      <w:r w:rsidR="000E65D5" w:rsidRPr="00891718">
        <w:t>. A</w:t>
      </w:r>
      <w:r w:rsidRPr="00891718">
        <w:t xml:space="preserve"> central normative a</w:t>
      </w:r>
      <w:r w:rsidR="0030758F" w:rsidRPr="00891718">
        <w:t xml:space="preserve">ssumption of democracy is that </w:t>
      </w:r>
      <w:r w:rsidR="009B28D1" w:rsidRPr="00891718">
        <w:t xml:space="preserve">voters are civically </w:t>
      </w:r>
      <w:r w:rsidR="000E65D5" w:rsidRPr="00891718">
        <w:t>competent</w:t>
      </w:r>
      <w:r w:rsidR="009B5AA0" w:rsidRPr="00891718">
        <w:t xml:space="preserve">; </w:t>
      </w:r>
      <w:r w:rsidR="004E5C54" w:rsidRPr="00891718">
        <w:t xml:space="preserve">a central normative assumption of </w:t>
      </w:r>
      <w:r w:rsidR="009B28D1" w:rsidRPr="00891718">
        <w:t xml:space="preserve">campaign finance regulation </w:t>
      </w:r>
      <w:r w:rsidR="004E5C54" w:rsidRPr="00891718">
        <w:t xml:space="preserve">is </w:t>
      </w:r>
      <w:r w:rsidR="009B28D1" w:rsidRPr="00891718">
        <w:t>that voters are not civically competent</w:t>
      </w:r>
      <w:r w:rsidR="004E5C54" w:rsidRPr="00891718">
        <w:t>:</w:t>
      </w:r>
    </w:p>
    <w:p w14:paraId="67BA868E" w14:textId="77777777" w:rsidR="00891718" w:rsidRPr="00891718" w:rsidRDefault="00891718" w:rsidP="00891718"/>
    <w:tbl>
      <w:tblPr>
        <w:tblW w:w="0" w:type="auto"/>
        <w:jc w:val="center"/>
        <w:tblLayout w:type="fixed"/>
        <w:tblLook w:val="0000" w:firstRow="0" w:lastRow="0" w:firstColumn="0" w:lastColumn="0" w:noHBand="0" w:noVBand="0"/>
      </w:tblPr>
      <w:tblGrid>
        <w:gridCol w:w="7380"/>
      </w:tblGrid>
      <w:tr w:rsidR="009B28D1" w:rsidRPr="00891718" w14:paraId="7D53E1A9" w14:textId="77777777" w:rsidTr="00215BBD">
        <w:trPr>
          <w:jc w:val="center"/>
        </w:trPr>
        <w:tc>
          <w:tcPr>
            <w:tcW w:w="7380" w:type="dxa"/>
          </w:tcPr>
          <w:p w14:paraId="078E68B7" w14:textId="47473711" w:rsidR="00917DD1" w:rsidRPr="00891718" w:rsidRDefault="009B28D1" w:rsidP="00891718">
            <w:pPr>
              <w:jc w:val="both"/>
            </w:pPr>
            <w:r w:rsidRPr="00891718">
              <w:t xml:space="preserve">To the extent Americans are </w:t>
            </w:r>
            <w:r w:rsidR="004E5C54" w:rsidRPr="00891718">
              <w:t xml:space="preserve">… </w:t>
            </w:r>
            <w:r w:rsidRPr="00891718">
              <w:t>engaged, informed voters who carefully reason through political ar</w:t>
            </w:r>
            <w:r w:rsidR="004E5C54" w:rsidRPr="00891718">
              <w:t xml:space="preserve">guments, </w:t>
            </w:r>
            <w:r w:rsidRPr="00891718">
              <w:t xml:space="preserve">we hardly need the kind of protection that campaign finance regulation affords us. Even if one side of a political race dramatically outspends the other, voters can be relied on to sort through the merits and ultimately decide on the right candidate or policy. </w:t>
            </w:r>
            <w:r w:rsidR="004E5C54" w:rsidRPr="00891718">
              <w:t>… [T]</w:t>
            </w:r>
            <w:r w:rsidRPr="00891718">
              <w:t>he equality-protecting and other rationales underpinning most forms of campaign finance regulation are premised on doubts about voters</w:t>
            </w:r>
            <w:r w:rsidR="00322AD0" w:rsidRPr="00891718">
              <w:t>’</w:t>
            </w:r>
            <w:r w:rsidRPr="00891718">
              <w:t xml:space="preserve"> civic capabilities. This is the democratic paradox of campaign finance reform.</w:t>
            </w:r>
            <w:r w:rsidRPr="00891718">
              <w:rPr>
                <w:rStyle w:val="FootnoteReference"/>
                <w:sz w:val="24"/>
              </w:rPr>
              <w:footnoteReference w:id="92"/>
            </w:r>
          </w:p>
        </w:tc>
      </w:tr>
    </w:tbl>
    <w:p w14:paraId="77853F05" w14:textId="77777777" w:rsidR="00891718" w:rsidRDefault="00891718" w:rsidP="00891718"/>
    <w:p w14:paraId="58A5CE92" w14:textId="3EAC6AAD" w:rsidR="0013337E" w:rsidRPr="00891718" w:rsidRDefault="00082F00" w:rsidP="00891718">
      <w:pPr>
        <w:jc w:val="both"/>
        <w:rPr>
          <w:rFonts w:eastAsia="Times New Roman"/>
        </w:rPr>
      </w:pPr>
      <w:r w:rsidRPr="00891718">
        <w:t>Of course, where a democracy appears not to be functioning correctly, or the people seem to be making the ‘wrong’ choices, legislative correction</w:t>
      </w:r>
      <w:r w:rsidR="000E65D5" w:rsidRPr="00891718">
        <w:t xml:space="preserve"> might be attempted</w:t>
      </w:r>
      <w:r w:rsidR="007B2186" w:rsidRPr="00891718">
        <w:t>,</w:t>
      </w:r>
      <w:r w:rsidR="000E65D5" w:rsidRPr="00891718">
        <w:t xml:space="preserve"> which may</w:t>
      </w:r>
      <w:r w:rsidR="0013337E" w:rsidRPr="00891718">
        <w:t xml:space="preserve">, in turn, </w:t>
      </w:r>
      <w:r w:rsidR="007B2186" w:rsidRPr="00891718">
        <w:t>requir</w:t>
      </w:r>
      <w:r w:rsidRPr="00891718">
        <w:t xml:space="preserve">e consideration </w:t>
      </w:r>
      <w:r w:rsidR="007B2186" w:rsidRPr="00891718">
        <w:t xml:space="preserve">by </w:t>
      </w:r>
      <w:r w:rsidRPr="00891718">
        <w:t xml:space="preserve">or </w:t>
      </w:r>
      <w:r w:rsidR="007B2186" w:rsidRPr="00891718">
        <w:t>intervention from</w:t>
      </w:r>
      <w:r w:rsidR="0013337E" w:rsidRPr="00891718">
        <w:t xml:space="preserve"> the Supreme Court which, a</w:t>
      </w:r>
      <w:r w:rsidR="00F81DC6" w:rsidRPr="00891718">
        <w:t xml:space="preserve">ccording to Ortiz, </w:t>
      </w:r>
      <w:r w:rsidR="00F81DC6" w:rsidRPr="00891718">
        <w:rPr>
          <w:rFonts w:eastAsia="Times New Roman"/>
        </w:rPr>
        <w:t>“manipulates its assumptions about individual political behavior in a way that should trouble us”.</w:t>
      </w:r>
      <w:bookmarkStart w:id="4" w:name="_Ref469412248"/>
      <w:r w:rsidR="00F81DC6" w:rsidRPr="00891718">
        <w:rPr>
          <w:rStyle w:val="FootnoteReference"/>
          <w:rFonts w:eastAsia="Times New Roman"/>
          <w:sz w:val="24"/>
        </w:rPr>
        <w:footnoteReference w:id="93"/>
      </w:r>
      <w:bookmarkEnd w:id="4"/>
      <w:r w:rsidR="00641655" w:rsidRPr="00891718">
        <w:rPr>
          <w:rFonts w:eastAsia="Times New Roman"/>
        </w:rPr>
        <w:t xml:space="preserve"> </w:t>
      </w:r>
      <w:r w:rsidR="00F9262C" w:rsidRPr="00891718">
        <w:rPr>
          <w:rFonts w:eastAsia="Times New Roman"/>
        </w:rPr>
        <w:t xml:space="preserve"> </w:t>
      </w:r>
    </w:p>
    <w:p w14:paraId="550E6981" w14:textId="2A67BA65" w:rsidR="00F9262C" w:rsidRPr="00891718" w:rsidRDefault="00082F00" w:rsidP="00891718">
      <w:pPr>
        <w:ind w:firstLine="284"/>
        <w:jc w:val="both"/>
        <w:rPr>
          <w:rFonts w:eastAsia="Times New Roman"/>
        </w:rPr>
      </w:pPr>
      <w:r w:rsidRPr="00891718">
        <w:t>Ortiz identifies two distinctive approaches taken to voters</w:t>
      </w:r>
      <w:r w:rsidR="00F9262C" w:rsidRPr="00891718">
        <w:t>’</w:t>
      </w:r>
      <w:r w:rsidRPr="00891718">
        <w:t xml:space="preserve"> civic competence by the Supreme Court.</w:t>
      </w:r>
      <w:r w:rsidR="00641655" w:rsidRPr="00891718">
        <w:t xml:space="preserve"> </w:t>
      </w:r>
      <w:r w:rsidRPr="00891718">
        <w:t xml:space="preserve">One approach conceives of the </w:t>
      </w:r>
      <w:r w:rsidR="00F9262C" w:rsidRPr="00891718">
        <w:t xml:space="preserve">voter </w:t>
      </w:r>
      <w:r w:rsidRPr="00891718">
        <w:t>as a “civic smarty” and the other as a “civic slob”.</w:t>
      </w:r>
      <w:r w:rsidRPr="00891718">
        <w:rPr>
          <w:rStyle w:val="FootnoteReference"/>
          <w:sz w:val="24"/>
        </w:rPr>
        <w:footnoteReference w:id="94"/>
      </w:r>
      <w:r w:rsidR="00641655" w:rsidRPr="00891718">
        <w:t xml:space="preserve"> </w:t>
      </w:r>
      <w:r w:rsidR="00F9262C" w:rsidRPr="00891718">
        <w:t>A ‘civic smarty’ is engaged</w:t>
      </w:r>
      <w:r w:rsidR="000E65D5" w:rsidRPr="00891718">
        <w:t xml:space="preserve"> in</w:t>
      </w:r>
      <w:r w:rsidR="00F9262C" w:rsidRPr="00891718">
        <w:t xml:space="preserve"> active, well-informed deliberation.</w:t>
      </w:r>
      <w:r w:rsidR="00641655" w:rsidRPr="00891718">
        <w:t xml:space="preserve"> </w:t>
      </w:r>
      <w:r w:rsidR="00F9262C" w:rsidRPr="00891718">
        <w:t>By contrast the ‘civic slob’ is passive</w:t>
      </w:r>
      <w:r w:rsidR="003E319A" w:rsidRPr="00891718">
        <w:t>,</w:t>
      </w:r>
      <w:r w:rsidR="00F9262C" w:rsidRPr="00891718">
        <w:t xml:space="preserve"> and ill-informed as a result.</w:t>
      </w:r>
      <w:r w:rsidR="00641655" w:rsidRPr="00891718">
        <w:t xml:space="preserve"> </w:t>
      </w:r>
      <w:r w:rsidR="00F9262C" w:rsidRPr="00891718">
        <w:t xml:space="preserve">If a Justice conceives of voters as </w:t>
      </w:r>
      <w:r w:rsidR="005F1D2C" w:rsidRPr="00891718">
        <w:t>civic slobs</w:t>
      </w:r>
      <w:r w:rsidR="00F9262C" w:rsidRPr="00891718">
        <w:t xml:space="preserve"> </w:t>
      </w:r>
      <w:r w:rsidR="005F1D2C" w:rsidRPr="00891718">
        <w:t xml:space="preserve">– even if that conception is unarticulated </w:t>
      </w:r>
      <w:r w:rsidR="00322AD0" w:rsidRPr="00891718">
        <w:t>–</w:t>
      </w:r>
      <w:r w:rsidR="005F1D2C" w:rsidRPr="00891718">
        <w:t xml:space="preserve"> </w:t>
      </w:r>
      <w:r w:rsidR="00F9262C" w:rsidRPr="00891718">
        <w:t>that will almost inevitably dispose that Justice towards campaign finance regulation</w:t>
      </w:r>
      <w:r w:rsidR="005F1D2C" w:rsidRPr="00891718">
        <w:t xml:space="preserve"> as a means of </w:t>
      </w:r>
      <w:r w:rsidR="00E46AA9" w:rsidRPr="00891718">
        <w:t xml:space="preserve">better </w:t>
      </w:r>
      <w:r w:rsidR="005F1D2C" w:rsidRPr="00891718">
        <w:t xml:space="preserve">ensuring </w:t>
      </w:r>
      <w:r w:rsidR="000E65D5" w:rsidRPr="00891718">
        <w:t>a well-functioning deliberative democracy</w:t>
      </w:r>
      <w:r w:rsidR="00F9262C" w:rsidRPr="00891718">
        <w:t>.</w:t>
      </w:r>
      <w:r w:rsidR="00641655" w:rsidRPr="00891718">
        <w:t xml:space="preserve"> </w:t>
      </w:r>
      <w:r w:rsidR="001627E1" w:rsidRPr="00891718">
        <w:t>It then becomes impossible for that Justice to see voters as anything but civic slobs since their rehabilitation</w:t>
      </w:r>
      <w:r w:rsidR="000E65D5" w:rsidRPr="00891718">
        <w:t xml:space="preserve"> to civic smarties</w:t>
      </w:r>
      <w:r w:rsidR="001627E1" w:rsidRPr="00891718">
        <w:t xml:space="preserve"> would remove the </w:t>
      </w:r>
      <w:r w:rsidR="001627E1" w:rsidRPr="00891718">
        <w:rPr>
          <w:i/>
        </w:rPr>
        <w:t xml:space="preserve">raison </w:t>
      </w:r>
      <w:proofErr w:type="spellStart"/>
      <w:r w:rsidR="001627E1" w:rsidRPr="00891718">
        <w:rPr>
          <w:i/>
        </w:rPr>
        <w:t>d’etre</w:t>
      </w:r>
      <w:proofErr w:type="spellEnd"/>
      <w:r w:rsidR="001627E1" w:rsidRPr="00891718">
        <w:t xml:space="preserve"> for th</w:t>
      </w:r>
      <w:r w:rsidR="005F1D2C" w:rsidRPr="00891718">
        <w:t xml:space="preserve">e regulation and, by extension, the </w:t>
      </w:r>
      <w:r w:rsidR="001627E1" w:rsidRPr="00891718">
        <w:t>precedent</w:t>
      </w:r>
      <w:r w:rsidR="005F1D2C" w:rsidRPr="00891718">
        <w:t>ial framework and what it supports</w:t>
      </w:r>
      <w:r w:rsidR="001627E1" w:rsidRPr="00891718">
        <w:t>.</w:t>
      </w:r>
      <w:r w:rsidR="00641655" w:rsidRPr="00891718">
        <w:t xml:space="preserve"> </w:t>
      </w:r>
      <w:r w:rsidR="00F9262C" w:rsidRPr="00891718">
        <w:t>By contrast, Justices who envisage voters</w:t>
      </w:r>
      <w:r w:rsidR="000E65D5" w:rsidRPr="00891718">
        <w:t xml:space="preserve"> as civic smarties</w:t>
      </w:r>
      <w:r w:rsidR="005F1D2C" w:rsidRPr="00891718">
        <w:t xml:space="preserve"> will bear no pre-disposition to regulation, trusting in the system and its users to </w:t>
      </w:r>
      <w:r w:rsidR="000E65D5" w:rsidRPr="00891718">
        <w:t xml:space="preserve">deliberate and </w:t>
      </w:r>
      <w:r w:rsidR="005F1D2C" w:rsidRPr="00891718">
        <w:t>register preferences</w:t>
      </w:r>
      <w:r w:rsidR="000E65D5" w:rsidRPr="00891718">
        <w:t xml:space="preserve"> as required</w:t>
      </w:r>
      <w:r w:rsidR="005F1D2C" w:rsidRPr="00891718">
        <w:t>.</w:t>
      </w:r>
      <w:r w:rsidR="00641655" w:rsidRPr="00891718">
        <w:t xml:space="preserve"> </w:t>
      </w:r>
      <w:r w:rsidR="005F1D2C" w:rsidRPr="00891718">
        <w:t>For Ortiz</w:t>
      </w:r>
      <w:r w:rsidR="00641655" w:rsidRPr="00891718">
        <w:t xml:space="preserve"> </w:t>
      </w:r>
      <w:r w:rsidR="005F1D2C" w:rsidRPr="00891718">
        <w:t>“</w:t>
      </w:r>
      <w:r w:rsidR="002726DF" w:rsidRPr="00891718">
        <w:t>[d]</w:t>
      </w:r>
      <w:proofErr w:type="spellStart"/>
      <w:r w:rsidR="00F9262C" w:rsidRPr="00891718">
        <w:rPr>
          <w:rFonts w:eastAsia="Times New Roman"/>
        </w:rPr>
        <w:t>eregulationists</w:t>
      </w:r>
      <w:proofErr w:type="spellEnd"/>
      <w:r w:rsidR="00F9262C" w:rsidRPr="00891718">
        <w:rPr>
          <w:rFonts w:eastAsia="Times New Roman"/>
        </w:rPr>
        <w:t xml:space="preserve"> have had the better of the debate</w:t>
      </w:r>
      <w:r w:rsidR="003E033D" w:rsidRPr="00891718">
        <w:rPr>
          <w:rFonts w:eastAsia="Times New Roman"/>
        </w:rPr>
        <w:t xml:space="preserve"> because</w:t>
      </w:r>
      <w:r w:rsidR="00641655" w:rsidRPr="00891718">
        <w:rPr>
          <w:rFonts w:eastAsia="Times New Roman"/>
        </w:rPr>
        <w:t xml:space="preserve"> </w:t>
      </w:r>
      <w:r w:rsidR="003E033D" w:rsidRPr="00891718">
        <w:rPr>
          <w:rFonts w:eastAsia="Times New Roman"/>
        </w:rPr>
        <w:t xml:space="preserve">… </w:t>
      </w:r>
      <w:r w:rsidR="00F9262C" w:rsidRPr="00891718">
        <w:rPr>
          <w:rFonts w:eastAsia="Times New Roman"/>
        </w:rPr>
        <w:t xml:space="preserve">champions of campaign finance regulation can never argue their case successfully. To make their argument work, the </w:t>
      </w:r>
      <w:proofErr w:type="spellStart"/>
      <w:r w:rsidR="00F9262C" w:rsidRPr="00891718">
        <w:rPr>
          <w:rFonts w:eastAsia="Times New Roman"/>
        </w:rPr>
        <w:t>regulationists</w:t>
      </w:r>
      <w:proofErr w:type="spellEnd"/>
      <w:r w:rsidR="00F9262C" w:rsidRPr="00891718">
        <w:rPr>
          <w:rFonts w:eastAsia="Times New Roman"/>
        </w:rPr>
        <w:t xml:space="preserve"> must recognize what they have been reluctant to admit: that we are at least partly civic slobs.</w:t>
      </w:r>
      <w:r w:rsidR="00723DDA" w:rsidRPr="00891718">
        <w:rPr>
          <w:rFonts w:eastAsia="Times New Roman"/>
        </w:rPr>
        <w:t>”</w:t>
      </w:r>
      <w:r w:rsidR="00F9262C" w:rsidRPr="00891718">
        <w:rPr>
          <w:rStyle w:val="FootnoteReference"/>
          <w:rFonts w:eastAsia="Times New Roman"/>
          <w:sz w:val="24"/>
        </w:rPr>
        <w:footnoteReference w:id="95"/>
      </w:r>
      <w:r w:rsidR="00F9262C" w:rsidRPr="00891718">
        <w:rPr>
          <w:rFonts w:eastAsia="Times New Roman"/>
        </w:rPr>
        <w:t xml:space="preserve"> </w:t>
      </w:r>
    </w:p>
    <w:p w14:paraId="75888F4C" w14:textId="77777777" w:rsidR="00891718" w:rsidRDefault="00006EAD" w:rsidP="00891718">
      <w:pPr>
        <w:ind w:firstLine="284"/>
        <w:jc w:val="both"/>
      </w:pPr>
      <w:r w:rsidRPr="00891718">
        <w:t>As indicated previously</w:t>
      </w:r>
      <w:r w:rsidR="00917DD1" w:rsidRPr="00891718">
        <w:t xml:space="preserve">, Justice Scalia’s approach to adjudicating campaign finance exhibited a healthy regard for the abilities of citizens to make informed choices without government interference in fundamental political rights in order for them to do so. As is also apparent, </w:t>
      </w:r>
      <w:r w:rsidR="004E5C54" w:rsidRPr="00891718">
        <w:t xml:space="preserve">Justice </w:t>
      </w:r>
      <w:r w:rsidR="00F4275B" w:rsidRPr="00891718">
        <w:t>Scalia</w:t>
      </w:r>
      <w:r w:rsidR="005C3835" w:rsidRPr="00891718">
        <w:t xml:space="preserve"> favor</w:t>
      </w:r>
      <w:r w:rsidR="00CD380E" w:rsidRPr="00891718">
        <w:t>ed no</w:t>
      </w:r>
      <w:r w:rsidR="005C3835" w:rsidRPr="00891718">
        <w:t xml:space="preserve"> more than </w:t>
      </w:r>
      <w:r w:rsidR="00917DD1" w:rsidRPr="00891718">
        <w:t xml:space="preserve">minimum regulation </w:t>
      </w:r>
      <w:r w:rsidR="00CD380E" w:rsidRPr="00891718">
        <w:t>in the campaign finance sphere since that was least intrusive of important democratic rights.</w:t>
      </w:r>
      <w:r w:rsidR="00641655" w:rsidRPr="00891718">
        <w:t xml:space="preserve"> </w:t>
      </w:r>
      <w:r w:rsidR="005C3835" w:rsidRPr="00891718">
        <w:t xml:space="preserve">On the face of it, therefore, </w:t>
      </w:r>
      <w:r w:rsidR="0013337E" w:rsidRPr="00891718">
        <w:t xml:space="preserve">Justice </w:t>
      </w:r>
      <w:r w:rsidR="005C3835" w:rsidRPr="00891718">
        <w:t>Scalia</w:t>
      </w:r>
      <w:r w:rsidR="00AE61E0" w:rsidRPr="00891718">
        <w:t xml:space="preserve">’s </w:t>
      </w:r>
      <w:r w:rsidR="004C1F2E" w:rsidRPr="00891718">
        <w:t>night</w:t>
      </w:r>
      <w:r w:rsidR="00BD3139" w:rsidRPr="00891718">
        <w:t>-</w:t>
      </w:r>
      <w:r w:rsidR="004C1F2E" w:rsidRPr="00891718">
        <w:t xml:space="preserve">watchman approach to </w:t>
      </w:r>
      <w:r w:rsidR="00AE61E0" w:rsidRPr="00891718">
        <w:t>campaign finance</w:t>
      </w:r>
      <w:r w:rsidR="00BD3139" w:rsidRPr="00891718">
        <w:t xml:space="preserve"> regulation, combined with his </w:t>
      </w:r>
      <w:r w:rsidR="00705B77" w:rsidRPr="00891718">
        <w:t>faith in the people</w:t>
      </w:r>
      <w:r w:rsidR="00BD3139" w:rsidRPr="00891718">
        <w:t xml:space="preserve"> as civic smarties inclined</w:t>
      </w:r>
      <w:r w:rsidR="00705B77" w:rsidRPr="00891718">
        <w:t xml:space="preserve"> to make the right choices</w:t>
      </w:r>
      <w:r w:rsidR="00BD3139" w:rsidRPr="00891718">
        <w:t>,</w:t>
      </w:r>
      <w:r w:rsidR="00705B77" w:rsidRPr="00891718">
        <w:t xml:space="preserve"> </w:t>
      </w:r>
      <w:r w:rsidR="00BD3139" w:rsidRPr="00891718">
        <w:t>mean</w:t>
      </w:r>
      <w:r w:rsidR="00D06A5C" w:rsidRPr="00891718">
        <w:t>t</w:t>
      </w:r>
      <w:r w:rsidR="00705B77" w:rsidRPr="00891718">
        <w:t xml:space="preserve"> that he </w:t>
      </w:r>
      <w:r w:rsidR="0013337E" w:rsidRPr="00891718">
        <w:t>wa</w:t>
      </w:r>
      <w:r w:rsidR="00AE61E0" w:rsidRPr="00891718">
        <w:t>s not trapped by the paradox.</w:t>
      </w:r>
      <w:r w:rsidR="00CD380E" w:rsidRPr="00891718">
        <w:t xml:space="preserve"> </w:t>
      </w:r>
      <w:r w:rsidR="007B4CE5" w:rsidRPr="00891718">
        <w:t xml:space="preserve">He might, however, </w:t>
      </w:r>
      <w:r w:rsidR="00D06A5C" w:rsidRPr="00891718">
        <w:t xml:space="preserve">have </w:t>
      </w:r>
      <w:r w:rsidR="00CD380E" w:rsidRPr="00891718">
        <w:t>fall</w:t>
      </w:r>
      <w:r w:rsidR="00D06A5C" w:rsidRPr="00891718">
        <w:t>en</w:t>
      </w:r>
      <w:r w:rsidR="00CD380E" w:rsidRPr="00891718">
        <w:t xml:space="preserve"> victim to </w:t>
      </w:r>
      <w:r w:rsidR="007B4CE5" w:rsidRPr="00891718">
        <w:t>the</w:t>
      </w:r>
      <w:r w:rsidR="00AF63B6" w:rsidRPr="00891718">
        <w:t xml:space="preserve"> definitional dilemma</w:t>
      </w:r>
      <w:r w:rsidR="00705B77" w:rsidRPr="00891718">
        <w:t>.</w:t>
      </w:r>
      <w:r w:rsidR="00641655" w:rsidRPr="00891718">
        <w:t xml:space="preserve"> </w:t>
      </w:r>
      <w:r w:rsidRPr="00891718">
        <w:t>This is neither unexpected n</w:t>
      </w:r>
      <w:r w:rsidR="007B4CE5" w:rsidRPr="00891718">
        <w:t xml:space="preserve">or unusual </w:t>
      </w:r>
      <w:r w:rsidRPr="00891718">
        <w:t xml:space="preserve">since, by </w:t>
      </w:r>
      <w:proofErr w:type="spellStart"/>
      <w:r w:rsidRPr="00891718">
        <w:t>Ringhand’s</w:t>
      </w:r>
      <w:proofErr w:type="spellEnd"/>
      <w:r w:rsidRPr="00891718">
        <w:t xml:space="preserve"> yardstick, </w:t>
      </w:r>
      <w:r w:rsidR="007B4CE5" w:rsidRPr="00891718">
        <w:t xml:space="preserve">seemingly </w:t>
      </w:r>
      <w:r w:rsidRPr="00891718">
        <w:t>any Justice holding a view about what makes democracy</w:t>
      </w:r>
      <w:r w:rsidR="007B4CE5" w:rsidRPr="00891718">
        <w:t>, and adjudicating accordingly,</w:t>
      </w:r>
      <w:r w:rsidRPr="00891718">
        <w:t xml:space="preserve"> would be so placed.</w:t>
      </w:r>
      <w:r w:rsidR="00641655" w:rsidRPr="00891718">
        <w:t xml:space="preserve"> </w:t>
      </w:r>
      <w:r w:rsidR="005315B9" w:rsidRPr="00891718">
        <w:rPr>
          <w:rFonts w:eastAsia="Times New Roman"/>
        </w:rPr>
        <w:t xml:space="preserve">In what follows, it will be argued that, given </w:t>
      </w:r>
      <w:r w:rsidR="005315B9" w:rsidRPr="00891718">
        <w:t xml:space="preserve">Justice Scalia’s concerns about legislators’ self-interest, his expansive reading of free speech and his approach to constitutional interpretation, </w:t>
      </w:r>
      <w:r w:rsidR="009B5AA0" w:rsidRPr="00891718">
        <w:t xml:space="preserve">while </w:t>
      </w:r>
      <w:r w:rsidR="005315B9" w:rsidRPr="00891718">
        <w:t xml:space="preserve">he would escape Ortiz’s democratic paradox through placing trust in voters’ civic competence, he would </w:t>
      </w:r>
      <w:r w:rsidR="00951955" w:rsidRPr="00891718">
        <w:t xml:space="preserve">easily </w:t>
      </w:r>
      <w:r w:rsidR="005315B9" w:rsidRPr="00891718">
        <w:t xml:space="preserve">be caught by </w:t>
      </w:r>
      <w:proofErr w:type="spellStart"/>
      <w:r w:rsidR="005315B9" w:rsidRPr="00891718">
        <w:t>Ringhand’s</w:t>
      </w:r>
      <w:proofErr w:type="spellEnd"/>
      <w:r w:rsidR="005315B9" w:rsidRPr="00891718">
        <w:t xml:space="preserve"> definitional dilemma.</w:t>
      </w:r>
    </w:p>
    <w:p w14:paraId="7E3A40CD" w14:textId="702278FE" w:rsidR="005315B9" w:rsidRPr="00891718" w:rsidRDefault="00641655" w:rsidP="00891718">
      <w:pPr>
        <w:ind w:firstLine="284"/>
        <w:jc w:val="both"/>
      </w:pPr>
      <w:r w:rsidRPr="00891718">
        <w:t xml:space="preserve"> </w:t>
      </w:r>
    </w:p>
    <w:p w14:paraId="1BD501AB" w14:textId="37B22594" w:rsidR="00F4275B" w:rsidRPr="00891718" w:rsidRDefault="007B4CE5" w:rsidP="002A2DF9">
      <w:pPr>
        <w:pStyle w:val="ListParagraph"/>
        <w:numPr>
          <w:ilvl w:val="0"/>
          <w:numId w:val="4"/>
        </w:numPr>
        <w:spacing w:line="480" w:lineRule="auto"/>
        <w:ind w:left="0" w:firstLine="0"/>
        <w:jc w:val="center"/>
        <w:rPr>
          <w:rFonts w:ascii="Times New Roman" w:hAnsi="Times New Roman" w:cs="Times New Roman"/>
          <w:smallCaps/>
        </w:rPr>
      </w:pPr>
      <w:r w:rsidRPr="00891718">
        <w:rPr>
          <w:rFonts w:ascii="Times New Roman" w:hAnsi="Times New Roman" w:cs="Times New Roman"/>
          <w:b/>
          <w:smallCaps/>
        </w:rPr>
        <w:t>Dilemma</w:t>
      </w:r>
    </w:p>
    <w:p w14:paraId="55ADC713" w14:textId="77777777" w:rsidR="003E033D" w:rsidRPr="00891718" w:rsidRDefault="00120ACA" w:rsidP="00891718">
      <w:pPr>
        <w:pStyle w:val="BodyText"/>
        <w:rPr>
          <w:szCs w:val="24"/>
          <w:lang w:eastAsia="en-GB"/>
        </w:rPr>
      </w:pPr>
      <w:r w:rsidRPr="00891718">
        <w:rPr>
          <w:szCs w:val="24"/>
        </w:rPr>
        <w:t xml:space="preserve">If, on any reasonable understanding of democracy, campaign finance regulation contributes </w:t>
      </w:r>
      <w:r w:rsidR="007720D7" w:rsidRPr="00891718">
        <w:rPr>
          <w:szCs w:val="24"/>
        </w:rPr>
        <w:t xml:space="preserve">to </w:t>
      </w:r>
      <w:r w:rsidRPr="00891718">
        <w:rPr>
          <w:szCs w:val="24"/>
        </w:rPr>
        <w:t xml:space="preserve">producing </w:t>
      </w:r>
      <w:r w:rsidR="00D06A5C" w:rsidRPr="00891718">
        <w:rPr>
          <w:szCs w:val="24"/>
        </w:rPr>
        <w:t xml:space="preserve">democratic </w:t>
      </w:r>
      <w:r w:rsidRPr="00891718">
        <w:rPr>
          <w:szCs w:val="24"/>
        </w:rPr>
        <w:t xml:space="preserve">institutions that are essentially undemocratic, </w:t>
      </w:r>
      <w:r w:rsidR="007720D7" w:rsidRPr="00891718">
        <w:rPr>
          <w:szCs w:val="24"/>
        </w:rPr>
        <w:t xml:space="preserve">it may be </w:t>
      </w:r>
      <w:r w:rsidR="00D06A5C" w:rsidRPr="00891718">
        <w:rPr>
          <w:szCs w:val="24"/>
        </w:rPr>
        <w:t xml:space="preserve">thought reasonable </w:t>
      </w:r>
      <w:r w:rsidR="007720D7" w:rsidRPr="00891718">
        <w:rPr>
          <w:szCs w:val="24"/>
        </w:rPr>
        <w:t xml:space="preserve">that </w:t>
      </w:r>
      <w:r w:rsidRPr="00891718">
        <w:rPr>
          <w:szCs w:val="24"/>
        </w:rPr>
        <w:t xml:space="preserve">judges </w:t>
      </w:r>
      <w:r w:rsidR="00E1291A" w:rsidRPr="00891718">
        <w:rPr>
          <w:szCs w:val="24"/>
        </w:rPr>
        <w:t xml:space="preserve">should </w:t>
      </w:r>
      <w:r w:rsidRPr="00891718">
        <w:rPr>
          <w:szCs w:val="24"/>
        </w:rPr>
        <w:t>intervene to remedy that defect.</w:t>
      </w:r>
      <w:r w:rsidR="00641655" w:rsidRPr="00891718">
        <w:rPr>
          <w:szCs w:val="24"/>
        </w:rPr>
        <w:t xml:space="preserve"> </w:t>
      </w:r>
      <w:r w:rsidRPr="00891718">
        <w:rPr>
          <w:szCs w:val="24"/>
        </w:rPr>
        <w:t>On this view, intervention is justifiable in the interests of democracy itself but may be problematic if judicial conceptions of d</w:t>
      </w:r>
      <w:r w:rsidR="007720D7" w:rsidRPr="00891718">
        <w:rPr>
          <w:szCs w:val="24"/>
        </w:rPr>
        <w:t>emocracy and the rights required to sustain it</w:t>
      </w:r>
      <w:r w:rsidRPr="00891718">
        <w:rPr>
          <w:szCs w:val="24"/>
        </w:rPr>
        <w:t xml:space="preserve"> are divergent.</w:t>
      </w:r>
      <w:r w:rsidR="00641655" w:rsidRPr="00891718">
        <w:rPr>
          <w:szCs w:val="24"/>
        </w:rPr>
        <w:t xml:space="preserve"> </w:t>
      </w:r>
      <w:r w:rsidR="000E65D5" w:rsidRPr="00891718">
        <w:rPr>
          <w:szCs w:val="24"/>
          <w:lang w:eastAsia="en-GB"/>
        </w:rPr>
        <w:t>A</w:t>
      </w:r>
      <w:r w:rsidR="00702FF5" w:rsidRPr="00891718">
        <w:rPr>
          <w:szCs w:val="24"/>
          <w:lang w:eastAsia="en-GB"/>
        </w:rPr>
        <w:t xml:space="preserve">djudicating </w:t>
      </w:r>
      <w:r w:rsidR="00AD7FF5" w:rsidRPr="00891718">
        <w:rPr>
          <w:szCs w:val="24"/>
          <w:lang w:eastAsia="en-GB"/>
        </w:rPr>
        <w:t xml:space="preserve">campaign finance </w:t>
      </w:r>
      <w:r w:rsidR="000B1AA3" w:rsidRPr="00891718">
        <w:rPr>
          <w:szCs w:val="24"/>
          <w:lang w:eastAsia="en-GB"/>
        </w:rPr>
        <w:t xml:space="preserve">places </w:t>
      </w:r>
      <w:r w:rsidR="00702FF5" w:rsidRPr="00891718">
        <w:rPr>
          <w:szCs w:val="24"/>
          <w:lang w:eastAsia="en-GB"/>
        </w:rPr>
        <w:t>the judiciary</w:t>
      </w:r>
      <w:r w:rsidR="000B1AA3" w:rsidRPr="00891718">
        <w:rPr>
          <w:szCs w:val="24"/>
          <w:lang w:eastAsia="en-GB"/>
        </w:rPr>
        <w:t xml:space="preserve"> in what</w:t>
      </w:r>
      <w:r w:rsidR="000E65D5" w:rsidRPr="00891718">
        <w:rPr>
          <w:szCs w:val="24"/>
          <w:lang w:eastAsia="en-GB"/>
        </w:rPr>
        <w:t xml:space="preserve"> </w:t>
      </w:r>
      <w:proofErr w:type="spellStart"/>
      <w:r w:rsidR="000E65D5" w:rsidRPr="00891718">
        <w:rPr>
          <w:szCs w:val="24"/>
          <w:lang w:eastAsia="en-GB"/>
        </w:rPr>
        <w:t>Ringhand</w:t>
      </w:r>
      <w:proofErr w:type="spellEnd"/>
      <w:r w:rsidR="000E65D5" w:rsidRPr="00891718">
        <w:rPr>
          <w:szCs w:val="24"/>
          <w:lang w:eastAsia="en-GB"/>
        </w:rPr>
        <w:t xml:space="preserve"> </w:t>
      </w:r>
      <w:r w:rsidR="00D06A5C" w:rsidRPr="00891718">
        <w:rPr>
          <w:szCs w:val="24"/>
          <w:lang w:eastAsia="en-GB"/>
        </w:rPr>
        <w:t xml:space="preserve">claims </w:t>
      </w:r>
      <w:r w:rsidR="00521F94" w:rsidRPr="00891718">
        <w:rPr>
          <w:szCs w:val="24"/>
          <w:lang w:eastAsia="en-GB"/>
        </w:rPr>
        <w:t xml:space="preserve">is an unacknowledged and overlooked </w:t>
      </w:r>
      <w:r w:rsidR="000B1AA3" w:rsidRPr="00891718">
        <w:rPr>
          <w:szCs w:val="24"/>
          <w:lang w:eastAsia="en-GB"/>
        </w:rPr>
        <w:t>“democracy defining dilemma”</w:t>
      </w:r>
      <w:r w:rsidR="000B1AA3" w:rsidRPr="00891718">
        <w:rPr>
          <w:rStyle w:val="FootnoteReference"/>
          <w:sz w:val="24"/>
          <w:szCs w:val="24"/>
          <w:lang w:eastAsia="en-GB"/>
        </w:rPr>
        <w:footnoteReference w:id="96"/>
      </w:r>
      <w:r w:rsidR="000B1AA3" w:rsidRPr="00891718">
        <w:rPr>
          <w:szCs w:val="24"/>
          <w:lang w:eastAsia="en-GB"/>
        </w:rPr>
        <w:t xml:space="preserve"> where the rights they are being asked to protect are both contested and undefined. Given the lack of consensus on the scope and nature of the rights implicated in campaign finance cases, </w:t>
      </w:r>
      <w:r w:rsidR="00246852" w:rsidRPr="00891718">
        <w:rPr>
          <w:szCs w:val="24"/>
          <w:lang w:eastAsia="en-GB"/>
        </w:rPr>
        <w:t xml:space="preserve">in order to provide a framework or foundation for adjudication, </w:t>
      </w:r>
      <w:r w:rsidR="00C12A39" w:rsidRPr="00891718">
        <w:rPr>
          <w:szCs w:val="24"/>
          <w:lang w:eastAsia="en-GB"/>
        </w:rPr>
        <w:t>a judge</w:t>
      </w:r>
      <w:r w:rsidR="000B1AA3" w:rsidRPr="00891718">
        <w:rPr>
          <w:szCs w:val="24"/>
          <w:lang w:eastAsia="en-GB"/>
        </w:rPr>
        <w:t xml:space="preserve"> </w:t>
      </w:r>
      <w:r w:rsidR="00C12A39" w:rsidRPr="00891718">
        <w:rPr>
          <w:szCs w:val="24"/>
          <w:lang w:eastAsia="en-GB"/>
        </w:rPr>
        <w:t xml:space="preserve">must envisage, but need not articulate explicitly, a conception of </w:t>
      </w:r>
      <w:r w:rsidR="00AA2822" w:rsidRPr="00891718">
        <w:rPr>
          <w:szCs w:val="24"/>
          <w:lang w:eastAsia="en-GB"/>
        </w:rPr>
        <w:t xml:space="preserve">democracy </w:t>
      </w:r>
      <w:r w:rsidR="00C12A39" w:rsidRPr="00891718">
        <w:rPr>
          <w:szCs w:val="24"/>
          <w:lang w:eastAsia="en-GB"/>
        </w:rPr>
        <w:t>on which to base his or her opinion.</w:t>
      </w:r>
      <w:r w:rsidR="00402DB8" w:rsidRPr="00891718">
        <w:rPr>
          <w:szCs w:val="24"/>
          <w:lang w:eastAsia="en-GB"/>
        </w:rPr>
        <w:t xml:space="preserve"> </w:t>
      </w:r>
      <w:r w:rsidR="007720D7" w:rsidRPr="00891718">
        <w:rPr>
          <w:szCs w:val="24"/>
        </w:rPr>
        <w:t>J</w:t>
      </w:r>
      <w:r w:rsidR="00C12A39" w:rsidRPr="00891718">
        <w:rPr>
          <w:szCs w:val="24"/>
          <w:lang w:eastAsia="en-GB"/>
        </w:rPr>
        <w:t xml:space="preserve">udicial conceptions of </w:t>
      </w:r>
      <w:r w:rsidR="00AA2822" w:rsidRPr="00891718">
        <w:rPr>
          <w:szCs w:val="24"/>
          <w:lang w:eastAsia="en-GB"/>
        </w:rPr>
        <w:t xml:space="preserve">democracy </w:t>
      </w:r>
      <w:r w:rsidR="00C12A39" w:rsidRPr="00891718">
        <w:rPr>
          <w:szCs w:val="24"/>
          <w:lang w:eastAsia="en-GB"/>
        </w:rPr>
        <w:t xml:space="preserve">are, </w:t>
      </w:r>
      <w:r w:rsidR="00AA2822" w:rsidRPr="00891718">
        <w:rPr>
          <w:szCs w:val="24"/>
          <w:lang w:eastAsia="en-GB"/>
        </w:rPr>
        <w:t>thus</w:t>
      </w:r>
      <w:r w:rsidR="00C12A39" w:rsidRPr="00891718">
        <w:rPr>
          <w:szCs w:val="24"/>
          <w:lang w:eastAsia="en-GB"/>
        </w:rPr>
        <w:t xml:space="preserve">, implicit in </w:t>
      </w:r>
      <w:r w:rsidR="00465DE8" w:rsidRPr="00891718">
        <w:rPr>
          <w:szCs w:val="24"/>
          <w:lang w:eastAsia="en-GB"/>
        </w:rPr>
        <w:t xml:space="preserve">and underpin </w:t>
      </w:r>
      <w:r w:rsidR="00C12A39" w:rsidRPr="00891718">
        <w:rPr>
          <w:szCs w:val="24"/>
          <w:lang w:eastAsia="en-GB"/>
        </w:rPr>
        <w:t xml:space="preserve">Justices’ </w:t>
      </w:r>
      <w:r w:rsidR="00531D7F" w:rsidRPr="00891718">
        <w:rPr>
          <w:szCs w:val="24"/>
          <w:lang w:eastAsia="en-GB"/>
        </w:rPr>
        <w:t>campaign finance</w:t>
      </w:r>
      <w:r w:rsidR="00215BBD" w:rsidRPr="00891718">
        <w:rPr>
          <w:szCs w:val="24"/>
          <w:lang w:eastAsia="en-GB"/>
        </w:rPr>
        <w:t xml:space="preserve"> opinions</w:t>
      </w:r>
      <w:r w:rsidR="00402DB8" w:rsidRPr="00891718">
        <w:rPr>
          <w:szCs w:val="24"/>
          <w:lang w:eastAsia="en-GB"/>
        </w:rPr>
        <w:t>.</w:t>
      </w:r>
      <w:r w:rsidR="00D06A5C" w:rsidRPr="00891718">
        <w:rPr>
          <w:szCs w:val="24"/>
          <w:lang w:eastAsia="en-GB"/>
        </w:rPr>
        <w:t xml:space="preserve"> </w:t>
      </w:r>
      <w:r w:rsidR="003E0EE8" w:rsidRPr="00891718">
        <w:rPr>
          <w:szCs w:val="24"/>
          <w:lang w:eastAsia="en-GB"/>
        </w:rPr>
        <w:t xml:space="preserve">They </w:t>
      </w:r>
      <w:r w:rsidR="00531D7F" w:rsidRPr="00891718">
        <w:rPr>
          <w:szCs w:val="24"/>
          <w:lang w:eastAsia="en-GB"/>
        </w:rPr>
        <w:t>are</w:t>
      </w:r>
      <w:r w:rsidR="00C12A39" w:rsidRPr="00891718">
        <w:rPr>
          <w:szCs w:val="24"/>
          <w:lang w:eastAsia="en-GB"/>
        </w:rPr>
        <w:t xml:space="preserve"> inextricably </w:t>
      </w:r>
      <w:r w:rsidR="00531D7F" w:rsidRPr="00891718">
        <w:rPr>
          <w:szCs w:val="24"/>
          <w:lang w:eastAsia="en-GB"/>
        </w:rPr>
        <w:t xml:space="preserve">intertwined with </w:t>
      </w:r>
      <w:r w:rsidR="00C12A39" w:rsidRPr="00891718">
        <w:rPr>
          <w:szCs w:val="24"/>
          <w:lang w:eastAsia="en-GB"/>
        </w:rPr>
        <w:t>the Justices’</w:t>
      </w:r>
      <w:r w:rsidR="00465DE8" w:rsidRPr="00891718">
        <w:rPr>
          <w:szCs w:val="24"/>
          <w:lang w:eastAsia="en-GB"/>
        </w:rPr>
        <w:t xml:space="preserve"> own </w:t>
      </w:r>
      <w:r w:rsidR="00A61CA3" w:rsidRPr="00891718">
        <w:rPr>
          <w:szCs w:val="24"/>
          <w:lang w:eastAsia="en-GB"/>
        </w:rPr>
        <w:t xml:space="preserve">democratic </w:t>
      </w:r>
      <w:r w:rsidR="00465DE8" w:rsidRPr="00891718">
        <w:rPr>
          <w:szCs w:val="24"/>
          <w:lang w:eastAsia="en-GB"/>
        </w:rPr>
        <w:t>views and values</w:t>
      </w:r>
      <w:r w:rsidR="00215BBD" w:rsidRPr="00891718">
        <w:rPr>
          <w:szCs w:val="24"/>
          <w:lang w:eastAsia="en-GB"/>
        </w:rPr>
        <w:t xml:space="preserve"> – </w:t>
      </w:r>
      <w:r w:rsidR="00215BBD" w:rsidRPr="00891718">
        <w:rPr>
          <w:szCs w:val="24"/>
        </w:rPr>
        <w:t>what Ortiz calls “submerged normative judgments”</w:t>
      </w:r>
      <w:r w:rsidR="00215BBD" w:rsidRPr="00891718">
        <w:rPr>
          <w:rStyle w:val="FootnoteReference"/>
          <w:sz w:val="24"/>
          <w:szCs w:val="24"/>
        </w:rPr>
        <w:footnoteReference w:id="97"/>
      </w:r>
      <w:r w:rsidR="00215BBD" w:rsidRPr="00891718">
        <w:rPr>
          <w:szCs w:val="24"/>
        </w:rPr>
        <w:t xml:space="preserve"> </w:t>
      </w:r>
      <w:r w:rsidR="002266DC" w:rsidRPr="00891718">
        <w:rPr>
          <w:szCs w:val="24"/>
        </w:rPr>
        <w:t>–</w:t>
      </w:r>
      <w:r w:rsidR="00AA2822" w:rsidRPr="00891718">
        <w:rPr>
          <w:szCs w:val="24"/>
        </w:rPr>
        <w:t xml:space="preserve"> because</w:t>
      </w:r>
      <w:r w:rsidR="003E0EE8" w:rsidRPr="00891718">
        <w:rPr>
          <w:szCs w:val="24"/>
          <w:lang w:eastAsia="en-GB"/>
        </w:rPr>
        <w:t>, importantly,</w:t>
      </w:r>
      <w:r w:rsidR="002266DC" w:rsidRPr="00891718">
        <w:rPr>
          <w:szCs w:val="24"/>
          <w:lang w:eastAsia="en-GB"/>
        </w:rPr>
        <w:t xml:space="preserve"> </w:t>
      </w:r>
      <w:r w:rsidR="00AA2822" w:rsidRPr="00891718">
        <w:rPr>
          <w:szCs w:val="24"/>
          <w:lang w:eastAsia="en-GB"/>
        </w:rPr>
        <w:t xml:space="preserve">they </w:t>
      </w:r>
      <w:r w:rsidR="002266DC" w:rsidRPr="00891718">
        <w:rPr>
          <w:szCs w:val="24"/>
          <w:lang w:eastAsia="en-GB"/>
        </w:rPr>
        <w:t xml:space="preserve">are </w:t>
      </w:r>
      <w:r w:rsidR="00AA2822" w:rsidRPr="00891718">
        <w:rPr>
          <w:szCs w:val="24"/>
          <w:lang w:eastAsia="en-GB"/>
        </w:rPr>
        <w:t xml:space="preserve">chosen rather than being </w:t>
      </w:r>
      <w:r w:rsidR="00352430" w:rsidRPr="00891718">
        <w:rPr>
          <w:szCs w:val="24"/>
          <w:lang w:eastAsia="en-GB"/>
        </w:rPr>
        <w:t>constitutionally compelled</w:t>
      </w:r>
      <w:r w:rsidR="00352430" w:rsidRPr="00891718">
        <w:rPr>
          <w:rStyle w:val="FootnoteReference"/>
          <w:sz w:val="24"/>
          <w:szCs w:val="24"/>
          <w:lang w:eastAsia="en-GB"/>
        </w:rPr>
        <w:footnoteReference w:id="98"/>
      </w:r>
      <w:r w:rsidR="002266DC" w:rsidRPr="00891718">
        <w:rPr>
          <w:szCs w:val="24"/>
          <w:lang w:eastAsia="en-GB"/>
        </w:rPr>
        <w:t xml:space="preserve"> </w:t>
      </w:r>
      <w:r w:rsidR="00AA2822" w:rsidRPr="00891718">
        <w:rPr>
          <w:szCs w:val="24"/>
          <w:lang w:eastAsia="en-GB"/>
        </w:rPr>
        <w:t>(</w:t>
      </w:r>
      <w:r w:rsidR="002266DC" w:rsidRPr="00891718">
        <w:rPr>
          <w:szCs w:val="24"/>
          <w:lang w:eastAsia="en-GB"/>
        </w:rPr>
        <w:t>although the Justices may present them that way</w:t>
      </w:r>
      <w:r w:rsidR="00AA2822" w:rsidRPr="00891718">
        <w:rPr>
          <w:szCs w:val="24"/>
          <w:lang w:eastAsia="en-GB"/>
        </w:rPr>
        <w:t>)</w:t>
      </w:r>
      <w:r w:rsidR="002266DC" w:rsidRPr="00891718">
        <w:rPr>
          <w:szCs w:val="24"/>
          <w:lang w:eastAsia="en-GB"/>
        </w:rPr>
        <w:t>.</w:t>
      </w:r>
    </w:p>
    <w:p w14:paraId="50404133" w14:textId="23386EC3" w:rsidR="00977329" w:rsidRPr="00891718" w:rsidRDefault="00554266" w:rsidP="00891718">
      <w:pPr>
        <w:ind w:firstLine="284"/>
        <w:jc w:val="both"/>
        <w:rPr>
          <w:rFonts w:eastAsia="Times New Roman"/>
        </w:rPr>
      </w:pPr>
      <w:r w:rsidRPr="00891718">
        <w:rPr>
          <w:rFonts w:eastAsia="Times New Roman"/>
          <w:lang w:eastAsia="en-GB"/>
        </w:rPr>
        <w:t xml:space="preserve">For </w:t>
      </w:r>
      <w:proofErr w:type="spellStart"/>
      <w:r w:rsidRPr="00891718">
        <w:rPr>
          <w:rFonts w:eastAsia="Times New Roman"/>
          <w:lang w:eastAsia="en-GB"/>
        </w:rPr>
        <w:t>Ringhand</w:t>
      </w:r>
      <w:proofErr w:type="spellEnd"/>
      <w:r w:rsidRPr="00891718">
        <w:rPr>
          <w:rFonts w:eastAsia="Times New Roman"/>
          <w:lang w:eastAsia="en-GB"/>
        </w:rPr>
        <w:t>, the definitional dilemma</w:t>
      </w:r>
      <w:r w:rsidR="00C12A39" w:rsidRPr="00891718">
        <w:rPr>
          <w:rFonts w:eastAsia="Times New Roman"/>
          <w:lang w:eastAsia="en-GB"/>
        </w:rPr>
        <w:t xml:space="preserve"> has three consequences.</w:t>
      </w:r>
      <w:r w:rsidR="00641655" w:rsidRPr="00891718">
        <w:rPr>
          <w:rFonts w:eastAsia="Times New Roman"/>
          <w:lang w:eastAsia="en-GB"/>
        </w:rPr>
        <w:t xml:space="preserve"> </w:t>
      </w:r>
      <w:r w:rsidR="00C12A39" w:rsidRPr="00891718">
        <w:rPr>
          <w:rFonts w:eastAsia="Times New Roman"/>
          <w:lang w:eastAsia="en-GB"/>
        </w:rPr>
        <w:t>Firstly, she argues,</w:t>
      </w:r>
      <w:r w:rsidR="00521F94" w:rsidRPr="00891718">
        <w:rPr>
          <w:rFonts w:eastAsia="Times New Roman"/>
          <w:lang w:eastAsia="en-GB"/>
        </w:rPr>
        <w:t xml:space="preserve"> campaign finance cases come to rest </w:t>
      </w:r>
      <w:r w:rsidR="007304C8" w:rsidRPr="00891718">
        <w:rPr>
          <w:rFonts w:eastAsia="Times New Roman"/>
          <w:lang w:eastAsia="en-GB"/>
        </w:rPr>
        <w:t xml:space="preserve">on </w:t>
      </w:r>
      <w:r w:rsidR="00521F94" w:rsidRPr="00891718">
        <w:rPr>
          <w:rFonts w:eastAsia="Times New Roman"/>
          <w:lang w:eastAsia="en-GB"/>
        </w:rPr>
        <w:t>“</w:t>
      </w:r>
      <w:r w:rsidR="007304C8" w:rsidRPr="00891718">
        <w:rPr>
          <w:rFonts w:eastAsia="Times New Roman"/>
          <w:lang w:eastAsia="en-GB"/>
        </w:rPr>
        <w:t>unchallenged</w:t>
      </w:r>
      <w:r w:rsidR="00521F94" w:rsidRPr="00891718">
        <w:rPr>
          <w:rFonts w:eastAsia="Times New Roman"/>
          <w:lang w:eastAsia="en-GB"/>
        </w:rPr>
        <w:t>” yet “deeply contested and controversial”</w:t>
      </w:r>
      <w:r w:rsidR="00412F42" w:rsidRPr="00891718">
        <w:rPr>
          <w:rStyle w:val="FootnoteReference"/>
          <w:rFonts w:eastAsia="Times New Roman"/>
          <w:sz w:val="24"/>
          <w:lang w:eastAsia="en-GB"/>
        </w:rPr>
        <w:footnoteReference w:id="99"/>
      </w:r>
      <w:r w:rsidR="007304C8" w:rsidRPr="00891718">
        <w:rPr>
          <w:rFonts w:eastAsia="Times New Roman"/>
          <w:lang w:eastAsia="en-GB"/>
        </w:rPr>
        <w:t xml:space="preserve"> definitions of democracy</w:t>
      </w:r>
      <w:r w:rsidR="00412F42" w:rsidRPr="00891718">
        <w:rPr>
          <w:rFonts w:eastAsia="Times New Roman"/>
          <w:lang w:eastAsia="en-GB"/>
        </w:rPr>
        <w:t>, the preservation of which mandate</w:t>
      </w:r>
      <w:r w:rsidR="00B62EED" w:rsidRPr="00891718">
        <w:rPr>
          <w:rFonts w:eastAsia="Times New Roman"/>
          <w:lang w:eastAsia="en-GB"/>
        </w:rPr>
        <w:t>s</w:t>
      </w:r>
      <w:r w:rsidR="00412F42" w:rsidRPr="00891718">
        <w:rPr>
          <w:rFonts w:eastAsia="Times New Roman"/>
          <w:lang w:eastAsia="en-GB"/>
        </w:rPr>
        <w:t xml:space="preserve"> constitutional restraints on legislative experimentation.</w:t>
      </w:r>
      <w:r w:rsidR="00412F42" w:rsidRPr="00891718">
        <w:rPr>
          <w:rStyle w:val="FootnoteReference"/>
          <w:rFonts w:eastAsia="Times New Roman"/>
          <w:sz w:val="24"/>
          <w:lang w:eastAsia="en-GB"/>
        </w:rPr>
        <w:footnoteReference w:id="100"/>
      </w:r>
      <w:r w:rsidR="00641655" w:rsidRPr="00891718">
        <w:rPr>
          <w:rFonts w:eastAsia="Times New Roman"/>
          <w:lang w:eastAsia="en-GB"/>
        </w:rPr>
        <w:t xml:space="preserve"> </w:t>
      </w:r>
      <w:r w:rsidR="0084375D" w:rsidRPr="00891718">
        <w:rPr>
          <w:rFonts w:eastAsia="Times New Roman"/>
          <w:lang w:eastAsia="en-GB"/>
        </w:rPr>
        <w:t xml:space="preserve">Although these restraints are the product of beliefs in concepts about which there is disagreement and division, they are made to appear both legitimate and necessary. </w:t>
      </w:r>
      <w:r w:rsidR="007304C8" w:rsidRPr="00891718">
        <w:rPr>
          <w:rFonts w:eastAsia="Times New Roman"/>
          <w:lang w:eastAsia="en-GB"/>
        </w:rPr>
        <w:t>Second</w:t>
      </w:r>
      <w:r w:rsidR="004B4455" w:rsidRPr="00891718">
        <w:rPr>
          <w:rFonts w:eastAsia="Times New Roman"/>
          <w:lang w:eastAsia="en-GB"/>
        </w:rPr>
        <w:t>ly</w:t>
      </w:r>
      <w:r w:rsidR="00F370F2" w:rsidRPr="00891718">
        <w:rPr>
          <w:rFonts w:eastAsia="Times New Roman"/>
          <w:lang w:eastAsia="en-GB"/>
        </w:rPr>
        <w:t>, “</w:t>
      </w:r>
      <w:r w:rsidR="007304C8" w:rsidRPr="00891718">
        <w:rPr>
          <w:rFonts w:eastAsia="Times New Roman"/>
          <w:lang w:eastAsia="en-GB"/>
        </w:rPr>
        <w:t>disputed</w:t>
      </w:r>
      <w:r w:rsidR="00F370F2" w:rsidRPr="00891718">
        <w:rPr>
          <w:rFonts w:eastAsia="Times New Roman"/>
          <w:lang w:eastAsia="en-GB"/>
        </w:rPr>
        <w:t>” and “</w:t>
      </w:r>
      <w:r w:rsidR="007304C8" w:rsidRPr="00891718">
        <w:rPr>
          <w:rFonts w:eastAsia="Times New Roman"/>
          <w:lang w:eastAsia="en-GB"/>
        </w:rPr>
        <w:t>shifting</w:t>
      </w:r>
      <w:r w:rsidR="00F370F2" w:rsidRPr="00891718">
        <w:rPr>
          <w:rFonts w:eastAsia="Times New Roman"/>
          <w:lang w:eastAsia="en-GB"/>
        </w:rPr>
        <w:t>” judicial</w:t>
      </w:r>
      <w:r w:rsidR="00641655" w:rsidRPr="00891718">
        <w:rPr>
          <w:rFonts w:eastAsia="Times New Roman"/>
          <w:lang w:eastAsia="en-GB"/>
        </w:rPr>
        <w:t xml:space="preserve"> </w:t>
      </w:r>
      <w:r w:rsidR="007304C8" w:rsidRPr="00891718">
        <w:rPr>
          <w:rFonts w:eastAsia="Times New Roman"/>
          <w:lang w:eastAsia="en-GB"/>
        </w:rPr>
        <w:t xml:space="preserve">assumptions about democracy </w:t>
      </w:r>
      <w:r w:rsidR="00F370F2" w:rsidRPr="00891718">
        <w:rPr>
          <w:rFonts w:eastAsia="Times New Roman"/>
          <w:lang w:eastAsia="en-GB"/>
        </w:rPr>
        <w:t xml:space="preserve">lend a certain incoherence and </w:t>
      </w:r>
      <w:r w:rsidR="005E46CC" w:rsidRPr="00891718">
        <w:rPr>
          <w:rFonts w:eastAsia="Times New Roman"/>
          <w:lang w:eastAsia="en-GB"/>
        </w:rPr>
        <w:t xml:space="preserve">abstruseness </w:t>
      </w:r>
      <w:r w:rsidR="00F370F2" w:rsidRPr="00891718">
        <w:rPr>
          <w:rFonts w:eastAsia="Times New Roman"/>
          <w:lang w:eastAsia="en-GB"/>
        </w:rPr>
        <w:t>to campaign finance jurisprudence</w:t>
      </w:r>
      <w:r w:rsidR="007304C8" w:rsidRPr="00891718">
        <w:rPr>
          <w:rFonts w:eastAsia="Times New Roman"/>
          <w:lang w:eastAsia="en-GB"/>
        </w:rPr>
        <w:t>.</w:t>
      </w:r>
      <w:r w:rsidR="005E46CC" w:rsidRPr="00891718">
        <w:rPr>
          <w:rStyle w:val="FootnoteReference"/>
          <w:rFonts w:eastAsia="Times New Roman"/>
          <w:sz w:val="24"/>
          <w:lang w:eastAsia="en-GB"/>
        </w:rPr>
        <w:footnoteReference w:id="101"/>
      </w:r>
      <w:r w:rsidR="00641655" w:rsidRPr="00891718">
        <w:rPr>
          <w:rFonts w:eastAsia="Times New Roman"/>
          <w:lang w:eastAsia="en-GB"/>
        </w:rPr>
        <w:t xml:space="preserve"> </w:t>
      </w:r>
      <w:r w:rsidR="0084375D" w:rsidRPr="00891718">
        <w:rPr>
          <w:rFonts w:eastAsia="Times New Roman"/>
          <w:lang w:eastAsia="en-GB"/>
        </w:rPr>
        <w:t>Thirdly</w:t>
      </w:r>
      <w:r w:rsidR="007304C8" w:rsidRPr="00891718">
        <w:rPr>
          <w:rFonts w:eastAsia="Times New Roman"/>
          <w:lang w:eastAsia="en-GB"/>
        </w:rPr>
        <w:t xml:space="preserve">, </w:t>
      </w:r>
      <w:r w:rsidR="0084375D" w:rsidRPr="00891718">
        <w:rPr>
          <w:rFonts w:eastAsia="Times New Roman"/>
          <w:lang w:eastAsia="en-GB"/>
        </w:rPr>
        <w:t xml:space="preserve">because </w:t>
      </w:r>
      <w:r w:rsidR="007304C8" w:rsidRPr="00891718">
        <w:rPr>
          <w:rFonts w:eastAsia="Times New Roman"/>
          <w:lang w:eastAsia="en-GB"/>
        </w:rPr>
        <w:t xml:space="preserve">the democracy-defining dilemma </w:t>
      </w:r>
      <w:r w:rsidR="0084375D" w:rsidRPr="00891718">
        <w:rPr>
          <w:rFonts w:eastAsia="Times New Roman"/>
          <w:lang w:eastAsia="en-GB"/>
        </w:rPr>
        <w:t xml:space="preserve">is not confronted by the judiciary, the provenance of the </w:t>
      </w:r>
      <w:r w:rsidR="00215BBD" w:rsidRPr="00891718">
        <w:rPr>
          <w:rFonts w:eastAsia="Times New Roman"/>
          <w:lang w:eastAsia="en-GB"/>
        </w:rPr>
        <w:t>rights being asserted is un</w:t>
      </w:r>
      <w:r w:rsidR="0084375D" w:rsidRPr="00891718">
        <w:rPr>
          <w:rFonts w:eastAsia="Times New Roman"/>
          <w:lang w:eastAsia="en-GB"/>
        </w:rPr>
        <w:t xml:space="preserve">certain, which </w:t>
      </w:r>
      <w:r w:rsidR="00215BBD" w:rsidRPr="00891718">
        <w:rPr>
          <w:rFonts w:eastAsia="Times New Roman"/>
          <w:lang w:eastAsia="en-GB"/>
        </w:rPr>
        <w:t xml:space="preserve">in turn </w:t>
      </w:r>
      <w:r w:rsidR="0084375D" w:rsidRPr="00891718">
        <w:rPr>
          <w:rFonts w:eastAsia="Times New Roman"/>
          <w:lang w:eastAsia="en-GB"/>
        </w:rPr>
        <w:t>mean</w:t>
      </w:r>
      <w:r w:rsidR="00215BBD" w:rsidRPr="00891718">
        <w:rPr>
          <w:rFonts w:eastAsia="Times New Roman"/>
          <w:lang w:eastAsia="en-GB"/>
        </w:rPr>
        <w:t>s</w:t>
      </w:r>
      <w:r w:rsidR="0084375D" w:rsidRPr="00891718">
        <w:rPr>
          <w:rFonts w:eastAsia="Times New Roman"/>
          <w:lang w:eastAsia="en-GB"/>
        </w:rPr>
        <w:t xml:space="preserve"> that </w:t>
      </w:r>
      <w:r w:rsidR="00215BBD" w:rsidRPr="00891718">
        <w:rPr>
          <w:rFonts w:eastAsia="Times New Roman"/>
          <w:lang w:eastAsia="en-GB"/>
        </w:rPr>
        <w:t xml:space="preserve">issue of whether </w:t>
      </w:r>
      <w:r w:rsidR="0084375D" w:rsidRPr="00891718">
        <w:rPr>
          <w:rFonts w:eastAsia="Times New Roman"/>
          <w:lang w:eastAsia="en-GB"/>
        </w:rPr>
        <w:t xml:space="preserve">campaign finance regulation is </w:t>
      </w:r>
      <w:r w:rsidR="00215BBD" w:rsidRPr="00891718">
        <w:rPr>
          <w:rFonts w:eastAsia="Times New Roman"/>
          <w:lang w:eastAsia="en-GB"/>
        </w:rPr>
        <w:t>constitutionally mandated is obscured.</w:t>
      </w:r>
      <w:r w:rsidR="0084375D" w:rsidRPr="00891718">
        <w:rPr>
          <w:rStyle w:val="FootnoteReference"/>
          <w:rFonts w:eastAsia="Times New Roman"/>
          <w:sz w:val="24"/>
          <w:lang w:eastAsia="en-GB"/>
        </w:rPr>
        <w:footnoteReference w:id="102"/>
      </w:r>
      <w:r w:rsidR="00641655" w:rsidRPr="00891718">
        <w:rPr>
          <w:rFonts w:eastAsia="Times New Roman"/>
          <w:lang w:eastAsia="en-GB"/>
        </w:rPr>
        <w:t xml:space="preserve"> </w:t>
      </w:r>
      <w:r w:rsidR="008B1066" w:rsidRPr="00891718">
        <w:rPr>
          <w:rFonts w:eastAsia="Times New Roman"/>
          <w:lang w:eastAsia="en-GB"/>
        </w:rPr>
        <w:t>By way of example, in campaign finance cases, as has been indicated, Justice Scalia exhibited a high degree of vigilance where legislators’ self-interest was likely to manifest.</w:t>
      </w:r>
      <w:r w:rsidR="00641655" w:rsidRPr="00891718">
        <w:rPr>
          <w:rFonts w:eastAsia="Times New Roman"/>
          <w:lang w:eastAsia="en-GB"/>
        </w:rPr>
        <w:t xml:space="preserve"> </w:t>
      </w:r>
      <w:r w:rsidR="008B1066" w:rsidRPr="00891718">
        <w:rPr>
          <w:rFonts w:eastAsia="Times New Roman"/>
          <w:lang w:eastAsia="en-GB"/>
        </w:rPr>
        <w:t xml:space="preserve">As has also been indicated, he supported disclosure of the sources of campaign contributions as an unquestioned good. </w:t>
      </w:r>
      <w:r w:rsidR="00AD32AA" w:rsidRPr="00891718">
        <w:rPr>
          <w:rFonts w:eastAsia="Times New Roman"/>
          <w:lang w:eastAsia="en-GB"/>
        </w:rPr>
        <w:t xml:space="preserve">We have seen that </w:t>
      </w:r>
      <w:r w:rsidR="008B1066" w:rsidRPr="00891718">
        <w:rPr>
          <w:lang w:val="en-GB"/>
        </w:rPr>
        <w:t xml:space="preserve">in </w:t>
      </w:r>
      <w:r w:rsidR="008B1066" w:rsidRPr="00891718">
        <w:rPr>
          <w:i/>
          <w:iCs/>
        </w:rPr>
        <w:t>McIntyre v Ohio Elections Commission</w:t>
      </w:r>
      <w:r w:rsidR="008B1066" w:rsidRPr="00891718">
        <w:rPr>
          <w:rStyle w:val="FootnoteReference"/>
          <w:iCs/>
          <w:sz w:val="24"/>
        </w:rPr>
        <w:footnoteReference w:id="103"/>
      </w:r>
      <w:r w:rsidR="008B1066" w:rsidRPr="00891718">
        <w:t xml:space="preserve"> the views of elected legislators were </w:t>
      </w:r>
      <w:r w:rsidR="00AD32AA" w:rsidRPr="00891718">
        <w:t xml:space="preserve">unquestioningly accepted by </w:t>
      </w:r>
      <w:r w:rsidR="008B1066" w:rsidRPr="00891718">
        <w:t xml:space="preserve">the </w:t>
      </w:r>
      <w:r w:rsidR="00AD32AA" w:rsidRPr="00891718">
        <w:t xml:space="preserve">dissenting </w:t>
      </w:r>
      <w:r w:rsidR="008B1066" w:rsidRPr="00891718">
        <w:t xml:space="preserve">Justice </w:t>
      </w:r>
      <w:r w:rsidR="00AD32AA" w:rsidRPr="00891718">
        <w:t xml:space="preserve">Scalia, on the bases of established legislative practice and legislators’ </w:t>
      </w:r>
      <w:r w:rsidR="008B1066" w:rsidRPr="00891718">
        <w:t>practical familiar</w:t>
      </w:r>
      <w:r w:rsidR="00AD32AA" w:rsidRPr="00891718">
        <w:t>ity</w:t>
      </w:r>
      <w:r w:rsidR="008B1066" w:rsidRPr="00891718">
        <w:t xml:space="preserve"> with elections</w:t>
      </w:r>
      <w:r w:rsidR="00AD32AA" w:rsidRPr="00891718">
        <w:t>.</w:t>
      </w:r>
      <w:r w:rsidR="008B1066" w:rsidRPr="00891718">
        <w:rPr>
          <w:rStyle w:val="FootnoteReference"/>
          <w:sz w:val="24"/>
        </w:rPr>
        <w:footnoteReference w:id="104"/>
      </w:r>
      <w:r w:rsidR="008B1066" w:rsidRPr="00891718">
        <w:t xml:space="preserve"> </w:t>
      </w:r>
      <w:r w:rsidR="009B5AA0" w:rsidRPr="00891718">
        <w:t>While</w:t>
      </w:r>
      <w:r w:rsidR="00CB252F" w:rsidRPr="00891718">
        <w:t xml:space="preserve"> </w:t>
      </w:r>
      <w:r w:rsidR="00661DD1" w:rsidRPr="00891718">
        <w:t xml:space="preserve">Justice Scalia’s dissent in </w:t>
      </w:r>
      <w:r w:rsidR="00977329" w:rsidRPr="00891718">
        <w:rPr>
          <w:i/>
        </w:rPr>
        <w:t xml:space="preserve">McIntyre </w:t>
      </w:r>
      <w:r w:rsidR="00977329" w:rsidRPr="00891718">
        <w:t xml:space="preserve">may be viewed as evidence of a judicial philosophy </w:t>
      </w:r>
      <w:r w:rsidR="007771E4" w:rsidRPr="00891718">
        <w:t xml:space="preserve">of restraint, and one </w:t>
      </w:r>
      <w:r w:rsidR="00977329" w:rsidRPr="00891718">
        <w:t>which gives elect</w:t>
      </w:r>
      <w:r w:rsidR="007771E4" w:rsidRPr="00891718">
        <w:t xml:space="preserve">ed branches the final say, </w:t>
      </w:r>
      <w:r w:rsidR="009D745E" w:rsidRPr="00891718">
        <w:t xml:space="preserve">in deploying legislative expertise to support his position on disclosure, </w:t>
      </w:r>
      <w:r w:rsidR="00661DD1" w:rsidRPr="00891718">
        <w:t xml:space="preserve">it </w:t>
      </w:r>
      <w:r w:rsidR="00977329" w:rsidRPr="00891718">
        <w:t xml:space="preserve">might also be argued to </w:t>
      </w:r>
      <w:r w:rsidR="009D745E" w:rsidRPr="00891718">
        <w:t xml:space="preserve">reveal </w:t>
      </w:r>
      <w:r w:rsidR="00697C61" w:rsidRPr="00891718">
        <w:t xml:space="preserve">exactly </w:t>
      </w:r>
      <w:r w:rsidR="009D745E" w:rsidRPr="00891718">
        <w:t xml:space="preserve">the kind of judicial shifting and expediency in adjudication to which </w:t>
      </w:r>
      <w:proofErr w:type="spellStart"/>
      <w:r w:rsidR="009D745E" w:rsidRPr="00891718">
        <w:t>Ringhand</w:t>
      </w:r>
      <w:proofErr w:type="spellEnd"/>
      <w:r w:rsidR="009D745E" w:rsidRPr="00891718">
        <w:t xml:space="preserve"> refers</w:t>
      </w:r>
      <w:r w:rsidR="00977329" w:rsidRPr="00891718">
        <w:t xml:space="preserve">. It </w:t>
      </w:r>
      <w:r w:rsidR="00C54357" w:rsidRPr="00891718">
        <w:t xml:space="preserve">clearly </w:t>
      </w:r>
      <w:r w:rsidR="00977329" w:rsidRPr="00891718">
        <w:t xml:space="preserve">does not sit with </w:t>
      </w:r>
      <w:r w:rsidR="00C54357" w:rsidRPr="00891718">
        <w:t xml:space="preserve">a </w:t>
      </w:r>
      <w:r w:rsidR="00977329" w:rsidRPr="00891718">
        <w:t>professed skepticism of legislative motive in campaign finance cases</w:t>
      </w:r>
      <w:r w:rsidR="007771E4" w:rsidRPr="00891718">
        <w:t>.</w:t>
      </w:r>
      <w:r w:rsidR="00305823" w:rsidRPr="00891718">
        <w:t xml:space="preserve"> </w:t>
      </w:r>
    </w:p>
    <w:p w14:paraId="714B6D4E" w14:textId="0D16069D" w:rsidR="008B1066" w:rsidRDefault="00D44671" w:rsidP="00891718">
      <w:pPr>
        <w:ind w:firstLine="284"/>
        <w:jc w:val="both"/>
      </w:pPr>
      <w:r w:rsidRPr="00891718">
        <w:t>C</w:t>
      </w:r>
      <w:r w:rsidR="005862FE" w:rsidRPr="00891718">
        <w:rPr>
          <w:color w:val="000000" w:themeColor="text1"/>
        </w:rPr>
        <w:t>urrent campaign finance jurisprudence</w:t>
      </w:r>
      <w:r w:rsidR="00130563" w:rsidRPr="00891718">
        <w:rPr>
          <w:color w:val="000000" w:themeColor="text1"/>
        </w:rPr>
        <w:t>, as subject to</w:t>
      </w:r>
      <w:r w:rsidRPr="00891718">
        <w:rPr>
          <w:color w:val="000000" w:themeColor="text1"/>
        </w:rPr>
        <w:t xml:space="preserve"> the definitional dilemma,</w:t>
      </w:r>
      <w:r w:rsidR="005862FE" w:rsidRPr="00891718">
        <w:rPr>
          <w:color w:val="000000" w:themeColor="text1"/>
        </w:rPr>
        <w:t xml:space="preserve"> </w:t>
      </w:r>
      <w:r w:rsidRPr="00891718">
        <w:rPr>
          <w:color w:val="000000" w:themeColor="text1"/>
        </w:rPr>
        <w:t xml:space="preserve">superficially </w:t>
      </w:r>
      <w:r w:rsidR="00554266" w:rsidRPr="00891718">
        <w:t>bear</w:t>
      </w:r>
      <w:r w:rsidR="005862FE" w:rsidRPr="00891718">
        <w:t>s the hallmarks of activist liberal decision-making</w:t>
      </w:r>
      <w:r w:rsidRPr="00891718">
        <w:t>,</w:t>
      </w:r>
      <w:r w:rsidR="005862FE" w:rsidRPr="00891718">
        <w:t xml:space="preserve"> whereby </w:t>
      </w:r>
      <w:r w:rsidR="00705B77" w:rsidRPr="00891718">
        <w:t>J</w:t>
      </w:r>
      <w:r w:rsidR="005862FE" w:rsidRPr="00891718">
        <w:t>ustices seek to preclude governmental intrusion into the rights and liberties</w:t>
      </w:r>
      <w:r w:rsidRPr="00891718">
        <w:t xml:space="preserve"> guaranteed by the Constitution</w:t>
      </w:r>
      <w:r w:rsidR="00550B4C" w:rsidRPr="00891718">
        <w:t>.</w:t>
      </w:r>
      <w:r w:rsidRPr="00891718">
        <w:t xml:space="preserve"> Accordingly, where campaign finance decisions, viewed simpli</w:t>
      </w:r>
      <w:r w:rsidR="00554266" w:rsidRPr="00891718">
        <w:t>stically, seemingly demonstrate</w:t>
      </w:r>
      <w:r w:rsidRPr="00891718">
        <w:t xml:space="preserve"> Supreme Court justi</w:t>
      </w:r>
      <w:r w:rsidR="00130563" w:rsidRPr="00891718">
        <w:t>ces striking at legislation which</w:t>
      </w:r>
      <w:r w:rsidRPr="00891718">
        <w:t xml:space="preserve"> interferes with constitutional rights </w:t>
      </w:r>
      <w:r w:rsidR="00D6649E" w:rsidRPr="00891718">
        <w:t xml:space="preserve">they </w:t>
      </w:r>
      <w:r w:rsidRPr="00891718">
        <w:t>may, in fact, reveal the Court’s conservatives cleaving to principles that narrow and restrict those rights as they apply</w:t>
      </w:r>
      <w:r w:rsidR="00567833" w:rsidRPr="00891718">
        <w:t xml:space="preserve"> to ordinary people, </w:t>
      </w:r>
      <w:r w:rsidR="008E68CA" w:rsidRPr="00891718">
        <w:t xml:space="preserve">while </w:t>
      </w:r>
      <w:r w:rsidR="00567833" w:rsidRPr="00891718">
        <w:t>sim</w:t>
      </w:r>
      <w:r w:rsidRPr="00891718">
        <w:t>ultaneously enlarging them for the wealthy, and erecting a barrier to important electoral, economic and social reforms.</w:t>
      </w:r>
      <w:r w:rsidR="00637A98" w:rsidRPr="00891718">
        <w:t xml:space="preserve"> </w:t>
      </w:r>
      <w:proofErr w:type="spellStart"/>
      <w:r w:rsidR="002C4BAE" w:rsidRPr="00891718">
        <w:t>Kairys</w:t>
      </w:r>
      <w:proofErr w:type="spellEnd"/>
      <w:r w:rsidR="002C4BAE" w:rsidRPr="00891718">
        <w:rPr>
          <w:vertAlign w:val="superscript"/>
        </w:rPr>
        <w:footnoteReference w:id="105"/>
      </w:r>
      <w:r w:rsidR="002C4BAE" w:rsidRPr="00891718">
        <w:t xml:space="preserve"> claims that both a liberal and a conservative judiciary will see itself as protecting freedom and the other as permitting unwarranted governmental intrusion. The difference lies in their respective stances as to what kind of government activity constitutes</w:t>
      </w:r>
      <w:r w:rsidR="00705B77" w:rsidRPr="00891718">
        <w:t>, and counts as,</w:t>
      </w:r>
      <w:r w:rsidR="002C4BAE" w:rsidRPr="00891718">
        <w:t xml:space="preserve"> permissible interfere</w:t>
      </w:r>
      <w:r w:rsidR="008231C3" w:rsidRPr="00891718">
        <w:t>nce.</w:t>
      </w:r>
      <w:r w:rsidR="00641655" w:rsidRPr="00891718">
        <w:t xml:space="preserve"> </w:t>
      </w:r>
      <w:r w:rsidR="008231C3" w:rsidRPr="00891718">
        <w:t>Thus, where liberals favo</w:t>
      </w:r>
      <w:r w:rsidR="002C4BAE" w:rsidRPr="00891718">
        <w:t>r less intrusive government in the area of individual autonomy and personal freedom, and more intrusive government in economic regulation and electoral or democratic reforms, conservatives demonstrate antithetical tendencies.</w:t>
      </w:r>
      <w:r w:rsidR="00641655" w:rsidRPr="00891718">
        <w:t xml:space="preserve"> </w:t>
      </w:r>
      <w:r w:rsidR="002C4BAE" w:rsidRPr="00891718">
        <w:t>They will most likely support measures aimed at “compelled conformity”</w:t>
      </w:r>
      <w:r w:rsidR="002C4BAE" w:rsidRPr="00891718">
        <w:rPr>
          <w:vertAlign w:val="superscript"/>
        </w:rPr>
        <w:footnoteReference w:id="106"/>
      </w:r>
      <w:r w:rsidR="002C4BAE" w:rsidRPr="00891718">
        <w:t xml:space="preserve">, yet balk at attempted governmental intrusion into the operation of markets, property rights and the advantages of wealth. </w:t>
      </w:r>
      <w:r w:rsidR="005465AD" w:rsidRPr="00891718">
        <w:t>In this sense, tenured judges may have as much impact on the campaign finance system as incumbent politicians.</w:t>
      </w:r>
      <w:r w:rsidR="00641655" w:rsidRPr="00891718">
        <w:t xml:space="preserve"> </w:t>
      </w:r>
      <w:r w:rsidR="008B1066" w:rsidRPr="00891718">
        <w:t xml:space="preserve">That impact need not engender change, however. </w:t>
      </w:r>
      <w:r w:rsidR="008B1066" w:rsidRPr="00891718">
        <w:rPr>
          <w:rFonts w:eastAsia="Times New Roman"/>
          <w:lang w:eastAsia="en-GB"/>
        </w:rPr>
        <w:t xml:space="preserve">The stasis produced by ideological divergence between </w:t>
      </w:r>
      <w:proofErr w:type="spellStart"/>
      <w:r w:rsidR="008B1066" w:rsidRPr="00891718">
        <w:rPr>
          <w:rFonts w:eastAsia="Times New Roman"/>
          <w:lang w:eastAsia="en-GB"/>
        </w:rPr>
        <w:t>regulationists</w:t>
      </w:r>
      <w:proofErr w:type="spellEnd"/>
      <w:r w:rsidR="008B1066" w:rsidRPr="00891718">
        <w:rPr>
          <w:rFonts w:eastAsia="Times New Roman"/>
          <w:lang w:eastAsia="en-GB"/>
        </w:rPr>
        <w:t xml:space="preserve"> and </w:t>
      </w:r>
      <w:proofErr w:type="spellStart"/>
      <w:r w:rsidR="008B1066" w:rsidRPr="00891718">
        <w:rPr>
          <w:rFonts w:eastAsia="Times New Roman"/>
          <w:lang w:eastAsia="en-GB"/>
        </w:rPr>
        <w:t>deregulationists</w:t>
      </w:r>
      <w:proofErr w:type="spellEnd"/>
      <w:r w:rsidR="008B1066" w:rsidRPr="00891718">
        <w:rPr>
          <w:rFonts w:eastAsia="Times New Roman"/>
          <w:lang w:eastAsia="en-GB"/>
        </w:rPr>
        <w:t xml:space="preserve"> is well illustrated by McConnell who</w:t>
      </w:r>
      <w:r w:rsidR="00DE0DA4" w:rsidRPr="00891718">
        <w:rPr>
          <w:rFonts w:eastAsia="Times New Roman"/>
          <w:lang w:eastAsia="en-GB"/>
        </w:rPr>
        <w:t>se reading of campaign finance adjudication</w:t>
      </w:r>
      <w:r w:rsidR="008B1066" w:rsidRPr="00891718">
        <w:rPr>
          <w:rFonts w:eastAsia="Times New Roman"/>
          <w:lang w:eastAsia="en-GB"/>
        </w:rPr>
        <w:t xml:space="preserve">, after </w:t>
      </w:r>
      <w:r w:rsidR="008B1066" w:rsidRPr="00891718">
        <w:rPr>
          <w:rFonts w:eastAsia="Times New Roman"/>
          <w:i/>
          <w:lang w:eastAsia="en-GB"/>
        </w:rPr>
        <w:t>Citizens United</w:t>
      </w:r>
      <w:r w:rsidR="008B1066" w:rsidRPr="00891718">
        <w:rPr>
          <w:rFonts w:eastAsia="Times New Roman"/>
          <w:lang w:eastAsia="en-GB"/>
        </w:rPr>
        <w:t xml:space="preserve"> but prior to Justice Scalia’s death, </w:t>
      </w:r>
      <w:r w:rsidR="00DE0DA4" w:rsidRPr="00891718">
        <w:rPr>
          <w:rFonts w:eastAsia="Times New Roman"/>
          <w:lang w:eastAsia="en-GB"/>
        </w:rPr>
        <w:t xml:space="preserve">was </w:t>
      </w:r>
      <w:r w:rsidR="008B1066" w:rsidRPr="00891718">
        <w:rPr>
          <w:rFonts w:eastAsia="Times New Roman"/>
          <w:lang w:eastAsia="en-GB"/>
        </w:rPr>
        <w:t xml:space="preserve">that the majority of the Justices condemned </w:t>
      </w:r>
      <w:r w:rsidR="008B1066" w:rsidRPr="00891718">
        <w:rPr>
          <w:rFonts w:eastAsia="Times New Roman"/>
          <w:i/>
          <w:lang w:eastAsia="en-GB"/>
        </w:rPr>
        <w:t xml:space="preserve">Buckley’s </w:t>
      </w:r>
      <w:r w:rsidR="008B1066" w:rsidRPr="00891718">
        <w:rPr>
          <w:rFonts w:eastAsia="Times New Roman"/>
          <w:lang w:eastAsia="en-GB"/>
        </w:rPr>
        <w:t>distinction between contributions and expenditures, but for different reasons</w:t>
      </w:r>
      <w:r w:rsidR="00D6649E" w:rsidRPr="00891718">
        <w:rPr>
          <w:rFonts w:eastAsia="Times New Roman"/>
          <w:lang w:eastAsia="en-GB"/>
        </w:rPr>
        <w:t>,</w:t>
      </w:r>
      <w:r w:rsidR="008B1066" w:rsidRPr="00891718">
        <w:rPr>
          <w:rFonts w:eastAsia="Times New Roman"/>
          <w:lang w:eastAsia="en-GB"/>
        </w:rPr>
        <w:t xml:space="preserve"> and would deal with it in different ways.</w:t>
      </w:r>
      <w:r w:rsidR="00641655" w:rsidRPr="00891718">
        <w:rPr>
          <w:rFonts w:eastAsia="Times New Roman"/>
          <w:lang w:eastAsia="en-GB"/>
        </w:rPr>
        <w:t xml:space="preserve"> </w:t>
      </w:r>
      <w:r w:rsidR="008B1066" w:rsidRPr="00891718">
        <w:rPr>
          <w:rFonts w:eastAsia="Times New Roman"/>
          <w:lang w:eastAsia="en-GB"/>
        </w:rPr>
        <w:t>The conservative wing of the Court, naturally including Justice Scalia, he argues, would eliminate the distinction entirely by affording constitutional protection to contributions</w:t>
      </w:r>
      <w:bookmarkStart w:id="5" w:name="_ftnref184"/>
      <w:bookmarkEnd w:id="5"/>
      <w:r w:rsidR="008B1066" w:rsidRPr="00891718">
        <w:rPr>
          <w:rFonts w:eastAsia="Times New Roman"/>
          <w:lang w:eastAsia="en-GB"/>
        </w:rPr>
        <w:t xml:space="preserve"> as well as expenditures, whereas the liberal wing would erase the distinction by removing the constitutional protection afforded to independent expenditures.</w:t>
      </w:r>
      <w:bookmarkStart w:id="6" w:name="_ftnref185"/>
      <w:bookmarkEnd w:id="6"/>
      <w:r w:rsidR="008B1066" w:rsidRPr="00891718">
        <w:rPr>
          <w:rFonts w:eastAsia="Times New Roman"/>
          <w:vertAlign w:val="superscript"/>
          <w:lang w:eastAsia="en-GB"/>
        </w:rPr>
        <w:t xml:space="preserve"> </w:t>
      </w:r>
      <w:r w:rsidR="008B1066" w:rsidRPr="00891718">
        <w:rPr>
          <w:rFonts w:eastAsia="Times New Roman"/>
          <w:lang w:eastAsia="en-GB"/>
        </w:rPr>
        <w:t>This “produces a standoff.”</w:t>
      </w:r>
      <w:r w:rsidR="008B1066" w:rsidRPr="00891718">
        <w:rPr>
          <w:rStyle w:val="FootnoteReference"/>
          <w:rFonts w:eastAsia="Times New Roman"/>
          <w:sz w:val="24"/>
          <w:lang w:eastAsia="en-GB"/>
        </w:rPr>
        <w:footnoteReference w:id="107"/>
      </w:r>
      <w:r w:rsidR="00641655" w:rsidRPr="00891718">
        <w:rPr>
          <w:rFonts w:eastAsia="Times New Roman"/>
          <w:lang w:eastAsia="en-GB"/>
        </w:rPr>
        <w:t xml:space="preserve"> </w:t>
      </w:r>
      <w:r w:rsidR="008B1066" w:rsidRPr="00891718">
        <w:rPr>
          <w:rFonts w:eastAsia="Times New Roman"/>
          <w:lang w:eastAsia="en-GB"/>
        </w:rPr>
        <w:t xml:space="preserve">On McConnell’s reading, therefore, the death of Justice Scalia has reduced the likelihood of constitutional protection being extended beyond </w:t>
      </w:r>
      <w:r w:rsidR="008B1066" w:rsidRPr="00891718">
        <w:rPr>
          <w:rFonts w:eastAsia="Times New Roman"/>
          <w:i/>
          <w:lang w:eastAsia="en-GB"/>
        </w:rPr>
        <w:t xml:space="preserve">Buckley’s </w:t>
      </w:r>
      <w:r w:rsidR="008B1066" w:rsidRPr="00891718">
        <w:rPr>
          <w:rFonts w:eastAsia="Times New Roman"/>
          <w:lang w:eastAsia="en-GB"/>
        </w:rPr>
        <w:t>limits since the conservative wing is diminished.</w:t>
      </w:r>
      <w:r w:rsidR="00641655" w:rsidRPr="00891718">
        <w:rPr>
          <w:rFonts w:eastAsia="Times New Roman"/>
          <w:lang w:eastAsia="en-GB"/>
        </w:rPr>
        <w:t xml:space="preserve"> </w:t>
      </w:r>
      <w:r w:rsidR="008C2B27" w:rsidRPr="00891718">
        <w:t>For Justice Scalia, however, it</w:t>
      </w:r>
      <w:r w:rsidR="00DE0DA4" w:rsidRPr="00891718">
        <w:t xml:space="preserve"> was</w:t>
      </w:r>
      <w:r w:rsidR="008C2B27" w:rsidRPr="00891718">
        <w:t xml:space="preserve"> “not … a liberal versus conservative issue” but </w:t>
      </w:r>
      <w:r w:rsidR="00294974" w:rsidRPr="00891718">
        <w:t>“</w:t>
      </w:r>
      <w:r w:rsidR="008C2B27" w:rsidRPr="00891718">
        <w:t>an issue of constitutional interpretation</w:t>
      </w:r>
      <w:r w:rsidR="00B62EED" w:rsidRPr="00891718">
        <w:t>.</w:t>
      </w:r>
      <w:r w:rsidR="008C2B27" w:rsidRPr="00891718">
        <w:t>”</w:t>
      </w:r>
      <w:r w:rsidR="008C2B27" w:rsidRPr="00891718">
        <w:rPr>
          <w:vertAlign w:val="superscript"/>
        </w:rPr>
        <w:footnoteReference w:id="108"/>
      </w:r>
      <w:r w:rsidR="00D37519" w:rsidRPr="00891718">
        <w:t xml:space="preserve"> </w:t>
      </w:r>
    </w:p>
    <w:p w14:paraId="2108769A" w14:textId="77777777" w:rsidR="00891718" w:rsidRPr="00891718" w:rsidRDefault="00891718" w:rsidP="00891718">
      <w:pPr>
        <w:ind w:firstLine="284"/>
        <w:jc w:val="both"/>
      </w:pPr>
    </w:p>
    <w:p w14:paraId="75AD3694" w14:textId="167CC7EF" w:rsidR="008B1066" w:rsidRPr="00891718" w:rsidRDefault="00DE0DA4" w:rsidP="00322AD0">
      <w:pPr>
        <w:pStyle w:val="ListParagraph"/>
        <w:numPr>
          <w:ilvl w:val="0"/>
          <w:numId w:val="3"/>
        </w:numPr>
        <w:spacing w:line="480" w:lineRule="auto"/>
        <w:ind w:left="0" w:firstLine="0"/>
        <w:jc w:val="center"/>
        <w:rPr>
          <w:rFonts w:ascii="Times New Roman" w:hAnsi="Times New Roman" w:cs="Times New Roman"/>
          <w:b/>
          <w:smallCaps/>
          <w:sz w:val="28"/>
        </w:rPr>
      </w:pPr>
      <w:r w:rsidRPr="00891718">
        <w:rPr>
          <w:rFonts w:ascii="Times New Roman" w:hAnsi="Times New Roman" w:cs="Times New Roman"/>
          <w:b/>
          <w:smallCaps/>
          <w:sz w:val="28"/>
        </w:rPr>
        <w:t>Conclusion</w:t>
      </w:r>
    </w:p>
    <w:p w14:paraId="1113C5AD" w14:textId="60D4E20B" w:rsidR="00D37519" w:rsidRPr="00891718" w:rsidRDefault="00D37519" w:rsidP="00891718">
      <w:pPr>
        <w:jc w:val="both"/>
        <w:rPr>
          <w:rFonts w:eastAsia="Times New Roman"/>
          <w:lang w:val="en-GB" w:eastAsia="en-GB"/>
        </w:rPr>
      </w:pPr>
      <w:r w:rsidRPr="00891718">
        <w:t xml:space="preserve">Ortiz provides three possible explanations for </w:t>
      </w:r>
      <w:r w:rsidRPr="00891718">
        <w:rPr>
          <w:i/>
        </w:rPr>
        <w:t xml:space="preserve">Buckley’s </w:t>
      </w:r>
      <w:r w:rsidRPr="00891718">
        <w:t>holding that election expenditure limits are offensive to the First Amendment: that, irrespective of the government’s interest, the First Amendment simply forbids control of speech in that way</w:t>
      </w:r>
      <w:r w:rsidR="008E68CA" w:rsidRPr="00891718">
        <w:t>;</w:t>
      </w:r>
      <w:r w:rsidRPr="00891718">
        <w:t xml:space="preserve"> </w:t>
      </w:r>
      <w:r w:rsidRPr="00891718">
        <w:rPr>
          <w:rStyle w:val="FootnoteReference"/>
          <w:sz w:val="24"/>
        </w:rPr>
        <w:footnoteReference w:id="109"/>
      </w:r>
      <w:r w:rsidRPr="00891718">
        <w:t>;that money follows popular support and, thus, poses no overall threat to political processes</w:t>
      </w:r>
      <w:r w:rsidR="008E68CA" w:rsidRPr="00891718">
        <w:t>;</w:t>
      </w:r>
      <w:r w:rsidRPr="00891718">
        <w:rPr>
          <w:rStyle w:val="FootnoteReference"/>
          <w:sz w:val="24"/>
        </w:rPr>
        <w:footnoteReference w:id="110"/>
      </w:r>
      <w:r w:rsidRPr="00891718">
        <w:t xml:space="preserve"> that, because it adds information and points of view to the ideas marketplace, money can only enhance, rather than undermine, individual decision-making.</w:t>
      </w:r>
      <w:r w:rsidRPr="00891718">
        <w:rPr>
          <w:rStyle w:val="FootnoteReference"/>
          <w:sz w:val="24"/>
        </w:rPr>
        <w:footnoteReference w:id="111"/>
      </w:r>
      <w:r w:rsidRPr="00891718">
        <w:t xml:space="preserve"> The first reason, claims Ortiz, </w:t>
      </w:r>
      <w:r w:rsidRPr="00891718">
        <w:rPr>
          <w:rFonts w:eastAsia="Times New Roman"/>
        </w:rPr>
        <w:t>“rests only on textual fundamentalism or on the policy judgment that the dangers of the congressional remedy were worse than the disease.”</w:t>
      </w:r>
      <w:r w:rsidRPr="00891718">
        <w:rPr>
          <w:rStyle w:val="FootnoteReference"/>
          <w:rFonts w:eastAsia="Times New Roman"/>
          <w:sz w:val="24"/>
        </w:rPr>
        <w:footnoteReference w:id="112"/>
      </w:r>
      <w:r w:rsidRPr="00891718">
        <w:rPr>
          <w:rFonts w:eastAsia="Times New Roman"/>
        </w:rPr>
        <w:t xml:space="preserve"> </w:t>
      </w:r>
    </w:p>
    <w:p w14:paraId="32E5EBA6" w14:textId="1F4A3080" w:rsidR="002B1932" w:rsidRPr="00891718" w:rsidRDefault="003B7D16" w:rsidP="00891718">
      <w:pPr>
        <w:ind w:firstLine="284"/>
        <w:jc w:val="both"/>
      </w:pPr>
      <w:r w:rsidRPr="00891718">
        <w:t>In</w:t>
      </w:r>
      <w:r w:rsidR="002266DC" w:rsidRPr="00891718">
        <w:t xml:space="preserve"> describing his approach to the</w:t>
      </w:r>
      <w:r w:rsidRPr="00891718">
        <w:t xml:space="preserve"> task</w:t>
      </w:r>
      <w:r w:rsidR="002266DC" w:rsidRPr="00891718">
        <w:t xml:space="preserve"> of constitutional interpretation, Justice Scalia</w:t>
      </w:r>
      <w:r w:rsidRPr="00891718">
        <w:t xml:space="preserve"> declared</w:t>
      </w:r>
      <w:r w:rsidR="002266DC" w:rsidRPr="00891718">
        <w:t xml:space="preserve"> that he was “first of all a </w:t>
      </w:r>
      <w:proofErr w:type="spellStart"/>
      <w:r w:rsidR="002266DC" w:rsidRPr="00891718">
        <w:t>textualist</w:t>
      </w:r>
      <w:proofErr w:type="spellEnd"/>
      <w:r w:rsidR="002266DC" w:rsidRPr="00891718">
        <w:t>, and secondly an originalist.”</w:t>
      </w:r>
      <w:r w:rsidR="002266DC" w:rsidRPr="00891718">
        <w:rPr>
          <w:rStyle w:val="FootnoteReference"/>
          <w:sz w:val="24"/>
        </w:rPr>
        <w:t xml:space="preserve"> </w:t>
      </w:r>
      <w:r w:rsidR="002266DC" w:rsidRPr="00891718">
        <w:rPr>
          <w:rStyle w:val="FootnoteReference"/>
          <w:sz w:val="24"/>
        </w:rPr>
        <w:footnoteReference w:id="113"/>
      </w:r>
      <w:r w:rsidR="00641655" w:rsidRPr="00891718">
        <w:t xml:space="preserve"> </w:t>
      </w:r>
      <w:r w:rsidR="002266DC" w:rsidRPr="00891718">
        <w:t xml:space="preserve">In his own view </w:t>
      </w:r>
      <w:r w:rsidR="0026045C" w:rsidRPr="00891718">
        <w:t>textualism means that “</w:t>
      </w:r>
      <w:r w:rsidR="002266DC" w:rsidRPr="00891718">
        <w:t xml:space="preserve">you don't care about </w:t>
      </w:r>
      <w:r w:rsidR="00BB1895" w:rsidRPr="00891718">
        <w:t xml:space="preserve">the intent </w:t>
      </w:r>
      <w:r w:rsidR="002266DC" w:rsidRPr="00891718">
        <w:t>and I don't care if the framers of the Constitution had some secret meaning in mind when they adopted its words.”</w:t>
      </w:r>
      <w:r w:rsidR="002266DC" w:rsidRPr="00891718">
        <w:rPr>
          <w:rStyle w:val="FootnoteReference"/>
          <w:sz w:val="24"/>
        </w:rPr>
        <w:footnoteReference w:id="114"/>
      </w:r>
      <w:r w:rsidR="00641655" w:rsidRPr="00891718">
        <w:t xml:space="preserve"> </w:t>
      </w:r>
      <w:r w:rsidR="002266DC" w:rsidRPr="00891718">
        <w:t>Although a disinterest in intent might seem at odds with an interest</w:t>
      </w:r>
      <w:r w:rsidR="00B94043" w:rsidRPr="00891718">
        <w:t xml:space="preserve"> in legislative self-interest</w:t>
      </w:r>
      <w:r w:rsidR="00F216B0" w:rsidRPr="00891718">
        <w:t xml:space="preserve"> in campaign finance cases</w:t>
      </w:r>
      <w:r w:rsidR="00B94043" w:rsidRPr="00891718">
        <w:t>, the originalist in Justice Scalia enabled intent to be measured in some rough</w:t>
      </w:r>
      <w:r w:rsidR="008B1066" w:rsidRPr="00891718">
        <w:t>, r</w:t>
      </w:r>
      <w:r w:rsidR="00B94043" w:rsidRPr="00891718">
        <w:t xml:space="preserve">eady </w:t>
      </w:r>
      <w:r w:rsidR="008B1066" w:rsidRPr="00891718">
        <w:t xml:space="preserve">and </w:t>
      </w:r>
      <w:r w:rsidR="00B94043" w:rsidRPr="00891718">
        <w:t>anecdotal way</w:t>
      </w:r>
      <w:r w:rsidR="008B1066" w:rsidRPr="00891718">
        <w:t>.</w:t>
      </w:r>
      <w:r w:rsidR="00B94043" w:rsidRPr="00891718">
        <w:rPr>
          <w:rStyle w:val="FootnoteReference"/>
          <w:sz w:val="24"/>
        </w:rPr>
        <w:footnoteReference w:id="115"/>
      </w:r>
      <w:r w:rsidR="008B1066" w:rsidRPr="00891718">
        <w:t xml:space="preserve"> </w:t>
      </w:r>
      <w:r w:rsidR="00B94043" w:rsidRPr="00891718">
        <w:t>Moreover, i</w:t>
      </w:r>
      <w:r w:rsidR="002266DC" w:rsidRPr="00891718">
        <w:t>n the campaign finance sphere, two fundamental and long-accepted premises also underlie Justice Scalia’s approach.</w:t>
      </w:r>
      <w:r w:rsidR="00D37519" w:rsidRPr="00891718">
        <w:t xml:space="preserve"> First is the idea that the Bill of Rights was intended to prevent government from encroaching upon the liberties of citizens: “[t]he premise of our Bill of Rights … is that there are some things—even some seemingly desirable things—that government cannot be trusted to d</w:t>
      </w:r>
      <w:r w:rsidR="008E68CA" w:rsidRPr="00891718">
        <w:t>o”</w:t>
      </w:r>
      <w:r w:rsidR="00564316" w:rsidRPr="00891718">
        <w:rPr>
          <w:rStyle w:val="FootnoteReference"/>
        </w:rPr>
        <w:footnoteReference w:id="116"/>
      </w:r>
      <w:r w:rsidR="008E68CA" w:rsidRPr="00891718">
        <w:t xml:space="preserve"> </w:t>
      </w:r>
      <w:r w:rsidR="00D37519" w:rsidRPr="00891718">
        <w:t>and, second, the broad assumption is that “there is no such thing as too much speech.”</w:t>
      </w:r>
      <w:r w:rsidR="00D37519" w:rsidRPr="00891718">
        <w:rPr>
          <w:rStyle w:val="FootnoteReference"/>
          <w:sz w:val="24"/>
        </w:rPr>
        <w:footnoteReference w:id="117"/>
      </w:r>
      <w:r w:rsidR="00641655" w:rsidRPr="00891718">
        <w:t xml:space="preserve"> </w:t>
      </w:r>
      <w:r w:rsidR="002266DC" w:rsidRPr="00891718">
        <w:t>Placed together with Ortiz’</w:t>
      </w:r>
      <w:r w:rsidR="00D37519" w:rsidRPr="00891718">
        <w:t xml:space="preserve">s assessment </w:t>
      </w:r>
      <w:r w:rsidR="002266DC" w:rsidRPr="00891718">
        <w:t xml:space="preserve">of </w:t>
      </w:r>
      <w:r w:rsidR="002266DC" w:rsidRPr="00891718">
        <w:rPr>
          <w:i/>
        </w:rPr>
        <w:t>Buckley</w:t>
      </w:r>
      <w:r w:rsidR="002266DC" w:rsidRPr="00891718">
        <w:t>, and in the context of an expansive reading of speech,</w:t>
      </w:r>
      <w:r w:rsidR="008B1066" w:rsidRPr="00891718">
        <w:rPr>
          <w:rStyle w:val="FootnoteReference"/>
          <w:sz w:val="24"/>
        </w:rPr>
        <w:footnoteReference w:id="118"/>
      </w:r>
      <w:r w:rsidR="002266DC" w:rsidRPr="00891718">
        <w:t xml:space="preserve"> a particular reading of democracy</w:t>
      </w:r>
      <w:r w:rsidR="00D37519" w:rsidRPr="00891718">
        <w:t xml:space="preserve">, which Ortiz </w:t>
      </w:r>
      <w:r w:rsidR="008B1066" w:rsidRPr="00891718">
        <w:t xml:space="preserve">traces to </w:t>
      </w:r>
      <w:r w:rsidR="00D37519" w:rsidRPr="00891718">
        <w:rPr>
          <w:i/>
        </w:rPr>
        <w:t>Buckley</w:t>
      </w:r>
      <w:r w:rsidR="008B1066" w:rsidRPr="00891718">
        <w:t xml:space="preserve">, </w:t>
      </w:r>
      <w:r w:rsidR="00D37519" w:rsidRPr="00891718">
        <w:t xml:space="preserve">would inevitably lead to the consistency in campaign finance cases that </w:t>
      </w:r>
      <w:r w:rsidR="00DE0DA4" w:rsidRPr="00891718">
        <w:t>Justice Scalia’s</w:t>
      </w:r>
      <w:r w:rsidR="00D37519" w:rsidRPr="00891718">
        <w:t xml:space="preserve"> campaign finance jurisprudence, for the most part, exhibits.</w:t>
      </w:r>
      <w:r w:rsidR="00B94043" w:rsidRPr="00891718">
        <w:t xml:space="preserve"> It led that way because jurisprudential coherence and consistency emerges more readily out of broad premises and deregulation in a manner that it cannot arise where extensive regulation and </w:t>
      </w:r>
      <w:r w:rsidR="008B1066" w:rsidRPr="00891718">
        <w:t xml:space="preserve">fine </w:t>
      </w:r>
      <w:r w:rsidR="00B94043" w:rsidRPr="00891718">
        <w:t>market adjustments provide the basis for</w:t>
      </w:r>
      <w:r w:rsidR="008B1066" w:rsidRPr="00891718">
        <w:t xml:space="preserve"> democracy’s processes and operation.</w:t>
      </w:r>
      <w:r w:rsidR="007F106F" w:rsidRPr="00891718">
        <w:rPr>
          <w:lang w:val="en-GB"/>
        </w:rPr>
        <w:t xml:space="preserve"> </w:t>
      </w:r>
    </w:p>
    <w:p w14:paraId="398E104E" w14:textId="77777777" w:rsidR="0047148A" w:rsidRPr="00891718" w:rsidRDefault="00641655" w:rsidP="0012760E">
      <w:pPr>
        <w:spacing w:line="480" w:lineRule="auto"/>
        <w:jc w:val="both"/>
        <w:rPr>
          <w:b/>
        </w:rPr>
      </w:pPr>
      <w:r w:rsidRPr="00891718">
        <w:t xml:space="preserve"> </w:t>
      </w:r>
      <w:r w:rsidR="002C4BAE" w:rsidRPr="00891718">
        <w:t xml:space="preserve"> </w:t>
      </w:r>
      <w:bookmarkEnd w:id="0"/>
    </w:p>
    <w:p w14:paraId="1A144160" w14:textId="77777777" w:rsidR="00AD2775" w:rsidRPr="00891718" w:rsidRDefault="00AD2775" w:rsidP="007304C8">
      <w:pPr>
        <w:jc w:val="both"/>
        <w:rPr>
          <w:b/>
          <w:lang w:val="en-GB"/>
        </w:rPr>
      </w:pPr>
    </w:p>
    <w:sectPr w:rsidR="00AD2775" w:rsidRPr="00891718" w:rsidSect="00BE7C3D">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AE08E" w14:textId="77777777" w:rsidR="00D72C9D" w:rsidRDefault="00D72C9D" w:rsidP="00050930">
      <w:r>
        <w:separator/>
      </w:r>
    </w:p>
  </w:endnote>
  <w:endnote w:type="continuationSeparator" w:id="0">
    <w:p w14:paraId="2916B34A" w14:textId="77777777" w:rsidR="00D72C9D" w:rsidRDefault="00D72C9D" w:rsidP="00050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auto"/>
    <w:pitch w:val="variable"/>
    <w:sig w:usb0="E00002FF" w:usb1="2AC7FDFF" w:usb2="00000016" w:usb3="00000000" w:csb0="0002009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9477821"/>
      <w:docPartObj>
        <w:docPartGallery w:val="Page Numbers (Bottom of Page)"/>
        <w:docPartUnique/>
      </w:docPartObj>
    </w:sdtPr>
    <w:sdtEndPr>
      <w:rPr>
        <w:noProof/>
      </w:rPr>
    </w:sdtEndPr>
    <w:sdtContent>
      <w:p w14:paraId="10497ED8" w14:textId="1E79E3F4" w:rsidR="00D72C9D" w:rsidRDefault="00D72C9D">
        <w:pPr>
          <w:pStyle w:val="Footer"/>
          <w:jc w:val="right"/>
        </w:pPr>
        <w:r>
          <w:fldChar w:fldCharType="begin"/>
        </w:r>
        <w:r>
          <w:instrText xml:space="preserve"> PAGE   \* MERGEFORMAT </w:instrText>
        </w:r>
        <w:r>
          <w:fldChar w:fldCharType="separate"/>
        </w:r>
        <w:r w:rsidR="00AA26AC">
          <w:rPr>
            <w:noProof/>
          </w:rPr>
          <w:t>13</w:t>
        </w:r>
        <w:r>
          <w:rPr>
            <w:noProof/>
          </w:rPr>
          <w:fldChar w:fldCharType="end"/>
        </w:r>
      </w:p>
    </w:sdtContent>
  </w:sdt>
  <w:p w14:paraId="6E93CD3A" w14:textId="77777777" w:rsidR="00D72C9D" w:rsidRDefault="00D72C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1735C" w14:textId="77777777" w:rsidR="00D72C9D" w:rsidRDefault="00D72C9D" w:rsidP="00050930">
      <w:r>
        <w:separator/>
      </w:r>
    </w:p>
  </w:footnote>
  <w:footnote w:type="continuationSeparator" w:id="0">
    <w:p w14:paraId="0FC9FAA3" w14:textId="77777777" w:rsidR="00D72C9D" w:rsidRDefault="00D72C9D" w:rsidP="00050930">
      <w:r>
        <w:continuationSeparator/>
      </w:r>
    </w:p>
  </w:footnote>
  <w:footnote w:id="1">
    <w:p w14:paraId="3B6F47B1" w14:textId="0A540D1E" w:rsidR="002A2DF9" w:rsidRPr="00891718" w:rsidRDefault="002A2DF9">
      <w:pPr>
        <w:pStyle w:val="FootnoteText"/>
      </w:pPr>
      <w:r w:rsidRPr="00891718">
        <w:rPr>
          <w:rStyle w:val="FootnoteReference"/>
        </w:rPr>
        <w:sym w:font="Symbol" w:char="F02A"/>
      </w:r>
      <w:r w:rsidRPr="00891718">
        <w:t xml:space="preserve"> Lecturer in Law, </w:t>
      </w:r>
      <w:r w:rsidR="00681837" w:rsidRPr="00891718">
        <w:t>School of Law,</w:t>
      </w:r>
      <w:r w:rsidRPr="00891718">
        <w:t xml:space="preserve"> Royal Holloway</w:t>
      </w:r>
      <w:r w:rsidR="00681837" w:rsidRPr="00891718">
        <w:t xml:space="preserve">, University of London. </w:t>
      </w:r>
    </w:p>
  </w:footnote>
  <w:footnote w:id="2">
    <w:p w14:paraId="7C9D9633" w14:textId="77777777" w:rsidR="00D72C9D" w:rsidRPr="00891718" w:rsidRDefault="00D72C9D">
      <w:pPr>
        <w:pStyle w:val="FootnoteText"/>
      </w:pPr>
      <w:r w:rsidRPr="00891718">
        <w:rPr>
          <w:rStyle w:val="FootnoteReference"/>
        </w:rPr>
        <w:footnoteRef/>
      </w:r>
      <w:r w:rsidRPr="00891718">
        <w:t xml:space="preserve"> 424 U.S. 1 (1976).</w:t>
      </w:r>
    </w:p>
  </w:footnote>
  <w:footnote w:id="3">
    <w:p w14:paraId="44981564" w14:textId="77777777" w:rsidR="00D72C9D" w:rsidRPr="00891718" w:rsidRDefault="00D72C9D">
      <w:pPr>
        <w:pStyle w:val="FootnoteText"/>
      </w:pPr>
      <w:r w:rsidRPr="00891718">
        <w:rPr>
          <w:rStyle w:val="FootnoteReference"/>
        </w:rPr>
        <w:footnoteRef/>
      </w:r>
      <w:r w:rsidRPr="00891718">
        <w:t xml:space="preserve"> </w:t>
      </w:r>
      <w:r w:rsidRPr="00891718">
        <w:rPr>
          <w:i/>
        </w:rPr>
        <w:t>See</w:t>
      </w:r>
      <w:r w:rsidRPr="00891718">
        <w:t xml:space="preserve"> Randall v. Sorrell,</w:t>
      </w:r>
      <w:r w:rsidRPr="00891718">
        <w:rPr>
          <w:i/>
        </w:rPr>
        <w:t xml:space="preserve"> </w:t>
      </w:r>
      <w:r w:rsidRPr="00891718">
        <w:t xml:space="preserve">548 U.S. 230 (2006), Federal Election </w:t>
      </w:r>
      <w:proofErr w:type="spellStart"/>
      <w:r w:rsidRPr="00891718">
        <w:t>Comm’n</w:t>
      </w:r>
      <w:proofErr w:type="spellEnd"/>
      <w:r w:rsidRPr="00891718">
        <w:t xml:space="preserve"> v. Wisconsin Right to Life,</w:t>
      </w:r>
      <w:r w:rsidRPr="00891718">
        <w:rPr>
          <w:i/>
        </w:rPr>
        <w:t xml:space="preserve"> </w:t>
      </w:r>
      <w:r w:rsidRPr="00891718">
        <w:t xml:space="preserve">551 U.S. 449 (2007), Citizens United v. Federal Election </w:t>
      </w:r>
      <w:proofErr w:type="spellStart"/>
      <w:r w:rsidRPr="00891718">
        <w:t>Comm’n</w:t>
      </w:r>
      <w:proofErr w:type="spellEnd"/>
      <w:r w:rsidRPr="00891718">
        <w:t>,</w:t>
      </w:r>
      <w:r w:rsidRPr="00891718">
        <w:rPr>
          <w:i/>
        </w:rPr>
        <w:t xml:space="preserve"> </w:t>
      </w:r>
      <w:r w:rsidRPr="00891718">
        <w:t>558 U.S. 310 (2010).</w:t>
      </w:r>
    </w:p>
  </w:footnote>
  <w:footnote w:id="4">
    <w:p w14:paraId="197988B4" w14:textId="77777777" w:rsidR="00D72C9D" w:rsidRPr="00891718" w:rsidRDefault="00D72C9D" w:rsidP="007353B2">
      <w:pPr>
        <w:pStyle w:val="FootnoteText"/>
        <w:jc w:val="left"/>
      </w:pPr>
      <w:r w:rsidRPr="00891718">
        <w:rPr>
          <w:rStyle w:val="FootnoteReference"/>
        </w:rPr>
        <w:footnoteRef/>
      </w:r>
      <w:r w:rsidRPr="00891718">
        <w:t xml:space="preserve"> Projected figures as at 10 November 2016. </w:t>
      </w:r>
      <w:r w:rsidRPr="00891718">
        <w:rPr>
          <w:i/>
        </w:rPr>
        <w:t>See</w:t>
      </w:r>
      <w:r w:rsidRPr="00891718">
        <w:t xml:space="preserve"> https://www.opensecrets.org/overview/cost.php (accessed 11/10/16), showing total spending as $6,917,161, comprised of $4,266,514,050 for Congressional races and $2,651,122,110 for the Presidential race. </w:t>
      </w:r>
    </w:p>
  </w:footnote>
  <w:footnote w:id="5">
    <w:p w14:paraId="667E2007" w14:textId="77777777" w:rsidR="00D72C9D" w:rsidRPr="00891718" w:rsidRDefault="00D72C9D">
      <w:pPr>
        <w:pStyle w:val="FootnoteText"/>
      </w:pPr>
      <w:r w:rsidRPr="00891718">
        <w:rPr>
          <w:rStyle w:val="FootnoteReference"/>
        </w:rPr>
        <w:footnoteRef/>
      </w:r>
      <w:r w:rsidRPr="00891718">
        <w:t xml:space="preserve"> </w:t>
      </w:r>
      <w:r w:rsidRPr="00891718">
        <w:rPr>
          <w:i/>
        </w:rPr>
        <w:t>See</w:t>
      </w:r>
      <w:r w:rsidRPr="00891718">
        <w:t xml:space="preserve">, e.g., Erwin </w:t>
      </w:r>
      <w:proofErr w:type="spellStart"/>
      <w:r w:rsidRPr="00891718">
        <w:t>Chemerinsky</w:t>
      </w:r>
      <w:proofErr w:type="spellEnd"/>
      <w:r w:rsidRPr="00891718">
        <w:t>,</w:t>
      </w:r>
      <w:r w:rsidRPr="00891718">
        <w:rPr>
          <w:i/>
        </w:rPr>
        <w:t xml:space="preserve"> Not a Free Speech Court, </w:t>
      </w:r>
      <w:r w:rsidRPr="00891718">
        <w:t xml:space="preserve">53 </w:t>
      </w:r>
      <w:r w:rsidRPr="00891718">
        <w:rPr>
          <w:smallCaps/>
        </w:rPr>
        <w:t>Ariz. L. Rev</w:t>
      </w:r>
      <w:r w:rsidRPr="00891718">
        <w:t>. 723 (2011).</w:t>
      </w:r>
    </w:p>
  </w:footnote>
  <w:footnote w:id="6">
    <w:p w14:paraId="0F9FA70E" w14:textId="77777777" w:rsidR="00D72C9D" w:rsidRPr="00891718" w:rsidRDefault="00D72C9D">
      <w:pPr>
        <w:pStyle w:val="FootnoteText"/>
        <w:rPr>
          <w:i/>
          <w:lang w:val="en-US"/>
        </w:rPr>
      </w:pPr>
      <w:r w:rsidRPr="00891718">
        <w:rPr>
          <w:rStyle w:val="FootnoteReference"/>
        </w:rPr>
        <w:footnoteRef/>
      </w:r>
      <w:r w:rsidRPr="00891718">
        <w:t xml:space="preserve"> On Justice Scalia’s writing style, </w:t>
      </w:r>
      <w:r w:rsidRPr="00891718">
        <w:rPr>
          <w:i/>
        </w:rPr>
        <w:t>see</w:t>
      </w:r>
      <w:r w:rsidRPr="00891718">
        <w:t xml:space="preserve"> Charles Fried, </w:t>
      </w:r>
      <w:r w:rsidRPr="00891718">
        <w:rPr>
          <w:i/>
        </w:rPr>
        <w:t xml:space="preserve">Manners </w:t>
      </w:r>
      <w:proofErr w:type="spellStart"/>
      <w:r w:rsidRPr="00891718">
        <w:rPr>
          <w:i/>
        </w:rPr>
        <w:t>Makyth</w:t>
      </w:r>
      <w:proofErr w:type="spellEnd"/>
      <w:r w:rsidRPr="00891718">
        <w:rPr>
          <w:i/>
        </w:rPr>
        <w:t xml:space="preserve"> Man: The Prose Style of Justice Scalia, </w:t>
      </w:r>
      <w:r w:rsidRPr="00891718">
        <w:rPr>
          <w:lang w:val="en-US"/>
        </w:rPr>
        <w:t xml:space="preserve">16 </w:t>
      </w:r>
      <w:proofErr w:type="spellStart"/>
      <w:r w:rsidRPr="00891718">
        <w:rPr>
          <w:smallCaps/>
        </w:rPr>
        <w:t>Harv</w:t>
      </w:r>
      <w:proofErr w:type="spellEnd"/>
      <w:r w:rsidRPr="00891718">
        <w:rPr>
          <w:smallCaps/>
          <w:lang w:val="en-US"/>
        </w:rPr>
        <w:t>.</w:t>
      </w:r>
      <w:r w:rsidRPr="00891718">
        <w:rPr>
          <w:smallCaps/>
        </w:rPr>
        <w:t xml:space="preserve"> J</w:t>
      </w:r>
      <w:r w:rsidRPr="00891718">
        <w:rPr>
          <w:smallCaps/>
          <w:lang w:val="en-US"/>
        </w:rPr>
        <w:t>.</w:t>
      </w:r>
      <w:r w:rsidRPr="00891718">
        <w:rPr>
          <w:smallCaps/>
        </w:rPr>
        <w:t xml:space="preserve"> L</w:t>
      </w:r>
      <w:r w:rsidRPr="00891718">
        <w:rPr>
          <w:smallCaps/>
          <w:lang w:val="en-US"/>
        </w:rPr>
        <w:t>.</w:t>
      </w:r>
      <w:r w:rsidRPr="00891718">
        <w:rPr>
          <w:smallCaps/>
        </w:rPr>
        <w:t xml:space="preserve"> &amp; Pub</w:t>
      </w:r>
      <w:r w:rsidRPr="00891718">
        <w:rPr>
          <w:smallCaps/>
          <w:lang w:val="en-US"/>
        </w:rPr>
        <w:t>.</w:t>
      </w:r>
      <w:r w:rsidRPr="00891718">
        <w:rPr>
          <w:smallCaps/>
        </w:rPr>
        <w:t xml:space="preserve"> </w:t>
      </w:r>
      <w:proofErr w:type="spellStart"/>
      <w:r w:rsidRPr="00891718">
        <w:rPr>
          <w:smallCaps/>
        </w:rPr>
        <w:t>Pol'y</w:t>
      </w:r>
      <w:proofErr w:type="spellEnd"/>
      <w:r w:rsidRPr="00891718">
        <w:rPr>
          <w:smallCaps/>
          <w:lang w:val="en-US"/>
        </w:rPr>
        <w:t>,</w:t>
      </w:r>
      <w:r w:rsidRPr="00891718">
        <w:rPr>
          <w:lang w:val="en-US"/>
        </w:rPr>
        <w:t xml:space="preserve"> 529 (1993); </w:t>
      </w:r>
      <w:proofErr w:type="spellStart"/>
      <w:r w:rsidRPr="00891718">
        <w:rPr>
          <w:lang w:val="en-US"/>
        </w:rPr>
        <w:t>Kapgan</w:t>
      </w:r>
      <w:proofErr w:type="spellEnd"/>
      <w:r w:rsidRPr="00891718">
        <w:rPr>
          <w:lang w:val="en-US"/>
        </w:rPr>
        <w:t xml:space="preserve">, </w:t>
      </w:r>
      <w:r w:rsidRPr="00891718">
        <w:rPr>
          <w:i/>
        </w:rPr>
        <w:t xml:space="preserve">Of Golf and Ghouls: The Prose Style of Justice Scalia, </w:t>
      </w:r>
      <w:r w:rsidRPr="00891718">
        <w:t xml:space="preserve">9 </w:t>
      </w:r>
      <w:r w:rsidRPr="00891718">
        <w:rPr>
          <w:smallCaps/>
        </w:rPr>
        <w:t xml:space="preserve">J. .Leg. Writing </w:t>
      </w:r>
      <w:proofErr w:type="spellStart"/>
      <w:r w:rsidRPr="00891718">
        <w:rPr>
          <w:smallCaps/>
        </w:rPr>
        <w:t>Insti</w:t>
      </w:r>
      <w:proofErr w:type="spellEnd"/>
      <w:r w:rsidRPr="00891718">
        <w:rPr>
          <w:smallCaps/>
        </w:rPr>
        <w:t>.</w:t>
      </w:r>
      <w:r w:rsidRPr="00891718">
        <w:t xml:space="preserve"> 71 (2003).</w:t>
      </w:r>
    </w:p>
  </w:footnote>
  <w:footnote w:id="7">
    <w:p w14:paraId="7AD876E2" w14:textId="77777777" w:rsidR="00D72C9D" w:rsidRPr="00891718" w:rsidRDefault="00D72C9D">
      <w:pPr>
        <w:pStyle w:val="FootnoteText"/>
      </w:pPr>
      <w:r w:rsidRPr="00891718">
        <w:rPr>
          <w:rStyle w:val="FootnoteReference"/>
        </w:rPr>
        <w:footnoteRef/>
      </w:r>
      <w:r w:rsidRPr="00891718">
        <w:t xml:space="preserve"> </w:t>
      </w:r>
      <w:r w:rsidRPr="00891718">
        <w:rPr>
          <w:i/>
        </w:rPr>
        <w:t xml:space="preserve">First Presidential Debate, </w:t>
      </w:r>
      <w:r w:rsidRPr="00891718">
        <w:t>Sep. 26, 2016.</w:t>
      </w:r>
    </w:p>
  </w:footnote>
  <w:footnote w:id="8">
    <w:p w14:paraId="5D55C226" w14:textId="77777777" w:rsidR="00D72C9D" w:rsidRPr="00891718" w:rsidRDefault="00D72C9D">
      <w:pPr>
        <w:pStyle w:val="FootnoteText"/>
      </w:pPr>
      <w:r w:rsidRPr="00891718">
        <w:rPr>
          <w:rStyle w:val="FootnoteReference"/>
        </w:rPr>
        <w:footnoteRef/>
      </w:r>
      <w:r w:rsidRPr="00891718">
        <w:t xml:space="preserve"> https://www.donaldjtrump.com/press-releases/trump-pledges-to-drain-the-swamp (Last visited Nov. 11, 2016).</w:t>
      </w:r>
    </w:p>
  </w:footnote>
  <w:footnote w:id="9">
    <w:p w14:paraId="3E0603FF" w14:textId="77777777" w:rsidR="00D72C9D" w:rsidRPr="00891718" w:rsidRDefault="00D72C9D" w:rsidP="00195E8F">
      <w:pPr>
        <w:rPr>
          <w:rFonts w:eastAsia="Times New Roman"/>
          <w:sz w:val="20"/>
          <w:szCs w:val="20"/>
        </w:rPr>
      </w:pPr>
      <w:r w:rsidRPr="00891718">
        <w:rPr>
          <w:rStyle w:val="FootnoteReference"/>
          <w:szCs w:val="20"/>
        </w:rPr>
        <w:footnoteRef/>
      </w:r>
      <w:r w:rsidRPr="00891718">
        <w:rPr>
          <w:sz w:val="20"/>
          <w:szCs w:val="20"/>
        </w:rPr>
        <w:t xml:space="preserve"> Richard L. </w:t>
      </w:r>
      <w:proofErr w:type="spellStart"/>
      <w:r w:rsidRPr="00891718">
        <w:rPr>
          <w:sz w:val="20"/>
          <w:szCs w:val="20"/>
        </w:rPr>
        <w:t>Hasen</w:t>
      </w:r>
      <w:proofErr w:type="spellEnd"/>
      <w:r w:rsidRPr="00891718">
        <w:rPr>
          <w:sz w:val="20"/>
          <w:szCs w:val="20"/>
        </w:rPr>
        <w:t xml:space="preserve">, </w:t>
      </w:r>
      <w:r w:rsidRPr="00891718">
        <w:rPr>
          <w:i/>
          <w:sz w:val="20"/>
          <w:szCs w:val="20"/>
        </w:rPr>
        <w:t>After Scalia: The Future of United States Election Law</w:t>
      </w:r>
      <w:r w:rsidRPr="00891718">
        <w:rPr>
          <w:sz w:val="20"/>
          <w:szCs w:val="20"/>
        </w:rPr>
        <w:t xml:space="preserve"> School of Law, </w:t>
      </w:r>
      <w:proofErr w:type="spellStart"/>
      <w:r w:rsidRPr="00891718">
        <w:rPr>
          <w:sz w:val="20"/>
          <w:szCs w:val="20"/>
        </w:rPr>
        <w:t>U.C.Irvine</w:t>
      </w:r>
      <w:proofErr w:type="spellEnd"/>
      <w:r w:rsidRPr="00891718">
        <w:rPr>
          <w:sz w:val="20"/>
          <w:szCs w:val="20"/>
        </w:rPr>
        <w:t xml:space="preserve"> Sch. of Law</w:t>
      </w:r>
      <w:r w:rsidRPr="00891718">
        <w:rPr>
          <w:rFonts w:eastAsia="Times New Roman"/>
          <w:sz w:val="20"/>
          <w:szCs w:val="20"/>
        </w:rPr>
        <w:t xml:space="preserve"> Research Paper Series No 2016-14, available at</w:t>
      </w:r>
    </w:p>
    <w:p w14:paraId="07D41F76" w14:textId="77777777" w:rsidR="00D72C9D" w:rsidRPr="00891718" w:rsidRDefault="00D72C9D" w:rsidP="00871A4F">
      <w:pPr>
        <w:pStyle w:val="FootnoteText"/>
        <w:jc w:val="left"/>
      </w:pPr>
      <w:r w:rsidRPr="00891718">
        <w:t xml:space="preserve">https://papers.ssrn.com/sol3/papers.cfm?abstract_id=2763713. </w:t>
      </w:r>
    </w:p>
  </w:footnote>
  <w:footnote w:id="10">
    <w:p w14:paraId="6FC7B2D4" w14:textId="77777777" w:rsidR="00D72C9D" w:rsidRPr="00891718" w:rsidRDefault="00D72C9D">
      <w:pPr>
        <w:pStyle w:val="FootnoteText"/>
      </w:pPr>
      <w:r w:rsidRPr="00891718">
        <w:rPr>
          <w:rStyle w:val="FootnoteReference"/>
        </w:rPr>
        <w:footnoteRef/>
      </w:r>
      <w:r w:rsidRPr="00891718">
        <w:t xml:space="preserve"> </w:t>
      </w:r>
      <w:r w:rsidRPr="00891718">
        <w:rPr>
          <w:i/>
        </w:rPr>
        <w:t>See</w:t>
      </w:r>
      <w:r w:rsidRPr="00891718">
        <w:t xml:space="preserve"> </w:t>
      </w:r>
      <w:proofErr w:type="spellStart"/>
      <w:r w:rsidRPr="00891718">
        <w:t>Hasen</w:t>
      </w:r>
      <w:proofErr w:type="spellEnd"/>
      <w:r w:rsidRPr="00891718">
        <w:t xml:space="preserve">, </w:t>
      </w:r>
      <w:r w:rsidRPr="00891718">
        <w:rPr>
          <w:i/>
        </w:rPr>
        <w:t xml:space="preserve">supra </w:t>
      </w:r>
      <w:r w:rsidRPr="00891718">
        <w:t>note</w:t>
      </w:r>
      <w:r w:rsidRPr="00891718">
        <w:rPr>
          <w:i/>
        </w:rPr>
        <w:t xml:space="preserve"> </w:t>
      </w:r>
      <w:r w:rsidRPr="00891718">
        <w:t>8, at 2.</w:t>
      </w:r>
    </w:p>
  </w:footnote>
  <w:footnote w:id="11">
    <w:p w14:paraId="5B245B5C" w14:textId="77777777" w:rsidR="00D72C9D" w:rsidRPr="00891718" w:rsidRDefault="00D72C9D">
      <w:pPr>
        <w:pStyle w:val="FootnoteText"/>
      </w:pPr>
      <w:r w:rsidRPr="00891718">
        <w:rPr>
          <w:rStyle w:val="FootnoteReference"/>
        </w:rPr>
        <w:footnoteRef/>
      </w:r>
      <w:r w:rsidRPr="00891718">
        <w:t xml:space="preserve"> Richard L. </w:t>
      </w:r>
      <w:proofErr w:type="spellStart"/>
      <w:r w:rsidRPr="00891718">
        <w:t>Hasen</w:t>
      </w:r>
      <w:proofErr w:type="spellEnd"/>
      <w:r w:rsidRPr="00891718">
        <w:t xml:space="preserve">, </w:t>
      </w:r>
      <w:r w:rsidRPr="00891718">
        <w:rPr>
          <w:i/>
        </w:rPr>
        <w:t>No Exit? The Roberts Court and the Future of Election Law</w:t>
      </w:r>
      <w:r w:rsidRPr="00891718">
        <w:t>,</w:t>
      </w:r>
      <w:r w:rsidRPr="00891718">
        <w:rPr>
          <w:i/>
        </w:rPr>
        <w:t xml:space="preserve"> </w:t>
      </w:r>
      <w:r w:rsidRPr="00891718">
        <w:t xml:space="preserve">57 </w:t>
      </w:r>
      <w:r w:rsidRPr="00891718">
        <w:rPr>
          <w:smallCaps/>
        </w:rPr>
        <w:t>S.C. L. Rev.</w:t>
      </w:r>
      <w:r w:rsidRPr="00891718">
        <w:t xml:space="preserve"> 669, 673 (2006).</w:t>
      </w:r>
    </w:p>
  </w:footnote>
  <w:footnote w:id="12">
    <w:p w14:paraId="1CD1CB70" w14:textId="77777777" w:rsidR="00D72C9D" w:rsidRPr="00891718" w:rsidRDefault="00D72C9D">
      <w:pPr>
        <w:pStyle w:val="FootnoteText"/>
      </w:pPr>
      <w:r w:rsidRPr="00891718">
        <w:rPr>
          <w:rStyle w:val="FootnoteReference"/>
        </w:rPr>
        <w:footnoteRef/>
      </w:r>
      <w:r w:rsidRPr="00891718">
        <w:t xml:space="preserve"> </w:t>
      </w:r>
      <w:r w:rsidRPr="00891718">
        <w:rPr>
          <w:i/>
        </w:rPr>
        <w:t>See</w:t>
      </w:r>
      <w:r w:rsidRPr="00891718">
        <w:t xml:space="preserve"> </w:t>
      </w:r>
      <w:proofErr w:type="spellStart"/>
      <w:r w:rsidRPr="00891718">
        <w:t>Hasen</w:t>
      </w:r>
      <w:proofErr w:type="spellEnd"/>
      <w:r w:rsidRPr="00891718">
        <w:t xml:space="preserve">, </w:t>
      </w:r>
      <w:r w:rsidRPr="00891718">
        <w:rPr>
          <w:i/>
        </w:rPr>
        <w:t xml:space="preserve">supra </w:t>
      </w:r>
      <w:r w:rsidRPr="00891718">
        <w:t>note 8.</w:t>
      </w:r>
    </w:p>
  </w:footnote>
  <w:footnote w:id="13">
    <w:p w14:paraId="37765A8F" w14:textId="77777777" w:rsidR="00D72C9D" w:rsidRPr="00891718" w:rsidRDefault="00D72C9D">
      <w:pPr>
        <w:pStyle w:val="FootnoteText"/>
      </w:pPr>
      <w:r w:rsidRPr="00891718">
        <w:rPr>
          <w:rStyle w:val="FootnoteReference"/>
        </w:rPr>
        <w:footnoteRef/>
      </w:r>
      <w:r w:rsidRPr="00891718">
        <w:t xml:space="preserve"> 424 U.S. 1 259 (1976).</w:t>
      </w:r>
    </w:p>
  </w:footnote>
  <w:footnote w:id="14">
    <w:p w14:paraId="527CF5BE" w14:textId="77777777" w:rsidR="00D72C9D" w:rsidRPr="00891718" w:rsidRDefault="00D72C9D">
      <w:pPr>
        <w:pStyle w:val="FootnoteText"/>
      </w:pPr>
      <w:r w:rsidRPr="00891718">
        <w:rPr>
          <w:rStyle w:val="FootnoteReference"/>
        </w:rPr>
        <w:footnoteRef/>
      </w:r>
      <w:r w:rsidRPr="00891718">
        <w:t xml:space="preserve"> </w:t>
      </w:r>
      <w:r w:rsidRPr="00891718">
        <w:rPr>
          <w:i/>
        </w:rPr>
        <w:t xml:space="preserve">Id. </w:t>
      </w:r>
      <w:r w:rsidRPr="00891718">
        <w:t>at 49.</w:t>
      </w:r>
    </w:p>
  </w:footnote>
  <w:footnote w:id="15">
    <w:p w14:paraId="1EEC530A" w14:textId="77777777" w:rsidR="00D72C9D" w:rsidRPr="00891718" w:rsidRDefault="00D72C9D" w:rsidP="00A367E3">
      <w:pPr>
        <w:pStyle w:val="FootnoteText"/>
        <w:rPr>
          <w:i/>
        </w:rPr>
      </w:pPr>
      <w:r w:rsidRPr="00891718">
        <w:rPr>
          <w:rStyle w:val="FootnoteReference"/>
        </w:rPr>
        <w:footnoteRef/>
      </w:r>
      <w:r w:rsidRPr="00891718">
        <w:t xml:space="preserve"> Daniel D. </w:t>
      </w:r>
      <w:proofErr w:type="spellStart"/>
      <w:r w:rsidRPr="00891718">
        <w:t>Polsby</w:t>
      </w:r>
      <w:proofErr w:type="spellEnd"/>
      <w:r w:rsidRPr="00891718">
        <w:t xml:space="preserve">, Buckley v. </w:t>
      </w:r>
      <w:proofErr w:type="spellStart"/>
      <w:r w:rsidRPr="00891718">
        <w:t>Valeo</w:t>
      </w:r>
      <w:proofErr w:type="spellEnd"/>
      <w:r w:rsidRPr="00891718">
        <w:t xml:space="preserve">: </w:t>
      </w:r>
      <w:r w:rsidRPr="00891718">
        <w:rPr>
          <w:i/>
        </w:rPr>
        <w:t>The Special Nature of Political Speech</w:t>
      </w:r>
      <w:r w:rsidRPr="00891718">
        <w:t xml:space="preserve">, </w:t>
      </w:r>
      <w:r w:rsidRPr="00891718">
        <w:rPr>
          <w:smallCaps/>
        </w:rPr>
        <w:t>Sup. Ct. Rev.</w:t>
      </w:r>
      <w:r w:rsidRPr="00891718">
        <w:t xml:space="preserve"> 5 (1976).</w:t>
      </w:r>
    </w:p>
  </w:footnote>
  <w:footnote w:id="16">
    <w:p w14:paraId="6B3A7861" w14:textId="77777777" w:rsidR="00D72C9D" w:rsidRPr="00891718" w:rsidRDefault="00D72C9D" w:rsidP="00A367E3">
      <w:pPr>
        <w:pStyle w:val="FootnoteText"/>
      </w:pPr>
      <w:r w:rsidRPr="00891718">
        <w:rPr>
          <w:rStyle w:val="FootnoteReference"/>
        </w:rPr>
        <w:footnoteRef/>
      </w:r>
      <w:r w:rsidRPr="00891718">
        <w:t xml:space="preserve"> </w:t>
      </w:r>
      <w:r w:rsidRPr="00891718">
        <w:rPr>
          <w:i/>
        </w:rPr>
        <w:t>Id</w:t>
      </w:r>
      <w:r w:rsidRPr="00891718">
        <w:t>.</w:t>
      </w:r>
      <w:r w:rsidRPr="00891718">
        <w:rPr>
          <w:i/>
        </w:rPr>
        <w:t xml:space="preserve"> </w:t>
      </w:r>
      <w:r w:rsidRPr="00891718">
        <w:t>at 42.</w:t>
      </w:r>
    </w:p>
  </w:footnote>
  <w:footnote w:id="17">
    <w:p w14:paraId="3D290199" w14:textId="77777777" w:rsidR="00D72C9D" w:rsidRPr="00891718" w:rsidRDefault="00D72C9D" w:rsidP="00A367E3">
      <w:pPr>
        <w:pStyle w:val="FootnoteText"/>
      </w:pPr>
      <w:r w:rsidRPr="00891718">
        <w:rPr>
          <w:rStyle w:val="FootnoteReference"/>
        </w:rPr>
        <w:footnoteRef/>
      </w:r>
      <w:r w:rsidRPr="00891718">
        <w:t xml:space="preserve"> </w:t>
      </w:r>
      <w:r w:rsidRPr="00891718">
        <w:rPr>
          <w:i/>
        </w:rPr>
        <w:t xml:space="preserve">Id. </w:t>
      </w:r>
      <w:r w:rsidRPr="00891718">
        <w:t>at 14.</w:t>
      </w:r>
    </w:p>
  </w:footnote>
  <w:footnote w:id="18">
    <w:p w14:paraId="692F14D5" w14:textId="77777777" w:rsidR="00D72C9D" w:rsidRPr="00891718" w:rsidRDefault="00D72C9D" w:rsidP="00A367E3">
      <w:pPr>
        <w:pStyle w:val="FootnoteText"/>
        <w:rPr>
          <w:i/>
        </w:rPr>
      </w:pPr>
      <w:r w:rsidRPr="00891718">
        <w:rPr>
          <w:rStyle w:val="FootnoteReference"/>
        </w:rPr>
        <w:footnoteRef/>
      </w:r>
      <w:r w:rsidRPr="00891718">
        <w:t xml:space="preserve"> </w:t>
      </w:r>
      <w:r w:rsidRPr="00891718">
        <w:rPr>
          <w:iCs/>
        </w:rPr>
        <w:t>Austin v. Michigan Chamber of Comm.,</w:t>
      </w:r>
      <w:r w:rsidRPr="00891718">
        <w:t xml:space="preserve"> 494 U.S. 652, 683 (1990) (Scalia, J., dissenting). Later, Justice Scalia would join Justice Thomas in maintaining that </w:t>
      </w:r>
      <w:r w:rsidRPr="00891718">
        <w:rPr>
          <w:i/>
        </w:rPr>
        <w:t xml:space="preserve">Buckley </w:t>
      </w:r>
      <w:r w:rsidRPr="00891718">
        <w:t xml:space="preserve">should be overruled because it “provided </w:t>
      </w:r>
      <w:r w:rsidRPr="00891718">
        <w:rPr>
          <w:i/>
        </w:rPr>
        <w:t>insufficient</w:t>
      </w:r>
      <w:r w:rsidRPr="00891718">
        <w:t xml:space="preserve"> protection to political speech”: </w:t>
      </w:r>
      <w:r w:rsidRPr="00891718">
        <w:rPr>
          <w:i/>
        </w:rPr>
        <w:t>Randall v. Sorrell</w:t>
      </w:r>
      <w:r w:rsidRPr="00891718">
        <w:t>,</w:t>
      </w:r>
      <w:r w:rsidRPr="00891718">
        <w:rPr>
          <w:i/>
        </w:rPr>
        <w:t xml:space="preserve"> </w:t>
      </w:r>
      <w:r w:rsidRPr="00891718">
        <w:t xml:space="preserve">548 U.S. 230, 230 (2006) emphasis added. </w:t>
      </w:r>
    </w:p>
  </w:footnote>
  <w:footnote w:id="19">
    <w:p w14:paraId="4E3F2FCE" w14:textId="77777777" w:rsidR="00D72C9D" w:rsidRPr="00891718" w:rsidRDefault="00D72C9D" w:rsidP="006F7C99">
      <w:pPr>
        <w:rPr>
          <w:color w:val="333333"/>
          <w:sz w:val="20"/>
          <w:szCs w:val="20"/>
          <w:shd w:val="clear" w:color="auto" w:fill="FFFFFF"/>
        </w:rPr>
      </w:pPr>
      <w:r w:rsidRPr="00891718">
        <w:rPr>
          <w:rStyle w:val="FootnoteReference"/>
          <w:szCs w:val="20"/>
        </w:rPr>
        <w:footnoteRef/>
      </w:r>
      <w:r w:rsidRPr="00891718">
        <w:rPr>
          <w:sz w:val="20"/>
          <w:szCs w:val="20"/>
        </w:rPr>
        <w:t xml:space="preserve"> Explicitly acknowledging the importance of the </w:t>
      </w:r>
      <w:r w:rsidRPr="00891718">
        <w:rPr>
          <w:rFonts w:eastAsia="Times New Roman"/>
          <w:color w:val="333333"/>
          <w:sz w:val="20"/>
          <w:szCs w:val="20"/>
          <w:shd w:val="clear" w:color="auto" w:fill="FFFFFF"/>
        </w:rPr>
        <w:t xml:space="preserve">“seminal” case of </w:t>
      </w:r>
      <w:r w:rsidRPr="00891718">
        <w:rPr>
          <w:rFonts w:eastAsia="Times New Roman"/>
          <w:i/>
          <w:iCs/>
          <w:color w:val="333333"/>
          <w:sz w:val="20"/>
          <w:szCs w:val="20"/>
          <w:shd w:val="clear" w:color="auto" w:fill="FFFFFF"/>
        </w:rPr>
        <w:t>Buckley</w:t>
      </w:r>
      <w:r w:rsidRPr="00891718">
        <w:rPr>
          <w:rStyle w:val="apple-converted-space"/>
          <w:color w:val="333333"/>
          <w:sz w:val="20"/>
          <w:szCs w:val="20"/>
          <w:shd w:val="clear" w:color="auto" w:fill="FFFFFF"/>
        </w:rPr>
        <w:t> </w:t>
      </w:r>
      <w:r w:rsidRPr="00891718">
        <w:rPr>
          <w:rFonts w:eastAsia="Times New Roman"/>
          <w:color w:val="333333"/>
          <w:sz w:val="20"/>
          <w:szCs w:val="20"/>
          <w:shd w:val="clear" w:color="auto" w:fill="FFFFFF"/>
        </w:rPr>
        <w:t>v.</w:t>
      </w:r>
      <w:r w:rsidRPr="00891718">
        <w:rPr>
          <w:rStyle w:val="apple-converted-space"/>
          <w:color w:val="333333"/>
          <w:sz w:val="20"/>
          <w:szCs w:val="20"/>
          <w:shd w:val="clear" w:color="auto" w:fill="FFFFFF"/>
        </w:rPr>
        <w:t> </w:t>
      </w:r>
      <w:proofErr w:type="spellStart"/>
      <w:r w:rsidRPr="00891718">
        <w:rPr>
          <w:rFonts w:eastAsia="Times New Roman"/>
          <w:i/>
          <w:iCs/>
          <w:color w:val="333333"/>
          <w:sz w:val="20"/>
          <w:szCs w:val="20"/>
          <w:shd w:val="clear" w:color="auto" w:fill="FFFFFF"/>
        </w:rPr>
        <w:t>Valeo</w:t>
      </w:r>
      <w:proofErr w:type="spellEnd"/>
      <w:r w:rsidRPr="00891718">
        <w:rPr>
          <w:rStyle w:val="apple-converted-space"/>
          <w:color w:val="333333"/>
          <w:sz w:val="20"/>
          <w:szCs w:val="20"/>
          <w:shd w:val="clear" w:color="auto" w:fill="FFFFFF"/>
        </w:rPr>
        <w:t xml:space="preserve"> in </w:t>
      </w:r>
      <w:r w:rsidRPr="00891718">
        <w:rPr>
          <w:rStyle w:val="apple-converted-space"/>
          <w:i/>
          <w:color w:val="333333"/>
          <w:sz w:val="20"/>
          <w:szCs w:val="20"/>
          <w:shd w:val="clear" w:color="auto" w:fill="FFFFFF"/>
        </w:rPr>
        <w:t xml:space="preserve">Federal Election </w:t>
      </w:r>
      <w:proofErr w:type="spellStart"/>
      <w:r w:rsidRPr="00891718">
        <w:rPr>
          <w:rStyle w:val="apple-converted-space"/>
          <w:i/>
          <w:color w:val="333333"/>
          <w:sz w:val="20"/>
          <w:szCs w:val="20"/>
          <w:shd w:val="clear" w:color="auto" w:fill="FFFFFF"/>
        </w:rPr>
        <w:t>Comm’n</w:t>
      </w:r>
      <w:proofErr w:type="spellEnd"/>
      <w:r w:rsidRPr="00891718">
        <w:rPr>
          <w:rStyle w:val="apple-converted-space"/>
          <w:color w:val="333333"/>
          <w:sz w:val="20"/>
          <w:szCs w:val="20"/>
          <w:shd w:val="clear" w:color="auto" w:fill="FFFFFF"/>
        </w:rPr>
        <w:t xml:space="preserve"> </w:t>
      </w:r>
      <w:proofErr w:type="spellStart"/>
      <w:r w:rsidRPr="00891718">
        <w:rPr>
          <w:rStyle w:val="apple-converted-space"/>
          <w:i/>
          <w:color w:val="333333"/>
          <w:sz w:val="20"/>
          <w:szCs w:val="20"/>
          <w:shd w:val="clear" w:color="auto" w:fill="FFFFFF"/>
        </w:rPr>
        <w:t>v</w:t>
      </w:r>
      <w:r w:rsidRPr="00891718">
        <w:rPr>
          <w:rStyle w:val="apple-converted-space"/>
          <w:color w:val="333333"/>
          <w:sz w:val="20"/>
          <w:szCs w:val="20"/>
          <w:shd w:val="clear" w:color="auto" w:fill="FFFFFF"/>
        </w:rPr>
        <w:t>.</w:t>
      </w:r>
      <w:r w:rsidRPr="00891718">
        <w:rPr>
          <w:rStyle w:val="apple-converted-space"/>
          <w:i/>
          <w:color w:val="333333"/>
          <w:sz w:val="20"/>
          <w:szCs w:val="20"/>
          <w:shd w:val="clear" w:color="auto" w:fill="FFFFFF"/>
        </w:rPr>
        <w:t>Wisconsin</w:t>
      </w:r>
      <w:proofErr w:type="spellEnd"/>
      <w:r w:rsidRPr="00891718">
        <w:rPr>
          <w:rStyle w:val="apple-converted-space"/>
          <w:i/>
          <w:color w:val="333333"/>
          <w:sz w:val="20"/>
          <w:szCs w:val="20"/>
          <w:shd w:val="clear" w:color="auto" w:fill="FFFFFF"/>
        </w:rPr>
        <w:t xml:space="preserve"> Right to Life, </w:t>
      </w:r>
      <w:r w:rsidRPr="00891718">
        <w:rPr>
          <w:color w:val="333333"/>
          <w:sz w:val="20"/>
          <w:szCs w:val="20"/>
          <w:shd w:val="clear" w:color="auto" w:fill="FFFFFF"/>
        </w:rPr>
        <w:t xml:space="preserve">551 U.S. 449, </w:t>
      </w:r>
      <w:r w:rsidRPr="00891718">
        <w:rPr>
          <w:color w:val="000000" w:themeColor="text1"/>
          <w:sz w:val="20"/>
          <w:szCs w:val="20"/>
          <w:shd w:val="clear" w:color="auto" w:fill="FFFFFF"/>
        </w:rPr>
        <w:t>485</w:t>
      </w:r>
      <w:r w:rsidRPr="00891718">
        <w:rPr>
          <w:color w:val="333333"/>
          <w:sz w:val="20"/>
          <w:szCs w:val="20"/>
          <w:shd w:val="clear" w:color="auto" w:fill="FFFFFF"/>
        </w:rPr>
        <w:t xml:space="preserve"> (2007).</w:t>
      </w:r>
    </w:p>
  </w:footnote>
  <w:footnote w:id="20">
    <w:p w14:paraId="6919D869" w14:textId="77777777" w:rsidR="00D72C9D" w:rsidRPr="00891718" w:rsidRDefault="00D72C9D" w:rsidP="00235F85">
      <w:pPr>
        <w:pStyle w:val="FootnoteText"/>
        <w:rPr>
          <w:b/>
          <w:bCs/>
          <w:i/>
          <w:lang w:val="en-US"/>
        </w:rPr>
      </w:pPr>
      <w:r w:rsidRPr="00891718">
        <w:rPr>
          <w:rStyle w:val="FootnoteReference"/>
        </w:rPr>
        <w:footnoteRef/>
      </w:r>
      <w:r w:rsidRPr="00891718">
        <w:t xml:space="preserve"> Joining Justice Kennedy in dissent, stating “[t]he more narrow alternative of recordkeeping and funding disclosure is available.” Austin v. Michigan,</w:t>
      </w:r>
      <w:r w:rsidRPr="00891718">
        <w:rPr>
          <w:i/>
        </w:rPr>
        <w:t xml:space="preserve"> </w:t>
      </w:r>
      <w:r w:rsidRPr="00891718">
        <w:rPr>
          <w:bCs/>
          <w:lang w:val="en-US"/>
        </w:rPr>
        <w:t>494 U.S. 652, 707 (1990).</w:t>
      </w:r>
    </w:p>
  </w:footnote>
  <w:footnote w:id="21">
    <w:p w14:paraId="1F902789" w14:textId="77777777" w:rsidR="00D72C9D" w:rsidRPr="00891718" w:rsidRDefault="00D72C9D" w:rsidP="003B16D4">
      <w:pPr>
        <w:pStyle w:val="FootnoteText"/>
      </w:pPr>
      <w:r w:rsidRPr="00891718">
        <w:rPr>
          <w:rStyle w:val="FootnoteReference"/>
        </w:rPr>
        <w:footnoteRef/>
      </w:r>
      <w:r w:rsidRPr="00891718">
        <w:t xml:space="preserve"> </w:t>
      </w:r>
      <w:r w:rsidRPr="00891718">
        <w:rPr>
          <w:i/>
        </w:rPr>
        <w:t xml:space="preserve">Id. </w:t>
      </w:r>
      <w:r w:rsidRPr="00891718">
        <w:t>at 695. “[T]he people are not foolish but intelligent, and will separate the wheat from the chaff”.</w:t>
      </w:r>
    </w:p>
  </w:footnote>
  <w:footnote w:id="22">
    <w:p w14:paraId="7849821E" w14:textId="77777777" w:rsidR="00D72C9D" w:rsidRPr="00891718" w:rsidRDefault="00D72C9D" w:rsidP="002472FD">
      <w:pPr>
        <w:pStyle w:val="FootnoteText"/>
      </w:pPr>
      <w:r w:rsidRPr="00891718">
        <w:rPr>
          <w:rStyle w:val="FootnoteReference"/>
        </w:rPr>
        <w:footnoteRef/>
      </w:r>
      <w:r w:rsidRPr="00891718">
        <w:t xml:space="preserve"> </w:t>
      </w:r>
      <w:r w:rsidRPr="00891718">
        <w:rPr>
          <w:i/>
        </w:rPr>
        <w:t xml:space="preserve">Id. </w:t>
      </w:r>
      <w:r w:rsidRPr="00891718">
        <w:t>at 660 and 669.</w:t>
      </w:r>
    </w:p>
  </w:footnote>
  <w:footnote w:id="23">
    <w:p w14:paraId="3711A073" w14:textId="77777777" w:rsidR="00D72C9D" w:rsidRPr="00891718" w:rsidRDefault="00D72C9D" w:rsidP="00882481">
      <w:pPr>
        <w:pStyle w:val="FootnoteText"/>
      </w:pPr>
      <w:r w:rsidRPr="00891718">
        <w:rPr>
          <w:rStyle w:val="FootnoteReference"/>
        </w:rPr>
        <w:footnoteRef/>
      </w:r>
      <w:r w:rsidRPr="00891718">
        <w:t xml:space="preserve"> Daniel R. Ortiz, </w:t>
      </w:r>
      <w:r w:rsidRPr="00891718">
        <w:rPr>
          <w:i/>
        </w:rPr>
        <w:t>The Democratic Paradox of Campaign Finan</w:t>
      </w:r>
      <w:r w:rsidRPr="00891718">
        <w:t xml:space="preserve">ce </w:t>
      </w:r>
      <w:r w:rsidRPr="00891718">
        <w:rPr>
          <w:i/>
        </w:rPr>
        <w:t>Reform,</w:t>
      </w:r>
      <w:r w:rsidRPr="00891718">
        <w:t xml:space="preserve"> 50 </w:t>
      </w:r>
      <w:r w:rsidRPr="00891718">
        <w:rPr>
          <w:smallCaps/>
        </w:rPr>
        <w:t>Stan. L. Rev.</w:t>
      </w:r>
      <w:r w:rsidRPr="00891718">
        <w:t xml:space="preserve"> 893, 897-899 (1998).</w:t>
      </w:r>
    </w:p>
  </w:footnote>
  <w:footnote w:id="24">
    <w:p w14:paraId="3A4536D1" w14:textId="77777777" w:rsidR="00D72C9D" w:rsidRPr="00891718" w:rsidRDefault="00D72C9D" w:rsidP="00882481">
      <w:pPr>
        <w:pStyle w:val="FootnoteText"/>
      </w:pPr>
      <w:r w:rsidRPr="00891718">
        <w:rPr>
          <w:rStyle w:val="FootnoteReference"/>
        </w:rPr>
        <w:footnoteRef/>
      </w:r>
      <w:r w:rsidRPr="00891718">
        <w:t xml:space="preserve"> Cass R. </w:t>
      </w:r>
      <w:proofErr w:type="spellStart"/>
      <w:r w:rsidRPr="00891718">
        <w:t>Sunstein</w:t>
      </w:r>
      <w:proofErr w:type="spellEnd"/>
      <w:r w:rsidRPr="00891718">
        <w:t xml:space="preserve">, </w:t>
      </w:r>
      <w:r w:rsidRPr="00891718">
        <w:rPr>
          <w:i/>
        </w:rPr>
        <w:t>Political Equality and Unintended Consequences,</w:t>
      </w:r>
      <w:r w:rsidRPr="00891718">
        <w:t xml:space="preserve"> 94 </w:t>
      </w:r>
      <w:r w:rsidRPr="00891718">
        <w:rPr>
          <w:smallCaps/>
        </w:rPr>
        <w:t>Colum. L. Rev.</w:t>
      </w:r>
      <w:r w:rsidRPr="00891718">
        <w:t xml:space="preserve"> 1390, 1390 (1994).</w:t>
      </w:r>
    </w:p>
  </w:footnote>
  <w:footnote w:id="25">
    <w:p w14:paraId="0C54BE01" w14:textId="77777777" w:rsidR="00D72C9D" w:rsidRPr="00891718" w:rsidRDefault="00D72C9D" w:rsidP="00882481">
      <w:pPr>
        <w:pStyle w:val="FootnoteText"/>
      </w:pPr>
      <w:r w:rsidRPr="00891718">
        <w:rPr>
          <w:rStyle w:val="FootnoteReference"/>
        </w:rPr>
        <w:footnoteRef/>
      </w:r>
      <w:r w:rsidRPr="00891718">
        <w:t xml:space="preserve"> </w:t>
      </w:r>
      <w:r w:rsidRPr="00891718">
        <w:rPr>
          <w:i/>
        </w:rPr>
        <w:t xml:space="preserve">Id. </w:t>
      </w:r>
      <w:r w:rsidRPr="00891718">
        <w:t>at 1400.</w:t>
      </w:r>
    </w:p>
  </w:footnote>
  <w:footnote w:id="26">
    <w:p w14:paraId="2A09EA2E" w14:textId="77777777" w:rsidR="00D72C9D" w:rsidRPr="00891718" w:rsidRDefault="00D72C9D" w:rsidP="001C399E">
      <w:pPr>
        <w:rPr>
          <w:rFonts w:eastAsia="Times New Roman"/>
          <w:sz w:val="20"/>
          <w:szCs w:val="20"/>
        </w:rPr>
      </w:pPr>
      <w:r w:rsidRPr="00891718">
        <w:rPr>
          <w:rStyle w:val="FootnoteReference"/>
          <w:szCs w:val="20"/>
        </w:rPr>
        <w:footnoteRef/>
      </w:r>
      <w:r w:rsidRPr="00891718">
        <w:rPr>
          <w:sz w:val="20"/>
          <w:szCs w:val="20"/>
        </w:rPr>
        <w:t xml:space="preserve"> Nathaniel </w:t>
      </w:r>
      <w:proofErr w:type="spellStart"/>
      <w:r w:rsidRPr="00891718">
        <w:rPr>
          <w:sz w:val="20"/>
          <w:szCs w:val="20"/>
        </w:rPr>
        <w:t>Persily</w:t>
      </w:r>
      <w:proofErr w:type="spellEnd"/>
      <w:r w:rsidRPr="00891718">
        <w:rPr>
          <w:sz w:val="20"/>
          <w:szCs w:val="20"/>
        </w:rPr>
        <w:t xml:space="preserve">, </w:t>
      </w:r>
      <w:r w:rsidRPr="00891718">
        <w:rPr>
          <w:rFonts w:eastAsia="Times New Roman"/>
          <w:i/>
          <w:sz w:val="20"/>
          <w:szCs w:val="20"/>
        </w:rPr>
        <w:t>In Defense of Foxes Guarding Henhouses: The Case for Judicial Acquiescence to Incumbent Protecting Gerrymanders,</w:t>
      </w:r>
      <w:r w:rsidRPr="00891718">
        <w:rPr>
          <w:rFonts w:eastAsia="Times New Roman"/>
          <w:sz w:val="20"/>
          <w:szCs w:val="20"/>
        </w:rPr>
        <w:t xml:space="preserve"> 116</w:t>
      </w:r>
      <w:r w:rsidRPr="00891718">
        <w:rPr>
          <w:rFonts w:eastAsia="Times New Roman"/>
          <w:smallCaps/>
          <w:sz w:val="20"/>
          <w:szCs w:val="20"/>
        </w:rPr>
        <w:t xml:space="preserve"> </w:t>
      </w:r>
      <w:proofErr w:type="spellStart"/>
      <w:r w:rsidRPr="00891718">
        <w:rPr>
          <w:rFonts w:eastAsia="Times New Roman"/>
          <w:smallCaps/>
          <w:sz w:val="20"/>
          <w:szCs w:val="20"/>
        </w:rPr>
        <w:t>Harv</w:t>
      </w:r>
      <w:proofErr w:type="spellEnd"/>
      <w:r w:rsidRPr="00891718">
        <w:rPr>
          <w:rFonts w:eastAsia="Times New Roman"/>
          <w:smallCaps/>
          <w:sz w:val="20"/>
          <w:szCs w:val="20"/>
        </w:rPr>
        <w:t>. L. Rev</w:t>
      </w:r>
      <w:r w:rsidRPr="00891718">
        <w:rPr>
          <w:rFonts w:eastAsia="Times New Roman"/>
          <w:sz w:val="20"/>
          <w:szCs w:val="20"/>
        </w:rPr>
        <w:t>. 649, 658 (2002).</w:t>
      </w:r>
    </w:p>
  </w:footnote>
  <w:footnote w:id="27">
    <w:p w14:paraId="5969BAEE" w14:textId="77777777" w:rsidR="00D72C9D" w:rsidRPr="00891718" w:rsidRDefault="00D72C9D" w:rsidP="00882481">
      <w:pPr>
        <w:pStyle w:val="FootnoteText"/>
      </w:pPr>
      <w:r w:rsidRPr="00891718">
        <w:rPr>
          <w:rStyle w:val="FootnoteReference"/>
        </w:rPr>
        <w:footnoteRef/>
      </w:r>
      <w:r w:rsidRPr="00891718">
        <w:t xml:space="preserve"> Michael Johnston, </w:t>
      </w:r>
      <w:r w:rsidRPr="00891718">
        <w:rPr>
          <w:i/>
        </w:rPr>
        <w:t>The Incumbent Protection Act of 2002? Politics Under the New Campaign Finance Law</w:t>
      </w:r>
      <w:r w:rsidRPr="00891718">
        <w:t>, Institute of Advanced Study, June 2003 – available at https://www.sss.ias.edu/files/papers/paper15.pdf.</w:t>
      </w:r>
    </w:p>
  </w:footnote>
  <w:footnote w:id="28">
    <w:p w14:paraId="48351C98" w14:textId="77777777" w:rsidR="00D72C9D" w:rsidRPr="00891718" w:rsidRDefault="00D72C9D" w:rsidP="00882481">
      <w:pPr>
        <w:pStyle w:val="FootnoteText"/>
      </w:pPr>
      <w:r w:rsidRPr="00891718">
        <w:rPr>
          <w:rStyle w:val="FootnoteReference"/>
        </w:rPr>
        <w:footnoteRef/>
      </w:r>
      <w:r w:rsidRPr="00891718">
        <w:t xml:space="preserve"> Generally speaking, western liberal democratic campaign finance controls comprise a combination of all or some of expenditure limits, contribution ceilings, disclosure provisions and an enforcement body.</w:t>
      </w:r>
    </w:p>
  </w:footnote>
  <w:footnote w:id="29">
    <w:p w14:paraId="3896CEC8" w14:textId="77777777" w:rsidR="00D72C9D" w:rsidRPr="00891718" w:rsidRDefault="00D72C9D">
      <w:pPr>
        <w:pStyle w:val="FootnoteText"/>
      </w:pPr>
      <w:r w:rsidRPr="00891718">
        <w:rPr>
          <w:rStyle w:val="FootnoteReference"/>
        </w:rPr>
        <w:footnoteRef/>
      </w:r>
      <w:r w:rsidRPr="00891718">
        <w:t xml:space="preserve"> For a discussion of this phenomenon, </w:t>
      </w:r>
      <w:r w:rsidRPr="00891718">
        <w:rPr>
          <w:i/>
        </w:rPr>
        <w:t>see</w:t>
      </w:r>
      <w:r w:rsidRPr="00891718">
        <w:t xml:space="preserve"> Bradley A. Smith, </w:t>
      </w:r>
      <w:r w:rsidRPr="00891718">
        <w:rPr>
          <w:i/>
          <w:lang w:val="en-US"/>
        </w:rPr>
        <w:t xml:space="preserve">Faulty Assumptions and Undemocratic Consequences of Campaign Finance Reform, </w:t>
      </w:r>
      <w:r w:rsidRPr="00891718">
        <w:rPr>
          <w:lang w:val="en-US"/>
        </w:rPr>
        <w:t xml:space="preserve">105 </w:t>
      </w:r>
      <w:r w:rsidRPr="00891718">
        <w:rPr>
          <w:smallCaps/>
          <w:lang w:val="en-US"/>
        </w:rPr>
        <w:t>Yale L.J.</w:t>
      </w:r>
      <w:r w:rsidRPr="00891718">
        <w:rPr>
          <w:lang w:val="en-US"/>
        </w:rPr>
        <w:t xml:space="preserve"> 1049 (1996). </w:t>
      </w:r>
      <w:r w:rsidRPr="00891718">
        <w:rPr>
          <w:i/>
          <w:lang w:val="en-US"/>
        </w:rPr>
        <w:t>See also</w:t>
      </w:r>
      <w:r w:rsidRPr="00891718">
        <w:rPr>
          <w:lang w:val="en-US"/>
        </w:rPr>
        <w:t xml:space="preserve"> </w:t>
      </w:r>
      <w:r w:rsidRPr="00891718">
        <w:rPr>
          <w:smallCaps/>
          <w:lang w:val="en-US"/>
        </w:rPr>
        <w:t xml:space="preserve">John </w:t>
      </w:r>
      <w:r w:rsidRPr="00891718">
        <w:rPr>
          <w:smallCaps/>
        </w:rPr>
        <w:t>Samples</w:t>
      </w:r>
      <w:r w:rsidRPr="00891718">
        <w:t xml:space="preserve">, </w:t>
      </w:r>
      <w:r w:rsidRPr="00891718">
        <w:rPr>
          <w:smallCaps/>
        </w:rPr>
        <w:t>The Fallacy of Campaign Finance Reform</w:t>
      </w:r>
      <w:r w:rsidRPr="00891718">
        <w:t xml:space="preserve"> (2006) and Lillian R. </w:t>
      </w:r>
      <w:proofErr w:type="spellStart"/>
      <w:r w:rsidRPr="00891718">
        <w:t>BeVier</w:t>
      </w:r>
      <w:proofErr w:type="spellEnd"/>
      <w:r w:rsidRPr="00891718">
        <w:t xml:space="preserve">, </w:t>
      </w:r>
      <w:r w:rsidRPr="00891718">
        <w:rPr>
          <w:i/>
          <w:lang w:val="en-US"/>
        </w:rPr>
        <w:t xml:space="preserve">Campaign Finance Reform: Specious Arguments, Intractable Dilemmas, </w:t>
      </w:r>
      <w:r w:rsidRPr="00891718">
        <w:rPr>
          <w:lang w:val="en-US"/>
        </w:rPr>
        <w:t xml:space="preserve">94 </w:t>
      </w:r>
      <w:r w:rsidRPr="00891718">
        <w:rPr>
          <w:smallCaps/>
          <w:lang w:val="en-US"/>
        </w:rPr>
        <w:t>Colum. L. Rev.</w:t>
      </w:r>
      <w:r w:rsidRPr="00891718">
        <w:rPr>
          <w:lang w:val="en-US"/>
        </w:rPr>
        <w:t xml:space="preserve"> 1258</w:t>
      </w:r>
      <w:r w:rsidRPr="00891718">
        <w:t xml:space="preserve"> </w:t>
      </w:r>
      <w:r w:rsidRPr="00891718">
        <w:rPr>
          <w:lang w:val="en-US"/>
        </w:rPr>
        <w:t>(1994).</w:t>
      </w:r>
    </w:p>
  </w:footnote>
  <w:footnote w:id="30">
    <w:p w14:paraId="0C87A726" w14:textId="77777777" w:rsidR="00D72C9D" w:rsidRPr="00891718" w:rsidRDefault="00D72C9D" w:rsidP="00C1606E">
      <w:pPr>
        <w:rPr>
          <w:rFonts w:eastAsia="Times New Roman"/>
          <w:sz w:val="20"/>
          <w:szCs w:val="20"/>
        </w:rPr>
      </w:pPr>
      <w:r w:rsidRPr="00891718">
        <w:rPr>
          <w:rStyle w:val="FootnoteReference"/>
          <w:szCs w:val="20"/>
        </w:rPr>
        <w:footnoteRef/>
      </w:r>
      <w:r w:rsidRPr="00891718">
        <w:rPr>
          <w:sz w:val="20"/>
          <w:szCs w:val="20"/>
        </w:rPr>
        <w:t xml:space="preserve"> </w:t>
      </w:r>
      <w:proofErr w:type="spellStart"/>
      <w:r w:rsidRPr="00891718">
        <w:rPr>
          <w:sz w:val="20"/>
          <w:szCs w:val="20"/>
        </w:rPr>
        <w:t>Persily</w:t>
      </w:r>
      <w:proofErr w:type="spellEnd"/>
      <w:r w:rsidRPr="00891718">
        <w:rPr>
          <w:sz w:val="20"/>
          <w:szCs w:val="20"/>
        </w:rPr>
        <w:t xml:space="preserve">, </w:t>
      </w:r>
      <w:r w:rsidRPr="00891718">
        <w:rPr>
          <w:rFonts w:eastAsia="Times New Roman"/>
          <w:i/>
          <w:sz w:val="20"/>
          <w:szCs w:val="20"/>
        </w:rPr>
        <w:t xml:space="preserve">supra </w:t>
      </w:r>
      <w:r w:rsidRPr="00891718">
        <w:rPr>
          <w:rFonts w:eastAsia="Times New Roman"/>
          <w:sz w:val="20"/>
          <w:szCs w:val="20"/>
        </w:rPr>
        <w:t>note 25, at 654</w:t>
      </w:r>
    </w:p>
  </w:footnote>
  <w:footnote w:id="31">
    <w:p w14:paraId="4B242423" w14:textId="77777777" w:rsidR="00D72C9D" w:rsidRPr="00891718" w:rsidRDefault="00D72C9D" w:rsidP="007304C8">
      <w:pPr>
        <w:pStyle w:val="FootnoteText"/>
      </w:pPr>
      <w:r w:rsidRPr="00891718">
        <w:rPr>
          <w:rStyle w:val="FootnoteReference"/>
        </w:rPr>
        <w:footnoteRef/>
      </w:r>
      <w:r w:rsidRPr="00891718">
        <w:t xml:space="preserve"> Richard S. Katz &amp; Peter </w:t>
      </w:r>
      <w:proofErr w:type="spellStart"/>
      <w:r w:rsidRPr="00891718">
        <w:t>Mair</w:t>
      </w:r>
      <w:proofErr w:type="spellEnd"/>
      <w:r w:rsidRPr="00891718">
        <w:t xml:space="preserve">, </w:t>
      </w:r>
      <w:r w:rsidRPr="00891718">
        <w:rPr>
          <w:i/>
        </w:rPr>
        <w:t xml:space="preserve">Changing Models of Party Organization and Party Democracy: The Emergence of the Cartel Party, </w:t>
      </w:r>
      <w:r w:rsidRPr="00891718">
        <w:t xml:space="preserve">1 </w:t>
      </w:r>
      <w:r w:rsidRPr="00891718">
        <w:rPr>
          <w:smallCaps/>
        </w:rPr>
        <w:t>Party Politics</w:t>
      </w:r>
      <w:r w:rsidRPr="00891718">
        <w:t xml:space="preserve"> 5, 16 (1995). </w:t>
      </w:r>
    </w:p>
  </w:footnote>
  <w:footnote w:id="32">
    <w:p w14:paraId="448B298F" w14:textId="77777777" w:rsidR="00D72C9D" w:rsidRPr="00891718" w:rsidRDefault="00D72C9D" w:rsidP="007304C8">
      <w:pPr>
        <w:pStyle w:val="FootnoteText"/>
      </w:pPr>
      <w:r w:rsidRPr="00891718">
        <w:rPr>
          <w:rStyle w:val="FootnoteReference"/>
        </w:rPr>
        <w:footnoteRef/>
      </w:r>
      <w:r w:rsidRPr="00891718">
        <w:t xml:space="preserve"> </w:t>
      </w:r>
      <w:r w:rsidRPr="00891718">
        <w:rPr>
          <w:i/>
        </w:rPr>
        <w:t xml:space="preserve">Johnston, supra </w:t>
      </w:r>
      <w:r w:rsidRPr="00891718">
        <w:t>note 26, at 1.</w:t>
      </w:r>
    </w:p>
  </w:footnote>
  <w:footnote w:id="33">
    <w:p w14:paraId="29C61A6F" w14:textId="77777777" w:rsidR="00D72C9D" w:rsidRPr="00891718" w:rsidRDefault="00D72C9D" w:rsidP="0014374E">
      <w:pPr>
        <w:pStyle w:val="FootnoteText"/>
      </w:pPr>
      <w:r w:rsidRPr="00891718">
        <w:rPr>
          <w:rStyle w:val="FootnoteReference"/>
        </w:rPr>
        <w:footnoteRef/>
      </w:r>
      <w:r w:rsidRPr="00891718">
        <w:t xml:space="preserve"> Buckley v. </w:t>
      </w:r>
      <w:proofErr w:type="spellStart"/>
      <w:r w:rsidRPr="00891718">
        <w:t>Valeo</w:t>
      </w:r>
      <w:proofErr w:type="spellEnd"/>
      <w:r w:rsidRPr="00891718">
        <w:t>,</w:t>
      </w:r>
      <w:r w:rsidRPr="00891718">
        <w:rPr>
          <w:i/>
        </w:rPr>
        <w:t xml:space="preserve"> </w:t>
      </w:r>
      <w:r w:rsidRPr="00891718">
        <w:t>519 F.2d 821, 843 (D.C. Cir. 1975).</w:t>
      </w:r>
    </w:p>
  </w:footnote>
  <w:footnote w:id="34">
    <w:p w14:paraId="2FF0D2BE" w14:textId="77777777" w:rsidR="00D72C9D" w:rsidRPr="00891718" w:rsidRDefault="00D72C9D" w:rsidP="0014374E">
      <w:pPr>
        <w:pStyle w:val="FootnoteText"/>
        <w:rPr>
          <w:i/>
        </w:rPr>
      </w:pPr>
      <w:r w:rsidRPr="00891718">
        <w:rPr>
          <w:rStyle w:val="FootnoteReference"/>
        </w:rPr>
        <w:footnoteRef/>
      </w:r>
      <w:r w:rsidRPr="00891718">
        <w:t xml:space="preserve"> </w:t>
      </w:r>
      <w:r w:rsidRPr="00891718">
        <w:rPr>
          <w:i/>
        </w:rPr>
        <w:t>Id.</w:t>
      </w:r>
    </w:p>
  </w:footnote>
  <w:footnote w:id="35">
    <w:p w14:paraId="44D18243" w14:textId="77777777" w:rsidR="00D72C9D" w:rsidRPr="00891718" w:rsidRDefault="00D72C9D" w:rsidP="0014374E">
      <w:pPr>
        <w:pStyle w:val="FootnoteText"/>
      </w:pPr>
      <w:r w:rsidRPr="00891718">
        <w:rPr>
          <w:rStyle w:val="FootnoteReference"/>
        </w:rPr>
        <w:footnoteRef/>
      </w:r>
      <w:r w:rsidRPr="00891718">
        <w:t xml:space="preserve"> T.R.S. Allan, </w:t>
      </w:r>
      <w:r w:rsidRPr="00891718">
        <w:rPr>
          <w:i/>
        </w:rPr>
        <w:t>The Limits of Parliamentary Sovereignty,</w:t>
      </w:r>
      <w:r w:rsidRPr="00891718">
        <w:t xml:space="preserve"> </w:t>
      </w:r>
      <w:r w:rsidRPr="00891718">
        <w:rPr>
          <w:smallCaps/>
        </w:rPr>
        <w:t xml:space="preserve">Pub. L. </w:t>
      </w:r>
      <w:r w:rsidRPr="00891718">
        <w:t>614, 620-621 (1985).</w:t>
      </w:r>
    </w:p>
  </w:footnote>
  <w:footnote w:id="36">
    <w:p w14:paraId="347F29DE" w14:textId="77777777" w:rsidR="00D72C9D" w:rsidRPr="00891718" w:rsidRDefault="00D72C9D" w:rsidP="009A2860">
      <w:pPr>
        <w:pStyle w:val="FootnoteText"/>
      </w:pPr>
      <w:r w:rsidRPr="00891718">
        <w:rPr>
          <w:rStyle w:val="FootnoteReference"/>
        </w:rPr>
        <w:footnoteRef/>
      </w:r>
      <w:r w:rsidRPr="00891718">
        <w:t xml:space="preserve"> Gary C. Jacobsen, </w:t>
      </w:r>
      <w:r w:rsidRPr="00891718">
        <w:rPr>
          <w:i/>
        </w:rPr>
        <w:t>It’s Nothing Personal: The Decline of Incumbency Advantage in US House Elections</w:t>
      </w:r>
      <w:r w:rsidRPr="00891718">
        <w:t xml:space="preserve"> 77 </w:t>
      </w:r>
      <w:r w:rsidRPr="00891718">
        <w:rPr>
          <w:smallCaps/>
        </w:rPr>
        <w:t xml:space="preserve">J. Polit. </w:t>
      </w:r>
      <w:r w:rsidRPr="00891718">
        <w:t>861 (2015).</w:t>
      </w:r>
    </w:p>
  </w:footnote>
  <w:footnote w:id="37">
    <w:p w14:paraId="0D760836" w14:textId="77777777" w:rsidR="00D72C9D" w:rsidRPr="00891718" w:rsidRDefault="00D72C9D">
      <w:pPr>
        <w:pStyle w:val="FootnoteText"/>
      </w:pPr>
      <w:r w:rsidRPr="00891718">
        <w:rPr>
          <w:rStyle w:val="FootnoteReference"/>
        </w:rPr>
        <w:footnoteRef/>
      </w:r>
      <w:r w:rsidRPr="00891718">
        <w:t xml:space="preserve"> </w:t>
      </w:r>
      <w:r w:rsidRPr="00891718">
        <w:rPr>
          <w:smallCaps/>
        </w:rPr>
        <w:t xml:space="preserve">Richard L. </w:t>
      </w:r>
      <w:proofErr w:type="spellStart"/>
      <w:r w:rsidRPr="00891718">
        <w:rPr>
          <w:smallCaps/>
        </w:rPr>
        <w:t>Hasen</w:t>
      </w:r>
      <w:proofErr w:type="spellEnd"/>
      <w:r w:rsidRPr="00891718">
        <w:rPr>
          <w:smallCaps/>
        </w:rPr>
        <w:t>,</w:t>
      </w:r>
      <w:r w:rsidRPr="00891718">
        <w:t xml:space="preserve"> </w:t>
      </w:r>
      <w:r w:rsidRPr="00891718">
        <w:rPr>
          <w:smallCaps/>
        </w:rPr>
        <w:t>Plutocrats United: Campaign Money, the Supreme Court and the Distortion of American Elections</w:t>
      </w:r>
      <w:r w:rsidRPr="00891718">
        <w:t xml:space="preserve"> 147 (2016). </w:t>
      </w:r>
    </w:p>
  </w:footnote>
  <w:footnote w:id="38">
    <w:p w14:paraId="0425BBF0" w14:textId="77777777" w:rsidR="00D72C9D" w:rsidRPr="00891718" w:rsidRDefault="00D72C9D">
      <w:pPr>
        <w:pStyle w:val="FootnoteText"/>
      </w:pPr>
      <w:r w:rsidRPr="00891718">
        <w:rPr>
          <w:rStyle w:val="FootnoteReference"/>
        </w:rPr>
        <w:footnoteRef/>
      </w:r>
      <w:r w:rsidRPr="00891718">
        <w:t xml:space="preserve"> </w:t>
      </w:r>
      <w:r w:rsidRPr="00891718">
        <w:rPr>
          <w:i/>
        </w:rPr>
        <w:t>Id.</w:t>
      </w:r>
    </w:p>
  </w:footnote>
  <w:footnote w:id="39">
    <w:p w14:paraId="36A7A222" w14:textId="77777777" w:rsidR="00D72C9D" w:rsidRPr="00891718" w:rsidRDefault="00D72C9D">
      <w:pPr>
        <w:pStyle w:val="FootnoteText"/>
        <w:rPr>
          <w:lang w:val="en-US"/>
        </w:rPr>
      </w:pPr>
      <w:r w:rsidRPr="00891718">
        <w:rPr>
          <w:rStyle w:val="FootnoteReference"/>
        </w:rPr>
        <w:footnoteRef/>
      </w:r>
      <w:r w:rsidRPr="00891718">
        <w:t xml:space="preserve"> “I cannot say for certain that many, or some, or even any, of the Members of Congress who voted for this legislation did so not to produce fairer campaigns but to mute criti</w:t>
      </w:r>
      <w:bookmarkStart w:id="2" w:name="_GoBack"/>
      <w:r w:rsidRPr="00891718">
        <w:t>cism</w:t>
      </w:r>
      <w:bookmarkEnd w:id="2"/>
      <w:r w:rsidRPr="00891718">
        <w:t xml:space="preserve"> of their records and facilitate re-election.” McConnell v. Fed. Election </w:t>
      </w:r>
      <w:proofErr w:type="spellStart"/>
      <w:r w:rsidRPr="00891718">
        <w:t>Comm’n</w:t>
      </w:r>
      <w:proofErr w:type="spellEnd"/>
      <w:r w:rsidRPr="00891718">
        <w:rPr>
          <w:i/>
        </w:rPr>
        <w:t xml:space="preserve">, </w:t>
      </w:r>
      <w:r w:rsidRPr="00891718">
        <w:rPr>
          <w:lang w:val="en-US"/>
        </w:rPr>
        <w:t>540 U.S. 93, 262 (2003).</w:t>
      </w:r>
    </w:p>
  </w:footnote>
  <w:footnote w:id="40">
    <w:p w14:paraId="5803B1D1" w14:textId="77777777" w:rsidR="00D72C9D" w:rsidRPr="00891718" w:rsidRDefault="00D72C9D">
      <w:pPr>
        <w:pStyle w:val="FootnoteText"/>
      </w:pPr>
      <w:r w:rsidRPr="00891718">
        <w:rPr>
          <w:rStyle w:val="FootnoteReference"/>
        </w:rPr>
        <w:footnoteRef/>
      </w:r>
      <w:r w:rsidRPr="00891718">
        <w:t xml:space="preserve"> </w:t>
      </w:r>
      <w:r w:rsidRPr="00891718">
        <w:rPr>
          <w:smallCaps/>
        </w:rPr>
        <w:t>Antonin Scalia</w:t>
      </w:r>
      <w:r w:rsidRPr="00891718">
        <w:t xml:space="preserve">, </w:t>
      </w:r>
      <w:r w:rsidRPr="00891718">
        <w:rPr>
          <w:smallCaps/>
        </w:rPr>
        <w:t xml:space="preserve">A Matter of Interpretation: Federal Courts and the Law </w:t>
      </w:r>
      <w:r w:rsidRPr="00891718">
        <w:t xml:space="preserve">(1997). </w:t>
      </w:r>
    </w:p>
  </w:footnote>
  <w:footnote w:id="41">
    <w:p w14:paraId="20C972FF" w14:textId="77777777" w:rsidR="00D72C9D" w:rsidRPr="00891718" w:rsidRDefault="00D72C9D">
      <w:pPr>
        <w:pStyle w:val="FootnoteText"/>
      </w:pPr>
      <w:r w:rsidRPr="00891718">
        <w:rPr>
          <w:rStyle w:val="FootnoteReference"/>
        </w:rPr>
        <w:footnoteRef/>
      </w:r>
      <w:r w:rsidRPr="00891718">
        <w:t xml:space="preserve"> Conroy v. </w:t>
      </w:r>
      <w:proofErr w:type="spellStart"/>
      <w:r w:rsidRPr="00891718">
        <w:t>Aniskoff</w:t>
      </w:r>
      <w:proofErr w:type="spellEnd"/>
      <w:r w:rsidRPr="00891718">
        <w:t>, 507 U.S. 511, 519 (1993).</w:t>
      </w:r>
    </w:p>
  </w:footnote>
  <w:footnote w:id="42">
    <w:p w14:paraId="6B4D72D5" w14:textId="77777777" w:rsidR="00D72C9D" w:rsidRPr="00891718" w:rsidRDefault="00D72C9D" w:rsidP="007F106F">
      <w:pPr>
        <w:pStyle w:val="FootnoteText"/>
      </w:pPr>
      <w:r w:rsidRPr="00891718">
        <w:rPr>
          <w:rStyle w:val="FootnoteReference"/>
        </w:rPr>
        <w:footnoteRef/>
      </w:r>
      <w:r w:rsidRPr="00891718">
        <w:t xml:space="preserve"> Bob Bauer, </w:t>
      </w:r>
      <w:r w:rsidRPr="00891718">
        <w:rPr>
          <w:i/>
        </w:rPr>
        <w:t>Justice Scalia and Campaign Finance: A Puzzle</w:t>
      </w:r>
      <w:r w:rsidRPr="00891718">
        <w:t>,</w:t>
      </w:r>
    </w:p>
    <w:p w14:paraId="153B3930" w14:textId="77777777" w:rsidR="00D72C9D" w:rsidRPr="00891718" w:rsidRDefault="00D72C9D" w:rsidP="007F106F">
      <w:pPr>
        <w:pStyle w:val="FootnoteText"/>
        <w:rPr>
          <w:b/>
          <w:lang w:val="en-US"/>
        </w:rPr>
      </w:pPr>
      <w:r w:rsidRPr="00891718">
        <w:t xml:space="preserve">http://www.moresoftmoneyhardlaw.com/2016/02/justice-scalia-campaign-finance-one-puzzle/ (Last visited Nov. 8, 2016). </w:t>
      </w:r>
    </w:p>
    <w:p w14:paraId="1C0D97D1" w14:textId="77777777" w:rsidR="00D72C9D" w:rsidRPr="00891718" w:rsidRDefault="00D72C9D" w:rsidP="001125D7">
      <w:pPr>
        <w:pStyle w:val="FootnoteText"/>
        <w:jc w:val="left"/>
      </w:pPr>
    </w:p>
  </w:footnote>
  <w:footnote w:id="43">
    <w:p w14:paraId="5085FB4D" w14:textId="77777777" w:rsidR="00D72C9D" w:rsidRPr="00891718" w:rsidRDefault="00D72C9D" w:rsidP="00716A4A">
      <w:pPr>
        <w:pStyle w:val="FootnoteText"/>
      </w:pPr>
      <w:r w:rsidRPr="00891718">
        <w:rPr>
          <w:rStyle w:val="FootnoteReference"/>
        </w:rPr>
        <w:footnoteRef/>
      </w:r>
      <w:r w:rsidRPr="00891718">
        <w:t xml:space="preserve"> </w:t>
      </w:r>
      <w:r w:rsidRPr="00891718">
        <w:rPr>
          <w:iCs/>
        </w:rPr>
        <w:t>Austin v. Michigan Chamber of Comm.,</w:t>
      </w:r>
      <w:r w:rsidRPr="00891718">
        <w:t xml:space="preserve"> 494 U.S. 652, 692 (1990). </w:t>
      </w:r>
    </w:p>
  </w:footnote>
  <w:footnote w:id="44">
    <w:p w14:paraId="3F0692AA" w14:textId="77777777" w:rsidR="00D72C9D" w:rsidRPr="00891718" w:rsidRDefault="00D72C9D">
      <w:pPr>
        <w:pStyle w:val="FootnoteText"/>
        <w:rPr>
          <w:i/>
        </w:rPr>
      </w:pPr>
      <w:r w:rsidRPr="00891718">
        <w:rPr>
          <w:rStyle w:val="FootnoteReference"/>
        </w:rPr>
        <w:footnoteRef/>
      </w:r>
      <w:r w:rsidRPr="00891718">
        <w:t xml:space="preserve"> </w:t>
      </w:r>
      <w:r w:rsidRPr="00891718">
        <w:rPr>
          <w:i/>
        </w:rPr>
        <w:t>Id.</w:t>
      </w:r>
    </w:p>
  </w:footnote>
  <w:footnote w:id="45">
    <w:p w14:paraId="7A35477D" w14:textId="77777777" w:rsidR="00D72C9D" w:rsidRPr="00891718" w:rsidRDefault="00D72C9D" w:rsidP="002A26B7">
      <w:pPr>
        <w:pStyle w:val="FootnoteText"/>
      </w:pPr>
      <w:r w:rsidRPr="00891718">
        <w:rPr>
          <w:rStyle w:val="FootnoteReference"/>
        </w:rPr>
        <w:footnoteRef/>
      </w:r>
      <w:r w:rsidRPr="00891718">
        <w:t xml:space="preserve"> </w:t>
      </w:r>
      <w:r w:rsidRPr="00891718">
        <w:rPr>
          <w:i/>
        </w:rPr>
        <w:t xml:space="preserve">Id. </w:t>
      </w:r>
      <w:r w:rsidRPr="00891718">
        <w:t>at 694.</w:t>
      </w:r>
    </w:p>
  </w:footnote>
  <w:footnote w:id="46">
    <w:p w14:paraId="69048E67" w14:textId="77777777" w:rsidR="00D72C9D" w:rsidRPr="00891718" w:rsidRDefault="00D72C9D" w:rsidP="0021193E">
      <w:pPr>
        <w:rPr>
          <w:rFonts w:eastAsia="Times New Roman"/>
          <w:sz w:val="20"/>
          <w:szCs w:val="20"/>
        </w:rPr>
      </w:pPr>
      <w:r w:rsidRPr="00891718">
        <w:rPr>
          <w:rStyle w:val="FootnoteReference"/>
          <w:szCs w:val="20"/>
        </w:rPr>
        <w:footnoteRef/>
      </w:r>
      <w:r w:rsidRPr="00891718">
        <w:rPr>
          <w:sz w:val="20"/>
          <w:szCs w:val="20"/>
        </w:rPr>
        <w:t xml:space="preserve"> 558 U.S. 310 (2010).</w:t>
      </w:r>
    </w:p>
  </w:footnote>
  <w:footnote w:id="47">
    <w:p w14:paraId="6ED7F954" w14:textId="77777777" w:rsidR="00D72C9D" w:rsidRPr="00891718" w:rsidRDefault="00D72C9D" w:rsidP="008E36CF">
      <w:pPr>
        <w:pStyle w:val="FootnoteText"/>
      </w:pPr>
      <w:r w:rsidRPr="00891718">
        <w:rPr>
          <w:rStyle w:val="FootnoteReference"/>
        </w:rPr>
        <w:footnoteRef/>
      </w:r>
      <w:r w:rsidRPr="00891718">
        <w:t xml:space="preserve"> </w:t>
      </w:r>
      <w:r w:rsidRPr="00891718">
        <w:rPr>
          <w:i/>
        </w:rPr>
        <w:t xml:space="preserve">Id. </w:t>
      </w:r>
      <w:r w:rsidRPr="00891718">
        <w:t xml:space="preserve">at 391. In this instance provisions of the BCRA prevented the showing of </w:t>
      </w:r>
      <w:r w:rsidRPr="00891718">
        <w:rPr>
          <w:color w:val="333333"/>
          <w:shd w:val="clear" w:color="auto" w:fill="FFFFFF"/>
        </w:rPr>
        <w:t xml:space="preserve">a documentary seeking to discredit Hillary Clinton's 2008 bid for presidential candidacy on the basis that it was an election communication.  </w:t>
      </w:r>
    </w:p>
  </w:footnote>
  <w:footnote w:id="48">
    <w:p w14:paraId="6E850BA4" w14:textId="77777777" w:rsidR="00D72C9D" w:rsidRPr="00891718" w:rsidRDefault="00D72C9D">
      <w:pPr>
        <w:pStyle w:val="FootnoteText"/>
      </w:pPr>
      <w:r w:rsidRPr="00891718">
        <w:rPr>
          <w:rStyle w:val="FootnoteReference"/>
        </w:rPr>
        <w:footnoteRef/>
      </w:r>
      <w:r w:rsidRPr="00891718">
        <w:t xml:space="preserve"> </w:t>
      </w:r>
      <w:r w:rsidRPr="00891718">
        <w:rPr>
          <w:i/>
        </w:rPr>
        <w:t>See</w:t>
      </w:r>
      <w:r w:rsidRPr="00891718">
        <w:t xml:space="preserve">, </w:t>
      </w:r>
      <w:r w:rsidRPr="00891718">
        <w:rPr>
          <w:i/>
        </w:rPr>
        <w:t>e.g</w:t>
      </w:r>
      <w:r w:rsidRPr="00891718">
        <w:t xml:space="preserve">., Gary W. </w:t>
      </w:r>
      <w:r w:rsidRPr="00891718">
        <w:rPr>
          <w:lang w:val="en-US"/>
        </w:rPr>
        <w:t xml:space="preserve">Cox and Jonathan N. Katz </w:t>
      </w:r>
      <w:r w:rsidRPr="00891718">
        <w:rPr>
          <w:i/>
          <w:lang w:val="en-US"/>
        </w:rPr>
        <w:t xml:space="preserve">Why did the Incumbency Advantage in US House Elections Grow? </w:t>
      </w:r>
      <w:r w:rsidRPr="00891718">
        <w:rPr>
          <w:lang w:val="en-US"/>
        </w:rPr>
        <w:t xml:space="preserve">40 </w:t>
      </w:r>
      <w:r w:rsidRPr="00891718">
        <w:rPr>
          <w:smallCaps/>
          <w:lang w:val="en-US"/>
        </w:rPr>
        <w:t>Am. J. Pol. Sci.</w:t>
      </w:r>
      <w:r w:rsidRPr="00891718">
        <w:rPr>
          <w:lang w:val="en-US"/>
        </w:rPr>
        <w:t xml:space="preserve"> 478 (1996); Richard L. </w:t>
      </w:r>
      <w:proofErr w:type="spellStart"/>
      <w:r w:rsidRPr="00891718">
        <w:rPr>
          <w:lang w:val="en-US"/>
        </w:rPr>
        <w:t>Hasen</w:t>
      </w:r>
      <w:proofErr w:type="spellEnd"/>
      <w:r w:rsidRPr="00891718">
        <w:rPr>
          <w:lang w:val="en-US"/>
        </w:rPr>
        <w:t xml:space="preserve">, </w:t>
      </w:r>
      <w:r w:rsidRPr="00891718">
        <w:rPr>
          <w:i/>
          <w:lang w:val="en-US"/>
        </w:rPr>
        <w:t xml:space="preserve">Entrenching the Duopoly: Why the Supreme Court Should Not Allow the States to Protect the Democrats and Republicans from Political Competition </w:t>
      </w:r>
      <w:r w:rsidRPr="00891718">
        <w:rPr>
          <w:smallCaps/>
          <w:lang w:val="en-US"/>
        </w:rPr>
        <w:t>Sup. Ct. Rev.</w:t>
      </w:r>
      <w:r w:rsidRPr="00891718">
        <w:rPr>
          <w:lang w:val="en-US"/>
        </w:rPr>
        <w:t xml:space="preserve"> 331 (1997); Stephen </w:t>
      </w:r>
      <w:proofErr w:type="spellStart"/>
      <w:r w:rsidRPr="00891718">
        <w:rPr>
          <w:lang w:val="en-US"/>
        </w:rPr>
        <w:t>Ansolabehere</w:t>
      </w:r>
      <w:proofErr w:type="spellEnd"/>
      <w:r w:rsidRPr="00891718">
        <w:rPr>
          <w:lang w:val="en-US"/>
        </w:rPr>
        <w:t xml:space="preserve"> &amp; James M. Snyder, </w:t>
      </w:r>
      <w:r w:rsidRPr="00891718">
        <w:rPr>
          <w:bCs/>
          <w:i/>
        </w:rPr>
        <w:t xml:space="preserve">The Incumbency Advantage in U.S. Elections: An Analysis of State and Federal Offices, 1942–2000, </w:t>
      </w:r>
      <w:r w:rsidRPr="00891718">
        <w:rPr>
          <w:bCs/>
        </w:rPr>
        <w:t xml:space="preserve">1 </w:t>
      </w:r>
      <w:r w:rsidRPr="00891718">
        <w:rPr>
          <w:bCs/>
          <w:smallCaps/>
        </w:rPr>
        <w:t>Election L. J</w:t>
      </w:r>
      <w:r w:rsidRPr="00891718">
        <w:rPr>
          <w:bCs/>
        </w:rPr>
        <w:t xml:space="preserve">. 315 (2002); David R. </w:t>
      </w:r>
      <w:r w:rsidRPr="00891718">
        <w:t>Mayhew,</w:t>
      </w:r>
      <w:r w:rsidRPr="00891718">
        <w:rPr>
          <w:i/>
        </w:rPr>
        <w:t xml:space="preserve"> </w:t>
      </w:r>
      <w:r w:rsidRPr="00891718">
        <w:rPr>
          <w:i/>
          <w:lang w:val="en-US"/>
        </w:rPr>
        <w:t xml:space="preserve">Incumbency Advantage in U.S. Presidential Elections: The Historical Record, </w:t>
      </w:r>
      <w:r w:rsidRPr="00891718">
        <w:rPr>
          <w:lang w:val="en-US"/>
        </w:rPr>
        <w:t>123 Po</w:t>
      </w:r>
      <w:r w:rsidRPr="00891718">
        <w:rPr>
          <w:smallCaps/>
          <w:lang w:val="en-US"/>
        </w:rPr>
        <w:t xml:space="preserve">lit. Sci. Q. </w:t>
      </w:r>
      <w:r w:rsidRPr="00891718">
        <w:rPr>
          <w:lang w:val="en-US"/>
        </w:rPr>
        <w:t xml:space="preserve">201 (2008); Alexander </w:t>
      </w:r>
      <w:proofErr w:type="spellStart"/>
      <w:r w:rsidRPr="00891718">
        <w:rPr>
          <w:lang w:val="en-US"/>
        </w:rPr>
        <w:t>Fouirnaies</w:t>
      </w:r>
      <w:proofErr w:type="spellEnd"/>
      <w:r w:rsidRPr="00891718">
        <w:rPr>
          <w:lang w:val="en-US"/>
        </w:rPr>
        <w:t xml:space="preserve"> &amp; Andrew Hall, </w:t>
      </w:r>
      <w:r w:rsidRPr="00891718">
        <w:rPr>
          <w:i/>
          <w:lang w:val="en-US"/>
        </w:rPr>
        <w:t>The Financial Incumbency Advantage: Causes and Consequences</w:t>
      </w:r>
      <w:r w:rsidRPr="00891718">
        <w:rPr>
          <w:lang w:val="en-US"/>
        </w:rPr>
        <w:t>,</w:t>
      </w:r>
      <w:r w:rsidRPr="00891718">
        <w:rPr>
          <w:i/>
          <w:lang w:val="en-US"/>
        </w:rPr>
        <w:t xml:space="preserve"> </w:t>
      </w:r>
      <w:r w:rsidRPr="00891718">
        <w:rPr>
          <w:lang w:val="en-US"/>
        </w:rPr>
        <w:t xml:space="preserve">76 </w:t>
      </w:r>
      <w:r w:rsidRPr="00891718">
        <w:rPr>
          <w:smallCaps/>
        </w:rPr>
        <w:t>J. Polit.</w:t>
      </w:r>
      <w:r w:rsidRPr="00891718">
        <w:t xml:space="preserve"> 711 (2014).</w:t>
      </w:r>
    </w:p>
  </w:footnote>
  <w:footnote w:id="49">
    <w:p w14:paraId="011C83CD" w14:textId="77777777" w:rsidR="00D72C9D" w:rsidRPr="00891718" w:rsidRDefault="00D72C9D" w:rsidP="00F73EDD">
      <w:pPr>
        <w:pStyle w:val="FootnoteText"/>
      </w:pPr>
      <w:r w:rsidRPr="00891718">
        <w:rPr>
          <w:rStyle w:val="FootnoteReference"/>
        </w:rPr>
        <w:footnoteRef/>
      </w:r>
      <w:r w:rsidRPr="00891718">
        <w:t xml:space="preserve"> </w:t>
      </w:r>
      <w:r w:rsidRPr="00891718">
        <w:rPr>
          <w:iCs/>
        </w:rPr>
        <w:t>Austin v. Michigan Chamber of Comm.,</w:t>
      </w:r>
      <w:r w:rsidRPr="00891718">
        <w:t xml:space="preserve"> 494 U.S. 652, 692 (1990). </w:t>
      </w:r>
    </w:p>
  </w:footnote>
  <w:footnote w:id="50">
    <w:p w14:paraId="3DF8EE45" w14:textId="77777777" w:rsidR="00D72C9D" w:rsidRPr="00891718" w:rsidRDefault="00D72C9D" w:rsidP="006318DE">
      <w:pPr>
        <w:pStyle w:val="FootnoteText"/>
      </w:pPr>
      <w:r w:rsidRPr="00891718">
        <w:rPr>
          <w:rStyle w:val="FootnoteReference"/>
        </w:rPr>
        <w:footnoteRef/>
      </w:r>
      <w:r w:rsidRPr="00891718">
        <w:t xml:space="preserve"> McConnell v. Fed. Election </w:t>
      </w:r>
      <w:proofErr w:type="spellStart"/>
      <w:r w:rsidRPr="00891718">
        <w:t>Comm’n</w:t>
      </w:r>
      <w:proofErr w:type="spellEnd"/>
      <w:r w:rsidRPr="00891718">
        <w:rPr>
          <w:i/>
        </w:rPr>
        <w:t xml:space="preserve">, </w:t>
      </w:r>
      <w:r w:rsidRPr="00891718">
        <w:rPr>
          <w:lang w:val="en-US"/>
        </w:rPr>
        <w:t>540 U.S. 93, 249 (2003).</w:t>
      </w:r>
    </w:p>
  </w:footnote>
  <w:footnote w:id="51">
    <w:p w14:paraId="11D999A6" w14:textId="77777777" w:rsidR="00D72C9D" w:rsidRPr="00891718" w:rsidRDefault="00D72C9D" w:rsidP="001E57FF">
      <w:pPr>
        <w:pStyle w:val="FootnoteText"/>
      </w:pPr>
      <w:r w:rsidRPr="00891718">
        <w:rPr>
          <w:rStyle w:val="FootnoteReference"/>
        </w:rPr>
        <w:footnoteRef/>
      </w:r>
      <w:r w:rsidRPr="00891718">
        <w:t xml:space="preserve"> Fed. Election </w:t>
      </w:r>
      <w:proofErr w:type="spellStart"/>
      <w:r w:rsidRPr="00891718">
        <w:t>Comm’n</w:t>
      </w:r>
      <w:proofErr w:type="spellEnd"/>
      <w:r w:rsidRPr="00891718">
        <w:t xml:space="preserve"> v. Wisconsin Right to Life,</w:t>
      </w:r>
      <w:r w:rsidRPr="00891718">
        <w:rPr>
          <w:i/>
        </w:rPr>
        <w:t xml:space="preserve"> </w:t>
      </w:r>
      <w:r w:rsidRPr="00891718">
        <w:t>551 U.S. 449, 503 (2007).</w:t>
      </w:r>
    </w:p>
  </w:footnote>
  <w:footnote w:id="52">
    <w:p w14:paraId="63E8264E" w14:textId="77777777" w:rsidR="00D72C9D" w:rsidRPr="00891718" w:rsidRDefault="00D72C9D" w:rsidP="00DF72F6">
      <w:pPr>
        <w:pStyle w:val="FootnoteText"/>
        <w:rPr>
          <w:i/>
          <w:lang w:val="en-US"/>
        </w:rPr>
      </w:pPr>
      <w:r w:rsidRPr="00891718">
        <w:rPr>
          <w:rStyle w:val="FootnoteReference"/>
        </w:rPr>
        <w:footnoteRef/>
      </w:r>
      <w:r w:rsidRPr="00891718">
        <w:t xml:space="preserve"> Randall v. </w:t>
      </w:r>
      <w:r w:rsidRPr="00891718">
        <w:rPr>
          <w:color w:val="000000" w:themeColor="text1"/>
        </w:rPr>
        <w:t>Sorrell</w:t>
      </w:r>
      <w:r w:rsidRPr="00891718">
        <w:rPr>
          <w:i/>
        </w:rPr>
        <w:t xml:space="preserve"> </w:t>
      </w:r>
      <w:r w:rsidRPr="00891718">
        <w:rPr>
          <w:color w:val="000000" w:themeColor="text1"/>
          <w:lang w:val="en-US"/>
        </w:rPr>
        <w:t>548 US 230, 268 (2006),</w:t>
      </w:r>
      <w:r w:rsidRPr="00891718">
        <w:t xml:space="preserve"> Justice Scalia joining Justice Thomas dissent, stating “[</w:t>
      </w:r>
      <w:proofErr w:type="spellStart"/>
      <w:r w:rsidRPr="00891718">
        <w:t>i</w:t>
      </w:r>
      <w:proofErr w:type="spellEnd"/>
      <w:r w:rsidRPr="00891718">
        <w:t>]n practice, this restriction will generally suppress more speech by challengers than by incumbents”</w:t>
      </w:r>
    </w:p>
  </w:footnote>
  <w:footnote w:id="53">
    <w:p w14:paraId="5C127698" w14:textId="77777777" w:rsidR="00D72C9D" w:rsidRPr="00891718" w:rsidRDefault="00D72C9D" w:rsidP="00F73EDD">
      <w:pPr>
        <w:pStyle w:val="FootnoteText"/>
      </w:pPr>
      <w:r w:rsidRPr="00891718">
        <w:rPr>
          <w:rStyle w:val="FootnoteReference"/>
        </w:rPr>
        <w:footnoteRef/>
      </w:r>
      <w:r w:rsidRPr="00891718">
        <w:t xml:space="preserve"> </w:t>
      </w:r>
      <w:r w:rsidRPr="00891718">
        <w:rPr>
          <w:i/>
          <w:iCs/>
        </w:rPr>
        <w:t>Austin</w:t>
      </w:r>
      <w:r w:rsidRPr="00891718">
        <w:rPr>
          <w:iCs/>
        </w:rPr>
        <w:t xml:space="preserve">, </w:t>
      </w:r>
      <w:r w:rsidRPr="00891718">
        <w:t xml:space="preserve">494 U.S. 652, 692 (1990). </w:t>
      </w:r>
    </w:p>
  </w:footnote>
  <w:footnote w:id="54">
    <w:p w14:paraId="4B5C9383" w14:textId="77777777" w:rsidR="00D72C9D" w:rsidRPr="00891718" w:rsidRDefault="00D72C9D" w:rsidP="00506D1B">
      <w:pPr>
        <w:pStyle w:val="FootnoteText"/>
      </w:pPr>
      <w:r w:rsidRPr="00891718">
        <w:rPr>
          <w:rStyle w:val="FootnoteReference"/>
        </w:rPr>
        <w:footnoteRef/>
      </w:r>
      <w:r w:rsidRPr="00891718">
        <w:t xml:space="preserve"> </w:t>
      </w:r>
      <w:r w:rsidRPr="00891718">
        <w:rPr>
          <w:i/>
        </w:rPr>
        <w:t xml:space="preserve">McConnell, </w:t>
      </w:r>
      <w:r w:rsidRPr="00891718">
        <w:rPr>
          <w:lang w:val="en-US"/>
        </w:rPr>
        <w:t>540 U.S. 93, 249 (2003).</w:t>
      </w:r>
      <w:r w:rsidRPr="00891718">
        <w:t xml:space="preserve"> </w:t>
      </w:r>
    </w:p>
  </w:footnote>
  <w:footnote w:id="55">
    <w:p w14:paraId="3993F0D1" w14:textId="77777777" w:rsidR="00D72C9D" w:rsidRPr="00891718" w:rsidRDefault="00D72C9D">
      <w:pPr>
        <w:pStyle w:val="FootnoteText"/>
      </w:pPr>
      <w:r w:rsidRPr="00891718">
        <w:rPr>
          <w:rStyle w:val="FootnoteReference"/>
        </w:rPr>
        <w:footnoteRef/>
      </w:r>
      <w:r w:rsidRPr="00891718">
        <w:t xml:space="preserve"> </w:t>
      </w:r>
      <w:r w:rsidRPr="00891718">
        <w:rPr>
          <w:i/>
          <w:iCs/>
        </w:rPr>
        <w:t>Austin</w:t>
      </w:r>
      <w:r w:rsidRPr="00891718">
        <w:rPr>
          <w:iCs/>
        </w:rPr>
        <w:t xml:space="preserve">, </w:t>
      </w:r>
      <w:r w:rsidRPr="00891718">
        <w:t>494 U.S. 652, 695 (1990).</w:t>
      </w:r>
    </w:p>
  </w:footnote>
  <w:footnote w:id="56">
    <w:p w14:paraId="7B8A4ECD" w14:textId="77777777" w:rsidR="00D72C9D" w:rsidRPr="00891718" w:rsidRDefault="00D72C9D" w:rsidP="00D667FA">
      <w:pPr>
        <w:pStyle w:val="FootnoteText"/>
      </w:pPr>
      <w:r w:rsidRPr="00891718">
        <w:rPr>
          <w:rStyle w:val="FootnoteReference"/>
        </w:rPr>
        <w:footnoteRef/>
      </w:r>
      <w:r w:rsidRPr="00891718">
        <w:t xml:space="preserve"> </w:t>
      </w:r>
      <w:r w:rsidRPr="00891718">
        <w:rPr>
          <w:lang w:val="en-US"/>
        </w:rPr>
        <w:t>514 U.S. 344 (1995).</w:t>
      </w:r>
    </w:p>
  </w:footnote>
  <w:footnote w:id="57">
    <w:p w14:paraId="03FDF641" w14:textId="77777777" w:rsidR="00D72C9D" w:rsidRPr="00891718" w:rsidRDefault="00D72C9D" w:rsidP="00FB2EE9">
      <w:pPr>
        <w:pStyle w:val="FootnoteText"/>
      </w:pPr>
      <w:r w:rsidRPr="00891718">
        <w:rPr>
          <w:rStyle w:val="FootnoteReference"/>
        </w:rPr>
        <w:footnoteRef/>
      </w:r>
      <w:r w:rsidRPr="00891718">
        <w:t xml:space="preserve"> </w:t>
      </w:r>
      <w:r w:rsidRPr="00891718">
        <w:rPr>
          <w:i/>
        </w:rPr>
        <w:t xml:space="preserve">Supra </w:t>
      </w:r>
      <w:r w:rsidRPr="00891718">
        <w:t>note 41.</w:t>
      </w:r>
    </w:p>
  </w:footnote>
  <w:footnote w:id="58">
    <w:p w14:paraId="40DCBEC1" w14:textId="77777777" w:rsidR="00D72C9D" w:rsidRPr="00891718" w:rsidRDefault="00D72C9D" w:rsidP="00FB2EE9">
      <w:pPr>
        <w:pStyle w:val="FootnoteText"/>
        <w:rPr>
          <w:i/>
        </w:rPr>
      </w:pPr>
      <w:r w:rsidRPr="00891718">
        <w:rPr>
          <w:rStyle w:val="FootnoteReference"/>
        </w:rPr>
        <w:footnoteRef/>
      </w:r>
      <w:r w:rsidRPr="00891718">
        <w:t xml:space="preserve"> </w:t>
      </w:r>
      <w:r w:rsidRPr="00891718">
        <w:rPr>
          <w:lang w:val="en-US"/>
        </w:rPr>
        <w:t>514 U.S. 344, 381 &amp; 377 (1995).</w:t>
      </w:r>
    </w:p>
  </w:footnote>
  <w:footnote w:id="59">
    <w:p w14:paraId="6F8ED338" w14:textId="666FD6BB" w:rsidR="00D72C9D" w:rsidRPr="00891718" w:rsidRDefault="00D72C9D">
      <w:pPr>
        <w:pStyle w:val="FootnoteText"/>
        <w:jc w:val="left"/>
      </w:pPr>
      <w:r w:rsidRPr="00891718">
        <w:rPr>
          <w:rStyle w:val="FootnoteReference"/>
        </w:rPr>
        <w:footnoteRef/>
      </w:r>
      <w:r w:rsidRPr="00891718">
        <w:t xml:space="preserve"> Nelson Lund, </w:t>
      </w:r>
      <w:r w:rsidRPr="00891718">
        <w:rPr>
          <w:i/>
        </w:rPr>
        <w:t xml:space="preserve">Antonin Scalia and the Dilemma of Constitutional Originalism </w:t>
      </w:r>
      <w:r w:rsidRPr="00891718">
        <w:t xml:space="preserve">11, George Mason Legal Studies Research Paper No. LS 16-36. (Dec. 5, 2016). Available at SSRN: https://ssrn.com/abstract=2880578. </w:t>
      </w:r>
    </w:p>
  </w:footnote>
  <w:footnote w:id="60">
    <w:p w14:paraId="5549F4C4" w14:textId="77777777" w:rsidR="00D72C9D" w:rsidRPr="00891718" w:rsidRDefault="00D72C9D">
      <w:pPr>
        <w:pStyle w:val="FootnoteText"/>
      </w:pPr>
      <w:r w:rsidRPr="00891718">
        <w:rPr>
          <w:rStyle w:val="FootnoteReference"/>
        </w:rPr>
        <w:footnoteRef/>
      </w:r>
      <w:r w:rsidRPr="00891718">
        <w:t xml:space="preserve"> Erwin </w:t>
      </w:r>
      <w:proofErr w:type="spellStart"/>
      <w:r w:rsidRPr="00891718">
        <w:t>Chemerinsky</w:t>
      </w:r>
      <w:proofErr w:type="spellEnd"/>
      <w:r w:rsidRPr="00891718">
        <w:t xml:space="preserve">, </w:t>
      </w:r>
      <w:r w:rsidRPr="00891718">
        <w:rPr>
          <w:i/>
        </w:rPr>
        <w:t>The Jurisprudence of Justice Scalia: A Critical Appraisal</w:t>
      </w:r>
      <w:r w:rsidRPr="00891718">
        <w:t xml:space="preserve">, 22 </w:t>
      </w:r>
      <w:r w:rsidRPr="00891718">
        <w:rPr>
          <w:smallCaps/>
        </w:rPr>
        <w:t xml:space="preserve">U. Haw. L. Rev. </w:t>
      </w:r>
      <w:r w:rsidRPr="00891718">
        <w:t xml:space="preserve">385, 385 (2000). </w:t>
      </w:r>
      <w:r w:rsidRPr="00891718">
        <w:rPr>
          <w:i/>
        </w:rPr>
        <w:t>See also</w:t>
      </w:r>
      <w:r w:rsidRPr="00891718">
        <w:t xml:space="preserve">, Miranda </w:t>
      </w:r>
      <w:r w:rsidRPr="00891718">
        <w:rPr>
          <w:lang w:val="en-US"/>
        </w:rPr>
        <w:t xml:space="preserve">McGowan, </w:t>
      </w:r>
      <w:r w:rsidRPr="00891718">
        <w:rPr>
          <w:i/>
          <w:lang w:val="en-US"/>
        </w:rPr>
        <w:t>Do as I Do, Not as I Say: An Empirical Investigation of Justice Scalia’s Ordinary Meaning Method of Statutory Interpretation,</w:t>
      </w:r>
      <w:r w:rsidRPr="00891718">
        <w:rPr>
          <w:lang w:val="en-US"/>
        </w:rPr>
        <w:t xml:space="preserve"> 78 </w:t>
      </w:r>
      <w:r w:rsidRPr="00891718">
        <w:rPr>
          <w:smallCaps/>
        </w:rPr>
        <w:t>Miss. L.J.</w:t>
      </w:r>
      <w:r w:rsidRPr="00891718">
        <w:rPr>
          <w:lang w:val="en-US"/>
        </w:rPr>
        <w:t xml:space="preserve"> 129, 150 (2008)</w:t>
      </w:r>
      <w:r w:rsidRPr="00891718">
        <w:t>.</w:t>
      </w:r>
    </w:p>
  </w:footnote>
  <w:footnote w:id="61">
    <w:p w14:paraId="113FF2ED" w14:textId="77777777" w:rsidR="00D72C9D" w:rsidRPr="00891718" w:rsidRDefault="00D72C9D">
      <w:pPr>
        <w:pStyle w:val="FootnoteText"/>
        <w:rPr>
          <w:lang w:val="en-US"/>
        </w:rPr>
      </w:pPr>
      <w:r w:rsidRPr="00891718">
        <w:rPr>
          <w:rStyle w:val="FootnoteReference"/>
        </w:rPr>
        <w:footnoteRef/>
      </w:r>
      <w:r w:rsidRPr="00891718">
        <w:t xml:space="preserve"> </w:t>
      </w:r>
      <w:r w:rsidRPr="00891718">
        <w:rPr>
          <w:i/>
        </w:rPr>
        <w:t xml:space="preserve">Citizens United, </w:t>
      </w:r>
      <w:r w:rsidRPr="00891718">
        <w:t xml:space="preserve">558 U.S. 310, 339 (2010). </w:t>
      </w:r>
    </w:p>
  </w:footnote>
  <w:footnote w:id="62">
    <w:p w14:paraId="5D571AE7" w14:textId="006FE202" w:rsidR="00D72C9D" w:rsidRPr="00891718" w:rsidRDefault="00D72C9D" w:rsidP="00B3015B">
      <w:pPr>
        <w:pStyle w:val="FootnoteText"/>
      </w:pPr>
      <w:r w:rsidRPr="00891718">
        <w:rPr>
          <w:rStyle w:val="FootnoteReference"/>
        </w:rPr>
        <w:footnoteRef/>
      </w:r>
      <w:r w:rsidRPr="00891718">
        <w:t xml:space="preserve"> </w:t>
      </w:r>
      <w:proofErr w:type="spellStart"/>
      <w:r w:rsidRPr="00891718">
        <w:t>Sunstein</w:t>
      </w:r>
      <w:proofErr w:type="spellEnd"/>
      <w:r w:rsidRPr="00891718">
        <w:t xml:space="preserve">, </w:t>
      </w:r>
      <w:r w:rsidRPr="00891718">
        <w:rPr>
          <w:i/>
        </w:rPr>
        <w:t xml:space="preserve">supra </w:t>
      </w:r>
      <w:r w:rsidRPr="00891718">
        <w:t xml:space="preserve">note </w:t>
      </w:r>
      <w:r w:rsidRPr="00891718">
        <w:fldChar w:fldCharType="begin"/>
      </w:r>
      <w:r w:rsidRPr="00891718">
        <w:instrText xml:space="preserve"> NOTEREF _Ref469411424 \h </w:instrText>
      </w:r>
      <w:r w:rsidR="00891718">
        <w:instrText xml:space="preserve"> \* MERGEFORMAT </w:instrText>
      </w:r>
      <w:r w:rsidRPr="00891718">
        <w:fldChar w:fldCharType="separate"/>
      </w:r>
      <w:r w:rsidRPr="00891718">
        <w:t>23</w:t>
      </w:r>
      <w:r w:rsidRPr="00891718">
        <w:fldChar w:fldCharType="end"/>
      </w:r>
      <w:r w:rsidRPr="00891718">
        <w:t>, at 1400. Emphasis added.</w:t>
      </w:r>
    </w:p>
  </w:footnote>
  <w:footnote w:id="63">
    <w:p w14:paraId="71B00195" w14:textId="77777777" w:rsidR="00D72C9D" w:rsidRPr="00891718" w:rsidRDefault="00D72C9D" w:rsidP="003428C2">
      <w:pPr>
        <w:pStyle w:val="FootnoteText"/>
      </w:pPr>
      <w:r w:rsidRPr="00891718">
        <w:rPr>
          <w:rStyle w:val="FootnoteReference"/>
        </w:rPr>
        <w:footnoteRef/>
      </w:r>
      <w:r w:rsidRPr="00891718">
        <w:t xml:space="preserve"> </w:t>
      </w:r>
      <w:r w:rsidRPr="00891718">
        <w:rPr>
          <w:i/>
        </w:rPr>
        <w:t xml:space="preserve">Wisconsin Right to Life, </w:t>
      </w:r>
      <w:r w:rsidRPr="00891718">
        <w:t>551 U.S. 449, 508 (2007).</w:t>
      </w:r>
    </w:p>
  </w:footnote>
  <w:footnote w:id="64">
    <w:p w14:paraId="0839A007" w14:textId="77777777" w:rsidR="00D72C9D" w:rsidRPr="00891718" w:rsidRDefault="00D72C9D" w:rsidP="009429C7">
      <w:pPr>
        <w:rPr>
          <w:rFonts w:eastAsia="Times New Roman"/>
          <w:sz w:val="20"/>
          <w:szCs w:val="20"/>
        </w:rPr>
      </w:pPr>
      <w:r w:rsidRPr="00891718">
        <w:rPr>
          <w:rStyle w:val="FootnoteReference"/>
          <w:szCs w:val="20"/>
        </w:rPr>
        <w:footnoteRef/>
      </w:r>
      <w:r w:rsidRPr="00891718">
        <w:rPr>
          <w:sz w:val="20"/>
          <w:szCs w:val="20"/>
        </w:rPr>
        <w:t xml:space="preserve"> The majority was also concerned that </w:t>
      </w:r>
      <w:r w:rsidRPr="00891718">
        <w:rPr>
          <w:rFonts w:eastAsia="Times New Roman"/>
          <w:color w:val="333333"/>
          <w:sz w:val="20"/>
          <w:szCs w:val="20"/>
          <w:shd w:val="clear" w:color="auto" w:fill="FFFFFF"/>
        </w:rPr>
        <w:t xml:space="preserve">corporations should not be granted the same free speech rights as human beings. Under the guidance the conservative majority, </w:t>
      </w:r>
      <w:r w:rsidRPr="00891718">
        <w:rPr>
          <w:rFonts w:eastAsia="Times New Roman"/>
          <w:i/>
          <w:color w:val="333333"/>
          <w:sz w:val="20"/>
          <w:szCs w:val="20"/>
          <w:shd w:val="clear" w:color="auto" w:fill="FFFFFF"/>
        </w:rPr>
        <w:t xml:space="preserve">Citizens United </w:t>
      </w:r>
      <w:r w:rsidRPr="00891718">
        <w:rPr>
          <w:rFonts w:eastAsia="Times New Roman"/>
          <w:color w:val="333333"/>
          <w:sz w:val="20"/>
          <w:szCs w:val="20"/>
          <w:shd w:val="clear" w:color="auto" w:fill="FFFFFF"/>
        </w:rPr>
        <w:t xml:space="preserve">has been extended to embrace for-profit corporations, labor unions and other associations. </w:t>
      </w:r>
      <w:r w:rsidRPr="00891718">
        <w:rPr>
          <w:rFonts w:eastAsia="Times New Roman"/>
          <w:i/>
          <w:color w:val="333333"/>
          <w:sz w:val="20"/>
          <w:szCs w:val="20"/>
          <w:shd w:val="clear" w:color="auto" w:fill="FFFFFF"/>
        </w:rPr>
        <w:t>See</w:t>
      </w:r>
      <w:r w:rsidRPr="00891718">
        <w:rPr>
          <w:rFonts w:eastAsia="Times New Roman"/>
          <w:color w:val="333333"/>
          <w:sz w:val="20"/>
          <w:szCs w:val="20"/>
          <w:shd w:val="clear" w:color="auto" w:fill="FFFFFF"/>
        </w:rPr>
        <w:t xml:space="preserve"> Wisconsin Right to Life v. Fed. Election </w:t>
      </w:r>
      <w:proofErr w:type="spellStart"/>
      <w:r w:rsidRPr="00891718">
        <w:rPr>
          <w:rFonts w:eastAsia="Times New Roman"/>
          <w:color w:val="333333"/>
          <w:sz w:val="20"/>
          <w:szCs w:val="20"/>
          <w:shd w:val="clear" w:color="auto" w:fill="FFFFFF"/>
        </w:rPr>
        <w:t>Comm’n</w:t>
      </w:r>
      <w:proofErr w:type="spellEnd"/>
      <w:r w:rsidRPr="00891718">
        <w:rPr>
          <w:rFonts w:eastAsia="Times New Roman"/>
          <w:i/>
          <w:color w:val="333333"/>
          <w:sz w:val="20"/>
          <w:szCs w:val="20"/>
          <w:shd w:val="clear" w:color="auto" w:fill="FFFFFF"/>
        </w:rPr>
        <w:t xml:space="preserve">, </w:t>
      </w:r>
      <w:r w:rsidRPr="00891718">
        <w:rPr>
          <w:rFonts w:eastAsia="Times New Roman"/>
          <w:color w:val="333333"/>
          <w:sz w:val="20"/>
          <w:szCs w:val="20"/>
          <w:shd w:val="clear" w:color="auto" w:fill="FFFFFF"/>
        </w:rPr>
        <w:t>551 U.S. 449 (2007).</w:t>
      </w:r>
    </w:p>
  </w:footnote>
  <w:footnote w:id="65">
    <w:p w14:paraId="25BCD96D" w14:textId="77777777" w:rsidR="00D72C9D" w:rsidRPr="00891718" w:rsidRDefault="00D72C9D" w:rsidP="00831123">
      <w:pPr>
        <w:jc w:val="both"/>
        <w:rPr>
          <w:i/>
          <w:sz w:val="20"/>
          <w:szCs w:val="20"/>
        </w:rPr>
      </w:pPr>
      <w:r w:rsidRPr="00891718">
        <w:rPr>
          <w:rStyle w:val="FootnoteReference"/>
          <w:szCs w:val="20"/>
        </w:rPr>
        <w:footnoteRef/>
      </w:r>
      <w:r w:rsidRPr="00891718">
        <w:rPr>
          <w:sz w:val="20"/>
          <w:szCs w:val="20"/>
        </w:rPr>
        <w:t xml:space="preserve"> </w:t>
      </w:r>
      <w:r w:rsidRPr="00891718">
        <w:rPr>
          <w:iCs/>
          <w:sz w:val="20"/>
          <w:szCs w:val="20"/>
        </w:rPr>
        <w:t>Austin v. Michigan Chamber of Comm.,</w:t>
      </w:r>
      <w:r w:rsidRPr="00891718">
        <w:rPr>
          <w:sz w:val="20"/>
          <w:szCs w:val="20"/>
        </w:rPr>
        <w:t xml:space="preserve"> 494 U.S. 652, 659 (1990), (citing </w:t>
      </w:r>
      <w:r w:rsidRPr="00891718">
        <w:rPr>
          <w:i/>
          <w:sz w:val="20"/>
          <w:szCs w:val="20"/>
        </w:rPr>
        <w:t xml:space="preserve">Fed. Election </w:t>
      </w:r>
      <w:proofErr w:type="spellStart"/>
      <w:r w:rsidRPr="00891718">
        <w:rPr>
          <w:i/>
          <w:sz w:val="20"/>
          <w:szCs w:val="20"/>
        </w:rPr>
        <w:t>Comm’n</w:t>
      </w:r>
      <w:proofErr w:type="spellEnd"/>
      <w:r w:rsidRPr="00891718">
        <w:rPr>
          <w:i/>
          <w:sz w:val="20"/>
          <w:szCs w:val="20"/>
        </w:rPr>
        <w:t xml:space="preserve"> v. Massachusetts Citizens for Life</w:t>
      </w:r>
      <w:r w:rsidRPr="00891718">
        <w:rPr>
          <w:sz w:val="20"/>
          <w:szCs w:val="20"/>
        </w:rPr>
        <w:t>, 479 U.S. 238 (1986)).</w:t>
      </w:r>
    </w:p>
  </w:footnote>
  <w:footnote w:id="66">
    <w:p w14:paraId="58EDFCDE" w14:textId="77777777" w:rsidR="00D72C9D" w:rsidRPr="00891718" w:rsidRDefault="00D72C9D" w:rsidP="00351ADC">
      <w:pPr>
        <w:pStyle w:val="FootnoteText"/>
      </w:pPr>
      <w:r w:rsidRPr="00891718">
        <w:rPr>
          <w:rStyle w:val="FootnoteReference"/>
        </w:rPr>
        <w:footnoteRef/>
      </w:r>
      <w:r w:rsidRPr="00891718">
        <w:t xml:space="preserve"> </w:t>
      </w:r>
      <w:r w:rsidRPr="00891718">
        <w:rPr>
          <w:i/>
        </w:rPr>
        <w:t xml:space="preserve">Id. </w:t>
      </w:r>
      <w:r w:rsidRPr="00891718">
        <w:t>at 680.</w:t>
      </w:r>
    </w:p>
  </w:footnote>
  <w:footnote w:id="67">
    <w:p w14:paraId="3D0ABB6C" w14:textId="77777777" w:rsidR="00D72C9D" w:rsidRPr="00891718" w:rsidRDefault="00D72C9D" w:rsidP="00351ADC">
      <w:pPr>
        <w:pStyle w:val="FootnoteText"/>
      </w:pPr>
      <w:r w:rsidRPr="00891718">
        <w:rPr>
          <w:rStyle w:val="FootnoteReference"/>
        </w:rPr>
        <w:footnoteRef/>
      </w:r>
      <w:r w:rsidRPr="00891718">
        <w:t xml:space="preserve"> </w:t>
      </w:r>
      <w:r w:rsidRPr="00891718">
        <w:rPr>
          <w:i/>
        </w:rPr>
        <w:t xml:space="preserve">Id. </w:t>
      </w:r>
      <w:r w:rsidRPr="00891718">
        <w:t>at 694.</w:t>
      </w:r>
    </w:p>
  </w:footnote>
  <w:footnote w:id="68">
    <w:p w14:paraId="5FC4F1DA" w14:textId="77777777" w:rsidR="00D72C9D" w:rsidRPr="00891718" w:rsidRDefault="00D72C9D">
      <w:pPr>
        <w:pStyle w:val="FootnoteText"/>
        <w:rPr>
          <w:i/>
          <w:lang w:val="en-US"/>
        </w:rPr>
      </w:pPr>
      <w:r w:rsidRPr="00891718">
        <w:rPr>
          <w:rStyle w:val="FootnoteReference"/>
        </w:rPr>
        <w:footnoteRef/>
      </w:r>
      <w:r w:rsidRPr="00891718">
        <w:t xml:space="preserve"> </w:t>
      </w:r>
      <w:r w:rsidRPr="00891718">
        <w:rPr>
          <w:i/>
        </w:rPr>
        <w:t>See</w:t>
      </w:r>
      <w:r w:rsidRPr="00891718">
        <w:t xml:space="preserve"> </w:t>
      </w:r>
      <w:r w:rsidRPr="00891718">
        <w:rPr>
          <w:i/>
        </w:rPr>
        <w:t xml:space="preserve">Austin, </w:t>
      </w:r>
      <w:r w:rsidRPr="00891718">
        <w:t>494 U.S. 652, 678 (1990). Farber notes that “[</w:t>
      </w:r>
      <w:proofErr w:type="spellStart"/>
      <w:r w:rsidRPr="00891718">
        <w:t>i</w:t>
      </w:r>
      <w:proofErr w:type="spellEnd"/>
      <w:r w:rsidRPr="00891718">
        <w:t xml:space="preserve">]t is precisely this tendency to overregulate speech activities that requires constitutional protection for speech” – </w:t>
      </w:r>
      <w:r w:rsidRPr="00891718">
        <w:rPr>
          <w:i/>
        </w:rPr>
        <w:t xml:space="preserve">see </w:t>
      </w:r>
      <w:r w:rsidRPr="00891718">
        <w:t>Daniel A. Farber,</w:t>
      </w:r>
      <w:r w:rsidRPr="00891718">
        <w:rPr>
          <w:i/>
        </w:rPr>
        <w:t xml:space="preserve"> Free Speech Without Romance: Public Choice and the First Amendment,</w:t>
      </w:r>
      <w:r w:rsidRPr="00891718">
        <w:t xml:space="preserve"> 105 </w:t>
      </w:r>
      <w:proofErr w:type="spellStart"/>
      <w:r w:rsidRPr="00891718">
        <w:rPr>
          <w:smallCaps/>
        </w:rPr>
        <w:t>Harv</w:t>
      </w:r>
      <w:proofErr w:type="spellEnd"/>
      <w:r w:rsidRPr="00891718">
        <w:rPr>
          <w:smallCaps/>
        </w:rPr>
        <w:t xml:space="preserve">. </w:t>
      </w:r>
      <w:proofErr w:type="spellStart"/>
      <w:r w:rsidRPr="00891718">
        <w:rPr>
          <w:smallCaps/>
        </w:rPr>
        <w:t>L.Rev</w:t>
      </w:r>
      <w:proofErr w:type="spellEnd"/>
      <w:r w:rsidRPr="00891718">
        <w:t xml:space="preserve">. 554, 561 (1991). ‘Orwellian’ is also used by Justice Scalia to describe </w:t>
      </w:r>
      <w:r w:rsidRPr="00891718">
        <w:rPr>
          <w:i/>
        </w:rPr>
        <w:t>Roe v. Wade</w:t>
      </w:r>
      <w:r w:rsidRPr="00891718">
        <w:t>:</w:t>
      </w:r>
      <w:r w:rsidRPr="00891718">
        <w:rPr>
          <w:i/>
        </w:rPr>
        <w:t xml:space="preserve"> </w:t>
      </w:r>
      <w:r w:rsidRPr="00891718">
        <w:t>“</w:t>
      </w:r>
      <w:r w:rsidRPr="00891718">
        <w:rPr>
          <w:lang w:val="en-US"/>
        </w:rPr>
        <w:t xml:space="preserve">[T]o portray </w:t>
      </w:r>
      <w:r w:rsidRPr="00891718">
        <w:rPr>
          <w:i/>
          <w:lang w:val="en-US"/>
        </w:rPr>
        <w:t>Roe</w:t>
      </w:r>
      <w:r w:rsidRPr="00891718">
        <w:rPr>
          <w:lang w:val="en-US"/>
        </w:rPr>
        <w:t xml:space="preserve"> as the statesmanlike ‘settlement’ of a divisive issue, a jurisprudential Peace of Westphalia that is worth preserving, is nothing less than Orwellian.” </w:t>
      </w:r>
      <w:r w:rsidRPr="00891718">
        <w:rPr>
          <w:i/>
          <w:lang w:val="en-US"/>
        </w:rPr>
        <w:t xml:space="preserve">Planned Parenthood v. Casey, </w:t>
      </w:r>
      <w:r w:rsidRPr="00891718">
        <w:rPr>
          <w:lang w:val="en-US"/>
        </w:rPr>
        <w:t>505 U.S. 833, 995 (1992).</w:t>
      </w:r>
      <w:r w:rsidRPr="00891718">
        <w:rPr>
          <w:i/>
          <w:lang w:val="en-US"/>
        </w:rPr>
        <w:t xml:space="preserve"> </w:t>
      </w:r>
    </w:p>
  </w:footnote>
  <w:footnote w:id="69">
    <w:p w14:paraId="217F2D4F" w14:textId="77777777" w:rsidR="00D72C9D" w:rsidRPr="00891718" w:rsidRDefault="00D72C9D">
      <w:pPr>
        <w:pStyle w:val="FootnoteText"/>
      </w:pPr>
      <w:r w:rsidRPr="00891718">
        <w:rPr>
          <w:rStyle w:val="FootnoteReference"/>
        </w:rPr>
        <w:footnoteRef/>
      </w:r>
      <w:r w:rsidRPr="00891718">
        <w:t xml:space="preserve"> </w:t>
      </w:r>
      <w:r w:rsidRPr="00891718">
        <w:rPr>
          <w:i/>
        </w:rPr>
        <w:t>See</w:t>
      </w:r>
      <w:r w:rsidRPr="00891718">
        <w:t xml:space="preserve"> </w:t>
      </w:r>
      <w:r w:rsidRPr="00891718">
        <w:rPr>
          <w:i/>
        </w:rPr>
        <w:t xml:space="preserve">Wisconsin Right to Life, </w:t>
      </w:r>
      <w:r w:rsidRPr="00891718">
        <w:t xml:space="preserve">551 U.S. 449, 503 (2007). </w:t>
      </w:r>
    </w:p>
  </w:footnote>
  <w:footnote w:id="70">
    <w:p w14:paraId="26FA05DE" w14:textId="77777777" w:rsidR="00D72C9D" w:rsidRPr="00891718" w:rsidRDefault="00D72C9D">
      <w:pPr>
        <w:pStyle w:val="FootnoteText"/>
      </w:pPr>
      <w:r w:rsidRPr="00891718">
        <w:rPr>
          <w:rStyle w:val="FootnoteReference"/>
        </w:rPr>
        <w:footnoteRef/>
      </w:r>
      <w:r w:rsidRPr="00891718">
        <w:t xml:space="preserve"> </w:t>
      </w:r>
      <w:r w:rsidRPr="00891718">
        <w:rPr>
          <w:i/>
        </w:rPr>
        <w:t>Id.</w:t>
      </w:r>
    </w:p>
  </w:footnote>
  <w:footnote w:id="71">
    <w:p w14:paraId="60BFEB24" w14:textId="77777777" w:rsidR="00D72C9D" w:rsidRPr="00891718" w:rsidRDefault="00D72C9D">
      <w:pPr>
        <w:pStyle w:val="FootnoteText"/>
      </w:pPr>
      <w:r w:rsidRPr="00891718">
        <w:rPr>
          <w:rStyle w:val="FootnoteReference"/>
        </w:rPr>
        <w:footnoteRef/>
      </w:r>
      <w:r w:rsidRPr="00891718">
        <w:t xml:space="preserve"> </w:t>
      </w:r>
      <w:r w:rsidRPr="00891718">
        <w:rPr>
          <w:i/>
        </w:rPr>
        <w:t>See</w:t>
      </w:r>
      <w:r w:rsidRPr="00891718">
        <w:t xml:space="preserve">, </w:t>
      </w:r>
      <w:r w:rsidRPr="00891718">
        <w:rPr>
          <w:i/>
        </w:rPr>
        <w:t xml:space="preserve">e.g., </w:t>
      </w:r>
      <w:r w:rsidRPr="00891718">
        <w:rPr>
          <w:smallCaps/>
        </w:rPr>
        <w:t>Robert C. Post</w:t>
      </w:r>
      <w:r w:rsidRPr="00891718">
        <w:t xml:space="preserve">, </w:t>
      </w:r>
      <w:r w:rsidRPr="00891718">
        <w:rPr>
          <w:smallCaps/>
        </w:rPr>
        <w:t>Citizens Divided: Campaign Finance Reform and the Constitution</w:t>
      </w:r>
      <w:r w:rsidRPr="00891718">
        <w:rPr>
          <w:i/>
        </w:rPr>
        <w:t xml:space="preserve"> </w:t>
      </w:r>
      <w:r w:rsidRPr="00891718">
        <w:t xml:space="preserve">2014 and Richard L. </w:t>
      </w:r>
      <w:proofErr w:type="spellStart"/>
      <w:r w:rsidRPr="00891718">
        <w:t>Hasen</w:t>
      </w:r>
      <w:proofErr w:type="spellEnd"/>
      <w:r w:rsidRPr="00891718">
        <w:t xml:space="preserve">, </w:t>
      </w:r>
      <w:r w:rsidRPr="00891718">
        <w:rPr>
          <w:i/>
        </w:rPr>
        <w:t>Citizens United and the Illusion of Coherence</w:t>
      </w:r>
      <w:r w:rsidRPr="00891718">
        <w:t>,</w:t>
      </w:r>
      <w:r w:rsidRPr="00891718">
        <w:rPr>
          <w:i/>
        </w:rPr>
        <w:t xml:space="preserve"> </w:t>
      </w:r>
      <w:r w:rsidRPr="00891718">
        <w:t xml:space="preserve">109 </w:t>
      </w:r>
      <w:r w:rsidRPr="00891718">
        <w:rPr>
          <w:smallCaps/>
        </w:rPr>
        <w:t>Mich. L. Rev.</w:t>
      </w:r>
      <w:r w:rsidRPr="00891718">
        <w:t xml:space="preserve"> 581 (2011).</w:t>
      </w:r>
    </w:p>
  </w:footnote>
  <w:footnote w:id="72">
    <w:p w14:paraId="3DACA795" w14:textId="77777777" w:rsidR="00D72C9D" w:rsidRPr="00891718" w:rsidRDefault="00D72C9D">
      <w:pPr>
        <w:pStyle w:val="FootnoteText"/>
      </w:pPr>
      <w:r w:rsidRPr="00891718">
        <w:rPr>
          <w:rStyle w:val="FootnoteReference"/>
        </w:rPr>
        <w:footnoteRef/>
      </w:r>
      <w:r w:rsidRPr="00891718">
        <w:t xml:space="preserve"> </w:t>
      </w:r>
      <w:r w:rsidRPr="00891718">
        <w:rPr>
          <w:i/>
        </w:rPr>
        <w:t>Citizens United</w:t>
      </w:r>
      <w:r w:rsidRPr="00891718">
        <w:t xml:space="preserve">, 558 U.S. 310, 393(2010). Justice Scalia unconvincingly attempted to depict corporations and political parties in the same guise, arguing that both could speak for individuals who had associated together, that the nature of the speech does not change, have less value or lose its potency according to its source of funding and that, because the First Amendment did not mention ‘speakers’, but concerned ‘speech’, no category of speakers could be excluded. </w:t>
      </w:r>
    </w:p>
  </w:footnote>
  <w:footnote w:id="73">
    <w:p w14:paraId="23A5E15D" w14:textId="77777777" w:rsidR="00D72C9D" w:rsidRPr="00891718" w:rsidRDefault="00D72C9D">
      <w:pPr>
        <w:pStyle w:val="FootnoteText"/>
      </w:pPr>
      <w:r w:rsidRPr="00891718">
        <w:rPr>
          <w:rStyle w:val="FootnoteReference"/>
        </w:rPr>
        <w:footnoteRef/>
      </w:r>
      <w:r w:rsidRPr="00891718">
        <w:t xml:space="preserve"> Kathleen M. Sullivan, </w:t>
      </w:r>
      <w:r w:rsidRPr="00891718">
        <w:rPr>
          <w:i/>
        </w:rPr>
        <w:t>Two Concepts of Freedom of Speech,</w:t>
      </w:r>
      <w:r w:rsidRPr="00891718">
        <w:t xml:space="preserve"> </w:t>
      </w:r>
      <w:r w:rsidRPr="00891718">
        <w:rPr>
          <w:lang w:val="en-US"/>
        </w:rPr>
        <w:t xml:space="preserve">124 </w:t>
      </w:r>
      <w:proofErr w:type="spellStart"/>
      <w:r w:rsidRPr="00891718">
        <w:rPr>
          <w:smallCaps/>
          <w:lang w:val="en-US"/>
        </w:rPr>
        <w:t>Harv</w:t>
      </w:r>
      <w:proofErr w:type="spellEnd"/>
      <w:r w:rsidRPr="00891718">
        <w:rPr>
          <w:smallCaps/>
          <w:lang w:val="en-US"/>
        </w:rPr>
        <w:t>. L. Rev</w:t>
      </w:r>
      <w:r w:rsidRPr="00891718">
        <w:rPr>
          <w:lang w:val="en-US"/>
        </w:rPr>
        <w:t>. 143, 145 (2010).</w:t>
      </w:r>
    </w:p>
  </w:footnote>
  <w:footnote w:id="74">
    <w:p w14:paraId="2DC36548" w14:textId="77777777" w:rsidR="00D72C9D" w:rsidRPr="00891718" w:rsidRDefault="00D72C9D">
      <w:pPr>
        <w:pStyle w:val="FootnoteText"/>
      </w:pPr>
      <w:r w:rsidRPr="00891718">
        <w:rPr>
          <w:rStyle w:val="FootnoteReference"/>
        </w:rPr>
        <w:footnoteRef/>
      </w:r>
      <w:r w:rsidRPr="00891718">
        <w:t xml:space="preserve"> </w:t>
      </w:r>
      <w:r w:rsidRPr="00891718">
        <w:rPr>
          <w:i/>
        </w:rPr>
        <w:t xml:space="preserve">Id. </w:t>
      </w:r>
      <w:r w:rsidRPr="00891718">
        <w:t>at 155.</w:t>
      </w:r>
    </w:p>
  </w:footnote>
  <w:footnote w:id="75">
    <w:p w14:paraId="3C115359" w14:textId="77777777" w:rsidR="00D72C9D" w:rsidRPr="00891718" w:rsidRDefault="00D72C9D" w:rsidP="007304C8">
      <w:pPr>
        <w:pStyle w:val="FootnoteText"/>
      </w:pPr>
      <w:r w:rsidRPr="00891718">
        <w:rPr>
          <w:rStyle w:val="FootnoteReference"/>
        </w:rPr>
        <w:footnoteRef/>
      </w:r>
      <w:r w:rsidRPr="00891718">
        <w:t xml:space="preserve"> </w:t>
      </w:r>
      <w:r w:rsidRPr="00891718">
        <w:rPr>
          <w:i/>
        </w:rPr>
        <w:t xml:space="preserve">Uncompetitive Elections and the American Political System, </w:t>
      </w:r>
      <w:r w:rsidRPr="00891718">
        <w:t>Cato Institute Policy Analysis No. 547, 30 June 2005 at 15.</w:t>
      </w:r>
    </w:p>
  </w:footnote>
  <w:footnote w:id="76">
    <w:p w14:paraId="7FB74F26" w14:textId="77777777" w:rsidR="00D72C9D" w:rsidRPr="00891718" w:rsidRDefault="00D72C9D" w:rsidP="00E34BFE">
      <w:pPr>
        <w:pStyle w:val="FootnoteText"/>
      </w:pPr>
      <w:r w:rsidRPr="00891718">
        <w:rPr>
          <w:rStyle w:val="FootnoteReference"/>
        </w:rPr>
        <w:footnoteRef/>
      </w:r>
      <w:r w:rsidRPr="00891718">
        <w:t xml:space="preserve"> Harold Leventhal, </w:t>
      </w:r>
      <w:r w:rsidRPr="00891718">
        <w:rPr>
          <w:i/>
        </w:rPr>
        <w:t>Courts and Political Thickets</w:t>
      </w:r>
      <w:r w:rsidRPr="00891718">
        <w:t>,</w:t>
      </w:r>
      <w:r w:rsidRPr="00891718">
        <w:rPr>
          <w:i/>
        </w:rPr>
        <w:t xml:space="preserve"> </w:t>
      </w:r>
      <w:r w:rsidRPr="00891718">
        <w:t xml:space="preserve">77 </w:t>
      </w:r>
      <w:r w:rsidRPr="00891718">
        <w:rPr>
          <w:smallCaps/>
        </w:rPr>
        <w:t>Colum. L. Rev.</w:t>
      </w:r>
      <w:r w:rsidRPr="00891718">
        <w:rPr>
          <w:i/>
        </w:rPr>
        <w:t xml:space="preserve"> 345, </w:t>
      </w:r>
      <w:r w:rsidRPr="00891718">
        <w:t>346 (1977).</w:t>
      </w:r>
    </w:p>
  </w:footnote>
  <w:footnote w:id="77">
    <w:p w14:paraId="3664727F" w14:textId="77777777" w:rsidR="00D72C9D" w:rsidRPr="00891718" w:rsidRDefault="00D72C9D" w:rsidP="00E34BFE">
      <w:pPr>
        <w:pStyle w:val="FootnoteText"/>
        <w:rPr>
          <w:i/>
        </w:rPr>
      </w:pPr>
      <w:r w:rsidRPr="00891718">
        <w:rPr>
          <w:rStyle w:val="FootnoteReference"/>
        </w:rPr>
        <w:footnoteRef/>
      </w:r>
      <w:r w:rsidRPr="00891718">
        <w:t xml:space="preserve"> Marlene Arnold Nicholson, </w:t>
      </w:r>
      <w:r w:rsidRPr="00891718">
        <w:rPr>
          <w:i/>
        </w:rPr>
        <w:t>Campaign Financing and Equal Protection,</w:t>
      </w:r>
      <w:r w:rsidRPr="00891718">
        <w:t xml:space="preserve"> 26 </w:t>
      </w:r>
      <w:r w:rsidRPr="00891718">
        <w:rPr>
          <w:smallCaps/>
        </w:rPr>
        <w:t>Stan. L. Rev</w:t>
      </w:r>
      <w:r w:rsidRPr="00891718">
        <w:t>. 815, 823 (1974),</w:t>
      </w:r>
    </w:p>
  </w:footnote>
  <w:footnote w:id="78">
    <w:p w14:paraId="46893832" w14:textId="0E683CF9" w:rsidR="00D72C9D" w:rsidRPr="00891718" w:rsidRDefault="00D72C9D" w:rsidP="00F17992">
      <w:pPr>
        <w:pStyle w:val="FootnoteText"/>
        <w:rPr>
          <w:i/>
          <w:lang w:val="en-US"/>
        </w:rPr>
      </w:pPr>
      <w:r w:rsidRPr="00891718">
        <w:rPr>
          <w:rStyle w:val="FootnoteReference"/>
        </w:rPr>
        <w:footnoteRef/>
      </w:r>
      <w:r w:rsidRPr="00891718">
        <w:t xml:space="preserve"> </w:t>
      </w:r>
      <w:r w:rsidRPr="00891718">
        <w:rPr>
          <w:i/>
        </w:rPr>
        <w:t>See</w:t>
      </w:r>
      <w:r w:rsidRPr="00891718">
        <w:t xml:space="preserve"> </w:t>
      </w:r>
      <w:proofErr w:type="spellStart"/>
      <w:r w:rsidRPr="00891718">
        <w:t>Hasen</w:t>
      </w:r>
      <w:proofErr w:type="spellEnd"/>
      <w:r w:rsidRPr="00891718">
        <w:t xml:space="preserve">, </w:t>
      </w:r>
      <w:r w:rsidRPr="00891718">
        <w:rPr>
          <w:i/>
        </w:rPr>
        <w:t xml:space="preserve">supra </w:t>
      </w:r>
      <w:r w:rsidRPr="00891718">
        <w:t xml:space="preserve">note 10 at 674. The cases comprising the New Deference Quartet are </w:t>
      </w:r>
      <w:r w:rsidRPr="00891718">
        <w:rPr>
          <w:i/>
        </w:rPr>
        <w:t xml:space="preserve">Nixon v. Shrink Missouri PAC, </w:t>
      </w:r>
      <w:r w:rsidRPr="00891718">
        <w:rPr>
          <w:lang w:val="en-US"/>
        </w:rPr>
        <w:t>528 U.S. 377 (2000),</w:t>
      </w:r>
      <w:r w:rsidRPr="00891718">
        <w:rPr>
          <w:i/>
          <w:lang w:val="en-US"/>
        </w:rPr>
        <w:t xml:space="preserve"> </w:t>
      </w:r>
      <w:r w:rsidRPr="00891718">
        <w:rPr>
          <w:i/>
        </w:rPr>
        <w:t xml:space="preserve">Fed. Election </w:t>
      </w:r>
      <w:proofErr w:type="spellStart"/>
      <w:r w:rsidRPr="00891718">
        <w:rPr>
          <w:i/>
        </w:rPr>
        <w:t>Comm’n</w:t>
      </w:r>
      <w:proofErr w:type="spellEnd"/>
      <w:r w:rsidRPr="00891718">
        <w:rPr>
          <w:i/>
        </w:rPr>
        <w:t xml:space="preserve"> v. Colorado Repub. </w:t>
      </w:r>
      <w:proofErr w:type="spellStart"/>
      <w:r w:rsidRPr="00891718">
        <w:rPr>
          <w:i/>
        </w:rPr>
        <w:t>Fed.Campaign</w:t>
      </w:r>
      <w:proofErr w:type="spellEnd"/>
      <w:r w:rsidRPr="00891718">
        <w:rPr>
          <w:i/>
        </w:rPr>
        <w:t xml:space="preserve"> </w:t>
      </w:r>
      <w:proofErr w:type="spellStart"/>
      <w:r w:rsidRPr="00891718">
        <w:rPr>
          <w:i/>
        </w:rPr>
        <w:t>C’tee</w:t>
      </w:r>
      <w:proofErr w:type="spellEnd"/>
      <w:r w:rsidRPr="00891718">
        <w:rPr>
          <w:i/>
        </w:rPr>
        <w:t xml:space="preserve">, </w:t>
      </w:r>
      <w:r w:rsidRPr="00891718">
        <w:rPr>
          <w:lang w:val="en-US"/>
        </w:rPr>
        <w:t>528 U.S. 377 (2000)</w:t>
      </w:r>
      <w:r w:rsidRPr="00891718">
        <w:rPr>
          <w:i/>
        </w:rPr>
        <w:t xml:space="preserve">, McConnell v. Fed. Election </w:t>
      </w:r>
      <w:proofErr w:type="spellStart"/>
      <w:r w:rsidRPr="00891718">
        <w:rPr>
          <w:i/>
        </w:rPr>
        <w:t>Comm’n</w:t>
      </w:r>
      <w:proofErr w:type="spellEnd"/>
      <w:r w:rsidRPr="00891718">
        <w:rPr>
          <w:i/>
        </w:rPr>
        <w:t xml:space="preserve"> </w:t>
      </w:r>
      <w:r w:rsidRPr="00891718">
        <w:rPr>
          <w:lang w:val="en-US"/>
        </w:rPr>
        <w:t xml:space="preserve">540 U.S. 93 (2003) </w:t>
      </w:r>
      <w:r w:rsidRPr="00891718">
        <w:t xml:space="preserve">and </w:t>
      </w:r>
      <w:r w:rsidRPr="00891718">
        <w:rPr>
          <w:i/>
        </w:rPr>
        <w:t xml:space="preserve">Fed. Election </w:t>
      </w:r>
      <w:proofErr w:type="spellStart"/>
      <w:r w:rsidRPr="00891718">
        <w:rPr>
          <w:i/>
        </w:rPr>
        <w:t>Comm’n</w:t>
      </w:r>
      <w:proofErr w:type="spellEnd"/>
      <w:r w:rsidRPr="00891718">
        <w:rPr>
          <w:i/>
        </w:rPr>
        <w:t xml:space="preserve"> v. Beaumont </w:t>
      </w:r>
      <w:r w:rsidRPr="00891718">
        <w:rPr>
          <w:lang w:val="en-US"/>
        </w:rPr>
        <w:t xml:space="preserve">539 U.S. 146 (2003). </w:t>
      </w:r>
      <w:proofErr w:type="spellStart"/>
      <w:r w:rsidRPr="00891718">
        <w:t>Hasen</w:t>
      </w:r>
      <w:proofErr w:type="spellEnd"/>
      <w:r w:rsidRPr="00891718">
        <w:t xml:space="preserve"> identifies </w:t>
      </w:r>
      <w:r w:rsidRPr="00891718">
        <w:rPr>
          <w:i/>
        </w:rPr>
        <w:t xml:space="preserve">Nixon v. Shrink Missouri </w:t>
      </w:r>
      <w:r w:rsidRPr="00891718">
        <w:t>as the most significant of the four cases: in respect of contribution limits, it raised the threshold for constitutional challenge of contribution limits and reduced the level of scrutiny for review of contribution limits. In addition, a more expansive definition of corruption was adopted, thus easing government’s justification for campaign finance regulations, as well as proof of corruption being made easier to evidence 674-5</w:t>
      </w:r>
    </w:p>
  </w:footnote>
  <w:footnote w:id="79">
    <w:p w14:paraId="193DA9A3" w14:textId="77777777" w:rsidR="00D72C9D" w:rsidRPr="00891718" w:rsidRDefault="00D72C9D">
      <w:pPr>
        <w:pStyle w:val="FootnoteText"/>
      </w:pPr>
      <w:r w:rsidRPr="00891718">
        <w:rPr>
          <w:rStyle w:val="FootnoteReference"/>
        </w:rPr>
        <w:footnoteRef/>
      </w:r>
      <w:r w:rsidRPr="00891718">
        <w:t xml:space="preserve"> </w:t>
      </w:r>
      <w:r w:rsidRPr="00891718">
        <w:rPr>
          <w:i/>
        </w:rPr>
        <w:t xml:space="preserve">Id. </w:t>
      </w:r>
      <w:r w:rsidRPr="00891718">
        <w:t>at 676.</w:t>
      </w:r>
    </w:p>
  </w:footnote>
  <w:footnote w:id="80">
    <w:p w14:paraId="6DA19306" w14:textId="77777777" w:rsidR="00D72C9D" w:rsidRPr="00891718" w:rsidRDefault="00D72C9D">
      <w:pPr>
        <w:pStyle w:val="FootnoteText"/>
        <w:rPr>
          <w:i/>
        </w:rPr>
      </w:pPr>
      <w:r w:rsidRPr="00891718">
        <w:rPr>
          <w:rStyle w:val="FootnoteReference"/>
        </w:rPr>
        <w:footnoteRef/>
      </w:r>
      <w:r w:rsidRPr="00891718">
        <w:t xml:space="preserve"> </w:t>
      </w:r>
      <w:r w:rsidRPr="00891718">
        <w:rPr>
          <w:i/>
        </w:rPr>
        <w:t>Id.</w:t>
      </w:r>
    </w:p>
  </w:footnote>
  <w:footnote w:id="81">
    <w:p w14:paraId="6A9251F3" w14:textId="77777777" w:rsidR="00D72C9D" w:rsidRPr="00891718" w:rsidRDefault="00D72C9D" w:rsidP="0030758F">
      <w:pPr>
        <w:pStyle w:val="FootnoteText"/>
      </w:pPr>
      <w:r w:rsidRPr="00891718">
        <w:rPr>
          <w:rStyle w:val="FootnoteReference"/>
        </w:rPr>
        <w:footnoteRef/>
      </w:r>
      <w:r w:rsidRPr="00891718">
        <w:t xml:space="preserve"> Richard </w:t>
      </w:r>
      <w:proofErr w:type="spellStart"/>
      <w:r w:rsidRPr="00891718">
        <w:t>Briffault</w:t>
      </w:r>
      <w:proofErr w:type="spellEnd"/>
      <w:r w:rsidRPr="00891718">
        <w:t xml:space="preserve">, </w:t>
      </w:r>
      <w:r w:rsidRPr="00891718">
        <w:rPr>
          <w:i/>
        </w:rPr>
        <w:t xml:space="preserve">McConnell v. FEC and the Transformation of Campaign Finance Law, </w:t>
      </w:r>
      <w:r w:rsidRPr="00891718">
        <w:t xml:space="preserve">3 </w:t>
      </w:r>
      <w:r w:rsidRPr="00891718">
        <w:rPr>
          <w:smallCaps/>
        </w:rPr>
        <w:t>Elec L. J.</w:t>
      </w:r>
      <w:r w:rsidRPr="00891718">
        <w:t xml:space="preserve"> 147, 149 (2004).</w:t>
      </w:r>
    </w:p>
  </w:footnote>
  <w:footnote w:id="82">
    <w:p w14:paraId="0A5ED263" w14:textId="77777777" w:rsidR="00D72C9D" w:rsidRPr="00891718" w:rsidRDefault="00D72C9D" w:rsidP="009F056C">
      <w:pPr>
        <w:pStyle w:val="FootnoteText"/>
        <w:rPr>
          <w:i/>
        </w:rPr>
      </w:pPr>
      <w:r w:rsidRPr="00891718">
        <w:rPr>
          <w:rStyle w:val="FootnoteReference"/>
        </w:rPr>
        <w:footnoteRef/>
      </w:r>
      <w:r w:rsidRPr="00891718">
        <w:t xml:space="preserve"> Frederick </w:t>
      </w:r>
      <w:proofErr w:type="spellStart"/>
      <w:r w:rsidRPr="00891718">
        <w:t>Schauer</w:t>
      </w:r>
      <w:proofErr w:type="spellEnd"/>
      <w:r w:rsidRPr="00891718">
        <w:t xml:space="preserve">, </w:t>
      </w:r>
      <w:r w:rsidRPr="00891718">
        <w:rPr>
          <w:i/>
        </w:rPr>
        <w:t>Judicial Review of the Devices of Democracy,</w:t>
      </w:r>
      <w:r w:rsidRPr="00891718">
        <w:t xml:space="preserve"> 94 </w:t>
      </w:r>
      <w:r w:rsidRPr="00891718">
        <w:rPr>
          <w:smallCaps/>
        </w:rPr>
        <w:t xml:space="preserve">Colum. L. Rev. </w:t>
      </w:r>
      <w:r w:rsidRPr="00891718">
        <w:t>1326, 1341</w:t>
      </w:r>
      <w:r w:rsidRPr="00891718">
        <w:rPr>
          <w:smallCaps/>
        </w:rPr>
        <w:t>.</w:t>
      </w:r>
      <w:r w:rsidRPr="00891718">
        <w:t xml:space="preserve"> (1994)</w:t>
      </w:r>
    </w:p>
  </w:footnote>
  <w:footnote w:id="83">
    <w:p w14:paraId="72B9E426" w14:textId="77777777" w:rsidR="00D72C9D" w:rsidRPr="00891718" w:rsidRDefault="00D72C9D" w:rsidP="009F056C">
      <w:pPr>
        <w:pStyle w:val="FootnoteText"/>
      </w:pPr>
      <w:r w:rsidRPr="00891718">
        <w:rPr>
          <w:rStyle w:val="FootnoteReference"/>
        </w:rPr>
        <w:footnoteRef/>
      </w:r>
      <w:r w:rsidRPr="00891718">
        <w:t xml:space="preserve"> </w:t>
      </w:r>
      <w:r w:rsidRPr="00891718">
        <w:rPr>
          <w:i/>
        </w:rPr>
        <w:t xml:space="preserve">Id. </w:t>
      </w:r>
      <w:r w:rsidRPr="00891718">
        <w:t>at 1326.</w:t>
      </w:r>
    </w:p>
  </w:footnote>
  <w:footnote w:id="84">
    <w:p w14:paraId="60726AE2" w14:textId="77777777" w:rsidR="00D72C9D" w:rsidRPr="00891718" w:rsidRDefault="00D72C9D" w:rsidP="009F056C">
      <w:pPr>
        <w:pStyle w:val="FootnoteText"/>
      </w:pPr>
      <w:r w:rsidRPr="00891718">
        <w:rPr>
          <w:rStyle w:val="FootnoteReference"/>
        </w:rPr>
        <w:footnoteRef/>
      </w:r>
      <w:r w:rsidRPr="00891718">
        <w:t xml:space="preserve"> </w:t>
      </w:r>
      <w:r w:rsidRPr="00891718">
        <w:rPr>
          <w:i/>
        </w:rPr>
        <w:t xml:space="preserve">Id. </w:t>
      </w:r>
      <w:r w:rsidRPr="00891718">
        <w:t>at 1345.</w:t>
      </w:r>
    </w:p>
  </w:footnote>
  <w:footnote w:id="85">
    <w:p w14:paraId="207B3B4B" w14:textId="77777777" w:rsidR="00D72C9D" w:rsidRPr="00891718" w:rsidRDefault="00D72C9D" w:rsidP="009F056C">
      <w:pPr>
        <w:pStyle w:val="FootnoteText"/>
      </w:pPr>
      <w:r w:rsidRPr="00891718">
        <w:rPr>
          <w:rStyle w:val="FootnoteReference"/>
        </w:rPr>
        <w:footnoteRef/>
      </w:r>
      <w:r w:rsidRPr="00891718">
        <w:t xml:space="preserve"> </w:t>
      </w:r>
      <w:r w:rsidRPr="00891718">
        <w:rPr>
          <w:i/>
        </w:rPr>
        <w:t xml:space="preserve">Id. </w:t>
      </w:r>
      <w:r w:rsidRPr="00891718">
        <w:t>at 1346.</w:t>
      </w:r>
    </w:p>
  </w:footnote>
  <w:footnote w:id="86">
    <w:p w14:paraId="329E61E5" w14:textId="77777777" w:rsidR="00D72C9D" w:rsidRPr="00891718" w:rsidRDefault="00D72C9D" w:rsidP="009F056C">
      <w:pPr>
        <w:pStyle w:val="FootnoteText"/>
      </w:pPr>
      <w:r w:rsidRPr="00891718">
        <w:rPr>
          <w:rStyle w:val="FootnoteReference"/>
        </w:rPr>
        <w:footnoteRef/>
      </w:r>
      <w:r w:rsidRPr="00891718">
        <w:t xml:space="preserve"> </w:t>
      </w:r>
      <w:r w:rsidRPr="00891718">
        <w:rPr>
          <w:i/>
        </w:rPr>
        <w:t xml:space="preserve">Id. </w:t>
      </w:r>
      <w:r w:rsidRPr="00891718">
        <w:t>at 1337.</w:t>
      </w:r>
    </w:p>
  </w:footnote>
  <w:footnote w:id="87">
    <w:p w14:paraId="011E6A22" w14:textId="77777777" w:rsidR="00D72C9D" w:rsidRPr="00891718" w:rsidRDefault="00D72C9D" w:rsidP="00951955">
      <w:pPr>
        <w:pStyle w:val="FootnoteText"/>
        <w:rPr>
          <w:i/>
        </w:rPr>
      </w:pPr>
      <w:r w:rsidRPr="00891718">
        <w:rPr>
          <w:rStyle w:val="FootnoteReference"/>
        </w:rPr>
        <w:footnoteRef/>
      </w:r>
      <w:r w:rsidRPr="00891718">
        <w:t xml:space="preserve"> </w:t>
      </w:r>
      <w:r w:rsidRPr="00891718">
        <w:rPr>
          <w:i/>
        </w:rPr>
        <w:t>Id.</w:t>
      </w:r>
    </w:p>
  </w:footnote>
  <w:footnote w:id="88">
    <w:p w14:paraId="06DA48F6" w14:textId="77777777" w:rsidR="00D72C9D" w:rsidRPr="00891718" w:rsidRDefault="00D72C9D" w:rsidP="00951955">
      <w:pPr>
        <w:rPr>
          <w:rFonts w:eastAsia="Times New Roman"/>
          <w:sz w:val="20"/>
          <w:szCs w:val="20"/>
        </w:rPr>
      </w:pPr>
      <w:r w:rsidRPr="00891718">
        <w:rPr>
          <w:rStyle w:val="FootnoteReference"/>
          <w:szCs w:val="20"/>
        </w:rPr>
        <w:footnoteRef/>
      </w:r>
      <w:r w:rsidRPr="00891718">
        <w:rPr>
          <w:sz w:val="20"/>
          <w:szCs w:val="20"/>
        </w:rPr>
        <w:t xml:space="preserve"> </w:t>
      </w:r>
      <w:proofErr w:type="spellStart"/>
      <w:r w:rsidRPr="00891718">
        <w:rPr>
          <w:sz w:val="20"/>
          <w:szCs w:val="20"/>
        </w:rPr>
        <w:t>Persily</w:t>
      </w:r>
      <w:proofErr w:type="spellEnd"/>
      <w:r w:rsidRPr="00891718">
        <w:rPr>
          <w:sz w:val="20"/>
          <w:szCs w:val="20"/>
        </w:rPr>
        <w:t xml:space="preserve">, </w:t>
      </w:r>
      <w:r w:rsidRPr="00891718">
        <w:rPr>
          <w:i/>
          <w:sz w:val="20"/>
          <w:szCs w:val="20"/>
        </w:rPr>
        <w:t xml:space="preserve">supra </w:t>
      </w:r>
      <w:r w:rsidRPr="00891718">
        <w:rPr>
          <w:sz w:val="20"/>
          <w:szCs w:val="20"/>
        </w:rPr>
        <w:t xml:space="preserve"> note 25 at 650. </w:t>
      </w:r>
    </w:p>
  </w:footnote>
  <w:footnote w:id="89">
    <w:p w14:paraId="7F2DB817" w14:textId="77777777" w:rsidR="00D72C9D" w:rsidRPr="00891718" w:rsidRDefault="00D72C9D" w:rsidP="009F056C">
      <w:pPr>
        <w:rPr>
          <w:rFonts w:eastAsia="Times New Roman"/>
          <w:sz w:val="20"/>
          <w:szCs w:val="20"/>
        </w:rPr>
      </w:pPr>
      <w:r w:rsidRPr="00891718">
        <w:rPr>
          <w:rStyle w:val="FootnoteReference"/>
          <w:szCs w:val="20"/>
        </w:rPr>
        <w:footnoteRef/>
      </w:r>
      <w:r w:rsidRPr="00891718">
        <w:rPr>
          <w:sz w:val="20"/>
          <w:szCs w:val="20"/>
        </w:rPr>
        <w:t xml:space="preserve"> </w:t>
      </w:r>
      <w:r w:rsidRPr="00891718">
        <w:rPr>
          <w:rFonts w:eastAsia="Times New Roman"/>
          <w:i/>
          <w:sz w:val="20"/>
          <w:szCs w:val="20"/>
        </w:rPr>
        <w:t xml:space="preserve">Id. </w:t>
      </w:r>
      <w:r w:rsidRPr="00891718">
        <w:rPr>
          <w:rFonts w:eastAsia="Times New Roman"/>
          <w:sz w:val="20"/>
          <w:szCs w:val="20"/>
        </w:rPr>
        <w:t>at 658.</w:t>
      </w:r>
    </w:p>
  </w:footnote>
  <w:footnote w:id="90">
    <w:p w14:paraId="17FC54F0" w14:textId="77777777" w:rsidR="00D72C9D" w:rsidRPr="00891718" w:rsidRDefault="00D72C9D">
      <w:pPr>
        <w:pStyle w:val="FootnoteText"/>
      </w:pPr>
      <w:r w:rsidRPr="00891718">
        <w:rPr>
          <w:rStyle w:val="FootnoteReference"/>
        </w:rPr>
        <w:footnoteRef/>
      </w:r>
      <w:r w:rsidRPr="00891718">
        <w:t xml:space="preserve"> Daniel R. Ortiz, </w:t>
      </w:r>
      <w:r w:rsidRPr="00891718">
        <w:rPr>
          <w:i/>
        </w:rPr>
        <w:t xml:space="preserve">The Democratic Paradox of Campaign Finance Reform, </w:t>
      </w:r>
      <w:r w:rsidRPr="00891718">
        <w:t xml:space="preserve">50 </w:t>
      </w:r>
      <w:r w:rsidRPr="00891718">
        <w:rPr>
          <w:smallCaps/>
        </w:rPr>
        <w:t>Stan. L. Rev.</w:t>
      </w:r>
      <w:r w:rsidRPr="00891718">
        <w:t xml:space="preserve"> 893 (1998).</w:t>
      </w:r>
    </w:p>
  </w:footnote>
  <w:footnote w:id="91">
    <w:p w14:paraId="46533FBF" w14:textId="77777777" w:rsidR="00D72C9D" w:rsidRPr="00891718" w:rsidRDefault="00D72C9D">
      <w:pPr>
        <w:pStyle w:val="FootnoteText"/>
        <w:rPr>
          <w:lang w:val="en-US"/>
        </w:rPr>
      </w:pPr>
      <w:r w:rsidRPr="00891718">
        <w:rPr>
          <w:rStyle w:val="FootnoteReference"/>
        </w:rPr>
        <w:footnoteRef/>
      </w:r>
      <w:r w:rsidRPr="00891718">
        <w:t xml:space="preserve"> Lori </w:t>
      </w:r>
      <w:proofErr w:type="spellStart"/>
      <w:r w:rsidRPr="00891718">
        <w:t>Ringhand</w:t>
      </w:r>
      <w:proofErr w:type="spellEnd"/>
      <w:r w:rsidRPr="00891718">
        <w:t xml:space="preserve">, </w:t>
      </w:r>
      <w:r w:rsidRPr="00891718">
        <w:rPr>
          <w:i/>
          <w:lang w:val="en-US"/>
        </w:rPr>
        <w:t>Defining Democracy: The Supreme Court's Campaign Finance Dilemma</w:t>
      </w:r>
      <w:r w:rsidRPr="00891718">
        <w:rPr>
          <w:lang w:val="en-US"/>
        </w:rPr>
        <w:t xml:space="preserve">, 56 </w:t>
      </w:r>
      <w:r w:rsidRPr="00891718">
        <w:rPr>
          <w:smallCaps/>
          <w:lang w:val="en-US"/>
        </w:rPr>
        <w:t>Hastings L. J</w:t>
      </w:r>
      <w:r w:rsidRPr="00891718">
        <w:rPr>
          <w:lang w:val="en-US"/>
        </w:rPr>
        <w:t>. 77 (2004).</w:t>
      </w:r>
    </w:p>
  </w:footnote>
  <w:footnote w:id="92">
    <w:p w14:paraId="02C163F3" w14:textId="77777777" w:rsidR="00D72C9D" w:rsidRPr="00891718" w:rsidRDefault="00D72C9D" w:rsidP="009B28D1">
      <w:pPr>
        <w:pStyle w:val="FootnoteText"/>
      </w:pPr>
      <w:r w:rsidRPr="00891718">
        <w:rPr>
          <w:rStyle w:val="FootnoteReference"/>
        </w:rPr>
        <w:footnoteRef/>
      </w:r>
      <w:r w:rsidRPr="00891718">
        <w:t xml:space="preserve"> Nicholson, </w:t>
      </w:r>
      <w:r w:rsidRPr="00891718">
        <w:rPr>
          <w:i/>
        </w:rPr>
        <w:t xml:space="preserve">supra </w:t>
      </w:r>
      <w:r w:rsidRPr="00891718">
        <w:t>note 76, at 895.</w:t>
      </w:r>
    </w:p>
  </w:footnote>
  <w:footnote w:id="93">
    <w:p w14:paraId="5024016C" w14:textId="77777777" w:rsidR="00D72C9D" w:rsidRPr="00891718" w:rsidRDefault="00D72C9D">
      <w:pPr>
        <w:pStyle w:val="FootnoteText"/>
      </w:pPr>
      <w:r w:rsidRPr="00891718">
        <w:rPr>
          <w:rStyle w:val="FootnoteReference"/>
        </w:rPr>
        <w:footnoteRef/>
      </w:r>
      <w:r w:rsidRPr="00891718">
        <w:t xml:space="preserve"> Daniel R. Ortiz, </w:t>
      </w:r>
      <w:r w:rsidRPr="00891718">
        <w:rPr>
          <w:i/>
        </w:rPr>
        <w:t>The Engaged and the Inert: Theorizing Political Personality Under the First Amendment,</w:t>
      </w:r>
      <w:r w:rsidRPr="00891718">
        <w:t xml:space="preserve">81 </w:t>
      </w:r>
      <w:r w:rsidRPr="00891718">
        <w:rPr>
          <w:smallCaps/>
        </w:rPr>
        <w:t>Va. L. R.</w:t>
      </w:r>
      <w:r w:rsidRPr="00891718">
        <w:t xml:space="preserve"> 1, 4</w:t>
      </w:r>
      <w:r w:rsidRPr="00891718">
        <w:rPr>
          <w:i/>
        </w:rPr>
        <w:t xml:space="preserve"> </w:t>
      </w:r>
      <w:r w:rsidRPr="00891718">
        <w:t>(1995).</w:t>
      </w:r>
    </w:p>
  </w:footnote>
  <w:footnote w:id="94">
    <w:p w14:paraId="10576328" w14:textId="77777777" w:rsidR="00D72C9D" w:rsidRPr="00891718" w:rsidRDefault="00D72C9D">
      <w:pPr>
        <w:pStyle w:val="FootnoteText"/>
        <w:rPr>
          <w:lang w:val="en-US"/>
        </w:rPr>
      </w:pPr>
      <w:r w:rsidRPr="00891718">
        <w:rPr>
          <w:rStyle w:val="FootnoteReference"/>
        </w:rPr>
        <w:footnoteRef/>
      </w:r>
      <w:r w:rsidRPr="00891718">
        <w:t xml:space="preserve"> </w:t>
      </w:r>
      <w:r w:rsidRPr="00891718">
        <w:rPr>
          <w:i/>
        </w:rPr>
        <w:t>Id.</w:t>
      </w:r>
    </w:p>
  </w:footnote>
  <w:footnote w:id="95">
    <w:p w14:paraId="0383B4A0" w14:textId="77777777" w:rsidR="00D72C9D" w:rsidRPr="00891718" w:rsidRDefault="00D72C9D">
      <w:pPr>
        <w:pStyle w:val="FootnoteText"/>
      </w:pPr>
      <w:r w:rsidRPr="00891718">
        <w:rPr>
          <w:rStyle w:val="FootnoteReference"/>
        </w:rPr>
        <w:footnoteRef/>
      </w:r>
      <w:r w:rsidRPr="00891718">
        <w:t xml:space="preserve"> Ortiz,</w:t>
      </w:r>
      <w:r w:rsidRPr="00891718">
        <w:rPr>
          <w:i/>
        </w:rPr>
        <w:t xml:space="preserve"> supra </w:t>
      </w:r>
      <w:r w:rsidRPr="00891718">
        <w:t>note 92, at 5.</w:t>
      </w:r>
    </w:p>
  </w:footnote>
  <w:footnote w:id="96">
    <w:p w14:paraId="6EB50F5A" w14:textId="5F3E2969" w:rsidR="00D72C9D" w:rsidRPr="00891718" w:rsidRDefault="00D72C9D">
      <w:pPr>
        <w:pStyle w:val="FootnoteText"/>
      </w:pPr>
      <w:r w:rsidRPr="00891718">
        <w:rPr>
          <w:rStyle w:val="FootnoteReference"/>
        </w:rPr>
        <w:footnoteRef/>
      </w:r>
      <w:r w:rsidRPr="00891718">
        <w:t xml:space="preserve"> Nicholson, </w:t>
      </w:r>
      <w:r w:rsidRPr="00891718">
        <w:rPr>
          <w:i/>
        </w:rPr>
        <w:t xml:space="preserve">supra </w:t>
      </w:r>
      <w:r w:rsidRPr="00891718">
        <w:t xml:space="preserve">note </w:t>
      </w:r>
      <w:r w:rsidRPr="00891718">
        <w:fldChar w:fldCharType="begin"/>
      </w:r>
      <w:r w:rsidRPr="00891718">
        <w:instrText xml:space="preserve"> NOTEREF _Ref469412224 \h </w:instrText>
      </w:r>
      <w:r w:rsidR="00891718">
        <w:instrText xml:space="preserve"> \* MERGEFORMAT </w:instrText>
      </w:r>
      <w:r w:rsidRPr="00891718">
        <w:fldChar w:fldCharType="separate"/>
      </w:r>
      <w:r w:rsidRPr="00891718">
        <w:t>76</w:t>
      </w:r>
      <w:r w:rsidRPr="00891718">
        <w:fldChar w:fldCharType="end"/>
      </w:r>
      <w:r w:rsidRPr="00891718">
        <w:t>, at 77.</w:t>
      </w:r>
    </w:p>
  </w:footnote>
  <w:footnote w:id="97">
    <w:p w14:paraId="331AD67F" w14:textId="6EC7944F" w:rsidR="00D72C9D" w:rsidRPr="00891718" w:rsidRDefault="00D72C9D" w:rsidP="00215BBD">
      <w:pPr>
        <w:pStyle w:val="FootnoteText"/>
      </w:pPr>
      <w:r w:rsidRPr="00891718">
        <w:rPr>
          <w:rStyle w:val="FootnoteReference"/>
        </w:rPr>
        <w:footnoteRef/>
      </w:r>
      <w:r w:rsidRPr="00891718">
        <w:t xml:space="preserve"> Ortiz, </w:t>
      </w:r>
      <w:r w:rsidRPr="00891718">
        <w:rPr>
          <w:i/>
        </w:rPr>
        <w:t xml:space="preserve">supra </w:t>
      </w:r>
      <w:r w:rsidRPr="00891718">
        <w:t xml:space="preserve">note </w:t>
      </w:r>
      <w:r w:rsidRPr="00891718">
        <w:fldChar w:fldCharType="begin"/>
      </w:r>
      <w:r w:rsidRPr="00891718">
        <w:instrText xml:space="preserve"> NOTEREF _Ref469412248 \h </w:instrText>
      </w:r>
      <w:r w:rsidR="00891718">
        <w:instrText xml:space="preserve"> \* MERGEFORMAT </w:instrText>
      </w:r>
      <w:r w:rsidRPr="00891718">
        <w:fldChar w:fldCharType="separate"/>
      </w:r>
      <w:r w:rsidRPr="00891718">
        <w:t>92</w:t>
      </w:r>
      <w:r w:rsidRPr="00891718">
        <w:fldChar w:fldCharType="end"/>
      </w:r>
      <w:r w:rsidRPr="00891718">
        <w:t>, at 11.</w:t>
      </w:r>
    </w:p>
  </w:footnote>
  <w:footnote w:id="98">
    <w:p w14:paraId="27A3A812" w14:textId="799186F8" w:rsidR="00D72C9D" w:rsidRPr="00891718" w:rsidRDefault="00D72C9D">
      <w:pPr>
        <w:pStyle w:val="FootnoteText"/>
      </w:pPr>
      <w:r w:rsidRPr="00891718">
        <w:rPr>
          <w:rStyle w:val="FootnoteReference"/>
        </w:rPr>
        <w:footnoteRef/>
      </w:r>
      <w:r w:rsidRPr="00891718">
        <w:rPr>
          <w:i/>
        </w:rPr>
        <w:t xml:space="preserve">Nicholson, supra </w:t>
      </w:r>
      <w:r w:rsidRPr="00891718">
        <w:t xml:space="preserve">note </w:t>
      </w:r>
      <w:r w:rsidRPr="00891718">
        <w:fldChar w:fldCharType="begin"/>
      </w:r>
      <w:r w:rsidRPr="00891718">
        <w:instrText xml:space="preserve"> NOTEREF _Ref469412224 \h </w:instrText>
      </w:r>
      <w:r w:rsidR="00891718">
        <w:instrText xml:space="preserve"> \* MERGEFORMAT </w:instrText>
      </w:r>
      <w:r w:rsidRPr="00891718">
        <w:fldChar w:fldCharType="separate"/>
      </w:r>
      <w:r w:rsidRPr="00891718">
        <w:t>76</w:t>
      </w:r>
      <w:r w:rsidRPr="00891718">
        <w:fldChar w:fldCharType="end"/>
      </w:r>
      <w:r w:rsidRPr="00891718">
        <w:t>, at 80. “Moreover, they have been able to do this without persuasively demonstrating, or often even arguing, that their preferred definition of democracy is in any way constitutionally compelled.”</w:t>
      </w:r>
    </w:p>
  </w:footnote>
  <w:footnote w:id="99">
    <w:p w14:paraId="4C737D86" w14:textId="77777777" w:rsidR="00D72C9D" w:rsidRPr="00891718" w:rsidRDefault="00D72C9D" w:rsidP="00412F42">
      <w:pPr>
        <w:pStyle w:val="FootnoteText"/>
      </w:pPr>
      <w:r w:rsidRPr="00891718">
        <w:rPr>
          <w:rStyle w:val="FootnoteReference"/>
        </w:rPr>
        <w:footnoteRef/>
      </w:r>
      <w:r w:rsidRPr="00891718">
        <w:t xml:space="preserve"> </w:t>
      </w:r>
      <w:r w:rsidRPr="00891718">
        <w:rPr>
          <w:i/>
        </w:rPr>
        <w:t>Id.</w:t>
      </w:r>
      <w:r w:rsidRPr="00891718">
        <w:t xml:space="preserve"> at 80</w:t>
      </w:r>
      <w:r w:rsidRPr="00891718">
        <w:tab/>
        <w:t>.</w:t>
      </w:r>
    </w:p>
  </w:footnote>
  <w:footnote w:id="100">
    <w:p w14:paraId="05A3665C" w14:textId="77777777" w:rsidR="00D72C9D" w:rsidRPr="00891718" w:rsidRDefault="00D72C9D">
      <w:pPr>
        <w:pStyle w:val="FootnoteText"/>
      </w:pPr>
      <w:r w:rsidRPr="00891718">
        <w:rPr>
          <w:rStyle w:val="FootnoteReference"/>
        </w:rPr>
        <w:footnoteRef/>
      </w:r>
      <w:r w:rsidRPr="00891718">
        <w:t xml:space="preserve"> </w:t>
      </w:r>
      <w:r w:rsidRPr="00891718">
        <w:rPr>
          <w:i/>
        </w:rPr>
        <w:t xml:space="preserve">Id. </w:t>
      </w:r>
      <w:r w:rsidRPr="00891718">
        <w:t>at 79-80.</w:t>
      </w:r>
    </w:p>
  </w:footnote>
  <w:footnote w:id="101">
    <w:p w14:paraId="689A8161" w14:textId="77777777" w:rsidR="00D72C9D" w:rsidRPr="00891718" w:rsidRDefault="00D72C9D">
      <w:pPr>
        <w:pStyle w:val="FootnoteText"/>
      </w:pPr>
      <w:r w:rsidRPr="00891718">
        <w:rPr>
          <w:rStyle w:val="FootnoteReference"/>
        </w:rPr>
        <w:footnoteRef/>
      </w:r>
      <w:r w:rsidRPr="00891718">
        <w:t xml:space="preserve"> </w:t>
      </w:r>
      <w:r w:rsidRPr="00891718">
        <w:rPr>
          <w:i/>
        </w:rPr>
        <w:t xml:space="preserve">Id. </w:t>
      </w:r>
      <w:r w:rsidRPr="00891718">
        <w:t>at 80.</w:t>
      </w:r>
    </w:p>
  </w:footnote>
  <w:footnote w:id="102">
    <w:p w14:paraId="0A625BA8" w14:textId="77777777" w:rsidR="00D72C9D" w:rsidRPr="00891718" w:rsidRDefault="00D72C9D">
      <w:pPr>
        <w:pStyle w:val="FootnoteText"/>
        <w:rPr>
          <w:i/>
        </w:rPr>
      </w:pPr>
      <w:r w:rsidRPr="00891718">
        <w:rPr>
          <w:rStyle w:val="FootnoteReference"/>
        </w:rPr>
        <w:footnoteRef/>
      </w:r>
      <w:r w:rsidRPr="00891718">
        <w:t xml:space="preserve"> </w:t>
      </w:r>
      <w:r w:rsidRPr="00891718">
        <w:rPr>
          <w:i/>
        </w:rPr>
        <w:t>Id.</w:t>
      </w:r>
    </w:p>
  </w:footnote>
  <w:footnote w:id="103">
    <w:p w14:paraId="7A62E158" w14:textId="77777777" w:rsidR="00D72C9D" w:rsidRPr="00891718" w:rsidRDefault="00D72C9D" w:rsidP="008B1066">
      <w:pPr>
        <w:pStyle w:val="FootnoteText"/>
      </w:pPr>
      <w:r w:rsidRPr="00891718">
        <w:rPr>
          <w:rStyle w:val="FootnoteReference"/>
        </w:rPr>
        <w:footnoteRef/>
      </w:r>
      <w:r w:rsidRPr="00891718">
        <w:t xml:space="preserve"> </w:t>
      </w:r>
      <w:r w:rsidRPr="00891718">
        <w:rPr>
          <w:lang w:val="en-US"/>
        </w:rPr>
        <w:t>514 U.S. 344 (1995).</w:t>
      </w:r>
    </w:p>
  </w:footnote>
  <w:footnote w:id="104">
    <w:p w14:paraId="3E6BD857" w14:textId="77777777" w:rsidR="00D72C9D" w:rsidRPr="00891718" w:rsidRDefault="00D72C9D" w:rsidP="008B1066">
      <w:pPr>
        <w:pStyle w:val="FootnoteText"/>
        <w:rPr>
          <w:i/>
        </w:rPr>
      </w:pPr>
      <w:r w:rsidRPr="00891718">
        <w:rPr>
          <w:rStyle w:val="FootnoteReference"/>
        </w:rPr>
        <w:footnoteRef/>
      </w:r>
      <w:r w:rsidRPr="00891718">
        <w:t xml:space="preserve"> </w:t>
      </w:r>
      <w:r w:rsidRPr="00891718">
        <w:rPr>
          <w:i/>
        </w:rPr>
        <w:t xml:space="preserve">Id. </w:t>
      </w:r>
      <w:r w:rsidRPr="00891718">
        <w:t>at 381, 377</w:t>
      </w:r>
      <w:r w:rsidRPr="00891718">
        <w:rPr>
          <w:i/>
        </w:rPr>
        <w:t>.</w:t>
      </w:r>
    </w:p>
  </w:footnote>
  <w:footnote w:id="105">
    <w:p w14:paraId="4A5766AF" w14:textId="77777777" w:rsidR="00D72C9D" w:rsidRPr="00891718" w:rsidRDefault="00D72C9D" w:rsidP="002C4BAE">
      <w:pPr>
        <w:pStyle w:val="FootnoteText"/>
      </w:pPr>
      <w:r w:rsidRPr="00891718">
        <w:rPr>
          <w:vertAlign w:val="superscript"/>
        </w:rPr>
        <w:footnoteRef/>
      </w:r>
      <w:r w:rsidRPr="00891718">
        <w:rPr>
          <w:vertAlign w:val="superscript"/>
        </w:rPr>
        <w:t xml:space="preserve"> </w:t>
      </w:r>
      <w:r w:rsidRPr="00891718">
        <w:rPr>
          <w:smallCaps/>
        </w:rPr>
        <w:t xml:space="preserve">David </w:t>
      </w:r>
      <w:proofErr w:type="spellStart"/>
      <w:r w:rsidRPr="00891718">
        <w:rPr>
          <w:smallCaps/>
        </w:rPr>
        <w:t>Kairys</w:t>
      </w:r>
      <w:proofErr w:type="spellEnd"/>
      <w:r w:rsidRPr="00891718">
        <w:t xml:space="preserve">, </w:t>
      </w:r>
      <w:r w:rsidRPr="00891718">
        <w:rPr>
          <w:smallCaps/>
        </w:rPr>
        <w:t>With Liberty and Justice for Some: A Critique of the Conservative Supreme Court</w:t>
      </w:r>
      <w:r w:rsidRPr="00891718">
        <w:rPr>
          <w:i/>
          <w:smallCaps/>
        </w:rPr>
        <w:t xml:space="preserve"> </w:t>
      </w:r>
      <w:r w:rsidRPr="00891718">
        <w:rPr>
          <w:i/>
        </w:rPr>
        <w:t>(</w:t>
      </w:r>
      <w:r w:rsidRPr="00891718">
        <w:t>1993).</w:t>
      </w:r>
    </w:p>
  </w:footnote>
  <w:footnote w:id="106">
    <w:p w14:paraId="160B22B1" w14:textId="77777777" w:rsidR="00D72C9D" w:rsidRPr="00891718" w:rsidRDefault="00D72C9D" w:rsidP="002C4BAE">
      <w:pPr>
        <w:pStyle w:val="FootnoteText"/>
      </w:pPr>
      <w:r w:rsidRPr="00891718">
        <w:rPr>
          <w:vertAlign w:val="superscript"/>
        </w:rPr>
        <w:footnoteRef/>
      </w:r>
      <w:r w:rsidRPr="00891718">
        <w:rPr>
          <w:vertAlign w:val="superscript"/>
        </w:rPr>
        <w:t xml:space="preserve"> </w:t>
      </w:r>
      <w:r w:rsidRPr="00891718">
        <w:rPr>
          <w:i/>
        </w:rPr>
        <w:t xml:space="preserve">Id. </w:t>
      </w:r>
      <w:r w:rsidRPr="00891718">
        <w:t>at 5.</w:t>
      </w:r>
    </w:p>
  </w:footnote>
  <w:footnote w:id="107">
    <w:p w14:paraId="443E8EFB" w14:textId="77777777" w:rsidR="00D72C9D" w:rsidRPr="00891718" w:rsidRDefault="00D72C9D" w:rsidP="008B1066">
      <w:pPr>
        <w:pStyle w:val="FootnoteText"/>
      </w:pPr>
      <w:r w:rsidRPr="00891718">
        <w:rPr>
          <w:rStyle w:val="FootnoteReference"/>
        </w:rPr>
        <w:footnoteRef/>
      </w:r>
      <w:r w:rsidRPr="00891718">
        <w:t xml:space="preserve"> Michael W. McConnell, </w:t>
      </w:r>
      <w:r w:rsidRPr="00891718">
        <w:rPr>
          <w:i/>
        </w:rPr>
        <w:t>Reconsidering Citizens United as a Press Clause Case,</w:t>
      </w:r>
      <w:r w:rsidRPr="00891718">
        <w:t xml:space="preserve"> 123 </w:t>
      </w:r>
      <w:r w:rsidRPr="00891718">
        <w:rPr>
          <w:smallCaps/>
        </w:rPr>
        <w:t>Yale L. J.</w:t>
      </w:r>
      <w:r w:rsidRPr="00891718">
        <w:t xml:space="preserve"> 412, 456 (2013).</w:t>
      </w:r>
      <w:r w:rsidRPr="00891718">
        <w:rPr>
          <w:i/>
        </w:rPr>
        <w:t xml:space="preserve"> </w:t>
      </w:r>
    </w:p>
  </w:footnote>
  <w:footnote w:id="108">
    <w:p w14:paraId="2F00133E" w14:textId="77777777" w:rsidR="00D72C9D" w:rsidRPr="00891718" w:rsidRDefault="00D72C9D" w:rsidP="008C2B27">
      <w:pPr>
        <w:pStyle w:val="FootnoteText"/>
        <w:jc w:val="left"/>
      </w:pPr>
      <w:r w:rsidRPr="00891718">
        <w:rPr>
          <w:rStyle w:val="FootnoteReference"/>
        </w:rPr>
        <w:footnoteRef/>
      </w:r>
      <w:r w:rsidRPr="00891718">
        <w:t xml:space="preserve"> Justice Antonin Scalia, </w:t>
      </w:r>
      <w:r w:rsidRPr="00891718">
        <w:rPr>
          <w:bCs/>
          <w:i/>
          <w:lang w:val="en-US"/>
        </w:rPr>
        <w:t>A Theory of Constitution Interpretation,</w:t>
      </w:r>
      <w:r w:rsidRPr="00891718">
        <w:rPr>
          <w:b/>
          <w:bCs/>
          <w:lang w:val="en-US"/>
        </w:rPr>
        <w:t xml:space="preserve"> </w:t>
      </w:r>
      <w:r w:rsidRPr="00891718">
        <w:rPr>
          <w:iCs/>
          <w:lang w:val="en-US"/>
        </w:rPr>
        <w:t>Catholic University of America, Washington DC, address delivered Oct. 18, 1996.</w:t>
      </w:r>
    </w:p>
  </w:footnote>
  <w:footnote w:id="109">
    <w:p w14:paraId="30EF061E" w14:textId="77777777" w:rsidR="00D72C9D" w:rsidRPr="00891718" w:rsidRDefault="00D72C9D" w:rsidP="00D37519">
      <w:pPr>
        <w:pStyle w:val="FootnoteText"/>
      </w:pPr>
      <w:r w:rsidRPr="00891718">
        <w:rPr>
          <w:rStyle w:val="FootnoteReference"/>
          <w:i/>
        </w:rPr>
        <w:footnoteRef/>
      </w:r>
      <w:r w:rsidRPr="00891718">
        <w:t xml:space="preserve"> Ortiz, </w:t>
      </w:r>
      <w:r w:rsidRPr="00891718">
        <w:rPr>
          <w:i/>
        </w:rPr>
        <w:t xml:space="preserve">supra </w:t>
      </w:r>
      <w:r w:rsidRPr="00891718">
        <w:t>note 92, at 14.</w:t>
      </w:r>
    </w:p>
  </w:footnote>
  <w:footnote w:id="110">
    <w:p w14:paraId="5CCA8982" w14:textId="77777777" w:rsidR="00D72C9D" w:rsidRPr="00891718" w:rsidRDefault="00D72C9D" w:rsidP="00D37519">
      <w:pPr>
        <w:pStyle w:val="FootnoteText"/>
        <w:rPr>
          <w:i/>
        </w:rPr>
      </w:pPr>
      <w:r w:rsidRPr="00891718">
        <w:rPr>
          <w:rStyle w:val="FootnoteReference"/>
        </w:rPr>
        <w:footnoteRef/>
      </w:r>
      <w:r w:rsidRPr="00891718">
        <w:t xml:space="preserve"> </w:t>
      </w:r>
      <w:r w:rsidRPr="00891718">
        <w:rPr>
          <w:i/>
        </w:rPr>
        <w:t>Id.</w:t>
      </w:r>
    </w:p>
  </w:footnote>
  <w:footnote w:id="111">
    <w:p w14:paraId="610A2D8C" w14:textId="77777777" w:rsidR="00D72C9D" w:rsidRPr="00891718" w:rsidRDefault="00D72C9D" w:rsidP="00D37519">
      <w:pPr>
        <w:pStyle w:val="FootnoteText"/>
        <w:rPr>
          <w:i/>
        </w:rPr>
      </w:pPr>
      <w:r w:rsidRPr="00891718">
        <w:rPr>
          <w:rStyle w:val="FootnoteReference"/>
        </w:rPr>
        <w:footnoteRef/>
      </w:r>
      <w:r w:rsidRPr="00891718">
        <w:t xml:space="preserve"> </w:t>
      </w:r>
      <w:r w:rsidRPr="00891718">
        <w:rPr>
          <w:i/>
        </w:rPr>
        <w:t>Id.</w:t>
      </w:r>
    </w:p>
  </w:footnote>
  <w:footnote w:id="112">
    <w:p w14:paraId="5E822E39" w14:textId="77777777" w:rsidR="00D72C9D" w:rsidRPr="00891718" w:rsidRDefault="00D72C9D" w:rsidP="00D37519">
      <w:pPr>
        <w:pStyle w:val="FootnoteText"/>
        <w:rPr>
          <w:i/>
        </w:rPr>
      </w:pPr>
      <w:r w:rsidRPr="00891718">
        <w:rPr>
          <w:rStyle w:val="FootnoteReference"/>
        </w:rPr>
        <w:footnoteRef/>
      </w:r>
      <w:r w:rsidRPr="00891718">
        <w:t xml:space="preserve"> </w:t>
      </w:r>
      <w:r w:rsidRPr="00891718">
        <w:rPr>
          <w:i/>
        </w:rPr>
        <w:t>Id.</w:t>
      </w:r>
    </w:p>
  </w:footnote>
  <w:footnote w:id="113">
    <w:p w14:paraId="43341CCB" w14:textId="77777777" w:rsidR="00D72C9D" w:rsidRPr="00891718" w:rsidRDefault="00D72C9D" w:rsidP="002266DC">
      <w:pPr>
        <w:pStyle w:val="FootnoteText"/>
        <w:rPr>
          <w:i/>
          <w:iCs/>
          <w:lang w:val="en-US"/>
        </w:rPr>
      </w:pPr>
      <w:r w:rsidRPr="00891718">
        <w:rPr>
          <w:rStyle w:val="FootnoteReference"/>
        </w:rPr>
        <w:footnoteRef/>
      </w:r>
      <w:r w:rsidRPr="00891718">
        <w:t xml:space="preserve"> Justice Antonin Scalia, </w:t>
      </w:r>
      <w:r w:rsidRPr="00891718">
        <w:rPr>
          <w:i/>
        </w:rPr>
        <w:t xml:space="preserve">supra </w:t>
      </w:r>
      <w:r w:rsidRPr="00891718">
        <w:t xml:space="preserve">note 107. </w:t>
      </w:r>
    </w:p>
  </w:footnote>
  <w:footnote w:id="114">
    <w:p w14:paraId="41417AA7" w14:textId="77777777" w:rsidR="00D72C9D" w:rsidRPr="00891718" w:rsidRDefault="00D72C9D" w:rsidP="002266DC">
      <w:pPr>
        <w:pStyle w:val="FootnoteText"/>
        <w:rPr>
          <w:i/>
          <w:iCs/>
          <w:lang w:val="en-US"/>
        </w:rPr>
      </w:pPr>
      <w:r w:rsidRPr="00891718">
        <w:rPr>
          <w:rStyle w:val="FootnoteReference"/>
        </w:rPr>
        <w:footnoteRef/>
      </w:r>
      <w:r w:rsidRPr="00891718">
        <w:t xml:space="preserve"> </w:t>
      </w:r>
      <w:r w:rsidRPr="00891718">
        <w:rPr>
          <w:i/>
        </w:rPr>
        <w:t>Id.</w:t>
      </w:r>
    </w:p>
  </w:footnote>
  <w:footnote w:id="115">
    <w:p w14:paraId="080B2985" w14:textId="77777777" w:rsidR="00D72C9D" w:rsidRPr="00891718" w:rsidRDefault="00D72C9D">
      <w:pPr>
        <w:pStyle w:val="FootnoteText"/>
        <w:rPr>
          <w:lang w:val="en-US"/>
        </w:rPr>
      </w:pPr>
      <w:r w:rsidRPr="00891718">
        <w:rPr>
          <w:rStyle w:val="FootnoteReference"/>
        </w:rPr>
        <w:footnoteRef/>
      </w:r>
      <w:r w:rsidRPr="00891718">
        <w:t xml:space="preserve"> In </w:t>
      </w:r>
      <w:r w:rsidRPr="00891718">
        <w:rPr>
          <w:i/>
        </w:rPr>
        <w:t xml:space="preserve">Austin, </w:t>
      </w:r>
      <w:r w:rsidRPr="00891718">
        <w:t xml:space="preserve">“I am confident, in other words, that Jefferson and Madison would not have sat at these controls; but if they did they would have turned them in the opposite direction”; “but then there is the special element of corporate wealth: What would the Founders have thought of that?”; “This is not an argument that our democratic traditions allow” and </w:t>
      </w:r>
      <w:r w:rsidRPr="00891718">
        <w:rPr>
          <w:lang w:val="en-US"/>
        </w:rPr>
        <w:t xml:space="preserve">looking back to the late 18th century for proof that corporations should enjoy the same free-speech rights as individuals and that the press carried corporate speech by way advertisements as well as news stories on their front pages, </w:t>
      </w:r>
      <w:r w:rsidRPr="00891718">
        <w:t>494 U.S. 652, 693 (1990)</w:t>
      </w:r>
      <w:r w:rsidRPr="00891718">
        <w:rPr>
          <w:i/>
        </w:rPr>
        <w:t>.</w:t>
      </w:r>
    </w:p>
  </w:footnote>
  <w:footnote w:id="116">
    <w:p w14:paraId="292D32F5" w14:textId="34D56F9C" w:rsidR="00564316" w:rsidRPr="00891718" w:rsidRDefault="00564316">
      <w:pPr>
        <w:pStyle w:val="FootnoteText"/>
        <w:rPr>
          <w:lang w:val="en-US"/>
        </w:rPr>
      </w:pPr>
      <w:r w:rsidRPr="00891718">
        <w:rPr>
          <w:rStyle w:val="FootnoteReference"/>
        </w:rPr>
        <w:footnoteRef/>
      </w:r>
      <w:r w:rsidRPr="00891718">
        <w:t xml:space="preserve"> </w:t>
      </w:r>
      <w:r w:rsidRPr="00891718">
        <w:rPr>
          <w:i/>
          <w:iCs/>
        </w:rPr>
        <w:t>Id</w:t>
      </w:r>
      <w:r w:rsidRPr="00891718">
        <w:rPr>
          <w:iCs/>
        </w:rPr>
        <w:t>., at</w:t>
      </w:r>
      <w:r w:rsidRPr="00891718">
        <w:t xml:space="preserve"> 692. </w:t>
      </w:r>
    </w:p>
  </w:footnote>
  <w:footnote w:id="117">
    <w:p w14:paraId="72E58C10" w14:textId="77777777" w:rsidR="00D72C9D" w:rsidRPr="00891718" w:rsidRDefault="00D72C9D" w:rsidP="00D37519">
      <w:pPr>
        <w:pStyle w:val="FootnoteText"/>
      </w:pPr>
      <w:r w:rsidRPr="00891718">
        <w:rPr>
          <w:rStyle w:val="FootnoteReference"/>
        </w:rPr>
        <w:footnoteRef/>
      </w:r>
      <w:r w:rsidRPr="00891718">
        <w:t xml:space="preserve"> McConnell</w:t>
      </w:r>
      <w:r w:rsidRPr="00891718">
        <w:rPr>
          <w:i/>
        </w:rPr>
        <w:t xml:space="preserve">, </w:t>
      </w:r>
      <w:r w:rsidRPr="00891718">
        <w:rPr>
          <w:lang w:val="en-US"/>
        </w:rPr>
        <w:t>540 U.S. 93, 259 (2003).</w:t>
      </w:r>
    </w:p>
  </w:footnote>
  <w:footnote w:id="118">
    <w:p w14:paraId="6B3B2FCE" w14:textId="77777777" w:rsidR="00D72C9D" w:rsidRPr="00891718" w:rsidRDefault="00D72C9D">
      <w:pPr>
        <w:pStyle w:val="FootnoteText"/>
      </w:pPr>
      <w:r w:rsidRPr="00891718">
        <w:rPr>
          <w:rStyle w:val="FootnoteReference"/>
        </w:rPr>
        <w:footnoteRef/>
      </w:r>
      <w:r w:rsidRPr="00891718">
        <w:t xml:space="preserve"> In </w:t>
      </w:r>
      <w:r w:rsidRPr="00891718">
        <w:rPr>
          <w:i/>
        </w:rPr>
        <w:t xml:space="preserve">Citizens United, </w:t>
      </w:r>
      <w:r w:rsidRPr="00891718">
        <w:t xml:space="preserve">Justice Scalia’s textual originalism provided the foundation for the most expansive of readings of the First Amendment in the campaign finance sphere, even in the context of an expansion of </w:t>
      </w:r>
      <w:r w:rsidRPr="00891718">
        <w:rPr>
          <w:i/>
        </w:rPr>
        <w:t xml:space="preserve">Buckley’s </w:t>
      </w:r>
      <w:r w:rsidRPr="00891718">
        <w:t>expansive premises.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A108B"/>
    <w:multiLevelType w:val="hybridMultilevel"/>
    <w:tmpl w:val="2BE2CF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C5F7A"/>
    <w:multiLevelType w:val="hybridMultilevel"/>
    <w:tmpl w:val="77E62948"/>
    <w:lvl w:ilvl="0" w:tplc="24DEA1D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6F33DB"/>
    <w:multiLevelType w:val="hybridMultilevel"/>
    <w:tmpl w:val="8288021A"/>
    <w:lvl w:ilvl="0" w:tplc="59DCA578">
      <w:numFmt w:val="bullet"/>
      <w:lvlText w:val=""/>
      <w:lvlJc w:val="left"/>
      <w:pPr>
        <w:ind w:left="360" w:hanging="360"/>
      </w:pPr>
      <w:rPr>
        <w:rFonts w:ascii="Wingdings" w:eastAsiaTheme="minorHAnsi" w:hAnsi="Wingding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63C2116"/>
    <w:multiLevelType w:val="hybridMultilevel"/>
    <w:tmpl w:val="9A18077C"/>
    <w:lvl w:ilvl="0" w:tplc="58A05C5A">
      <w:start w:val="1"/>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C44E57"/>
    <w:multiLevelType w:val="hybridMultilevel"/>
    <w:tmpl w:val="54F6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5C3"/>
    <w:rsid w:val="0000160F"/>
    <w:rsid w:val="000044AD"/>
    <w:rsid w:val="00006EAD"/>
    <w:rsid w:val="00010281"/>
    <w:rsid w:val="00016223"/>
    <w:rsid w:val="00021083"/>
    <w:rsid w:val="00021692"/>
    <w:rsid w:val="00024F1E"/>
    <w:rsid w:val="00027B65"/>
    <w:rsid w:val="00030F00"/>
    <w:rsid w:val="00031D4E"/>
    <w:rsid w:val="0003270A"/>
    <w:rsid w:val="00034912"/>
    <w:rsid w:val="000418BB"/>
    <w:rsid w:val="00050930"/>
    <w:rsid w:val="000528EB"/>
    <w:rsid w:val="000530C7"/>
    <w:rsid w:val="000550B9"/>
    <w:rsid w:val="00060369"/>
    <w:rsid w:val="00060BA6"/>
    <w:rsid w:val="000623A8"/>
    <w:rsid w:val="00082F00"/>
    <w:rsid w:val="000932E9"/>
    <w:rsid w:val="00095DF0"/>
    <w:rsid w:val="000A0B57"/>
    <w:rsid w:val="000A1440"/>
    <w:rsid w:val="000A729E"/>
    <w:rsid w:val="000B1472"/>
    <w:rsid w:val="000B1AA3"/>
    <w:rsid w:val="000B4786"/>
    <w:rsid w:val="000B6D78"/>
    <w:rsid w:val="000B7B74"/>
    <w:rsid w:val="000B7C04"/>
    <w:rsid w:val="000C20BB"/>
    <w:rsid w:val="000C6193"/>
    <w:rsid w:val="000E2638"/>
    <w:rsid w:val="000E288B"/>
    <w:rsid w:val="000E65D5"/>
    <w:rsid w:val="000F0ED6"/>
    <w:rsid w:val="000F3283"/>
    <w:rsid w:val="0010432B"/>
    <w:rsid w:val="001116C3"/>
    <w:rsid w:val="001125D7"/>
    <w:rsid w:val="001149AC"/>
    <w:rsid w:val="00120ACA"/>
    <w:rsid w:val="00124E4F"/>
    <w:rsid w:val="00126FC7"/>
    <w:rsid w:val="0012760E"/>
    <w:rsid w:val="0013015F"/>
    <w:rsid w:val="00130563"/>
    <w:rsid w:val="001308F1"/>
    <w:rsid w:val="0013337E"/>
    <w:rsid w:val="0013782C"/>
    <w:rsid w:val="001425A5"/>
    <w:rsid w:val="0014374E"/>
    <w:rsid w:val="00144D0B"/>
    <w:rsid w:val="001467E5"/>
    <w:rsid w:val="00152565"/>
    <w:rsid w:val="00153082"/>
    <w:rsid w:val="00153491"/>
    <w:rsid w:val="001603EA"/>
    <w:rsid w:val="00161DF7"/>
    <w:rsid w:val="001620E3"/>
    <w:rsid w:val="001627E1"/>
    <w:rsid w:val="001636EE"/>
    <w:rsid w:val="00164CD2"/>
    <w:rsid w:val="001755BB"/>
    <w:rsid w:val="00183FED"/>
    <w:rsid w:val="0019057D"/>
    <w:rsid w:val="001905E4"/>
    <w:rsid w:val="00195E8F"/>
    <w:rsid w:val="001B3968"/>
    <w:rsid w:val="001B4D25"/>
    <w:rsid w:val="001B5004"/>
    <w:rsid w:val="001C399E"/>
    <w:rsid w:val="001C7CFD"/>
    <w:rsid w:val="001D078E"/>
    <w:rsid w:val="001D1591"/>
    <w:rsid w:val="001D17D6"/>
    <w:rsid w:val="001E0B93"/>
    <w:rsid w:val="001E2BB6"/>
    <w:rsid w:val="001E5654"/>
    <w:rsid w:val="001E57FF"/>
    <w:rsid w:val="001E7A4C"/>
    <w:rsid w:val="0020192A"/>
    <w:rsid w:val="00201D11"/>
    <w:rsid w:val="00206768"/>
    <w:rsid w:val="0021193E"/>
    <w:rsid w:val="00212BE5"/>
    <w:rsid w:val="002133E5"/>
    <w:rsid w:val="002135E6"/>
    <w:rsid w:val="0021537F"/>
    <w:rsid w:val="00215BBD"/>
    <w:rsid w:val="002215A5"/>
    <w:rsid w:val="002219EF"/>
    <w:rsid w:val="002232B0"/>
    <w:rsid w:val="002266DC"/>
    <w:rsid w:val="00227C9D"/>
    <w:rsid w:val="00235F85"/>
    <w:rsid w:val="0024399C"/>
    <w:rsid w:val="00244F0F"/>
    <w:rsid w:val="00246852"/>
    <w:rsid w:val="00246FAF"/>
    <w:rsid w:val="002472FD"/>
    <w:rsid w:val="00250B11"/>
    <w:rsid w:val="002553C6"/>
    <w:rsid w:val="00256328"/>
    <w:rsid w:val="0026045C"/>
    <w:rsid w:val="002616B1"/>
    <w:rsid w:val="002638D6"/>
    <w:rsid w:val="00266DB7"/>
    <w:rsid w:val="002726DF"/>
    <w:rsid w:val="00272AFC"/>
    <w:rsid w:val="0027581B"/>
    <w:rsid w:val="00277F2C"/>
    <w:rsid w:val="002814E9"/>
    <w:rsid w:val="00282233"/>
    <w:rsid w:val="00282695"/>
    <w:rsid w:val="00284D92"/>
    <w:rsid w:val="00290C9F"/>
    <w:rsid w:val="0029241B"/>
    <w:rsid w:val="002935C9"/>
    <w:rsid w:val="00294974"/>
    <w:rsid w:val="0029640E"/>
    <w:rsid w:val="002A0085"/>
    <w:rsid w:val="002A26B7"/>
    <w:rsid w:val="002A2DF9"/>
    <w:rsid w:val="002A4029"/>
    <w:rsid w:val="002A616F"/>
    <w:rsid w:val="002B1932"/>
    <w:rsid w:val="002B3070"/>
    <w:rsid w:val="002B3140"/>
    <w:rsid w:val="002B4AC8"/>
    <w:rsid w:val="002B5568"/>
    <w:rsid w:val="002B6251"/>
    <w:rsid w:val="002C2F98"/>
    <w:rsid w:val="002C4BAE"/>
    <w:rsid w:val="002C5C8B"/>
    <w:rsid w:val="002E1D57"/>
    <w:rsid w:val="002E1FD5"/>
    <w:rsid w:val="002F08D4"/>
    <w:rsid w:val="00305823"/>
    <w:rsid w:val="0030758F"/>
    <w:rsid w:val="003165AC"/>
    <w:rsid w:val="00322AD0"/>
    <w:rsid w:val="003230A1"/>
    <w:rsid w:val="00323423"/>
    <w:rsid w:val="003261D2"/>
    <w:rsid w:val="00330DF5"/>
    <w:rsid w:val="00331ED9"/>
    <w:rsid w:val="00335C77"/>
    <w:rsid w:val="003377F4"/>
    <w:rsid w:val="00340B5B"/>
    <w:rsid w:val="003428C2"/>
    <w:rsid w:val="00350062"/>
    <w:rsid w:val="00350B63"/>
    <w:rsid w:val="00351341"/>
    <w:rsid w:val="00351720"/>
    <w:rsid w:val="00351ADC"/>
    <w:rsid w:val="00352430"/>
    <w:rsid w:val="003616F8"/>
    <w:rsid w:val="00361C33"/>
    <w:rsid w:val="00362727"/>
    <w:rsid w:val="00365215"/>
    <w:rsid w:val="00366F29"/>
    <w:rsid w:val="00366F45"/>
    <w:rsid w:val="003706AB"/>
    <w:rsid w:val="0037420A"/>
    <w:rsid w:val="00382B78"/>
    <w:rsid w:val="00383F60"/>
    <w:rsid w:val="00384937"/>
    <w:rsid w:val="00384F63"/>
    <w:rsid w:val="003864DA"/>
    <w:rsid w:val="00394032"/>
    <w:rsid w:val="00396204"/>
    <w:rsid w:val="00396DFF"/>
    <w:rsid w:val="003A0ACA"/>
    <w:rsid w:val="003A145D"/>
    <w:rsid w:val="003B16AE"/>
    <w:rsid w:val="003B16D4"/>
    <w:rsid w:val="003B37F0"/>
    <w:rsid w:val="003B5343"/>
    <w:rsid w:val="003B5D8D"/>
    <w:rsid w:val="003B7D16"/>
    <w:rsid w:val="003C3191"/>
    <w:rsid w:val="003C3601"/>
    <w:rsid w:val="003C7DE6"/>
    <w:rsid w:val="003D167E"/>
    <w:rsid w:val="003D7322"/>
    <w:rsid w:val="003E0107"/>
    <w:rsid w:val="003E033D"/>
    <w:rsid w:val="003E0EE8"/>
    <w:rsid w:val="003E319A"/>
    <w:rsid w:val="003E5585"/>
    <w:rsid w:val="003F6C08"/>
    <w:rsid w:val="00402DB8"/>
    <w:rsid w:val="00404D0B"/>
    <w:rsid w:val="004058E9"/>
    <w:rsid w:val="00405BEF"/>
    <w:rsid w:val="004079B4"/>
    <w:rsid w:val="00410AF9"/>
    <w:rsid w:val="00412F42"/>
    <w:rsid w:val="00414FD6"/>
    <w:rsid w:val="00417A88"/>
    <w:rsid w:val="00422BBC"/>
    <w:rsid w:val="004238BF"/>
    <w:rsid w:val="004245AC"/>
    <w:rsid w:val="004367EA"/>
    <w:rsid w:val="00436AD7"/>
    <w:rsid w:val="004374CF"/>
    <w:rsid w:val="00440624"/>
    <w:rsid w:val="004416E8"/>
    <w:rsid w:val="00444800"/>
    <w:rsid w:val="00447700"/>
    <w:rsid w:val="004518AA"/>
    <w:rsid w:val="00454D13"/>
    <w:rsid w:val="00457D04"/>
    <w:rsid w:val="00460CDA"/>
    <w:rsid w:val="00461F6B"/>
    <w:rsid w:val="00465DE8"/>
    <w:rsid w:val="00470865"/>
    <w:rsid w:val="00470F60"/>
    <w:rsid w:val="0047148A"/>
    <w:rsid w:val="00471CA6"/>
    <w:rsid w:val="00471F71"/>
    <w:rsid w:val="00475C9C"/>
    <w:rsid w:val="00481FEC"/>
    <w:rsid w:val="0048224A"/>
    <w:rsid w:val="00490CD0"/>
    <w:rsid w:val="00491D6B"/>
    <w:rsid w:val="00493F13"/>
    <w:rsid w:val="004A3F93"/>
    <w:rsid w:val="004A651D"/>
    <w:rsid w:val="004A7F68"/>
    <w:rsid w:val="004B4455"/>
    <w:rsid w:val="004C1F2E"/>
    <w:rsid w:val="004C3EC5"/>
    <w:rsid w:val="004C4AC4"/>
    <w:rsid w:val="004D0FB1"/>
    <w:rsid w:val="004D3307"/>
    <w:rsid w:val="004D4983"/>
    <w:rsid w:val="004D5EB5"/>
    <w:rsid w:val="004D7F7A"/>
    <w:rsid w:val="004E0053"/>
    <w:rsid w:val="004E5C54"/>
    <w:rsid w:val="005015C4"/>
    <w:rsid w:val="00503AF9"/>
    <w:rsid w:val="00506D1B"/>
    <w:rsid w:val="005079E0"/>
    <w:rsid w:val="00510650"/>
    <w:rsid w:val="00520293"/>
    <w:rsid w:val="00521561"/>
    <w:rsid w:val="00521F0E"/>
    <w:rsid w:val="00521F94"/>
    <w:rsid w:val="005247EE"/>
    <w:rsid w:val="00524C73"/>
    <w:rsid w:val="005315B9"/>
    <w:rsid w:val="00531D7F"/>
    <w:rsid w:val="00537A68"/>
    <w:rsid w:val="0054285D"/>
    <w:rsid w:val="00542D19"/>
    <w:rsid w:val="005465AD"/>
    <w:rsid w:val="00550B4C"/>
    <w:rsid w:val="00552734"/>
    <w:rsid w:val="00554266"/>
    <w:rsid w:val="0055662B"/>
    <w:rsid w:val="005566DF"/>
    <w:rsid w:val="00564316"/>
    <w:rsid w:val="0056444F"/>
    <w:rsid w:val="0056546C"/>
    <w:rsid w:val="00566EDB"/>
    <w:rsid w:val="00567833"/>
    <w:rsid w:val="00572865"/>
    <w:rsid w:val="00574C56"/>
    <w:rsid w:val="00575428"/>
    <w:rsid w:val="005862FE"/>
    <w:rsid w:val="005933AE"/>
    <w:rsid w:val="0059444A"/>
    <w:rsid w:val="005A53DE"/>
    <w:rsid w:val="005B2683"/>
    <w:rsid w:val="005C2CE9"/>
    <w:rsid w:val="005C3835"/>
    <w:rsid w:val="005C46C6"/>
    <w:rsid w:val="005D0D5E"/>
    <w:rsid w:val="005D5A7D"/>
    <w:rsid w:val="005D75C3"/>
    <w:rsid w:val="005D7FC2"/>
    <w:rsid w:val="005E0320"/>
    <w:rsid w:val="005E173F"/>
    <w:rsid w:val="005E46CC"/>
    <w:rsid w:val="005E50B8"/>
    <w:rsid w:val="005E5409"/>
    <w:rsid w:val="005E64F0"/>
    <w:rsid w:val="005F1D2C"/>
    <w:rsid w:val="005F2F9D"/>
    <w:rsid w:val="005F645C"/>
    <w:rsid w:val="00602CDD"/>
    <w:rsid w:val="0060326C"/>
    <w:rsid w:val="006213C6"/>
    <w:rsid w:val="00623D32"/>
    <w:rsid w:val="00626126"/>
    <w:rsid w:val="006277D2"/>
    <w:rsid w:val="006318DE"/>
    <w:rsid w:val="00637A98"/>
    <w:rsid w:val="00637BAD"/>
    <w:rsid w:val="00641655"/>
    <w:rsid w:val="00641992"/>
    <w:rsid w:val="00647FD5"/>
    <w:rsid w:val="00650B36"/>
    <w:rsid w:val="00654406"/>
    <w:rsid w:val="006577BA"/>
    <w:rsid w:val="00661DD1"/>
    <w:rsid w:val="0066796E"/>
    <w:rsid w:val="006813C7"/>
    <w:rsid w:val="00681582"/>
    <w:rsid w:val="0068174E"/>
    <w:rsid w:val="00681837"/>
    <w:rsid w:val="00683C13"/>
    <w:rsid w:val="0068629C"/>
    <w:rsid w:val="00697C61"/>
    <w:rsid w:val="006A07DF"/>
    <w:rsid w:val="006B239E"/>
    <w:rsid w:val="006B623E"/>
    <w:rsid w:val="006B75A5"/>
    <w:rsid w:val="006C3509"/>
    <w:rsid w:val="006C5D75"/>
    <w:rsid w:val="006C75C9"/>
    <w:rsid w:val="006D338B"/>
    <w:rsid w:val="006D6582"/>
    <w:rsid w:val="006E4C10"/>
    <w:rsid w:val="006F1959"/>
    <w:rsid w:val="006F3673"/>
    <w:rsid w:val="006F7C99"/>
    <w:rsid w:val="00700A11"/>
    <w:rsid w:val="00702FF5"/>
    <w:rsid w:val="007048F6"/>
    <w:rsid w:val="00705B77"/>
    <w:rsid w:val="00710FBD"/>
    <w:rsid w:val="00714863"/>
    <w:rsid w:val="00716A4A"/>
    <w:rsid w:val="007178B3"/>
    <w:rsid w:val="00720390"/>
    <w:rsid w:val="00723DDA"/>
    <w:rsid w:val="00723F28"/>
    <w:rsid w:val="007304C8"/>
    <w:rsid w:val="00735189"/>
    <w:rsid w:val="007353B2"/>
    <w:rsid w:val="007417DE"/>
    <w:rsid w:val="007546A7"/>
    <w:rsid w:val="00756CB9"/>
    <w:rsid w:val="007613C0"/>
    <w:rsid w:val="00763459"/>
    <w:rsid w:val="0076553C"/>
    <w:rsid w:val="007655F1"/>
    <w:rsid w:val="00765C97"/>
    <w:rsid w:val="007720D7"/>
    <w:rsid w:val="00772187"/>
    <w:rsid w:val="0077591A"/>
    <w:rsid w:val="00776891"/>
    <w:rsid w:val="007771E4"/>
    <w:rsid w:val="0078001A"/>
    <w:rsid w:val="00783620"/>
    <w:rsid w:val="00787D65"/>
    <w:rsid w:val="00791453"/>
    <w:rsid w:val="007B2186"/>
    <w:rsid w:val="007B27BE"/>
    <w:rsid w:val="007B2B2F"/>
    <w:rsid w:val="007B4CE5"/>
    <w:rsid w:val="007C00DE"/>
    <w:rsid w:val="007C0279"/>
    <w:rsid w:val="007C7154"/>
    <w:rsid w:val="007D1F19"/>
    <w:rsid w:val="007D3677"/>
    <w:rsid w:val="007D564D"/>
    <w:rsid w:val="007E1428"/>
    <w:rsid w:val="007E3EC1"/>
    <w:rsid w:val="007E5A96"/>
    <w:rsid w:val="007F0E39"/>
    <w:rsid w:val="007F106F"/>
    <w:rsid w:val="007F23B6"/>
    <w:rsid w:val="007F7276"/>
    <w:rsid w:val="00805CE6"/>
    <w:rsid w:val="008231C3"/>
    <w:rsid w:val="00824D32"/>
    <w:rsid w:val="00826264"/>
    <w:rsid w:val="00831123"/>
    <w:rsid w:val="00836239"/>
    <w:rsid w:val="00841679"/>
    <w:rsid w:val="0084375D"/>
    <w:rsid w:val="00845D5D"/>
    <w:rsid w:val="008460FE"/>
    <w:rsid w:val="0085195D"/>
    <w:rsid w:val="00851961"/>
    <w:rsid w:val="0085235B"/>
    <w:rsid w:val="00852564"/>
    <w:rsid w:val="00854D78"/>
    <w:rsid w:val="00867614"/>
    <w:rsid w:val="00871A4F"/>
    <w:rsid w:val="00882481"/>
    <w:rsid w:val="00891718"/>
    <w:rsid w:val="008919CA"/>
    <w:rsid w:val="0089412B"/>
    <w:rsid w:val="008958EE"/>
    <w:rsid w:val="008A35C8"/>
    <w:rsid w:val="008B0470"/>
    <w:rsid w:val="008B1066"/>
    <w:rsid w:val="008B4152"/>
    <w:rsid w:val="008B50EF"/>
    <w:rsid w:val="008C2B27"/>
    <w:rsid w:val="008D0645"/>
    <w:rsid w:val="008D20DA"/>
    <w:rsid w:val="008D7A62"/>
    <w:rsid w:val="008E327D"/>
    <w:rsid w:val="008E36CF"/>
    <w:rsid w:val="008E44BB"/>
    <w:rsid w:val="008E5FF3"/>
    <w:rsid w:val="008E68CA"/>
    <w:rsid w:val="008F5D3A"/>
    <w:rsid w:val="0090683A"/>
    <w:rsid w:val="00912212"/>
    <w:rsid w:val="00915EBE"/>
    <w:rsid w:val="00917DD1"/>
    <w:rsid w:val="00920F24"/>
    <w:rsid w:val="00922E85"/>
    <w:rsid w:val="0092524D"/>
    <w:rsid w:val="009263A9"/>
    <w:rsid w:val="0092793B"/>
    <w:rsid w:val="00932486"/>
    <w:rsid w:val="00935F8E"/>
    <w:rsid w:val="009361A0"/>
    <w:rsid w:val="009429C7"/>
    <w:rsid w:val="00951955"/>
    <w:rsid w:val="009608B6"/>
    <w:rsid w:val="009628E5"/>
    <w:rsid w:val="009742D4"/>
    <w:rsid w:val="00977076"/>
    <w:rsid w:val="00977329"/>
    <w:rsid w:val="00983845"/>
    <w:rsid w:val="00991F73"/>
    <w:rsid w:val="00997682"/>
    <w:rsid w:val="009A2860"/>
    <w:rsid w:val="009B261E"/>
    <w:rsid w:val="009B28D1"/>
    <w:rsid w:val="009B5AA0"/>
    <w:rsid w:val="009D46E1"/>
    <w:rsid w:val="009D745E"/>
    <w:rsid w:val="009E498F"/>
    <w:rsid w:val="009E53F9"/>
    <w:rsid w:val="009F056C"/>
    <w:rsid w:val="009F1B14"/>
    <w:rsid w:val="009F3011"/>
    <w:rsid w:val="009F3FAB"/>
    <w:rsid w:val="009F4E69"/>
    <w:rsid w:val="009F514C"/>
    <w:rsid w:val="00A024C8"/>
    <w:rsid w:val="00A05BE6"/>
    <w:rsid w:val="00A061AD"/>
    <w:rsid w:val="00A10042"/>
    <w:rsid w:val="00A1440C"/>
    <w:rsid w:val="00A22B60"/>
    <w:rsid w:val="00A24C63"/>
    <w:rsid w:val="00A367E3"/>
    <w:rsid w:val="00A417A2"/>
    <w:rsid w:val="00A50211"/>
    <w:rsid w:val="00A51F0B"/>
    <w:rsid w:val="00A523C8"/>
    <w:rsid w:val="00A5277E"/>
    <w:rsid w:val="00A540DF"/>
    <w:rsid w:val="00A55E57"/>
    <w:rsid w:val="00A575F7"/>
    <w:rsid w:val="00A57A2E"/>
    <w:rsid w:val="00A61AC2"/>
    <w:rsid w:val="00A61CA3"/>
    <w:rsid w:val="00A628DD"/>
    <w:rsid w:val="00A64A8A"/>
    <w:rsid w:val="00A65D5E"/>
    <w:rsid w:val="00A73E6E"/>
    <w:rsid w:val="00A75CBA"/>
    <w:rsid w:val="00A83E97"/>
    <w:rsid w:val="00A91FFA"/>
    <w:rsid w:val="00A92304"/>
    <w:rsid w:val="00A96565"/>
    <w:rsid w:val="00AA025E"/>
    <w:rsid w:val="00AA26AC"/>
    <w:rsid w:val="00AA275B"/>
    <w:rsid w:val="00AA2822"/>
    <w:rsid w:val="00AA61CD"/>
    <w:rsid w:val="00AA63BF"/>
    <w:rsid w:val="00AB5168"/>
    <w:rsid w:val="00AC07AC"/>
    <w:rsid w:val="00AC562D"/>
    <w:rsid w:val="00AC66CB"/>
    <w:rsid w:val="00AD032E"/>
    <w:rsid w:val="00AD2775"/>
    <w:rsid w:val="00AD32AA"/>
    <w:rsid w:val="00AD6E5E"/>
    <w:rsid w:val="00AD7FF5"/>
    <w:rsid w:val="00AE4851"/>
    <w:rsid w:val="00AE61E0"/>
    <w:rsid w:val="00AE7203"/>
    <w:rsid w:val="00AF5A7F"/>
    <w:rsid w:val="00AF63B6"/>
    <w:rsid w:val="00B00826"/>
    <w:rsid w:val="00B11EB3"/>
    <w:rsid w:val="00B17183"/>
    <w:rsid w:val="00B24D8D"/>
    <w:rsid w:val="00B25F40"/>
    <w:rsid w:val="00B3015B"/>
    <w:rsid w:val="00B314EA"/>
    <w:rsid w:val="00B3245D"/>
    <w:rsid w:val="00B3384B"/>
    <w:rsid w:val="00B36140"/>
    <w:rsid w:val="00B40A7F"/>
    <w:rsid w:val="00B42B67"/>
    <w:rsid w:val="00B43176"/>
    <w:rsid w:val="00B4336F"/>
    <w:rsid w:val="00B50983"/>
    <w:rsid w:val="00B60232"/>
    <w:rsid w:val="00B62D3D"/>
    <w:rsid w:val="00B62EED"/>
    <w:rsid w:val="00B71C36"/>
    <w:rsid w:val="00B73A51"/>
    <w:rsid w:val="00B8025C"/>
    <w:rsid w:val="00B8384C"/>
    <w:rsid w:val="00B85CA0"/>
    <w:rsid w:val="00B94043"/>
    <w:rsid w:val="00B943CE"/>
    <w:rsid w:val="00B944B5"/>
    <w:rsid w:val="00BA0F43"/>
    <w:rsid w:val="00BA73CB"/>
    <w:rsid w:val="00BA7C85"/>
    <w:rsid w:val="00BB127A"/>
    <w:rsid w:val="00BB1895"/>
    <w:rsid w:val="00BB36D9"/>
    <w:rsid w:val="00BB6280"/>
    <w:rsid w:val="00BC0F51"/>
    <w:rsid w:val="00BC693F"/>
    <w:rsid w:val="00BC6E68"/>
    <w:rsid w:val="00BD3139"/>
    <w:rsid w:val="00BE0658"/>
    <w:rsid w:val="00BE1859"/>
    <w:rsid w:val="00BE230A"/>
    <w:rsid w:val="00BE6E5F"/>
    <w:rsid w:val="00BE7AE7"/>
    <w:rsid w:val="00BE7C3D"/>
    <w:rsid w:val="00BF0D99"/>
    <w:rsid w:val="00BF2A12"/>
    <w:rsid w:val="00BF5FAB"/>
    <w:rsid w:val="00C03454"/>
    <w:rsid w:val="00C12A39"/>
    <w:rsid w:val="00C12F5C"/>
    <w:rsid w:val="00C144EF"/>
    <w:rsid w:val="00C1606E"/>
    <w:rsid w:val="00C2173F"/>
    <w:rsid w:val="00C22822"/>
    <w:rsid w:val="00C23B3A"/>
    <w:rsid w:val="00C2594B"/>
    <w:rsid w:val="00C27CAD"/>
    <w:rsid w:val="00C27EA9"/>
    <w:rsid w:val="00C37E8B"/>
    <w:rsid w:val="00C46594"/>
    <w:rsid w:val="00C50749"/>
    <w:rsid w:val="00C5181F"/>
    <w:rsid w:val="00C54357"/>
    <w:rsid w:val="00C64C90"/>
    <w:rsid w:val="00C66AB7"/>
    <w:rsid w:val="00C66DA6"/>
    <w:rsid w:val="00C674E0"/>
    <w:rsid w:val="00C7200F"/>
    <w:rsid w:val="00C722AF"/>
    <w:rsid w:val="00C74F44"/>
    <w:rsid w:val="00C75B91"/>
    <w:rsid w:val="00C76895"/>
    <w:rsid w:val="00C76C9B"/>
    <w:rsid w:val="00C83D48"/>
    <w:rsid w:val="00C85C7E"/>
    <w:rsid w:val="00C86A9D"/>
    <w:rsid w:val="00C90B4E"/>
    <w:rsid w:val="00C91677"/>
    <w:rsid w:val="00C917CC"/>
    <w:rsid w:val="00C91A0F"/>
    <w:rsid w:val="00C96F03"/>
    <w:rsid w:val="00C97605"/>
    <w:rsid w:val="00CA091E"/>
    <w:rsid w:val="00CA58A6"/>
    <w:rsid w:val="00CA7265"/>
    <w:rsid w:val="00CB1E8B"/>
    <w:rsid w:val="00CB252F"/>
    <w:rsid w:val="00CB4232"/>
    <w:rsid w:val="00CB509D"/>
    <w:rsid w:val="00CC12CB"/>
    <w:rsid w:val="00CC478C"/>
    <w:rsid w:val="00CC5114"/>
    <w:rsid w:val="00CC6E7A"/>
    <w:rsid w:val="00CC77AD"/>
    <w:rsid w:val="00CD380E"/>
    <w:rsid w:val="00CD5D3F"/>
    <w:rsid w:val="00CE2EDA"/>
    <w:rsid w:val="00CE3ED3"/>
    <w:rsid w:val="00CE5D2C"/>
    <w:rsid w:val="00CF08E2"/>
    <w:rsid w:val="00CF3C24"/>
    <w:rsid w:val="00D04345"/>
    <w:rsid w:val="00D06A5C"/>
    <w:rsid w:val="00D16A08"/>
    <w:rsid w:val="00D27B82"/>
    <w:rsid w:val="00D304CC"/>
    <w:rsid w:val="00D313F4"/>
    <w:rsid w:val="00D32E0E"/>
    <w:rsid w:val="00D33696"/>
    <w:rsid w:val="00D35D49"/>
    <w:rsid w:val="00D37519"/>
    <w:rsid w:val="00D4004A"/>
    <w:rsid w:val="00D40064"/>
    <w:rsid w:val="00D44671"/>
    <w:rsid w:val="00D44B77"/>
    <w:rsid w:val="00D50358"/>
    <w:rsid w:val="00D51C21"/>
    <w:rsid w:val="00D52A86"/>
    <w:rsid w:val="00D52CCE"/>
    <w:rsid w:val="00D52F78"/>
    <w:rsid w:val="00D53167"/>
    <w:rsid w:val="00D6095C"/>
    <w:rsid w:val="00D616E0"/>
    <w:rsid w:val="00D6375E"/>
    <w:rsid w:val="00D63FAF"/>
    <w:rsid w:val="00D646EC"/>
    <w:rsid w:val="00D6649E"/>
    <w:rsid w:val="00D667FA"/>
    <w:rsid w:val="00D679A7"/>
    <w:rsid w:val="00D70A64"/>
    <w:rsid w:val="00D71122"/>
    <w:rsid w:val="00D72C9D"/>
    <w:rsid w:val="00D872C9"/>
    <w:rsid w:val="00D949AB"/>
    <w:rsid w:val="00DA2FC1"/>
    <w:rsid w:val="00DA3ECF"/>
    <w:rsid w:val="00DA65C1"/>
    <w:rsid w:val="00DA6E41"/>
    <w:rsid w:val="00DB4791"/>
    <w:rsid w:val="00DB7D57"/>
    <w:rsid w:val="00DC4546"/>
    <w:rsid w:val="00DD0B3C"/>
    <w:rsid w:val="00DD106C"/>
    <w:rsid w:val="00DD5871"/>
    <w:rsid w:val="00DE0DA4"/>
    <w:rsid w:val="00DE62C5"/>
    <w:rsid w:val="00DE6767"/>
    <w:rsid w:val="00DF14D6"/>
    <w:rsid w:val="00DF21DE"/>
    <w:rsid w:val="00DF56BB"/>
    <w:rsid w:val="00DF6F7D"/>
    <w:rsid w:val="00DF6FD4"/>
    <w:rsid w:val="00DF72F6"/>
    <w:rsid w:val="00E00FFD"/>
    <w:rsid w:val="00E07357"/>
    <w:rsid w:val="00E10CC8"/>
    <w:rsid w:val="00E10D5A"/>
    <w:rsid w:val="00E1126F"/>
    <w:rsid w:val="00E1291A"/>
    <w:rsid w:val="00E31018"/>
    <w:rsid w:val="00E34BFE"/>
    <w:rsid w:val="00E35DAC"/>
    <w:rsid w:val="00E37615"/>
    <w:rsid w:val="00E4073A"/>
    <w:rsid w:val="00E44DC9"/>
    <w:rsid w:val="00E4682F"/>
    <w:rsid w:val="00E46AA9"/>
    <w:rsid w:val="00E5606C"/>
    <w:rsid w:val="00E57418"/>
    <w:rsid w:val="00E643C6"/>
    <w:rsid w:val="00E66BC3"/>
    <w:rsid w:val="00E67C95"/>
    <w:rsid w:val="00E71409"/>
    <w:rsid w:val="00E744BA"/>
    <w:rsid w:val="00E760CD"/>
    <w:rsid w:val="00E82B17"/>
    <w:rsid w:val="00E831B1"/>
    <w:rsid w:val="00E83319"/>
    <w:rsid w:val="00E83D6E"/>
    <w:rsid w:val="00E84494"/>
    <w:rsid w:val="00E86FB0"/>
    <w:rsid w:val="00E96F27"/>
    <w:rsid w:val="00EA1491"/>
    <w:rsid w:val="00EA2490"/>
    <w:rsid w:val="00EA730A"/>
    <w:rsid w:val="00EB087B"/>
    <w:rsid w:val="00EB7ECE"/>
    <w:rsid w:val="00EC0F16"/>
    <w:rsid w:val="00EC215A"/>
    <w:rsid w:val="00EC4856"/>
    <w:rsid w:val="00EC66CE"/>
    <w:rsid w:val="00ED3066"/>
    <w:rsid w:val="00ED3234"/>
    <w:rsid w:val="00ED432A"/>
    <w:rsid w:val="00ED623C"/>
    <w:rsid w:val="00EE799C"/>
    <w:rsid w:val="00EF4EA7"/>
    <w:rsid w:val="00EF6AAE"/>
    <w:rsid w:val="00F02218"/>
    <w:rsid w:val="00F02803"/>
    <w:rsid w:val="00F02D6E"/>
    <w:rsid w:val="00F03478"/>
    <w:rsid w:val="00F039F7"/>
    <w:rsid w:val="00F0415F"/>
    <w:rsid w:val="00F17992"/>
    <w:rsid w:val="00F216B0"/>
    <w:rsid w:val="00F261E9"/>
    <w:rsid w:val="00F31437"/>
    <w:rsid w:val="00F3625E"/>
    <w:rsid w:val="00F36552"/>
    <w:rsid w:val="00F370F2"/>
    <w:rsid w:val="00F4275B"/>
    <w:rsid w:val="00F54C38"/>
    <w:rsid w:val="00F56935"/>
    <w:rsid w:val="00F61477"/>
    <w:rsid w:val="00F73EDD"/>
    <w:rsid w:val="00F74CBC"/>
    <w:rsid w:val="00F7652F"/>
    <w:rsid w:val="00F81DC6"/>
    <w:rsid w:val="00F86F4B"/>
    <w:rsid w:val="00F90760"/>
    <w:rsid w:val="00F9262C"/>
    <w:rsid w:val="00F9527A"/>
    <w:rsid w:val="00F95566"/>
    <w:rsid w:val="00FA2096"/>
    <w:rsid w:val="00FA5B3E"/>
    <w:rsid w:val="00FA5ECC"/>
    <w:rsid w:val="00FB2EE9"/>
    <w:rsid w:val="00FB33D4"/>
    <w:rsid w:val="00FB5212"/>
    <w:rsid w:val="00FB6B84"/>
    <w:rsid w:val="00FB7291"/>
    <w:rsid w:val="00FC0E61"/>
    <w:rsid w:val="00FC3B65"/>
    <w:rsid w:val="00FC6138"/>
    <w:rsid w:val="00FD5439"/>
    <w:rsid w:val="00FD5718"/>
    <w:rsid w:val="00FF4A1C"/>
    <w:rsid w:val="00FF75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C76447"/>
  <w15:docId w15:val="{5A7A57E7-79DA-4DCF-BC88-FB9C8E3C0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0E"/>
    <w:rPr>
      <w:rFonts w:ascii="Times New Roman" w:hAnsi="Times New Roman" w:cs="Times New Roman"/>
    </w:rPr>
  </w:style>
  <w:style w:type="paragraph" w:styleId="Heading1">
    <w:name w:val="heading 1"/>
    <w:basedOn w:val="Normal"/>
    <w:next w:val="Normal"/>
    <w:link w:val="Heading1Char"/>
    <w:uiPriority w:val="9"/>
    <w:qFormat/>
    <w:rsid w:val="002133E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C2F9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050930"/>
    <w:pPr>
      <w:keepNext/>
      <w:tabs>
        <w:tab w:val="left" w:pos="737"/>
      </w:tabs>
      <w:spacing w:line="360" w:lineRule="auto"/>
      <w:jc w:val="both"/>
      <w:outlineLvl w:val="2"/>
    </w:pPr>
    <w:rPr>
      <w:rFonts w:eastAsia="Times New Roman"/>
      <w:b/>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50930"/>
    <w:rPr>
      <w:rFonts w:ascii="Times New Roman" w:eastAsia="Times New Roman" w:hAnsi="Times New Roman" w:cs="Times New Roman"/>
      <w:b/>
      <w:szCs w:val="20"/>
      <w:lang w:val="en-GB" w:eastAsia="en-GB"/>
    </w:rPr>
  </w:style>
  <w:style w:type="paragraph" w:styleId="FootnoteText">
    <w:name w:val="footnote text"/>
    <w:basedOn w:val="Normal"/>
    <w:link w:val="FootnoteTextChar"/>
    <w:semiHidden/>
    <w:rsid w:val="00050930"/>
    <w:pPr>
      <w:jc w:val="both"/>
    </w:pPr>
    <w:rPr>
      <w:rFonts w:eastAsia="Times New Roman"/>
      <w:sz w:val="20"/>
      <w:szCs w:val="20"/>
      <w:lang w:val="en-GB" w:eastAsia="en-GB"/>
    </w:rPr>
  </w:style>
  <w:style w:type="character" w:customStyle="1" w:styleId="FootnoteTextChar">
    <w:name w:val="Footnote Text Char"/>
    <w:basedOn w:val="DefaultParagraphFont"/>
    <w:link w:val="FootnoteText"/>
    <w:semiHidden/>
    <w:rsid w:val="00050930"/>
    <w:rPr>
      <w:rFonts w:ascii="Times New Roman" w:eastAsia="Times New Roman" w:hAnsi="Times New Roman" w:cs="Times New Roman"/>
      <w:sz w:val="20"/>
      <w:szCs w:val="20"/>
      <w:lang w:val="en-GB" w:eastAsia="en-GB"/>
    </w:rPr>
  </w:style>
  <w:style w:type="character" w:styleId="FootnoteReference">
    <w:name w:val="footnote reference"/>
    <w:basedOn w:val="DefaultParagraphFont"/>
    <w:semiHidden/>
    <w:rsid w:val="00050930"/>
    <w:rPr>
      <w:rFonts w:ascii="Times New Roman" w:hAnsi="Times New Roman"/>
      <w:sz w:val="20"/>
      <w:vertAlign w:val="superscript"/>
    </w:rPr>
  </w:style>
  <w:style w:type="paragraph" w:styleId="BodyText">
    <w:name w:val="Body Text"/>
    <w:basedOn w:val="Normal"/>
    <w:link w:val="BodyTextChar"/>
    <w:rsid w:val="00050930"/>
    <w:pPr>
      <w:widowControl w:val="0"/>
      <w:jc w:val="both"/>
    </w:pPr>
    <w:rPr>
      <w:rFonts w:eastAsia="Times New Roman"/>
      <w:snapToGrid w:val="0"/>
      <w:szCs w:val="20"/>
      <w:lang w:val="en-GB"/>
    </w:rPr>
  </w:style>
  <w:style w:type="character" w:customStyle="1" w:styleId="BodyTextChar">
    <w:name w:val="Body Text Char"/>
    <w:basedOn w:val="DefaultParagraphFont"/>
    <w:link w:val="BodyText"/>
    <w:rsid w:val="00050930"/>
    <w:rPr>
      <w:rFonts w:ascii="Times New Roman" w:eastAsia="Times New Roman" w:hAnsi="Times New Roman" w:cs="Times New Roman"/>
      <w:snapToGrid w:val="0"/>
      <w:szCs w:val="20"/>
      <w:lang w:val="en-GB"/>
    </w:rPr>
  </w:style>
  <w:style w:type="paragraph" w:styleId="BodyText2">
    <w:name w:val="Body Text 2"/>
    <w:basedOn w:val="Normal"/>
    <w:link w:val="BodyText2Char"/>
    <w:rsid w:val="00050930"/>
    <w:pPr>
      <w:widowControl w:val="0"/>
      <w:spacing w:line="360" w:lineRule="auto"/>
      <w:ind w:right="29"/>
      <w:jc w:val="both"/>
    </w:pPr>
    <w:rPr>
      <w:rFonts w:eastAsia="Times New Roman"/>
      <w:snapToGrid w:val="0"/>
      <w:szCs w:val="20"/>
      <w:lang w:val="en-GB"/>
    </w:rPr>
  </w:style>
  <w:style w:type="character" w:customStyle="1" w:styleId="BodyText2Char">
    <w:name w:val="Body Text 2 Char"/>
    <w:basedOn w:val="DefaultParagraphFont"/>
    <w:link w:val="BodyText2"/>
    <w:rsid w:val="00050930"/>
    <w:rPr>
      <w:rFonts w:ascii="Times New Roman" w:eastAsia="Times New Roman" w:hAnsi="Times New Roman" w:cs="Times New Roman"/>
      <w:snapToGrid w:val="0"/>
      <w:szCs w:val="20"/>
      <w:lang w:val="en-GB"/>
    </w:rPr>
  </w:style>
  <w:style w:type="paragraph" w:styleId="ListParagraph">
    <w:name w:val="List Paragraph"/>
    <w:basedOn w:val="Normal"/>
    <w:uiPriority w:val="34"/>
    <w:qFormat/>
    <w:rsid w:val="00CC5114"/>
    <w:pPr>
      <w:ind w:left="720"/>
      <w:contextualSpacing/>
    </w:pPr>
    <w:rPr>
      <w:rFonts w:asciiTheme="minorHAnsi" w:hAnsiTheme="minorHAnsi" w:cstheme="minorBidi"/>
    </w:rPr>
  </w:style>
  <w:style w:type="character" w:styleId="Hyperlink">
    <w:name w:val="Hyperlink"/>
    <w:basedOn w:val="DefaultParagraphFont"/>
    <w:uiPriority w:val="99"/>
    <w:unhideWhenUsed/>
    <w:rsid w:val="005C2CE9"/>
    <w:rPr>
      <w:color w:val="0563C1" w:themeColor="hyperlink"/>
      <w:u w:val="single"/>
    </w:rPr>
  </w:style>
  <w:style w:type="paragraph" w:styleId="BalloonText">
    <w:name w:val="Balloon Text"/>
    <w:basedOn w:val="Normal"/>
    <w:link w:val="BalloonTextChar"/>
    <w:uiPriority w:val="99"/>
    <w:semiHidden/>
    <w:unhideWhenUsed/>
    <w:rsid w:val="00BF5FAB"/>
    <w:rPr>
      <w:sz w:val="18"/>
      <w:szCs w:val="18"/>
    </w:rPr>
  </w:style>
  <w:style w:type="character" w:customStyle="1" w:styleId="BalloonTextChar">
    <w:name w:val="Balloon Text Char"/>
    <w:basedOn w:val="DefaultParagraphFont"/>
    <w:link w:val="BalloonText"/>
    <w:uiPriority w:val="99"/>
    <w:semiHidden/>
    <w:rsid w:val="00BF5FAB"/>
    <w:rPr>
      <w:rFonts w:ascii="Times New Roman" w:hAnsi="Times New Roman" w:cs="Times New Roman"/>
      <w:sz w:val="18"/>
      <w:szCs w:val="18"/>
    </w:rPr>
  </w:style>
  <w:style w:type="character" w:customStyle="1" w:styleId="echo-streamserver-controls-stream-item-text2">
    <w:name w:val="echo-streamserver-controls-stream-item-text2"/>
    <w:basedOn w:val="DefaultParagraphFont"/>
    <w:rsid w:val="007D3677"/>
  </w:style>
  <w:style w:type="character" w:styleId="CommentReference">
    <w:name w:val="annotation reference"/>
    <w:basedOn w:val="DefaultParagraphFont"/>
    <w:uiPriority w:val="99"/>
    <w:semiHidden/>
    <w:unhideWhenUsed/>
    <w:rsid w:val="00B24D8D"/>
    <w:rPr>
      <w:sz w:val="18"/>
      <w:szCs w:val="18"/>
    </w:rPr>
  </w:style>
  <w:style w:type="paragraph" w:styleId="CommentText">
    <w:name w:val="annotation text"/>
    <w:basedOn w:val="Normal"/>
    <w:link w:val="CommentTextChar"/>
    <w:uiPriority w:val="99"/>
    <w:semiHidden/>
    <w:unhideWhenUsed/>
    <w:rsid w:val="00B24D8D"/>
    <w:rPr>
      <w:rFonts w:asciiTheme="minorHAnsi" w:hAnsiTheme="minorHAnsi" w:cstheme="minorBidi"/>
    </w:rPr>
  </w:style>
  <w:style w:type="character" w:customStyle="1" w:styleId="CommentTextChar">
    <w:name w:val="Comment Text Char"/>
    <w:basedOn w:val="DefaultParagraphFont"/>
    <w:link w:val="CommentText"/>
    <w:uiPriority w:val="99"/>
    <w:semiHidden/>
    <w:rsid w:val="00B24D8D"/>
  </w:style>
  <w:style w:type="paragraph" w:styleId="CommentSubject">
    <w:name w:val="annotation subject"/>
    <w:basedOn w:val="CommentText"/>
    <w:next w:val="CommentText"/>
    <w:link w:val="CommentSubjectChar"/>
    <w:uiPriority w:val="99"/>
    <w:semiHidden/>
    <w:unhideWhenUsed/>
    <w:rsid w:val="00B24D8D"/>
    <w:rPr>
      <w:b/>
      <w:bCs/>
      <w:sz w:val="20"/>
      <w:szCs w:val="20"/>
    </w:rPr>
  </w:style>
  <w:style w:type="character" w:customStyle="1" w:styleId="CommentSubjectChar">
    <w:name w:val="Comment Subject Char"/>
    <w:basedOn w:val="CommentTextChar"/>
    <w:link w:val="CommentSubject"/>
    <w:uiPriority w:val="99"/>
    <w:semiHidden/>
    <w:rsid w:val="00B24D8D"/>
    <w:rPr>
      <w:b/>
      <w:bCs/>
      <w:sz w:val="20"/>
      <w:szCs w:val="20"/>
    </w:rPr>
  </w:style>
  <w:style w:type="character" w:customStyle="1" w:styleId="apple-converted-space">
    <w:name w:val="apple-converted-space"/>
    <w:basedOn w:val="DefaultParagraphFont"/>
    <w:rsid w:val="00AC562D"/>
  </w:style>
  <w:style w:type="character" w:customStyle="1" w:styleId="Heading1Char">
    <w:name w:val="Heading 1 Char"/>
    <w:basedOn w:val="DefaultParagraphFont"/>
    <w:link w:val="Heading1"/>
    <w:uiPriority w:val="9"/>
    <w:rsid w:val="002133E5"/>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47148A"/>
    <w:rPr>
      <w:i/>
      <w:iCs/>
    </w:rPr>
  </w:style>
  <w:style w:type="paragraph" w:styleId="NormalWeb">
    <w:name w:val="Normal (Web)"/>
    <w:basedOn w:val="Normal"/>
    <w:uiPriority w:val="99"/>
    <w:semiHidden/>
    <w:unhideWhenUsed/>
    <w:rsid w:val="00331ED9"/>
    <w:pPr>
      <w:spacing w:before="100" w:beforeAutospacing="1" w:after="100" w:afterAutospacing="1"/>
    </w:pPr>
    <w:rPr>
      <w:rFonts w:eastAsia="Times New Roman"/>
      <w:lang w:val="en-GB" w:eastAsia="en-GB"/>
    </w:rPr>
  </w:style>
  <w:style w:type="character" w:styleId="FollowedHyperlink">
    <w:name w:val="FollowedHyperlink"/>
    <w:basedOn w:val="DefaultParagraphFont"/>
    <w:uiPriority w:val="99"/>
    <w:semiHidden/>
    <w:unhideWhenUsed/>
    <w:rsid w:val="00D35D49"/>
    <w:rPr>
      <w:color w:val="954F72" w:themeColor="followedHyperlink"/>
      <w:u w:val="single"/>
    </w:rPr>
  </w:style>
  <w:style w:type="character" w:customStyle="1" w:styleId="Heading2Char">
    <w:name w:val="Heading 2 Char"/>
    <w:basedOn w:val="DefaultParagraphFont"/>
    <w:link w:val="Heading2"/>
    <w:uiPriority w:val="9"/>
    <w:semiHidden/>
    <w:rsid w:val="002C2F98"/>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44F0F"/>
    <w:pPr>
      <w:tabs>
        <w:tab w:val="center" w:pos="4513"/>
        <w:tab w:val="right" w:pos="9026"/>
      </w:tabs>
    </w:pPr>
  </w:style>
  <w:style w:type="character" w:customStyle="1" w:styleId="HeaderChar">
    <w:name w:val="Header Char"/>
    <w:basedOn w:val="DefaultParagraphFont"/>
    <w:link w:val="Header"/>
    <w:uiPriority w:val="99"/>
    <w:rsid w:val="00244F0F"/>
    <w:rPr>
      <w:rFonts w:ascii="Times New Roman" w:hAnsi="Times New Roman" w:cs="Times New Roman"/>
    </w:rPr>
  </w:style>
  <w:style w:type="paragraph" w:styleId="Footer">
    <w:name w:val="footer"/>
    <w:basedOn w:val="Normal"/>
    <w:link w:val="FooterChar"/>
    <w:uiPriority w:val="99"/>
    <w:unhideWhenUsed/>
    <w:rsid w:val="00244F0F"/>
    <w:pPr>
      <w:tabs>
        <w:tab w:val="center" w:pos="4513"/>
        <w:tab w:val="right" w:pos="9026"/>
      </w:tabs>
    </w:pPr>
  </w:style>
  <w:style w:type="character" w:customStyle="1" w:styleId="FooterChar">
    <w:name w:val="Footer Char"/>
    <w:basedOn w:val="DefaultParagraphFont"/>
    <w:link w:val="Footer"/>
    <w:uiPriority w:val="99"/>
    <w:rsid w:val="00244F0F"/>
    <w:rPr>
      <w:rFonts w:ascii="Times New Roman" w:hAnsi="Times New Roman" w:cs="Times New Roman"/>
    </w:rPr>
  </w:style>
  <w:style w:type="paragraph" w:styleId="Revision">
    <w:name w:val="Revision"/>
    <w:hidden/>
    <w:uiPriority w:val="99"/>
    <w:semiHidden/>
    <w:rsid w:val="00951955"/>
    <w:rPr>
      <w:rFonts w:ascii="Times New Roman" w:hAnsi="Times New Roman" w:cs="Times New Roman"/>
    </w:rPr>
  </w:style>
  <w:style w:type="table" w:styleId="TableGrid">
    <w:name w:val="Table Grid"/>
    <w:basedOn w:val="TableNormal"/>
    <w:uiPriority w:val="39"/>
    <w:rsid w:val="00EF6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387">
      <w:bodyDiv w:val="1"/>
      <w:marLeft w:val="0"/>
      <w:marRight w:val="0"/>
      <w:marTop w:val="0"/>
      <w:marBottom w:val="0"/>
      <w:divBdr>
        <w:top w:val="none" w:sz="0" w:space="0" w:color="auto"/>
        <w:left w:val="none" w:sz="0" w:space="0" w:color="auto"/>
        <w:bottom w:val="none" w:sz="0" w:space="0" w:color="auto"/>
        <w:right w:val="none" w:sz="0" w:space="0" w:color="auto"/>
      </w:divBdr>
    </w:div>
    <w:div w:id="33508008">
      <w:bodyDiv w:val="1"/>
      <w:marLeft w:val="0"/>
      <w:marRight w:val="0"/>
      <w:marTop w:val="0"/>
      <w:marBottom w:val="0"/>
      <w:divBdr>
        <w:top w:val="none" w:sz="0" w:space="0" w:color="auto"/>
        <w:left w:val="none" w:sz="0" w:space="0" w:color="auto"/>
        <w:bottom w:val="none" w:sz="0" w:space="0" w:color="auto"/>
        <w:right w:val="none" w:sz="0" w:space="0" w:color="auto"/>
      </w:divBdr>
    </w:div>
    <w:div w:id="49773262">
      <w:bodyDiv w:val="1"/>
      <w:marLeft w:val="0"/>
      <w:marRight w:val="0"/>
      <w:marTop w:val="0"/>
      <w:marBottom w:val="0"/>
      <w:divBdr>
        <w:top w:val="none" w:sz="0" w:space="0" w:color="auto"/>
        <w:left w:val="none" w:sz="0" w:space="0" w:color="auto"/>
        <w:bottom w:val="none" w:sz="0" w:space="0" w:color="auto"/>
        <w:right w:val="none" w:sz="0" w:space="0" w:color="auto"/>
      </w:divBdr>
    </w:div>
    <w:div w:id="53890566">
      <w:bodyDiv w:val="1"/>
      <w:marLeft w:val="0"/>
      <w:marRight w:val="0"/>
      <w:marTop w:val="0"/>
      <w:marBottom w:val="0"/>
      <w:divBdr>
        <w:top w:val="none" w:sz="0" w:space="0" w:color="auto"/>
        <w:left w:val="none" w:sz="0" w:space="0" w:color="auto"/>
        <w:bottom w:val="none" w:sz="0" w:space="0" w:color="auto"/>
        <w:right w:val="none" w:sz="0" w:space="0" w:color="auto"/>
      </w:divBdr>
    </w:div>
    <w:div w:id="77292541">
      <w:bodyDiv w:val="1"/>
      <w:marLeft w:val="0"/>
      <w:marRight w:val="0"/>
      <w:marTop w:val="0"/>
      <w:marBottom w:val="0"/>
      <w:divBdr>
        <w:top w:val="none" w:sz="0" w:space="0" w:color="auto"/>
        <w:left w:val="none" w:sz="0" w:space="0" w:color="auto"/>
        <w:bottom w:val="none" w:sz="0" w:space="0" w:color="auto"/>
        <w:right w:val="none" w:sz="0" w:space="0" w:color="auto"/>
      </w:divBdr>
    </w:div>
    <w:div w:id="87039775">
      <w:bodyDiv w:val="1"/>
      <w:marLeft w:val="0"/>
      <w:marRight w:val="0"/>
      <w:marTop w:val="0"/>
      <w:marBottom w:val="0"/>
      <w:divBdr>
        <w:top w:val="none" w:sz="0" w:space="0" w:color="auto"/>
        <w:left w:val="none" w:sz="0" w:space="0" w:color="auto"/>
        <w:bottom w:val="none" w:sz="0" w:space="0" w:color="auto"/>
        <w:right w:val="none" w:sz="0" w:space="0" w:color="auto"/>
      </w:divBdr>
    </w:div>
    <w:div w:id="102464732">
      <w:bodyDiv w:val="1"/>
      <w:marLeft w:val="0"/>
      <w:marRight w:val="0"/>
      <w:marTop w:val="0"/>
      <w:marBottom w:val="0"/>
      <w:divBdr>
        <w:top w:val="none" w:sz="0" w:space="0" w:color="auto"/>
        <w:left w:val="none" w:sz="0" w:space="0" w:color="auto"/>
        <w:bottom w:val="none" w:sz="0" w:space="0" w:color="auto"/>
        <w:right w:val="none" w:sz="0" w:space="0" w:color="auto"/>
      </w:divBdr>
    </w:div>
    <w:div w:id="103112405">
      <w:bodyDiv w:val="1"/>
      <w:marLeft w:val="0"/>
      <w:marRight w:val="0"/>
      <w:marTop w:val="0"/>
      <w:marBottom w:val="0"/>
      <w:divBdr>
        <w:top w:val="none" w:sz="0" w:space="0" w:color="auto"/>
        <w:left w:val="none" w:sz="0" w:space="0" w:color="auto"/>
        <w:bottom w:val="none" w:sz="0" w:space="0" w:color="auto"/>
        <w:right w:val="none" w:sz="0" w:space="0" w:color="auto"/>
      </w:divBdr>
    </w:div>
    <w:div w:id="116489182">
      <w:bodyDiv w:val="1"/>
      <w:marLeft w:val="0"/>
      <w:marRight w:val="0"/>
      <w:marTop w:val="0"/>
      <w:marBottom w:val="0"/>
      <w:divBdr>
        <w:top w:val="none" w:sz="0" w:space="0" w:color="auto"/>
        <w:left w:val="none" w:sz="0" w:space="0" w:color="auto"/>
        <w:bottom w:val="none" w:sz="0" w:space="0" w:color="auto"/>
        <w:right w:val="none" w:sz="0" w:space="0" w:color="auto"/>
      </w:divBdr>
    </w:div>
    <w:div w:id="162359877">
      <w:bodyDiv w:val="1"/>
      <w:marLeft w:val="0"/>
      <w:marRight w:val="0"/>
      <w:marTop w:val="0"/>
      <w:marBottom w:val="0"/>
      <w:divBdr>
        <w:top w:val="none" w:sz="0" w:space="0" w:color="auto"/>
        <w:left w:val="none" w:sz="0" w:space="0" w:color="auto"/>
        <w:bottom w:val="none" w:sz="0" w:space="0" w:color="auto"/>
        <w:right w:val="none" w:sz="0" w:space="0" w:color="auto"/>
      </w:divBdr>
    </w:div>
    <w:div w:id="180509169">
      <w:bodyDiv w:val="1"/>
      <w:marLeft w:val="0"/>
      <w:marRight w:val="0"/>
      <w:marTop w:val="0"/>
      <w:marBottom w:val="0"/>
      <w:divBdr>
        <w:top w:val="none" w:sz="0" w:space="0" w:color="auto"/>
        <w:left w:val="none" w:sz="0" w:space="0" w:color="auto"/>
        <w:bottom w:val="none" w:sz="0" w:space="0" w:color="auto"/>
        <w:right w:val="none" w:sz="0" w:space="0" w:color="auto"/>
      </w:divBdr>
      <w:divsChild>
        <w:div w:id="1910460422">
          <w:marLeft w:val="0"/>
          <w:marRight w:val="0"/>
          <w:marTop w:val="0"/>
          <w:marBottom w:val="0"/>
          <w:divBdr>
            <w:top w:val="none" w:sz="0" w:space="0" w:color="auto"/>
            <w:left w:val="none" w:sz="0" w:space="0" w:color="auto"/>
            <w:bottom w:val="none" w:sz="0" w:space="0" w:color="auto"/>
            <w:right w:val="none" w:sz="0" w:space="0" w:color="auto"/>
          </w:divBdr>
          <w:divsChild>
            <w:div w:id="929702337">
              <w:marLeft w:val="0"/>
              <w:marRight w:val="0"/>
              <w:marTop w:val="0"/>
              <w:marBottom w:val="0"/>
              <w:divBdr>
                <w:top w:val="none" w:sz="0" w:space="0" w:color="auto"/>
                <w:left w:val="none" w:sz="0" w:space="0" w:color="auto"/>
                <w:bottom w:val="none" w:sz="0" w:space="0" w:color="auto"/>
                <w:right w:val="none" w:sz="0" w:space="0" w:color="auto"/>
              </w:divBdr>
              <w:divsChild>
                <w:div w:id="1396859572">
                  <w:marLeft w:val="0"/>
                  <w:marRight w:val="0"/>
                  <w:marTop w:val="0"/>
                  <w:marBottom w:val="0"/>
                  <w:divBdr>
                    <w:top w:val="none" w:sz="0" w:space="0" w:color="auto"/>
                    <w:left w:val="none" w:sz="0" w:space="0" w:color="auto"/>
                    <w:bottom w:val="none" w:sz="0" w:space="0" w:color="auto"/>
                    <w:right w:val="none" w:sz="0" w:space="0" w:color="auto"/>
                  </w:divBdr>
                  <w:divsChild>
                    <w:div w:id="1537500189">
                      <w:marLeft w:val="0"/>
                      <w:marRight w:val="0"/>
                      <w:marTop w:val="0"/>
                      <w:marBottom w:val="0"/>
                      <w:divBdr>
                        <w:top w:val="none" w:sz="0" w:space="0" w:color="auto"/>
                        <w:left w:val="none" w:sz="0" w:space="0" w:color="auto"/>
                        <w:bottom w:val="none" w:sz="0" w:space="0" w:color="auto"/>
                        <w:right w:val="none" w:sz="0" w:space="0" w:color="auto"/>
                      </w:divBdr>
                      <w:divsChild>
                        <w:div w:id="622424932">
                          <w:marLeft w:val="0"/>
                          <w:marRight w:val="0"/>
                          <w:marTop w:val="0"/>
                          <w:marBottom w:val="0"/>
                          <w:divBdr>
                            <w:top w:val="none" w:sz="0" w:space="0" w:color="auto"/>
                            <w:left w:val="none" w:sz="0" w:space="0" w:color="auto"/>
                            <w:bottom w:val="none" w:sz="0" w:space="0" w:color="auto"/>
                            <w:right w:val="none" w:sz="0" w:space="0" w:color="auto"/>
                          </w:divBdr>
                          <w:divsChild>
                            <w:div w:id="1483421691">
                              <w:marLeft w:val="0"/>
                              <w:marRight w:val="0"/>
                              <w:marTop w:val="0"/>
                              <w:marBottom w:val="0"/>
                              <w:divBdr>
                                <w:top w:val="none" w:sz="0" w:space="0" w:color="auto"/>
                                <w:left w:val="none" w:sz="0" w:space="0" w:color="auto"/>
                                <w:bottom w:val="none" w:sz="0" w:space="0" w:color="auto"/>
                                <w:right w:val="none" w:sz="0" w:space="0" w:color="auto"/>
                              </w:divBdr>
                              <w:divsChild>
                                <w:div w:id="504905278">
                                  <w:marLeft w:val="0"/>
                                  <w:marRight w:val="0"/>
                                  <w:marTop w:val="0"/>
                                  <w:marBottom w:val="0"/>
                                  <w:divBdr>
                                    <w:top w:val="none" w:sz="0" w:space="0" w:color="auto"/>
                                    <w:left w:val="none" w:sz="0" w:space="0" w:color="auto"/>
                                    <w:bottom w:val="none" w:sz="0" w:space="0" w:color="auto"/>
                                    <w:right w:val="none" w:sz="0" w:space="0" w:color="auto"/>
                                  </w:divBdr>
                                  <w:divsChild>
                                    <w:div w:id="1775320369">
                                      <w:marLeft w:val="0"/>
                                      <w:marRight w:val="0"/>
                                      <w:marTop w:val="0"/>
                                      <w:marBottom w:val="0"/>
                                      <w:divBdr>
                                        <w:top w:val="none" w:sz="0" w:space="0" w:color="auto"/>
                                        <w:left w:val="none" w:sz="0" w:space="0" w:color="auto"/>
                                        <w:bottom w:val="none" w:sz="0" w:space="0" w:color="auto"/>
                                        <w:right w:val="none" w:sz="0" w:space="0" w:color="auto"/>
                                      </w:divBdr>
                                      <w:divsChild>
                                        <w:div w:id="1661615588">
                                          <w:marLeft w:val="0"/>
                                          <w:marRight w:val="0"/>
                                          <w:marTop w:val="0"/>
                                          <w:marBottom w:val="0"/>
                                          <w:divBdr>
                                            <w:top w:val="none" w:sz="0" w:space="0" w:color="auto"/>
                                            <w:left w:val="none" w:sz="0" w:space="0" w:color="auto"/>
                                            <w:bottom w:val="none" w:sz="0" w:space="0" w:color="auto"/>
                                            <w:right w:val="none" w:sz="0" w:space="0" w:color="auto"/>
                                          </w:divBdr>
                                          <w:divsChild>
                                            <w:div w:id="1344554625">
                                              <w:marLeft w:val="0"/>
                                              <w:marRight w:val="0"/>
                                              <w:marTop w:val="0"/>
                                              <w:marBottom w:val="0"/>
                                              <w:divBdr>
                                                <w:top w:val="none" w:sz="0" w:space="0" w:color="auto"/>
                                                <w:left w:val="none" w:sz="0" w:space="0" w:color="auto"/>
                                                <w:bottom w:val="none" w:sz="0" w:space="0" w:color="auto"/>
                                                <w:right w:val="none" w:sz="0" w:space="0" w:color="auto"/>
                                              </w:divBdr>
                                              <w:divsChild>
                                                <w:div w:id="1954826154">
                                                  <w:marLeft w:val="0"/>
                                                  <w:marRight w:val="0"/>
                                                  <w:marTop w:val="0"/>
                                                  <w:marBottom w:val="0"/>
                                                  <w:divBdr>
                                                    <w:top w:val="none" w:sz="0" w:space="0" w:color="auto"/>
                                                    <w:left w:val="none" w:sz="0" w:space="0" w:color="auto"/>
                                                    <w:bottom w:val="none" w:sz="0" w:space="0" w:color="auto"/>
                                                    <w:right w:val="none" w:sz="0" w:space="0" w:color="auto"/>
                                                  </w:divBdr>
                                                  <w:divsChild>
                                                    <w:div w:id="294330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32843">
      <w:bodyDiv w:val="1"/>
      <w:marLeft w:val="0"/>
      <w:marRight w:val="0"/>
      <w:marTop w:val="0"/>
      <w:marBottom w:val="0"/>
      <w:divBdr>
        <w:top w:val="none" w:sz="0" w:space="0" w:color="auto"/>
        <w:left w:val="none" w:sz="0" w:space="0" w:color="auto"/>
        <w:bottom w:val="none" w:sz="0" w:space="0" w:color="auto"/>
        <w:right w:val="none" w:sz="0" w:space="0" w:color="auto"/>
      </w:divBdr>
    </w:div>
    <w:div w:id="199898193">
      <w:bodyDiv w:val="1"/>
      <w:marLeft w:val="0"/>
      <w:marRight w:val="0"/>
      <w:marTop w:val="0"/>
      <w:marBottom w:val="0"/>
      <w:divBdr>
        <w:top w:val="none" w:sz="0" w:space="0" w:color="auto"/>
        <w:left w:val="none" w:sz="0" w:space="0" w:color="auto"/>
        <w:bottom w:val="none" w:sz="0" w:space="0" w:color="auto"/>
        <w:right w:val="none" w:sz="0" w:space="0" w:color="auto"/>
      </w:divBdr>
    </w:div>
    <w:div w:id="200215443">
      <w:bodyDiv w:val="1"/>
      <w:marLeft w:val="0"/>
      <w:marRight w:val="0"/>
      <w:marTop w:val="0"/>
      <w:marBottom w:val="0"/>
      <w:divBdr>
        <w:top w:val="none" w:sz="0" w:space="0" w:color="auto"/>
        <w:left w:val="none" w:sz="0" w:space="0" w:color="auto"/>
        <w:bottom w:val="none" w:sz="0" w:space="0" w:color="auto"/>
        <w:right w:val="none" w:sz="0" w:space="0" w:color="auto"/>
      </w:divBdr>
    </w:div>
    <w:div w:id="219754209">
      <w:bodyDiv w:val="1"/>
      <w:marLeft w:val="0"/>
      <w:marRight w:val="0"/>
      <w:marTop w:val="0"/>
      <w:marBottom w:val="0"/>
      <w:divBdr>
        <w:top w:val="none" w:sz="0" w:space="0" w:color="auto"/>
        <w:left w:val="none" w:sz="0" w:space="0" w:color="auto"/>
        <w:bottom w:val="none" w:sz="0" w:space="0" w:color="auto"/>
        <w:right w:val="none" w:sz="0" w:space="0" w:color="auto"/>
      </w:divBdr>
    </w:div>
    <w:div w:id="229997712">
      <w:bodyDiv w:val="1"/>
      <w:marLeft w:val="0"/>
      <w:marRight w:val="0"/>
      <w:marTop w:val="0"/>
      <w:marBottom w:val="0"/>
      <w:divBdr>
        <w:top w:val="none" w:sz="0" w:space="0" w:color="auto"/>
        <w:left w:val="none" w:sz="0" w:space="0" w:color="auto"/>
        <w:bottom w:val="none" w:sz="0" w:space="0" w:color="auto"/>
        <w:right w:val="none" w:sz="0" w:space="0" w:color="auto"/>
      </w:divBdr>
    </w:div>
    <w:div w:id="244263054">
      <w:bodyDiv w:val="1"/>
      <w:marLeft w:val="0"/>
      <w:marRight w:val="0"/>
      <w:marTop w:val="0"/>
      <w:marBottom w:val="0"/>
      <w:divBdr>
        <w:top w:val="none" w:sz="0" w:space="0" w:color="auto"/>
        <w:left w:val="none" w:sz="0" w:space="0" w:color="auto"/>
        <w:bottom w:val="none" w:sz="0" w:space="0" w:color="auto"/>
        <w:right w:val="none" w:sz="0" w:space="0" w:color="auto"/>
      </w:divBdr>
    </w:div>
    <w:div w:id="268633426">
      <w:bodyDiv w:val="1"/>
      <w:marLeft w:val="0"/>
      <w:marRight w:val="0"/>
      <w:marTop w:val="0"/>
      <w:marBottom w:val="0"/>
      <w:divBdr>
        <w:top w:val="none" w:sz="0" w:space="0" w:color="auto"/>
        <w:left w:val="none" w:sz="0" w:space="0" w:color="auto"/>
        <w:bottom w:val="none" w:sz="0" w:space="0" w:color="auto"/>
        <w:right w:val="none" w:sz="0" w:space="0" w:color="auto"/>
      </w:divBdr>
    </w:div>
    <w:div w:id="289867193">
      <w:bodyDiv w:val="1"/>
      <w:marLeft w:val="0"/>
      <w:marRight w:val="0"/>
      <w:marTop w:val="0"/>
      <w:marBottom w:val="0"/>
      <w:divBdr>
        <w:top w:val="none" w:sz="0" w:space="0" w:color="auto"/>
        <w:left w:val="none" w:sz="0" w:space="0" w:color="auto"/>
        <w:bottom w:val="none" w:sz="0" w:space="0" w:color="auto"/>
        <w:right w:val="none" w:sz="0" w:space="0" w:color="auto"/>
      </w:divBdr>
    </w:div>
    <w:div w:id="317881315">
      <w:bodyDiv w:val="1"/>
      <w:marLeft w:val="0"/>
      <w:marRight w:val="0"/>
      <w:marTop w:val="0"/>
      <w:marBottom w:val="0"/>
      <w:divBdr>
        <w:top w:val="none" w:sz="0" w:space="0" w:color="auto"/>
        <w:left w:val="none" w:sz="0" w:space="0" w:color="auto"/>
        <w:bottom w:val="none" w:sz="0" w:space="0" w:color="auto"/>
        <w:right w:val="none" w:sz="0" w:space="0" w:color="auto"/>
      </w:divBdr>
      <w:divsChild>
        <w:div w:id="1078936848">
          <w:marLeft w:val="0"/>
          <w:marRight w:val="0"/>
          <w:marTop w:val="0"/>
          <w:marBottom w:val="0"/>
          <w:divBdr>
            <w:top w:val="none" w:sz="0" w:space="0" w:color="auto"/>
            <w:left w:val="none" w:sz="0" w:space="0" w:color="auto"/>
            <w:bottom w:val="none" w:sz="0" w:space="0" w:color="auto"/>
            <w:right w:val="none" w:sz="0" w:space="0" w:color="auto"/>
          </w:divBdr>
          <w:divsChild>
            <w:div w:id="1522746631">
              <w:marLeft w:val="0"/>
              <w:marRight w:val="0"/>
              <w:marTop w:val="0"/>
              <w:marBottom w:val="0"/>
              <w:divBdr>
                <w:top w:val="none" w:sz="0" w:space="0" w:color="auto"/>
                <w:left w:val="none" w:sz="0" w:space="0" w:color="auto"/>
                <w:bottom w:val="none" w:sz="0" w:space="0" w:color="auto"/>
                <w:right w:val="none" w:sz="0" w:space="0" w:color="auto"/>
              </w:divBdr>
              <w:divsChild>
                <w:div w:id="1242983941">
                  <w:marLeft w:val="0"/>
                  <w:marRight w:val="0"/>
                  <w:marTop w:val="0"/>
                  <w:marBottom w:val="0"/>
                  <w:divBdr>
                    <w:top w:val="none" w:sz="0" w:space="0" w:color="auto"/>
                    <w:left w:val="none" w:sz="0" w:space="0" w:color="auto"/>
                    <w:bottom w:val="none" w:sz="0" w:space="0" w:color="auto"/>
                    <w:right w:val="none" w:sz="0" w:space="0" w:color="auto"/>
                  </w:divBdr>
                  <w:divsChild>
                    <w:div w:id="1702049798">
                      <w:marLeft w:val="0"/>
                      <w:marRight w:val="0"/>
                      <w:marTop w:val="0"/>
                      <w:marBottom w:val="0"/>
                      <w:divBdr>
                        <w:top w:val="none" w:sz="0" w:space="0" w:color="auto"/>
                        <w:left w:val="none" w:sz="0" w:space="0" w:color="auto"/>
                        <w:bottom w:val="none" w:sz="0" w:space="0" w:color="auto"/>
                        <w:right w:val="none" w:sz="0" w:space="0" w:color="auto"/>
                      </w:divBdr>
                      <w:divsChild>
                        <w:div w:id="1715538220">
                          <w:marLeft w:val="0"/>
                          <w:marRight w:val="0"/>
                          <w:marTop w:val="0"/>
                          <w:marBottom w:val="0"/>
                          <w:divBdr>
                            <w:top w:val="none" w:sz="0" w:space="0" w:color="auto"/>
                            <w:left w:val="none" w:sz="0" w:space="0" w:color="auto"/>
                            <w:bottom w:val="none" w:sz="0" w:space="0" w:color="auto"/>
                            <w:right w:val="none" w:sz="0" w:space="0" w:color="auto"/>
                          </w:divBdr>
                          <w:divsChild>
                            <w:div w:id="200826435">
                              <w:marLeft w:val="0"/>
                              <w:marRight w:val="0"/>
                              <w:marTop w:val="0"/>
                              <w:marBottom w:val="0"/>
                              <w:divBdr>
                                <w:top w:val="none" w:sz="0" w:space="0" w:color="auto"/>
                                <w:left w:val="none" w:sz="0" w:space="0" w:color="auto"/>
                                <w:bottom w:val="none" w:sz="0" w:space="0" w:color="auto"/>
                                <w:right w:val="none" w:sz="0" w:space="0" w:color="auto"/>
                              </w:divBdr>
                              <w:divsChild>
                                <w:div w:id="779375202">
                                  <w:marLeft w:val="0"/>
                                  <w:marRight w:val="0"/>
                                  <w:marTop w:val="0"/>
                                  <w:marBottom w:val="0"/>
                                  <w:divBdr>
                                    <w:top w:val="none" w:sz="0" w:space="0" w:color="auto"/>
                                    <w:left w:val="none" w:sz="0" w:space="0" w:color="auto"/>
                                    <w:bottom w:val="none" w:sz="0" w:space="0" w:color="auto"/>
                                    <w:right w:val="none" w:sz="0" w:space="0" w:color="auto"/>
                                  </w:divBdr>
                                  <w:divsChild>
                                    <w:div w:id="1494025811">
                                      <w:marLeft w:val="0"/>
                                      <w:marRight w:val="0"/>
                                      <w:marTop w:val="0"/>
                                      <w:marBottom w:val="0"/>
                                      <w:divBdr>
                                        <w:top w:val="none" w:sz="0" w:space="0" w:color="auto"/>
                                        <w:left w:val="none" w:sz="0" w:space="0" w:color="auto"/>
                                        <w:bottom w:val="none" w:sz="0" w:space="0" w:color="auto"/>
                                        <w:right w:val="none" w:sz="0" w:space="0" w:color="auto"/>
                                      </w:divBdr>
                                      <w:divsChild>
                                        <w:div w:id="1478573363">
                                          <w:marLeft w:val="0"/>
                                          <w:marRight w:val="0"/>
                                          <w:marTop w:val="0"/>
                                          <w:marBottom w:val="0"/>
                                          <w:divBdr>
                                            <w:top w:val="none" w:sz="0" w:space="0" w:color="auto"/>
                                            <w:left w:val="none" w:sz="0" w:space="0" w:color="auto"/>
                                            <w:bottom w:val="none" w:sz="0" w:space="0" w:color="auto"/>
                                            <w:right w:val="none" w:sz="0" w:space="0" w:color="auto"/>
                                          </w:divBdr>
                                          <w:divsChild>
                                            <w:div w:id="715929456">
                                              <w:marLeft w:val="0"/>
                                              <w:marRight w:val="0"/>
                                              <w:marTop w:val="0"/>
                                              <w:marBottom w:val="0"/>
                                              <w:divBdr>
                                                <w:top w:val="none" w:sz="0" w:space="0" w:color="auto"/>
                                                <w:left w:val="none" w:sz="0" w:space="0" w:color="auto"/>
                                                <w:bottom w:val="none" w:sz="0" w:space="0" w:color="auto"/>
                                                <w:right w:val="none" w:sz="0" w:space="0" w:color="auto"/>
                                              </w:divBdr>
                                              <w:divsChild>
                                                <w:div w:id="316347698">
                                                  <w:marLeft w:val="0"/>
                                                  <w:marRight w:val="0"/>
                                                  <w:marTop w:val="0"/>
                                                  <w:marBottom w:val="0"/>
                                                  <w:divBdr>
                                                    <w:top w:val="none" w:sz="0" w:space="0" w:color="auto"/>
                                                    <w:left w:val="none" w:sz="0" w:space="0" w:color="auto"/>
                                                    <w:bottom w:val="none" w:sz="0" w:space="0" w:color="auto"/>
                                                    <w:right w:val="none" w:sz="0" w:space="0" w:color="auto"/>
                                                  </w:divBdr>
                                                  <w:divsChild>
                                                    <w:div w:id="557326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1739077">
      <w:bodyDiv w:val="1"/>
      <w:marLeft w:val="0"/>
      <w:marRight w:val="0"/>
      <w:marTop w:val="0"/>
      <w:marBottom w:val="0"/>
      <w:divBdr>
        <w:top w:val="none" w:sz="0" w:space="0" w:color="auto"/>
        <w:left w:val="none" w:sz="0" w:space="0" w:color="auto"/>
        <w:bottom w:val="none" w:sz="0" w:space="0" w:color="auto"/>
        <w:right w:val="none" w:sz="0" w:space="0" w:color="auto"/>
      </w:divBdr>
    </w:div>
    <w:div w:id="333992795">
      <w:bodyDiv w:val="1"/>
      <w:marLeft w:val="0"/>
      <w:marRight w:val="0"/>
      <w:marTop w:val="0"/>
      <w:marBottom w:val="0"/>
      <w:divBdr>
        <w:top w:val="none" w:sz="0" w:space="0" w:color="auto"/>
        <w:left w:val="none" w:sz="0" w:space="0" w:color="auto"/>
        <w:bottom w:val="none" w:sz="0" w:space="0" w:color="auto"/>
        <w:right w:val="none" w:sz="0" w:space="0" w:color="auto"/>
      </w:divBdr>
    </w:div>
    <w:div w:id="336159472">
      <w:bodyDiv w:val="1"/>
      <w:marLeft w:val="0"/>
      <w:marRight w:val="0"/>
      <w:marTop w:val="0"/>
      <w:marBottom w:val="0"/>
      <w:divBdr>
        <w:top w:val="none" w:sz="0" w:space="0" w:color="auto"/>
        <w:left w:val="none" w:sz="0" w:space="0" w:color="auto"/>
        <w:bottom w:val="none" w:sz="0" w:space="0" w:color="auto"/>
        <w:right w:val="none" w:sz="0" w:space="0" w:color="auto"/>
      </w:divBdr>
    </w:div>
    <w:div w:id="340938845">
      <w:bodyDiv w:val="1"/>
      <w:marLeft w:val="0"/>
      <w:marRight w:val="0"/>
      <w:marTop w:val="0"/>
      <w:marBottom w:val="0"/>
      <w:divBdr>
        <w:top w:val="none" w:sz="0" w:space="0" w:color="auto"/>
        <w:left w:val="none" w:sz="0" w:space="0" w:color="auto"/>
        <w:bottom w:val="none" w:sz="0" w:space="0" w:color="auto"/>
        <w:right w:val="none" w:sz="0" w:space="0" w:color="auto"/>
      </w:divBdr>
    </w:div>
    <w:div w:id="368728076">
      <w:bodyDiv w:val="1"/>
      <w:marLeft w:val="0"/>
      <w:marRight w:val="0"/>
      <w:marTop w:val="0"/>
      <w:marBottom w:val="0"/>
      <w:divBdr>
        <w:top w:val="none" w:sz="0" w:space="0" w:color="auto"/>
        <w:left w:val="none" w:sz="0" w:space="0" w:color="auto"/>
        <w:bottom w:val="none" w:sz="0" w:space="0" w:color="auto"/>
        <w:right w:val="none" w:sz="0" w:space="0" w:color="auto"/>
      </w:divBdr>
      <w:divsChild>
        <w:div w:id="1285961986">
          <w:marLeft w:val="0"/>
          <w:marRight w:val="0"/>
          <w:marTop w:val="0"/>
          <w:marBottom w:val="0"/>
          <w:divBdr>
            <w:top w:val="none" w:sz="0" w:space="0" w:color="auto"/>
            <w:left w:val="none" w:sz="0" w:space="0" w:color="auto"/>
            <w:bottom w:val="none" w:sz="0" w:space="0" w:color="auto"/>
            <w:right w:val="none" w:sz="0" w:space="0" w:color="auto"/>
          </w:divBdr>
          <w:divsChild>
            <w:div w:id="1510607488">
              <w:marLeft w:val="0"/>
              <w:marRight w:val="0"/>
              <w:marTop w:val="0"/>
              <w:marBottom w:val="0"/>
              <w:divBdr>
                <w:top w:val="none" w:sz="0" w:space="0" w:color="auto"/>
                <w:left w:val="none" w:sz="0" w:space="0" w:color="auto"/>
                <w:bottom w:val="none" w:sz="0" w:space="0" w:color="auto"/>
                <w:right w:val="none" w:sz="0" w:space="0" w:color="auto"/>
              </w:divBdr>
              <w:divsChild>
                <w:div w:id="92752603">
                  <w:marLeft w:val="0"/>
                  <w:marRight w:val="0"/>
                  <w:marTop w:val="0"/>
                  <w:marBottom w:val="0"/>
                  <w:divBdr>
                    <w:top w:val="none" w:sz="0" w:space="0" w:color="auto"/>
                    <w:left w:val="single" w:sz="6" w:space="0" w:color="BBBBBB"/>
                    <w:bottom w:val="none" w:sz="0" w:space="0" w:color="auto"/>
                    <w:right w:val="single" w:sz="6" w:space="0" w:color="BBBBBB"/>
                  </w:divBdr>
                  <w:divsChild>
                    <w:div w:id="1485123110">
                      <w:marLeft w:val="0"/>
                      <w:marRight w:val="0"/>
                      <w:marTop w:val="0"/>
                      <w:marBottom w:val="0"/>
                      <w:divBdr>
                        <w:top w:val="none" w:sz="0" w:space="0" w:color="auto"/>
                        <w:left w:val="none" w:sz="0" w:space="0" w:color="auto"/>
                        <w:bottom w:val="none" w:sz="0" w:space="0" w:color="auto"/>
                        <w:right w:val="none" w:sz="0" w:space="0" w:color="auto"/>
                      </w:divBdr>
                      <w:divsChild>
                        <w:div w:id="1290933091">
                          <w:marLeft w:val="0"/>
                          <w:marRight w:val="0"/>
                          <w:marTop w:val="0"/>
                          <w:marBottom w:val="0"/>
                          <w:divBdr>
                            <w:top w:val="none" w:sz="0" w:space="0" w:color="auto"/>
                            <w:left w:val="none" w:sz="0" w:space="0" w:color="auto"/>
                            <w:bottom w:val="none" w:sz="0" w:space="0" w:color="auto"/>
                            <w:right w:val="none" w:sz="0" w:space="0" w:color="auto"/>
                          </w:divBdr>
                          <w:divsChild>
                            <w:div w:id="1455177554">
                              <w:marLeft w:val="0"/>
                              <w:marRight w:val="0"/>
                              <w:marTop w:val="0"/>
                              <w:marBottom w:val="0"/>
                              <w:divBdr>
                                <w:top w:val="none" w:sz="0" w:space="0" w:color="auto"/>
                                <w:left w:val="none" w:sz="0" w:space="0" w:color="auto"/>
                                <w:bottom w:val="none" w:sz="0" w:space="0" w:color="auto"/>
                                <w:right w:val="none" w:sz="0" w:space="0" w:color="auto"/>
                              </w:divBdr>
                              <w:divsChild>
                                <w:div w:id="950089230">
                                  <w:marLeft w:val="0"/>
                                  <w:marRight w:val="0"/>
                                  <w:marTop w:val="0"/>
                                  <w:marBottom w:val="0"/>
                                  <w:divBdr>
                                    <w:top w:val="none" w:sz="0" w:space="0" w:color="auto"/>
                                    <w:left w:val="none" w:sz="0" w:space="0" w:color="auto"/>
                                    <w:bottom w:val="none" w:sz="0" w:space="0" w:color="auto"/>
                                    <w:right w:val="none" w:sz="0" w:space="0" w:color="auto"/>
                                  </w:divBdr>
                                  <w:divsChild>
                                    <w:div w:id="798182380">
                                      <w:marLeft w:val="0"/>
                                      <w:marRight w:val="0"/>
                                      <w:marTop w:val="0"/>
                                      <w:marBottom w:val="0"/>
                                      <w:divBdr>
                                        <w:top w:val="none" w:sz="0" w:space="0" w:color="auto"/>
                                        <w:left w:val="none" w:sz="0" w:space="0" w:color="auto"/>
                                        <w:bottom w:val="none" w:sz="0" w:space="0" w:color="auto"/>
                                        <w:right w:val="none" w:sz="0" w:space="0" w:color="auto"/>
                                      </w:divBdr>
                                      <w:divsChild>
                                        <w:div w:id="493836309">
                                          <w:marLeft w:val="0"/>
                                          <w:marRight w:val="0"/>
                                          <w:marTop w:val="0"/>
                                          <w:marBottom w:val="0"/>
                                          <w:divBdr>
                                            <w:top w:val="none" w:sz="0" w:space="0" w:color="auto"/>
                                            <w:left w:val="none" w:sz="0" w:space="0" w:color="auto"/>
                                            <w:bottom w:val="none" w:sz="0" w:space="0" w:color="auto"/>
                                            <w:right w:val="none" w:sz="0" w:space="0" w:color="auto"/>
                                          </w:divBdr>
                                          <w:divsChild>
                                            <w:div w:id="1282615436">
                                              <w:marLeft w:val="0"/>
                                              <w:marRight w:val="0"/>
                                              <w:marTop w:val="0"/>
                                              <w:marBottom w:val="0"/>
                                              <w:divBdr>
                                                <w:top w:val="none" w:sz="0" w:space="0" w:color="auto"/>
                                                <w:left w:val="none" w:sz="0" w:space="0" w:color="auto"/>
                                                <w:bottom w:val="none" w:sz="0" w:space="0" w:color="auto"/>
                                                <w:right w:val="none" w:sz="0" w:space="0" w:color="auto"/>
                                              </w:divBdr>
                                              <w:divsChild>
                                                <w:div w:id="2036073064">
                                                  <w:marLeft w:val="0"/>
                                                  <w:marRight w:val="0"/>
                                                  <w:marTop w:val="0"/>
                                                  <w:marBottom w:val="0"/>
                                                  <w:divBdr>
                                                    <w:top w:val="none" w:sz="0" w:space="0" w:color="auto"/>
                                                    <w:left w:val="none" w:sz="0" w:space="0" w:color="auto"/>
                                                    <w:bottom w:val="none" w:sz="0" w:space="0" w:color="auto"/>
                                                    <w:right w:val="none" w:sz="0" w:space="0" w:color="auto"/>
                                                  </w:divBdr>
                                                  <w:divsChild>
                                                    <w:div w:id="2060544668">
                                                      <w:marLeft w:val="0"/>
                                                      <w:marRight w:val="0"/>
                                                      <w:marTop w:val="0"/>
                                                      <w:marBottom w:val="0"/>
                                                      <w:divBdr>
                                                        <w:top w:val="none" w:sz="0" w:space="0" w:color="auto"/>
                                                        <w:left w:val="none" w:sz="0" w:space="0" w:color="auto"/>
                                                        <w:bottom w:val="none" w:sz="0" w:space="0" w:color="auto"/>
                                                        <w:right w:val="none" w:sz="0" w:space="0" w:color="auto"/>
                                                      </w:divBdr>
                                                      <w:divsChild>
                                                        <w:div w:id="202940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4760661">
      <w:bodyDiv w:val="1"/>
      <w:marLeft w:val="0"/>
      <w:marRight w:val="0"/>
      <w:marTop w:val="0"/>
      <w:marBottom w:val="0"/>
      <w:divBdr>
        <w:top w:val="none" w:sz="0" w:space="0" w:color="auto"/>
        <w:left w:val="none" w:sz="0" w:space="0" w:color="auto"/>
        <w:bottom w:val="none" w:sz="0" w:space="0" w:color="auto"/>
        <w:right w:val="none" w:sz="0" w:space="0" w:color="auto"/>
      </w:divBdr>
    </w:div>
    <w:div w:id="411053033">
      <w:bodyDiv w:val="1"/>
      <w:marLeft w:val="0"/>
      <w:marRight w:val="0"/>
      <w:marTop w:val="0"/>
      <w:marBottom w:val="0"/>
      <w:divBdr>
        <w:top w:val="none" w:sz="0" w:space="0" w:color="auto"/>
        <w:left w:val="none" w:sz="0" w:space="0" w:color="auto"/>
        <w:bottom w:val="none" w:sz="0" w:space="0" w:color="auto"/>
        <w:right w:val="none" w:sz="0" w:space="0" w:color="auto"/>
      </w:divBdr>
    </w:div>
    <w:div w:id="417676313">
      <w:bodyDiv w:val="1"/>
      <w:marLeft w:val="0"/>
      <w:marRight w:val="0"/>
      <w:marTop w:val="0"/>
      <w:marBottom w:val="0"/>
      <w:divBdr>
        <w:top w:val="none" w:sz="0" w:space="0" w:color="auto"/>
        <w:left w:val="none" w:sz="0" w:space="0" w:color="auto"/>
        <w:bottom w:val="none" w:sz="0" w:space="0" w:color="auto"/>
        <w:right w:val="none" w:sz="0" w:space="0" w:color="auto"/>
      </w:divBdr>
    </w:div>
    <w:div w:id="418213219">
      <w:bodyDiv w:val="1"/>
      <w:marLeft w:val="0"/>
      <w:marRight w:val="0"/>
      <w:marTop w:val="0"/>
      <w:marBottom w:val="0"/>
      <w:divBdr>
        <w:top w:val="none" w:sz="0" w:space="0" w:color="auto"/>
        <w:left w:val="none" w:sz="0" w:space="0" w:color="auto"/>
        <w:bottom w:val="none" w:sz="0" w:space="0" w:color="auto"/>
        <w:right w:val="none" w:sz="0" w:space="0" w:color="auto"/>
      </w:divBdr>
    </w:div>
    <w:div w:id="428434657">
      <w:bodyDiv w:val="1"/>
      <w:marLeft w:val="0"/>
      <w:marRight w:val="0"/>
      <w:marTop w:val="0"/>
      <w:marBottom w:val="0"/>
      <w:divBdr>
        <w:top w:val="none" w:sz="0" w:space="0" w:color="auto"/>
        <w:left w:val="none" w:sz="0" w:space="0" w:color="auto"/>
        <w:bottom w:val="none" w:sz="0" w:space="0" w:color="auto"/>
        <w:right w:val="none" w:sz="0" w:space="0" w:color="auto"/>
      </w:divBdr>
    </w:div>
    <w:div w:id="433131068">
      <w:bodyDiv w:val="1"/>
      <w:marLeft w:val="0"/>
      <w:marRight w:val="0"/>
      <w:marTop w:val="0"/>
      <w:marBottom w:val="0"/>
      <w:divBdr>
        <w:top w:val="none" w:sz="0" w:space="0" w:color="auto"/>
        <w:left w:val="none" w:sz="0" w:space="0" w:color="auto"/>
        <w:bottom w:val="none" w:sz="0" w:space="0" w:color="auto"/>
        <w:right w:val="none" w:sz="0" w:space="0" w:color="auto"/>
      </w:divBdr>
    </w:div>
    <w:div w:id="438260681">
      <w:bodyDiv w:val="1"/>
      <w:marLeft w:val="0"/>
      <w:marRight w:val="0"/>
      <w:marTop w:val="0"/>
      <w:marBottom w:val="0"/>
      <w:divBdr>
        <w:top w:val="none" w:sz="0" w:space="0" w:color="auto"/>
        <w:left w:val="none" w:sz="0" w:space="0" w:color="auto"/>
        <w:bottom w:val="none" w:sz="0" w:space="0" w:color="auto"/>
        <w:right w:val="none" w:sz="0" w:space="0" w:color="auto"/>
      </w:divBdr>
    </w:div>
    <w:div w:id="454301066">
      <w:bodyDiv w:val="1"/>
      <w:marLeft w:val="0"/>
      <w:marRight w:val="0"/>
      <w:marTop w:val="0"/>
      <w:marBottom w:val="0"/>
      <w:divBdr>
        <w:top w:val="none" w:sz="0" w:space="0" w:color="auto"/>
        <w:left w:val="none" w:sz="0" w:space="0" w:color="auto"/>
        <w:bottom w:val="none" w:sz="0" w:space="0" w:color="auto"/>
        <w:right w:val="none" w:sz="0" w:space="0" w:color="auto"/>
      </w:divBdr>
    </w:div>
    <w:div w:id="466095674">
      <w:bodyDiv w:val="1"/>
      <w:marLeft w:val="0"/>
      <w:marRight w:val="0"/>
      <w:marTop w:val="0"/>
      <w:marBottom w:val="0"/>
      <w:divBdr>
        <w:top w:val="none" w:sz="0" w:space="0" w:color="auto"/>
        <w:left w:val="none" w:sz="0" w:space="0" w:color="auto"/>
        <w:bottom w:val="none" w:sz="0" w:space="0" w:color="auto"/>
        <w:right w:val="none" w:sz="0" w:space="0" w:color="auto"/>
      </w:divBdr>
    </w:div>
    <w:div w:id="478113651">
      <w:bodyDiv w:val="1"/>
      <w:marLeft w:val="0"/>
      <w:marRight w:val="0"/>
      <w:marTop w:val="0"/>
      <w:marBottom w:val="0"/>
      <w:divBdr>
        <w:top w:val="none" w:sz="0" w:space="0" w:color="auto"/>
        <w:left w:val="none" w:sz="0" w:space="0" w:color="auto"/>
        <w:bottom w:val="none" w:sz="0" w:space="0" w:color="auto"/>
        <w:right w:val="none" w:sz="0" w:space="0" w:color="auto"/>
      </w:divBdr>
    </w:div>
    <w:div w:id="508452645">
      <w:bodyDiv w:val="1"/>
      <w:marLeft w:val="0"/>
      <w:marRight w:val="0"/>
      <w:marTop w:val="0"/>
      <w:marBottom w:val="0"/>
      <w:divBdr>
        <w:top w:val="none" w:sz="0" w:space="0" w:color="auto"/>
        <w:left w:val="none" w:sz="0" w:space="0" w:color="auto"/>
        <w:bottom w:val="none" w:sz="0" w:space="0" w:color="auto"/>
        <w:right w:val="none" w:sz="0" w:space="0" w:color="auto"/>
      </w:divBdr>
    </w:div>
    <w:div w:id="522131137">
      <w:bodyDiv w:val="1"/>
      <w:marLeft w:val="0"/>
      <w:marRight w:val="0"/>
      <w:marTop w:val="0"/>
      <w:marBottom w:val="0"/>
      <w:divBdr>
        <w:top w:val="none" w:sz="0" w:space="0" w:color="auto"/>
        <w:left w:val="none" w:sz="0" w:space="0" w:color="auto"/>
        <w:bottom w:val="none" w:sz="0" w:space="0" w:color="auto"/>
        <w:right w:val="none" w:sz="0" w:space="0" w:color="auto"/>
      </w:divBdr>
    </w:div>
    <w:div w:id="560210024">
      <w:bodyDiv w:val="1"/>
      <w:marLeft w:val="0"/>
      <w:marRight w:val="0"/>
      <w:marTop w:val="0"/>
      <w:marBottom w:val="0"/>
      <w:divBdr>
        <w:top w:val="none" w:sz="0" w:space="0" w:color="auto"/>
        <w:left w:val="none" w:sz="0" w:space="0" w:color="auto"/>
        <w:bottom w:val="none" w:sz="0" w:space="0" w:color="auto"/>
        <w:right w:val="none" w:sz="0" w:space="0" w:color="auto"/>
      </w:divBdr>
      <w:divsChild>
        <w:div w:id="1700474100">
          <w:marLeft w:val="0"/>
          <w:marRight w:val="0"/>
          <w:marTop w:val="0"/>
          <w:marBottom w:val="0"/>
          <w:divBdr>
            <w:top w:val="none" w:sz="0" w:space="0" w:color="auto"/>
            <w:left w:val="none" w:sz="0" w:space="0" w:color="auto"/>
            <w:bottom w:val="none" w:sz="0" w:space="0" w:color="auto"/>
            <w:right w:val="none" w:sz="0" w:space="0" w:color="auto"/>
          </w:divBdr>
          <w:divsChild>
            <w:div w:id="993727118">
              <w:marLeft w:val="0"/>
              <w:marRight w:val="0"/>
              <w:marTop w:val="0"/>
              <w:marBottom w:val="0"/>
              <w:divBdr>
                <w:top w:val="none" w:sz="0" w:space="0" w:color="auto"/>
                <w:left w:val="none" w:sz="0" w:space="0" w:color="auto"/>
                <w:bottom w:val="none" w:sz="0" w:space="0" w:color="auto"/>
                <w:right w:val="none" w:sz="0" w:space="0" w:color="auto"/>
              </w:divBdr>
              <w:divsChild>
                <w:div w:id="1926835575">
                  <w:marLeft w:val="0"/>
                  <w:marRight w:val="0"/>
                  <w:marTop w:val="0"/>
                  <w:marBottom w:val="0"/>
                  <w:divBdr>
                    <w:top w:val="none" w:sz="0" w:space="0" w:color="auto"/>
                    <w:left w:val="single" w:sz="6" w:space="0" w:color="BBBBBB"/>
                    <w:bottom w:val="none" w:sz="0" w:space="0" w:color="auto"/>
                    <w:right w:val="single" w:sz="6" w:space="0" w:color="BBBBBB"/>
                  </w:divBdr>
                  <w:divsChild>
                    <w:div w:id="1899828302">
                      <w:marLeft w:val="0"/>
                      <w:marRight w:val="0"/>
                      <w:marTop w:val="0"/>
                      <w:marBottom w:val="0"/>
                      <w:divBdr>
                        <w:top w:val="none" w:sz="0" w:space="0" w:color="auto"/>
                        <w:left w:val="none" w:sz="0" w:space="0" w:color="auto"/>
                        <w:bottom w:val="none" w:sz="0" w:space="0" w:color="auto"/>
                        <w:right w:val="none" w:sz="0" w:space="0" w:color="auto"/>
                      </w:divBdr>
                      <w:divsChild>
                        <w:div w:id="1103649227">
                          <w:marLeft w:val="0"/>
                          <w:marRight w:val="0"/>
                          <w:marTop w:val="0"/>
                          <w:marBottom w:val="0"/>
                          <w:divBdr>
                            <w:top w:val="none" w:sz="0" w:space="0" w:color="auto"/>
                            <w:left w:val="none" w:sz="0" w:space="0" w:color="auto"/>
                            <w:bottom w:val="none" w:sz="0" w:space="0" w:color="auto"/>
                            <w:right w:val="none" w:sz="0" w:space="0" w:color="auto"/>
                          </w:divBdr>
                          <w:divsChild>
                            <w:div w:id="536552812">
                              <w:marLeft w:val="0"/>
                              <w:marRight w:val="0"/>
                              <w:marTop w:val="0"/>
                              <w:marBottom w:val="0"/>
                              <w:divBdr>
                                <w:top w:val="none" w:sz="0" w:space="0" w:color="auto"/>
                                <w:left w:val="none" w:sz="0" w:space="0" w:color="auto"/>
                                <w:bottom w:val="none" w:sz="0" w:space="0" w:color="auto"/>
                                <w:right w:val="none" w:sz="0" w:space="0" w:color="auto"/>
                              </w:divBdr>
                              <w:divsChild>
                                <w:div w:id="1214121158">
                                  <w:marLeft w:val="0"/>
                                  <w:marRight w:val="0"/>
                                  <w:marTop w:val="0"/>
                                  <w:marBottom w:val="0"/>
                                  <w:divBdr>
                                    <w:top w:val="none" w:sz="0" w:space="0" w:color="auto"/>
                                    <w:left w:val="none" w:sz="0" w:space="0" w:color="auto"/>
                                    <w:bottom w:val="none" w:sz="0" w:space="0" w:color="auto"/>
                                    <w:right w:val="none" w:sz="0" w:space="0" w:color="auto"/>
                                  </w:divBdr>
                                  <w:divsChild>
                                    <w:div w:id="497963833">
                                      <w:marLeft w:val="0"/>
                                      <w:marRight w:val="0"/>
                                      <w:marTop w:val="0"/>
                                      <w:marBottom w:val="0"/>
                                      <w:divBdr>
                                        <w:top w:val="none" w:sz="0" w:space="0" w:color="auto"/>
                                        <w:left w:val="none" w:sz="0" w:space="0" w:color="auto"/>
                                        <w:bottom w:val="none" w:sz="0" w:space="0" w:color="auto"/>
                                        <w:right w:val="none" w:sz="0" w:space="0" w:color="auto"/>
                                      </w:divBdr>
                                      <w:divsChild>
                                        <w:div w:id="1341617828">
                                          <w:marLeft w:val="0"/>
                                          <w:marRight w:val="0"/>
                                          <w:marTop w:val="0"/>
                                          <w:marBottom w:val="0"/>
                                          <w:divBdr>
                                            <w:top w:val="none" w:sz="0" w:space="0" w:color="auto"/>
                                            <w:left w:val="none" w:sz="0" w:space="0" w:color="auto"/>
                                            <w:bottom w:val="none" w:sz="0" w:space="0" w:color="auto"/>
                                            <w:right w:val="none" w:sz="0" w:space="0" w:color="auto"/>
                                          </w:divBdr>
                                          <w:divsChild>
                                            <w:div w:id="1700664884">
                                              <w:marLeft w:val="0"/>
                                              <w:marRight w:val="0"/>
                                              <w:marTop w:val="0"/>
                                              <w:marBottom w:val="0"/>
                                              <w:divBdr>
                                                <w:top w:val="none" w:sz="0" w:space="0" w:color="auto"/>
                                                <w:left w:val="none" w:sz="0" w:space="0" w:color="auto"/>
                                                <w:bottom w:val="none" w:sz="0" w:space="0" w:color="auto"/>
                                                <w:right w:val="none" w:sz="0" w:space="0" w:color="auto"/>
                                              </w:divBdr>
                                              <w:divsChild>
                                                <w:div w:id="1598755670">
                                                  <w:marLeft w:val="0"/>
                                                  <w:marRight w:val="0"/>
                                                  <w:marTop w:val="0"/>
                                                  <w:marBottom w:val="0"/>
                                                  <w:divBdr>
                                                    <w:top w:val="none" w:sz="0" w:space="0" w:color="auto"/>
                                                    <w:left w:val="none" w:sz="0" w:space="0" w:color="auto"/>
                                                    <w:bottom w:val="none" w:sz="0" w:space="0" w:color="auto"/>
                                                    <w:right w:val="none" w:sz="0" w:space="0" w:color="auto"/>
                                                  </w:divBdr>
                                                  <w:divsChild>
                                                    <w:div w:id="1108306183">
                                                      <w:marLeft w:val="0"/>
                                                      <w:marRight w:val="0"/>
                                                      <w:marTop w:val="0"/>
                                                      <w:marBottom w:val="0"/>
                                                      <w:divBdr>
                                                        <w:top w:val="none" w:sz="0" w:space="0" w:color="auto"/>
                                                        <w:left w:val="none" w:sz="0" w:space="0" w:color="auto"/>
                                                        <w:bottom w:val="none" w:sz="0" w:space="0" w:color="auto"/>
                                                        <w:right w:val="none" w:sz="0" w:space="0" w:color="auto"/>
                                                      </w:divBdr>
                                                      <w:divsChild>
                                                        <w:div w:id="1221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419075">
      <w:bodyDiv w:val="1"/>
      <w:marLeft w:val="0"/>
      <w:marRight w:val="0"/>
      <w:marTop w:val="0"/>
      <w:marBottom w:val="0"/>
      <w:divBdr>
        <w:top w:val="none" w:sz="0" w:space="0" w:color="auto"/>
        <w:left w:val="none" w:sz="0" w:space="0" w:color="auto"/>
        <w:bottom w:val="none" w:sz="0" w:space="0" w:color="auto"/>
        <w:right w:val="none" w:sz="0" w:space="0" w:color="auto"/>
      </w:divBdr>
    </w:div>
    <w:div w:id="570969467">
      <w:bodyDiv w:val="1"/>
      <w:marLeft w:val="0"/>
      <w:marRight w:val="0"/>
      <w:marTop w:val="0"/>
      <w:marBottom w:val="0"/>
      <w:divBdr>
        <w:top w:val="none" w:sz="0" w:space="0" w:color="auto"/>
        <w:left w:val="none" w:sz="0" w:space="0" w:color="auto"/>
        <w:bottom w:val="none" w:sz="0" w:space="0" w:color="auto"/>
        <w:right w:val="none" w:sz="0" w:space="0" w:color="auto"/>
      </w:divBdr>
    </w:div>
    <w:div w:id="574705394">
      <w:bodyDiv w:val="1"/>
      <w:marLeft w:val="0"/>
      <w:marRight w:val="0"/>
      <w:marTop w:val="0"/>
      <w:marBottom w:val="0"/>
      <w:divBdr>
        <w:top w:val="none" w:sz="0" w:space="0" w:color="auto"/>
        <w:left w:val="none" w:sz="0" w:space="0" w:color="auto"/>
        <w:bottom w:val="none" w:sz="0" w:space="0" w:color="auto"/>
        <w:right w:val="none" w:sz="0" w:space="0" w:color="auto"/>
      </w:divBdr>
      <w:divsChild>
        <w:div w:id="1324745789">
          <w:marLeft w:val="0"/>
          <w:marRight w:val="0"/>
          <w:marTop w:val="0"/>
          <w:marBottom w:val="0"/>
          <w:divBdr>
            <w:top w:val="none" w:sz="0" w:space="0" w:color="auto"/>
            <w:left w:val="none" w:sz="0" w:space="0" w:color="auto"/>
            <w:bottom w:val="none" w:sz="0" w:space="0" w:color="auto"/>
            <w:right w:val="none" w:sz="0" w:space="0" w:color="auto"/>
          </w:divBdr>
          <w:divsChild>
            <w:div w:id="1232811481">
              <w:marLeft w:val="0"/>
              <w:marRight w:val="0"/>
              <w:marTop w:val="0"/>
              <w:marBottom w:val="0"/>
              <w:divBdr>
                <w:top w:val="none" w:sz="0" w:space="0" w:color="auto"/>
                <w:left w:val="none" w:sz="0" w:space="0" w:color="auto"/>
                <w:bottom w:val="none" w:sz="0" w:space="0" w:color="auto"/>
                <w:right w:val="none" w:sz="0" w:space="0" w:color="auto"/>
              </w:divBdr>
              <w:divsChild>
                <w:div w:id="703336281">
                  <w:marLeft w:val="0"/>
                  <w:marRight w:val="0"/>
                  <w:marTop w:val="0"/>
                  <w:marBottom w:val="0"/>
                  <w:divBdr>
                    <w:top w:val="none" w:sz="0" w:space="0" w:color="auto"/>
                    <w:left w:val="none" w:sz="0" w:space="0" w:color="auto"/>
                    <w:bottom w:val="none" w:sz="0" w:space="0" w:color="auto"/>
                    <w:right w:val="none" w:sz="0" w:space="0" w:color="auto"/>
                  </w:divBdr>
                  <w:divsChild>
                    <w:div w:id="203522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985119">
      <w:bodyDiv w:val="1"/>
      <w:marLeft w:val="0"/>
      <w:marRight w:val="0"/>
      <w:marTop w:val="0"/>
      <w:marBottom w:val="0"/>
      <w:divBdr>
        <w:top w:val="none" w:sz="0" w:space="0" w:color="auto"/>
        <w:left w:val="none" w:sz="0" w:space="0" w:color="auto"/>
        <w:bottom w:val="none" w:sz="0" w:space="0" w:color="auto"/>
        <w:right w:val="none" w:sz="0" w:space="0" w:color="auto"/>
      </w:divBdr>
    </w:div>
    <w:div w:id="581062815">
      <w:bodyDiv w:val="1"/>
      <w:marLeft w:val="0"/>
      <w:marRight w:val="0"/>
      <w:marTop w:val="0"/>
      <w:marBottom w:val="0"/>
      <w:divBdr>
        <w:top w:val="none" w:sz="0" w:space="0" w:color="auto"/>
        <w:left w:val="none" w:sz="0" w:space="0" w:color="auto"/>
        <w:bottom w:val="none" w:sz="0" w:space="0" w:color="auto"/>
        <w:right w:val="none" w:sz="0" w:space="0" w:color="auto"/>
      </w:divBdr>
    </w:div>
    <w:div w:id="637687206">
      <w:bodyDiv w:val="1"/>
      <w:marLeft w:val="0"/>
      <w:marRight w:val="0"/>
      <w:marTop w:val="0"/>
      <w:marBottom w:val="0"/>
      <w:divBdr>
        <w:top w:val="none" w:sz="0" w:space="0" w:color="auto"/>
        <w:left w:val="none" w:sz="0" w:space="0" w:color="auto"/>
        <w:bottom w:val="none" w:sz="0" w:space="0" w:color="auto"/>
        <w:right w:val="none" w:sz="0" w:space="0" w:color="auto"/>
      </w:divBdr>
    </w:div>
    <w:div w:id="663436785">
      <w:bodyDiv w:val="1"/>
      <w:marLeft w:val="0"/>
      <w:marRight w:val="0"/>
      <w:marTop w:val="0"/>
      <w:marBottom w:val="0"/>
      <w:divBdr>
        <w:top w:val="none" w:sz="0" w:space="0" w:color="auto"/>
        <w:left w:val="none" w:sz="0" w:space="0" w:color="auto"/>
        <w:bottom w:val="none" w:sz="0" w:space="0" w:color="auto"/>
        <w:right w:val="none" w:sz="0" w:space="0" w:color="auto"/>
      </w:divBdr>
    </w:div>
    <w:div w:id="673187534">
      <w:bodyDiv w:val="1"/>
      <w:marLeft w:val="0"/>
      <w:marRight w:val="0"/>
      <w:marTop w:val="0"/>
      <w:marBottom w:val="0"/>
      <w:divBdr>
        <w:top w:val="none" w:sz="0" w:space="0" w:color="auto"/>
        <w:left w:val="none" w:sz="0" w:space="0" w:color="auto"/>
        <w:bottom w:val="none" w:sz="0" w:space="0" w:color="auto"/>
        <w:right w:val="none" w:sz="0" w:space="0" w:color="auto"/>
      </w:divBdr>
    </w:div>
    <w:div w:id="703166401">
      <w:bodyDiv w:val="1"/>
      <w:marLeft w:val="0"/>
      <w:marRight w:val="0"/>
      <w:marTop w:val="0"/>
      <w:marBottom w:val="0"/>
      <w:divBdr>
        <w:top w:val="none" w:sz="0" w:space="0" w:color="auto"/>
        <w:left w:val="none" w:sz="0" w:space="0" w:color="auto"/>
        <w:bottom w:val="none" w:sz="0" w:space="0" w:color="auto"/>
        <w:right w:val="none" w:sz="0" w:space="0" w:color="auto"/>
      </w:divBdr>
    </w:div>
    <w:div w:id="729108774">
      <w:bodyDiv w:val="1"/>
      <w:marLeft w:val="0"/>
      <w:marRight w:val="0"/>
      <w:marTop w:val="0"/>
      <w:marBottom w:val="0"/>
      <w:divBdr>
        <w:top w:val="none" w:sz="0" w:space="0" w:color="auto"/>
        <w:left w:val="none" w:sz="0" w:space="0" w:color="auto"/>
        <w:bottom w:val="none" w:sz="0" w:space="0" w:color="auto"/>
        <w:right w:val="none" w:sz="0" w:space="0" w:color="auto"/>
      </w:divBdr>
    </w:div>
    <w:div w:id="754589972">
      <w:bodyDiv w:val="1"/>
      <w:marLeft w:val="0"/>
      <w:marRight w:val="0"/>
      <w:marTop w:val="0"/>
      <w:marBottom w:val="0"/>
      <w:divBdr>
        <w:top w:val="none" w:sz="0" w:space="0" w:color="auto"/>
        <w:left w:val="none" w:sz="0" w:space="0" w:color="auto"/>
        <w:bottom w:val="none" w:sz="0" w:space="0" w:color="auto"/>
        <w:right w:val="none" w:sz="0" w:space="0" w:color="auto"/>
      </w:divBdr>
    </w:div>
    <w:div w:id="797914419">
      <w:bodyDiv w:val="1"/>
      <w:marLeft w:val="0"/>
      <w:marRight w:val="0"/>
      <w:marTop w:val="0"/>
      <w:marBottom w:val="0"/>
      <w:divBdr>
        <w:top w:val="none" w:sz="0" w:space="0" w:color="auto"/>
        <w:left w:val="none" w:sz="0" w:space="0" w:color="auto"/>
        <w:bottom w:val="none" w:sz="0" w:space="0" w:color="auto"/>
        <w:right w:val="none" w:sz="0" w:space="0" w:color="auto"/>
      </w:divBdr>
    </w:div>
    <w:div w:id="804085300">
      <w:bodyDiv w:val="1"/>
      <w:marLeft w:val="0"/>
      <w:marRight w:val="0"/>
      <w:marTop w:val="0"/>
      <w:marBottom w:val="0"/>
      <w:divBdr>
        <w:top w:val="none" w:sz="0" w:space="0" w:color="auto"/>
        <w:left w:val="none" w:sz="0" w:space="0" w:color="auto"/>
        <w:bottom w:val="none" w:sz="0" w:space="0" w:color="auto"/>
        <w:right w:val="none" w:sz="0" w:space="0" w:color="auto"/>
      </w:divBdr>
    </w:div>
    <w:div w:id="810555700">
      <w:bodyDiv w:val="1"/>
      <w:marLeft w:val="0"/>
      <w:marRight w:val="0"/>
      <w:marTop w:val="0"/>
      <w:marBottom w:val="0"/>
      <w:divBdr>
        <w:top w:val="none" w:sz="0" w:space="0" w:color="auto"/>
        <w:left w:val="none" w:sz="0" w:space="0" w:color="auto"/>
        <w:bottom w:val="none" w:sz="0" w:space="0" w:color="auto"/>
        <w:right w:val="none" w:sz="0" w:space="0" w:color="auto"/>
      </w:divBdr>
    </w:div>
    <w:div w:id="822164258">
      <w:bodyDiv w:val="1"/>
      <w:marLeft w:val="0"/>
      <w:marRight w:val="0"/>
      <w:marTop w:val="0"/>
      <w:marBottom w:val="0"/>
      <w:divBdr>
        <w:top w:val="none" w:sz="0" w:space="0" w:color="auto"/>
        <w:left w:val="none" w:sz="0" w:space="0" w:color="auto"/>
        <w:bottom w:val="none" w:sz="0" w:space="0" w:color="auto"/>
        <w:right w:val="none" w:sz="0" w:space="0" w:color="auto"/>
      </w:divBdr>
    </w:div>
    <w:div w:id="826475158">
      <w:bodyDiv w:val="1"/>
      <w:marLeft w:val="0"/>
      <w:marRight w:val="0"/>
      <w:marTop w:val="0"/>
      <w:marBottom w:val="0"/>
      <w:divBdr>
        <w:top w:val="none" w:sz="0" w:space="0" w:color="auto"/>
        <w:left w:val="none" w:sz="0" w:space="0" w:color="auto"/>
        <w:bottom w:val="none" w:sz="0" w:space="0" w:color="auto"/>
        <w:right w:val="none" w:sz="0" w:space="0" w:color="auto"/>
      </w:divBdr>
    </w:div>
    <w:div w:id="828134529">
      <w:bodyDiv w:val="1"/>
      <w:marLeft w:val="0"/>
      <w:marRight w:val="0"/>
      <w:marTop w:val="0"/>
      <w:marBottom w:val="0"/>
      <w:divBdr>
        <w:top w:val="none" w:sz="0" w:space="0" w:color="auto"/>
        <w:left w:val="none" w:sz="0" w:space="0" w:color="auto"/>
        <w:bottom w:val="none" w:sz="0" w:space="0" w:color="auto"/>
        <w:right w:val="none" w:sz="0" w:space="0" w:color="auto"/>
      </w:divBdr>
    </w:div>
    <w:div w:id="841509912">
      <w:bodyDiv w:val="1"/>
      <w:marLeft w:val="0"/>
      <w:marRight w:val="0"/>
      <w:marTop w:val="0"/>
      <w:marBottom w:val="0"/>
      <w:divBdr>
        <w:top w:val="none" w:sz="0" w:space="0" w:color="auto"/>
        <w:left w:val="none" w:sz="0" w:space="0" w:color="auto"/>
        <w:bottom w:val="none" w:sz="0" w:space="0" w:color="auto"/>
        <w:right w:val="none" w:sz="0" w:space="0" w:color="auto"/>
      </w:divBdr>
    </w:div>
    <w:div w:id="844440698">
      <w:bodyDiv w:val="1"/>
      <w:marLeft w:val="0"/>
      <w:marRight w:val="0"/>
      <w:marTop w:val="0"/>
      <w:marBottom w:val="0"/>
      <w:divBdr>
        <w:top w:val="none" w:sz="0" w:space="0" w:color="auto"/>
        <w:left w:val="none" w:sz="0" w:space="0" w:color="auto"/>
        <w:bottom w:val="none" w:sz="0" w:space="0" w:color="auto"/>
        <w:right w:val="none" w:sz="0" w:space="0" w:color="auto"/>
      </w:divBdr>
      <w:divsChild>
        <w:div w:id="2001738345">
          <w:marLeft w:val="0"/>
          <w:marRight w:val="0"/>
          <w:marTop w:val="0"/>
          <w:marBottom w:val="0"/>
          <w:divBdr>
            <w:top w:val="none" w:sz="0" w:space="0" w:color="auto"/>
            <w:left w:val="none" w:sz="0" w:space="0" w:color="auto"/>
            <w:bottom w:val="none" w:sz="0" w:space="0" w:color="auto"/>
            <w:right w:val="none" w:sz="0" w:space="0" w:color="auto"/>
          </w:divBdr>
          <w:divsChild>
            <w:div w:id="1811239855">
              <w:marLeft w:val="0"/>
              <w:marRight w:val="0"/>
              <w:marTop w:val="0"/>
              <w:marBottom w:val="0"/>
              <w:divBdr>
                <w:top w:val="none" w:sz="0" w:space="0" w:color="auto"/>
                <w:left w:val="none" w:sz="0" w:space="0" w:color="auto"/>
                <w:bottom w:val="none" w:sz="0" w:space="0" w:color="auto"/>
                <w:right w:val="none" w:sz="0" w:space="0" w:color="auto"/>
              </w:divBdr>
              <w:divsChild>
                <w:div w:id="809444888">
                  <w:marLeft w:val="0"/>
                  <w:marRight w:val="0"/>
                  <w:marTop w:val="0"/>
                  <w:marBottom w:val="0"/>
                  <w:divBdr>
                    <w:top w:val="none" w:sz="0" w:space="0" w:color="auto"/>
                    <w:left w:val="none" w:sz="0" w:space="0" w:color="auto"/>
                    <w:bottom w:val="none" w:sz="0" w:space="0" w:color="auto"/>
                    <w:right w:val="none" w:sz="0" w:space="0" w:color="auto"/>
                  </w:divBdr>
                  <w:divsChild>
                    <w:div w:id="1720938912">
                      <w:marLeft w:val="0"/>
                      <w:marRight w:val="0"/>
                      <w:marTop w:val="0"/>
                      <w:marBottom w:val="0"/>
                      <w:divBdr>
                        <w:top w:val="none" w:sz="0" w:space="0" w:color="auto"/>
                        <w:left w:val="none" w:sz="0" w:space="0" w:color="auto"/>
                        <w:bottom w:val="none" w:sz="0" w:space="0" w:color="auto"/>
                        <w:right w:val="none" w:sz="0" w:space="0" w:color="auto"/>
                      </w:divBdr>
                      <w:divsChild>
                        <w:div w:id="209651606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079022">
      <w:bodyDiv w:val="1"/>
      <w:marLeft w:val="0"/>
      <w:marRight w:val="0"/>
      <w:marTop w:val="0"/>
      <w:marBottom w:val="0"/>
      <w:divBdr>
        <w:top w:val="none" w:sz="0" w:space="0" w:color="auto"/>
        <w:left w:val="none" w:sz="0" w:space="0" w:color="auto"/>
        <w:bottom w:val="none" w:sz="0" w:space="0" w:color="auto"/>
        <w:right w:val="none" w:sz="0" w:space="0" w:color="auto"/>
      </w:divBdr>
    </w:div>
    <w:div w:id="874083128">
      <w:bodyDiv w:val="1"/>
      <w:marLeft w:val="0"/>
      <w:marRight w:val="0"/>
      <w:marTop w:val="0"/>
      <w:marBottom w:val="0"/>
      <w:divBdr>
        <w:top w:val="none" w:sz="0" w:space="0" w:color="auto"/>
        <w:left w:val="none" w:sz="0" w:space="0" w:color="auto"/>
        <w:bottom w:val="none" w:sz="0" w:space="0" w:color="auto"/>
        <w:right w:val="none" w:sz="0" w:space="0" w:color="auto"/>
      </w:divBdr>
    </w:div>
    <w:div w:id="919365810">
      <w:bodyDiv w:val="1"/>
      <w:marLeft w:val="0"/>
      <w:marRight w:val="0"/>
      <w:marTop w:val="0"/>
      <w:marBottom w:val="0"/>
      <w:divBdr>
        <w:top w:val="none" w:sz="0" w:space="0" w:color="auto"/>
        <w:left w:val="none" w:sz="0" w:space="0" w:color="auto"/>
        <w:bottom w:val="none" w:sz="0" w:space="0" w:color="auto"/>
        <w:right w:val="none" w:sz="0" w:space="0" w:color="auto"/>
      </w:divBdr>
    </w:div>
    <w:div w:id="924148428">
      <w:bodyDiv w:val="1"/>
      <w:marLeft w:val="0"/>
      <w:marRight w:val="0"/>
      <w:marTop w:val="0"/>
      <w:marBottom w:val="0"/>
      <w:divBdr>
        <w:top w:val="none" w:sz="0" w:space="0" w:color="auto"/>
        <w:left w:val="none" w:sz="0" w:space="0" w:color="auto"/>
        <w:bottom w:val="none" w:sz="0" w:space="0" w:color="auto"/>
        <w:right w:val="none" w:sz="0" w:space="0" w:color="auto"/>
      </w:divBdr>
    </w:div>
    <w:div w:id="928464285">
      <w:bodyDiv w:val="1"/>
      <w:marLeft w:val="0"/>
      <w:marRight w:val="0"/>
      <w:marTop w:val="0"/>
      <w:marBottom w:val="0"/>
      <w:divBdr>
        <w:top w:val="none" w:sz="0" w:space="0" w:color="auto"/>
        <w:left w:val="none" w:sz="0" w:space="0" w:color="auto"/>
        <w:bottom w:val="none" w:sz="0" w:space="0" w:color="auto"/>
        <w:right w:val="none" w:sz="0" w:space="0" w:color="auto"/>
      </w:divBdr>
    </w:div>
    <w:div w:id="931858249">
      <w:bodyDiv w:val="1"/>
      <w:marLeft w:val="0"/>
      <w:marRight w:val="0"/>
      <w:marTop w:val="0"/>
      <w:marBottom w:val="0"/>
      <w:divBdr>
        <w:top w:val="none" w:sz="0" w:space="0" w:color="auto"/>
        <w:left w:val="none" w:sz="0" w:space="0" w:color="auto"/>
        <w:bottom w:val="none" w:sz="0" w:space="0" w:color="auto"/>
        <w:right w:val="none" w:sz="0" w:space="0" w:color="auto"/>
      </w:divBdr>
    </w:div>
    <w:div w:id="935283624">
      <w:bodyDiv w:val="1"/>
      <w:marLeft w:val="0"/>
      <w:marRight w:val="0"/>
      <w:marTop w:val="0"/>
      <w:marBottom w:val="0"/>
      <w:divBdr>
        <w:top w:val="none" w:sz="0" w:space="0" w:color="auto"/>
        <w:left w:val="none" w:sz="0" w:space="0" w:color="auto"/>
        <w:bottom w:val="none" w:sz="0" w:space="0" w:color="auto"/>
        <w:right w:val="none" w:sz="0" w:space="0" w:color="auto"/>
      </w:divBdr>
    </w:div>
    <w:div w:id="938562335">
      <w:bodyDiv w:val="1"/>
      <w:marLeft w:val="0"/>
      <w:marRight w:val="0"/>
      <w:marTop w:val="0"/>
      <w:marBottom w:val="0"/>
      <w:divBdr>
        <w:top w:val="none" w:sz="0" w:space="0" w:color="auto"/>
        <w:left w:val="none" w:sz="0" w:space="0" w:color="auto"/>
        <w:bottom w:val="none" w:sz="0" w:space="0" w:color="auto"/>
        <w:right w:val="none" w:sz="0" w:space="0" w:color="auto"/>
      </w:divBdr>
    </w:div>
    <w:div w:id="946693594">
      <w:bodyDiv w:val="1"/>
      <w:marLeft w:val="0"/>
      <w:marRight w:val="0"/>
      <w:marTop w:val="0"/>
      <w:marBottom w:val="0"/>
      <w:divBdr>
        <w:top w:val="none" w:sz="0" w:space="0" w:color="auto"/>
        <w:left w:val="none" w:sz="0" w:space="0" w:color="auto"/>
        <w:bottom w:val="none" w:sz="0" w:space="0" w:color="auto"/>
        <w:right w:val="none" w:sz="0" w:space="0" w:color="auto"/>
      </w:divBdr>
    </w:div>
    <w:div w:id="974525107">
      <w:bodyDiv w:val="1"/>
      <w:marLeft w:val="0"/>
      <w:marRight w:val="0"/>
      <w:marTop w:val="0"/>
      <w:marBottom w:val="0"/>
      <w:divBdr>
        <w:top w:val="none" w:sz="0" w:space="0" w:color="auto"/>
        <w:left w:val="none" w:sz="0" w:space="0" w:color="auto"/>
        <w:bottom w:val="none" w:sz="0" w:space="0" w:color="auto"/>
        <w:right w:val="none" w:sz="0" w:space="0" w:color="auto"/>
      </w:divBdr>
    </w:div>
    <w:div w:id="982999615">
      <w:bodyDiv w:val="1"/>
      <w:marLeft w:val="0"/>
      <w:marRight w:val="0"/>
      <w:marTop w:val="0"/>
      <w:marBottom w:val="0"/>
      <w:divBdr>
        <w:top w:val="none" w:sz="0" w:space="0" w:color="auto"/>
        <w:left w:val="none" w:sz="0" w:space="0" w:color="auto"/>
        <w:bottom w:val="none" w:sz="0" w:space="0" w:color="auto"/>
        <w:right w:val="none" w:sz="0" w:space="0" w:color="auto"/>
      </w:divBdr>
    </w:div>
    <w:div w:id="1013871958">
      <w:bodyDiv w:val="1"/>
      <w:marLeft w:val="0"/>
      <w:marRight w:val="0"/>
      <w:marTop w:val="0"/>
      <w:marBottom w:val="0"/>
      <w:divBdr>
        <w:top w:val="none" w:sz="0" w:space="0" w:color="auto"/>
        <w:left w:val="none" w:sz="0" w:space="0" w:color="auto"/>
        <w:bottom w:val="none" w:sz="0" w:space="0" w:color="auto"/>
        <w:right w:val="none" w:sz="0" w:space="0" w:color="auto"/>
      </w:divBdr>
    </w:div>
    <w:div w:id="1040279235">
      <w:bodyDiv w:val="1"/>
      <w:marLeft w:val="0"/>
      <w:marRight w:val="0"/>
      <w:marTop w:val="0"/>
      <w:marBottom w:val="0"/>
      <w:divBdr>
        <w:top w:val="none" w:sz="0" w:space="0" w:color="auto"/>
        <w:left w:val="none" w:sz="0" w:space="0" w:color="auto"/>
        <w:bottom w:val="none" w:sz="0" w:space="0" w:color="auto"/>
        <w:right w:val="none" w:sz="0" w:space="0" w:color="auto"/>
      </w:divBdr>
    </w:div>
    <w:div w:id="1041056650">
      <w:bodyDiv w:val="1"/>
      <w:marLeft w:val="0"/>
      <w:marRight w:val="0"/>
      <w:marTop w:val="0"/>
      <w:marBottom w:val="0"/>
      <w:divBdr>
        <w:top w:val="none" w:sz="0" w:space="0" w:color="auto"/>
        <w:left w:val="none" w:sz="0" w:space="0" w:color="auto"/>
        <w:bottom w:val="none" w:sz="0" w:space="0" w:color="auto"/>
        <w:right w:val="none" w:sz="0" w:space="0" w:color="auto"/>
      </w:divBdr>
    </w:div>
    <w:div w:id="1043407275">
      <w:bodyDiv w:val="1"/>
      <w:marLeft w:val="0"/>
      <w:marRight w:val="0"/>
      <w:marTop w:val="0"/>
      <w:marBottom w:val="0"/>
      <w:divBdr>
        <w:top w:val="none" w:sz="0" w:space="0" w:color="auto"/>
        <w:left w:val="none" w:sz="0" w:space="0" w:color="auto"/>
        <w:bottom w:val="none" w:sz="0" w:space="0" w:color="auto"/>
        <w:right w:val="none" w:sz="0" w:space="0" w:color="auto"/>
      </w:divBdr>
    </w:div>
    <w:div w:id="1046762426">
      <w:bodyDiv w:val="1"/>
      <w:marLeft w:val="0"/>
      <w:marRight w:val="0"/>
      <w:marTop w:val="0"/>
      <w:marBottom w:val="0"/>
      <w:divBdr>
        <w:top w:val="none" w:sz="0" w:space="0" w:color="auto"/>
        <w:left w:val="none" w:sz="0" w:space="0" w:color="auto"/>
        <w:bottom w:val="none" w:sz="0" w:space="0" w:color="auto"/>
        <w:right w:val="none" w:sz="0" w:space="0" w:color="auto"/>
      </w:divBdr>
    </w:div>
    <w:div w:id="1077363989">
      <w:bodyDiv w:val="1"/>
      <w:marLeft w:val="0"/>
      <w:marRight w:val="0"/>
      <w:marTop w:val="0"/>
      <w:marBottom w:val="0"/>
      <w:divBdr>
        <w:top w:val="none" w:sz="0" w:space="0" w:color="auto"/>
        <w:left w:val="none" w:sz="0" w:space="0" w:color="auto"/>
        <w:bottom w:val="none" w:sz="0" w:space="0" w:color="auto"/>
        <w:right w:val="none" w:sz="0" w:space="0" w:color="auto"/>
      </w:divBdr>
    </w:div>
    <w:div w:id="1099907340">
      <w:bodyDiv w:val="1"/>
      <w:marLeft w:val="0"/>
      <w:marRight w:val="0"/>
      <w:marTop w:val="0"/>
      <w:marBottom w:val="0"/>
      <w:divBdr>
        <w:top w:val="none" w:sz="0" w:space="0" w:color="auto"/>
        <w:left w:val="none" w:sz="0" w:space="0" w:color="auto"/>
        <w:bottom w:val="none" w:sz="0" w:space="0" w:color="auto"/>
        <w:right w:val="none" w:sz="0" w:space="0" w:color="auto"/>
      </w:divBdr>
    </w:div>
    <w:div w:id="1102804602">
      <w:bodyDiv w:val="1"/>
      <w:marLeft w:val="0"/>
      <w:marRight w:val="0"/>
      <w:marTop w:val="0"/>
      <w:marBottom w:val="0"/>
      <w:divBdr>
        <w:top w:val="none" w:sz="0" w:space="0" w:color="auto"/>
        <w:left w:val="none" w:sz="0" w:space="0" w:color="auto"/>
        <w:bottom w:val="none" w:sz="0" w:space="0" w:color="auto"/>
        <w:right w:val="none" w:sz="0" w:space="0" w:color="auto"/>
      </w:divBdr>
    </w:div>
    <w:div w:id="1154879430">
      <w:bodyDiv w:val="1"/>
      <w:marLeft w:val="0"/>
      <w:marRight w:val="0"/>
      <w:marTop w:val="0"/>
      <w:marBottom w:val="0"/>
      <w:divBdr>
        <w:top w:val="none" w:sz="0" w:space="0" w:color="auto"/>
        <w:left w:val="none" w:sz="0" w:space="0" w:color="auto"/>
        <w:bottom w:val="none" w:sz="0" w:space="0" w:color="auto"/>
        <w:right w:val="none" w:sz="0" w:space="0" w:color="auto"/>
      </w:divBdr>
    </w:div>
    <w:div w:id="1168718254">
      <w:bodyDiv w:val="1"/>
      <w:marLeft w:val="0"/>
      <w:marRight w:val="0"/>
      <w:marTop w:val="0"/>
      <w:marBottom w:val="0"/>
      <w:divBdr>
        <w:top w:val="none" w:sz="0" w:space="0" w:color="auto"/>
        <w:left w:val="none" w:sz="0" w:space="0" w:color="auto"/>
        <w:bottom w:val="none" w:sz="0" w:space="0" w:color="auto"/>
        <w:right w:val="none" w:sz="0" w:space="0" w:color="auto"/>
      </w:divBdr>
    </w:div>
    <w:div w:id="1184518971">
      <w:bodyDiv w:val="1"/>
      <w:marLeft w:val="0"/>
      <w:marRight w:val="0"/>
      <w:marTop w:val="0"/>
      <w:marBottom w:val="0"/>
      <w:divBdr>
        <w:top w:val="none" w:sz="0" w:space="0" w:color="auto"/>
        <w:left w:val="none" w:sz="0" w:space="0" w:color="auto"/>
        <w:bottom w:val="none" w:sz="0" w:space="0" w:color="auto"/>
        <w:right w:val="none" w:sz="0" w:space="0" w:color="auto"/>
      </w:divBdr>
    </w:div>
    <w:div w:id="1193692130">
      <w:bodyDiv w:val="1"/>
      <w:marLeft w:val="0"/>
      <w:marRight w:val="0"/>
      <w:marTop w:val="0"/>
      <w:marBottom w:val="0"/>
      <w:divBdr>
        <w:top w:val="none" w:sz="0" w:space="0" w:color="auto"/>
        <w:left w:val="none" w:sz="0" w:space="0" w:color="auto"/>
        <w:bottom w:val="none" w:sz="0" w:space="0" w:color="auto"/>
        <w:right w:val="none" w:sz="0" w:space="0" w:color="auto"/>
      </w:divBdr>
    </w:div>
    <w:div w:id="1197352871">
      <w:bodyDiv w:val="1"/>
      <w:marLeft w:val="0"/>
      <w:marRight w:val="0"/>
      <w:marTop w:val="0"/>
      <w:marBottom w:val="0"/>
      <w:divBdr>
        <w:top w:val="none" w:sz="0" w:space="0" w:color="auto"/>
        <w:left w:val="none" w:sz="0" w:space="0" w:color="auto"/>
        <w:bottom w:val="none" w:sz="0" w:space="0" w:color="auto"/>
        <w:right w:val="none" w:sz="0" w:space="0" w:color="auto"/>
      </w:divBdr>
    </w:div>
    <w:div w:id="1206529559">
      <w:bodyDiv w:val="1"/>
      <w:marLeft w:val="0"/>
      <w:marRight w:val="0"/>
      <w:marTop w:val="0"/>
      <w:marBottom w:val="0"/>
      <w:divBdr>
        <w:top w:val="none" w:sz="0" w:space="0" w:color="auto"/>
        <w:left w:val="none" w:sz="0" w:space="0" w:color="auto"/>
        <w:bottom w:val="none" w:sz="0" w:space="0" w:color="auto"/>
        <w:right w:val="none" w:sz="0" w:space="0" w:color="auto"/>
      </w:divBdr>
    </w:div>
    <w:div w:id="1213999662">
      <w:bodyDiv w:val="1"/>
      <w:marLeft w:val="0"/>
      <w:marRight w:val="0"/>
      <w:marTop w:val="0"/>
      <w:marBottom w:val="0"/>
      <w:divBdr>
        <w:top w:val="none" w:sz="0" w:space="0" w:color="auto"/>
        <w:left w:val="none" w:sz="0" w:space="0" w:color="auto"/>
        <w:bottom w:val="none" w:sz="0" w:space="0" w:color="auto"/>
        <w:right w:val="none" w:sz="0" w:space="0" w:color="auto"/>
      </w:divBdr>
    </w:div>
    <w:div w:id="1221136306">
      <w:bodyDiv w:val="1"/>
      <w:marLeft w:val="0"/>
      <w:marRight w:val="0"/>
      <w:marTop w:val="0"/>
      <w:marBottom w:val="0"/>
      <w:divBdr>
        <w:top w:val="none" w:sz="0" w:space="0" w:color="auto"/>
        <w:left w:val="none" w:sz="0" w:space="0" w:color="auto"/>
        <w:bottom w:val="none" w:sz="0" w:space="0" w:color="auto"/>
        <w:right w:val="none" w:sz="0" w:space="0" w:color="auto"/>
      </w:divBdr>
    </w:div>
    <w:div w:id="1271473911">
      <w:bodyDiv w:val="1"/>
      <w:marLeft w:val="0"/>
      <w:marRight w:val="0"/>
      <w:marTop w:val="0"/>
      <w:marBottom w:val="0"/>
      <w:divBdr>
        <w:top w:val="none" w:sz="0" w:space="0" w:color="auto"/>
        <w:left w:val="none" w:sz="0" w:space="0" w:color="auto"/>
        <w:bottom w:val="none" w:sz="0" w:space="0" w:color="auto"/>
        <w:right w:val="none" w:sz="0" w:space="0" w:color="auto"/>
      </w:divBdr>
    </w:div>
    <w:div w:id="1281647153">
      <w:bodyDiv w:val="1"/>
      <w:marLeft w:val="0"/>
      <w:marRight w:val="0"/>
      <w:marTop w:val="0"/>
      <w:marBottom w:val="0"/>
      <w:divBdr>
        <w:top w:val="none" w:sz="0" w:space="0" w:color="auto"/>
        <w:left w:val="none" w:sz="0" w:space="0" w:color="auto"/>
        <w:bottom w:val="none" w:sz="0" w:space="0" w:color="auto"/>
        <w:right w:val="none" w:sz="0" w:space="0" w:color="auto"/>
      </w:divBdr>
    </w:div>
    <w:div w:id="1290431038">
      <w:bodyDiv w:val="1"/>
      <w:marLeft w:val="0"/>
      <w:marRight w:val="0"/>
      <w:marTop w:val="0"/>
      <w:marBottom w:val="0"/>
      <w:divBdr>
        <w:top w:val="none" w:sz="0" w:space="0" w:color="auto"/>
        <w:left w:val="none" w:sz="0" w:space="0" w:color="auto"/>
        <w:bottom w:val="none" w:sz="0" w:space="0" w:color="auto"/>
        <w:right w:val="none" w:sz="0" w:space="0" w:color="auto"/>
      </w:divBdr>
    </w:div>
    <w:div w:id="1322660531">
      <w:bodyDiv w:val="1"/>
      <w:marLeft w:val="0"/>
      <w:marRight w:val="0"/>
      <w:marTop w:val="0"/>
      <w:marBottom w:val="0"/>
      <w:divBdr>
        <w:top w:val="none" w:sz="0" w:space="0" w:color="auto"/>
        <w:left w:val="none" w:sz="0" w:space="0" w:color="auto"/>
        <w:bottom w:val="none" w:sz="0" w:space="0" w:color="auto"/>
        <w:right w:val="none" w:sz="0" w:space="0" w:color="auto"/>
      </w:divBdr>
    </w:div>
    <w:div w:id="1334457100">
      <w:bodyDiv w:val="1"/>
      <w:marLeft w:val="0"/>
      <w:marRight w:val="0"/>
      <w:marTop w:val="0"/>
      <w:marBottom w:val="0"/>
      <w:divBdr>
        <w:top w:val="none" w:sz="0" w:space="0" w:color="auto"/>
        <w:left w:val="none" w:sz="0" w:space="0" w:color="auto"/>
        <w:bottom w:val="none" w:sz="0" w:space="0" w:color="auto"/>
        <w:right w:val="none" w:sz="0" w:space="0" w:color="auto"/>
      </w:divBdr>
    </w:div>
    <w:div w:id="1374425755">
      <w:bodyDiv w:val="1"/>
      <w:marLeft w:val="0"/>
      <w:marRight w:val="0"/>
      <w:marTop w:val="0"/>
      <w:marBottom w:val="0"/>
      <w:divBdr>
        <w:top w:val="none" w:sz="0" w:space="0" w:color="auto"/>
        <w:left w:val="none" w:sz="0" w:space="0" w:color="auto"/>
        <w:bottom w:val="none" w:sz="0" w:space="0" w:color="auto"/>
        <w:right w:val="none" w:sz="0" w:space="0" w:color="auto"/>
      </w:divBdr>
    </w:div>
    <w:div w:id="1401946570">
      <w:bodyDiv w:val="1"/>
      <w:marLeft w:val="0"/>
      <w:marRight w:val="0"/>
      <w:marTop w:val="0"/>
      <w:marBottom w:val="0"/>
      <w:divBdr>
        <w:top w:val="none" w:sz="0" w:space="0" w:color="auto"/>
        <w:left w:val="none" w:sz="0" w:space="0" w:color="auto"/>
        <w:bottom w:val="none" w:sz="0" w:space="0" w:color="auto"/>
        <w:right w:val="none" w:sz="0" w:space="0" w:color="auto"/>
      </w:divBdr>
    </w:div>
    <w:div w:id="1430547020">
      <w:bodyDiv w:val="1"/>
      <w:marLeft w:val="0"/>
      <w:marRight w:val="0"/>
      <w:marTop w:val="0"/>
      <w:marBottom w:val="0"/>
      <w:divBdr>
        <w:top w:val="none" w:sz="0" w:space="0" w:color="auto"/>
        <w:left w:val="none" w:sz="0" w:space="0" w:color="auto"/>
        <w:bottom w:val="none" w:sz="0" w:space="0" w:color="auto"/>
        <w:right w:val="none" w:sz="0" w:space="0" w:color="auto"/>
      </w:divBdr>
    </w:div>
    <w:div w:id="1437359449">
      <w:bodyDiv w:val="1"/>
      <w:marLeft w:val="0"/>
      <w:marRight w:val="0"/>
      <w:marTop w:val="0"/>
      <w:marBottom w:val="0"/>
      <w:divBdr>
        <w:top w:val="none" w:sz="0" w:space="0" w:color="auto"/>
        <w:left w:val="none" w:sz="0" w:space="0" w:color="auto"/>
        <w:bottom w:val="none" w:sz="0" w:space="0" w:color="auto"/>
        <w:right w:val="none" w:sz="0" w:space="0" w:color="auto"/>
      </w:divBdr>
    </w:div>
    <w:div w:id="1455637339">
      <w:bodyDiv w:val="1"/>
      <w:marLeft w:val="0"/>
      <w:marRight w:val="0"/>
      <w:marTop w:val="0"/>
      <w:marBottom w:val="0"/>
      <w:divBdr>
        <w:top w:val="none" w:sz="0" w:space="0" w:color="auto"/>
        <w:left w:val="none" w:sz="0" w:space="0" w:color="auto"/>
        <w:bottom w:val="none" w:sz="0" w:space="0" w:color="auto"/>
        <w:right w:val="none" w:sz="0" w:space="0" w:color="auto"/>
      </w:divBdr>
    </w:div>
    <w:div w:id="1480271103">
      <w:bodyDiv w:val="1"/>
      <w:marLeft w:val="0"/>
      <w:marRight w:val="0"/>
      <w:marTop w:val="0"/>
      <w:marBottom w:val="0"/>
      <w:divBdr>
        <w:top w:val="none" w:sz="0" w:space="0" w:color="auto"/>
        <w:left w:val="none" w:sz="0" w:space="0" w:color="auto"/>
        <w:bottom w:val="none" w:sz="0" w:space="0" w:color="auto"/>
        <w:right w:val="none" w:sz="0" w:space="0" w:color="auto"/>
      </w:divBdr>
    </w:div>
    <w:div w:id="1485468254">
      <w:bodyDiv w:val="1"/>
      <w:marLeft w:val="0"/>
      <w:marRight w:val="0"/>
      <w:marTop w:val="0"/>
      <w:marBottom w:val="0"/>
      <w:divBdr>
        <w:top w:val="none" w:sz="0" w:space="0" w:color="auto"/>
        <w:left w:val="none" w:sz="0" w:space="0" w:color="auto"/>
        <w:bottom w:val="none" w:sz="0" w:space="0" w:color="auto"/>
        <w:right w:val="none" w:sz="0" w:space="0" w:color="auto"/>
      </w:divBdr>
      <w:divsChild>
        <w:div w:id="645819632">
          <w:marLeft w:val="0"/>
          <w:marRight w:val="0"/>
          <w:marTop w:val="0"/>
          <w:marBottom w:val="0"/>
          <w:divBdr>
            <w:top w:val="none" w:sz="0" w:space="0" w:color="auto"/>
            <w:left w:val="none" w:sz="0" w:space="0" w:color="auto"/>
            <w:bottom w:val="none" w:sz="0" w:space="0" w:color="auto"/>
            <w:right w:val="none" w:sz="0" w:space="0" w:color="auto"/>
          </w:divBdr>
          <w:divsChild>
            <w:div w:id="482744403">
              <w:marLeft w:val="0"/>
              <w:marRight w:val="0"/>
              <w:marTop w:val="0"/>
              <w:marBottom w:val="0"/>
              <w:divBdr>
                <w:top w:val="none" w:sz="0" w:space="0" w:color="auto"/>
                <w:left w:val="none" w:sz="0" w:space="0" w:color="auto"/>
                <w:bottom w:val="none" w:sz="0" w:space="0" w:color="auto"/>
                <w:right w:val="none" w:sz="0" w:space="0" w:color="auto"/>
              </w:divBdr>
              <w:divsChild>
                <w:div w:id="1300377007">
                  <w:marLeft w:val="0"/>
                  <w:marRight w:val="0"/>
                  <w:marTop w:val="0"/>
                  <w:marBottom w:val="0"/>
                  <w:divBdr>
                    <w:top w:val="none" w:sz="0" w:space="0" w:color="auto"/>
                    <w:left w:val="none" w:sz="0" w:space="0" w:color="auto"/>
                    <w:bottom w:val="none" w:sz="0" w:space="0" w:color="auto"/>
                    <w:right w:val="none" w:sz="0" w:space="0" w:color="auto"/>
                  </w:divBdr>
                  <w:divsChild>
                    <w:div w:id="1669867445">
                      <w:marLeft w:val="0"/>
                      <w:marRight w:val="0"/>
                      <w:marTop w:val="0"/>
                      <w:marBottom w:val="0"/>
                      <w:divBdr>
                        <w:top w:val="none" w:sz="0" w:space="0" w:color="auto"/>
                        <w:left w:val="none" w:sz="0" w:space="0" w:color="auto"/>
                        <w:bottom w:val="none" w:sz="0" w:space="0" w:color="auto"/>
                        <w:right w:val="none" w:sz="0" w:space="0" w:color="auto"/>
                      </w:divBdr>
                      <w:divsChild>
                        <w:div w:id="196283407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514334">
      <w:bodyDiv w:val="1"/>
      <w:marLeft w:val="0"/>
      <w:marRight w:val="0"/>
      <w:marTop w:val="0"/>
      <w:marBottom w:val="0"/>
      <w:divBdr>
        <w:top w:val="none" w:sz="0" w:space="0" w:color="auto"/>
        <w:left w:val="none" w:sz="0" w:space="0" w:color="auto"/>
        <w:bottom w:val="none" w:sz="0" w:space="0" w:color="auto"/>
        <w:right w:val="none" w:sz="0" w:space="0" w:color="auto"/>
      </w:divBdr>
    </w:div>
    <w:div w:id="1564481356">
      <w:bodyDiv w:val="1"/>
      <w:marLeft w:val="0"/>
      <w:marRight w:val="0"/>
      <w:marTop w:val="0"/>
      <w:marBottom w:val="0"/>
      <w:divBdr>
        <w:top w:val="none" w:sz="0" w:space="0" w:color="auto"/>
        <w:left w:val="none" w:sz="0" w:space="0" w:color="auto"/>
        <w:bottom w:val="none" w:sz="0" w:space="0" w:color="auto"/>
        <w:right w:val="none" w:sz="0" w:space="0" w:color="auto"/>
      </w:divBdr>
    </w:div>
    <w:div w:id="1569654078">
      <w:bodyDiv w:val="1"/>
      <w:marLeft w:val="0"/>
      <w:marRight w:val="0"/>
      <w:marTop w:val="0"/>
      <w:marBottom w:val="0"/>
      <w:divBdr>
        <w:top w:val="none" w:sz="0" w:space="0" w:color="auto"/>
        <w:left w:val="none" w:sz="0" w:space="0" w:color="auto"/>
        <w:bottom w:val="none" w:sz="0" w:space="0" w:color="auto"/>
        <w:right w:val="none" w:sz="0" w:space="0" w:color="auto"/>
      </w:divBdr>
    </w:div>
    <w:div w:id="1618876473">
      <w:bodyDiv w:val="1"/>
      <w:marLeft w:val="0"/>
      <w:marRight w:val="0"/>
      <w:marTop w:val="0"/>
      <w:marBottom w:val="0"/>
      <w:divBdr>
        <w:top w:val="none" w:sz="0" w:space="0" w:color="auto"/>
        <w:left w:val="none" w:sz="0" w:space="0" w:color="auto"/>
        <w:bottom w:val="none" w:sz="0" w:space="0" w:color="auto"/>
        <w:right w:val="none" w:sz="0" w:space="0" w:color="auto"/>
      </w:divBdr>
    </w:div>
    <w:div w:id="1688750291">
      <w:bodyDiv w:val="1"/>
      <w:marLeft w:val="0"/>
      <w:marRight w:val="0"/>
      <w:marTop w:val="0"/>
      <w:marBottom w:val="0"/>
      <w:divBdr>
        <w:top w:val="none" w:sz="0" w:space="0" w:color="auto"/>
        <w:left w:val="none" w:sz="0" w:space="0" w:color="auto"/>
        <w:bottom w:val="none" w:sz="0" w:space="0" w:color="auto"/>
        <w:right w:val="none" w:sz="0" w:space="0" w:color="auto"/>
      </w:divBdr>
    </w:div>
    <w:div w:id="1689215450">
      <w:bodyDiv w:val="1"/>
      <w:marLeft w:val="0"/>
      <w:marRight w:val="0"/>
      <w:marTop w:val="0"/>
      <w:marBottom w:val="0"/>
      <w:divBdr>
        <w:top w:val="none" w:sz="0" w:space="0" w:color="auto"/>
        <w:left w:val="none" w:sz="0" w:space="0" w:color="auto"/>
        <w:bottom w:val="none" w:sz="0" w:space="0" w:color="auto"/>
        <w:right w:val="none" w:sz="0" w:space="0" w:color="auto"/>
      </w:divBdr>
    </w:div>
    <w:div w:id="1698507225">
      <w:bodyDiv w:val="1"/>
      <w:marLeft w:val="0"/>
      <w:marRight w:val="0"/>
      <w:marTop w:val="0"/>
      <w:marBottom w:val="0"/>
      <w:divBdr>
        <w:top w:val="none" w:sz="0" w:space="0" w:color="auto"/>
        <w:left w:val="none" w:sz="0" w:space="0" w:color="auto"/>
        <w:bottom w:val="none" w:sz="0" w:space="0" w:color="auto"/>
        <w:right w:val="none" w:sz="0" w:space="0" w:color="auto"/>
      </w:divBdr>
    </w:div>
    <w:div w:id="1773938203">
      <w:bodyDiv w:val="1"/>
      <w:marLeft w:val="0"/>
      <w:marRight w:val="0"/>
      <w:marTop w:val="0"/>
      <w:marBottom w:val="0"/>
      <w:divBdr>
        <w:top w:val="none" w:sz="0" w:space="0" w:color="auto"/>
        <w:left w:val="none" w:sz="0" w:space="0" w:color="auto"/>
        <w:bottom w:val="none" w:sz="0" w:space="0" w:color="auto"/>
        <w:right w:val="none" w:sz="0" w:space="0" w:color="auto"/>
      </w:divBdr>
    </w:div>
    <w:div w:id="1784839566">
      <w:bodyDiv w:val="1"/>
      <w:marLeft w:val="0"/>
      <w:marRight w:val="0"/>
      <w:marTop w:val="0"/>
      <w:marBottom w:val="0"/>
      <w:divBdr>
        <w:top w:val="none" w:sz="0" w:space="0" w:color="auto"/>
        <w:left w:val="none" w:sz="0" w:space="0" w:color="auto"/>
        <w:bottom w:val="none" w:sz="0" w:space="0" w:color="auto"/>
        <w:right w:val="none" w:sz="0" w:space="0" w:color="auto"/>
      </w:divBdr>
    </w:div>
    <w:div w:id="1793789458">
      <w:bodyDiv w:val="1"/>
      <w:marLeft w:val="0"/>
      <w:marRight w:val="0"/>
      <w:marTop w:val="0"/>
      <w:marBottom w:val="0"/>
      <w:divBdr>
        <w:top w:val="none" w:sz="0" w:space="0" w:color="auto"/>
        <w:left w:val="none" w:sz="0" w:space="0" w:color="auto"/>
        <w:bottom w:val="none" w:sz="0" w:space="0" w:color="auto"/>
        <w:right w:val="none" w:sz="0" w:space="0" w:color="auto"/>
      </w:divBdr>
    </w:div>
    <w:div w:id="1799488168">
      <w:bodyDiv w:val="1"/>
      <w:marLeft w:val="0"/>
      <w:marRight w:val="0"/>
      <w:marTop w:val="0"/>
      <w:marBottom w:val="0"/>
      <w:divBdr>
        <w:top w:val="none" w:sz="0" w:space="0" w:color="auto"/>
        <w:left w:val="none" w:sz="0" w:space="0" w:color="auto"/>
        <w:bottom w:val="none" w:sz="0" w:space="0" w:color="auto"/>
        <w:right w:val="none" w:sz="0" w:space="0" w:color="auto"/>
      </w:divBdr>
    </w:div>
    <w:div w:id="1810392020">
      <w:bodyDiv w:val="1"/>
      <w:marLeft w:val="0"/>
      <w:marRight w:val="0"/>
      <w:marTop w:val="0"/>
      <w:marBottom w:val="0"/>
      <w:divBdr>
        <w:top w:val="none" w:sz="0" w:space="0" w:color="auto"/>
        <w:left w:val="none" w:sz="0" w:space="0" w:color="auto"/>
        <w:bottom w:val="none" w:sz="0" w:space="0" w:color="auto"/>
        <w:right w:val="none" w:sz="0" w:space="0" w:color="auto"/>
      </w:divBdr>
    </w:div>
    <w:div w:id="1831099429">
      <w:bodyDiv w:val="1"/>
      <w:marLeft w:val="0"/>
      <w:marRight w:val="0"/>
      <w:marTop w:val="0"/>
      <w:marBottom w:val="0"/>
      <w:divBdr>
        <w:top w:val="none" w:sz="0" w:space="0" w:color="auto"/>
        <w:left w:val="none" w:sz="0" w:space="0" w:color="auto"/>
        <w:bottom w:val="none" w:sz="0" w:space="0" w:color="auto"/>
        <w:right w:val="none" w:sz="0" w:space="0" w:color="auto"/>
      </w:divBdr>
    </w:div>
    <w:div w:id="1841118845">
      <w:bodyDiv w:val="1"/>
      <w:marLeft w:val="0"/>
      <w:marRight w:val="0"/>
      <w:marTop w:val="0"/>
      <w:marBottom w:val="0"/>
      <w:divBdr>
        <w:top w:val="none" w:sz="0" w:space="0" w:color="auto"/>
        <w:left w:val="none" w:sz="0" w:space="0" w:color="auto"/>
        <w:bottom w:val="none" w:sz="0" w:space="0" w:color="auto"/>
        <w:right w:val="none" w:sz="0" w:space="0" w:color="auto"/>
      </w:divBdr>
    </w:div>
    <w:div w:id="1857111954">
      <w:bodyDiv w:val="1"/>
      <w:marLeft w:val="0"/>
      <w:marRight w:val="0"/>
      <w:marTop w:val="0"/>
      <w:marBottom w:val="0"/>
      <w:divBdr>
        <w:top w:val="none" w:sz="0" w:space="0" w:color="auto"/>
        <w:left w:val="none" w:sz="0" w:space="0" w:color="auto"/>
        <w:bottom w:val="none" w:sz="0" w:space="0" w:color="auto"/>
        <w:right w:val="none" w:sz="0" w:space="0" w:color="auto"/>
      </w:divBdr>
    </w:div>
    <w:div w:id="1857235241">
      <w:bodyDiv w:val="1"/>
      <w:marLeft w:val="0"/>
      <w:marRight w:val="0"/>
      <w:marTop w:val="0"/>
      <w:marBottom w:val="0"/>
      <w:divBdr>
        <w:top w:val="none" w:sz="0" w:space="0" w:color="auto"/>
        <w:left w:val="none" w:sz="0" w:space="0" w:color="auto"/>
        <w:bottom w:val="none" w:sz="0" w:space="0" w:color="auto"/>
        <w:right w:val="none" w:sz="0" w:space="0" w:color="auto"/>
      </w:divBdr>
    </w:div>
    <w:div w:id="1894653019">
      <w:bodyDiv w:val="1"/>
      <w:marLeft w:val="0"/>
      <w:marRight w:val="0"/>
      <w:marTop w:val="0"/>
      <w:marBottom w:val="0"/>
      <w:divBdr>
        <w:top w:val="none" w:sz="0" w:space="0" w:color="auto"/>
        <w:left w:val="none" w:sz="0" w:space="0" w:color="auto"/>
        <w:bottom w:val="none" w:sz="0" w:space="0" w:color="auto"/>
        <w:right w:val="none" w:sz="0" w:space="0" w:color="auto"/>
      </w:divBdr>
    </w:div>
    <w:div w:id="1894731620">
      <w:bodyDiv w:val="1"/>
      <w:marLeft w:val="0"/>
      <w:marRight w:val="0"/>
      <w:marTop w:val="0"/>
      <w:marBottom w:val="0"/>
      <w:divBdr>
        <w:top w:val="none" w:sz="0" w:space="0" w:color="auto"/>
        <w:left w:val="none" w:sz="0" w:space="0" w:color="auto"/>
        <w:bottom w:val="none" w:sz="0" w:space="0" w:color="auto"/>
        <w:right w:val="none" w:sz="0" w:space="0" w:color="auto"/>
      </w:divBdr>
    </w:div>
    <w:div w:id="1898855907">
      <w:bodyDiv w:val="1"/>
      <w:marLeft w:val="0"/>
      <w:marRight w:val="0"/>
      <w:marTop w:val="0"/>
      <w:marBottom w:val="0"/>
      <w:divBdr>
        <w:top w:val="none" w:sz="0" w:space="0" w:color="auto"/>
        <w:left w:val="none" w:sz="0" w:space="0" w:color="auto"/>
        <w:bottom w:val="none" w:sz="0" w:space="0" w:color="auto"/>
        <w:right w:val="none" w:sz="0" w:space="0" w:color="auto"/>
      </w:divBdr>
    </w:div>
    <w:div w:id="1912502712">
      <w:bodyDiv w:val="1"/>
      <w:marLeft w:val="0"/>
      <w:marRight w:val="0"/>
      <w:marTop w:val="0"/>
      <w:marBottom w:val="0"/>
      <w:divBdr>
        <w:top w:val="none" w:sz="0" w:space="0" w:color="auto"/>
        <w:left w:val="none" w:sz="0" w:space="0" w:color="auto"/>
        <w:bottom w:val="none" w:sz="0" w:space="0" w:color="auto"/>
        <w:right w:val="none" w:sz="0" w:space="0" w:color="auto"/>
      </w:divBdr>
    </w:div>
    <w:div w:id="1921908942">
      <w:bodyDiv w:val="1"/>
      <w:marLeft w:val="0"/>
      <w:marRight w:val="0"/>
      <w:marTop w:val="0"/>
      <w:marBottom w:val="0"/>
      <w:divBdr>
        <w:top w:val="none" w:sz="0" w:space="0" w:color="auto"/>
        <w:left w:val="none" w:sz="0" w:space="0" w:color="auto"/>
        <w:bottom w:val="none" w:sz="0" w:space="0" w:color="auto"/>
        <w:right w:val="none" w:sz="0" w:space="0" w:color="auto"/>
      </w:divBdr>
    </w:div>
    <w:div w:id="1933732970">
      <w:bodyDiv w:val="1"/>
      <w:marLeft w:val="0"/>
      <w:marRight w:val="0"/>
      <w:marTop w:val="0"/>
      <w:marBottom w:val="0"/>
      <w:divBdr>
        <w:top w:val="none" w:sz="0" w:space="0" w:color="auto"/>
        <w:left w:val="none" w:sz="0" w:space="0" w:color="auto"/>
        <w:bottom w:val="none" w:sz="0" w:space="0" w:color="auto"/>
        <w:right w:val="none" w:sz="0" w:space="0" w:color="auto"/>
      </w:divBdr>
    </w:div>
    <w:div w:id="1945141206">
      <w:bodyDiv w:val="1"/>
      <w:marLeft w:val="0"/>
      <w:marRight w:val="0"/>
      <w:marTop w:val="0"/>
      <w:marBottom w:val="0"/>
      <w:divBdr>
        <w:top w:val="none" w:sz="0" w:space="0" w:color="auto"/>
        <w:left w:val="none" w:sz="0" w:space="0" w:color="auto"/>
        <w:bottom w:val="none" w:sz="0" w:space="0" w:color="auto"/>
        <w:right w:val="none" w:sz="0" w:space="0" w:color="auto"/>
      </w:divBdr>
    </w:div>
    <w:div w:id="1972008333">
      <w:bodyDiv w:val="1"/>
      <w:marLeft w:val="0"/>
      <w:marRight w:val="0"/>
      <w:marTop w:val="0"/>
      <w:marBottom w:val="0"/>
      <w:divBdr>
        <w:top w:val="none" w:sz="0" w:space="0" w:color="auto"/>
        <w:left w:val="none" w:sz="0" w:space="0" w:color="auto"/>
        <w:bottom w:val="none" w:sz="0" w:space="0" w:color="auto"/>
        <w:right w:val="none" w:sz="0" w:space="0" w:color="auto"/>
      </w:divBdr>
    </w:div>
    <w:div w:id="1977375064">
      <w:bodyDiv w:val="1"/>
      <w:marLeft w:val="0"/>
      <w:marRight w:val="0"/>
      <w:marTop w:val="0"/>
      <w:marBottom w:val="0"/>
      <w:divBdr>
        <w:top w:val="none" w:sz="0" w:space="0" w:color="auto"/>
        <w:left w:val="none" w:sz="0" w:space="0" w:color="auto"/>
        <w:bottom w:val="none" w:sz="0" w:space="0" w:color="auto"/>
        <w:right w:val="none" w:sz="0" w:space="0" w:color="auto"/>
      </w:divBdr>
    </w:div>
    <w:div w:id="1980380697">
      <w:bodyDiv w:val="1"/>
      <w:marLeft w:val="0"/>
      <w:marRight w:val="0"/>
      <w:marTop w:val="0"/>
      <w:marBottom w:val="0"/>
      <w:divBdr>
        <w:top w:val="none" w:sz="0" w:space="0" w:color="auto"/>
        <w:left w:val="none" w:sz="0" w:space="0" w:color="auto"/>
        <w:bottom w:val="none" w:sz="0" w:space="0" w:color="auto"/>
        <w:right w:val="none" w:sz="0" w:space="0" w:color="auto"/>
      </w:divBdr>
    </w:div>
    <w:div w:id="1983660060">
      <w:bodyDiv w:val="1"/>
      <w:marLeft w:val="0"/>
      <w:marRight w:val="0"/>
      <w:marTop w:val="0"/>
      <w:marBottom w:val="0"/>
      <w:divBdr>
        <w:top w:val="none" w:sz="0" w:space="0" w:color="auto"/>
        <w:left w:val="none" w:sz="0" w:space="0" w:color="auto"/>
        <w:bottom w:val="none" w:sz="0" w:space="0" w:color="auto"/>
        <w:right w:val="none" w:sz="0" w:space="0" w:color="auto"/>
      </w:divBdr>
    </w:div>
    <w:div w:id="2011640355">
      <w:bodyDiv w:val="1"/>
      <w:marLeft w:val="0"/>
      <w:marRight w:val="0"/>
      <w:marTop w:val="0"/>
      <w:marBottom w:val="0"/>
      <w:divBdr>
        <w:top w:val="none" w:sz="0" w:space="0" w:color="auto"/>
        <w:left w:val="none" w:sz="0" w:space="0" w:color="auto"/>
        <w:bottom w:val="none" w:sz="0" w:space="0" w:color="auto"/>
        <w:right w:val="none" w:sz="0" w:space="0" w:color="auto"/>
      </w:divBdr>
    </w:div>
    <w:div w:id="2061585328">
      <w:bodyDiv w:val="1"/>
      <w:marLeft w:val="0"/>
      <w:marRight w:val="0"/>
      <w:marTop w:val="0"/>
      <w:marBottom w:val="0"/>
      <w:divBdr>
        <w:top w:val="none" w:sz="0" w:space="0" w:color="auto"/>
        <w:left w:val="none" w:sz="0" w:space="0" w:color="auto"/>
        <w:bottom w:val="none" w:sz="0" w:space="0" w:color="auto"/>
        <w:right w:val="none" w:sz="0" w:space="0" w:color="auto"/>
      </w:divBdr>
    </w:div>
    <w:div w:id="2063402586">
      <w:bodyDiv w:val="1"/>
      <w:marLeft w:val="0"/>
      <w:marRight w:val="0"/>
      <w:marTop w:val="0"/>
      <w:marBottom w:val="0"/>
      <w:divBdr>
        <w:top w:val="none" w:sz="0" w:space="0" w:color="auto"/>
        <w:left w:val="none" w:sz="0" w:space="0" w:color="auto"/>
        <w:bottom w:val="none" w:sz="0" w:space="0" w:color="auto"/>
        <w:right w:val="none" w:sz="0" w:space="0" w:color="auto"/>
      </w:divBdr>
    </w:div>
    <w:div w:id="2072072050">
      <w:bodyDiv w:val="1"/>
      <w:marLeft w:val="0"/>
      <w:marRight w:val="0"/>
      <w:marTop w:val="0"/>
      <w:marBottom w:val="0"/>
      <w:divBdr>
        <w:top w:val="none" w:sz="0" w:space="0" w:color="auto"/>
        <w:left w:val="none" w:sz="0" w:space="0" w:color="auto"/>
        <w:bottom w:val="none" w:sz="0" w:space="0" w:color="auto"/>
        <w:right w:val="none" w:sz="0" w:space="0" w:color="auto"/>
      </w:divBdr>
    </w:div>
    <w:div w:id="2103987875">
      <w:bodyDiv w:val="1"/>
      <w:marLeft w:val="0"/>
      <w:marRight w:val="0"/>
      <w:marTop w:val="0"/>
      <w:marBottom w:val="0"/>
      <w:divBdr>
        <w:top w:val="none" w:sz="0" w:space="0" w:color="auto"/>
        <w:left w:val="none" w:sz="0" w:space="0" w:color="auto"/>
        <w:bottom w:val="none" w:sz="0" w:space="0" w:color="auto"/>
        <w:right w:val="none" w:sz="0" w:space="0" w:color="auto"/>
      </w:divBdr>
    </w:div>
    <w:div w:id="2115438177">
      <w:bodyDiv w:val="1"/>
      <w:marLeft w:val="0"/>
      <w:marRight w:val="0"/>
      <w:marTop w:val="0"/>
      <w:marBottom w:val="0"/>
      <w:divBdr>
        <w:top w:val="none" w:sz="0" w:space="0" w:color="auto"/>
        <w:left w:val="none" w:sz="0" w:space="0" w:color="auto"/>
        <w:bottom w:val="none" w:sz="0" w:space="0" w:color="auto"/>
        <w:right w:val="none" w:sz="0" w:space="0" w:color="auto"/>
      </w:divBdr>
    </w:div>
    <w:div w:id="2121297607">
      <w:bodyDiv w:val="1"/>
      <w:marLeft w:val="0"/>
      <w:marRight w:val="0"/>
      <w:marTop w:val="0"/>
      <w:marBottom w:val="0"/>
      <w:divBdr>
        <w:top w:val="none" w:sz="0" w:space="0" w:color="auto"/>
        <w:left w:val="none" w:sz="0" w:space="0" w:color="auto"/>
        <w:bottom w:val="none" w:sz="0" w:space="0" w:color="auto"/>
        <w:right w:val="none" w:sz="0" w:space="0" w:color="auto"/>
      </w:divBdr>
    </w:div>
    <w:div w:id="2133740857">
      <w:bodyDiv w:val="1"/>
      <w:marLeft w:val="0"/>
      <w:marRight w:val="0"/>
      <w:marTop w:val="0"/>
      <w:marBottom w:val="0"/>
      <w:divBdr>
        <w:top w:val="none" w:sz="0" w:space="0" w:color="auto"/>
        <w:left w:val="none" w:sz="0" w:space="0" w:color="auto"/>
        <w:bottom w:val="none" w:sz="0" w:space="0" w:color="auto"/>
        <w:right w:val="none" w:sz="0" w:space="0" w:color="auto"/>
      </w:divBdr>
    </w:div>
    <w:div w:id="2134640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8EE9FC8-E1EE-403A-A5FA-8933639FF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6065</Words>
  <Characters>34577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40561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Marriott, Jane</dc:creator>
  <cp:lastModifiedBy>Marriott, Jane</cp:lastModifiedBy>
  <cp:revision>4</cp:revision>
  <cp:lastPrinted>2016-12-11T16:44:00Z</cp:lastPrinted>
  <dcterms:created xsi:type="dcterms:W3CDTF">2017-02-08T09:49:00Z</dcterms:created>
  <dcterms:modified xsi:type="dcterms:W3CDTF">2017-02-08T09:58:00Z</dcterms:modified>
</cp:coreProperties>
</file>