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2B5D" w14:textId="77777777" w:rsidR="00177CC3" w:rsidRDefault="00177CC3" w:rsidP="006F03AF">
      <w:pPr>
        <w:spacing w:line="360" w:lineRule="auto"/>
        <w:jc w:val="center"/>
        <w:rPr>
          <w:b/>
        </w:rPr>
      </w:pPr>
      <w:r>
        <w:rPr>
          <w:b/>
        </w:rPr>
        <w:t xml:space="preserve">Long Live the </w:t>
      </w:r>
      <w:r w:rsidR="006F03AF" w:rsidRPr="006F03AF">
        <w:rPr>
          <w:b/>
          <w:i/>
        </w:rPr>
        <w:t>Kommunalka</w:t>
      </w:r>
      <w:r>
        <w:rPr>
          <w:b/>
        </w:rPr>
        <w:t xml:space="preserve">! </w:t>
      </w:r>
    </w:p>
    <w:p w14:paraId="7539B0B5" w14:textId="77777777" w:rsidR="00177CC3" w:rsidRDefault="00177CC3" w:rsidP="00177CC3">
      <w:pPr>
        <w:spacing w:line="360" w:lineRule="auto"/>
        <w:jc w:val="center"/>
        <w:rPr>
          <w:b/>
        </w:rPr>
      </w:pPr>
      <w:r>
        <w:rPr>
          <w:b/>
        </w:rPr>
        <w:t>T</w:t>
      </w:r>
      <w:r w:rsidR="00150868" w:rsidRPr="00EE0D4E">
        <w:rPr>
          <w:b/>
        </w:rPr>
        <w:t>he Tension between Postmodern Poetics and Post-Soviet Nostalgia</w:t>
      </w:r>
      <w:r w:rsidR="006F03AF">
        <w:rPr>
          <w:b/>
        </w:rPr>
        <w:t xml:space="preserve"> </w:t>
      </w:r>
    </w:p>
    <w:p w14:paraId="3B3F3CBF" w14:textId="413CFB93" w:rsidR="00150868" w:rsidRDefault="00150868" w:rsidP="00177CC3">
      <w:pPr>
        <w:spacing w:line="360" w:lineRule="auto"/>
        <w:jc w:val="center"/>
        <w:rPr>
          <w:b/>
        </w:rPr>
      </w:pPr>
      <w:r w:rsidRPr="00EE0D4E">
        <w:rPr>
          <w:b/>
        </w:rPr>
        <w:t>in Andreï Makine’s Work</w:t>
      </w:r>
    </w:p>
    <w:p w14:paraId="52D69BCB" w14:textId="77777777" w:rsidR="00DF4CFB" w:rsidRPr="00EE0D4E" w:rsidRDefault="00DF4CFB" w:rsidP="002230CF">
      <w:pPr>
        <w:spacing w:line="360" w:lineRule="auto"/>
        <w:jc w:val="center"/>
        <w:rPr>
          <w:b/>
        </w:rPr>
      </w:pPr>
    </w:p>
    <w:p w14:paraId="179275E4" w14:textId="77777777" w:rsidR="00177CC3" w:rsidRDefault="00150868" w:rsidP="002230CF">
      <w:pPr>
        <w:spacing w:line="360" w:lineRule="auto"/>
        <w:jc w:val="center"/>
        <w:rPr>
          <w:sz w:val="22"/>
          <w:szCs w:val="22"/>
        </w:rPr>
      </w:pPr>
      <w:r w:rsidRPr="00EE0D4E">
        <w:rPr>
          <w:sz w:val="22"/>
          <w:szCs w:val="22"/>
        </w:rPr>
        <w:t xml:space="preserve">Helena Duffy </w:t>
      </w:r>
    </w:p>
    <w:p w14:paraId="040A2DDA" w14:textId="68C17B2D" w:rsidR="00150868" w:rsidRPr="00EE0D4E" w:rsidRDefault="00150868" w:rsidP="002230CF">
      <w:pPr>
        <w:spacing w:line="360" w:lineRule="auto"/>
        <w:jc w:val="center"/>
        <w:rPr>
          <w:sz w:val="22"/>
          <w:szCs w:val="22"/>
        </w:rPr>
      </w:pPr>
      <w:r w:rsidRPr="00EE0D4E">
        <w:rPr>
          <w:sz w:val="22"/>
          <w:szCs w:val="22"/>
        </w:rPr>
        <w:t>(University of Wroclaw, Poland)</w:t>
      </w:r>
    </w:p>
    <w:p w14:paraId="15A9B4FC" w14:textId="77777777" w:rsidR="00041FCC" w:rsidRDefault="00041FCC" w:rsidP="002230CF">
      <w:pPr>
        <w:spacing w:line="360" w:lineRule="auto"/>
        <w:jc w:val="both"/>
      </w:pPr>
    </w:p>
    <w:p w14:paraId="28D89DED" w14:textId="3E045ACB" w:rsidR="00150868" w:rsidRDefault="00150868" w:rsidP="002230CF">
      <w:pPr>
        <w:spacing w:line="360" w:lineRule="auto"/>
        <w:jc w:val="both"/>
      </w:pPr>
      <w:r>
        <w:t xml:space="preserve">Like modernism before, postmodernism has incited a </w:t>
      </w:r>
      <w:r w:rsidR="00BB24EF">
        <w:t>plethora</w:t>
      </w:r>
      <w:r>
        <w:t xml:space="preserve"> of definitions which are often mutually contradictory or even exclusive.</w:t>
      </w:r>
      <w:r>
        <w:rPr>
          <w:rStyle w:val="Odwoanieprzypisukocowego"/>
        </w:rPr>
        <w:endnoteReference w:id="1"/>
      </w:r>
      <w:r>
        <w:t xml:space="preserve"> Also, those who theorise </w:t>
      </w:r>
      <w:r w:rsidR="001E5677">
        <w:t xml:space="preserve">postmodernism </w:t>
      </w:r>
      <w:r>
        <w:t>rarely adopt a neutral position</w:t>
      </w:r>
      <w:r w:rsidR="006F2E14">
        <w:t xml:space="preserve"> towards their subject</w:t>
      </w:r>
      <w:r>
        <w:t>, instead joining the camp of the movement’s detract</w:t>
      </w:r>
      <w:r w:rsidR="006F2E14">
        <w:t>ors or that of its advocates.</w:t>
      </w:r>
      <w:r w:rsidR="006F2E14">
        <w:rPr>
          <w:rStyle w:val="Odwoanieprzypisukocowego"/>
        </w:rPr>
        <w:endnoteReference w:id="2"/>
      </w:r>
      <w:r w:rsidR="006F2E14">
        <w:t xml:space="preserve"> Amongst the contentious issues are</w:t>
      </w:r>
      <w:r>
        <w:t xml:space="preserve"> postmodernism’s historicity, political engagement </w:t>
      </w:r>
      <w:r w:rsidR="006F2E14">
        <w:t xml:space="preserve">or relationship with modernism: </w:t>
      </w:r>
      <w:r w:rsidR="00A33A03">
        <w:t>whereas</w:t>
      </w:r>
      <w:r>
        <w:t xml:space="preserve"> </w:t>
      </w:r>
      <w:r w:rsidR="00A33FEB">
        <w:t>some</w:t>
      </w:r>
      <w:r w:rsidR="000B7D55">
        <w:t xml:space="preserve"> </w:t>
      </w:r>
      <w:r w:rsidR="00A33A03">
        <w:t>associate</w:t>
      </w:r>
      <w:r w:rsidR="000B7D55" w:rsidRPr="000B7D55">
        <w:t xml:space="preserve"> </w:t>
      </w:r>
      <w:r w:rsidR="006F2E14">
        <w:t>postmodern art</w:t>
      </w:r>
      <w:r w:rsidR="000B7D55">
        <w:t xml:space="preserve"> </w:t>
      </w:r>
      <w:r w:rsidR="00A33A03">
        <w:t>with</w:t>
      </w:r>
      <w:r w:rsidR="000B7D55">
        <w:t xml:space="preserve"> a serious interest in history and </w:t>
      </w:r>
      <w:r w:rsidR="00A33A03">
        <w:t>a strong</w:t>
      </w:r>
      <w:r w:rsidR="000B7D55">
        <w:t xml:space="preserve"> ideological position,</w:t>
      </w:r>
      <w:r w:rsidR="000B7D55">
        <w:rPr>
          <w:rStyle w:val="Odwoanieprzypisukocowego"/>
        </w:rPr>
        <w:endnoteReference w:id="3"/>
      </w:r>
      <w:r w:rsidR="000B7D55" w:rsidRPr="000B7D55">
        <w:t xml:space="preserve"> </w:t>
      </w:r>
      <w:r w:rsidR="00A33FEB">
        <w:t>others</w:t>
      </w:r>
      <w:r w:rsidR="000B7D55" w:rsidRPr="000B7D55">
        <w:t xml:space="preserve"> </w:t>
      </w:r>
      <w:r w:rsidR="000B7D55">
        <w:t xml:space="preserve">accuse it of being anti-modern, ahistorical and apolitical. </w:t>
      </w:r>
      <w:r w:rsidR="006F2E14">
        <w:t xml:space="preserve">Amongst the latter are Frederic Jameson and Terry Eagleton who </w:t>
      </w:r>
      <w:r w:rsidR="00A33A03">
        <w:t>link</w:t>
      </w:r>
      <w:r>
        <w:t xml:space="preserve"> </w:t>
      </w:r>
      <w:r w:rsidR="002B2E27">
        <w:t>postmodernism</w:t>
      </w:r>
      <w:r>
        <w:t xml:space="preserve"> </w:t>
      </w:r>
      <w:r w:rsidR="00A33A03">
        <w:t>to</w:t>
      </w:r>
      <w:r>
        <w:t xml:space="preserve"> nostalgia, yet not </w:t>
      </w:r>
      <w:r w:rsidR="00A33A03">
        <w:t>to</w:t>
      </w:r>
      <w:r>
        <w:t xml:space="preserve"> the genuine ‘revolutionary nostalgia’</w:t>
      </w:r>
      <w:r>
        <w:rPr>
          <w:rStyle w:val="Odwoanieprzypisukocowego"/>
        </w:rPr>
        <w:endnoteReference w:id="4"/>
      </w:r>
      <w:r>
        <w:t xml:space="preserve"> of modernism but </w:t>
      </w:r>
      <w:r w:rsidR="00A33A03">
        <w:t>to</w:t>
      </w:r>
      <w:r>
        <w:t xml:space="preserve"> </w:t>
      </w:r>
      <w:r w:rsidR="00177CC3">
        <w:t xml:space="preserve">‘reactionary nostalgia’ (Eagleton) </w:t>
      </w:r>
      <w:r w:rsidR="00A077AD">
        <w:t xml:space="preserve">or </w:t>
      </w:r>
      <w:r>
        <w:t>‘nostalgiadeco’</w:t>
      </w:r>
      <w:r w:rsidR="00177CC3">
        <w:t xml:space="preserve"> (Jameson)</w:t>
      </w:r>
      <w:r w:rsidR="00A33A03">
        <w:t>,</w:t>
      </w:r>
      <w:r>
        <w:rPr>
          <w:rStyle w:val="Odwoanieprzypisukocowego"/>
        </w:rPr>
        <w:endnoteReference w:id="5"/>
      </w:r>
      <w:r>
        <w:t xml:space="preserve"> </w:t>
      </w:r>
      <w:r w:rsidR="00A33A03">
        <w:t>a</w:t>
      </w:r>
      <w:r w:rsidR="00A077AD">
        <w:t xml:space="preserve"> </w:t>
      </w:r>
      <w:r w:rsidR="00A33A03">
        <w:t>neologism</w:t>
      </w:r>
      <w:r>
        <w:t xml:space="preserve"> </w:t>
      </w:r>
      <w:r w:rsidR="00A33A03">
        <w:t>designating</w:t>
      </w:r>
      <w:r w:rsidR="006F2E14">
        <w:t xml:space="preserve"> </w:t>
      </w:r>
      <w:r>
        <w:t xml:space="preserve">the ‘depersonalised visual curiosity’ of American </w:t>
      </w:r>
      <w:r w:rsidR="00A23EB2">
        <w:t xml:space="preserve">historicist </w:t>
      </w:r>
      <w:r>
        <w:t>films</w:t>
      </w:r>
      <w:r w:rsidR="00A33FEB">
        <w:t xml:space="preserve"> </w:t>
      </w:r>
      <w:r w:rsidR="001E5677">
        <w:t>that</w:t>
      </w:r>
      <w:r w:rsidR="00A33FEB">
        <w:t xml:space="preserve"> </w:t>
      </w:r>
      <w:r w:rsidR="00A87746">
        <w:t>captur</w:t>
      </w:r>
      <w:r w:rsidR="00F92808">
        <w:t>e</w:t>
      </w:r>
      <w:r w:rsidR="00A33FEB">
        <w:t xml:space="preserve"> the ‘mesmerising quality’ of the 1920</w:t>
      </w:r>
      <w:r w:rsidR="005C5941">
        <w:t>s</w:t>
      </w:r>
      <w:r w:rsidR="00A33FEB">
        <w:t>, 1930</w:t>
      </w:r>
      <w:r w:rsidR="005C5941">
        <w:t>s</w:t>
      </w:r>
      <w:r w:rsidR="00A33FEB">
        <w:t xml:space="preserve"> and 1950</w:t>
      </w:r>
      <w:r w:rsidR="005C5941">
        <w:t>s</w:t>
      </w:r>
      <w:r w:rsidR="00FE0519">
        <w:t>.</w:t>
      </w:r>
      <w:r w:rsidR="00A33FEB">
        <w:rPr>
          <w:rStyle w:val="Odwoanieprzypisukocowego"/>
        </w:rPr>
        <w:endnoteReference w:id="6"/>
      </w:r>
      <w:r w:rsidR="00A33FEB" w:rsidRPr="00A33FEB">
        <w:t xml:space="preserve"> </w:t>
      </w:r>
      <w:r w:rsidR="00A33FEB">
        <w:t xml:space="preserve">For Jameson, Bertolucci’s </w:t>
      </w:r>
      <w:r w:rsidR="00A33FEB">
        <w:rPr>
          <w:i/>
        </w:rPr>
        <w:t>The Conformist</w:t>
      </w:r>
      <w:r w:rsidR="00A33FEB">
        <w:t xml:space="preserve"> </w:t>
      </w:r>
      <w:r w:rsidR="00A87746">
        <w:t xml:space="preserve">(1970) </w:t>
      </w:r>
      <w:r w:rsidR="00A33A03">
        <w:t xml:space="preserve">or Polanski’s </w:t>
      </w:r>
      <w:r w:rsidR="00A33A03" w:rsidRPr="008921FA">
        <w:rPr>
          <w:i/>
        </w:rPr>
        <w:t>Chinatown</w:t>
      </w:r>
      <w:r w:rsidR="00A33A03">
        <w:t xml:space="preserve"> (1974)</w:t>
      </w:r>
      <w:r w:rsidR="00A33A03" w:rsidRPr="00A077AD">
        <w:t xml:space="preserve"> </w:t>
      </w:r>
      <w:r>
        <w:t>have nothing to do with genuine historicity as they approach the past — or rather the ‘pastness’ — through ‘stylistic connotations’ and ‘the glossy quality of the image’.</w:t>
      </w:r>
      <w:r>
        <w:rPr>
          <w:rStyle w:val="Odwoanieprzypisukocowego"/>
        </w:rPr>
        <w:endnoteReference w:id="7"/>
      </w:r>
      <w:r>
        <w:t xml:space="preserve"> Sharing </w:t>
      </w:r>
      <w:r w:rsidR="000B7D55">
        <w:t>the Marxist critic</w:t>
      </w:r>
      <w:r>
        <w:t>’s position that ‘history of aesthetic styles replaces “real” history’</w:t>
      </w:r>
      <w:r w:rsidR="00FE0519">
        <w:t xml:space="preserve"> and that the postmodern return to the past is driven by sentimental nostalgia</w:t>
      </w:r>
      <w:r>
        <w:t>,</w:t>
      </w:r>
      <w:r>
        <w:rPr>
          <w:rStyle w:val="Odwoanieprzypisukocowego"/>
        </w:rPr>
        <w:endnoteReference w:id="8"/>
      </w:r>
      <w:r>
        <w:t xml:space="preserve"> </w:t>
      </w:r>
      <w:r w:rsidR="00E11374">
        <w:t xml:space="preserve">Hal </w:t>
      </w:r>
      <w:r>
        <w:t xml:space="preserve">Foster </w:t>
      </w:r>
      <w:r w:rsidR="00FE0519">
        <w:t>contends</w:t>
      </w:r>
      <w:r>
        <w:t xml:space="preserve"> that ‘this Postmodern Style of History may in fact signal the disintegration of style and collapse of history.’</w:t>
      </w:r>
      <w:r>
        <w:rPr>
          <w:rStyle w:val="Odwoanieprzypisukocowego"/>
        </w:rPr>
        <w:endnoteReference w:id="9"/>
      </w:r>
      <w:r>
        <w:t xml:space="preserve"> </w:t>
      </w:r>
      <w:r w:rsidR="00654B16">
        <w:t>Overtly and v</w:t>
      </w:r>
      <w:r>
        <w:t xml:space="preserve">ehemently opposing such views, </w:t>
      </w:r>
      <w:r w:rsidR="00E11374">
        <w:t xml:space="preserve">Linda </w:t>
      </w:r>
      <w:r>
        <w:t xml:space="preserve">Hutcheon </w:t>
      </w:r>
      <w:r w:rsidR="00FE0519">
        <w:t>states</w:t>
      </w:r>
      <w:r>
        <w:t xml:space="preserve"> that ‘postmodern historicism is wilfully unencumbered by nostalgia in its critical, dialogical reviewing of the forms, context, and values of the past’.</w:t>
      </w:r>
      <w:r>
        <w:rPr>
          <w:rStyle w:val="Odwoanieprzypisukocowego"/>
        </w:rPr>
        <w:endnoteReference w:id="10"/>
      </w:r>
      <w:r>
        <w:t xml:space="preserve"> She adds that </w:t>
      </w:r>
      <w:r w:rsidR="008D5D2B">
        <w:t xml:space="preserve">although postmodernism </w:t>
      </w:r>
      <w:r>
        <w:t xml:space="preserve">resolutely opposes today’s tendency to be enthralled with anything new or novel, </w:t>
      </w:r>
      <w:r w:rsidR="008D5D2B">
        <w:t xml:space="preserve">it </w:t>
      </w:r>
      <w:r>
        <w:t>is</w:t>
      </w:r>
      <w:r w:rsidR="008D5D2B">
        <w:t xml:space="preserve"> </w:t>
      </w:r>
      <w:r>
        <w:t>far from evading the present, idealising the past or recovering that past as edenic</w:t>
      </w:r>
      <w:r w:rsidR="00AC526F">
        <w:t>; instead,</w:t>
      </w:r>
      <w:r>
        <w:t xml:space="preserve"> </w:t>
      </w:r>
      <w:r w:rsidR="00AC526F">
        <w:t>it</w:t>
      </w:r>
      <w:r>
        <w:t xml:space="preserve"> ‘returns to a re-thought past to see what […] is of value in that past experience.’</w:t>
      </w:r>
      <w:r>
        <w:rPr>
          <w:rStyle w:val="Odwoanieprzypisukocowego"/>
        </w:rPr>
        <w:endnoteReference w:id="11"/>
      </w:r>
    </w:p>
    <w:p w14:paraId="1EB6901A" w14:textId="33E63BE1" w:rsidR="00615B61" w:rsidRDefault="00AC526F" w:rsidP="00DE2D6A">
      <w:pPr>
        <w:spacing w:line="360" w:lineRule="auto"/>
        <w:ind w:firstLine="708"/>
        <w:jc w:val="both"/>
      </w:pPr>
      <w:r>
        <w:t>By t</w:t>
      </w:r>
      <w:r w:rsidR="00150868">
        <w:t xml:space="preserve">aking up historical subjects while self-reflexively </w:t>
      </w:r>
      <w:r w:rsidR="00BE5BEB">
        <w:t>stating</w:t>
      </w:r>
      <w:r w:rsidR="006A7236">
        <w:t xml:space="preserve"> the textuality of historical knowledge </w:t>
      </w:r>
      <w:r w:rsidR="00BE5BEB">
        <w:t>and</w:t>
      </w:r>
      <w:r w:rsidR="006A7236">
        <w:t xml:space="preserve"> </w:t>
      </w:r>
      <w:r w:rsidR="00150868">
        <w:t xml:space="preserve">questioning the very possibility of </w:t>
      </w:r>
      <w:r w:rsidR="006A7236">
        <w:t xml:space="preserve">knowing the past, </w:t>
      </w:r>
      <w:r w:rsidR="0082168D">
        <w:t xml:space="preserve">of </w:t>
      </w:r>
      <w:r w:rsidR="00150868">
        <w:t xml:space="preserve">establishing a univocal version of events </w:t>
      </w:r>
      <w:r>
        <w:t xml:space="preserve">and </w:t>
      </w:r>
      <w:r w:rsidR="0082168D">
        <w:t xml:space="preserve">of </w:t>
      </w:r>
      <w:r w:rsidR="00150868">
        <w:t>conveying the</w:t>
      </w:r>
      <w:r w:rsidR="00E11374">
        <w:t>se</w:t>
      </w:r>
      <w:r w:rsidR="00150868">
        <w:t xml:space="preserve"> </w:t>
      </w:r>
      <w:r w:rsidR="00E11374">
        <w:t>events</w:t>
      </w:r>
      <w:r w:rsidR="00150868">
        <w:t xml:space="preserve"> in a </w:t>
      </w:r>
      <w:r w:rsidR="005E4C1E">
        <w:t>novel</w:t>
      </w:r>
      <w:r w:rsidR="00150868">
        <w:t xml:space="preserve">, Andreï Makine’s writing </w:t>
      </w:r>
      <w:r>
        <w:t>potentially inscribes itself</w:t>
      </w:r>
      <w:r w:rsidR="00150868">
        <w:t xml:space="preserve"> into the current of historiographic metafiction</w:t>
      </w:r>
      <w:r>
        <w:t>,</w:t>
      </w:r>
      <w:r w:rsidR="00150868">
        <w:t xml:space="preserve"> as Hutcheon </w:t>
      </w:r>
      <w:r w:rsidR="00A33A03" w:rsidRPr="00A33A03">
        <w:lastRenderedPageBreak/>
        <w:t>dubs</w:t>
      </w:r>
      <w:r w:rsidR="00150868">
        <w:t xml:space="preserve"> </w:t>
      </w:r>
      <w:r w:rsidR="00654B16">
        <w:t>contemporary</w:t>
      </w:r>
      <w:r w:rsidR="00150868">
        <w:t xml:space="preserve"> </w:t>
      </w:r>
      <w:r w:rsidR="005E4C1E">
        <w:t>literature</w:t>
      </w:r>
      <w:r w:rsidR="00150868">
        <w:t xml:space="preserve"> </w:t>
      </w:r>
      <w:r w:rsidR="000A5B6F">
        <w:t>that</w:t>
      </w:r>
      <w:r w:rsidR="00150868">
        <w:t xml:space="preserve"> </w:t>
      </w:r>
      <w:r w:rsidR="005E4C1E">
        <w:t>i</w:t>
      </w:r>
      <w:r w:rsidR="00150868">
        <w:t>s ‘fundamentally contradictory, resolutely historical, and inescapably political’.</w:t>
      </w:r>
      <w:r w:rsidR="00150868" w:rsidRPr="00335AEE">
        <w:rPr>
          <w:rStyle w:val="Odwoanieprzypisukocowego"/>
          <w:szCs w:val="22"/>
        </w:rPr>
        <w:endnoteReference w:id="12"/>
      </w:r>
      <w:r w:rsidR="00150868">
        <w:t xml:space="preserve"> </w:t>
      </w:r>
      <w:r w:rsidR="006A7236">
        <w:t>H</w:t>
      </w:r>
      <w:r w:rsidR="00150868">
        <w:t xml:space="preserve">owever, </w:t>
      </w:r>
      <w:r w:rsidR="004175B8">
        <w:t>Makine’s preoccupation with Russia’s twentieth-century history</w:t>
      </w:r>
      <w:r w:rsidR="00F92808">
        <w:t>, which appears to be</w:t>
      </w:r>
      <w:r w:rsidR="00150868">
        <w:t xml:space="preserve"> </w:t>
      </w:r>
      <w:r w:rsidR="00F92808">
        <w:t>motivated by what Svetlana Boym defines as ‘a longing for a home that no longer exists or has never existed’, ‘a sentiment of loss and displacement’ and ‘a romance with one’s fantasy’,</w:t>
      </w:r>
      <w:r w:rsidR="00F92808" w:rsidRPr="00335AEE">
        <w:rPr>
          <w:rStyle w:val="Odwoanieprzypisukocowego"/>
          <w:szCs w:val="22"/>
        </w:rPr>
        <w:endnoteReference w:id="13"/>
      </w:r>
      <w:r w:rsidR="00F92808">
        <w:t xml:space="preserve"> jars</w:t>
      </w:r>
      <w:r w:rsidR="00150868">
        <w:t xml:space="preserve"> </w:t>
      </w:r>
      <w:r w:rsidR="00F92808">
        <w:t xml:space="preserve">with </w:t>
      </w:r>
      <w:r w:rsidR="00A077AD">
        <w:t>the Canadian theorist</w:t>
      </w:r>
      <w:r w:rsidR="00150868">
        <w:t xml:space="preserve">’s </w:t>
      </w:r>
      <w:r w:rsidR="00E11374">
        <w:t xml:space="preserve">belief </w:t>
      </w:r>
      <w:r w:rsidR="004175B8">
        <w:t>in</w:t>
      </w:r>
      <w:r w:rsidR="005E4C1E">
        <w:t xml:space="preserve"> </w:t>
      </w:r>
      <w:r w:rsidR="00150868">
        <w:t>postmodern historicity</w:t>
      </w:r>
      <w:r w:rsidR="004175B8">
        <w:t>’s</w:t>
      </w:r>
      <w:r w:rsidR="00150868">
        <w:t xml:space="preserve"> </w:t>
      </w:r>
      <w:r w:rsidR="006A7236">
        <w:t>divorce</w:t>
      </w:r>
      <w:r w:rsidR="00E11374">
        <w:t xml:space="preserve"> </w:t>
      </w:r>
      <w:r w:rsidR="005E4C1E">
        <w:t>from</w:t>
      </w:r>
      <w:r w:rsidR="00A077AD">
        <w:t xml:space="preserve"> nostalgia, instead</w:t>
      </w:r>
      <w:r w:rsidR="00A33A03">
        <w:t xml:space="preserve"> supporting Jameson’s</w:t>
      </w:r>
      <w:r w:rsidR="00A077AD">
        <w:t xml:space="preserve"> </w:t>
      </w:r>
      <w:r w:rsidR="00A33A03">
        <w:t xml:space="preserve">and </w:t>
      </w:r>
      <w:r w:rsidR="00A077AD">
        <w:t>Eagleton’s position.</w:t>
      </w:r>
      <w:r w:rsidR="00F92808">
        <w:t xml:space="preserve"> </w:t>
      </w:r>
      <w:r w:rsidR="00DE2D6A">
        <w:t>The fact that</w:t>
      </w:r>
      <w:r w:rsidR="00E11374">
        <w:t xml:space="preserve"> m</w:t>
      </w:r>
      <w:r w:rsidR="0082168D">
        <w:t>ost</w:t>
      </w:r>
      <w:r w:rsidR="00E11374">
        <w:t xml:space="preserve"> </w:t>
      </w:r>
      <w:r w:rsidR="00150868">
        <w:t>of Makine’s novels</w:t>
      </w:r>
      <w:r w:rsidR="00150868" w:rsidRPr="006A5EA0">
        <w:t xml:space="preserve"> </w:t>
      </w:r>
      <w:r w:rsidR="0082168D">
        <w:t xml:space="preserve">portray </w:t>
      </w:r>
      <w:r w:rsidR="006A7236">
        <w:t>the</w:t>
      </w:r>
      <w:r w:rsidR="00E11374">
        <w:t xml:space="preserve"> USSR as</w:t>
      </w:r>
      <w:r w:rsidR="00150868">
        <w:t xml:space="preserve"> a desirable alternative to the West, </w:t>
      </w:r>
      <w:r w:rsidR="00F2177E">
        <w:t xml:space="preserve">to </w:t>
      </w:r>
      <w:r w:rsidR="00150868">
        <w:t xml:space="preserve">post-communist Russia or </w:t>
      </w:r>
      <w:r w:rsidR="00BE5BEB">
        <w:t xml:space="preserve">even </w:t>
      </w:r>
      <w:r w:rsidR="00F2177E">
        <w:t>to</w:t>
      </w:r>
      <w:r w:rsidR="00150868">
        <w:t xml:space="preserve"> the </w:t>
      </w:r>
      <w:r w:rsidR="00776A1D">
        <w:t>Russia</w:t>
      </w:r>
      <w:r w:rsidR="00150868">
        <w:t xml:space="preserve"> of </w:t>
      </w:r>
      <w:r w:rsidR="00150868" w:rsidRPr="00832CD1">
        <w:rPr>
          <w:i/>
        </w:rPr>
        <w:t>glasnost</w:t>
      </w:r>
      <w:r w:rsidR="00150868">
        <w:t xml:space="preserve"> and </w:t>
      </w:r>
      <w:r w:rsidR="00150868" w:rsidRPr="00832CD1">
        <w:rPr>
          <w:i/>
        </w:rPr>
        <w:t>perestroika</w:t>
      </w:r>
      <w:r w:rsidR="00DE2D6A">
        <w:t xml:space="preserve">, </w:t>
      </w:r>
      <w:r w:rsidR="00A077AD">
        <w:t xml:space="preserve">thus </w:t>
      </w:r>
      <w:r w:rsidR="00DE4886">
        <w:t>creates</w:t>
      </w:r>
      <w:r w:rsidR="00A077AD">
        <w:t xml:space="preserve">, at least </w:t>
      </w:r>
      <w:r w:rsidR="00A33A03">
        <w:t>in the light</w:t>
      </w:r>
      <w:r w:rsidR="006B1E58">
        <w:t xml:space="preserve"> </w:t>
      </w:r>
      <w:r w:rsidR="00A33A03">
        <w:t>of</w:t>
      </w:r>
      <w:r w:rsidR="006B1E58">
        <w:t xml:space="preserve"> </w:t>
      </w:r>
      <w:r w:rsidR="00A077AD">
        <w:t xml:space="preserve">Hutcheon’s </w:t>
      </w:r>
      <w:r w:rsidR="00A33A03">
        <w:t>positive valorisation</w:t>
      </w:r>
      <w:r w:rsidR="00DE4886">
        <w:t xml:space="preserve"> </w:t>
      </w:r>
      <w:r w:rsidR="006B1E58">
        <w:t xml:space="preserve">of postmodernism, </w:t>
      </w:r>
      <w:r w:rsidR="00DE4886">
        <w:t xml:space="preserve">a tension </w:t>
      </w:r>
      <w:r w:rsidR="00150868">
        <w:t xml:space="preserve">between the </w:t>
      </w:r>
      <w:r w:rsidR="0059503E">
        <w:t xml:space="preserve">Franco-Russian writer’s </w:t>
      </w:r>
      <w:r w:rsidR="00150868">
        <w:t xml:space="preserve">poetics </w:t>
      </w:r>
      <w:r w:rsidR="0059503E">
        <w:t>and</w:t>
      </w:r>
      <w:r w:rsidR="00150868">
        <w:t xml:space="preserve"> </w:t>
      </w:r>
      <w:r w:rsidR="008D5D2B">
        <w:t xml:space="preserve">his </w:t>
      </w:r>
      <w:r w:rsidR="00554645">
        <w:t xml:space="preserve">novelistic treatment of </w:t>
      </w:r>
      <w:r w:rsidR="00685F01">
        <w:t xml:space="preserve">the </w:t>
      </w:r>
      <w:r w:rsidR="00E11374">
        <w:t>S</w:t>
      </w:r>
      <w:r w:rsidR="00150868">
        <w:t xml:space="preserve">oviet </w:t>
      </w:r>
      <w:r w:rsidR="00DE2D6A">
        <w:t xml:space="preserve">era. The present article sets out to explore this tension by </w:t>
      </w:r>
      <w:r w:rsidR="00DE4886">
        <w:t>focus</w:t>
      </w:r>
      <w:r w:rsidR="00685F01">
        <w:t>ing</w:t>
      </w:r>
      <w:r w:rsidR="00DE4886">
        <w:t xml:space="preserve"> </w:t>
      </w:r>
      <w:r w:rsidR="00150868">
        <w:t xml:space="preserve">on </w:t>
      </w:r>
      <w:r w:rsidR="0033542D">
        <w:t xml:space="preserve">Makine’s depiction of the </w:t>
      </w:r>
      <w:r w:rsidR="00335AEE" w:rsidRPr="00907BD6">
        <w:rPr>
          <w:i/>
        </w:rPr>
        <w:t>kommunalka</w:t>
      </w:r>
      <w:r w:rsidR="00335AEE">
        <w:t xml:space="preserve"> </w:t>
      </w:r>
      <w:r w:rsidR="00150868">
        <w:t>(</w:t>
      </w:r>
      <w:r w:rsidR="00335AEE">
        <w:t>communal apartment</w:t>
      </w:r>
      <w:r w:rsidR="00150868">
        <w:t>) and its ex</w:t>
      </w:r>
      <w:r w:rsidR="00DE4886">
        <w:t>tension, the communal courtyard</w:t>
      </w:r>
      <w:r w:rsidR="0082168D">
        <w:t>,</w:t>
      </w:r>
      <w:r w:rsidR="00DE4886">
        <w:t xml:space="preserve"> </w:t>
      </w:r>
      <w:r w:rsidR="00DE2D6A">
        <w:t xml:space="preserve">which, </w:t>
      </w:r>
      <w:r w:rsidR="00685F01">
        <w:t xml:space="preserve">I </w:t>
      </w:r>
      <w:r w:rsidR="006B1E58">
        <w:t xml:space="preserve">will </w:t>
      </w:r>
      <w:r w:rsidR="00685F01">
        <w:t>argue</w:t>
      </w:r>
      <w:r w:rsidR="00DE2D6A">
        <w:t>,</w:t>
      </w:r>
      <w:r w:rsidR="00685F01">
        <w:t xml:space="preserve"> </w:t>
      </w:r>
      <w:r w:rsidR="006B1E58">
        <w:t>the Franco-Russian author</w:t>
      </w:r>
      <w:r w:rsidR="00685F01">
        <w:t xml:space="preserve"> </w:t>
      </w:r>
      <w:r w:rsidR="006B1E58">
        <w:t>turns into</w:t>
      </w:r>
      <w:r w:rsidR="00995E6C">
        <w:t xml:space="preserve"> figures of wholeness</w:t>
      </w:r>
      <w:r w:rsidR="00A33A03">
        <w:t xml:space="preserve"> and, consequently, uses to offset</w:t>
      </w:r>
      <w:r w:rsidR="00995E6C">
        <w:t xml:space="preserve"> the sense of loss and fragmentation </w:t>
      </w:r>
      <w:r w:rsidR="00BE5BEB">
        <w:t xml:space="preserve">both </w:t>
      </w:r>
      <w:r w:rsidR="00FD1AA1">
        <w:t xml:space="preserve">thematised by and </w:t>
      </w:r>
      <w:r w:rsidR="00BE5BEB">
        <w:t>reflected in the narrative structure</w:t>
      </w:r>
      <w:r w:rsidR="00995E6C">
        <w:t xml:space="preserve"> </w:t>
      </w:r>
      <w:r w:rsidR="00BE5BEB">
        <w:t xml:space="preserve">of </w:t>
      </w:r>
      <w:r w:rsidR="00A33A03">
        <w:t>his</w:t>
      </w:r>
      <w:r w:rsidR="00995E6C">
        <w:t xml:space="preserve"> </w:t>
      </w:r>
      <w:r w:rsidR="00BE5BEB">
        <w:t>prose</w:t>
      </w:r>
      <w:r w:rsidR="00995E6C">
        <w:t xml:space="preserve">. In my </w:t>
      </w:r>
      <w:r w:rsidR="00150868">
        <w:t xml:space="preserve">analysis of </w:t>
      </w:r>
      <w:r w:rsidR="00150868" w:rsidRPr="00907BD6">
        <w:rPr>
          <w:i/>
        </w:rPr>
        <w:t>The Hero’s Daughter</w:t>
      </w:r>
      <w:r w:rsidR="00150868">
        <w:t xml:space="preserve"> (1991), </w:t>
      </w:r>
      <w:r w:rsidR="00150868" w:rsidRPr="0032751B">
        <w:rPr>
          <w:i/>
        </w:rPr>
        <w:t>Confessions of a Fallen Standard Bearer</w:t>
      </w:r>
      <w:r w:rsidR="00150868">
        <w:t xml:space="preserve"> (1992), </w:t>
      </w:r>
      <w:r w:rsidR="00150868" w:rsidRPr="00907BD6">
        <w:rPr>
          <w:i/>
        </w:rPr>
        <w:t>The Life of an Unknown Man</w:t>
      </w:r>
      <w:r w:rsidR="00150868">
        <w:rPr>
          <w:i/>
        </w:rPr>
        <w:t xml:space="preserve"> </w:t>
      </w:r>
      <w:r w:rsidR="00150868" w:rsidRPr="004C31E9">
        <w:t>(2009)</w:t>
      </w:r>
      <w:r w:rsidR="00150868">
        <w:t xml:space="preserve"> and </w:t>
      </w:r>
      <w:r w:rsidR="00150868" w:rsidRPr="00907BD6">
        <w:rPr>
          <w:i/>
        </w:rPr>
        <w:t>A Woman Loved</w:t>
      </w:r>
      <w:r w:rsidR="00150868">
        <w:t xml:space="preserve"> (2013) I </w:t>
      </w:r>
      <w:r w:rsidR="006B1E58">
        <w:t>will</w:t>
      </w:r>
      <w:r w:rsidR="005D25D7">
        <w:t xml:space="preserve"> </w:t>
      </w:r>
      <w:r w:rsidR="0094779C">
        <w:t>investigate</w:t>
      </w:r>
      <w:r w:rsidR="00685F01">
        <w:t xml:space="preserve"> th</w:t>
      </w:r>
      <w:r w:rsidR="00BE5BEB">
        <w:t>e</w:t>
      </w:r>
      <w:r w:rsidR="00685F01">
        <w:t xml:space="preserve"> </w:t>
      </w:r>
      <w:r w:rsidR="00886CB0">
        <w:t>postmodern texture of</w:t>
      </w:r>
      <w:r w:rsidR="00BE5BEB">
        <w:t xml:space="preserve"> Makine’s novels</w:t>
      </w:r>
      <w:r w:rsidR="00685F01">
        <w:t xml:space="preserve"> </w:t>
      </w:r>
      <w:r w:rsidR="00886CB0">
        <w:t>whose</w:t>
      </w:r>
      <w:r w:rsidR="0082168D">
        <w:t xml:space="preserve"> </w:t>
      </w:r>
      <w:r w:rsidR="00685F01">
        <w:t xml:space="preserve">diegesis is interwoven with metafictional comments concerning </w:t>
      </w:r>
      <w:r w:rsidR="00A345B2">
        <w:t xml:space="preserve">the </w:t>
      </w:r>
      <w:r w:rsidR="00685F01">
        <w:t xml:space="preserve">historical novelist’s daunting task, </w:t>
      </w:r>
      <w:r w:rsidR="00886CB0">
        <w:t>and whose</w:t>
      </w:r>
      <w:r w:rsidR="0082168D">
        <w:t xml:space="preserve"> </w:t>
      </w:r>
      <w:r w:rsidR="00685F01">
        <w:t xml:space="preserve">chronology is disrupted as </w:t>
      </w:r>
      <w:r w:rsidR="006B1E58">
        <w:t>multiple</w:t>
      </w:r>
      <w:r w:rsidR="00685F01">
        <w:t xml:space="preserve"> time frames are interlaced. Th</w:t>
      </w:r>
      <w:r w:rsidR="005D25D7">
        <w:t>is</w:t>
      </w:r>
      <w:r w:rsidR="00685F01">
        <w:t xml:space="preserve"> dis</w:t>
      </w:r>
      <w:r w:rsidR="003453D1">
        <w:t>jointed</w:t>
      </w:r>
      <w:r w:rsidR="00685F01">
        <w:t xml:space="preserve"> narrative dovetails</w:t>
      </w:r>
      <w:r w:rsidR="00A33A03">
        <w:t>, as I will demonstrate,</w:t>
      </w:r>
      <w:r w:rsidR="00685F01">
        <w:t xml:space="preserve"> with stories of lives broken by wars, revolutions and political terror, which separate lovers and deprive children of parents.</w:t>
      </w:r>
      <w:r w:rsidR="00A345B2" w:rsidRPr="00A345B2">
        <w:t xml:space="preserve"> </w:t>
      </w:r>
      <w:r w:rsidR="00A345B2">
        <w:t>Yet, in this bleak landscape human happiness per</w:t>
      </w:r>
      <w:r w:rsidR="003453D1">
        <w:t>sists, its major site</w:t>
      </w:r>
      <w:r w:rsidR="00A345B2">
        <w:t xml:space="preserve"> being the </w:t>
      </w:r>
      <w:r w:rsidR="00A345B2" w:rsidRPr="00583F45">
        <w:rPr>
          <w:i/>
        </w:rPr>
        <w:t>kommunalka</w:t>
      </w:r>
      <w:r w:rsidR="008F4CBC">
        <w:t>, which, as I will show by framing my discussion with the cultural criticism of Svetlana Boym and Erin Collopy, goes</w:t>
      </w:r>
      <w:r w:rsidR="00A345B2" w:rsidRPr="00A345B2">
        <w:t xml:space="preserve"> </w:t>
      </w:r>
      <w:r w:rsidR="008F4CBC">
        <w:t>against</w:t>
      </w:r>
      <w:r w:rsidR="00A345B2">
        <w:t xml:space="preserve"> the gene</w:t>
      </w:r>
      <w:r w:rsidR="003453D1">
        <w:t xml:space="preserve">rally negative </w:t>
      </w:r>
      <w:r w:rsidR="0066754E">
        <w:t>evaluation</w:t>
      </w:r>
      <w:r w:rsidR="003453D1">
        <w:t xml:space="preserve"> of </w:t>
      </w:r>
      <w:r w:rsidR="0082168D">
        <w:t>the</w:t>
      </w:r>
      <w:r w:rsidR="00A345B2">
        <w:t xml:space="preserve"> </w:t>
      </w:r>
      <w:r w:rsidR="003453D1">
        <w:t>chronotope</w:t>
      </w:r>
      <w:r w:rsidR="0082168D">
        <w:t xml:space="preserve"> of the communal apartment</w:t>
      </w:r>
      <w:r w:rsidR="008F4CBC">
        <w:t>. Indeed,</w:t>
      </w:r>
      <w:r w:rsidR="00FD1AA1">
        <w:t xml:space="preserve"> </w:t>
      </w:r>
      <w:r w:rsidR="00CF3F38">
        <w:t xml:space="preserve">Makine </w:t>
      </w:r>
      <w:r w:rsidR="00A345B2">
        <w:t xml:space="preserve">endows </w:t>
      </w:r>
      <w:r w:rsidR="008F4CBC">
        <w:t xml:space="preserve">the </w:t>
      </w:r>
      <w:r w:rsidR="008F4CBC" w:rsidRPr="00583F45">
        <w:rPr>
          <w:i/>
        </w:rPr>
        <w:t>kommunalka</w:t>
      </w:r>
      <w:r w:rsidR="008F4CBC">
        <w:t xml:space="preserve"> </w:t>
      </w:r>
      <w:r w:rsidR="00615B61">
        <w:t>wit</w:t>
      </w:r>
      <w:r w:rsidR="00A345B2">
        <w:t xml:space="preserve">h </w:t>
      </w:r>
      <w:r w:rsidR="00886CB0">
        <w:t>restorative</w:t>
      </w:r>
      <w:r w:rsidR="00A345B2">
        <w:t xml:space="preserve"> powers and represents</w:t>
      </w:r>
      <w:r w:rsidR="00615B61">
        <w:t xml:space="preserve"> as capable of </w:t>
      </w:r>
      <w:r w:rsidR="006B1E58">
        <w:t>smoothing out</w:t>
      </w:r>
      <w:r w:rsidR="00615B61">
        <w:t xml:space="preserve"> </w:t>
      </w:r>
      <w:r w:rsidR="0066754E">
        <w:t>social</w:t>
      </w:r>
      <w:r w:rsidR="00615B61">
        <w:t xml:space="preserve"> or </w:t>
      </w:r>
      <w:r w:rsidR="006B1E58">
        <w:t>ethnic</w:t>
      </w:r>
      <w:r w:rsidR="00615B61">
        <w:t xml:space="preserve"> divisions, reintegrating victims of social exclusion back into community</w:t>
      </w:r>
      <w:r w:rsidR="006B1E58">
        <w:t>,</w:t>
      </w:r>
      <w:r w:rsidR="00615B61" w:rsidRPr="0016425D">
        <w:t xml:space="preserve"> </w:t>
      </w:r>
      <w:r w:rsidR="00615B61">
        <w:t xml:space="preserve">or </w:t>
      </w:r>
      <w:r w:rsidR="00827557">
        <w:t xml:space="preserve">even </w:t>
      </w:r>
      <w:r w:rsidR="00615B61">
        <w:t xml:space="preserve">sheltering individuals from political </w:t>
      </w:r>
      <w:r w:rsidR="006B1E58">
        <w:t>terror</w:t>
      </w:r>
      <w:r w:rsidR="00615B61">
        <w:t xml:space="preserve">. </w:t>
      </w:r>
      <w:r w:rsidR="00B61B9B">
        <w:t xml:space="preserve">Testifying to </w:t>
      </w:r>
      <w:r w:rsidR="00827557">
        <w:t>the</w:t>
      </w:r>
      <w:r w:rsidR="00B61B9B">
        <w:t xml:space="preserve"> nostalgia</w:t>
      </w:r>
      <w:r w:rsidR="00827557">
        <w:t xml:space="preserve"> of Makine’s narrators who, </w:t>
      </w:r>
      <w:r w:rsidR="006B1E58">
        <w:t>styled</w:t>
      </w:r>
      <w:r w:rsidR="00827557">
        <w:t xml:space="preserve"> as the author’s alter-egos, </w:t>
      </w:r>
      <w:r w:rsidR="008F4CBC">
        <w:t>tend to be</w:t>
      </w:r>
      <w:r w:rsidR="00827557">
        <w:t xml:space="preserve"> Russian </w:t>
      </w:r>
      <w:r w:rsidR="006B1E58">
        <w:t>novelists exiled</w:t>
      </w:r>
      <w:r w:rsidR="00827557">
        <w:t xml:space="preserve"> in the West</w:t>
      </w:r>
      <w:r w:rsidR="00B61B9B">
        <w:t>,</w:t>
      </w:r>
      <w:r w:rsidR="00CF3F38">
        <w:rPr>
          <w:rStyle w:val="Odwoanieprzypisukocowego"/>
        </w:rPr>
        <w:endnoteReference w:id="14"/>
      </w:r>
      <w:r w:rsidR="00B61B9B">
        <w:t xml:space="preserve"> </w:t>
      </w:r>
      <w:r w:rsidR="00827557">
        <w:t xml:space="preserve">this idealistic </w:t>
      </w:r>
      <w:r w:rsidR="003453D1">
        <w:t>portrayal</w:t>
      </w:r>
      <w:r w:rsidR="00827557">
        <w:t xml:space="preserve"> of the </w:t>
      </w:r>
      <w:r w:rsidR="00827557" w:rsidRPr="00827557">
        <w:rPr>
          <w:i/>
        </w:rPr>
        <w:t>kommunalka</w:t>
      </w:r>
      <w:r w:rsidR="00827557">
        <w:t xml:space="preserve"> is meant</w:t>
      </w:r>
      <w:r w:rsidR="003453D1">
        <w:t xml:space="preserve">, I </w:t>
      </w:r>
      <w:r w:rsidR="006B1E58">
        <w:t xml:space="preserve">will </w:t>
      </w:r>
      <w:r w:rsidR="003453D1">
        <w:t>posit,</w:t>
      </w:r>
      <w:r w:rsidR="00827557">
        <w:t xml:space="preserve"> to alleviate the</w:t>
      </w:r>
      <w:r w:rsidR="006B1E58">
        <w:t>se émigré</w:t>
      </w:r>
      <w:r w:rsidR="008F4CBC">
        <w:t>s’</w:t>
      </w:r>
      <w:r w:rsidR="006B1E58">
        <w:t xml:space="preserve"> </w:t>
      </w:r>
      <w:r w:rsidR="00827557">
        <w:t xml:space="preserve">feeling of </w:t>
      </w:r>
      <w:r w:rsidR="00827557" w:rsidRPr="00AA34FC">
        <w:t>disintegration</w:t>
      </w:r>
      <w:r w:rsidR="00827557">
        <w:t xml:space="preserve"> caused by the debunking of the dream of a radiant fut</w:t>
      </w:r>
      <w:r w:rsidR="00A345B2">
        <w:t xml:space="preserve">ure that </w:t>
      </w:r>
      <w:r w:rsidR="003453D1">
        <w:t xml:space="preserve">legitimated </w:t>
      </w:r>
      <w:r w:rsidR="005D25D7">
        <w:t xml:space="preserve">communism and organised </w:t>
      </w:r>
      <w:r w:rsidR="00A345B2">
        <w:t>Soviet life</w:t>
      </w:r>
      <w:r w:rsidR="003453D1">
        <w:t>,</w:t>
      </w:r>
      <w:r w:rsidR="00827557">
        <w:t xml:space="preserve"> </w:t>
      </w:r>
      <w:r w:rsidR="00A345B2">
        <w:t xml:space="preserve">by </w:t>
      </w:r>
      <w:r w:rsidR="00827557">
        <w:t>the USSR’s ensuing disintegration and loss of superpower status</w:t>
      </w:r>
      <w:r w:rsidR="008F4CBC">
        <w:t>,</w:t>
      </w:r>
      <w:r w:rsidR="006B1E58">
        <w:t xml:space="preserve"> and by their own consequent sense of homelessness</w:t>
      </w:r>
      <w:r w:rsidR="00827557">
        <w:t xml:space="preserve">. </w:t>
      </w:r>
      <w:r w:rsidR="006B1E58">
        <w:t>This means that</w:t>
      </w:r>
      <w:r w:rsidR="00F2177E">
        <w:t xml:space="preserve"> </w:t>
      </w:r>
      <w:r w:rsidR="0033542D">
        <w:t>Makine’s</w:t>
      </w:r>
      <w:r w:rsidR="00F2177E">
        <w:t xml:space="preserve"> </w:t>
      </w:r>
      <w:r w:rsidR="0033542D" w:rsidRPr="0033542D">
        <w:t>romantic</w:t>
      </w:r>
      <w:r w:rsidR="0033542D">
        <w:t>ised</w:t>
      </w:r>
      <w:r w:rsidR="00F2177E">
        <w:t xml:space="preserve"> </w:t>
      </w:r>
      <w:r w:rsidR="00211A74">
        <w:t>vision</w:t>
      </w:r>
      <w:r w:rsidR="00F2177E">
        <w:t xml:space="preserve"> of the </w:t>
      </w:r>
      <w:r w:rsidR="00F2177E" w:rsidRPr="0033542D">
        <w:rPr>
          <w:i/>
        </w:rPr>
        <w:t>kommunalka</w:t>
      </w:r>
      <w:r w:rsidR="0033542D">
        <w:t xml:space="preserve">, </w:t>
      </w:r>
      <w:r w:rsidR="006B1E58">
        <w:t>staged</w:t>
      </w:r>
      <w:r w:rsidR="0033542D">
        <w:t xml:space="preserve"> </w:t>
      </w:r>
      <w:r w:rsidR="006B1E58">
        <w:t xml:space="preserve">by the author </w:t>
      </w:r>
      <w:r w:rsidR="003453D1">
        <w:t>as a microcosm of</w:t>
      </w:r>
      <w:r w:rsidR="0033542D">
        <w:t xml:space="preserve"> the Soviet Union, </w:t>
      </w:r>
      <w:r w:rsidR="008F4CBC">
        <w:t xml:space="preserve">is designed to </w:t>
      </w:r>
      <w:r w:rsidR="006B1E58">
        <w:t>re-inscribe</w:t>
      </w:r>
      <w:r w:rsidR="00B61B9B">
        <w:t xml:space="preserve"> imaginatively </w:t>
      </w:r>
      <w:r w:rsidR="00654B16">
        <w:t>and in the process of doing so</w:t>
      </w:r>
      <w:r w:rsidR="008F4CBC">
        <w:t xml:space="preserve"> </w:t>
      </w:r>
      <w:r w:rsidR="002A60D2">
        <w:t>glorif</w:t>
      </w:r>
      <w:r w:rsidR="00654B16">
        <w:t>ies</w:t>
      </w:r>
      <w:r w:rsidR="008F4CBC">
        <w:t xml:space="preserve"> </w:t>
      </w:r>
      <w:r w:rsidR="00211A74">
        <w:t>a</w:t>
      </w:r>
      <w:r w:rsidR="006B1E58">
        <w:t>n extinct</w:t>
      </w:r>
      <w:r w:rsidR="00B61B9B">
        <w:t xml:space="preserve"> polity and its way of life.</w:t>
      </w:r>
    </w:p>
    <w:p w14:paraId="2E7A15F9" w14:textId="13E2DCF1" w:rsidR="00150868" w:rsidRDefault="00150868" w:rsidP="002230CF">
      <w:pPr>
        <w:spacing w:line="360" w:lineRule="auto"/>
        <w:ind w:firstLine="708"/>
        <w:jc w:val="both"/>
      </w:pPr>
      <w:r>
        <w:t>Conceived by Lenin himself when in 1917 he decreed an expropriation and resettlement of private apartments,</w:t>
      </w:r>
      <w:r>
        <w:rPr>
          <w:rStyle w:val="Odwoanieprzypisukocowego"/>
        </w:rPr>
        <w:endnoteReference w:id="15"/>
      </w:r>
      <w:r>
        <w:t xml:space="preserve"> the </w:t>
      </w:r>
      <w:r w:rsidRPr="00345AE8">
        <w:rPr>
          <w:i/>
        </w:rPr>
        <w:t>kommunalka</w:t>
      </w:r>
      <w:r w:rsidR="00451B04">
        <w:t xml:space="preserve"> is</w:t>
      </w:r>
      <w:r>
        <w:t xml:space="preserve"> a memory of the various forms of pre-revolutionary collective living arrangements that resulted from urban poverty and housing shortages.</w:t>
      </w:r>
      <w:r w:rsidR="005D25D7">
        <w:rPr>
          <w:rStyle w:val="Odwoanieprzypisukocowego"/>
        </w:rPr>
        <w:endnoteReference w:id="16"/>
      </w:r>
      <w:r>
        <w:t xml:space="preserve"> It is also a clumsy implementation of the utopian dream of a house-commune — introduced in the 1920s to be abandoned in the 1930s</w:t>
      </w:r>
      <w:r>
        <w:rPr>
          <w:rStyle w:val="Odwoanieprzypisukocowego"/>
        </w:rPr>
        <w:endnoteReference w:id="17"/>
      </w:r>
      <w:r>
        <w:t xml:space="preserve"> — where kitchens and children were to be shared and bourgeois family </w:t>
      </w:r>
      <w:r w:rsidR="00785592">
        <w:t xml:space="preserve">was to be </w:t>
      </w:r>
      <w:r>
        <w:t xml:space="preserve">supplanted by proletarian comradeship. With the newly established minimum living space </w:t>
      </w:r>
      <w:r w:rsidR="00977FEE">
        <w:t>(</w:t>
      </w:r>
      <w:r>
        <w:t>ten square meters per person and thirteen per family</w:t>
      </w:r>
      <w:r w:rsidR="00977FEE">
        <w:t>)</w:t>
      </w:r>
      <w:r>
        <w:t xml:space="preserve">, most </w:t>
      </w:r>
      <w:r w:rsidR="00451B04">
        <w:t xml:space="preserve">big cities </w:t>
      </w:r>
      <w:r>
        <w:t xml:space="preserve">apartments were partitioned, </w:t>
      </w:r>
      <w:r w:rsidR="0066754E">
        <w:t xml:space="preserve">with </w:t>
      </w:r>
      <w:r>
        <w:t xml:space="preserve">bedrooms, dining rooms and servants’ </w:t>
      </w:r>
      <w:r w:rsidR="005C27CF">
        <w:t>quarters</w:t>
      </w:r>
      <w:r>
        <w:t xml:space="preserve"> becoming all-purpose rooms. Flimsy </w:t>
      </w:r>
      <w:r w:rsidR="00A01C3F">
        <w:t>walls</w:t>
      </w:r>
      <w:r>
        <w:t xml:space="preserve"> created </w:t>
      </w:r>
      <w:r w:rsidR="00977FEE">
        <w:t>mal</w:t>
      </w:r>
      <w:r>
        <w:t>functional spaces, some of them windowless, while the so-called ‘places of communal use’ — the corridor, bathroom and kitchen — saw ‘endless complaints [being] exchanged among fellow neighbours’.</w:t>
      </w:r>
      <w:r>
        <w:rPr>
          <w:rStyle w:val="Odwoanieprzypisukocowego"/>
        </w:rPr>
        <w:endnoteReference w:id="18"/>
      </w:r>
      <w:r>
        <w:t xml:space="preserve"> Having</w:t>
      </w:r>
      <w:r w:rsidRPr="00360F60">
        <w:t xml:space="preserve"> </w:t>
      </w:r>
      <w:r>
        <w:t>transformed, in Boym’s words, the socialist idyll into a socialist farce,</w:t>
      </w:r>
      <w:r>
        <w:rPr>
          <w:rStyle w:val="Odwoanieprzypisukocowego"/>
        </w:rPr>
        <w:endnoteReference w:id="19"/>
      </w:r>
      <w:r>
        <w:t xml:space="preserve"> </w:t>
      </w:r>
      <w:r w:rsidR="005E6EC0">
        <w:t>the</w:t>
      </w:r>
      <w:r>
        <w:t xml:space="preserve"> </w:t>
      </w:r>
      <w:r w:rsidRPr="00345AE8">
        <w:rPr>
          <w:i/>
        </w:rPr>
        <w:t>kommunalka</w:t>
      </w:r>
      <w:r>
        <w:t xml:space="preserve"> became ‘an institution of social </w:t>
      </w:r>
      <w:r w:rsidR="001854B0">
        <w:t>control and the breeding ground</w:t>
      </w:r>
      <w:r>
        <w:t xml:space="preserve"> of police informants’,</w:t>
      </w:r>
      <w:r>
        <w:rPr>
          <w:rStyle w:val="Odwoanieprzypisukocowego"/>
        </w:rPr>
        <w:endnoteReference w:id="20"/>
      </w:r>
      <w:r>
        <w:t xml:space="preserve"> while the Housing Committee that allocated living space was, </w:t>
      </w:r>
      <w:r w:rsidR="005C5941">
        <w:t>according to</w:t>
      </w:r>
      <w:r>
        <w:t xml:space="preserve"> Lidya Ginzburg, an ‘institution of denial of human rights — right to air, to toilet, to space’.</w:t>
      </w:r>
      <w:r>
        <w:rPr>
          <w:rStyle w:val="Odwoanieprzypisukocowego"/>
        </w:rPr>
        <w:endnoteReference w:id="21"/>
      </w:r>
      <w:r w:rsidR="0066754E">
        <w:t xml:space="preserve"> T</w:t>
      </w:r>
      <w:r>
        <w:t xml:space="preserve">he communal apartment is </w:t>
      </w:r>
      <w:r w:rsidR="0066754E">
        <w:t xml:space="preserve">thus </w:t>
      </w:r>
      <w:r>
        <w:t>generally see</w:t>
      </w:r>
      <w:r w:rsidR="00554645">
        <w:t xml:space="preserve">n as a pathological element of </w:t>
      </w:r>
      <w:r w:rsidR="005C5941">
        <w:t>S</w:t>
      </w:r>
      <w:r>
        <w:t>oviet life and th</w:t>
      </w:r>
      <w:r w:rsidR="00814593">
        <w:t>e metaphor of the worst of the S</w:t>
      </w:r>
      <w:r>
        <w:t>oviet period.</w:t>
      </w:r>
      <w:r>
        <w:rPr>
          <w:rStyle w:val="Odwoanieprzypisukocowego"/>
        </w:rPr>
        <w:endnoteReference w:id="22"/>
      </w:r>
    </w:p>
    <w:p w14:paraId="7F40E835" w14:textId="22628F27" w:rsidR="00785592" w:rsidRDefault="008F4CBC" w:rsidP="00785592">
      <w:pPr>
        <w:spacing w:line="360" w:lineRule="auto"/>
        <w:ind w:firstLine="709"/>
        <w:jc w:val="both"/>
      </w:pPr>
      <w:r>
        <w:t>Implicitly contradicting</w:t>
      </w:r>
      <w:r w:rsidR="00977FEE">
        <w:t xml:space="preserve"> the afore-cited opinions but </w:t>
      </w:r>
      <w:r>
        <w:t xml:space="preserve">aligning his figuration of the </w:t>
      </w:r>
      <w:r w:rsidRPr="008F4CBC">
        <w:rPr>
          <w:i/>
        </w:rPr>
        <w:t>kommunalka</w:t>
      </w:r>
      <w:r w:rsidR="00977FEE">
        <w:t xml:space="preserve"> with the post</w:t>
      </w:r>
      <w:r w:rsidR="00977FEE" w:rsidRPr="008B7158">
        <w:t>-</w:t>
      </w:r>
      <w:r w:rsidR="00814593">
        <w:t>S</w:t>
      </w:r>
      <w:r w:rsidR="00977FEE">
        <w:t xml:space="preserve">oviet </w:t>
      </w:r>
      <w:r w:rsidR="002A60D2">
        <w:t>and evidently nostalgia-driven celebration</w:t>
      </w:r>
      <w:r w:rsidR="00977FEE">
        <w:t xml:space="preserve"> of communal living,</w:t>
      </w:r>
      <w:r w:rsidR="00977FEE">
        <w:rPr>
          <w:rStyle w:val="Odwoanieprzypisukocowego"/>
        </w:rPr>
        <w:endnoteReference w:id="23"/>
      </w:r>
      <w:r w:rsidR="00977FEE">
        <w:t xml:space="preserve"> </w:t>
      </w:r>
      <w:r w:rsidR="00150868">
        <w:t xml:space="preserve">Makine </w:t>
      </w:r>
      <w:r w:rsidR="001854B0">
        <w:t>re-presents</w:t>
      </w:r>
      <w:r w:rsidR="00150868">
        <w:t xml:space="preserve"> the </w:t>
      </w:r>
      <w:r w:rsidR="00C03871">
        <w:t>shared</w:t>
      </w:r>
      <w:r w:rsidRPr="008F4CBC">
        <w:t xml:space="preserve"> apartment</w:t>
      </w:r>
      <w:r>
        <w:rPr>
          <w:i/>
        </w:rPr>
        <w:t xml:space="preserve"> </w:t>
      </w:r>
      <w:r w:rsidR="00150868">
        <w:t>as a continuation (or revival) of</w:t>
      </w:r>
      <w:r w:rsidR="00150868" w:rsidRPr="0076702A">
        <w:t xml:space="preserve"> </w:t>
      </w:r>
      <w:r w:rsidR="00785592">
        <w:t xml:space="preserve">inherently Russian communality, actualised by the </w:t>
      </w:r>
      <w:r w:rsidR="00785592" w:rsidRPr="00857622">
        <w:rPr>
          <w:i/>
        </w:rPr>
        <w:t>mir</w:t>
      </w:r>
      <w:r w:rsidR="00785592">
        <w:t xml:space="preserve">, a </w:t>
      </w:r>
      <w:r w:rsidR="00785592" w:rsidRPr="008B7158">
        <w:t>self-governing community of peasant households dating back to Imperial Russia</w:t>
      </w:r>
      <w:r w:rsidR="00785592">
        <w:t>.</w:t>
      </w:r>
      <w:r w:rsidR="00785592" w:rsidRPr="00785592">
        <w:t xml:space="preserve"> </w:t>
      </w:r>
      <w:r w:rsidR="00785592">
        <w:t xml:space="preserve">Structured by the ideal of </w:t>
      </w:r>
      <w:r w:rsidR="00785592" w:rsidRPr="00D542EF">
        <w:rPr>
          <w:i/>
        </w:rPr>
        <w:t>sobornost</w:t>
      </w:r>
      <w:r w:rsidR="00785592">
        <w:t>, a quasi-</w:t>
      </w:r>
      <w:r w:rsidR="00785592" w:rsidRPr="00AD1759">
        <w:t xml:space="preserve">untranslatable </w:t>
      </w:r>
      <w:r w:rsidR="00785592">
        <w:t>religious concept designating a common bond uniting members of a community</w:t>
      </w:r>
      <w:r w:rsidR="00785592">
        <w:rPr>
          <w:rStyle w:val="Odwoanieprzypisukocowego"/>
        </w:rPr>
        <w:endnoteReference w:id="24"/>
      </w:r>
      <w:r w:rsidR="00785592">
        <w:t xml:space="preserve"> and </w:t>
      </w:r>
      <w:r w:rsidR="00785592" w:rsidRPr="00AD1759">
        <w:t>‘</w:t>
      </w:r>
      <w:r w:rsidR="00785592">
        <w:t>the capacity to</w:t>
      </w:r>
      <w:r w:rsidR="00785592" w:rsidRPr="00AD1759">
        <w:t xml:space="preserve"> </w:t>
      </w:r>
      <w:r w:rsidR="00785592" w:rsidRPr="00741426">
        <w:t>surmount</w:t>
      </w:r>
      <w:r w:rsidR="00785592">
        <w:t xml:space="preserve"> one’s individuality, while maintaining respect </w:t>
      </w:r>
      <w:r w:rsidR="00785592" w:rsidRPr="008B7158">
        <w:t>for another person’s freedom’</w:t>
      </w:r>
      <w:r w:rsidR="00785592">
        <w:t>,</w:t>
      </w:r>
      <w:r w:rsidR="00785592" w:rsidRPr="008B7158">
        <w:rPr>
          <w:rStyle w:val="Odwoanieprzypisukocowego"/>
        </w:rPr>
        <w:endnoteReference w:id="25"/>
      </w:r>
      <w:r w:rsidR="00785592">
        <w:t xml:space="preserve"> the </w:t>
      </w:r>
      <w:r w:rsidR="00785592" w:rsidRPr="00230ADF">
        <w:rPr>
          <w:i/>
        </w:rPr>
        <w:t>mir</w:t>
      </w:r>
      <w:r w:rsidR="00785592">
        <w:rPr>
          <w:i/>
        </w:rPr>
        <w:t xml:space="preserve"> </w:t>
      </w:r>
      <w:r w:rsidR="00785592">
        <w:t>‘helped the sick and old, gave mutual aid to the needy, took care of all its members, and provided warm and supportive atmosphere’.</w:t>
      </w:r>
      <w:r w:rsidR="00785592">
        <w:rPr>
          <w:rStyle w:val="Odwoanieprzypisukocowego"/>
        </w:rPr>
        <w:endnoteReference w:id="26"/>
      </w:r>
      <w:r w:rsidR="00785592">
        <w:t xml:space="preserve"> Finally, adapted in the nineteenth century to secular life</w:t>
      </w:r>
      <w:r w:rsidR="00785592" w:rsidRPr="00AD1759">
        <w:t xml:space="preserve"> by the</w:t>
      </w:r>
      <w:r w:rsidR="00785592">
        <w:t xml:space="preserve"> resolutely anti-Western</w:t>
      </w:r>
      <w:r w:rsidR="00785592" w:rsidRPr="00785592">
        <w:t xml:space="preserve"> </w:t>
      </w:r>
      <w:r w:rsidR="00785592" w:rsidRPr="00AD1759">
        <w:t>Slavophil</w:t>
      </w:r>
      <w:r w:rsidR="00785592">
        <w:t xml:space="preserve">es, the </w:t>
      </w:r>
      <w:r w:rsidR="00785592" w:rsidRPr="00230ADF">
        <w:rPr>
          <w:i/>
        </w:rPr>
        <w:t>mir</w:t>
      </w:r>
      <w:r w:rsidR="00785592">
        <w:t xml:space="preserve"> has been seen</w:t>
      </w:r>
      <w:r w:rsidR="00785592" w:rsidRPr="008B7158">
        <w:t xml:space="preserve"> </w:t>
      </w:r>
      <w:r w:rsidR="00785592">
        <w:t>a</w:t>
      </w:r>
      <w:r w:rsidR="00785592" w:rsidRPr="008B7158">
        <w:t>s a Russian alternative to private life</w:t>
      </w:r>
      <w:r w:rsidR="00785592" w:rsidRPr="008B7158">
        <w:rPr>
          <w:rStyle w:val="Odwoanieprzypisukocowego"/>
        </w:rPr>
        <w:endnoteReference w:id="27"/>
      </w:r>
      <w:r w:rsidR="00785592" w:rsidRPr="008B7158">
        <w:t xml:space="preserve"> and an antipode to the Western concepts of the individual and identity.</w:t>
      </w:r>
      <w:r w:rsidR="00785592" w:rsidRPr="008B7158">
        <w:rPr>
          <w:rStyle w:val="Odwoanieprzypisukocowego"/>
        </w:rPr>
        <w:endnoteReference w:id="28"/>
      </w:r>
    </w:p>
    <w:p w14:paraId="09591A6A" w14:textId="2D167D05" w:rsidR="00150868" w:rsidRDefault="00793DE9" w:rsidP="00653580">
      <w:pPr>
        <w:spacing w:line="360" w:lineRule="auto"/>
        <w:ind w:firstLine="708"/>
        <w:jc w:val="both"/>
      </w:pPr>
      <w:r>
        <w:t>Th</w:t>
      </w:r>
      <w:r w:rsidR="000D6697">
        <w:t xml:space="preserve">at </w:t>
      </w:r>
      <w:r w:rsidR="0070682C">
        <w:t xml:space="preserve">Makine </w:t>
      </w:r>
      <w:r w:rsidR="00C03871">
        <w:t>recognises vestiges of</w:t>
      </w:r>
      <w:r w:rsidR="001854B0">
        <w:t xml:space="preserve"> </w:t>
      </w:r>
      <w:r w:rsidR="001854B0" w:rsidRPr="0076702A">
        <w:rPr>
          <w:i/>
        </w:rPr>
        <w:t>sobornost</w:t>
      </w:r>
      <w:r w:rsidR="001854B0" w:rsidRPr="001854B0">
        <w:t xml:space="preserve"> </w:t>
      </w:r>
      <w:r w:rsidR="00554645">
        <w:t xml:space="preserve">in various </w:t>
      </w:r>
      <w:r w:rsidR="00C03871">
        <w:t>forms</w:t>
      </w:r>
      <w:r w:rsidR="00554645">
        <w:t xml:space="preserve"> of </w:t>
      </w:r>
      <w:r>
        <w:t>S</w:t>
      </w:r>
      <w:r w:rsidR="001854B0">
        <w:t xml:space="preserve">oviet urban life </w:t>
      </w:r>
      <w:r w:rsidR="00C03871">
        <w:t>following Stalin’s dissolution of the</w:t>
      </w:r>
      <w:r w:rsidR="001854B0">
        <w:t xml:space="preserve"> </w:t>
      </w:r>
      <w:r w:rsidR="001854B0" w:rsidRPr="00857622">
        <w:rPr>
          <w:i/>
        </w:rPr>
        <w:t>mir</w:t>
      </w:r>
      <w:r w:rsidR="001854B0">
        <w:t xml:space="preserve"> </w:t>
      </w:r>
      <w:r w:rsidR="00C03871">
        <w:t xml:space="preserve">in </w:t>
      </w:r>
      <w:r w:rsidR="001854B0">
        <w:t>1929</w:t>
      </w:r>
      <w:r w:rsidR="0070682C">
        <w:t>,</w:t>
      </w:r>
      <w:r w:rsidR="001854B0">
        <w:rPr>
          <w:rStyle w:val="Odwoanieprzypisukocowego"/>
        </w:rPr>
        <w:endnoteReference w:id="29"/>
      </w:r>
      <w:r w:rsidR="0070682C">
        <w:t xml:space="preserve"> </w:t>
      </w:r>
      <w:r w:rsidR="009B380B">
        <w:t>is confirmed by</w:t>
      </w:r>
      <w:r w:rsidR="008C0082">
        <w:t xml:space="preserve"> </w:t>
      </w:r>
      <w:r w:rsidR="000D6697">
        <w:t>the writer’s</w:t>
      </w:r>
      <w:r w:rsidR="008C0082">
        <w:t xml:space="preserve"> depiction of</w:t>
      </w:r>
      <w:r w:rsidR="001854B0">
        <w:t xml:space="preserve"> the </w:t>
      </w:r>
      <w:r w:rsidR="001854B0" w:rsidRPr="00230ADF">
        <w:rPr>
          <w:i/>
        </w:rPr>
        <w:t>kommunalka</w:t>
      </w:r>
      <w:r w:rsidR="00F159BF">
        <w:t xml:space="preserve"> as </w:t>
      </w:r>
      <w:r w:rsidR="005C6DBB">
        <w:t>a locus of solidarity, and of</w:t>
      </w:r>
      <w:r w:rsidR="001854B0">
        <w:t xml:space="preserve"> its dwellers </w:t>
      </w:r>
      <w:r w:rsidR="005C6DBB">
        <w:t xml:space="preserve">as </w:t>
      </w:r>
      <w:r w:rsidR="00104007">
        <w:t>offer</w:t>
      </w:r>
      <w:r w:rsidR="001854B0">
        <w:t>ing each other spiritual support.</w:t>
      </w:r>
      <w:r w:rsidR="001854B0" w:rsidRPr="001854B0">
        <w:t xml:space="preserve"> </w:t>
      </w:r>
      <w:r w:rsidR="001854B0">
        <w:t>Such is the case</w:t>
      </w:r>
      <w:r w:rsidR="005C6DBB">
        <w:t xml:space="preserve"> in</w:t>
      </w:r>
      <w:r w:rsidR="001854B0">
        <w:t xml:space="preserve"> </w:t>
      </w:r>
      <w:r w:rsidR="0070682C" w:rsidRPr="0070682C">
        <w:rPr>
          <w:i/>
        </w:rPr>
        <w:t>The Hero’s Daughter</w:t>
      </w:r>
      <w:r w:rsidR="001854B0">
        <w:t xml:space="preserve"> </w:t>
      </w:r>
      <w:r w:rsidR="00150868">
        <w:t xml:space="preserve">whose central characters, Ivan and Tatyana Demidov, </w:t>
      </w:r>
      <w:r w:rsidR="000D6697">
        <w:t>inhabit</w:t>
      </w:r>
      <w:r w:rsidR="00F159BF">
        <w:t xml:space="preserve"> a communal apartment</w:t>
      </w:r>
      <w:r w:rsidR="00F159BF" w:rsidRPr="00F159BF">
        <w:t xml:space="preserve"> </w:t>
      </w:r>
      <w:r w:rsidR="00F159BF">
        <w:t xml:space="preserve">during the years separating </w:t>
      </w:r>
      <w:r w:rsidR="00C84B98">
        <w:t xml:space="preserve">their unsuccessful attempt to </w:t>
      </w:r>
      <w:r w:rsidR="00F159BF">
        <w:t xml:space="preserve">settle in Ivan’s native village </w:t>
      </w:r>
      <w:r w:rsidR="000D6697">
        <w:t>after</w:t>
      </w:r>
      <w:r w:rsidR="00F159BF">
        <w:t xml:space="preserve"> World War II and their move into their own flat</w:t>
      </w:r>
      <w:r w:rsidR="00F159BF" w:rsidRPr="00DB3427">
        <w:t xml:space="preserve"> </w:t>
      </w:r>
      <w:r w:rsidR="00F159BF">
        <w:t>during the Khrushchev era.</w:t>
      </w:r>
      <w:r w:rsidR="00F159BF">
        <w:rPr>
          <w:rStyle w:val="Odwoanieprzypisukocowego"/>
        </w:rPr>
        <w:endnoteReference w:id="30"/>
      </w:r>
      <w:r w:rsidR="00F159BF">
        <w:t xml:space="preserve"> </w:t>
      </w:r>
      <w:r w:rsidR="00104007">
        <w:t>Tellingly,</w:t>
      </w:r>
      <w:r w:rsidR="00150868">
        <w:t xml:space="preserve"> the</w:t>
      </w:r>
      <w:r w:rsidR="00C03871">
        <w:t xml:space="preserve"> Demidovs’</w:t>
      </w:r>
      <w:r w:rsidR="00F679BA">
        <w:t xml:space="preserve"> </w:t>
      </w:r>
      <w:r w:rsidR="00653580">
        <w:t>two</w:t>
      </w:r>
      <w:r w:rsidR="00F159BF">
        <w:t xml:space="preserve"> private </w:t>
      </w:r>
      <w:r w:rsidR="00653580">
        <w:t xml:space="preserve">homes </w:t>
      </w:r>
      <w:r w:rsidR="00B70628">
        <w:t xml:space="preserve">are </w:t>
      </w:r>
      <w:r w:rsidR="00653580">
        <w:t xml:space="preserve">both sites of tragic events, their </w:t>
      </w:r>
      <w:r w:rsidR="00653580" w:rsidRPr="00653580">
        <w:rPr>
          <w:i/>
        </w:rPr>
        <w:t>izba</w:t>
      </w:r>
      <w:r w:rsidR="00653580">
        <w:t xml:space="preserve"> becoming </w:t>
      </w:r>
      <w:r w:rsidR="00B70628">
        <w:t>a</w:t>
      </w:r>
      <w:r w:rsidR="00653580">
        <w:t xml:space="preserve"> stage </w:t>
      </w:r>
      <w:r w:rsidR="00B70628">
        <w:t>for</w:t>
      </w:r>
      <w:r w:rsidR="00653580">
        <w:t xml:space="preserve"> their first child’s death during the 1946–1</w:t>
      </w:r>
      <w:r w:rsidR="00B70628">
        <w:t>9</w:t>
      </w:r>
      <w:r w:rsidR="00653580">
        <w:t>47 famine</w:t>
      </w:r>
      <w:r w:rsidR="00B70628">
        <w:t>, and their individual apartment witnessing Tatyana’s untimely demise and Ivan’s resulting moral collapse and physical decline</w:t>
      </w:r>
      <w:r w:rsidR="00653580">
        <w:t>.</w:t>
      </w:r>
      <w:r w:rsidR="00653580" w:rsidRPr="00653580">
        <w:t xml:space="preserve"> </w:t>
      </w:r>
      <w:r w:rsidR="00B70628">
        <w:t>B</w:t>
      </w:r>
      <w:r w:rsidR="00653580">
        <w:t>ereaved and</w:t>
      </w:r>
      <w:r w:rsidR="00653580" w:rsidRPr="00F676C6">
        <w:t xml:space="preserve"> </w:t>
      </w:r>
      <w:r w:rsidR="00653580">
        <w:t xml:space="preserve">angered by the discrepancy between the official rose-tinted image of postwar reality and their personal experience, </w:t>
      </w:r>
      <w:r w:rsidR="00B70628">
        <w:t xml:space="preserve">after their new-born son’s death </w:t>
      </w:r>
      <w:r w:rsidR="00653580">
        <w:t>the Demidovs</w:t>
      </w:r>
      <w:r w:rsidR="00653580" w:rsidRPr="00653580">
        <w:t xml:space="preserve"> </w:t>
      </w:r>
      <w:r w:rsidR="00653580">
        <w:t xml:space="preserve">abandon the countryside for town where they are received into the fold of a surrogate extended family formed by their new neighbours. It is </w:t>
      </w:r>
      <w:r w:rsidR="00B70628">
        <w:t>note</w:t>
      </w:r>
      <w:r w:rsidR="00653580">
        <w:t>worth</w:t>
      </w:r>
      <w:r w:rsidR="00B70628">
        <w:t>y</w:t>
      </w:r>
      <w:r w:rsidR="00653580">
        <w:t xml:space="preserve"> that Makine’s representation of Tatyana’s and Ivan’s relocation </w:t>
      </w:r>
      <w:r w:rsidR="00B70628">
        <w:t>fails to reflect</w:t>
      </w:r>
      <w:r w:rsidR="00653580">
        <w:t xml:space="preserve"> Erin Collopy’s </w:t>
      </w:r>
      <w:r w:rsidR="00104007">
        <w:t>remark</w:t>
      </w:r>
      <w:r w:rsidR="00653580">
        <w:t xml:space="preserve"> that moving </w:t>
      </w:r>
      <w:r w:rsidR="00F679BA">
        <w:t>into a communal a</w:t>
      </w:r>
      <w:r w:rsidR="00F679BA" w:rsidRPr="009457F5">
        <w:t>partment</w:t>
      </w:r>
      <w:r w:rsidR="00F679BA">
        <w:t xml:space="preserve"> ‘added to the overall sense of displacement and estrangement that any resettlement incurs’</w:t>
      </w:r>
      <w:r w:rsidR="00A44761">
        <w:t>.</w:t>
      </w:r>
      <w:r w:rsidR="00F679BA">
        <w:rPr>
          <w:rStyle w:val="Odwoanieprzypisukocowego"/>
        </w:rPr>
        <w:endnoteReference w:id="31"/>
      </w:r>
      <w:r w:rsidR="000D5B2E">
        <w:t xml:space="preserve"> </w:t>
      </w:r>
      <w:r w:rsidR="00C84B98">
        <w:t xml:space="preserve">Additionally, </w:t>
      </w:r>
      <w:r w:rsidR="005917F6">
        <w:t>t</w:t>
      </w:r>
      <w:r w:rsidR="00C82D09">
        <w:t>he</w:t>
      </w:r>
      <w:r w:rsidR="00150868">
        <w:t xml:space="preserve"> </w:t>
      </w:r>
      <w:r w:rsidR="00A44761">
        <w:t xml:space="preserve">Demidovs’ </w:t>
      </w:r>
      <w:r w:rsidR="00E4268A" w:rsidRPr="00E4268A">
        <w:rPr>
          <w:i/>
        </w:rPr>
        <w:t>kommunalka</w:t>
      </w:r>
      <w:r w:rsidR="00C84B98">
        <w:t xml:space="preserve"> </w:t>
      </w:r>
      <w:r w:rsidR="00653580">
        <w:t xml:space="preserve">where two ubiquitous Russian families </w:t>
      </w:r>
      <w:r w:rsidR="00653580" w:rsidRPr="00AD1759">
        <w:t xml:space="preserve">— the </w:t>
      </w:r>
      <w:r w:rsidR="00653580">
        <w:t xml:space="preserve">young </w:t>
      </w:r>
      <w:r w:rsidR="00653580" w:rsidRPr="00AD1759">
        <w:t xml:space="preserve">Fedotovs and the </w:t>
      </w:r>
      <w:r w:rsidR="00653580">
        <w:t xml:space="preserve">older </w:t>
      </w:r>
      <w:r w:rsidR="00653580" w:rsidRPr="00AD1759">
        <w:t>Fedorovs</w:t>
      </w:r>
      <w:r w:rsidR="00653580">
        <w:t xml:space="preserve"> — rub (literally) shoulders with Sophia Abramovna, a </w:t>
      </w:r>
      <w:r w:rsidR="00653580" w:rsidRPr="00AD1759">
        <w:t>representative of the old Moscow intelligentsia</w:t>
      </w:r>
      <w:r w:rsidR="00653580">
        <w:t xml:space="preserve"> who,</w:t>
      </w:r>
      <w:r w:rsidR="00653580" w:rsidRPr="00AD1759">
        <w:t xml:space="preserve"> </w:t>
      </w:r>
      <w:r w:rsidR="00653580">
        <w:t>as suggested by her patronymic, is Jewish,</w:t>
      </w:r>
      <w:r w:rsidR="00653580">
        <w:rPr>
          <w:rStyle w:val="Odwoanieprzypisukocowego"/>
        </w:rPr>
        <w:endnoteReference w:id="32"/>
      </w:r>
      <w:r w:rsidR="00653580">
        <w:t xml:space="preserve"> is shown</w:t>
      </w:r>
      <w:r w:rsidR="00E4268A">
        <w:t xml:space="preserve"> as</w:t>
      </w:r>
      <w:r w:rsidR="00653580">
        <w:t xml:space="preserve"> </w:t>
      </w:r>
      <w:r w:rsidR="00150868">
        <w:t xml:space="preserve">capable of dissolving </w:t>
      </w:r>
      <w:r w:rsidR="005C6DBB">
        <w:t xml:space="preserve">pre-revolutionary class differences as well as </w:t>
      </w:r>
      <w:r w:rsidR="00150868">
        <w:t>generation</w:t>
      </w:r>
      <w:r w:rsidR="005C6DBB">
        <w:t xml:space="preserve"> and</w:t>
      </w:r>
      <w:r w:rsidR="00150868">
        <w:t xml:space="preserve"> ethnic </w:t>
      </w:r>
      <w:r w:rsidR="00653580">
        <w:t xml:space="preserve">divisions. </w:t>
      </w:r>
      <w:r w:rsidR="00150868" w:rsidRPr="00AD1759">
        <w:t xml:space="preserve">Although the neighbours </w:t>
      </w:r>
      <w:r w:rsidR="00150868">
        <w:t>may</w:t>
      </w:r>
      <w:r w:rsidR="00150868" w:rsidRPr="00AD1759">
        <w:t xml:space="preserve"> squabble over the use of the shared kitchen or bathroom, </w:t>
      </w:r>
      <w:r w:rsidR="00150868">
        <w:t>after each quarrel they</w:t>
      </w:r>
      <w:r w:rsidR="00150868" w:rsidRPr="00AD1759">
        <w:t xml:space="preserve"> </w:t>
      </w:r>
      <w:r w:rsidR="0006533B">
        <w:t>reconcile,</w:t>
      </w:r>
      <w:r w:rsidR="0006533B" w:rsidRPr="00AD1759">
        <w:t xml:space="preserve"> </w:t>
      </w:r>
      <w:r w:rsidR="0006533B">
        <w:t xml:space="preserve">as illustrated by this clichéd portrayal of </w:t>
      </w:r>
      <w:r w:rsidR="000D5B2E">
        <w:t>noisy</w:t>
      </w:r>
      <w:r w:rsidR="00C84B98">
        <w:t xml:space="preserve"> </w:t>
      </w:r>
      <w:r w:rsidR="0006533B">
        <w:t>Russian sentimentality</w:t>
      </w:r>
      <w:r w:rsidR="00150868">
        <w:t>: ‘they would make it up around a communal table and, after drinking a few vodkas, would begin to embrace, swearing eternal friendship and abjectly begging one another’s forgiveness with tears in their eyes’.</w:t>
      </w:r>
      <w:r w:rsidR="00150868">
        <w:rPr>
          <w:rStyle w:val="Odwoanieprzypisukocowego"/>
        </w:rPr>
        <w:endnoteReference w:id="33"/>
      </w:r>
      <w:r w:rsidR="00150868">
        <w:t xml:space="preserve"> Apart from fostering egalitarianism the </w:t>
      </w:r>
      <w:r w:rsidR="00150868" w:rsidRPr="004F7ECB">
        <w:rPr>
          <w:i/>
        </w:rPr>
        <w:t>kommunalka</w:t>
      </w:r>
      <w:r w:rsidR="00150868">
        <w:t xml:space="preserve"> </w:t>
      </w:r>
      <w:r w:rsidR="00C84B98">
        <w:t>offers</w:t>
      </w:r>
      <w:r w:rsidR="00150868">
        <w:t xml:space="preserve"> a </w:t>
      </w:r>
      <w:r w:rsidR="005917F6">
        <w:t xml:space="preserve">safe </w:t>
      </w:r>
      <w:r w:rsidR="00150868">
        <w:t xml:space="preserve">haven </w:t>
      </w:r>
      <w:r w:rsidR="00C84B98">
        <w:t>to</w:t>
      </w:r>
      <w:r w:rsidR="00150868">
        <w:t xml:space="preserve"> those who</w:t>
      </w:r>
      <w:r w:rsidR="005917F6">
        <w:t>se lives have been shattered by prewar and wartime violence.</w:t>
      </w:r>
      <w:r w:rsidR="00150868">
        <w:t xml:space="preserve"> </w:t>
      </w:r>
      <w:r w:rsidR="00944609">
        <w:t>If</w:t>
      </w:r>
      <w:r w:rsidR="005917F6">
        <w:t xml:space="preserve"> </w:t>
      </w:r>
      <w:r w:rsidR="000D5B2E">
        <w:t xml:space="preserve">Sophia Abramovna’s </w:t>
      </w:r>
      <w:r w:rsidR="005917F6">
        <w:t>unspeakably harrowing experience of</w:t>
      </w:r>
      <w:r w:rsidR="000D5B2E" w:rsidRPr="000D5B2E">
        <w:rPr>
          <w:i/>
        </w:rPr>
        <w:t xml:space="preserve"> </w:t>
      </w:r>
      <w:r w:rsidR="000D5B2E">
        <w:t xml:space="preserve">the </w:t>
      </w:r>
      <w:r w:rsidR="000D5B2E" w:rsidRPr="002726A9">
        <w:rPr>
          <w:i/>
        </w:rPr>
        <w:t>gulag</w:t>
      </w:r>
      <w:r w:rsidR="000D5B2E">
        <w:t xml:space="preserve"> </w:t>
      </w:r>
      <w:r w:rsidR="00150868">
        <w:t xml:space="preserve">can be </w:t>
      </w:r>
      <w:r w:rsidR="00096C00">
        <w:t>inferred</w:t>
      </w:r>
      <w:r w:rsidR="00150868">
        <w:t xml:space="preserve"> from her wandering gaze or from the </w:t>
      </w:r>
      <w:r w:rsidR="00C82D09">
        <w:t xml:space="preserve">uncharacteristically </w:t>
      </w:r>
      <w:r w:rsidR="00150868">
        <w:t xml:space="preserve">foul language she breaks </w:t>
      </w:r>
      <w:r w:rsidR="00C84B98">
        <w:t>into when</w:t>
      </w:r>
      <w:r w:rsidR="00150868">
        <w:t xml:space="preserve"> argu</w:t>
      </w:r>
      <w:r w:rsidR="00C84B98">
        <w:t>ing</w:t>
      </w:r>
      <w:r w:rsidR="00150868">
        <w:t xml:space="preserve"> with </w:t>
      </w:r>
      <w:r w:rsidR="007C4C4D">
        <w:t xml:space="preserve">her neighbours, the Fedorovs </w:t>
      </w:r>
      <w:r w:rsidR="003F3DDB">
        <w:t>have been in</w:t>
      </w:r>
      <w:r w:rsidR="00150868">
        <w:t xml:space="preserve"> limbo since their son went m</w:t>
      </w:r>
      <w:r w:rsidR="007C4C4D">
        <w:t>issing in action during the war.</w:t>
      </w:r>
      <w:r w:rsidR="00150868">
        <w:t xml:space="preserve"> </w:t>
      </w:r>
      <w:r w:rsidR="007C4C4D">
        <w:t xml:space="preserve">As for </w:t>
      </w:r>
      <w:r w:rsidR="00150868">
        <w:t xml:space="preserve">the </w:t>
      </w:r>
      <w:r w:rsidR="00653580">
        <w:t>Demidovs</w:t>
      </w:r>
      <w:r w:rsidR="00E4268A">
        <w:t xml:space="preserve"> themselves</w:t>
      </w:r>
      <w:r w:rsidR="00653580">
        <w:t>, the couple’s</w:t>
      </w:r>
      <w:r w:rsidR="007C4C4D">
        <w:t xml:space="preserve"> </w:t>
      </w:r>
      <w:r w:rsidR="00653580">
        <w:t xml:space="preserve">gradual recovery from their loss is communicated </w:t>
      </w:r>
      <w:r w:rsidR="00150868">
        <w:t xml:space="preserve">by the scene showing them dance in the courtyard to </w:t>
      </w:r>
      <w:r w:rsidR="00150868" w:rsidRPr="00AD1759">
        <w:t>tangoes</w:t>
      </w:r>
      <w:r w:rsidR="00150868">
        <w:t xml:space="preserve"> pouring from Fedotov’s gramophone. The couple’s festive mood is emphasised by their attire — Ivan sports a jacket with all his medals and Tatyana her wedding blouse —, which connotes the two high points in the</w:t>
      </w:r>
      <w:r w:rsidR="00C643FB">
        <w:t>ir</w:t>
      </w:r>
      <w:r w:rsidR="00150868">
        <w:t xml:space="preserve"> lives: their marriage and </w:t>
      </w:r>
      <w:r w:rsidR="00B86906">
        <w:t>World War II</w:t>
      </w:r>
      <w:r w:rsidR="00150868">
        <w:t xml:space="preserve"> that turned Ivan from a country lad into a revered Hero and Tatyana into </w:t>
      </w:r>
      <w:r w:rsidR="00B86906">
        <w:t>a</w:t>
      </w:r>
      <w:r w:rsidR="00150868">
        <w:t xml:space="preserve"> Hero’s wife: ‘[T]hey danced together, smiling at one another, letting themselves be carried away by the sweet dreaminess of the words [of a song]</w:t>
      </w:r>
      <w:r w:rsidR="00150868" w:rsidRPr="00AD1759">
        <w:t>’</w:t>
      </w:r>
      <w:r w:rsidR="00150868">
        <w:t>.</w:t>
      </w:r>
      <w:r w:rsidR="00150868">
        <w:rPr>
          <w:rStyle w:val="Odwoanieprzypisukocowego"/>
        </w:rPr>
        <w:endnoteReference w:id="34"/>
      </w:r>
      <w:r w:rsidR="00150868">
        <w:t xml:space="preserve"> An interesting detail here is the </w:t>
      </w:r>
      <w:r w:rsidR="00150868" w:rsidRPr="00AD1759">
        <w:t>gramophone</w:t>
      </w:r>
      <w:r w:rsidR="002E68AF">
        <w:t>, which</w:t>
      </w:r>
      <w:r w:rsidR="00B86906">
        <w:t>,</w:t>
      </w:r>
      <w:r w:rsidR="002E68AF">
        <w:t xml:space="preserve"> </w:t>
      </w:r>
      <w:r w:rsidR="00B86906" w:rsidRPr="00AD1759">
        <w:t>together with rubber plants, geraniums and all the other ‘domestic trash</w:t>
      </w:r>
      <w:r w:rsidR="00B86906">
        <w:t xml:space="preserve">’, </w:t>
      </w:r>
      <w:r w:rsidR="002E68AF">
        <w:t>was</w:t>
      </w:r>
      <w:r w:rsidR="00150868">
        <w:t xml:space="preserve"> </w:t>
      </w:r>
      <w:r w:rsidR="00150868" w:rsidRPr="00AD1759">
        <w:t>banned from post</w:t>
      </w:r>
      <w:r w:rsidR="00150868">
        <w:rPr>
          <w:szCs w:val="22"/>
        </w:rPr>
        <w:t>-</w:t>
      </w:r>
      <w:r w:rsidR="00150868" w:rsidRPr="00AD1759">
        <w:t>revolutionary living spaces</w:t>
      </w:r>
      <w:r w:rsidR="00653580">
        <w:t>,</w:t>
      </w:r>
      <w:r w:rsidR="00150868" w:rsidRPr="00AD1759">
        <w:rPr>
          <w:rStyle w:val="Odwoanieprzypisukocowego"/>
        </w:rPr>
        <w:endnoteReference w:id="35"/>
      </w:r>
      <w:r w:rsidR="00150868">
        <w:t xml:space="preserve"> </w:t>
      </w:r>
      <w:r w:rsidR="00653580">
        <w:t>but which Makine</w:t>
      </w:r>
      <w:r w:rsidR="00150868">
        <w:t xml:space="preserve"> release</w:t>
      </w:r>
      <w:r w:rsidR="00653580">
        <w:t>s</w:t>
      </w:r>
      <w:r w:rsidR="00150868">
        <w:t xml:space="preserve"> from its reactionary connotations </w:t>
      </w:r>
      <w:r w:rsidR="00104007">
        <w:t>by having it serve</w:t>
      </w:r>
      <w:r w:rsidR="00150868">
        <w:t xml:space="preserve"> communal </w:t>
      </w:r>
      <w:r w:rsidR="00B86906">
        <w:t xml:space="preserve">rather than individual </w:t>
      </w:r>
      <w:r w:rsidR="00150868">
        <w:t xml:space="preserve">entertainment. </w:t>
      </w:r>
      <w:r w:rsidR="003F3DDB">
        <w:t>In short, t</w:t>
      </w:r>
      <w:r w:rsidR="00150868">
        <w:t xml:space="preserve">he years the Demidovs spend in </w:t>
      </w:r>
      <w:r w:rsidR="00B86906">
        <w:t>a</w:t>
      </w:r>
      <w:r w:rsidR="00150868">
        <w:t xml:space="preserve"> </w:t>
      </w:r>
      <w:r w:rsidR="00150868" w:rsidRPr="001D5A30">
        <w:rPr>
          <w:i/>
        </w:rPr>
        <w:t>kommunalka</w:t>
      </w:r>
      <w:r w:rsidR="00150868">
        <w:t xml:space="preserve"> </w:t>
      </w:r>
      <w:r w:rsidR="00B86906">
        <w:t>are the happiest in their lives, for</w:t>
      </w:r>
      <w:r w:rsidR="00C643FB">
        <w:t>,</w:t>
      </w:r>
      <w:r w:rsidR="00B86906" w:rsidRPr="00B86906">
        <w:t xml:space="preserve"> </w:t>
      </w:r>
      <w:r w:rsidR="00B86906">
        <w:t xml:space="preserve">like their </w:t>
      </w:r>
      <w:r w:rsidR="00B86906" w:rsidRPr="0031716E">
        <w:rPr>
          <w:i/>
        </w:rPr>
        <w:t>izba</w:t>
      </w:r>
      <w:r w:rsidR="00B86906">
        <w:t xml:space="preserve">, their individual flat </w:t>
      </w:r>
      <w:r w:rsidR="00150868">
        <w:t xml:space="preserve">is marked by </w:t>
      </w:r>
      <w:r w:rsidR="00B86906">
        <w:t xml:space="preserve">loss and </w:t>
      </w:r>
      <w:r w:rsidR="00150868">
        <w:t>desolation</w:t>
      </w:r>
      <w:r w:rsidR="00B86906">
        <w:t>:</w:t>
      </w:r>
      <w:r w:rsidR="00150868">
        <w:t xml:space="preserve"> </w:t>
      </w:r>
      <w:r w:rsidR="00E4268A">
        <w:t>having been widowed,</w:t>
      </w:r>
      <w:r w:rsidR="00150868">
        <w:t xml:space="preserve"> Ivan </w:t>
      </w:r>
      <w:r w:rsidR="00E4268A">
        <w:t>succumbs to</w:t>
      </w:r>
      <w:r w:rsidR="00B86906">
        <w:t xml:space="preserve"> depress</w:t>
      </w:r>
      <w:r w:rsidR="00E4268A">
        <w:t>iong</w:t>
      </w:r>
      <w:r w:rsidR="00B86906">
        <w:t>, takes to drink</w:t>
      </w:r>
      <w:r w:rsidR="00D42ABE">
        <w:t>, compromises himself by selling off his medals</w:t>
      </w:r>
      <w:r w:rsidR="00B86906">
        <w:t xml:space="preserve"> </w:t>
      </w:r>
      <w:r w:rsidR="00150868">
        <w:t xml:space="preserve">and, finally, </w:t>
      </w:r>
      <w:r w:rsidR="00D85986">
        <w:t>tries to take</w:t>
      </w:r>
      <w:r w:rsidR="00F217B7">
        <w:t xml:space="preserve"> his own life</w:t>
      </w:r>
      <w:r w:rsidR="002E68AF">
        <w:t>.</w:t>
      </w:r>
      <w:r w:rsidR="00150868">
        <w:t xml:space="preserve"> </w:t>
      </w:r>
    </w:p>
    <w:p w14:paraId="333EC93B" w14:textId="6644E7A5" w:rsidR="00150868" w:rsidRDefault="00C643FB" w:rsidP="00D42ABE">
      <w:pPr>
        <w:spacing w:line="360" w:lineRule="auto"/>
        <w:ind w:firstLine="708"/>
        <w:jc w:val="both"/>
      </w:pPr>
      <w:r>
        <w:t xml:space="preserve">The </w:t>
      </w:r>
      <w:r w:rsidRPr="003F60B0">
        <w:rPr>
          <w:i/>
        </w:rPr>
        <w:t>kommunalka</w:t>
      </w:r>
      <w:r>
        <w:t xml:space="preserve"> is e</w:t>
      </w:r>
      <w:r w:rsidR="00150868">
        <w:t>ven more romanticised in Makine’s second novel, set largely durin</w:t>
      </w:r>
      <w:r w:rsidR="00963154">
        <w:t>g Khrushchev’s Thaw</w:t>
      </w:r>
      <w:r w:rsidR="00D42ABE">
        <w:t xml:space="preserve"> (1953–1964)</w:t>
      </w:r>
      <w:r w:rsidR="000B37F0">
        <w:t xml:space="preserve"> </w:t>
      </w:r>
      <w:r w:rsidR="00104007">
        <w:t>that</w:t>
      </w:r>
      <w:r w:rsidR="000B37F0">
        <w:t>,</w:t>
      </w:r>
      <w:r w:rsidR="00150868">
        <w:t xml:space="preserve"> </w:t>
      </w:r>
      <w:r w:rsidR="000B37F0">
        <w:t>it</w:t>
      </w:r>
      <w:r w:rsidR="00963154">
        <w:t xml:space="preserve"> </w:t>
      </w:r>
      <w:r w:rsidR="000B37F0">
        <w:t xml:space="preserve">must </w:t>
      </w:r>
      <w:r w:rsidR="00963154">
        <w:t xml:space="preserve">be </w:t>
      </w:r>
      <w:r w:rsidR="00D17D13">
        <w:t>stressed</w:t>
      </w:r>
      <w:r w:rsidR="00150868">
        <w:t>, together with Brezhnev’s Stagnation</w:t>
      </w:r>
      <w:r w:rsidR="00D42ABE">
        <w:t xml:space="preserve"> (1965–1982)</w:t>
      </w:r>
      <w:r w:rsidR="00150868">
        <w:t>, has bee</w:t>
      </w:r>
      <w:r w:rsidR="00554645">
        <w:t>n the most missed time in post-</w:t>
      </w:r>
      <w:r w:rsidR="007C033E">
        <w:t>S</w:t>
      </w:r>
      <w:r w:rsidR="00150868">
        <w:t>oviet Russia where it has been associated with stability and remembered as future-oriented.</w:t>
      </w:r>
      <w:r w:rsidR="00150868">
        <w:rPr>
          <w:rStyle w:val="Odwoanieprzypisukocowego"/>
        </w:rPr>
        <w:endnoteReference w:id="36"/>
      </w:r>
      <w:r w:rsidR="00150868">
        <w:t xml:space="preserve"> Altho</w:t>
      </w:r>
      <w:r w:rsidR="00554645">
        <w:t xml:space="preserve">ugh when reminiscing about his </w:t>
      </w:r>
      <w:r w:rsidR="00150868">
        <w:t xml:space="preserve">childhood from the vantage point of his Parisian exile, the narrator </w:t>
      </w:r>
      <w:r w:rsidR="00D42ABE">
        <w:t xml:space="preserve">of </w:t>
      </w:r>
      <w:r w:rsidR="00D42ABE" w:rsidRPr="004F1062">
        <w:rPr>
          <w:i/>
        </w:rPr>
        <w:t>Confessions of a Fallen Standard-Bearer</w:t>
      </w:r>
      <w:r w:rsidR="00D42ABE">
        <w:t xml:space="preserve"> (henceforth </w:t>
      </w:r>
      <w:r w:rsidR="00D42ABE" w:rsidRPr="004F1062">
        <w:rPr>
          <w:i/>
        </w:rPr>
        <w:t>Confessions</w:t>
      </w:r>
      <w:r w:rsidR="00D42ABE">
        <w:t>)</w:t>
      </w:r>
      <w:r w:rsidR="00D42ABE" w:rsidRPr="00D42ABE">
        <w:t xml:space="preserve"> </w:t>
      </w:r>
      <w:r w:rsidR="00D42ABE">
        <w:t>may be sceptical about the official optimism marking Khrushchev’s era, Alyosha</w:t>
      </w:r>
      <w:r w:rsidR="00C500A0">
        <w:t xml:space="preserve"> Evdokimov</w:t>
      </w:r>
      <w:r w:rsidR="00D42ABE">
        <w:t xml:space="preserve">’s </w:t>
      </w:r>
      <w:r w:rsidR="00D42ABE" w:rsidRPr="00486773">
        <w:t>cynicism</w:t>
      </w:r>
      <w:r w:rsidR="00D42ABE">
        <w:t xml:space="preserve"> never </w:t>
      </w:r>
      <w:r w:rsidR="00150868">
        <w:t>extend</w:t>
      </w:r>
      <w:r w:rsidR="00D42ABE">
        <w:t>s</w:t>
      </w:r>
      <w:r w:rsidR="00150868">
        <w:t xml:space="preserve"> to his private — or rather not so private —</w:t>
      </w:r>
      <w:r w:rsidR="00D17D13">
        <w:t xml:space="preserve"> </w:t>
      </w:r>
      <w:r w:rsidR="00150868">
        <w:t xml:space="preserve">life in a </w:t>
      </w:r>
      <w:r w:rsidR="00150868" w:rsidRPr="000D28DF">
        <w:rPr>
          <w:i/>
        </w:rPr>
        <w:t>kom</w:t>
      </w:r>
      <w:r w:rsidR="00150868">
        <w:rPr>
          <w:i/>
        </w:rPr>
        <w:t>mual</w:t>
      </w:r>
      <w:r w:rsidR="00150868" w:rsidRPr="000D28DF">
        <w:rPr>
          <w:i/>
        </w:rPr>
        <w:t>ka</w:t>
      </w:r>
      <w:r w:rsidR="00150868">
        <w:t xml:space="preserve">. While such an uncritical perception of reality may be typical for a child’s perspective, </w:t>
      </w:r>
      <w:r w:rsidR="000B37F0">
        <w:t xml:space="preserve">it is surprising that </w:t>
      </w:r>
      <w:r w:rsidR="00150868">
        <w:t xml:space="preserve">the adult narrator </w:t>
      </w:r>
      <w:r w:rsidR="00104007">
        <w:t>never</w:t>
      </w:r>
      <w:r w:rsidR="00D42ABE">
        <w:t xml:space="preserve"> distance</w:t>
      </w:r>
      <w:r w:rsidR="00104007">
        <w:t>s</w:t>
      </w:r>
      <w:r w:rsidR="00150868">
        <w:t xml:space="preserve"> himself from his memories, </w:t>
      </w:r>
      <w:r w:rsidR="000B37F0">
        <w:t>and that</w:t>
      </w:r>
      <w:r w:rsidR="0074400D">
        <w:t>, typical</w:t>
      </w:r>
      <w:r w:rsidR="00FF533A">
        <w:t>ly</w:t>
      </w:r>
      <w:r w:rsidR="0074400D">
        <w:t xml:space="preserve"> for those </w:t>
      </w:r>
      <w:r w:rsidR="00150868">
        <w:t>be</w:t>
      </w:r>
      <w:r w:rsidR="0074400D">
        <w:t>ing</w:t>
      </w:r>
      <w:r w:rsidR="00150868">
        <w:t xml:space="preserve"> hostage to nostalgia</w:t>
      </w:r>
      <w:r w:rsidR="0074400D">
        <w:t>,</w:t>
      </w:r>
      <w:r w:rsidR="00150868">
        <w:t xml:space="preserve"> ‘</w:t>
      </w:r>
      <w:r w:rsidR="0074400D">
        <w:t>confus</w:t>
      </w:r>
      <w:r w:rsidR="000B37F0">
        <w:t>e[s]</w:t>
      </w:r>
      <w:r w:rsidR="0074400D">
        <w:t xml:space="preserve"> </w:t>
      </w:r>
      <w:r w:rsidR="00150868">
        <w:t>the actual home and the imaginary one’.</w:t>
      </w:r>
      <w:r w:rsidR="00150868">
        <w:rPr>
          <w:rStyle w:val="Odwoanieprzypisukocowego"/>
        </w:rPr>
        <w:endnoteReference w:id="37"/>
      </w:r>
      <w:r w:rsidR="00150868">
        <w:t xml:space="preserve"> In a </w:t>
      </w:r>
      <w:r w:rsidR="0074400D">
        <w:t>novel</w:t>
      </w:r>
      <w:r w:rsidR="00150868">
        <w:t xml:space="preserve"> that is both a tribute to </w:t>
      </w:r>
      <w:r w:rsidR="00D42ABE">
        <w:t>the</w:t>
      </w:r>
      <w:r w:rsidR="00150868">
        <w:t xml:space="preserve"> </w:t>
      </w:r>
      <w:r w:rsidR="00D42ABE">
        <w:t xml:space="preserve">generation of Alyosha’s </w:t>
      </w:r>
      <w:r w:rsidR="00150868">
        <w:t xml:space="preserve">parents’ and a desperate attempt to </w:t>
      </w:r>
      <w:r w:rsidR="000B37F0" w:rsidRPr="0074400D">
        <w:t>counterbalance</w:t>
      </w:r>
      <w:r w:rsidR="00150868">
        <w:t xml:space="preserve"> </w:t>
      </w:r>
      <w:r w:rsidR="00836484">
        <w:t xml:space="preserve">the protagonist-narrator’s </w:t>
      </w:r>
      <w:r w:rsidR="00150868">
        <w:t xml:space="preserve">own </w:t>
      </w:r>
      <w:r w:rsidR="00D42ABE">
        <w:t xml:space="preserve">exilic </w:t>
      </w:r>
      <w:r w:rsidR="00150868">
        <w:t xml:space="preserve">sense of alienation and fragmentation with images of carefree communality, the enforced comradeship of </w:t>
      </w:r>
      <w:r w:rsidR="00D42ABE">
        <w:t>the</w:t>
      </w:r>
      <w:r w:rsidR="00FF533A">
        <w:t xml:space="preserve"> </w:t>
      </w:r>
      <w:r w:rsidR="00150868">
        <w:t>pioneer camp</w:t>
      </w:r>
      <w:r w:rsidR="00D42ABE">
        <w:t xml:space="preserve"> </w:t>
      </w:r>
      <w:r w:rsidR="00836484">
        <w:t>Alyosha</w:t>
      </w:r>
      <w:r w:rsidR="00D42ABE">
        <w:t xml:space="preserve"> attended</w:t>
      </w:r>
      <w:r w:rsidR="00150868">
        <w:t xml:space="preserve"> </w:t>
      </w:r>
      <w:r w:rsidR="00836484">
        <w:t xml:space="preserve">is opposed </w:t>
      </w:r>
      <w:r w:rsidR="00150868">
        <w:t xml:space="preserve">to the spontaneous and organic solidarity of the housing estate where he lived with his parents. </w:t>
      </w:r>
      <w:r w:rsidR="000B37F0">
        <w:t xml:space="preserve">Like in </w:t>
      </w:r>
      <w:r w:rsidR="000B37F0" w:rsidRPr="000B37F0">
        <w:rPr>
          <w:i/>
        </w:rPr>
        <w:t>The Hero’s Daughter</w:t>
      </w:r>
      <w:r w:rsidR="00963154">
        <w:t>,</w:t>
      </w:r>
      <w:r w:rsidR="00150868">
        <w:t xml:space="preserve"> the </w:t>
      </w:r>
      <w:r w:rsidR="00150868" w:rsidRPr="0080376A">
        <w:rPr>
          <w:i/>
        </w:rPr>
        <w:t>kommunalka</w:t>
      </w:r>
      <w:r w:rsidR="00150868">
        <w:t xml:space="preserve"> offers </w:t>
      </w:r>
      <w:r w:rsidR="00150868" w:rsidRPr="0080376A">
        <w:t>refuge</w:t>
      </w:r>
      <w:r w:rsidR="00150868">
        <w:t xml:space="preserve"> to </w:t>
      </w:r>
      <w:r w:rsidR="0074400D">
        <w:t>victims of</w:t>
      </w:r>
      <w:r w:rsidR="00963154">
        <w:t xml:space="preserve"> </w:t>
      </w:r>
      <w:r w:rsidR="00D42ABE">
        <w:t>Stalin’s</w:t>
      </w:r>
      <w:r w:rsidR="00150868">
        <w:t xml:space="preserve"> terror and wartime loss and trauma, this time additionally </w:t>
      </w:r>
      <w:r>
        <w:t>becoming</w:t>
      </w:r>
      <w:r w:rsidR="00150868">
        <w:t xml:space="preserve"> an inward-looking space </w:t>
      </w:r>
      <w:r w:rsidR="00D17D13">
        <w:t>that</w:t>
      </w:r>
      <w:r w:rsidR="00D42ABE">
        <w:t>, turning its back, as it were, on the oppressive state, provides its residents with a degree of autonomy or</w:t>
      </w:r>
      <w:r w:rsidR="00836484" w:rsidRPr="00836484">
        <w:t xml:space="preserve"> </w:t>
      </w:r>
      <w:r w:rsidR="00836484">
        <w:t>even</w:t>
      </w:r>
      <w:r w:rsidR="00D42ABE">
        <w:t xml:space="preserve">, so it seems, </w:t>
      </w:r>
      <w:r w:rsidR="00836484">
        <w:t>proves capable of sheltering</w:t>
      </w:r>
      <w:r w:rsidR="00D42ABE">
        <w:t xml:space="preserve"> them from the regime’s</w:t>
      </w:r>
      <w:r w:rsidR="00D42ABE" w:rsidRPr="00D42ABE">
        <w:t xml:space="preserve"> </w:t>
      </w:r>
      <w:r w:rsidR="00D42ABE">
        <w:t xml:space="preserve">arbitrary and absurd brutality. Moreover, </w:t>
      </w:r>
      <w:r w:rsidR="00D42ABE" w:rsidRPr="004F1062">
        <w:rPr>
          <w:i/>
        </w:rPr>
        <w:t>Confessions</w:t>
      </w:r>
      <w:r w:rsidR="00D42ABE">
        <w:t xml:space="preserve"> </w:t>
      </w:r>
      <w:r w:rsidR="001259A1">
        <w:t>features</w:t>
      </w:r>
      <w:r w:rsidR="00150868">
        <w:t xml:space="preserve"> no </w:t>
      </w:r>
      <w:r w:rsidR="00150868" w:rsidRPr="00915487">
        <w:t>bickering</w:t>
      </w:r>
      <w:r w:rsidR="00150868">
        <w:t xml:space="preserve"> neighbours, queues to the communal toilet or children cr</w:t>
      </w:r>
      <w:r>
        <w:t>u</w:t>
      </w:r>
      <w:r w:rsidR="00150868">
        <w:t xml:space="preserve">shing the residents’ shoes as they tear around the communal hallway on bicycles, as do the Fedotovs’ </w:t>
      </w:r>
      <w:r w:rsidR="00150868" w:rsidRPr="00300D43">
        <w:t>rowdy</w:t>
      </w:r>
      <w:r w:rsidR="00150868">
        <w:t xml:space="preserve"> sons</w:t>
      </w:r>
      <w:r w:rsidR="00D85986">
        <w:t xml:space="preserve"> in </w:t>
      </w:r>
      <w:r w:rsidR="00D85986" w:rsidRPr="00D85986">
        <w:rPr>
          <w:i/>
        </w:rPr>
        <w:t>The Hero’s Daughter</w:t>
      </w:r>
      <w:r w:rsidR="00150868">
        <w:t xml:space="preserve">. Here all is perfect, the </w:t>
      </w:r>
      <w:r w:rsidR="00150868" w:rsidRPr="00300D43">
        <w:rPr>
          <w:i/>
        </w:rPr>
        <w:t>kommunalka</w:t>
      </w:r>
      <w:r w:rsidR="00150868">
        <w:t>, anthropomorphised and described with various terms of endearment,</w:t>
      </w:r>
      <w:r w:rsidR="00150868">
        <w:rPr>
          <w:rStyle w:val="Odwoanieprzypisukocowego"/>
        </w:rPr>
        <w:endnoteReference w:id="38"/>
      </w:r>
      <w:r w:rsidR="00150868">
        <w:t xml:space="preserve"> being a half-realisation of the house-commune, for while the children </w:t>
      </w:r>
      <w:r w:rsidR="00777246">
        <w:t>are indeed</w:t>
      </w:r>
      <w:r w:rsidR="00150868">
        <w:t xml:space="preserve"> communally raised, women have not been liberated from household concerns, as </w:t>
      </w:r>
      <w:r w:rsidR="00D47936">
        <w:t xml:space="preserve">the Soviet state </w:t>
      </w:r>
      <w:r w:rsidR="00554645">
        <w:t>original</w:t>
      </w:r>
      <w:r w:rsidR="00D47936">
        <w:t>ly planned</w:t>
      </w:r>
      <w:r w:rsidR="00150868">
        <w:t>.</w:t>
      </w:r>
      <w:r w:rsidR="00150868">
        <w:rPr>
          <w:rStyle w:val="Odwoanieprzypisukocowego"/>
        </w:rPr>
        <w:endnoteReference w:id="39"/>
      </w:r>
      <w:r w:rsidR="00150868">
        <w:t xml:space="preserve"> Yet, the mothers’ quasi-permanent presence in the kitchen where they cook, wash and iron</w:t>
      </w:r>
      <w:r w:rsidR="00D17D13">
        <w:t>,</w:t>
      </w:r>
      <w:r w:rsidR="00150868">
        <w:t xml:space="preserve"> is as reassuring for Makine’s young protagonist as are the goings-on in the courtyard where men discuss politics, </w:t>
      </w:r>
      <w:r w:rsidR="00150868" w:rsidRPr="00066C5C">
        <w:rPr>
          <w:i/>
        </w:rPr>
        <w:t>baboushki</w:t>
      </w:r>
      <w:r w:rsidR="00150868">
        <w:t xml:space="preserve"> gossip and children play at war, all this to the soundtrack of popular songs pouring out of open windows. The only tacit </w:t>
      </w:r>
      <w:r w:rsidR="00D47936">
        <w:t>sign</w:t>
      </w:r>
      <w:r w:rsidR="00150868">
        <w:t xml:space="preserve"> that this idyllic life goes on in a totalitarian state is a pair of elegant shoes that </w:t>
      </w:r>
      <w:r w:rsidR="00A22A3E">
        <w:t>is</w:t>
      </w:r>
      <w:r w:rsidR="00150868">
        <w:t xml:space="preserve"> never collected from </w:t>
      </w:r>
      <w:r w:rsidR="00A22A3E">
        <w:t>Alyosha’s father who is a cobbler.</w:t>
      </w:r>
      <w:r w:rsidR="00D47936">
        <w:t xml:space="preserve"> </w:t>
      </w:r>
    </w:p>
    <w:p w14:paraId="2A0AD2C0" w14:textId="0DBC486E" w:rsidR="00150868" w:rsidRDefault="00013F0A" w:rsidP="00D47936">
      <w:pPr>
        <w:spacing w:line="360" w:lineRule="auto"/>
        <w:ind w:firstLine="567"/>
        <w:jc w:val="both"/>
      </w:pPr>
      <w:r>
        <w:t xml:space="preserve">The estate’s afore-mentioned relative </w:t>
      </w:r>
      <w:r w:rsidR="00777246">
        <w:t>independence</w:t>
      </w:r>
      <w:r>
        <w:t xml:space="preserve"> </w:t>
      </w:r>
      <w:r w:rsidR="00836484">
        <w:t>is</w:t>
      </w:r>
      <w:r>
        <w:t xml:space="preserve"> largely owed to </w:t>
      </w:r>
      <w:r w:rsidR="00214B7D">
        <w:t>its</w:t>
      </w:r>
      <w:r>
        <w:t xml:space="preserve"> familial ambiance</w:t>
      </w:r>
      <w:r w:rsidR="00214B7D">
        <w:t>,</w:t>
      </w:r>
      <w:r>
        <w:t xml:space="preserve"> </w:t>
      </w:r>
      <w:r w:rsidR="00214B7D">
        <w:t xml:space="preserve">implicit </w:t>
      </w:r>
      <w:r>
        <w:t xml:space="preserve">in the name of the town where </w:t>
      </w:r>
      <w:r w:rsidR="00777246">
        <w:t xml:space="preserve">the </w:t>
      </w:r>
      <w:r w:rsidR="0084109D">
        <w:t>novel is set</w:t>
      </w:r>
      <w:r>
        <w:t xml:space="preserve">, Sestrovsk deriving from the Russian word for sister. </w:t>
      </w:r>
      <w:r w:rsidR="00777246">
        <w:t>A</w:t>
      </w:r>
      <w:r w:rsidR="00150868" w:rsidRPr="00AD1759">
        <w:t>s if they were family members</w:t>
      </w:r>
      <w:r w:rsidR="00D47936" w:rsidRPr="00D47936">
        <w:t xml:space="preserve"> </w:t>
      </w:r>
      <w:r w:rsidR="00D47936">
        <w:t xml:space="preserve">the neighbours </w:t>
      </w:r>
      <w:r w:rsidR="00D47936" w:rsidRPr="00AD1759">
        <w:t>embrace</w:t>
      </w:r>
      <w:r w:rsidR="00150868" w:rsidRPr="00AD1759">
        <w:t xml:space="preserve"> when they accidentally meet in the nearby Leningrad</w:t>
      </w:r>
      <w:r w:rsidR="00D47936">
        <w:t xml:space="preserve"> a</w:t>
      </w:r>
      <w:r w:rsidR="00150868">
        <w:t>nd, even before they catch a glimpse of each other</w:t>
      </w:r>
      <w:r w:rsidR="00D47936">
        <w:t>,</w:t>
      </w:r>
      <w:r w:rsidR="00150868">
        <w:t xml:space="preserve"> they recognise the characteristic </w:t>
      </w:r>
      <w:r w:rsidR="00150868" w:rsidRPr="00AD1759">
        <w:t xml:space="preserve">clicking of </w:t>
      </w:r>
      <w:r w:rsidR="00CD2560">
        <w:t xml:space="preserve">the </w:t>
      </w:r>
      <w:r w:rsidR="00150868" w:rsidRPr="00AD1759">
        <w:t>metal plates Alyosha’s father hammer</w:t>
      </w:r>
      <w:r w:rsidR="00150868">
        <w:t>s</w:t>
      </w:r>
      <w:r w:rsidR="00150868" w:rsidRPr="00AD1759">
        <w:t xml:space="preserve"> onto the soles of their shoes</w:t>
      </w:r>
      <w:r w:rsidR="00150868">
        <w:t>.</w:t>
      </w:r>
      <w:r w:rsidR="00777246">
        <w:rPr>
          <w:rStyle w:val="Odwoanieprzypisukocowego"/>
        </w:rPr>
        <w:endnoteReference w:id="40"/>
      </w:r>
      <w:r w:rsidR="00150868">
        <w:t xml:space="preserve"> Furthermore, if the </w:t>
      </w:r>
      <w:r w:rsidR="00150868" w:rsidRPr="0096285A">
        <w:rPr>
          <w:i/>
        </w:rPr>
        <w:t>kommunalki</w:t>
      </w:r>
      <w:r w:rsidR="00150868" w:rsidRPr="00AD1759">
        <w:t xml:space="preserve"> themselves are filled with the happy noises </w:t>
      </w:r>
      <w:r w:rsidR="00A22A3E">
        <w:t xml:space="preserve">and smells </w:t>
      </w:r>
      <w:r w:rsidR="00150868" w:rsidRPr="00AD1759">
        <w:t xml:space="preserve">of </w:t>
      </w:r>
      <w:r w:rsidR="00150868">
        <w:t>housework</w:t>
      </w:r>
      <w:r w:rsidR="00150868" w:rsidRPr="00AD1759">
        <w:t xml:space="preserve">, </w:t>
      </w:r>
      <w:r w:rsidR="00150868">
        <w:t xml:space="preserve">the harmony reigning </w:t>
      </w:r>
      <w:r w:rsidR="001259A1">
        <w:t>outside</w:t>
      </w:r>
      <w:r w:rsidR="00150868">
        <w:t xml:space="preserve"> </w:t>
      </w:r>
      <w:r w:rsidR="00150868" w:rsidRPr="00AD1759">
        <w:t>is suggested by the narrator’s metonymic use of ‘</w:t>
      </w:r>
      <w:r w:rsidR="00150868">
        <w:t>the whole courtyard</w:t>
      </w:r>
      <w:r w:rsidR="00150868" w:rsidRPr="00AD1759">
        <w:t>’</w:t>
      </w:r>
      <w:r w:rsidR="00150868">
        <w:rPr>
          <w:rStyle w:val="Odwoanieprzypisukocowego"/>
        </w:rPr>
        <w:endnoteReference w:id="41"/>
      </w:r>
      <w:r w:rsidR="00150868" w:rsidRPr="00AD1759">
        <w:t xml:space="preserve"> when he speaks of the estate’s </w:t>
      </w:r>
      <w:r w:rsidR="00150868">
        <w:t>dwellers</w:t>
      </w:r>
      <w:r w:rsidR="00150868" w:rsidRPr="00AD1759">
        <w:t xml:space="preserve">, </w:t>
      </w:r>
      <w:r w:rsidR="00150868">
        <w:t>as well as</w:t>
      </w:r>
      <w:r w:rsidR="00150868" w:rsidRPr="00AD1759">
        <w:t xml:space="preserve"> by the comparison of the sounds and odours</w:t>
      </w:r>
      <w:r w:rsidR="000C5CFB">
        <w:t xml:space="preserve"> </w:t>
      </w:r>
      <w:r w:rsidR="00A6427B">
        <w:t xml:space="preserve">emanating from </w:t>
      </w:r>
      <w:r w:rsidR="000C5CFB" w:rsidRPr="00AD1759">
        <w:t xml:space="preserve">the </w:t>
      </w:r>
      <w:r w:rsidR="0084109D">
        <w:t>three redbrick buildings</w:t>
      </w:r>
      <w:r w:rsidR="000C5CFB" w:rsidRPr="00AD1759">
        <w:t xml:space="preserve"> </w:t>
      </w:r>
      <w:r w:rsidR="00150868" w:rsidRPr="00AD1759">
        <w:t>to a symphony:</w:t>
      </w:r>
    </w:p>
    <w:p w14:paraId="52B0740B" w14:textId="4E8481F1" w:rsidR="00150868" w:rsidRPr="00AD1759" w:rsidRDefault="00150868" w:rsidP="00C500A0">
      <w:pPr>
        <w:pStyle w:val="Cytat"/>
        <w:spacing w:before="120" w:after="120"/>
        <w:ind w:left="567" w:firstLine="0"/>
      </w:pPr>
      <w:r>
        <w:t>As soon as [the domino players] began to slam down their pieces with a deafening din the communal symphony of the courtyard found its tempo. On a bench beside each main entrance a row of baboushkas chattered away, attentive to the most minor occurrence in the courtyard. The open windows spilled out their buzz, and with it came the sweetish, soapy smell of big washdays. The old swing groaned out its melancholy music. The shouts of invisible children pealed forth from among the bushes. And like an absolute essential note amid this gentle evening cacophony, my mother’s voice would be heard: ‘Yasha!’.</w:t>
      </w:r>
      <w:r>
        <w:rPr>
          <w:rStyle w:val="Odwoanieprzypisukocowego"/>
        </w:rPr>
        <w:endnoteReference w:id="42"/>
      </w:r>
    </w:p>
    <w:p w14:paraId="20C9E253" w14:textId="2CF775A9" w:rsidR="00150868" w:rsidRPr="00A0605F" w:rsidRDefault="00150868" w:rsidP="002230CF">
      <w:pPr>
        <w:spacing w:line="360" w:lineRule="auto"/>
        <w:jc w:val="both"/>
      </w:pPr>
      <w:r w:rsidRPr="00AD1759">
        <w:t xml:space="preserve">Arnaud Vareille </w:t>
      </w:r>
      <w:r>
        <w:t xml:space="preserve">additionally </w:t>
      </w:r>
      <w:r w:rsidRPr="00AD1759">
        <w:t xml:space="preserve">remarks </w:t>
      </w:r>
      <w:r>
        <w:t xml:space="preserve">that </w:t>
      </w:r>
      <w:r w:rsidRPr="00AD1759">
        <w:t xml:space="preserve">Makine </w:t>
      </w:r>
      <w:r w:rsidR="00A6427B">
        <w:t xml:space="preserve">highlights </w:t>
      </w:r>
      <w:r w:rsidR="00A6427B" w:rsidRPr="00AD1759">
        <w:t xml:space="preserve">the solidarity </w:t>
      </w:r>
      <w:r w:rsidR="00A6427B">
        <w:t xml:space="preserve">reigning in the estate </w:t>
      </w:r>
      <w:r w:rsidR="00A6427B" w:rsidRPr="00AD1759">
        <w:t xml:space="preserve">and </w:t>
      </w:r>
      <w:r>
        <w:t>mutes</w:t>
      </w:r>
      <w:r w:rsidRPr="00AD1759">
        <w:t xml:space="preserve"> </w:t>
      </w:r>
      <w:r w:rsidR="000C5CFB">
        <w:t xml:space="preserve">the </w:t>
      </w:r>
      <w:r w:rsidRPr="00AD1759">
        <w:t xml:space="preserve">differences </w:t>
      </w:r>
      <w:r>
        <w:t xml:space="preserve">between </w:t>
      </w:r>
      <w:r w:rsidR="00C500A0">
        <w:t>its inhabitants</w:t>
      </w:r>
      <w:r w:rsidRPr="00AD1759">
        <w:t xml:space="preserve"> </w:t>
      </w:r>
      <w:r>
        <w:t>by</w:t>
      </w:r>
      <w:r w:rsidRPr="00AD1759">
        <w:t xml:space="preserve"> grouping </w:t>
      </w:r>
      <w:r w:rsidR="00A6427B">
        <w:t>them</w:t>
      </w:r>
      <w:r w:rsidRPr="00AD1759">
        <w:t xml:space="preserve"> </w:t>
      </w:r>
      <w:r w:rsidR="00C3026D">
        <w:t>as ‘men’, ‘women’ or ‘</w:t>
      </w:r>
      <w:r w:rsidR="00C3026D" w:rsidRPr="00D85986">
        <w:rPr>
          <w:i/>
        </w:rPr>
        <w:t>baboushki</w:t>
      </w:r>
      <w:r w:rsidR="00C3026D">
        <w:t>’</w:t>
      </w:r>
      <w:r w:rsidRPr="00AD1759">
        <w:t>: ‘</w:t>
      </w:r>
      <w:r>
        <w:t>the communion amongst the neighbours finds its utmost expression in the fact that they are only ever mentioned as groups established on t</w:t>
      </w:r>
      <w:r w:rsidR="00C3026D">
        <w:t>he basis of their gender or age</w:t>
      </w:r>
      <w:r>
        <w:t>’</w:t>
      </w:r>
      <w:r w:rsidRPr="00AD1759">
        <w:t>.</w:t>
      </w:r>
      <w:r w:rsidRPr="00AD1759">
        <w:rPr>
          <w:rStyle w:val="Odwoanieprzypisukocowego"/>
        </w:rPr>
        <w:endnoteReference w:id="43"/>
      </w:r>
    </w:p>
    <w:p w14:paraId="3D95B33C" w14:textId="661D2397" w:rsidR="00150868" w:rsidRDefault="00150868" w:rsidP="00A44565">
      <w:pPr>
        <w:spacing w:line="360" w:lineRule="auto"/>
        <w:ind w:firstLine="708"/>
        <w:jc w:val="both"/>
      </w:pPr>
      <w:r>
        <w:t>This communal atmosphere assures the process of ‘re-familiarisation’ rather than ‘de-familiarisation’,</w:t>
      </w:r>
      <w:r w:rsidR="00A22A3E">
        <w:rPr>
          <w:rStyle w:val="Odwoanieprzypisukocowego"/>
        </w:rPr>
        <w:endnoteReference w:id="44"/>
      </w:r>
      <w:r>
        <w:t xml:space="preserve"> as intended by the communists when they set out to annihilate the bourgeois family structure by abolishing the individual apartment. </w:t>
      </w:r>
      <w:r w:rsidR="003A72BF">
        <w:t xml:space="preserve">In </w:t>
      </w:r>
      <w:r w:rsidR="003A72BF" w:rsidRPr="005A1B56">
        <w:rPr>
          <w:i/>
        </w:rPr>
        <w:t>Confessions</w:t>
      </w:r>
      <w:r w:rsidR="003A72BF">
        <w:t xml:space="preserve"> this is illustrated by the story of</w:t>
      </w:r>
      <w:r w:rsidR="00C500A0">
        <w:t xml:space="preserve"> Alyosha’s father</w:t>
      </w:r>
      <w:r w:rsidR="003A72BF">
        <w:t xml:space="preserve">, a former </w:t>
      </w:r>
      <w:r w:rsidR="00C500A0">
        <w:t>sharpshooter</w:t>
      </w:r>
      <w:r w:rsidR="003A72BF">
        <w:t xml:space="preserve"> who lost his legs at the front but who, injured by </w:t>
      </w:r>
      <w:r w:rsidR="00C500A0">
        <w:t>friendly fire</w:t>
      </w:r>
      <w:r w:rsidR="003A72BF">
        <w:t>, is</w:t>
      </w:r>
      <w:r w:rsidR="005A1B56">
        <w:t xml:space="preserve"> not eligible for</w:t>
      </w:r>
      <w:r w:rsidR="00C500A0">
        <w:t xml:space="preserve"> any of </w:t>
      </w:r>
      <w:r w:rsidR="005A1B56">
        <w:t>the privileges res</w:t>
      </w:r>
      <w:r w:rsidR="00C500A0">
        <w:t>erved for World War II veterans, including a wheelchair.</w:t>
      </w:r>
      <w:r w:rsidR="005A1B56">
        <w:t xml:space="preserve"> In the war’s aftermath the double amputee lives a solitary life in an old </w:t>
      </w:r>
      <w:r w:rsidR="005A1B56" w:rsidRPr="00AA0665">
        <w:rPr>
          <w:i/>
        </w:rPr>
        <w:t>izba</w:t>
      </w:r>
      <w:r w:rsidR="005A1B56">
        <w:t xml:space="preserve">, drinking heavily to forget his misery and </w:t>
      </w:r>
      <w:r w:rsidR="00C500A0">
        <w:t>subsidising</w:t>
      </w:r>
      <w:r w:rsidR="005A1B56">
        <w:t xml:space="preserve"> his meag</w:t>
      </w:r>
      <w:r w:rsidR="00517140">
        <w:t xml:space="preserve">re pension by begging. </w:t>
      </w:r>
      <w:r w:rsidR="00D85986">
        <w:t xml:space="preserve">Pyotr Evdokimov’s </w:t>
      </w:r>
      <w:r w:rsidR="00517140">
        <w:t>move</w:t>
      </w:r>
      <w:r w:rsidR="005A1B56">
        <w:t xml:space="preserve"> into the </w:t>
      </w:r>
      <w:r w:rsidR="005A1B56" w:rsidRPr="00F44A63">
        <w:rPr>
          <w:i/>
        </w:rPr>
        <w:t>kommunalka</w:t>
      </w:r>
      <w:r w:rsidR="005A1B56">
        <w:t xml:space="preserve"> is </w:t>
      </w:r>
      <w:r w:rsidR="0084109D">
        <w:t xml:space="preserve">thus </w:t>
      </w:r>
      <w:r w:rsidR="00517140">
        <w:t>depicted</w:t>
      </w:r>
      <w:r w:rsidR="005A1B56">
        <w:t xml:space="preserve"> as </w:t>
      </w:r>
      <w:r w:rsidR="00D85986">
        <w:t>his</w:t>
      </w:r>
      <w:r w:rsidR="00C500A0">
        <w:t xml:space="preserve"> chance </w:t>
      </w:r>
      <w:r>
        <w:t xml:space="preserve">to set up a family, find a new occupation and establish a close friendship with </w:t>
      </w:r>
      <w:r w:rsidR="000C5CFB">
        <w:t>a</w:t>
      </w:r>
      <w:r w:rsidR="00A6427B">
        <w:t xml:space="preserve">nother </w:t>
      </w:r>
      <w:r w:rsidR="0084109D">
        <w:t xml:space="preserve">World War II </w:t>
      </w:r>
      <w:r w:rsidR="00C500A0">
        <w:t>survivor</w:t>
      </w:r>
      <w:r w:rsidR="00A6427B">
        <w:t xml:space="preserve">. </w:t>
      </w:r>
      <w:r w:rsidR="00903312">
        <w:t>Crucially</w:t>
      </w:r>
      <w:r>
        <w:t xml:space="preserve">, </w:t>
      </w:r>
      <w:r w:rsidR="00406F29">
        <w:t>the</w:t>
      </w:r>
      <w:r>
        <w:t xml:space="preserve"> </w:t>
      </w:r>
      <w:r w:rsidRPr="00AA0665">
        <w:rPr>
          <w:i/>
        </w:rPr>
        <w:t>izba</w:t>
      </w:r>
      <w:r>
        <w:t xml:space="preserve"> </w:t>
      </w:r>
      <w:r w:rsidR="00406F29">
        <w:t xml:space="preserve">where Pyotr lived </w:t>
      </w:r>
      <w:r>
        <w:t>is demolished to make space for the housing estate</w:t>
      </w:r>
      <w:r w:rsidR="00517140">
        <w:t>,</w:t>
      </w:r>
      <w:r>
        <w:t xml:space="preserve"> </w:t>
      </w:r>
      <w:r w:rsidR="00CD2560">
        <w:t>and</w:t>
      </w:r>
      <w:r>
        <w:t xml:space="preserve"> </w:t>
      </w:r>
      <w:r w:rsidR="00406F29">
        <w:t>Evdokimov’s landlady</w:t>
      </w:r>
      <w:r>
        <w:t xml:space="preserve">, Zakharovna, is resettled in one of the </w:t>
      </w:r>
      <w:r w:rsidRPr="00E8167A">
        <w:rPr>
          <w:i/>
        </w:rPr>
        <w:t>kommunalki</w:t>
      </w:r>
      <w:r>
        <w:t xml:space="preserve">. While </w:t>
      </w:r>
      <w:r w:rsidR="00406F29">
        <w:t>Pyotr symbolically overcomes his</w:t>
      </w:r>
      <w:r w:rsidR="00406F29" w:rsidRPr="005A1D4E">
        <w:t xml:space="preserve"> </w:t>
      </w:r>
      <w:r w:rsidR="00406F29">
        <w:t>physical disability when his neighbour</w:t>
      </w:r>
      <w:r w:rsidR="00406F29" w:rsidRPr="00566840">
        <w:t xml:space="preserve">, </w:t>
      </w:r>
      <w:r w:rsidR="00406F29">
        <w:t>Yakov Zinger,</w:t>
      </w:r>
      <w:r w:rsidR="00406F29" w:rsidRPr="00566840">
        <w:t xml:space="preserve"> carries him on his back </w:t>
      </w:r>
      <w:r w:rsidR="00406F29">
        <w:t>before obtaining</w:t>
      </w:r>
      <w:r w:rsidR="00406F29" w:rsidRPr="00566840">
        <w:t xml:space="preserve"> for him an invalid car</w:t>
      </w:r>
      <w:r w:rsidR="00406F29">
        <w:t xml:space="preserve">, </w:t>
      </w:r>
      <w:r>
        <w:t xml:space="preserve">Zakharovna’s sanity, lost when her son was killed by a bomb during the war, is </w:t>
      </w:r>
      <w:r w:rsidR="00517140">
        <w:t xml:space="preserve">miraculously </w:t>
      </w:r>
      <w:r>
        <w:t xml:space="preserve">restored </w:t>
      </w:r>
      <w:r w:rsidR="00406F29">
        <w:t>by the controlled explosion of</w:t>
      </w:r>
      <w:r>
        <w:t xml:space="preserve"> the pit located in the corner of</w:t>
      </w:r>
      <w:r w:rsidR="00406F29">
        <w:t xml:space="preserve"> the courtyard</w:t>
      </w:r>
      <w:r w:rsidRPr="00566840">
        <w:t xml:space="preserve">. Echoing the representation of the </w:t>
      </w:r>
      <w:r w:rsidRPr="00566840">
        <w:rPr>
          <w:i/>
        </w:rPr>
        <w:t>kommunalka</w:t>
      </w:r>
      <w:r w:rsidRPr="00566840">
        <w:t xml:space="preserve"> in </w:t>
      </w:r>
      <w:r w:rsidRPr="00566840">
        <w:rPr>
          <w:i/>
        </w:rPr>
        <w:t>The Hero’s Daughter</w:t>
      </w:r>
      <w:r w:rsidRPr="00566840">
        <w:t xml:space="preserve">, the ethnic, cultural and class difference </w:t>
      </w:r>
      <w:r w:rsidR="001350D3">
        <w:t>between</w:t>
      </w:r>
      <w:r w:rsidRPr="00566840">
        <w:t xml:space="preserve"> </w:t>
      </w:r>
      <w:r w:rsidR="001350D3">
        <w:t>the Russian cobbler of peasant origin and a Jewish urbanite working as a</w:t>
      </w:r>
      <w:r w:rsidRPr="00566840">
        <w:t xml:space="preserve"> maths teacher </w:t>
      </w:r>
      <w:r w:rsidR="001350D3">
        <w:t>is transcended by the two men’s</w:t>
      </w:r>
      <w:r w:rsidRPr="00566840">
        <w:t xml:space="preserve"> inherent distaste for violence and the shared </w:t>
      </w:r>
      <w:r w:rsidR="00D17D13">
        <w:t xml:space="preserve">topography of their </w:t>
      </w:r>
      <w:r w:rsidRPr="00566840">
        <w:t>wartime experience:</w:t>
      </w:r>
      <w:r w:rsidR="005D1D2F" w:rsidRPr="005D1D2F">
        <w:rPr>
          <w:rStyle w:val="Odwoanieprzypisukocowego"/>
        </w:rPr>
        <w:t xml:space="preserve"> </w:t>
      </w:r>
      <w:r w:rsidR="005D1D2F">
        <w:rPr>
          <w:rStyle w:val="Odwoanieprzypisukocowego"/>
        </w:rPr>
        <w:endnoteReference w:id="45"/>
      </w:r>
      <w:r w:rsidRPr="00566840">
        <w:t xml:space="preserve"> ‘For them these Polish [geographical] names, without further comment, were eloquent. A look they both understood, a tilt of the head sufficed’.</w:t>
      </w:r>
      <w:r w:rsidRPr="00566840">
        <w:rPr>
          <w:rStyle w:val="Odwoanieprzypisukocowego"/>
        </w:rPr>
        <w:endnoteReference w:id="46"/>
      </w:r>
      <w:r w:rsidRPr="00566840">
        <w:t xml:space="preserve"> </w:t>
      </w:r>
      <w:r w:rsidR="00D17D13" w:rsidRPr="00566840">
        <w:t>The two</w:t>
      </w:r>
      <w:r w:rsidR="00D17D13">
        <w:t xml:space="preserve"> men become such close friends that they appear as ‘a single man’,</w:t>
      </w:r>
      <w:r w:rsidR="00D17D13">
        <w:rPr>
          <w:rStyle w:val="Odwoanieprzypisukocowego"/>
        </w:rPr>
        <w:endnoteReference w:id="47"/>
      </w:r>
      <w:r w:rsidR="00D17D13">
        <w:t xml:space="preserve"> </w:t>
      </w:r>
      <w:r w:rsidR="00D17D13" w:rsidRPr="00973215">
        <w:rPr>
          <w:rFonts w:ascii="Times" w:hAnsi="Times"/>
        </w:rPr>
        <w:t>‘tall and well-built’</w:t>
      </w:r>
      <w:r w:rsidR="001350D3">
        <w:t>,</w:t>
      </w:r>
      <w:r w:rsidR="00D17D13" w:rsidRPr="00973215">
        <w:rPr>
          <w:rStyle w:val="Odwoanieprzypisukocowego"/>
          <w:rFonts w:ascii="Times" w:hAnsi="Times"/>
        </w:rPr>
        <w:endnoteReference w:id="48"/>
      </w:r>
      <w:r w:rsidR="00D17D13">
        <w:t xml:space="preserve"> </w:t>
      </w:r>
      <w:r w:rsidR="0021340D">
        <w:t>their</w:t>
      </w:r>
      <w:r w:rsidR="00D17D13">
        <w:t xml:space="preserve"> virtual symbiosis </w:t>
      </w:r>
      <w:r w:rsidR="001350D3">
        <w:t xml:space="preserve">being communicated by </w:t>
      </w:r>
      <w:r w:rsidR="00D17D13">
        <w:t xml:space="preserve">the </w:t>
      </w:r>
      <w:r w:rsidR="004363B2">
        <w:t>scene</w:t>
      </w:r>
      <w:r w:rsidR="00D17D13">
        <w:t xml:space="preserve"> showing </w:t>
      </w:r>
      <w:r w:rsidR="005D1D2F">
        <w:t>Ya</w:t>
      </w:r>
      <w:r w:rsidR="00406F29">
        <w:t>kov</w:t>
      </w:r>
      <w:r w:rsidR="001350D3">
        <w:t xml:space="preserve"> carrying Pyotr in his arms so that his friend</w:t>
      </w:r>
      <w:r w:rsidR="00D17D13">
        <w:t xml:space="preserve"> </w:t>
      </w:r>
      <w:r w:rsidR="001350D3">
        <w:t>may</w:t>
      </w:r>
      <w:r w:rsidR="00D17D13">
        <w:t xml:space="preserve"> reali</w:t>
      </w:r>
      <w:r w:rsidR="001350D3">
        <w:t>se his dream of mowing a meadow. Moreover,</w:t>
      </w:r>
      <w:r w:rsidR="00D17D13">
        <w:t xml:space="preserve"> </w:t>
      </w:r>
      <w:r w:rsidR="00035905">
        <w:t>as if the two men</w:t>
      </w:r>
      <w:r w:rsidR="001350D3">
        <w:t xml:space="preserve"> </w:t>
      </w:r>
      <w:r w:rsidR="00035905">
        <w:t>were interdependent</w:t>
      </w:r>
      <w:r w:rsidR="001350D3">
        <w:t>,</w:t>
      </w:r>
      <w:r w:rsidR="00D17D13">
        <w:t xml:space="preserve"> </w:t>
      </w:r>
      <w:r w:rsidR="00035905">
        <w:t xml:space="preserve">they </w:t>
      </w:r>
      <w:r w:rsidR="001350D3">
        <w:t xml:space="preserve">die </w:t>
      </w:r>
      <w:r w:rsidR="00035905">
        <w:t>within weeks of one another</w:t>
      </w:r>
      <w:r w:rsidR="00517140">
        <w:t>,</w:t>
      </w:r>
      <w:r w:rsidR="00035905">
        <w:t xml:space="preserve"> </w:t>
      </w:r>
      <w:r w:rsidR="0084109D">
        <w:t>and</w:t>
      </w:r>
      <w:r w:rsidR="00035905">
        <w:t xml:space="preserve"> </w:t>
      </w:r>
      <w:r w:rsidR="0008493E">
        <w:t>their deaths</w:t>
      </w:r>
      <w:r w:rsidR="0021340D">
        <w:t xml:space="preserve"> </w:t>
      </w:r>
      <w:r w:rsidR="0008493E">
        <w:t>foster</w:t>
      </w:r>
      <w:r w:rsidR="0021340D">
        <w:t xml:space="preserve"> </w:t>
      </w:r>
      <w:r w:rsidR="0008493E">
        <w:t>an</w:t>
      </w:r>
      <w:r w:rsidR="0021340D">
        <w:t xml:space="preserve"> </w:t>
      </w:r>
      <w:r w:rsidR="0021340D" w:rsidRPr="0021340D">
        <w:t>indissoluble</w:t>
      </w:r>
      <w:r w:rsidR="0021340D">
        <w:t xml:space="preserve"> bond between their sons</w:t>
      </w:r>
      <w:r w:rsidR="0008493E">
        <w:t>, Arkady and Alyosha</w:t>
      </w:r>
      <w:r w:rsidR="00D17D13">
        <w:t xml:space="preserve">. </w:t>
      </w:r>
      <w:r w:rsidR="0084109D">
        <w:t>Significantly,</w:t>
      </w:r>
      <w:r>
        <w:t xml:space="preserve"> such a representati</w:t>
      </w:r>
      <w:r w:rsidR="0021340D">
        <w:t xml:space="preserve">on of Russian-Jewish relations </w:t>
      </w:r>
      <w:r>
        <w:t>goes a</w:t>
      </w:r>
      <w:r w:rsidR="005D1D2F">
        <w:t xml:space="preserve">gainst the </w:t>
      </w:r>
      <w:r w:rsidR="00406F29">
        <w:t>well-documented</w:t>
      </w:r>
      <w:r w:rsidR="005D1D2F">
        <w:t xml:space="preserve"> S</w:t>
      </w:r>
      <w:r>
        <w:t>oviet anti-Semitism</w:t>
      </w:r>
      <w:r w:rsidR="005D1D2F">
        <w:t>,</w:t>
      </w:r>
      <w:r w:rsidR="0008493E">
        <w:rPr>
          <w:rStyle w:val="Odwoanieprzypisukocowego"/>
        </w:rPr>
        <w:endnoteReference w:id="49"/>
      </w:r>
      <w:r w:rsidR="0008493E">
        <w:t xml:space="preserve"> </w:t>
      </w:r>
      <w:r>
        <w:t>illustrated</w:t>
      </w:r>
      <w:r w:rsidR="00035905">
        <w:t>, amongst other,</w:t>
      </w:r>
      <w:r>
        <w:t xml:space="preserve"> by Boym’s personal </w:t>
      </w:r>
      <w:r w:rsidR="00035905">
        <w:t>memories</w:t>
      </w:r>
      <w:r w:rsidR="00517140">
        <w:t xml:space="preserve"> of the</w:t>
      </w:r>
      <w:r>
        <w:t xml:space="preserve"> </w:t>
      </w:r>
      <w:r w:rsidRPr="00AD1759">
        <w:rPr>
          <w:i/>
        </w:rPr>
        <w:t>kommunalka</w:t>
      </w:r>
      <w:r w:rsidRPr="00A0605F">
        <w:t xml:space="preserve"> </w:t>
      </w:r>
      <w:r>
        <w:t xml:space="preserve">where her </w:t>
      </w:r>
      <w:r w:rsidR="00406F29">
        <w:t xml:space="preserve">Jewish </w:t>
      </w:r>
      <w:r>
        <w:t xml:space="preserve">family was systematically </w:t>
      </w:r>
      <w:r w:rsidR="00406F29">
        <w:t>tantalised</w:t>
      </w:r>
      <w:r>
        <w:t xml:space="preserve"> by </w:t>
      </w:r>
      <w:r w:rsidR="0008493E">
        <w:t>its</w:t>
      </w:r>
      <w:r>
        <w:t xml:space="preserve"> gentile neighbours.</w:t>
      </w:r>
      <w:r w:rsidRPr="00AD1759">
        <w:rPr>
          <w:rStyle w:val="Odwoanieprzypisukocowego"/>
        </w:rPr>
        <w:endnoteReference w:id="50"/>
      </w:r>
      <w:r w:rsidRPr="00AD1759">
        <w:t xml:space="preserve"> </w:t>
      </w:r>
      <w:r>
        <w:t xml:space="preserve">As for the estate’s other residents, </w:t>
      </w:r>
      <w:r w:rsidR="0084109D">
        <w:t>Lyouba</w:t>
      </w:r>
      <w:r w:rsidR="00903312">
        <w:t xml:space="preserve"> Evdokimova</w:t>
      </w:r>
      <w:r>
        <w:t xml:space="preserve"> </w:t>
      </w:r>
      <w:r w:rsidR="000C77E8">
        <w:t>lost her parents</w:t>
      </w:r>
      <w:r w:rsidR="00D268E8">
        <w:t xml:space="preserve"> </w:t>
      </w:r>
      <w:r>
        <w:t>during the great purge</w:t>
      </w:r>
      <w:r w:rsidR="000C77E8">
        <w:t xml:space="preserve"> and </w:t>
      </w:r>
      <w:r w:rsidR="00903312">
        <w:t>Yakov’s wife</w:t>
      </w:r>
      <w:r w:rsidR="000C77E8">
        <w:t xml:space="preserve">, also an orphan, last saw her </w:t>
      </w:r>
      <w:r w:rsidR="00903312">
        <w:t>mother and father</w:t>
      </w:r>
      <w:r w:rsidR="000C77E8">
        <w:t xml:space="preserve"> when </w:t>
      </w:r>
      <w:r w:rsidR="0084109D">
        <w:t xml:space="preserve">on the eve of World War II </w:t>
      </w:r>
      <w:r w:rsidR="000C77E8">
        <w:t xml:space="preserve">they left </w:t>
      </w:r>
      <w:r w:rsidR="0084109D">
        <w:t xml:space="preserve">Leningrad </w:t>
      </w:r>
      <w:r w:rsidR="000C77E8">
        <w:t>for Kiev.</w:t>
      </w:r>
      <w:r w:rsidR="00AE676E">
        <w:rPr>
          <w:rStyle w:val="Odwoanieprzypisukocowego"/>
        </w:rPr>
        <w:endnoteReference w:id="51"/>
      </w:r>
      <w:r w:rsidR="00AE676E">
        <w:t xml:space="preserve"> </w:t>
      </w:r>
      <w:r w:rsidR="00406F29">
        <w:t>Faya Moysseyevna</w:t>
      </w:r>
      <w:r w:rsidR="00AE676E">
        <w:t xml:space="preserve"> then lived through the siege of Leningrad</w:t>
      </w:r>
      <w:r w:rsidR="00A44565">
        <w:t>,</w:t>
      </w:r>
      <w:r w:rsidR="00AE676E">
        <w:t xml:space="preserve"> which </w:t>
      </w:r>
      <w:r w:rsidR="009743EC">
        <w:t xml:space="preserve">claimed </w:t>
      </w:r>
      <w:r w:rsidR="00406F29">
        <w:t xml:space="preserve">her grandmother’s </w:t>
      </w:r>
      <w:r w:rsidR="009743EC">
        <w:t>life</w:t>
      </w:r>
      <w:r w:rsidR="00A44565">
        <w:t xml:space="preserve"> and which left her both physically and mentally scarred, as she witnessed cannibalism and her hands were irremediably damaged by frostbite. </w:t>
      </w:r>
      <w:r w:rsidR="00406F29">
        <w:t xml:space="preserve">Notwithstanding these </w:t>
      </w:r>
      <w:r w:rsidR="004B4366">
        <w:t>loses and</w:t>
      </w:r>
      <w:r w:rsidR="00406F29">
        <w:t xml:space="preserve"> traumas,</w:t>
      </w:r>
      <w:r w:rsidR="009743EC">
        <w:t xml:space="preserve"> World </w:t>
      </w:r>
      <w:r>
        <w:t>War</w:t>
      </w:r>
      <w:r w:rsidR="009743EC">
        <w:t xml:space="preserve"> II</w:t>
      </w:r>
      <w:r>
        <w:t xml:space="preserve"> provides the estate’s inhabitants with </w:t>
      </w:r>
      <w:r w:rsidR="00A71147">
        <w:t>a shared identity and a source of pride</w:t>
      </w:r>
      <w:r>
        <w:t xml:space="preserve">, as confirmed by two episodes: the evacuation during the </w:t>
      </w:r>
      <w:r w:rsidR="004B4366">
        <w:t xml:space="preserve">pit’s </w:t>
      </w:r>
      <w:r>
        <w:t xml:space="preserve">explosion and </w:t>
      </w:r>
      <w:r w:rsidR="004B4366">
        <w:t>the</w:t>
      </w:r>
      <w:r>
        <w:t xml:space="preserve"> expedition to town to buy bread when the local bakery </w:t>
      </w:r>
      <w:r w:rsidR="008F1D0F">
        <w:t>temporarily closes</w:t>
      </w:r>
      <w:r>
        <w:t xml:space="preserve">. </w:t>
      </w:r>
      <w:r w:rsidR="008F1D0F">
        <w:t>Stirring up memories</w:t>
      </w:r>
      <w:r>
        <w:t xml:space="preserve"> of wartime conditions</w:t>
      </w:r>
      <w:r w:rsidR="008F1D0F">
        <w:t>,</w:t>
      </w:r>
      <w:r>
        <w:t xml:space="preserve"> </w:t>
      </w:r>
      <w:r w:rsidR="008F1D0F">
        <w:t xml:space="preserve">this mobilisation </w:t>
      </w:r>
      <w:r w:rsidRPr="00E04C44">
        <w:t>boosts</w:t>
      </w:r>
      <w:r w:rsidR="008F1D0F">
        <w:t xml:space="preserve"> the neighbours’</w:t>
      </w:r>
      <w:r>
        <w:t xml:space="preserve"> solidary</w:t>
      </w:r>
      <w:r>
        <w:rPr>
          <w:rStyle w:val="Odwoanieprzypisukocowego"/>
        </w:rPr>
        <w:endnoteReference w:id="52"/>
      </w:r>
      <w:r>
        <w:t xml:space="preserve"> </w:t>
      </w:r>
      <w:r w:rsidR="008F1D0F">
        <w:t xml:space="preserve">and </w:t>
      </w:r>
      <w:r>
        <w:t>mak</w:t>
      </w:r>
      <w:r w:rsidR="008F1D0F">
        <w:t>es</w:t>
      </w:r>
      <w:r>
        <w:t xml:space="preserve"> them feel as ‘one big family, a united energetic tribe, motivated by a cheerful will to survive’.</w:t>
      </w:r>
      <w:r>
        <w:rPr>
          <w:rStyle w:val="Odwoanieprzypisukocowego"/>
        </w:rPr>
        <w:endnoteReference w:id="53"/>
      </w:r>
    </w:p>
    <w:p w14:paraId="57E8FBA5" w14:textId="1CD3A65A" w:rsidR="00150868" w:rsidRPr="00A0605F" w:rsidRDefault="004B4366" w:rsidP="008F1D0F">
      <w:pPr>
        <w:spacing w:line="360" w:lineRule="auto"/>
        <w:ind w:firstLine="708"/>
        <w:jc w:val="both"/>
      </w:pPr>
      <w:r>
        <w:t>Considering that in various belief systems the triangle symbolises oneness, i</w:t>
      </w:r>
      <w:r w:rsidR="00150868">
        <w:t xml:space="preserve">n </w:t>
      </w:r>
      <w:r w:rsidRPr="004B4366">
        <w:rPr>
          <w:i/>
        </w:rPr>
        <w:t>Confessions</w:t>
      </w:r>
      <w:r w:rsidR="00150868">
        <w:t xml:space="preserve"> the </w:t>
      </w:r>
      <w:r w:rsidR="00150868" w:rsidRPr="008100D2">
        <w:rPr>
          <w:i/>
        </w:rPr>
        <w:t>kommunalka</w:t>
      </w:r>
      <w:r w:rsidR="00150868">
        <w:t xml:space="preserve">’s </w:t>
      </w:r>
      <w:r w:rsidR="00517140" w:rsidRPr="00517140">
        <w:t>therapeutic</w:t>
      </w:r>
      <w:r w:rsidR="00150868">
        <w:t xml:space="preserve"> and </w:t>
      </w:r>
      <w:r w:rsidR="00903312">
        <w:t>unifying</w:t>
      </w:r>
      <w:r w:rsidR="00150868">
        <w:t xml:space="preserve"> potential </w:t>
      </w:r>
      <w:r w:rsidR="00A44565">
        <w:t>seems to be</w:t>
      </w:r>
      <w:r w:rsidR="00150868">
        <w:t xml:space="preserve"> inscr</w:t>
      </w:r>
      <w:r>
        <w:t>ibed in the shape of the redbrick estate</w:t>
      </w:r>
      <w:r w:rsidR="007F70C6">
        <w:t>. I</w:t>
      </w:r>
      <w:r w:rsidR="00150868">
        <w:t>n</w:t>
      </w:r>
      <w:r w:rsidR="00150868" w:rsidRPr="00AD1759">
        <w:t xml:space="preserve"> Christianity</w:t>
      </w:r>
      <w:r w:rsidR="00150868">
        <w:t>, for example,</w:t>
      </w:r>
      <w:r w:rsidR="00150868" w:rsidRPr="00AD1759">
        <w:t xml:space="preserve"> the equilateral triangle </w:t>
      </w:r>
      <w:r w:rsidR="003064C2">
        <w:t>is</w:t>
      </w:r>
      <w:r w:rsidR="00150868" w:rsidRPr="00AD1759">
        <w:t xml:space="preserve"> associated with the Holy Trinity</w:t>
      </w:r>
      <w:r w:rsidR="00150868">
        <w:t xml:space="preserve"> of F</w:t>
      </w:r>
      <w:r>
        <w:t>ather, Son and Hol</w:t>
      </w:r>
      <w:r w:rsidR="007F70C6">
        <w:t>y Spirit. This</w:t>
      </w:r>
      <w:r w:rsidR="00150868">
        <w:t xml:space="preserve"> geometric figure </w:t>
      </w:r>
      <w:r w:rsidR="00150868" w:rsidRPr="00AD1759">
        <w:t>can also represent the birth, life and death of a mortal man, or, alternatively, the father, mother and child.</w:t>
      </w:r>
      <w:r w:rsidR="00150868">
        <w:t xml:space="preserve"> All these meanings pertain to the estate featured in </w:t>
      </w:r>
      <w:r w:rsidR="00150868" w:rsidRPr="004E6A59">
        <w:rPr>
          <w:i/>
        </w:rPr>
        <w:t>Confessions</w:t>
      </w:r>
      <w:r>
        <w:t xml:space="preserve"> </w:t>
      </w:r>
      <w:r w:rsidR="00903312">
        <w:t>which indeed</w:t>
      </w:r>
      <w:r>
        <w:t xml:space="preserve"> follows </w:t>
      </w:r>
      <w:r w:rsidR="00903312">
        <w:t xml:space="preserve">Pyotr’s and Yakov’s </w:t>
      </w:r>
      <w:r>
        <w:t xml:space="preserve">trajectories </w:t>
      </w:r>
      <w:r w:rsidR="00150868">
        <w:t>from their youth to t</w:t>
      </w:r>
      <w:r w:rsidR="007F70C6">
        <w:t>heir death, portray</w:t>
      </w:r>
      <w:r w:rsidR="00A44565">
        <w:t>s</w:t>
      </w:r>
      <w:r w:rsidR="00150868">
        <w:t xml:space="preserve"> a trans-ethnic community and stag</w:t>
      </w:r>
      <w:r>
        <w:t>e</w:t>
      </w:r>
      <w:r w:rsidR="00A44565">
        <w:t>s</w:t>
      </w:r>
      <w:r w:rsidR="00150868">
        <w:t xml:space="preserve"> two </w:t>
      </w:r>
      <w:r>
        <w:t xml:space="preserve">one-child </w:t>
      </w:r>
      <w:r w:rsidR="00150868">
        <w:t>families</w:t>
      </w:r>
      <w:r w:rsidR="00A44565">
        <w:t>:</w:t>
      </w:r>
      <w:r w:rsidR="00150868">
        <w:t xml:space="preserve"> </w:t>
      </w:r>
      <w:r w:rsidR="00903312">
        <w:t xml:space="preserve">the Zingers </w:t>
      </w:r>
      <w:r>
        <w:t>and</w:t>
      </w:r>
      <w:r w:rsidR="00903312" w:rsidRPr="00903312">
        <w:t xml:space="preserve"> </w:t>
      </w:r>
      <w:r w:rsidR="00903312">
        <w:t>the</w:t>
      </w:r>
      <w:r w:rsidR="00903312" w:rsidRPr="00903312">
        <w:t xml:space="preserve"> </w:t>
      </w:r>
      <w:r w:rsidR="00903312">
        <w:t>Evdokimovs</w:t>
      </w:r>
      <w:r w:rsidR="00150868">
        <w:t xml:space="preserve">. However unlikely it is given the </w:t>
      </w:r>
      <w:r>
        <w:t xml:space="preserve">total </w:t>
      </w:r>
      <w:r w:rsidR="00150868">
        <w:t>absence of references to Judaism in Makine’s writing,</w:t>
      </w:r>
      <w:r w:rsidR="009345F3">
        <w:rPr>
          <w:rStyle w:val="Odwoanieprzypisukocowego"/>
        </w:rPr>
        <w:endnoteReference w:id="54"/>
      </w:r>
      <w:r w:rsidR="00150868">
        <w:t xml:space="preserve"> the courtyard’s shape may also </w:t>
      </w:r>
      <w:r w:rsidR="009345F3">
        <w:t>signify</w:t>
      </w:r>
      <w:r w:rsidR="00150868">
        <w:t xml:space="preserve"> one of the </w:t>
      </w:r>
      <w:r w:rsidR="00150868" w:rsidRPr="00AD1759">
        <w:t xml:space="preserve">two interlaced </w:t>
      </w:r>
      <w:r w:rsidR="00150868">
        <w:t xml:space="preserve">triangles composing </w:t>
      </w:r>
      <w:r w:rsidR="00150868" w:rsidRPr="00AD1759">
        <w:t>the Star of David</w:t>
      </w:r>
      <w:r w:rsidR="00B03DC3">
        <w:t xml:space="preserve">, </w:t>
      </w:r>
      <w:r w:rsidR="00150868">
        <w:t xml:space="preserve">the missing </w:t>
      </w:r>
      <w:r w:rsidR="00A44565">
        <w:t>geometrical figure</w:t>
      </w:r>
      <w:r w:rsidR="00150868">
        <w:t xml:space="preserve"> express</w:t>
      </w:r>
      <w:r w:rsidR="009345F3">
        <w:t>ing</w:t>
      </w:r>
      <w:r w:rsidR="00150868">
        <w:t xml:space="preserve"> the </w:t>
      </w:r>
      <w:r w:rsidR="00A44565">
        <w:t xml:space="preserve">Evdokimovs’ </w:t>
      </w:r>
      <w:r w:rsidR="00903312">
        <w:t>gentile</w:t>
      </w:r>
      <w:r w:rsidR="00150868">
        <w:t xml:space="preserve"> identity.</w:t>
      </w:r>
    </w:p>
    <w:p w14:paraId="1E015253" w14:textId="759F2F2C" w:rsidR="00BD05C0" w:rsidRDefault="00150868" w:rsidP="00BD05C0">
      <w:pPr>
        <w:spacing w:line="360" w:lineRule="auto"/>
        <w:ind w:firstLine="708"/>
        <w:jc w:val="both"/>
      </w:pPr>
      <w:r>
        <w:t xml:space="preserve">While the </w:t>
      </w:r>
      <w:r w:rsidRPr="00AD1759">
        <w:rPr>
          <w:i/>
        </w:rPr>
        <w:t>kommunalka</w:t>
      </w:r>
      <w:r>
        <w:t xml:space="preserve">, as nostalgically remembered by the novel’s narrator, </w:t>
      </w:r>
      <w:r w:rsidR="00F6648D">
        <w:t>can</w:t>
      </w:r>
      <w:r>
        <w:t xml:space="preserve"> heal wartime wounds, be the</w:t>
      </w:r>
      <w:r w:rsidR="00FD06EC">
        <w:t>y</w:t>
      </w:r>
      <w:r>
        <w:t xml:space="preserve"> physical or psychological, Alyosha conjures up its image as an antidote to his exilic despondency, which illustrates Boym’s point that in order to thrive</w:t>
      </w:r>
      <w:r w:rsidR="00B03DC3">
        <w:t>,</w:t>
      </w:r>
      <w:r>
        <w:t xml:space="preserve"> nostalgia requires a superimposition of two images: ‘home and abroad, past and present, dream and everyday life’.</w:t>
      </w:r>
      <w:r>
        <w:rPr>
          <w:rStyle w:val="Odwoanieprzypisukocowego"/>
        </w:rPr>
        <w:endnoteReference w:id="55"/>
      </w:r>
      <w:r>
        <w:t xml:space="preserve"> Standing in the </w:t>
      </w:r>
      <w:r w:rsidRPr="00AD1759">
        <w:t xml:space="preserve">Carrefour de l’Odéon, a </w:t>
      </w:r>
      <w:r w:rsidR="00A91678" w:rsidRPr="00AD1759">
        <w:t>Paris</w:t>
      </w:r>
      <w:r w:rsidR="00BD05C0">
        <w:t>ian</w:t>
      </w:r>
      <w:r w:rsidR="00A91678" w:rsidRPr="00AD1759">
        <w:t xml:space="preserve"> </w:t>
      </w:r>
      <w:r w:rsidRPr="00AD1759">
        <w:t xml:space="preserve">junction </w:t>
      </w:r>
      <w:r w:rsidR="00A91678">
        <w:t xml:space="preserve">that </w:t>
      </w:r>
      <w:r>
        <w:t xml:space="preserve">epitomises the idea of the centre, the </w:t>
      </w:r>
      <w:r w:rsidR="004B4366">
        <w:t xml:space="preserve">novel’s </w:t>
      </w:r>
      <w:r>
        <w:t xml:space="preserve">protagonist-narrator </w:t>
      </w:r>
      <w:r w:rsidRPr="00AD1759">
        <w:t>feels uneasy and dejected</w:t>
      </w:r>
      <w:r>
        <w:t xml:space="preserve">. </w:t>
      </w:r>
      <w:r w:rsidR="00A91678">
        <w:t>His</w:t>
      </w:r>
      <w:r>
        <w:t xml:space="preserve"> ‘ex-centricity’, to borrow Hutcheon’s term referring to postmodern protagonists’ liminality in relation to mainstream culture,</w:t>
      </w:r>
      <w:r>
        <w:rPr>
          <w:rStyle w:val="Odwoanieprzypisukocowego"/>
        </w:rPr>
        <w:endnoteReference w:id="56"/>
      </w:r>
      <w:r>
        <w:t xml:space="preserve"> </w:t>
      </w:r>
      <w:r w:rsidR="00B03DC3">
        <w:t>transpires from</w:t>
      </w:r>
      <w:r>
        <w:t xml:space="preserve"> </w:t>
      </w:r>
      <w:r w:rsidR="00B03DC3">
        <w:t>Makine’s</w:t>
      </w:r>
      <w:r>
        <w:t xml:space="preserve"> depiction of the </w:t>
      </w:r>
      <w:r w:rsidRPr="00AD1759">
        <w:t xml:space="preserve">Carrefour </w:t>
      </w:r>
      <w:r>
        <w:t xml:space="preserve">as oppressively hot, noisy and </w:t>
      </w:r>
      <w:r w:rsidRPr="00AD1759">
        <w:t>overcrowded</w:t>
      </w:r>
      <w:r>
        <w:t xml:space="preserve">. It can also be detected in Alyosha’s </w:t>
      </w:r>
      <w:r w:rsidR="003064C2">
        <w:t xml:space="preserve">disturbing </w:t>
      </w:r>
      <w:r>
        <w:t>sense of anonymity amidst all the ‘normal people’,</w:t>
      </w:r>
      <w:r>
        <w:rPr>
          <w:rStyle w:val="Odwoanieprzypisukocowego"/>
        </w:rPr>
        <w:endnoteReference w:id="57"/>
      </w:r>
      <w:r>
        <w:t xml:space="preserve"> from </w:t>
      </w:r>
      <w:r w:rsidR="00554645">
        <w:t xml:space="preserve">whom he feels </w:t>
      </w:r>
      <w:r w:rsidR="00A91678">
        <w:t>estranged</w:t>
      </w:r>
      <w:r w:rsidR="00554645">
        <w:t xml:space="preserve"> by his </w:t>
      </w:r>
      <w:r w:rsidR="00BD05C0">
        <w:t>S</w:t>
      </w:r>
      <w:r>
        <w:t xml:space="preserve">oviet childhood, physical and mental scarring resulting from his participation in the Afghan War, and feeling of </w:t>
      </w:r>
      <w:r w:rsidR="004B4366">
        <w:t>rootlessness</w:t>
      </w:r>
      <w:r>
        <w:t xml:space="preserve"> caused by the </w:t>
      </w:r>
      <w:r w:rsidR="004B4366">
        <w:t xml:space="preserve">USSR’s </w:t>
      </w:r>
      <w:r>
        <w:t xml:space="preserve">break-up. </w:t>
      </w:r>
      <w:r w:rsidR="00A91678">
        <w:t>Additionally communicated by the scattering of the Russian diaspora</w:t>
      </w:r>
      <w:r w:rsidR="00BD05C0">
        <w:t xml:space="preserve"> and the infrequent and haphazard exchanges between its members</w:t>
      </w:r>
      <w:r w:rsidR="00A91678">
        <w:t>,</w:t>
      </w:r>
      <w:r w:rsidR="00A91678">
        <w:rPr>
          <w:rStyle w:val="Odwoanieprzypisukocowego"/>
        </w:rPr>
        <w:endnoteReference w:id="58"/>
      </w:r>
      <w:r w:rsidR="00A91678">
        <w:t xml:space="preserve"> </w:t>
      </w:r>
      <w:r w:rsidR="00BD05C0">
        <w:t xml:space="preserve">Alyosha’s </w:t>
      </w:r>
      <w:r w:rsidR="00A91678">
        <w:t xml:space="preserve">inner fragmentation </w:t>
      </w:r>
      <w:r>
        <w:t xml:space="preserve">translates into the disjointed structure of the book </w:t>
      </w:r>
      <w:r w:rsidR="00A91678">
        <w:t xml:space="preserve">which </w:t>
      </w:r>
      <w:r w:rsidR="00BD05C0">
        <w:t>he</w:t>
      </w:r>
      <w:r>
        <w:t xml:space="preserve"> is writing and we are reading</w:t>
      </w:r>
      <w:r w:rsidR="00A91678">
        <w:t xml:space="preserve">, </w:t>
      </w:r>
      <w:r w:rsidR="00BD05C0">
        <w:t xml:space="preserve">and which is composed of fragments that the narrator pieces together emulating, in his own words, the painstaking work </w:t>
      </w:r>
      <w:r w:rsidR="004B4366">
        <w:t xml:space="preserve">of an archaeologist or </w:t>
      </w:r>
      <w:r w:rsidR="00BD05C0">
        <w:t>a mosaic artist.</w:t>
      </w:r>
      <w:r w:rsidR="00BD05C0">
        <w:rPr>
          <w:rStyle w:val="Odwoanieprzypisukocowego"/>
        </w:rPr>
        <w:endnoteReference w:id="59"/>
      </w:r>
      <w:r w:rsidR="00BD05C0">
        <w:t xml:space="preserve"> </w:t>
      </w:r>
    </w:p>
    <w:p w14:paraId="1B36D3DC" w14:textId="0D4D4AB6" w:rsidR="00150868" w:rsidRDefault="00150868" w:rsidP="004B4366">
      <w:pPr>
        <w:spacing w:line="360" w:lineRule="auto"/>
        <w:ind w:firstLine="708"/>
        <w:jc w:val="both"/>
      </w:pPr>
      <w:r>
        <w:t xml:space="preserve">The outcome </w:t>
      </w:r>
      <w:r w:rsidR="00BD05C0">
        <w:t xml:space="preserve">of Alyosha’s </w:t>
      </w:r>
      <w:r w:rsidR="007C0DC2">
        <w:t xml:space="preserve">literary </w:t>
      </w:r>
      <w:r w:rsidR="00BD05C0">
        <w:t>endeavour</w:t>
      </w:r>
      <w:r w:rsidR="004B4366">
        <w:t xml:space="preserve">, which is how </w:t>
      </w:r>
      <w:r w:rsidR="00903312">
        <w:t>Makine’s second novel</w:t>
      </w:r>
      <w:r w:rsidR="004B4366">
        <w:t xml:space="preserve"> present</w:t>
      </w:r>
      <w:r w:rsidR="00903312">
        <w:t>s itself</w:t>
      </w:r>
      <w:r w:rsidR="004B4366">
        <w:t>,</w:t>
      </w:r>
      <w:r w:rsidR="00BD05C0">
        <w:t xml:space="preserve"> </w:t>
      </w:r>
      <w:r w:rsidR="001E43DF">
        <w:t>appears as</w:t>
      </w:r>
      <w:r w:rsidR="00A91678">
        <w:t xml:space="preserve"> a </w:t>
      </w:r>
      <w:r w:rsidR="004B4366">
        <w:t>paragon</w:t>
      </w:r>
      <w:r w:rsidR="00A91678">
        <w:t xml:space="preserve"> of historiographic metafiction</w:t>
      </w:r>
      <w:r w:rsidR="004B4366">
        <w:t xml:space="preserve"> not only because of its poetics of fragment, but also because of its promise to </w:t>
      </w:r>
      <w:r>
        <w:t>undermin</w:t>
      </w:r>
      <w:r w:rsidR="00B03DC3">
        <w:t>e</w:t>
      </w:r>
      <w:r>
        <w:t xml:space="preserve"> a dominant discourse on the past, </w:t>
      </w:r>
      <w:r w:rsidR="00B03DC3">
        <w:t>namely</w:t>
      </w:r>
      <w:r>
        <w:t xml:space="preserve"> the </w:t>
      </w:r>
      <w:r w:rsidR="00A91678">
        <w:t xml:space="preserve">Soviet </w:t>
      </w:r>
      <w:r w:rsidR="004B4366">
        <w:t>myth</w:t>
      </w:r>
      <w:r w:rsidR="00D323CF">
        <w:t xml:space="preserve"> of </w:t>
      </w:r>
      <w:r w:rsidR="00A91678">
        <w:t xml:space="preserve">World War II </w:t>
      </w:r>
      <w:r>
        <w:t>with its emphasis on heroism and survi</w:t>
      </w:r>
      <w:r w:rsidR="00B03DC3">
        <w:t>val rather than loss and trauma.</w:t>
      </w:r>
      <w:r w:rsidR="00D323CF">
        <w:rPr>
          <w:rStyle w:val="Odwoanieprzypisukocowego"/>
        </w:rPr>
        <w:endnoteReference w:id="60"/>
      </w:r>
      <w:r w:rsidR="00B03DC3">
        <w:t xml:space="preserve"> </w:t>
      </w:r>
      <w:r w:rsidR="00D323CF">
        <w:t>Also</w:t>
      </w:r>
      <w:r w:rsidR="00B03DC3">
        <w:t>,</w:t>
      </w:r>
      <w:r>
        <w:t xml:space="preserve"> </w:t>
      </w:r>
      <w:r w:rsidR="00A91678" w:rsidRPr="00A91678">
        <w:rPr>
          <w:i/>
        </w:rPr>
        <w:t>Confessions</w:t>
      </w:r>
      <w:r>
        <w:t xml:space="preserve"> </w:t>
      </w:r>
      <w:r w:rsidR="00B03DC3">
        <w:t xml:space="preserve">emphatically </w:t>
      </w:r>
      <w:r w:rsidR="00A91678">
        <w:t>refuse</w:t>
      </w:r>
      <w:r>
        <w:t xml:space="preserve"> the totalising view</w:t>
      </w:r>
      <w:r w:rsidR="00A91678">
        <w:t xml:space="preserve"> of History, instead narrating</w:t>
      </w:r>
      <w:r>
        <w:t xml:space="preserve"> incomplete </w:t>
      </w:r>
      <w:r w:rsidRPr="00460425">
        <w:rPr>
          <w:i/>
        </w:rPr>
        <w:t>histories</w:t>
      </w:r>
      <w:r>
        <w:t xml:space="preserve"> of individuals whose voices have </w:t>
      </w:r>
      <w:r w:rsidR="00D03377">
        <w:t xml:space="preserve">previously </w:t>
      </w:r>
      <w:r>
        <w:t>not</w:t>
      </w:r>
      <w:r w:rsidR="004B4366">
        <w:t xml:space="preserve"> been heard, and</w:t>
      </w:r>
      <w:r w:rsidR="00A44565">
        <w:t xml:space="preserve"> overtly question</w:t>
      </w:r>
      <w:r>
        <w:t xml:space="preserve"> the possibility of constructing a reliable discourse on the past.</w:t>
      </w:r>
      <w:r>
        <w:rPr>
          <w:rStyle w:val="Odwoanieprzypisukocowego"/>
        </w:rPr>
        <w:endnoteReference w:id="61"/>
      </w:r>
      <w:r w:rsidR="00D323CF">
        <w:t xml:space="preserve"> </w:t>
      </w:r>
      <w:r w:rsidR="009876FD">
        <w:t>Yet</w:t>
      </w:r>
      <w:r>
        <w:t xml:space="preserve">, in the light of Hutcheon’s theory, </w:t>
      </w:r>
      <w:r w:rsidR="003669FB">
        <w:t xml:space="preserve">Makine’s </w:t>
      </w:r>
      <w:r>
        <w:t>postmodern aesthetics seems incongruous with Alyosha</w:t>
      </w:r>
      <w:r w:rsidR="00B56B33">
        <w:t>’s</w:t>
      </w:r>
      <w:r w:rsidR="001802A0">
        <w:t xml:space="preserve"> and other</w:t>
      </w:r>
      <w:r w:rsidR="00B56B33">
        <w:t xml:space="preserve"> </w:t>
      </w:r>
      <w:r w:rsidR="001802A0">
        <w:t xml:space="preserve">Makinean narrators’ </w:t>
      </w:r>
      <w:r>
        <w:t>no</w:t>
      </w:r>
      <w:r w:rsidR="00554645">
        <w:t xml:space="preserve">stalgic view of </w:t>
      </w:r>
      <w:r w:rsidR="00814593">
        <w:t>S</w:t>
      </w:r>
      <w:r w:rsidR="003669FB">
        <w:t xml:space="preserve">oviet </w:t>
      </w:r>
      <w:r w:rsidR="009B69DE">
        <w:t>past</w:t>
      </w:r>
      <w:r w:rsidR="001802A0">
        <w:t xml:space="preserve"> and with their lack of criticism towards, to use Boym’s formulation,</w:t>
      </w:r>
      <w:r w:rsidR="003669FB">
        <w:t xml:space="preserve"> </w:t>
      </w:r>
      <w:r w:rsidR="001802A0">
        <w:t>their own</w:t>
      </w:r>
      <w:r>
        <w:t xml:space="preserve"> </w:t>
      </w:r>
      <w:r w:rsidR="00B56B33">
        <w:t>‘</w:t>
      </w:r>
      <w:r>
        <w:t>affective yearning for a community with a collective memory</w:t>
      </w:r>
      <w:r w:rsidR="001802A0">
        <w:t>’</w:t>
      </w:r>
      <w:r>
        <w:t xml:space="preserve"> a</w:t>
      </w:r>
      <w:r w:rsidR="001802A0">
        <w:t>nd</w:t>
      </w:r>
      <w:r>
        <w:t xml:space="preserve"> </w:t>
      </w:r>
      <w:r w:rsidR="001802A0">
        <w:t>‘</w:t>
      </w:r>
      <w:r>
        <w:t>longing for a continuity in a fragmented world’.</w:t>
      </w:r>
      <w:r>
        <w:rPr>
          <w:rStyle w:val="Odwoanieprzypisukocowego"/>
        </w:rPr>
        <w:endnoteReference w:id="62"/>
      </w:r>
      <w:r w:rsidR="001802A0">
        <w:t xml:space="preserve"> In fact</w:t>
      </w:r>
      <w:r>
        <w:t xml:space="preserve"> Alyosha quasi-openly </w:t>
      </w:r>
      <w:r w:rsidR="001802A0">
        <w:t>acknowledges his</w:t>
      </w:r>
      <w:r>
        <w:t xml:space="preserve"> nostalgia when he hopes that, despite Arkady’s financial and social success in America, </w:t>
      </w:r>
      <w:r w:rsidR="00814593">
        <w:t xml:space="preserve">his transatlantic </w:t>
      </w:r>
      <w:r w:rsidR="009876FD">
        <w:t xml:space="preserve">alter-ego </w:t>
      </w:r>
      <w:r>
        <w:t xml:space="preserve">is periodically seized by a melancholy longing for his youth. Imagining </w:t>
      </w:r>
      <w:r w:rsidR="009876FD">
        <w:t>his friend</w:t>
      </w:r>
      <w:r>
        <w:t>’s life to be</w:t>
      </w:r>
      <w:r w:rsidR="003669FB">
        <w:t xml:space="preserve"> commodity-orient</w:t>
      </w:r>
      <w:r>
        <w:t>ed</w:t>
      </w:r>
      <w:r w:rsidRPr="00950200">
        <w:t xml:space="preserve"> </w:t>
      </w:r>
      <w:r>
        <w:t xml:space="preserve">and </w:t>
      </w:r>
      <w:r w:rsidR="00903312">
        <w:t>requiring</w:t>
      </w:r>
      <w:r w:rsidR="00554645">
        <w:t xml:space="preserve"> the </w:t>
      </w:r>
      <w:r w:rsidR="00903312">
        <w:t>suppression</w:t>
      </w:r>
      <w:r w:rsidR="00554645">
        <w:t xml:space="preserve"> of his</w:t>
      </w:r>
      <w:r w:rsidR="00814593" w:rsidRPr="00814593">
        <w:t xml:space="preserve"> </w:t>
      </w:r>
      <w:r w:rsidR="00903312">
        <w:t xml:space="preserve">Soviet </w:t>
      </w:r>
      <w:r w:rsidR="00814593">
        <w:t>memories</w:t>
      </w:r>
      <w:r>
        <w:t>, Alyosha pictures a dinner party during which</w:t>
      </w:r>
      <w:r w:rsidR="003669FB">
        <w:t xml:space="preserve"> </w:t>
      </w:r>
      <w:r w:rsidR="009876FD">
        <w:t>Arkady</w:t>
      </w:r>
      <w:r>
        <w:t xml:space="preserve">, </w:t>
      </w:r>
      <w:r w:rsidR="00BE7127">
        <w:t>already</w:t>
      </w:r>
      <w:r w:rsidR="00B56B33">
        <w:t xml:space="preserve"> tipsy</w:t>
      </w:r>
      <w:r>
        <w:t xml:space="preserve">, starts </w:t>
      </w:r>
      <w:r w:rsidR="00BE7127">
        <w:t xml:space="preserve">loudly </w:t>
      </w:r>
      <w:r>
        <w:t>reminiscing about his childhood</w:t>
      </w:r>
      <w:r w:rsidR="003669FB">
        <w:t>.</w:t>
      </w:r>
      <w:r>
        <w:t xml:space="preserve"> </w:t>
      </w:r>
      <w:r w:rsidR="00D323CF">
        <w:t>H</w:t>
      </w:r>
      <w:r>
        <w:t xml:space="preserve">aving </w:t>
      </w:r>
      <w:r w:rsidR="00BE7127">
        <w:t>embarrassed</w:t>
      </w:r>
      <w:r w:rsidR="00B56B33">
        <w:t xml:space="preserve"> </w:t>
      </w:r>
      <w:r>
        <w:t>his guests</w:t>
      </w:r>
      <w:r w:rsidR="00D323CF">
        <w:t>,</w:t>
      </w:r>
      <w:r w:rsidR="003669FB">
        <w:t xml:space="preserve"> </w:t>
      </w:r>
      <w:r w:rsidR="00B56B33">
        <w:t>who</w:t>
      </w:r>
      <w:r w:rsidR="00814593">
        <w:t xml:space="preserve">, </w:t>
      </w:r>
      <w:r w:rsidR="00BE7127">
        <w:t>unlike</w:t>
      </w:r>
      <w:r w:rsidR="00814593">
        <w:t xml:space="preserve"> Demidovs’ neighbours,</w:t>
      </w:r>
      <w:r w:rsidR="00B56B33">
        <w:t xml:space="preserve"> </w:t>
      </w:r>
      <w:r w:rsidR="009876FD">
        <w:t xml:space="preserve">are </w:t>
      </w:r>
      <w:r w:rsidR="00903312">
        <w:t>manifestly</w:t>
      </w:r>
      <w:r w:rsidR="00B56B33">
        <w:t xml:space="preserve"> </w:t>
      </w:r>
      <w:r w:rsidR="00BE7127">
        <w:t>unwilling to engage</w:t>
      </w:r>
      <w:r w:rsidR="009876FD">
        <w:t xml:space="preserve"> in</w:t>
      </w:r>
      <w:r w:rsidR="00B56B33">
        <w:t xml:space="preserve"> sentimental outpouri</w:t>
      </w:r>
      <w:r w:rsidR="001802A0">
        <w:t xml:space="preserve">ngs </w:t>
      </w:r>
      <w:r w:rsidR="00FB1D75" w:rsidRPr="00FB1D75">
        <w:rPr>
          <w:i/>
        </w:rPr>
        <w:t>à la russe</w:t>
      </w:r>
      <w:r w:rsidR="00B56B33">
        <w:t xml:space="preserve">, </w:t>
      </w:r>
      <w:r w:rsidR="003669FB">
        <w:t xml:space="preserve">he </w:t>
      </w:r>
      <w:r>
        <w:t>walks</w:t>
      </w:r>
      <w:r w:rsidR="00B56B33">
        <w:t xml:space="preserve"> away from the table, indignant</w:t>
      </w:r>
      <w:r w:rsidR="001802A0">
        <w:t xml:space="preserve"> and despondent</w:t>
      </w:r>
      <w:r>
        <w:t xml:space="preserve">.  </w:t>
      </w:r>
    </w:p>
    <w:p w14:paraId="47E946BF" w14:textId="06EB4794" w:rsidR="00BE7127" w:rsidRDefault="00150868" w:rsidP="00BE7127">
      <w:pPr>
        <w:spacing w:line="360" w:lineRule="auto"/>
        <w:ind w:firstLine="708"/>
        <w:jc w:val="both"/>
      </w:pPr>
      <w:r>
        <w:t xml:space="preserve">Because in Makine’s </w:t>
      </w:r>
      <w:r w:rsidR="00E77CC6">
        <w:t>prose</w:t>
      </w:r>
      <w:r>
        <w:t xml:space="preserve"> the </w:t>
      </w:r>
      <w:r w:rsidR="00E77CC6" w:rsidRPr="00E77CC6">
        <w:rPr>
          <w:i/>
        </w:rPr>
        <w:t>kommunalka</w:t>
      </w:r>
      <w:r>
        <w:t xml:space="preserve"> epitomises the </w:t>
      </w:r>
      <w:r w:rsidR="00C63575">
        <w:t>S</w:t>
      </w:r>
      <w:r>
        <w:t xml:space="preserve">oviet way of living, it is </w:t>
      </w:r>
      <w:r w:rsidR="00502846">
        <w:t>only natural</w:t>
      </w:r>
      <w:r>
        <w:t xml:space="preserve"> that its disappearance </w:t>
      </w:r>
      <w:r w:rsidR="007C0DC2">
        <w:t>should be</w:t>
      </w:r>
      <w:r w:rsidR="00C63575">
        <w:t xml:space="preserve"> linked </w:t>
      </w:r>
      <w:r>
        <w:t xml:space="preserve">to that of the USSR itself. In </w:t>
      </w:r>
      <w:r w:rsidRPr="00F075E8">
        <w:rPr>
          <w:i/>
        </w:rPr>
        <w:t>Confessions</w:t>
      </w:r>
      <w:r w:rsidR="00814593">
        <w:t>, for example,</w:t>
      </w:r>
      <w:r w:rsidRPr="00F075E8">
        <w:rPr>
          <w:i/>
        </w:rPr>
        <w:t xml:space="preserve"> </w:t>
      </w:r>
      <w:r w:rsidR="00554645">
        <w:t xml:space="preserve">the imminent end of the </w:t>
      </w:r>
      <w:r w:rsidR="00283F1D">
        <w:t>S</w:t>
      </w:r>
      <w:r>
        <w:t xml:space="preserve">oviet </w:t>
      </w:r>
      <w:r w:rsidR="00554645">
        <w:t>period</w:t>
      </w:r>
      <w:r>
        <w:t xml:space="preserve"> is anticipated by the </w:t>
      </w:r>
      <w:r w:rsidR="00283F1D">
        <w:t>gradual demolition</w:t>
      </w:r>
      <w:r>
        <w:t xml:space="preserve"> of the </w:t>
      </w:r>
      <w:r w:rsidR="00283F1D">
        <w:t xml:space="preserve">triangular </w:t>
      </w:r>
      <w:r>
        <w:t>housing estate</w:t>
      </w:r>
      <w:r w:rsidR="00814593">
        <w:t xml:space="preserve"> which, significantly enough, coincides with the Soviet </w:t>
      </w:r>
      <w:r w:rsidR="00903312">
        <w:t>troops’</w:t>
      </w:r>
      <w:r w:rsidR="00814593">
        <w:t xml:space="preserve"> </w:t>
      </w:r>
      <w:r w:rsidR="00903312">
        <w:t>Afghan debacle</w:t>
      </w:r>
      <w:r w:rsidR="00814593">
        <w:t xml:space="preserve">. </w:t>
      </w:r>
      <w:r w:rsidR="00283F1D">
        <w:t>The</w:t>
      </w:r>
      <w:r>
        <w:t xml:space="preserve"> tower blocks</w:t>
      </w:r>
      <w:r w:rsidR="00283F1D">
        <w:t xml:space="preserve"> </w:t>
      </w:r>
      <w:r w:rsidR="00903312">
        <w:t>gradually</w:t>
      </w:r>
      <w:r w:rsidR="00283F1D">
        <w:t xml:space="preserve"> </w:t>
      </w:r>
      <w:r w:rsidR="00BE7127">
        <w:t>replacing the estate</w:t>
      </w:r>
      <w:r w:rsidR="00E77CC6">
        <w:t xml:space="preserve"> </w:t>
      </w:r>
      <w:r>
        <w:t>menacingly dwarf the remaining two redbrick</w:t>
      </w:r>
      <w:r w:rsidR="00283F1D">
        <w:t xml:space="preserve"> buildings, one already vacated</w:t>
      </w:r>
      <w:r w:rsidR="00882CC7">
        <w:t>,</w:t>
      </w:r>
      <w:r w:rsidR="00283F1D">
        <w:t xml:space="preserve"> </w:t>
      </w:r>
      <w:r>
        <w:t>the inhabitants of the other one await</w:t>
      </w:r>
      <w:r w:rsidR="00882CC7">
        <w:t>ing resettlement. Naturally, t</w:t>
      </w:r>
      <w:r>
        <w:t xml:space="preserve">he destruction of the courtyard </w:t>
      </w:r>
      <w:r w:rsidR="00882CC7">
        <w:t>entails</w:t>
      </w:r>
      <w:r>
        <w:t xml:space="preserve"> </w:t>
      </w:r>
      <w:r w:rsidR="00814593">
        <w:t>the obliteration of communality, evidenced by the</w:t>
      </w:r>
      <w:r w:rsidR="00BE7127">
        <w:t xml:space="preserve"> individualistic</w:t>
      </w:r>
      <w:r w:rsidR="00814593">
        <w:t xml:space="preserve"> pursuits of those living in the newly constructed tower blocks:</w:t>
      </w:r>
      <w:r>
        <w:t xml:space="preserve"> </w:t>
      </w:r>
      <w:r w:rsidR="00814593">
        <w:t xml:space="preserve">while </w:t>
      </w:r>
      <w:r w:rsidR="00E77CC6">
        <w:t>mothers</w:t>
      </w:r>
      <w:r>
        <w:t xml:space="preserve"> push prams men wash or repair their cars. </w:t>
      </w:r>
      <w:r w:rsidR="00903312">
        <w:t>Finally, t</w:t>
      </w:r>
      <w:r>
        <w:t xml:space="preserve">he upheaval caused by the construction </w:t>
      </w:r>
      <w:r w:rsidR="00814593">
        <w:t xml:space="preserve">site </w:t>
      </w:r>
      <w:r>
        <w:t>reflects the changes brought about by</w:t>
      </w:r>
      <w:r w:rsidR="00BE7127">
        <w:t xml:space="preserve"> </w:t>
      </w:r>
      <w:r w:rsidR="00BE7127" w:rsidRPr="00BE7127">
        <w:rPr>
          <w:i/>
        </w:rPr>
        <w:t>glasnost</w:t>
      </w:r>
      <w:r w:rsidR="00BE7127">
        <w:t xml:space="preserve"> and</w:t>
      </w:r>
      <w:r>
        <w:t xml:space="preserve"> </w:t>
      </w:r>
      <w:r w:rsidRPr="00F9051F">
        <w:rPr>
          <w:i/>
        </w:rPr>
        <w:t>perestroika</w:t>
      </w:r>
      <w:r w:rsidR="00BE7127">
        <w:t>. That these</w:t>
      </w:r>
      <w:r>
        <w:t xml:space="preserve"> </w:t>
      </w:r>
      <w:r w:rsidR="00BE7127">
        <w:t>are negatively valorised by Makine’s second novel also transpire</w:t>
      </w:r>
      <w:r w:rsidR="00D85986">
        <w:t>s</w:t>
      </w:r>
      <w:r w:rsidR="00BE7127">
        <w:t xml:space="preserve"> from Faya Moysseyevna’s </w:t>
      </w:r>
      <w:r w:rsidR="00903312">
        <w:t>comment</w:t>
      </w:r>
      <w:r w:rsidR="00BE7127">
        <w:t xml:space="preserve"> concerning the declining interest in World War II, which she </w:t>
      </w:r>
      <w:r w:rsidR="00903312">
        <w:t xml:space="preserve">vaguely </w:t>
      </w:r>
      <w:r w:rsidR="00BE7127">
        <w:t>attributes to Gorbachev’s socio-political reforms.</w:t>
      </w:r>
      <w:r w:rsidR="00BE7127">
        <w:rPr>
          <w:rStyle w:val="Odwoanieprzypisukocowego"/>
        </w:rPr>
        <w:endnoteReference w:id="63"/>
      </w:r>
    </w:p>
    <w:p w14:paraId="6955FBB0" w14:textId="3E4DC3B5" w:rsidR="00136D39" w:rsidRDefault="00150868" w:rsidP="00FB1D75">
      <w:pPr>
        <w:spacing w:line="360" w:lineRule="auto"/>
        <w:ind w:firstLine="708"/>
        <w:jc w:val="both"/>
      </w:pPr>
      <w:r>
        <w:t xml:space="preserve">The </w:t>
      </w:r>
      <w:r w:rsidR="00BE773C">
        <w:t>causal link</w:t>
      </w:r>
      <w:r>
        <w:t xml:space="preserve"> between </w:t>
      </w:r>
      <w:r w:rsidR="004064AF" w:rsidRPr="004064AF">
        <w:t>Russia’s</w:t>
      </w:r>
      <w:r w:rsidR="00BE7127">
        <w:t xml:space="preserve"> </w:t>
      </w:r>
      <w:r w:rsidR="00903312">
        <w:t>progressive</w:t>
      </w:r>
      <w:r w:rsidR="004064AF">
        <w:t xml:space="preserve"> transformation from communism to capitalism </w:t>
      </w:r>
      <w:r>
        <w:t xml:space="preserve">and the </w:t>
      </w:r>
      <w:r w:rsidR="00BE773C">
        <w:t xml:space="preserve">disappearance of the </w:t>
      </w:r>
      <w:r w:rsidR="000676B2" w:rsidRPr="00D92AD1">
        <w:rPr>
          <w:i/>
        </w:rPr>
        <w:t>kommunalka</w:t>
      </w:r>
      <w:r w:rsidR="000676B2">
        <w:t xml:space="preserve"> </w:t>
      </w:r>
      <w:r>
        <w:t xml:space="preserve">is also </w:t>
      </w:r>
      <w:r w:rsidR="00AB77D7">
        <w:t>established</w:t>
      </w:r>
      <w:r>
        <w:t xml:space="preserve"> by Makine’s two more recent novels </w:t>
      </w:r>
      <w:r w:rsidR="00814593">
        <w:t>that</w:t>
      </w:r>
      <w:r>
        <w:t xml:space="preserve"> show the 1991 law allowing for </w:t>
      </w:r>
      <w:r w:rsidR="001C6B25">
        <w:t xml:space="preserve">the </w:t>
      </w:r>
      <w:r>
        <w:t xml:space="preserve">privatisation of property as disastrous in consequences not only for </w:t>
      </w:r>
      <w:r w:rsidR="00583F10">
        <w:t xml:space="preserve">society’s </w:t>
      </w:r>
      <w:r w:rsidR="000676B2">
        <w:t>poorest</w:t>
      </w:r>
      <w:r>
        <w:t xml:space="preserve"> members but also for </w:t>
      </w:r>
      <w:r w:rsidR="00583F10">
        <w:t xml:space="preserve">both </w:t>
      </w:r>
      <w:r w:rsidR="00FB1D75">
        <w:t>communality and wartime memory.</w:t>
      </w:r>
      <w:r w:rsidR="00FB1D75" w:rsidRPr="00FB1D75">
        <w:t xml:space="preserve"> </w:t>
      </w:r>
      <w:r w:rsidR="00FB1D75">
        <w:t xml:space="preserve">In </w:t>
      </w:r>
      <w:r w:rsidR="00FB1D75" w:rsidRPr="00794EAA">
        <w:rPr>
          <w:i/>
        </w:rPr>
        <w:t>The Life of an Unknown Man</w:t>
      </w:r>
      <w:r w:rsidR="00AB77D7">
        <w:t xml:space="preserve">, set at the beginning of the new millennium, </w:t>
      </w:r>
      <w:r w:rsidR="00814593">
        <w:t xml:space="preserve">Russian society’s </w:t>
      </w:r>
      <w:r w:rsidR="00903312">
        <w:t>new economic divisiveness is</w:t>
      </w:r>
      <w:r w:rsidR="00FB1D75">
        <w:t xml:space="preserve"> symptomatized by the reconsolidation of </w:t>
      </w:r>
      <w:r w:rsidR="00903312">
        <w:rPr>
          <w:i/>
        </w:rPr>
        <w:t>kommunalk</w:t>
      </w:r>
      <w:r w:rsidR="00D85986">
        <w:rPr>
          <w:i/>
        </w:rPr>
        <w:t>i</w:t>
      </w:r>
      <w:r w:rsidR="00903312">
        <w:t>. The novel narrates</w:t>
      </w:r>
      <w:r w:rsidR="00FB1D75">
        <w:t xml:space="preserve"> </w:t>
      </w:r>
      <w:r>
        <w:t xml:space="preserve">the story of Lev Volsky who, transformed by his </w:t>
      </w:r>
      <w:r w:rsidR="00FB1D75" w:rsidRPr="00FB1D75">
        <w:t>traumatic</w:t>
      </w:r>
      <w:r>
        <w:t xml:space="preserve"> experience of the siege of Leningrad, gave up his operatic career to teach disabled orphans. Having sung on battlefields, fought all the way to Berlin and served his community throughout the postwar period, Volsky finds himself ousted from his </w:t>
      </w:r>
      <w:r w:rsidRPr="003551E3">
        <w:rPr>
          <w:i/>
        </w:rPr>
        <w:t>kommunalka</w:t>
      </w:r>
      <w:r>
        <w:t xml:space="preserve">, so </w:t>
      </w:r>
      <w:r w:rsidR="00B17A70">
        <w:t xml:space="preserve">that </w:t>
      </w:r>
      <w:r w:rsidR="0084048C">
        <w:t>the latter</w:t>
      </w:r>
      <w:r>
        <w:t xml:space="preserve"> can become </w:t>
      </w:r>
      <w:r w:rsidR="0084048C">
        <w:t>some</w:t>
      </w:r>
      <w:r>
        <w:t xml:space="preserve"> </w:t>
      </w:r>
      <w:r w:rsidR="0084048C">
        <w:t xml:space="preserve">New Russians’ </w:t>
      </w:r>
      <w:r>
        <w:t xml:space="preserve">luxury home. In a gesture opposing </w:t>
      </w:r>
      <w:r w:rsidR="001E33B9">
        <w:t>the</w:t>
      </w:r>
      <w:r>
        <w:t xml:space="preserve"> 1917</w:t>
      </w:r>
      <w:r w:rsidR="00814593">
        <w:t xml:space="preserve"> dismemberment of individual apartments</w:t>
      </w:r>
      <w:r>
        <w:t xml:space="preserve">, the new rich join several communal </w:t>
      </w:r>
      <w:r w:rsidR="0037688A">
        <w:t>dwellings</w:t>
      </w:r>
      <w:r>
        <w:t xml:space="preserve">, which they can afford </w:t>
      </w:r>
      <w:r w:rsidR="00583F10">
        <w:t xml:space="preserve">to do </w:t>
      </w:r>
      <w:r>
        <w:t xml:space="preserve">thanks to money earned in shady deals and connections to the mafia </w:t>
      </w:r>
      <w:r w:rsidR="00136D39">
        <w:t>and/or the power structures</w:t>
      </w:r>
      <w:r>
        <w:t xml:space="preserve">. The tasteless golden taps, crass marble floors and enormous plasma TV screens </w:t>
      </w:r>
      <w:r w:rsidR="00136D39">
        <w:t xml:space="preserve">that </w:t>
      </w:r>
      <w:r>
        <w:t>tirelessly</w:t>
      </w:r>
      <w:r w:rsidR="00136D39">
        <w:t xml:space="preserve"> spew</w:t>
      </w:r>
      <w:r>
        <w:t xml:space="preserve"> out stupefying images</w:t>
      </w:r>
      <w:r w:rsidR="00690628">
        <w:t>,</w:t>
      </w:r>
      <w:r>
        <w:t xml:space="preserve"> jar with the shabbiness of Volsky’s </w:t>
      </w:r>
      <w:r w:rsidR="00B17A70">
        <w:t xml:space="preserve">tiny </w:t>
      </w:r>
      <w:r>
        <w:t xml:space="preserve">room where a bedridden man sips cold tea and reads a book </w:t>
      </w:r>
      <w:r w:rsidR="00903312">
        <w:t xml:space="preserve">while </w:t>
      </w:r>
      <w:r>
        <w:t xml:space="preserve">waiting to be </w:t>
      </w:r>
      <w:r w:rsidR="0037688A">
        <w:t>evicted</w:t>
      </w:r>
      <w:r>
        <w:t xml:space="preserve">. </w:t>
      </w:r>
    </w:p>
    <w:p w14:paraId="3C33D2C0" w14:textId="423B9DFF" w:rsidR="00150868" w:rsidRDefault="001E33B9" w:rsidP="00B17A70">
      <w:pPr>
        <w:spacing w:line="360" w:lineRule="auto"/>
        <w:ind w:firstLine="708"/>
        <w:jc w:val="both"/>
      </w:pPr>
      <w:r>
        <w:t>Similarly</w:t>
      </w:r>
      <w:r w:rsidR="00502846">
        <w:t xml:space="preserve">, </w:t>
      </w:r>
      <w:r w:rsidR="00502846" w:rsidRPr="00794EAA">
        <w:rPr>
          <w:i/>
        </w:rPr>
        <w:t>A Woman Loved</w:t>
      </w:r>
      <w:r w:rsidR="00502846">
        <w:t xml:space="preserve"> retraces the transformation of a </w:t>
      </w:r>
      <w:r w:rsidR="00502846" w:rsidRPr="006C2BC4">
        <w:rPr>
          <w:i/>
        </w:rPr>
        <w:t>kommunalka</w:t>
      </w:r>
      <w:r w:rsidR="00502846">
        <w:t xml:space="preserve"> across time; the novel begins </w:t>
      </w:r>
      <w:r w:rsidR="00690628">
        <w:t>during</w:t>
      </w:r>
      <w:r w:rsidR="00502846">
        <w:t xml:space="preserve"> </w:t>
      </w:r>
      <w:r w:rsidR="00690628">
        <w:t xml:space="preserve">the </w:t>
      </w:r>
      <w:r w:rsidR="00502846">
        <w:t>Brezhnev</w:t>
      </w:r>
      <w:r w:rsidR="00690628">
        <w:t xml:space="preserve"> era</w:t>
      </w:r>
      <w:r w:rsidR="00502846">
        <w:t xml:space="preserve"> </w:t>
      </w:r>
      <w:r w:rsidR="00690628">
        <w:t>and stages</w:t>
      </w:r>
      <w:r w:rsidR="00502846">
        <w:t xml:space="preserve"> a young </w:t>
      </w:r>
      <w:r w:rsidR="00690628">
        <w:t xml:space="preserve">filmmaker, Oleg Erdmann, </w:t>
      </w:r>
      <w:r w:rsidR="00A46946">
        <w:t xml:space="preserve">who </w:t>
      </w:r>
      <w:r w:rsidR="00690628">
        <w:t>shar</w:t>
      </w:r>
      <w:r w:rsidR="00A46946">
        <w:t>es</w:t>
      </w:r>
      <w:r w:rsidR="00502846">
        <w:t xml:space="preserve"> a seven-room flat with fourteen other people. </w:t>
      </w:r>
      <w:r w:rsidR="004A7E1C">
        <w:t>Despite</w:t>
      </w:r>
      <w:r w:rsidR="00150868">
        <w:t xml:space="preserve"> </w:t>
      </w:r>
      <w:r w:rsidR="004A7E1C">
        <w:t>considering</w:t>
      </w:r>
      <w:r w:rsidR="00150868">
        <w:t xml:space="preserve"> communal life ‘everyday hell’, from </w:t>
      </w:r>
      <w:r w:rsidR="0034543D">
        <w:t>a</w:t>
      </w:r>
      <w:r w:rsidR="00150868">
        <w:t xml:space="preserve"> </w:t>
      </w:r>
      <w:r w:rsidR="00136D39">
        <w:t>post-</w:t>
      </w:r>
      <w:r w:rsidR="00E45997">
        <w:t>Soviet</w:t>
      </w:r>
      <w:r w:rsidR="00136D39">
        <w:t xml:space="preserve"> </w:t>
      </w:r>
      <w:r w:rsidR="00150868">
        <w:t xml:space="preserve">perspective he remembers his </w:t>
      </w:r>
      <w:r w:rsidR="00150868" w:rsidRPr="00953B00">
        <w:rPr>
          <w:i/>
        </w:rPr>
        <w:t>kommunalka</w:t>
      </w:r>
      <w:r w:rsidR="00150868">
        <w:t xml:space="preserve"> with fondness as a place where ‘one could be happy’.</w:t>
      </w:r>
      <w:r w:rsidR="00150868">
        <w:rPr>
          <w:rStyle w:val="Odwoanieprzypisukocowego"/>
        </w:rPr>
        <w:endnoteReference w:id="64"/>
      </w:r>
      <w:r w:rsidR="00150868">
        <w:t xml:space="preserve"> Like Ivan Shuto</w:t>
      </w:r>
      <w:r w:rsidR="0034543D">
        <w:t>v of</w:t>
      </w:r>
      <w:r w:rsidR="00150868">
        <w:t xml:space="preserve"> </w:t>
      </w:r>
      <w:r w:rsidR="00150868" w:rsidRPr="001C1BAD">
        <w:rPr>
          <w:i/>
        </w:rPr>
        <w:t>The Life of an Unknown Man</w:t>
      </w:r>
      <w:r w:rsidR="00353826">
        <w:t xml:space="preserve">, </w:t>
      </w:r>
      <w:r w:rsidR="00150868">
        <w:t xml:space="preserve">who </w:t>
      </w:r>
      <w:r w:rsidR="00293FBC">
        <w:t>avidly</w:t>
      </w:r>
      <w:r w:rsidR="003A4723">
        <w:t xml:space="preserve"> listens to Volsky’s frontline memories and </w:t>
      </w:r>
      <w:r w:rsidR="00150868">
        <w:t xml:space="preserve">finds a father figure in </w:t>
      </w:r>
      <w:r w:rsidR="003A4723">
        <w:t>the veteran</w:t>
      </w:r>
      <w:r w:rsidR="008D0283">
        <w:t>,</w:t>
      </w:r>
      <w:r w:rsidR="00150868">
        <w:t xml:space="preserve"> Erdmann, also an orphan, seeks a maternal substitute in </w:t>
      </w:r>
      <w:r w:rsidR="008D0283">
        <w:t>his</w:t>
      </w:r>
      <w:r w:rsidR="00150868">
        <w:t xml:space="preserve"> fifty-year old </w:t>
      </w:r>
      <w:r w:rsidR="008D0283">
        <w:t xml:space="preserve">neighbour, </w:t>
      </w:r>
      <w:r w:rsidR="00150868">
        <w:t>Zoya</w:t>
      </w:r>
      <w:r w:rsidR="00084BB1">
        <w:t>,</w:t>
      </w:r>
      <w:r w:rsidR="00150868">
        <w:t xml:space="preserve"> who, as Oleg deduces from the style of her kettle, </w:t>
      </w:r>
      <w:r w:rsidR="00293FBC">
        <w:t xml:space="preserve">must have lived through </w:t>
      </w:r>
      <w:r w:rsidR="00353826">
        <w:t>World</w:t>
      </w:r>
      <w:r w:rsidR="00150868">
        <w:t xml:space="preserve"> War</w:t>
      </w:r>
      <w:r w:rsidR="00353826">
        <w:t xml:space="preserve"> II</w:t>
      </w:r>
      <w:r w:rsidR="00150868">
        <w:t xml:space="preserve">. </w:t>
      </w:r>
      <w:r w:rsidR="0034543D">
        <w:t>Predictably</w:t>
      </w:r>
      <w:r w:rsidR="0056510C">
        <w:t xml:space="preserve">, the social matrix of Oleg’s </w:t>
      </w:r>
      <w:r w:rsidR="0056510C" w:rsidRPr="00953B00">
        <w:rPr>
          <w:i/>
        </w:rPr>
        <w:t>kommunalka</w:t>
      </w:r>
      <w:r w:rsidR="0056510C">
        <w:t xml:space="preserve"> changes during </w:t>
      </w:r>
      <w:r w:rsidR="0056510C" w:rsidRPr="000C020D">
        <w:rPr>
          <w:i/>
        </w:rPr>
        <w:t>perestroika</w:t>
      </w:r>
      <w:r w:rsidR="0034543D">
        <w:t xml:space="preserve"> whose crashing force is symbolised by Zoya’s death under the wheels of a train. As those more </w:t>
      </w:r>
      <w:r w:rsidR="00293FBC">
        <w:t>industrious</w:t>
      </w:r>
      <w:r w:rsidR="0034543D">
        <w:t xml:space="preserve"> </w:t>
      </w:r>
      <w:r w:rsidR="00616281">
        <w:t xml:space="preserve">move out to be replaced by society’s poorest members, Zoya’s room is now inhabited by </w:t>
      </w:r>
      <w:r w:rsidR="0034543D">
        <w:t xml:space="preserve">Gaya, </w:t>
      </w:r>
      <w:r w:rsidR="0056510C">
        <w:t>a mother of three whose husband is serving a fo</w:t>
      </w:r>
      <w:r w:rsidR="00616281">
        <w:t>ur-year prison sentence for stea</w:t>
      </w:r>
      <w:r w:rsidR="0056510C">
        <w:t xml:space="preserve">ling a </w:t>
      </w:r>
      <w:r w:rsidR="00293FBC">
        <w:t xml:space="preserve">frozen </w:t>
      </w:r>
      <w:r w:rsidR="0056510C">
        <w:t xml:space="preserve">chicken. </w:t>
      </w:r>
      <w:r w:rsidR="00150868">
        <w:t xml:space="preserve">Finally, the end of the </w:t>
      </w:r>
      <w:r w:rsidR="00353826">
        <w:t>USSR</w:t>
      </w:r>
      <w:r w:rsidR="00150868">
        <w:t xml:space="preserve"> </w:t>
      </w:r>
      <w:r w:rsidR="00520F22">
        <w:t>coincides with</w:t>
      </w:r>
      <w:r w:rsidR="00150868">
        <w:t xml:space="preserve"> the</w:t>
      </w:r>
      <w:r w:rsidR="00353826">
        <w:t xml:space="preserve"> imminent</w:t>
      </w:r>
      <w:r w:rsidR="00150868">
        <w:t xml:space="preserve"> </w:t>
      </w:r>
      <w:r w:rsidR="00BF529D">
        <w:t xml:space="preserve">conversion of Oleg’s </w:t>
      </w:r>
      <w:r w:rsidR="00353826" w:rsidRPr="00AA4B09">
        <w:rPr>
          <w:i/>
        </w:rPr>
        <w:t>kommunalka</w:t>
      </w:r>
      <w:r w:rsidR="00353826">
        <w:t xml:space="preserve"> </w:t>
      </w:r>
      <w:r w:rsidR="008D0283">
        <w:t xml:space="preserve">into </w:t>
      </w:r>
      <w:r w:rsidR="00BF529D">
        <w:t>a single-family home</w:t>
      </w:r>
      <w:r w:rsidR="008D0283">
        <w:t xml:space="preserve">, a process </w:t>
      </w:r>
      <w:r w:rsidR="00BF529D">
        <w:t xml:space="preserve">foretold </w:t>
      </w:r>
      <w:r w:rsidR="008D0283">
        <w:t>by</w:t>
      </w:r>
      <w:r w:rsidR="00150868">
        <w:t xml:space="preserve"> the cutting down of the tree growing in the courtyard to make </w:t>
      </w:r>
      <w:r w:rsidR="00BF529D">
        <w:t>space</w:t>
      </w:r>
      <w:r w:rsidR="00150868">
        <w:t xml:space="preserve"> for four-by-fours of the flat’s new owners. Like Volsky’s room for Shutov, for Erdmann</w:t>
      </w:r>
      <w:r w:rsidR="002B552F">
        <w:t>,</w:t>
      </w:r>
      <w:r w:rsidR="00BF529D">
        <w:t xml:space="preserve"> who</w:t>
      </w:r>
      <w:r w:rsidR="00616281">
        <w:t xml:space="preserve"> </w:t>
      </w:r>
      <w:r w:rsidR="00293FBC">
        <w:t>never moves out of his</w:t>
      </w:r>
      <w:r w:rsidR="00616281">
        <w:t xml:space="preserve"> </w:t>
      </w:r>
      <w:r w:rsidR="00293FBC" w:rsidRPr="00AA4B09">
        <w:rPr>
          <w:i/>
        </w:rPr>
        <w:t>kommunalka</w:t>
      </w:r>
      <w:r w:rsidR="00293FBC">
        <w:t xml:space="preserve"> </w:t>
      </w:r>
      <w:r w:rsidR="00616281">
        <w:t xml:space="preserve">even </w:t>
      </w:r>
      <w:r w:rsidR="00A46946">
        <w:t xml:space="preserve">when </w:t>
      </w:r>
      <w:r w:rsidR="00293FBC">
        <w:t>able</w:t>
      </w:r>
      <w:r w:rsidR="00A46946">
        <w:t xml:space="preserve"> to do so</w:t>
      </w:r>
      <w:r w:rsidR="00BF529D">
        <w:t>, the</w:t>
      </w:r>
      <w:r w:rsidR="00150868">
        <w:t xml:space="preserve"> </w:t>
      </w:r>
      <w:r w:rsidR="00293FBC">
        <w:t xml:space="preserve">communal apartment </w:t>
      </w:r>
      <w:r w:rsidR="00150868">
        <w:t>becomes a sanctuary from the destructive capitalism ragi</w:t>
      </w:r>
      <w:r w:rsidR="002B552F">
        <w:t>ng in post-S</w:t>
      </w:r>
      <w:r w:rsidR="00150868">
        <w:t>oviet Russia</w:t>
      </w:r>
      <w:r w:rsidR="00616281">
        <w:t>,</w:t>
      </w:r>
      <w:r w:rsidR="00150868">
        <w:t xml:space="preserve"> and a place where </w:t>
      </w:r>
      <w:r w:rsidR="00BF529D">
        <w:t>the past</w:t>
      </w:r>
      <w:r w:rsidR="00A46946">
        <w:t>,</w:t>
      </w:r>
      <w:r w:rsidR="00150868">
        <w:t xml:space="preserve"> and especially </w:t>
      </w:r>
      <w:r w:rsidR="00BF529D">
        <w:t xml:space="preserve">the memory </w:t>
      </w:r>
      <w:r w:rsidR="00150868">
        <w:t>of World War II</w:t>
      </w:r>
      <w:r w:rsidR="00616281">
        <w:t>,</w:t>
      </w:r>
      <w:r w:rsidR="00150868">
        <w:t xml:space="preserve"> </w:t>
      </w:r>
      <w:r>
        <w:t>is</w:t>
      </w:r>
      <w:r w:rsidR="00150868">
        <w:t xml:space="preserve"> preserved</w:t>
      </w:r>
      <w:r w:rsidR="008D0283">
        <w:t xml:space="preserve"> </w:t>
      </w:r>
      <w:r w:rsidR="00903312">
        <w:t xml:space="preserve">and </w:t>
      </w:r>
      <w:r w:rsidRPr="001E33B9">
        <w:t>treasured</w:t>
      </w:r>
      <w:r w:rsidR="00150868">
        <w:t xml:space="preserve">. </w:t>
      </w:r>
    </w:p>
    <w:p w14:paraId="434C07E7" w14:textId="360C26C4" w:rsidR="00B94534" w:rsidRDefault="00150868" w:rsidP="00293FBC">
      <w:pPr>
        <w:spacing w:line="360" w:lineRule="auto"/>
        <w:ind w:firstLine="708"/>
        <w:jc w:val="both"/>
      </w:pPr>
      <w:r>
        <w:t xml:space="preserve">What transpires from this analysis is </w:t>
      </w:r>
      <w:r w:rsidR="00313FC4">
        <w:t xml:space="preserve">the </w:t>
      </w:r>
      <w:r w:rsidR="00313FC4" w:rsidRPr="0095721D">
        <w:rPr>
          <w:i/>
        </w:rPr>
        <w:t>kommunalka</w:t>
      </w:r>
      <w:r w:rsidR="00313FC4">
        <w:t xml:space="preserve">’s </w:t>
      </w:r>
      <w:r>
        <w:t xml:space="preserve">paradoxical role </w:t>
      </w:r>
      <w:r w:rsidR="00E07579">
        <w:t xml:space="preserve">in Makine’s prose </w:t>
      </w:r>
      <w:r w:rsidR="001E33B9">
        <w:t>that transforms</w:t>
      </w:r>
      <w:r w:rsidR="00313FC4">
        <w:t xml:space="preserve"> this</w:t>
      </w:r>
      <w:r>
        <w:t xml:space="preserve"> </w:t>
      </w:r>
      <w:r w:rsidR="00313FC4">
        <w:t xml:space="preserve">prime figure of </w:t>
      </w:r>
      <w:r w:rsidR="00293FBC">
        <w:t>fragmentation</w:t>
      </w:r>
      <w:r>
        <w:t xml:space="preserve"> </w:t>
      </w:r>
      <w:r w:rsidR="001E33B9">
        <w:t>into</w:t>
      </w:r>
      <w:r w:rsidR="00293FBC">
        <w:t xml:space="preserve"> a space where physical and mental wounds </w:t>
      </w:r>
      <w:r w:rsidR="001E33B9">
        <w:t>are</w:t>
      </w:r>
      <w:r w:rsidR="00293FBC">
        <w:t xml:space="preserve"> healed, and broken family life made whole again through spontaneously arisen and supportive relationships. </w:t>
      </w:r>
      <w:r>
        <w:t>Ignoring or at least downplaying any of its negative aspects</w:t>
      </w:r>
      <w:r w:rsidR="005B58B7">
        <w:t>,</w:t>
      </w:r>
      <w:r>
        <w:t xml:space="preserve"> </w:t>
      </w:r>
      <w:r w:rsidR="007E59FD">
        <w:t xml:space="preserve">which have been </w:t>
      </w:r>
      <w:r w:rsidR="002B552F">
        <w:t>discussed</w:t>
      </w:r>
      <w:r>
        <w:t xml:space="preserve"> by both scholars and those with first-hand experience of this form of enforced communality,</w:t>
      </w:r>
      <w:r>
        <w:rPr>
          <w:rStyle w:val="Odwoanieprzypisukocowego"/>
        </w:rPr>
        <w:endnoteReference w:id="65"/>
      </w:r>
      <w:r>
        <w:t xml:space="preserve"> Makinean narrators cast a tender backward glance at the </w:t>
      </w:r>
      <w:r w:rsidRPr="0095721D">
        <w:rPr>
          <w:i/>
        </w:rPr>
        <w:t>kommunalka</w:t>
      </w:r>
      <w:r>
        <w:t xml:space="preserve"> which, as did the communist authorities themselves,</w:t>
      </w:r>
      <w:r>
        <w:rPr>
          <w:rStyle w:val="Odwoanieprzypisukocowego"/>
        </w:rPr>
        <w:endnoteReference w:id="66"/>
      </w:r>
      <w:r>
        <w:t xml:space="preserve"> they identify </w:t>
      </w:r>
      <w:r w:rsidR="009B380B">
        <w:t>with the Soviet Union or rather</w:t>
      </w:r>
      <w:r w:rsidR="00293FBC">
        <w:t>,</w:t>
      </w:r>
      <w:r w:rsidR="009B380B">
        <w:t xml:space="preserve"> </w:t>
      </w:r>
      <w:r>
        <w:t xml:space="preserve">nostalgia being </w:t>
      </w:r>
      <w:r w:rsidR="007E59FD">
        <w:t xml:space="preserve">more </w:t>
      </w:r>
      <w:r>
        <w:t>about time than space</w:t>
      </w:r>
      <w:r w:rsidR="00293FBC">
        <w:t>,</w:t>
      </w:r>
      <w:r>
        <w:rPr>
          <w:rStyle w:val="Odwoanieprzypisukocowego"/>
        </w:rPr>
        <w:endnoteReference w:id="67"/>
      </w:r>
      <w:r>
        <w:t xml:space="preserve"> with their own childhood and youth. Also, as </w:t>
      </w:r>
      <w:r w:rsidR="001E33B9">
        <w:t>I have</w:t>
      </w:r>
      <w:r>
        <w:t xml:space="preserve"> </w:t>
      </w:r>
      <w:r w:rsidR="007E59FD">
        <w:t>show</w:t>
      </w:r>
      <w:r w:rsidR="00293FBC">
        <w:t>n</w:t>
      </w:r>
      <w:r>
        <w:t xml:space="preserve">, the </w:t>
      </w:r>
      <w:r w:rsidRPr="00F73874">
        <w:rPr>
          <w:i/>
        </w:rPr>
        <w:t>kommunalka</w:t>
      </w:r>
      <w:r>
        <w:t xml:space="preserve"> is invariably the locus of Worl</w:t>
      </w:r>
      <w:r w:rsidR="007E59FD">
        <w:t xml:space="preserve">d War II memory, which </w:t>
      </w:r>
      <w:r w:rsidR="001E33B9">
        <w:t>the Franco–Russian author</w:t>
      </w:r>
      <w:r w:rsidR="007E59FD">
        <w:t xml:space="preserve"> </w:t>
      </w:r>
      <w:r>
        <w:t>repr</w:t>
      </w:r>
      <w:r w:rsidR="002B552F">
        <w:t>esents as the key narrative of S</w:t>
      </w:r>
      <w:r>
        <w:t xml:space="preserve">oviet teleology and whose waning </w:t>
      </w:r>
      <w:r w:rsidR="00820ED1">
        <w:t>he</w:t>
      </w:r>
      <w:r>
        <w:t xml:space="preserve"> posits as the reason for — or perhaps the symptom of — the </w:t>
      </w:r>
      <w:r w:rsidR="00293FBC">
        <w:t>USSR’s collapse</w:t>
      </w:r>
      <w:r>
        <w:t xml:space="preserve">. Consequently, </w:t>
      </w:r>
      <w:r w:rsidR="00AB2233">
        <w:t xml:space="preserve">what </w:t>
      </w:r>
      <w:r>
        <w:t xml:space="preserve">Makine’s novels share with postmodern literature </w:t>
      </w:r>
      <w:r w:rsidR="009B380B">
        <w:t>are</w:t>
      </w:r>
      <w:r w:rsidR="00AB2233">
        <w:t xml:space="preserve"> </w:t>
      </w:r>
      <w:r>
        <w:t>not only interest in history and self-reflexivity</w:t>
      </w:r>
      <w:r w:rsidR="009B380B">
        <w:t>, which</w:t>
      </w:r>
      <w:r>
        <w:t xml:space="preserve"> allows </w:t>
      </w:r>
      <w:r w:rsidR="00AB2233">
        <w:t xml:space="preserve">the </w:t>
      </w:r>
      <w:r>
        <w:t xml:space="preserve">narrators </w:t>
      </w:r>
      <w:r w:rsidR="00293FBC">
        <w:t xml:space="preserve">of historiographic metafictions </w:t>
      </w:r>
      <w:r>
        <w:t>to question the convention of the historical novel, but</w:t>
      </w:r>
      <w:r w:rsidR="005B58B7">
        <w:t xml:space="preserve"> also its </w:t>
      </w:r>
      <w:r w:rsidR="00293FBC">
        <w:t xml:space="preserve">self-contradictory </w:t>
      </w:r>
      <w:r w:rsidR="005B58B7">
        <w:t>character</w:t>
      </w:r>
      <w:r>
        <w:t>.</w:t>
      </w:r>
      <w:r>
        <w:rPr>
          <w:rStyle w:val="Odwoanieprzypisukocowego"/>
        </w:rPr>
        <w:endnoteReference w:id="68"/>
      </w:r>
      <w:r>
        <w:t xml:space="preserve"> </w:t>
      </w:r>
      <w:r w:rsidR="00140980">
        <w:t>However, wh</w:t>
      </w:r>
      <w:r w:rsidR="001E33B9">
        <w:t>ereas</w:t>
      </w:r>
      <w:r w:rsidR="00140980">
        <w:t xml:space="preserve"> </w:t>
      </w:r>
      <w:r w:rsidR="000C39E7">
        <w:t xml:space="preserve">the </w:t>
      </w:r>
      <w:r w:rsidR="00801A54">
        <w:t xml:space="preserve">programmatically </w:t>
      </w:r>
      <w:r w:rsidR="00293FBC">
        <w:t xml:space="preserve">paradoxical </w:t>
      </w:r>
      <w:r w:rsidR="00140980">
        <w:t xml:space="preserve">historiographic metafiction </w:t>
      </w:r>
      <w:r w:rsidR="000C39E7">
        <w:t xml:space="preserve">requires readers to both engage </w:t>
      </w:r>
      <w:r w:rsidR="005B58B7">
        <w:t xml:space="preserve">with </w:t>
      </w:r>
      <w:r w:rsidR="000C39E7">
        <w:t xml:space="preserve">and distance themselves from the story, Makine’s </w:t>
      </w:r>
      <w:r w:rsidR="002B552F">
        <w:t>novels</w:t>
      </w:r>
      <w:r w:rsidR="007E59FD">
        <w:t xml:space="preserve"> offer</w:t>
      </w:r>
      <w:r w:rsidR="002B552F">
        <w:t xml:space="preserve"> </w:t>
      </w:r>
      <w:r w:rsidR="003F69C2">
        <w:t>no space for such emotional and intellectual</w:t>
      </w:r>
      <w:r w:rsidR="000C39E7">
        <w:t xml:space="preserve"> </w:t>
      </w:r>
      <w:r w:rsidR="003F69C2" w:rsidRPr="003F69C2">
        <w:t>detachment</w:t>
      </w:r>
      <w:r w:rsidR="007E59FD">
        <w:t xml:space="preserve"> as their</w:t>
      </w:r>
      <w:r w:rsidR="000C39E7">
        <w:t xml:space="preserve"> </w:t>
      </w:r>
      <w:r w:rsidR="007E59FD">
        <w:t>narrators</w:t>
      </w:r>
      <w:r w:rsidR="003F69C2">
        <w:t xml:space="preserve"> unashamedly wallow in nostalgia</w:t>
      </w:r>
      <w:r w:rsidR="009B380B">
        <w:t>,</w:t>
      </w:r>
      <w:r w:rsidR="003F69C2" w:rsidRPr="003F69C2">
        <w:t xml:space="preserve"> </w:t>
      </w:r>
      <w:r w:rsidR="003F69C2">
        <w:t xml:space="preserve">showing </w:t>
      </w:r>
      <w:r w:rsidR="003F7A98">
        <w:t>very little</w:t>
      </w:r>
      <w:r w:rsidR="003F69C2">
        <w:t xml:space="preserve"> c</w:t>
      </w:r>
      <w:r w:rsidR="00554645">
        <w:t xml:space="preserve">ritical </w:t>
      </w:r>
      <w:r w:rsidR="009B380B">
        <w:t>attitude</w:t>
      </w:r>
      <w:r w:rsidR="00554645">
        <w:t xml:space="preserve"> towards their </w:t>
      </w:r>
      <w:r w:rsidR="003F69C2">
        <w:t xml:space="preserve">past. </w:t>
      </w:r>
      <w:r w:rsidR="00293FBC">
        <w:t>On the other hand</w:t>
      </w:r>
      <w:r w:rsidR="003F69C2">
        <w:t xml:space="preserve">, </w:t>
      </w:r>
      <w:r w:rsidR="00293FBC">
        <w:t>despite</w:t>
      </w:r>
      <w:r w:rsidR="003F69C2">
        <w:t xml:space="preserve"> </w:t>
      </w:r>
      <w:r w:rsidR="00DE7690">
        <w:t>undermin</w:t>
      </w:r>
      <w:r w:rsidR="00293FBC">
        <w:t>ing</w:t>
      </w:r>
      <w:r w:rsidR="005B58B7">
        <w:t xml:space="preserve"> </w:t>
      </w:r>
      <w:r w:rsidR="00DE7690">
        <w:t xml:space="preserve">Hutcheon’s </w:t>
      </w:r>
      <w:r w:rsidR="003F69C2">
        <w:t>view of post</w:t>
      </w:r>
      <w:r w:rsidR="00C37C87">
        <w:t>modern historicism as free from</w:t>
      </w:r>
      <w:r w:rsidR="00801A54">
        <w:t xml:space="preserve"> </w:t>
      </w:r>
      <w:r w:rsidR="003F69C2">
        <w:t xml:space="preserve">melancholy yearning for the </w:t>
      </w:r>
      <w:r w:rsidR="001E33B9">
        <w:t>bygone days</w:t>
      </w:r>
      <w:r w:rsidR="003F69C2">
        <w:t xml:space="preserve">, </w:t>
      </w:r>
      <w:r w:rsidR="00293FBC">
        <w:t>Makine’s prose</w:t>
      </w:r>
      <w:r w:rsidR="00DE7690">
        <w:t xml:space="preserve"> </w:t>
      </w:r>
      <w:r w:rsidR="003F69C2">
        <w:t xml:space="preserve">confirms </w:t>
      </w:r>
      <w:r w:rsidR="00293FBC">
        <w:t>the Canadian theorist’s</w:t>
      </w:r>
      <w:r w:rsidR="00DE7690">
        <w:t xml:space="preserve"> </w:t>
      </w:r>
      <w:r w:rsidR="0038062E">
        <w:t xml:space="preserve">claim about </w:t>
      </w:r>
      <w:r w:rsidR="00847595">
        <w:t>the political engagement of postmodern art,</w:t>
      </w:r>
      <w:r w:rsidR="009B380B">
        <w:t xml:space="preserve"> </w:t>
      </w:r>
      <w:r w:rsidR="0038062E">
        <w:t>which</w:t>
      </w:r>
      <w:r w:rsidR="00DE7690">
        <w:t>, although</w:t>
      </w:r>
      <w:r w:rsidR="0038062E">
        <w:t xml:space="preserve"> </w:t>
      </w:r>
      <w:r w:rsidR="003F7A98">
        <w:t>predominantly</w:t>
      </w:r>
      <w:r w:rsidR="0038062E">
        <w:t xml:space="preserve"> revisionist in relation to official historiography</w:t>
      </w:r>
      <w:r w:rsidR="00DE7690">
        <w:t>,</w:t>
      </w:r>
      <w:r w:rsidR="0038062E">
        <w:t xml:space="preserve"> </w:t>
      </w:r>
      <w:r w:rsidR="00DE7690">
        <w:t>can</w:t>
      </w:r>
      <w:r w:rsidR="0038062E">
        <w:t xml:space="preserve"> </w:t>
      </w:r>
      <w:r w:rsidR="005B58B7">
        <w:t xml:space="preserve">also </w:t>
      </w:r>
      <w:r w:rsidR="007A708A">
        <w:t>be</w:t>
      </w:r>
      <w:r w:rsidR="00D85986">
        <w:t>, however</w:t>
      </w:r>
      <w:r w:rsidR="001E33B9">
        <w:t xml:space="preserve"> rarely,</w:t>
      </w:r>
      <w:r w:rsidR="007A708A">
        <w:t xml:space="preserve"> ‘neo-conservatively nostalgic’ or </w:t>
      </w:r>
      <w:r w:rsidR="005B58B7">
        <w:t xml:space="preserve">even </w:t>
      </w:r>
      <w:r w:rsidR="0038062E">
        <w:t>su</w:t>
      </w:r>
      <w:r w:rsidR="007A708A">
        <w:t>pport a reactionary agenda.</w:t>
      </w:r>
      <w:r w:rsidR="007A708A">
        <w:rPr>
          <w:rStyle w:val="Odwoanieprzypisukocowego"/>
        </w:rPr>
        <w:endnoteReference w:id="69"/>
      </w:r>
      <w:r w:rsidR="007A708A">
        <w:t xml:space="preserve"> Indeed, by </w:t>
      </w:r>
      <w:r w:rsidR="00847595">
        <w:t>exemplifying</w:t>
      </w:r>
      <w:r w:rsidR="0038062E">
        <w:t xml:space="preserve"> </w:t>
      </w:r>
      <w:r w:rsidR="007A708A">
        <w:t>Boym’s conception of nostalgia as ‘history without guilt’, ‘an abdication of personal responsibility’, ‘a guilt-free homecoming’</w:t>
      </w:r>
      <w:r w:rsidR="007A708A" w:rsidRPr="00B96A8C">
        <w:t xml:space="preserve"> </w:t>
      </w:r>
      <w:r w:rsidR="007A708A">
        <w:t>and an ethical — if not aesthetic — failure,</w:t>
      </w:r>
      <w:r w:rsidR="00DE7690">
        <w:rPr>
          <w:rStyle w:val="Odwoanieprzypisukocowego"/>
        </w:rPr>
        <w:endnoteReference w:id="70"/>
      </w:r>
      <w:r w:rsidR="007A708A">
        <w:t xml:space="preserve"> </w:t>
      </w:r>
      <w:r w:rsidR="0038062E">
        <w:t xml:space="preserve">Makine’s oeuvre </w:t>
      </w:r>
      <w:r w:rsidR="007A708A">
        <w:t xml:space="preserve">gives evidence of its ideological motivations. </w:t>
      </w:r>
      <w:r w:rsidR="003F69C2">
        <w:t>For</w:t>
      </w:r>
      <w:r w:rsidR="00801A54">
        <w:t>,</w:t>
      </w:r>
      <w:r w:rsidR="003F69C2">
        <w:t xml:space="preserve"> by idealising the </w:t>
      </w:r>
      <w:r w:rsidR="003F69C2" w:rsidRPr="003F69C2">
        <w:rPr>
          <w:i/>
        </w:rPr>
        <w:t>kommunalka</w:t>
      </w:r>
      <w:r w:rsidR="003F69C2">
        <w:t xml:space="preserve"> and, by extension, the </w:t>
      </w:r>
      <w:r w:rsidR="00DE7690">
        <w:t>USSR</w:t>
      </w:r>
      <w:r w:rsidR="003F69C2">
        <w:t xml:space="preserve">, </w:t>
      </w:r>
      <w:r w:rsidR="00266B7D">
        <w:t>the Franco-Russian author</w:t>
      </w:r>
      <w:r w:rsidR="003F69C2">
        <w:t xml:space="preserve"> deliberately </w:t>
      </w:r>
      <w:r w:rsidR="00847595">
        <w:t xml:space="preserve">undervalues or even ignores </w:t>
      </w:r>
      <w:r w:rsidR="00801A54">
        <w:t xml:space="preserve">the </w:t>
      </w:r>
      <w:r w:rsidR="00DE7690">
        <w:t>S</w:t>
      </w:r>
      <w:r w:rsidR="00801A54">
        <w:t>oviet regime’s brutality</w:t>
      </w:r>
      <w:r w:rsidR="003F69C2">
        <w:t xml:space="preserve"> towards both its own citizens and other </w:t>
      </w:r>
      <w:r w:rsidR="00801A54">
        <w:t>nations</w:t>
      </w:r>
      <w:r w:rsidR="003F69C2">
        <w:t>, as well as the</w:t>
      </w:r>
      <w:r w:rsidR="00DC7B6B">
        <w:t xml:space="preserve"> reciprocal</w:t>
      </w:r>
      <w:r w:rsidR="003F69C2">
        <w:t xml:space="preserve"> violence of </w:t>
      </w:r>
      <w:r w:rsidR="00DC7B6B">
        <w:t xml:space="preserve">the Soviet people themselves, </w:t>
      </w:r>
      <w:r w:rsidR="00DE7690">
        <w:t>for</w:t>
      </w:r>
      <w:r w:rsidR="00DC7B6B">
        <w:t xml:space="preserve"> which </w:t>
      </w:r>
      <w:r w:rsidR="00801A54">
        <w:t xml:space="preserve">the communal apartment was </w:t>
      </w:r>
      <w:r w:rsidR="00DE7690">
        <w:t xml:space="preserve">one of the </w:t>
      </w:r>
      <w:r w:rsidR="007E59FD">
        <w:t>archetypal</w:t>
      </w:r>
      <w:r w:rsidR="00B94534">
        <w:t xml:space="preserve"> </w:t>
      </w:r>
      <w:r w:rsidR="00DE7690">
        <w:t>settings</w:t>
      </w:r>
      <w:r w:rsidR="00B94534">
        <w:t>.</w:t>
      </w:r>
    </w:p>
    <w:sectPr w:rsidR="00B94534" w:rsidSect="00C86256">
      <w:footerReference w:type="even" r:id="rId8"/>
      <w:footerReference w:type="default" r:id="rId9"/>
      <w:footnotePr>
        <w:pos w:val="beneathText"/>
      </w:footnotePr>
      <w:endnotePr>
        <w:numFmt w:val="decimal"/>
      </w:endnotePr>
      <w:pgSz w:w="11900" w:h="16840"/>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CBED" w14:textId="77777777" w:rsidR="00D85986" w:rsidRDefault="00D85986" w:rsidP="00740987">
      <w:r>
        <w:separator/>
      </w:r>
    </w:p>
  </w:endnote>
  <w:endnote w:type="continuationSeparator" w:id="0">
    <w:p w14:paraId="6FD06956" w14:textId="77777777" w:rsidR="00D85986" w:rsidRDefault="00D85986" w:rsidP="00740987">
      <w:r>
        <w:continuationSeparator/>
      </w:r>
    </w:p>
  </w:endnote>
  <w:endnote w:id="1">
    <w:p w14:paraId="69ED702D" w14:textId="56D2D44B"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Stuart Sim, </w:t>
      </w:r>
      <w:r w:rsidRPr="005D25D7">
        <w:rPr>
          <w:i/>
          <w:sz w:val="22"/>
          <w:szCs w:val="22"/>
        </w:rPr>
        <w:t>The Routledge Companion to Postmodernism</w:t>
      </w:r>
      <w:r w:rsidRPr="005D25D7">
        <w:rPr>
          <w:sz w:val="22"/>
          <w:szCs w:val="22"/>
        </w:rPr>
        <w:t>, London: Routledge, 2013, p160.</w:t>
      </w:r>
    </w:p>
  </w:endnote>
  <w:endnote w:id="2">
    <w:p w14:paraId="30B596A0" w14:textId="77777777" w:rsidR="00D85986" w:rsidRPr="005D25D7" w:rsidRDefault="00D85986" w:rsidP="006F2E14">
      <w:pPr>
        <w:pStyle w:val="Tekstprzypisukocowego"/>
        <w:rPr>
          <w:sz w:val="22"/>
          <w:szCs w:val="22"/>
        </w:rPr>
      </w:pPr>
      <w:r w:rsidRPr="005D25D7">
        <w:rPr>
          <w:rStyle w:val="Odwoanieprzypisukocowego"/>
          <w:szCs w:val="22"/>
        </w:rPr>
        <w:endnoteRef/>
      </w:r>
      <w:r w:rsidRPr="005D25D7">
        <w:rPr>
          <w:sz w:val="22"/>
          <w:szCs w:val="22"/>
        </w:rPr>
        <w:t xml:space="preserve"> Andreas Huyssen, ‘Mapping the Postmodern’, </w:t>
      </w:r>
      <w:r w:rsidRPr="005D25D7">
        <w:rPr>
          <w:i/>
          <w:sz w:val="22"/>
          <w:szCs w:val="22"/>
        </w:rPr>
        <w:t>New German Critique</w:t>
      </w:r>
      <w:r w:rsidRPr="005D25D7">
        <w:rPr>
          <w:sz w:val="22"/>
          <w:szCs w:val="22"/>
        </w:rPr>
        <w:t xml:space="preserve">, 33, 1984, pp5-52, p9. </w:t>
      </w:r>
    </w:p>
  </w:endnote>
  <w:endnote w:id="3">
    <w:p w14:paraId="48C19C2A" w14:textId="0F3B0DDB" w:rsidR="00D85986" w:rsidRPr="005D25D7" w:rsidRDefault="00D85986" w:rsidP="000B7D55">
      <w:pPr>
        <w:pStyle w:val="Tekstprzypisukocowego"/>
        <w:rPr>
          <w:sz w:val="22"/>
          <w:szCs w:val="22"/>
        </w:rPr>
      </w:pPr>
      <w:r w:rsidRPr="005D25D7">
        <w:rPr>
          <w:rStyle w:val="Odwoanieprzypisukocowego"/>
          <w:szCs w:val="22"/>
        </w:rPr>
        <w:endnoteRef/>
      </w:r>
      <w:r w:rsidRPr="005D25D7">
        <w:rPr>
          <w:sz w:val="22"/>
          <w:szCs w:val="22"/>
        </w:rPr>
        <w:t xml:space="preserve"> See Elisabeth Wesseling, </w:t>
      </w:r>
      <w:r w:rsidRPr="005D25D7">
        <w:rPr>
          <w:i/>
          <w:sz w:val="22"/>
          <w:szCs w:val="22"/>
        </w:rPr>
        <w:t>Writing History as a Prophet. Postmodernist Innovations in a Historical Novel</w:t>
      </w:r>
      <w:r w:rsidRPr="005D25D7">
        <w:rPr>
          <w:sz w:val="22"/>
          <w:szCs w:val="22"/>
        </w:rPr>
        <w:t xml:space="preserve">, Amsterdam: John Benjamin’s Publishing Company, 1991; Jerome de Groot, </w:t>
      </w:r>
      <w:r w:rsidRPr="005D25D7">
        <w:rPr>
          <w:i/>
          <w:sz w:val="22"/>
          <w:szCs w:val="22"/>
        </w:rPr>
        <w:t>The Historical Novel</w:t>
      </w:r>
      <w:r w:rsidRPr="005D25D7">
        <w:rPr>
          <w:sz w:val="22"/>
          <w:szCs w:val="22"/>
        </w:rPr>
        <w:t xml:space="preserve">, London: Routledge, 2010 and Linda Hutcheon, </w:t>
      </w:r>
      <w:r w:rsidRPr="005D25D7">
        <w:rPr>
          <w:i/>
          <w:sz w:val="22"/>
          <w:szCs w:val="22"/>
        </w:rPr>
        <w:t>A Poetics of Postmodernism: History, Theory, Fiction</w:t>
      </w:r>
      <w:r w:rsidRPr="005D25D7">
        <w:rPr>
          <w:sz w:val="22"/>
          <w:szCs w:val="22"/>
        </w:rPr>
        <w:t>, Oxford: Routledge, 1988.</w:t>
      </w:r>
    </w:p>
  </w:endnote>
  <w:endnote w:id="4">
    <w:p w14:paraId="2AE7ABC0" w14:textId="1CA44044" w:rsidR="00D85986" w:rsidRPr="005D25D7" w:rsidRDefault="00D85986" w:rsidP="003D20B3">
      <w:pPr>
        <w:pStyle w:val="Tekstprzypisukocowego"/>
        <w:rPr>
          <w:sz w:val="22"/>
          <w:szCs w:val="22"/>
        </w:rPr>
      </w:pPr>
      <w:r w:rsidRPr="005D25D7">
        <w:rPr>
          <w:rStyle w:val="Odwoanieprzypisukocowego"/>
          <w:szCs w:val="22"/>
        </w:rPr>
        <w:endnoteRef/>
      </w:r>
      <w:r w:rsidRPr="005D25D7">
        <w:rPr>
          <w:sz w:val="22"/>
          <w:szCs w:val="22"/>
        </w:rPr>
        <w:t xml:space="preserve"> Eagleton, ‘Capitalism, Modernism and Postmodernism’, David Lodge (ed.), </w:t>
      </w:r>
      <w:r w:rsidRPr="005D25D7">
        <w:rPr>
          <w:i/>
          <w:sz w:val="22"/>
          <w:szCs w:val="22"/>
        </w:rPr>
        <w:t xml:space="preserve">Modern Criticism and Theory. A Reader, </w:t>
      </w:r>
      <w:r w:rsidRPr="005D25D7">
        <w:rPr>
          <w:sz w:val="22"/>
          <w:szCs w:val="22"/>
        </w:rPr>
        <w:t>London: Longman, 1988, pp385-98, p389. Here Eagleton constitutes postmodernism as ‘depthless, styleless, dehistoricised [and] decathected’, p386.</w:t>
      </w:r>
    </w:p>
  </w:endnote>
  <w:endnote w:id="5">
    <w:p w14:paraId="3EBA92FB" w14:textId="62C44C0D"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Frederic Jameson, </w:t>
      </w:r>
      <w:r w:rsidRPr="005D25D7">
        <w:rPr>
          <w:i/>
          <w:sz w:val="22"/>
          <w:szCs w:val="22"/>
        </w:rPr>
        <w:t>Postmodernism</w:t>
      </w:r>
      <w:r>
        <w:rPr>
          <w:i/>
          <w:sz w:val="22"/>
          <w:szCs w:val="22"/>
        </w:rPr>
        <w:t>,</w:t>
      </w:r>
      <w:r w:rsidRPr="005D25D7">
        <w:rPr>
          <w:i/>
          <w:sz w:val="22"/>
          <w:szCs w:val="22"/>
        </w:rPr>
        <w:t xml:space="preserve"> or the Cultural Logic of the Late Capitalism</w:t>
      </w:r>
      <w:r w:rsidRPr="005D25D7">
        <w:rPr>
          <w:sz w:val="22"/>
          <w:szCs w:val="22"/>
        </w:rPr>
        <w:t>, Durham: Duke University Press, 1991, pXVI.</w:t>
      </w:r>
    </w:p>
  </w:endnote>
  <w:endnote w:id="6">
    <w:p w14:paraId="6C488454" w14:textId="77777777" w:rsidR="00D85986" w:rsidRPr="005D25D7" w:rsidRDefault="00D85986" w:rsidP="00A33FEB">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p18.</w:t>
      </w:r>
    </w:p>
  </w:endnote>
  <w:endnote w:id="7">
    <w:p w14:paraId="4D00E455" w14:textId="307E7489"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Idem</w:t>
      </w:r>
      <w:r w:rsidRPr="005D25D7">
        <w:rPr>
          <w:sz w:val="22"/>
          <w:szCs w:val="22"/>
        </w:rPr>
        <w:t>.</w:t>
      </w:r>
    </w:p>
  </w:endnote>
  <w:endnote w:id="8">
    <w:p w14:paraId="4E9590BE" w14:textId="2BEAD231"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pp19-20.</w:t>
      </w:r>
    </w:p>
  </w:endnote>
  <w:endnote w:id="9">
    <w:p w14:paraId="192F6451" w14:textId="00B5E42F"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Hal Foster, ‘(Post)Modern Polemics’, </w:t>
      </w:r>
      <w:r w:rsidRPr="005D25D7">
        <w:rPr>
          <w:i/>
          <w:sz w:val="22"/>
          <w:szCs w:val="22"/>
        </w:rPr>
        <w:t>New German Critique</w:t>
      </w:r>
      <w:r w:rsidRPr="005D25D7">
        <w:rPr>
          <w:sz w:val="22"/>
          <w:szCs w:val="22"/>
        </w:rPr>
        <w:t>, 33, 1984, pp67-78, p72.</w:t>
      </w:r>
    </w:p>
  </w:endnote>
  <w:endnote w:id="10">
    <w:p w14:paraId="4A283B63" w14:textId="60A9353E"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Linda Hutcheon, </w:t>
      </w:r>
      <w:r w:rsidRPr="005D25D7">
        <w:rPr>
          <w:i/>
          <w:sz w:val="22"/>
          <w:szCs w:val="22"/>
        </w:rPr>
        <w:t>op. cit.</w:t>
      </w:r>
      <w:r w:rsidRPr="005D25D7">
        <w:rPr>
          <w:sz w:val="22"/>
          <w:szCs w:val="22"/>
        </w:rPr>
        <w:t>, p89.</w:t>
      </w:r>
    </w:p>
  </w:endnote>
  <w:endnote w:id="11">
    <w:p w14:paraId="047B1524" w14:textId="521C500F"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p39.</w:t>
      </w:r>
    </w:p>
  </w:endnote>
  <w:endnote w:id="12">
    <w:p w14:paraId="6FF49E0C" w14:textId="3D722399"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p4.</w:t>
      </w:r>
    </w:p>
  </w:endnote>
  <w:endnote w:id="13">
    <w:p w14:paraId="74DA04BF" w14:textId="77777777" w:rsidR="00D85986" w:rsidRPr="005D25D7" w:rsidRDefault="00D85986" w:rsidP="00F92808">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New York: Basic Books, 2001, pXIII.</w:t>
      </w:r>
    </w:p>
  </w:endnote>
  <w:endnote w:id="14">
    <w:p w14:paraId="541651B7" w14:textId="63F3E6DC"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Born in 1957 in Siberia, in 1987 Makine emigrated to France where he still lives. </w:t>
      </w:r>
    </w:p>
  </w:endnote>
  <w:endnote w:id="15">
    <w:p w14:paraId="44F14077" w14:textId="1D2B83E8"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Common</w:t>
      </w:r>
      <w:r>
        <w:rPr>
          <w:i/>
          <w:sz w:val="22"/>
          <w:szCs w:val="22"/>
        </w:rPr>
        <w:t xml:space="preserve"> P</w:t>
      </w:r>
      <w:r w:rsidRPr="005D25D7">
        <w:rPr>
          <w:i/>
          <w:sz w:val="22"/>
          <w:szCs w:val="22"/>
        </w:rPr>
        <w:t>laces: Mythologies of Everyday Life in Russia</w:t>
      </w:r>
      <w:r w:rsidRPr="005D25D7">
        <w:rPr>
          <w:sz w:val="22"/>
          <w:szCs w:val="22"/>
        </w:rPr>
        <w:t>, Cambridge, MA: Harvard University Press, 1994, p124.</w:t>
      </w:r>
    </w:p>
  </w:endnote>
  <w:endnote w:id="16">
    <w:p w14:paraId="1667874D" w14:textId="295B40A5"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p129.</w:t>
      </w:r>
    </w:p>
  </w:endnote>
  <w:endnote w:id="17">
    <w:p w14:paraId="0BB58B10" w14:textId="7D781A5A"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pp127-8.</w:t>
      </w:r>
    </w:p>
  </w:endnote>
  <w:endnote w:id="18">
    <w:p w14:paraId="5C363178" w14:textId="77777777"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Idem</w:t>
      </w:r>
      <w:r w:rsidRPr="005D25D7">
        <w:rPr>
          <w:sz w:val="22"/>
          <w:szCs w:val="22"/>
        </w:rPr>
        <w:t>.</w:t>
      </w:r>
    </w:p>
  </w:endnote>
  <w:endnote w:id="19">
    <w:p w14:paraId="1C28DDEC" w14:textId="435B58F7"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p130.</w:t>
      </w:r>
    </w:p>
  </w:endnote>
  <w:endnote w:id="20">
    <w:p w14:paraId="36383502" w14:textId="6CA595EE"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p123.</w:t>
      </w:r>
    </w:p>
  </w:endnote>
  <w:endnote w:id="21">
    <w:p w14:paraId="188D6C1B" w14:textId="36E5E13D"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Quoted by Svetlana Boym, </w:t>
      </w:r>
      <w:r w:rsidRPr="005D25D7">
        <w:rPr>
          <w:i/>
          <w:sz w:val="22"/>
          <w:szCs w:val="22"/>
        </w:rPr>
        <w:t>ibidem</w:t>
      </w:r>
      <w:r w:rsidRPr="005D25D7">
        <w:rPr>
          <w:sz w:val="22"/>
          <w:szCs w:val="22"/>
        </w:rPr>
        <w:t>, p129.</w:t>
      </w:r>
    </w:p>
  </w:endnote>
  <w:endnote w:id="22">
    <w:p w14:paraId="36E15D80" w14:textId="520AD49D"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Erin Collopy, ‘The Communal Apartment in the Works of Irina Grekova and Nina Sadur’, </w:t>
      </w:r>
      <w:r w:rsidRPr="005D25D7">
        <w:rPr>
          <w:i/>
          <w:sz w:val="22"/>
          <w:szCs w:val="22"/>
        </w:rPr>
        <w:t>Journal of International Women’s Studies</w:t>
      </w:r>
      <w:r w:rsidRPr="005D25D7">
        <w:rPr>
          <w:sz w:val="22"/>
          <w:szCs w:val="22"/>
        </w:rPr>
        <w:t>, 6, 2005, pp44-58, p44.</w:t>
      </w:r>
    </w:p>
  </w:endnote>
  <w:endnote w:id="23">
    <w:p w14:paraId="390F6A64" w14:textId="2C7060F1" w:rsidR="00D85986" w:rsidRPr="002A60D2" w:rsidRDefault="00D85986">
      <w:pPr>
        <w:pStyle w:val="Tekstprzypisukocowego"/>
        <w:rPr>
          <w:sz w:val="22"/>
          <w:szCs w:val="22"/>
          <w:lang w:val="pl-PL"/>
        </w:rPr>
      </w:pPr>
      <w:r w:rsidRPr="002A60D2">
        <w:rPr>
          <w:rStyle w:val="Odwoanieprzypisukocowego"/>
          <w:szCs w:val="22"/>
        </w:rPr>
        <w:endnoteRef/>
      </w:r>
      <w:r w:rsidRPr="002A60D2">
        <w:rPr>
          <w:sz w:val="22"/>
          <w:szCs w:val="22"/>
        </w:rPr>
        <w:t xml:space="preserve"> See Ekaterina Kalinina, ‘Mediated Post-Soviet Nostalgia’, doctoral thesis, Södertörn University, 2014, </w:t>
      </w:r>
      <w:hyperlink r:id="rId1" w:history="1">
        <w:r w:rsidRPr="002A60D2">
          <w:rPr>
            <w:rStyle w:val="Hipercze"/>
            <w:sz w:val="22"/>
            <w:szCs w:val="22"/>
          </w:rPr>
          <w:t>http://sh.diva-portal.org/smash/get/diva2:746181/FULLTEXT01.pdf</w:t>
        </w:r>
      </w:hyperlink>
      <w:r w:rsidRPr="002A60D2">
        <w:rPr>
          <w:sz w:val="22"/>
          <w:szCs w:val="22"/>
        </w:rPr>
        <w:t xml:space="preserve">. Kalinina invokves the television programme </w:t>
      </w:r>
      <w:r w:rsidRPr="002A60D2">
        <w:rPr>
          <w:i/>
          <w:sz w:val="22"/>
          <w:szCs w:val="22"/>
        </w:rPr>
        <w:t>Staraya Kvartira</w:t>
      </w:r>
      <w:r w:rsidRPr="002A60D2">
        <w:rPr>
          <w:sz w:val="22"/>
          <w:szCs w:val="22"/>
        </w:rPr>
        <w:t xml:space="preserve"> (</w:t>
      </w:r>
      <w:r w:rsidRPr="002A60D2">
        <w:rPr>
          <w:i/>
          <w:sz w:val="22"/>
          <w:szCs w:val="22"/>
        </w:rPr>
        <w:t>The Old Apartment</w:t>
      </w:r>
      <w:r w:rsidRPr="002A60D2">
        <w:rPr>
          <w:sz w:val="22"/>
          <w:szCs w:val="22"/>
        </w:rPr>
        <w:t xml:space="preserve">), the musical </w:t>
      </w:r>
      <w:r w:rsidRPr="002A60D2">
        <w:rPr>
          <w:i/>
          <w:sz w:val="22"/>
          <w:szCs w:val="22"/>
        </w:rPr>
        <w:t>Pesni Nashei Kommunalki</w:t>
      </w:r>
      <w:r w:rsidRPr="002A60D2">
        <w:rPr>
          <w:sz w:val="22"/>
          <w:szCs w:val="22"/>
        </w:rPr>
        <w:t xml:space="preserve"> (</w:t>
      </w:r>
      <w:r w:rsidRPr="002A60D2">
        <w:rPr>
          <w:i/>
          <w:sz w:val="22"/>
          <w:szCs w:val="22"/>
        </w:rPr>
        <w:t>Songs of Our Communal Apartment</w:t>
      </w:r>
      <w:r w:rsidRPr="002A60D2">
        <w:rPr>
          <w:sz w:val="22"/>
          <w:szCs w:val="22"/>
        </w:rPr>
        <w:t>) or the restaurant chain ‘Petrovich’.</w:t>
      </w:r>
    </w:p>
  </w:endnote>
  <w:endnote w:id="24">
    <w:p w14:paraId="3939B2EF" w14:textId="31C0EB0B" w:rsidR="00D85986" w:rsidRPr="005D25D7" w:rsidRDefault="00D85986" w:rsidP="00785592">
      <w:pPr>
        <w:pStyle w:val="Tekstprzypisukocowego"/>
        <w:rPr>
          <w:sz w:val="22"/>
          <w:szCs w:val="22"/>
        </w:rPr>
      </w:pPr>
      <w:r w:rsidRPr="005D25D7">
        <w:rPr>
          <w:rStyle w:val="Odwoanieprzypisukocowego"/>
          <w:szCs w:val="22"/>
        </w:rPr>
        <w:endnoteRef/>
      </w:r>
      <w:r w:rsidRPr="005D25D7">
        <w:rPr>
          <w:sz w:val="22"/>
          <w:szCs w:val="22"/>
        </w:rPr>
        <w:t xml:space="preserve"> Georges Nivat, </w:t>
      </w:r>
      <w:r w:rsidRPr="005D25D7">
        <w:rPr>
          <w:i/>
          <w:sz w:val="22"/>
          <w:szCs w:val="22"/>
        </w:rPr>
        <w:t>Vivre en Russe</w:t>
      </w:r>
      <w:r w:rsidRPr="005D25D7">
        <w:rPr>
          <w:sz w:val="22"/>
          <w:szCs w:val="22"/>
        </w:rPr>
        <w:t>, Geneva: L’</w:t>
      </w:r>
      <w:r>
        <w:rPr>
          <w:sz w:val="22"/>
          <w:szCs w:val="22"/>
        </w:rPr>
        <w:t>Â</w:t>
      </w:r>
      <w:r w:rsidRPr="005D25D7">
        <w:rPr>
          <w:sz w:val="22"/>
          <w:szCs w:val="22"/>
        </w:rPr>
        <w:t>ge d’Homme, 2007, p31. All the translations from the French apart from those of Makine’s novels are my own.</w:t>
      </w:r>
    </w:p>
  </w:endnote>
  <w:endnote w:id="25">
    <w:p w14:paraId="75925350" w14:textId="062AC47F" w:rsidR="00D85986" w:rsidRPr="005D25D7" w:rsidRDefault="00D85986" w:rsidP="00785592">
      <w:pPr>
        <w:rPr>
          <w:sz w:val="22"/>
          <w:szCs w:val="22"/>
        </w:rPr>
      </w:pPr>
      <w:r w:rsidRPr="005D25D7">
        <w:rPr>
          <w:rStyle w:val="Odwoanieprzypisukocowego"/>
          <w:szCs w:val="22"/>
        </w:rPr>
        <w:endnoteRef/>
      </w:r>
      <w:r w:rsidRPr="005D25D7">
        <w:rPr>
          <w:sz w:val="22"/>
          <w:szCs w:val="22"/>
        </w:rPr>
        <w:t xml:space="preserve"> </w:t>
      </w:r>
      <w:r w:rsidRPr="005D25D7">
        <w:rPr>
          <w:i/>
          <w:sz w:val="22"/>
          <w:szCs w:val="22"/>
        </w:rPr>
        <w:t>Idem</w:t>
      </w:r>
      <w:r>
        <w:rPr>
          <w:i/>
          <w:sz w:val="22"/>
          <w:szCs w:val="22"/>
        </w:rPr>
        <w:t>.</w:t>
      </w:r>
    </w:p>
  </w:endnote>
  <w:endnote w:id="26">
    <w:p w14:paraId="21ADA35F" w14:textId="77777777" w:rsidR="00D85986" w:rsidRPr="005D25D7" w:rsidRDefault="00D85986" w:rsidP="00785592">
      <w:pPr>
        <w:pStyle w:val="Tekstprzypisukocowego"/>
        <w:rPr>
          <w:sz w:val="22"/>
          <w:szCs w:val="22"/>
        </w:rPr>
      </w:pPr>
      <w:r w:rsidRPr="002A60D2">
        <w:rPr>
          <w:rStyle w:val="Odwoanieprzypisukocowego"/>
          <w:szCs w:val="22"/>
        </w:rPr>
        <w:endnoteRef/>
      </w:r>
      <w:r w:rsidRPr="002A60D2">
        <w:rPr>
          <w:sz w:val="22"/>
          <w:szCs w:val="22"/>
        </w:rPr>
        <w:t xml:space="preserve"> Wallace L. Daniel, </w:t>
      </w:r>
      <w:r w:rsidRPr="002A60D2">
        <w:rPr>
          <w:i/>
          <w:sz w:val="22"/>
          <w:szCs w:val="22"/>
        </w:rPr>
        <w:t>The Orthodox Church and Civil Society in Russia</w:t>
      </w:r>
      <w:r w:rsidRPr="002A60D2">
        <w:rPr>
          <w:sz w:val="22"/>
          <w:szCs w:val="22"/>
        </w:rPr>
        <w:t xml:space="preserve">, College Station: Texas A&amp;M University Press, 2006, p74. Makine resurrects the </w:t>
      </w:r>
      <w:r w:rsidRPr="002A60D2">
        <w:rPr>
          <w:i/>
          <w:sz w:val="22"/>
          <w:szCs w:val="22"/>
        </w:rPr>
        <w:t>mir</w:t>
      </w:r>
      <w:r w:rsidRPr="002A60D2">
        <w:rPr>
          <w:sz w:val="22"/>
          <w:szCs w:val="22"/>
        </w:rPr>
        <w:t xml:space="preserve"> more directly in </w:t>
      </w:r>
      <w:r w:rsidRPr="002A60D2">
        <w:rPr>
          <w:i/>
          <w:sz w:val="22"/>
          <w:szCs w:val="22"/>
        </w:rPr>
        <w:t>The Woman Who Waited</w:t>
      </w:r>
      <w:r w:rsidRPr="005D25D7">
        <w:rPr>
          <w:sz w:val="22"/>
          <w:szCs w:val="22"/>
        </w:rPr>
        <w:t xml:space="preserve"> (2004). Interestingly, like in the novels analysed here, the village of Mirnoe is a site of an intersection of pre-revolutionary communal spirit and enduring memory of the World War II.</w:t>
      </w:r>
    </w:p>
  </w:endnote>
  <w:endnote w:id="27">
    <w:p w14:paraId="6F66E09F" w14:textId="77777777" w:rsidR="00D85986" w:rsidRPr="005D25D7" w:rsidRDefault="00D85986" w:rsidP="00785592">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Common</w:t>
      </w:r>
      <w:r>
        <w:rPr>
          <w:i/>
          <w:sz w:val="22"/>
          <w:szCs w:val="22"/>
        </w:rPr>
        <w:t xml:space="preserve"> P</w:t>
      </w:r>
      <w:r w:rsidRPr="005D25D7">
        <w:rPr>
          <w:i/>
          <w:sz w:val="22"/>
          <w:szCs w:val="22"/>
        </w:rPr>
        <w:t>laces</w:t>
      </w:r>
      <w:r w:rsidRPr="005D25D7">
        <w:rPr>
          <w:sz w:val="22"/>
          <w:szCs w:val="22"/>
        </w:rPr>
        <w:t xml:space="preserve">, </w:t>
      </w:r>
      <w:r w:rsidRPr="005D25D7">
        <w:rPr>
          <w:i/>
          <w:sz w:val="22"/>
          <w:szCs w:val="22"/>
        </w:rPr>
        <w:t>op. cit</w:t>
      </w:r>
      <w:r w:rsidRPr="005D25D7">
        <w:rPr>
          <w:sz w:val="22"/>
          <w:szCs w:val="22"/>
        </w:rPr>
        <w:t>., p3.</w:t>
      </w:r>
    </w:p>
  </w:endnote>
  <w:endnote w:id="28">
    <w:p w14:paraId="58C431DD" w14:textId="77777777" w:rsidR="00D85986" w:rsidRPr="005D25D7" w:rsidRDefault="00D85986" w:rsidP="00785592">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p87.</w:t>
      </w:r>
    </w:p>
  </w:endnote>
  <w:endnote w:id="29">
    <w:p w14:paraId="5FB9085F" w14:textId="2337FAC3" w:rsidR="00D85986" w:rsidRPr="005D25D7" w:rsidRDefault="00D85986" w:rsidP="001854B0">
      <w:pPr>
        <w:pStyle w:val="Tekstprzypisukocowego"/>
        <w:rPr>
          <w:sz w:val="22"/>
          <w:szCs w:val="22"/>
        </w:rPr>
      </w:pPr>
      <w:r w:rsidRPr="005D25D7">
        <w:rPr>
          <w:rStyle w:val="Odwoanieprzypisukocowego"/>
          <w:szCs w:val="22"/>
        </w:rPr>
        <w:endnoteRef/>
      </w:r>
      <w:r w:rsidRPr="005D25D7">
        <w:rPr>
          <w:sz w:val="22"/>
          <w:szCs w:val="22"/>
        </w:rPr>
        <w:t xml:space="preserve"> Wallace L. Daniel, </w:t>
      </w:r>
      <w:r w:rsidRPr="005D25D7">
        <w:rPr>
          <w:i/>
          <w:sz w:val="22"/>
          <w:szCs w:val="22"/>
        </w:rPr>
        <w:t>op. cit</w:t>
      </w:r>
      <w:r w:rsidRPr="005D25D7">
        <w:rPr>
          <w:sz w:val="22"/>
          <w:szCs w:val="22"/>
        </w:rPr>
        <w:t>., p74.</w:t>
      </w:r>
    </w:p>
  </w:endnote>
  <w:endnote w:id="30">
    <w:p w14:paraId="4419CB31" w14:textId="36D3CB1A" w:rsidR="00D85986" w:rsidRPr="005D25D7" w:rsidRDefault="00D85986" w:rsidP="00F159BF">
      <w:pPr>
        <w:pStyle w:val="Tekstprzypisukocowego"/>
        <w:rPr>
          <w:sz w:val="22"/>
          <w:szCs w:val="22"/>
        </w:rPr>
      </w:pPr>
      <w:r w:rsidRPr="005D25D7">
        <w:rPr>
          <w:rStyle w:val="Odwoanieprzypisukocowego"/>
          <w:szCs w:val="22"/>
        </w:rPr>
        <w:endnoteRef/>
      </w:r>
      <w:r w:rsidRPr="005D25D7">
        <w:rPr>
          <w:sz w:val="22"/>
          <w:szCs w:val="22"/>
        </w:rPr>
        <w:t xml:space="preserve"> The couple probably obtain an individual flat as part of Khrushchev’s ‘One family — one flat’ policy. See Christine Varga-Harris, ‘Homemaking </w:t>
      </w:r>
      <w:r>
        <w:rPr>
          <w:sz w:val="22"/>
          <w:szCs w:val="22"/>
        </w:rPr>
        <w:t>a</w:t>
      </w:r>
      <w:r w:rsidRPr="005D25D7">
        <w:rPr>
          <w:sz w:val="22"/>
          <w:szCs w:val="22"/>
        </w:rPr>
        <w:t xml:space="preserve">nd the Aesthetic </w:t>
      </w:r>
      <w:r>
        <w:rPr>
          <w:sz w:val="22"/>
          <w:szCs w:val="22"/>
        </w:rPr>
        <w:t>a</w:t>
      </w:r>
      <w:r w:rsidRPr="005D25D7">
        <w:rPr>
          <w:sz w:val="22"/>
          <w:szCs w:val="22"/>
        </w:rPr>
        <w:t xml:space="preserve">nd Moral Perimeters of the Soviet Home During the Khrushchev Era’, </w:t>
      </w:r>
      <w:r w:rsidRPr="005D25D7">
        <w:rPr>
          <w:i/>
          <w:sz w:val="22"/>
          <w:szCs w:val="22"/>
        </w:rPr>
        <w:t>Journal of Social History</w:t>
      </w:r>
      <w:r w:rsidRPr="005D25D7">
        <w:rPr>
          <w:sz w:val="22"/>
          <w:szCs w:val="22"/>
        </w:rPr>
        <w:t>, 41, 200</w:t>
      </w:r>
      <w:r>
        <w:rPr>
          <w:sz w:val="22"/>
          <w:szCs w:val="22"/>
        </w:rPr>
        <w:t>0</w:t>
      </w:r>
      <w:r w:rsidRPr="005D25D7">
        <w:rPr>
          <w:sz w:val="22"/>
          <w:szCs w:val="22"/>
        </w:rPr>
        <w:t>, pp561–89.</w:t>
      </w:r>
    </w:p>
  </w:endnote>
  <w:endnote w:id="31">
    <w:p w14:paraId="0B99A0D4" w14:textId="77777777" w:rsidR="00D85986" w:rsidRPr="005D25D7" w:rsidRDefault="00D85986" w:rsidP="00F679BA">
      <w:pPr>
        <w:pStyle w:val="Tekstprzypisukocowego"/>
        <w:rPr>
          <w:sz w:val="22"/>
          <w:szCs w:val="22"/>
        </w:rPr>
      </w:pPr>
      <w:r w:rsidRPr="005D25D7">
        <w:rPr>
          <w:rStyle w:val="Odwoanieprzypisukocowego"/>
          <w:szCs w:val="22"/>
        </w:rPr>
        <w:endnoteRef/>
      </w:r>
      <w:r w:rsidRPr="005D25D7">
        <w:rPr>
          <w:sz w:val="22"/>
          <w:szCs w:val="22"/>
        </w:rPr>
        <w:t xml:space="preserve"> Erin Collopy, </w:t>
      </w:r>
      <w:r w:rsidRPr="005D25D7">
        <w:rPr>
          <w:i/>
          <w:sz w:val="22"/>
          <w:szCs w:val="22"/>
        </w:rPr>
        <w:t>op. cit</w:t>
      </w:r>
      <w:r w:rsidRPr="005D25D7">
        <w:rPr>
          <w:sz w:val="22"/>
          <w:szCs w:val="22"/>
        </w:rPr>
        <w:t>., p45.</w:t>
      </w:r>
    </w:p>
  </w:endnote>
  <w:endnote w:id="32">
    <w:p w14:paraId="124A1C8E" w14:textId="77777777" w:rsidR="00D85986" w:rsidRPr="005D25D7" w:rsidRDefault="00D85986" w:rsidP="00653580">
      <w:pPr>
        <w:pStyle w:val="Tekstprzypisukocowego"/>
        <w:rPr>
          <w:sz w:val="22"/>
          <w:szCs w:val="22"/>
        </w:rPr>
      </w:pPr>
      <w:r w:rsidRPr="005D25D7">
        <w:rPr>
          <w:rStyle w:val="Odwoanieprzypisukocowego"/>
          <w:szCs w:val="22"/>
        </w:rPr>
        <w:endnoteRef/>
      </w:r>
      <w:r w:rsidRPr="005D25D7">
        <w:rPr>
          <w:sz w:val="22"/>
          <w:szCs w:val="22"/>
        </w:rPr>
        <w:t xml:space="preserve"> An additional clue is that Abramovna was a victim of the great purge which, many believe, targeted mainly Jews. See, for example, William Korey, </w:t>
      </w:r>
      <w:r w:rsidRPr="005D25D7">
        <w:rPr>
          <w:i/>
          <w:sz w:val="22"/>
          <w:szCs w:val="22"/>
        </w:rPr>
        <w:t>The Soviet Cage</w:t>
      </w:r>
      <w:r w:rsidRPr="005D25D7">
        <w:rPr>
          <w:sz w:val="22"/>
          <w:szCs w:val="22"/>
        </w:rPr>
        <w:t xml:space="preserve">: </w:t>
      </w:r>
      <w:r w:rsidRPr="005D25D7">
        <w:rPr>
          <w:i/>
          <w:sz w:val="22"/>
          <w:szCs w:val="22"/>
        </w:rPr>
        <w:t>Anti</w:t>
      </w:r>
      <w:r w:rsidRPr="005D25D7">
        <w:rPr>
          <w:sz w:val="22"/>
          <w:szCs w:val="22"/>
        </w:rPr>
        <w:t>–</w:t>
      </w:r>
      <w:r w:rsidRPr="005D25D7">
        <w:rPr>
          <w:i/>
          <w:sz w:val="22"/>
          <w:szCs w:val="22"/>
        </w:rPr>
        <w:t>Semitism in Russia</w:t>
      </w:r>
      <w:r w:rsidRPr="005D25D7">
        <w:rPr>
          <w:sz w:val="22"/>
          <w:szCs w:val="22"/>
        </w:rPr>
        <w:t xml:space="preserve"> (New York: The Viking Press, 1973), p67.</w:t>
      </w:r>
    </w:p>
  </w:endnote>
  <w:endnote w:id="33">
    <w:p w14:paraId="7F580DD4" w14:textId="1577E23B"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The Hero’s Daughter</w:t>
      </w:r>
      <w:r w:rsidRPr="005D25D7">
        <w:rPr>
          <w:sz w:val="22"/>
          <w:szCs w:val="22"/>
        </w:rPr>
        <w:t>, trans. Goeffrey Strachan, London: Hodder and Stoughton, 2004, p34.</w:t>
      </w:r>
    </w:p>
  </w:endnote>
  <w:endnote w:id="34">
    <w:p w14:paraId="17E57FE2" w14:textId="3B90DE8B"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p35.</w:t>
      </w:r>
    </w:p>
  </w:endnote>
  <w:endnote w:id="35">
    <w:p w14:paraId="3F679C3F" w14:textId="09504FFF"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Common</w:t>
      </w:r>
      <w:r>
        <w:rPr>
          <w:i/>
          <w:sz w:val="22"/>
          <w:szCs w:val="22"/>
        </w:rPr>
        <w:t xml:space="preserve"> P</w:t>
      </w:r>
      <w:r w:rsidRPr="005D25D7">
        <w:rPr>
          <w:i/>
          <w:sz w:val="22"/>
          <w:szCs w:val="22"/>
        </w:rPr>
        <w:t>laces</w:t>
      </w:r>
      <w:r w:rsidRPr="005D25D7">
        <w:rPr>
          <w:sz w:val="22"/>
          <w:szCs w:val="22"/>
        </w:rPr>
        <w:t xml:space="preserve">, </w:t>
      </w:r>
      <w:r w:rsidRPr="005D25D7">
        <w:rPr>
          <w:i/>
          <w:sz w:val="22"/>
          <w:szCs w:val="22"/>
        </w:rPr>
        <w:t>op. cit</w:t>
      </w:r>
      <w:r>
        <w:rPr>
          <w:sz w:val="22"/>
          <w:szCs w:val="22"/>
        </w:rPr>
        <w:t>.,</w:t>
      </w:r>
      <w:r w:rsidRPr="005D25D7">
        <w:rPr>
          <w:sz w:val="22"/>
          <w:szCs w:val="22"/>
        </w:rPr>
        <w:t xml:space="preserve"> p38.</w:t>
      </w:r>
    </w:p>
  </w:endnote>
  <w:endnote w:id="36">
    <w:p w14:paraId="376FA513" w14:textId="1420146C"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xml:space="preserve">, </w:t>
      </w:r>
      <w:r w:rsidRPr="005D25D7">
        <w:rPr>
          <w:i/>
          <w:sz w:val="22"/>
          <w:szCs w:val="22"/>
        </w:rPr>
        <w:t>op. cit</w:t>
      </w:r>
      <w:r w:rsidRPr="005D25D7">
        <w:rPr>
          <w:sz w:val="22"/>
          <w:szCs w:val="22"/>
        </w:rPr>
        <w:t>., pp60-61.</w:t>
      </w:r>
    </w:p>
  </w:endnote>
  <w:endnote w:id="37">
    <w:p w14:paraId="1F509A00" w14:textId="42A9DEDA"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pXVI.</w:t>
      </w:r>
    </w:p>
  </w:endnote>
  <w:endnote w:id="38">
    <w:p w14:paraId="580230EA" w14:textId="05ADABCF"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Confessions of a Fallen Standard-Bearer</w:t>
      </w:r>
      <w:r w:rsidRPr="005D25D7">
        <w:rPr>
          <w:sz w:val="22"/>
          <w:szCs w:val="22"/>
        </w:rPr>
        <w:t xml:space="preserve">, </w:t>
      </w:r>
      <w:r>
        <w:rPr>
          <w:sz w:val="22"/>
          <w:szCs w:val="22"/>
        </w:rPr>
        <w:t xml:space="preserve">trans. Geoffrey Strachan, </w:t>
      </w:r>
      <w:r w:rsidRPr="005D25D7">
        <w:rPr>
          <w:sz w:val="22"/>
          <w:szCs w:val="22"/>
        </w:rPr>
        <w:t>New York: Arkade, 2000, p71.</w:t>
      </w:r>
    </w:p>
  </w:endnote>
  <w:endnote w:id="39">
    <w:p w14:paraId="57E354C6" w14:textId="6E25C917"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Erin Collopy, </w:t>
      </w:r>
      <w:r w:rsidRPr="005D25D7">
        <w:rPr>
          <w:i/>
          <w:sz w:val="22"/>
          <w:szCs w:val="22"/>
        </w:rPr>
        <w:t>op. cit</w:t>
      </w:r>
      <w:r w:rsidRPr="005D25D7">
        <w:rPr>
          <w:sz w:val="22"/>
          <w:szCs w:val="22"/>
        </w:rPr>
        <w:t>., p45.</w:t>
      </w:r>
    </w:p>
  </w:endnote>
  <w:endnote w:id="40">
    <w:p w14:paraId="1B0E134F" w14:textId="77777777" w:rsidR="00D85986" w:rsidRPr="005D25D7" w:rsidRDefault="00D85986" w:rsidP="00777246">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Confessions of a Fallen Standard-Bearer</w:t>
      </w:r>
      <w:r w:rsidRPr="005D25D7">
        <w:rPr>
          <w:sz w:val="22"/>
          <w:szCs w:val="22"/>
        </w:rPr>
        <w:t xml:space="preserve">, </w:t>
      </w:r>
      <w:r w:rsidRPr="005D25D7">
        <w:rPr>
          <w:i/>
          <w:sz w:val="22"/>
          <w:szCs w:val="22"/>
        </w:rPr>
        <w:t>op. cit</w:t>
      </w:r>
      <w:r w:rsidRPr="005D25D7">
        <w:rPr>
          <w:sz w:val="22"/>
          <w:szCs w:val="22"/>
        </w:rPr>
        <w:t>., p41.</w:t>
      </w:r>
    </w:p>
  </w:endnote>
  <w:endnote w:id="41">
    <w:p w14:paraId="066FAED2" w14:textId="51672BF5"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xml:space="preserve">, p27. </w:t>
      </w:r>
    </w:p>
  </w:endnote>
  <w:endnote w:id="42">
    <w:p w14:paraId="1A684E52" w14:textId="045FA012"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p9.</w:t>
      </w:r>
    </w:p>
  </w:endnote>
  <w:endnote w:id="43">
    <w:p w14:paraId="7BFC6124" w14:textId="77777777" w:rsidR="00D85986" w:rsidRPr="005D25D7" w:rsidRDefault="00D85986" w:rsidP="002A4AAE">
      <w:pPr>
        <w:pStyle w:val="Tekstprzypisukocowego"/>
        <w:rPr>
          <w:sz w:val="22"/>
          <w:szCs w:val="22"/>
        </w:rPr>
      </w:pPr>
      <w:r w:rsidRPr="005D25D7">
        <w:rPr>
          <w:rStyle w:val="Odwoanieprzypisukocowego"/>
          <w:szCs w:val="22"/>
        </w:rPr>
        <w:endnoteRef/>
      </w:r>
      <w:r w:rsidRPr="005D25D7">
        <w:rPr>
          <w:sz w:val="22"/>
          <w:szCs w:val="22"/>
        </w:rPr>
        <w:t xml:space="preserve"> Arnaud Vareille, ‘Du drame de devenir écrivain: </w:t>
      </w:r>
      <w:r w:rsidRPr="005D25D7">
        <w:rPr>
          <w:i/>
          <w:sz w:val="22"/>
          <w:szCs w:val="22"/>
        </w:rPr>
        <w:t>Confession d’un porte</w:t>
      </w:r>
      <w:r w:rsidRPr="005D25D7">
        <w:rPr>
          <w:sz w:val="22"/>
          <w:szCs w:val="22"/>
        </w:rPr>
        <w:t>–</w:t>
      </w:r>
      <w:r w:rsidRPr="005D25D7">
        <w:rPr>
          <w:i/>
          <w:sz w:val="22"/>
          <w:szCs w:val="22"/>
        </w:rPr>
        <w:t xml:space="preserve">drapeau déchu </w:t>
      </w:r>
      <w:r w:rsidRPr="005D25D7">
        <w:rPr>
          <w:sz w:val="22"/>
          <w:szCs w:val="22"/>
        </w:rPr>
        <w:t xml:space="preserve">d’Andreï Makine’, Murielle Lucie Clément (ed.), </w:t>
      </w:r>
      <w:r w:rsidRPr="005D25D7">
        <w:rPr>
          <w:i/>
          <w:sz w:val="22"/>
          <w:szCs w:val="22"/>
        </w:rPr>
        <w:t>Andreï Makine</w:t>
      </w:r>
      <w:r w:rsidRPr="005D25D7">
        <w:rPr>
          <w:sz w:val="22"/>
          <w:szCs w:val="22"/>
        </w:rPr>
        <w:t>, Amsterdam: Rodopi, 2009, pp37-53, p39.</w:t>
      </w:r>
    </w:p>
  </w:endnote>
  <w:endnote w:id="44">
    <w:p w14:paraId="62A0D081" w14:textId="4B0CAD1C" w:rsidR="00D85986" w:rsidRPr="00A22A3E" w:rsidRDefault="00D85986">
      <w:pPr>
        <w:pStyle w:val="Tekstprzypisukocowego"/>
        <w:rPr>
          <w:lang w:val="pl-PL"/>
        </w:rPr>
      </w:pPr>
      <w:r>
        <w:rPr>
          <w:rStyle w:val="Odwoanieprzypisukocowego"/>
        </w:rPr>
        <w:endnoteRef/>
      </w:r>
      <w:r>
        <w:t xml:space="preserve"> </w:t>
      </w:r>
      <w:r w:rsidRPr="005D25D7">
        <w:rPr>
          <w:sz w:val="22"/>
          <w:szCs w:val="22"/>
        </w:rPr>
        <w:t xml:space="preserve">Svetlana Boym, </w:t>
      </w:r>
      <w:r w:rsidRPr="005D25D7">
        <w:rPr>
          <w:i/>
          <w:sz w:val="22"/>
          <w:szCs w:val="22"/>
        </w:rPr>
        <w:t>Common</w:t>
      </w:r>
      <w:r>
        <w:rPr>
          <w:i/>
          <w:sz w:val="22"/>
          <w:szCs w:val="22"/>
        </w:rPr>
        <w:t xml:space="preserve"> P</w:t>
      </w:r>
      <w:r w:rsidRPr="005D25D7">
        <w:rPr>
          <w:i/>
          <w:sz w:val="22"/>
          <w:szCs w:val="22"/>
        </w:rPr>
        <w:t>laces</w:t>
      </w:r>
      <w:r w:rsidRPr="005D25D7">
        <w:rPr>
          <w:sz w:val="22"/>
          <w:szCs w:val="22"/>
        </w:rPr>
        <w:t xml:space="preserve">, </w:t>
      </w:r>
      <w:r w:rsidRPr="005D25D7">
        <w:rPr>
          <w:i/>
          <w:sz w:val="22"/>
          <w:szCs w:val="22"/>
        </w:rPr>
        <w:t>op. cit</w:t>
      </w:r>
      <w:r w:rsidRPr="005D25D7">
        <w:rPr>
          <w:sz w:val="22"/>
          <w:szCs w:val="22"/>
        </w:rPr>
        <w:t>.,</w:t>
      </w:r>
      <w:r>
        <w:rPr>
          <w:sz w:val="22"/>
          <w:szCs w:val="22"/>
        </w:rPr>
        <w:t xml:space="preserve"> p127.</w:t>
      </w:r>
    </w:p>
  </w:endnote>
  <w:endnote w:id="45">
    <w:p w14:paraId="77C4B4AC" w14:textId="77777777" w:rsidR="00D85986" w:rsidRPr="005D25D7" w:rsidRDefault="00D85986" w:rsidP="005D1D2F">
      <w:pPr>
        <w:rPr>
          <w:color w:val="000000"/>
          <w:sz w:val="22"/>
          <w:szCs w:val="22"/>
        </w:rPr>
      </w:pPr>
      <w:r w:rsidRPr="005D25D7">
        <w:rPr>
          <w:rStyle w:val="Odwoanieprzypisukocowego"/>
          <w:szCs w:val="22"/>
        </w:rPr>
        <w:endnoteRef/>
      </w:r>
      <w:r w:rsidRPr="005D25D7">
        <w:rPr>
          <w:sz w:val="22"/>
          <w:szCs w:val="22"/>
        </w:rPr>
        <w:t xml:space="preserve"> For a more detailed discussion of Makine’s representation of Jews and the Holocaust, see Helena Duffy, </w:t>
      </w:r>
      <w:r w:rsidRPr="005D25D7">
        <w:rPr>
          <w:color w:val="000000"/>
          <w:sz w:val="22"/>
          <w:szCs w:val="22"/>
        </w:rPr>
        <w:t xml:space="preserve">‘The Jew as St Christopher. The Holocaust and the Participation of Soviet Jews in Russia’s Great Patriotic War Effort in the </w:t>
      </w:r>
      <w:r w:rsidRPr="005D25D7">
        <w:rPr>
          <w:i/>
          <w:color w:val="000000"/>
          <w:sz w:val="22"/>
          <w:szCs w:val="22"/>
        </w:rPr>
        <w:t>Oeuvre</w:t>
      </w:r>
      <w:r w:rsidRPr="005D25D7">
        <w:rPr>
          <w:color w:val="000000"/>
          <w:sz w:val="22"/>
          <w:szCs w:val="22"/>
        </w:rPr>
        <w:t xml:space="preserve"> of Andreï Makine’, Peter Tame, Dominique Jeanerrod and Manuel Bragança (eds), </w:t>
      </w:r>
      <w:r w:rsidRPr="005D25D7">
        <w:rPr>
          <w:bCs/>
          <w:i/>
          <w:iCs/>
          <w:sz w:val="22"/>
          <w:szCs w:val="22"/>
        </w:rPr>
        <w:t>Mnemosyne and Mars. Artistic and Cultural Representations of Twentieth-Century Europe at War</w:t>
      </w:r>
      <w:r w:rsidRPr="005D25D7">
        <w:rPr>
          <w:bCs/>
          <w:sz w:val="22"/>
          <w:szCs w:val="22"/>
        </w:rPr>
        <w:t xml:space="preserve">, </w:t>
      </w:r>
      <w:r w:rsidRPr="005D25D7">
        <w:rPr>
          <w:color w:val="000000"/>
          <w:sz w:val="22"/>
          <w:szCs w:val="22"/>
        </w:rPr>
        <w:t>Cambridge: Cambridge Scholars Publishing, 2014, pp343-60.</w:t>
      </w:r>
    </w:p>
  </w:endnote>
  <w:endnote w:id="46">
    <w:p w14:paraId="1961CAE9" w14:textId="518F8EC8" w:rsidR="00D85986" w:rsidRPr="005D25D7" w:rsidRDefault="00D85986" w:rsidP="00566840">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Confessions of a Fallen Standard-Bearer</w:t>
      </w:r>
      <w:r w:rsidRPr="005D25D7">
        <w:rPr>
          <w:sz w:val="22"/>
          <w:szCs w:val="22"/>
        </w:rPr>
        <w:t xml:space="preserve">, </w:t>
      </w:r>
      <w:r w:rsidRPr="005D25D7">
        <w:rPr>
          <w:i/>
          <w:sz w:val="22"/>
          <w:szCs w:val="22"/>
        </w:rPr>
        <w:t>op. cit</w:t>
      </w:r>
      <w:r w:rsidRPr="005D25D7">
        <w:rPr>
          <w:sz w:val="22"/>
          <w:szCs w:val="22"/>
        </w:rPr>
        <w:t>., p9.</w:t>
      </w:r>
    </w:p>
  </w:endnote>
  <w:endnote w:id="47">
    <w:p w14:paraId="1E8D4993" w14:textId="77777777" w:rsidR="00D85986" w:rsidRPr="005D25D7" w:rsidRDefault="00D85986" w:rsidP="00D17D13">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p76.</w:t>
      </w:r>
    </w:p>
  </w:endnote>
  <w:endnote w:id="48">
    <w:p w14:paraId="2D4C5B27" w14:textId="77777777" w:rsidR="00D85986" w:rsidRPr="005D25D7" w:rsidRDefault="00D85986" w:rsidP="00D17D13">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p86.</w:t>
      </w:r>
    </w:p>
  </w:endnote>
  <w:endnote w:id="49">
    <w:p w14:paraId="67E832AF" w14:textId="627C2894" w:rsidR="00D85986" w:rsidRPr="005D25D7" w:rsidRDefault="00D85986" w:rsidP="0008493E">
      <w:pPr>
        <w:pStyle w:val="Tekstprzypisukocowego"/>
        <w:rPr>
          <w:sz w:val="22"/>
          <w:szCs w:val="22"/>
        </w:rPr>
      </w:pPr>
      <w:r w:rsidRPr="005D25D7">
        <w:rPr>
          <w:rStyle w:val="Odwoanieprzypisukocowego"/>
          <w:szCs w:val="22"/>
        </w:rPr>
        <w:endnoteRef/>
      </w:r>
      <w:r w:rsidRPr="005D25D7">
        <w:rPr>
          <w:sz w:val="22"/>
          <w:szCs w:val="22"/>
        </w:rPr>
        <w:t xml:space="preserve"> For a discussion of Russian anti-Semitism see, for example, William Korey, ‘The Origins and Development of Soviet Anti-Semitism: An Analysis’, </w:t>
      </w:r>
      <w:r w:rsidRPr="005D25D7">
        <w:rPr>
          <w:i/>
          <w:sz w:val="22"/>
          <w:szCs w:val="22"/>
        </w:rPr>
        <w:t xml:space="preserve">Slavic Review, </w:t>
      </w:r>
      <w:r w:rsidRPr="005D25D7">
        <w:rPr>
          <w:sz w:val="22"/>
          <w:szCs w:val="22"/>
        </w:rPr>
        <w:t>31, 1972, pp111-35.</w:t>
      </w:r>
    </w:p>
  </w:endnote>
  <w:endnote w:id="50">
    <w:p w14:paraId="002C22A7" w14:textId="3203CE82" w:rsidR="00D85986" w:rsidRPr="005D25D7" w:rsidRDefault="00D85986" w:rsidP="001E38AF">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Common</w:t>
      </w:r>
      <w:r>
        <w:rPr>
          <w:i/>
          <w:sz w:val="22"/>
          <w:szCs w:val="22"/>
        </w:rPr>
        <w:t xml:space="preserve"> P</w:t>
      </w:r>
      <w:r w:rsidRPr="005D25D7">
        <w:rPr>
          <w:i/>
          <w:sz w:val="22"/>
          <w:szCs w:val="22"/>
        </w:rPr>
        <w:t>laces</w:t>
      </w:r>
      <w:r w:rsidRPr="005D25D7">
        <w:rPr>
          <w:sz w:val="22"/>
          <w:szCs w:val="22"/>
        </w:rPr>
        <w:t xml:space="preserve">, </w:t>
      </w:r>
      <w:r w:rsidRPr="005D25D7">
        <w:rPr>
          <w:i/>
          <w:sz w:val="22"/>
          <w:szCs w:val="22"/>
        </w:rPr>
        <w:t>op. cit</w:t>
      </w:r>
      <w:r w:rsidRPr="005D25D7">
        <w:rPr>
          <w:sz w:val="22"/>
          <w:szCs w:val="22"/>
        </w:rPr>
        <w:t>., pp144-45.</w:t>
      </w:r>
    </w:p>
  </w:endnote>
  <w:endnote w:id="51">
    <w:p w14:paraId="28E8C02C" w14:textId="3FB0B30B" w:rsidR="00D85986" w:rsidRPr="005D25D7" w:rsidRDefault="00D85986" w:rsidP="00AE676E">
      <w:pPr>
        <w:pStyle w:val="Tekstprzypisukocowego"/>
        <w:rPr>
          <w:sz w:val="22"/>
          <w:szCs w:val="22"/>
        </w:rPr>
      </w:pPr>
      <w:r w:rsidRPr="005D25D7">
        <w:rPr>
          <w:rStyle w:val="Odwoanieprzypisukocowego"/>
          <w:szCs w:val="22"/>
        </w:rPr>
        <w:endnoteRef/>
      </w:r>
      <w:r w:rsidRPr="005D25D7">
        <w:rPr>
          <w:sz w:val="22"/>
          <w:szCs w:val="22"/>
        </w:rPr>
        <w:t xml:space="preserve"> Although this is not articulated, </w:t>
      </w:r>
      <w:r>
        <w:rPr>
          <w:sz w:val="22"/>
          <w:szCs w:val="22"/>
        </w:rPr>
        <w:t>we can assume that they perish</w:t>
      </w:r>
      <w:r w:rsidRPr="005D25D7">
        <w:rPr>
          <w:sz w:val="22"/>
          <w:szCs w:val="22"/>
        </w:rPr>
        <w:t xml:space="preserve"> in the </w:t>
      </w:r>
      <w:r>
        <w:rPr>
          <w:sz w:val="22"/>
          <w:szCs w:val="22"/>
        </w:rPr>
        <w:t xml:space="preserve">Holocaust and notably in the </w:t>
      </w:r>
      <w:r w:rsidRPr="005D25D7">
        <w:rPr>
          <w:sz w:val="22"/>
          <w:szCs w:val="22"/>
        </w:rPr>
        <w:t xml:space="preserve">Babi Yar massacre which took place on the outskirts of Kiev and where between 29 and 30 September 1941 </w:t>
      </w:r>
      <w:r>
        <w:rPr>
          <w:sz w:val="22"/>
          <w:szCs w:val="22"/>
        </w:rPr>
        <w:t xml:space="preserve">the Germans shot </w:t>
      </w:r>
      <w:r w:rsidRPr="005D25D7">
        <w:rPr>
          <w:sz w:val="22"/>
          <w:szCs w:val="22"/>
        </w:rPr>
        <w:t>nearly 34,000 Jews.</w:t>
      </w:r>
    </w:p>
  </w:endnote>
  <w:endnote w:id="52">
    <w:p w14:paraId="06CC167F" w14:textId="4C8DB9F4"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Confessions of a Fallen Standard-Bearer</w:t>
      </w:r>
      <w:r w:rsidRPr="005D25D7">
        <w:rPr>
          <w:sz w:val="22"/>
          <w:szCs w:val="22"/>
        </w:rPr>
        <w:t xml:space="preserve">, </w:t>
      </w:r>
      <w:r w:rsidRPr="005D25D7">
        <w:rPr>
          <w:i/>
          <w:sz w:val="22"/>
          <w:szCs w:val="22"/>
        </w:rPr>
        <w:t>op. cit</w:t>
      </w:r>
      <w:r w:rsidRPr="005D25D7">
        <w:rPr>
          <w:sz w:val="22"/>
          <w:szCs w:val="22"/>
        </w:rPr>
        <w:t>., p70.</w:t>
      </w:r>
    </w:p>
  </w:endnote>
  <w:endnote w:id="53">
    <w:p w14:paraId="5D6B3F7B" w14:textId="28258B54"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p60.</w:t>
      </w:r>
    </w:p>
  </w:endnote>
  <w:endnote w:id="54">
    <w:p w14:paraId="49F2FF01" w14:textId="1948AB32"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See Helena Duffy, </w:t>
      </w:r>
      <w:r w:rsidRPr="005D25D7">
        <w:rPr>
          <w:i/>
          <w:sz w:val="22"/>
          <w:szCs w:val="22"/>
        </w:rPr>
        <w:t>op. cit</w:t>
      </w:r>
      <w:r w:rsidRPr="005D25D7">
        <w:rPr>
          <w:sz w:val="22"/>
          <w:szCs w:val="22"/>
        </w:rPr>
        <w:t>..</w:t>
      </w:r>
    </w:p>
  </w:endnote>
  <w:endnote w:id="55">
    <w:p w14:paraId="370CB674" w14:textId="3F1AAC07"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xml:space="preserve">, </w:t>
      </w:r>
      <w:r w:rsidRPr="005D25D7">
        <w:rPr>
          <w:i/>
          <w:sz w:val="22"/>
          <w:szCs w:val="22"/>
        </w:rPr>
        <w:t>op. cit</w:t>
      </w:r>
      <w:r w:rsidRPr="005D25D7">
        <w:rPr>
          <w:sz w:val="22"/>
          <w:szCs w:val="22"/>
        </w:rPr>
        <w:t>., pXIV.</w:t>
      </w:r>
    </w:p>
  </w:endnote>
  <w:endnote w:id="56">
    <w:p w14:paraId="1C0ED2C5" w14:textId="6D37C606"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Linda Hutcheon, </w:t>
      </w:r>
      <w:r w:rsidRPr="005D25D7">
        <w:rPr>
          <w:i/>
          <w:sz w:val="22"/>
          <w:szCs w:val="22"/>
        </w:rPr>
        <w:t>op. cit</w:t>
      </w:r>
      <w:r w:rsidRPr="005D25D7">
        <w:rPr>
          <w:sz w:val="22"/>
          <w:szCs w:val="22"/>
        </w:rPr>
        <w:t>., p12 and p230.</w:t>
      </w:r>
    </w:p>
  </w:endnote>
  <w:endnote w:id="57">
    <w:p w14:paraId="7008008C" w14:textId="3640DBDC"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Andreï Makine, </w:t>
      </w:r>
      <w:r w:rsidRPr="005D25D7">
        <w:rPr>
          <w:i/>
          <w:sz w:val="22"/>
          <w:szCs w:val="22"/>
        </w:rPr>
        <w:t>Confessions of a Fallen Standard-Bearer</w:t>
      </w:r>
      <w:r w:rsidRPr="005D25D7">
        <w:rPr>
          <w:sz w:val="22"/>
          <w:szCs w:val="22"/>
        </w:rPr>
        <w:t xml:space="preserve">, </w:t>
      </w:r>
      <w:r w:rsidRPr="005D25D7">
        <w:rPr>
          <w:i/>
          <w:sz w:val="22"/>
          <w:szCs w:val="22"/>
        </w:rPr>
        <w:t>op. cit</w:t>
      </w:r>
      <w:r w:rsidRPr="005D25D7">
        <w:rPr>
          <w:sz w:val="22"/>
          <w:szCs w:val="22"/>
        </w:rPr>
        <w:t>., p5.</w:t>
      </w:r>
    </w:p>
  </w:endnote>
  <w:endnote w:id="58">
    <w:p w14:paraId="2F078F35" w14:textId="77777777" w:rsidR="00D85986" w:rsidRPr="005D25D7" w:rsidRDefault="00D85986" w:rsidP="00A91678">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p4.</w:t>
      </w:r>
    </w:p>
  </w:endnote>
  <w:endnote w:id="59">
    <w:p w14:paraId="19B3D7D8" w14:textId="77777777" w:rsidR="00D85986" w:rsidRPr="005D25D7" w:rsidRDefault="00D85986" w:rsidP="00BD05C0">
      <w:pPr>
        <w:pStyle w:val="Tekstprzypisukocowego"/>
        <w:rPr>
          <w:sz w:val="22"/>
          <w:szCs w:val="22"/>
        </w:rPr>
      </w:pPr>
      <w:r w:rsidRPr="005D25D7">
        <w:rPr>
          <w:rStyle w:val="Odwoanieprzypisukocowego"/>
          <w:szCs w:val="22"/>
        </w:rPr>
        <w:endnoteRef/>
      </w:r>
      <w:r w:rsidRPr="005D25D7">
        <w:rPr>
          <w:sz w:val="22"/>
          <w:szCs w:val="22"/>
        </w:rPr>
        <w:t xml:space="preserve"> </w:t>
      </w:r>
      <w:r w:rsidRPr="005D25D7">
        <w:rPr>
          <w:i/>
          <w:sz w:val="22"/>
          <w:szCs w:val="22"/>
        </w:rPr>
        <w:t>Ibidem</w:t>
      </w:r>
      <w:r w:rsidRPr="005D25D7">
        <w:rPr>
          <w:sz w:val="22"/>
          <w:szCs w:val="22"/>
        </w:rPr>
        <w:t>, p15.</w:t>
      </w:r>
    </w:p>
  </w:endnote>
  <w:endnote w:id="60">
    <w:p w14:paraId="3DF19A0E" w14:textId="5105D398"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For more on the cult of World War II</w:t>
      </w:r>
      <w:r>
        <w:rPr>
          <w:sz w:val="22"/>
          <w:szCs w:val="22"/>
        </w:rPr>
        <w:t>,</w:t>
      </w:r>
      <w:r w:rsidRPr="005D25D7">
        <w:rPr>
          <w:sz w:val="22"/>
          <w:szCs w:val="22"/>
        </w:rPr>
        <w:t xml:space="preserve"> see Nina Tumarkin, </w:t>
      </w:r>
      <w:r w:rsidRPr="005D25D7">
        <w:rPr>
          <w:i/>
          <w:sz w:val="22"/>
          <w:szCs w:val="22"/>
        </w:rPr>
        <w:t>The Living and the Dead: The Rise and the Fall of the Cult of World War II in Russia</w:t>
      </w:r>
      <w:r w:rsidRPr="005D25D7">
        <w:rPr>
          <w:sz w:val="22"/>
          <w:szCs w:val="22"/>
        </w:rPr>
        <w:t>, New York: Basic Books, 1994.</w:t>
      </w:r>
    </w:p>
  </w:endnote>
  <w:endnote w:id="61">
    <w:p w14:paraId="108D2F28" w14:textId="0FB4D4D6"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Linda Hutcheon, </w:t>
      </w:r>
      <w:r w:rsidRPr="005D25D7">
        <w:rPr>
          <w:i/>
          <w:sz w:val="22"/>
          <w:szCs w:val="22"/>
        </w:rPr>
        <w:t>op. cit</w:t>
      </w:r>
      <w:r w:rsidRPr="005D25D7">
        <w:rPr>
          <w:sz w:val="22"/>
          <w:szCs w:val="22"/>
        </w:rPr>
        <w:t>., pp105-6.</w:t>
      </w:r>
    </w:p>
  </w:endnote>
  <w:endnote w:id="62">
    <w:p w14:paraId="16F64836" w14:textId="77777777" w:rsidR="00D85986" w:rsidRPr="005D25D7" w:rsidRDefault="00D85986" w:rsidP="00FC177A">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xml:space="preserve">, </w:t>
      </w:r>
      <w:r w:rsidRPr="005D25D7">
        <w:rPr>
          <w:i/>
          <w:sz w:val="22"/>
          <w:szCs w:val="22"/>
        </w:rPr>
        <w:t>op. cit</w:t>
      </w:r>
      <w:r w:rsidRPr="005D25D7">
        <w:rPr>
          <w:sz w:val="22"/>
          <w:szCs w:val="22"/>
        </w:rPr>
        <w:t>., pXIV.</w:t>
      </w:r>
    </w:p>
  </w:endnote>
  <w:endnote w:id="63">
    <w:p w14:paraId="2EE7BF8F" w14:textId="77777777" w:rsidR="00D85986" w:rsidRPr="005D25D7" w:rsidRDefault="00D85986" w:rsidP="00BE7127">
      <w:pPr>
        <w:pStyle w:val="Tekstprzypisukocowego"/>
        <w:rPr>
          <w:sz w:val="22"/>
          <w:szCs w:val="22"/>
        </w:rPr>
      </w:pPr>
      <w:r w:rsidRPr="005D25D7">
        <w:rPr>
          <w:rStyle w:val="Odwoanieprzypisukocowego"/>
          <w:szCs w:val="22"/>
        </w:rPr>
        <w:endnoteRef/>
      </w:r>
      <w:r w:rsidRPr="005D25D7">
        <w:rPr>
          <w:sz w:val="22"/>
          <w:szCs w:val="22"/>
        </w:rPr>
        <w:t xml:space="preserve"> Andreï Makine,</w:t>
      </w:r>
      <w:r w:rsidRPr="005D25D7">
        <w:rPr>
          <w:i/>
          <w:sz w:val="22"/>
          <w:szCs w:val="22"/>
        </w:rPr>
        <w:t xml:space="preserve"> Confessions of a Fallen Standard-Bearer</w:t>
      </w:r>
      <w:r w:rsidRPr="005D25D7">
        <w:rPr>
          <w:sz w:val="22"/>
          <w:szCs w:val="22"/>
        </w:rPr>
        <w:t xml:space="preserve">, </w:t>
      </w:r>
      <w:r w:rsidRPr="005D25D7">
        <w:rPr>
          <w:i/>
          <w:sz w:val="22"/>
          <w:szCs w:val="22"/>
        </w:rPr>
        <w:t>op. cit</w:t>
      </w:r>
      <w:r w:rsidRPr="005D25D7">
        <w:rPr>
          <w:sz w:val="22"/>
          <w:szCs w:val="22"/>
        </w:rPr>
        <w:t>., p100.</w:t>
      </w:r>
    </w:p>
  </w:endnote>
  <w:endnote w:id="64">
    <w:p w14:paraId="739914B5" w14:textId="1B5C754D"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Andreï Makine, </w:t>
      </w:r>
      <w:r>
        <w:rPr>
          <w:i/>
          <w:sz w:val="22"/>
          <w:szCs w:val="22"/>
        </w:rPr>
        <w:t>A Woman Loved</w:t>
      </w:r>
      <w:r w:rsidRPr="005D25D7">
        <w:rPr>
          <w:sz w:val="22"/>
          <w:szCs w:val="22"/>
        </w:rPr>
        <w:t xml:space="preserve">, </w:t>
      </w:r>
      <w:r>
        <w:rPr>
          <w:sz w:val="22"/>
          <w:szCs w:val="22"/>
        </w:rPr>
        <w:t>trans. Geoffrey Strachan, London: MacLehose Press</w:t>
      </w:r>
      <w:r w:rsidRPr="005D25D7">
        <w:rPr>
          <w:sz w:val="22"/>
          <w:szCs w:val="22"/>
        </w:rPr>
        <w:t>, 2013, p1</w:t>
      </w:r>
      <w:r>
        <w:rPr>
          <w:sz w:val="22"/>
          <w:szCs w:val="22"/>
        </w:rPr>
        <w:t>5</w:t>
      </w:r>
      <w:r w:rsidRPr="005D25D7">
        <w:rPr>
          <w:sz w:val="22"/>
          <w:szCs w:val="22"/>
        </w:rPr>
        <w:t>.</w:t>
      </w:r>
    </w:p>
  </w:endnote>
  <w:endnote w:id="65">
    <w:p w14:paraId="68430070" w14:textId="0089ABD9"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See, for example, Joseph Brodsky’s essay ‘In a Room and a Half’, </w:t>
      </w:r>
      <w:r w:rsidRPr="005D25D7">
        <w:rPr>
          <w:i/>
          <w:sz w:val="22"/>
          <w:szCs w:val="22"/>
        </w:rPr>
        <w:t>Less Than One: Selected Essays</w:t>
      </w:r>
      <w:r w:rsidRPr="005D25D7">
        <w:rPr>
          <w:sz w:val="22"/>
          <w:szCs w:val="22"/>
        </w:rPr>
        <w:t>, New York: Farrar Straus Giroux, 1986, pp447-501. In this essay Brodsky writes that communal life ‘bares life to its basics: it strips off any illusion about human nature…You know the sounds they make in bed and when women have their periods’, pp454-55.</w:t>
      </w:r>
    </w:p>
  </w:endnote>
  <w:endnote w:id="66">
    <w:p w14:paraId="633BEF13" w14:textId="19474CE5"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In 1924 I. Vareikis compared the Soviet Union to a large communal apartment in which ‘national state units, various republics and autonomous provinces’ represented ‘separate rooms’. Quoted by Yuri Slezkine, ‘The USSR as a Communal Apartment, or How a Socialist State Promoted Ethnic Particularism’, </w:t>
      </w:r>
      <w:r w:rsidRPr="005D25D7">
        <w:rPr>
          <w:i/>
          <w:sz w:val="22"/>
          <w:szCs w:val="22"/>
        </w:rPr>
        <w:t>Slavic Review</w:t>
      </w:r>
      <w:r w:rsidRPr="005D25D7">
        <w:rPr>
          <w:sz w:val="22"/>
          <w:szCs w:val="22"/>
        </w:rPr>
        <w:t>, 53, 1994, pp414-52, p415.</w:t>
      </w:r>
    </w:p>
  </w:endnote>
  <w:endnote w:id="67">
    <w:p w14:paraId="2BD318CE" w14:textId="48505AD7"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xml:space="preserve">, </w:t>
      </w:r>
      <w:r w:rsidRPr="005D25D7">
        <w:rPr>
          <w:i/>
          <w:sz w:val="22"/>
          <w:szCs w:val="22"/>
        </w:rPr>
        <w:t>op. cit</w:t>
      </w:r>
      <w:r w:rsidRPr="005D25D7">
        <w:rPr>
          <w:sz w:val="22"/>
          <w:szCs w:val="22"/>
        </w:rPr>
        <w:t>., p. XV.</w:t>
      </w:r>
    </w:p>
  </w:endnote>
  <w:endnote w:id="68">
    <w:p w14:paraId="2A61F3BD" w14:textId="2755C493"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Linda Hutcheon, </w:t>
      </w:r>
      <w:r w:rsidRPr="005D25D7">
        <w:rPr>
          <w:i/>
          <w:sz w:val="22"/>
          <w:szCs w:val="22"/>
        </w:rPr>
        <w:t>op. cit</w:t>
      </w:r>
      <w:r w:rsidRPr="005D25D7">
        <w:rPr>
          <w:sz w:val="22"/>
          <w:szCs w:val="22"/>
        </w:rPr>
        <w:t>., pXII.</w:t>
      </w:r>
    </w:p>
  </w:endnote>
  <w:endnote w:id="69">
    <w:p w14:paraId="2512568F" w14:textId="097913FB"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w:t>
      </w:r>
      <w:r w:rsidR="000C1648">
        <w:rPr>
          <w:i/>
          <w:sz w:val="22"/>
          <w:szCs w:val="22"/>
        </w:rPr>
        <w:t>Idem</w:t>
      </w:r>
      <w:bookmarkStart w:id="0" w:name="_GoBack"/>
      <w:bookmarkEnd w:id="0"/>
      <w:r w:rsidRPr="005D25D7">
        <w:rPr>
          <w:sz w:val="22"/>
          <w:szCs w:val="22"/>
        </w:rPr>
        <w:t>.</w:t>
      </w:r>
    </w:p>
  </w:endnote>
  <w:endnote w:id="70">
    <w:p w14:paraId="37B01A3D" w14:textId="0A88CC9E" w:rsidR="00D85986" w:rsidRPr="005D25D7" w:rsidRDefault="00D85986">
      <w:pPr>
        <w:pStyle w:val="Tekstprzypisukocowego"/>
        <w:rPr>
          <w:sz w:val="22"/>
          <w:szCs w:val="22"/>
        </w:rPr>
      </w:pPr>
      <w:r w:rsidRPr="005D25D7">
        <w:rPr>
          <w:rStyle w:val="Odwoanieprzypisukocowego"/>
          <w:szCs w:val="22"/>
        </w:rPr>
        <w:endnoteRef/>
      </w:r>
      <w:r w:rsidRPr="005D25D7">
        <w:rPr>
          <w:sz w:val="22"/>
          <w:szCs w:val="22"/>
        </w:rPr>
        <w:t xml:space="preserve"> Svetlana Boym, </w:t>
      </w:r>
      <w:r w:rsidRPr="005D25D7">
        <w:rPr>
          <w:i/>
          <w:sz w:val="22"/>
          <w:szCs w:val="22"/>
        </w:rPr>
        <w:t>The Future of Nostalgia</w:t>
      </w:r>
      <w:r w:rsidRPr="005D25D7">
        <w:rPr>
          <w:sz w:val="22"/>
          <w:szCs w:val="22"/>
        </w:rPr>
        <w:t xml:space="preserve">, </w:t>
      </w:r>
      <w:r w:rsidRPr="005D25D7">
        <w:rPr>
          <w:i/>
          <w:sz w:val="22"/>
          <w:szCs w:val="22"/>
        </w:rPr>
        <w:t>op. cit</w:t>
      </w:r>
      <w:r w:rsidRPr="005D25D7">
        <w:rPr>
          <w:sz w:val="22"/>
          <w:szCs w:val="22"/>
        </w:rPr>
        <w:t>., p XIV.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BA8D" w14:textId="77777777" w:rsidR="00D85986" w:rsidRDefault="00D85986" w:rsidP="0033542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3EA474" w14:textId="77777777" w:rsidR="00D85986" w:rsidRDefault="00D85986">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C5F1" w14:textId="77777777" w:rsidR="00D85986" w:rsidRDefault="00D85986" w:rsidP="0033542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37B89">
      <w:rPr>
        <w:rStyle w:val="Numerstrony"/>
        <w:noProof/>
      </w:rPr>
      <w:t>1</w:t>
    </w:r>
    <w:r>
      <w:rPr>
        <w:rStyle w:val="Numerstrony"/>
      </w:rPr>
      <w:fldChar w:fldCharType="end"/>
    </w:r>
  </w:p>
  <w:p w14:paraId="7B405383" w14:textId="77777777" w:rsidR="00D85986" w:rsidRDefault="00D85986">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99808" w14:textId="77777777" w:rsidR="00D85986" w:rsidRDefault="00D85986" w:rsidP="00740987">
      <w:r>
        <w:separator/>
      </w:r>
    </w:p>
  </w:footnote>
  <w:footnote w:type="continuationSeparator" w:id="0">
    <w:p w14:paraId="655BDB8D" w14:textId="77777777" w:rsidR="00D85986" w:rsidRDefault="00D85986" w:rsidP="00740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defaultTabStop w:val="708"/>
  <w:hyphenationZone w:val="425"/>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AB"/>
    <w:rsid w:val="00001F1B"/>
    <w:rsid w:val="00007805"/>
    <w:rsid w:val="000123D3"/>
    <w:rsid w:val="00013F0A"/>
    <w:rsid w:val="0001430E"/>
    <w:rsid w:val="0001675D"/>
    <w:rsid w:val="0002140C"/>
    <w:rsid w:val="000260C7"/>
    <w:rsid w:val="000269E6"/>
    <w:rsid w:val="00035905"/>
    <w:rsid w:val="00041799"/>
    <w:rsid w:val="00041FCC"/>
    <w:rsid w:val="00044651"/>
    <w:rsid w:val="000542A4"/>
    <w:rsid w:val="0005481D"/>
    <w:rsid w:val="000563D8"/>
    <w:rsid w:val="000624BD"/>
    <w:rsid w:val="00063B52"/>
    <w:rsid w:val="0006533B"/>
    <w:rsid w:val="00066C5C"/>
    <w:rsid w:val="000676B2"/>
    <w:rsid w:val="00071DDB"/>
    <w:rsid w:val="0008013A"/>
    <w:rsid w:val="0008493E"/>
    <w:rsid w:val="00084BB1"/>
    <w:rsid w:val="00093EA2"/>
    <w:rsid w:val="00096C00"/>
    <w:rsid w:val="000A58DC"/>
    <w:rsid w:val="000A5B6F"/>
    <w:rsid w:val="000B37F0"/>
    <w:rsid w:val="000B7D55"/>
    <w:rsid w:val="000C020D"/>
    <w:rsid w:val="000C1648"/>
    <w:rsid w:val="000C2842"/>
    <w:rsid w:val="000C39E7"/>
    <w:rsid w:val="000C5CFB"/>
    <w:rsid w:val="000C77E8"/>
    <w:rsid w:val="000D03DC"/>
    <w:rsid w:val="000D28DF"/>
    <w:rsid w:val="000D5B2E"/>
    <w:rsid w:val="000D6697"/>
    <w:rsid w:val="000D672B"/>
    <w:rsid w:val="000E6492"/>
    <w:rsid w:val="000F2E0B"/>
    <w:rsid w:val="000F430B"/>
    <w:rsid w:val="00100991"/>
    <w:rsid w:val="00104007"/>
    <w:rsid w:val="00106A9C"/>
    <w:rsid w:val="00106B1E"/>
    <w:rsid w:val="001070A7"/>
    <w:rsid w:val="001075AF"/>
    <w:rsid w:val="001078FE"/>
    <w:rsid w:val="00116D10"/>
    <w:rsid w:val="001259A1"/>
    <w:rsid w:val="00131CAD"/>
    <w:rsid w:val="001335EE"/>
    <w:rsid w:val="001350D3"/>
    <w:rsid w:val="00136D39"/>
    <w:rsid w:val="00140980"/>
    <w:rsid w:val="00150868"/>
    <w:rsid w:val="00156CB5"/>
    <w:rsid w:val="00157B89"/>
    <w:rsid w:val="0016425D"/>
    <w:rsid w:val="00165405"/>
    <w:rsid w:val="00174EA8"/>
    <w:rsid w:val="00177CC3"/>
    <w:rsid w:val="001802A0"/>
    <w:rsid w:val="001841AB"/>
    <w:rsid w:val="001854B0"/>
    <w:rsid w:val="001872F0"/>
    <w:rsid w:val="001933DC"/>
    <w:rsid w:val="001975B0"/>
    <w:rsid w:val="001A5EBB"/>
    <w:rsid w:val="001A613C"/>
    <w:rsid w:val="001B421C"/>
    <w:rsid w:val="001C1BAD"/>
    <w:rsid w:val="001C4D4E"/>
    <w:rsid w:val="001C6B25"/>
    <w:rsid w:val="001D5A30"/>
    <w:rsid w:val="001D5F3A"/>
    <w:rsid w:val="001E0F63"/>
    <w:rsid w:val="001E33B9"/>
    <w:rsid w:val="001E38AF"/>
    <w:rsid w:val="001E43DF"/>
    <w:rsid w:val="001E5677"/>
    <w:rsid w:val="001E61EC"/>
    <w:rsid w:val="001F738B"/>
    <w:rsid w:val="00200EEC"/>
    <w:rsid w:val="00211A74"/>
    <w:rsid w:val="0021340D"/>
    <w:rsid w:val="00214B7D"/>
    <w:rsid w:val="002230CF"/>
    <w:rsid w:val="00225639"/>
    <w:rsid w:val="00230ADF"/>
    <w:rsid w:val="00234A07"/>
    <w:rsid w:val="00235143"/>
    <w:rsid w:val="0024130F"/>
    <w:rsid w:val="00244ACF"/>
    <w:rsid w:val="00257982"/>
    <w:rsid w:val="00262589"/>
    <w:rsid w:val="00266B7D"/>
    <w:rsid w:val="002712A9"/>
    <w:rsid w:val="002726A9"/>
    <w:rsid w:val="00275513"/>
    <w:rsid w:val="00276507"/>
    <w:rsid w:val="00283F1D"/>
    <w:rsid w:val="00293FBC"/>
    <w:rsid w:val="002A09DA"/>
    <w:rsid w:val="002A4AAE"/>
    <w:rsid w:val="002A60D2"/>
    <w:rsid w:val="002A7E9E"/>
    <w:rsid w:val="002B040C"/>
    <w:rsid w:val="002B2B3A"/>
    <w:rsid w:val="002B2E27"/>
    <w:rsid w:val="002B552F"/>
    <w:rsid w:val="002B5A58"/>
    <w:rsid w:val="002C58C2"/>
    <w:rsid w:val="002C5CFB"/>
    <w:rsid w:val="002E3AB2"/>
    <w:rsid w:val="002E68AF"/>
    <w:rsid w:val="00300D43"/>
    <w:rsid w:val="0030316A"/>
    <w:rsid w:val="003064C2"/>
    <w:rsid w:val="00313FC4"/>
    <w:rsid w:val="0031716E"/>
    <w:rsid w:val="00317DA5"/>
    <w:rsid w:val="00325D44"/>
    <w:rsid w:val="0032751B"/>
    <w:rsid w:val="0033542D"/>
    <w:rsid w:val="00335AEE"/>
    <w:rsid w:val="00337B89"/>
    <w:rsid w:val="00340AC0"/>
    <w:rsid w:val="00340F5D"/>
    <w:rsid w:val="003453D1"/>
    <w:rsid w:val="0034543D"/>
    <w:rsid w:val="00345AE8"/>
    <w:rsid w:val="00353826"/>
    <w:rsid w:val="00353D09"/>
    <w:rsid w:val="0035481A"/>
    <w:rsid w:val="003551E3"/>
    <w:rsid w:val="003576FB"/>
    <w:rsid w:val="00357809"/>
    <w:rsid w:val="00360F60"/>
    <w:rsid w:val="00364888"/>
    <w:rsid w:val="003669FB"/>
    <w:rsid w:val="00371958"/>
    <w:rsid w:val="0037688A"/>
    <w:rsid w:val="00380474"/>
    <w:rsid w:val="0038062E"/>
    <w:rsid w:val="0038461A"/>
    <w:rsid w:val="003939C4"/>
    <w:rsid w:val="003A4723"/>
    <w:rsid w:val="003A72BF"/>
    <w:rsid w:val="003C114A"/>
    <w:rsid w:val="003C1477"/>
    <w:rsid w:val="003C4C74"/>
    <w:rsid w:val="003C5EC1"/>
    <w:rsid w:val="003D20B3"/>
    <w:rsid w:val="003E28F0"/>
    <w:rsid w:val="003F05CD"/>
    <w:rsid w:val="003F3DDB"/>
    <w:rsid w:val="003F60B0"/>
    <w:rsid w:val="003F69C2"/>
    <w:rsid w:val="003F7A98"/>
    <w:rsid w:val="00401A33"/>
    <w:rsid w:val="004031F3"/>
    <w:rsid w:val="004064AF"/>
    <w:rsid w:val="00406F29"/>
    <w:rsid w:val="0041697D"/>
    <w:rsid w:val="00416EB7"/>
    <w:rsid w:val="004175B8"/>
    <w:rsid w:val="00430172"/>
    <w:rsid w:val="004346E5"/>
    <w:rsid w:val="004363B2"/>
    <w:rsid w:val="004437FF"/>
    <w:rsid w:val="00445E5E"/>
    <w:rsid w:val="00450E0B"/>
    <w:rsid w:val="00451B04"/>
    <w:rsid w:val="00452571"/>
    <w:rsid w:val="00457130"/>
    <w:rsid w:val="00460425"/>
    <w:rsid w:val="00472136"/>
    <w:rsid w:val="0047545C"/>
    <w:rsid w:val="00486773"/>
    <w:rsid w:val="00492BB3"/>
    <w:rsid w:val="004953AB"/>
    <w:rsid w:val="004A084B"/>
    <w:rsid w:val="004A7E1C"/>
    <w:rsid w:val="004B4366"/>
    <w:rsid w:val="004B5291"/>
    <w:rsid w:val="004C31E9"/>
    <w:rsid w:val="004E1E95"/>
    <w:rsid w:val="004E59A9"/>
    <w:rsid w:val="004E6A59"/>
    <w:rsid w:val="004F1062"/>
    <w:rsid w:val="004F18D5"/>
    <w:rsid w:val="004F7ECB"/>
    <w:rsid w:val="00502846"/>
    <w:rsid w:val="00517140"/>
    <w:rsid w:val="00520F22"/>
    <w:rsid w:val="00525D25"/>
    <w:rsid w:val="00542AEE"/>
    <w:rsid w:val="0054350F"/>
    <w:rsid w:val="00543E0B"/>
    <w:rsid w:val="005520A6"/>
    <w:rsid w:val="00554645"/>
    <w:rsid w:val="00561534"/>
    <w:rsid w:val="0056510C"/>
    <w:rsid w:val="00566840"/>
    <w:rsid w:val="0057273D"/>
    <w:rsid w:val="00574155"/>
    <w:rsid w:val="00576F01"/>
    <w:rsid w:val="00583F10"/>
    <w:rsid w:val="00583F45"/>
    <w:rsid w:val="00585F37"/>
    <w:rsid w:val="005917F6"/>
    <w:rsid w:val="0059503E"/>
    <w:rsid w:val="00595CA4"/>
    <w:rsid w:val="005A0670"/>
    <w:rsid w:val="005A1B56"/>
    <w:rsid w:val="005A1D4E"/>
    <w:rsid w:val="005B58B7"/>
    <w:rsid w:val="005C27CF"/>
    <w:rsid w:val="005C5941"/>
    <w:rsid w:val="005C6DBB"/>
    <w:rsid w:val="005D123A"/>
    <w:rsid w:val="005D1D2F"/>
    <w:rsid w:val="005D25D7"/>
    <w:rsid w:val="005D45F8"/>
    <w:rsid w:val="005D73E4"/>
    <w:rsid w:val="005E2B0B"/>
    <w:rsid w:val="005E2B44"/>
    <w:rsid w:val="005E4C1E"/>
    <w:rsid w:val="005E6222"/>
    <w:rsid w:val="005E6EC0"/>
    <w:rsid w:val="005F749C"/>
    <w:rsid w:val="00600416"/>
    <w:rsid w:val="0060164B"/>
    <w:rsid w:val="00603F82"/>
    <w:rsid w:val="00614590"/>
    <w:rsid w:val="00615B61"/>
    <w:rsid w:val="00616281"/>
    <w:rsid w:val="00616DA0"/>
    <w:rsid w:val="00621B38"/>
    <w:rsid w:val="00623052"/>
    <w:rsid w:val="0064179D"/>
    <w:rsid w:val="006471E3"/>
    <w:rsid w:val="00653580"/>
    <w:rsid w:val="00654B16"/>
    <w:rsid w:val="006605B8"/>
    <w:rsid w:val="00663D8C"/>
    <w:rsid w:val="0066518B"/>
    <w:rsid w:val="0066754E"/>
    <w:rsid w:val="00675559"/>
    <w:rsid w:val="00685F01"/>
    <w:rsid w:val="00687797"/>
    <w:rsid w:val="00690628"/>
    <w:rsid w:val="00690CC6"/>
    <w:rsid w:val="006932F5"/>
    <w:rsid w:val="006A0171"/>
    <w:rsid w:val="006A5691"/>
    <w:rsid w:val="006A5EA0"/>
    <w:rsid w:val="006A7236"/>
    <w:rsid w:val="006A7CD5"/>
    <w:rsid w:val="006B1E58"/>
    <w:rsid w:val="006B4414"/>
    <w:rsid w:val="006B569E"/>
    <w:rsid w:val="006C0FD4"/>
    <w:rsid w:val="006C20E1"/>
    <w:rsid w:val="006C2BC4"/>
    <w:rsid w:val="006D1473"/>
    <w:rsid w:val="006E2E14"/>
    <w:rsid w:val="006F03AF"/>
    <w:rsid w:val="006F2E14"/>
    <w:rsid w:val="0070682C"/>
    <w:rsid w:val="007209AF"/>
    <w:rsid w:val="00737D21"/>
    <w:rsid w:val="00740987"/>
    <w:rsid w:val="00741426"/>
    <w:rsid w:val="007422D3"/>
    <w:rsid w:val="0074400D"/>
    <w:rsid w:val="00753402"/>
    <w:rsid w:val="0076054A"/>
    <w:rsid w:val="00762BF9"/>
    <w:rsid w:val="00763BD7"/>
    <w:rsid w:val="0076702A"/>
    <w:rsid w:val="00776A1D"/>
    <w:rsid w:val="00776B1D"/>
    <w:rsid w:val="00777246"/>
    <w:rsid w:val="00785592"/>
    <w:rsid w:val="00793DE9"/>
    <w:rsid w:val="00794EAA"/>
    <w:rsid w:val="00795768"/>
    <w:rsid w:val="007A708A"/>
    <w:rsid w:val="007B4135"/>
    <w:rsid w:val="007C033E"/>
    <w:rsid w:val="007C0DC2"/>
    <w:rsid w:val="007C4C4D"/>
    <w:rsid w:val="007C799D"/>
    <w:rsid w:val="007D2951"/>
    <w:rsid w:val="007D4FAB"/>
    <w:rsid w:val="007D5F9A"/>
    <w:rsid w:val="007D72D3"/>
    <w:rsid w:val="007E59FD"/>
    <w:rsid w:val="007E6F2B"/>
    <w:rsid w:val="007F70C6"/>
    <w:rsid w:val="00801A54"/>
    <w:rsid w:val="0080376A"/>
    <w:rsid w:val="008100D2"/>
    <w:rsid w:val="00814593"/>
    <w:rsid w:val="00816406"/>
    <w:rsid w:val="00816FDD"/>
    <w:rsid w:val="00817953"/>
    <w:rsid w:val="00820ED1"/>
    <w:rsid w:val="0082168D"/>
    <w:rsid w:val="008260B6"/>
    <w:rsid w:val="00827557"/>
    <w:rsid w:val="00832CD1"/>
    <w:rsid w:val="008354D0"/>
    <w:rsid w:val="00836484"/>
    <w:rsid w:val="0084048C"/>
    <w:rsid w:val="0084109D"/>
    <w:rsid w:val="00847595"/>
    <w:rsid w:val="00847F44"/>
    <w:rsid w:val="008554C1"/>
    <w:rsid w:val="0085752F"/>
    <w:rsid w:val="00857622"/>
    <w:rsid w:val="00861E0F"/>
    <w:rsid w:val="00867CDE"/>
    <w:rsid w:val="00871D6A"/>
    <w:rsid w:val="00874E0F"/>
    <w:rsid w:val="00882CC7"/>
    <w:rsid w:val="00886CB0"/>
    <w:rsid w:val="00890F77"/>
    <w:rsid w:val="008921FA"/>
    <w:rsid w:val="008A0B7F"/>
    <w:rsid w:val="008A50BD"/>
    <w:rsid w:val="008A685C"/>
    <w:rsid w:val="008B51DF"/>
    <w:rsid w:val="008B7158"/>
    <w:rsid w:val="008C0082"/>
    <w:rsid w:val="008C5FBA"/>
    <w:rsid w:val="008D0283"/>
    <w:rsid w:val="008D5D2B"/>
    <w:rsid w:val="008E15E9"/>
    <w:rsid w:val="008E192F"/>
    <w:rsid w:val="008E2152"/>
    <w:rsid w:val="008F0EA5"/>
    <w:rsid w:val="008F0FF3"/>
    <w:rsid w:val="008F1D0F"/>
    <w:rsid w:val="008F4CBC"/>
    <w:rsid w:val="0090117F"/>
    <w:rsid w:val="00903312"/>
    <w:rsid w:val="00905F44"/>
    <w:rsid w:val="00907BD6"/>
    <w:rsid w:val="009153F5"/>
    <w:rsid w:val="00915487"/>
    <w:rsid w:val="009220F2"/>
    <w:rsid w:val="00923A96"/>
    <w:rsid w:val="009248C2"/>
    <w:rsid w:val="009256D6"/>
    <w:rsid w:val="00931C1B"/>
    <w:rsid w:val="00933CEA"/>
    <w:rsid w:val="009345F3"/>
    <w:rsid w:val="00944300"/>
    <w:rsid w:val="00944609"/>
    <w:rsid w:val="00944F80"/>
    <w:rsid w:val="009457F5"/>
    <w:rsid w:val="0094779C"/>
    <w:rsid w:val="00950200"/>
    <w:rsid w:val="00950B46"/>
    <w:rsid w:val="00953B00"/>
    <w:rsid w:val="0095721D"/>
    <w:rsid w:val="00960060"/>
    <w:rsid w:val="00963154"/>
    <w:rsid w:val="009743EC"/>
    <w:rsid w:val="00977FEE"/>
    <w:rsid w:val="0098075A"/>
    <w:rsid w:val="009876FD"/>
    <w:rsid w:val="0099540B"/>
    <w:rsid w:val="00995E6C"/>
    <w:rsid w:val="009A13B3"/>
    <w:rsid w:val="009A7529"/>
    <w:rsid w:val="009B380B"/>
    <w:rsid w:val="009B4BDC"/>
    <w:rsid w:val="009B69DE"/>
    <w:rsid w:val="009C0689"/>
    <w:rsid w:val="009C76C3"/>
    <w:rsid w:val="009D51C8"/>
    <w:rsid w:val="009D5E9F"/>
    <w:rsid w:val="009E0AFB"/>
    <w:rsid w:val="009E0EA5"/>
    <w:rsid w:val="009F2E74"/>
    <w:rsid w:val="009F5AAC"/>
    <w:rsid w:val="009F7EEA"/>
    <w:rsid w:val="00A01C3F"/>
    <w:rsid w:val="00A0605F"/>
    <w:rsid w:val="00A077AD"/>
    <w:rsid w:val="00A11288"/>
    <w:rsid w:val="00A123B2"/>
    <w:rsid w:val="00A13E24"/>
    <w:rsid w:val="00A17AB3"/>
    <w:rsid w:val="00A22A3E"/>
    <w:rsid w:val="00A23EB2"/>
    <w:rsid w:val="00A33A03"/>
    <w:rsid w:val="00A33C25"/>
    <w:rsid w:val="00A33FEB"/>
    <w:rsid w:val="00A345B2"/>
    <w:rsid w:val="00A44565"/>
    <w:rsid w:val="00A44761"/>
    <w:rsid w:val="00A46946"/>
    <w:rsid w:val="00A5162E"/>
    <w:rsid w:val="00A6054B"/>
    <w:rsid w:val="00A6427B"/>
    <w:rsid w:val="00A643BE"/>
    <w:rsid w:val="00A71147"/>
    <w:rsid w:val="00A87746"/>
    <w:rsid w:val="00A90D9F"/>
    <w:rsid w:val="00A91678"/>
    <w:rsid w:val="00A91C9A"/>
    <w:rsid w:val="00A9462D"/>
    <w:rsid w:val="00A964EC"/>
    <w:rsid w:val="00AA0665"/>
    <w:rsid w:val="00AA231B"/>
    <w:rsid w:val="00AA272D"/>
    <w:rsid w:val="00AA34FC"/>
    <w:rsid w:val="00AA4B09"/>
    <w:rsid w:val="00AA5CF2"/>
    <w:rsid w:val="00AB01FF"/>
    <w:rsid w:val="00AB2233"/>
    <w:rsid w:val="00AB77D7"/>
    <w:rsid w:val="00AC10DC"/>
    <w:rsid w:val="00AC235A"/>
    <w:rsid w:val="00AC526F"/>
    <w:rsid w:val="00AE676E"/>
    <w:rsid w:val="00AF1177"/>
    <w:rsid w:val="00AF148E"/>
    <w:rsid w:val="00AF3BD9"/>
    <w:rsid w:val="00B020D1"/>
    <w:rsid w:val="00B03DC3"/>
    <w:rsid w:val="00B04189"/>
    <w:rsid w:val="00B13DFE"/>
    <w:rsid w:val="00B17A70"/>
    <w:rsid w:val="00B254DA"/>
    <w:rsid w:val="00B43358"/>
    <w:rsid w:val="00B5552D"/>
    <w:rsid w:val="00B55996"/>
    <w:rsid w:val="00B56B33"/>
    <w:rsid w:val="00B61B9B"/>
    <w:rsid w:val="00B70628"/>
    <w:rsid w:val="00B71152"/>
    <w:rsid w:val="00B714E3"/>
    <w:rsid w:val="00B86906"/>
    <w:rsid w:val="00B93E67"/>
    <w:rsid w:val="00B94534"/>
    <w:rsid w:val="00B96A8C"/>
    <w:rsid w:val="00BB07BE"/>
    <w:rsid w:val="00BB24EF"/>
    <w:rsid w:val="00BB3B94"/>
    <w:rsid w:val="00BC3B32"/>
    <w:rsid w:val="00BD05C0"/>
    <w:rsid w:val="00BD1158"/>
    <w:rsid w:val="00BD1D0F"/>
    <w:rsid w:val="00BD6C2A"/>
    <w:rsid w:val="00BD7CE9"/>
    <w:rsid w:val="00BE5BEB"/>
    <w:rsid w:val="00BE7127"/>
    <w:rsid w:val="00BE773C"/>
    <w:rsid w:val="00BF0982"/>
    <w:rsid w:val="00BF4803"/>
    <w:rsid w:val="00BF5293"/>
    <w:rsid w:val="00BF529D"/>
    <w:rsid w:val="00C03871"/>
    <w:rsid w:val="00C13668"/>
    <w:rsid w:val="00C3026D"/>
    <w:rsid w:val="00C33D68"/>
    <w:rsid w:val="00C37C87"/>
    <w:rsid w:val="00C460C2"/>
    <w:rsid w:val="00C500A0"/>
    <w:rsid w:val="00C50FC2"/>
    <w:rsid w:val="00C57DE5"/>
    <w:rsid w:val="00C63575"/>
    <w:rsid w:val="00C643FB"/>
    <w:rsid w:val="00C67AA8"/>
    <w:rsid w:val="00C73BDF"/>
    <w:rsid w:val="00C826D2"/>
    <w:rsid w:val="00C82D09"/>
    <w:rsid w:val="00C84B98"/>
    <w:rsid w:val="00C84C4A"/>
    <w:rsid w:val="00C86256"/>
    <w:rsid w:val="00C94C58"/>
    <w:rsid w:val="00CA129F"/>
    <w:rsid w:val="00CA49C2"/>
    <w:rsid w:val="00CB321E"/>
    <w:rsid w:val="00CB38B1"/>
    <w:rsid w:val="00CB465F"/>
    <w:rsid w:val="00CC5254"/>
    <w:rsid w:val="00CD2560"/>
    <w:rsid w:val="00CF3F38"/>
    <w:rsid w:val="00D01AA4"/>
    <w:rsid w:val="00D03377"/>
    <w:rsid w:val="00D11B58"/>
    <w:rsid w:val="00D17D13"/>
    <w:rsid w:val="00D20A1A"/>
    <w:rsid w:val="00D213DA"/>
    <w:rsid w:val="00D24366"/>
    <w:rsid w:val="00D268E8"/>
    <w:rsid w:val="00D323CF"/>
    <w:rsid w:val="00D36217"/>
    <w:rsid w:val="00D42ABE"/>
    <w:rsid w:val="00D4350D"/>
    <w:rsid w:val="00D4478E"/>
    <w:rsid w:val="00D4533A"/>
    <w:rsid w:val="00D47936"/>
    <w:rsid w:val="00D542EF"/>
    <w:rsid w:val="00D62A6D"/>
    <w:rsid w:val="00D71C41"/>
    <w:rsid w:val="00D737D3"/>
    <w:rsid w:val="00D85986"/>
    <w:rsid w:val="00D92AD1"/>
    <w:rsid w:val="00DA7DDC"/>
    <w:rsid w:val="00DB3427"/>
    <w:rsid w:val="00DC243F"/>
    <w:rsid w:val="00DC393F"/>
    <w:rsid w:val="00DC3C52"/>
    <w:rsid w:val="00DC7B6B"/>
    <w:rsid w:val="00DD6285"/>
    <w:rsid w:val="00DD7BDE"/>
    <w:rsid w:val="00DE2D6A"/>
    <w:rsid w:val="00DE3556"/>
    <w:rsid w:val="00DE35A7"/>
    <w:rsid w:val="00DE4886"/>
    <w:rsid w:val="00DE5E4A"/>
    <w:rsid w:val="00DE7690"/>
    <w:rsid w:val="00DE7982"/>
    <w:rsid w:val="00DF146C"/>
    <w:rsid w:val="00DF1A3D"/>
    <w:rsid w:val="00DF4CFB"/>
    <w:rsid w:val="00E014AE"/>
    <w:rsid w:val="00E04C44"/>
    <w:rsid w:val="00E07579"/>
    <w:rsid w:val="00E11374"/>
    <w:rsid w:val="00E20589"/>
    <w:rsid w:val="00E32A78"/>
    <w:rsid w:val="00E4268A"/>
    <w:rsid w:val="00E4370D"/>
    <w:rsid w:val="00E45997"/>
    <w:rsid w:val="00E54C02"/>
    <w:rsid w:val="00E71326"/>
    <w:rsid w:val="00E77CC6"/>
    <w:rsid w:val="00E8167A"/>
    <w:rsid w:val="00E92DE1"/>
    <w:rsid w:val="00E95719"/>
    <w:rsid w:val="00EB0FD7"/>
    <w:rsid w:val="00EC1BB4"/>
    <w:rsid w:val="00EC2B9A"/>
    <w:rsid w:val="00EC65E0"/>
    <w:rsid w:val="00ED115C"/>
    <w:rsid w:val="00ED4DC6"/>
    <w:rsid w:val="00EE0D4E"/>
    <w:rsid w:val="00EF15E6"/>
    <w:rsid w:val="00EF5457"/>
    <w:rsid w:val="00F0315D"/>
    <w:rsid w:val="00F03C99"/>
    <w:rsid w:val="00F05901"/>
    <w:rsid w:val="00F075E8"/>
    <w:rsid w:val="00F07B1F"/>
    <w:rsid w:val="00F11BAA"/>
    <w:rsid w:val="00F14487"/>
    <w:rsid w:val="00F159BF"/>
    <w:rsid w:val="00F2177E"/>
    <w:rsid w:val="00F217B7"/>
    <w:rsid w:val="00F218C6"/>
    <w:rsid w:val="00F23E1A"/>
    <w:rsid w:val="00F27BE8"/>
    <w:rsid w:val="00F3695E"/>
    <w:rsid w:val="00F377C4"/>
    <w:rsid w:val="00F4249E"/>
    <w:rsid w:val="00F44A63"/>
    <w:rsid w:val="00F5163C"/>
    <w:rsid w:val="00F51790"/>
    <w:rsid w:val="00F51CB3"/>
    <w:rsid w:val="00F6144E"/>
    <w:rsid w:val="00F61B25"/>
    <w:rsid w:val="00F6648D"/>
    <w:rsid w:val="00F66C1D"/>
    <w:rsid w:val="00F676C6"/>
    <w:rsid w:val="00F679BA"/>
    <w:rsid w:val="00F72552"/>
    <w:rsid w:val="00F73874"/>
    <w:rsid w:val="00F77352"/>
    <w:rsid w:val="00F774C2"/>
    <w:rsid w:val="00F77CCC"/>
    <w:rsid w:val="00F9051F"/>
    <w:rsid w:val="00F92808"/>
    <w:rsid w:val="00FB1D75"/>
    <w:rsid w:val="00FB2C24"/>
    <w:rsid w:val="00FB4A76"/>
    <w:rsid w:val="00FB54E2"/>
    <w:rsid w:val="00FC0844"/>
    <w:rsid w:val="00FC177A"/>
    <w:rsid w:val="00FC3AEC"/>
    <w:rsid w:val="00FC4549"/>
    <w:rsid w:val="00FD06EC"/>
    <w:rsid w:val="00FD1AA1"/>
    <w:rsid w:val="00FD3BA9"/>
    <w:rsid w:val="00FE0519"/>
    <w:rsid w:val="00FE05C1"/>
    <w:rsid w:val="00FE4D43"/>
    <w:rsid w:val="00FE7B61"/>
    <w:rsid w:val="00FF284C"/>
    <w:rsid w:val="00FF5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AA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paragraph" w:styleId="Nagwek1">
    <w:name w:val="heading 1"/>
    <w:basedOn w:val="Normalny"/>
    <w:next w:val="Normalny"/>
    <w:link w:val="Nagwek1Znak"/>
    <w:uiPriority w:val="9"/>
    <w:qFormat/>
    <w:rsid w:val="00165405"/>
    <w:pPr>
      <w:keepNext/>
      <w:keepLines/>
      <w:spacing w:before="480" w:line="360" w:lineRule="auto"/>
      <w:outlineLvl w:val="0"/>
    </w:pPr>
    <w:rPr>
      <w:rFonts w:eastAsiaTheme="majorEastAsia" w:cstheme="majorBidi"/>
      <w:b/>
      <w:bCs/>
      <w: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5405"/>
    <w:rPr>
      <w:rFonts w:ascii="Times" w:eastAsiaTheme="majorEastAsia" w:hAnsi="Times" w:cstheme="majorBidi"/>
      <w:b/>
      <w:bCs/>
      <w:i/>
      <w:szCs w:val="32"/>
      <w:lang w:val="fr-FR"/>
    </w:rPr>
  </w:style>
  <w:style w:type="character" w:styleId="Odwoanieprzypisudolnego">
    <w:name w:val="footnote reference"/>
    <w:basedOn w:val="Domylnaczcionkaakapitu"/>
    <w:unhideWhenUsed/>
    <w:qFormat/>
    <w:rsid w:val="00663D8C"/>
    <w:rPr>
      <w:rFonts w:ascii="Times New Roman" w:hAnsi="Times New Roman"/>
      <w:sz w:val="22"/>
      <w:vertAlign w:val="superscript"/>
    </w:rPr>
  </w:style>
  <w:style w:type="paragraph" w:styleId="Tekstprzypisudolnego">
    <w:name w:val="footnote text"/>
    <w:basedOn w:val="Normalny"/>
    <w:link w:val="TekstprzypisudolnegoZnak"/>
    <w:unhideWhenUsed/>
    <w:rsid w:val="00452571"/>
    <w:rPr>
      <w:sz w:val="22"/>
    </w:rPr>
  </w:style>
  <w:style w:type="character" w:customStyle="1" w:styleId="TekstprzypisudolnegoZnak">
    <w:name w:val="Tekst przypisu dolnego Znak"/>
    <w:basedOn w:val="Domylnaczcionkaakapitu"/>
    <w:link w:val="Tekstprzypisudolnego"/>
    <w:rsid w:val="00452571"/>
    <w:rPr>
      <w:sz w:val="22"/>
      <w:lang w:eastAsia="pl-PL"/>
    </w:rPr>
  </w:style>
  <w:style w:type="paragraph" w:styleId="Tekstprzypisukocowego">
    <w:name w:val="endnote text"/>
    <w:basedOn w:val="Normalny"/>
    <w:link w:val="TekstprzypisukocowegoZnak"/>
    <w:uiPriority w:val="99"/>
    <w:unhideWhenUsed/>
    <w:rsid w:val="00AC235A"/>
  </w:style>
  <w:style w:type="character" w:customStyle="1" w:styleId="TekstprzypisukocowegoZnak">
    <w:name w:val="Tekst przypisu końcowego Znak"/>
    <w:basedOn w:val="Domylnaczcionkaakapitu"/>
    <w:link w:val="Tekstprzypisukocowego"/>
    <w:uiPriority w:val="99"/>
    <w:rsid w:val="00AC235A"/>
    <w:rPr>
      <w:lang w:eastAsia="pl-PL"/>
    </w:rPr>
  </w:style>
  <w:style w:type="character" w:styleId="Odwoanieprzypisukocowego">
    <w:name w:val="endnote reference"/>
    <w:basedOn w:val="Domylnaczcionkaakapitu"/>
    <w:uiPriority w:val="99"/>
    <w:unhideWhenUsed/>
    <w:rsid w:val="00225639"/>
    <w:rPr>
      <w:rFonts w:ascii="Times New Roman" w:hAnsi="Times New Roman"/>
      <w:sz w:val="22"/>
      <w:vertAlign w:val="superscript"/>
    </w:rPr>
  </w:style>
  <w:style w:type="paragraph" w:styleId="Cytat">
    <w:name w:val="Quote"/>
    <w:basedOn w:val="Normalny"/>
    <w:next w:val="Normalny"/>
    <w:link w:val="CytatZnak"/>
    <w:uiPriority w:val="29"/>
    <w:qFormat/>
    <w:rsid w:val="001D5A30"/>
    <w:pPr>
      <w:spacing w:before="200" w:after="200" w:line="360" w:lineRule="auto"/>
      <w:ind w:firstLine="720"/>
      <w:jc w:val="both"/>
    </w:pPr>
    <w:rPr>
      <w:iCs/>
      <w:color w:val="000000" w:themeColor="text1"/>
      <w:sz w:val="22"/>
      <w:szCs w:val="22"/>
    </w:rPr>
  </w:style>
  <w:style w:type="character" w:customStyle="1" w:styleId="CytatZnak">
    <w:name w:val="Cytat Znak"/>
    <w:basedOn w:val="Domylnaczcionkaakapitu"/>
    <w:link w:val="Cytat"/>
    <w:uiPriority w:val="29"/>
    <w:rsid w:val="001D5A30"/>
    <w:rPr>
      <w:iCs/>
      <w:color w:val="000000" w:themeColor="text1"/>
      <w:sz w:val="22"/>
      <w:szCs w:val="22"/>
      <w:lang w:eastAsia="pl-PL"/>
    </w:rPr>
  </w:style>
  <w:style w:type="paragraph" w:styleId="NormalnyWeb">
    <w:name w:val="Normal (Web)"/>
    <w:basedOn w:val="Normalny"/>
    <w:uiPriority w:val="99"/>
    <w:unhideWhenUsed/>
    <w:rsid w:val="00F676C6"/>
    <w:pPr>
      <w:spacing w:before="100" w:beforeAutospacing="1" w:after="100" w:afterAutospacing="1"/>
    </w:pPr>
    <w:rPr>
      <w:rFonts w:ascii="Times" w:eastAsiaTheme="minorHAnsi" w:hAnsi="Times"/>
      <w:sz w:val="20"/>
      <w:szCs w:val="20"/>
      <w:lang w:val="en-AU"/>
    </w:rPr>
  </w:style>
  <w:style w:type="character" w:styleId="Tekstzastpczy">
    <w:name w:val="Placeholder Text"/>
    <w:basedOn w:val="Domylnaczcionkaakapitu"/>
    <w:uiPriority w:val="99"/>
    <w:semiHidden/>
    <w:rsid w:val="00923A96"/>
    <w:rPr>
      <w:color w:val="808080"/>
    </w:rPr>
  </w:style>
  <w:style w:type="paragraph" w:styleId="Nagwek">
    <w:name w:val="header"/>
    <w:basedOn w:val="Normalny"/>
    <w:link w:val="NagwekZnak"/>
    <w:uiPriority w:val="99"/>
    <w:unhideWhenUsed/>
    <w:rsid w:val="00B94534"/>
    <w:pPr>
      <w:tabs>
        <w:tab w:val="center" w:pos="4703"/>
        <w:tab w:val="right" w:pos="9406"/>
      </w:tabs>
    </w:pPr>
  </w:style>
  <w:style w:type="character" w:customStyle="1" w:styleId="NagwekZnak">
    <w:name w:val="Nagłówek Znak"/>
    <w:basedOn w:val="Domylnaczcionkaakapitu"/>
    <w:link w:val="Nagwek"/>
    <w:uiPriority w:val="99"/>
    <w:rsid w:val="00B94534"/>
    <w:rPr>
      <w:lang w:eastAsia="pl-PL"/>
    </w:rPr>
  </w:style>
  <w:style w:type="paragraph" w:styleId="Stopka">
    <w:name w:val="footer"/>
    <w:basedOn w:val="Normalny"/>
    <w:link w:val="StopkaZnak"/>
    <w:uiPriority w:val="99"/>
    <w:unhideWhenUsed/>
    <w:rsid w:val="00B94534"/>
    <w:pPr>
      <w:tabs>
        <w:tab w:val="center" w:pos="4703"/>
        <w:tab w:val="right" w:pos="9406"/>
      </w:tabs>
    </w:pPr>
  </w:style>
  <w:style w:type="character" w:customStyle="1" w:styleId="StopkaZnak">
    <w:name w:val="Stopka Znak"/>
    <w:basedOn w:val="Domylnaczcionkaakapitu"/>
    <w:link w:val="Stopka"/>
    <w:uiPriority w:val="99"/>
    <w:rsid w:val="00B94534"/>
    <w:rPr>
      <w:lang w:eastAsia="pl-PL"/>
    </w:rPr>
  </w:style>
  <w:style w:type="character" w:styleId="Numerstrony">
    <w:name w:val="page number"/>
    <w:basedOn w:val="Domylnaczcionkaakapitu"/>
    <w:uiPriority w:val="99"/>
    <w:semiHidden/>
    <w:unhideWhenUsed/>
    <w:rsid w:val="0033542D"/>
  </w:style>
  <w:style w:type="character" w:styleId="Hipercze">
    <w:name w:val="Hyperlink"/>
    <w:basedOn w:val="Domylnaczcionkaakapitu"/>
    <w:uiPriority w:val="99"/>
    <w:unhideWhenUsed/>
    <w:rsid w:val="002A60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paragraph" w:styleId="Nagwek1">
    <w:name w:val="heading 1"/>
    <w:basedOn w:val="Normalny"/>
    <w:next w:val="Normalny"/>
    <w:link w:val="Nagwek1Znak"/>
    <w:uiPriority w:val="9"/>
    <w:qFormat/>
    <w:rsid w:val="00165405"/>
    <w:pPr>
      <w:keepNext/>
      <w:keepLines/>
      <w:spacing w:before="480" w:line="360" w:lineRule="auto"/>
      <w:outlineLvl w:val="0"/>
    </w:pPr>
    <w:rPr>
      <w:rFonts w:eastAsiaTheme="majorEastAsia" w:cstheme="majorBidi"/>
      <w:b/>
      <w:bCs/>
      <w: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5405"/>
    <w:rPr>
      <w:rFonts w:ascii="Times" w:eastAsiaTheme="majorEastAsia" w:hAnsi="Times" w:cstheme="majorBidi"/>
      <w:b/>
      <w:bCs/>
      <w:i/>
      <w:szCs w:val="32"/>
      <w:lang w:val="fr-FR"/>
    </w:rPr>
  </w:style>
  <w:style w:type="character" w:styleId="Odwoanieprzypisudolnego">
    <w:name w:val="footnote reference"/>
    <w:basedOn w:val="Domylnaczcionkaakapitu"/>
    <w:unhideWhenUsed/>
    <w:qFormat/>
    <w:rsid w:val="00663D8C"/>
    <w:rPr>
      <w:rFonts w:ascii="Times New Roman" w:hAnsi="Times New Roman"/>
      <w:sz w:val="22"/>
      <w:vertAlign w:val="superscript"/>
    </w:rPr>
  </w:style>
  <w:style w:type="paragraph" w:styleId="Tekstprzypisudolnego">
    <w:name w:val="footnote text"/>
    <w:basedOn w:val="Normalny"/>
    <w:link w:val="TekstprzypisudolnegoZnak"/>
    <w:unhideWhenUsed/>
    <w:rsid w:val="00452571"/>
    <w:rPr>
      <w:sz w:val="22"/>
    </w:rPr>
  </w:style>
  <w:style w:type="character" w:customStyle="1" w:styleId="TekstprzypisudolnegoZnak">
    <w:name w:val="Tekst przypisu dolnego Znak"/>
    <w:basedOn w:val="Domylnaczcionkaakapitu"/>
    <w:link w:val="Tekstprzypisudolnego"/>
    <w:rsid w:val="00452571"/>
    <w:rPr>
      <w:sz w:val="22"/>
      <w:lang w:eastAsia="pl-PL"/>
    </w:rPr>
  </w:style>
  <w:style w:type="paragraph" w:styleId="Tekstprzypisukocowego">
    <w:name w:val="endnote text"/>
    <w:basedOn w:val="Normalny"/>
    <w:link w:val="TekstprzypisukocowegoZnak"/>
    <w:uiPriority w:val="99"/>
    <w:unhideWhenUsed/>
    <w:rsid w:val="00AC235A"/>
  </w:style>
  <w:style w:type="character" w:customStyle="1" w:styleId="TekstprzypisukocowegoZnak">
    <w:name w:val="Tekst przypisu końcowego Znak"/>
    <w:basedOn w:val="Domylnaczcionkaakapitu"/>
    <w:link w:val="Tekstprzypisukocowego"/>
    <w:uiPriority w:val="99"/>
    <w:rsid w:val="00AC235A"/>
    <w:rPr>
      <w:lang w:eastAsia="pl-PL"/>
    </w:rPr>
  </w:style>
  <w:style w:type="character" w:styleId="Odwoanieprzypisukocowego">
    <w:name w:val="endnote reference"/>
    <w:basedOn w:val="Domylnaczcionkaakapitu"/>
    <w:uiPriority w:val="99"/>
    <w:unhideWhenUsed/>
    <w:rsid w:val="00225639"/>
    <w:rPr>
      <w:rFonts w:ascii="Times New Roman" w:hAnsi="Times New Roman"/>
      <w:sz w:val="22"/>
      <w:vertAlign w:val="superscript"/>
    </w:rPr>
  </w:style>
  <w:style w:type="paragraph" w:styleId="Cytat">
    <w:name w:val="Quote"/>
    <w:basedOn w:val="Normalny"/>
    <w:next w:val="Normalny"/>
    <w:link w:val="CytatZnak"/>
    <w:uiPriority w:val="29"/>
    <w:qFormat/>
    <w:rsid w:val="001D5A30"/>
    <w:pPr>
      <w:spacing w:before="200" w:after="200" w:line="360" w:lineRule="auto"/>
      <w:ind w:firstLine="720"/>
      <w:jc w:val="both"/>
    </w:pPr>
    <w:rPr>
      <w:iCs/>
      <w:color w:val="000000" w:themeColor="text1"/>
      <w:sz w:val="22"/>
      <w:szCs w:val="22"/>
    </w:rPr>
  </w:style>
  <w:style w:type="character" w:customStyle="1" w:styleId="CytatZnak">
    <w:name w:val="Cytat Znak"/>
    <w:basedOn w:val="Domylnaczcionkaakapitu"/>
    <w:link w:val="Cytat"/>
    <w:uiPriority w:val="29"/>
    <w:rsid w:val="001D5A30"/>
    <w:rPr>
      <w:iCs/>
      <w:color w:val="000000" w:themeColor="text1"/>
      <w:sz w:val="22"/>
      <w:szCs w:val="22"/>
      <w:lang w:eastAsia="pl-PL"/>
    </w:rPr>
  </w:style>
  <w:style w:type="paragraph" w:styleId="NormalnyWeb">
    <w:name w:val="Normal (Web)"/>
    <w:basedOn w:val="Normalny"/>
    <w:uiPriority w:val="99"/>
    <w:unhideWhenUsed/>
    <w:rsid w:val="00F676C6"/>
    <w:pPr>
      <w:spacing w:before="100" w:beforeAutospacing="1" w:after="100" w:afterAutospacing="1"/>
    </w:pPr>
    <w:rPr>
      <w:rFonts w:ascii="Times" w:eastAsiaTheme="minorHAnsi" w:hAnsi="Times"/>
      <w:sz w:val="20"/>
      <w:szCs w:val="20"/>
      <w:lang w:val="en-AU"/>
    </w:rPr>
  </w:style>
  <w:style w:type="character" w:styleId="Tekstzastpczy">
    <w:name w:val="Placeholder Text"/>
    <w:basedOn w:val="Domylnaczcionkaakapitu"/>
    <w:uiPriority w:val="99"/>
    <w:semiHidden/>
    <w:rsid w:val="00923A96"/>
    <w:rPr>
      <w:color w:val="808080"/>
    </w:rPr>
  </w:style>
  <w:style w:type="paragraph" w:styleId="Nagwek">
    <w:name w:val="header"/>
    <w:basedOn w:val="Normalny"/>
    <w:link w:val="NagwekZnak"/>
    <w:uiPriority w:val="99"/>
    <w:unhideWhenUsed/>
    <w:rsid w:val="00B94534"/>
    <w:pPr>
      <w:tabs>
        <w:tab w:val="center" w:pos="4703"/>
        <w:tab w:val="right" w:pos="9406"/>
      </w:tabs>
    </w:pPr>
  </w:style>
  <w:style w:type="character" w:customStyle="1" w:styleId="NagwekZnak">
    <w:name w:val="Nagłówek Znak"/>
    <w:basedOn w:val="Domylnaczcionkaakapitu"/>
    <w:link w:val="Nagwek"/>
    <w:uiPriority w:val="99"/>
    <w:rsid w:val="00B94534"/>
    <w:rPr>
      <w:lang w:eastAsia="pl-PL"/>
    </w:rPr>
  </w:style>
  <w:style w:type="paragraph" w:styleId="Stopka">
    <w:name w:val="footer"/>
    <w:basedOn w:val="Normalny"/>
    <w:link w:val="StopkaZnak"/>
    <w:uiPriority w:val="99"/>
    <w:unhideWhenUsed/>
    <w:rsid w:val="00B94534"/>
    <w:pPr>
      <w:tabs>
        <w:tab w:val="center" w:pos="4703"/>
        <w:tab w:val="right" w:pos="9406"/>
      </w:tabs>
    </w:pPr>
  </w:style>
  <w:style w:type="character" w:customStyle="1" w:styleId="StopkaZnak">
    <w:name w:val="Stopka Znak"/>
    <w:basedOn w:val="Domylnaczcionkaakapitu"/>
    <w:link w:val="Stopka"/>
    <w:uiPriority w:val="99"/>
    <w:rsid w:val="00B94534"/>
    <w:rPr>
      <w:lang w:eastAsia="pl-PL"/>
    </w:rPr>
  </w:style>
  <w:style w:type="character" w:styleId="Numerstrony">
    <w:name w:val="page number"/>
    <w:basedOn w:val="Domylnaczcionkaakapitu"/>
    <w:uiPriority w:val="99"/>
    <w:semiHidden/>
    <w:unhideWhenUsed/>
    <w:rsid w:val="0033542D"/>
  </w:style>
  <w:style w:type="character" w:styleId="Hipercze">
    <w:name w:val="Hyperlink"/>
    <w:basedOn w:val="Domylnaczcionkaakapitu"/>
    <w:uiPriority w:val="99"/>
    <w:unhideWhenUsed/>
    <w:rsid w:val="002A6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3852">
      <w:bodyDiv w:val="1"/>
      <w:marLeft w:val="0"/>
      <w:marRight w:val="0"/>
      <w:marTop w:val="0"/>
      <w:marBottom w:val="0"/>
      <w:divBdr>
        <w:top w:val="none" w:sz="0" w:space="0" w:color="auto"/>
        <w:left w:val="none" w:sz="0" w:space="0" w:color="auto"/>
        <w:bottom w:val="none" w:sz="0" w:space="0" w:color="auto"/>
        <w:right w:val="none" w:sz="0" w:space="0" w:color="auto"/>
      </w:divBdr>
      <w:divsChild>
        <w:div w:id="1538158756">
          <w:marLeft w:val="0"/>
          <w:marRight w:val="0"/>
          <w:marTop w:val="0"/>
          <w:marBottom w:val="0"/>
          <w:divBdr>
            <w:top w:val="none" w:sz="0" w:space="0" w:color="auto"/>
            <w:left w:val="none" w:sz="0" w:space="0" w:color="auto"/>
            <w:bottom w:val="none" w:sz="0" w:space="0" w:color="auto"/>
            <w:right w:val="none" w:sz="0" w:space="0" w:color="auto"/>
          </w:divBdr>
          <w:divsChild>
            <w:div w:id="1073164591">
              <w:marLeft w:val="0"/>
              <w:marRight w:val="0"/>
              <w:marTop w:val="0"/>
              <w:marBottom w:val="0"/>
              <w:divBdr>
                <w:top w:val="none" w:sz="0" w:space="0" w:color="auto"/>
                <w:left w:val="none" w:sz="0" w:space="0" w:color="auto"/>
                <w:bottom w:val="none" w:sz="0" w:space="0" w:color="auto"/>
                <w:right w:val="none" w:sz="0" w:space="0" w:color="auto"/>
              </w:divBdr>
              <w:divsChild>
                <w:div w:id="9000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h.diva-portal.org/smash/get/diva2:746181/FULLTEXT01.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E97A-63E2-354E-8B09-4C9F56FA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4975</Words>
  <Characters>26220</Characters>
  <Application>Microsoft Macintosh Word</Application>
  <DocSecurity>0</DocSecurity>
  <Lines>476</Lines>
  <Paragraphs>130</Paragraphs>
  <ScaleCrop>false</ScaleCrop>
  <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Duffy</dc:creator>
  <cp:keywords/>
  <dc:description/>
  <cp:lastModifiedBy>Helena Duffy</cp:lastModifiedBy>
  <cp:revision>2</cp:revision>
  <cp:lastPrinted>2016-01-11T09:20:00Z</cp:lastPrinted>
  <dcterms:created xsi:type="dcterms:W3CDTF">2017-01-09T17:39:00Z</dcterms:created>
  <dcterms:modified xsi:type="dcterms:W3CDTF">2017-01-09T17:39:00Z</dcterms:modified>
</cp:coreProperties>
</file>