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79265" w14:textId="77777777" w:rsidR="00AC6EC8" w:rsidRDefault="00AC6EC8" w:rsidP="00817C1D">
      <w:pPr>
        <w:pStyle w:val="Overlines"/>
      </w:pPr>
      <w:bookmarkStart w:id="0" w:name="_GoBack"/>
      <w:bookmarkEnd w:id="0"/>
      <w:r w:rsidRPr="0003273D">
        <w:t>OVERLIN</w:t>
      </w:r>
      <w:r>
        <w:t>E</w:t>
      </w:r>
    </w:p>
    <w:p w14:paraId="682812F7" w14:textId="77777777" w:rsidR="00411CD8" w:rsidRDefault="00411CD8" w:rsidP="005F4446">
      <w:pPr>
        <w:pStyle w:val="28PTHead"/>
        <w:sectPr w:rsidR="00411CD8" w:rsidSect="00411CD8">
          <w:headerReference w:type="default" r:id="rId7"/>
          <w:footerReference w:type="default" r:id="rId8"/>
          <w:headerReference w:type="first" r:id="rId9"/>
          <w:footerReference w:type="first" r:id="rId10"/>
          <w:type w:val="continuous"/>
          <w:pgSz w:w="12240" w:h="15840" w:code="1"/>
          <w:pgMar w:top="1296" w:right="835" w:bottom="1325" w:left="965" w:header="245" w:footer="245" w:gutter="0"/>
          <w:cols w:num="2" w:space="720" w:equalWidth="0">
            <w:col w:w="7313" w:space="2"/>
            <w:col w:w="3125"/>
          </w:cols>
          <w:titlePg/>
        </w:sectPr>
      </w:pPr>
    </w:p>
    <w:p w14:paraId="646C8BAF" w14:textId="43EE17A2" w:rsidR="00AC6EC8" w:rsidRDefault="00CB567F" w:rsidP="005F4446">
      <w:pPr>
        <w:pStyle w:val="28PTHead"/>
      </w:pPr>
      <w:r w:rsidRPr="00CB567F">
        <w:t xml:space="preserve">The decline of science-based management in the </w:t>
      </w:r>
      <w:r w:rsidR="001E4C0B">
        <w:t>Southern Ocean</w:t>
      </w:r>
      <w:r w:rsidRPr="00CB567F">
        <w:t>: Conservation or compromise?</w:t>
      </w:r>
    </w:p>
    <w:p w14:paraId="33379F60" w14:textId="77777777" w:rsidR="00817C1D" w:rsidRDefault="00CB567F" w:rsidP="0003273D">
      <w:pPr>
        <w:pStyle w:val="Deck"/>
      </w:pPr>
      <w:r w:rsidRPr="00CB567F">
        <w:t>Antarctic policy-makers face a critical challenge in fulfilling science-based mandates to preserve Southern Ocean ecosystems.</w:t>
      </w:r>
    </w:p>
    <w:p w14:paraId="77EA07CE" w14:textId="77777777" w:rsidR="00B97486" w:rsidRPr="00B97486" w:rsidRDefault="00B97486" w:rsidP="00B97486">
      <w:pPr>
        <w:pStyle w:val="Authors"/>
      </w:pPr>
      <w:r w:rsidRPr="0003273D">
        <w:rPr>
          <w:b w:val="0"/>
          <w:i/>
        </w:rPr>
        <w:t>By</w:t>
      </w:r>
      <w:r>
        <w:t xml:space="preserve"> </w:t>
      </w:r>
      <w:r w:rsidR="00CB567F" w:rsidRPr="00CB567F">
        <w:t>Cassandra M. Brooks</w:t>
      </w:r>
      <w:r w:rsidR="00CB567F" w:rsidRPr="00CB567F">
        <w:rPr>
          <w:vertAlign w:val="superscript"/>
        </w:rPr>
        <w:t>1*</w:t>
      </w:r>
      <w:r w:rsidR="00CB567F" w:rsidRPr="00CB567F">
        <w:t>, Larry B. Crowder</w:t>
      </w:r>
      <w:r w:rsidR="00CB567F" w:rsidRPr="00CB567F">
        <w:rPr>
          <w:vertAlign w:val="superscript"/>
        </w:rPr>
        <w:t>2,4</w:t>
      </w:r>
      <w:r w:rsidR="00CB567F" w:rsidRPr="00CB567F">
        <w:t>, Lisa M. Curran</w:t>
      </w:r>
      <w:r w:rsidR="00CB567F" w:rsidRPr="00CB567F">
        <w:rPr>
          <w:vertAlign w:val="superscript"/>
        </w:rPr>
        <w:t>3,4</w:t>
      </w:r>
      <w:r w:rsidR="00CB567F" w:rsidRPr="00CB567F">
        <w:t>, Robert B. Dunbar</w:t>
      </w:r>
      <w:r w:rsidR="00CB567F" w:rsidRPr="00CB567F">
        <w:rPr>
          <w:vertAlign w:val="superscript"/>
        </w:rPr>
        <w:t>1,4</w:t>
      </w:r>
      <w:r w:rsidR="00CB567F" w:rsidRPr="00CB567F">
        <w:t>, David G. Ainley</w:t>
      </w:r>
      <w:r w:rsidR="00CB567F" w:rsidRPr="00CB567F">
        <w:rPr>
          <w:vertAlign w:val="superscript"/>
        </w:rPr>
        <w:t>5</w:t>
      </w:r>
      <w:r w:rsidR="00CB567F" w:rsidRPr="00CB567F">
        <w:t>, Klaus J. Dodds</w:t>
      </w:r>
      <w:r w:rsidR="00CB567F" w:rsidRPr="00CB567F">
        <w:rPr>
          <w:vertAlign w:val="superscript"/>
        </w:rPr>
        <w:t>6</w:t>
      </w:r>
      <w:r w:rsidR="00CB567F" w:rsidRPr="00CB567F">
        <w:t>, Kristina M. Gjerde</w:t>
      </w:r>
      <w:r w:rsidR="00CB567F" w:rsidRPr="00CB567F">
        <w:rPr>
          <w:vertAlign w:val="superscript"/>
        </w:rPr>
        <w:t>7</w:t>
      </w:r>
      <w:r w:rsidR="00CB567F" w:rsidRPr="00CB567F">
        <w:t>, U. Rashid Sumaila</w:t>
      </w:r>
      <w:r w:rsidR="00CB567F" w:rsidRPr="00CB567F">
        <w:rPr>
          <w:vertAlign w:val="superscript"/>
        </w:rPr>
        <w:t>8</w:t>
      </w:r>
    </w:p>
    <w:p w14:paraId="683A532F" w14:textId="77777777" w:rsidR="00AC6EC8" w:rsidRDefault="00AC6EC8">
      <w:pPr>
        <w:pStyle w:val="Deck"/>
        <w:sectPr w:rsidR="00AC6EC8" w:rsidSect="00411CD8">
          <w:type w:val="continuous"/>
          <w:pgSz w:w="12240" w:h="15840" w:code="1"/>
          <w:pgMar w:top="1296" w:right="835" w:bottom="1325" w:left="965" w:header="245" w:footer="245" w:gutter="0"/>
          <w:cols w:space="450"/>
          <w:titlePg/>
        </w:sectPr>
      </w:pPr>
    </w:p>
    <w:p w14:paraId="20961AE7" w14:textId="77777777" w:rsidR="000D1987" w:rsidRDefault="000D1987" w:rsidP="000D1987">
      <w:pPr>
        <w:pStyle w:val="AuthorAttribute"/>
        <w:framePr w:wrap="around"/>
      </w:pPr>
      <w:r w:rsidRPr="00B43FDE">
        <w:rPr>
          <w:vertAlign w:val="superscript"/>
        </w:rPr>
        <w:t>1</w:t>
      </w:r>
      <w:r w:rsidRPr="00162EAC">
        <w:t>School of Earth, Energy and Environmental Sciences, Stanford University, Palo Alto, CA, USA</w:t>
      </w:r>
      <w:r>
        <w:t>.</w:t>
      </w:r>
    </w:p>
    <w:p w14:paraId="3992C7D1" w14:textId="77777777" w:rsidR="000D1987" w:rsidRDefault="000D1987" w:rsidP="000D1987">
      <w:pPr>
        <w:pStyle w:val="AuthorAttribute"/>
        <w:framePr w:wrap="around"/>
      </w:pPr>
      <w:r w:rsidRPr="00B43FDE">
        <w:rPr>
          <w:vertAlign w:val="superscript"/>
        </w:rPr>
        <w:t>2</w:t>
      </w:r>
      <w:r w:rsidRPr="00162EAC">
        <w:t>Center for Ocean Solutions, Stanford University, Monterey, CA, USA</w:t>
      </w:r>
      <w:r>
        <w:t>.</w:t>
      </w:r>
    </w:p>
    <w:p w14:paraId="4F0863BC" w14:textId="77777777" w:rsidR="000D1987" w:rsidRDefault="000D1987" w:rsidP="000D1987">
      <w:pPr>
        <w:pStyle w:val="AuthorAttribute"/>
        <w:framePr w:wrap="around"/>
      </w:pPr>
      <w:r>
        <w:rPr>
          <w:vertAlign w:val="superscript"/>
        </w:rPr>
        <w:t>3</w:t>
      </w:r>
      <w:r>
        <w:t xml:space="preserve">Department of Anthropology, Stanford University, Palo Alto, CA, USA. </w:t>
      </w:r>
    </w:p>
    <w:p w14:paraId="0FE6EFBA" w14:textId="77777777" w:rsidR="000D1987" w:rsidRDefault="000D1987" w:rsidP="000D1987">
      <w:pPr>
        <w:pStyle w:val="AuthorAttribute"/>
        <w:framePr w:wrap="around"/>
      </w:pPr>
      <w:r>
        <w:rPr>
          <w:vertAlign w:val="superscript"/>
        </w:rPr>
        <w:t>4</w:t>
      </w:r>
      <w:r>
        <w:t>Woods Institute for the Environment, Stanford University, Palo Alto, CA, USA.</w:t>
      </w:r>
    </w:p>
    <w:p w14:paraId="2987708A" w14:textId="77777777" w:rsidR="000D1987" w:rsidRDefault="000D1987" w:rsidP="000D1987">
      <w:pPr>
        <w:pStyle w:val="AuthorAttribute"/>
        <w:framePr w:wrap="around"/>
      </w:pPr>
      <w:r>
        <w:rPr>
          <w:vertAlign w:val="superscript"/>
        </w:rPr>
        <w:t>5</w:t>
      </w:r>
      <w:r>
        <w:t xml:space="preserve">H.T. Harvey &amp; Associates, Los Gatos, CA, USA. </w:t>
      </w:r>
    </w:p>
    <w:p w14:paraId="4BF519ED" w14:textId="77777777" w:rsidR="000D1987" w:rsidRDefault="000D1987" w:rsidP="000D1987">
      <w:pPr>
        <w:pStyle w:val="AuthorAttribute"/>
        <w:framePr w:wrap="around"/>
      </w:pPr>
      <w:r>
        <w:rPr>
          <w:vertAlign w:val="superscript"/>
        </w:rPr>
        <w:t>6</w:t>
      </w:r>
      <w:r>
        <w:t xml:space="preserve">Department of Geography, Royal Holloway, University of London, London, UK. </w:t>
      </w:r>
    </w:p>
    <w:p w14:paraId="14F070FE" w14:textId="77777777" w:rsidR="000D1987" w:rsidRDefault="000D1987" w:rsidP="000D1987">
      <w:pPr>
        <w:pStyle w:val="AuthorAttribute"/>
        <w:framePr w:wrap="around"/>
      </w:pPr>
      <w:r>
        <w:rPr>
          <w:vertAlign w:val="superscript"/>
        </w:rPr>
        <w:t>7</w:t>
      </w:r>
      <w:r>
        <w:t xml:space="preserve">IUCN Global Marine and Polar Programme and World Commission on Protected Areas, Cambridge, MA, USA. </w:t>
      </w:r>
    </w:p>
    <w:p w14:paraId="672B7638" w14:textId="77777777" w:rsidR="000D1987" w:rsidRPr="001C729D" w:rsidRDefault="000D1987" w:rsidP="000D1987">
      <w:pPr>
        <w:pStyle w:val="AuthorAttribute"/>
        <w:framePr w:wrap="around"/>
      </w:pPr>
      <w:r>
        <w:rPr>
          <w:vertAlign w:val="superscript"/>
        </w:rPr>
        <w:t>8</w:t>
      </w:r>
      <w:r>
        <w:t xml:space="preserve">Fisheries Economic Research Unit, Institute for the Oceans and Fisheries, and the Liu Institute for Global Issues, University of British Columbia, Vancouver, BC, Canada. </w:t>
      </w:r>
    </w:p>
    <w:p w14:paraId="09633A28" w14:textId="77777777" w:rsidR="000D1987" w:rsidRDefault="000D1987" w:rsidP="000D1987">
      <w:pPr>
        <w:pStyle w:val="AuthorAttribute"/>
        <w:framePr w:wrap="around"/>
      </w:pPr>
      <w:r>
        <w:t xml:space="preserve">*Correspondence to:  </w:t>
      </w:r>
      <w:hyperlink r:id="rId11" w:history="1">
        <w:r w:rsidRPr="0029716F">
          <w:rPr>
            <w:rStyle w:val="Hyperlink"/>
          </w:rPr>
          <w:t>cbrooks1@stanford.edu</w:t>
        </w:r>
      </w:hyperlink>
    </w:p>
    <w:p w14:paraId="633F78CF" w14:textId="166AF10B" w:rsidR="00E72D19" w:rsidRDefault="00CB567F" w:rsidP="008D2C13">
      <w:pPr>
        <w:pStyle w:val="1stParaText"/>
      </w:pPr>
      <w:r w:rsidRPr="00CB567F">
        <w:t>Ancient Greeks insisted that a great southern continent must exist in symmetry with the north or the Earth would topple over.  Scientists have since documented that the Antarctic is vital to Earth systems as it stores ~90% of the Earth’s freshwater, regulates global climate, and drives ocean circulation (</w:t>
      </w:r>
      <w:r w:rsidRPr="00CB567F">
        <w:rPr>
          <w:i/>
        </w:rPr>
        <w:t>1</w:t>
      </w:r>
      <w:r w:rsidRPr="00CB567F">
        <w:t xml:space="preserve">).  The </w:t>
      </w:r>
      <w:r w:rsidR="007E18F1">
        <w:t>South</w:t>
      </w:r>
      <w:r w:rsidR="00F5597D">
        <w:t>ern</w:t>
      </w:r>
      <w:r w:rsidR="007E18F1">
        <w:t xml:space="preserve"> Ocean</w:t>
      </w:r>
      <w:r w:rsidR="00D53B07">
        <w:t xml:space="preserve"> </w:t>
      </w:r>
      <w:r w:rsidRPr="00CB567F">
        <w:t>also harbor</w:t>
      </w:r>
      <w:r w:rsidR="007E18F1">
        <w:t>s</w:t>
      </w:r>
      <w:r w:rsidRPr="00CB567F">
        <w:t xml:space="preserve"> the </w:t>
      </w:r>
      <w:r w:rsidR="007E18F1">
        <w:t xml:space="preserve">world’s </w:t>
      </w:r>
      <w:r w:rsidRPr="00CB567F">
        <w:t>healthiest marine ecosystems (</w:t>
      </w:r>
      <w:r w:rsidRPr="00CB567F">
        <w:rPr>
          <w:i/>
        </w:rPr>
        <w:t>2</w:t>
      </w:r>
      <w:r w:rsidRPr="00CB567F">
        <w:t>), but face</w:t>
      </w:r>
      <w:r w:rsidR="007E18F1">
        <w:t>s</w:t>
      </w:r>
      <w:r w:rsidRPr="00CB567F">
        <w:t xml:space="preserve"> increasing impacts from climate change and fishing. </w:t>
      </w:r>
      <w:r w:rsidR="00A6514F">
        <w:t xml:space="preserve"> </w:t>
      </w:r>
      <w:r w:rsidR="00541D33">
        <w:t>With a</w:t>
      </w:r>
      <w:r w:rsidR="009F6DBB">
        <w:t xml:space="preserve">n </w:t>
      </w:r>
      <w:r w:rsidR="00F35F80">
        <w:t>internationally lauded</w:t>
      </w:r>
      <w:r w:rsidR="00541D33">
        <w:t xml:space="preserve"> precautionary, ecosystem-based mandate to conserve Southern Ocean ecosystems</w:t>
      </w:r>
      <w:r w:rsidR="009F6DBB">
        <w:t xml:space="preserve"> (</w:t>
      </w:r>
      <w:r w:rsidR="00A6514F">
        <w:rPr>
          <w:i/>
        </w:rPr>
        <w:t>3</w:t>
      </w:r>
      <w:r w:rsidR="00A6514F">
        <w:t xml:space="preserve">, </w:t>
      </w:r>
      <w:r w:rsidR="00A6514F">
        <w:rPr>
          <w:i/>
        </w:rPr>
        <w:t>4</w:t>
      </w:r>
      <w:r w:rsidR="009F6DBB">
        <w:t>)</w:t>
      </w:r>
      <w:r w:rsidR="00541D33">
        <w:t>, t</w:t>
      </w:r>
      <w:r w:rsidRPr="00CB567F">
        <w:t xml:space="preserve">he </w:t>
      </w:r>
      <w:r w:rsidR="00E72D19">
        <w:t xml:space="preserve">Commission on the </w:t>
      </w:r>
      <w:r w:rsidRPr="00CB567F">
        <w:t xml:space="preserve">Conservation of Antarctic Marine Living Resources (CCAMLR) has </w:t>
      </w:r>
      <w:r w:rsidR="00E72D19">
        <w:t xml:space="preserve">committed to </w:t>
      </w:r>
      <w:r w:rsidR="00541D33">
        <w:t xml:space="preserve">adopting marine protected areas (MPAs) </w:t>
      </w:r>
      <w:r w:rsidR="00CD424D">
        <w:t>in</w:t>
      </w:r>
      <w:r w:rsidR="00541D33">
        <w:t xml:space="preserve"> the </w:t>
      </w:r>
      <w:r w:rsidR="00F5597D">
        <w:t>waters around Antar</w:t>
      </w:r>
      <w:r w:rsidR="00CD424D">
        <w:t>c</w:t>
      </w:r>
      <w:r w:rsidR="00F5597D">
        <w:t>tica</w:t>
      </w:r>
      <w:r w:rsidR="001A5DFF">
        <w:t xml:space="preserve"> (</w:t>
      </w:r>
      <w:r w:rsidR="001A5DFF">
        <w:rPr>
          <w:i/>
        </w:rPr>
        <w:t>5</w:t>
      </w:r>
      <w:r w:rsidR="009F6DBB">
        <w:t>)</w:t>
      </w:r>
      <w:r w:rsidR="00541D33">
        <w:t>.</w:t>
      </w:r>
    </w:p>
    <w:p w14:paraId="66C03C46" w14:textId="40B3543A" w:rsidR="00E72D19" w:rsidRPr="00CB567F" w:rsidRDefault="00E72D19" w:rsidP="00F5597D">
      <w:pPr>
        <w:pStyle w:val="1stParaText"/>
        <w:ind w:firstLine="245"/>
      </w:pPr>
      <w:r w:rsidRPr="00CB567F">
        <w:t>Yet after more than a decade of negotiations and scientific planning, CCAMLR has not succeeded in meeting its mandate to prot</w:t>
      </w:r>
      <w:r w:rsidR="00F5597D">
        <w:t xml:space="preserve">ect </w:t>
      </w:r>
      <w:r w:rsidRPr="00CB567F">
        <w:t>Southern Ocean</w:t>
      </w:r>
      <w:r w:rsidR="00F5597D">
        <w:t xml:space="preserve"> ecosystems</w:t>
      </w:r>
      <w:r w:rsidRPr="00CB567F">
        <w:t xml:space="preserve">.  </w:t>
      </w:r>
      <w:r w:rsidR="00624F02">
        <w:t>Here, we expand</w:t>
      </w:r>
      <w:r>
        <w:t xml:space="preserve"> on </w:t>
      </w:r>
      <w:r w:rsidRPr="00CB567F">
        <w:t>findings from multi-year participant observations (</w:t>
      </w:r>
      <w:r w:rsidR="001A5DFF">
        <w:rPr>
          <w:i/>
        </w:rPr>
        <w:t>5</w:t>
      </w:r>
      <w:r w:rsidRPr="00CB567F">
        <w:t>)</w:t>
      </w:r>
      <w:r>
        <w:t xml:space="preserve"> to reveal that</w:t>
      </w:r>
      <w:r w:rsidRPr="00CB567F">
        <w:t xml:space="preserve"> conflict over geopolitics and access to marine resources has blocked MPA adoption or resulted in </w:t>
      </w:r>
      <w:r w:rsidR="007E18F1">
        <w:t>MPAs</w:t>
      </w:r>
      <w:r w:rsidR="00882028">
        <w:t xml:space="preserve"> proposed with</w:t>
      </w:r>
      <w:r w:rsidR="007E18F1">
        <w:t xml:space="preserve"> compromised </w:t>
      </w:r>
      <w:r w:rsidR="00803ABD">
        <w:t>conservation value</w:t>
      </w:r>
      <w:r>
        <w:t>.</w:t>
      </w:r>
      <w:r w:rsidRPr="00CB567F">
        <w:t xml:space="preserve"> </w:t>
      </w:r>
      <w:r w:rsidR="001A5DFF">
        <w:t xml:space="preserve"> </w:t>
      </w:r>
      <w:r w:rsidRPr="00CB567F">
        <w:t>By disregarding the best available science, States have distorted the foundational rules of</w:t>
      </w:r>
      <w:r w:rsidR="001A5DFF">
        <w:t xml:space="preserve"> their Convention</w:t>
      </w:r>
      <w:r w:rsidRPr="00CB567F">
        <w:t>, broken trus</w:t>
      </w:r>
      <w:r w:rsidR="00F5597D">
        <w:t xml:space="preserve">t, and divided the Commission.  </w:t>
      </w:r>
      <w:r w:rsidR="00624F02">
        <w:t xml:space="preserve">With negotiations due to resume at the </w:t>
      </w:r>
      <w:r w:rsidR="007E18F1">
        <w:t xml:space="preserve">upcoming </w:t>
      </w:r>
      <w:r w:rsidR="00DF39F1">
        <w:t xml:space="preserve">2016 annual </w:t>
      </w:r>
      <w:r w:rsidR="000D2F83">
        <w:t>CCAMLR</w:t>
      </w:r>
      <w:r w:rsidR="00624F02">
        <w:t xml:space="preserve"> meeting, </w:t>
      </w:r>
      <w:r w:rsidR="000D2F83">
        <w:t>w</w:t>
      </w:r>
      <w:r w:rsidRPr="00CB567F">
        <w:t>e offer recommendations</w:t>
      </w:r>
      <w:r w:rsidR="001A5DFF">
        <w:t xml:space="preserve"> </w:t>
      </w:r>
      <w:r w:rsidR="00541D33">
        <w:t>aimed at</w:t>
      </w:r>
      <w:r w:rsidRPr="00CB567F">
        <w:t xml:space="preserve"> implement</w:t>
      </w:r>
      <w:r>
        <w:t>ing</w:t>
      </w:r>
      <w:r w:rsidRPr="00CB567F">
        <w:t xml:space="preserve"> </w:t>
      </w:r>
      <w:r w:rsidR="00541D33">
        <w:t>effective</w:t>
      </w:r>
      <w:r w:rsidRPr="00CB567F">
        <w:t xml:space="preserve"> Southern Ocean </w:t>
      </w:r>
      <w:r w:rsidR="00CC1DA1">
        <w:t>MPAs</w:t>
      </w:r>
      <w:r w:rsidR="00BE60C2">
        <w:t>, upholding CCAMLR’s mandate</w:t>
      </w:r>
      <w:r w:rsidR="00CD424D">
        <w:t>,</w:t>
      </w:r>
      <w:r w:rsidR="00BE60C2">
        <w:t xml:space="preserve"> and</w:t>
      </w:r>
      <w:r w:rsidRPr="00CB567F">
        <w:t xml:space="preserve"> maintain</w:t>
      </w:r>
      <w:r>
        <w:t>ing</w:t>
      </w:r>
      <w:r w:rsidR="00CD424D">
        <w:t xml:space="preserve"> its</w:t>
      </w:r>
      <w:r w:rsidR="00FA157D">
        <w:t xml:space="preserve"> </w:t>
      </w:r>
      <w:r>
        <w:t>global</w:t>
      </w:r>
      <w:r w:rsidR="00FA157D">
        <w:t xml:space="preserve"> leadership</w:t>
      </w:r>
      <w:r w:rsidR="00541D33">
        <w:t xml:space="preserve">. </w:t>
      </w:r>
    </w:p>
    <w:p w14:paraId="208AD50B" w14:textId="37C05D3B" w:rsidR="00CB567F" w:rsidRPr="00CB567F" w:rsidRDefault="00CB567F" w:rsidP="001E2CB4">
      <w:pPr>
        <w:pStyle w:val="Text"/>
      </w:pPr>
      <w:r w:rsidRPr="00CB567F">
        <w:t>Celebrated as an extraordinary case combining global diplomacy, environmental protection, and scientifically-based marine resource management, the Antarctic Treaty System (ATS) effectively sets aside the Antarctic as a global commons dedicated to peace and science</w:t>
      </w:r>
      <w:r w:rsidR="00CC1DA1">
        <w:t xml:space="preserve"> (</w:t>
      </w:r>
      <w:r w:rsidR="00CC1DA1">
        <w:rPr>
          <w:i/>
        </w:rPr>
        <w:t>6</w:t>
      </w:r>
      <w:r w:rsidR="00CC1DA1">
        <w:t>)</w:t>
      </w:r>
      <w:r w:rsidRPr="00CB567F">
        <w:t xml:space="preserve">.  </w:t>
      </w:r>
      <w:r w:rsidR="009A5EDA">
        <w:t>The Convention on the Conservation of Antarctic Marine Living Resources (</w:t>
      </w:r>
      <w:r w:rsidRPr="00CB567F">
        <w:t>CAMLR</w:t>
      </w:r>
      <w:r w:rsidR="009A5EDA">
        <w:t xml:space="preserve"> Convention) is the</w:t>
      </w:r>
      <w:r w:rsidRPr="00CB567F">
        <w:t xml:space="preserve"> </w:t>
      </w:r>
      <w:r w:rsidR="009A5EDA">
        <w:t>arm of the</w:t>
      </w:r>
      <w:r w:rsidRPr="00CB567F">
        <w:t xml:space="preserve"> ATS</w:t>
      </w:r>
      <w:r w:rsidR="009A5EDA">
        <w:t xml:space="preserve"> that governs</w:t>
      </w:r>
      <w:r w:rsidR="0017496E">
        <w:t xml:space="preserve"> the use of</w:t>
      </w:r>
      <w:r w:rsidRPr="00CB567F">
        <w:t xml:space="preserve"> </w:t>
      </w:r>
      <w:r w:rsidR="0017496E">
        <w:t>marine life</w:t>
      </w:r>
      <w:r w:rsidRPr="00CB567F">
        <w:t xml:space="preserve"> in the ocean surrounding the continent (Figure 1).  Its primary objective is conservation, defined to include ‘rational use,’ which permits fishing by CCAMLR’s 24 Member States (plus the European Union), but only under </w:t>
      </w:r>
      <w:r w:rsidR="009A5EDA">
        <w:t>principles</w:t>
      </w:r>
      <w:r w:rsidRPr="00CB567F">
        <w:t xml:space="preserve"> of precautionary, ecosystem-based management</w:t>
      </w:r>
      <w:r w:rsidR="00A4262B">
        <w:t xml:space="preserve"> (</w:t>
      </w:r>
      <w:r w:rsidR="00A4262B">
        <w:rPr>
          <w:i/>
        </w:rPr>
        <w:t>3</w:t>
      </w:r>
      <w:r w:rsidR="00476C5B">
        <w:rPr>
          <w:i/>
        </w:rPr>
        <w:t>, 7</w:t>
      </w:r>
      <w:r w:rsidR="00F53DE4">
        <w:t>)</w:t>
      </w:r>
      <w:r w:rsidRPr="00CB567F">
        <w:t xml:space="preserve">.  All management decisions require consensus and must be based on the </w:t>
      </w:r>
      <w:r w:rsidR="001E2CB4">
        <w:t>‘</w:t>
      </w:r>
      <w:r w:rsidRPr="00CB567F">
        <w:t>best available science,</w:t>
      </w:r>
      <w:r w:rsidR="001E2CB4">
        <w:t>’</w:t>
      </w:r>
      <w:r w:rsidRPr="00CB567F">
        <w:t xml:space="preserve"> </w:t>
      </w:r>
      <w:r w:rsidR="009F6DBB">
        <w:t xml:space="preserve">requiring </w:t>
      </w:r>
      <w:r w:rsidR="001E2CB4">
        <w:t xml:space="preserve">that management measures take full account of the best scientific information available </w:t>
      </w:r>
      <w:r w:rsidRPr="00CB567F">
        <w:t>as determined by CCAMLR’s Scientific Committee</w:t>
      </w:r>
      <w:r w:rsidR="009A5EDA">
        <w:t xml:space="preserve"> (SC-CAMLR)</w:t>
      </w:r>
      <w:r w:rsidRPr="00CB567F">
        <w:t>—an advisory body composed of international multi-agency scientists (</w:t>
      </w:r>
      <w:r w:rsidR="00A4262B">
        <w:rPr>
          <w:i/>
        </w:rPr>
        <w:t>7, 8</w:t>
      </w:r>
      <w:r w:rsidRPr="00CB567F">
        <w:t>).</w:t>
      </w:r>
    </w:p>
    <w:p w14:paraId="091BD1A1" w14:textId="23F015B5" w:rsidR="00CB567F" w:rsidRPr="00CB567F" w:rsidRDefault="009F6DBB" w:rsidP="00CB567F">
      <w:pPr>
        <w:pStyle w:val="Text"/>
      </w:pPr>
      <w:r>
        <w:t>I</w:t>
      </w:r>
      <w:r w:rsidR="00CB567F" w:rsidRPr="00CB567F">
        <w:t xml:space="preserve">n 2002, CCAMLR committed to </w:t>
      </w:r>
      <w:r w:rsidR="00CC1DA1">
        <w:t>designating a network of</w:t>
      </w:r>
      <w:r w:rsidR="00CB567F" w:rsidRPr="00CB567F">
        <w:t xml:space="preserve"> MPAs in the Southern Ocean (</w:t>
      </w:r>
      <w:r w:rsidR="001A5DFF">
        <w:rPr>
          <w:i/>
        </w:rPr>
        <w:t>5</w:t>
      </w:r>
      <w:r w:rsidR="00CB567F" w:rsidRPr="00CB567F">
        <w:t>).  MPAs are</w:t>
      </w:r>
      <w:r w:rsidR="007E18F1">
        <w:t xml:space="preserve"> broadly</w:t>
      </w:r>
      <w:r w:rsidR="00CB567F" w:rsidRPr="00CB567F">
        <w:t xml:space="preserve"> recognized as an invaluable tool to assess, manage, and mitigate negative human impacts</w:t>
      </w:r>
      <w:r w:rsidR="00351F2F">
        <w:t xml:space="preserve"> and maintain biodiversity</w:t>
      </w:r>
      <w:r w:rsidR="00CB567F" w:rsidRPr="00CB567F">
        <w:t xml:space="preserve"> (</w:t>
      </w:r>
      <w:r w:rsidR="00A4262B">
        <w:rPr>
          <w:i/>
        </w:rPr>
        <w:t>9</w:t>
      </w:r>
      <w:r w:rsidR="00CB567F" w:rsidRPr="004E229B">
        <w:rPr>
          <w:i/>
        </w:rPr>
        <w:t xml:space="preserve">, </w:t>
      </w:r>
      <w:r w:rsidR="00A4262B">
        <w:rPr>
          <w:i/>
        </w:rPr>
        <w:t>10</w:t>
      </w:r>
      <w:r w:rsidR="00CB567F" w:rsidRPr="00CB567F">
        <w:t xml:space="preserve">).  Through a series of workshops starting in 2005, </w:t>
      </w:r>
      <w:r>
        <w:t>C</w:t>
      </w:r>
      <w:r w:rsidR="00CB567F" w:rsidRPr="00CB567F">
        <w:t>CAMLR</w:t>
      </w:r>
      <w:r>
        <w:t xml:space="preserve"> scientists </w:t>
      </w:r>
      <w:r w:rsidR="00CB567F" w:rsidRPr="00CB567F">
        <w:t>identified priority areas for protection (</w:t>
      </w:r>
      <w:r w:rsidR="001A5DFF">
        <w:rPr>
          <w:i/>
        </w:rPr>
        <w:t>5</w:t>
      </w:r>
      <w:r w:rsidR="00CB567F" w:rsidRPr="00CB567F">
        <w:t xml:space="preserve">).  Commission States also adopted a measure mandating that, inter alia, MPAs </w:t>
      </w:r>
      <w:r w:rsidR="00A9668E">
        <w:t>(a)</w:t>
      </w:r>
      <w:r w:rsidR="007E18F1">
        <w:t xml:space="preserve"> be</w:t>
      </w:r>
      <w:r w:rsidR="00A9668E">
        <w:t xml:space="preserve"> </w:t>
      </w:r>
      <w:r w:rsidR="00CB567F" w:rsidRPr="00CB567F">
        <w:t>established based on the best available scien</w:t>
      </w:r>
      <w:r w:rsidR="007E18F1">
        <w:t>c</w:t>
      </w:r>
      <w:r w:rsidR="00CB567F" w:rsidRPr="00CB567F">
        <w:t>e</w:t>
      </w:r>
      <w:r w:rsidR="00A9668E">
        <w:t>, (b)</w:t>
      </w:r>
      <w:r w:rsidR="00CB567F" w:rsidRPr="00CB567F">
        <w:t xml:space="preserve"> protect key ecosystem processes, habitats and biodiversity</w:t>
      </w:r>
      <w:r w:rsidR="00A9668E">
        <w:t>,</w:t>
      </w:r>
      <w:r w:rsidR="00CB567F" w:rsidRPr="00CB567F">
        <w:t xml:space="preserve"> and </w:t>
      </w:r>
      <w:r w:rsidR="00A9668E">
        <w:t xml:space="preserve">(c) </w:t>
      </w:r>
      <w:r w:rsidR="00CB567F" w:rsidRPr="00CB567F">
        <w:t xml:space="preserve">include scientific reference areas </w:t>
      </w:r>
      <w:r w:rsidR="007E18F1">
        <w:t>to</w:t>
      </w:r>
      <w:r w:rsidR="00CB567F" w:rsidRPr="00CB567F">
        <w:t xml:space="preserve"> monitor the long-term effects of fishing and climate </w:t>
      </w:r>
      <w:r w:rsidR="00CB567F" w:rsidRPr="00CB567F">
        <w:t>change (</w:t>
      </w:r>
      <w:r w:rsidR="00A4262B">
        <w:rPr>
          <w:i/>
        </w:rPr>
        <w:t>11</w:t>
      </w:r>
      <w:r w:rsidR="00CB567F" w:rsidRPr="00CB567F">
        <w:t xml:space="preserve">).  </w:t>
      </w:r>
    </w:p>
    <w:p w14:paraId="0D8A1B19" w14:textId="0507B305" w:rsidR="00CB567F" w:rsidRPr="00CB567F" w:rsidRDefault="00CB567F" w:rsidP="00CB567F">
      <w:pPr>
        <w:pStyle w:val="Text"/>
      </w:pPr>
      <w:r w:rsidRPr="00CB567F">
        <w:t>Climate change and overfishing are the two main threats to Southern Ocean ecosystems.  The Antarctic is changing rapidly (</w:t>
      </w:r>
      <w:r w:rsidR="00A4262B">
        <w:rPr>
          <w:i/>
        </w:rPr>
        <w:t>12</w:t>
      </w:r>
      <w:r w:rsidRPr="00CB567F">
        <w:t>) with potential global repercussions for sea level rise, ocean circulation, and climate regulation.  Locally, climate change is driving fluctuations in ice cover, shifts in population distribution</w:t>
      </w:r>
      <w:r w:rsidR="00C33F41">
        <w:t>s</w:t>
      </w:r>
      <w:r w:rsidRPr="00CB567F">
        <w:t xml:space="preserve"> and </w:t>
      </w:r>
      <w:r w:rsidR="00C33F41">
        <w:t>alterations</w:t>
      </w:r>
      <w:r w:rsidR="00C33F41" w:rsidRPr="00CB567F">
        <w:t xml:space="preserve"> </w:t>
      </w:r>
      <w:r w:rsidRPr="00CB567F">
        <w:t>in primary productivity</w:t>
      </w:r>
      <w:r w:rsidR="004448B8">
        <w:t xml:space="preserve"> (</w:t>
      </w:r>
      <w:r w:rsidR="004448B8">
        <w:rPr>
          <w:i/>
        </w:rPr>
        <w:t>13)</w:t>
      </w:r>
      <w:r w:rsidRPr="00CB567F">
        <w:t>.  In some areas, declines of ice-dependent Antarctic krill (</w:t>
      </w:r>
      <w:proofErr w:type="spellStart"/>
      <w:r w:rsidRPr="00882028">
        <w:rPr>
          <w:i/>
        </w:rPr>
        <w:t>Euphasia</w:t>
      </w:r>
      <w:proofErr w:type="spellEnd"/>
      <w:r w:rsidRPr="00882028">
        <w:rPr>
          <w:i/>
        </w:rPr>
        <w:t xml:space="preserve"> </w:t>
      </w:r>
      <w:proofErr w:type="spellStart"/>
      <w:r w:rsidRPr="00882028">
        <w:rPr>
          <w:i/>
        </w:rPr>
        <w:t>superba</w:t>
      </w:r>
      <w:proofErr w:type="spellEnd"/>
      <w:r w:rsidR="00CD424D">
        <w:t>) are</w:t>
      </w:r>
      <w:r w:rsidR="00C33F41">
        <w:t xml:space="preserve"> potentially</w:t>
      </w:r>
      <w:r w:rsidR="00C33F41" w:rsidRPr="00CB567F">
        <w:t xml:space="preserve"> </w:t>
      </w:r>
      <w:r w:rsidRPr="00CB567F">
        <w:t>caus</w:t>
      </w:r>
      <w:r w:rsidR="00C33F41">
        <w:t>ing</w:t>
      </w:r>
      <w:r w:rsidRPr="00CB567F">
        <w:t xml:space="preserve"> cascades throughout the ecosystem (</w:t>
      </w:r>
      <w:r w:rsidR="00A4262B">
        <w:rPr>
          <w:i/>
        </w:rPr>
        <w:t>13</w:t>
      </w:r>
      <w:r w:rsidR="00C33F41">
        <w:rPr>
          <w:i/>
        </w:rPr>
        <w:t>, 14</w:t>
      </w:r>
      <w:r w:rsidRPr="00CB567F">
        <w:t xml:space="preserve">).  Despite these rapid changes, fishers advocate for increased catches </w:t>
      </w:r>
      <w:r w:rsidR="00D45618">
        <w:t>(</w:t>
      </w:r>
      <w:r w:rsidR="00D45618">
        <w:rPr>
          <w:i/>
        </w:rPr>
        <w:t>1</w:t>
      </w:r>
      <w:r w:rsidR="00C33F41">
        <w:rPr>
          <w:i/>
        </w:rPr>
        <w:t>5</w:t>
      </w:r>
      <w:r w:rsidR="00F53DE4">
        <w:t>)</w:t>
      </w:r>
      <w:r w:rsidRPr="00CB567F">
        <w:t>.  Considered unsuitable for direct human consum</w:t>
      </w:r>
      <w:r w:rsidR="00F5597D">
        <w:t>ption, fishers now target krill</w:t>
      </w:r>
      <w:r w:rsidR="00D45618">
        <w:t xml:space="preserve"> </w:t>
      </w:r>
      <w:r w:rsidRPr="00CB567F">
        <w:t>for omega-3 and fishmeal (</w:t>
      </w:r>
      <w:r w:rsidRPr="004E229B">
        <w:rPr>
          <w:i/>
        </w:rPr>
        <w:t>1</w:t>
      </w:r>
      <w:r w:rsidR="00C33F41">
        <w:rPr>
          <w:i/>
        </w:rPr>
        <w:t>6</w:t>
      </w:r>
      <w:r w:rsidRPr="00CB567F">
        <w:t xml:space="preserve">).  </w:t>
      </w:r>
      <w:r w:rsidR="00B865DB">
        <w:t>With reductions in ice and declines in krill, f</w:t>
      </w:r>
      <w:r w:rsidRPr="00CB567F">
        <w:t>ishing vessels</w:t>
      </w:r>
      <w:r w:rsidR="00B865DB">
        <w:t xml:space="preserve"> are increasingly</w:t>
      </w:r>
      <w:r w:rsidRPr="00CB567F">
        <w:t xml:space="preserve"> encroach</w:t>
      </w:r>
      <w:r w:rsidR="00B865DB">
        <w:t>ing</w:t>
      </w:r>
      <w:r w:rsidRPr="00CB567F">
        <w:t xml:space="preserve"> upon penguin and whale foraging grounds (</w:t>
      </w:r>
      <w:r w:rsidRPr="004E229B">
        <w:rPr>
          <w:i/>
        </w:rPr>
        <w:t>1</w:t>
      </w:r>
      <w:r w:rsidR="00C33F41">
        <w:rPr>
          <w:i/>
        </w:rPr>
        <w:t>5</w:t>
      </w:r>
      <w:r w:rsidRPr="00CB567F">
        <w:t xml:space="preserve">), compounding </w:t>
      </w:r>
      <w:r w:rsidR="00DF39F1">
        <w:t xml:space="preserve">climate change </w:t>
      </w:r>
      <w:proofErr w:type="gramStart"/>
      <w:r w:rsidR="00DF39F1">
        <w:t xml:space="preserve">stressors </w:t>
      </w:r>
      <w:r w:rsidR="00074EE2">
        <w:t xml:space="preserve"> (</w:t>
      </w:r>
      <w:proofErr w:type="gramEnd"/>
      <w:r w:rsidR="00D45618">
        <w:rPr>
          <w:i/>
        </w:rPr>
        <w:t>1</w:t>
      </w:r>
      <w:r w:rsidR="00C33F41">
        <w:rPr>
          <w:i/>
        </w:rPr>
        <w:t>4</w:t>
      </w:r>
      <w:r w:rsidR="00074EE2">
        <w:t>)</w:t>
      </w:r>
      <w:r w:rsidRPr="00CB567F">
        <w:t xml:space="preserve">.  To meet rising market demands for </w:t>
      </w:r>
      <w:proofErr w:type="spellStart"/>
      <w:r w:rsidRPr="00CB567F">
        <w:t>toothfish</w:t>
      </w:r>
      <w:proofErr w:type="spellEnd"/>
      <w:r w:rsidRPr="00CB567F">
        <w:t xml:space="preserve"> (</w:t>
      </w:r>
      <w:proofErr w:type="spellStart"/>
      <w:r w:rsidRPr="00882028">
        <w:rPr>
          <w:i/>
        </w:rPr>
        <w:t>Dissostichus</w:t>
      </w:r>
      <w:proofErr w:type="spellEnd"/>
      <w:r w:rsidRPr="00882028">
        <w:rPr>
          <w:i/>
        </w:rPr>
        <w:t xml:space="preserve"> </w:t>
      </w:r>
      <w:proofErr w:type="spellStart"/>
      <w:r w:rsidRPr="00882028">
        <w:rPr>
          <w:i/>
        </w:rPr>
        <w:t>eleginoides</w:t>
      </w:r>
      <w:proofErr w:type="spellEnd"/>
      <w:r w:rsidRPr="00882028">
        <w:rPr>
          <w:i/>
        </w:rPr>
        <w:t xml:space="preserve"> </w:t>
      </w:r>
      <w:r w:rsidRPr="00CB567F">
        <w:t xml:space="preserve">and </w:t>
      </w:r>
      <w:r w:rsidRPr="00882028">
        <w:rPr>
          <w:i/>
        </w:rPr>
        <w:t xml:space="preserve">D. </w:t>
      </w:r>
      <w:proofErr w:type="spellStart"/>
      <w:r w:rsidRPr="00882028">
        <w:rPr>
          <w:i/>
        </w:rPr>
        <w:t>mawsoni</w:t>
      </w:r>
      <w:proofErr w:type="spellEnd"/>
      <w:r w:rsidRPr="00CB567F">
        <w:t xml:space="preserve">), sold as lucrative </w:t>
      </w:r>
      <w:r w:rsidR="00C33F41">
        <w:t>‘</w:t>
      </w:r>
      <w:r w:rsidRPr="00CB567F">
        <w:t>Chilean sea bass,</w:t>
      </w:r>
      <w:r w:rsidR="00C33F41">
        <w:t>’</w:t>
      </w:r>
      <w:r w:rsidRPr="00CB567F">
        <w:t xml:space="preserve"> fishers have pushed for higher catches and </w:t>
      </w:r>
      <w:r w:rsidR="00C33F41">
        <w:t>expanding</w:t>
      </w:r>
      <w:r w:rsidRPr="00CB567F">
        <w:t xml:space="preserve"> fishing grounds (</w:t>
      </w:r>
      <w:r w:rsidR="001A5DFF">
        <w:rPr>
          <w:i/>
        </w:rPr>
        <w:t>5</w:t>
      </w:r>
      <w:r w:rsidRPr="004E229B">
        <w:rPr>
          <w:i/>
        </w:rPr>
        <w:t>, 1</w:t>
      </w:r>
      <w:r w:rsidR="00C33F41">
        <w:rPr>
          <w:i/>
        </w:rPr>
        <w:t>5</w:t>
      </w:r>
      <w:r w:rsidRPr="00CB567F">
        <w:t xml:space="preserve">).  Yet, the ecological repercussions of removing </w:t>
      </w:r>
      <w:proofErr w:type="spellStart"/>
      <w:r w:rsidRPr="00CB567F">
        <w:t>toothfish</w:t>
      </w:r>
      <w:proofErr w:type="spellEnd"/>
      <w:r w:rsidRPr="00CB567F">
        <w:t>, the region’s top fish predator, remain unknown (</w:t>
      </w:r>
      <w:r w:rsidRPr="004E229B">
        <w:rPr>
          <w:i/>
        </w:rPr>
        <w:t>1</w:t>
      </w:r>
      <w:r w:rsidR="00D45618">
        <w:rPr>
          <w:i/>
        </w:rPr>
        <w:t>7</w:t>
      </w:r>
      <w:r w:rsidRPr="004E229B">
        <w:rPr>
          <w:i/>
        </w:rPr>
        <w:t>)</w:t>
      </w:r>
      <w:r w:rsidRPr="00CB567F">
        <w:t>.</w:t>
      </w:r>
    </w:p>
    <w:p w14:paraId="063E369F" w14:textId="558BA808" w:rsidR="00CB567F" w:rsidRPr="00CB567F" w:rsidRDefault="00CB567F" w:rsidP="00CB567F">
      <w:pPr>
        <w:pStyle w:val="Text"/>
      </w:pPr>
      <w:r w:rsidRPr="00CB567F">
        <w:t>Moving towards a</w:t>
      </w:r>
      <w:r w:rsidR="004448B8">
        <w:t>n MPA</w:t>
      </w:r>
      <w:r w:rsidRPr="00CB567F">
        <w:t xml:space="preserve"> network, </w:t>
      </w:r>
      <w:r w:rsidR="004448B8">
        <w:t>CCAMLR</w:t>
      </w:r>
      <w:r w:rsidRPr="00CB567F">
        <w:t xml:space="preserve"> adopted the world’s first high seas MPA near the South Orkney Islands in 2009 (</w:t>
      </w:r>
      <w:r w:rsidRPr="004E229B">
        <w:rPr>
          <w:i/>
        </w:rPr>
        <w:t>1</w:t>
      </w:r>
      <w:r w:rsidR="00F53EDE">
        <w:rPr>
          <w:i/>
        </w:rPr>
        <w:t>8</w:t>
      </w:r>
      <w:r w:rsidRPr="00CB567F">
        <w:t>)(Figure 1).  Protecting ~94,000 km</w:t>
      </w:r>
      <w:r w:rsidRPr="00882028">
        <w:rPr>
          <w:vertAlign w:val="superscript"/>
        </w:rPr>
        <w:t>2</w:t>
      </w:r>
      <w:r w:rsidRPr="00CB567F">
        <w:t xml:space="preserve">, this MPA remains the only 100% no-take </w:t>
      </w:r>
      <w:proofErr w:type="gramStart"/>
      <w:r w:rsidRPr="00CB567F">
        <w:t>reserve</w:t>
      </w:r>
      <w:proofErr w:type="gramEnd"/>
      <w:r w:rsidRPr="00CB567F">
        <w:t xml:space="preserve"> in international waters.  While the stated goal of the MPA is biodiversity conservation, conflicts between preservation and fishing access produced a compromised result.  The modified MPA excluded areas of highest </w:t>
      </w:r>
      <w:r w:rsidR="00355FE8">
        <w:t>ecological</w:t>
      </w:r>
      <w:r w:rsidRPr="00CB567F">
        <w:t xml:space="preserve"> value to avoid conflict with commercial krill fisheries operated by several CCAMLR States (</w:t>
      </w:r>
      <w:r w:rsidR="001A5DFF">
        <w:rPr>
          <w:i/>
        </w:rPr>
        <w:t>5</w:t>
      </w:r>
      <w:proofErr w:type="gramStart"/>
      <w:r w:rsidRPr="00CB567F">
        <w:t>)(</w:t>
      </w:r>
      <w:proofErr w:type="gramEnd"/>
      <w:r w:rsidRPr="00CB567F">
        <w:t>Figure 1, S1).  After adoption, Japan, with the endorsement of South Korea and Russia, stated that “the amended MPA constitutes a good precedent” (1</w:t>
      </w:r>
      <w:r w:rsidR="00B14E28">
        <w:t>9</w:t>
      </w:r>
      <w:r w:rsidRPr="00CB567F">
        <w:t xml:space="preserve">, para 7.4) because fisheries were </w:t>
      </w:r>
      <w:r w:rsidRPr="00CB567F">
        <w:lastRenderedPageBreak/>
        <w:t>not restricted.  While other States objected to “the notion</w:t>
      </w:r>
      <w:r w:rsidR="007E18F1">
        <w:t>…</w:t>
      </w:r>
      <w:r w:rsidRPr="00CB567F">
        <w:t xml:space="preserve"> that MPAs and fishing activities should be mutually exclusive” (</w:t>
      </w:r>
      <w:r w:rsidRPr="004E229B">
        <w:rPr>
          <w:i/>
        </w:rPr>
        <w:t>1</w:t>
      </w:r>
      <w:r w:rsidR="00B14E28">
        <w:rPr>
          <w:i/>
        </w:rPr>
        <w:t>9</w:t>
      </w:r>
      <w:r w:rsidRPr="004E229B">
        <w:rPr>
          <w:i/>
        </w:rPr>
        <w:t>,</w:t>
      </w:r>
      <w:r w:rsidRPr="00CB567F">
        <w:t xml:space="preserve"> para 7.7), this precedent of</w:t>
      </w:r>
      <w:r w:rsidR="004448B8">
        <w:t xml:space="preserve"> </w:t>
      </w:r>
      <w:r w:rsidR="007E18F1">
        <w:t xml:space="preserve">compromising </w:t>
      </w:r>
      <w:r w:rsidR="004448B8">
        <w:t xml:space="preserve">ecosystem conservation despite </w:t>
      </w:r>
      <w:r w:rsidRPr="00CB567F">
        <w:t>the best available science</w:t>
      </w:r>
      <w:r w:rsidR="004448B8">
        <w:t xml:space="preserve"> </w:t>
      </w:r>
      <w:r w:rsidRPr="00CB567F">
        <w:t>continues to influence C</w:t>
      </w:r>
      <w:r w:rsidR="004448B8">
        <w:t>CAMLR’s</w:t>
      </w:r>
      <w:r w:rsidRPr="00CB567F">
        <w:t xml:space="preserve"> MPA negotiations. </w:t>
      </w:r>
    </w:p>
    <w:p w14:paraId="1BC22F81" w14:textId="779D18C9" w:rsidR="00CB567F" w:rsidRPr="00CB567F" w:rsidRDefault="00CB567F" w:rsidP="00CB567F">
      <w:pPr>
        <w:pStyle w:val="Text"/>
      </w:pPr>
      <w:r w:rsidRPr="00CB567F">
        <w:t xml:space="preserve">In 2012, CCAMLR considered </w:t>
      </w:r>
      <w:r w:rsidR="004448B8">
        <w:t xml:space="preserve">MPA </w:t>
      </w:r>
      <w:r w:rsidRPr="00CB567F">
        <w:t>proposals in the Ross Sea and East Antarctic.  As one of the world’s healthiest marine ecosystems and among the most productive and best-studied regions of the Southern Ocean (</w:t>
      </w:r>
      <w:r w:rsidRPr="004E229B">
        <w:rPr>
          <w:i/>
        </w:rPr>
        <w:t xml:space="preserve">2, </w:t>
      </w:r>
      <w:r w:rsidR="00B14E28">
        <w:rPr>
          <w:i/>
        </w:rPr>
        <w:t>20</w:t>
      </w:r>
      <w:r w:rsidRPr="00CB567F">
        <w:t>), the Ross Sea was a top priority for protection. Both the Ross Sea and East Antarctic MPA proposals were designed to protect ecological structure and function, with reference areas for evaluating climate change and fishery impacts, and both were</w:t>
      </w:r>
      <w:r w:rsidR="00B73355">
        <w:t xml:space="preserve"> deemed by SC-CAMLR to be</w:t>
      </w:r>
      <w:r w:rsidRPr="00CB567F">
        <w:t xml:space="preserve"> based on the best available science (</w:t>
      </w:r>
      <w:r w:rsidR="001A5DFF">
        <w:rPr>
          <w:i/>
        </w:rPr>
        <w:t>5</w:t>
      </w:r>
      <w:r w:rsidRPr="00CB567F">
        <w:t xml:space="preserve">).  </w:t>
      </w:r>
    </w:p>
    <w:p w14:paraId="03A5351E" w14:textId="303FC8CB" w:rsidR="00CB567F" w:rsidRPr="00CB567F" w:rsidRDefault="00CB567F" w:rsidP="00CB567F">
      <w:pPr>
        <w:pStyle w:val="Text"/>
      </w:pPr>
      <w:r w:rsidRPr="00CB567F">
        <w:t>Yet by 2015, the areas proposed for protection in the Ross Sea and East Antarctic were reduced by 30% and 50%, respectively, with ecologically important areas omitted to enable fishing</w:t>
      </w:r>
      <w:r w:rsidR="000B3C42">
        <w:t xml:space="preserve"> access</w:t>
      </w:r>
      <w:r w:rsidRPr="00CB567F">
        <w:t xml:space="preserve"> (Figure 1, S2).  Research fishing zones, which permit commercial fishing for </w:t>
      </w:r>
      <w:proofErr w:type="spellStart"/>
      <w:r w:rsidRPr="00CB567F">
        <w:t>toothfish</w:t>
      </w:r>
      <w:proofErr w:type="spellEnd"/>
      <w:r w:rsidRPr="00CB567F">
        <w:t xml:space="preserve"> and/or krill wit</w:t>
      </w:r>
      <w:r w:rsidR="008C461D">
        <w:t>h additional requirements (e.g.</w:t>
      </w:r>
      <w:r w:rsidRPr="00CB567F">
        <w:t xml:space="preserve"> increased fish tagging), were added to the Ross Sea MPA.  These fishing zones encompassed critical</w:t>
      </w:r>
      <w:r w:rsidR="00B14E28">
        <w:t xml:space="preserve"> foraging grounds</w:t>
      </w:r>
      <w:r w:rsidRPr="00CB567F">
        <w:t xml:space="preserve"> for seabirds and whales, and jeopardized a key scientific reference area</w:t>
      </w:r>
      <w:r w:rsidR="00B14E28">
        <w:t xml:space="preserve"> that had been proposed to measure</w:t>
      </w:r>
      <w:r w:rsidR="000B3C42">
        <w:t xml:space="preserve"> fishery</w:t>
      </w:r>
      <w:r w:rsidR="00B14E28">
        <w:t xml:space="preserve"> ecosystem impacts</w:t>
      </w:r>
      <w:r w:rsidRPr="00CB567F">
        <w:t xml:space="preserve"> (</w:t>
      </w:r>
      <w:r w:rsidR="001A5DFF">
        <w:rPr>
          <w:i/>
        </w:rPr>
        <w:t>5</w:t>
      </w:r>
      <w:r w:rsidRPr="00CB567F">
        <w:t xml:space="preserve">)(Figure S2).  Even though the East Antarctic MPA proposal employs a multi-use approach, </w:t>
      </w:r>
      <w:r w:rsidR="007E18F1">
        <w:t>it</w:t>
      </w:r>
      <w:r w:rsidRPr="00CB567F">
        <w:t xml:space="preserve"> omitted no-take zones</w:t>
      </w:r>
      <w:r w:rsidR="007E18F1">
        <w:t xml:space="preserve"> and</w:t>
      </w:r>
      <w:r w:rsidRPr="00CB567F">
        <w:t xml:space="preserve"> the area of highest conservation value</w:t>
      </w:r>
      <w:r w:rsidR="006E2CA0">
        <w:t>,</w:t>
      </w:r>
      <w:r w:rsidR="000B3C42">
        <w:t xml:space="preserve"> </w:t>
      </w:r>
      <w:proofErr w:type="spellStart"/>
      <w:r w:rsidRPr="00CB567F">
        <w:t>Prydz</w:t>
      </w:r>
      <w:proofErr w:type="spellEnd"/>
      <w:r w:rsidRPr="00CB567F">
        <w:t xml:space="preserve"> Bay, was removed during negotiations (Figure 1).</w:t>
      </w:r>
    </w:p>
    <w:p w14:paraId="73F37DC9" w14:textId="5064EFD3" w:rsidR="00CB567F" w:rsidRPr="00CB567F" w:rsidRDefault="00CB567F" w:rsidP="00CB567F">
      <w:pPr>
        <w:pStyle w:val="Text"/>
      </w:pPr>
      <w:r w:rsidRPr="00CB567F">
        <w:t xml:space="preserve">Temporal concessions, or ‘sunset clauses,’ have also marred negotiations. </w:t>
      </w:r>
      <w:r w:rsidR="00F01AE4">
        <w:t xml:space="preserve"> </w:t>
      </w:r>
      <w:r w:rsidRPr="00CB567F">
        <w:t xml:space="preserve">MPAs are </w:t>
      </w:r>
      <w:r w:rsidR="006E2CA0">
        <w:t xml:space="preserve">usually </w:t>
      </w:r>
      <w:r w:rsidRPr="00CB567F">
        <w:t>established in perpetuity</w:t>
      </w:r>
      <w:r w:rsidR="00F01AE4">
        <w:t xml:space="preserve"> and their duration has been directly linked to ecosystem benefits</w:t>
      </w:r>
      <w:r w:rsidRPr="00CB567F">
        <w:t xml:space="preserve"> (</w:t>
      </w:r>
      <w:r w:rsidR="00A4262B">
        <w:rPr>
          <w:i/>
        </w:rPr>
        <w:t>9</w:t>
      </w:r>
      <w:r w:rsidRPr="00CB567F">
        <w:t xml:space="preserve">).  </w:t>
      </w:r>
      <w:r w:rsidR="00A6514F">
        <w:t>The largely terrestrial</w:t>
      </w:r>
      <w:r w:rsidR="009F6DBB">
        <w:t xml:space="preserve"> protected areas adopted via the Antarctic Treaty </w:t>
      </w:r>
      <w:r w:rsidR="006E2CA0">
        <w:t xml:space="preserve">are permanent as are </w:t>
      </w:r>
      <w:r w:rsidR="000B3C42">
        <w:t xml:space="preserve">nationally designated </w:t>
      </w:r>
      <w:proofErr w:type="spellStart"/>
      <w:r w:rsidR="000B3C42">
        <w:t>subantarctic</w:t>
      </w:r>
      <w:proofErr w:type="spellEnd"/>
      <w:r w:rsidR="000B3C42">
        <w:t xml:space="preserve"> MPAs</w:t>
      </w:r>
      <w:r w:rsidR="009F6DBB">
        <w:t xml:space="preserve">. </w:t>
      </w:r>
      <w:r w:rsidR="000B3C42">
        <w:t xml:space="preserve"> While d</w:t>
      </w:r>
      <w:r w:rsidRPr="00CB567F">
        <w:t>uration was not discussed during the 2009 South Orkney MPA negotiations</w:t>
      </w:r>
      <w:r w:rsidR="000B3C42">
        <w:t xml:space="preserve">, it </w:t>
      </w:r>
      <w:r w:rsidRPr="00CB567F">
        <w:t>has emerged as a major barrier to consensus with many CCAMLR fishing States asserting that MPAs must include an expiration date.  China proposed a limit of 20 years (</w:t>
      </w:r>
      <w:r w:rsidRPr="004E229B">
        <w:rPr>
          <w:i/>
        </w:rPr>
        <w:t>1</w:t>
      </w:r>
      <w:r w:rsidR="00C33F41">
        <w:rPr>
          <w:i/>
        </w:rPr>
        <w:t>5</w:t>
      </w:r>
      <w:r w:rsidRPr="00CB567F">
        <w:t>, para 8.77), shorter than the lifespans of most Antarctic top predators</w:t>
      </w:r>
      <w:r w:rsidR="00DD2D64">
        <w:t xml:space="preserve"> and</w:t>
      </w:r>
      <w:r w:rsidR="00B865DB">
        <w:t xml:space="preserve"> inconsistent with the</w:t>
      </w:r>
      <w:r w:rsidR="009F6DBB">
        <w:t xml:space="preserve"> stated goals of the MPAs </w:t>
      </w:r>
      <w:r w:rsidR="00DD2D64">
        <w:t>as well as</w:t>
      </w:r>
      <w:r w:rsidR="009F6DBB">
        <w:t xml:space="preserve"> CCAMLR’s provisions for rational use</w:t>
      </w:r>
      <w:r w:rsidRPr="00CB567F">
        <w:t>.  As of 2015, the proposed Ross Sea and East Antarctic MPAs have 50- and 30-year expiration dates, respectively (</w:t>
      </w:r>
      <w:r w:rsidRPr="004E229B">
        <w:rPr>
          <w:i/>
        </w:rPr>
        <w:t>1</w:t>
      </w:r>
      <w:r w:rsidR="00C33F41">
        <w:rPr>
          <w:i/>
        </w:rPr>
        <w:t>5</w:t>
      </w:r>
      <w:r w:rsidRPr="00CB567F">
        <w:t xml:space="preserve">).  </w:t>
      </w:r>
    </w:p>
    <w:p w14:paraId="2A4FF989" w14:textId="01EE8248" w:rsidR="0016287E" w:rsidRDefault="00CB567F" w:rsidP="0016287E">
      <w:pPr>
        <w:pStyle w:val="Text"/>
      </w:pPr>
      <w:r w:rsidRPr="00CB567F">
        <w:t>Current MPA proposals only prohibit fishing in 3.2% of CCAMLR’s waters (Figure 1) for a f</w:t>
      </w:r>
      <w:r w:rsidR="006E2CA0">
        <w:t>ixed</w:t>
      </w:r>
      <w:r w:rsidRPr="00CB567F">
        <w:t xml:space="preserve"> period of time and yet consensus still lags.  States have become entrenched in their positions for or against MPAs</w:t>
      </w:r>
      <w:r w:rsidR="005F4A4F">
        <w:t>, breaking trust</w:t>
      </w:r>
      <w:r w:rsidRPr="00CB567F">
        <w:t xml:space="preserve">. </w:t>
      </w:r>
      <w:r w:rsidR="00673564">
        <w:t xml:space="preserve"> </w:t>
      </w:r>
      <w:r w:rsidR="0016287E" w:rsidRPr="00CB567F">
        <w:t xml:space="preserve">States blocking the adoption of MPAs continue to do so </w:t>
      </w:r>
      <w:r w:rsidR="0016287E">
        <w:t xml:space="preserve">even after </w:t>
      </w:r>
      <w:r w:rsidR="0016287E" w:rsidRPr="00CB567F">
        <w:t>concessions</w:t>
      </w:r>
      <w:r w:rsidR="0016287E">
        <w:t xml:space="preserve"> were</w:t>
      </w:r>
      <w:r w:rsidR="0016287E" w:rsidRPr="00CB567F">
        <w:t xml:space="preserve"> made to directly meet t</w:t>
      </w:r>
      <w:r w:rsidR="0016287E">
        <w:t>hose States</w:t>
      </w:r>
      <w:r w:rsidR="0016287E" w:rsidRPr="00CB567F">
        <w:t xml:space="preserve"> request</w:t>
      </w:r>
      <w:r w:rsidR="0016287E">
        <w:t>s (</w:t>
      </w:r>
      <w:r w:rsidR="0016287E">
        <w:rPr>
          <w:i/>
        </w:rPr>
        <w:t>15</w:t>
      </w:r>
      <w:r w:rsidR="0016287E">
        <w:t>).  N</w:t>
      </w:r>
      <w:r w:rsidRPr="00CB567F">
        <w:t>egotiations have been tainted by geopolitical disputes elsewhere in the world</w:t>
      </w:r>
      <w:r w:rsidR="00CB6F10">
        <w:t xml:space="preserve"> (</w:t>
      </w:r>
      <w:r w:rsidR="0056152F">
        <w:rPr>
          <w:i/>
        </w:rPr>
        <w:t>2</w:t>
      </w:r>
      <w:r w:rsidR="00A77776">
        <w:rPr>
          <w:i/>
        </w:rPr>
        <w:t>1</w:t>
      </w:r>
      <w:r w:rsidR="00DA619A">
        <w:t>)</w:t>
      </w:r>
      <w:r w:rsidRPr="00CB567F">
        <w:t xml:space="preserve">.  States </w:t>
      </w:r>
      <w:r w:rsidR="0016287E">
        <w:t>propos</w:t>
      </w:r>
      <w:r w:rsidR="00BC2F98">
        <w:t>ing</w:t>
      </w:r>
      <w:r w:rsidRPr="00CB567F">
        <w:t xml:space="preserve"> MPAs have </w:t>
      </w:r>
      <w:r w:rsidR="0083150E">
        <w:t>been accused of</w:t>
      </w:r>
      <w:r w:rsidR="0016287E">
        <w:t xml:space="preserve"> political rather than conservation motivations</w:t>
      </w:r>
      <w:r w:rsidR="0083150E">
        <w:t xml:space="preserve"> (</w:t>
      </w:r>
      <w:r w:rsidR="0016287E">
        <w:t>17</w:t>
      </w:r>
      <w:r w:rsidR="0083150E">
        <w:t>).</w:t>
      </w:r>
      <w:r w:rsidR="0016287E">
        <w:t xml:space="preserve"> </w:t>
      </w:r>
      <w:r w:rsidR="00BE60C2">
        <w:t xml:space="preserve"> </w:t>
      </w:r>
    </w:p>
    <w:p w14:paraId="71038220" w14:textId="05128D61" w:rsidR="00CB567F" w:rsidRPr="00CB567F" w:rsidRDefault="00CB567F" w:rsidP="0016287E">
      <w:pPr>
        <w:pStyle w:val="Text"/>
      </w:pPr>
      <w:r w:rsidRPr="00CB567F">
        <w:t xml:space="preserve">This stalemate may reflect the emerging scramble for </w:t>
      </w:r>
      <w:r w:rsidR="00AF1EEB">
        <w:t>Southern Ocean</w:t>
      </w:r>
      <w:r w:rsidRPr="00CB567F">
        <w:t xml:space="preserve"> resources</w:t>
      </w:r>
      <w:r w:rsidR="00DD2D64">
        <w:t xml:space="preserve"> (</w:t>
      </w:r>
      <w:r w:rsidR="00DD2D64">
        <w:rPr>
          <w:i/>
        </w:rPr>
        <w:t>2</w:t>
      </w:r>
      <w:r w:rsidR="00A77776">
        <w:rPr>
          <w:i/>
        </w:rPr>
        <w:t>1</w:t>
      </w:r>
      <w:r w:rsidR="00DD2D64">
        <w:t>)</w:t>
      </w:r>
      <w:r w:rsidRPr="00CB567F">
        <w:t xml:space="preserve">.  While CCAMLR was historically comprised mainly of States without active fisheries in the Southern Ocean, </w:t>
      </w:r>
      <w:r w:rsidR="008D2C13">
        <w:t>it</w:t>
      </w:r>
      <w:r w:rsidR="008D2C13" w:rsidRPr="00CB567F">
        <w:t xml:space="preserve"> </w:t>
      </w:r>
      <w:r w:rsidRPr="00CB567F">
        <w:t>is now dominated by fishing States (Figure S1</w:t>
      </w:r>
      <w:proofErr w:type="gramStart"/>
      <w:r w:rsidRPr="00CB567F">
        <w:t>)(</w:t>
      </w:r>
      <w:proofErr w:type="gramEnd"/>
      <w:r w:rsidR="001A5DFF">
        <w:rPr>
          <w:i/>
        </w:rPr>
        <w:t>5</w:t>
      </w:r>
      <w:r w:rsidRPr="00CB567F">
        <w:t>) whose national positions reflect intent on economic gain, asserting power, and securing</w:t>
      </w:r>
      <w:r w:rsidR="008859B6">
        <w:t xml:space="preserve"> future</w:t>
      </w:r>
      <w:r w:rsidRPr="00CB567F">
        <w:t xml:space="preserve"> ac</w:t>
      </w:r>
      <w:r w:rsidR="008859B6">
        <w:t>cess</w:t>
      </w:r>
      <w:r w:rsidR="009C78DC">
        <w:t xml:space="preserve"> (</w:t>
      </w:r>
      <w:r w:rsidR="009C78DC">
        <w:rPr>
          <w:i/>
        </w:rPr>
        <w:t>2</w:t>
      </w:r>
      <w:r w:rsidR="00A77776">
        <w:rPr>
          <w:i/>
        </w:rPr>
        <w:t>1</w:t>
      </w:r>
      <w:r w:rsidR="009C78DC">
        <w:t>)</w:t>
      </w:r>
      <w:r w:rsidRPr="00CB567F">
        <w:t xml:space="preserve">. </w:t>
      </w:r>
      <w:r w:rsidR="00673564">
        <w:t xml:space="preserve"> </w:t>
      </w:r>
      <w:r w:rsidRPr="00CB567F">
        <w:t>The idea of ‘rational use’—defined in the Convention as a mandate to employ precaution in resource exploitation, a critical part of conservation—is now being turned on its head by several States to defend an unequivocal right to fish and to argue against MPAs that in any way restrict fishing (</w:t>
      </w:r>
      <w:r w:rsidRPr="004E229B">
        <w:rPr>
          <w:i/>
        </w:rPr>
        <w:t>1</w:t>
      </w:r>
      <w:r w:rsidR="00D45618">
        <w:rPr>
          <w:i/>
        </w:rPr>
        <w:t>7</w:t>
      </w:r>
      <w:r w:rsidRPr="004E229B">
        <w:rPr>
          <w:i/>
        </w:rPr>
        <w:t xml:space="preserve">, </w:t>
      </w:r>
      <w:r w:rsidR="00DA619A">
        <w:rPr>
          <w:i/>
        </w:rPr>
        <w:t>2</w:t>
      </w:r>
      <w:r w:rsidR="00A77776">
        <w:rPr>
          <w:i/>
        </w:rPr>
        <w:t>2</w:t>
      </w:r>
      <w:r w:rsidRPr="00CB567F">
        <w:t>).  If the current proposals are adopted, their</w:t>
      </w:r>
      <w:r w:rsidR="001F6482">
        <w:t xml:space="preserve"> </w:t>
      </w:r>
      <w:r w:rsidRPr="00CB567F">
        <w:t xml:space="preserve">concessions will compromise </w:t>
      </w:r>
      <w:r w:rsidR="00A05356">
        <w:t xml:space="preserve">MPA </w:t>
      </w:r>
      <w:r w:rsidRPr="00CB567F">
        <w:t>effectiveness, thus undermin</w:t>
      </w:r>
      <w:r w:rsidR="0060781B">
        <w:t>e</w:t>
      </w:r>
      <w:r w:rsidRPr="00CB567F">
        <w:t xml:space="preserve"> the conservation mandate of CCAMLR, and the implementation of science-based marine management broad</w:t>
      </w:r>
      <w:r w:rsidR="0060781B">
        <w:t>ly</w:t>
      </w:r>
      <w:r w:rsidRPr="00CB567F">
        <w:t xml:space="preserve">. </w:t>
      </w:r>
      <w:r w:rsidR="006E2CA0">
        <w:t>Th</w:t>
      </w:r>
      <w:r w:rsidRPr="00CB567F">
        <w:t xml:space="preserve">e Commission has a critical window of opportunity to protect Southern Ocean ecosystems, uphold the principles of peace, science, and protection embedded in the ATS, and maintain its reputation as the leader in international ocean management.  We offer five recommendations for the upcoming meeting: </w:t>
      </w:r>
    </w:p>
    <w:p w14:paraId="2EA3E888" w14:textId="2A7A3B3F" w:rsidR="00CB567F" w:rsidRPr="00CB567F" w:rsidRDefault="00CB567F" w:rsidP="00CB567F">
      <w:pPr>
        <w:pStyle w:val="Text"/>
      </w:pPr>
      <w:r w:rsidRPr="00CB567F">
        <w:t>Endorse only well-designed MPAs.  MPAs that are designed with the best available science and combine no-take areas with effective enforcement lead to more diverse and productive ecosystems</w:t>
      </w:r>
      <w:r w:rsidR="00A05356">
        <w:t xml:space="preserve"> that</w:t>
      </w:r>
      <w:r w:rsidRPr="00CB567F">
        <w:t xml:space="preserve"> provide resilience and insurance against uncer</w:t>
      </w:r>
      <w:r w:rsidR="00CD424D">
        <w:t>tainty</w:t>
      </w:r>
      <w:r w:rsidRPr="00CB567F">
        <w:t xml:space="preserve"> (</w:t>
      </w:r>
      <w:r w:rsidR="00A4262B">
        <w:rPr>
          <w:i/>
        </w:rPr>
        <w:t>9</w:t>
      </w:r>
      <w:r w:rsidRPr="004E229B">
        <w:rPr>
          <w:i/>
        </w:rPr>
        <w:t xml:space="preserve">, </w:t>
      </w:r>
      <w:r w:rsidR="00A4262B">
        <w:rPr>
          <w:i/>
        </w:rPr>
        <w:t>10</w:t>
      </w:r>
      <w:r w:rsidRPr="00CB567F">
        <w:t>).  Ineffective MPAs that only ‘protect’ unfishable ocean areas, in v</w:t>
      </w:r>
      <w:r w:rsidR="00CD424D">
        <w:t>iolation of CCAMLR’s own</w:t>
      </w:r>
      <w:r w:rsidRPr="00CB567F">
        <w:t xml:space="preserve"> mandated best practices (</w:t>
      </w:r>
      <w:r w:rsidR="00A4262B">
        <w:rPr>
          <w:i/>
        </w:rPr>
        <w:t>11</w:t>
      </w:r>
      <w:r w:rsidRPr="00CB567F">
        <w:t xml:space="preserve">), undermine CCAMLR’s credibility and the value of MPAs as a management tool.  </w:t>
      </w:r>
    </w:p>
    <w:p w14:paraId="611C7A41" w14:textId="62122983" w:rsidR="00CB567F" w:rsidRPr="00CB567F" w:rsidRDefault="00CB567F" w:rsidP="00CB567F">
      <w:pPr>
        <w:pStyle w:val="Text"/>
      </w:pPr>
      <w:r w:rsidRPr="00CB567F">
        <w:t>Establish MPAs in Perpetuity.  MPAs need to be managed for long-term conservation (</w:t>
      </w:r>
      <w:r w:rsidR="00A4262B">
        <w:rPr>
          <w:i/>
        </w:rPr>
        <w:t>9</w:t>
      </w:r>
      <w:r w:rsidRPr="00CB567F">
        <w:t xml:space="preserve">).  CCAMLR’s MPA rules </w:t>
      </w:r>
      <w:r w:rsidR="00F35F80" w:rsidRPr="00CB567F">
        <w:t>specify,</w:t>
      </w:r>
      <w:r w:rsidRPr="00CB567F">
        <w:t xml:space="preserve"> “</w:t>
      </w:r>
      <w:proofErr w:type="gramStart"/>
      <w:r w:rsidRPr="00CB567F">
        <w:t>the</w:t>
      </w:r>
      <w:proofErr w:type="gramEnd"/>
      <w:r w:rsidRPr="00CB567F">
        <w:t xml:space="preserve"> period of designation…shall be consistent with the specific objectives of the MPA” (</w:t>
      </w:r>
      <w:r w:rsidR="00A4262B">
        <w:rPr>
          <w:i/>
        </w:rPr>
        <w:t>11</w:t>
      </w:r>
      <w:r w:rsidRPr="00CB567F">
        <w:t xml:space="preserve">, para 3v). </w:t>
      </w:r>
      <w:r w:rsidR="0047741F">
        <w:t xml:space="preserve"> Proposed</w:t>
      </w:r>
      <w:r w:rsidRPr="00CB567F">
        <w:t xml:space="preserve"> ‘sunset clauses’ are insufficient for achieving</w:t>
      </w:r>
      <w:r w:rsidR="00CD424D">
        <w:t xml:space="preserve"> MPA conservation objectives.  Further, they </w:t>
      </w:r>
      <w:r w:rsidR="00883C53">
        <w:t>will</w:t>
      </w:r>
      <w:r w:rsidRPr="00CB567F">
        <w:t xml:space="preserve"> not meet internationally esta</w:t>
      </w:r>
      <w:r w:rsidR="00CD424D">
        <w:t>blished criteria for pro</w:t>
      </w:r>
      <w:r w:rsidR="00CD424D">
        <w:t xml:space="preserve">tected areas </w:t>
      </w:r>
      <w:r w:rsidRPr="00CB567F">
        <w:t>(</w:t>
      </w:r>
      <w:r w:rsidR="00DA619A">
        <w:rPr>
          <w:i/>
        </w:rPr>
        <w:t>2</w:t>
      </w:r>
      <w:r w:rsidR="00A77776">
        <w:rPr>
          <w:i/>
        </w:rPr>
        <w:t>3</w:t>
      </w:r>
      <w:r w:rsidRPr="00CB567F">
        <w:t>)</w:t>
      </w:r>
      <w:r w:rsidR="00CD424D">
        <w:t xml:space="preserve"> and thus</w:t>
      </w:r>
      <w:r w:rsidRPr="00CB567F">
        <w:t xml:space="preserve"> may not </w:t>
      </w:r>
      <w:r w:rsidR="008859B6">
        <w:t>qualify</w:t>
      </w:r>
      <w:r w:rsidRPr="00CB567F">
        <w:t xml:space="preserve"> towards global MPA targets. </w:t>
      </w:r>
    </w:p>
    <w:p w14:paraId="1C8AE915" w14:textId="4D0B7013" w:rsidR="00CB567F" w:rsidRPr="00CB567F" w:rsidRDefault="00CB567F" w:rsidP="00CB567F">
      <w:pPr>
        <w:pStyle w:val="Text"/>
      </w:pPr>
      <w:r w:rsidRPr="00CB567F">
        <w:t xml:space="preserve">Uphold CCAMLR’s Mandate.  The Convention was designed as a conservation convention with fisheries management </w:t>
      </w:r>
      <w:r w:rsidR="00CD424D">
        <w:t>grounded in</w:t>
      </w:r>
      <w:r w:rsidRPr="00CB567F">
        <w:t xml:space="preserve"> precautionary and ecosystem-based approaches (</w:t>
      </w:r>
      <w:r w:rsidR="001A5DFF">
        <w:rPr>
          <w:i/>
        </w:rPr>
        <w:t>5</w:t>
      </w:r>
      <w:r w:rsidRPr="004E229B">
        <w:rPr>
          <w:i/>
        </w:rPr>
        <w:t xml:space="preserve">, </w:t>
      </w:r>
      <w:r w:rsidR="00C4551B">
        <w:rPr>
          <w:i/>
        </w:rPr>
        <w:t xml:space="preserve">7, </w:t>
      </w:r>
      <w:r w:rsidRPr="004E229B">
        <w:rPr>
          <w:i/>
        </w:rPr>
        <w:t>1</w:t>
      </w:r>
      <w:r w:rsidR="00D45618">
        <w:rPr>
          <w:i/>
        </w:rPr>
        <w:t>7</w:t>
      </w:r>
      <w:r w:rsidRPr="004E229B">
        <w:rPr>
          <w:i/>
        </w:rPr>
        <w:t xml:space="preserve">, </w:t>
      </w:r>
      <w:proofErr w:type="gramStart"/>
      <w:r w:rsidR="00DA619A">
        <w:rPr>
          <w:i/>
        </w:rPr>
        <w:t>2</w:t>
      </w:r>
      <w:r w:rsidR="00A77776">
        <w:rPr>
          <w:i/>
        </w:rPr>
        <w:t>2</w:t>
      </w:r>
      <w:proofErr w:type="gramEnd"/>
      <w:r w:rsidRPr="00CB567F">
        <w:t>).  The use of closed areas ‘for purposes of scientific study or conservation’ (</w:t>
      </w:r>
      <w:r w:rsidR="00D45618">
        <w:t>7</w:t>
      </w:r>
      <w:r w:rsidRPr="00CB567F">
        <w:t>, Article IX.2g) is an essential component of ecosystem-based management (</w:t>
      </w:r>
      <w:r w:rsidRPr="004E229B">
        <w:rPr>
          <w:i/>
        </w:rPr>
        <w:t>1</w:t>
      </w:r>
      <w:r w:rsidR="00D45618">
        <w:rPr>
          <w:i/>
        </w:rPr>
        <w:t>7</w:t>
      </w:r>
      <w:r w:rsidRPr="00CB567F">
        <w:t>).  Any redefinition of ‘conservation’ as an unequivocal right to fish compromis</w:t>
      </w:r>
      <w:r w:rsidR="00F35F80">
        <w:t>es not only the purpose of MPAs</w:t>
      </w:r>
      <w:r w:rsidRPr="00CB567F">
        <w:t xml:space="preserve"> but also the integrity of the Southern Ocean ecosystem and the high seas beyond (</w:t>
      </w:r>
      <w:r w:rsidR="00D45618">
        <w:rPr>
          <w:i/>
        </w:rPr>
        <w:t>4</w:t>
      </w:r>
      <w:r w:rsidRPr="00CB567F">
        <w:t>).</w:t>
      </w:r>
    </w:p>
    <w:p w14:paraId="176C6B80" w14:textId="4B49C613" w:rsidR="00CB567F" w:rsidRPr="00CB567F" w:rsidRDefault="00CB567F" w:rsidP="00CB567F">
      <w:pPr>
        <w:pStyle w:val="Text"/>
      </w:pPr>
      <w:r w:rsidRPr="00CB567F">
        <w:t>Demonstra</w:t>
      </w:r>
      <w:r w:rsidR="008C461D">
        <w:t xml:space="preserve">te Leadership.  In adopting proposed MPAs in the </w:t>
      </w:r>
      <w:r w:rsidRPr="00CB567F">
        <w:t>Ross Sea and East Antarc</w:t>
      </w:r>
      <w:r w:rsidR="008C461D">
        <w:t>tic</w:t>
      </w:r>
      <w:r w:rsidRPr="00CB567F">
        <w:t>, CCAMLR could protect more than 2 million km</w:t>
      </w:r>
      <w:r w:rsidRPr="00AF1EEB">
        <w:rPr>
          <w:vertAlign w:val="superscript"/>
        </w:rPr>
        <w:t>2</w:t>
      </w:r>
      <w:r w:rsidRPr="00CB567F">
        <w:t xml:space="preserve"> or 6% of the Southern Ocean.  With proposals for additional MPAs underway, CCAMLR could become the first international marine management organization to meet global protection targets</w:t>
      </w:r>
      <w:r w:rsidR="00C45B50">
        <w:t xml:space="preserve"> agreed to by the Convention on Biological Diversity,</w:t>
      </w:r>
      <w:r w:rsidR="00FF53E1">
        <w:t xml:space="preserve"> </w:t>
      </w:r>
      <w:r w:rsidRPr="00CB567F">
        <w:t>(10% of waters protected by 2020) (</w:t>
      </w:r>
      <w:r w:rsidRPr="004E229B">
        <w:rPr>
          <w:i/>
        </w:rPr>
        <w:t>2</w:t>
      </w:r>
      <w:r w:rsidR="00A77776">
        <w:rPr>
          <w:i/>
        </w:rPr>
        <w:t>4</w:t>
      </w:r>
      <w:r w:rsidRPr="00CB567F">
        <w:t>)</w:t>
      </w:r>
      <w:r w:rsidR="00FF53E1">
        <w:t>, to wh</w:t>
      </w:r>
      <w:r w:rsidR="00A05356">
        <w:t>ich almost all CCAMLR States are</w:t>
      </w:r>
      <w:r w:rsidR="00FF53E1">
        <w:t xml:space="preserve"> members</w:t>
      </w:r>
      <w:r w:rsidRPr="00CB567F">
        <w:t xml:space="preserve">. </w:t>
      </w:r>
      <w:r w:rsidR="00673564">
        <w:t xml:space="preserve"> </w:t>
      </w:r>
      <w:r w:rsidRPr="00CB567F">
        <w:t>This precedent would inform the current United Na</w:t>
      </w:r>
      <w:r w:rsidR="008C461D">
        <w:t>tions’ development of a</w:t>
      </w:r>
      <w:r w:rsidRPr="00CB567F">
        <w:t xml:space="preserve"> legally binding agreement for the conservation of marine biodiversity beyond national jurisdiction (</w:t>
      </w:r>
      <w:r w:rsidRPr="004E229B">
        <w:rPr>
          <w:i/>
        </w:rPr>
        <w:t>2</w:t>
      </w:r>
      <w:r w:rsidR="00A77776">
        <w:rPr>
          <w:i/>
        </w:rPr>
        <w:t>4</w:t>
      </w:r>
      <w:r w:rsidRPr="00CB567F">
        <w:t>) and influence governance of em</w:t>
      </w:r>
      <w:r w:rsidR="008C461D">
        <w:t>erging resource frontiers (e.g.</w:t>
      </w:r>
      <w:r w:rsidRPr="00CB567F">
        <w:t xml:space="preserve"> the Arctic). </w:t>
      </w:r>
    </w:p>
    <w:p w14:paraId="3564D9DA" w14:textId="1E89EF2A" w:rsidR="00CB567F" w:rsidRPr="00CB567F" w:rsidRDefault="00CB567F" w:rsidP="00CB567F">
      <w:pPr>
        <w:pStyle w:val="Text"/>
      </w:pPr>
      <w:r w:rsidRPr="00CB567F">
        <w:t>With the network of Southern O</w:t>
      </w:r>
      <w:r w:rsidR="008C461D">
        <w:t xml:space="preserve">cean MPAs under negotiation, </w:t>
      </w:r>
      <w:r w:rsidR="008C461D" w:rsidRPr="00CB567F">
        <w:t>CCAMLR</w:t>
      </w:r>
      <w:r w:rsidRPr="00CB567F">
        <w:t xml:space="preserve"> has a historic opportunity and global responsibility in 2016.  In upholding </w:t>
      </w:r>
      <w:r w:rsidR="008C461D">
        <w:t>CCAMLR’s charter</w:t>
      </w:r>
      <w:r w:rsidRPr="00CB567F">
        <w:t xml:space="preserve">, Member States </w:t>
      </w:r>
      <w:r w:rsidR="007E18F1">
        <w:t>c</w:t>
      </w:r>
      <w:r w:rsidRPr="00CB567F">
        <w:t xml:space="preserve">ould safeguard </w:t>
      </w:r>
      <w:r w:rsidR="00A05356">
        <w:t>Southern Ocean</w:t>
      </w:r>
      <w:r w:rsidRPr="00CB567F">
        <w:t xml:space="preserve"> ecosystems for current and future generations, and avoid ‘toppling over’ one of the most effective, scientifically-based, international environmental agreements. </w:t>
      </w:r>
    </w:p>
    <w:p w14:paraId="79065D8E" w14:textId="77777777" w:rsidR="00CB567F" w:rsidRDefault="00CB567F" w:rsidP="00CB567F">
      <w:pPr>
        <w:pStyle w:val="Referencehead"/>
      </w:pPr>
      <w:r w:rsidRPr="00CB567F">
        <w:t>References and Notes:</w:t>
      </w:r>
    </w:p>
    <w:p w14:paraId="043FF6DE" w14:textId="77777777" w:rsidR="00CB567F" w:rsidRPr="00CB567F" w:rsidRDefault="004E229B" w:rsidP="00CB567F">
      <w:pPr>
        <w:pStyle w:val="Referencesandnotes"/>
      </w:pPr>
      <w:bookmarkStart w:id="1" w:name="_ENREF_1"/>
      <w:r>
        <w:tab/>
      </w:r>
      <w:r w:rsidR="00CB567F" w:rsidRPr="00CB567F">
        <w:t>1.</w:t>
      </w:r>
      <w:r w:rsidR="00CB567F" w:rsidRPr="00CB567F">
        <w:tab/>
        <w:t xml:space="preserve">S. M. Grant, S. L. Hill, P. N. </w:t>
      </w:r>
      <w:proofErr w:type="spellStart"/>
      <w:r w:rsidR="00CB567F" w:rsidRPr="00CB567F">
        <w:t>Trathan</w:t>
      </w:r>
      <w:proofErr w:type="spellEnd"/>
      <w:r w:rsidR="00CB567F" w:rsidRPr="00CB567F">
        <w:t xml:space="preserve">, E. J. Murphy, </w:t>
      </w:r>
      <w:proofErr w:type="spellStart"/>
      <w:r w:rsidR="00CB567F" w:rsidRPr="00CB567F">
        <w:rPr>
          <w:i/>
        </w:rPr>
        <w:t>Antarct</w:t>
      </w:r>
      <w:proofErr w:type="spellEnd"/>
      <w:r w:rsidR="00CB567F" w:rsidRPr="00CB567F">
        <w:rPr>
          <w:i/>
        </w:rPr>
        <w:t>. Sci.</w:t>
      </w:r>
      <w:r w:rsidR="00CB567F" w:rsidRPr="00CB567F">
        <w:t xml:space="preserve"> </w:t>
      </w:r>
      <w:r w:rsidR="00CB567F" w:rsidRPr="004E229B">
        <w:rPr>
          <w:b/>
        </w:rPr>
        <w:t>25</w:t>
      </w:r>
      <w:r w:rsidR="00CB567F" w:rsidRPr="00CB567F">
        <w:t>, 603-617 (2013).</w:t>
      </w:r>
      <w:bookmarkEnd w:id="1"/>
    </w:p>
    <w:p w14:paraId="24EE53E1" w14:textId="77777777" w:rsidR="00CB567F" w:rsidRPr="00CB567F" w:rsidRDefault="004E229B" w:rsidP="00CB567F">
      <w:pPr>
        <w:pStyle w:val="Referencesandnotes"/>
      </w:pPr>
      <w:bookmarkStart w:id="2" w:name="_ENREF_2"/>
      <w:r>
        <w:tab/>
      </w:r>
      <w:r w:rsidR="00CB567F" w:rsidRPr="00CB567F">
        <w:t>2.</w:t>
      </w:r>
      <w:r w:rsidR="00CB567F" w:rsidRPr="00CB567F">
        <w:tab/>
        <w:t>B. S. Halpern</w:t>
      </w:r>
      <w:r w:rsidR="00CB567F" w:rsidRPr="00CB567F">
        <w:rPr>
          <w:i/>
        </w:rPr>
        <w:t xml:space="preserve"> et al.</w:t>
      </w:r>
      <w:r w:rsidR="00CB567F" w:rsidRPr="00CB567F">
        <w:t xml:space="preserve">, </w:t>
      </w:r>
      <w:r w:rsidR="00CB567F" w:rsidRPr="00CB567F">
        <w:rPr>
          <w:i/>
        </w:rPr>
        <w:t>Science</w:t>
      </w:r>
      <w:r w:rsidR="00CB567F" w:rsidRPr="00CB567F">
        <w:t xml:space="preserve"> </w:t>
      </w:r>
      <w:r w:rsidR="00CB567F" w:rsidRPr="004E229B">
        <w:rPr>
          <w:b/>
        </w:rPr>
        <w:t>319</w:t>
      </w:r>
      <w:r w:rsidR="00CB567F" w:rsidRPr="00CB567F">
        <w:t>, 948-952 (2008).</w:t>
      </w:r>
      <w:bookmarkEnd w:id="2"/>
    </w:p>
    <w:p w14:paraId="1CF39B09" w14:textId="6052A2FA" w:rsidR="001A5DFF" w:rsidRDefault="004E229B" w:rsidP="00CB567F">
      <w:pPr>
        <w:pStyle w:val="Referencesandnotes"/>
      </w:pPr>
      <w:bookmarkStart w:id="3" w:name="_ENREF_3"/>
      <w:r>
        <w:tab/>
      </w:r>
      <w:r w:rsidR="00CB567F" w:rsidRPr="00CB567F">
        <w:t>3.</w:t>
      </w:r>
      <w:r w:rsidR="00CB567F" w:rsidRPr="00CB567F">
        <w:tab/>
      </w:r>
      <w:r w:rsidR="001A5DFF">
        <w:t xml:space="preserve">D. G. Miller. “Sustainable Management in the Southern Ocean: CCAMLR Science” in </w:t>
      </w:r>
      <w:r w:rsidR="001A5DFF" w:rsidRPr="00CB567F">
        <w:rPr>
          <w:i/>
        </w:rPr>
        <w:t>Science Diplomacy: Antarctica, Science and the Governance of International Spaces</w:t>
      </w:r>
      <w:r w:rsidR="00A4262B">
        <w:t xml:space="preserve"> (</w:t>
      </w:r>
      <w:r w:rsidR="00A4262B" w:rsidRPr="00CB567F">
        <w:t>Smithsonian Institute Scholarly Press, Washington, DC, 2011).</w:t>
      </w:r>
    </w:p>
    <w:p w14:paraId="64C6F53E" w14:textId="120D743B" w:rsidR="00A4262B" w:rsidRPr="00CB567F" w:rsidRDefault="00A4262B" w:rsidP="00A4262B">
      <w:pPr>
        <w:pStyle w:val="Referencesandnotes"/>
      </w:pPr>
      <w:r>
        <w:t xml:space="preserve">  4</w:t>
      </w:r>
      <w:r w:rsidRPr="00CB567F">
        <w:t>.</w:t>
      </w:r>
      <w:r w:rsidRPr="00CB567F">
        <w:tab/>
        <w:t>C. M. Brooks</w:t>
      </w:r>
      <w:r w:rsidRPr="00CB567F">
        <w:rPr>
          <w:i/>
        </w:rPr>
        <w:t xml:space="preserve"> et al.</w:t>
      </w:r>
      <w:r w:rsidRPr="00CB567F">
        <w:t xml:space="preserve">, </w:t>
      </w:r>
      <w:r w:rsidRPr="00CB567F">
        <w:rPr>
          <w:i/>
        </w:rPr>
        <w:t xml:space="preserve">Stan. </w:t>
      </w:r>
      <w:proofErr w:type="spellStart"/>
      <w:r w:rsidRPr="00CB567F">
        <w:rPr>
          <w:i/>
        </w:rPr>
        <w:t>Envtl</w:t>
      </w:r>
      <w:proofErr w:type="spellEnd"/>
      <w:r w:rsidRPr="00CB567F">
        <w:rPr>
          <w:i/>
        </w:rPr>
        <w:t>. LJ.</w:t>
      </w:r>
      <w:r w:rsidRPr="00CB567F">
        <w:t xml:space="preserve"> </w:t>
      </w:r>
      <w:r w:rsidRPr="004E229B">
        <w:rPr>
          <w:b/>
        </w:rPr>
        <w:t>33</w:t>
      </w:r>
      <w:r w:rsidRPr="00CB567F">
        <w:t>, 289-324 (2014).</w:t>
      </w:r>
    </w:p>
    <w:p w14:paraId="4379C09E" w14:textId="3539FF77" w:rsidR="001A5DFF" w:rsidRDefault="00A4262B" w:rsidP="00A4262B">
      <w:pPr>
        <w:pStyle w:val="Referencesandnotes"/>
      </w:pPr>
      <w:r>
        <w:t xml:space="preserve">  5</w:t>
      </w:r>
      <w:r w:rsidRPr="00CB567F">
        <w:t>.</w:t>
      </w:r>
      <w:r w:rsidRPr="00CB567F">
        <w:tab/>
        <w:t xml:space="preserve">C. M. Brooks, </w:t>
      </w:r>
      <w:r w:rsidRPr="00CB567F">
        <w:rPr>
          <w:i/>
        </w:rPr>
        <w:t>Polar J.</w:t>
      </w:r>
      <w:r w:rsidRPr="00CB567F">
        <w:t xml:space="preserve"> </w:t>
      </w:r>
      <w:r w:rsidRPr="004E229B">
        <w:rPr>
          <w:b/>
        </w:rPr>
        <w:t>3</w:t>
      </w:r>
      <w:r w:rsidRPr="00CB567F">
        <w:t>, 277-300 (2013).</w:t>
      </w:r>
    </w:p>
    <w:p w14:paraId="66149F2D" w14:textId="7E4A43FA" w:rsidR="00CB567F" w:rsidRPr="00CB567F" w:rsidRDefault="00A4262B" w:rsidP="00CB567F">
      <w:pPr>
        <w:pStyle w:val="Referencesandnotes"/>
      </w:pPr>
      <w:r>
        <w:t xml:space="preserve">  6. </w:t>
      </w:r>
      <w:r w:rsidR="00CB567F" w:rsidRPr="00CB567F">
        <w:t xml:space="preserve">P. Berkman, M. Lang, W. Walton, O. Young, </w:t>
      </w:r>
      <w:r w:rsidR="00CB567F" w:rsidRPr="00CB567F">
        <w:rPr>
          <w:i/>
        </w:rPr>
        <w:t>Science Diplomacy: Antarctica, Science and the Governance of International Spaces</w:t>
      </w:r>
      <w:r w:rsidR="00CB567F" w:rsidRPr="00CB567F">
        <w:t>.  (Smithsonian Institute Scholarly Press, Washington, DC, 2011).</w:t>
      </w:r>
      <w:bookmarkEnd w:id="3"/>
    </w:p>
    <w:p w14:paraId="402B6347" w14:textId="1A6108BC" w:rsidR="00CB567F" w:rsidRPr="00CB567F" w:rsidRDefault="004E229B" w:rsidP="00CB567F">
      <w:pPr>
        <w:pStyle w:val="Referencesandnotes"/>
      </w:pPr>
      <w:bookmarkStart w:id="4" w:name="_ENREF_4"/>
      <w:r>
        <w:tab/>
      </w:r>
      <w:r w:rsidR="00A4262B">
        <w:t xml:space="preserve">  7</w:t>
      </w:r>
      <w:r w:rsidR="00CB567F" w:rsidRPr="00CB567F">
        <w:t>.</w:t>
      </w:r>
      <w:r w:rsidR="00CB567F" w:rsidRPr="00CB567F">
        <w:tab/>
        <w:t>The Convention on the Conservation of Marine Living Resources.  (1980).</w:t>
      </w:r>
      <w:bookmarkEnd w:id="4"/>
    </w:p>
    <w:p w14:paraId="38B641C1" w14:textId="6B2199CF" w:rsidR="00CB567F" w:rsidRPr="00CB567F" w:rsidRDefault="00A4262B" w:rsidP="00A4262B">
      <w:pPr>
        <w:pStyle w:val="Referencesandnotes"/>
      </w:pPr>
      <w:bookmarkStart w:id="5" w:name="_ENREF_5"/>
      <w:r>
        <w:t xml:space="preserve">   8.</w:t>
      </w:r>
      <w:r w:rsidR="004E229B">
        <w:tab/>
      </w:r>
      <w:r>
        <w:t>CCAMLR, Resolution 31/XXVII Best Available Science (2009).</w:t>
      </w:r>
      <w:bookmarkEnd w:id="5"/>
    </w:p>
    <w:p w14:paraId="43055970" w14:textId="031679E3" w:rsidR="00CB567F" w:rsidRPr="00CB567F" w:rsidRDefault="004E229B" w:rsidP="00CB567F">
      <w:pPr>
        <w:pStyle w:val="Referencesandnotes"/>
      </w:pPr>
      <w:bookmarkStart w:id="6" w:name="_ENREF_7"/>
      <w:r>
        <w:tab/>
      </w:r>
      <w:r w:rsidR="00A4262B">
        <w:t>9</w:t>
      </w:r>
      <w:r w:rsidR="00CB567F" w:rsidRPr="00CB567F">
        <w:t>.</w:t>
      </w:r>
      <w:r w:rsidR="00CB567F" w:rsidRPr="00CB567F">
        <w:tab/>
        <w:t>G. J. Edgar</w:t>
      </w:r>
      <w:r w:rsidR="00CB567F" w:rsidRPr="00CB567F">
        <w:rPr>
          <w:i/>
        </w:rPr>
        <w:t xml:space="preserve"> et al.</w:t>
      </w:r>
      <w:r w:rsidR="00CB567F" w:rsidRPr="00CB567F">
        <w:t xml:space="preserve">, </w:t>
      </w:r>
      <w:r w:rsidR="00CB567F" w:rsidRPr="00CB567F">
        <w:rPr>
          <w:i/>
        </w:rPr>
        <w:t>Nature</w:t>
      </w:r>
      <w:r w:rsidR="00CB567F" w:rsidRPr="00CB567F">
        <w:t xml:space="preserve"> </w:t>
      </w:r>
      <w:r w:rsidR="00CB567F" w:rsidRPr="004E229B">
        <w:rPr>
          <w:b/>
        </w:rPr>
        <w:t>506</w:t>
      </w:r>
      <w:r w:rsidR="00CB567F" w:rsidRPr="00CB567F">
        <w:t>, 216-220 (2014).</w:t>
      </w:r>
    </w:p>
    <w:p w14:paraId="3F44ECBD" w14:textId="104EAB4C" w:rsidR="00CB567F" w:rsidRPr="00CB567F" w:rsidRDefault="004E229B" w:rsidP="00CB567F">
      <w:pPr>
        <w:pStyle w:val="Referencesandnotes"/>
      </w:pPr>
      <w:r>
        <w:lastRenderedPageBreak/>
        <w:tab/>
      </w:r>
      <w:r w:rsidR="00A4262B">
        <w:t>10</w:t>
      </w:r>
      <w:r w:rsidR="00CB567F" w:rsidRPr="00CB567F">
        <w:t>.</w:t>
      </w:r>
      <w:r w:rsidR="00CB567F" w:rsidRPr="00CB567F">
        <w:tab/>
        <w:t xml:space="preserve">J. </w:t>
      </w:r>
      <w:proofErr w:type="spellStart"/>
      <w:r w:rsidR="00CB567F" w:rsidRPr="00CB567F">
        <w:t>Lubchenco</w:t>
      </w:r>
      <w:proofErr w:type="spellEnd"/>
      <w:r w:rsidR="00CB567F" w:rsidRPr="00CB567F">
        <w:t xml:space="preserve">, K. </w:t>
      </w:r>
      <w:proofErr w:type="spellStart"/>
      <w:r w:rsidR="00CB567F" w:rsidRPr="00CB567F">
        <w:t>Grorud-Colvert</w:t>
      </w:r>
      <w:proofErr w:type="spellEnd"/>
      <w:r w:rsidR="00CB567F" w:rsidRPr="00CB567F">
        <w:t xml:space="preserve">, </w:t>
      </w:r>
      <w:r w:rsidR="00CB567F" w:rsidRPr="00CB567F">
        <w:rPr>
          <w:i/>
        </w:rPr>
        <w:t>Science</w:t>
      </w:r>
      <w:r w:rsidR="00CB567F" w:rsidRPr="00CB567F">
        <w:t xml:space="preserve"> </w:t>
      </w:r>
      <w:r w:rsidR="00CB567F" w:rsidRPr="004E229B">
        <w:rPr>
          <w:b/>
        </w:rPr>
        <w:t>350</w:t>
      </w:r>
      <w:r w:rsidR="00CB567F" w:rsidRPr="00CB567F">
        <w:t>, 382-383 (2015).</w:t>
      </w:r>
    </w:p>
    <w:p w14:paraId="523ADA56" w14:textId="350E2E12" w:rsidR="00CB567F" w:rsidRPr="00CB567F" w:rsidRDefault="004E229B" w:rsidP="00CB567F">
      <w:pPr>
        <w:pStyle w:val="Referencesandnotes"/>
      </w:pPr>
      <w:r>
        <w:tab/>
      </w:r>
      <w:r w:rsidR="00A4262B">
        <w:t>11</w:t>
      </w:r>
      <w:r w:rsidR="00CB567F" w:rsidRPr="00CB567F">
        <w:t>.</w:t>
      </w:r>
      <w:r w:rsidR="00CB567F" w:rsidRPr="00CB567F">
        <w:tab/>
        <w:t>CCAMLR, Conservation Measure 91-04. General Framework for the establishment of CCAMLR Marine Protected Areas (2011).</w:t>
      </w:r>
    </w:p>
    <w:p w14:paraId="36D7009E" w14:textId="7C0A4080" w:rsidR="00CB567F" w:rsidRPr="00CB567F" w:rsidRDefault="004E229B" w:rsidP="00CB567F">
      <w:pPr>
        <w:pStyle w:val="Referencesandnotes"/>
      </w:pPr>
      <w:r>
        <w:tab/>
      </w:r>
      <w:r w:rsidR="00CB567F" w:rsidRPr="00CB567F">
        <w:t>1</w:t>
      </w:r>
      <w:r w:rsidR="00A4262B">
        <w:t>2</w:t>
      </w:r>
      <w:r w:rsidR="00CB567F" w:rsidRPr="00CB567F">
        <w:t xml:space="preserve">. </w:t>
      </w:r>
      <w:r w:rsidR="00CB567F" w:rsidRPr="00CB567F">
        <w:tab/>
        <w:t xml:space="preserve">S. </w:t>
      </w:r>
      <w:proofErr w:type="spellStart"/>
      <w:r w:rsidR="00CB567F" w:rsidRPr="00CB567F">
        <w:t>Stammerjohn</w:t>
      </w:r>
      <w:proofErr w:type="spellEnd"/>
      <w:r w:rsidR="00CB567F" w:rsidRPr="00CB567F">
        <w:t xml:space="preserve">, R. </w:t>
      </w:r>
      <w:proofErr w:type="spellStart"/>
      <w:r w:rsidR="00CB567F" w:rsidRPr="00CB567F">
        <w:t>Massom</w:t>
      </w:r>
      <w:proofErr w:type="spellEnd"/>
      <w:r w:rsidR="00CB567F" w:rsidRPr="00CB567F">
        <w:t xml:space="preserve">, D. Rind, D. Martinson, </w:t>
      </w:r>
      <w:proofErr w:type="spellStart"/>
      <w:r w:rsidR="00CB567F" w:rsidRPr="00CB567F">
        <w:rPr>
          <w:i/>
        </w:rPr>
        <w:t>Geophys</w:t>
      </w:r>
      <w:proofErr w:type="spellEnd"/>
      <w:r w:rsidR="00CB567F" w:rsidRPr="00CB567F">
        <w:rPr>
          <w:i/>
        </w:rPr>
        <w:t>. Res. Lett.</w:t>
      </w:r>
      <w:r w:rsidR="00CB567F" w:rsidRPr="00CB567F">
        <w:t xml:space="preserve"> </w:t>
      </w:r>
      <w:r w:rsidR="00CB567F" w:rsidRPr="004E229B">
        <w:rPr>
          <w:b/>
        </w:rPr>
        <w:t>39</w:t>
      </w:r>
      <w:r w:rsidR="00CB567F" w:rsidRPr="00CB567F">
        <w:t>, L06501 (2012).</w:t>
      </w:r>
      <w:bookmarkEnd w:id="6"/>
    </w:p>
    <w:p w14:paraId="713F6C09" w14:textId="30597825" w:rsidR="00CB567F" w:rsidRDefault="004E229B" w:rsidP="00CB567F">
      <w:pPr>
        <w:pStyle w:val="Referencesandnotes"/>
      </w:pPr>
      <w:bookmarkStart w:id="7" w:name="_ENREF_8"/>
      <w:r>
        <w:tab/>
      </w:r>
      <w:r w:rsidR="00CB567F" w:rsidRPr="00CB567F">
        <w:t>1</w:t>
      </w:r>
      <w:r w:rsidR="00A4262B">
        <w:t>3</w:t>
      </w:r>
      <w:r w:rsidR="00CB567F" w:rsidRPr="00CB567F">
        <w:t>.</w:t>
      </w:r>
      <w:r w:rsidR="00CB567F" w:rsidRPr="00CB567F">
        <w:tab/>
        <w:t>O. Schofield</w:t>
      </w:r>
      <w:r w:rsidR="00CB567F" w:rsidRPr="00CB567F">
        <w:rPr>
          <w:i/>
        </w:rPr>
        <w:t xml:space="preserve"> et al.</w:t>
      </w:r>
      <w:r w:rsidR="00CB567F" w:rsidRPr="00CB567F">
        <w:t xml:space="preserve">, </w:t>
      </w:r>
      <w:r w:rsidR="00CB567F" w:rsidRPr="00CB567F">
        <w:rPr>
          <w:i/>
        </w:rPr>
        <w:t>Science</w:t>
      </w:r>
      <w:r w:rsidR="00CB567F" w:rsidRPr="00CB567F">
        <w:t xml:space="preserve"> </w:t>
      </w:r>
      <w:r w:rsidR="00CB567F" w:rsidRPr="004E229B">
        <w:rPr>
          <w:b/>
        </w:rPr>
        <w:t>328</w:t>
      </w:r>
      <w:r w:rsidR="00CB567F" w:rsidRPr="00CB567F">
        <w:t>, 1520-1523 (2010).</w:t>
      </w:r>
      <w:bookmarkEnd w:id="7"/>
    </w:p>
    <w:p w14:paraId="09ECE462" w14:textId="095D2854" w:rsidR="00C33F41" w:rsidRDefault="00C33F41" w:rsidP="00C33F41">
      <w:pPr>
        <w:pStyle w:val="Referencesandnotes"/>
      </w:pPr>
      <w:r>
        <w:t xml:space="preserve">14. W. Z. </w:t>
      </w:r>
      <w:proofErr w:type="spellStart"/>
      <w:r>
        <w:t>Trivelpiece</w:t>
      </w:r>
      <w:proofErr w:type="spellEnd"/>
      <w:r>
        <w:t xml:space="preserve">, J. T. </w:t>
      </w:r>
      <w:proofErr w:type="spellStart"/>
      <w:r>
        <w:t>Hinke</w:t>
      </w:r>
      <w:proofErr w:type="spellEnd"/>
      <w:r>
        <w:t xml:space="preserve">, A. K. Miller, C. S. Reiss, S. G. </w:t>
      </w:r>
      <w:proofErr w:type="spellStart"/>
      <w:r>
        <w:t>Trivelpiece</w:t>
      </w:r>
      <w:proofErr w:type="spellEnd"/>
      <w:r>
        <w:t xml:space="preserve">, G. M. Watters. </w:t>
      </w:r>
      <w:r>
        <w:rPr>
          <w:i/>
        </w:rPr>
        <w:t>PNAS</w:t>
      </w:r>
      <w:r>
        <w:t>. 108, 7625-7628 (2011).</w:t>
      </w:r>
    </w:p>
    <w:p w14:paraId="533A2F37" w14:textId="136C0083" w:rsidR="00D45618" w:rsidRPr="00CB567F" w:rsidRDefault="00D45618" w:rsidP="00CB567F">
      <w:pPr>
        <w:pStyle w:val="Referencesandnotes"/>
      </w:pPr>
      <w:r w:rsidRPr="00CB567F">
        <w:t>1</w:t>
      </w:r>
      <w:r w:rsidR="00C33F41">
        <w:t>5</w:t>
      </w:r>
      <w:r w:rsidRPr="00CB567F">
        <w:t>.</w:t>
      </w:r>
      <w:r w:rsidRPr="00CB567F">
        <w:tab/>
        <w:t>CCAMLR, “Report of the XXXIV Meeting of the Commission” (2015).</w:t>
      </w:r>
    </w:p>
    <w:p w14:paraId="61389E88" w14:textId="5EA1EE44" w:rsidR="00CB567F" w:rsidRPr="00CB567F" w:rsidRDefault="004E229B" w:rsidP="00C33F41">
      <w:pPr>
        <w:pStyle w:val="Referencesandnotes"/>
      </w:pPr>
      <w:bookmarkStart w:id="8" w:name="_ENREF_9"/>
      <w:r>
        <w:tab/>
      </w:r>
      <w:r w:rsidR="00CB567F" w:rsidRPr="00CB567F">
        <w:t>1</w:t>
      </w:r>
      <w:r w:rsidR="00C33F41">
        <w:t>6</w:t>
      </w:r>
      <w:r w:rsidR="00CB567F" w:rsidRPr="00CB567F">
        <w:t>.</w:t>
      </w:r>
      <w:r w:rsidR="00CB567F" w:rsidRPr="00CB567F">
        <w:tab/>
        <w:t xml:space="preserve">S. Nicol, J. Foster, S. Kawaguchi, </w:t>
      </w:r>
      <w:r w:rsidR="00CB567F" w:rsidRPr="00CB567F">
        <w:rPr>
          <w:i/>
        </w:rPr>
        <w:t>Fish. Fish.</w:t>
      </w:r>
      <w:r w:rsidR="00CB567F" w:rsidRPr="00CB567F">
        <w:t xml:space="preserve"> </w:t>
      </w:r>
      <w:r w:rsidR="00CB567F" w:rsidRPr="004E229B">
        <w:rPr>
          <w:b/>
        </w:rPr>
        <w:t>13</w:t>
      </w:r>
      <w:r w:rsidR="00CB567F" w:rsidRPr="00CB567F">
        <w:t>, 30-40 (2012).</w:t>
      </w:r>
      <w:bookmarkEnd w:id="8"/>
    </w:p>
    <w:p w14:paraId="5426AE0F" w14:textId="053E8A83" w:rsidR="00CB567F" w:rsidRPr="00CB567F" w:rsidRDefault="004E229B" w:rsidP="00CB567F">
      <w:pPr>
        <w:pStyle w:val="Referencesandnotes"/>
      </w:pPr>
      <w:bookmarkStart w:id="9" w:name="_ENREF_11"/>
      <w:r>
        <w:tab/>
      </w:r>
      <w:r w:rsidR="00CB567F" w:rsidRPr="00CB567F">
        <w:t>1</w:t>
      </w:r>
      <w:r w:rsidR="00D45618">
        <w:t>7</w:t>
      </w:r>
      <w:r w:rsidR="00CB567F" w:rsidRPr="00CB567F">
        <w:t>.</w:t>
      </w:r>
      <w:r w:rsidR="00CB567F" w:rsidRPr="00CB567F">
        <w:tab/>
        <w:t xml:space="preserve">C. M. Brooks, D. G. Ainley, “Fishing the bottom of the Earth: The political challenges of ecosystem-based management” in </w:t>
      </w:r>
      <w:r w:rsidR="00CB567F" w:rsidRPr="00CB567F">
        <w:rPr>
          <w:i/>
        </w:rPr>
        <w:t>Handbook on Antarctic Politics</w:t>
      </w:r>
      <w:r w:rsidR="00CB567F" w:rsidRPr="00CB567F">
        <w:t xml:space="preserve"> (Edward Elgar Publishing, 2016).</w:t>
      </w:r>
      <w:bookmarkEnd w:id="9"/>
    </w:p>
    <w:p w14:paraId="6AF04971" w14:textId="4B5474F8" w:rsidR="00CB567F" w:rsidRPr="00CB567F" w:rsidRDefault="004E229B" w:rsidP="00CB567F">
      <w:pPr>
        <w:pStyle w:val="Referencesandnotes"/>
      </w:pPr>
      <w:bookmarkStart w:id="10" w:name="_ENREF_13"/>
      <w:r>
        <w:tab/>
      </w:r>
      <w:r w:rsidR="00CB567F" w:rsidRPr="00CB567F">
        <w:t>1</w:t>
      </w:r>
      <w:r w:rsidR="00B14E28">
        <w:t>8</w:t>
      </w:r>
      <w:r w:rsidR="00CB567F" w:rsidRPr="00CB567F">
        <w:t>.</w:t>
      </w:r>
      <w:r w:rsidR="00CB567F" w:rsidRPr="00CB567F">
        <w:tab/>
        <w:t>CCAMLR, Conservation Measure 91-03. Protection of the South Orkney Islands southern shelf (2009).</w:t>
      </w:r>
    </w:p>
    <w:p w14:paraId="1F3E65A5" w14:textId="02181C79" w:rsidR="00CB567F" w:rsidRPr="00CB567F" w:rsidRDefault="004E229B" w:rsidP="00CB567F">
      <w:pPr>
        <w:pStyle w:val="Referencesandnotes"/>
      </w:pPr>
      <w:r>
        <w:tab/>
      </w:r>
      <w:r w:rsidR="00CB567F" w:rsidRPr="00CB567F">
        <w:t>1</w:t>
      </w:r>
      <w:r w:rsidR="00B14E28">
        <w:t>9</w:t>
      </w:r>
      <w:r w:rsidR="00CB567F" w:rsidRPr="00CB567F">
        <w:t xml:space="preserve">. </w:t>
      </w:r>
      <w:r w:rsidR="00CB567F" w:rsidRPr="00CB567F">
        <w:tab/>
        <w:t>CCAMLR, "Report of the XXVIII Meeting of the Commission" (2009).</w:t>
      </w:r>
      <w:bookmarkEnd w:id="10"/>
    </w:p>
    <w:p w14:paraId="37CE2C81" w14:textId="72090148" w:rsidR="00CB567F" w:rsidRPr="00CB567F" w:rsidRDefault="004E229B" w:rsidP="00CB567F">
      <w:pPr>
        <w:pStyle w:val="Referencesandnotes"/>
      </w:pPr>
      <w:bookmarkStart w:id="11" w:name="_ENREF_14"/>
      <w:r>
        <w:tab/>
      </w:r>
      <w:r w:rsidR="00B14E28">
        <w:t>20</w:t>
      </w:r>
      <w:r w:rsidR="00CB567F" w:rsidRPr="00CB567F">
        <w:t>.</w:t>
      </w:r>
      <w:r w:rsidR="00CB567F" w:rsidRPr="00CB567F">
        <w:tab/>
        <w:t xml:space="preserve">G. Ballard, D. </w:t>
      </w:r>
      <w:proofErr w:type="spellStart"/>
      <w:r w:rsidR="00CB567F" w:rsidRPr="00CB567F">
        <w:t>Jongsomjit</w:t>
      </w:r>
      <w:proofErr w:type="spellEnd"/>
      <w:r w:rsidR="00CB567F" w:rsidRPr="00CB567F">
        <w:t xml:space="preserve">, S. D. </w:t>
      </w:r>
      <w:proofErr w:type="spellStart"/>
      <w:r w:rsidR="00CB567F" w:rsidRPr="00CB567F">
        <w:t>Veloz</w:t>
      </w:r>
      <w:proofErr w:type="spellEnd"/>
      <w:r w:rsidR="00CB567F" w:rsidRPr="00CB567F">
        <w:t xml:space="preserve">, D. G. Ainley, </w:t>
      </w:r>
      <w:r w:rsidR="00CB567F" w:rsidRPr="00CB567F">
        <w:rPr>
          <w:i/>
        </w:rPr>
        <w:t xml:space="preserve">Biol. </w:t>
      </w:r>
      <w:proofErr w:type="spellStart"/>
      <w:r w:rsidR="00CB567F" w:rsidRPr="00CB567F">
        <w:rPr>
          <w:i/>
        </w:rPr>
        <w:t>Conserv</w:t>
      </w:r>
      <w:proofErr w:type="spellEnd"/>
      <w:r w:rsidR="00CB567F" w:rsidRPr="00CB567F">
        <w:rPr>
          <w:i/>
        </w:rPr>
        <w:t>.</w:t>
      </w:r>
      <w:r w:rsidR="00CB567F" w:rsidRPr="00CB567F">
        <w:t xml:space="preserve"> </w:t>
      </w:r>
      <w:r w:rsidR="00CB567F" w:rsidRPr="004E229B">
        <w:rPr>
          <w:b/>
        </w:rPr>
        <w:t>156</w:t>
      </w:r>
      <w:r w:rsidR="00CB567F" w:rsidRPr="00CB567F">
        <w:t>, 72-82 (2012).</w:t>
      </w:r>
      <w:bookmarkEnd w:id="11"/>
    </w:p>
    <w:p w14:paraId="750A5F53" w14:textId="04B5A002" w:rsidR="00DD2D64" w:rsidRDefault="00A77776" w:rsidP="00A77776">
      <w:pPr>
        <w:pStyle w:val="Referencesandnotes"/>
      </w:pPr>
      <w:r>
        <w:t xml:space="preserve">21. </w:t>
      </w:r>
      <w:r w:rsidR="00DD2D64">
        <w:t xml:space="preserve">K. Dodds, M. Nuttall, </w:t>
      </w:r>
      <w:proofErr w:type="gramStart"/>
      <w:r w:rsidR="00DD2D64">
        <w:t>The</w:t>
      </w:r>
      <w:proofErr w:type="gramEnd"/>
      <w:r w:rsidR="00DD2D64">
        <w:t xml:space="preserve"> Scramble for the Poles. (Polity Press, 2016).</w:t>
      </w:r>
      <w:r w:rsidR="004E229B">
        <w:tab/>
      </w:r>
    </w:p>
    <w:p w14:paraId="7B8E283A" w14:textId="2FB1FB4F" w:rsidR="00CB567F" w:rsidRPr="00CB567F" w:rsidRDefault="00DD2D64" w:rsidP="00CB567F">
      <w:pPr>
        <w:pStyle w:val="Referencesandnotes"/>
      </w:pPr>
      <w:r>
        <w:t>2</w:t>
      </w:r>
      <w:r w:rsidR="00A77776">
        <w:t>2</w:t>
      </w:r>
      <w:r w:rsidR="00CB567F" w:rsidRPr="00CB567F">
        <w:t xml:space="preserve">. </w:t>
      </w:r>
      <w:r w:rsidR="00CB567F" w:rsidRPr="00CB567F">
        <w:tab/>
        <w:t xml:space="preserve">J. </w:t>
      </w:r>
      <w:proofErr w:type="spellStart"/>
      <w:r w:rsidR="00CB567F" w:rsidRPr="00CB567F">
        <w:t>Jacquet</w:t>
      </w:r>
      <w:proofErr w:type="spellEnd"/>
      <w:r w:rsidR="00CB567F" w:rsidRPr="00CB567F">
        <w:t xml:space="preserve">, E. Blood-Patterson, C. M. Brooks, D. G. Ainley, ‘Rational use’ in Antarctic waters. </w:t>
      </w:r>
      <w:r w:rsidR="00CB567F" w:rsidRPr="00CB567F">
        <w:rPr>
          <w:i/>
        </w:rPr>
        <w:t>Mar Policy</w:t>
      </w:r>
      <w:r w:rsidR="00CB567F" w:rsidRPr="00CB567F">
        <w:t xml:space="preserve"> 63, 28-34 (2016).</w:t>
      </w:r>
    </w:p>
    <w:p w14:paraId="17AA3155" w14:textId="78931843" w:rsidR="00CB567F" w:rsidRPr="00CB567F" w:rsidRDefault="004E229B" w:rsidP="00CB567F">
      <w:pPr>
        <w:pStyle w:val="Referencesandnotes"/>
      </w:pPr>
      <w:bookmarkStart w:id="12" w:name="_ENREF_17"/>
      <w:r>
        <w:tab/>
      </w:r>
      <w:r w:rsidR="00A77776">
        <w:t>23</w:t>
      </w:r>
      <w:r w:rsidR="00CB567F" w:rsidRPr="00CB567F">
        <w:t>.</w:t>
      </w:r>
      <w:r w:rsidR="00CB567F" w:rsidRPr="00CB567F">
        <w:tab/>
        <w:t>J. C. Day</w:t>
      </w:r>
      <w:r w:rsidR="00CB567F" w:rsidRPr="00CB567F">
        <w:rPr>
          <w:i/>
        </w:rPr>
        <w:t xml:space="preserve"> et al.</w:t>
      </w:r>
      <w:r w:rsidR="00CB567F" w:rsidRPr="00CB567F">
        <w:t>, "Guidelines for Applying the IUCN Protected Area Management Categories to MPAs</w:t>
      </w:r>
      <w:proofErr w:type="gramStart"/>
      <w:r w:rsidR="00CB567F" w:rsidRPr="00CB567F">
        <w:t xml:space="preserve">" </w:t>
      </w:r>
      <w:r w:rsidR="00CB567F" w:rsidRPr="00CB567F">
        <w:rPr>
          <w:i/>
        </w:rPr>
        <w:t xml:space="preserve"> </w:t>
      </w:r>
      <w:r w:rsidR="00CB567F" w:rsidRPr="00CB567F">
        <w:t>(</w:t>
      </w:r>
      <w:proofErr w:type="gramEnd"/>
      <w:r w:rsidR="00CB567F" w:rsidRPr="00CB567F">
        <w:t>IUCN, Gland, 2012).</w:t>
      </w:r>
    </w:p>
    <w:p w14:paraId="773351E2" w14:textId="152F2A7F" w:rsidR="00CB567F" w:rsidRDefault="004E229B" w:rsidP="00CB567F">
      <w:pPr>
        <w:pStyle w:val="Referencesandnotes"/>
      </w:pPr>
      <w:r>
        <w:tab/>
      </w:r>
      <w:r w:rsidR="00CB567F" w:rsidRPr="00CB567F">
        <w:t>2</w:t>
      </w:r>
      <w:r w:rsidR="00A77776">
        <w:t>4</w:t>
      </w:r>
      <w:r w:rsidR="00CB567F" w:rsidRPr="00CB567F">
        <w:t xml:space="preserve">. </w:t>
      </w:r>
      <w:r w:rsidR="00CB567F" w:rsidRPr="00CB567F">
        <w:tab/>
        <w:t xml:space="preserve">K. M. </w:t>
      </w:r>
      <w:proofErr w:type="spellStart"/>
      <w:r w:rsidR="00CB567F" w:rsidRPr="00CB567F">
        <w:t>Gjerde</w:t>
      </w:r>
      <w:proofErr w:type="spellEnd"/>
      <w:r w:rsidR="00CB567F" w:rsidRPr="00CB567F">
        <w:rPr>
          <w:i/>
        </w:rPr>
        <w:t xml:space="preserve"> et al.</w:t>
      </w:r>
      <w:r w:rsidR="00CB567F" w:rsidRPr="00CB567F">
        <w:t xml:space="preserve">, </w:t>
      </w:r>
      <w:proofErr w:type="spellStart"/>
      <w:r w:rsidR="00CB567F" w:rsidRPr="00CB567F">
        <w:rPr>
          <w:i/>
        </w:rPr>
        <w:t>Aquat</w:t>
      </w:r>
      <w:proofErr w:type="spellEnd"/>
      <w:r w:rsidR="00CB567F" w:rsidRPr="00CB567F">
        <w:rPr>
          <w:i/>
        </w:rPr>
        <w:t xml:space="preserve">. </w:t>
      </w:r>
      <w:proofErr w:type="spellStart"/>
      <w:r w:rsidR="00CB567F" w:rsidRPr="00CB567F">
        <w:rPr>
          <w:i/>
        </w:rPr>
        <w:t>Conserv</w:t>
      </w:r>
      <w:proofErr w:type="spellEnd"/>
      <w:r w:rsidR="00CB567F" w:rsidRPr="00CB567F">
        <w:rPr>
          <w:i/>
        </w:rPr>
        <w:t xml:space="preserve">. </w:t>
      </w:r>
      <w:r w:rsidR="00CB567F" w:rsidRPr="004E229B">
        <w:rPr>
          <w:b/>
        </w:rPr>
        <w:t>26</w:t>
      </w:r>
      <w:proofErr w:type="gramStart"/>
      <w:r w:rsidR="00CB567F" w:rsidRPr="004E229B">
        <w:rPr>
          <w:b/>
        </w:rPr>
        <w:t>,</w:t>
      </w:r>
      <w:r w:rsidR="00CB567F" w:rsidRPr="00CB567F">
        <w:t xml:space="preserve">  (</w:t>
      </w:r>
      <w:proofErr w:type="gramEnd"/>
      <w:r w:rsidR="00CB567F" w:rsidRPr="00CB567F">
        <w:t>2016).</w:t>
      </w:r>
      <w:bookmarkEnd w:id="12"/>
    </w:p>
    <w:p w14:paraId="3FD97EFA" w14:textId="72ED9050" w:rsidR="00293A44" w:rsidRPr="00CB567F" w:rsidRDefault="00293A44" w:rsidP="00293A44">
      <w:pPr>
        <w:pStyle w:val="Referencesandnotes"/>
      </w:pPr>
      <w:r>
        <w:t xml:space="preserve">25. S. </w:t>
      </w:r>
      <w:proofErr w:type="spellStart"/>
      <w:r>
        <w:t>Hanchet</w:t>
      </w:r>
      <w:proofErr w:type="spellEnd"/>
      <w:r>
        <w:t xml:space="preserve"> et al., </w:t>
      </w:r>
      <w:proofErr w:type="spellStart"/>
      <w:r>
        <w:rPr>
          <w:i/>
        </w:rPr>
        <w:t>Hydrobiologia</w:t>
      </w:r>
      <w:proofErr w:type="spellEnd"/>
      <w:r>
        <w:t xml:space="preserve"> </w:t>
      </w:r>
      <w:r>
        <w:rPr>
          <w:b/>
        </w:rPr>
        <w:t>761</w:t>
      </w:r>
      <w:r>
        <w:t xml:space="preserve">, 397-414 (2015). </w:t>
      </w:r>
    </w:p>
    <w:p w14:paraId="06D93A4D" w14:textId="38FE075E" w:rsidR="00CB567F" w:rsidRPr="00CB567F" w:rsidRDefault="00CB567F" w:rsidP="005C595E">
      <w:pPr>
        <w:pStyle w:val="Referencesandnotes"/>
        <w:ind w:left="0" w:firstLine="0"/>
      </w:pPr>
      <w:r w:rsidRPr="00CB567F">
        <w:t xml:space="preserve"> </w:t>
      </w:r>
      <w:r w:rsidRPr="00CB567F">
        <w:tab/>
      </w:r>
    </w:p>
    <w:p w14:paraId="569E3E5D" w14:textId="31195F45" w:rsidR="00CB567F" w:rsidRPr="00CB567F" w:rsidRDefault="00CB567F" w:rsidP="00CB567F">
      <w:pPr>
        <w:pStyle w:val="Referencesandnotes"/>
      </w:pPr>
      <w:r w:rsidRPr="000D1987">
        <w:rPr>
          <w:b/>
        </w:rPr>
        <w:t>Acknowledgements</w:t>
      </w:r>
      <w:r w:rsidRPr="00CB567F">
        <w:t xml:space="preserve">: We acknowledge support from the Price Fellowship and the Switzer Foundation (C.M.B), the Center for Ocean Solutions (L.B.C.), the National Science Foundation (D.G.A. &amp; R.B.D.) and </w:t>
      </w:r>
      <w:proofErr w:type="spellStart"/>
      <w:r w:rsidRPr="00CB567F">
        <w:t>OceanCanada</w:t>
      </w:r>
      <w:proofErr w:type="spellEnd"/>
      <w:r w:rsidRPr="00CB567F">
        <w:t xml:space="preserve"> </w:t>
      </w:r>
      <w:r w:rsidR="007E18F1">
        <w:t>(</w:t>
      </w:r>
      <w:r w:rsidRPr="00CB567F">
        <w:t>U.R.S.).</w:t>
      </w:r>
      <w:r w:rsidR="006720D1">
        <w:t xml:space="preserve"> We thank D</w:t>
      </w:r>
      <w:r w:rsidR="006C649A">
        <w:t>.</w:t>
      </w:r>
      <w:r w:rsidR="00CE1E70">
        <w:t>G</w:t>
      </w:r>
      <w:r w:rsidR="006C649A">
        <w:t>.</w:t>
      </w:r>
      <w:r w:rsidR="00CE1E70">
        <w:t>M</w:t>
      </w:r>
      <w:r w:rsidR="006C649A">
        <w:t>.</w:t>
      </w:r>
      <w:r w:rsidR="006720D1">
        <w:t xml:space="preserve"> and two anonymous reviewers for helpful comments on the manuscript. </w:t>
      </w:r>
      <w:r w:rsidRPr="00CB567F">
        <w:t xml:space="preserve"> </w:t>
      </w:r>
      <w:r w:rsidR="0017496E">
        <w:t>We are grateful to the CCAMLR Secretariat, Commission States</w:t>
      </w:r>
      <w:r w:rsidR="00467010">
        <w:t>,</w:t>
      </w:r>
      <w:r w:rsidR="0017496E">
        <w:t xml:space="preserve"> and the Antarctic and Southern Ocean Coalition for allowing</w:t>
      </w:r>
      <w:r w:rsidR="00467010">
        <w:t xml:space="preserve"> C.M.B.</w:t>
      </w:r>
      <w:r w:rsidR="0017496E">
        <w:t xml:space="preserve"> participant observation. Non-confidential data from observations and interviews can be made available on request of C.M.B. CCAMLR meeting reports and fisheries data are available online at </w:t>
      </w:r>
      <w:hyperlink r:id="rId12" w:history="1">
        <w:r w:rsidR="0017496E" w:rsidRPr="0079790F">
          <w:rPr>
            <w:rStyle w:val="Hyperlink"/>
          </w:rPr>
          <w:t>www.ccamlr.org</w:t>
        </w:r>
      </w:hyperlink>
      <w:r w:rsidR="0017496E">
        <w:t>.</w:t>
      </w:r>
    </w:p>
    <w:p w14:paraId="0FCB5DF0" w14:textId="77777777" w:rsidR="004A0020" w:rsidRDefault="004A0020" w:rsidP="00CB567F">
      <w:pPr>
        <w:pStyle w:val="Referencesandnotes"/>
      </w:pPr>
    </w:p>
    <w:p w14:paraId="07DF8619" w14:textId="77777777" w:rsidR="000D1987" w:rsidRDefault="000D1987" w:rsidP="00CB567F">
      <w:pPr>
        <w:pStyle w:val="Referencesandnotes"/>
      </w:pPr>
      <w:r>
        <w:t>10.1126/science.aah4119</w:t>
      </w:r>
    </w:p>
    <w:p w14:paraId="2528329E" w14:textId="77777777" w:rsidR="000D1987" w:rsidRDefault="000D1987" w:rsidP="00CB567F">
      <w:pPr>
        <w:pStyle w:val="Referencesandnotes"/>
      </w:pPr>
    </w:p>
    <w:p w14:paraId="122AA075" w14:textId="02E196E6" w:rsidR="000D1987" w:rsidRPr="000D1987" w:rsidRDefault="000D1987" w:rsidP="000D1987">
      <w:pPr>
        <w:pStyle w:val="Legend"/>
      </w:pPr>
      <w:r w:rsidRPr="000D1987">
        <w:t xml:space="preserve">Fig. 1.  CCAMLR’s </w:t>
      </w:r>
      <w:r w:rsidR="000D2F83">
        <w:t>MPA</w:t>
      </w:r>
      <w:r w:rsidRPr="000D1987">
        <w:t xml:space="preserve"> concessions from 2012 to 2015.  CCAMLR area boundary (encompassing 35,716,100 km</w:t>
      </w:r>
      <w:r w:rsidRPr="00883C53">
        <w:rPr>
          <w:vertAlign w:val="superscript"/>
        </w:rPr>
        <w:t>2</w:t>
      </w:r>
      <w:r w:rsidRPr="000D1987">
        <w:t>).</w:t>
      </w:r>
      <w:r w:rsidR="00A05356">
        <w:t xml:space="preserve">  </w:t>
      </w:r>
      <w:r w:rsidRPr="000D1987">
        <w:t>MPAs are shown for the approved South Orkney (yellow) and the proposed Ross Sea (blue) and East Antarctic (purple) in 2012 (2.28 million km</w:t>
      </w:r>
      <w:r w:rsidRPr="00883C53">
        <w:rPr>
          <w:vertAlign w:val="superscript"/>
        </w:rPr>
        <w:t>2</w:t>
      </w:r>
      <w:r w:rsidRPr="000D1987">
        <w:t>; 1.8 million km</w:t>
      </w:r>
      <w:r w:rsidRPr="00883C53">
        <w:rPr>
          <w:vertAlign w:val="superscript"/>
        </w:rPr>
        <w:t>2</w:t>
      </w:r>
      <w:r w:rsidRPr="000D1987">
        <w:t>, respectively) compared to 2015 (1.55 million km</w:t>
      </w:r>
      <w:r w:rsidRPr="00883C53">
        <w:rPr>
          <w:vertAlign w:val="superscript"/>
        </w:rPr>
        <w:t>2</w:t>
      </w:r>
      <w:r w:rsidRPr="000D1987">
        <w:t>; 0.95 million km</w:t>
      </w:r>
      <w:r w:rsidRPr="00883C53">
        <w:rPr>
          <w:vertAlign w:val="superscript"/>
        </w:rPr>
        <w:t>2</w:t>
      </w:r>
      <w:r w:rsidRPr="000D1987">
        <w:t>, respectively).  In the Ross Sea, ‘SRZ’ represents the Special Research Zone (~110,000 km</w:t>
      </w:r>
      <w:r w:rsidRPr="00883C53">
        <w:rPr>
          <w:vertAlign w:val="superscript"/>
        </w:rPr>
        <w:t>2</w:t>
      </w:r>
      <w:r w:rsidRPr="000D1987">
        <w:t>); ‘KRZ’ represents the Krill Research Zone (~322,000 km</w:t>
      </w:r>
      <w:r w:rsidRPr="00883C53">
        <w:rPr>
          <w:vertAlign w:val="superscript"/>
        </w:rPr>
        <w:t>2</w:t>
      </w:r>
      <w:r w:rsidRPr="000D1987">
        <w:t xml:space="preserve">).  Weighted circles represent the Total Allowable Catch (TAC) for </w:t>
      </w:r>
      <w:proofErr w:type="spellStart"/>
      <w:r w:rsidRPr="000D1987">
        <w:t>toothfish</w:t>
      </w:r>
      <w:proofErr w:type="spellEnd"/>
      <w:r w:rsidRPr="000D1987">
        <w:t xml:space="preserve"> (green) and krill (orange) in CCAMLR subareas and divisions.  Circle lo</w:t>
      </w:r>
      <w:r w:rsidRPr="000D1987">
        <w:t xml:space="preserve">cation is specified per subarea and does not represent the actual location of catch in the Southern Ocean (CCAMLR boundaries, adopted MPA, and fisheries data from </w:t>
      </w:r>
      <w:hyperlink r:id="rId13" w:history="1">
        <w:r w:rsidRPr="000D1987">
          <w:rPr>
            <w:rStyle w:val="Hyperlink"/>
            <w:color w:val="auto"/>
            <w:u w:val="none"/>
          </w:rPr>
          <w:t>http://www.ccamlr.org</w:t>
        </w:r>
      </w:hyperlink>
      <w:r w:rsidRPr="000D1987">
        <w:t xml:space="preserve">; Ross Sea MPA boundaries based on </w:t>
      </w:r>
      <w:hyperlink r:id="rId14" w:history="1">
        <w:r w:rsidRPr="000D1987">
          <w:rPr>
            <w:rStyle w:val="Hyperlink"/>
            <w:color w:val="auto"/>
            <w:u w:val="none"/>
          </w:rPr>
          <w:t>https://www.mfat.govt.nz/ross-sea-mpa/tabs/proposal.php</w:t>
        </w:r>
      </w:hyperlink>
      <w:r w:rsidRPr="000D1987">
        <w:t xml:space="preserve">; East Antarctic MPA boundaries based on </w:t>
      </w:r>
      <w:hyperlink r:id="rId15" w:history="1">
        <w:r w:rsidRPr="000D1987">
          <w:rPr>
            <w:rStyle w:val="Hyperlink"/>
            <w:color w:val="auto"/>
            <w:u w:val="none"/>
          </w:rPr>
          <w:t>http://www.antarctica.gov.au/law-and-treaty/ccamlr/marine-protected-areas</w:t>
        </w:r>
      </w:hyperlink>
      <w:r w:rsidRPr="000D1987">
        <w:rPr>
          <w:rStyle w:val="Hyperlink"/>
          <w:color w:val="auto"/>
          <w:u w:val="none"/>
        </w:rPr>
        <w:t>)</w:t>
      </w:r>
      <w:r w:rsidRPr="000D1987">
        <w:t xml:space="preserve">. </w:t>
      </w:r>
    </w:p>
    <w:p w14:paraId="085A5FCE" w14:textId="77777777" w:rsidR="000D1987" w:rsidRPr="000D1987" w:rsidRDefault="000D1987" w:rsidP="000D1987">
      <w:pPr>
        <w:pStyle w:val="Legend"/>
      </w:pPr>
    </w:p>
    <w:sectPr w:rsidR="000D1987" w:rsidRPr="000D1987" w:rsidSect="00E54710">
      <w:type w:val="continuous"/>
      <w:pgSz w:w="12240" w:h="15840" w:code="1"/>
      <w:pgMar w:top="1584" w:right="835" w:bottom="1325" w:left="965" w:header="245" w:footer="245" w:gutter="0"/>
      <w:cols w:num="3" w:space="63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52711" w14:textId="77777777" w:rsidR="00530538" w:rsidRDefault="00530538">
      <w:r>
        <w:separator/>
      </w:r>
    </w:p>
  </w:endnote>
  <w:endnote w:type="continuationSeparator" w:id="0">
    <w:p w14:paraId="358F9599" w14:textId="77777777" w:rsidR="00530538" w:rsidRDefault="0053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ource Sans Pro">
    <w:altName w:val="Times New Roman"/>
    <w:panose1 w:val="00000000000000000000"/>
    <w:charset w:val="00"/>
    <w:family w:val="swiss"/>
    <w:notTrueType/>
    <w:pitch w:val="variable"/>
    <w:sig w:usb0="20000007" w:usb1="00000001" w:usb2="00000000" w:usb3="00000000" w:csb0="0000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Bold">
    <w:altName w:val="Cambria"/>
    <w:panose1 w:val="00000000000000000000"/>
    <w:charset w:val="00"/>
    <w:family w:val="roman"/>
    <w:notTrueType/>
    <w:pitch w:val="variable"/>
    <w:sig w:usb0="00000003" w:usb1="00000000" w:usb2="00000000" w:usb3="00000000" w:csb0="00000001" w:csb1="00000000"/>
  </w:font>
  <w:font w:name="MillerDaily Roman">
    <w:altName w:val="Cambria"/>
    <w:charset w:val="00"/>
    <w:family w:val="auto"/>
    <w:pitch w:val="variable"/>
    <w:sig w:usb0="00000003" w:usb1="5000204A" w:usb2="00000000" w:usb3="00000000" w:csb0="00000001" w:csb1="00000000"/>
  </w:font>
  <w:font w:name="BentonSans">
    <w:altName w:val="Arial"/>
    <w:panose1 w:val="00000000000000000000"/>
    <w:charset w:val="00"/>
    <w:family w:val="modern"/>
    <w:notTrueType/>
    <w:pitch w:val="variable"/>
    <w:sig w:usb0="00000007" w:usb1="00000001" w:usb2="00000000" w:usb3="00000000" w:csb0="00000093" w:csb1="00000000"/>
  </w:font>
  <w:font w:name="RockyCond BlackItalic">
    <w:altName w:val="Cambria"/>
    <w:panose1 w:val="00000000000000000000"/>
    <w:charset w:val="00"/>
    <w:family w:val="modern"/>
    <w:notTrueType/>
    <w:pitch w:val="variable"/>
    <w:sig w:usb0="800000AF" w:usb1="5000204A" w:usb2="00000000" w:usb3="00000000" w:csb0="00000001" w:csb1="00000000"/>
  </w:font>
  <w:font w:name="MillerDaily">
    <w:altName w:val="Cambria"/>
    <w:panose1 w:val="00000000000000000000"/>
    <w:charset w:val="00"/>
    <w:family w:val="modern"/>
    <w:notTrueType/>
    <w:pitch w:val="variable"/>
    <w:sig w:usb0="800000AF" w:usb1="5000204A" w:usb2="00000000" w:usb3="00000000" w:csb0="00000001" w:csb1="00000000"/>
  </w:font>
  <w:font w:name="BentonSansCondensed Book">
    <w:altName w:val="Arial"/>
    <w:panose1 w:val="00000000000000000000"/>
    <w:charset w:val="00"/>
    <w:family w:val="modern"/>
    <w:notTrueType/>
    <w:pitch w:val="variable"/>
    <w:sig w:usb0="00000001" w:usb1="00000001" w:usb2="00000000" w:usb3="00000000" w:csb0="00000093" w:csb1="00000000"/>
  </w:font>
  <w:font w:name="Rocky Light">
    <w:altName w:val="Times New Roman"/>
    <w:panose1 w:val="00000000000000000000"/>
    <w:charset w:val="00"/>
    <w:family w:val="modern"/>
    <w:notTrueType/>
    <w:pitch w:val="variable"/>
    <w:sig w:usb0="800000AF" w:usb1="5000204A" w:usb2="00000000" w:usb3="00000000" w:csb0="00000001" w:csb1="00000000"/>
  </w:font>
  <w:font w:name="BentonSansCondensed Medium">
    <w:altName w:val="Arial"/>
    <w:panose1 w:val="00000000000000000000"/>
    <w:charset w:val="00"/>
    <w:family w:val="modern"/>
    <w:notTrueType/>
    <w:pitch w:val="variable"/>
    <w:sig w:usb0="00000007" w:usb1="00000001" w:usb2="00000000" w:usb3="00000000" w:csb0="00000093"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13C8" w14:textId="2366A80F" w:rsidR="00476C5B" w:rsidRDefault="00476C5B" w:rsidP="00420B98">
    <w:pPr>
      <w:pStyle w:val="Footer"/>
      <w:jc w:val="center"/>
    </w:pPr>
    <w:r>
      <w:t xml:space="preserve">                             </w:t>
    </w:r>
    <w:proofErr w:type="gramStart"/>
    <w:r>
      <w:t>sciencemag.org</w:t>
    </w:r>
    <w:proofErr w:type="gramEnd"/>
    <w:r>
      <w:t xml:space="preserve">     </w:t>
    </w:r>
    <w:r w:rsidRPr="00420B98">
      <w:rPr>
        <w:b/>
      </w:rPr>
      <w:t xml:space="preserve"> SCIENCE</w:t>
    </w:r>
    <w:r w:rsidRPr="00420B98">
      <w:t xml:space="preserve">    VOL. xxx  • galley printed </w:t>
    </w:r>
    <w:r w:rsidRPr="00420B98">
      <w:fldChar w:fldCharType="begin"/>
    </w:r>
    <w:r w:rsidRPr="00420B98">
      <w:instrText xml:space="preserve"> TIME \@ "d MMMM, yyyy" </w:instrText>
    </w:r>
    <w:r w:rsidRPr="00420B98">
      <w:fldChar w:fldCharType="separate"/>
    </w:r>
    <w:r w:rsidR="002F2F56">
      <w:rPr>
        <w:noProof/>
      </w:rPr>
      <w:t>20 October, 2016</w:t>
    </w:r>
    <w:r w:rsidRPr="00420B98">
      <w:fldChar w:fldCharType="end"/>
    </w:r>
    <w:r w:rsidRPr="00420B98">
      <w:t xml:space="preserve">  • •  For Issue Date: ????</w:t>
    </w:r>
    <w:r>
      <w:tab/>
    </w:r>
    <w:r>
      <w:fldChar w:fldCharType="begin"/>
    </w:r>
    <w:r>
      <w:instrText xml:space="preserve"> PAGE </w:instrText>
    </w:r>
    <w:r>
      <w:fldChar w:fldCharType="separate"/>
    </w:r>
    <w:r w:rsidR="002F2F56">
      <w:rPr>
        <w:noProof/>
      </w:rPr>
      <w:t>3</w:t>
    </w:r>
    <w:r>
      <w:rPr>
        <w:noProof/>
      </w:rPr>
      <w:fldChar w:fldCharType="end"/>
    </w:r>
  </w:p>
  <w:p w14:paraId="74EE9FDE" w14:textId="77777777" w:rsidR="00476C5B" w:rsidRPr="00420B98" w:rsidRDefault="00476C5B" w:rsidP="00420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63DAA" w14:textId="344A0B43" w:rsidR="00476C5B" w:rsidRDefault="00476C5B" w:rsidP="00420B98">
    <w:pPr>
      <w:pStyle w:val="Footer"/>
      <w:jc w:val="center"/>
    </w:pPr>
    <w:r>
      <w:t xml:space="preserve">                             </w:t>
    </w:r>
    <w:proofErr w:type="gramStart"/>
    <w:r>
      <w:t>sciencemag.org</w:t>
    </w:r>
    <w:proofErr w:type="gramEnd"/>
    <w:r>
      <w:t xml:space="preserve">     </w:t>
    </w:r>
    <w:r w:rsidRPr="00420B98">
      <w:rPr>
        <w:b/>
      </w:rPr>
      <w:t xml:space="preserve"> SCIENCE</w:t>
    </w:r>
    <w:r w:rsidRPr="00420B98">
      <w:t xml:space="preserve">    VOL. xxx  • galley printed </w:t>
    </w:r>
    <w:r w:rsidRPr="00420B98">
      <w:fldChar w:fldCharType="begin"/>
    </w:r>
    <w:r w:rsidRPr="00420B98">
      <w:instrText xml:space="preserve"> TIME \@ "d MMMM, yyyy" </w:instrText>
    </w:r>
    <w:r w:rsidRPr="00420B98">
      <w:fldChar w:fldCharType="separate"/>
    </w:r>
    <w:r w:rsidR="002F2F56">
      <w:rPr>
        <w:noProof/>
      </w:rPr>
      <w:t>20 October, 2016</w:t>
    </w:r>
    <w:r w:rsidRPr="00420B98">
      <w:fldChar w:fldCharType="end"/>
    </w:r>
    <w:r w:rsidRPr="00420B98">
      <w:t xml:space="preserve">  • •  For Issue Date: ????</w:t>
    </w:r>
    <w:r>
      <w:tab/>
    </w:r>
    <w:r>
      <w:fldChar w:fldCharType="begin"/>
    </w:r>
    <w:r>
      <w:instrText xml:space="preserve"> PAGE </w:instrText>
    </w:r>
    <w:r>
      <w:fldChar w:fldCharType="separate"/>
    </w:r>
    <w:r w:rsidR="002F2F56">
      <w:rPr>
        <w:noProof/>
      </w:rPr>
      <w:t>1</w:t>
    </w:r>
    <w:r>
      <w:rPr>
        <w:noProof/>
      </w:rPr>
      <w:fldChar w:fldCharType="end"/>
    </w:r>
  </w:p>
  <w:p w14:paraId="097853FD" w14:textId="77777777" w:rsidR="00476C5B" w:rsidRDefault="00476C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E15AB" w14:textId="77777777" w:rsidR="00530538" w:rsidRDefault="00530538">
      <w:r>
        <w:separator/>
      </w:r>
    </w:p>
  </w:footnote>
  <w:footnote w:type="continuationSeparator" w:id="0">
    <w:p w14:paraId="7F233E10" w14:textId="77777777" w:rsidR="00530538" w:rsidRDefault="00530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F4C29" w14:textId="77777777" w:rsidR="00476C5B" w:rsidRDefault="00476C5B">
    <w:r>
      <w:rPr>
        <w:noProof/>
        <w:lang w:val="en-GB" w:eastAsia="en-GB"/>
      </w:rPr>
      <mc:AlternateContent>
        <mc:Choice Requires="wps">
          <w:drawing>
            <wp:anchor distT="0" distB="0" distL="114300" distR="114300" simplePos="0" relativeHeight="251659776" behindDoc="0" locked="1" layoutInCell="1" allowOverlap="1" wp14:anchorId="096864B1" wp14:editId="04EB9C9E">
              <wp:simplePos x="0" y="0"/>
              <wp:positionH relativeFrom="column">
                <wp:posOffset>-446405</wp:posOffset>
              </wp:positionH>
              <wp:positionV relativeFrom="paragraph">
                <wp:posOffset>761365</wp:posOffset>
              </wp:positionV>
              <wp:extent cx="342900" cy="8458200"/>
              <wp:effectExtent l="0" t="0" r="12700" b="0"/>
              <wp:wrapSquare wrapText="bothSides"/>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458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400176" w14:textId="77777777" w:rsidR="00476C5B" w:rsidRDefault="00476C5B" w:rsidP="00420B98">
                          <w:pPr>
                            <w:pStyle w:val="1stParaText"/>
                          </w:pPr>
                          <w:r>
                            <w:t>1</w:t>
                          </w:r>
                        </w:p>
                        <w:p w14:paraId="3084B6CD" w14:textId="77777777" w:rsidR="00476C5B" w:rsidRDefault="00476C5B" w:rsidP="00420B98">
                          <w:pPr>
                            <w:pStyle w:val="1stParaText"/>
                          </w:pPr>
                          <w:r>
                            <w:t>2</w:t>
                          </w:r>
                        </w:p>
                        <w:p w14:paraId="6E65B362" w14:textId="77777777" w:rsidR="00476C5B" w:rsidRDefault="00476C5B" w:rsidP="00420B98">
                          <w:pPr>
                            <w:pStyle w:val="1stParaText"/>
                          </w:pPr>
                          <w:r>
                            <w:t>3</w:t>
                          </w:r>
                        </w:p>
                        <w:p w14:paraId="4E9F996E" w14:textId="77777777" w:rsidR="00476C5B" w:rsidRDefault="00476C5B" w:rsidP="00420B98">
                          <w:pPr>
                            <w:pStyle w:val="1stParaText"/>
                          </w:pPr>
                          <w:r>
                            <w:t>4</w:t>
                          </w:r>
                        </w:p>
                        <w:p w14:paraId="5BCE0147" w14:textId="77777777" w:rsidR="00476C5B" w:rsidRDefault="00476C5B" w:rsidP="00420B98">
                          <w:pPr>
                            <w:pStyle w:val="1stParaText"/>
                          </w:pPr>
                          <w:r>
                            <w:t>5</w:t>
                          </w:r>
                        </w:p>
                        <w:p w14:paraId="0913E55A" w14:textId="77777777" w:rsidR="00476C5B" w:rsidRDefault="00476C5B" w:rsidP="00420B98">
                          <w:pPr>
                            <w:pStyle w:val="1stParaText"/>
                          </w:pPr>
                          <w:r>
                            <w:t>6</w:t>
                          </w:r>
                        </w:p>
                        <w:p w14:paraId="5B525807" w14:textId="77777777" w:rsidR="00476C5B" w:rsidRDefault="00476C5B" w:rsidP="00420B98">
                          <w:pPr>
                            <w:pStyle w:val="1stParaText"/>
                          </w:pPr>
                          <w:r>
                            <w:t>7</w:t>
                          </w:r>
                        </w:p>
                        <w:p w14:paraId="0107F670" w14:textId="77777777" w:rsidR="00476C5B" w:rsidRDefault="00476C5B" w:rsidP="00420B98">
                          <w:pPr>
                            <w:pStyle w:val="1stParaText"/>
                          </w:pPr>
                          <w:r>
                            <w:t>8</w:t>
                          </w:r>
                        </w:p>
                        <w:p w14:paraId="2985DDC3" w14:textId="77777777" w:rsidR="00476C5B" w:rsidRDefault="00476C5B" w:rsidP="00420B98">
                          <w:pPr>
                            <w:pStyle w:val="1stParaText"/>
                          </w:pPr>
                          <w:r>
                            <w:t>9</w:t>
                          </w:r>
                        </w:p>
                        <w:p w14:paraId="0F9948BA" w14:textId="77777777" w:rsidR="00476C5B" w:rsidRDefault="00476C5B" w:rsidP="00420B98">
                          <w:pPr>
                            <w:pStyle w:val="1stParaText"/>
                          </w:pPr>
                          <w:r>
                            <w:t>10</w:t>
                          </w:r>
                        </w:p>
                        <w:p w14:paraId="0687C01C" w14:textId="77777777" w:rsidR="00476C5B" w:rsidRDefault="00476C5B" w:rsidP="00420B98">
                          <w:pPr>
                            <w:pStyle w:val="1stParaText"/>
                          </w:pPr>
                          <w:r>
                            <w:t>11</w:t>
                          </w:r>
                        </w:p>
                        <w:p w14:paraId="20E1944E" w14:textId="77777777" w:rsidR="00476C5B" w:rsidRDefault="00476C5B" w:rsidP="00420B98">
                          <w:pPr>
                            <w:pStyle w:val="1stParaText"/>
                          </w:pPr>
                          <w:r>
                            <w:t>12</w:t>
                          </w:r>
                        </w:p>
                        <w:p w14:paraId="090330EB" w14:textId="77777777" w:rsidR="00476C5B" w:rsidRDefault="00476C5B" w:rsidP="00420B98">
                          <w:pPr>
                            <w:pStyle w:val="1stParaText"/>
                          </w:pPr>
                          <w:r>
                            <w:t>13</w:t>
                          </w:r>
                        </w:p>
                        <w:p w14:paraId="5A786885" w14:textId="77777777" w:rsidR="00476C5B" w:rsidRDefault="00476C5B" w:rsidP="00420B98">
                          <w:pPr>
                            <w:pStyle w:val="1stParaText"/>
                          </w:pPr>
                          <w:r>
                            <w:t>14</w:t>
                          </w:r>
                        </w:p>
                        <w:p w14:paraId="584EA0E7" w14:textId="77777777" w:rsidR="00476C5B" w:rsidRDefault="00476C5B" w:rsidP="00420B98">
                          <w:pPr>
                            <w:pStyle w:val="1stParaText"/>
                          </w:pPr>
                          <w:r>
                            <w:t>15</w:t>
                          </w:r>
                        </w:p>
                        <w:p w14:paraId="5B7F9356" w14:textId="77777777" w:rsidR="00476C5B" w:rsidRDefault="00476C5B" w:rsidP="00420B98">
                          <w:pPr>
                            <w:pStyle w:val="1stParaText"/>
                          </w:pPr>
                          <w:r>
                            <w:t>16</w:t>
                          </w:r>
                        </w:p>
                        <w:p w14:paraId="484426C7" w14:textId="77777777" w:rsidR="00476C5B" w:rsidRDefault="00476C5B" w:rsidP="00420B98">
                          <w:pPr>
                            <w:pStyle w:val="1stParaText"/>
                          </w:pPr>
                          <w:r>
                            <w:t>17</w:t>
                          </w:r>
                        </w:p>
                        <w:p w14:paraId="799086A4" w14:textId="77777777" w:rsidR="00476C5B" w:rsidRDefault="00476C5B" w:rsidP="00420B98">
                          <w:pPr>
                            <w:pStyle w:val="1stParaText"/>
                          </w:pPr>
                          <w:r>
                            <w:t>18</w:t>
                          </w:r>
                        </w:p>
                        <w:p w14:paraId="388A466D" w14:textId="77777777" w:rsidR="00476C5B" w:rsidRDefault="00476C5B" w:rsidP="00420B98">
                          <w:pPr>
                            <w:pStyle w:val="1stParaText"/>
                          </w:pPr>
                          <w:r>
                            <w:t>19</w:t>
                          </w:r>
                        </w:p>
                        <w:p w14:paraId="2BBC9F63" w14:textId="77777777" w:rsidR="00476C5B" w:rsidRDefault="00476C5B" w:rsidP="00420B98">
                          <w:pPr>
                            <w:pStyle w:val="1stParaText"/>
                          </w:pPr>
                          <w:r>
                            <w:t>20</w:t>
                          </w:r>
                        </w:p>
                        <w:p w14:paraId="7E3B5FFE" w14:textId="77777777" w:rsidR="00476C5B" w:rsidRDefault="00476C5B" w:rsidP="00420B98">
                          <w:pPr>
                            <w:pStyle w:val="1stParaText"/>
                          </w:pPr>
                          <w:r>
                            <w:t>21</w:t>
                          </w:r>
                        </w:p>
                        <w:p w14:paraId="46DE9AF8" w14:textId="77777777" w:rsidR="00476C5B" w:rsidRDefault="00476C5B" w:rsidP="00420B98">
                          <w:pPr>
                            <w:pStyle w:val="1stParaText"/>
                          </w:pPr>
                          <w:r>
                            <w:t>22</w:t>
                          </w:r>
                        </w:p>
                        <w:p w14:paraId="64EBF422" w14:textId="77777777" w:rsidR="00476C5B" w:rsidRDefault="00476C5B" w:rsidP="00420B98">
                          <w:pPr>
                            <w:pStyle w:val="1stParaText"/>
                          </w:pPr>
                          <w:r>
                            <w:t>23</w:t>
                          </w:r>
                        </w:p>
                        <w:p w14:paraId="4B01A699" w14:textId="77777777" w:rsidR="00476C5B" w:rsidRDefault="00476C5B" w:rsidP="00420B98">
                          <w:pPr>
                            <w:pStyle w:val="1stParaText"/>
                          </w:pPr>
                          <w:r>
                            <w:t>24</w:t>
                          </w:r>
                        </w:p>
                        <w:p w14:paraId="19612B27" w14:textId="77777777" w:rsidR="00476C5B" w:rsidRDefault="00476C5B" w:rsidP="00420B98">
                          <w:pPr>
                            <w:pStyle w:val="1stParaText"/>
                          </w:pPr>
                          <w:r>
                            <w:t>25</w:t>
                          </w:r>
                        </w:p>
                        <w:p w14:paraId="3FC13C67" w14:textId="77777777" w:rsidR="00476C5B" w:rsidRDefault="00476C5B" w:rsidP="00420B98">
                          <w:pPr>
                            <w:pStyle w:val="1stParaText"/>
                          </w:pPr>
                          <w:r>
                            <w:t>26</w:t>
                          </w:r>
                        </w:p>
                        <w:p w14:paraId="73370EF6" w14:textId="77777777" w:rsidR="00476C5B" w:rsidRDefault="00476C5B" w:rsidP="00420B98">
                          <w:pPr>
                            <w:pStyle w:val="1stParaText"/>
                          </w:pPr>
                          <w:r>
                            <w:t>27</w:t>
                          </w:r>
                        </w:p>
                        <w:p w14:paraId="2245E184" w14:textId="77777777" w:rsidR="00476C5B" w:rsidRDefault="00476C5B" w:rsidP="00420B98">
                          <w:pPr>
                            <w:pStyle w:val="1stParaText"/>
                          </w:pPr>
                          <w:r>
                            <w:t>28</w:t>
                          </w:r>
                        </w:p>
                        <w:p w14:paraId="6DE93907" w14:textId="77777777" w:rsidR="00476C5B" w:rsidRDefault="00476C5B" w:rsidP="00420B98">
                          <w:pPr>
                            <w:pStyle w:val="1stParaText"/>
                          </w:pPr>
                          <w:r>
                            <w:t>29</w:t>
                          </w:r>
                        </w:p>
                        <w:p w14:paraId="273DA49A" w14:textId="77777777" w:rsidR="00476C5B" w:rsidRDefault="00476C5B" w:rsidP="00420B98">
                          <w:pPr>
                            <w:pStyle w:val="1stParaText"/>
                          </w:pPr>
                          <w:r>
                            <w:t>30</w:t>
                          </w:r>
                        </w:p>
                        <w:p w14:paraId="02E06085" w14:textId="77777777" w:rsidR="00476C5B" w:rsidRDefault="00476C5B" w:rsidP="00420B98">
                          <w:pPr>
                            <w:pStyle w:val="1stParaText"/>
                          </w:pPr>
                          <w:r>
                            <w:t>31</w:t>
                          </w:r>
                        </w:p>
                        <w:p w14:paraId="74E3871C" w14:textId="77777777" w:rsidR="00476C5B" w:rsidRDefault="00476C5B" w:rsidP="00420B98">
                          <w:pPr>
                            <w:pStyle w:val="1stParaText"/>
                          </w:pPr>
                          <w:r>
                            <w:t>32</w:t>
                          </w:r>
                        </w:p>
                        <w:p w14:paraId="57C3313D" w14:textId="77777777" w:rsidR="00476C5B" w:rsidRDefault="00476C5B" w:rsidP="00420B98">
                          <w:pPr>
                            <w:pStyle w:val="1stParaText"/>
                          </w:pPr>
                          <w:r>
                            <w:t>33</w:t>
                          </w:r>
                        </w:p>
                        <w:p w14:paraId="7644C97F" w14:textId="77777777" w:rsidR="00476C5B" w:rsidRDefault="00476C5B" w:rsidP="00420B98">
                          <w:pPr>
                            <w:pStyle w:val="1stParaText"/>
                          </w:pPr>
                          <w:r>
                            <w:t>34</w:t>
                          </w:r>
                        </w:p>
                        <w:p w14:paraId="47F31342" w14:textId="77777777" w:rsidR="00476C5B" w:rsidRDefault="00476C5B" w:rsidP="00420B98">
                          <w:pPr>
                            <w:pStyle w:val="1stParaText"/>
                          </w:pPr>
                          <w:r>
                            <w:t>35</w:t>
                          </w:r>
                        </w:p>
                        <w:p w14:paraId="5336AA36" w14:textId="77777777" w:rsidR="00476C5B" w:rsidRDefault="00476C5B" w:rsidP="00420B98">
                          <w:pPr>
                            <w:pStyle w:val="1stParaText"/>
                          </w:pPr>
                          <w:r>
                            <w:t>36</w:t>
                          </w:r>
                        </w:p>
                        <w:p w14:paraId="732CAE49" w14:textId="77777777" w:rsidR="00476C5B" w:rsidRDefault="00476C5B" w:rsidP="00420B98">
                          <w:pPr>
                            <w:pStyle w:val="1stParaText"/>
                          </w:pPr>
                          <w:r>
                            <w:t>37</w:t>
                          </w:r>
                        </w:p>
                        <w:p w14:paraId="14270A1A" w14:textId="77777777" w:rsidR="00476C5B" w:rsidRDefault="00476C5B" w:rsidP="00420B98">
                          <w:pPr>
                            <w:pStyle w:val="1stParaText"/>
                          </w:pPr>
                          <w:r>
                            <w:t>38</w:t>
                          </w:r>
                        </w:p>
                        <w:p w14:paraId="38BB4A5B" w14:textId="77777777" w:rsidR="00476C5B" w:rsidRDefault="00476C5B" w:rsidP="00420B98">
                          <w:pPr>
                            <w:pStyle w:val="1stParaText"/>
                          </w:pPr>
                          <w:r>
                            <w:t>39</w:t>
                          </w:r>
                        </w:p>
                        <w:p w14:paraId="042066C5" w14:textId="77777777" w:rsidR="00476C5B" w:rsidRDefault="00476C5B" w:rsidP="00420B98">
                          <w:pPr>
                            <w:pStyle w:val="1stParaText"/>
                          </w:pPr>
                          <w:r>
                            <w:t>40</w:t>
                          </w:r>
                        </w:p>
                        <w:p w14:paraId="6A1341A5" w14:textId="77777777" w:rsidR="00476C5B" w:rsidRDefault="00476C5B" w:rsidP="00420B98">
                          <w:pPr>
                            <w:pStyle w:val="1stParaText"/>
                          </w:pPr>
                          <w:r>
                            <w:t>41</w:t>
                          </w:r>
                        </w:p>
                        <w:p w14:paraId="7FCA4BFA" w14:textId="77777777" w:rsidR="00476C5B" w:rsidRDefault="00476C5B" w:rsidP="00420B98">
                          <w:pPr>
                            <w:pStyle w:val="1stParaText"/>
                          </w:pPr>
                          <w:r>
                            <w:t>42</w:t>
                          </w:r>
                        </w:p>
                        <w:p w14:paraId="0ED1AB63" w14:textId="77777777" w:rsidR="00476C5B" w:rsidRDefault="00476C5B" w:rsidP="00420B98">
                          <w:pPr>
                            <w:pStyle w:val="1stParaText"/>
                          </w:pPr>
                          <w:r>
                            <w:t>43</w:t>
                          </w:r>
                        </w:p>
                        <w:p w14:paraId="1CA8A84B" w14:textId="77777777" w:rsidR="00476C5B" w:rsidRDefault="00476C5B" w:rsidP="00420B98">
                          <w:pPr>
                            <w:pStyle w:val="1stParaText"/>
                          </w:pPr>
                          <w:r>
                            <w:t>44</w:t>
                          </w:r>
                        </w:p>
                        <w:p w14:paraId="0D4D08FC" w14:textId="77777777" w:rsidR="00476C5B" w:rsidRDefault="00476C5B" w:rsidP="00420B98">
                          <w:pPr>
                            <w:pStyle w:val="1stParaText"/>
                          </w:pPr>
                          <w:r>
                            <w:t>45</w:t>
                          </w:r>
                        </w:p>
                        <w:p w14:paraId="5F5E66D0" w14:textId="77777777" w:rsidR="00476C5B" w:rsidRDefault="00476C5B" w:rsidP="00420B98">
                          <w:pPr>
                            <w:pStyle w:val="1stParaText"/>
                          </w:pPr>
                          <w:r>
                            <w:t>46</w:t>
                          </w:r>
                        </w:p>
                        <w:p w14:paraId="439B2D67" w14:textId="77777777" w:rsidR="00476C5B" w:rsidRDefault="00476C5B" w:rsidP="00420B98">
                          <w:pPr>
                            <w:pStyle w:val="1stParaText"/>
                          </w:pPr>
                          <w:r>
                            <w:t>47</w:t>
                          </w:r>
                        </w:p>
                        <w:p w14:paraId="33299B37" w14:textId="77777777" w:rsidR="00476C5B" w:rsidRDefault="00476C5B" w:rsidP="00420B98">
                          <w:pPr>
                            <w:pStyle w:val="1stParaText"/>
                          </w:pPr>
                          <w:r>
                            <w:t>48</w:t>
                          </w:r>
                        </w:p>
                        <w:p w14:paraId="5E345BCE" w14:textId="77777777" w:rsidR="00476C5B" w:rsidRDefault="00476C5B" w:rsidP="00420B98">
                          <w:pPr>
                            <w:pStyle w:val="1stParaText"/>
                          </w:pPr>
                          <w:r>
                            <w:t>49</w:t>
                          </w:r>
                        </w:p>
                        <w:p w14:paraId="19B2CAF9" w14:textId="77777777" w:rsidR="00476C5B" w:rsidRDefault="00476C5B" w:rsidP="00420B98">
                          <w:pPr>
                            <w:pStyle w:val="1stParaText"/>
                          </w:pPr>
                          <w:r>
                            <w:t>50</w:t>
                          </w:r>
                        </w:p>
                        <w:p w14:paraId="7B2183D3" w14:textId="77777777" w:rsidR="00476C5B" w:rsidRDefault="00476C5B" w:rsidP="00420B98">
                          <w:pPr>
                            <w:pStyle w:val="1stParaText"/>
                          </w:pPr>
                          <w:r>
                            <w:t>51</w:t>
                          </w:r>
                        </w:p>
                        <w:p w14:paraId="4FCB3FE5" w14:textId="77777777" w:rsidR="00476C5B" w:rsidRDefault="00476C5B" w:rsidP="00420B98">
                          <w:pPr>
                            <w:pStyle w:val="1stParaText"/>
                          </w:pPr>
                          <w:r>
                            <w:t>52</w:t>
                          </w:r>
                        </w:p>
                        <w:p w14:paraId="435F12FA" w14:textId="77777777" w:rsidR="00476C5B" w:rsidRDefault="00476C5B" w:rsidP="00420B98">
                          <w:pPr>
                            <w:pStyle w:val="1stParaText"/>
                          </w:pPr>
                          <w:r>
                            <w:t>53</w:t>
                          </w:r>
                        </w:p>
                        <w:p w14:paraId="3167D20B" w14:textId="77777777" w:rsidR="00476C5B" w:rsidRDefault="00476C5B" w:rsidP="00420B98">
                          <w:pPr>
                            <w:pStyle w:val="1stParaText"/>
                          </w:pPr>
                          <w:r>
                            <w:t>54</w:t>
                          </w:r>
                        </w:p>
                        <w:p w14:paraId="76F1C5F0" w14:textId="77777777" w:rsidR="00476C5B" w:rsidRDefault="00476C5B" w:rsidP="00420B98">
                          <w:pPr>
                            <w:pStyle w:val="1stParaText"/>
                          </w:pPr>
                          <w:r>
                            <w:t>55</w:t>
                          </w:r>
                        </w:p>
                        <w:p w14:paraId="34436F24" w14:textId="77777777" w:rsidR="00476C5B" w:rsidRDefault="00476C5B" w:rsidP="00420B98">
                          <w:pPr>
                            <w:pStyle w:val="1stParaText"/>
                          </w:pPr>
                          <w:r>
                            <w:t>56</w:t>
                          </w:r>
                        </w:p>
                        <w:p w14:paraId="1A0B81BC" w14:textId="77777777" w:rsidR="00476C5B" w:rsidRDefault="00476C5B" w:rsidP="00420B98">
                          <w:pPr>
                            <w:pStyle w:val="1stParaText"/>
                          </w:pPr>
                          <w:r>
                            <w:t>57</w:t>
                          </w:r>
                        </w:p>
                        <w:p w14:paraId="467CD1FA" w14:textId="77777777" w:rsidR="00476C5B" w:rsidRDefault="00476C5B" w:rsidP="00420B98">
                          <w:pPr>
                            <w:pStyle w:val="1stParaText"/>
                          </w:pPr>
                          <w:r>
                            <w:t>58</w:t>
                          </w:r>
                        </w:p>
                        <w:p w14:paraId="3D904501" w14:textId="77777777" w:rsidR="00476C5B" w:rsidRDefault="00476C5B" w:rsidP="00420B98">
                          <w:pPr>
                            <w:pStyle w:val="1stParaText"/>
                          </w:pPr>
                          <w:r>
                            <w:t>59</w:t>
                          </w:r>
                        </w:p>
                        <w:p w14:paraId="62B40164" w14:textId="77777777" w:rsidR="00476C5B" w:rsidRDefault="00476C5B" w:rsidP="00420B98">
                          <w:pPr>
                            <w:pStyle w:val="1stParaText"/>
                          </w:pPr>
                        </w:p>
                        <w:p w14:paraId="2EA644DA" w14:textId="77777777" w:rsidR="00476C5B" w:rsidRDefault="00476C5B" w:rsidP="00420B98">
                          <w:pPr>
                            <w:pStyle w:val="1stParaText"/>
                          </w:pPr>
                        </w:p>
                        <w:p w14:paraId="3BAC2BC6" w14:textId="77777777" w:rsidR="00476C5B" w:rsidRDefault="00476C5B" w:rsidP="00420B98">
                          <w:pPr>
                            <w:pStyle w:val="1stParaText"/>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864B1" id="_x0000_t202" coordsize="21600,21600" o:spt="202" path="m,l,21600r21600,l21600,xe">
              <v:stroke joinstyle="miter"/>
              <v:path gradientshapeok="t" o:connecttype="rect"/>
            </v:shapetype>
            <v:shape id="Text Box 15" o:spid="_x0000_s1026" type="#_x0000_t202" style="position:absolute;margin-left:-35.15pt;margin-top:59.95pt;width:27pt;height:6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" stroked="f">
              <v:textbox inset=",7.2pt">
                <w:txbxContent>
                  <w:p w14:paraId="16400176" w14:textId="77777777" w:rsidR="00476C5B" w:rsidRDefault="00476C5B" w:rsidP="00420B98">
                    <w:pPr>
                      <w:pStyle w:val="1stParaText"/>
                    </w:pPr>
                    <w:r>
                      <w:t>1</w:t>
                    </w:r>
                  </w:p>
                  <w:p w14:paraId="3084B6CD" w14:textId="77777777" w:rsidR="00476C5B" w:rsidRDefault="00476C5B" w:rsidP="00420B98">
                    <w:pPr>
                      <w:pStyle w:val="1stParaText"/>
                    </w:pPr>
                    <w:r>
                      <w:t>2</w:t>
                    </w:r>
                  </w:p>
                  <w:p w14:paraId="6E65B362" w14:textId="77777777" w:rsidR="00476C5B" w:rsidRDefault="00476C5B" w:rsidP="00420B98">
                    <w:pPr>
                      <w:pStyle w:val="1stParaText"/>
                    </w:pPr>
                    <w:r>
                      <w:t>3</w:t>
                    </w:r>
                  </w:p>
                  <w:p w14:paraId="4E9F996E" w14:textId="77777777" w:rsidR="00476C5B" w:rsidRDefault="00476C5B" w:rsidP="00420B98">
                    <w:pPr>
                      <w:pStyle w:val="1stParaText"/>
                    </w:pPr>
                    <w:r>
                      <w:t>4</w:t>
                    </w:r>
                  </w:p>
                  <w:p w14:paraId="5BCE0147" w14:textId="77777777" w:rsidR="00476C5B" w:rsidRDefault="00476C5B" w:rsidP="00420B98">
                    <w:pPr>
                      <w:pStyle w:val="1stParaText"/>
                    </w:pPr>
                    <w:r>
                      <w:t>5</w:t>
                    </w:r>
                  </w:p>
                  <w:p w14:paraId="0913E55A" w14:textId="77777777" w:rsidR="00476C5B" w:rsidRDefault="00476C5B" w:rsidP="00420B98">
                    <w:pPr>
                      <w:pStyle w:val="1stParaText"/>
                    </w:pPr>
                    <w:r>
                      <w:t>6</w:t>
                    </w:r>
                  </w:p>
                  <w:p w14:paraId="5B525807" w14:textId="77777777" w:rsidR="00476C5B" w:rsidRDefault="00476C5B" w:rsidP="00420B98">
                    <w:pPr>
                      <w:pStyle w:val="1stParaText"/>
                    </w:pPr>
                    <w:r>
                      <w:t>7</w:t>
                    </w:r>
                  </w:p>
                  <w:p w14:paraId="0107F670" w14:textId="77777777" w:rsidR="00476C5B" w:rsidRDefault="00476C5B" w:rsidP="00420B98">
                    <w:pPr>
                      <w:pStyle w:val="1stParaText"/>
                    </w:pPr>
                    <w:r>
                      <w:t>8</w:t>
                    </w:r>
                  </w:p>
                  <w:p w14:paraId="2985DDC3" w14:textId="77777777" w:rsidR="00476C5B" w:rsidRDefault="00476C5B" w:rsidP="00420B98">
                    <w:pPr>
                      <w:pStyle w:val="1stParaText"/>
                    </w:pPr>
                    <w:r>
                      <w:t>9</w:t>
                    </w:r>
                  </w:p>
                  <w:p w14:paraId="0F9948BA" w14:textId="77777777" w:rsidR="00476C5B" w:rsidRDefault="00476C5B" w:rsidP="00420B98">
                    <w:pPr>
                      <w:pStyle w:val="1stParaText"/>
                    </w:pPr>
                    <w:r>
                      <w:t>10</w:t>
                    </w:r>
                  </w:p>
                  <w:p w14:paraId="0687C01C" w14:textId="77777777" w:rsidR="00476C5B" w:rsidRDefault="00476C5B" w:rsidP="00420B98">
                    <w:pPr>
                      <w:pStyle w:val="1stParaText"/>
                    </w:pPr>
                    <w:r>
                      <w:t>11</w:t>
                    </w:r>
                  </w:p>
                  <w:p w14:paraId="20E1944E" w14:textId="77777777" w:rsidR="00476C5B" w:rsidRDefault="00476C5B" w:rsidP="00420B98">
                    <w:pPr>
                      <w:pStyle w:val="1stParaText"/>
                    </w:pPr>
                    <w:r>
                      <w:t>12</w:t>
                    </w:r>
                  </w:p>
                  <w:p w14:paraId="090330EB" w14:textId="77777777" w:rsidR="00476C5B" w:rsidRDefault="00476C5B" w:rsidP="00420B98">
                    <w:pPr>
                      <w:pStyle w:val="1stParaText"/>
                    </w:pPr>
                    <w:r>
                      <w:t>13</w:t>
                    </w:r>
                  </w:p>
                  <w:p w14:paraId="5A786885" w14:textId="77777777" w:rsidR="00476C5B" w:rsidRDefault="00476C5B" w:rsidP="00420B98">
                    <w:pPr>
                      <w:pStyle w:val="1stParaText"/>
                    </w:pPr>
                    <w:r>
                      <w:t>14</w:t>
                    </w:r>
                  </w:p>
                  <w:p w14:paraId="584EA0E7" w14:textId="77777777" w:rsidR="00476C5B" w:rsidRDefault="00476C5B" w:rsidP="00420B98">
                    <w:pPr>
                      <w:pStyle w:val="1stParaText"/>
                    </w:pPr>
                    <w:r>
                      <w:t>15</w:t>
                    </w:r>
                  </w:p>
                  <w:p w14:paraId="5B7F9356" w14:textId="77777777" w:rsidR="00476C5B" w:rsidRDefault="00476C5B" w:rsidP="00420B98">
                    <w:pPr>
                      <w:pStyle w:val="1stParaText"/>
                    </w:pPr>
                    <w:r>
                      <w:t>16</w:t>
                    </w:r>
                  </w:p>
                  <w:p w14:paraId="484426C7" w14:textId="77777777" w:rsidR="00476C5B" w:rsidRDefault="00476C5B" w:rsidP="00420B98">
                    <w:pPr>
                      <w:pStyle w:val="1stParaText"/>
                    </w:pPr>
                    <w:r>
                      <w:t>17</w:t>
                    </w:r>
                  </w:p>
                  <w:p w14:paraId="799086A4" w14:textId="77777777" w:rsidR="00476C5B" w:rsidRDefault="00476C5B" w:rsidP="00420B98">
                    <w:pPr>
                      <w:pStyle w:val="1stParaText"/>
                    </w:pPr>
                    <w:r>
                      <w:t>18</w:t>
                    </w:r>
                  </w:p>
                  <w:p w14:paraId="388A466D" w14:textId="77777777" w:rsidR="00476C5B" w:rsidRDefault="00476C5B" w:rsidP="00420B98">
                    <w:pPr>
                      <w:pStyle w:val="1stParaText"/>
                    </w:pPr>
                    <w:r>
                      <w:t>19</w:t>
                    </w:r>
                  </w:p>
                  <w:p w14:paraId="2BBC9F63" w14:textId="77777777" w:rsidR="00476C5B" w:rsidRDefault="00476C5B" w:rsidP="00420B98">
                    <w:pPr>
                      <w:pStyle w:val="1stParaText"/>
                    </w:pPr>
                    <w:r>
                      <w:t>20</w:t>
                    </w:r>
                  </w:p>
                  <w:p w14:paraId="7E3B5FFE" w14:textId="77777777" w:rsidR="00476C5B" w:rsidRDefault="00476C5B" w:rsidP="00420B98">
                    <w:pPr>
                      <w:pStyle w:val="1stParaText"/>
                    </w:pPr>
                    <w:r>
                      <w:t>21</w:t>
                    </w:r>
                  </w:p>
                  <w:p w14:paraId="46DE9AF8" w14:textId="77777777" w:rsidR="00476C5B" w:rsidRDefault="00476C5B" w:rsidP="00420B98">
                    <w:pPr>
                      <w:pStyle w:val="1stParaText"/>
                    </w:pPr>
                    <w:r>
                      <w:t>22</w:t>
                    </w:r>
                  </w:p>
                  <w:p w14:paraId="64EBF422" w14:textId="77777777" w:rsidR="00476C5B" w:rsidRDefault="00476C5B" w:rsidP="00420B98">
                    <w:pPr>
                      <w:pStyle w:val="1stParaText"/>
                    </w:pPr>
                    <w:r>
                      <w:t>23</w:t>
                    </w:r>
                  </w:p>
                  <w:p w14:paraId="4B01A699" w14:textId="77777777" w:rsidR="00476C5B" w:rsidRDefault="00476C5B" w:rsidP="00420B98">
                    <w:pPr>
                      <w:pStyle w:val="1stParaText"/>
                    </w:pPr>
                    <w:r>
                      <w:t>24</w:t>
                    </w:r>
                  </w:p>
                  <w:p w14:paraId="19612B27" w14:textId="77777777" w:rsidR="00476C5B" w:rsidRDefault="00476C5B" w:rsidP="00420B98">
                    <w:pPr>
                      <w:pStyle w:val="1stParaText"/>
                    </w:pPr>
                    <w:r>
                      <w:t>25</w:t>
                    </w:r>
                  </w:p>
                  <w:p w14:paraId="3FC13C67" w14:textId="77777777" w:rsidR="00476C5B" w:rsidRDefault="00476C5B" w:rsidP="00420B98">
                    <w:pPr>
                      <w:pStyle w:val="1stParaText"/>
                    </w:pPr>
                    <w:r>
                      <w:t>26</w:t>
                    </w:r>
                  </w:p>
                  <w:p w14:paraId="73370EF6" w14:textId="77777777" w:rsidR="00476C5B" w:rsidRDefault="00476C5B" w:rsidP="00420B98">
                    <w:pPr>
                      <w:pStyle w:val="1stParaText"/>
                    </w:pPr>
                    <w:r>
                      <w:t>27</w:t>
                    </w:r>
                  </w:p>
                  <w:p w14:paraId="2245E184" w14:textId="77777777" w:rsidR="00476C5B" w:rsidRDefault="00476C5B" w:rsidP="00420B98">
                    <w:pPr>
                      <w:pStyle w:val="1stParaText"/>
                    </w:pPr>
                    <w:r>
                      <w:t>28</w:t>
                    </w:r>
                  </w:p>
                  <w:p w14:paraId="6DE93907" w14:textId="77777777" w:rsidR="00476C5B" w:rsidRDefault="00476C5B" w:rsidP="00420B98">
                    <w:pPr>
                      <w:pStyle w:val="1stParaText"/>
                    </w:pPr>
                    <w:r>
                      <w:t>29</w:t>
                    </w:r>
                  </w:p>
                  <w:p w14:paraId="273DA49A" w14:textId="77777777" w:rsidR="00476C5B" w:rsidRDefault="00476C5B" w:rsidP="00420B98">
                    <w:pPr>
                      <w:pStyle w:val="1stParaText"/>
                    </w:pPr>
                    <w:r>
                      <w:t>30</w:t>
                    </w:r>
                  </w:p>
                  <w:p w14:paraId="02E06085" w14:textId="77777777" w:rsidR="00476C5B" w:rsidRDefault="00476C5B" w:rsidP="00420B98">
                    <w:pPr>
                      <w:pStyle w:val="1stParaText"/>
                    </w:pPr>
                    <w:r>
                      <w:t>31</w:t>
                    </w:r>
                  </w:p>
                  <w:p w14:paraId="74E3871C" w14:textId="77777777" w:rsidR="00476C5B" w:rsidRDefault="00476C5B" w:rsidP="00420B98">
                    <w:pPr>
                      <w:pStyle w:val="1stParaText"/>
                    </w:pPr>
                    <w:r>
                      <w:t>32</w:t>
                    </w:r>
                  </w:p>
                  <w:p w14:paraId="57C3313D" w14:textId="77777777" w:rsidR="00476C5B" w:rsidRDefault="00476C5B" w:rsidP="00420B98">
                    <w:pPr>
                      <w:pStyle w:val="1stParaText"/>
                    </w:pPr>
                    <w:r>
                      <w:t>33</w:t>
                    </w:r>
                  </w:p>
                  <w:p w14:paraId="7644C97F" w14:textId="77777777" w:rsidR="00476C5B" w:rsidRDefault="00476C5B" w:rsidP="00420B98">
                    <w:pPr>
                      <w:pStyle w:val="1stParaText"/>
                    </w:pPr>
                    <w:r>
                      <w:t>34</w:t>
                    </w:r>
                  </w:p>
                  <w:p w14:paraId="47F31342" w14:textId="77777777" w:rsidR="00476C5B" w:rsidRDefault="00476C5B" w:rsidP="00420B98">
                    <w:pPr>
                      <w:pStyle w:val="1stParaText"/>
                    </w:pPr>
                    <w:r>
                      <w:t>35</w:t>
                    </w:r>
                  </w:p>
                  <w:p w14:paraId="5336AA36" w14:textId="77777777" w:rsidR="00476C5B" w:rsidRDefault="00476C5B" w:rsidP="00420B98">
                    <w:pPr>
                      <w:pStyle w:val="1stParaText"/>
                    </w:pPr>
                    <w:r>
                      <w:t>36</w:t>
                    </w:r>
                  </w:p>
                  <w:p w14:paraId="732CAE49" w14:textId="77777777" w:rsidR="00476C5B" w:rsidRDefault="00476C5B" w:rsidP="00420B98">
                    <w:pPr>
                      <w:pStyle w:val="1stParaText"/>
                    </w:pPr>
                    <w:r>
                      <w:t>37</w:t>
                    </w:r>
                  </w:p>
                  <w:p w14:paraId="14270A1A" w14:textId="77777777" w:rsidR="00476C5B" w:rsidRDefault="00476C5B" w:rsidP="00420B98">
                    <w:pPr>
                      <w:pStyle w:val="1stParaText"/>
                    </w:pPr>
                    <w:r>
                      <w:t>38</w:t>
                    </w:r>
                  </w:p>
                  <w:p w14:paraId="38BB4A5B" w14:textId="77777777" w:rsidR="00476C5B" w:rsidRDefault="00476C5B" w:rsidP="00420B98">
                    <w:pPr>
                      <w:pStyle w:val="1stParaText"/>
                    </w:pPr>
                    <w:r>
                      <w:t>39</w:t>
                    </w:r>
                  </w:p>
                  <w:p w14:paraId="042066C5" w14:textId="77777777" w:rsidR="00476C5B" w:rsidRDefault="00476C5B" w:rsidP="00420B98">
                    <w:pPr>
                      <w:pStyle w:val="1stParaText"/>
                    </w:pPr>
                    <w:r>
                      <w:t>40</w:t>
                    </w:r>
                  </w:p>
                  <w:p w14:paraId="6A1341A5" w14:textId="77777777" w:rsidR="00476C5B" w:rsidRDefault="00476C5B" w:rsidP="00420B98">
                    <w:pPr>
                      <w:pStyle w:val="1stParaText"/>
                    </w:pPr>
                    <w:r>
                      <w:t>41</w:t>
                    </w:r>
                  </w:p>
                  <w:p w14:paraId="7FCA4BFA" w14:textId="77777777" w:rsidR="00476C5B" w:rsidRDefault="00476C5B" w:rsidP="00420B98">
                    <w:pPr>
                      <w:pStyle w:val="1stParaText"/>
                    </w:pPr>
                    <w:r>
                      <w:t>42</w:t>
                    </w:r>
                  </w:p>
                  <w:p w14:paraId="0ED1AB63" w14:textId="77777777" w:rsidR="00476C5B" w:rsidRDefault="00476C5B" w:rsidP="00420B98">
                    <w:pPr>
                      <w:pStyle w:val="1stParaText"/>
                    </w:pPr>
                    <w:r>
                      <w:t>43</w:t>
                    </w:r>
                  </w:p>
                  <w:p w14:paraId="1CA8A84B" w14:textId="77777777" w:rsidR="00476C5B" w:rsidRDefault="00476C5B" w:rsidP="00420B98">
                    <w:pPr>
                      <w:pStyle w:val="1stParaText"/>
                    </w:pPr>
                    <w:r>
                      <w:t>44</w:t>
                    </w:r>
                  </w:p>
                  <w:p w14:paraId="0D4D08FC" w14:textId="77777777" w:rsidR="00476C5B" w:rsidRDefault="00476C5B" w:rsidP="00420B98">
                    <w:pPr>
                      <w:pStyle w:val="1stParaText"/>
                    </w:pPr>
                    <w:r>
                      <w:t>45</w:t>
                    </w:r>
                  </w:p>
                  <w:p w14:paraId="5F5E66D0" w14:textId="77777777" w:rsidR="00476C5B" w:rsidRDefault="00476C5B" w:rsidP="00420B98">
                    <w:pPr>
                      <w:pStyle w:val="1stParaText"/>
                    </w:pPr>
                    <w:r>
                      <w:t>46</w:t>
                    </w:r>
                  </w:p>
                  <w:p w14:paraId="439B2D67" w14:textId="77777777" w:rsidR="00476C5B" w:rsidRDefault="00476C5B" w:rsidP="00420B98">
                    <w:pPr>
                      <w:pStyle w:val="1stParaText"/>
                    </w:pPr>
                    <w:r>
                      <w:t>47</w:t>
                    </w:r>
                  </w:p>
                  <w:p w14:paraId="33299B37" w14:textId="77777777" w:rsidR="00476C5B" w:rsidRDefault="00476C5B" w:rsidP="00420B98">
                    <w:pPr>
                      <w:pStyle w:val="1stParaText"/>
                    </w:pPr>
                    <w:r>
                      <w:t>48</w:t>
                    </w:r>
                  </w:p>
                  <w:p w14:paraId="5E345BCE" w14:textId="77777777" w:rsidR="00476C5B" w:rsidRDefault="00476C5B" w:rsidP="00420B98">
                    <w:pPr>
                      <w:pStyle w:val="1stParaText"/>
                    </w:pPr>
                    <w:r>
                      <w:t>49</w:t>
                    </w:r>
                  </w:p>
                  <w:p w14:paraId="19B2CAF9" w14:textId="77777777" w:rsidR="00476C5B" w:rsidRDefault="00476C5B" w:rsidP="00420B98">
                    <w:pPr>
                      <w:pStyle w:val="1stParaText"/>
                    </w:pPr>
                    <w:r>
                      <w:t>50</w:t>
                    </w:r>
                  </w:p>
                  <w:p w14:paraId="7B2183D3" w14:textId="77777777" w:rsidR="00476C5B" w:rsidRDefault="00476C5B" w:rsidP="00420B98">
                    <w:pPr>
                      <w:pStyle w:val="1stParaText"/>
                    </w:pPr>
                    <w:r>
                      <w:t>51</w:t>
                    </w:r>
                  </w:p>
                  <w:p w14:paraId="4FCB3FE5" w14:textId="77777777" w:rsidR="00476C5B" w:rsidRDefault="00476C5B" w:rsidP="00420B98">
                    <w:pPr>
                      <w:pStyle w:val="1stParaText"/>
                    </w:pPr>
                    <w:r>
                      <w:t>52</w:t>
                    </w:r>
                  </w:p>
                  <w:p w14:paraId="435F12FA" w14:textId="77777777" w:rsidR="00476C5B" w:rsidRDefault="00476C5B" w:rsidP="00420B98">
                    <w:pPr>
                      <w:pStyle w:val="1stParaText"/>
                    </w:pPr>
                    <w:r>
                      <w:t>53</w:t>
                    </w:r>
                  </w:p>
                  <w:p w14:paraId="3167D20B" w14:textId="77777777" w:rsidR="00476C5B" w:rsidRDefault="00476C5B" w:rsidP="00420B98">
                    <w:pPr>
                      <w:pStyle w:val="1stParaText"/>
                    </w:pPr>
                    <w:r>
                      <w:t>54</w:t>
                    </w:r>
                  </w:p>
                  <w:p w14:paraId="76F1C5F0" w14:textId="77777777" w:rsidR="00476C5B" w:rsidRDefault="00476C5B" w:rsidP="00420B98">
                    <w:pPr>
                      <w:pStyle w:val="1stParaText"/>
                    </w:pPr>
                    <w:r>
                      <w:t>55</w:t>
                    </w:r>
                  </w:p>
                  <w:p w14:paraId="34436F24" w14:textId="77777777" w:rsidR="00476C5B" w:rsidRDefault="00476C5B" w:rsidP="00420B98">
                    <w:pPr>
                      <w:pStyle w:val="1stParaText"/>
                    </w:pPr>
                    <w:r>
                      <w:t>56</w:t>
                    </w:r>
                  </w:p>
                  <w:p w14:paraId="1A0B81BC" w14:textId="77777777" w:rsidR="00476C5B" w:rsidRDefault="00476C5B" w:rsidP="00420B98">
                    <w:pPr>
                      <w:pStyle w:val="1stParaText"/>
                    </w:pPr>
                    <w:r>
                      <w:t>57</w:t>
                    </w:r>
                  </w:p>
                  <w:p w14:paraId="467CD1FA" w14:textId="77777777" w:rsidR="00476C5B" w:rsidRDefault="00476C5B" w:rsidP="00420B98">
                    <w:pPr>
                      <w:pStyle w:val="1stParaText"/>
                    </w:pPr>
                    <w:r>
                      <w:t>58</w:t>
                    </w:r>
                  </w:p>
                  <w:p w14:paraId="3D904501" w14:textId="77777777" w:rsidR="00476C5B" w:rsidRDefault="00476C5B" w:rsidP="00420B98">
                    <w:pPr>
                      <w:pStyle w:val="1stParaText"/>
                    </w:pPr>
                    <w:r>
                      <w:t>59</w:t>
                    </w:r>
                  </w:p>
                  <w:p w14:paraId="62B40164" w14:textId="77777777" w:rsidR="00476C5B" w:rsidRDefault="00476C5B" w:rsidP="00420B98">
                    <w:pPr>
                      <w:pStyle w:val="1stParaText"/>
                    </w:pPr>
                  </w:p>
                  <w:p w14:paraId="2EA644DA" w14:textId="77777777" w:rsidR="00476C5B" w:rsidRDefault="00476C5B" w:rsidP="00420B98">
                    <w:pPr>
                      <w:pStyle w:val="1stParaText"/>
                    </w:pPr>
                  </w:p>
                  <w:p w14:paraId="3BAC2BC6" w14:textId="77777777" w:rsidR="00476C5B" w:rsidRDefault="00476C5B" w:rsidP="00420B98">
                    <w:pPr>
                      <w:pStyle w:val="1stParaText"/>
                    </w:pPr>
                  </w:p>
                </w:txbxContent>
              </v:textbox>
              <w10:wrap type="square"/>
              <w10:anchorlock/>
            </v:shape>
          </w:pict>
        </mc:Fallback>
      </mc:AlternateContent>
    </w:r>
    <w:r>
      <w:rPr>
        <w:noProof/>
        <w:lang w:val="en-GB" w:eastAsia="en-GB"/>
      </w:rPr>
      <mc:AlternateContent>
        <mc:Choice Requires="wps">
          <w:drawing>
            <wp:anchor distT="0" distB="0" distL="114300" distR="114300" simplePos="0" relativeHeight="251655680" behindDoc="0" locked="1" layoutInCell="0" allowOverlap="1" wp14:anchorId="5DE4035B" wp14:editId="0F61AF79">
              <wp:simplePos x="0" y="0"/>
              <wp:positionH relativeFrom="margin">
                <wp:posOffset>0</wp:posOffset>
              </wp:positionH>
              <wp:positionV relativeFrom="page">
                <wp:posOffset>365760</wp:posOffset>
              </wp:positionV>
              <wp:extent cx="6705600" cy="762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6200"/>
                      </a:xfrm>
                      <a:prstGeom prst="rect">
                        <a:avLst/>
                      </a:prstGeom>
                      <a:solidFill>
                        <a:srgbClr val="CCC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77B2D" id="Rectangle 3" o:spid="_x0000_s1026" style="position:absolute;margin-left:0;margin-top:28.8pt;width:528pt;height: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" o:allowincell="f" fillcolor="#ccc" stroked="f">
              <w10:wrap anchorx="margin"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67DFB" w14:textId="77777777" w:rsidR="00476C5B" w:rsidRDefault="00530538" w:rsidP="00FC138D">
    <w:pPr>
      <w:pBdr>
        <w:bottom w:val="single" w:sz="4" w:space="20" w:color="auto"/>
      </w:pBdr>
      <w:spacing w:line="240" w:lineRule="exact"/>
      <w:rPr>
        <w:rFonts w:ascii="BlissBold" w:hAnsi="BlissBold"/>
        <w:sz w:val="44"/>
      </w:rPr>
    </w:pPr>
    <w:r>
      <w:rPr>
        <w:rFonts w:ascii="BlissBold" w:hAnsi="BlissBold"/>
        <w:sz w:val="44"/>
      </w:rPr>
      <w:pict w14:anchorId="319580A3">
        <v:rect id="_x0000_i1025" style="width:0;height:1.5pt" o:hralign="center" o:hrstd="t" o:hr="t" fillcolor="#a0a0a0" stroked="f"/>
      </w:pict>
    </w:r>
  </w:p>
  <w:p w14:paraId="0F7BEDBD" w14:textId="77777777" w:rsidR="00476C5B" w:rsidRDefault="00476C5B" w:rsidP="00FC138D">
    <w:pPr>
      <w:pBdr>
        <w:bottom w:val="single" w:sz="4" w:space="20" w:color="auto"/>
      </w:pBdr>
      <w:spacing w:line="240" w:lineRule="exact"/>
      <w:rPr>
        <w:rFonts w:ascii="BlissBold" w:hAnsi="BlissBold"/>
        <w:sz w:val="44"/>
      </w:rPr>
    </w:pPr>
    <w:r>
      <w:rPr>
        <w:noProof/>
        <w:lang w:val="en-GB" w:eastAsia="en-GB"/>
      </w:rPr>
      <mc:AlternateContent>
        <mc:Choice Requires="wps">
          <w:drawing>
            <wp:anchor distT="0" distB="0" distL="114300" distR="114300" simplePos="0" relativeHeight="251656704" behindDoc="0" locked="0" layoutInCell="1" allowOverlap="1" wp14:anchorId="4F74B239" wp14:editId="4AE619B6">
              <wp:simplePos x="0" y="0"/>
              <wp:positionH relativeFrom="column">
                <wp:posOffset>172085</wp:posOffset>
              </wp:positionH>
              <wp:positionV relativeFrom="paragraph">
                <wp:posOffset>151765</wp:posOffset>
              </wp:positionV>
              <wp:extent cx="2941320" cy="231140"/>
              <wp:effectExtent l="0" t="0" r="0" b="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2311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30C34B" w14:textId="77777777" w:rsidR="00476C5B" w:rsidRPr="00470082" w:rsidRDefault="00476C5B" w:rsidP="00470082">
                          <w:pPr>
                            <w:pStyle w:val="Header"/>
                            <w:rPr>
                              <w:b w:val="0"/>
                            </w:rPr>
                          </w:pPr>
                          <w:proofErr w:type="gramStart"/>
                          <w:r>
                            <w:t>INSIGHTS  |</w:t>
                          </w:r>
                          <w:proofErr w:type="gramEnd"/>
                          <w:r>
                            <w:t xml:space="preserve">  PERSPECTIVES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74B239" id="_x0000_t202" coordsize="21600,21600" o:spt="202" path="m,l,21600r21600,l21600,xe">
              <v:stroke joinstyle="miter"/>
              <v:path gradientshapeok="t" o:connecttype="rect"/>
            </v:shapetype>
            <v:shape id="Text Box 11" o:spid="_x0000_s1027" type="#_x0000_t202" style="position:absolute;margin-left:13.55pt;margin-top:11.95pt;width:231.6pt;height:1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" filled="f" stroked="f">
              <v:textbox>
                <w:txbxContent>
                  <w:p w14:paraId="5230C34B" w14:textId="77777777" w:rsidR="00476C5B" w:rsidRPr="00470082" w:rsidRDefault="00476C5B" w:rsidP="00470082">
                    <w:pPr>
                      <w:pStyle w:val="Header"/>
                      <w:rPr>
                        <w:b w:val="0"/>
                      </w:rPr>
                    </w:pPr>
                    <w:proofErr w:type="gramStart"/>
                    <w:r>
                      <w:t>INSIGHTS  |</w:t>
                    </w:r>
                    <w:proofErr w:type="gramEnd"/>
                    <w:r>
                      <w:t xml:space="preserve">  PERSPECTIVES</w:t>
                    </w:r>
                  </w:p>
                </w:txbxContent>
              </v:textbox>
              <w10:wrap type="square"/>
            </v:shape>
          </w:pict>
        </mc:Fallback>
      </mc:AlternateContent>
    </w:r>
    <w:r>
      <w:rPr>
        <w:noProof/>
        <w:lang w:val="en-GB" w:eastAsia="en-GB"/>
      </w:rPr>
      <mc:AlternateContent>
        <mc:Choice Requires="wps">
          <w:drawing>
            <wp:anchor distT="0" distB="0" distL="114300" distR="114300" simplePos="0" relativeHeight="251658752" behindDoc="0" locked="1" layoutInCell="0" allowOverlap="1" wp14:anchorId="78752F42" wp14:editId="42A2F681">
              <wp:simplePos x="0" y="0"/>
              <wp:positionH relativeFrom="column">
                <wp:posOffset>-559435</wp:posOffset>
              </wp:positionH>
              <wp:positionV relativeFrom="paragraph">
                <wp:posOffset>1411605</wp:posOffset>
              </wp:positionV>
              <wp:extent cx="342900" cy="8036560"/>
              <wp:effectExtent l="0" t="0" r="1270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365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4C95BD" w14:textId="77777777" w:rsidR="00476C5B" w:rsidRDefault="00476C5B" w:rsidP="001345AC">
                          <w:pPr>
                            <w:pStyle w:val="1stParaText"/>
                          </w:pPr>
                          <w:r>
                            <w:t>1</w:t>
                          </w:r>
                        </w:p>
                        <w:p w14:paraId="14191BE6" w14:textId="77777777" w:rsidR="00476C5B" w:rsidRDefault="00476C5B" w:rsidP="001345AC">
                          <w:pPr>
                            <w:pStyle w:val="1stParaText"/>
                          </w:pPr>
                          <w:r>
                            <w:t>2</w:t>
                          </w:r>
                        </w:p>
                        <w:p w14:paraId="22500ECA" w14:textId="77777777" w:rsidR="00476C5B" w:rsidRDefault="00476C5B" w:rsidP="001345AC">
                          <w:pPr>
                            <w:pStyle w:val="1stParaText"/>
                          </w:pPr>
                          <w:r>
                            <w:t>3</w:t>
                          </w:r>
                        </w:p>
                        <w:p w14:paraId="745412C1" w14:textId="77777777" w:rsidR="00476C5B" w:rsidRDefault="00476C5B" w:rsidP="001345AC">
                          <w:pPr>
                            <w:pStyle w:val="1stParaText"/>
                          </w:pPr>
                          <w:r>
                            <w:t>4</w:t>
                          </w:r>
                        </w:p>
                        <w:p w14:paraId="586058DE" w14:textId="77777777" w:rsidR="00476C5B" w:rsidRDefault="00476C5B" w:rsidP="001345AC">
                          <w:pPr>
                            <w:pStyle w:val="1stParaText"/>
                          </w:pPr>
                          <w:r>
                            <w:t>5</w:t>
                          </w:r>
                        </w:p>
                        <w:p w14:paraId="033E2614" w14:textId="77777777" w:rsidR="00476C5B" w:rsidRDefault="00476C5B" w:rsidP="001345AC">
                          <w:pPr>
                            <w:pStyle w:val="1stParaText"/>
                          </w:pPr>
                          <w:r>
                            <w:t>6</w:t>
                          </w:r>
                        </w:p>
                        <w:p w14:paraId="02477030" w14:textId="77777777" w:rsidR="00476C5B" w:rsidRDefault="00476C5B" w:rsidP="001345AC">
                          <w:pPr>
                            <w:pStyle w:val="1stParaText"/>
                          </w:pPr>
                          <w:r>
                            <w:t>7</w:t>
                          </w:r>
                        </w:p>
                        <w:p w14:paraId="09A78748" w14:textId="77777777" w:rsidR="00476C5B" w:rsidRDefault="00476C5B" w:rsidP="001345AC">
                          <w:pPr>
                            <w:pStyle w:val="1stParaText"/>
                          </w:pPr>
                          <w:r>
                            <w:t>8</w:t>
                          </w:r>
                        </w:p>
                        <w:p w14:paraId="7AFD9536" w14:textId="77777777" w:rsidR="00476C5B" w:rsidRDefault="00476C5B" w:rsidP="001345AC">
                          <w:pPr>
                            <w:pStyle w:val="1stParaText"/>
                          </w:pPr>
                          <w:r>
                            <w:t>9</w:t>
                          </w:r>
                        </w:p>
                        <w:p w14:paraId="6D523CCF" w14:textId="77777777" w:rsidR="00476C5B" w:rsidRDefault="00476C5B" w:rsidP="001345AC">
                          <w:pPr>
                            <w:pStyle w:val="1stParaText"/>
                          </w:pPr>
                          <w:r>
                            <w:t>10</w:t>
                          </w:r>
                        </w:p>
                        <w:p w14:paraId="06F3B322" w14:textId="77777777" w:rsidR="00476C5B" w:rsidRDefault="00476C5B" w:rsidP="001345AC">
                          <w:pPr>
                            <w:pStyle w:val="1stParaText"/>
                          </w:pPr>
                          <w:r>
                            <w:t>11</w:t>
                          </w:r>
                        </w:p>
                        <w:p w14:paraId="4E2BE269" w14:textId="77777777" w:rsidR="00476C5B" w:rsidRDefault="00476C5B" w:rsidP="001345AC">
                          <w:pPr>
                            <w:pStyle w:val="1stParaText"/>
                          </w:pPr>
                          <w:r>
                            <w:t>12</w:t>
                          </w:r>
                        </w:p>
                        <w:p w14:paraId="0499C5CB" w14:textId="77777777" w:rsidR="00476C5B" w:rsidRDefault="00476C5B" w:rsidP="001345AC">
                          <w:pPr>
                            <w:pStyle w:val="1stParaText"/>
                          </w:pPr>
                          <w:r>
                            <w:t>13</w:t>
                          </w:r>
                        </w:p>
                        <w:p w14:paraId="1A45A296" w14:textId="77777777" w:rsidR="00476C5B" w:rsidRDefault="00476C5B" w:rsidP="001345AC">
                          <w:pPr>
                            <w:pStyle w:val="1stParaText"/>
                          </w:pPr>
                          <w:r>
                            <w:t>14</w:t>
                          </w:r>
                        </w:p>
                        <w:p w14:paraId="7C7B23EA" w14:textId="77777777" w:rsidR="00476C5B" w:rsidRDefault="00476C5B" w:rsidP="001345AC">
                          <w:pPr>
                            <w:pStyle w:val="1stParaText"/>
                          </w:pPr>
                          <w:r>
                            <w:t>15</w:t>
                          </w:r>
                        </w:p>
                        <w:p w14:paraId="1B1DB688" w14:textId="77777777" w:rsidR="00476C5B" w:rsidRDefault="00476C5B" w:rsidP="001345AC">
                          <w:pPr>
                            <w:pStyle w:val="1stParaText"/>
                          </w:pPr>
                          <w:r>
                            <w:t>16</w:t>
                          </w:r>
                        </w:p>
                        <w:p w14:paraId="5DF02FE2" w14:textId="77777777" w:rsidR="00476C5B" w:rsidRDefault="00476C5B" w:rsidP="001345AC">
                          <w:pPr>
                            <w:pStyle w:val="1stParaText"/>
                          </w:pPr>
                          <w:r>
                            <w:t>17</w:t>
                          </w:r>
                        </w:p>
                        <w:p w14:paraId="6269DEF2" w14:textId="77777777" w:rsidR="00476C5B" w:rsidRDefault="00476C5B" w:rsidP="001345AC">
                          <w:pPr>
                            <w:pStyle w:val="1stParaText"/>
                          </w:pPr>
                          <w:r>
                            <w:t>18</w:t>
                          </w:r>
                        </w:p>
                        <w:p w14:paraId="129ACEB2" w14:textId="77777777" w:rsidR="00476C5B" w:rsidRDefault="00476C5B" w:rsidP="001345AC">
                          <w:pPr>
                            <w:pStyle w:val="1stParaText"/>
                          </w:pPr>
                          <w:r>
                            <w:t>19</w:t>
                          </w:r>
                        </w:p>
                        <w:p w14:paraId="57F841E7" w14:textId="77777777" w:rsidR="00476C5B" w:rsidRDefault="00476C5B" w:rsidP="001345AC">
                          <w:pPr>
                            <w:pStyle w:val="1stParaText"/>
                          </w:pPr>
                          <w:r>
                            <w:t>20</w:t>
                          </w:r>
                        </w:p>
                        <w:p w14:paraId="6A052072" w14:textId="77777777" w:rsidR="00476C5B" w:rsidRDefault="00476C5B" w:rsidP="001345AC">
                          <w:pPr>
                            <w:pStyle w:val="1stParaText"/>
                          </w:pPr>
                          <w:r>
                            <w:t>21</w:t>
                          </w:r>
                        </w:p>
                        <w:p w14:paraId="61BA93F9" w14:textId="77777777" w:rsidR="00476C5B" w:rsidRDefault="00476C5B" w:rsidP="001345AC">
                          <w:pPr>
                            <w:pStyle w:val="1stParaText"/>
                          </w:pPr>
                          <w:r>
                            <w:t>22</w:t>
                          </w:r>
                        </w:p>
                        <w:p w14:paraId="4DCB9A23" w14:textId="77777777" w:rsidR="00476C5B" w:rsidRDefault="00476C5B" w:rsidP="001345AC">
                          <w:pPr>
                            <w:pStyle w:val="1stParaText"/>
                          </w:pPr>
                          <w:r>
                            <w:t>23</w:t>
                          </w:r>
                        </w:p>
                        <w:p w14:paraId="16E51306" w14:textId="77777777" w:rsidR="00476C5B" w:rsidRDefault="00476C5B" w:rsidP="001345AC">
                          <w:pPr>
                            <w:pStyle w:val="1stParaText"/>
                          </w:pPr>
                          <w:r>
                            <w:t>24</w:t>
                          </w:r>
                        </w:p>
                        <w:p w14:paraId="6D178CA4" w14:textId="77777777" w:rsidR="00476C5B" w:rsidRDefault="00476C5B" w:rsidP="001345AC">
                          <w:pPr>
                            <w:pStyle w:val="1stParaText"/>
                          </w:pPr>
                          <w:r>
                            <w:t>25</w:t>
                          </w:r>
                        </w:p>
                        <w:p w14:paraId="3B7B6A03" w14:textId="77777777" w:rsidR="00476C5B" w:rsidRDefault="00476C5B" w:rsidP="001345AC">
                          <w:pPr>
                            <w:pStyle w:val="1stParaText"/>
                          </w:pPr>
                          <w:r>
                            <w:t>26</w:t>
                          </w:r>
                        </w:p>
                        <w:p w14:paraId="089EC771" w14:textId="77777777" w:rsidR="00476C5B" w:rsidRDefault="00476C5B" w:rsidP="001345AC">
                          <w:pPr>
                            <w:pStyle w:val="1stParaText"/>
                          </w:pPr>
                          <w:r>
                            <w:t>27</w:t>
                          </w:r>
                        </w:p>
                        <w:p w14:paraId="4E55DF11" w14:textId="77777777" w:rsidR="00476C5B" w:rsidRDefault="00476C5B" w:rsidP="001345AC">
                          <w:pPr>
                            <w:pStyle w:val="1stParaText"/>
                          </w:pPr>
                          <w:r>
                            <w:t>28</w:t>
                          </w:r>
                        </w:p>
                        <w:p w14:paraId="4F5B5EAD" w14:textId="77777777" w:rsidR="00476C5B" w:rsidRDefault="00476C5B" w:rsidP="001345AC">
                          <w:pPr>
                            <w:pStyle w:val="1stParaText"/>
                          </w:pPr>
                          <w:r>
                            <w:t>29</w:t>
                          </w:r>
                        </w:p>
                        <w:p w14:paraId="7F4BE1F8" w14:textId="77777777" w:rsidR="00476C5B" w:rsidRDefault="00476C5B" w:rsidP="001345AC">
                          <w:pPr>
                            <w:pStyle w:val="1stParaText"/>
                          </w:pPr>
                          <w:r>
                            <w:t>30</w:t>
                          </w:r>
                        </w:p>
                        <w:p w14:paraId="1D28E01B" w14:textId="77777777" w:rsidR="00476C5B" w:rsidRDefault="00476C5B" w:rsidP="001345AC">
                          <w:pPr>
                            <w:pStyle w:val="1stParaText"/>
                          </w:pPr>
                          <w:r>
                            <w:t>31</w:t>
                          </w:r>
                        </w:p>
                        <w:p w14:paraId="442A2CC6" w14:textId="77777777" w:rsidR="00476C5B" w:rsidRDefault="00476C5B" w:rsidP="001345AC">
                          <w:pPr>
                            <w:pStyle w:val="1stParaText"/>
                          </w:pPr>
                          <w:r>
                            <w:t>32</w:t>
                          </w:r>
                        </w:p>
                        <w:p w14:paraId="21046DEA" w14:textId="77777777" w:rsidR="00476C5B" w:rsidRDefault="00476C5B" w:rsidP="001345AC">
                          <w:pPr>
                            <w:pStyle w:val="1stParaText"/>
                          </w:pPr>
                          <w:r>
                            <w:t>33</w:t>
                          </w:r>
                        </w:p>
                        <w:p w14:paraId="41F97683" w14:textId="77777777" w:rsidR="00476C5B" w:rsidRDefault="00476C5B" w:rsidP="001345AC">
                          <w:pPr>
                            <w:pStyle w:val="1stParaText"/>
                          </w:pPr>
                          <w:r>
                            <w:t>34</w:t>
                          </w:r>
                        </w:p>
                        <w:p w14:paraId="1A444487" w14:textId="77777777" w:rsidR="00476C5B" w:rsidRDefault="00476C5B" w:rsidP="001345AC">
                          <w:pPr>
                            <w:pStyle w:val="1stParaText"/>
                          </w:pPr>
                          <w:r>
                            <w:t>35</w:t>
                          </w:r>
                        </w:p>
                        <w:p w14:paraId="4805A6B7" w14:textId="77777777" w:rsidR="00476C5B" w:rsidRDefault="00476C5B" w:rsidP="001345AC">
                          <w:pPr>
                            <w:pStyle w:val="1stParaText"/>
                          </w:pPr>
                          <w:r>
                            <w:t>36</w:t>
                          </w:r>
                        </w:p>
                        <w:p w14:paraId="1BD992C0" w14:textId="77777777" w:rsidR="00476C5B" w:rsidRDefault="00476C5B" w:rsidP="001345AC">
                          <w:pPr>
                            <w:pStyle w:val="1stParaText"/>
                          </w:pPr>
                          <w:r>
                            <w:t>37</w:t>
                          </w:r>
                        </w:p>
                        <w:p w14:paraId="04DF822E" w14:textId="77777777" w:rsidR="00476C5B" w:rsidRDefault="00476C5B" w:rsidP="001345AC">
                          <w:pPr>
                            <w:pStyle w:val="1stParaText"/>
                          </w:pPr>
                          <w:r>
                            <w:t>38</w:t>
                          </w:r>
                        </w:p>
                        <w:p w14:paraId="0D91DB8E" w14:textId="77777777" w:rsidR="00476C5B" w:rsidRDefault="00476C5B" w:rsidP="001345AC">
                          <w:pPr>
                            <w:pStyle w:val="1stParaText"/>
                          </w:pPr>
                          <w:r>
                            <w:t>39</w:t>
                          </w:r>
                        </w:p>
                        <w:p w14:paraId="2FA09CF2" w14:textId="77777777" w:rsidR="00476C5B" w:rsidRDefault="00476C5B" w:rsidP="001345AC">
                          <w:pPr>
                            <w:pStyle w:val="1stParaText"/>
                          </w:pPr>
                          <w:r>
                            <w:t>40</w:t>
                          </w:r>
                        </w:p>
                        <w:p w14:paraId="3FB1B8E5" w14:textId="77777777" w:rsidR="00476C5B" w:rsidRDefault="00476C5B" w:rsidP="001345AC">
                          <w:pPr>
                            <w:pStyle w:val="1stParaText"/>
                          </w:pPr>
                          <w:r>
                            <w:t>41</w:t>
                          </w:r>
                        </w:p>
                        <w:p w14:paraId="200EFFE3" w14:textId="77777777" w:rsidR="00476C5B" w:rsidRDefault="00476C5B" w:rsidP="001345AC">
                          <w:pPr>
                            <w:pStyle w:val="1stParaText"/>
                          </w:pPr>
                          <w:r>
                            <w:t>42</w:t>
                          </w:r>
                        </w:p>
                        <w:p w14:paraId="7A7B6102" w14:textId="77777777" w:rsidR="00476C5B" w:rsidRDefault="00476C5B" w:rsidP="001345AC">
                          <w:pPr>
                            <w:pStyle w:val="1stParaText"/>
                          </w:pPr>
                          <w:r>
                            <w:t>43</w:t>
                          </w:r>
                        </w:p>
                        <w:p w14:paraId="6A4576BF" w14:textId="77777777" w:rsidR="00476C5B" w:rsidRDefault="00476C5B" w:rsidP="001345AC">
                          <w:pPr>
                            <w:pStyle w:val="1stParaText"/>
                          </w:pPr>
                          <w:r>
                            <w:t>44</w:t>
                          </w:r>
                        </w:p>
                        <w:p w14:paraId="05E96252" w14:textId="77777777" w:rsidR="00476C5B" w:rsidRDefault="00476C5B" w:rsidP="001345AC">
                          <w:pPr>
                            <w:pStyle w:val="1stParaText"/>
                          </w:pPr>
                          <w:r>
                            <w:t>45</w:t>
                          </w:r>
                        </w:p>
                        <w:p w14:paraId="656D8A9A" w14:textId="77777777" w:rsidR="00476C5B" w:rsidRDefault="00476C5B" w:rsidP="001345AC">
                          <w:pPr>
                            <w:pStyle w:val="1stParaText"/>
                          </w:pPr>
                          <w:r>
                            <w:t>46</w:t>
                          </w:r>
                        </w:p>
                        <w:p w14:paraId="366B133B" w14:textId="77777777" w:rsidR="00476C5B" w:rsidRDefault="00476C5B" w:rsidP="001345AC">
                          <w:pPr>
                            <w:pStyle w:val="1stParaText"/>
                          </w:pPr>
                          <w:r>
                            <w:t>47</w:t>
                          </w:r>
                        </w:p>
                        <w:p w14:paraId="44CD9DBE" w14:textId="77777777" w:rsidR="00476C5B" w:rsidRDefault="00476C5B" w:rsidP="001345AC">
                          <w:pPr>
                            <w:pStyle w:val="1stParaText"/>
                          </w:pPr>
                          <w:r>
                            <w:t>48</w:t>
                          </w:r>
                        </w:p>
                        <w:p w14:paraId="1F295DAA" w14:textId="77777777" w:rsidR="00476C5B" w:rsidRDefault="00476C5B" w:rsidP="001345AC">
                          <w:pPr>
                            <w:pStyle w:val="1stParaText"/>
                          </w:pPr>
                          <w:r>
                            <w:t>49</w:t>
                          </w:r>
                        </w:p>
                        <w:p w14:paraId="10FAFBDB" w14:textId="77777777" w:rsidR="00476C5B" w:rsidRDefault="00476C5B" w:rsidP="001345AC">
                          <w:pPr>
                            <w:pStyle w:val="1stParaText"/>
                          </w:pPr>
                          <w:r>
                            <w:t>50</w:t>
                          </w:r>
                        </w:p>
                        <w:p w14:paraId="079CC3C6" w14:textId="77777777" w:rsidR="00476C5B" w:rsidRDefault="00476C5B" w:rsidP="001345AC">
                          <w:pPr>
                            <w:pStyle w:val="1stParaText"/>
                          </w:pPr>
                          <w:r>
                            <w:t>51</w:t>
                          </w:r>
                        </w:p>
                        <w:p w14:paraId="240F33C9" w14:textId="77777777" w:rsidR="00476C5B" w:rsidRDefault="00476C5B" w:rsidP="001345AC">
                          <w:pPr>
                            <w:pStyle w:val="1stParaText"/>
                          </w:pPr>
                          <w:r>
                            <w:t>52</w:t>
                          </w:r>
                        </w:p>
                        <w:p w14:paraId="764269FA" w14:textId="77777777" w:rsidR="00476C5B" w:rsidRDefault="00476C5B" w:rsidP="001345AC">
                          <w:pPr>
                            <w:pStyle w:val="1stParaText"/>
                          </w:pPr>
                          <w:r>
                            <w:t>53</w:t>
                          </w:r>
                        </w:p>
                        <w:p w14:paraId="6CE8925B" w14:textId="77777777" w:rsidR="00476C5B" w:rsidRDefault="00476C5B" w:rsidP="001345AC">
                          <w:pPr>
                            <w:pStyle w:val="1stParaText"/>
                          </w:pPr>
                          <w:r>
                            <w:t>54</w:t>
                          </w:r>
                        </w:p>
                        <w:p w14:paraId="314394B0" w14:textId="77777777" w:rsidR="00476C5B" w:rsidRDefault="00476C5B" w:rsidP="001345AC">
                          <w:pPr>
                            <w:pStyle w:val="1stParaText"/>
                          </w:pPr>
                          <w:r>
                            <w:t>55</w:t>
                          </w:r>
                        </w:p>
                        <w:p w14:paraId="08ABDF82" w14:textId="77777777" w:rsidR="00476C5B" w:rsidRDefault="00476C5B" w:rsidP="001345AC">
                          <w:pPr>
                            <w:pStyle w:val="1stParaText"/>
                          </w:pPr>
                          <w:r>
                            <w:t>56</w:t>
                          </w:r>
                        </w:p>
                        <w:p w14:paraId="44AA4136" w14:textId="77777777" w:rsidR="00476C5B" w:rsidRDefault="00476C5B" w:rsidP="001345AC">
                          <w:pPr>
                            <w:pStyle w:val="1stParaText"/>
                          </w:pPr>
                          <w:r>
                            <w:t>57</w:t>
                          </w:r>
                        </w:p>
                        <w:p w14:paraId="52949D4B" w14:textId="77777777" w:rsidR="00476C5B" w:rsidRDefault="00476C5B" w:rsidP="001345AC">
                          <w:pPr>
                            <w:pStyle w:val="1stParaText"/>
                          </w:pPr>
                          <w:r>
                            <w:t>58</w:t>
                          </w:r>
                        </w:p>
                        <w:p w14:paraId="2A631692" w14:textId="77777777" w:rsidR="00476C5B" w:rsidRDefault="00476C5B" w:rsidP="001345AC">
                          <w:pPr>
                            <w:pStyle w:val="1stParaText"/>
                          </w:pPr>
                          <w:r>
                            <w:t>59</w:t>
                          </w:r>
                        </w:p>
                        <w:p w14:paraId="3665AE17" w14:textId="77777777" w:rsidR="00476C5B" w:rsidRDefault="00476C5B" w:rsidP="001345AC">
                          <w:pPr>
                            <w:pStyle w:val="1stParaText"/>
                          </w:pPr>
                        </w:p>
                        <w:p w14:paraId="75D47408" w14:textId="77777777" w:rsidR="00476C5B" w:rsidRDefault="00476C5B" w:rsidP="001345AC">
                          <w:pPr>
                            <w:pStyle w:val="1stParaText"/>
                          </w:pPr>
                        </w:p>
                        <w:p w14:paraId="72744247" w14:textId="77777777" w:rsidR="00476C5B" w:rsidRDefault="00476C5B" w:rsidP="001345AC">
                          <w:pPr>
                            <w:pStyle w:val="1stParaText"/>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52F42" id="Text Box 14" o:spid="_x0000_s1028" type="#_x0000_t202" style="position:absolute;margin-left:-44.05pt;margin-top:111.15pt;width:27pt;height:63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" o:allowincell="f" stroked="f">
              <v:textbox inset=",7.2pt">
                <w:txbxContent>
                  <w:p w14:paraId="0B4C95BD" w14:textId="77777777" w:rsidR="00476C5B" w:rsidRDefault="00476C5B" w:rsidP="001345AC">
                    <w:pPr>
                      <w:pStyle w:val="1stParaText"/>
                    </w:pPr>
                    <w:r>
                      <w:t>1</w:t>
                    </w:r>
                  </w:p>
                  <w:p w14:paraId="14191BE6" w14:textId="77777777" w:rsidR="00476C5B" w:rsidRDefault="00476C5B" w:rsidP="001345AC">
                    <w:pPr>
                      <w:pStyle w:val="1stParaText"/>
                    </w:pPr>
                    <w:r>
                      <w:t>2</w:t>
                    </w:r>
                  </w:p>
                  <w:p w14:paraId="22500ECA" w14:textId="77777777" w:rsidR="00476C5B" w:rsidRDefault="00476C5B" w:rsidP="001345AC">
                    <w:pPr>
                      <w:pStyle w:val="1stParaText"/>
                    </w:pPr>
                    <w:r>
                      <w:t>3</w:t>
                    </w:r>
                  </w:p>
                  <w:p w14:paraId="745412C1" w14:textId="77777777" w:rsidR="00476C5B" w:rsidRDefault="00476C5B" w:rsidP="001345AC">
                    <w:pPr>
                      <w:pStyle w:val="1stParaText"/>
                    </w:pPr>
                    <w:r>
                      <w:t>4</w:t>
                    </w:r>
                  </w:p>
                  <w:p w14:paraId="586058DE" w14:textId="77777777" w:rsidR="00476C5B" w:rsidRDefault="00476C5B" w:rsidP="001345AC">
                    <w:pPr>
                      <w:pStyle w:val="1stParaText"/>
                    </w:pPr>
                    <w:r>
                      <w:t>5</w:t>
                    </w:r>
                  </w:p>
                  <w:p w14:paraId="033E2614" w14:textId="77777777" w:rsidR="00476C5B" w:rsidRDefault="00476C5B" w:rsidP="001345AC">
                    <w:pPr>
                      <w:pStyle w:val="1stParaText"/>
                    </w:pPr>
                    <w:r>
                      <w:t>6</w:t>
                    </w:r>
                  </w:p>
                  <w:p w14:paraId="02477030" w14:textId="77777777" w:rsidR="00476C5B" w:rsidRDefault="00476C5B" w:rsidP="001345AC">
                    <w:pPr>
                      <w:pStyle w:val="1stParaText"/>
                    </w:pPr>
                    <w:r>
                      <w:t>7</w:t>
                    </w:r>
                  </w:p>
                  <w:p w14:paraId="09A78748" w14:textId="77777777" w:rsidR="00476C5B" w:rsidRDefault="00476C5B" w:rsidP="001345AC">
                    <w:pPr>
                      <w:pStyle w:val="1stParaText"/>
                    </w:pPr>
                    <w:r>
                      <w:t>8</w:t>
                    </w:r>
                  </w:p>
                  <w:p w14:paraId="7AFD9536" w14:textId="77777777" w:rsidR="00476C5B" w:rsidRDefault="00476C5B" w:rsidP="001345AC">
                    <w:pPr>
                      <w:pStyle w:val="1stParaText"/>
                    </w:pPr>
                    <w:r>
                      <w:t>9</w:t>
                    </w:r>
                  </w:p>
                  <w:p w14:paraId="6D523CCF" w14:textId="77777777" w:rsidR="00476C5B" w:rsidRDefault="00476C5B" w:rsidP="001345AC">
                    <w:pPr>
                      <w:pStyle w:val="1stParaText"/>
                    </w:pPr>
                    <w:r>
                      <w:t>10</w:t>
                    </w:r>
                  </w:p>
                  <w:p w14:paraId="06F3B322" w14:textId="77777777" w:rsidR="00476C5B" w:rsidRDefault="00476C5B" w:rsidP="001345AC">
                    <w:pPr>
                      <w:pStyle w:val="1stParaText"/>
                    </w:pPr>
                    <w:r>
                      <w:t>11</w:t>
                    </w:r>
                  </w:p>
                  <w:p w14:paraId="4E2BE269" w14:textId="77777777" w:rsidR="00476C5B" w:rsidRDefault="00476C5B" w:rsidP="001345AC">
                    <w:pPr>
                      <w:pStyle w:val="1stParaText"/>
                    </w:pPr>
                    <w:r>
                      <w:t>12</w:t>
                    </w:r>
                  </w:p>
                  <w:p w14:paraId="0499C5CB" w14:textId="77777777" w:rsidR="00476C5B" w:rsidRDefault="00476C5B" w:rsidP="001345AC">
                    <w:pPr>
                      <w:pStyle w:val="1stParaText"/>
                    </w:pPr>
                    <w:r>
                      <w:t>13</w:t>
                    </w:r>
                  </w:p>
                  <w:p w14:paraId="1A45A296" w14:textId="77777777" w:rsidR="00476C5B" w:rsidRDefault="00476C5B" w:rsidP="001345AC">
                    <w:pPr>
                      <w:pStyle w:val="1stParaText"/>
                    </w:pPr>
                    <w:r>
                      <w:t>14</w:t>
                    </w:r>
                  </w:p>
                  <w:p w14:paraId="7C7B23EA" w14:textId="77777777" w:rsidR="00476C5B" w:rsidRDefault="00476C5B" w:rsidP="001345AC">
                    <w:pPr>
                      <w:pStyle w:val="1stParaText"/>
                    </w:pPr>
                    <w:r>
                      <w:t>15</w:t>
                    </w:r>
                  </w:p>
                  <w:p w14:paraId="1B1DB688" w14:textId="77777777" w:rsidR="00476C5B" w:rsidRDefault="00476C5B" w:rsidP="001345AC">
                    <w:pPr>
                      <w:pStyle w:val="1stParaText"/>
                    </w:pPr>
                    <w:r>
                      <w:t>16</w:t>
                    </w:r>
                  </w:p>
                  <w:p w14:paraId="5DF02FE2" w14:textId="77777777" w:rsidR="00476C5B" w:rsidRDefault="00476C5B" w:rsidP="001345AC">
                    <w:pPr>
                      <w:pStyle w:val="1stParaText"/>
                    </w:pPr>
                    <w:r>
                      <w:t>17</w:t>
                    </w:r>
                  </w:p>
                  <w:p w14:paraId="6269DEF2" w14:textId="77777777" w:rsidR="00476C5B" w:rsidRDefault="00476C5B" w:rsidP="001345AC">
                    <w:pPr>
                      <w:pStyle w:val="1stParaText"/>
                    </w:pPr>
                    <w:r>
                      <w:t>18</w:t>
                    </w:r>
                  </w:p>
                  <w:p w14:paraId="129ACEB2" w14:textId="77777777" w:rsidR="00476C5B" w:rsidRDefault="00476C5B" w:rsidP="001345AC">
                    <w:pPr>
                      <w:pStyle w:val="1stParaText"/>
                    </w:pPr>
                    <w:r>
                      <w:t>19</w:t>
                    </w:r>
                  </w:p>
                  <w:p w14:paraId="57F841E7" w14:textId="77777777" w:rsidR="00476C5B" w:rsidRDefault="00476C5B" w:rsidP="001345AC">
                    <w:pPr>
                      <w:pStyle w:val="1stParaText"/>
                    </w:pPr>
                    <w:r>
                      <w:t>20</w:t>
                    </w:r>
                  </w:p>
                  <w:p w14:paraId="6A052072" w14:textId="77777777" w:rsidR="00476C5B" w:rsidRDefault="00476C5B" w:rsidP="001345AC">
                    <w:pPr>
                      <w:pStyle w:val="1stParaText"/>
                    </w:pPr>
                    <w:r>
                      <w:t>21</w:t>
                    </w:r>
                  </w:p>
                  <w:p w14:paraId="61BA93F9" w14:textId="77777777" w:rsidR="00476C5B" w:rsidRDefault="00476C5B" w:rsidP="001345AC">
                    <w:pPr>
                      <w:pStyle w:val="1stParaText"/>
                    </w:pPr>
                    <w:r>
                      <w:t>22</w:t>
                    </w:r>
                  </w:p>
                  <w:p w14:paraId="4DCB9A23" w14:textId="77777777" w:rsidR="00476C5B" w:rsidRDefault="00476C5B" w:rsidP="001345AC">
                    <w:pPr>
                      <w:pStyle w:val="1stParaText"/>
                    </w:pPr>
                    <w:r>
                      <w:t>23</w:t>
                    </w:r>
                  </w:p>
                  <w:p w14:paraId="16E51306" w14:textId="77777777" w:rsidR="00476C5B" w:rsidRDefault="00476C5B" w:rsidP="001345AC">
                    <w:pPr>
                      <w:pStyle w:val="1stParaText"/>
                    </w:pPr>
                    <w:r>
                      <w:t>24</w:t>
                    </w:r>
                  </w:p>
                  <w:p w14:paraId="6D178CA4" w14:textId="77777777" w:rsidR="00476C5B" w:rsidRDefault="00476C5B" w:rsidP="001345AC">
                    <w:pPr>
                      <w:pStyle w:val="1stParaText"/>
                    </w:pPr>
                    <w:r>
                      <w:t>25</w:t>
                    </w:r>
                  </w:p>
                  <w:p w14:paraId="3B7B6A03" w14:textId="77777777" w:rsidR="00476C5B" w:rsidRDefault="00476C5B" w:rsidP="001345AC">
                    <w:pPr>
                      <w:pStyle w:val="1stParaText"/>
                    </w:pPr>
                    <w:r>
                      <w:t>26</w:t>
                    </w:r>
                  </w:p>
                  <w:p w14:paraId="089EC771" w14:textId="77777777" w:rsidR="00476C5B" w:rsidRDefault="00476C5B" w:rsidP="001345AC">
                    <w:pPr>
                      <w:pStyle w:val="1stParaText"/>
                    </w:pPr>
                    <w:r>
                      <w:t>27</w:t>
                    </w:r>
                  </w:p>
                  <w:p w14:paraId="4E55DF11" w14:textId="77777777" w:rsidR="00476C5B" w:rsidRDefault="00476C5B" w:rsidP="001345AC">
                    <w:pPr>
                      <w:pStyle w:val="1stParaText"/>
                    </w:pPr>
                    <w:r>
                      <w:t>28</w:t>
                    </w:r>
                  </w:p>
                  <w:p w14:paraId="4F5B5EAD" w14:textId="77777777" w:rsidR="00476C5B" w:rsidRDefault="00476C5B" w:rsidP="001345AC">
                    <w:pPr>
                      <w:pStyle w:val="1stParaText"/>
                    </w:pPr>
                    <w:r>
                      <w:t>29</w:t>
                    </w:r>
                  </w:p>
                  <w:p w14:paraId="7F4BE1F8" w14:textId="77777777" w:rsidR="00476C5B" w:rsidRDefault="00476C5B" w:rsidP="001345AC">
                    <w:pPr>
                      <w:pStyle w:val="1stParaText"/>
                    </w:pPr>
                    <w:r>
                      <w:t>30</w:t>
                    </w:r>
                  </w:p>
                  <w:p w14:paraId="1D28E01B" w14:textId="77777777" w:rsidR="00476C5B" w:rsidRDefault="00476C5B" w:rsidP="001345AC">
                    <w:pPr>
                      <w:pStyle w:val="1stParaText"/>
                    </w:pPr>
                    <w:r>
                      <w:t>31</w:t>
                    </w:r>
                  </w:p>
                  <w:p w14:paraId="442A2CC6" w14:textId="77777777" w:rsidR="00476C5B" w:rsidRDefault="00476C5B" w:rsidP="001345AC">
                    <w:pPr>
                      <w:pStyle w:val="1stParaText"/>
                    </w:pPr>
                    <w:r>
                      <w:t>32</w:t>
                    </w:r>
                  </w:p>
                  <w:p w14:paraId="21046DEA" w14:textId="77777777" w:rsidR="00476C5B" w:rsidRDefault="00476C5B" w:rsidP="001345AC">
                    <w:pPr>
                      <w:pStyle w:val="1stParaText"/>
                    </w:pPr>
                    <w:r>
                      <w:t>33</w:t>
                    </w:r>
                  </w:p>
                  <w:p w14:paraId="41F97683" w14:textId="77777777" w:rsidR="00476C5B" w:rsidRDefault="00476C5B" w:rsidP="001345AC">
                    <w:pPr>
                      <w:pStyle w:val="1stParaText"/>
                    </w:pPr>
                    <w:r>
                      <w:t>34</w:t>
                    </w:r>
                  </w:p>
                  <w:p w14:paraId="1A444487" w14:textId="77777777" w:rsidR="00476C5B" w:rsidRDefault="00476C5B" w:rsidP="001345AC">
                    <w:pPr>
                      <w:pStyle w:val="1stParaText"/>
                    </w:pPr>
                    <w:r>
                      <w:t>35</w:t>
                    </w:r>
                  </w:p>
                  <w:p w14:paraId="4805A6B7" w14:textId="77777777" w:rsidR="00476C5B" w:rsidRDefault="00476C5B" w:rsidP="001345AC">
                    <w:pPr>
                      <w:pStyle w:val="1stParaText"/>
                    </w:pPr>
                    <w:r>
                      <w:t>36</w:t>
                    </w:r>
                  </w:p>
                  <w:p w14:paraId="1BD992C0" w14:textId="77777777" w:rsidR="00476C5B" w:rsidRDefault="00476C5B" w:rsidP="001345AC">
                    <w:pPr>
                      <w:pStyle w:val="1stParaText"/>
                    </w:pPr>
                    <w:r>
                      <w:t>37</w:t>
                    </w:r>
                  </w:p>
                  <w:p w14:paraId="04DF822E" w14:textId="77777777" w:rsidR="00476C5B" w:rsidRDefault="00476C5B" w:rsidP="001345AC">
                    <w:pPr>
                      <w:pStyle w:val="1stParaText"/>
                    </w:pPr>
                    <w:r>
                      <w:t>38</w:t>
                    </w:r>
                  </w:p>
                  <w:p w14:paraId="0D91DB8E" w14:textId="77777777" w:rsidR="00476C5B" w:rsidRDefault="00476C5B" w:rsidP="001345AC">
                    <w:pPr>
                      <w:pStyle w:val="1stParaText"/>
                    </w:pPr>
                    <w:r>
                      <w:t>39</w:t>
                    </w:r>
                  </w:p>
                  <w:p w14:paraId="2FA09CF2" w14:textId="77777777" w:rsidR="00476C5B" w:rsidRDefault="00476C5B" w:rsidP="001345AC">
                    <w:pPr>
                      <w:pStyle w:val="1stParaText"/>
                    </w:pPr>
                    <w:r>
                      <w:t>40</w:t>
                    </w:r>
                  </w:p>
                  <w:p w14:paraId="3FB1B8E5" w14:textId="77777777" w:rsidR="00476C5B" w:rsidRDefault="00476C5B" w:rsidP="001345AC">
                    <w:pPr>
                      <w:pStyle w:val="1stParaText"/>
                    </w:pPr>
                    <w:r>
                      <w:t>41</w:t>
                    </w:r>
                  </w:p>
                  <w:p w14:paraId="200EFFE3" w14:textId="77777777" w:rsidR="00476C5B" w:rsidRDefault="00476C5B" w:rsidP="001345AC">
                    <w:pPr>
                      <w:pStyle w:val="1stParaText"/>
                    </w:pPr>
                    <w:r>
                      <w:t>42</w:t>
                    </w:r>
                  </w:p>
                  <w:p w14:paraId="7A7B6102" w14:textId="77777777" w:rsidR="00476C5B" w:rsidRDefault="00476C5B" w:rsidP="001345AC">
                    <w:pPr>
                      <w:pStyle w:val="1stParaText"/>
                    </w:pPr>
                    <w:r>
                      <w:t>43</w:t>
                    </w:r>
                  </w:p>
                  <w:p w14:paraId="6A4576BF" w14:textId="77777777" w:rsidR="00476C5B" w:rsidRDefault="00476C5B" w:rsidP="001345AC">
                    <w:pPr>
                      <w:pStyle w:val="1stParaText"/>
                    </w:pPr>
                    <w:r>
                      <w:t>44</w:t>
                    </w:r>
                  </w:p>
                  <w:p w14:paraId="05E96252" w14:textId="77777777" w:rsidR="00476C5B" w:rsidRDefault="00476C5B" w:rsidP="001345AC">
                    <w:pPr>
                      <w:pStyle w:val="1stParaText"/>
                    </w:pPr>
                    <w:r>
                      <w:t>45</w:t>
                    </w:r>
                  </w:p>
                  <w:p w14:paraId="656D8A9A" w14:textId="77777777" w:rsidR="00476C5B" w:rsidRDefault="00476C5B" w:rsidP="001345AC">
                    <w:pPr>
                      <w:pStyle w:val="1stParaText"/>
                    </w:pPr>
                    <w:r>
                      <w:t>46</w:t>
                    </w:r>
                  </w:p>
                  <w:p w14:paraId="366B133B" w14:textId="77777777" w:rsidR="00476C5B" w:rsidRDefault="00476C5B" w:rsidP="001345AC">
                    <w:pPr>
                      <w:pStyle w:val="1stParaText"/>
                    </w:pPr>
                    <w:r>
                      <w:t>47</w:t>
                    </w:r>
                  </w:p>
                  <w:p w14:paraId="44CD9DBE" w14:textId="77777777" w:rsidR="00476C5B" w:rsidRDefault="00476C5B" w:rsidP="001345AC">
                    <w:pPr>
                      <w:pStyle w:val="1stParaText"/>
                    </w:pPr>
                    <w:r>
                      <w:t>48</w:t>
                    </w:r>
                  </w:p>
                  <w:p w14:paraId="1F295DAA" w14:textId="77777777" w:rsidR="00476C5B" w:rsidRDefault="00476C5B" w:rsidP="001345AC">
                    <w:pPr>
                      <w:pStyle w:val="1stParaText"/>
                    </w:pPr>
                    <w:r>
                      <w:t>49</w:t>
                    </w:r>
                  </w:p>
                  <w:p w14:paraId="10FAFBDB" w14:textId="77777777" w:rsidR="00476C5B" w:rsidRDefault="00476C5B" w:rsidP="001345AC">
                    <w:pPr>
                      <w:pStyle w:val="1stParaText"/>
                    </w:pPr>
                    <w:r>
                      <w:t>50</w:t>
                    </w:r>
                  </w:p>
                  <w:p w14:paraId="079CC3C6" w14:textId="77777777" w:rsidR="00476C5B" w:rsidRDefault="00476C5B" w:rsidP="001345AC">
                    <w:pPr>
                      <w:pStyle w:val="1stParaText"/>
                    </w:pPr>
                    <w:r>
                      <w:t>51</w:t>
                    </w:r>
                  </w:p>
                  <w:p w14:paraId="240F33C9" w14:textId="77777777" w:rsidR="00476C5B" w:rsidRDefault="00476C5B" w:rsidP="001345AC">
                    <w:pPr>
                      <w:pStyle w:val="1stParaText"/>
                    </w:pPr>
                    <w:r>
                      <w:t>52</w:t>
                    </w:r>
                  </w:p>
                  <w:p w14:paraId="764269FA" w14:textId="77777777" w:rsidR="00476C5B" w:rsidRDefault="00476C5B" w:rsidP="001345AC">
                    <w:pPr>
                      <w:pStyle w:val="1stParaText"/>
                    </w:pPr>
                    <w:r>
                      <w:t>53</w:t>
                    </w:r>
                  </w:p>
                  <w:p w14:paraId="6CE8925B" w14:textId="77777777" w:rsidR="00476C5B" w:rsidRDefault="00476C5B" w:rsidP="001345AC">
                    <w:pPr>
                      <w:pStyle w:val="1stParaText"/>
                    </w:pPr>
                    <w:r>
                      <w:t>54</w:t>
                    </w:r>
                  </w:p>
                  <w:p w14:paraId="314394B0" w14:textId="77777777" w:rsidR="00476C5B" w:rsidRDefault="00476C5B" w:rsidP="001345AC">
                    <w:pPr>
                      <w:pStyle w:val="1stParaText"/>
                    </w:pPr>
                    <w:r>
                      <w:t>55</w:t>
                    </w:r>
                  </w:p>
                  <w:p w14:paraId="08ABDF82" w14:textId="77777777" w:rsidR="00476C5B" w:rsidRDefault="00476C5B" w:rsidP="001345AC">
                    <w:pPr>
                      <w:pStyle w:val="1stParaText"/>
                    </w:pPr>
                    <w:r>
                      <w:t>56</w:t>
                    </w:r>
                  </w:p>
                  <w:p w14:paraId="44AA4136" w14:textId="77777777" w:rsidR="00476C5B" w:rsidRDefault="00476C5B" w:rsidP="001345AC">
                    <w:pPr>
                      <w:pStyle w:val="1stParaText"/>
                    </w:pPr>
                    <w:r>
                      <w:t>57</w:t>
                    </w:r>
                  </w:p>
                  <w:p w14:paraId="52949D4B" w14:textId="77777777" w:rsidR="00476C5B" w:rsidRDefault="00476C5B" w:rsidP="001345AC">
                    <w:pPr>
                      <w:pStyle w:val="1stParaText"/>
                    </w:pPr>
                    <w:r>
                      <w:t>58</w:t>
                    </w:r>
                  </w:p>
                  <w:p w14:paraId="2A631692" w14:textId="77777777" w:rsidR="00476C5B" w:rsidRDefault="00476C5B" w:rsidP="001345AC">
                    <w:pPr>
                      <w:pStyle w:val="1stParaText"/>
                    </w:pPr>
                    <w:r>
                      <w:t>59</w:t>
                    </w:r>
                  </w:p>
                  <w:p w14:paraId="3665AE17" w14:textId="77777777" w:rsidR="00476C5B" w:rsidRDefault="00476C5B" w:rsidP="001345AC">
                    <w:pPr>
                      <w:pStyle w:val="1stParaText"/>
                    </w:pPr>
                  </w:p>
                  <w:p w14:paraId="75D47408" w14:textId="77777777" w:rsidR="00476C5B" w:rsidRDefault="00476C5B" w:rsidP="001345AC">
                    <w:pPr>
                      <w:pStyle w:val="1stParaText"/>
                    </w:pPr>
                  </w:p>
                  <w:p w14:paraId="72744247" w14:textId="77777777" w:rsidR="00476C5B" w:rsidRDefault="00476C5B" w:rsidP="001345AC">
                    <w:pPr>
                      <w:pStyle w:val="1stParaText"/>
                    </w:pPr>
                  </w:p>
                </w:txbxContent>
              </v:textbox>
              <w10:wrap type="square"/>
              <w10:anchorlock/>
            </v:shape>
          </w:pict>
        </mc:Fallback>
      </mc:AlternateContent>
    </w:r>
    <w:r>
      <w:rPr>
        <w:noProof/>
        <w:lang w:val="en-GB" w:eastAsia="en-GB"/>
      </w:rPr>
      <mc:AlternateContent>
        <mc:Choice Requires="wps">
          <w:drawing>
            <wp:anchor distT="0" distB="0" distL="114300" distR="114300" simplePos="0" relativeHeight="251657728" behindDoc="0" locked="1" layoutInCell="0" allowOverlap="1" wp14:anchorId="00D792B3" wp14:editId="69239CB7">
              <wp:simplePos x="0" y="0"/>
              <wp:positionH relativeFrom="margin">
                <wp:posOffset>4831715</wp:posOffset>
              </wp:positionH>
              <wp:positionV relativeFrom="page">
                <wp:posOffset>462280</wp:posOffset>
              </wp:positionV>
              <wp:extent cx="1349375" cy="228600"/>
              <wp:effectExtent l="0" t="0" r="222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339966"/>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60EC8033" w14:textId="77777777" w:rsidR="00476C5B" w:rsidRPr="00470082" w:rsidRDefault="00476C5B">
                          <w:pPr>
                            <w:spacing w:line="320" w:lineRule="exact"/>
                            <w:jc w:val="center"/>
                            <w:rPr>
                              <w:b/>
                            </w:rPr>
                          </w:pPr>
                          <w:r w:rsidRPr="00470082">
                            <w:rPr>
                              <w:rFonts w:ascii="BlissBold" w:hAnsi="BlissBold"/>
                              <w:b/>
                              <w:i/>
                              <w:smallCaps/>
                              <w:sz w:val="28"/>
                            </w:rPr>
                            <w:t>Science galley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792B3" id="Rectangle 4" o:spid="_x0000_s1029" style="position:absolute;margin-left:380.45pt;margin-top:36.4pt;width:106.25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" o:allowincell="f" filled="f" stroked="f">
              <v:textbox inset="0,0,0,0">
                <w:txbxContent>
                  <w:p w14:paraId="60EC8033" w14:textId="77777777" w:rsidR="00476C5B" w:rsidRPr="00470082" w:rsidRDefault="00476C5B">
                    <w:pPr>
                      <w:spacing w:line="320" w:lineRule="exact"/>
                      <w:jc w:val="center"/>
                      <w:rPr>
                        <w:b/>
                      </w:rPr>
                    </w:pPr>
                    <w:r w:rsidRPr="00470082">
                      <w:rPr>
                        <w:rFonts w:ascii="BlissBold" w:hAnsi="BlissBold"/>
                        <w:b/>
                        <w:i/>
                        <w:smallCaps/>
                        <w:sz w:val="28"/>
                      </w:rPr>
                      <w:t>Science galley</w:t>
                    </w:r>
                  </w:p>
                </w:txbxContent>
              </v:textbox>
              <w10:wrap anchorx="margin"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4419D"/>
    <w:multiLevelType w:val="hybridMultilevel"/>
    <w:tmpl w:val="486237C6"/>
    <w:lvl w:ilvl="0" w:tplc="C97C1D6E">
      <w:start w:val="5"/>
      <w:numFmt w:val="bullet"/>
      <w:lvlText w:val="-"/>
      <w:lvlJc w:val="left"/>
      <w:pPr>
        <w:ind w:left="630" w:hanging="360"/>
      </w:pPr>
      <w:rPr>
        <w:rFonts w:ascii="Times New Roman" w:eastAsia="Source Sans Pro"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5E151F3A"/>
    <w:multiLevelType w:val="hybridMultilevel"/>
    <w:tmpl w:val="346C9E28"/>
    <w:lvl w:ilvl="0" w:tplc="BFDAB75C">
      <w:start w:val="1"/>
      <w:numFmt w:val="decimal"/>
      <w:lvlText w:val="%1."/>
      <w:lvlJc w:val="left"/>
      <w:pPr>
        <w:tabs>
          <w:tab w:val="num" w:pos="720"/>
        </w:tabs>
        <w:ind w:left="720" w:hanging="360"/>
      </w:pPr>
    </w:lvl>
    <w:lvl w:ilvl="1" w:tplc="B6FC7AE4" w:tentative="1">
      <w:start w:val="1"/>
      <w:numFmt w:val="lowerLetter"/>
      <w:lvlText w:val="%2."/>
      <w:lvlJc w:val="left"/>
      <w:pPr>
        <w:tabs>
          <w:tab w:val="num" w:pos="1440"/>
        </w:tabs>
        <w:ind w:left="1440" w:hanging="360"/>
      </w:pPr>
    </w:lvl>
    <w:lvl w:ilvl="2" w:tplc="01C2E0B8" w:tentative="1">
      <w:start w:val="1"/>
      <w:numFmt w:val="lowerRoman"/>
      <w:lvlText w:val="%3."/>
      <w:lvlJc w:val="right"/>
      <w:pPr>
        <w:tabs>
          <w:tab w:val="num" w:pos="2160"/>
        </w:tabs>
        <w:ind w:left="2160" w:hanging="180"/>
      </w:pPr>
    </w:lvl>
    <w:lvl w:ilvl="3" w:tplc="B7FCF032" w:tentative="1">
      <w:start w:val="1"/>
      <w:numFmt w:val="decimal"/>
      <w:lvlText w:val="%4."/>
      <w:lvlJc w:val="left"/>
      <w:pPr>
        <w:tabs>
          <w:tab w:val="num" w:pos="2880"/>
        </w:tabs>
        <w:ind w:left="2880" w:hanging="360"/>
      </w:pPr>
    </w:lvl>
    <w:lvl w:ilvl="4" w:tplc="44921C30" w:tentative="1">
      <w:start w:val="1"/>
      <w:numFmt w:val="lowerLetter"/>
      <w:lvlText w:val="%5."/>
      <w:lvlJc w:val="left"/>
      <w:pPr>
        <w:tabs>
          <w:tab w:val="num" w:pos="3600"/>
        </w:tabs>
        <w:ind w:left="3600" w:hanging="360"/>
      </w:pPr>
    </w:lvl>
    <w:lvl w:ilvl="5" w:tplc="BF56D4BA" w:tentative="1">
      <w:start w:val="1"/>
      <w:numFmt w:val="lowerRoman"/>
      <w:lvlText w:val="%6."/>
      <w:lvlJc w:val="right"/>
      <w:pPr>
        <w:tabs>
          <w:tab w:val="num" w:pos="4320"/>
        </w:tabs>
        <w:ind w:left="4320" w:hanging="180"/>
      </w:pPr>
    </w:lvl>
    <w:lvl w:ilvl="6" w:tplc="7EEC9EE2" w:tentative="1">
      <w:start w:val="1"/>
      <w:numFmt w:val="decimal"/>
      <w:lvlText w:val="%7."/>
      <w:lvlJc w:val="left"/>
      <w:pPr>
        <w:tabs>
          <w:tab w:val="num" w:pos="5040"/>
        </w:tabs>
        <w:ind w:left="5040" w:hanging="360"/>
      </w:pPr>
    </w:lvl>
    <w:lvl w:ilvl="7" w:tplc="EFFAD598" w:tentative="1">
      <w:start w:val="1"/>
      <w:numFmt w:val="lowerLetter"/>
      <w:lvlText w:val="%8."/>
      <w:lvlJc w:val="left"/>
      <w:pPr>
        <w:tabs>
          <w:tab w:val="num" w:pos="5760"/>
        </w:tabs>
        <w:ind w:left="5760" w:hanging="360"/>
      </w:pPr>
    </w:lvl>
    <w:lvl w:ilvl="8" w:tplc="CC1CDADC"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3"/>
  <w:hyphenationZone w:val="1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7F"/>
    <w:rsid w:val="00001574"/>
    <w:rsid w:val="000101E0"/>
    <w:rsid w:val="0001040B"/>
    <w:rsid w:val="0003273D"/>
    <w:rsid w:val="00034596"/>
    <w:rsid w:val="00060D32"/>
    <w:rsid w:val="00074EE2"/>
    <w:rsid w:val="0008192F"/>
    <w:rsid w:val="00082BBD"/>
    <w:rsid w:val="00096584"/>
    <w:rsid w:val="000A1398"/>
    <w:rsid w:val="000B3C42"/>
    <w:rsid w:val="000D1987"/>
    <w:rsid w:val="000D2F83"/>
    <w:rsid w:val="000E56F2"/>
    <w:rsid w:val="00116BE1"/>
    <w:rsid w:val="00127FBB"/>
    <w:rsid w:val="001345AC"/>
    <w:rsid w:val="0016287E"/>
    <w:rsid w:val="00167E79"/>
    <w:rsid w:val="0017496E"/>
    <w:rsid w:val="00186B2D"/>
    <w:rsid w:val="001A1648"/>
    <w:rsid w:val="001A3450"/>
    <w:rsid w:val="001A5DFF"/>
    <w:rsid w:val="001E2CB4"/>
    <w:rsid w:val="001E4C0B"/>
    <w:rsid w:val="001F6482"/>
    <w:rsid w:val="002446B9"/>
    <w:rsid w:val="00293A44"/>
    <w:rsid w:val="002E743B"/>
    <w:rsid w:val="002F2F56"/>
    <w:rsid w:val="00304166"/>
    <w:rsid w:val="003274CB"/>
    <w:rsid w:val="00330AE6"/>
    <w:rsid w:val="0033565E"/>
    <w:rsid w:val="00351F2F"/>
    <w:rsid w:val="0035416C"/>
    <w:rsid w:val="00355FE8"/>
    <w:rsid w:val="003609CD"/>
    <w:rsid w:val="003636A6"/>
    <w:rsid w:val="003A69F7"/>
    <w:rsid w:val="003A6A9D"/>
    <w:rsid w:val="003C2084"/>
    <w:rsid w:val="003E2928"/>
    <w:rsid w:val="003F06D4"/>
    <w:rsid w:val="003F40CD"/>
    <w:rsid w:val="003F61C4"/>
    <w:rsid w:val="00406D25"/>
    <w:rsid w:val="00411CD8"/>
    <w:rsid w:val="00420B98"/>
    <w:rsid w:val="004448B8"/>
    <w:rsid w:val="00467010"/>
    <w:rsid w:val="00470082"/>
    <w:rsid w:val="00476C5B"/>
    <w:rsid w:val="0047741F"/>
    <w:rsid w:val="00482E6E"/>
    <w:rsid w:val="004958CA"/>
    <w:rsid w:val="004A0020"/>
    <w:rsid w:val="004B5BB0"/>
    <w:rsid w:val="004E229B"/>
    <w:rsid w:val="004E34BD"/>
    <w:rsid w:val="004F2891"/>
    <w:rsid w:val="004F7092"/>
    <w:rsid w:val="00506D0F"/>
    <w:rsid w:val="00511B49"/>
    <w:rsid w:val="00530538"/>
    <w:rsid w:val="00541D33"/>
    <w:rsid w:val="0054527E"/>
    <w:rsid w:val="00551B37"/>
    <w:rsid w:val="0056152F"/>
    <w:rsid w:val="00582110"/>
    <w:rsid w:val="005C595E"/>
    <w:rsid w:val="005F4446"/>
    <w:rsid w:val="005F4A4F"/>
    <w:rsid w:val="0060781B"/>
    <w:rsid w:val="00624F02"/>
    <w:rsid w:val="006349A9"/>
    <w:rsid w:val="00643A72"/>
    <w:rsid w:val="0065065A"/>
    <w:rsid w:val="00650BF5"/>
    <w:rsid w:val="0066604C"/>
    <w:rsid w:val="006720D1"/>
    <w:rsid w:val="00673564"/>
    <w:rsid w:val="006A0711"/>
    <w:rsid w:val="006C3C16"/>
    <w:rsid w:val="006C649A"/>
    <w:rsid w:val="006C68DD"/>
    <w:rsid w:val="006D1F1C"/>
    <w:rsid w:val="006E2CA0"/>
    <w:rsid w:val="006E46BA"/>
    <w:rsid w:val="006F4419"/>
    <w:rsid w:val="007152FC"/>
    <w:rsid w:val="00732C2F"/>
    <w:rsid w:val="00771ACE"/>
    <w:rsid w:val="007C0C89"/>
    <w:rsid w:val="007E18F1"/>
    <w:rsid w:val="007F2161"/>
    <w:rsid w:val="007F2E71"/>
    <w:rsid w:val="00803ABD"/>
    <w:rsid w:val="00817C1D"/>
    <w:rsid w:val="0082435D"/>
    <w:rsid w:val="008277DB"/>
    <w:rsid w:val="0083150E"/>
    <w:rsid w:val="00850F08"/>
    <w:rsid w:val="00882028"/>
    <w:rsid w:val="00883C53"/>
    <w:rsid w:val="008859B6"/>
    <w:rsid w:val="008C461D"/>
    <w:rsid w:val="008D2C13"/>
    <w:rsid w:val="008E22B0"/>
    <w:rsid w:val="008F4CAC"/>
    <w:rsid w:val="0090284F"/>
    <w:rsid w:val="00910BDC"/>
    <w:rsid w:val="009224F9"/>
    <w:rsid w:val="0093441F"/>
    <w:rsid w:val="009450CE"/>
    <w:rsid w:val="009479BC"/>
    <w:rsid w:val="00961801"/>
    <w:rsid w:val="00970F0A"/>
    <w:rsid w:val="009A5EDA"/>
    <w:rsid w:val="009B51E1"/>
    <w:rsid w:val="009C78DC"/>
    <w:rsid w:val="009E423F"/>
    <w:rsid w:val="009F6DBB"/>
    <w:rsid w:val="00A05356"/>
    <w:rsid w:val="00A0627A"/>
    <w:rsid w:val="00A22AB6"/>
    <w:rsid w:val="00A35234"/>
    <w:rsid w:val="00A4262B"/>
    <w:rsid w:val="00A6514F"/>
    <w:rsid w:val="00A77776"/>
    <w:rsid w:val="00A9668E"/>
    <w:rsid w:val="00AB0CF1"/>
    <w:rsid w:val="00AC6EC8"/>
    <w:rsid w:val="00AE4DC7"/>
    <w:rsid w:val="00AF1EEB"/>
    <w:rsid w:val="00AF22BA"/>
    <w:rsid w:val="00B12C0F"/>
    <w:rsid w:val="00B14E28"/>
    <w:rsid w:val="00B14EFD"/>
    <w:rsid w:val="00B52AF0"/>
    <w:rsid w:val="00B73355"/>
    <w:rsid w:val="00B865DB"/>
    <w:rsid w:val="00B97486"/>
    <w:rsid w:val="00BA4C79"/>
    <w:rsid w:val="00BC2F98"/>
    <w:rsid w:val="00BC3957"/>
    <w:rsid w:val="00BE60C2"/>
    <w:rsid w:val="00BF0D2F"/>
    <w:rsid w:val="00BF444C"/>
    <w:rsid w:val="00C03D8A"/>
    <w:rsid w:val="00C1317B"/>
    <w:rsid w:val="00C33F41"/>
    <w:rsid w:val="00C4551B"/>
    <w:rsid w:val="00C45B50"/>
    <w:rsid w:val="00C50243"/>
    <w:rsid w:val="00C90F64"/>
    <w:rsid w:val="00CB567F"/>
    <w:rsid w:val="00CB65C8"/>
    <w:rsid w:val="00CB6F10"/>
    <w:rsid w:val="00CC1DA1"/>
    <w:rsid w:val="00CC22E4"/>
    <w:rsid w:val="00CC5A24"/>
    <w:rsid w:val="00CD0178"/>
    <w:rsid w:val="00CD424D"/>
    <w:rsid w:val="00CE1E70"/>
    <w:rsid w:val="00CE70B2"/>
    <w:rsid w:val="00CF1F0C"/>
    <w:rsid w:val="00CF6873"/>
    <w:rsid w:val="00D24F93"/>
    <w:rsid w:val="00D31AA9"/>
    <w:rsid w:val="00D3279B"/>
    <w:rsid w:val="00D42F76"/>
    <w:rsid w:val="00D45618"/>
    <w:rsid w:val="00D53B07"/>
    <w:rsid w:val="00D6003D"/>
    <w:rsid w:val="00D71AD0"/>
    <w:rsid w:val="00DA3CF9"/>
    <w:rsid w:val="00DA619A"/>
    <w:rsid w:val="00DD2D64"/>
    <w:rsid w:val="00DE3E01"/>
    <w:rsid w:val="00DE54C3"/>
    <w:rsid w:val="00DF39F1"/>
    <w:rsid w:val="00E15798"/>
    <w:rsid w:val="00E54710"/>
    <w:rsid w:val="00E564E2"/>
    <w:rsid w:val="00E72D19"/>
    <w:rsid w:val="00E76BAB"/>
    <w:rsid w:val="00EC4721"/>
    <w:rsid w:val="00F01AE4"/>
    <w:rsid w:val="00F05B45"/>
    <w:rsid w:val="00F1253A"/>
    <w:rsid w:val="00F25BA7"/>
    <w:rsid w:val="00F31F94"/>
    <w:rsid w:val="00F35F80"/>
    <w:rsid w:val="00F53DE4"/>
    <w:rsid w:val="00F53EDE"/>
    <w:rsid w:val="00F5597D"/>
    <w:rsid w:val="00F62430"/>
    <w:rsid w:val="00FA157D"/>
    <w:rsid w:val="00FC138D"/>
    <w:rsid w:val="00FC487E"/>
    <w:rsid w:val="00FC7879"/>
    <w:rsid w:val="00FF5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4D0986"/>
  <w15:docId w15:val="{AE97D1D4-CB85-4496-BF46-F9B5CB72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lissBold" w:hAnsi="BlissBold"/>
      <w:smallCaps/>
      <w:spacing w:val="20"/>
      <w:sz w:val="72"/>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ext">
    <w:name w:val="Text"/>
    <w:basedOn w:val="Normal"/>
    <w:rsid w:val="006C3C16"/>
    <w:pPr>
      <w:widowControl w:val="0"/>
      <w:spacing w:line="210" w:lineRule="exact"/>
      <w:ind w:firstLine="245"/>
      <w:jc w:val="both"/>
    </w:pPr>
    <w:rPr>
      <w:rFonts w:ascii="MillerDaily Roman" w:hAnsi="MillerDaily Roman"/>
      <w:spacing w:val="-4"/>
      <w:sz w:val="17"/>
    </w:rPr>
  </w:style>
  <w:style w:type="paragraph" w:customStyle="1" w:styleId="Referencehead">
    <w:name w:val="Reference head"/>
    <w:next w:val="Normal"/>
    <w:rsid w:val="007F2161"/>
    <w:pPr>
      <w:widowControl w:val="0"/>
      <w:spacing w:before="120" w:line="170" w:lineRule="exact"/>
    </w:pPr>
    <w:rPr>
      <w:rFonts w:ascii="BentonSans" w:hAnsi="BentonSans"/>
      <w:b/>
      <w:caps/>
      <w:sz w:val="12"/>
    </w:rPr>
  </w:style>
  <w:style w:type="paragraph" w:customStyle="1" w:styleId="32PTHead">
    <w:name w:val="32 PT Head"/>
    <w:rsid w:val="00817C1D"/>
    <w:pPr>
      <w:widowControl w:val="0"/>
      <w:suppressAutoHyphens/>
      <w:spacing w:after="80" w:line="560" w:lineRule="exact"/>
    </w:pPr>
    <w:rPr>
      <w:rFonts w:ascii="RockyCond BlackItalic" w:hAnsi="RockyCond BlackItalic"/>
      <w:sz w:val="64"/>
      <w:szCs w:val="48"/>
    </w:rPr>
  </w:style>
  <w:style w:type="paragraph" w:customStyle="1" w:styleId="AuthorAttribute">
    <w:name w:val="Author Attribute"/>
    <w:rsid w:val="00506D0F"/>
    <w:pPr>
      <w:framePr w:w="3281" w:hSpace="180" w:vSpace="180" w:wrap="around" w:hAnchor="text" w:yAlign="bottom" w:anchorLock="1"/>
      <w:pBdr>
        <w:top w:val="single" w:sz="6" w:space="1" w:color="auto"/>
      </w:pBdr>
      <w:spacing w:line="160" w:lineRule="exact"/>
      <w:jc w:val="both"/>
    </w:pPr>
    <w:rPr>
      <w:rFonts w:ascii="MillerDaily" w:hAnsi="MillerDaily"/>
      <w:i/>
      <w:noProof/>
      <w:color w:val="000000"/>
      <w:sz w:val="14"/>
    </w:rPr>
  </w:style>
  <w:style w:type="paragraph" w:customStyle="1" w:styleId="Authors">
    <w:name w:val="Authors"/>
    <w:rsid w:val="0003273D"/>
    <w:pPr>
      <w:spacing w:after="120" w:line="210" w:lineRule="exact"/>
    </w:pPr>
    <w:rPr>
      <w:rFonts w:ascii="MillerDaily" w:hAnsi="MillerDaily"/>
      <w:b/>
      <w:noProof/>
      <w:color w:val="808080"/>
      <w:sz w:val="16"/>
    </w:rPr>
  </w:style>
  <w:style w:type="paragraph" w:customStyle="1" w:styleId="1stParaText">
    <w:name w:val="1st Para Text"/>
    <w:rsid w:val="0008192F"/>
    <w:pPr>
      <w:spacing w:line="210" w:lineRule="exact"/>
      <w:jc w:val="both"/>
    </w:pPr>
    <w:rPr>
      <w:rFonts w:ascii="MillerDaily" w:hAnsi="MillerDaily"/>
      <w:spacing w:val="-4"/>
      <w:sz w:val="17"/>
    </w:rPr>
  </w:style>
  <w:style w:type="paragraph" w:customStyle="1" w:styleId="Equation">
    <w:name w:val="Equation"/>
    <w:basedOn w:val="Normal"/>
    <w:pPr>
      <w:spacing w:before="120"/>
      <w:jc w:val="center"/>
    </w:pPr>
    <w:rPr>
      <w:sz w:val="24"/>
    </w:rPr>
  </w:style>
  <w:style w:type="paragraph" w:customStyle="1" w:styleId="Referencesandnotes">
    <w:name w:val="References and notes"/>
    <w:rsid w:val="007F2161"/>
    <w:pPr>
      <w:tabs>
        <w:tab w:val="decimal" w:pos="187"/>
        <w:tab w:val="decimal" w:pos="302"/>
      </w:tabs>
      <w:spacing w:line="160" w:lineRule="exact"/>
      <w:ind w:left="245" w:hanging="245"/>
      <w:jc w:val="both"/>
    </w:pPr>
    <w:rPr>
      <w:rFonts w:ascii="BentonSansCondensed Book" w:hAnsi="BentonSansCondensed Book"/>
      <w:sz w:val="14"/>
    </w:rPr>
  </w:style>
  <w:style w:type="paragraph" w:customStyle="1" w:styleId="Overlines">
    <w:name w:val="Overlines"/>
    <w:rsid w:val="007F2161"/>
    <w:pPr>
      <w:spacing w:after="80"/>
    </w:pPr>
    <w:rPr>
      <w:rFonts w:ascii="BentonSans" w:hAnsi="BentonSans"/>
      <w:b/>
      <w:caps/>
      <w:color w:val="FF0000"/>
      <w:spacing w:val="20"/>
      <w:sz w:val="16"/>
      <w:szCs w:val="17"/>
    </w:rPr>
  </w:style>
  <w:style w:type="paragraph" w:customStyle="1" w:styleId="Deck">
    <w:name w:val="Deck"/>
    <w:basedOn w:val="1stParaText"/>
    <w:next w:val="Normal"/>
    <w:rsid w:val="00082BBD"/>
    <w:pPr>
      <w:keepLines/>
      <w:widowControl w:val="0"/>
      <w:spacing w:line="320" w:lineRule="exact"/>
    </w:pPr>
    <w:rPr>
      <w:rFonts w:ascii="Rocky Light" w:hAnsi="Rocky Light"/>
      <w:color w:val="808080"/>
      <w:sz w:val="30"/>
    </w:rPr>
  </w:style>
  <w:style w:type="paragraph" w:customStyle="1" w:styleId="Legend">
    <w:name w:val="Legend"/>
    <w:rsid w:val="0003273D"/>
    <w:pPr>
      <w:widowControl w:val="0"/>
      <w:spacing w:line="200" w:lineRule="exact"/>
      <w:jc w:val="both"/>
    </w:pPr>
    <w:rPr>
      <w:rFonts w:ascii="BentonSansCondensed Medium" w:hAnsi="BentonSansCondensed Medium"/>
      <w:sz w:val="15"/>
    </w:rPr>
  </w:style>
  <w:style w:type="paragraph" w:customStyle="1" w:styleId="DOI">
    <w:name w:val="DOI"/>
    <w:rsid w:val="007F2161"/>
    <w:rPr>
      <w:rFonts w:ascii="BentonSansCondensed Book" w:hAnsi="BentonSansCondensed Book"/>
      <w:sz w:val="14"/>
    </w:rPr>
  </w:style>
  <w:style w:type="paragraph" w:customStyle="1" w:styleId="Credit">
    <w:name w:val="Credit"/>
    <w:rsid w:val="007F2161"/>
    <w:rPr>
      <w:rFonts w:ascii="BentonSansCondensed Book" w:hAnsi="BentonSansCondensed Book"/>
      <w:sz w:val="9"/>
    </w:rPr>
  </w:style>
  <w:style w:type="paragraph" w:styleId="Header">
    <w:name w:val="header"/>
    <w:basedOn w:val="Normal"/>
    <w:rsid w:val="00470082"/>
    <w:pPr>
      <w:tabs>
        <w:tab w:val="center" w:pos="4320"/>
        <w:tab w:val="right" w:pos="8640"/>
      </w:tabs>
    </w:pPr>
    <w:rPr>
      <w:rFonts w:ascii="MillerDaily" w:hAnsi="MillerDaily"/>
      <w:b/>
      <w:i/>
      <w:color w:val="000000"/>
      <w:sz w:val="15"/>
    </w:rPr>
  </w:style>
  <w:style w:type="paragraph" w:styleId="Footer">
    <w:name w:val="footer"/>
    <w:basedOn w:val="Normal"/>
    <w:rsid w:val="00420B98"/>
    <w:pPr>
      <w:tabs>
        <w:tab w:val="center" w:pos="4320"/>
        <w:tab w:val="right" w:pos="8640"/>
      </w:tabs>
    </w:pPr>
    <w:rPr>
      <w:rFonts w:ascii="MillerDaily" w:hAnsi="MillerDaily"/>
      <w:sz w:val="14"/>
    </w:rPr>
  </w:style>
  <w:style w:type="paragraph" w:customStyle="1" w:styleId="28PTHead">
    <w:name w:val="28 PT Head"/>
    <w:qFormat/>
    <w:rsid w:val="007F2161"/>
    <w:pPr>
      <w:keepLines/>
    </w:pPr>
    <w:rPr>
      <w:rFonts w:ascii="RockyCond BlackItalic" w:hAnsi="RockyCond BlackItalic"/>
      <w:sz w:val="56"/>
      <w:szCs w:val="48"/>
    </w:rPr>
  </w:style>
  <w:style w:type="paragraph" w:styleId="CommentText">
    <w:name w:val="annotation text"/>
    <w:basedOn w:val="Normal"/>
    <w:link w:val="CommentTextChar"/>
    <w:uiPriority w:val="99"/>
    <w:rsid w:val="000D1987"/>
  </w:style>
  <w:style w:type="character" w:customStyle="1" w:styleId="CommentTextChar">
    <w:name w:val="Comment Text Char"/>
    <w:basedOn w:val="DefaultParagraphFont"/>
    <w:link w:val="CommentText"/>
    <w:uiPriority w:val="99"/>
    <w:rsid w:val="000D1987"/>
  </w:style>
  <w:style w:type="character" w:styleId="Hyperlink">
    <w:name w:val="Hyperlink"/>
    <w:rsid w:val="000D1987"/>
    <w:rPr>
      <w:color w:val="0000FF"/>
      <w:u w:val="single"/>
    </w:rPr>
  </w:style>
  <w:style w:type="paragraph" w:customStyle="1" w:styleId="Paragraph">
    <w:name w:val="Paragraph"/>
    <w:basedOn w:val="Normal"/>
    <w:rsid w:val="000D1987"/>
    <w:pPr>
      <w:spacing w:before="120"/>
      <w:ind w:firstLine="720"/>
    </w:pPr>
    <w:rPr>
      <w:sz w:val="24"/>
      <w:szCs w:val="24"/>
    </w:rPr>
  </w:style>
  <w:style w:type="paragraph" w:styleId="BalloonText">
    <w:name w:val="Balloon Text"/>
    <w:basedOn w:val="Normal"/>
    <w:link w:val="BalloonTextChar"/>
    <w:rsid w:val="001E4C0B"/>
    <w:rPr>
      <w:rFonts w:ascii="Lucida Grande" w:hAnsi="Lucida Grande" w:cs="Lucida Grande"/>
      <w:sz w:val="18"/>
      <w:szCs w:val="18"/>
    </w:rPr>
  </w:style>
  <w:style w:type="character" w:customStyle="1" w:styleId="BalloonTextChar">
    <w:name w:val="Balloon Text Char"/>
    <w:basedOn w:val="DefaultParagraphFont"/>
    <w:link w:val="BalloonText"/>
    <w:rsid w:val="001E4C0B"/>
    <w:rPr>
      <w:rFonts w:ascii="Lucida Grande" w:hAnsi="Lucida Grande" w:cs="Lucida Grande"/>
      <w:sz w:val="18"/>
      <w:szCs w:val="18"/>
    </w:rPr>
  </w:style>
  <w:style w:type="character" w:styleId="CommentReference">
    <w:name w:val="annotation reference"/>
    <w:basedOn w:val="DefaultParagraphFont"/>
    <w:rsid w:val="009A5EDA"/>
    <w:rPr>
      <w:sz w:val="18"/>
      <w:szCs w:val="18"/>
    </w:rPr>
  </w:style>
  <w:style w:type="paragraph" w:styleId="CommentSubject">
    <w:name w:val="annotation subject"/>
    <w:basedOn w:val="CommentText"/>
    <w:next w:val="CommentText"/>
    <w:link w:val="CommentSubjectChar"/>
    <w:rsid w:val="009A5EDA"/>
    <w:rPr>
      <w:b/>
      <w:bCs/>
    </w:rPr>
  </w:style>
  <w:style w:type="character" w:customStyle="1" w:styleId="CommentSubjectChar">
    <w:name w:val="Comment Subject Char"/>
    <w:basedOn w:val="CommentTextChar"/>
    <w:link w:val="CommentSubject"/>
    <w:rsid w:val="009A5EDA"/>
    <w:rPr>
      <w:b/>
      <w:bCs/>
    </w:rPr>
  </w:style>
  <w:style w:type="paragraph" w:styleId="Revision">
    <w:name w:val="Revision"/>
    <w:hidden/>
    <w:uiPriority w:val="71"/>
    <w:rsid w:val="00351F2F"/>
  </w:style>
  <w:style w:type="paragraph" w:customStyle="1" w:styleId="EndNoteBibliography">
    <w:name w:val="EndNote Bibliography"/>
    <w:basedOn w:val="Normal"/>
    <w:rsid w:val="004E34BD"/>
    <w:pPr>
      <w:ind w:left="360"/>
    </w:pPr>
    <w:rPr>
      <w:rFonts w:ascii="Source Sans Pro" w:eastAsia="Source Sans Pro" w:hAnsi="Source Sans Pro"/>
      <w:szCs w:val="22"/>
    </w:rPr>
  </w:style>
  <w:style w:type="paragraph" w:styleId="ListParagraph">
    <w:name w:val="List Paragraph"/>
    <w:basedOn w:val="Normal"/>
    <w:uiPriority w:val="34"/>
    <w:qFormat/>
    <w:rsid w:val="00CF1F0C"/>
    <w:pPr>
      <w:spacing w:line="276" w:lineRule="auto"/>
      <w:ind w:left="720"/>
      <w:contextualSpacing/>
    </w:pPr>
    <w:rPr>
      <w:rFonts w:ascii="Source Sans Pro" w:eastAsia="Source Sans Pro" w:hAnsi="Source Sans Pro"/>
      <w:szCs w:val="22"/>
    </w:rPr>
  </w:style>
  <w:style w:type="paragraph" w:customStyle="1" w:styleId="SMcaption">
    <w:name w:val="SM caption"/>
    <w:basedOn w:val="Normal"/>
    <w:qFormat/>
    <w:rsid w:val="00293A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camlr.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caml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rooks1@stanford.edu" TargetMode="External"/><Relationship Id="rId5" Type="http://schemas.openxmlformats.org/officeDocument/2006/relationships/footnotes" Target="footnotes.xml"/><Relationship Id="rId15" Type="http://schemas.openxmlformats.org/officeDocument/2006/relationships/hyperlink" Target="http://www.antarctica.gov.au/law-and-treaty/ccamlr/marine-protected-area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mfat.govt.nz/ross-sea-mpa/tabs/proposal.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AWYNN\TEMPLATES\INSIGHTs%20template_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INSIGHTs template_2015.dot</Template>
  <TotalTime>0</TotalTime>
  <Pages>3</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Insert overline, title and author names here after formatting</vt:lpstr>
    </vt:vector>
  </TitlesOfParts>
  <Company>AAAS</Company>
  <LinksUpToDate>false</LinksUpToDate>
  <CharactersWithSpaces>17276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overline, title and author names here after formatting</dc:title>
  <dc:creator>awynn</dc:creator>
  <cp:lastModifiedBy>Brzozowska-Szczecina, Emilia</cp:lastModifiedBy>
  <cp:revision>2</cp:revision>
  <cp:lastPrinted>2009-04-22T20:24:00Z</cp:lastPrinted>
  <dcterms:created xsi:type="dcterms:W3CDTF">2016-10-20T09:54:00Z</dcterms:created>
  <dcterms:modified xsi:type="dcterms:W3CDTF">2016-10-20T09:54:00Z</dcterms:modified>
</cp:coreProperties>
</file>