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7CE31" w14:textId="2DB524FC" w:rsidR="004A270D" w:rsidRPr="006C6BB5" w:rsidRDefault="00D56D90" w:rsidP="004A270D">
      <w:pPr>
        <w:spacing w:line="360" w:lineRule="auto"/>
        <w:rPr>
          <w:lang w:val="en-GB"/>
        </w:rPr>
      </w:pPr>
      <w:bookmarkStart w:id="0" w:name="_GoBack"/>
      <w:bookmarkEnd w:id="0"/>
      <w:r w:rsidRPr="006C6BB5">
        <w:rPr>
          <w:lang w:val="en-GB"/>
        </w:rPr>
        <w:tab/>
      </w:r>
      <w:r w:rsidRPr="006C6BB5">
        <w:rPr>
          <w:lang w:val="en-GB"/>
        </w:rPr>
        <w:tab/>
      </w:r>
      <w:r w:rsidRPr="006C6BB5">
        <w:rPr>
          <w:lang w:val="en-GB"/>
        </w:rPr>
        <w:tab/>
      </w:r>
      <w:r w:rsidRPr="006C6BB5">
        <w:rPr>
          <w:lang w:val="en-GB"/>
        </w:rPr>
        <w:tab/>
      </w:r>
      <w:r w:rsidRPr="006C6BB5">
        <w:rPr>
          <w:lang w:val="en-GB"/>
        </w:rPr>
        <w:tab/>
      </w:r>
      <w:r w:rsidRPr="006C6BB5">
        <w:rPr>
          <w:lang w:val="en-GB"/>
        </w:rPr>
        <w:tab/>
      </w:r>
      <w:r w:rsidRPr="006C6BB5">
        <w:rPr>
          <w:lang w:val="en-GB"/>
        </w:rPr>
        <w:tab/>
      </w:r>
      <w:r w:rsidRPr="006C6BB5">
        <w:rPr>
          <w:color w:val="FF0000"/>
          <w:lang w:val="en-GB"/>
        </w:rPr>
        <w:tab/>
      </w:r>
    </w:p>
    <w:p w14:paraId="07F62FAC" w14:textId="77777777" w:rsidR="00324849" w:rsidRPr="006C6BB5" w:rsidRDefault="00324849" w:rsidP="004A270D">
      <w:pPr>
        <w:spacing w:line="360" w:lineRule="auto"/>
        <w:contextualSpacing/>
        <w:jc w:val="center"/>
        <w:rPr>
          <w:b/>
          <w:sz w:val="22"/>
          <w:szCs w:val="22"/>
          <w:lang w:val="en-GB"/>
        </w:rPr>
      </w:pPr>
    </w:p>
    <w:p w14:paraId="397D9516" w14:textId="0C0B2DD6" w:rsidR="00F222F3" w:rsidRPr="006C6BB5" w:rsidRDefault="00D731E5" w:rsidP="00F222F3">
      <w:pPr>
        <w:spacing w:line="360" w:lineRule="auto"/>
        <w:contextualSpacing/>
        <w:jc w:val="center"/>
        <w:rPr>
          <w:b/>
          <w:sz w:val="22"/>
          <w:szCs w:val="22"/>
          <w:lang w:val="en-GB"/>
        </w:rPr>
      </w:pPr>
      <w:r>
        <w:rPr>
          <w:b/>
          <w:sz w:val="22"/>
          <w:szCs w:val="22"/>
          <w:lang w:val="en-GB"/>
        </w:rPr>
        <w:t>F</w:t>
      </w:r>
      <w:r w:rsidR="00F222F3" w:rsidRPr="006C6BB5">
        <w:rPr>
          <w:b/>
          <w:sz w:val="22"/>
          <w:szCs w:val="22"/>
          <w:lang w:val="en-GB"/>
        </w:rPr>
        <w:t>ormal and informal appropriation mechanisms</w:t>
      </w:r>
      <w:r w:rsidR="00302B72">
        <w:rPr>
          <w:b/>
          <w:sz w:val="22"/>
          <w:szCs w:val="22"/>
          <w:lang w:val="en-GB"/>
        </w:rPr>
        <w:t xml:space="preserve">: </w:t>
      </w:r>
      <w:r w:rsidR="00C259D9">
        <w:rPr>
          <w:b/>
          <w:sz w:val="22"/>
          <w:szCs w:val="22"/>
          <w:lang w:val="en-GB"/>
        </w:rPr>
        <w:t xml:space="preserve">the role of openness and innovativeness </w:t>
      </w:r>
      <w:r w:rsidR="00F222F3" w:rsidRPr="006C6BB5">
        <w:rPr>
          <w:b/>
          <w:sz w:val="22"/>
          <w:szCs w:val="22"/>
          <w:lang w:val="en-GB"/>
        </w:rPr>
        <w:t xml:space="preserve"> </w:t>
      </w:r>
    </w:p>
    <w:p w14:paraId="31857F33" w14:textId="77777777" w:rsidR="004A270D" w:rsidRPr="006C6BB5" w:rsidRDefault="004A270D" w:rsidP="004A270D">
      <w:pPr>
        <w:spacing w:line="360" w:lineRule="auto"/>
        <w:contextualSpacing/>
        <w:rPr>
          <w:sz w:val="22"/>
          <w:szCs w:val="22"/>
          <w:lang w:val="en-GB"/>
        </w:rPr>
      </w:pPr>
    </w:p>
    <w:p w14:paraId="7127A48F" w14:textId="77777777" w:rsidR="008A031C" w:rsidRPr="006C6BB5" w:rsidRDefault="008A031C" w:rsidP="008A031C">
      <w:pPr>
        <w:spacing w:line="240" w:lineRule="auto"/>
        <w:contextualSpacing/>
        <w:jc w:val="center"/>
        <w:rPr>
          <w:rFonts w:eastAsia="Calibri"/>
          <w:sz w:val="22"/>
          <w:szCs w:val="22"/>
          <w:lang w:val="en-GB"/>
        </w:rPr>
      </w:pPr>
    </w:p>
    <w:p w14:paraId="4E140599" w14:textId="5E2DA620" w:rsidR="008A031C" w:rsidRPr="00A9230E" w:rsidRDefault="008A031C" w:rsidP="008A031C">
      <w:pPr>
        <w:spacing w:line="240" w:lineRule="auto"/>
        <w:contextualSpacing/>
        <w:jc w:val="center"/>
        <w:rPr>
          <w:rFonts w:eastAsia="Calibri"/>
          <w:sz w:val="22"/>
          <w:szCs w:val="22"/>
          <w:lang w:val="de-CH"/>
        </w:rPr>
      </w:pPr>
      <w:r w:rsidRPr="00A9230E">
        <w:rPr>
          <w:rFonts w:eastAsia="Calibri"/>
          <w:sz w:val="22"/>
          <w:szCs w:val="22"/>
          <w:lang w:val="de-CH"/>
        </w:rPr>
        <w:t>Ann-Kristin Zobel *</w:t>
      </w:r>
    </w:p>
    <w:p w14:paraId="2B47F167" w14:textId="77777777" w:rsidR="004A270D" w:rsidRPr="00A9230E" w:rsidRDefault="004A270D" w:rsidP="00136CF0">
      <w:pPr>
        <w:spacing w:line="240" w:lineRule="auto"/>
        <w:contextualSpacing/>
        <w:jc w:val="center"/>
        <w:rPr>
          <w:rFonts w:eastAsia="Calibri"/>
          <w:sz w:val="22"/>
          <w:szCs w:val="22"/>
          <w:lang w:val="de-CH"/>
        </w:rPr>
      </w:pPr>
    </w:p>
    <w:p w14:paraId="0204BC7C" w14:textId="4961CA87" w:rsidR="004A270D" w:rsidRPr="00A9230E" w:rsidRDefault="004A270D" w:rsidP="00136CF0">
      <w:pPr>
        <w:spacing w:line="240" w:lineRule="auto"/>
        <w:contextualSpacing/>
        <w:jc w:val="center"/>
        <w:rPr>
          <w:rFonts w:eastAsia="Calibri"/>
          <w:sz w:val="22"/>
          <w:szCs w:val="22"/>
          <w:lang w:val="de-CH"/>
        </w:rPr>
      </w:pPr>
      <w:r w:rsidRPr="00A9230E">
        <w:rPr>
          <w:rFonts w:eastAsia="Calibri"/>
          <w:sz w:val="22"/>
          <w:szCs w:val="22"/>
          <w:lang w:val="de-CH"/>
        </w:rPr>
        <w:t>Boris Lokshin</w:t>
      </w:r>
      <w:r w:rsidR="001D4AEE" w:rsidRPr="00A9230E">
        <w:rPr>
          <w:rFonts w:eastAsia="Calibri"/>
          <w:sz w:val="22"/>
          <w:szCs w:val="22"/>
          <w:lang w:val="de-CH"/>
        </w:rPr>
        <w:t xml:space="preserve"> </w:t>
      </w:r>
      <w:r w:rsidRPr="00A9230E">
        <w:rPr>
          <w:rFonts w:eastAsia="Calibri"/>
          <w:sz w:val="22"/>
          <w:szCs w:val="22"/>
          <w:lang w:val="de-CH"/>
        </w:rPr>
        <w:t>*</w:t>
      </w:r>
      <w:r w:rsidR="009D27CB" w:rsidRPr="00A9230E">
        <w:rPr>
          <w:rFonts w:eastAsia="Calibri"/>
          <w:sz w:val="22"/>
          <w:szCs w:val="22"/>
          <w:lang w:val="de-CH"/>
        </w:rPr>
        <w:t>*</w:t>
      </w:r>
    </w:p>
    <w:p w14:paraId="3BE434FF" w14:textId="77777777" w:rsidR="001D4AEE" w:rsidRPr="00A9230E" w:rsidRDefault="001D4AEE" w:rsidP="001D4AEE">
      <w:pPr>
        <w:spacing w:line="240" w:lineRule="auto"/>
        <w:contextualSpacing/>
        <w:rPr>
          <w:rFonts w:eastAsia="Calibri"/>
          <w:sz w:val="22"/>
          <w:szCs w:val="22"/>
          <w:lang w:val="de-CH"/>
        </w:rPr>
      </w:pPr>
    </w:p>
    <w:p w14:paraId="1E5AC6DA" w14:textId="11C54AAA" w:rsidR="008A031C" w:rsidRPr="006C6BB5" w:rsidRDefault="008A031C" w:rsidP="008A031C">
      <w:pPr>
        <w:spacing w:line="240" w:lineRule="auto"/>
        <w:contextualSpacing/>
        <w:jc w:val="center"/>
        <w:rPr>
          <w:rFonts w:eastAsia="Calibri"/>
          <w:sz w:val="22"/>
          <w:szCs w:val="22"/>
          <w:lang w:val="en-GB"/>
        </w:rPr>
      </w:pPr>
      <w:r w:rsidRPr="006C6BB5">
        <w:rPr>
          <w:rFonts w:eastAsia="Calibri"/>
          <w:sz w:val="22"/>
          <w:szCs w:val="22"/>
          <w:lang w:val="en-GB"/>
        </w:rPr>
        <w:t xml:space="preserve">John Hagedoorn </w:t>
      </w:r>
      <w:r w:rsidRPr="006C6BB5">
        <w:rPr>
          <w:sz w:val="22"/>
          <w:szCs w:val="22"/>
          <w:lang w:val="en-GB"/>
        </w:rPr>
        <w:t>*** §</w:t>
      </w:r>
    </w:p>
    <w:p w14:paraId="4FC6F2BB" w14:textId="77777777" w:rsidR="008A031C" w:rsidRPr="006C6BB5" w:rsidRDefault="008A031C" w:rsidP="008A031C">
      <w:pPr>
        <w:spacing w:line="240" w:lineRule="auto"/>
        <w:contextualSpacing/>
        <w:jc w:val="center"/>
        <w:rPr>
          <w:rFonts w:eastAsia="Calibri"/>
          <w:sz w:val="22"/>
          <w:szCs w:val="22"/>
          <w:lang w:val="en-GB"/>
        </w:rPr>
      </w:pPr>
    </w:p>
    <w:p w14:paraId="3CD1F6F3" w14:textId="77777777" w:rsidR="001D4AEE" w:rsidRPr="006C6BB5" w:rsidRDefault="001D4AEE" w:rsidP="001D4AEE">
      <w:pPr>
        <w:spacing w:line="240" w:lineRule="auto"/>
        <w:contextualSpacing/>
        <w:rPr>
          <w:rFonts w:eastAsia="Calibri"/>
          <w:sz w:val="22"/>
          <w:szCs w:val="22"/>
          <w:lang w:val="en-GB"/>
        </w:rPr>
      </w:pPr>
    </w:p>
    <w:p w14:paraId="0911B7D6" w14:textId="1358D522" w:rsidR="008A031C" w:rsidRPr="006C6BB5" w:rsidRDefault="008A031C" w:rsidP="008A031C">
      <w:pPr>
        <w:spacing w:line="240" w:lineRule="auto"/>
        <w:jc w:val="center"/>
        <w:rPr>
          <w:lang w:val="en-GB"/>
        </w:rPr>
      </w:pPr>
      <w:r w:rsidRPr="006C6BB5">
        <w:rPr>
          <w:lang w:val="en-GB"/>
        </w:rPr>
        <w:t>* Department of Management, Technology and Economics</w:t>
      </w:r>
    </w:p>
    <w:p w14:paraId="07C643D1" w14:textId="77777777" w:rsidR="008A031C" w:rsidRPr="001A2621" w:rsidRDefault="008A031C" w:rsidP="008A031C">
      <w:pPr>
        <w:spacing w:line="240" w:lineRule="auto"/>
        <w:jc w:val="center"/>
        <w:rPr>
          <w:lang w:val="nl-NL"/>
        </w:rPr>
      </w:pPr>
      <w:r w:rsidRPr="006C6BB5">
        <w:rPr>
          <w:lang w:val="en-GB"/>
        </w:rPr>
        <w:t xml:space="preserve"> </w:t>
      </w:r>
      <w:r w:rsidRPr="001A2621">
        <w:rPr>
          <w:lang w:val="nl-NL"/>
        </w:rPr>
        <w:t>ETH Zürich, 8092 Zürich, Switzerland</w:t>
      </w:r>
    </w:p>
    <w:p w14:paraId="5C246FCE" w14:textId="77777777" w:rsidR="008A031C" w:rsidRPr="001A2621" w:rsidRDefault="00156E72" w:rsidP="008A031C">
      <w:pPr>
        <w:widowControl w:val="0"/>
        <w:autoSpaceDE w:val="0"/>
        <w:autoSpaceDN w:val="0"/>
        <w:adjustRightInd w:val="0"/>
        <w:spacing w:line="360" w:lineRule="auto"/>
        <w:ind w:left="720" w:hanging="720"/>
        <w:jc w:val="center"/>
        <w:rPr>
          <w:lang w:val="nl-NL"/>
        </w:rPr>
      </w:pPr>
      <w:hyperlink r:id="rId9" w:history="1">
        <w:r w:rsidR="008A031C" w:rsidRPr="001A2621">
          <w:rPr>
            <w:rStyle w:val="Hyperlink"/>
            <w:lang w:val="nl-NL"/>
          </w:rPr>
          <w:t>azobel@ethz.ch</w:t>
        </w:r>
      </w:hyperlink>
    </w:p>
    <w:p w14:paraId="05437CA7" w14:textId="77777777" w:rsidR="008A031C" w:rsidRPr="001A2621" w:rsidRDefault="008A031C" w:rsidP="008A031C">
      <w:pPr>
        <w:spacing w:line="240" w:lineRule="auto"/>
        <w:contextualSpacing/>
        <w:jc w:val="center"/>
        <w:rPr>
          <w:rFonts w:eastAsia="Calibri"/>
          <w:sz w:val="22"/>
          <w:szCs w:val="22"/>
          <w:lang w:val="nl-NL"/>
        </w:rPr>
      </w:pPr>
    </w:p>
    <w:p w14:paraId="22294D63" w14:textId="77777777" w:rsidR="009D27CB" w:rsidRPr="001A2621" w:rsidRDefault="009D27CB" w:rsidP="004A270D">
      <w:pPr>
        <w:spacing w:line="360" w:lineRule="auto"/>
        <w:contextualSpacing/>
        <w:jc w:val="center"/>
        <w:rPr>
          <w:rFonts w:eastAsia="Calibri"/>
          <w:sz w:val="22"/>
          <w:szCs w:val="22"/>
          <w:lang w:val="nl-NL"/>
        </w:rPr>
      </w:pPr>
    </w:p>
    <w:p w14:paraId="6D9F98B8" w14:textId="77777777" w:rsidR="009D27CB" w:rsidRPr="006C6BB5" w:rsidRDefault="004A270D" w:rsidP="009D27CB">
      <w:pPr>
        <w:spacing w:line="240" w:lineRule="auto"/>
        <w:jc w:val="center"/>
        <w:rPr>
          <w:rFonts w:eastAsia="Calibri"/>
          <w:lang w:val="en-GB"/>
        </w:rPr>
      </w:pPr>
      <w:r w:rsidRPr="006C6BB5">
        <w:rPr>
          <w:rFonts w:eastAsia="Calibri"/>
          <w:sz w:val="22"/>
          <w:szCs w:val="22"/>
          <w:lang w:val="en-GB"/>
        </w:rPr>
        <w:t>*</w:t>
      </w:r>
      <w:r w:rsidR="009D27CB" w:rsidRPr="006C6BB5">
        <w:rPr>
          <w:rFonts w:eastAsia="Calibri"/>
          <w:sz w:val="22"/>
          <w:szCs w:val="22"/>
          <w:lang w:val="en-GB"/>
        </w:rPr>
        <w:t>*</w:t>
      </w:r>
      <w:r w:rsidR="009D27CB" w:rsidRPr="006C6BB5">
        <w:rPr>
          <w:color w:val="000000"/>
          <w:sz w:val="22"/>
          <w:szCs w:val="22"/>
          <w:lang w:val="en-GB"/>
        </w:rPr>
        <w:t xml:space="preserve"> </w:t>
      </w:r>
      <w:r w:rsidR="009D27CB" w:rsidRPr="006C6BB5">
        <w:rPr>
          <w:rFonts w:eastAsia="Calibri"/>
          <w:lang w:val="en-GB"/>
        </w:rPr>
        <w:t xml:space="preserve">Department of Organization &amp; Strategy </w:t>
      </w:r>
    </w:p>
    <w:p w14:paraId="1EB2BC23" w14:textId="77777777" w:rsidR="009D27CB" w:rsidRPr="006C6BB5" w:rsidRDefault="009D27CB" w:rsidP="009D27CB">
      <w:pPr>
        <w:spacing w:line="240" w:lineRule="auto"/>
        <w:jc w:val="center"/>
        <w:rPr>
          <w:rFonts w:eastAsia="Calibri"/>
          <w:lang w:val="en-GB"/>
        </w:rPr>
      </w:pPr>
      <w:r w:rsidRPr="006C6BB5">
        <w:rPr>
          <w:rFonts w:eastAsia="Calibri"/>
          <w:lang w:val="en-GB"/>
        </w:rPr>
        <w:t>School of Business and Economics, Maastricht University</w:t>
      </w:r>
    </w:p>
    <w:p w14:paraId="1105C10F" w14:textId="49E856C4" w:rsidR="004A270D" w:rsidRPr="006C6BB5" w:rsidRDefault="009D27CB" w:rsidP="009D27CB">
      <w:pPr>
        <w:spacing w:line="240" w:lineRule="auto"/>
        <w:contextualSpacing/>
        <w:jc w:val="center"/>
        <w:rPr>
          <w:rFonts w:eastAsia="Calibri"/>
          <w:sz w:val="22"/>
          <w:szCs w:val="22"/>
          <w:lang w:val="en-GB"/>
        </w:rPr>
      </w:pPr>
      <w:r w:rsidRPr="006C6BB5">
        <w:rPr>
          <w:rFonts w:eastAsia="Calibri"/>
          <w:lang w:val="en-GB"/>
        </w:rPr>
        <w:t>6200 MD Maastricht, The Netherland</w:t>
      </w:r>
    </w:p>
    <w:p w14:paraId="3EA68772" w14:textId="57413D6B" w:rsidR="009D27CB" w:rsidRPr="006C6BB5" w:rsidRDefault="00156E72" w:rsidP="009D27CB">
      <w:pPr>
        <w:spacing w:line="360" w:lineRule="auto"/>
        <w:ind w:firstLine="708"/>
        <w:contextualSpacing/>
        <w:jc w:val="center"/>
        <w:rPr>
          <w:rFonts w:eastAsia="Calibri"/>
          <w:color w:val="3366FF"/>
          <w:sz w:val="22"/>
          <w:szCs w:val="22"/>
          <w:lang w:val="en-GB"/>
        </w:rPr>
      </w:pPr>
      <w:hyperlink r:id="rId10" w:history="1">
        <w:r w:rsidR="009D27CB" w:rsidRPr="006C6BB5">
          <w:rPr>
            <w:rStyle w:val="Hyperlink"/>
            <w:rFonts w:eastAsia="Calibri"/>
            <w:sz w:val="22"/>
            <w:szCs w:val="22"/>
            <w:lang w:val="en-GB"/>
          </w:rPr>
          <w:t>b.lokshin@maastrichtuniversity.nl</w:t>
        </w:r>
      </w:hyperlink>
    </w:p>
    <w:p w14:paraId="667133DD" w14:textId="15A6E341" w:rsidR="009D27CB" w:rsidRPr="006C6BB5" w:rsidRDefault="009D27CB" w:rsidP="009D27CB">
      <w:pPr>
        <w:spacing w:line="360" w:lineRule="auto"/>
        <w:ind w:firstLine="708"/>
        <w:contextualSpacing/>
        <w:jc w:val="center"/>
        <w:rPr>
          <w:rFonts w:eastAsia="Calibri"/>
          <w:color w:val="3366FF"/>
          <w:sz w:val="22"/>
          <w:szCs w:val="22"/>
          <w:lang w:val="en-GB"/>
        </w:rPr>
      </w:pPr>
      <w:r w:rsidRPr="006C6BB5">
        <w:rPr>
          <w:rFonts w:eastAsia="Calibri"/>
          <w:color w:val="3366FF"/>
          <w:sz w:val="22"/>
          <w:szCs w:val="22"/>
          <w:lang w:val="en-GB"/>
        </w:rPr>
        <w:t xml:space="preserve"> </w:t>
      </w:r>
    </w:p>
    <w:p w14:paraId="7B996868" w14:textId="7533B691" w:rsidR="008A031C" w:rsidRPr="006C6BB5" w:rsidRDefault="008A031C" w:rsidP="008A031C">
      <w:pPr>
        <w:spacing w:line="240" w:lineRule="auto"/>
        <w:contextualSpacing/>
        <w:jc w:val="center"/>
        <w:rPr>
          <w:rFonts w:eastAsia="Calibri"/>
          <w:color w:val="3366FF"/>
          <w:sz w:val="22"/>
          <w:szCs w:val="22"/>
          <w:lang w:val="en-GB"/>
        </w:rPr>
      </w:pPr>
      <w:r w:rsidRPr="006C6BB5">
        <w:rPr>
          <w:color w:val="000000"/>
          <w:sz w:val="22"/>
          <w:szCs w:val="22"/>
          <w:lang w:val="en-GB"/>
        </w:rPr>
        <w:t>*** School of Management</w:t>
      </w:r>
    </w:p>
    <w:p w14:paraId="47475B83" w14:textId="77777777" w:rsidR="008A031C" w:rsidRPr="006C6BB5" w:rsidRDefault="008A031C" w:rsidP="008A031C">
      <w:pPr>
        <w:spacing w:line="240" w:lineRule="auto"/>
        <w:contextualSpacing/>
        <w:jc w:val="center"/>
        <w:rPr>
          <w:color w:val="000000"/>
          <w:sz w:val="22"/>
          <w:szCs w:val="22"/>
          <w:lang w:val="en-GB"/>
        </w:rPr>
      </w:pPr>
      <w:r w:rsidRPr="006C6BB5">
        <w:rPr>
          <w:color w:val="000000"/>
          <w:sz w:val="22"/>
          <w:szCs w:val="22"/>
          <w:lang w:val="en-GB"/>
        </w:rPr>
        <w:t>Royal Holloway University of London</w:t>
      </w:r>
    </w:p>
    <w:p w14:paraId="178E82A4" w14:textId="77777777" w:rsidR="008A031C" w:rsidRPr="006C6BB5" w:rsidRDefault="008A031C" w:rsidP="008A031C">
      <w:pPr>
        <w:widowControl w:val="0"/>
        <w:autoSpaceDE w:val="0"/>
        <w:autoSpaceDN w:val="0"/>
        <w:adjustRightInd w:val="0"/>
        <w:spacing w:line="240" w:lineRule="auto"/>
        <w:jc w:val="center"/>
        <w:rPr>
          <w:rFonts w:ascii="Courier" w:hAnsi="Courier" w:cs="Courier"/>
          <w:sz w:val="25"/>
          <w:szCs w:val="25"/>
          <w:lang w:val="en-GB"/>
        </w:rPr>
      </w:pPr>
      <w:r w:rsidRPr="006C6BB5">
        <w:rPr>
          <w:color w:val="000000"/>
          <w:sz w:val="22"/>
          <w:szCs w:val="22"/>
          <w:lang w:val="en-GB"/>
        </w:rPr>
        <w:t>TW20 0EX</w:t>
      </w:r>
      <w:r w:rsidRPr="006C6BB5">
        <w:rPr>
          <w:rFonts w:ascii="Courier" w:hAnsi="Courier" w:cs="Courier"/>
          <w:sz w:val="25"/>
          <w:szCs w:val="25"/>
          <w:lang w:val="en-GB"/>
        </w:rPr>
        <w:t xml:space="preserve"> </w:t>
      </w:r>
      <w:r w:rsidRPr="006C6BB5">
        <w:rPr>
          <w:color w:val="000000"/>
          <w:sz w:val="22"/>
          <w:szCs w:val="22"/>
          <w:lang w:val="en-GB"/>
        </w:rPr>
        <w:t>Egham (Surrey)</w:t>
      </w:r>
    </w:p>
    <w:p w14:paraId="51367D15" w14:textId="77777777" w:rsidR="008A031C" w:rsidRPr="006C6BB5" w:rsidRDefault="008A031C" w:rsidP="008A031C">
      <w:pPr>
        <w:spacing w:line="240" w:lineRule="auto"/>
        <w:contextualSpacing/>
        <w:jc w:val="center"/>
        <w:rPr>
          <w:sz w:val="22"/>
          <w:szCs w:val="22"/>
          <w:lang w:val="en-GB"/>
        </w:rPr>
      </w:pPr>
      <w:r w:rsidRPr="006C6BB5">
        <w:rPr>
          <w:color w:val="000000"/>
          <w:sz w:val="22"/>
          <w:szCs w:val="22"/>
          <w:lang w:val="en-GB"/>
        </w:rPr>
        <w:t>United Kingdom</w:t>
      </w:r>
    </w:p>
    <w:p w14:paraId="32696E9D" w14:textId="77777777" w:rsidR="008A031C" w:rsidRPr="00A9230E" w:rsidRDefault="00156E72" w:rsidP="008A031C">
      <w:pPr>
        <w:spacing w:line="360" w:lineRule="auto"/>
        <w:contextualSpacing/>
        <w:jc w:val="center"/>
        <w:rPr>
          <w:color w:val="000000"/>
          <w:sz w:val="22"/>
          <w:szCs w:val="22"/>
          <w:lang w:val="fr-FR"/>
        </w:rPr>
      </w:pPr>
      <w:hyperlink r:id="rId11" w:history="1">
        <w:r w:rsidR="008A031C" w:rsidRPr="00A9230E">
          <w:rPr>
            <w:rStyle w:val="Hyperlink"/>
            <w:sz w:val="22"/>
            <w:szCs w:val="22"/>
            <w:lang w:val="fr-FR"/>
          </w:rPr>
          <w:t>john.hagedoorn@rhul.ac.uk</w:t>
        </w:r>
      </w:hyperlink>
    </w:p>
    <w:p w14:paraId="7CDE0377" w14:textId="77777777" w:rsidR="009D27CB" w:rsidRPr="00A9230E" w:rsidRDefault="009D27CB" w:rsidP="009D27CB">
      <w:pPr>
        <w:spacing w:line="240" w:lineRule="auto"/>
        <w:jc w:val="center"/>
        <w:rPr>
          <w:lang w:val="fr-FR"/>
        </w:rPr>
      </w:pPr>
    </w:p>
    <w:p w14:paraId="244DAB7B" w14:textId="77777777" w:rsidR="009D27CB" w:rsidRPr="00A9230E" w:rsidRDefault="009D27CB" w:rsidP="009D27CB">
      <w:pPr>
        <w:spacing w:line="240" w:lineRule="auto"/>
        <w:jc w:val="center"/>
        <w:rPr>
          <w:lang w:val="fr-FR"/>
        </w:rPr>
      </w:pPr>
    </w:p>
    <w:p w14:paraId="52B84DF9" w14:textId="77777777" w:rsidR="009D27CB" w:rsidRPr="00A9230E" w:rsidRDefault="009D27CB" w:rsidP="009D27CB">
      <w:pPr>
        <w:spacing w:line="240" w:lineRule="auto"/>
        <w:jc w:val="center"/>
        <w:rPr>
          <w:rFonts w:eastAsia="Calibri"/>
          <w:lang w:val="fr-FR"/>
        </w:rPr>
      </w:pPr>
      <w:r w:rsidRPr="00A9230E">
        <w:rPr>
          <w:color w:val="000000"/>
          <w:lang w:val="fr-FR"/>
        </w:rPr>
        <w:t>§ UNU-MERIT</w:t>
      </w:r>
    </w:p>
    <w:p w14:paraId="03941D75" w14:textId="77777777" w:rsidR="009D27CB" w:rsidRPr="006C6BB5" w:rsidRDefault="009D27CB" w:rsidP="009D27CB">
      <w:pPr>
        <w:spacing w:line="240" w:lineRule="auto"/>
        <w:jc w:val="center"/>
        <w:rPr>
          <w:rFonts w:eastAsia="Calibri"/>
          <w:lang w:val="en-GB"/>
        </w:rPr>
      </w:pPr>
      <w:r w:rsidRPr="006C6BB5">
        <w:rPr>
          <w:rFonts w:eastAsia="Calibri"/>
          <w:lang w:val="en-GB"/>
        </w:rPr>
        <w:t>6211 AX Maastricht, The Netherlands</w:t>
      </w:r>
    </w:p>
    <w:p w14:paraId="6A1FD554" w14:textId="4F54E43F" w:rsidR="004A270D" w:rsidRPr="006C6BB5" w:rsidRDefault="00156E72" w:rsidP="009D27CB">
      <w:pPr>
        <w:spacing w:line="360" w:lineRule="auto"/>
        <w:contextualSpacing/>
        <w:jc w:val="center"/>
        <w:rPr>
          <w:rFonts w:eastAsia="Calibri"/>
          <w:color w:val="3366FF"/>
          <w:sz w:val="22"/>
          <w:szCs w:val="22"/>
          <w:lang w:val="en-GB"/>
        </w:rPr>
      </w:pPr>
      <w:hyperlink r:id="rId12" w:history="1">
        <w:r w:rsidR="009D27CB" w:rsidRPr="006C6BB5">
          <w:rPr>
            <w:rStyle w:val="Hyperlink"/>
            <w:rFonts w:eastAsia="Calibri"/>
            <w:sz w:val="22"/>
            <w:szCs w:val="22"/>
            <w:lang w:val="en-GB"/>
          </w:rPr>
          <w:t>j.hagedoorn@maastrichtuniversity.nl</w:t>
        </w:r>
      </w:hyperlink>
    </w:p>
    <w:p w14:paraId="62BF509A" w14:textId="77777777" w:rsidR="009D27CB" w:rsidRPr="006C6BB5" w:rsidRDefault="009D27CB" w:rsidP="009D27CB">
      <w:pPr>
        <w:spacing w:line="360" w:lineRule="auto"/>
        <w:contextualSpacing/>
        <w:jc w:val="center"/>
        <w:rPr>
          <w:rFonts w:eastAsia="Calibri"/>
          <w:color w:val="3366FF"/>
          <w:sz w:val="22"/>
          <w:szCs w:val="22"/>
          <w:lang w:val="en-GB"/>
        </w:rPr>
      </w:pPr>
    </w:p>
    <w:p w14:paraId="5C1E18B6" w14:textId="2B002DBE" w:rsidR="004A270D" w:rsidRPr="006C6BB5" w:rsidRDefault="00DB7440" w:rsidP="00DB7440">
      <w:pPr>
        <w:spacing w:line="240" w:lineRule="auto"/>
        <w:ind w:left="720" w:firstLine="720"/>
        <w:contextualSpacing/>
        <w:rPr>
          <w:sz w:val="22"/>
          <w:szCs w:val="22"/>
          <w:lang w:val="en-GB"/>
        </w:rPr>
      </w:pPr>
      <w:r w:rsidRPr="006C6BB5">
        <w:rPr>
          <w:rFonts w:eastAsia="Calibri"/>
          <w:color w:val="3366FF"/>
          <w:sz w:val="22"/>
          <w:szCs w:val="22"/>
          <w:lang w:val="en-GB"/>
        </w:rPr>
        <w:t xml:space="preserve">                           </w:t>
      </w:r>
    </w:p>
    <w:p w14:paraId="7B67695C" w14:textId="77777777" w:rsidR="00136CF0" w:rsidRPr="006C6BB5" w:rsidRDefault="00136CF0" w:rsidP="004A270D">
      <w:pPr>
        <w:spacing w:line="360" w:lineRule="auto"/>
        <w:rPr>
          <w:sz w:val="22"/>
          <w:szCs w:val="22"/>
          <w:lang w:val="en-GB"/>
        </w:rPr>
      </w:pPr>
    </w:p>
    <w:p w14:paraId="4941D90B" w14:textId="77777777" w:rsidR="00136CF0" w:rsidRPr="006C6BB5" w:rsidRDefault="00136CF0" w:rsidP="004A270D">
      <w:pPr>
        <w:spacing w:line="360" w:lineRule="auto"/>
        <w:rPr>
          <w:sz w:val="22"/>
          <w:szCs w:val="22"/>
          <w:lang w:val="en-GB"/>
        </w:rPr>
      </w:pPr>
    </w:p>
    <w:p w14:paraId="21F0C7DC" w14:textId="77777777" w:rsidR="004A270D" w:rsidRPr="006C6BB5" w:rsidRDefault="004A270D" w:rsidP="00A95951">
      <w:pPr>
        <w:spacing w:line="360" w:lineRule="auto"/>
        <w:jc w:val="center"/>
        <w:rPr>
          <w:b/>
          <w:sz w:val="22"/>
          <w:szCs w:val="22"/>
          <w:lang w:val="en-GB"/>
        </w:rPr>
      </w:pPr>
    </w:p>
    <w:p w14:paraId="5B85C539" w14:textId="77777777" w:rsidR="00270A1E" w:rsidRPr="006C6BB5" w:rsidRDefault="00270A1E" w:rsidP="00420BA4">
      <w:pPr>
        <w:spacing w:line="360" w:lineRule="auto"/>
        <w:contextualSpacing/>
        <w:rPr>
          <w:b/>
          <w:sz w:val="22"/>
          <w:szCs w:val="22"/>
          <w:lang w:val="en-GB"/>
        </w:rPr>
      </w:pPr>
    </w:p>
    <w:p w14:paraId="35EC0CB3" w14:textId="77777777" w:rsidR="00270A1E" w:rsidRPr="006C6BB5" w:rsidRDefault="00270A1E" w:rsidP="00150341">
      <w:pPr>
        <w:spacing w:line="360" w:lineRule="auto"/>
        <w:contextualSpacing/>
        <w:jc w:val="center"/>
        <w:rPr>
          <w:b/>
          <w:sz w:val="22"/>
          <w:szCs w:val="22"/>
          <w:lang w:val="en-GB"/>
        </w:rPr>
      </w:pPr>
    </w:p>
    <w:p w14:paraId="0A8F8758" w14:textId="77777777" w:rsidR="00324849" w:rsidRPr="006C6BB5" w:rsidRDefault="00324849" w:rsidP="00E12328">
      <w:pPr>
        <w:spacing w:line="360" w:lineRule="auto"/>
        <w:contextualSpacing/>
        <w:jc w:val="center"/>
        <w:rPr>
          <w:b/>
          <w:sz w:val="22"/>
          <w:szCs w:val="22"/>
          <w:lang w:val="en-GB"/>
        </w:rPr>
      </w:pPr>
    </w:p>
    <w:p w14:paraId="24CB6BA7" w14:textId="77777777" w:rsidR="00143465" w:rsidRPr="006C6BB5" w:rsidRDefault="00143465" w:rsidP="00E12328">
      <w:pPr>
        <w:spacing w:line="360" w:lineRule="auto"/>
        <w:contextualSpacing/>
        <w:jc w:val="center"/>
        <w:rPr>
          <w:b/>
          <w:sz w:val="22"/>
          <w:szCs w:val="22"/>
          <w:lang w:val="en-GB"/>
        </w:rPr>
      </w:pPr>
    </w:p>
    <w:p w14:paraId="0A65C025" w14:textId="77777777" w:rsidR="00D81D3A" w:rsidRPr="006C6BB5" w:rsidRDefault="00D81D3A" w:rsidP="00E12328">
      <w:pPr>
        <w:spacing w:line="360" w:lineRule="auto"/>
        <w:contextualSpacing/>
        <w:jc w:val="center"/>
        <w:rPr>
          <w:b/>
          <w:sz w:val="22"/>
          <w:szCs w:val="22"/>
          <w:lang w:val="en-GB"/>
        </w:rPr>
      </w:pPr>
    </w:p>
    <w:p w14:paraId="7C891325" w14:textId="77777777" w:rsidR="00D81D3A" w:rsidRPr="006C6BB5" w:rsidRDefault="00D81D3A" w:rsidP="00E12328">
      <w:pPr>
        <w:spacing w:line="360" w:lineRule="auto"/>
        <w:contextualSpacing/>
        <w:jc w:val="center"/>
        <w:rPr>
          <w:b/>
          <w:sz w:val="22"/>
          <w:szCs w:val="22"/>
          <w:lang w:val="en-GB"/>
        </w:rPr>
      </w:pPr>
    </w:p>
    <w:p w14:paraId="5BEFDCEC" w14:textId="77777777" w:rsidR="008A031C" w:rsidRPr="006C6BB5" w:rsidRDefault="008A031C" w:rsidP="00E12328">
      <w:pPr>
        <w:spacing w:line="360" w:lineRule="auto"/>
        <w:contextualSpacing/>
        <w:jc w:val="center"/>
        <w:rPr>
          <w:b/>
          <w:sz w:val="22"/>
          <w:szCs w:val="22"/>
          <w:lang w:val="en-GB"/>
        </w:rPr>
      </w:pPr>
    </w:p>
    <w:p w14:paraId="1BFB3A81" w14:textId="77777777" w:rsidR="008A031C" w:rsidRPr="006C6BB5" w:rsidRDefault="008A031C" w:rsidP="00E12328">
      <w:pPr>
        <w:spacing w:line="360" w:lineRule="auto"/>
        <w:contextualSpacing/>
        <w:jc w:val="center"/>
        <w:rPr>
          <w:b/>
          <w:sz w:val="22"/>
          <w:szCs w:val="22"/>
          <w:lang w:val="en-GB"/>
        </w:rPr>
      </w:pPr>
    </w:p>
    <w:p w14:paraId="2546B2B8" w14:textId="65517623" w:rsidR="00C259D9" w:rsidRPr="006C6BB5" w:rsidRDefault="00C259D9" w:rsidP="00C259D9">
      <w:pPr>
        <w:spacing w:line="360" w:lineRule="auto"/>
        <w:contextualSpacing/>
        <w:jc w:val="center"/>
        <w:rPr>
          <w:b/>
          <w:sz w:val="22"/>
          <w:szCs w:val="22"/>
          <w:lang w:val="en-GB"/>
        </w:rPr>
      </w:pPr>
      <w:r>
        <w:rPr>
          <w:b/>
          <w:sz w:val="22"/>
          <w:szCs w:val="22"/>
          <w:lang w:val="en-GB"/>
        </w:rPr>
        <w:t>F</w:t>
      </w:r>
      <w:r w:rsidRPr="006C6BB5">
        <w:rPr>
          <w:b/>
          <w:sz w:val="22"/>
          <w:szCs w:val="22"/>
          <w:lang w:val="en-GB"/>
        </w:rPr>
        <w:t>ormal and informal appropriation mechanisms</w:t>
      </w:r>
      <w:r w:rsidR="00302B72">
        <w:rPr>
          <w:b/>
          <w:sz w:val="22"/>
          <w:szCs w:val="22"/>
          <w:lang w:val="en-GB"/>
        </w:rPr>
        <w:t xml:space="preserve">: </w:t>
      </w:r>
      <w:r>
        <w:rPr>
          <w:b/>
          <w:sz w:val="22"/>
          <w:szCs w:val="22"/>
          <w:lang w:val="en-GB"/>
        </w:rPr>
        <w:t xml:space="preserve">the role of openness and innovativeness </w:t>
      </w:r>
      <w:r w:rsidRPr="006C6BB5">
        <w:rPr>
          <w:b/>
          <w:sz w:val="22"/>
          <w:szCs w:val="22"/>
          <w:lang w:val="en-GB"/>
        </w:rPr>
        <w:t xml:space="preserve"> </w:t>
      </w:r>
    </w:p>
    <w:p w14:paraId="2D670F17" w14:textId="77777777" w:rsidR="00963FB7" w:rsidRPr="006C6BB5" w:rsidRDefault="00963FB7" w:rsidP="00420BA4">
      <w:pPr>
        <w:rPr>
          <w:sz w:val="22"/>
          <w:szCs w:val="22"/>
          <w:lang w:val="en-GB"/>
        </w:rPr>
      </w:pPr>
    </w:p>
    <w:p w14:paraId="65BAB993" w14:textId="77777777" w:rsidR="00963FB7" w:rsidRPr="006C6BB5" w:rsidRDefault="00963FB7" w:rsidP="00963FB7">
      <w:pPr>
        <w:jc w:val="center"/>
        <w:rPr>
          <w:b/>
          <w:sz w:val="22"/>
          <w:szCs w:val="22"/>
          <w:lang w:val="en-GB"/>
        </w:rPr>
      </w:pPr>
      <w:r w:rsidRPr="006C6BB5">
        <w:rPr>
          <w:b/>
          <w:sz w:val="22"/>
          <w:szCs w:val="22"/>
          <w:lang w:val="en-GB"/>
        </w:rPr>
        <w:t xml:space="preserve">Abstract </w:t>
      </w:r>
    </w:p>
    <w:p w14:paraId="5DC6046F" w14:textId="0B8D7BBA" w:rsidR="002231B5" w:rsidRPr="00A52BF2" w:rsidRDefault="002403EE" w:rsidP="002403EE">
      <w:pPr>
        <w:spacing w:line="240" w:lineRule="auto"/>
        <w:rPr>
          <w:rFonts w:eastAsiaTheme="minorHAnsi"/>
          <w:sz w:val="22"/>
          <w:szCs w:val="22"/>
          <w:lang w:val="en-GB"/>
        </w:rPr>
      </w:pPr>
      <w:r w:rsidRPr="00A52BF2">
        <w:rPr>
          <w:rFonts w:eastAsiaTheme="minorHAnsi"/>
          <w:sz w:val="22"/>
          <w:szCs w:val="22"/>
          <w:lang w:val="en-GB"/>
        </w:rPr>
        <w:t xml:space="preserve">This paper </w:t>
      </w:r>
      <w:r w:rsidR="002231B5" w:rsidRPr="00A52BF2">
        <w:rPr>
          <w:rFonts w:eastAsiaTheme="minorHAnsi"/>
          <w:sz w:val="22"/>
          <w:szCs w:val="22"/>
          <w:lang w:val="en-GB"/>
        </w:rPr>
        <w:t xml:space="preserve">analyses how </w:t>
      </w:r>
      <w:r w:rsidRPr="00A52BF2">
        <w:rPr>
          <w:rFonts w:eastAsiaTheme="minorHAnsi"/>
          <w:sz w:val="22"/>
          <w:szCs w:val="22"/>
          <w:lang w:val="en-GB"/>
        </w:rPr>
        <w:t xml:space="preserve">firms’ degree of </w:t>
      </w:r>
      <w:r w:rsidR="000B3712" w:rsidRPr="00A52BF2">
        <w:rPr>
          <w:rFonts w:eastAsiaTheme="minorHAnsi"/>
          <w:sz w:val="22"/>
          <w:szCs w:val="22"/>
          <w:lang w:val="en-GB"/>
        </w:rPr>
        <w:t xml:space="preserve">openness </w:t>
      </w:r>
      <w:r w:rsidR="0054306F" w:rsidRPr="00A52BF2">
        <w:rPr>
          <w:rFonts w:eastAsiaTheme="minorHAnsi"/>
          <w:sz w:val="22"/>
          <w:szCs w:val="22"/>
          <w:lang w:val="en-GB"/>
        </w:rPr>
        <w:t>and</w:t>
      </w:r>
      <w:r w:rsidRPr="00A52BF2">
        <w:rPr>
          <w:rFonts w:eastAsiaTheme="minorHAnsi"/>
          <w:sz w:val="22"/>
          <w:szCs w:val="22"/>
          <w:lang w:val="en-GB"/>
        </w:rPr>
        <w:t xml:space="preserve"> innovativeness</w:t>
      </w:r>
      <w:r w:rsidR="002231B5" w:rsidRPr="00A52BF2">
        <w:rPr>
          <w:rFonts w:eastAsiaTheme="minorHAnsi"/>
          <w:sz w:val="22"/>
          <w:szCs w:val="22"/>
          <w:lang w:val="en-GB"/>
        </w:rPr>
        <w:t xml:space="preserve"> </w:t>
      </w:r>
      <w:r w:rsidR="00B4480A" w:rsidRPr="00A52BF2">
        <w:rPr>
          <w:rFonts w:eastAsiaTheme="minorHAnsi"/>
          <w:sz w:val="22"/>
          <w:szCs w:val="22"/>
          <w:lang w:val="en-GB"/>
        </w:rPr>
        <w:t>influence</w:t>
      </w:r>
      <w:r w:rsidR="00FD2922" w:rsidRPr="00A52BF2">
        <w:rPr>
          <w:rFonts w:eastAsiaTheme="minorHAnsi"/>
          <w:sz w:val="22"/>
          <w:szCs w:val="22"/>
          <w:lang w:val="en-GB"/>
        </w:rPr>
        <w:t xml:space="preserve"> </w:t>
      </w:r>
      <w:r w:rsidR="002231B5" w:rsidRPr="00A52BF2">
        <w:rPr>
          <w:rFonts w:eastAsiaTheme="minorHAnsi"/>
          <w:sz w:val="22"/>
          <w:szCs w:val="22"/>
          <w:lang w:val="en-GB"/>
        </w:rPr>
        <w:t>their use of formal and informal appropriation mechanisms</w:t>
      </w:r>
      <w:r w:rsidRPr="00A52BF2">
        <w:rPr>
          <w:rFonts w:eastAsiaTheme="minorHAnsi"/>
          <w:sz w:val="22"/>
          <w:szCs w:val="22"/>
          <w:lang w:val="en-GB"/>
        </w:rPr>
        <w:t xml:space="preserve">. Patents, trademarks, copyrights, and design rights are </w:t>
      </w:r>
      <w:r w:rsidRPr="00A52BF2">
        <w:rPr>
          <w:sz w:val="22"/>
          <w:szCs w:val="22"/>
          <w:lang w:val="en-GB"/>
        </w:rPr>
        <w:t>formal appropriation mechanisms</w:t>
      </w:r>
      <w:r w:rsidRPr="00A52BF2">
        <w:rPr>
          <w:rFonts w:eastAsiaTheme="minorHAnsi"/>
          <w:sz w:val="22"/>
          <w:szCs w:val="22"/>
          <w:lang w:val="en-GB"/>
        </w:rPr>
        <w:t>.</w:t>
      </w:r>
      <w:r w:rsidRPr="00A52BF2">
        <w:rPr>
          <w:sz w:val="22"/>
          <w:szCs w:val="22"/>
          <w:lang w:val="en-GB"/>
        </w:rPr>
        <w:t xml:space="preserve"> </w:t>
      </w:r>
      <w:r w:rsidRPr="00A52BF2">
        <w:rPr>
          <w:rFonts w:eastAsiaTheme="minorHAnsi"/>
          <w:sz w:val="22"/>
          <w:szCs w:val="22"/>
          <w:lang w:val="en-GB"/>
        </w:rPr>
        <w:t xml:space="preserve">Secrecy, lead-time, and complexity are examples of </w:t>
      </w:r>
      <w:r w:rsidRPr="00A52BF2">
        <w:rPr>
          <w:sz w:val="22"/>
          <w:szCs w:val="22"/>
          <w:lang w:val="en-GB"/>
        </w:rPr>
        <w:t>informal appropriation mechanisms</w:t>
      </w:r>
      <w:r w:rsidR="00AA68FF" w:rsidRPr="00A52BF2">
        <w:rPr>
          <w:sz w:val="22"/>
          <w:szCs w:val="22"/>
          <w:lang w:val="en-GB"/>
        </w:rPr>
        <w:t>.</w:t>
      </w:r>
      <w:r w:rsidRPr="00A52BF2">
        <w:rPr>
          <w:rFonts w:eastAsiaTheme="minorHAnsi"/>
          <w:sz w:val="22"/>
          <w:szCs w:val="22"/>
          <w:lang w:val="en-GB"/>
        </w:rPr>
        <w:t xml:space="preserve"> </w:t>
      </w:r>
      <w:r w:rsidR="007A7394" w:rsidRPr="00A52BF2">
        <w:rPr>
          <w:rFonts w:eastAsiaTheme="minorHAnsi"/>
          <w:sz w:val="22"/>
          <w:szCs w:val="22"/>
          <w:lang w:val="en-GB"/>
        </w:rPr>
        <w:t>B</w:t>
      </w:r>
      <w:r w:rsidR="002B7133" w:rsidRPr="00A52BF2">
        <w:rPr>
          <w:rFonts w:eastAsiaTheme="minorHAnsi"/>
          <w:sz w:val="22"/>
          <w:szCs w:val="22"/>
          <w:lang w:val="en-GB"/>
        </w:rPr>
        <w:t xml:space="preserve">oth </w:t>
      </w:r>
      <w:r w:rsidRPr="00A52BF2">
        <w:rPr>
          <w:rFonts w:eastAsiaTheme="minorHAnsi"/>
          <w:sz w:val="22"/>
          <w:szCs w:val="22"/>
          <w:lang w:val="en-GB"/>
        </w:rPr>
        <w:t>external search breadth and depth are positively associated with firms’ use of informal appropriation mechanisms</w:t>
      </w:r>
      <w:r w:rsidR="002B7133" w:rsidRPr="00A52BF2">
        <w:rPr>
          <w:rFonts w:eastAsiaTheme="minorHAnsi"/>
          <w:sz w:val="22"/>
          <w:szCs w:val="22"/>
          <w:lang w:val="en-GB"/>
        </w:rPr>
        <w:t>, while o</w:t>
      </w:r>
      <w:r w:rsidR="0054306F" w:rsidRPr="00A52BF2">
        <w:rPr>
          <w:rFonts w:eastAsiaTheme="minorHAnsi"/>
          <w:sz w:val="22"/>
          <w:szCs w:val="22"/>
          <w:lang w:val="en-GB"/>
        </w:rPr>
        <w:t xml:space="preserve">nly external search breadth is </w:t>
      </w:r>
      <w:r w:rsidR="00B4480A" w:rsidRPr="00A52BF2">
        <w:rPr>
          <w:rFonts w:eastAsiaTheme="minorHAnsi"/>
          <w:sz w:val="22"/>
          <w:szCs w:val="22"/>
          <w:lang w:val="en-GB"/>
        </w:rPr>
        <w:t xml:space="preserve">positively </w:t>
      </w:r>
      <w:r w:rsidR="002B7133" w:rsidRPr="00A52BF2">
        <w:rPr>
          <w:rFonts w:eastAsiaTheme="minorHAnsi"/>
          <w:sz w:val="22"/>
          <w:szCs w:val="22"/>
          <w:lang w:val="en-GB"/>
        </w:rPr>
        <w:t>associated with formal appropriation mechanisms</w:t>
      </w:r>
      <w:r w:rsidRPr="00A52BF2">
        <w:rPr>
          <w:rFonts w:eastAsiaTheme="minorHAnsi"/>
          <w:sz w:val="22"/>
          <w:szCs w:val="22"/>
          <w:lang w:val="en-GB"/>
        </w:rPr>
        <w:t xml:space="preserve">. </w:t>
      </w:r>
      <w:r w:rsidR="00FD2922" w:rsidRPr="00A52BF2">
        <w:rPr>
          <w:rFonts w:eastAsiaTheme="minorHAnsi"/>
          <w:sz w:val="22"/>
          <w:szCs w:val="22"/>
          <w:lang w:val="en-GB"/>
        </w:rPr>
        <w:t>F</w:t>
      </w:r>
      <w:r w:rsidRPr="00A52BF2">
        <w:rPr>
          <w:rFonts w:eastAsiaTheme="minorHAnsi"/>
          <w:sz w:val="22"/>
          <w:szCs w:val="22"/>
          <w:lang w:val="en-GB"/>
        </w:rPr>
        <w:t>irms’ degree of radical</w:t>
      </w:r>
      <w:r w:rsidR="00FD2922" w:rsidRPr="00A52BF2">
        <w:rPr>
          <w:rFonts w:eastAsiaTheme="minorHAnsi"/>
          <w:sz w:val="22"/>
          <w:szCs w:val="22"/>
          <w:lang w:val="en-GB"/>
        </w:rPr>
        <w:t xml:space="preserve"> (incremental) </w:t>
      </w:r>
      <w:r w:rsidRPr="00A52BF2">
        <w:rPr>
          <w:rFonts w:eastAsiaTheme="minorHAnsi"/>
          <w:sz w:val="22"/>
          <w:szCs w:val="22"/>
          <w:lang w:val="en-GB"/>
        </w:rPr>
        <w:t>innovation</w:t>
      </w:r>
      <w:r w:rsidR="000B3712" w:rsidRPr="00A52BF2">
        <w:rPr>
          <w:rFonts w:eastAsiaTheme="minorHAnsi"/>
          <w:sz w:val="22"/>
          <w:szCs w:val="22"/>
          <w:lang w:val="en-GB"/>
        </w:rPr>
        <w:t xml:space="preserve"> orientation</w:t>
      </w:r>
      <w:r w:rsidRPr="00A52BF2">
        <w:rPr>
          <w:rFonts w:eastAsiaTheme="minorHAnsi"/>
          <w:sz w:val="22"/>
          <w:szCs w:val="22"/>
          <w:lang w:val="en-GB"/>
        </w:rPr>
        <w:t xml:space="preserve"> </w:t>
      </w:r>
      <w:r w:rsidR="000B3712" w:rsidRPr="00A52BF2">
        <w:rPr>
          <w:rFonts w:eastAsiaTheme="minorHAnsi"/>
          <w:sz w:val="22"/>
          <w:szCs w:val="22"/>
          <w:lang w:val="en-GB"/>
        </w:rPr>
        <w:t>is negatively</w:t>
      </w:r>
      <w:r w:rsidR="00FD2922" w:rsidRPr="00A52BF2">
        <w:rPr>
          <w:rFonts w:eastAsiaTheme="minorHAnsi"/>
          <w:sz w:val="22"/>
          <w:szCs w:val="22"/>
          <w:lang w:val="en-GB"/>
        </w:rPr>
        <w:t xml:space="preserve"> (positively)</w:t>
      </w:r>
      <w:r w:rsidR="000B3712" w:rsidRPr="00A52BF2">
        <w:rPr>
          <w:rFonts w:eastAsiaTheme="minorHAnsi"/>
          <w:sz w:val="22"/>
          <w:szCs w:val="22"/>
          <w:lang w:val="en-GB"/>
        </w:rPr>
        <w:t xml:space="preserve"> associated with</w:t>
      </w:r>
      <w:r w:rsidRPr="00A52BF2">
        <w:rPr>
          <w:rFonts w:eastAsiaTheme="minorHAnsi"/>
          <w:sz w:val="22"/>
          <w:szCs w:val="22"/>
          <w:lang w:val="en-GB"/>
        </w:rPr>
        <w:t xml:space="preserve"> their use of formal appropriation mechanisms</w:t>
      </w:r>
      <w:r w:rsidR="00FD2922" w:rsidRPr="00A52BF2">
        <w:rPr>
          <w:rFonts w:eastAsiaTheme="minorHAnsi"/>
          <w:sz w:val="22"/>
          <w:szCs w:val="22"/>
          <w:lang w:val="en-GB"/>
        </w:rPr>
        <w:t>.</w:t>
      </w:r>
      <w:r w:rsidRPr="00A52BF2">
        <w:rPr>
          <w:rFonts w:eastAsiaTheme="minorHAnsi"/>
          <w:sz w:val="22"/>
          <w:szCs w:val="22"/>
          <w:lang w:val="en-GB"/>
        </w:rPr>
        <w:t xml:space="preserve"> </w:t>
      </w:r>
      <w:r w:rsidR="003E2D57" w:rsidRPr="00A52BF2">
        <w:rPr>
          <w:rFonts w:eastAsiaTheme="minorHAnsi"/>
          <w:sz w:val="22"/>
          <w:szCs w:val="22"/>
          <w:lang w:val="en-GB"/>
        </w:rPr>
        <w:t xml:space="preserve">Analysis of </w:t>
      </w:r>
      <w:r w:rsidR="00B4480A" w:rsidRPr="00A52BF2">
        <w:rPr>
          <w:rFonts w:eastAsiaTheme="minorHAnsi"/>
          <w:sz w:val="22"/>
          <w:szCs w:val="22"/>
          <w:lang w:val="en-GB"/>
        </w:rPr>
        <w:t>the joint impact</w:t>
      </w:r>
      <w:r w:rsidRPr="00A52BF2">
        <w:rPr>
          <w:rFonts w:eastAsiaTheme="minorHAnsi"/>
          <w:sz w:val="22"/>
          <w:szCs w:val="22"/>
          <w:lang w:val="en-GB"/>
        </w:rPr>
        <w:t xml:space="preserve"> of openness and innovativeness, </w:t>
      </w:r>
      <w:r w:rsidR="002231B5" w:rsidRPr="00A52BF2">
        <w:rPr>
          <w:rFonts w:eastAsiaTheme="minorHAnsi"/>
          <w:sz w:val="22"/>
          <w:szCs w:val="22"/>
          <w:lang w:val="en-GB"/>
        </w:rPr>
        <w:t>suggest</w:t>
      </w:r>
      <w:r w:rsidR="003E2D57" w:rsidRPr="00A52BF2">
        <w:rPr>
          <w:rFonts w:eastAsiaTheme="minorHAnsi"/>
          <w:sz w:val="22"/>
          <w:szCs w:val="22"/>
          <w:lang w:val="en-GB"/>
        </w:rPr>
        <w:t>s</w:t>
      </w:r>
      <w:r w:rsidR="002231B5" w:rsidRPr="00A52BF2">
        <w:rPr>
          <w:rFonts w:eastAsiaTheme="minorHAnsi"/>
          <w:sz w:val="22"/>
          <w:szCs w:val="22"/>
          <w:lang w:val="en-GB"/>
        </w:rPr>
        <w:t xml:space="preserve"> that for </w:t>
      </w:r>
      <w:r w:rsidRPr="00A52BF2">
        <w:rPr>
          <w:sz w:val="22"/>
          <w:szCs w:val="22"/>
          <w:lang w:val="en-GB"/>
        </w:rPr>
        <w:t>radical innovators it is external search brea</w:t>
      </w:r>
      <w:r w:rsidR="000B3712" w:rsidRPr="00A52BF2">
        <w:rPr>
          <w:sz w:val="22"/>
          <w:szCs w:val="22"/>
          <w:lang w:val="en-GB"/>
        </w:rPr>
        <w:t>dth (rather than</w:t>
      </w:r>
      <w:r w:rsidRPr="00A52BF2">
        <w:rPr>
          <w:sz w:val="22"/>
          <w:szCs w:val="22"/>
          <w:lang w:val="en-GB"/>
        </w:rPr>
        <w:t xml:space="preserve"> depth) that has a positive association with the use of informal appropriation mechanisms.</w:t>
      </w:r>
      <w:r w:rsidR="008938FE" w:rsidRPr="00A52BF2">
        <w:rPr>
          <w:rFonts w:eastAsiaTheme="minorHAnsi"/>
          <w:sz w:val="22"/>
          <w:szCs w:val="22"/>
          <w:lang w:val="en-GB"/>
        </w:rPr>
        <w:t xml:space="preserve"> </w:t>
      </w:r>
      <w:r w:rsidR="00BA65F4" w:rsidRPr="00A52BF2">
        <w:rPr>
          <w:rFonts w:eastAsiaTheme="minorHAnsi"/>
          <w:sz w:val="22"/>
          <w:szCs w:val="22"/>
          <w:lang w:val="en-GB"/>
        </w:rPr>
        <w:t>In contrast, for</w:t>
      </w:r>
      <w:r w:rsidR="002231B5" w:rsidRPr="00A52BF2">
        <w:rPr>
          <w:rFonts w:eastAsiaTheme="minorHAnsi"/>
          <w:sz w:val="22"/>
          <w:szCs w:val="22"/>
          <w:lang w:val="en-GB"/>
        </w:rPr>
        <w:t xml:space="preserve"> radical innovators external search depth (rather than breadth) </w:t>
      </w:r>
      <w:r w:rsidR="00FD2922" w:rsidRPr="00A52BF2">
        <w:rPr>
          <w:rFonts w:eastAsiaTheme="minorHAnsi"/>
          <w:sz w:val="22"/>
          <w:szCs w:val="22"/>
          <w:lang w:val="en-GB"/>
        </w:rPr>
        <w:t xml:space="preserve">is associated with </w:t>
      </w:r>
      <w:r w:rsidR="002231B5" w:rsidRPr="00A52BF2">
        <w:rPr>
          <w:rFonts w:eastAsiaTheme="minorHAnsi"/>
          <w:sz w:val="22"/>
          <w:szCs w:val="22"/>
          <w:lang w:val="en-GB"/>
        </w:rPr>
        <w:t xml:space="preserve">the </w:t>
      </w:r>
      <w:r w:rsidR="003E2D57" w:rsidRPr="00A52BF2">
        <w:rPr>
          <w:rFonts w:eastAsiaTheme="minorHAnsi"/>
          <w:sz w:val="22"/>
          <w:szCs w:val="22"/>
          <w:lang w:val="en-GB"/>
        </w:rPr>
        <w:t>use</w:t>
      </w:r>
      <w:r w:rsidR="002231B5" w:rsidRPr="00A52BF2">
        <w:rPr>
          <w:rFonts w:eastAsiaTheme="minorHAnsi"/>
          <w:sz w:val="22"/>
          <w:szCs w:val="22"/>
          <w:lang w:val="en-GB"/>
        </w:rPr>
        <w:t xml:space="preserve"> of formal appropriation mechanisms. For incremental innovators</w:t>
      </w:r>
      <w:r w:rsidR="0054306F" w:rsidRPr="00A52BF2">
        <w:rPr>
          <w:rFonts w:eastAsiaTheme="minorHAnsi"/>
          <w:sz w:val="22"/>
          <w:szCs w:val="22"/>
          <w:lang w:val="en-GB"/>
        </w:rPr>
        <w:t>,</w:t>
      </w:r>
      <w:r w:rsidR="002231B5" w:rsidRPr="00A52BF2">
        <w:rPr>
          <w:rFonts w:eastAsiaTheme="minorHAnsi"/>
          <w:sz w:val="22"/>
          <w:szCs w:val="22"/>
          <w:lang w:val="en-GB"/>
        </w:rPr>
        <w:t xml:space="preserve"> external search breadth (rather than depth) is </w:t>
      </w:r>
      <w:r w:rsidR="00FD2922" w:rsidRPr="00A52BF2">
        <w:rPr>
          <w:rFonts w:eastAsiaTheme="minorHAnsi"/>
          <w:sz w:val="22"/>
          <w:szCs w:val="22"/>
          <w:lang w:val="en-GB"/>
        </w:rPr>
        <w:t xml:space="preserve">associated with </w:t>
      </w:r>
      <w:r w:rsidR="002231B5" w:rsidRPr="00A52BF2">
        <w:rPr>
          <w:rFonts w:eastAsiaTheme="minorHAnsi"/>
          <w:sz w:val="22"/>
          <w:szCs w:val="22"/>
          <w:lang w:val="en-GB"/>
        </w:rPr>
        <w:t xml:space="preserve">the use of </w:t>
      </w:r>
      <w:r w:rsidR="0054306F" w:rsidRPr="00A52BF2">
        <w:rPr>
          <w:rFonts w:eastAsiaTheme="minorHAnsi"/>
          <w:sz w:val="22"/>
          <w:szCs w:val="22"/>
          <w:lang w:val="en-GB"/>
        </w:rPr>
        <w:t xml:space="preserve">both </w:t>
      </w:r>
      <w:r w:rsidR="002231B5" w:rsidRPr="00A52BF2">
        <w:rPr>
          <w:rFonts w:eastAsiaTheme="minorHAnsi"/>
          <w:sz w:val="22"/>
          <w:szCs w:val="22"/>
          <w:lang w:val="en-GB"/>
        </w:rPr>
        <w:t xml:space="preserve">formal </w:t>
      </w:r>
      <w:r w:rsidR="0054306F" w:rsidRPr="00A52BF2">
        <w:rPr>
          <w:rFonts w:eastAsiaTheme="minorHAnsi"/>
          <w:sz w:val="22"/>
          <w:szCs w:val="22"/>
          <w:lang w:val="en-GB"/>
        </w:rPr>
        <w:t xml:space="preserve">and informal </w:t>
      </w:r>
      <w:r w:rsidR="002231B5" w:rsidRPr="00A52BF2">
        <w:rPr>
          <w:rFonts w:eastAsiaTheme="minorHAnsi"/>
          <w:sz w:val="22"/>
          <w:szCs w:val="22"/>
          <w:lang w:val="en-GB"/>
        </w:rPr>
        <w:t xml:space="preserve">appropriation mechanisms. </w:t>
      </w:r>
    </w:p>
    <w:p w14:paraId="25BD68FB" w14:textId="77777777" w:rsidR="002231B5" w:rsidRDefault="002231B5" w:rsidP="002403EE">
      <w:pPr>
        <w:spacing w:line="240" w:lineRule="auto"/>
        <w:rPr>
          <w:rFonts w:eastAsiaTheme="minorHAnsi"/>
          <w:sz w:val="22"/>
          <w:szCs w:val="22"/>
          <w:lang w:val="en-GB"/>
        </w:rPr>
      </w:pPr>
    </w:p>
    <w:p w14:paraId="0AEA0D0D" w14:textId="77777777" w:rsidR="00171AFD" w:rsidRPr="006C6BB5" w:rsidRDefault="00171AFD" w:rsidP="00171AFD">
      <w:pPr>
        <w:spacing w:line="240" w:lineRule="auto"/>
        <w:rPr>
          <w:sz w:val="22"/>
          <w:szCs w:val="22"/>
          <w:lang w:val="en-GB"/>
        </w:rPr>
      </w:pPr>
    </w:p>
    <w:p w14:paraId="1FAE1450" w14:textId="17CC5E60" w:rsidR="00963FB7" w:rsidRPr="006C6BB5" w:rsidRDefault="006E0192" w:rsidP="00171AFD">
      <w:pPr>
        <w:spacing w:line="240" w:lineRule="auto"/>
        <w:rPr>
          <w:sz w:val="22"/>
          <w:szCs w:val="22"/>
          <w:lang w:val="en-GB"/>
        </w:rPr>
      </w:pPr>
      <w:r w:rsidRPr="006C6BB5">
        <w:rPr>
          <w:sz w:val="22"/>
          <w:szCs w:val="22"/>
          <w:lang w:val="en-GB"/>
        </w:rPr>
        <w:t>(</w:t>
      </w:r>
      <w:r w:rsidR="000E12A8">
        <w:rPr>
          <w:sz w:val="22"/>
          <w:szCs w:val="22"/>
          <w:lang w:val="en-GB"/>
        </w:rPr>
        <w:t>160</w:t>
      </w:r>
      <w:r w:rsidR="00963FB7" w:rsidRPr="006C6BB5">
        <w:rPr>
          <w:sz w:val="22"/>
          <w:szCs w:val="22"/>
          <w:lang w:val="en-GB"/>
        </w:rPr>
        <w:t xml:space="preserve"> words)</w:t>
      </w:r>
    </w:p>
    <w:p w14:paraId="744E088B" w14:textId="77777777" w:rsidR="00963FB7" w:rsidRPr="006C6BB5" w:rsidRDefault="00963FB7" w:rsidP="00963FB7">
      <w:pPr>
        <w:jc w:val="center"/>
        <w:rPr>
          <w:b/>
          <w:sz w:val="22"/>
          <w:szCs w:val="22"/>
          <w:lang w:val="en-GB"/>
        </w:rPr>
      </w:pPr>
    </w:p>
    <w:p w14:paraId="4AAFC1DD" w14:textId="6D6CFEF1" w:rsidR="00420BA4" w:rsidRPr="006C6BB5" w:rsidRDefault="00420BA4" w:rsidP="00D13905">
      <w:pPr>
        <w:spacing w:line="360" w:lineRule="auto"/>
        <w:rPr>
          <w:sz w:val="22"/>
          <w:szCs w:val="22"/>
          <w:lang w:val="en-GB"/>
        </w:rPr>
      </w:pPr>
      <w:r w:rsidRPr="006C6BB5">
        <w:rPr>
          <w:sz w:val="22"/>
          <w:szCs w:val="22"/>
          <w:lang w:val="en-GB"/>
        </w:rPr>
        <w:t>Key words: Appropriation</w:t>
      </w:r>
      <w:r w:rsidR="00AF30E4">
        <w:rPr>
          <w:sz w:val="22"/>
          <w:szCs w:val="22"/>
          <w:lang w:val="en-GB"/>
        </w:rPr>
        <w:t xml:space="preserve"> Mechanisms</w:t>
      </w:r>
      <w:r w:rsidRPr="006C6BB5">
        <w:rPr>
          <w:sz w:val="22"/>
          <w:szCs w:val="22"/>
          <w:lang w:val="en-GB"/>
        </w:rPr>
        <w:t xml:space="preserve">, Formal Appropriation, Informal Appropriation, </w:t>
      </w:r>
      <w:r w:rsidR="00AF30E4">
        <w:rPr>
          <w:sz w:val="22"/>
          <w:szCs w:val="22"/>
          <w:lang w:val="en-GB"/>
        </w:rPr>
        <w:t xml:space="preserve">External Search Openness, </w:t>
      </w:r>
      <w:r w:rsidR="00D13905" w:rsidRPr="006C6BB5">
        <w:rPr>
          <w:sz w:val="22"/>
          <w:szCs w:val="22"/>
          <w:lang w:val="en-GB"/>
        </w:rPr>
        <w:t>Incremental Innovators, Radical Innovators</w:t>
      </w:r>
    </w:p>
    <w:p w14:paraId="70AAA146" w14:textId="77777777" w:rsidR="00963FB7" w:rsidRPr="006C6BB5" w:rsidRDefault="00963FB7" w:rsidP="00963FB7">
      <w:pPr>
        <w:jc w:val="center"/>
        <w:rPr>
          <w:b/>
          <w:sz w:val="22"/>
          <w:szCs w:val="22"/>
          <w:lang w:val="en-GB"/>
        </w:rPr>
      </w:pPr>
    </w:p>
    <w:p w14:paraId="5CF9E01B" w14:textId="77777777" w:rsidR="00963FB7" w:rsidRPr="006C6BB5" w:rsidRDefault="00963FB7" w:rsidP="00963FB7">
      <w:pPr>
        <w:jc w:val="center"/>
        <w:rPr>
          <w:b/>
          <w:sz w:val="22"/>
          <w:szCs w:val="22"/>
          <w:lang w:val="en-GB"/>
        </w:rPr>
      </w:pPr>
    </w:p>
    <w:p w14:paraId="79175860" w14:textId="77777777" w:rsidR="00963FB7" w:rsidRPr="006C6BB5" w:rsidRDefault="00963FB7" w:rsidP="00963FB7">
      <w:pPr>
        <w:jc w:val="center"/>
        <w:rPr>
          <w:b/>
          <w:sz w:val="22"/>
          <w:szCs w:val="22"/>
          <w:lang w:val="en-GB"/>
        </w:rPr>
      </w:pPr>
    </w:p>
    <w:p w14:paraId="0FA662A6" w14:textId="77777777" w:rsidR="00270A1E" w:rsidRPr="006C6BB5" w:rsidRDefault="00910F1A" w:rsidP="00AA65F2">
      <w:pPr>
        <w:jc w:val="center"/>
        <w:rPr>
          <w:sz w:val="22"/>
          <w:szCs w:val="22"/>
          <w:lang w:val="en-GB"/>
        </w:rPr>
      </w:pPr>
      <w:r w:rsidRPr="006C6BB5">
        <w:rPr>
          <w:sz w:val="22"/>
          <w:szCs w:val="22"/>
          <w:lang w:val="en-GB"/>
        </w:rPr>
        <w:br w:type="page"/>
      </w:r>
    </w:p>
    <w:p w14:paraId="7D2332DF" w14:textId="026893B3" w:rsidR="002B0712" w:rsidRPr="006C6BB5" w:rsidRDefault="00672854" w:rsidP="00672854">
      <w:pPr>
        <w:rPr>
          <w:b/>
          <w:sz w:val="22"/>
          <w:szCs w:val="22"/>
          <w:lang w:val="en-GB"/>
        </w:rPr>
      </w:pPr>
      <w:r w:rsidRPr="006C6BB5">
        <w:rPr>
          <w:b/>
          <w:sz w:val="22"/>
          <w:szCs w:val="22"/>
          <w:lang w:val="en-GB"/>
        </w:rPr>
        <w:lastRenderedPageBreak/>
        <w:t xml:space="preserve">1. </w:t>
      </w:r>
      <w:r w:rsidR="00B20F51" w:rsidRPr="006C6BB5">
        <w:rPr>
          <w:b/>
          <w:sz w:val="22"/>
          <w:szCs w:val="22"/>
          <w:lang w:val="en-GB"/>
        </w:rPr>
        <w:t>INTRODUCTION</w:t>
      </w:r>
    </w:p>
    <w:p w14:paraId="042F92C0" w14:textId="5B61A22F" w:rsidR="00D73713" w:rsidRPr="006C6BB5" w:rsidRDefault="00882B7C" w:rsidP="00F743CA">
      <w:pPr>
        <w:rPr>
          <w:lang w:val="en-GB"/>
        </w:rPr>
      </w:pPr>
      <w:r w:rsidRPr="006C6BB5">
        <w:rPr>
          <w:sz w:val="22"/>
          <w:szCs w:val="22"/>
          <w:lang w:val="en-GB"/>
        </w:rPr>
        <w:t>This study</w:t>
      </w:r>
      <w:r w:rsidR="0013011E" w:rsidRPr="006C6BB5">
        <w:rPr>
          <w:sz w:val="22"/>
          <w:szCs w:val="22"/>
          <w:lang w:val="en-GB"/>
        </w:rPr>
        <w:t xml:space="preserve"> examine</w:t>
      </w:r>
      <w:r w:rsidRPr="006C6BB5">
        <w:rPr>
          <w:sz w:val="22"/>
          <w:szCs w:val="22"/>
          <w:lang w:val="en-GB"/>
        </w:rPr>
        <w:t>s</w:t>
      </w:r>
      <w:r w:rsidR="0013011E" w:rsidRPr="006C6BB5">
        <w:rPr>
          <w:sz w:val="22"/>
          <w:szCs w:val="22"/>
          <w:lang w:val="en-GB"/>
        </w:rPr>
        <w:t xml:space="preserve"> </w:t>
      </w:r>
      <w:r w:rsidR="001A2D92">
        <w:rPr>
          <w:sz w:val="22"/>
          <w:szCs w:val="22"/>
          <w:lang w:val="en-GB"/>
        </w:rPr>
        <w:t xml:space="preserve">how </w:t>
      </w:r>
      <w:r w:rsidR="006B7DE0" w:rsidRPr="006C6BB5">
        <w:rPr>
          <w:sz w:val="22"/>
          <w:szCs w:val="22"/>
          <w:lang w:val="en-GB"/>
        </w:rPr>
        <w:t>firms’</w:t>
      </w:r>
      <w:r w:rsidR="0013011E" w:rsidRPr="006C6BB5">
        <w:rPr>
          <w:sz w:val="22"/>
          <w:szCs w:val="22"/>
          <w:lang w:val="en-GB"/>
        </w:rPr>
        <w:t xml:space="preserve"> </w:t>
      </w:r>
      <w:r w:rsidR="0071059E" w:rsidRPr="006C6BB5">
        <w:rPr>
          <w:sz w:val="22"/>
          <w:szCs w:val="22"/>
          <w:lang w:val="en-GB"/>
        </w:rPr>
        <w:t>degree of openness</w:t>
      </w:r>
      <w:r w:rsidR="0013011E" w:rsidRPr="006C6BB5">
        <w:rPr>
          <w:sz w:val="22"/>
          <w:szCs w:val="22"/>
          <w:lang w:val="en-GB"/>
        </w:rPr>
        <w:t xml:space="preserve"> </w:t>
      </w:r>
      <w:r w:rsidR="0000711D" w:rsidRPr="006C6BB5">
        <w:rPr>
          <w:sz w:val="22"/>
          <w:szCs w:val="22"/>
          <w:lang w:val="en-GB"/>
        </w:rPr>
        <w:t xml:space="preserve">and </w:t>
      </w:r>
      <w:r w:rsidR="006B7DE0" w:rsidRPr="006C6BB5">
        <w:rPr>
          <w:sz w:val="22"/>
          <w:szCs w:val="22"/>
          <w:lang w:val="en-GB"/>
        </w:rPr>
        <w:t>innovativeness</w:t>
      </w:r>
      <w:r w:rsidR="0013011E" w:rsidRPr="006C6BB5">
        <w:rPr>
          <w:sz w:val="22"/>
          <w:szCs w:val="22"/>
          <w:lang w:val="en-GB"/>
        </w:rPr>
        <w:t xml:space="preserve"> </w:t>
      </w:r>
      <w:r w:rsidR="001A2D92">
        <w:rPr>
          <w:sz w:val="22"/>
          <w:szCs w:val="22"/>
          <w:lang w:val="en-GB"/>
        </w:rPr>
        <w:t xml:space="preserve">is individually and jointly </w:t>
      </w:r>
      <w:r w:rsidR="00B638E0">
        <w:rPr>
          <w:sz w:val="22"/>
          <w:szCs w:val="22"/>
          <w:lang w:val="en-GB"/>
        </w:rPr>
        <w:t>associated with</w:t>
      </w:r>
      <w:r w:rsidR="0013011E" w:rsidRPr="006C6BB5">
        <w:rPr>
          <w:sz w:val="22"/>
          <w:szCs w:val="22"/>
          <w:lang w:val="en-GB"/>
        </w:rPr>
        <w:t xml:space="preserve"> their use of formal and informal appropriation mechanisms.</w:t>
      </w:r>
      <w:r w:rsidR="00F05183" w:rsidRPr="006C6BB5">
        <w:rPr>
          <w:sz w:val="22"/>
          <w:szCs w:val="22"/>
          <w:lang w:val="en-GB"/>
        </w:rPr>
        <w:t xml:space="preserve"> </w:t>
      </w:r>
      <w:r w:rsidR="0013011E" w:rsidRPr="006C6BB5">
        <w:rPr>
          <w:sz w:val="22"/>
          <w:szCs w:val="22"/>
          <w:lang w:val="en-GB"/>
        </w:rPr>
        <w:t xml:space="preserve">Empirical work by Cohen, Nelson, &amp; Walsh (2000) and Levin, </w:t>
      </w:r>
      <w:proofErr w:type="spellStart"/>
      <w:r w:rsidR="0013011E" w:rsidRPr="006C6BB5">
        <w:rPr>
          <w:sz w:val="22"/>
          <w:szCs w:val="22"/>
          <w:lang w:val="en-GB"/>
        </w:rPr>
        <w:t>Klevorik</w:t>
      </w:r>
      <w:proofErr w:type="spellEnd"/>
      <w:r w:rsidR="0013011E" w:rsidRPr="006C6BB5">
        <w:rPr>
          <w:sz w:val="22"/>
          <w:szCs w:val="22"/>
          <w:lang w:val="en-GB"/>
        </w:rPr>
        <w:t xml:space="preserve">, Nelson, &amp; </w:t>
      </w:r>
      <w:proofErr w:type="gramStart"/>
      <w:r w:rsidR="005037F9" w:rsidRPr="006C6BB5">
        <w:rPr>
          <w:sz w:val="22"/>
          <w:szCs w:val="22"/>
          <w:lang w:val="en-GB"/>
        </w:rPr>
        <w:t>Winter</w:t>
      </w:r>
      <w:proofErr w:type="gramEnd"/>
      <w:r w:rsidR="005037F9" w:rsidRPr="006C6BB5">
        <w:rPr>
          <w:sz w:val="22"/>
          <w:szCs w:val="22"/>
          <w:lang w:val="en-GB"/>
        </w:rPr>
        <w:t xml:space="preserve"> (1987) </w:t>
      </w:r>
      <w:r w:rsidR="00780F8B" w:rsidRPr="006C6BB5">
        <w:rPr>
          <w:sz w:val="22"/>
          <w:szCs w:val="22"/>
          <w:lang w:val="en-GB"/>
        </w:rPr>
        <w:t xml:space="preserve">already </w:t>
      </w:r>
      <w:r w:rsidR="005037F9" w:rsidRPr="006C6BB5">
        <w:rPr>
          <w:sz w:val="22"/>
          <w:szCs w:val="22"/>
          <w:lang w:val="en-GB"/>
        </w:rPr>
        <w:t xml:space="preserve">established that </w:t>
      </w:r>
      <w:r w:rsidR="0013011E" w:rsidRPr="006C6BB5">
        <w:rPr>
          <w:sz w:val="22"/>
          <w:szCs w:val="22"/>
          <w:lang w:val="en-GB"/>
        </w:rPr>
        <w:t xml:space="preserve">both formal and informal appropriation mechanisms </w:t>
      </w:r>
      <w:r w:rsidR="005037F9" w:rsidRPr="006C6BB5">
        <w:rPr>
          <w:sz w:val="22"/>
          <w:szCs w:val="22"/>
          <w:lang w:val="en-GB"/>
        </w:rPr>
        <w:t>are</w:t>
      </w:r>
      <w:r w:rsidR="0013011E" w:rsidRPr="006C6BB5">
        <w:rPr>
          <w:sz w:val="22"/>
          <w:szCs w:val="22"/>
          <w:lang w:val="en-GB"/>
        </w:rPr>
        <w:t xml:space="preserve"> relevant </w:t>
      </w:r>
      <w:r w:rsidR="005037F9" w:rsidRPr="006C6BB5">
        <w:rPr>
          <w:sz w:val="22"/>
          <w:szCs w:val="22"/>
          <w:lang w:val="en-GB"/>
        </w:rPr>
        <w:t xml:space="preserve">for protecting </w:t>
      </w:r>
      <w:r w:rsidR="0013011E" w:rsidRPr="006C6BB5">
        <w:rPr>
          <w:sz w:val="22"/>
          <w:szCs w:val="22"/>
          <w:lang w:val="en-GB"/>
        </w:rPr>
        <w:t xml:space="preserve">the innovative </w:t>
      </w:r>
      <w:r w:rsidR="00A52BF2" w:rsidRPr="006C6BB5">
        <w:rPr>
          <w:sz w:val="22"/>
          <w:szCs w:val="22"/>
          <w:lang w:val="en-GB"/>
        </w:rPr>
        <w:t>endeavours</w:t>
      </w:r>
      <w:r w:rsidR="0013011E" w:rsidRPr="006C6BB5">
        <w:rPr>
          <w:sz w:val="22"/>
          <w:szCs w:val="22"/>
          <w:lang w:val="en-GB"/>
        </w:rPr>
        <w:t xml:space="preserve"> of firms. Formal appropriation mechanisms, based on intellectual property (patents, trademarks, copyrights, and design</w:t>
      </w:r>
      <w:r w:rsidR="00EE6D13" w:rsidRPr="006C6BB5">
        <w:rPr>
          <w:sz w:val="22"/>
          <w:szCs w:val="22"/>
          <w:lang w:val="en-GB"/>
        </w:rPr>
        <w:t xml:space="preserve"> rights), give </w:t>
      </w:r>
      <w:r w:rsidR="00780F8B" w:rsidRPr="006C6BB5">
        <w:rPr>
          <w:sz w:val="22"/>
          <w:szCs w:val="22"/>
          <w:lang w:val="en-GB"/>
        </w:rPr>
        <w:t>innovating firms</w:t>
      </w:r>
      <w:r w:rsidR="0013011E" w:rsidRPr="006C6BB5">
        <w:rPr>
          <w:sz w:val="22"/>
          <w:szCs w:val="22"/>
          <w:lang w:val="en-GB"/>
        </w:rPr>
        <w:t xml:space="preserve"> time-limited rights to exploit their discoveries, inventions, and new designs. These formal appropriation mechanisms create incentives for firms to re-invest in </w:t>
      </w:r>
      <w:r w:rsidR="00A52BF2" w:rsidRPr="006C6BB5">
        <w:rPr>
          <w:sz w:val="22"/>
          <w:szCs w:val="22"/>
          <w:lang w:val="en-GB"/>
        </w:rPr>
        <w:t>innovations</w:t>
      </w:r>
      <w:r w:rsidR="0013011E" w:rsidRPr="006C6BB5">
        <w:rPr>
          <w:sz w:val="22"/>
          <w:szCs w:val="22"/>
          <w:lang w:val="en-GB"/>
        </w:rPr>
        <w:t xml:space="preserve">, new technologies, and to diffuse new products based on innovations that are protected by law. </w:t>
      </w:r>
      <w:r w:rsidR="00780F8B" w:rsidRPr="006C6BB5">
        <w:rPr>
          <w:rFonts w:eastAsia="Calibri"/>
          <w:sz w:val="22"/>
          <w:szCs w:val="22"/>
          <w:lang w:val="en-GB"/>
        </w:rPr>
        <w:t xml:space="preserve">In </w:t>
      </w:r>
      <w:r w:rsidR="00780F8B" w:rsidRPr="00A52BF2">
        <w:rPr>
          <w:rFonts w:eastAsia="Calibri"/>
          <w:sz w:val="22"/>
          <w:szCs w:val="22"/>
          <w:lang w:val="en-GB"/>
        </w:rPr>
        <w:t xml:space="preserve">addition, firms can </w:t>
      </w:r>
      <w:r w:rsidR="0013011E" w:rsidRPr="00A52BF2">
        <w:rPr>
          <w:rFonts w:eastAsia="Calibri"/>
          <w:sz w:val="22"/>
          <w:szCs w:val="22"/>
          <w:lang w:val="en-GB"/>
        </w:rPr>
        <w:t>use informal appropriation mechanisms, such as secrecy, lead-time, and complexity (</w:t>
      </w:r>
      <w:proofErr w:type="spellStart"/>
      <w:r w:rsidR="0091105A" w:rsidRPr="00A52BF2">
        <w:rPr>
          <w:rFonts w:eastAsia="Calibri"/>
          <w:sz w:val="22"/>
          <w:szCs w:val="22"/>
          <w:lang w:val="en-GB"/>
        </w:rPr>
        <w:t>Neuhaeusler</w:t>
      </w:r>
      <w:proofErr w:type="spellEnd"/>
      <w:r w:rsidR="0091105A" w:rsidRPr="00A52BF2">
        <w:rPr>
          <w:rFonts w:eastAsia="Calibri"/>
          <w:sz w:val="22"/>
          <w:szCs w:val="22"/>
          <w:lang w:val="en-GB"/>
        </w:rPr>
        <w:t xml:space="preserve">, 2012; </w:t>
      </w:r>
      <w:r w:rsidR="0013011E" w:rsidRPr="00A52BF2">
        <w:rPr>
          <w:rFonts w:eastAsia="Calibri"/>
          <w:sz w:val="22"/>
          <w:szCs w:val="22"/>
          <w:lang w:val="en-GB"/>
        </w:rPr>
        <w:t>Hall</w:t>
      </w:r>
      <w:r w:rsidR="0013011E" w:rsidRPr="006C6BB5">
        <w:rPr>
          <w:rFonts w:eastAsia="Calibri"/>
          <w:sz w:val="22"/>
          <w:szCs w:val="22"/>
          <w:lang w:val="en-GB"/>
        </w:rPr>
        <w:t xml:space="preserve">, </w:t>
      </w:r>
      <w:proofErr w:type="spellStart"/>
      <w:r w:rsidR="0013011E" w:rsidRPr="006C6BB5">
        <w:rPr>
          <w:bCs/>
          <w:sz w:val="22"/>
          <w:szCs w:val="22"/>
          <w:lang w:val="en-GB"/>
        </w:rPr>
        <w:t>Helmers</w:t>
      </w:r>
      <w:proofErr w:type="spellEnd"/>
      <w:r w:rsidR="0013011E" w:rsidRPr="006C6BB5">
        <w:rPr>
          <w:bCs/>
          <w:sz w:val="22"/>
          <w:szCs w:val="22"/>
          <w:lang w:val="en-GB"/>
        </w:rPr>
        <w:t xml:space="preserve">, Rogers, &amp; </w:t>
      </w:r>
      <w:proofErr w:type="spellStart"/>
      <w:r w:rsidR="0013011E" w:rsidRPr="006C6BB5">
        <w:rPr>
          <w:bCs/>
          <w:sz w:val="22"/>
          <w:szCs w:val="22"/>
          <w:lang w:val="en-GB"/>
        </w:rPr>
        <w:t>Sena</w:t>
      </w:r>
      <w:proofErr w:type="spellEnd"/>
      <w:r w:rsidR="0013011E" w:rsidRPr="006C6BB5">
        <w:rPr>
          <w:sz w:val="22"/>
          <w:szCs w:val="22"/>
          <w:lang w:val="en-GB"/>
        </w:rPr>
        <w:t xml:space="preserve">, </w:t>
      </w:r>
      <w:r w:rsidR="00DC4230" w:rsidRPr="006C6BB5">
        <w:rPr>
          <w:rFonts w:eastAsia="Calibri"/>
          <w:sz w:val="22"/>
          <w:szCs w:val="22"/>
          <w:lang w:val="en-GB"/>
        </w:rPr>
        <w:t>2014</w:t>
      </w:r>
      <w:r w:rsidR="00780F8B" w:rsidRPr="006C6BB5">
        <w:rPr>
          <w:rFonts w:eastAsia="Calibri"/>
          <w:sz w:val="22"/>
          <w:szCs w:val="22"/>
          <w:lang w:val="en-GB"/>
        </w:rPr>
        <w:t xml:space="preserve">). </w:t>
      </w:r>
      <w:r w:rsidR="0013011E" w:rsidRPr="006C6BB5">
        <w:rPr>
          <w:sz w:val="22"/>
          <w:szCs w:val="22"/>
          <w:lang w:val="en-GB"/>
        </w:rPr>
        <w:t xml:space="preserve">In general, </w:t>
      </w:r>
      <w:proofErr w:type="gramStart"/>
      <w:r w:rsidR="0013011E" w:rsidRPr="006C6BB5">
        <w:rPr>
          <w:sz w:val="22"/>
          <w:szCs w:val="22"/>
          <w:lang w:val="en-GB"/>
        </w:rPr>
        <w:t>informal appropriation mechanisms are not protected by law</w:t>
      </w:r>
      <w:proofErr w:type="gramEnd"/>
      <w:r w:rsidR="0013011E" w:rsidRPr="006C6BB5">
        <w:rPr>
          <w:sz w:val="22"/>
          <w:szCs w:val="22"/>
          <w:lang w:val="en-GB"/>
        </w:rPr>
        <w:t xml:space="preserve">, although in particular trade secrets can be enforced through confidentiality contracts and non-disclosure contracts. Lead-time and complexity are based on confidential and usually tacit knowledge that enables innovating firms </w:t>
      </w:r>
      <w:r w:rsidR="00A52BF2" w:rsidRPr="006C6BB5">
        <w:rPr>
          <w:sz w:val="22"/>
          <w:szCs w:val="22"/>
          <w:lang w:val="en-GB"/>
        </w:rPr>
        <w:t>either to</w:t>
      </w:r>
      <w:r w:rsidR="0013011E" w:rsidRPr="006C6BB5">
        <w:rPr>
          <w:sz w:val="22"/>
          <w:szCs w:val="22"/>
          <w:lang w:val="en-GB"/>
        </w:rPr>
        <w:t xml:space="preserve"> benefit from first mover advantages through early commercialization of innovations or to benefit from complex new products and processes that are difficult for other firms to imitate within a short period of time. </w:t>
      </w:r>
    </w:p>
    <w:p w14:paraId="4437A593" w14:textId="1FDC1A50" w:rsidR="00780F8B" w:rsidRPr="00302B72" w:rsidRDefault="0071059E" w:rsidP="00302B72">
      <w:pPr>
        <w:ind w:firstLine="720"/>
        <w:rPr>
          <w:sz w:val="22"/>
          <w:szCs w:val="22"/>
          <w:lang w:val="en-GB"/>
        </w:rPr>
      </w:pPr>
      <w:r w:rsidRPr="006C6BB5">
        <w:rPr>
          <w:sz w:val="22"/>
          <w:szCs w:val="22"/>
          <w:lang w:val="en-GB"/>
        </w:rPr>
        <w:t xml:space="preserve">Given the </w:t>
      </w:r>
      <w:r w:rsidRPr="00A52BF2">
        <w:rPr>
          <w:sz w:val="22"/>
          <w:szCs w:val="22"/>
          <w:lang w:val="en-GB"/>
        </w:rPr>
        <w:t>increasing</w:t>
      </w:r>
      <w:r w:rsidR="00CD68F4" w:rsidRPr="00A52BF2">
        <w:rPr>
          <w:sz w:val="22"/>
          <w:szCs w:val="22"/>
          <w:lang w:val="en-GB"/>
        </w:rPr>
        <w:t xml:space="preserve"> strategic importance of </w:t>
      </w:r>
      <w:r w:rsidRPr="00A52BF2">
        <w:rPr>
          <w:sz w:val="22"/>
          <w:szCs w:val="22"/>
          <w:lang w:val="en-GB"/>
        </w:rPr>
        <w:t xml:space="preserve">such </w:t>
      </w:r>
      <w:r w:rsidR="00CD68F4" w:rsidRPr="00A52BF2">
        <w:rPr>
          <w:sz w:val="22"/>
          <w:szCs w:val="22"/>
          <w:lang w:val="en-GB"/>
        </w:rPr>
        <w:t>appropriation mechanisms (</w:t>
      </w:r>
      <w:r w:rsidRPr="00A52BF2">
        <w:rPr>
          <w:sz w:val="22"/>
          <w:szCs w:val="22"/>
          <w:lang w:val="en-GB"/>
        </w:rPr>
        <w:t xml:space="preserve">e.g. Pisano &amp; </w:t>
      </w:r>
      <w:proofErr w:type="spellStart"/>
      <w:r w:rsidRPr="00A52BF2">
        <w:rPr>
          <w:sz w:val="22"/>
          <w:szCs w:val="22"/>
          <w:lang w:val="en-GB"/>
        </w:rPr>
        <w:t>Teece</w:t>
      </w:r>
      <w:proofErr w:type="spellEnd"/>
      <w:r w:rsidRPr="00A52BF2">
        <w:rPr>
          <w:sz w:val="22"/>
          <w:szCs w:val="22"/>
          <w:lang w:val="en-GB"/>
        </w:rPr>
        <w:t xml:space="preserve">, 2007; </w:t>
      </w:r>
      <w:proofErr w:type="spellStart"/>
      <w:r w:rsidR="00CD68F4" w:rsidRPr="00A52BF2">
        <w:rPr>
          <w:sz w:val="22"/>
          <w:szCs w:val="22"/>
          <w:lang w:val="en-GB"/>
        </w:rPr>
        <w:t>Somaya</w:t>
      </w:r>
      <w:proofErr w:type="spellEnd"/>
      <w:r w:rsidR="00CD68F4" w:rsidRPr="00A52BF2">
        <w:rPr>
          <w:sz w:val="22"/>
          <w:szCs w:val="22"/>
          <w:lang w:val="en-GB"/>
        </w:rPr>
        <w:t>, 2012),</w:t>
      </w:r>
      <w:r w:rsidR="00AA68FF" w:rsidRPr="00A52BF2">
        <w:rPr>
          <w:sz w:val="22"/>
          <w:szCs w:val="22"/>
          <w:lang w:val="en-GB"/>
        </w:rPr>
        <w:t xml:space="preserve"> </w:t>
      </w:r>
      <w:r w:rsidR="0091105A" w:rsidRPr="00A52BF2">
        <w:rPr>
          <w:sz w:val="22"/>
          <w:szCs w:val="22"/>
          <w:lang w:val="en-GB"/>
        </w:rPr>
        <w:t xml:space="preserve">recent research has begun to investigate factors </w:t>
      </w:r>
      <w:r w:rsidR="00A64A0E" w:rsidRPr="00A52BF2">
        <w:rPr>
          <w:sz w:val="22"/>
          <w:szCs w:val="22"/>
          <w:lang w:val="en-GB"/>
        </w:rPr>
        <w:t>that influence</w:t>
      </w:r>
      <w:r w:rsidR="00456222" w:rsidRPr="00A52BF2">
        <w:rPr>
          <w:sz w:val="22"/>
          <w:szCs w:val="22"/>
          <w:lang w:val="en-GB"/>
        </w:rPr>
        <w:t xml:space="preserve"> firms’</w:t>
      </w:r>
      <w:r w:rsidR="0091105A" w:rsidRPr="00A52BF2">
        <w:rPr>
          <w:sz w:val="22"/>
          <w:szCs w:val="22"/>
          <w:lang w:val="en-GB"/>
        </w:rPr>
        <w:t xml:space="preserve"> use of formal and in</w:t>
      </w:r>
      <w:r w:rsidR="00AA68FF" w:rsidRPr="00A52BF2">
        <w:rPr>
          <w:sz w:val="22"/>
          <w:szCs w:val="22"/>
          <w:lang w:val="en-GB"/>
        </w:rPr>
        <w:t xml:space="preserve">formal appropriation mechanisms </w:t>
      </w:r>
      <w:r w:rsidR="00FA608D" w:rsidRPr="00A52BF2">
        <w:rPr>
          <w:sz w:val="22"/>
          <w:szCs w:val="22"/>
          <w:lang w:val="en-GB"/>
        </w:rPr>
        <w:t xml:space="preserve">(see James, </w:t>
      </w:r>
      <w:proofErr w:type="spellStart"/>
      <w:r w:rsidR="00FA608D" w:rsidRPr="00A52BF2">
        <w:rPr>
          <w:sz w:val="22"/>
          <w:szCs w:val="22"/>
          <w:lang w:val="en-GB"/>
        </w:rPr>
        <w:t>Leiblein</w:t>
      </w:r>
      <w:proofErr w:type="spellEnd"/>
      <w:r w:rsidR="00FA608D" w:rsidRPr="00A52BF2">
        <w:rPr>
          <w:sz w:val="22"/>
          <w:szCs w:val="22"/>
          <w:lang w:val="en-GB"/>
        </w:rPr>
        <w:t>, &amp; Lu, 2013 for a comprehensive review of that literature</w:t>
      </w:r>
      <w:r w:rsidR="00FA608D" w:rsidRPr="006C6BB5">
        <w:rPr>
          <w:sz w:val="22"/>
          <w:szCs w:val="22"/>
          <w:lang w:val="en-GB"/>
        </w:rPr>
        <w:t>)</w:t>
      </w:r>
      <w:r w:rsidR="00DE3862" w:rsidRPr="006C6BB5">
        <w:rPr>
          <w:sz w:val="22"/>
          <w:szCs w:val="22"/>
          <w:lang w:val="en-GB"/>
        </w:rPr>
        <w:t xml:space="preserve">. </w:t>
      </w:r>
      <w:r w:rsidR="00D73713" w:rsidRPr="006C6BB5">
        <w:rPr>
          <w:sz w:val="22"/>
          <w:szCs w:val="22"/>
          <w:lang w:val="en-GB"/>
        </w:rPr>
        <w:t xml:space="preserve">For instance, </w:t>
      </w:r>
      <w:r w:rsidR="00780F8B" w:rsidRPr="006C6BB5">
        <w:rPr>
          <w:sz w:val="22"/>
          <w:szCs w:val="22"/>
          <w:lang w:val="en-GB"/>
        </w:rPr>
        <w:t>the degree of</w:t>
      </w:r>
      <w:r w:rsidR="00D73713" w:rsidRPr="006C6BB5">
        <w:rPr>
          <w:sz w:val="22"/>
          <w:szCs w:val="22"/>
          <w:lang w:val="en-GB"/>
        </w:rPr>
        <w:t xml:space="preserve"> </w:t>
      </w:r>
      <w:r w:rsidR="00780F8B" w:rsidRPr="006C6BB5">
        <w:rPr>
          <w:sz w:val="22"/>
          <w:szCs w:val="22"/>
          <w:lang w:val="en-GB"/>
        </w:rPr>
        <w:t>patenting</w:t>
      </w:r>
      <w:r w:rsidR="00DE3862" w:rsidRPr="006C6BB5">
        <w:rPr>
          <w:sz w:val="22"/>
          <w:szCs w:val="22"/>
          <w:lang w:val="en-GB"/>
        </w:rPr>
        <w:t xml:space="preserve"> </w:t>
      </w:r>
      <w:proofErr w:type="gramStart"/>
      <w:r w:rsidR="00D73713" w:rsidRPr="006C6BB5">
        <w:rPr>
          <w:sz w:val="22"/>
          <w:szCs w:val="22"/>
          <w:lang w:val="en-GB"/>
        </w:rPr>
        <w:t xml:space="preserve">has been shown to </w:t>
      </w:r>
      <w:r w:rsidR="00780F8B" w:rsidRPr="006C6BB5">
        <w:rPr>
          <w:sz w:val="22"/>
          <w:szCs w:val="22"/>
          <w:lang w:val="en-GB"/>
        </w:rPr>
        <w:t xml:space="preserve">be </w:t>
      </w:r>
      <w:r w:rsidR="00780F8B" w:rsidRPr="00302B72">
        <w:rPr>
          <w:sz w:val="22"/>
          <w:szCs w:val="22"/>
          <w:lang w:val="en-GB"/>
        </w:rPr>
        <w:t>influenced</w:t>
      </w:r>
      <w:proofErr w:type="gramEnd"/>
      <w:r w:rsidR="00780F8B" w:rsidRPr="00302B72">
        <w:rPr>
          <w:sz w:val="22"/>
          <w:szCs w:val="22"/>
          <w:lang w:val="en-GB"/>
        </w:rPr>
        <w:t xml:space="preserve"> by industry-level conditions </w:t>
      </w:r>
      <w:r w:rsidR="00D73713" w:rsidRPr="00302B72">
        <w:rPr>
          <w:sz w:val="22"/>
          <w:szCs w:val="22"/>
          <w:lang w:val="en-GB"/>
        </w:rPr>
        <w:t>(</w:t>
      </w:r>
      <w:r w:rsidR="006110DC" w:rsidRPr="00302B72">
        <w:rPr>
          <w:sz w:val="22"/>
          <w:szCs w:val="22"/>
          <w:lang w:val="en-GB"/>
        </w:rPr>
        <w:t>Cohen et al., 2000</w:t>
      </w:r>
      <w:r w:rsidR="00780F8B" w:rsidRPr="00302B72">
        <w:rPr>
          <w:sz w:val="22"/>
          <w:szCs w:val="22"/>
          <w:lang w:val="en-GB"/>
        </w:rPr>
        <w:t xml:space="preserve">), </w:t>
      </w:r>
      <w:r w:rsidR="006110DC" w:rsidRPr="00302B72">
        <w:rPr>
          <w:sz w:val="22"/>
          <w:szCs w:val="22"/>
          <w:lang w:val="en-GB"/>
        </w:rPr>
        <w:t xml:space="preserve">firm size (Arundel &amp; </w:t>
      </w:r>
      <w:proofErr w:type="spellStart"/>
      <w:r w:rsidR="006110DC" w:rsidRPr="00302B72">
        <w:rPr>
          <w:sz w:val="22"/>
          <w:szCs w:val="22"/>
          <w:lang w:val="en-GB"/>
        </w:rPr>
        <w:t>Kabla</w:t>
      </w:r>
      <w:proofErr w:type="spellEnd"/>
      <w:r w:rsidR="006110DC" w:rsidRPr="00302B72">
        <w:rPr>
          <w:sz w:val="22"/>
          <w:szCs w:val="22"/>
          <w:lang w:val="en-GB"/>
        </w:rPr>
        <w:t>, 1998)</w:t>
      </w:r>
      <w:r w:rsidR="00780F8B" w:rsidRPr="00302B72">
        <w:rPr>
          <w:sz w:val="22"/>
          <w:szCs w:val="22"/>
          <w:lang w:val="en-GB"/>
        </w:rPr>
        <w:t xml:space="preserve">, and </w:t>
      </w:r>
      <w:r w:rsidR="002352E3" w:rsidRPr="00302B72">
        <w:rPr>
          <w:sz w:val="22"/>
          <w:szCs w:val="22"/>
          <w:lang w:val="en-GB"/>
        </w:rPr>
        <w:t>capital intensity</w:t>
      </w:r>
      <w:r w:rsidR="006110DC" w:rsidRPr="00302B72">
        <w:rPr>
          <w:sz w:val="22"/>
          <w:szCs w:val="22"/>
          <w:lang w:val="en-GB"/>
        </w:rPr>
        <w:t xml:space="preserve"> (Hall &amp; </w:t>
      </w:r>
      <w:proofErr w:type="spellStart"/>
      <w:r w:rsidR="006110DC" w:rsidRPr="00302B72">
        <w:rPr>
          <w:sz w:val="22"/>
          <w:szCs w:val="22"/>
          <w:lang w:val="en-GB"/>
        </w:rPr>
        <w:t>Ziedonis</w:t>
      </w:r>
      <w:proofErr w:type="spellEnd"/>
      <w:r w:rsidR="006110DC" w:rsidRPr="00302B72">
        <w:rPr>
          <w:sz w:val="22"/>
          <w:szCs w:val="22"/>
          <w:lang w:val="en-GB"/>
        </w:rPr>
        <w:t xml:space="preserve">, 2001). Likewise, there is some preliminary understanding of </w:t>
      </w:r>
      <w:r w:rsidR="00FA608D" w:rsidRPr="00302B72">
        <w:rPr>
          <w:sz w:val="22"/>
          <w:szCs w:val="22"/>
          <w:lang w:val="en-GB"/>
        </w:rPr>
        <w:t>industry- and firm-level</w:t>
      </w:r>
      <w:r w:rsidR="006110DC" w:rsidRPr="00302B72">
        <w:rPr>
          <w:sz w:val="22"/>
          <w:szCs w:val="22"/>
          <w:lang w:val="en-GB"/>
        </w:rPr>
        <w:t xml:space="preserve"> factors that </w:t>
      </w:r>
      <w:r w:rsidR="00CD68F4" w:rsidRPr="00302B72">
        <w:rPr>
          <w:sz w:val="22"/>
          <w:szCs w:val="22"/>
          <w:lang w:val="en-GB"/>
        </w:rPr>
        <w:t>are associated with the cost of utilizing</w:t>
      </w:r>
      <w:r w:rsidR="006110DC" w:rsidRPr="00302B72">
        <w:rPr>
          <w:sz w:val="22"/>
          <w:szCs w:val="22"/>
          <w:lang w:val="en-GB"/>
        </w:rPr>
        <w:t xml:space="preserve"> secrec</w:t>
      </w:r>
      <w:r w:rsidR="00CD68F4" w:rsidRPr="00302B72">
        <w:rPr>
          <w:sz w:val="22"/>
          <w:szCs w:val="22"/>
          <w:lang w:val="en-GB"/>
        </w:rPr>
        <w:t>y as an appropriation mechanism, such as</w:t>
      </w:r>
      <w:r w:rsidR="00FA608D" w:rsidRPr="00302B72">
        <w:rPr>
          <w:sz w:val="22"/>
          <w:szCs w:val="22"/>
          <w:lang w:val="en-GB"/>
        </w:rPr>
        <w:t xml:space="preserve"> competitive </w:t>
      </w:r>
      <w:r w:rsidR="00CD68F4" w:rsidRPr="00302B72">
        <w:rPr>
          <w:sz w:val="22"/>
          <w:szCs w:val="22"/>
          <w:lang w:val="en-GB"/>
        </w:rPr>
        <w:t>conditions</w:t>
      </w:r>
      <w:r w:rsidR="00FA608D" w:rsidRPr="00302B72">
        <w:rPr>
          <w:sz w:val="22"/>
          <w:szCs w:val="22"/>
          <w:lang w:val="en-GB"/>
        </w:rPr>
        <w:t xml:space="preserve"> (</w:t>
      </w:r>
      <w:r w:rsidR="00CD68F4" w:rsidRPr="00302B72">
        <w:rPr>
          <w:sz w:val="22"/>
          <w:szCs w:val="22"/>
          <w:lang w:val="en-GB"/>
        </w:rPr>
        <w:t xml:space="preserve">James, </w:t>
      </w:r>
      <w:proofErr w:type="spellStart"/>
      <w:r w:rsidR="00CD68F4" w:rsidRPr="00302B72">
        <w:rPr>
          <w:sz w:val="22"/>
          <w:szCs w:val="22"/>
          <w:lang w:val="en-GB"/>
        </w:rPr>
        <w:t>Leiblein</w:t>
      </w:r>
      <w:proofErr w:type="spellEnd"/>
      <w:r w:rsidR="00CD68F4" w:rsidRPr="00302B72">
        <w:rPr>
          <w:sz w:val="22"/>
          <w:szCs w:val="22"/>
          <w:lang w:val="en-GB"/>
        </w:rPr>
        <w:t>, &amp; Lu, 2013</w:t>
      </w:r>
      <w:r w:rsidR="00FA608D" w:rsidRPr="00302B72">
        <w:rPr>
          <w:sz w:val="22"/>
          <w:szCs w:val="22"/>
          <w:lang w:val="en-GB"/>
        </w:rPr>
        <w:t xml:space="preserve">), </w:t>
      </w:r>
      <w:r w:rsidR="00CD68F4" w:rsidRPr="00302B72">
        <w:rPr>
          <w:sz w:val="22"/>
          <w:szCs w:val="22"/>
          <w:lang w:val="en-GB"/>
        </w:rPr>
        <w:t>or</w:t>
      </w:r>
      <w:r w:rsidR="00FA608D" w:rsidRPr="00302B72">
        <w:rPr>
          <w:sz w:val="22"/>
          <w:szCs w:val="22"/>
          <w:lang w:val="en-GB"/>
        </w:rPr>
        <w:t xml:space="preserve"> </w:t>
      </w:r>
      <w:r w:rsidR="0031772A" w:rsidRPr="00302B72">
        <w:rPr>
          <w:sz w:val="22"/>
          <w:szCs w:val="22"/>
          <w:lang w:val="en-GB"/>
        </w:rPr>
        <w:t>the</w:t>
      </w:r>
      <w:r w:rsidR="00FA608D" w:rsidRPr="00302B72">
        <w:rPr>
          <w:sz w:val="22"/>
          <w:szCs w:val="22"/>
          <w:lang w:val="en-GB"/>
        </w:rPr>
        <w:t xml:space="preserve"> complexity</w:t>
      </w:r>
      <w:r w:rsidR="0031772A" w:rsidRPr="00302B72">
        <w:rPr>
          <w:sz w:val="22"/>
          <w:szCs w:val="22"/>
          <w:lang w:val="en-GB"/>
        </w:rPr>
        <w:t xml:space="preserve"> of knowledge residing inside the firm</w:t>
      </w:r>
      <w:r w:rsidR="00FA608D" w:rsidRPr="00302B72">
        <w:rPr>
          <w:sz w:val="22"/>
          <w:szCs w:val="22"/>
          <w:lang w:val="en-GB"/>
        </w:rPr>
        <w:t xml:space="preserve"> (</w:t>
      </w:r>
      <w:proofErr w:type="spellStart"/>
      <w:r w:rsidR="00FA608D" w:rsidRPr="00302B72">
        <w:rPr>
          <w:sz w:val="22"/>
          <w:szCs w:val="22"/>
          <w:lang w:val="en-GB"/>
        </w:rPr>
        <w:t>Liebeskind</w:t>
      </w:r>
      <w:proofErr w:type="spellEnd"/>
      <w:r w:rsidR="00FA608D" w:rsidRPr="00302B72">
        <w:rPr>
          <w:sz w:val="22"/>
          <w:szCs w:val="22"/>
          <w:lang w:val="en-GB"/>
        </w:rPr>
        <w:t>, 1997)</w:t>
      </w:r>
      <w:r w:rsidR="00CD68F4" w:rsidRPr="00302B72">
        <w:rPr>
          <w:sz w:val="22"/>
          <w:szCs w:val="22"/>
          <w:lang w:val="en-GB"/>
        </w:rPr>
        <w:t>.</w:t>
      </w:r>
      <w:r w:rsidR="00EC04E5" w:rsidRPr="00302B72">
        <w:rPr>
          <w:sz w:val="22"/>
          <w:szCs w:val="22"/>
          <w:lang w:val="en-GB"/>
        </w:rPr>
        <w:t xml:space="preserve"> A recent study by </w:t>
      </w:r>
      <w:proofErr w:type="spellStart"/>
      <w:r w:rsidR="00EC04E5" w:rsidRPr="00302B72">
        <w:rPr>
          <w:sz w:val="22"/>
          <w:szCs w:val="22"/>
          <w:lang w:val="en-GB"/>
        </w:rPr>
        <w:t>Neuhaeusler</w:t>
      </w:r>
      <w:proofErr w:type="spellEnd"/>
      <w:r w:rsidR="00EC04E5" w:rsidRPr="00302B72">
        <w:rPr>
          <w:sz w:val="22"/>
          <w:szCs w:val="22"/>
          <w:lang w:val="en-GB"/>
        </w:rPr>
        <w:t xml:space="preserve"> (2012)</w:t>
      </w:r>
      <w:r w:rsidR="00CD68F4" w:rsidRPr="00302B72">
        <w:rPr>
          <w:sz w:val="22"/>
          <w:szCs w:val="22"/>
          <w:lang w:val="en-GB"/>
        </w:rPr>
        <w:t xml:space="preserve"> </w:t>
      </w:r>
      <w:r w:rsidR="00EC04E5" w:rsidRPr="00302B72">
        <w:rPr>
          <w:sz w:val="22"/>
          <w:szCs w:val="22"/>
          <w:lang w:val="en-GB"/>
        </w:rPr>
        <w:t>investigates to what extent firm characteristics, such as size and industry affiliation influence the preference for formal and informal appropriation mechanisms.</w:t>
      </w:r>
      <w:r w:rsidR="00AA68FF" w:rsidRPr="00302B72">
        <w:rPr>
          <w:sz w:val="22"/>
          <w:szCs w:val="22"/>
          <w:lang w:val="en-GB"/>
        </w:rPr>
        <w:t xml:space="preserve"> </w:t>
      </w:r>
      <w:r w:rsidR="002B7133" w:rsidRPr="00302B72">
        <w:rPr>
          <w:sz w:val="22"/>
          <w:szCs w:val="22"/>
          <w:lang w:val="en-GB"/>
        </w:rPr>
        <w:t>Despite this evidence</w:t>
      </w:r>
      <w:r w:rsidR="00067B82" w:rsidRPr="00302B72">
        <w:rPr>
          <w:sz w:val="22"/>
          <w:szCs w:val="22"/>
          <w:lang w:val="en-GB"/>
        </w:rPr>
        <w:t xml:space="preserve">, less is known about how firms’ innovation activities are associated with the implementation of formal as well as </w:t>
      </w:r>
      <w:r w:rsidR="00067B82" w:rsidRPr="00302B72">
        <w:rPr>
          <w:sz w:val="22"/>
          <w:szCs w:val="22"/>
          <w:lang w:val="en-GB"/>
        </w:rPr>
        <w:lastRenderedPageBreak/>
        <w:t>informal appropriation mechanisms.</w:t>
      </w:r>
      <w:r w:rsidR="00075A8A" w:rsidRPr="00302B72">
        <w:rPr>
          <w:sz w:val="22"/>
          <w:szCs w:val="22"/>
          <w:lang w:val="en-GB"/>
        </w:rPr>
        <w:t xml:space="preserve"> This is surprising, since appropriation mechanisms are relevant tools for translating innovation activities into sources of competitive advantage (</w:t>
      </w:r>
      <w:proofErr w:type="spellStart"/>
      <w:r w:rsidR="00075A8A" w:rsidRPr="00302B72">
        <w:rPr>
          <w:sz w:val="22"/>
          <w:szCs w:val="22"/>
          <w:lang w:val="en-GB"/>
        </w:rPr>
        <w:t>Milesi</w:t>
      </w:r>
      <w:proofErr w:type="spellEnd"/>
      <w:r w:rsidR="00075A8A" w:rsidRPr="00302B72">
        <w:rPr>
          <w:sz w:val="22"/>
          <w:szCs w:val="22"/>
          <w:lang w:val="en-GB"/>
        </w:rPr>
        <w:t xml:space="preserve">, </w:t>
      </w:r>
      <w:proofErr w:type="spellStart"/>
      <w:r w:rsidR="00075A8A" w:rsidRPr="00302B72">
        <w:rPr>
          <w:sz w:val="22"/>
          <w:szCs w:val="22"/>
          <w:lang w:val="en-GB"/>
        </w:rPr>
        <w:t>Petelski</w:t>
      </w:r>
      <w:proofErr w:type="spellEnd"/>
      <w:r w:rsidR="00075A8A" w:rsidRPr="00302B72">
        <w:rPr>
          <w:sz w:val="22"/>
          <w:szCs w:val="22"/>
          <w:lang w:val="en-GB"/>
        </w:rPr>
        <w:t xml:space="preserve">, &amp; </w:t>
      </w:r>
      <w:proofErr w:type="spellStart"/>
      <w:r w:rsidR="00075A8A" w:rsidRPr="00302B72">
        <w:rPr>
          <w:sz w:val="22"/>
          <w:szCs w:val="22"/>
          <w:lang w:val="en-GB"/>
        </w:rPr>
        <w:t>Verre</w:t>
      </w:r>
      <w:proofErr w:type="spellEnd"/>
      <w:r w:rsidR="00075A8A" w:rsidRPr="00302B72">
        <w:rPr>
          <w:sz w:val="22"/>
          <w:szCs w:val="22"/>
          <w:lang w:val="en-GB"/>
        </w:rPr>
        <w:t>, 2013) and are, therefore, likely</w:t>
      </w:r>
      <w:r w:rsidR="00A64A0E" w:rsidRPr="00302B72">
        <w:rPr>
          <w:sz w:val="22"/>
          <w:szCs w:val="22"/>
          <w:lang w:val="en-GB"/>
        </w:rPr>
        <w:t xml:space="preserve"> to be</w:t>
      </w:r>
      <w:r w:rsidR="00075A8A" w:rsidRPr="00302B72">
        <w:rPr>
          <w:sz w:val="22"/>
          <w:szCs w:val="22"/>
          <w:lang w:val="en-GB"/>
        </w:rPr>
        <w:t xml:space="preserve"> influenced by characteristics of the innovation process. </w:t>
      </w:r>
    </w:p>
    <w:p w14:paraId="77ED1362" w14:textId="6D4715F9" w:rsidR="00171AFD" w:rsidRPr="00302B72" w:rsidRDefault="00302B72" w:rsidP="00302B72">
      <w:pPr>
        <w:pStyle w:val="FootnoteText"/>
        <w:spacing w:line="480" w:lineRule="auto"/>
        <w:rPr>
          <w:sz w:val="22"/>
          <w:szCs w:val="22"/>
        </w:rPr>
      </w:pPr>
      <w:r w:rsidRPr="00302B72">
        <w:rPr>
          <w:sz w:val="22"/>
          <w:szCs w:val="22"/>
          <w:lang w:val="en-GB"/>
        </w:rPr>
        <w:tab/>
      </w:r>
      <w:r w:rsidR="00966D9F" w:rsidRPr="00302B72">
        <w:rPr>
          <w:sz w:val="22"/>
          <w:szCs w:val="22"/>
          <w:lang w:val="en-GB"/>
        </w:rPr>
        <w:t xml:space="preserve">This paper addresses this gap by investigating </w:t>
      </w:r>
      <w:r w:rsidR="00D8413D" w:rsidRPr="00302B72">
        <w:rPr>
          <w:sz w:val="22"/>
          <w:szCs w:val="22"/>
          <w:lang w:val="en-GB"/>
        </w:rPr>
        <w:t>how</w:t>
      </w:r>
      <w:r w:rsidR="00966D9F" w:rsidRPr="00302B72">
        <w:rPr>
          <w:sz w:val="22"/>
          <w:szCs w:val="22"/>
          <w:lang w:val="en-GB"/>
        </w:rPr>
        <w:t xml:space="preserve"> </w:t>
      </w:r>
      <w:r w:rsidR="00067B82" w:rsidRPr="00302B72">
        <w:rPr>
          <w:sz w:val="22"/>
          <w:szCs w:val="22"/>
          <w:lang w:val="en-GB"/>
        </w:rPr>
        <w:t>the degree</w:t>
      </w:r>
      <w:r w:rsidR="00502C58" w:rsidRPr="00302B72">
        <w:rPr>
          <w:sz w:val="22"/>
          <w:szCs w:val="22"/>
          <w:lang w:val="en-GB"/>
        </w:rPr>
        <w:t>s</w:t>
      </w:r>
      <w:r w:rsidR="00067B82" w:rsidRPr="00302B72">
        <w:rPr>
          <w:sz w:val="22"/>
          <w:szCs w:val="22"/>
          <w:lang w:val="en-GB"/>
        </w:rPr>
        <w:t xml:space="preserve"> of openness and newness of </w:t>
      </w:r>
      <w:r w:rsidR="00966D9F" w:rsidRPr="00302B72">
        <w:rPr>
          <w:sz w:val="22"/>
          <w:szCs w:val="22"/>
          <w:lang w:val="en-GB"/>
        </w:rPr>
        <w:t xml:space="preserve">firms’ innovation </w:t>
      </w:r>
      <w:r w:rsidR="00067B82" w:rsidRPr="00302B72">
        <w:rPr>
          <w:sz w:val="22"/>
          <w:szCs w:val="22"/>
          <w:lang w:val="en-GB"/>
        </w:rPr>
        <w:t>activities</w:t>
      </w:r>
      <w:r w:rsidR="00632F66" w:rsidRPr="00302B72">
        <w:rPr>
          <w:sz w:val="22"/>
          <w:szCs w:val="22"/>
          <w:lang w:val="en-GB"/>
        </w:rPr>
        <w:t xml:space="preserve"> </w:t>
      </w:r>
      <w:r w:rsidR="00B638E0" w:rsidRPr="00302B72">
        <w:rPr>
          <w:sz w:val="22"/>
          <w:szCs w:val="22"/>
          <w:lang w:val="en-GB"/>
        </w:rPr>
        <w:t>influence</w:t>
      </w:r>
      <w:r w:rsidR="00C259D9" w:rsidRPr="00302B72">
        <w:rPr>
          <w:sz w:val="22"/>
          <w:szCs w:val="22"/>
          <w:lang w:val="en-GB"/>
        </w:rPr>
        <w:t xml:space="preserve"> </w:t>
      </w:r>
      <w:r w:rsidR="00A64A0E" w:rsidRPr="00302B72">
        <w:rPr>
          <w:sz w:val="22"/>
          <w:szCs w:val="22"/>
          <w:lang w:val="en-GB"/>
        </w:rPr>
        <w:t>firms’ use of both</w:t>
      </w:r>
      <w:r w:rsidR="00966D9F" w:rsidRPr="00302B72">
        <w:rPr>
          <w:sz w:val="22"/>
          <w:szCs w:val="22"/>
          <w:lang w:val="en-GB"/>
        </w:rPr>
        <w:t xml:space="preserve"> formal and informal appropriation mechanisms. </w:t>
      </w:r>
      <w:proofErr w:type="spellStart"/>
      <w:r w:rsidR="00171AFD" w:rsidRPr="00302B72">
        <w:rPr>
          <w:rFonts w:eastAsiaTheme="minorHAnsi"/>
          <w:sz w:val="22"/>
          <w:szCs w:val="22"/>
          <w:lang w:val="en-GB"/>
        </w:rPr>
        <w:t>Appropriability</w:t>
      </w:r>
      <w:proofErr w:type="spellEnd"/>
      <w:r w:rsidR="00171AFD" w:rsidRPr="00302B72">
        <w:rPr>
          <w:rFonts w:eastAsiaTheme="minorHAnsi"/>
          <w:sz w:val="22"/>
          <w:szCs w:val="22"/>
          <w:lang w:val="en-GB"/>
        </w:rPr>
        <w:t xml:space="preserve"> conditions are no longer to be considered as primarily exogenously given and as such firms can influence the characteristics of their </w:t>
      </w:r>
      <w:proofErr w:type="spellStart"/>
      <w:r w:rsidR="00171AFD" w:rsidRPr="00302B72">
        <w:rPr>
          <w:rFonts w:eastAsiaTheme="minorHAnsi"/>
          <w:sz w:val="22"/>
          <w:szCs w:val="22"/>
          <w:lang w:val="en-GB"/>
        </w:rPr>
        <w:t>appropriability</w:t>
      </w:r>
      <w:proofErr w:type="spellEnd"/>
      <w:r w:rsidR="00171AFD" w:rsidRPr="00302B72">
        <w:rPr>
          <w:rFonts w:eastAsiaTheme="minorHAnsi"/>
          <w:sz w:val="22"/>
          <w:szCs w:val="22"/>
          <w:lang w:val="en-GB"/>
        </w:rPr>
        <w:t xml:space="preserve"> context by means of specific strategies and </w:t>
      </w:r>
      <w:r w:rsidR="00A52BF2" w:rsidRPr="00302B72">
        <w:rPr>
          <w:rFonts w:eastAsiaTheme="minorHAnsi"/>
          <w:sz w:val="22"/>
          <w:szCs w:val="22"/>
          <w:lang w:val="en-GB"/>
        </w:rPr>
        <w:t>behaviours</w:t>
      </w:r>
      <w:r w:rsidR="00171AFD" w:rsidRPr="00302B72">
        <w:rPr>
          <w:rFonts w:eastAsiaTheme="minorHAnsi"/>
          <w:sz w:val="22"/>
          <w:szCs w:val="22"/>
          <w:lang w:val="en-GB"/>
        </w:rPr>
        <w:t xml:space="preserve"> (Pisano, 2006; </w:t>
      </w:r>
      <w:r w:rsidR="00C31E7F" w:rsidRPr="00302B72">
        <w:rPr>
          <w:rFonts w:eastAsiaTheme="minorHAnsi"/>
          <w:sz w:val="22"/>
          <w:szCs w:val="22"/>
          <w:lang w:val="en-GB"/>
        </w:rPr>
        <w:t xml:space="preserve">Pisano &amp; </w:t>
      </w:r>
      <w:proofErr w:type="spellStart"/>
      <w:r w:rsidR="00C31E7F" w:rsidRPr="00302B72">
        <w:rPr>
          <w:rFonts w:eastAsiaTheme="minorHAnsi"/>
          <w:sz w:val="22"/>
          <w:szCs w:val="22"/>
          <w:lang w:val="en-GB"/>
        </w:rPr>
        <w:t>Teece</w:t>
      </w:r>
      <w:proofErr w:type="spellEnd"/>
      <w:r w:rsidR="00C31E7F" w:rsidRPr="00302B72">
        <w:rPr>
          <w:rFonts w:eastAsiaTheme="minorHAnsi"/>
          <w:sz w:val="22"/>
          <w:szCs w:val="22"/>
          <w:lang w:val="en-GB"/>
        </w:rPr>
        <w:t xml:space="preserve">, 2007; </w:t>
      </w:r>
      <w:proofErr w:type="spellStart"/>
      <w:r w:rsidR="00C31E7F" w:rsidRPr="00302B72">
        <w:rPr>
          <w:rFonts w:eastAsiaTheme="minorHAnsi"/>
          <w:sz w:val="22"/>
          <w:szCs w:val="22"/>
          <w:lang w:val="en-GB"/>
        </w:rPr>
        <w:t>Hurmelinna-Laukkanen</w:t>
      </w:r>
      <w:proofErr w:type="spellEnd"/>
      <w:r w:rsidR="00C31E7F" w:rsidRPr="00302B72">
        <w:rPr>
          <w:rFonts w:eastAsiaTheme="minorHAnsi"/>
          <w:sz w:val="22"/>
          <w:szCs w:val="22"/>
          <w:lang w:val="en-GB"/>
        </w:rPr>
        <w:t>, 2011</w:t>
      </w:r>
      <w:r w:rsidR="0091105A" w:rsidRPr="00302B72">
        <w:rPr>
          <w:rFonts w:eastAsiaTheme="minorHAnsi"/>
          <w:sz w:val="22"/>
          <w:szCs w:val="22"/>
          <w:lang w:val="en-GB"/>
        </w:rPr>
        <w:t xml:space="preserve">; </w:t>
      </w:r>
      <w:proofErr w:type="spellStart"/>
      <w:r w:rsidR="0091105A" w:rsidRPr="00302B72">
        <w:rPr>
          <w:rFonts w:eastAsiaTheme="minorHAnsi"/>
          <w:sz w:val="22"/>
          <w:szCs w:val="22"/>
          <w:lang w:val="en-GB"/>
        </w:rPr>
        <w:t>Neuhaeusler</w:t>
      </w:r>
      <w:proofErr w:type="spellEnd"/>
      <w:r w:rsidR="0091105A" w:rsidRPr="00302B72">
        <w:rPr>
          <w:rFonts w:eastAsiaTheme="minorHAnsi"/>
          <w:sz w:val="22"/>
          <w:szCs w:val="22"/>
          <w:lang w:val="en-GB"/>
        </w:rPr>
        <w:t>, 2012</w:t>
      </w:r>
      <w:r w:rsidR="00361E18" w:rsidRPr="00302B72">
        <w:rPr>
          <w:rFonts w:eastAsiaTheme="minorHAnsi"/>
          <w:sz w:val="22"/>
          <w:szCs w:val="22"/>
          <w:lang w:val="en-GB"/>
        </w:rPr>
        <w:t xml:space="preserve">; </w:t>
      </w:r>
      <w:proofErr w:type="spellStart"/>
      <w:r w:rsidR="00361E18" w:rsidRPr="00302B72">
        <w:rPr>
          <w:rFonts w:eastAsiaTheme="minorHAnsi"/>
          <w:sz w:val="22"/>
          <w:szCs w:val="22"/>
          <w:lang w:val="en-GB"/>
        </w:rPr>
        <w:t>Milesi</w:t>
      </w:r>
      <w:proofErr w:type="spellEnd"/>
      <w:r w:rsidR="00361E18" w:rsidRPr="00302B72">
        <w:rPr>
          <w:rFonts w:eastAsiaTheme="minorHAnsi"/>
          <w:sz w:val="22"/>
          <w:szCs w:val="22"/>
          <w:lang w:val="en-GB"/>
        </w:rPr>
        <w:t xml:space="preserve">, </w:t>
      </w:r>
      <w:proofErr w:type="spellStart"/>
      <w:r w:rsidR="00361E18" w:rsidRPr="00302B72">
        <w:rPr>
          <w:rFonts w:eastAsiaTheme="minorHAnsi"/>
          <w:sz w:val="22"/>
          <w:szCs w:val="22"/>
          <w:lang w:val="en-GB"/>
        </w:rPr>
        <w:t>Petelski</w:t>
      </w:r>
      <w:proofErr w:type="spellEnd"/>
      <w:r w:rsidR="00361E18" w:rsidRPr="00302B72">
        <w:rPr>
          <w:rFonts w:eastAsiaTheme="minorHAnsi"/>
          <w:sz w:val="22"/>
          <w:szCs w:val="22"/>
          <w:lang w:val="en-GB"/>
        </w:rPr>
        <w:t xml:space="preserve">, &amp; </w:t>
      </w:r>
      <w:proofErr w:type="spellStart"/>
      <w:r w:rsidR="00361E18" w:rsidRPr="00302B72">
        <w:rPr>
          <w:rFonts w:eastAsiaTheme="minorHAnsi"/>
          <w:sz w:val="22"/>
          <w:szCs w:val="22"/>
          <w:lang w:val="en-GB"/>
        </w:rPr>
        <w:t>Verre</w:t>
      </w:r>
      <w:proofErr w:type="spellEnd"/>
      <w:r w:rsidR="00361E18" w:rsidRPr="00302B72">
        <w:rPr>
          <w:rFonts w:eastAsiaTheme="minorHAnsi"/>
          <w:sz w:val="22"/>
          <w:szCs w:val="22"/>
          <w:lang w:val="en-GB"/>
        </w:rPr>
        <w:t>, 2013</w:t>
      </w:r>
      <w:r w:rsidR="00C31E7F" w:rsidRPr="00302B72">
        <w:rPr>
          <w:rFonts w:eastAsiaTheme="minorHAnsi"/>
          <w:sz w:val="22"/>
          <w:szCs w:val="22"/>
          <w:lang w:val="en-GB"/>
        </w:rPr>
        <w:t xml:space="preserve">). </w:t>
      </w:r>
      <w:r w:rsidR="006B7DE0" w:rsidRPr="00302B72">
        <w:rPr>
          <w:rFonts w:eastAsiaTheme="minorHAnsi"/>
          <w:sz w:val="22"/>
          <w:szCs w:val="22"/>
          <w:lang w:val="en-GB"/>
        </w:rPr>
        <w:t>Innovative activities of firms</w:t>
      </w:r>
      <w:r w:rsidR="0000711D" w:rsidRPr="00302B72">
        <w:rPr>
          <w:rFonts w:eastAsiaTheme="minorHAnsi"/>
          <w:sz w:val="22"/>
          <w:szCs w:val="22"/>
          <w:lang w:val="en-GB"/>
        </w:rPr>
        <w:t xml:space="preserve"> involve</w:t>
      </w:r>
      <w:r w:rsidR="002D07E5" w:rsidRPr="00302B72">
        <w:rPr>
          <w:rFonts w:eastAsiaTheme="minorHAnsi"/>
          <w:sz w:val="22"/>
          <w:szCs w:val="22"/>
          <w:lang w:val="en-GB"/>
        </w:rPr>
        <w:t xml:space="preserve"> resource</w:t>
      </w:r>
      <w:r w:rsidR="00005B15" w:rsidRPr="00302B72">
        <w:rPr>
          <w:rFonts w:eastAsiaTheme="minorHAnsi"/>
          <w:sz w:val="22"/>
          <w:szCs w:val="22"/>
          <w:lang w:val="en-GB"/>
        </w:rPr>
        <w:t>-</w:t>
      </w:r>
      <w:r w:rsidR="002D07E5" w:rsidRPr="00302B72">
        <w:rPr>
          <w:rFonts w:eastAsiaTheme="minorHAnsi"/>
          <w:sz w:val="22"/>
          <w:szCs w:val="22"/>
          <w:lang w:val="en-GB"/>
        </w:rPr>
        <w:t xml:space="preserve">intensive </w:t>
      </w:r>
      <w:r w:rsidR="00455E9F" w:rsidRPr="00302B72">
        <w:rPr>
          <w:rFonts w:eastAsiaTheme="minorHAnsi"/>
          <w:sz w:val="22"/>
          <w:szCs w:val="22"/>
          <w:lang w:val="en-GB"/>
        </w:rPr>
        <w:t>processes to create new knowledge and to find</w:t>
      </w:r>
      <w:r w:rsidR="002D07E5" w:rsidRPr="00302B72">
        <w:rPr>
          <w:rFonts w:eastAsiaTheme="minorHAnsi"/>
          <w:sz w:val="22"/>
          <w:szCs w:val="22"/>
          <w:lang w:val="en-GB"/>
        </w:rPr>
        <w:t xml:space="preserve"> commercially </w:t>
      </w:r>
      <w:r w:rsidR="005C3C6E" w:rsidRPr="00302B72">
        <w:rPr>
          <w:rFonts w:eastAsiaTheme="minorHAnsi"/>
          <w:sz w:val="22"/>
          <w:szCs w:val="22"/>
          <w:lang w:val="en-GB"/>
        </w:rPr>
        <w:t>viable</w:t>
      </w:r>
      <w:r w:rsidR="002D07E5" w:rsidRPr="00302B72">
        <w:rPr>
          <w:rFonts w:eastAsiaTheme="minorHAnsi"/>
          <w:sz w:val="22"/>
          <w:szCs w:val="22"/>
          <w:lang w:val="en-GB"/>
        </w:rPr>
        <w:t xml:space="preserve"> combinations of knowledge or technology.</w:t>
      </w:r>
      <w:r w:rsidR="002D637E" w:rsidRPr="00302B72">
        <w:rPr>
          <w:rFonts w:eastAsiaTheme="minorHAnsi"/>
          <w:sz w:val="22"/>
          <w:szCs w:val="22"/>
          <w:lang w:val="en-GB"/>
        </w:rPr>
        <w:t xml:space="preserve"> As new knowledge is created and combined, issues of protecting these innovative activities via appropriation mechanisms become particularly pertinent</w:t>
      </w:r>
      <w:r w:rsidR="00067B82" w:rsidRPr="00302B72">
        <w:rPr>
          <w:rFonts w:eastAsiaTheme="minorHAnsi"/>
          <w:sz w:val="22"/>
          <w:szCs w:val="22"/>
          <w:lang w:val="en-GB"/>
        </w:rPr>
        <w:t>.</w:t>
      </w:r>
      <w:r w:rsidR="002D07E5" w:rsidRPr="00302B72">
        <w:rPr>
          <w:rFonts w:eastAsiaTheme="minorHAnsi"/>
          <w:sz w:val="22"/>
          <w:szCs w:val="22"/>
          <w:lang w:val="en-GB"/>
        </w:rPr>
        <w:t xml:space="preserve"> </w:t>
      </w:r>
      <w:proofErr w:type="spellStart"/>
      <w:r w:rsidR="00361E18" w:rsidRPr="00302B72">
        <w:rPr>
          <w:rFonts w:eastAsiaTheme="minorHAnsi"/>
          <w:sz w:val="22"/>
          <w:szCs w:val="22"/>
          <w:lang w:val="en-GB"/>
        </w:rPr>
        <w:t>Milesi</w:t>
      </w:r>
      <w:proofErr w:type="spellEnd"/>
      <w:r w:rsidR="00361E18" w:rsidRPr="00302B72">
        <w:rPr>
          <w:rFonts w:eastAsiaTheme="minorHAnsi"/>
          <w:sz w:val="22"/>
          <w:szCs w:val="22"/>
          <w:lang w:val="en-GB"/>
        </w:rPr>
        <w:t xml:space="preserve">, </w:t>
      </w:r>
      <w:proofErr w:type="spellStart"/>
      <w:r w:rsidR="00361E18" w:rsidRPr="00302B72">
        <w:rPr>
          <w:rFonts w:eastAsiaTheme="minorHAnsi"/>
          <w:sz w:val="22"/>
          <w:szCs w:val="22"/>
          <w:lang w:val="en-GB"/>
        </w:rPr>
        <w:t>Petelski</w:t>
      </w:r>
      <w:proofErr w:type="spellEnd"/>
      <w:r w:rsidR="00361E18" w:rsidRPr="00302B72">
        <w:rPr>
          <w:rFonts w:eastAsiaTheme="minorHAnsi"/>
          <w:sz w:val="22"/>
          <w:szCs w:val="22"/>
          <w:lang w:val="en-GB"/>
        </w:rPr>
        <w:t xml:space="preserve"> and </w:t>
      </w:r>
      <w:proofErr w:type="spellStart"/>
      <w:r w:rsidR="00361E18" w:rsidRPr="00302B72">
        <w:rPr>
          <w:rFonts w:eastAsiaTheme="minorHAnsi"/>
          <w:sz w:val="22"/>
          <w:szCs w:val="22"/>
          <w:lang w:val="en-GB"/>
        </w:rPr>
        <w:t>Verre</w:t>
      </w:r>
      <w:proofErr w:type="spellEnd"/>
      <w:r w:rsidR="00361E18" w:rsidRPr="00302B72">
        <w:rPr>
          <w:rFonts w:eastAsiaTheme="minorHAnsi"/>
          <w:sz w:val="22"/>
          <w:szCs w:val="22"/>
          <w:lang w:val="en-GB"/>
        </w:rPr>
        <w:t xml:space="preserve"> (2013) </w:t>
      </w:r>
      <w:r w:rsidR="006E76C0" w:rsidRPr="00302B72">
        <w:rPr>
          <w:rFonts w:eastAsiaTheme="minorHAnsi"/>
          <w:sz w:val="22"/>
          <w:szCs w:val="22"/>
          <w:lang w:val="en-GB"/>
        </w:rPr>
        <w:t xml:space="preserve">already suggested </w:t>
      </w:r>
      <w:r w:rsidR="000E6790" w:rsidRPr="00302B72">
        <w:rPr>
          <w:rFonts w:eastAsiaTheme="minorHAnsi"/>
          <w:sz w:val="22"/>
          <w:szCs w:val="22"/>
          <w:lang w:val="en-GB"/>
        </w:rPr>
        <w:t xml:space="preserve">that </w:t>
      </w:r>
      <w:r w:rsidR="00361E18" w:rsidRPr="00302B72">
        <w:rPr>
          <w:rFonts w:eastAsiaTheme="minorHAnsi"/>
          <w:sz w:val="22"/>
          <w:szCs w:val="22"/>
          <w:lang w:val="en-GB"/>
        </w:rPr>
        <w:t>characteristics of the innovation process</w:t>
      </w:r>
      <w:r w:rsidR="00632F66" w:rsidRPr="00302B72">
        <w:rPr>
          <w:rFonts w:eastAsiaTheme="minorHAnsi"/>
          <w:sz w:val="22"/>
          <w:szCs w:val="22"/>
          <w:lang w:val="en-GB"/>
        </w:rPr>
        <w:t xml:space="preserve"> </w:t>
      </w:r>
      <w:r w:rsidR="000E6790" w:rsidRPr="00302B72">
        <w:rPr>
          <w:rFonts w:eastAsiaTheme="minorHAnsi"/>
          <w:sz w:val="22"/>
          <w:szCs w:val="22"/>
          <w:lang w:val="en-GB"/>
        </w:rPr>
        <w:t>influence</w:t>
      </w:r>
      <w:r w:rsidR="00361E18" w:rsidRPr="00302B72">
        <w:rPr>
          <w:rFonts w:eastAsiaTheme="minorHAnsi"/>
          <w:sz w:val="22"/>
          <w:szCs w:val="22"/>
          <w:lang w:val="en-GB"/>
        </w:rPr>
        <w:t xml:space="preserve"> firms’ choices as to how to appropriate innovation profits.</w:t>
      </w:r>
      <w:r w:rsidR="00075A8A" w:rsidRPr="00302B72">
        <w:rPr>
          <w:rFonts w:eastAsiaTheme="minorHAnsi"/>
          <w:sz w:val="22"/>
          <w:szCs w:val="22"/>
          <w:lang w:val="en-GB"/>
        </w:rPr>
        <w:t xml:space="preserve"> They argue that </w:t>
      </w:r>
      <w:r w:rsidR="00D23BAF" w:rsidRPr="00302B72">
        <w:rPr>
          <w:rFonts w:eastAsiaTheme="minorHAnsi"/>
          <w:sz w:val="22"/>
          <w:szCs w:val="22"/>
          <w:lang w:val="en-GB"/>
        </w:rPr>
        <w:t>since</w:t>
      </w:r>
      <w:r w:rsidR="00075A8A" w:rsidRPr="00302B72">
        <w:rPr>
          <w:rFonts w:eastAsiaTheme="minorHAnsi"/>
          <w:sz w:val="22"/>
          <w:szCs w:val="22"/>
          <w:lang w:val="en-GB"/>
        </w:rPr>
        <w:t xml:space="preserve"> the innovation process is unpredictable, the implementation of appropriation strategies is an ex-post decision or, in the best case, arises at the same time as the innovation process.</w:t>
      </w:r>
      <w:r w:rsidR="00361E18" w:rsidRPr="00302B72">
        <w:rPr>
          <w:rFonts w:eastAsiaTheme="minorHAnsi"/>
          <w:sz w:val="22"/>
          <w:szCs w:val="22"/>
          <w:lang w:val="en-GB"/>
        </w:rPr>
        <w:t xml:space="preserve"> </w:t>
      </w:r>
      <w:r w:rsidR="00061714" w:rsidRPr="00302B72">
        <w:rPr>
          <w:rFonts w:eastAsiaTheme="minorHAnsi"/>
          <w:sz w:val="22"/>
          <w:szCs w:val="22"/>
          <w:lang w:val="en-GB"/>
        </w:rPr>
        <w:t xml:space="preserve">This study </w:t>
      </w:r>
      <w:r w:rsidR="00361E18" w:rsidRPr="00302B72">
        <w:rPr>
          <w:rFonts w:eastAsiaTheme="minorHAnsi"/>
          <w:sz w:val="22"/>
          <w:szCs w:val="22"/>
          <w:lang w:val="en-GB"/>
        </w:rPr>
        <w:t>adds to this prior work by investigating how two s</w:t>
      </w:r>
      <w:r w:rsidR="00D244B0" w:rsidRPr="00302B72">
        <w:rPr>
          <w:rFonts w:eastAsiaTheme="minorHAnsi"/>
          <w:sz w:val="22"/>
          <w:szCs w:val="22"/>
          <w:lang w:val="en-GB"/>
        </w:rPr>
        <w:t>pecific</w:t>
      </w:r>
      <w:r w:rsidR="002D07E5" w:rsidRPr="00302B72">
        <w:rPr>
          <w:rFonts w:eastAsiaTheme="minorHAnsi"/>
          <w:sz w:val="22"/>
          <w:szCs w:val="22"/>
          <w:lang w:val="en-GB"/>
        </w:rPr>
        <w:t xml:space="preserve"> characteristic</w:t>
      </w:r>
      <w:r w:rsidR="00FE19E3" w:rsidRPr="00302B72">
        <w:rPr>
          <w:rFonts w:eastAsiaTheme="minorHAnsi"/>
          <w:sz w:val="22"/>
          <w:szCs w:val="22"/>
          <w:lang w:val="en-GB"/>
        </w:rPr>
        <w:t>s</w:t>
      </w:r>
      <w:r w:rsidR="002D07E5" w:rsidRPr="00302B72">
        <w:rPr>
          <w:rFonts w:eastAsiaTheme="minorHAnsi"/>
          <w:sz w:val="22"/>
          <w:szCs w:val="22"/>
          <w:lang w:val="en-GB"/>
        </w:rPr>
        <w:t xml:space="preserve"> of th</w:t>
      </w:r>
      <w:r w:rsidR="00361E18" w:rsidRPr="00302B72">
        <w:rPr>
          <w:rFonts w:eastAsiaTheme="minorHAnsi"/>
          <w:sz w:val="22"/>
          <w:szCs w:val="22"/>
          <w:lang w:val="en-GB"/>
        </w:rPr>
        <w:t>e</w:t>
      </w:r>
      <w:r w:rsidR="002D07E5" w:rsidRPr="00302B72">
        <w:rPr>
          <w:rFonts w:eastAsiaTheme="minorHAnsi"/>
          <w:sz w:val="22"/>
          <w:szCs w:val="22"/>
          <w:lang w:val="en-GB"/>
        </w:rPr>
        <w:t xml:space="preserve"> innovation process –the degree to which it is open and the degree to which it is radical versus incremental – </w:t>
      </w:r>
      <w:r w:rsidR="00B638E0" w:rsidRPr="00302B72">
        <w:rPr>
          <w:rFonts w:eastAsiaTheme="minorHAnsi"/>
          <w:sz w:val="22"/>
          <w:szCs w:val="22"/>
          <w:lang w:val="en-GB"/>
        </w:rPr>
        <w:t>influence</w:t>
      </w:r>
      <w:r w:rsidR="006E76C0" w:rsidRPr="00302B72">
        <w:rPr>
          <w:rFonts w:eastAsiaTheme="minorHAnsi"/>
          <w:sz w:val="22"/>
          <w:szCs w:val="22"/>
          <w:lang w:val="en-GB"/>
        </w:rPr>
        <w:t xml:space="preserve"> </w:t>
      </w:r>
      <w:r w:rsidR="00966BA5" w:rsidRPr="00302B72">
        <w:rPr>
          <w:rFonts w:eastAsiaTheme="minorHAnsi"/>
          <w:sz w:val="22"/>
          <w:szCs w:val="22"/>
          <w:lang w:val="en-GB"/>
        </w:rPr>
        <w:t xml:space="preserve">the implementation of </w:t>
      </w:r>
      <w:r w:rsidR="00FE19E3" w:rsidRPr="00302B72">
        <w:rPr>
          <w:rFonts w:eastAsiaTheme="minorHAnsi"/>
          <w:sz w:val="22"/>
          <w:szCs w:val="22"/>
          <w:lang w:val="en-GB"/>
        </w:rPr>
        <w:t xml:space="preserve">both </w:t>
      </w:r>
      <w:r w:rsidR="002D07E5" w:rsidRPr="00302B72">
        <w:rPr>
          <w:rFonts w:eastAsiaTheme="minorHAnsi"/>
          <w:sz w:val="22"/>
          <w:szCs w:val="22"/>
          <w:lang w:val="en-GB"/>
        </w:rPr>
        <w:t>formal and inf</w:t>
      </w:r>
      <w:r w:rsidR="00D244B0" w:rsidRPr="00302B72">
        <w:rPr>
          <w:rFonts w:eastAsiaTheme="minorHAnsi"/>
          <w:sz w:val="22"/>
          <w:szCs w:val="22"/>
          <w:lang w:val="en-GB"/>
        </w:rPr>
        <w:t xml:space="preserve">ormal appropriation mechanisms. </w:t>
      </w:r>
      <w:r w:rsidRPr="00302B72">
        <w:rPr>
          <w:sz w:val="22"/>
          <w:szCs w:val="22"/>
        </w:rPr>
        <w:t xml:space="preserve">As such this study follows prior research in suggesting that characteristics of the innovation process impact firms’ use of appropriation mechanisms. Since both independent and dependent variables are strategic choice variables that are not exogenous (see also </w:t>
      </w:r>
      <w:proofErr w:type="spellStart"/>
      <w:r w:rsidRPr="00302B72">
        <w:rPr>
          <w:sz w:val="22"/>
          <w:szCs w:val="22"/>
        </w:rPr>
        <w:t>Laursen</w:t>
      </w:r>
      <w:proofErr w:type="spellEnd"/>
      <w:r w:rsidRPr="00302B72">
        <w:rPr>
          <w:sz w:val="22"/>
          <w:szCs w:val="22"/>
        </w:rPr>
        <w:t xml:space="preserve"> and Salter, 2014) the research questions and hypotheses in this paper are formulated in terms of ‘associations’ rather than causal effects. </w:t>
      </w:r>
    </w:p>
    <w:p w14:paraId="318F4A7A" w14:textId="0BBB6179" w:rsidR="002D637E" w:rsidRPr="00302B72" w:rsidRDefault="00302B72" w:rsidP="00302B72">
      <w:pPr>
        <w:ind w:firstLine="720"/>
        <w:rPr>
          <w:sz w:val="22"/>
          <w:szCs w:val="22"/>
          <w:lang w:val="en-GB"/>
        </w:rPr>
      </w:pPr>
      <w:r>
        <w:rPr>
          <w:sz w:val="22"/>
          <w:szCs w:val="22"/>
          <w:lang w:val="en-GB"/>
        </w:rPr>
        <w:t>T</w:t>
      </w:r>
      <w:r w:rsidR="00502C58" w:rsidRPr="00302B72">
        <w:rPr>
          <w:sz w:val="22"/>
          <w:szCs w:val="22"/>
          <w:lang w:val="en-GB"/>
        </w:rPr>
        <w:t>he concept</w:t>
      </w:r>
      <w:r w:rsidR="002D637E" w:rsidRPr="00302B72">
        <w:rPr>
          <w:sz w:val="22"/>
          <w:szCs w:val="22"/>
          <w:lang w:val="en-GB"/>
        </w:rPr>
        <w:t xml:space="preserve"> of open innovation suggest</w:t>
      </w:r>
      <w:r w:rsidR="00456222" w:rsidRPr="00302B72">
        <w:rPr>
          <w:sz w:val="22"/>
          <w:szCs w:val="22"/>
          <w:lang w:val="en-GB"/>
        </w:rPr>
        <w:t>s</w:t>
      </w:r>
      <w:r w:rsidR="002D637E" w:rsidRPr="00302B72">
        <w:rPr>
          <w:sz w:val="22"/>
          <w:szCs w:val="22"/>
          <w:lang w:val="en-GB"/>
        </w:rPr>
        <w:t xml:space="preserve"> that firms make greater use of external knowledge and increasingly collaborate with a variety of external partners (</w:t>
      </w:r>
      <w:r w:rsidR="006B7DE0" w:rsidRPr="00302B72">
        <w:rPr>
          <w:sz w:val="22"/>
          <w:szCs w:val="22"/>
          <w:lang w:val="en-GB"/>
        </w:rPr>
        <w:t>Chesbrough, 2003</w:t>
      </w:r>
      <w:r w:rsidR="00514A32" w:rsidRPr="00302B72">
        <w:rPr>
          <w:sz w:val="22"/>
          <w:szCs w:val="22"/>
          <w:lang w:val="en-GB"/>
        </w:rPr>
        <w:t xml:space="preserve">; </w:t>
      </w:r>
      <w:proofErr w:type="spellStart"/>
      <w:r w:rsidR="00514A32" w:rsidRPr="00302B72">
        <w:rPr>
          <w:sz w:val="22"/>
          <w:szCs w:val="22"/>
          <w:lang w:val="en-GB"/>
        </w:rPr>
        <w:t>Mortara</w:t>
      </w:r>
      <w:proofErr w:type="spellEnd"/>
      <w:r w:rsidR="00514A32" w:rsidRPr="00302B72">
        <w:rPr>
          <w:sz w:val="22"/>
          <w:szCs w:val="22"/>
          <w:lang w:val="en-GB"/>
        </w:rPr>
        <w:t xml:space="preserve"> &amp; </w:t>
      </w:r>
      <w:proofErr w:type="spellStart"/>
      <w:r w:rsidR="00514A32" w:rsidRPr="00302B72">
        <w:rPr>
          <w:sz w:val="22"/>
          <w:szCs w:val="22"/>
          <w:lang w:val="en-GB"/>
        </w:rPr>
        <w:t>Minshall</w:t>
      </w:r>
      <w:proofErr w:type="spellEnd"/>
      <w:r w:rsidR="00514A32" w:rsidRPr="00302B72">
        <w:rPr>
          <w:sz w:val="22"/>
          <w:szCs w:val="22"/>
          <w:lang w:val="en-GB"/>
        </w:rPr>
        <w:t>, 2011</w:t>
      </w:r>
      <w:r w:rsidR="002D637E" w:rsidRPr="00302B72">
        <w:rPr>
          <w:sz w:val="22"/>
          <w:szCs w:val="22"/>
          <w:lang w:val="en-GB"/>
        </w:rPr>
        <w:t xml:space="preserve">). In particular, firms </w:t>
      </w:r>
      <w:r w:rsidR="00DD798E" w:rsidRPr="00302B72">
        <w:rPr>
          <w:sz w:val="22"/>
          <w:szCs w:val="22"/>
          <w:lang w:val="en-GB"/>
        </w:rPr>
        <w:t>search</w:t>
      </w:r>
      <w:r w:rsidR="002D637E" w:rsidRPr="00302B72">
        <w:rPr>
          <w:sz w:val="22"/>
          <w:szCs w:val="22"/>
          <w:lang w:val="en-GB"/>
        </w:rPr>
        <w:t xml:space="preserve"> more broadly and deeply </w:t>
      </w:r>
      <w:r w:rsidR="00DD798E" w:rsidRPr="00302B72">
        <w:rPr>
          <w:sz w:val="22"/>
          <w:szCs w:val="22"/>
          <w:lang w:val="en-GB"/>
        </w:rPr>
        <w:t>across</w:t>
      </w:r>
      <w:r w:rsidR="002D637E" w:rsidRPr="00302B72">
        <w:rPr>
          <w:sz w:val="22"/>
          <w:szCs w:val="22"/>
          <w:lang w:val="en-GB"/>
        </w:rPr>
        <w:t xml:space="preserve"> different types of </w:t>
      </w:r>
      <w:r w:rsidR="00DD798E" w:rsidRPr="00302B72">
        <w:rPr>
          <w:sz w:val="22"/>
          <w:szCs w:val="22"/>
          <w:lang w:val="en-GB"/>
        </w:rPr>
        <w:t xml:space="preserve">external </w:t>
      </w:r>
      <w:r w:rsidR="00736590" w:rsidRPr="00302B72">
        <w:rPr>
          <w:sz w:val="22"/>
          <w:szCs w:val="22"/>
          <w:lang w:val="en-GB"/>
        </w:rPr>
        <w:t>knowledge sources</w:t>
      </w:r>
      <w:r w:rsidR="002D637E" w:rsidRPr="00302B72">
        <w:rPr>
          <w:sz w:val="22"/>
          <w:szCs w:val="22"/>
          <w:lang w:val="en-GB"/>
        </w:rPr>
        <w:t xml:space="preserve"> (e.g. Laursen &amp; Salter, 2006; Chiang &amp; Hung, 2010; </w:t>
      </w:r>
      <w:proofErr w:type="spellStart"/>
      <w:r w:rsidR="002D637E" w:rsidRPr="00302B72">
        <w:rPr>
          <w:sz w:val="22"/>
          <w:szCs w:val="22"/>
          <w:lang w:val="en-GB"/>
        </w:rPr>
        <w:t>Drechsler</w:t>
      </w:r>
      <w:proofErr w:type="spellEnd"/>
      <w:r w:rsidR="002D637E" w:rsidRPr="00302B72">
        <w:rPr>
          <w:sz w:val="22"/>
          <w:szCs w:val="22"/>
          <w:lang w:val="en-GB"/>
        </w:rPr>
        <w:t xml:space="preserve"> &amp; Natter, 2010; </w:t>
      </w:r>
      <w:proofErr w:type="spellStart"/>
      <w:r w:rsidR="002D637E" w:rsidRPr="00302B72">
        <w:rPr>
          <w:sz w:val="22"/>
          <w:szCs w:val="22"/>
          <w:lang w:val="en-GB"/>
        </w:rPr>
        <w:t>Köhler</w:t>
      </w:r>
      <w:proofErr w:type="spellEnd"/>
      <w:r w:rsidR="002D637E" w:rsidRPr="00302B72">
        <w:rPr>
          <w:sz w:val="22"/>
          <w:szCs w:val="22"/>
          <w:lang w:val="en-GB"/>
        </w:rPr>
        <w:t xml:space="preserve">, </w:t>
      </w:r>
      <w:proofErr w:type="spellStart"/>
      <w:r w:rsidR="002D637E" w:rsidRPr="00302B72">
        <w:rPr>
          <w:sz w:val="22"/>
          <w:szCs w:val="22"/>
          <w:lang w:val="en-GB"/>
        </w:rPr>
        <w:t>Sofka</w:t>
      </w:r>
      <w:proofErr w:type="spellEnd"/>
      <w:r w:rsidR="002D637E" w:rsidRPr="00302B72">
        <w:rPr>
          <w:sz w:val="22"/>
          <w:szCs w:val="22"/>
          <w:lang w:val="en-GB"/>
        </w:rPr>
        <w:t xml:space="preserve">, &amp; </w:t>
      </w:r>
      <w:proofErr w:type="spellStart"/>
      <w:r w:rsidR="002D637E" w:rsidRPr="00302B72">
        <w:rPr>
          <w:sz w:val="22"/>
          <w:szCs w:val="22"/>
          <w:lang w:val="en-GB"/>
        </w:rPr>
        <w:t>Grimpe</w:t>
      </w:r>
      <w:proofErr w:type="spellEnd"/>
      <w:r w:rsidR="002D637E" w:rsidRPr="00302B72">
        <w:rPr>
          <w:sz w:val="22"/>
          <w:szCs w:val="22"/>
          <w:lang w:val="en-GB"/>
        </w:rPr>
        <w:t xml:space="preserve">, 2012; </w:t>
      </w:r>
      <w:proofErr w:type="spellStart"/>
      <w:r w:rsidR="002D637E" w:rsidRPr="00302B72">
        <w:rPr>
          <w:sz w:val="22"/>
          <w:szCs w:val="22"/>
          <w:lang w:val="en-GB"/>
        </w:rPr>
        <w:t>Garriga</w:t>
      </w:r>
      <w:proofErr w:type="spellEnd"/>
      <w:r w:rsidR="002D637E" w:rsidRPr="00302B72">
        <w:rPr>
          <w:sz w:val="22"/>
          <w:szCs w:val="22"/>
          <w:lang w:val="en-GB"/>
        </w:rPr>
        <w:t xml:space="preserve">, von Krogh &amp; </w:t>
      </w:r>
      <w:proofErr w:type="spellStart"/>
      <w:r w:rsidR="002D637E" w:rsidRPr="00302B72">
        <w:rPr>
          <w:sz w:val="22"/>
          <w:szCs w:val="22"/>
          <w:lang w:val="en-GB"/>
        </w:rPr>
        <w:t>Spaet</w:t>
      </w:r>
      <w:proofErr w:type="spellEnd"/>
      <w:r w:rsidR="002D637E" w:rsidRPr="00302B72">
        <w:rPr>
          <w:sz w:val="22"/>
          <w:szCs w:val="22"/>
          <w:lang w:val="en-GB"/>
        </w:rPr>
        <w:t xml:space="preserve">, 2013). An obvious risk associated with </w:t>
      </w:r>
      <w:r w:rsidR="00AA7CBD" w:rsidRPr="00302B72">
        <w:rPr>
          <w:sz w:val="22"/>
          <w:szCs w:val="22"/>
          <w:lang w:val="en-GB"/>
        </w:rPr>
        <w:lastRenderedPageBreak/>
        <w:t>such openness</w:t>
      </w:r>
      <w:r w:rsidR="002D637E" w:rsidRPr="00302B72">
        <w:rPr>
          <w:sz w:val="22"/>
          <w:szCs w:val="22"/>
          <w:lang w:val="en-GB"/>
        </w:rPr>
        <w:t xml:space="preserve"> lies in the fact that resources are made available for others to exploit. This might make it more difficult to protect the innovative efforts of firms and to capture benefits that </w:t>
      </w:r>
      <w:r w:rsidR="00966BA5" w:rsidRPr="00302B72">
        <w:rPr>
          <w:sz w:val="22"/>
          <w:szCs w:val="22"/>
          <w:lang w:val="en-GB"/>
        </w:rPr>
        <w:t>accrue from collaborative and</w:t>
      </w:r>
      <w:r w:rsidR="002D637E" w:rsidRPr="00302B72">
        <w:rPr>
          <w:sz w:val="22"/>
          <w:szCs w:val="22"/>
          <w:lang w:val="en-GB"/>
        </w:rPr>
        <w:t xml:space="preserve"> shared innovative efforts (</w:t>
      </w:r>
      <w:proofErr w:type="spellStart"/>
      <w:r w:rsidR="002D637E" w:rsidRPr="00302B72">
        <w:rPr>
          <w:sz w:val="22"/>
          <w:szCs w:val="22"/>
          <w:lang w:val="en-GB"/>
        </w:rPr>
        <w:t>Helfat</w:t>
      </w:r>
      <w:proofErr w:type="spellEnd"/>
      <w:r w:rsidR="002D637E" w:rsidRPr="00302B72">
        <w:rPr>
          <w:sz w:val="22"/>
          <w:szCs w:val="22"/>
          <w:lang w:val="en-GB"/>
        </w:rPr>
        <w:t xml:space="preserve"> &amp; Quinn,</w:t>
      </w:r>
      <w:r w:rsidR="00736590" w:rsidRPr="00302B72">
        <w:rPr>
          <w:sz w:val="22"/>
          <w:szCs w:val="22"/>
          <w:lang w:val="en-GB"/>
        </w:rPr>
        <w:t xml:space="preserve"> 2006; Dahlander &amp; Gann, 2010</w:t>
      </w:r>
      <w:r w:rsidR="00D06794" w:rsidRPr="00302B72">
        <w:rPr>
          <w:sz w:val="22"/>
          <w:szCs w:val="22"/>
          <w:lang w:val="en-GB"/>
        </w:rPr>
        <w:t xml:space="preserve">; </w:t>
      </w:r>
      <w:proofErr w:type="spellStart"/>
      <w:r w:rsidR="00D06794" w:rsidRPr="00302B72">
        <w:rPr>
          <w:sz w:val="22"/>
          <w:szCs w:val="22"/>
          <w:lang w:val="en-GB"/>
        </w:rPr>
        <w:t>Huizingh</w:t>
      </w:r>
      <w:proofErr w:type="spellEnd"/>
      <w:r w:rsidR="00D06794" w:rsidRPr="00302B72">
        <w:rPr>
          <w:sz w:val="22"/>
          <w:szCs w:val="22"/>
          <w:lang w:val="en-GB"/>
        </w:rPr>
        <w:t>, 2011</w:t>
      </w:r>
      <w:r w:rsidR="00736590" w:rsidRPr="00302B72">
        <w:rPr>
          <w:sz w:val="22"/>
          <w:szCs w:val="22"/>
          <w:lang w:val="en-GB"/>
        </w:rPr>
        <w:t xml:space="preserve">). </w:t>
      </w:r>
      <w:r w:rsidR="002D637E" w:rsidRPr="00302B72">
        <w:rPr>
          <w:sz w:val="22"/>
          <w:szCs w:val="22"/>
          <w:lang w:val="en-GB"/>
        </w:rPr>
        <w:t>Securing certain legal rights in terms of for</w:t>
      </w:r>
      <w:r w:rsidR="0000711D" w:rsidRPr="00302B72">
        <w:rPr>
          <w:sz w:val="22"/>
          <w:szCs w:val="22"/>
          <w:lang w:val="en-GB"/>
        </w:rPr>
        <w:t>mal appropriation mechanisms</w:t>
      </w:r>
      <w:r w:rsidR="00AA7CBD" w:rsidRPr="00302B72">
        <w:rPr>
          <w:sz w:val="22"/>
          <w:szCs w:val="22"/>
          <w:lang w:val="en-GB"/>
        </w:rPr>
        <w:t xml:space="preserve"> as well as </w:t>
      </w:r>
      <w:r w:rsidR="002D637E" w:rsidRPr="00302B72">
        <w:rPr>
          <w:sz w:val="22"/>
          <w:szCs w:val="22"/>
          <w:lang w:val="en-GB"/>
        </w:rPr>
        <w:t>making use of informal alternative forms of appropriation seem particularly critical for firms that are open in their innovative efforts but that also want to survive competitive pressures created by actions of other firms (</w:t>
      </w:r>
      <w:proofErr w:type="spellStart"/>
      <w:r w:rsidR="002D637E" w:rsidRPr="00302B72">
        <w:rPr>
          <w:sz w:val="22"/>
          <w:szCs w:val="22"/>
          <w:lang w:val="en-GB"/>
        </w:rPr>
        <w:t>Hurmelinna</w:t>
      </w:r>
      <w:proofErr w:type="spellEnd"/>
      <w:r w:rsidR="002D637E" w:rsidRPr="00302B72">
        <w:rPr>
          <w:sz w:val="22"/>
          <w:szCs w:val="22"/>
          <w:lang w:val="en-GB"/>
        </w:rPr>
        <w:t xml:space="preserve">, </w:t>
      </w:r>
      <w:proofErr w:type="spellStart"/>
      <w:r w:rsidR="002D637E" w:rsidRPr="00302B72">
        <w:rPr>
          <w:sz w:val="22"/>
          <w:szCs w:val="22"/>
          <w:lang w:val="en-GB"/>
        </w:rPr>
        <w:t>Kyläheiko</w:t>
      </w:r>
      <w:proofErr w:type="spellEnd"/>
      <w:r w:rsidR="002D637E" w:rsidRPr="00302B72">
        <w:rPr>
          <w:sz w:val="22"/>
          <w:szCs w:val="22"/>
          <w:lang w:val="en-GB"/>
        </w:rPr>
        <w:t xml:space="preserve">, &amp; </w:t>
      </w:r>
      <w:proofErr w:type="spellStart"/>
      <w:r w:rsidR="002D637E" w:rsidRPr="00302B72">
        <w:rPr>
          <w:sz w:val="22"/>
          <w:szCs w:val="22"/>
          <w:lang w:val="en-GB"/>
        </w:rPr>
        <w:t>Jauhiainen</w:t>
      </w:r>
      <w:proofErr w:type="spellEnd"/>
      <w:r w:rsidR="002D637E" w:rsidRPr="00302B72">
        <w:rPr>
          <w:sz w:val="22"/>
          <w:szCs w:val="22"/>
          <w:lang w:val="en-GB"/>
        </w:rPr>
        <w:t xml:space="preserve">, 2007). Hence, </w:t>
      </w:r>
      <w:r w:rsidR="00491F95" w:rsidRPr="00302B72">
        <w:rPr>
          <w:sz w:val="22"/>
          <w:szCs w:val="22"/>
          <w:lang w:val="en-GB"/>
        </w:rPr>
        <w:t>the</w:t>
      </w:r>
      <w:r w:rsidR="002D637E" w:rsidRPr="00302B72">
        <w:rPr>
          <w:sz w:val="22"/>
          <w:szCs w:val="22"/>
          <w:lang w:val="en-GB"/>
        </w:rPr>
        <w:t xml:space="preserve"> firs</w:t>
      </w:r>
      <w:r w:rsidR="0000711D" w:rsidRPr="00302B72">
        <w:rPr>
          <w:sz w:val="22"/>
          <w:szCs w:val="22"/>
          <w:lang w:val="en-GB"/>
        </w:rPr>
        <w:t>t research question refers to</w:t>
      </w:r>
      <w:r w:rsidR="002D637E" w:rsidRPr="00302B72">
        <w:rPr>
          <w:sz w:val="22"/>
          <w:szCs w:val="22"/>
          <w:lang w:val="en-GB"/>
        </w:rPr>
        <w:t xml:space="preserve"> the </w:t>
      </w:r>
      <w:r w:rsidR="00DF1402" w:rsidRPr="00302B72">
        <w:rPr>
          <w:sz w:val="22"/>
          <w:szCs w:val="22"/>
          <w:lang w:val="en-GB"/>
        </w:rPr>
        <w:t xml:space="preserve">influence </w:t>
      </w:r>
      <w:r w:rsidR="002D637E" w:rsidRPr="00302B72">
        <w:rPr>
          <w:sz w:val="22"/>
          <w:szCs w:val="22"/>
          <w:lang w:val="en-GB"/>
        </w:rPr>
        <w:t xml:space="preserve">of openness in innovation – in terms of </w:t>
      </w:r>
      <w:r w:rsidR="00DD798E" w:rsidRPr="00302B72">
        <w:rPr>
          <w:sz w:val="22"/>
          <w:szCs w:val="22"/>
          <w:lang w:val="en-GB"/>
        </w:rPr>
        <w:t>external search</w:t>
      </w:r>
      <w:r w:rsidR="002D637E" w:rsidRPr="00302B72">
        <w:rPr>
          <w:sz w:val="22"/>
          <w:szCs w:val="22"/>
          <w:lang w:val="en-GB"/>
        </w:rPr>
        <w:t xml:space="preserve"> breadth and depth – </w:t>
      </w:r>
      <w:r w:rsidR="00DF1402" w:rsidRPr="00302B72">
        <w:rPr>
          <w:sz w:val="22"/>
          <w:szCs w:val="22"/>
          <w:lang w:val="en-GB"/>
        </w:rPr>
        <w:t>on the use of</w:t>
      </w:r>
      <w:r w:rsidR="002D637E" w:rsidRPr="00302B72">
        <w:rPr>
          <w:sz w:val="22"/>
          <w:szCs w:val="22"/>
          <w:lang w:val="en-GB"/>
        </w:rPr>
        <w:t xml:space="preserve"> </w:t>
      </w:r>
      <w:r w:rsidR="00966BA5" w:rsidRPr="00302B72">
        <w:rPr>
          <w:sz w:val="22"/>
          <w:szCs w:val="22"/>
          <w:lang w:val="en-GB"/>
        </w:rPr>
        <w:t xml:space="preserve">both </w:t>
      </w:r>
      <w:r w:rsidR="002D637E" w:rsidRPr="00302B72">
        <w:rPr>
          <w:sz w:val="22"/>
          <w:szCs w:val="22"/>
          <w:lang w:val="en-GB"/>
        </w:rPr>
        <w:t xml:space="preserve">formal and informal appropriation mechanisms. </w:t>
      </w:r>
    </w:p>
    <w:p w14:paraId="5AAAC1FC" w14:textId="73520D83" w:rsidR="00FB0935" w:rsidRPr="006C6BB5" w:rsidRDefault="00302B72" w:rsidP="00067B82">
      <w:pPr>
        <w:ind w:firstLine="720"/>
        <w:rPr>
          <w:sz w:val="22"/>
          <w:szCs w:val="22"/>
          <w:lang w:val="en-GB"/>
        </w:rPr>
      </w:pPr>
      <w:r>
        <w:rPr>
          <w:sz w:val="22"/>
          <w:szCs w:val="22"/>
          <w:lang w:val="en-GB"/>
        </w:rPr>
        <w:t>Also</w:t>
      </w:r>
      <w:r w:rsidR="00061714">
        <w:rPr>
          <w:sz w:val="22"/>
          <w:szCs w:val="22"/>
          <w:lang w:val="en-GB"/>
        </w:rPr>
        <w:t>, i</w:t>
      </w:r>
      <w:r w:rsidR="00067B82" w:rsidRPr="006C6BB5">
        <w:rPr>
          <w:sz w:val="22"/>
          <w:szCs w:val="22"/>
          <w:lang w:val="en-GB"/>
        </w:rPr>
        <w:t xml:space="preserve">nnovative activities of firms, whether they stem from traditional closed innovative activities or from open innovation, demonstrate different degrees of newness (Schmidt &amp; </w:t>
      </w:r>
      <w:proofErr w:type="spellStart"/>
      <w:r w:rsidR="00067B82" w:rsidRPr="006C6BB5">
        <w:rPr>
          <w:sz w:val="22"/>
          <w:szCs w:val="22"/>
          <w:lang w:val="en-GB"/>
        </w:rPr>
        <w:t>Calantone</w:t>
      </w:r>
      <w:proofErr w:type="spellEnd"/>
      <w:r w:rsidR="00067B82" w:rsidRPr="006C6BB5">
        <w:rPr>
          <w:sz w:val="22"/>
          <w:szCs w:val="22"/>
          <w:lang w:val="en-GB"/>
        </w:rPr>
        <w:t xml:space="preserve">, 1998). Radical innovative activities involve products that are new to the market (Dewar &amp; Dutton, 1986) including, for instance, new product lines and product line extensions with new technology (Garcia &amp; </w:t>
      </w:r>
      <w:proofErr w:type="spellStart"/>
      <w:r w:rsidR="00067B82" w:rsidRPr="006C6BB5">
        <w:rPr>
          <w:sz w:val="22"/>
          <w:szCs w:val="22"/>
          <w:lang w:val="en-GB"/>
        </w:rPr>
        <w:t>Calantone</w:t>
      </w:r>
      <w:proofErr w:type="spellEnd"/>
      <w:r w:rsidR="00067B82" w:rsidRPr="006C6BB5">
        <w:rPr>
          <w:sz w:val="22"/>
          <w:szCs w:val="22"/>
          <w:lang w:val="en-GB"/>
        </w:rPr>
        <w:t xml:space="preserve"> 2002). Conversely, incremental innovative activities involve the adaptation, refinement and enhancement of products, thereby largely building on existing common technological knowledge (Dewar &amp; Dutton, 1986</w:t>
      </w:r>
      <w:r w:rsidR="00067B82" w:rsidRPr="00A52BF2">
        <w:rPr>
          <w:sz w:val="22"/>
          <w:szCs w:val="22"/>
          <w:lang w:val="en-GB"/>
        </w:rPr>
        <w:t xml:space="preserve">). While they are usually new to the firm, products from incremental innovative activities only offer minor improvements for markets (Garcia &amp; </w:t>
      </w:r>
      <w:proofErr w:type="spellStart"/>
      <w:r w:rsidR="00067B82" w:rsidRPr="00A52BF2">
        <w:rPr>
          <w:sz w:val="22"/>
          <w:szCs w:val="22"/>
          <w:lang w:val="en-GB"/>
        </w:rPr>
        <w:t>Calantone</w:t>
      </w:r>
      <w:proofErr w:type="spellEnd"/>
      <w:r w:rsidR="00067B82" w:rsidRPr="00A52BF2">
        <w:rPr>
          <w:sz w:val="22"/>
          <w:szCs w:val="22"/>
          <w:lang w:val="en-GB"/>
        </w:rPr>
        <w:t xml:space="preserve">, 2002). </w:t>
      </w:r>
      <w:r w:rsidR="001F1FA2" w:rsidRPr="00A52BF2">
        <w:rPr>
          <w:sz w:val="22"/>
          <w:szCs w:val="22"/>
          <w:lang w:val="en-GB"/>
        </w:rPr>
        <w:t>The degree to which firms have a more or less incremental innovation orientation, or alternatively a more or less radical innovation orientation is likely to be related with their strategies for prote</w:t>
      </w:r>
      <w:r w:rsidR="00A64A0E" w:rsidRPr="00A52BF2">
        <w:rPr>
          <w:sz w:val="22"/>
          <w:szCs w:val="22"/>
          <w:lang w:val="en-GB"/>
        </w:rPr>
        <w:t xml:space="preserve">cting these innovative efforts </w:t>
      </w:r>
      <w:r w:rsidR="00067B82" w:rsidRPr="00A52BF2">
        <w:rPr>
          <w:sz w:val="22"/>
          <w:szCs w:val="22"/>
          <w:lang w:val="en-GB"/>
        </w:rPr>
        <w:t xml:space="preserve">(see </w:t>
      </w:r>
      <w:r w:rsidR="001F1FA2" w:rsidRPr="00A52BF2">
        <w:rPr>
          <w:sz w:val="22"/>
          <w:szCs w:val="22"/>
          <w:lang w:val="en-GB"/>
        </w:rPr>
        <w:t xml:space="preserve">also </w:t>
      </w:r>
      <w:r w:rsidR="00DC4230" w:rsidRPr="00A52BF2">
        <w:rPr>
          <w:rFonts w:eastAsiaTheme="minorHAnsi"/>
          <w:sz w:val="22"/>
          <w:szCs w:val="22"/>
          <w:lang w:val="en-GB"/>
        </w:rPr>
        <w:t>Hall et al.</w:t>
      </w:r>
      <w:r w:rsidR="00067B82" w:rsidRPr="00A52BF2">
        <w:rPr>
          <w:sz w:val="22"/>
          <w:szCs w:val="22"/>
          <w:lang w:val="en-GB"/>
        </w:rPr>
        <w:t xml:space="preserve">, </w:t>
      </w:r>
      <w:r w:rsidR="00DC4230" w:rsidRPr="00A52BF2">
        <w:rPr>
          <w:rFonts w:eastAsiaTheme="minorHAnsi"/>
          <w:sz w:val="22"/>
          <w:szCs w:val="22"/>
          <w:lang w:val="en-GB"/>
        </w:rPr>
        <w:t>2014</w:t>
      </w:r>
      <w:r w:rsidR="00067B82" w:rsidRPr="00A52BF2">
        <w:rPr>
          <w:rFonts w:eastAsiaTheme="minorHAnsi"/>
          <w:sz w:val="22"/>
          <w:szCs w:val="22"/>
          <w:lang w:val="en-GB"/>
        </w:rPr>
        <w:t>).</w:t>
      </w:r>
      <w:r w:rsidR="00067B82" w:rsidRPr="00A52BF2">
        <w:rPr>
          <w:sz w:val="22"/>
          <w:szCs w:val="22"/>
          <w:lang w:val="en-GB"/>
        </w:rPr>
        <w:t xml:space="preserve"> </w:t>
      </w:r>
      <w:r w:rsidR="000913D8" w:rsidRPr="00A52BF2">
        <w:rPr>
          <w:sz w:val="22"/>
          <w:szCs w:val="22"/>
          <w:lang w:val="en-GB"/>
        </w:rPr>
        <w:t>One the one hand, a</w:t>
      </w:r>
      <w:r w:rsidR="001F1FA2" w:rsidRPr="00A52BF2">
        <w:rPr>
          <w:sz w:val="22"/>
          <w:szCs w:val="22"/>
          <w:lang w:val="en-GB"/>
        </w:rPr>
        <w:t xml:space="preserve">s firms create more </w:t>
      </w:r>
      <w:r w:rsidR="00A12910" w:rsidRPr="00A52BF2">
        <w:rPr>
          <w:sz w:val="22"/>
          <w:szCs w:val="22"/>
          <w:lang w:val="en-GB"/>
        </w:rPr>
        <w:t xml:space="preserve">new and advanced, i.e. </w:t>
      </w:r>
      <w:r w:rsidR="001F1FA2" w:rsidRPr="00A52BF2">
        <w:rPr>
          <w:sz w:val="22"/>
          <w:szCs w:val="22"/>
          <w:lang w:val="en-GB"/>
        </w:rPr>
        <w:t>distant</w:t>
      </w:r>
      <w:r w:rsidR="00A12910" w:rsidRPr="00A52BF2">
        <w:rPr>
          <w:sz w:val="22"/>
          <w:szCs w:val="22"/>
          <w:lang w:val="en-GB"/>
        </w:rPr>
        <w:t>,</w:t>
      </w:r>
      <w:r w:rsidR="001F1FA2" w:rsidRPr="00A52BF2">
        <w:rPr>
          <w:sz w:val="22"/>
          <w:szCs w:val="22"/>
          <w:lang w:val="en-GB"/>
        </w:rPr>
        <w:t xml:space="preserve"> knowledge and hence, develop more radical innovation</w:t>
      </w:r>
      <w:r w:rsidR="000913D8" w:rsidRPr="00A52BF2">
        <w:rPr>
          <w:sz w:val="22"/>
          <w:szCs w:val="22"/>
          <w:lang w:val="en-GB"/>
        </w:rPr>
        <w:t>s</w:t>
      </w:r>
      <w:r w:rsidR="001F1FA2" w:rsidRPr="00A52BF2">
        <w:rPr>
          <w:sz w:val="22"/>
          <w:szCs w:val="22"/>
          <w:lang w:val="en-GB"/>
        </w:rPr>
        <w:t>,</w:t>
      </w:r>
      <w:r w:rsidR="000913D8" w:rsidRPr="00A52BF2">
        <w:rPr>
          <w:sz w:val="22"/>
          <w:szCs w:val="22"/>
          <w:lang w:val="en-GB"/>
        </w:rPr>
        <w:t xml:space="preserve"> they may be hesitant to disclose this distant knowledge via the use of a large number of formal appropriation mechanisms. Alternatively, the distant nature of this knowledge may make the use of informal appropriation mechanisms, such as secrecy, more valuable for these firm</w:t>
      </w:r>
      <w:r w:rsidR="00E73BBC" w:rsidRPr="00A52BF2">
        <w:rPr>
          <w:sz w:val="22"/>
          <w:szCs w:val="22"/>
          <w:lang w:val="en-GB"/>
        </w:rPr>
        <w:t>s</w:t>
      </w:r>
      <w:r w:rsidR="000913D8" w:rsidRPr="00A52BF2">
        <w:rPr>
          <w:sz w:val="22"/>
          <w:szCs w:val="22"/>
          <w:lang w:val="en-GB"/>
        </w:rPr>
        <w:t>. On the other hand, firms with a higher incremental innovation orientation may derive little benefits from informal appropriation mechanisms that can hardly protect innovations that closely build on existing knowledge. Instead, the higher their incremental innov</w:t>
      </w:r>
      <w:r w:rsidR="00946022" w:rsidRPr="00A52BF2">
        <w:rPr>
          <w:sz w:val="22"/>
          <w:szCs w:val="22"/>
          <w:lang w:val="en-GB"/>
        </w:rPr>
        <w:t>ation orientation, the more these firms</w:t>
      </w:r>
      <w:r w:rsidR="000913D8" w:rsidRPr="00A52BF2">
        <w:rPr>
          <w:sz w:val="22"/>
          <w:szCs w:val="22"/>
          <w:lang w:val="en-GB"/>
        </w:rPr>
        <w:t xml:space="preserve"> may protect their incremental knowledge via formal appropriation mechanisms. </w:t>
      </w:r>
      <w:r w:rsidR="00AA7CBD" w:rsidRPr="00A52BF2">
        <w:rPr>
          <w:sz w:val="22"/>
          <w:szCs w:val="22"/>
          <w:lang w:val="en-GB"/>
        </w:rPr>
        <w:t>Hence</w:t>
      </w:r>
      <w:r w:rsidR="00AA7CBD" w:rsidRPr="006C6BB5">
        <w:rPr>
          <w:sz w:val="22"/>
          <w:szCs w:val="22"/>
          <w:lang w:val="en-GB"/>
        </w:rPr>
        <w:t xml:space="preserve">, </w:t>
      </w:r>
      <w:r w:rsidR="00491F95">
        <w:rPr>
          <w:sz w:val="22"/>
          <w:szCs w:val="22"/>
          <w:lang w:val="en-GB"/>
        </w:rPr>
        <w:t>the</w:t>
      </w:r>
      <w:r w:rsidR="00AA7CBD" w:rsidRPr="006C6BB5">
        <w:rPr>
          <w:sz w:val="22"/>
          <w:szCs w:val="22"/>
          <w:lang w:val="en-GB"/>
        </w:rPr>
        <w:t xml:space="preserve"> s</w:t>
      </w:r>
      <w:r w:rsidR="00066661" w:rsidRPr="006C6BB5">
        <w:rPr>
          <w:sz w:val="22"/>
          <w:szCs w:val="22"/>
          <w:lang w:val="en-GB"/>
        </w:rPr>
        <w:t>econd research question</w:t>
      </w:r>
      <w:r w:rsidR="00FB0935" w:rsidRPr="006C6BB5">
        <w:rPr>
          <w:sz w:val="22"/>
          <w:szCs w:val="22"/>
          <w:lang w:val="en-GB"/>
        </w:rPr>
        <w:t xml:space="preserve"> </w:t>
      </w:r>
      <w:r w:rsidR="006B7DE0" w:rsidRPr="006C6BB5">
        <w:rPr>
          <w:sz w:val="22"/>
          <w:szCs w:val="22"/>
          <w:lang w:val="en-GB"/>
        </w:rPr>
        <w:t xml:space="preserve">is: to what extent does the </w:t>
      </w:r>
      <w:r w:rsidR="006B7DE0" w:rsidRPr="006C6BB5">
        <w:rPr>
          <w:sz w:val="22"/>
          <w:szCs w:val="22"/>
          <w:lang w:val="en-GB"/>
        </w:rPr>
        <w:lastRenderedPageBreak/>
        <w:t xml:space="preserve">degree of innovativeness </w:t>
      </w:r>
      <w:r w:rsidR="0000711D" w:rsidRPr="006C6BB5">
        <w:rPr>
          <w:sz w:val="22"/>
          <w:szCs w:val="22"/>
          <w:lang w:val="en-GB"/>
        </w:rPr>
        <w:t xml:space="preserve">of </w:t>
      </w:r>
      <w:r w:rsidR="0000711D" w:rsidRPr="00632F66">
        <w:rPr>
          <w:sz w:val="22"/>
          <w:szCs w:val="22"/>
          <w:lang w:val="en-GB"/>
        </w:rPr>
        <w:t xml:space="preserve">firms </w:t>
      </w:r>
      <w:r w:rsidR="00E73BBC" w:rsidRPr="00632F66">
        <w:rPr>
          <w:sz w:val="22"/>
          <w:szCs w:val="22"/>
          <w:lang w:val="en-GB"/>
        </w:rPr>
        <w:t xml:space="preserve">influence </w:t>
      </w:r>
      <w:r w:rsidR="006B7DE0" w:rsidRPr="00632F66">
        <w:rPr>
          <w:sz w:val="22"/>
          <w:szCs w:val="22"/>
          <w:lang w:val="en-GB"/>
        </w:rPr>
        <w:t>the</w:t>
      </w:r>
      <w:r w:rsidR="00066661" w:rsidRPr="00632F66">
        <w:rPr>
          <w:sz w:val="22"/>
          <w:szCs w:val="22"/>
          <w:lang w:val="en-GB"/>
        </w:rPr>
        <w:t>ir</w:t>
      </w:r>
      <w:r w:rsidR="006B7DE0" w:rsidRPr="00632F66">
        <w:rPr>
          <w:sz w:val="22"/>
          <w:szCs w:val="22"/>
          <w:lang w:val="en-GB"/>
        </w:rPr>
        <w:t xml:space="preserve"> </w:t>
      </w:r>
      <w:r w:rsidR="006B7DE0" w:rsidRPr="006C6BB5">
        <w:rPr>
          <w:sz w:val="22"/>
          <w:szCs w:val="22"/>
          <w:lang w:val="en-GB"/>
        </w:rPr>
        <w:t xml:space="preserve">use of formal as well as </w:t>
      </w:r>
      <w:r w:rsidR="00FB0935" w:rsidRPr="006C6BB5">
        <w:rPr>
          <w:sz w:val="22"/>
          <w:szCs w:val="22"/>
          <w:lang w:val="en-GB"/>
        </w:rPr>
        <w:t>inf</w:t>
      </w:r>
      <w:r w:rsidR="006B7DE0" w:rsidRPr="006C6BB5">
        <w:rPr>
          <w:sz w:val="22"/>
          <w:szCs w:val="22"/>
          <w:lang w:val="en-GB"/>
        </w:rPr>
        <w:t>ormal appropriation mechanisms?</w:t>
      </w:r>
    </w:p>
    <w:p w14:paraId="0E723EF1" w14:textId="5805DFEB" w:rsidR="008552E2" w:rsidRPr="006C6BB5" w:rsidRDefault="00FB0935" w:rsidP="00026A58">
      <w:pPr>
        <w:ind w:firstLine="720"/>
        <w:rPr>
          <w:sz w:val="22"/>
          <w:szCs w:val="22"/>
          <w:lang w:val="en-GB"/>
        </w:rPr>
      </w:pPr>
      <w:r w:rsidRPr="006C6BB5">
        <w:rPr>
          <w:sz w:val="22"/>
          <w:szCs w:val="22"/>
          <w:lang w:val="en-GB"/>
        </w:rPr>
        <w:t>Fina</w:t>
      </w:r>
      <w:r w:rsidRPr="00A52BF2">
        <w:rPr>
          <w:sz w:val="22"/>
          <w:szCs w:val="22"/>
          <w:lang w:val="en-GB"/>
        </w:rPr>
        <w:t>lly, firms are expected to consider both characteristics of their overall innovation strategies. i.e., their openness and their degree of in</w:t>
      </w:r>
      <w:r w:rsidR="006B7DE0" w:rsidRPr="00A52BF2">
        <w:rPr>
          <w:sz w:val="22"/>
          <w:szCs w:val="22"/>
          <w:lang w:val="en-GB"/>
        </w:rPr>
        <w:t>novativeness, in using formal and</w:t>
      </w:r>
      <w:r w:rsidRPr="00A52BF2">
        <w:rPr>
          <w:sz w:val="22"/>
          <w:szCs w:val="22"/>
          <w:lang w:val="en-GB"/>
        </w:rPr>
        <w:t xml:space="preserve"> informal appropriation mechanisms. </w:t>
      </w:r>
      <w:r w:rsidR="00456222" w:rsidRPr="00A52BF2">
        <w:rPr>
          <w:sz w:val="22"/>
          <w:szCs w:val="22"/>
          <w:lang w:val="en-GB"/>
        </w:rPr>
        <w:t>Depending on firms</w:t>
      </w:r>
      <w:r w:rsidR="00A12910" w:rsidRPr="00A52BF2">
        <w:rPr>
          <w:sz w:val="22"/>
          <w:szCs w:val="22"/>
          <w:lang w:val="en-GB"/>
        </w:rPr>
        <w:t>’</w:t>
      </w:r>
      <w:r w:rsidR="00456222" w:rsidRPr="00A52BF2">
        <w:rPr>
          <w:sz w:val="22"/>
          <w:szCs w:val="22"/>
          <w:lang w:val="en-GB"/>
        </w:rPr>
        <w:t xml:space="preserve"> overall degree of innovativeness, external search breadth and depth may have differential impact on </w:t>
      </w:r>
      <w:r w:rsidR="00A12910" w:rsidRPr="00A52BF2">
        <w:rPr>
          <w:sz w:val="22"/>
          <w:szCs w:val="22"/>
          <w:lang w:val="en-GB"/>
        </w:rPr>
        <w:t xml:space="preserve">their </w:t>
      </w:r>
      <w:r w:rsidR="00456222" w:rsidRPr="00A52BF2">
        <w:rPr>
          <w:sz w:val="22"/>
          <w:szCs w:val="22"/>
          <w:lang w:val="en-GB"/>
        </w:rPr>
        <w:t>appropriation strategies. For instance, for firms with a more incremental innovation orientation</w:t>
      </w:r>
      <w:r w:rsidR="00075D08" w:rsidRPr="00A52BF2">
        <w:rPr>
          <w:sz w:val="22"/>
          <w:szCs w:val="22"/>
          <w:lang w:val="en-GB"/>
        </w:rPr>
        <w:t>, external search breadth</w:t>
      </w:r>
      <w:r w:rsidR="00456222" w:rsidRPr="00A52BF2">
        <w:rPr>
          <w:sz w:val="22"/>
          <w:szCs w:val="22"/>
          <w:lang w:val="en-GB"/>
        </w:rPr>
        <w:t xml:space="preserve"> pose</w:t>
      </w:r>
      <w:r w:rsidR="00075D08" w:rsidRPr="00A52BF2">
        <w:rPr>
          <w:sz w:val="22"/>
          <w:szCs w:val="22"/>
          <w:lang w:val="en-GB"/>
        </w:rPr>
        <w:t>s</w:t>
      </w:r>
      <w:r w:rsidR="00456222" w:rsidRPr="00A52BF2">
        <w:rPr>
          <w:sz w:val="22"/>
          <w:szCs w:val="22"/>
          <w:lang w:val="en-GB"/>
        </w:rPr>
        <w:t xml:space="preserve"> a higher appropriation risk than external search depth, as the incremental nature of the produced knowledge is easily accessible by a broad range of external partners. On the contrary, for firms with a more radical innovation orientation, external searc</w:t>
      </w:r>
      <w:r w:rsidR="00075D08" w:rsidRPr="00A52BF2">
        <w:rPr>
          <w:sz w:val="22"/>
          <w:szCs w:val="22"/>
          <w:lang w:val="en-GB"/>
        </w:rPr>
        <w:t>h depth (as opposed to breadth)</w:t>
      </w:r>
      <w:r w:rsidR="00456222" w:rsidRPr="00A52BF2">
        <w:rPr>
          <w:sz w:val="22"/>
          <w:szCs w:val="22"/>
          <w:lang w:val="en-GB"/>
        </w:rPr>
        <w:t xml:space="preserve"> lead</w:t>
      </w:r>
      <w:r w:rsidR="00075D08" w:rsidRPr="00A52BF2">
        <w:rPr>
          <w:sz w:val="22"/>
          <w:szCs w:val="22"/>
          <w:lang w:val="en-GB"/>
        </w:rPr>
        <w:t>s</w:t>
      </w:r>
      <w:r w:rsidR="00D23BAF" w:rsidRPr="00A52BF2">
        <w:rPr>
          <w:sz w:val="22"/>
          <w:szCs w:val="22"/>
          <w:lang w:val="en-GB"/>
        </w:rPr>
        <w:t xml:space="preserve"> to higher appropriation risk, </w:t>
      </w:r>
      <w:r w:rsidR="00456222" w:rsidRPr="00A52BF2">
        <w:rPr>
          <w:sz w:val="22"/>
          <w:szCs w:val="22"/>
          <w:lang w:val="en-GB"/>
        </w:rPr>
        <w:t xml:space="preserve">since </w:t>
      </w:r>
      <w:r w:rsidR="00A12910" w:rsidRPr="00A52BF2">
        <w:rPr>
          <w:sz w:val="22"/>
          <w:szCs w:val="22"/>
          <w:lang w:val="en-GB"/>
        </w:rPr>
        <w:t xml:space="preserve">in-depth </w:t>
      </w:r>
      <w:r w:rsidR="00456222" w:rsidRPr="00A52BF2">
        <w:rPr>
          <w:sz w:val="22"/>
          <w:szCs w:val="22"/>
          <w:lang w:val="en-GB"/>
        </w:rPr>
        <w:t>search</w:t>
      </w:r>
      <w:r w:rsidR="00A12910" w:rsidRPr="00A52BF2">
        <w:rPr>
          <w:sz w:val="22"/>
          <w:szCs w:val="22"/>
          <w:lang w:val="en-GB"/>
        </w:rPr>
        <w:t xml:space="preserve"> with partners increases the risk of knowledge spill-overs </w:t>
      </w:r>
      <w:r w:rsidR="00D23BAF" w:rsidRPr="00A52BF2">
        <w:rPr>
          <w:sz w:val="22"/>
          <w:szCs w:val="22"/>
          <w:lang w:val="en-GB"/>
        </w:rPr>
        <w:t>by</w:t>
      </w:r>
      <w:r w:rsidR="00456222" w:rsidRPr="00A52BF2">
        <w:rPr>
          <w:sz w:val="22"/>
          <w:szCs w:val="22"/>
          <w:lang w:val="en-GB"/>
        </w:rPr>
        <w:t xml:space="preserve"> </w:t>
      </w:r>
      <w:r w:rsidR="00D23BAF" w:rsidRPr="00A52BF2">
        <w:rPr>
          <w:sz w:val="22"/>
          <w:szCs w:val="22"/>
          <w:lang w:val="en-GB"/>
        </w:rPr>
        <w:t>reducing</w:t>
      </w:r>
      <w:r w:rsidR="00456222" w:rsidRPr="00A52BF2">
        <w:rPr>
          <w:sz w:val="22"/>
          <w:szCs w:val="22"/>
          <w:lang w:val="en-GB"/>
        </w:rPr>
        <w:t xml:space="preserve"> the distance of the knowledge </w:t>
      </w:r>
      <w:r w:rsidR="00075D08" w:rsidRPr="00A52BF2">
        <w:rPr>
          <w:sz w:val="22"/>
          <w:szCs w:val="22"/>
          <w:lang w:val="en-GB"/>
        </w:rPr>
        <w:t>underlying the</w:t>
      </w:r>
      <w:r w:rsidR="00456222" w:rsidRPr="00A52BF2">
        <w:rPr>
          <w:sz w:val="22"/>
          <w:szCs w:val="22"/>
          <w:lang w:val="en-GB"/>
        </w:rPr>
        <w:t xml:space="preserve"> more radical innovations. </w:t>
      </w:r>
      <w:r w:rsidR="00F222F3" w:rsidRPr="00A52BF2">
        <w:rPr>
          <w:sz w:val="22"/>
          <w:szCs w:val="22"/>
          <w:lang w:val="en-GB"/>
        </w:rPr>
        <w:t xml:space="preserve">Accordingly, a third research question deals with </w:t>
      </w:r>
      <w:r w:rsidR="00C31E7F" w:rsidRPr="00A52BF2">
        <w:rPr>
          <w:sz w:val="22"/>
          <w:szCs w:val="22"/>
          <w:lang w:val="en-GB"/>
        </w:rPr>
        <w:t xml:space="preserve">the </w:t>
      </w:r>
      <w:r w:rsidR="00C259D9" w:rsidRPr="00A52BF2">
        <w:rPr>
          <w:sz w:val="22"/>
          <w:szCs w:val="22"/>
          <w:lang w:val="en-GB"/>
        </w:rPr>
        <w:t>joint impact</w:t>
      </w:r>
      <w:r w:rsidR="00C31E7F" w:rsidRPr="00A52BF2">
        <w:rPr>
          <w:sz w:val="22"/>
          <w:szCs w:val="22"/>
          <w:lang w:val="en-GB"/>
        </w:rPr>
        <w:t xml:space="preserve"> of the </w:t>
      </w:r>
      <w:r w:rsidR="00C31E7F" w:rsidRPr="006C6BB5">
        <w:rPr>
          <w:sz w:val="22"/>
          <w:szCs w:val="22"/>
          <w:lang w:val="en-GB"/>
        </w:rPr>
        <w:t xml:space="preserve">two aspects of firms’ overall innovation strategies, i.e., </w:t>
      </w:r>
      <w:r w:rsidR="0000711D" w:rsidRPr="006C6BB5">
        <w:rPr>
          <w:sz w:val="22"/>
          <w:szCs w:val="22"/>
          <w:lang w:val="en-GB"/>
        </w:rPr>
        <w:t xml:space="preserve">their </w:t>
      </w:r>
      <w:r w:rsidR="00C31E7F" w:rsidRPr="006C6BB5">
        <w:rPr>
          <w:sz w:val="22"/>
          <w:szCs w:val="22"/>
          <w:lang w:val="en-GB"/>
        </w:rPr>
        <w:t>openness and innovativeness, on appropriation mechanisms</w:t>
      </w:r>
      <w:r w:rsidR="00AA7CBD" w:rsidRPr="006C6BB5">
        <w:rPr>
          <w:sz w:val="22"/>
          <w:szCs w:val="22"/>
          <w:lang w:val="en-GB"/>
        </w:rPr>
        <w:t xml:space="preserve">. </w:t>
      </w:r>
      <w:r w:rsidR="000C6BA3" w:rsidRPr="006C6BB5">
        <w:rPr>
          <w:sz w:val="22"/>
          <w:szCs w:val="22"/>
          <w:lang w:val="en-GB"/>
        </w:rPr>
        <w:t xml:space="preserve">In sum, the contribution of this study is a more detailed </w:t>
      </w:r>
      <w:r w:rsidR="00AA7CBD" w:rsidRPr="006C6BB5">
        <w:rPr>
          <w:sz w:val="22"/>
          <w:szCs w:val="22"/>
          <w:lang w:val="en-GB"/>
        </w:rPr>
        <w:t>investigat</w:t>
      </w:r>
      <w:r w:rsidR="000C6BA3">
        <w:rPr>
          <w:sz w:val="22"/>
          <w:szCs w:val="22"/>
          <w:lang w:val="en-GB"/>
        </w:rPr>
        <w:t xml:space="preserve">ion of </w:t>
      </w:r>
      <w:r w:rsidR="00AA7CBD" w:rsidRPr="006C6BB5">
        <w:rPr>
          <w:sz w:val="22"/>
          <w:szCs w:val="22"/>
          <w:lang w:val="en-GB"/>
        </w:rPr>
        <w:t xml:space="preserve">the </w:t>
      </w:r>
      <w:r w:rsidR="000C6BA3">
        <w:rPr>
          <w:sz w:val="22"/>
          <w:szCs w:val="22"/>
          <w:lang w:val="en-GB"/>
        </w:rPr>
        <w:t xml:space="preserve">direct and </w:t>
      </w:r>
      <w:r w:rsidR="00AA7CBD" w:rsidRPr="006C6BB5">
        <w:rPr>
          <w:sz w:val="22"/>
          <w:szCs w:val="22"/>
          <w:lang w:val="en-GB"/>
        </w:rPr>
        <w:t>int</w:t>
      </w:r>
      <w:r w:rsidR="00AA7CBD" w:rsidRPr="00A52BF2">
        <w:rPr>
          <w:sz w:val="22"/>
          <w:szCs w:val="22"/>
          <w:lang w:val="en-GB"/>
        </w:rPr>
        <w:t xml:space="preserve">eractive </w:t>
      </w:r>
      <w:r w:rsidR="00C259D9" w:rsidRPr="00A52BF2">
        <w:rPr>
          <w:sz w:val="22"/>
          <w:szCs w:val="22"/>
          <w:lang w:val="en-GB"/>
        </w:rPr>
        <w:t>impact</w:t>
      </w:r>
      <w:r w:rsidR="00AA7CBD" w:rsidRPr="00A52BF2">
        <w:rPr>
          <w:sz w:val="22"/>
          <w:szCs w:val="22"/>
          <w:lang w:val="en-GB"/>
        </w:rPr>
        <w:t xml:space="preserve"> of </w:t>
      </w:r>
      <w:r w:rsidR="00AA7CBD" w:rsidRPr="006C6BB5">
        <w:rPr>
          <w:sz w:val="22"/>
          <w:szCs w:val="22"/>
          <w:lang w:val="en-GB"/>
        </w:rPr>
        <w:t xml:space="preserve">the degree of openness (in terms of </w:t>
      </w:r>
      <w:r w:rsidR="00DD798E" w:rsidRPr="006C6BB5">
        <w:rPr>
          <w:sz w:val="22"/>
          <w:szCs w:val="22"/>
          <w:lang w:val="en-GB"/>
        </w:rPr>
        <w:t>external search</w:t>
      </w:r>
      <w:r w:rsidR="00AA7CBD" w:rsidRPr="006C6BB5">
        <w:rPr>
          <w:sz w:val="22"/>
          <w:szCs w:val="22"/>
          <w:lang w:val="en-GB"/>
        </w:rPr>
        <w:t xml:space="preserve"> breadth and depth) and the degree of innovativeness (in terms of radical versus incremental innovators) on formal and informal appropriation mechanisms. </w:t>
      </w:r>
    </w:p>
    <w:p w14:paraId="76BBFBC7" w14:textId="097F5B29" w:rsidR="0013011E" w:rsidRPr="006C6BB5" w:rsidRDefault="00AA7CBD" w:rsidP="00F743CA">
      <w:pPr>
        <w:rPr>
          <w:b/>
          <w:sz w:val="22"/>
          <w:szCs w:val="22"/>
          <w:lang w:val="en-GB"/>
        </w:rPr>
      </w:pPr>
      <w:r w:rsidRPr="006C6BB5">
        <w:rPr>
          <w:b/>
          <w:sz w:val="22"/>
          <w:szCs w:val="22"/>
          <w:lang w:val="en-GB"/>
        </w:rPr>
        <w:t xml:space="preserve">2. HYPOTHESES </w:t>
      </w:r>
    </w:p>
    <w:p w14:paraId="57A17A24" w14:textId="42E50AC5" w:rsidR="00AA7CBD" w:rsidRPr="006C6BB5" w:rsidRDefault="00AA7CBD" w:rsidP="00F743CA">
      <w:pPr>
        <w:rPr>
          <w:b/>
          <w:sz w:val="22"/>
          <w:szCs w:val="22"/>
          <w:lang w:val="en-GB"/>
        </w:rPr>
      </w:pPr>
      <w:r w:rsidRPr="006C6BB5">
        <w:rPr>
          <w:b/>
          <w:sz w:val="22"/>
          <w:szCs w:val="22"/>
          <w:lang w:val="en-GB"/>
        </w:rPr>
        <w:t xml:space="preserve">2.1 </w:t>
      </w:r>
      <w:r w:rsidR="008B6D14" w:rsidRPr="006C6BB5">
        <w:rPr>
          <w:b/>
          <w:sz w:val="22"/>
          <w:szCs w:val="22"/>
          <w:lang w:val="en-GB"/>
        </w:rPr>
        <w:t xml:space="preserve">Openness in Innovation </w:t>
      </w:r>
      <w:r w:rsidR="00AC12FE">
        <w:rPr>
          <w:b/>
          <w:sz w:val="22"/>
          <w:szCs w:val="22"/>
          <w:lang w:val="en-GB"/>
        </w:rPr>
        <w:t xml:space="preserve">and </w:t>
      </w:r>
      <w:r w:rsidRPr="006C6BB5">
        <w:rPr>
          <w:b/>
          <w:sz w:val="22"/>
          <w:szCs w:val="22"/>
          <w:lang w:val="en-GB"/>
        </w:rPr>
        <w:t>Formal and Informal Appropriation Mechanisms</w:t>
      </w:r>
    </w:p>
    <w:p w14:paraId="4A4E4D11" w14:textId="0093C94D" w:rsidR="002145D4" w:rsidRPr="006C6BB5" w:rsidRDefault="00FE19E3" w:rsidP="002145D4">
      <w:pPr>
        <w:rPr>
          <w:sz w:val="22"/>
          <w:szCs w:val="22"/>
          <w:lang w:val="en-GB"/>
        </w:rPr>
      </w:pPr>
      <w:r w:rsidRPr="006C6BB5">
        <w:rPr>
          <w:sz w:val="22"/>
          <w:szCs w:val="22"/>
          <w:lang w:val="en-GB"/>
        </w:rPr>
        <w:t xml:space="preserve">As suggested by previous literature (e.g. Laursen &amp; Salter, 2006; Chiang &amp; Hung, 2010; </w:t>
      </w:r>
      <w:proofErr w:type="spellStart"/>
      <w:r w:rsidRPr="006C6BB5">
        <w:rPr>
          <w:sz w:val="22"/>
          <w:szCs w:val="22"/>
          <w:lang w:val="en-GB"/>
        </w:rPr>
        <w:t>Drechsler</w:t>
      </w:r>
      <w:proofErr w:type="spellEnd"/>
      <w:r w:rsidRPr="006C6BB5">
        <w:rPr>
          <w:sz w:val="22"/>
          <w:szCs w:val="22"/>
          <w:lang w:val="en-GB"/>
        </w:rPr>
        <w:t xml:space="preserve"> &amp; Natter, 2010; </w:t>
      </w:r>
      <w:proofErr w:type="spellStart"/>
      <w:r w:rsidRPr="006C6BB5">
        <w:rPr>
          <w:sz w:val="22"/>
          <w:szCs w:val="22"/>
          <w:lang w:val="en-GB"/>
        </w:rPr>
        <w:t>Köhler</w:t>
      </w:r>
      <w:proofErr w:type="spellEnd"/>
      <w:r w:rsidRPr="006C6BB5">
        <w:rPr>
          <w:sz w:val="22"/>
          <w:szCs w:val="22"/>
          <w:lang w:val="en-GB"/>
        </w:rPr>
        <w:t xml:space="preserve">, </w:t>
      </w:r>
      <w:proofErr w:type="spellStart"/>
      <w:r w:rsidRPr="006C6BB5">
        <w:rPr>
          <w:sz w:val="22"/>
          <w:szCs w:val="22"/>
          <w:lang w:val="en-GB"/>
        </w:rPr>
        <w:t>Sofka</w:t>
      </w:r>
      <w:proofErr w:type="spellEnd"/>
      <w:r w:rsidRPr="006C6BB5">
        <w:rPr>
          <w:sz w:val="22"/>
          <w:szCs w:val="22"/>
          <w:lang w:val="en-GB"/>
        </w:rPr>
        <w:t xml:space="preserve">, &amp; </w:t>
      </w:r>
      <w:proofErr w:type="spellStart"/>
      <w:r w:rsidRPr="006C6BB5">
        <w:rPr>
          <w:sz w:val="22"/>
          <w:szCs w:val="22"/>
          <w:lang w:val="en-GB"/>
        </w:rPr>
        <w:t>Grimpe</w:t>
      </w:r>
      <w:proofErr w:type="spellEnd"/>
      <w:r w:rsidRPr="006C6BB5">
        <w:rPr>
          <w:sz w:val="22"/>
          <w:szCs w:val="22"/>
          <w:lang w:val="en-GB"/>
        </w:rPr>
        <w:t xml:space="preserve">, 2012; </w:t>
      </w:r>
      <w:proofErr w:type="spellStart"/>
      <w:r w:rsidRPr="006C6BB5">
        <w:rPr>
          <w:sz w:val="22"/>
          <w:szCs w:val="22"/>
          <w:lang w:val="en-GB"/>
        </w:rPr>
        <w:t>Garriga</w:t>
      </w:r>
      <w:proofErr w:type="spellEnd"/>
      <w:r w:rsidRPr="006C6BB5">
        <w:rPr>
          <w:sz w:val="22"/>
          <w:szCs w:val="22"/>
          <w:lang w:val="en-GB"/>
        </w:rPr>
        <w:t xml:space="preserve">, von Krogh &amp; </w:t>
      </w:r>
      <w:proofErr w:type="spellStart"/>
      <w:r w:rsidRPr="006C6BB5">
        <w:rPr>
          <w:sz w:val="22"/>
          <w:szCs w:val="22"/>
          <w:lang w:val="en-GB"/>
        </w:rPr>
        <w:t>Spaet</w:t>
      </w:r>
      <w:proofErr w:type="spellEnd"/>
      <w:r w:rsidRPr="006C6BB5">
        <w:rPr>
          <w:sz w:val="22"/>
          <w:szCs w:val="22"/>
          <w:lang w:val="en-GB"/>
        </w:rPr>
        <w:t xml:space="preserve">, 2013; </w:t>
      </w:r>
      <w:proofErr w:type="spellStart"/>
      <w:r w:rsidRPr="006C6BB5">
        <w:rPr>
          <w:sz w:val="22"/>
          <w:szCs w:val="22"/>
          <w:lang w:val="en-GB"/>
        </w:rPr>
        <w:t>Salge</w:t>
      </w:r>
      <w:proofErr w:type="spellEnd"/>
      <w:r w:rsidRPr="006C6BB5">
        <w:rPr>
          <w:sz w:val="22"/>
          <w:szCs w:val="22"/>
          <w:lang w:val="en-GB"/>
        </w:rPr>
        <w:t xml:space="preserve">, </w:t>
      </w:r>
      <w:proofErr w:type="spellStart"/>
      <w:r w:rsidRPr="006C6BB5">
        <w:rPr>
          <w:sz w:val="22"/>
          <w:szCs w:val="22"/>
          <w:lang w:val="en-GB"/>
        </w:rPr>
        <w:t>Farchi</w:t>
      </w:r>
      <w:proofErr w:type="spellEnd"/>
      <w:r w:rsidRPr="006C6BB5">
        <w:rPr>
          <w:sz w:val="22"/>
          <w:szCs w:val="22"/>
          <w:lang w:val="en-GB"/>
        </w:rPr>
        <w:t xml:space="preserve">, Barrett, &amp; Dopson, 2013), the degree of openness in innovation of firms </w:t>
      </w:r>
      <w:r w:rsidR="007A7394">
        <w:rPr>
          <w:sz w:val="22"/>
          <w:szCs w:val="22"/>
          <w:lang w:val="en-GB"/>
        </w:rPr>
        <w:t xml:space="preserve">can be conceptualized </w:t>
      </w:r>
      <w:r w:rsidRPr="006C6BB5">
        <w:rPr>
          <w:sz w:val="22"/>
          <w:szCs w:val="22"/>
          <w:lang w:val="en-GB"/>
        </w:rPr>
        <w:t xml:space="preserve">in terms of the breadth and depth of their external search strategies. </w:t>
      </w:r>
      <w:r w:rsidR="00DD798E" w:rsidRPr="006C6BB5">
        <w:rPr>
          <w:sz w:val="22"/>
          <w:szCs w:val="22"/>
          <w:lang w:val="en-GB"/>
        </w:rPr>
        <w:t>In particular,</w:t>
      </w:r>
      <w:r w:rsidR="00AA7CBD" w:rsidRPr="006C6BB5">
        <w:rPr>
          <w:sz w:val="22"/>
          <w:szCs w:val="22"/>
          <w:lang w:val="en-GB"/>
        </w:rPr>
        <w:t xml:space="preserve"> </w:t>
      </w:r>
      <w:r w:rsidR="00DD798E" w:rsidRPr="006C6BB5">
        <w:rPr>
          <w:sz w:val="22"/>
          <w:szCs w:val="22"/>
          <w:lang w:val="en-GB"/>
        </w:rPr>
        <w:t>external search breadth</w:t>
      </w:r>
      <w:r w:rsidR="0013011E" w:rsidRPr="006C6BB5">
        <w:rPr>
          <w:sz w:val="22"/>
          <w:szCs w:val="22"/>
          <w:lang w:val="en-GB"/>
        </w:rPr>
        <w:t xml:space="preserve"> </w:t>
      </w:r>
      <w:r w:rsidR="007A7394">
        <w:rPr>
          <w:sz w:val="22"/>
          <w:szCs w:val="22"/>
          <w:lang w:val="en-GB"/>
        </w:rPr>
        <w:t xml:space="preserve">refers </w:t>
      </w:r>
      <w:r w:rsidR="00D23BAF">
        <w:rPr>
          <w:sz w:val="22"/>
          <w:szCs w:val="22"/>
          <w:lang w:val="en-GB"/>
        </w:rPr>
        <w:t xml:space="preserve">to </w:t>
      </w:r>
      <w:r w:rsidR="00D23BAF" w:rsidRPr="006C6BB5">
        <w:rPr>
          <w:sz w:val="22"/>
          <w:szCs w:val="22"/>
          <w:lang w:val="en-GB"/>
        </w:rPr>
        <w:t>the</w:t>
      </w:r>
      <w:r w:rsidR="0013011E" w:rsidRPr="006C6BB5">
        <w:rPr>
          <w:sz w:val="22"/>
          <w:szCs w:val="22"/>
          <w:lang w:val="en-GB"/>
        </w:rPr>
        <w:t xml:space="preserve"> diversity of </w:t>
      </w:r>
      <w:r w:rsidRPr="006C6BB5">
        <w:rPr>
          <w:sz w:val="22"/>
          <w:szCs w:val="22"/>
          <w:lang w:val="en-GB"/>
        </w:rPr>
        <w:t>external sources of knowledge for innovative activities</w:t>
      </w:r>
      <w:r w:rsidR="0013011E" w:rsidRPr="006C6BB5">
        <w:rPr>
          <w:sz w:val="22"/>
          <w:szCs w:val="22"/>
          <w:lang w:val="en-GB"/>
        </w:rPr>
        <w:t xml:space="preserve"> (different categori</w:t>
      </w:r>
      <w:r w:rsidR="00BE6895" w:rsidRPr="006C6BB5">
        <w:rPr>
          <w:sz w:val="22"/>
          <w:szCs w:val="22"/>
          <w:lang w:val="en-GB"/>
        </w:rPr>
        <w:t xml:space="preserve">es of firms, universities, and </w:t>
      </w:r>
      <w:r w:rsidR="0013011E" w:rsidRPr="006C6BB5">
        <w:rPr>
          <w:sz w:val="22"/>
          <w:szCs w:val="22"/>
          <w:lang w:val="en-GB"/>
        </w:rPr>
        <w:t>research or technology institutions</w:t>
      </w:r>
      <w:r w:rsidR="00A56A4B" w:rsidRPr="006C6BB5">
        <w:rPr>
          <w:sz w:val="22"/>
          <w:szCs w:val="22"/>
          <w:lang w:val="en-GB"/>
        </w:rPr>
        <w:t xml:space="preserve">, </w:t>
      </w:r>
      <w:r w:rsidR="00BE6895" w:rsidRPr="006C6BB5">
        <w:rPr>
          <w:sz w:val="22"/>
          <w:szCs w:val="22"/>
          <w:lang w:val="en-GB"/>
        </w:rPr>
        <w:t>as well as other specialized sources such as conferences or trade fairs</w:t>
      </w:r>
      <w:r w:rsidR="0013011E" w:rsidRPr="006C6BB5">
        <w:rPr>
          <w:sz w:val="22"/>
          <w:szCs w:val="22"/>
          <w:lang w:val="en-GB"/>
        </w:rPr>
        <w:t>)</w:t>
      </w:r>
      <w:r w:rsidR="00B54B86" w:rsidRPr="006C6BB5">
        <w:rPr>
          <w:sz w:val="22"/>
          <w:szCs w:val="22"/>
          <w:lang w:val="en-GB"/>
        </w:rPr>
        <w:t>.</w:t>
      </w:r>
      <w:r w:rsidR="0013011E" w:rsidRPr="006C6BB5">
        <w:rPr>
          <w:sz w:val="22"/>
          <w:szCs w:val="22"/>
          <w:lang w:val="en-GB"/>
        </w:rPr>
        <w:t xml:space="preserve"> </w:t>
      </w:r>
      <w:r w:rsidR="00DD798E" w:rsidRPr="006C6BB5">
        <w:rPr>
          <w:sz w:val="22"/>
          <w:szCs w:val="22"/>
          <w:lang w:val="en-GB"/>
        </w:rPr>
        <w:t xml:space="preserve">External search </w:t>
      </w:r>
      <w:r w:rsidR="0013011E" w:rsidRPr="006C6BB5">
        <w:rPr>
          <w:sz w:val="22"/>
          <w:szCs w:val="22"/>
          <w:lang w:val="en-GB"/>
        </w:rPr>
        <w:t>depth is understood in terms of the importance of these external sources of kn</w:t>
      </w:r>
      <w:r w:rsidRPr="006C6BB5">
        <w:rPr>
          <w:sz w:val="22"/>
          <w:szCs w:val="22"/>
          <w:lang w:val="en-GB"/>
        </w:rPr>
        <w:t>owledge</w:t>
      </w:r>
      <w:r w:rsidR="006B525C" w:rsidRPr="006C6BB5">
        <w:rPr>
          <w:sz w:val="22"/>
          <w:szCs w:val="22"/>
          <w:lang w:val="en-GB"/>
        </w:rPr>
        <w:t>.</w:t>
      </w:r>
      <w:r w:rsidR="0013011E" w:rsidRPr="006C6BB5">
        <w:rPr>
          <w:i/>
          <w:sz w:val="22"/>
          <w:szCs w:val="22"/>
          <w:lang w:val="en-GB"/>
        </w:rPr>
        <w:t xml:space="preserve"> </w:t>
      </w:r>
      <w:r w:rsidR="0013011E" w:rsidRPr="006C6BB5">
        <w:rPr>
          <w:sz w:val="22"/>
          <w:szCs w:val="22"/>
          <w:lang w:val="en-GB"/>
        </w:rPr>
        <w:t>Both</w:t>
      </w:r>
      <w:r w:rsidR="00AE3BB9" w:rsidRPr="006C6BB5">
        <w:rPr>
          <w:sz w:val="22"/>
          <w:szCs w:val="22"/>
          <w:lang w:val="en-GB"/>
        </w:rPr>
        <w:t xml:space="preserve"> </w:t>
      </w:r>
      <w:r w:rsidR="00DD798E" w:rsidRPr="006C6BB5">
        <w:rPr>
          <w:sz w:val="22"/>
          <w:szCs w:val="22"/>
          <w:lang w:val="en-GB"/>
        </w:rPr>
        <w:t>external search</w:t>
      </w:r>
      <w:r w:rsidR="0013011E" w:rsidRPr="006C6BB5">
        <w:rPr>
          <w:sz w:val="22"/>
          <w:szCs w:val="22"/>
          <w:lang w:val="en-GB"/>
        </w:rPr>
        <w:t xml:space="preserve"> breadth and depth can then </w:t>
      </w:r>
      <w:r w:rsidR="00966BA5" w:rsidRPr="006C6BB5">
        <w:rPr>
          <w:sz w:val="22"/>
          <w:szCs w:val="22"/>
          <w:lang w:val="en-GB"/>
        </w:rPr>
        <w:t>characterize</w:t>
      </w:r>
      <w:r w:rsidR="0013011E" w:rsidRPr="006C6BB5">
        <w:rPr>
          <w:sz w:val="22"/>
          <w:szCs w:val="22"/>
          <w:lang w:val="en-GB"/>
        </w:rPr>
        <w:t xml:space="preserve"> a firm’s </w:t>
      </w:r>
      <w:r w:rsidR="00AA7CBD" w:rsidRPr="006C6BB5">
        <w:rPr>
          <w:sz w:val="22"/>
          <w:szCs w:val="22"/>
          <w:lang w:val="en-GB"/>
        </w:rPr>
        <w:t>degree of openness in its innovation process</w:t>
      </w:r>
      <w:r w:rsidR="000E4B99" w:rsidRPr="006C6BB5">
        <w:rPr>
          <w:sz w:val="22"/>
          <w:szCs w:val="22"/>
          <w:lang w:val="en-GB"/>
        </w:rPr>
        <w:t>.</w:t>
      </w:r>
      <w:r w:rsidR="0013011E" w:rsidRPr="006C6BB5">
        <w:rPr>
          <w:sz w:val="22"/>
          <w:szCs w:val="22"/>
          <w:lang w:val="en-GB"/>
        </w:rPr>
        <w:t xml:space="preserve"> </w:t>
      </w:r>
      <w:r w:rsidR="00AA7CBD" w:rsidRPr="006C6BB5">
        <w:rPr>
          <w:sz w:val="22"/>
          <w:szCs w:val="22"/>
          <w:lang w:val="en-GB"/>
        </w:rPr>
        <w:t xml:space="preserve">A number of </w:t>
      </w:r>
      <w:r w:rsidR="002145D4" w:rsidRPr="006C6BB5">
        <w:rPr>
          <w:sz w:val="22"/>
          <w:szCs w:val="22"/>
          <w:lang w:val="en-GB"/>
        </w:rPr>
        <w:t xml:space="preserve">prior </w:t>
      </w:r>
      <w:r w:rsidR="00AA7CBD" w:rsidRPr="006C6BB5">
        <w:rPr>
          <w:sz w:val="22"/>
          <w:szCs w:val="22"/>
          <w:lang w:val="en-GB"/>
        </w:rPr>
        <w:t xml:space="preserve">contributions </w:t>
      </w:r>
      <w:r w:rsidR="00F222F3" w:rsidRPr="006C6BB5">
        <w:rPr>
          <w:sz w:val="22"/>
          <w:szCs w:val="22"/>
          <w:lang w:val="en-GB"/>
        </w:rPr>
        <w:t xml:space="preserve">already </w:t>
      </w:r>
      <w:r w:rsidR="00AE3BB9" w:rsidRPr="006C6BB5">
        <w:rPr>
          <w:sz w:val="22"/>
          <w:szCs w:val="22"/>
          <w:lang w:val="en-GB"/>
        </w:rPr>
        <w:t>s</w:t>
      </w:r>
      <w:r w:rsidR="00B54B86" w:rsidRPr="006C6BB5">
        <w:rPr>
          <w:sz w:val="22"/>
          <w:szCs w:val="22"/>
          <w:lang w:val="en-GB"/>
        </w:rPr>
        <w:t>uggest</w:t>
      </w:r>
      <w:r w:rsidR="00AA7CBD" w:rsidRPr="006C6BB5">
        <w:rPr>
          <w:sz w:val="22"/>
          <w:szCs w:val="22"/>
          <w:lang w:val="en-GB"/>
        </w:rPr>
        <w:t xml:space="preserve"> that in </w:t>
      </w:r>
      <w:r w:rsidR="00AA7CBD" w:rsidRPr="006C6BB5">
        <w:rPr>
          <w:sz w:val="22"/>
          <w:szCs w:val="22"/>
          <w:lang w:val="en-GB"/>
        </w:rPr>
        <w:lastRenderedPageBreak/>
        <w:t xml:space="preserve">the context of open innovation </w:t>
      </w:r>
      <w:r w:rsidR="002145D4" w:rsidRPr="006C6BB5">
        <w:rPr>
          <w:sz w:val="22"/>
          <w:szCs w:val="22"/>
          <w:lang w:val="en-GB"/>
        </w:rPr>
        <w:t xml:space="preserve">the systematic use of appropriation mechanisms is relevant </w:t>
      </w:r>
      <w:r w:rsidR="00AA7CBD" w:rsidRPr="006C6BB5">
        <w:rPr>
          <w:sz w:val="22"/>
          <w:szCs w:val="22"/>
          <w:lang w:val="en-GB"/>
        </w:rPr>
        <w:t xml:space="preserve">as it ensures that firms can still capture value from their innovative activities while they </w:t>
      </w:r>
      <w:r w:rsidR="00502C58">
        <w:rPr>
          <w:sz w:val="22"/>
          <w:szCs w:val="22"/>
          <w:lang w:val="en-GB"/>
        </w:rPr>
        <w:t>search extensively across their external</w:t>
      </w:r>
      <w:r w:rsidR="00AA7CBD" w:rsidRPr="006C6BB5">
        <w:rPr>
          <w:sz w:val="22"/>
          <w:szCs w:val="22"/>
          <w:lang w:val="en-GB"/>
        </w:rPr>
        <w:t xml:space="preserve"> partners (</w:t>
      </w:r>
      <w:proofErr w:type="spellStart"/>
      <w:r w:rsidR="00AA7CBD" w:rsidRPr="006C6BB5">
        <w:rPr>
          <w:sz w:val="22"/>
          <w:szCs w:val="22"/>
          <w:lang w:val="en-GB"/>
        </w:rPr>
        <w:t>Sandully</w:t>
      </w:r>
      <w:proofErr w:type="spellEnd"/>
      <w:r w:rsidR="00A56A4B" w:rsidRPr="006C6BB5">
        <w:rPr>
          <w:sz w:val="22"/>
          <w:szCs w:val="22"/>
          <w:lang w:val="en-GB"/>
        </w:rPr>
        <w:t xml:space="preserve"> &amp; Chesbrough, 2009; Laursen &amp; Salter, 2014; Hagedoorn &amp;</w:t>
      </w:r>
      <w:r w:rsidR="00AA7CBD" w:rsidRPr="006C6BB5">
        <w:rPr>
          <w:sz w:val="22"/>
          <w:szCs w:val="22"/>
          <w:lang w:val="en-GB"/>
        </w:rPr>
        <w:t xml:space="preserve"> Zobel, 2015; </w:t>
      </w:r>
      <w:r w:rsidR="00AA7CBD" w:rsidRPr="00A9230E">
        <w:rPr>
          <w:sz w:val="22"/>
          <w:szCs w:val="22"/>
          <w:lang w:val="en-GB"/>
        </w:rPr>
        <w:t>Zobel, Ba</w:t>
      </w:r>
      <w:r w:rsidR="00A56A4B" w:rsidRPr="00A9230E">
        <w:rPr>
          <w:sz w:val="22"/>
          <w:szCs w:val="22"/>
          <w:lang w:val="en-GB"/>
        </w:rPr>
        <w:t>lsmeier, &amp;</w:t>
      </w:r>
      <w:r w:rsidR="006531C2" w:rsidRPr="00A9230E">
        <w:rPr>
          <w:sz w:val="22"/>
          <w:szCs w:val="22"/>
          <w:lang w:val="en-GB"/>
        </w:rPr>
        <w:t xml:space="preserve"> Chesbrough, 2016</w:t>
      </w:r>
      <w:r w:rsidR="006531C2" w:rsidRPr="006C6BB5">
        <w:rPr>
          <w:sz w:val="22"/>
          <w:szCs w:val="22"/>
          <w:lang w:val="en-GB"/>
        </w:rPr>
        <w:t>).</w:t>
      </w:r>
      <w:r w:rsidR="00AA7CBD" w:rsidRPr="006C6BB5">
        <w:rPr>
          <w:sz w:val="22"/>
          <w:szCs w:val="22"/>
          <w:lang w:val="en-GB"/>
        </w:rPr>
        <w:t xml:space="preserve"> </w:t>
      </w:r>
    </w:p>
    <w:p w14:paraId="5645F042" w14:textId="3B18DAF7" w:rsidR="00AA7CBD" w:rsidRPr="006C6BB5" w:rsidRDefault="000E4B99" w:rsidP="002145D4">
      <w:pPr>
        <w:ind w:firstLine="720"/>
        <w:rPr>
          <w:strike/>
          <w:sz w:val="22"/>
          <w:szCs w:val="22"/>
          <w:lang w:val="en-GB"/>
        </w:rPr>
      </w:pPr>
      <w:r w:rsidRPr="006C6BB5">
        <w:rPr>
          <w:sz w:val="22"/>
          <w:szCs w:val="22"/>
          <w:lang w:val="en-GB"/>
        </w:rPr>
        <w:t>First, f</w:t>
      </w:r>
      <w:r w:rsidR="00AE3BB9" w:rsidRPr="006C6BB5">
        <w:rPr>
          <w:sz w:val="22"/>
          <w:szCs w:val="22"/>
          <w:lang w:val="en-GB"/>
        </w:rPr>
        <w:t>ormal appropriation mechanisms, such as patents, trademarks, copyrights, and design rights provide a certain degree of knowledge protection, such that the intangible assets of firms are difficult to imitate or appropriate by their partner firms</w:t>
      </w:r>
      <w:r w:rsidR="00592FD1" w:rsidRPr="006C6BB5">
        <w:rPr>
          <w:sz w:val="22"/>
          <w:szCs w:val="22"/>
          <w:lang w:val="en-GB"/>
        </w:rPr>
        <w:t xml:space="preserve"> (</w:t>
      </w:r>
      <w:proofErr w:type="spellStart"/>
      <w:r w:rsidR="00592FD1" w:rsidRPr="006C6BB5">
        <w:rPr>
          <w:sz w:val="22"/>
          <w:szCs w:val="22"/>
          <w:lang w:val="en-GB"/>
        </w:rPr>
        <w:t>Dubiansky</w:t>
      </w:r>
      <w:proofErr w:type="spellEnd"/>
      <w:r w:rsidR="00592FD1" w:rsidRPr="006C6BB5">
        <w:rPr>
          <w:sz w:val="22"/>
          <w:szCs w:val="22"/>
          <w:lang w:val="en-GB"/>
        </w:rPr>
        <w:t xml:space="preserve">, 2006; Graham &amp; Mowery, 2006; Pisano &amp; </w:t>
      </w:r>
      <w:proofErr w:type="spellStart"/>
      <w:r w:rsidR="00592FD1" w:rsidRPr="006C6BB5">
        <w:rPr>
          <w:sz w:val="22"/>
          <w:szCs w:val="22"/>
          <w:lang w:val="en-GB"/>
        </w:rPr>
        <w:t>Teece</w:t>
      </w:r>
      <w:proofErr w:type="spellEnd"/>
      <w:r w:rsidR="00592FD1" w:rsidRPr="006C6BB5">
        <w:rPr>
          <w:sz w:val="22"/>
          <w:szCs w:val="22"/>
          <w:lang w:val="en-GB"/>
        </w:rPr>
        <w:t>, 2007)</w:t>
      </w:r>
      <w:r w:rsidR="00AE3BB9" w:rsidRPr="006C6BB5">
        <w:rPr>
          <w:sz w:val="22"/>
          <w:szCs w:val="22"/>
          <w:lang w:val="en-GB"/>
        </w:rPr>
        <w:t xml:space="preserve">. </w:t>
      </w:r>
      <w:r w:rsidR="00AA7CBD" w:rsidRPr="006C6BB5">
        <w:rPr>
          <w:sz w:val="22"/>
          <w:szCs w:val="22"/>
          <w:lang w:val="en-GB"/>
        </w:rPr>
        <w:t xml:space="preserve">The same logic </w:t>
      </w:r>
      <w:r w:rsidR="00A52BF2">
        <w:rPr>
          <w:sz w:val="22"/>
          <w:szCs w:val="22"/>
          <w:lang w:val="en-GB"/>
        </w:rPr>
        <w:t>applies</w:t>
      </w:r>
      <w:r w:rsidR="00AA7CBD" w:rsidRPr="006C6BB5">
        <w:rPr>
          <w:sz w:val="22"/>
          <w:szCs w:val="22"/>
          <w:lang w:val="en-GB"/>
        </w:rPr>
        <w:t xml:space="preserve"> for open innovation activities involving a non-firm partner, such as a university or research institute, where a firm faces the inherent risk that its partner also works with competing firms - currently or in the future – that are potential imitators of its innovative efforts. Furthermore, formal appropriation mechanisms prevent potential free riding </w:t>
      </w:r>
      <w:r w:rsidR="00A52BF2" w:rsidRPr="006C6BB5">
        <w:rPr>
          <w:sz w:val="22"/>
          <w:szCs w:val="22"/>
          <w:lang w:val="en-GB"/>
        </w:rPr>
        <w:t>behaviour</w:t>
      </w:r>
      <w:r w:rsidR="00AA7CBD" w:rsidRPr="006C6BB5">
        <w:rPr>
          <w:sz w:val="22"/>
          <w:szCs w:val="22"/>
          <w:lang w:val="en-GB"/>
        </w:rPr>
        <w:t xml:space="preserve"> of all sorts of open innovation partners and secure transactions and exchanges of knowledge and technology (</w:t>
      </w:r>
      <w:proofErr w:type="spellStart"/>
      <w:r w:rsidR="00AA7CBD" w:rsidRPr="006C6BB5">
        <w:rPr>
          <w:sz w:val="22"/>
          <w:szCs w:val="22"/>
          <w:lang w:val="en-GB"/>
        </w:rPr>
        <w:t>Pénin</w:t>
      </w:r>
      <w:proofErr w:type="spellEnd"/>
      <w:r w:rsidR="00AA7CBD" w:rsidRPr="006C6BB5">
        <w:rPr>
          <w:sz w:val="22"/>
          <w:szCs w:val="22"/>
          <w:lang w:val="en-GB"/>
        </w:rPr>
        <w:t xml:space="preserve">, </w:t>
      </w:r>
      <w:proofErr w:type="spellStart"/>
      <w:r w:rsidR="00AA7CBD" w:rsidRPr="006C6BB5">
        <w:rPr>
          <w:sz w:val="22"/>
          <w:szCs w:val="22"/>
          <w:lang w:val="en-GB"/>
        </w:rPr>
        <w:t>Hussler</w:t>
      </w:r>
      <w:proofErr w:type="spellEnd"/>
      <w:r w:rsidR="00AA7CBD" w:rsidRPr="006C6BB5">
        <w:rPr>
          <w:sz w:val="22"/>
          <w:szCs w:val="22"/>
          <w:lang w:val="en-GB"/>
        </w:rPr>
        <w:t>, &amp; Burger-</w:t>
      </w:r>
      <w:proofErr w:type="spellStart"/>
      <w:r w:rsidR="00AA7CBD" w:rsidRPr="006C6BB5">
        <w:rPr>
          <w:sz w:val="22"/>
          <w:szCs w:val="22"/>
          <w:lang w:val="en-GB"/>
        </w:rPr>
        <w:t>Helmchen</w:t>
      </w:r>
      <w:proofErr w:type="spellEnd"/>
      <w:r w:rsidR="00AA7CBD" w:rsidRPr="006C6BB5">
        <w:rPr>
          <w:sz w:val="22"/>
          <w:szCs w:val="22"/>
          <w:lang w:val="en-GB"/>
        </w:rPr>
        <w:t xml:space="preserve">, 2011). </w:t>
      </w:r>
      <w:r w:rsidR="00927D0E" w:rsidRPr="006C6BB5">
        <w:rPr>
          <w:sz w:val="22"/>
          <w:szCs w:val="22"/>
          <w:lang w:val="en-GB"/>
        </w:rPr>
        <w:t>Consequently</w:t>
      </w:r>
      <w:r w:rsidR="00AA7CBD" w:rsidRPr="006C6BB5">
        <w:rPr>
          <w:sz w:val="22"/>
          <w:szCs w:val="22"/>
          <w:lang w:val="en-GB"/>
        </w:rPr>
        <w:t>, the more</w:t>
      </w:r>
      <w:r w:rsidR="002145D4" w:rsidRPr="006C6BB5">
        <w:rPr>
          <w:sz w:val="22"/>
          <w:szCs w:val="22"/>
          <w:lang w:val="en-GB"/>
        </w:rPr>
        <w:t xml:space="preserve"> broadly and deeply</w:t>
      </w:r>
      <w:r w:rsidR="00AA7CBD" w:rsidRPr="006C6BB5">
        <w:rPr>
          <w:sz w:val="22"/>
          <w:szCs w:val="22"/>
          <w:lang w:val="en-GB"/>
        </w:rPr>
        <w:t xml:space="preserve"> firms </w:t>
      </w:r>
      <w:r w:rsidR="00DD798E" w:rsidRPr="006C6BB5">
        <w:rPr>
          <w:sz w:val="22"/>
          <w:szCs w:val="22"/>
          <w:lang w:val="en-GB"/>
        </w:rPr>
        <w:t>search across</w:t>
      </w:r>
      <w:r w:rsidR="00AA7CBD" w:rsidRPr="006C6BB5">
        <w:rPr>
          <w:sz w:val="22"/>
          <w:szCs w:val="22"/>
          <w:lang w:val="en-GB"/>
        </w:rPr>
        <w:t xml:space="preserve"> a range of external partners, the more they are expected to use formal appropriation mechanisms to protect their innovative ca</w:t>
      </w:r>
      <w:r w:rsidR="00AE3BB9" w:rsidRPr="006C6BB5">
        <w:rPr>
          <w:sz w:val="22"/>
          <w:szCs w:val="22"/>
          <w:lang w:val="en-GB"/>
        </w:rPr>
        <w:t xml:space="preserve">pabilities and </w:t>
      </w:r>
      <w:r w:rsidR="00AA7CBD" w:rsidRPr="006C6BB5">
        <w:rPr>
          <w:sz w:val="22"/>
          <w:szCs w:val="22"/>
          <w:lang w:val="en-GB"/>
        </w:rPr>
        <w:t>output</w:t>
      </w:r>
      <w:r w:rsidR="00AE3BB9" w:rsidRPr="006C6BB5">
        <w:rPr>
          <w:sz w:val="22"/>
          <w:szCs w:val="22"/>
          <w:lang w:val="en-GB"/>
        </w:rPr>
        <w:t>s</w:t>
      </w:r>
      <w:r w:rsidR="00AA7CBD" w:rsidRPr="006C6BB5">
        <w:rPr>
          <w:sz w:val="22"/>
          <w:szCs w:val="22"/>
          <w:lang w:val="en-GB"/>
        </w:rPr>
        <w:t xml:space="preserve">. </w:t>
      </w:r>
    </w:p>
    <w:p w14:paraId="541F05B8" w14:textId="1A684EEB" w:rsidR="00AA7CBD" w:rsidRPr="006C6BB5" w:rsidRDefault="00592FD1" w:rsidP="00AA7CBD">
      <w:pPr>
        <w:ind w:firstLine="720"/>
        <w:contextualSpacing/>
        <w:rPr>
          <w:sz w:val="22"/>
          <w:szCs w:val="22"/>
          <w:lang w:val="en-GB"/>
        </w:rPr>
      </w:pPr>
      <w:r w:rsidRPr="006C6BB5">
        <w:rPr>
          <w:sz w:val="22"/>
          <w:szCs w:val="22"/>
          <w:lang w:val="en-GB"/>
        </w:rPr>
        <w:t>Prior</w:t>
      </w:r>
      <w:r w:rsidR="00AA7CBD" w:rsidRPr="006C6BB5">
        <w:rPr>
          <w:sz w:val="22"/>
          <w:szCs w:val="22"/>
          <w:lang w:val="en-GB"/>
        </w:rPr>
        <w:t xml:space="preserve"> literature also reveals a range of other motives for using f</w:t>
      </w:r>
      <w:r w:rsidR="00AE3BB9" w:rsidRPr="006C6BB5">
        <w:rPr>
          <w:sz w:val="22"/>
          <w:szCs w:val="22"/>
          <w:lang w:val="en-GB"/>
        </w:rPr>
        <w:t xml:space="preserve">ormal appropriation mechanisms </w:t>
      </w:r>
      <w:r w:rsidR="00AA7CBD" w:rsidRPr="006C6BB5">
        <w:rPr>
          <w:sz w:val="22"/>
          <w:szCs w:val="22"/>
          <w:lang w:val="en-GB"/>
        </w:rPr>
        <w:t xml:space="preserve">in the context of open innovation. Intellectual property (e.g. patents) can be used for determining the scope of joint innovation efforts or as a </w:t>
      </w:r>
      <w:r w:rsidR="00D23BAF" w:rsidRPr="006C6BB5">
        <w:rPr>
          <w:sz w:val="22"/>
          <w:szCs w:val="22"/>
          <w:lang w:val="en-GB"/>
        </w:rPr>
        <w:t>signalling</w:t>
      </w:r>
      <w:r w:rsidR="00AA7CBD" w:rsidRPr="006C6BB5">
        <w:rPr>
          <w:sz w:val="22"/>
          <w:szCs w:val="22"/>
          <w:lang w:val="en-GB"/>
        </w:rPr>
        <w:t xml:space="preserve"> device for indicating the firm’s innovative capability to potential partners (</w:t>
      </w:r>
      <w:proofErr w:type="spellStart"/>
      <w:r w:rsidR="00AA7CBD" w:rsidRPr="006C6BB5">
        <w:rPr>
          <w:sz w:val="22"/>
          <w:szCs w:val="22"/>
          <w:lang w:val="en-GB"/>
        </w:rPr>
        <w:t>Alexy</w:t>
      </w:r>
      <w:proofErr w:type="spellEnd"/>
      <w:r w:rsidR="00AA7CBD" w:rsidRPr="006C6BB5">
        <w:rPr>
          <w:sz w:val="22"/>
          <w:szCs w:val="22"/>
          <w:lang w:val="en-GB"/>
        </w:rPr>
        <w:t xml:space="preserve">, </w:t>
      </w:r>
      <w:proofErr w:type="spellStart"/>
      <w:r w:rsidR="00AA7CBD" w:rsidRPr="006C6BB5">
        <w:rPr>
          <w:sz w:val="22"/>
          <w:szCs w:val="22"/>
          <w:lang w:val="en-GB"/>
        </w:rPr>
        <w:t>Criscuolo</w:t>
      </w:r>
      <w:proofErr w:type="spellEnd"/>
      <w:r w:rsidR="00AA7CBD" w:rsidRPr="006C6BB5">
        <w:rPr>
          <w:sz w:val="22"/>
          <w:szCs w:val="22"/>
          <w:lang w:val="en-GB"/>
        </w:rPr>
        <w:t xml:space="preserve">, &amp; Salter, 2009; Hsu &amp; </w:t>
      </w:r>
      <w:proofErr w:type="spellStart"/>
      <w:r w:rsidR="00AA7CBD" w:rsidRPr="006C6BB5">
        <w:rPr>
          <w:sz w:val="22"/>
          <w:szCs w:val="22"/>
          <w:lang w:val="en-GB"/>
        </w:rPr>
        <w:t>Ziedonis</w:t>
      </w:r>
      <w:proofErr w:type="spellEnd"/>
      <w:r w:rsidR="00AA7CBD" w:rsidRPr="006C6BB5">
        <w:rPr>
          <w:sz w:val="22"/>
          <w:szCs w:val="22"/>
          <w:lang w:val="en-GB"/>
        </w:rPr>
        <w:t>, 2013). It can also help to structure and coordinate R&amp;D collaborations by providing an improved and more transparent basis for negotiation (</w:t>
      </w:r>
      <w:proofErr w:type="spellStart"/>
      <w:r w:rsidR="00AA7CBD" w:rsidRPr="006C6BB5">
        <w:rPr>
          <w:sz w:val="22"/>
          <w:szCs w:val="22"/>
          <w:lang w:val="en-GB"/>
        </w:rPr>
        <w:t>Pénin</w:t>
      </w:r>
      <w:proofErr w:type="spellEnd"/>
      <w:r w:rsidR="00AA7CBD" w:rsidRPr="006C6BB5">
        <w:rPr>
          <w:sz w:val="22"/>
          <w:szCs w:val="22"/>
          <w:lang w:val="en-GB"/>
        </w:rPr>
        <w:t xml:space="preserve">, </w:t>
      </w:r>
      <w:proofErr w:type="spellStart"/>
      <w:r w:rsidR="00AA7CBD" w:rsidRPr="006C6BB5">
        <w:rPr>
          <w:sz w:val="22"/>
          <w:szCs w:val="22"/>
          <w:lang w:val="en-GB"/>
        </w:rPr>
        <w:t>Hussler</w:t>
      </w:r>
      <w:proofErr w:type="spellEnd"/>
      <w:r w:rsidR="00AA7CBD" w:rsidRPr="006C6BB5">
        <w:rPr>
          <w:sz w:val="22"/>
          <w:szCs w:val="22"/>
          <w:lang w:val="en-GB"/>
        </w:rPr>
        <w:t>, &amp; Burger-</w:t>
      </w:r>
      <w:proofErr w:type="spellStart"/>
      <w:r w:rsidR="00AA7CBD" w:rsidRPr="006C6BB5">
        <w:rPr>
          <w:sz w:val="22"/>
          <w:szCs w:val="22"/>
          <w:lang w:val="en-GB"/>
        </w:rPr>
        <w:t>Helmchen</w:t>
      </w:r>
      <w:proofErr w:type="spellEnd"/>
      <w:r w:rsidR="00AA7CBD" w:rsidRPr="006C6BB5">
        <w:rPr>
          <w:sz w:val="22"/>
          <w:szCs w:val="22"/>
          <w:lang w:val="en-GB"/>
        </w:rPr>
        <w:t>, 2011). Furthermore, the existence of formal appropriation mechanisms facilitates knowledge sharing as this implies that there is relevant knowledge in codified form that can be more easily transferred between partners, at the same time providing a shield under which knowledge is shared during the exchange (</w:t>
      </w:r>
      <w:proofErr w:type="spellStart"/>
      <w:r w:rsidR="00AA7CBD" w:rsidRPr="006C6BB5">
        <w:rPr>
          <w:sz w:val="22"/>
          <w:szCs w:val="22"/>
          <w:lang w:val="en-GB"/>
        </w:rPr>
        <w:t>Hurmelinna</w:t>
      </w:r>
      <w:proofErr w:type="spellEnd"/>
      <w:r w:rsidR="00AA7CBD" w:rsidRPr="006C6BB5">
        <w:rPr>
          <w:sz w:val="22"/>
          <w:szCs w:val="22"/>
          <w:lang w:val="en-GB"/>
        </w:rPr>
        <w:t>,</w:t>
      </w:r>
      <w:r w:rsidR="00A56A4B" w:rsidRPr="006C6BB5">
        <w:rPr>
          <w:sz w:val="22"/>
          <w:szCs w:val="22"/>
          <w:lang w:val="en-GB"/>
        </w:rPr>
        <w:t xml:space="preserve"> </w:t>
      </w:r>
      <w:proofErr w:type="spellStart"/>
      <w:r w:rsidR="00AA7CBD" w:rsidRPr="006C6BB5">
        <w:rPr>
          <w:sz w:val="22"/>
          <w:szCs w:val="22"/>
          <w:lang w:val="en-GB"/>
        </w:rPr>
        <w:t>Kyläheiko</w:t>
      </w:r>
      <w:proofErr w:type="spellEnd"/>
      <w:r w:rsidR="00AA7CBD" w:rsidRPr="006C6BB5">
        <w:rPr>
          <w:sz w:val="22"/>
          <w:szCs w:val="22"/>
          <w:lang w:val="en-GB"/>
        </w:rPr>
        <w:t xml:space="preserve">, &amp; </w:t>
      </w:r>
      <w:proofErr w:type="spellStart"/>
      <w:r w:rsidR="00AA7CBD" w:rsidRPr="006C6BB5">
        <w:rPr>
          <w:sz w:val="22"/>
          <w:szCs w:val="22"/>
          <w:lang w:val="en-GB"/>
        </w:rPr>
        <w:t>Jauhiainen</w:t>
      </w:r>
      <w:proofErr w:type="spellEnd"/>
      <w:r w:rsidR="00AA7CBD" w:rsidRPr="006C6BB5">
        <w:rPr>
          <w:sz w:val="22"/>
          <w:szCs w:val="22"/>
          <w:lang w:val="en-GB"/>
        </w:rPr>
        <w:t xml:space="preserve">, 2007; </w:t>
      </w:r>
      <w:proofErr w:type="spellStart"/>
      <w:r w:rsidR="00AA7CBD" w:rsidRPr="006C6BB5">
        <w:rPr>
          <w:sz w:val="22"/>
          <w:szCs w:val="22"/>
          <w:lang w:val="en-GB"/>
        </w:rPr>
        <w:t>Alexy</w:t>
      </w:r>
      <w:proofErr w:type="spellEnd"/>
      <w:r w:rsidR="00AA7CBD" w:rsidRPr="006C6BB5">
        <w:rPr>
          <w:sz w:val="22"/>
          <w:szCs w:val="22"/>
          <w:lang w:val="en-GB"/>
        </w:rPr>
        <w:t xml:space="preserve">, </w:t>
      </w:r>
      <w:proofErr w:type="spellStart"/>
      <w:r w:rsidR="00AA7CBD" w:rsidRPr="006C6BB5">
        <w:rPr>
          <w:sz w:val="22"/>
          <w:szCs w:val="22"/>
          <w:lang w:val="en-GB"/>
        </w:rPr>
        <w:t>Criscuolo</w:t>
      </w:r>
      <w:proofErr w:type="spellEnd"/>
      <w:r w:rsidR="00AA7CBD" w:rsidRPr="006C6BB5">
        <w:rPr>
          <w:sz w:val="22"/>
          <w:szCs w:val="22"/>
          <w:lang w:val="en-GB"/>
        </w:rPr>
        <w:t xml:space="preserve">, &amp; Salter, </w:t>
      </w:r>
      <w:r w:rsidR="002145D4" w:rsidRPr="006C6BB5">
        <w:rPr>
          <w:sz w:val="22"/>
          <w:szCs w:val="22"/>
          <w:lang w:val="en-GB"/>
        </w:rPr>
        <w:t xml:space="preserve">2009; </w:t>
      </w:r>
      <w:proofErr w:type="spellStart"/>
      <w:r w:rsidR="002145D4" w:rsidRPr="006C6BB5">
        <w:rPr>
          <w:sz w:val="22"/>
          <w:szCs w:val="22"/>
          <w:lang w:val="en-GB"/>
        </w:rPr>
        <w:t>Kani</w:t>
      </w:r>
      <w:proofErr w:type="spellEnd"/>
      <w:r w:rsidR="002145D4" w:rsidRPr="006C6BB5">
        <w:rPr>
          <w:sz w:val="22"/>
          <w:szCs w:val="22"/>
          <w:lang w:val="en-GB"/>
        </w:rPr>
        <w:t xml:space="preserve"> &amp; </w:t>
      </w:r>
      <w:proofErr w:type="spellStart"/>
      <w:r w:rsidR="002145D4" w:rsidRPr="006C6BB5">
        <w:rPr>
          <w:sz w:val="22"/>
          <w:szCs w:val="22"/>
          <w:lang w:val="en-GB"/>
        </w:rPr>
        <w:t>Motohashi</w:t>
      </w:r>
      <w:proofErr w:type="spellEnd"/>
      <w:r w:rsidR="002145D4" w:rsidRPr="006C6BB5">
        <w:rPr>
          <w:sz w:val="22"/>
          <w:szCs w:val="22"/>
          <w:lang w:val="en-GB"/>
        </w:rPr>
        <w:t>, 2012). Jointly, t</w:t>
      </w:r>
      <w:r w:rsidR="00AA7CBD" w:rsidRPr="006C6BB5">
        <w:rPr>
          <w:sz w:val="22"/>
          <w:szCs w:val="22"/>
          <w:lang w:val="en-GB"/>
        </w:rPr>
        <w:t xml:space="preserve">hese underlying mechanisms suggest that keeping control over knowledge and technology via formal appropriation mechanisms is critical for firms that engage in open </w:t>
      </w:r>
      <w:r w:rsidR="002145D4" w:rsidRPr="006C6BB5">
        <w:rPr>
          <w:sz w:val="22"/>
          <w:szCs w:val="22"/>
          <w:lang w:val="en-GB"/>
        </w:rPr>
        <w:t xml:space="preserve">innovation and thereby, point to a positive </w:t>
      </w:r>
      <w:r w:rsidR="002145D4" w:rsidRPr="006C6BB5">
        <w:rPr>
          <w:sz w:val="22"/>
          <w:szCs w:val="22"/>
          <w:lang w:val="en-GB"/>
        </w:rPr>
        <w:lastRenderedPageBreak/>
        <w:t xml:space="preserve">association between </w:t>
      </w:r>
      <w:r w:rsidR="00DD798E" w:rsidRPr="006C6BB5">
        <w:rPr>
          <w:sz w:val="22"/>
          <w:szCs w:val="22"/>
          <w:lang w:val="en-GB"/>
        </w:rPr>
        <w:t>external search</w:t>
      </w:r>
      <w:r w:rsidR="002145D4" w:rsidRPr="006C6BB5">
        <w:rPr>
          <w:sz w:val="22"/>
          <w:szCs w:val="22"/>
          <w:lang w:val="en-GB"/>
        </w:rPr>
        <w:t xml:space="preserve"> breadth/depth and </w:t>
      </w:r>
      <w:r w:rsidR="000E4B99" w:rsidRPr="006C6BB5">
        <w:rPr>
          <w:sz w:val="22"/>
          <w:szCs w:val="22"/>
          <w:lang w:val="en-GB"/>
        </w:rPr>
        <w:t xml:space="preserve">the degree to which firms implement </w:t>
      </w:r>
      <w:r w:rsidR="002145D4" w:rsidRPr="006C6BB5">
        <w:rPr>
          <w:sz w:val="22"/>
          <w:szCs w:val="22"/>
          <w:lang w:val="en-GB"/>
        </w:rPr>
        <w:t xml:space="preserve">formal appropriation mechanisms. </w:t>
      </w:r>
    </w:p>
    <w:p w14:paraId="452B3358" w14:textId="2FB0B092" w:rsidR="00AA7CBD" w:rsidRPr="006C6BB5" w:rsidRDefault="000E4B99" w:rsidP="002145D4">
      <w:pPr>
        <w:spacing w:after="200"/>
        <w:ind w:firstLine="720"/>
        <w:contextualSpacing/>
        <w:rPr>
          <w:sz w:val="22"/>
          <w:szCs w:val="22"/>
          <w:lang w:val="en-GB"/>
        </w:rPr>
      </w:pPr>
      <w:r w:rsidRPr="006C6BB5">
        <w:rPr>
          <w:rFonts w:eastAsia="Calibri"/>
          <w:sz w:val="22"/>
          <w:szCs w:val="22"/>
          <w:lang w:val="en-GB"/>
        </w:rPr>
        <w:t>Second, p</w:t>
      </w:r>
      <w:r w:rsidR="00AA7CBD" w:rsidRPr="006C6BB5">
        <w:rPr>
          <w:rFonts w:eastAsia="Calibri"/>
          <w:sz w:val="22"/>
          <w:szCs w:val="22"/>
          <w:lang w:val="en-GB"/>
        </w:rPr>
        <w:t xml:space="preserve">revious studies show that firms </w:t>
      </w:r>
      <w:r w:rsidRPr="006C6BB5">
        <w:rPr>
          <w:rFonts w:eastAsia="Calibri"/>
          <w:sz w:val="22"/>
          <w:szCs w:val="22"/>
          <w:lang w:val="en-GB"/>
        </w:rPr>
        <w:t xml:space="preserve">also </w:t>
      </w:r>
      <w:r w:rsidR="00AA7CBD" w:rsidRPr="006C6BB5">
        <w:rPr>
          <w:rFonts w:eastAsia="Calibri"/>
          <w:sz w:val="22"/>
          <w:szCs w:val="22"/>
          <w:lang w:val="en-GB"/>
        </w:rPr>
        <w:t xml:space="preserve">use informal mechanisms, such as secrecy, lead-time, and complexity, </w:t>
      </w:r>
      <w:r w:rsidRPr="006C6BB5">
        <w:rPr>
          <w:rFonts w:eastAsia="Calibri"/>
          <w:sz w:val="22"/>
          <w:szCs w:val="22"/>
          <w:lang w:val="en-GB"/>
        </w:rPr>
        <w:t xml:space="preserve">to protect their innovative activities and outputs </w:t>
      </w:r>
      <w:r w:rsidR="002145D4" w:rsidRPr="006C6BB5">
        <w:rPr>
          <w:rFonts w:eastAsia="Calibri"/>
          <w:sz w:val="22"/>
          <w:szCs w:val="22"/>
          <w:lang w:val="en-GB"/>
        </w:rPr>
        <w:t xml:space="preserve">(James, </w:t>
      </w:r>
      <w:proofErr w:type="spellStart"/>
      <w:r w:rsidR="002145D4" w:rsidRPr="006C6BB5">
        <w:rPr>
          <w:rFonts w:eastAsia="Calibri"/>
          <w:sz w:val="22"/>
          <w:szCs w:val="22"/>
          <w:lang w:val="en-GB"/>
        </w:rPr>
        <w:t>Leiblein</w:t>
      </w:r>
      <w:proofErr w:type="spellEnd"/>
      <w:r w:rsidR="002145D4" w:rsidRPr="006C6BB5">
        <w:rPr>
          <w:rFonts w:eastAsia="Calibri"/>
          <w:sz w:val="22"/>
          <w:szCs w:val="22"/>
          <w:lang w:val="en-GB"/>
        </w:rPr>
        <w:t>, &amp; Lu, 2013</w:t>
      </w:r>
      <w:r w:rsidR="0069102C" w:rsidRPr="006C6BB5">
        <w:rPr>
          <w:rFonts w:eastAsia="Calibri"/>
          <w:sz w:val="22"/>
          <w:szCs w:val="22"/>
          <w:lang w:val="en-GB"/>
        </w:rPr>
        <w:t>; Hall et al.</w:t>
      </w:r>
      <w:r w:rsidR="0069102C" w:rsidRPr="006C6BB5">
        <w:rPr>
          <w:sz w:val="22"/>
          <w:szCs w:val="22"/>
          <w:lang w:val="en-GB"/>
        </w:rPr>
        <w:t xml:space="preserve">, </w:t>
      </w:r>
      <w:r w:rsidR="0069102C" w:rsidRPr="006C6BB5">
        <w:rPr>
          <w:rFonts w:eastAsia="Calibri"/>
          <w:sz w:val="22"/>
          <w:szCs w:val="22"/>
          <w:lang w:val="en-GB"/>
        </w:rPr>
        <w:t>2014</w:t>
      </w:r>
      <w:r w:rsidR="00AA7CBD" w:rsidRPr="006C6BB5">
        <w:rPr>
          <w:rFonts w:eastAsia="Calibri"/>
          <w:sz w:val="22"/>
          <w:szCs w:val="22"/>
          <w:lang w:val="en-GB"/>
        </w:rPr>
        <w:t xml:space="preserve">).  </w:t>
      </w:r>
      <w:r w:rsidRPr="006C6BB5">
        <w:rPr>
          <w:sz w:val="22"/>
          <w:szCs w:val="22"/>
          <w:lang w:val="en-GB"/>
        </w:rPr>
        <w:t>Similarly</w:t>
      </w:r>
      <w:r w:rsidR="002145D4" w:rsidRPr="006C6BB5">
        <w:rPr>
          <w:sz w:val="22"/>
          <w:szCs w:val="22"/>
          <w:lang w:val="en-GB"/>
        </w:rPr>
        <w:t>, p</w:t>
      </w:r>
      <w:r w:rsidR="00AA7CBD" w:rsidRPr="006C6BB5">
        <w:rPr>
          <w:sz w:val="22"/>
          <w:szCs w:val="22"/>
          <w:lang w:val="en-GB"/>
        </w:rPr>
        <w:t>rior research indicates that firms that operate in the context of open innovation not only pay attention to knowledge protection through formal appropriation mechanisms but they also consider informal appropriation mechanisms as an element of their overall appropriation strategy (</w:t>
      </w:r>
      <w:proofErr w:type="spellStart"/>
      <w:r w:rsidR="00AA7CBD" w:rsidRPr="006C6BB5">
        <w:rPr>
          <w:sz w:val="22"/>
          <w:szCs w:val="22"/>
          <w:lang w:val="en-GB"/>
        </w:rPr>
        <w:t>Luoma</w:t>
      </w:r>
      <w:proofErr w:type="spellEnd"/>
      <w:r w:rsidR="00AA7CBD" w:rsidRPr="006C6BB5">
        <w:rPr>
          <w:sz w:val="22"/>
          <w:szCs w:val="22"/>
          <w:lang w:val="en-GB"/>
        </w:rPr>
        <w:t xml:space="preserve">, </w:t>
      </w:r>
      <w:proofErr w:type="spellStart"/>
      <w:r w:rsidR="00AA7CBD" w:rsidRPr="006C6BB5">
        <w:rPr>
          <w:sz w:val="22"/>
          <w:szCs w:val="22"/>
          <w:lang w:val="en-GB"/>
        </w:rPr>
        <w:t>Paasi</w:t>
      </w:r>
      <w:proofErr w:type="spellEnd"/>
      <w:r w:rsidR="00AA7CBD" w:rsidRPr="006C6BB5">
        <w:rPr>
          <w:sz w:val="22"/>
          <w:szCs w:val="22"/>
          <w:lang w:val="en-GB"/>
        </w:rPr>
        <w:t xml:space="preserve">, &amp; </w:t>
      </w:r>
      <w:proofErr w:type="spellStart"/>
      <w:r w:rsidR="00AA7CBD" w:rsidRPr="00927D0E">
        <w:rPr>
          <w:sz w:val="22"/>
          <w:szCs w:val="22"/>
          <w:lang w:val="en-GB"/>
        </w:rPr>
        <w:t>Valkokari</w:t>
      </w:r>
      <w:proofErr w:type="spellEnd"/>
      <w:r w:rsidR="00AA7CBD" w:rsidRPr="00927D0E">
        <w:rPr>
          <w:sz w:val="22"/>
          <w:szCs w:val="22"/>
          <w:lang w:val="en-GB"/>
        </w:rPr>
        <w:t xml:space="preserve">, 2010; </w:t>
      </w:r>
      <w:proofErr w:type="spellStart"/>
      <w:r w:rsidR="00D06794" w:rsidRPr="00927D0E">
        <w:rPr>
          <w:sz w:val="22"/>
          <w:szCs w:val="22"/>
          <w:lang w:val="en-GB"/>
        </w:rPr>
        <w:t>Huizingh</w:t>
      </w:r>
      <w:proofErr w:type="spellEnd"/>
      <w:r w:rsidR="00D06794" w:rsidRPr="00927D0E">
        <w:rPr>
          <w:sz w:val="22"/>
          <w:szCs w:val="22"/>
          <w:lang w:val="en-GB"/>
        </w:rPr>
        <w:t xml:space="preserve">, 2011; </w:t>
      </w:r>
      <w:r w:rsidR="00AA7CBD" w:rsidRPr="00927D0E">
        <w:rPr>
          <w:sz w:val="22"/>
          <w:szCs w:val="22"/>
          <w:lang w:val="en-GB"/>
        </w:rPr>
        <w:t xml:space="preserve">Laursen &amp; Salter, 2014; Hagedoorn &amp; Zobel, 2015). </w:t>
      </w:r>
      <w:r w:rsidR="00DC4230" w:rsidRPr="00927D0E">
        <w:rPr>
          <w:sz w:val="22"/>
          <w:szCs w:val="22"/>
          <w:lang w:val="en-GB"/>
        </w:rPr>
        <w:t xml:space="preserve">As firms </w:t>
      </w:r>
      <w:r w:rsidR="00DD798E" w:rsidRPr="00927D0E">
        <w:rPr>
          <w:sz w:val="22"/>
          <w:szCs w:val="22"/>
          <w:lang w:val="en-GB"/>
        </w:rPr>
        <w:t>search</w:t>
      </w:r>
      <w:r w:rsidR="00DC4230" w:rsidRPr="00927D0E">
        <w:rPr>
          <w:sz w:val="22"/>
          <w:szCs w:val="22"/>
          <w:lang w:val="en-GB"/>
        </w:rPr>
        <w:t xml:space="preserve"> broadly </w:t>
      </w:r>
      <w:r w:rsidR="00DC4230" w:rsidRPr="006C6BB5">
        <w:rPr>
          <w:sz w:val="22"/>
          <w:szCs w:val="22"/>
          <w:lang w:val="en-GB"/>
        </w:rPr>
        <w:t xml:space="preserve">and deeply </w:t>
      </w:r>
      <w:r w:rsidR="00DD798E" w:rsidRPr="006C6BB5">
        <w:rPr>
          <w:sz w:val="22"/>
          <w:szCs w:val="22"/>
          <w:lang w:val="en-GB"/>
        </w:rPr>
        <w:t>across</w:t>
      </w:r>
      <w:r w:rsidR="00DC4230" w:rsidRPr="006C6BB5">
        <w:rPr>
          <w:sz w:val="22"/>
          <w:szCs w:val="22"/>
          <w:lang w:val="en-GB"/>
        </w:rPr>
        <w:t xml:space="preserve"> external partners they may not want to disclose </w:t>
      </w:r>
      <w:r w:rsidR="0069102C" w:rsidRPr="006C6BB5">
        <w:rPr>
          <w:sz w:val="22"/>
          <w:szCs w:val="22"/>
          <w:lang w:val="en-GB"/>
        </w:rPr>
        <w:t xml:space="preserve">all </w:t>
      </w:r>
      <w:r w:rsidR="00DC4230" w:rsidRPr="006C6BB5">
        <w:rPr>
          <w:sz w:val="22"/>
          <w:szCs w:val="22"/>
          <w:lang w:val="en-GB"/>
        </w:rPr>
        <w:t>parts of their knowledge base. As such, they may increasingly hinder the release and transfer of new ideas and technologies by means of informal mechanisms</w:t>
      </w:r>
      <w:r w:rsidR="0069102C" w:rsidRPr="006C6BB5">
        <w:rPr>
          <w:sz w:val="22"/>
          <w:szCs w:val="22"/>
          <w:lang w:val="en-GB"/>
        </w:rPr>
        <w:t>,</w:t>
      </w:r>
      <w:r w:rsidR="00DC4230" w:rsidRPr="006C6BB5">
        <w:rPr>
          <w:sz w:val="22"/>
          <w:szCs w:val="22"/>
          <w:lang w:val="en-GB"/>
        </w:rPr>
        <w:t xml:space="preserve"> such as secrecy (Hall et al., 2014).  Therefore, the degree of openness of firms is</w:t>
      </w:r>
      <w:r w:rsidR="0017651A">
        <w:rPr>
          <w:sz w:val="22"/>
          <w:szCs w:val="22"/>
          <w:lang w:val="en-GB"/>
        </w:rPr>
        <w:t>, in general,</w:t>
      </w:r>
      <w:r w:rsidR="00DC4230" w:rsidRPr="006C6BB5">
        <w:rPr>
          <w:sz w:val="22"/>
          <w:szCs w:val="22"/>
          <w:lang w:val="en-GB"/>
        </w:rPr>
        <w:t xml:space="preserve"> also associated with an increased use of informal appropriation mechanisms. </w:t>
      </w:r>
    </w:p>
    <w:p w14:paraId="31139FEC" w14:textId="266DA968" w:rsidR="000E4B99" w:rsidRPr="006C6BB5" w:rsidRDefault="00AA7CBD" w:rsidP="00AA7CBD">
      <w:pPr>
        <w:contextualSpacing/>
        <w:rPr>
          <w:sz w:val="22"/>
          <w:szCs w:val="22"/>
          <w:lang w:val="en-GB"/>
        </w:rPr>
      </w:pPr>
      <w:r w:rsidRPr="006C6BB5">
        <w:rPr>
          <w:sz w:val="22"/>
          <w:szCs w:val="22"/>
          <w:lang w:val="en-GB"/>
        </w:rPr>
        <w:tab/>
        <w:t>In sum,</w:t>
      </w:r>
      <w:r w:rsidR="00AA68FF">
        <w:rPr>
          <w:sz w:val="22"/>
          <w:szCs w:val="22"/>
          <w:lang w:val="en-GB"/>
        </w:rPr>
        <w:t xml:space="preserve"> </w:t>
      </w:r>
      <w:r w:rsidRPr="006C6BB5">
        <w:rPr>
          <w:sz w:val="22"/>
          <w:szCs w:val="22"/>
          <w:lang w:val="en-GB"/>
        </w:rPr>
        <w:t>there is a positive associa</w:t>
      </w:r>
      <w:r w:rsidR="002145D4" w:rsidRPr="006C6BB5">
        <w:rPr>
          <w:sz w:val="22"/>
          <w:szCs w:val="22"/>
          <w:lang w:val="en-GB"/>
        </w:rPr>
        <w:t xml:space="preserve">tion between the degree of openness </w:t>
      </w:r>
      <w:r w:rsidRPr="006C6BB5">
        <w:rPr>
          <w:sz w:val="22"/>
          <w:szCs w:val="22"/>
          <w:lang w:val="en-GB"/>
        </w:rPr>
        <w:t xml:space="preserve">and firms’ </w:t>
      </w:r>
      <w:r w:rsidR="002145D4" w:rsidRPr="006C6BB5">
        <w:rPr>
          <w:sz w:val="22"/>
          <w:szCs w:val="22"/>
          <w:lang w:val="en-GB"/>
        </w:rPr>
        <w:t>use</w:t>
      </w:r>
      <w:r w:rsidRPr="006C6BB5">
        <w:rPr>
          <w:sz w:val="22"/>
          <w:szCs w:val="22"/>
          <w:lang w:val="en-GB"/>
        </w:rPr>
        <w:t xml:space="preserve"> </w:t>
      </w:r>
      <w:r w:rsidR="002145D4" w:rsidRPr="006C6BB5">
        <w:rPr>
          <w:sz w:val="22"/>
          <w:szCs w:val="22"/>
          <w:lang w:val="en-GB"/>
        </w:rPr>
        <w:t>of</w:t>
      </w:r>
      <w:r w:rsidRPr="006C6BB5">
        <w:rPr>
          <w:sz w:val="22"/>
          <w:szCs w:val="22"/>
          <w:lang w:val="en-GB"/>
        </w:rPr>
        <w:t xml:space="preserve"> </w:t>
      </w:r>
      <w:r w:rsidR="0069102C" w:rsidRPr="006C6BB5">
        <w:rPr>
          <w:sz w:val="22"/>
          <w:szCs w:val="22"/>
          <w:lang w:val="en-GB"/>
        </w:rPr>
        <w:t xml:space="preserve">both </w:t>
      </w:r>
      <w:r w:rsidRPr="006C6BB5">
        <w:rPr>
          <w:sz w:val="22"/>
          <w:szCs w:val="22"/>
          <w:lang w:val="en-GB"/>
        </w:rPr>
        <w:t xml:space="preserve">formal and informal appropriation mechanisms. </w:t>
      </w:r>
      <w:r w:rsidR="00592FD1" w:rsidRPr="006C6BB5">
        <w:rPr>
          <w:sz w:val="22"/>
          <w:szCs w:val="22"/>
          <w:lang w:val="en-GB"/>
        </w:rPr>
        <w:t>Since pr</w:t>
      </w:r>
      <w:r w:rsidR="00117491" w:rsidRPr="006C6BB5">
        <w:rPr>
          <w:sz w:val="22"/>
          <w:szCs w:val="22"/>
          <w:lang w:val="en-GB"/>
        </w:rPr>
        <w:t xml:space="preserve">ior research </w:t>
      </w:r>
      <w:r w:rsidR="00F02892" w:rsidRPr="006C6BB5">
        <w:rPr>
          <w:sz w:val="22"/>
          <w:szCs w:val="22"/>
          <w:lang w:val="en-GB"/>
        </w:rPr>
        <w:t xml:space="preserve">has </w:t>
      </w:r>
      <w:r w:rsidR="00117491" w:rsidRPr="006C6BB5">
        <w:rPr>
          <w:sz w:val="22"/>
          <w:szCs w:val="22"/>
          <w:lang w:val="en-GB"/>
        </w:rPr>
        <w:t xml:space="preserve">already </w:t>
      </w:r>
      <w:r w:rsidR="00F02892" w:rsidRPr="006C6BB5">
        <w:rPr>
          <w:sz w:val="22"/>
          <w:szCs w:val="22"/>
          <w:lang w:val="en-GB"/>
        </w:rPr>
        <w:t xml:space="preserve">investigated the </w:t>
      </w:r>
      <w:r w:rsidR="00592FD1" w:rsidRPr="006C6BB5">
        <w:rPr>
          <w:sz w:val="22"/>
          <w:szCs w:val="22"/>
          <w:lang w:val="en-GB"/>
        </w:rPr>
        <w:t xml:space="preserve">association between openness in innovation and firms’ degree of appropriation (Laursen </w:t>
      </w:r>
      <w:r w:rsidR="00F02892" w:rsidRPr="006C6BB5">
        <w:rPr>
          <w:sz w:val="22"/>
          <w:szCs w:val="22"/>
          <w:lang w:val="en-GB"/>
        </w:rPr>
        <w:t>&amp;</w:t>
      </w:r>
      <w:r w:rsidR="00592FD1" w:rsidRPr="006C6BB5">
        <w:rPr>
          <w:sz w:val="22"/>
          <w:szCs w:val="22"/>
          <w:lang w:val="en-GB"/>
        </w:rPr>
        <w:t xml:space="preserve"> Salter, 2014</w:t>
      </w:r>
      <w:r w:rsidR="00A56A4B" w:rsidRPr="006C6BB5">
        <w:rPr>
          <w:sz w:val="22"/>
          <w:szCs w:val="22"/>
          <w:lang w:val="en-GB"/>
        </w:rPr>
        <w:t>; Hagedoorn &amp;</w:t>
      </w:r>
      <w:r w:rsidR="0069102C" w:rsidRPr="006C6BB5">
        <w:rPr>
          <w:sz w:val="22"/>
          <w:szCs w:val="22"/>
          <w:lang w:val="en-GB"/>
        </w:rPr>
        <w:t xml:space="preserve"> Zobel, 2015</w:t>
      </w:r>
      <w:r w:rsidR="00592FD1" w:rsidRPr="006C6BB5">
        <w:rPr>
          <w:sz w:val="22"/>
          <w:szCs w:val="22"/>
          <w:lang w:val="en-GB"/>
        </w:rPr>
        <w:t>)</w:t>
      </w:r>
      <w:r w:rsidR="00A56A4B" w:rsidRPr="006C6BB5">
        <w:rPr>
          <w:sz w:val="22"/>
          <w:szCs w:val="22"/>
          <w:lang w:val="en-GB"/>
        </w:rPr>
        <w:t>, th</w:t>
      </w:r>
      <w:r w:rsidR="00946022">
        <w:rPr>
          <w:sz w:val="22"/>
          <w:szCs w:val="22"/>
          <w:lang w:val="en-GB"/>
        </w:rPr>
        <w:t>e</w:t>
      </w:r>
      <w:r w:rsidR="001F15D9">
        <w:rPr>
          <w:sz w:val="22"/>
          <w:szCs w:val="22"/>
          <w:lang w:val="en-GB"/>
        </w:rPr>
        <w:t xml:space="preserve"> study at hand presents the</w:t>
      </w:r>
      <w:r w:rsidR="00946022">
        <w:rPr>
          <w:sz w:val="22"/>
          <w:szCs w:val="22"/>
          <w:lang w:val="en-GB"/>
        </w:rPr>
        <w:t>se</w:t>
      </w:r>
      <w:r w:rsidR="00A56A4B" w:rsidRPr="006C6BB5">
        <w:rPr>
          <w:sz w:val="22"/>
          <w:szCs w:val="22"/>
          <w:lang w:val="en-GB"/>
        </w:rPr>
        <w:t xml:space="preserve"> association</w:t>
      </w:r>
      <w:r w:rsidR="00946022">
        <w:rPr>
          <w:sz w:val="22"/>
          <w:szCs w:val="22"/>
          <w:lang w:val="en-GB"/>
        </w:rPr>
        <w:t>s</w:t>
      </w:r>
      <w:r w:rsidR="00A56A4B" w:rsidRPr="006C6BB5">
        <w:rPr>
          <w:sz w:val="22"/>
          <w:szCs w:val="22"/>
          <w:lang w:val="en-GB"/>
        </w:rPr>
        <w:t xml:space="preserve"> </w:t>
      </w:r>
      <w:r w:rsidR="00592FD1" w:rsidRPr="006C6BB5">
        <w:rPr>
          <w:sz w:val="22"/>
          <w:szCs w:val="22"/>
          <w:lang w:val="en-GB"/>
        </w:rPr>
        <w:t>as baseline hypothes</w:t>
      </w:r>
      <w:r w:rsidR="00946022">
        <w:rPr>
          <w:sz w:val="22"/>
          <w:szCs w:val="22"/>
          <w:lang w:val="en-GB"/>
        </w:rPr>
        <w:t>e</w:t>
      </w:r>
      <w:r w:rsidR="00592FD1" w:rsidRPr="006C6BB5">
        <w:rPr>
          <w:sz w:val="22"/>
          <w:szCs w:val="22"/>
          <w:lang w:val="en-GB"/>
        </w:rPr>
        <w:t xml:space="preserve">s. </w:t>
      </w:r>
      <w:r w:rsidR="000E4B99" w:rsidRPr="006C6BB5">
        <w:rPr>
          <w:sz w:val="22"/>
          <w:szCs w:val="22"/>
          <w:lang w:val="en-GB"/>
        </w:rPr>
        <w:t>Yet, d</w:t>
      </w:r>
      <w:r w:rsidR="0011136A" w:rsidRPr="006C6BB5">
        <w:rPr>
          <w:sz w:val="22"/>
          <w:szCs w:val="22"/>
          <w:lang w:val="en-GB"/>
        </w:rPr>
        <w:t>eparting</w:t>
      </w:r>
      <w:r w:rsidR="000E4B99" w:rsidRPr="006C6BB5">
        <w:rPr>
          <w:sz w:val="22"/>
          <w:szCs w:val="22"/>
          <w:lang w:val="en-GB"/>
        </w:rPr>
        <w:t xml:space="preserve"> from prior research </w:t>
      </w:r>
      <w:r w:rsidR="00957BDF" w:rsidRPr="006C6BB5">
        <w:rPr>
          <w:sz w:val="22"/>
          <w:szCs w:val="22"/>
          <w:lang w:val="en-GB"/>
        </w:rPr>
        <w:t>the hypothes</w:t>
      </w:r>
      <w:r w:rsidR="00946022">
        <w:rPr>
          <w:sz w:val="22"/>
          <w:szCs w:val="22"/>
          <w:lang w:val="en-GB"/>
        </w:rPr>
        <w:t>e</w:t>
      </w:r>
      <w:r w:rsidR="00957BDF" w:rsidRPr="006C6BB5">
        <w:rPr>
          <w:sz w:val="22"/>
          <w:szCs w:val="22"/>
          <w:lang w:val="en-GB"/>
        </w:rPr>
        <w:t xml:space="preserve">s </w:t>
      </w:r>
      <w:r w:rsidR="00946022">
        <w:rPr>
          <w:sz w:val="22"/>
          <w:szCs w:val="22"/>
          <w:lang w:val="en-GB"/>
        </w:rPr>
        <w:t>are</w:t>
      </w:r>
      <w:r w:rsidR="0017651A">
        <w:rPr>
          <w:sz w:val="22"/>
          <w:szCs w:val="22"/>
          <w:lang w:val="en-GB"/>
        </w:rPr>
        <w:t xml:space="preserve"> split </w:t>
      </w:r>
      <w:r w:rsidR="00957BDF" w:rsidRPr="006C6BB5">
        <w:rPr>
          <w:sz w:val="22"/>
          <w:szCs w:val="22"/>
          <w:lang w:val="en-GB"/>
        </w:rPr>
        <w:t>into an (a) and (b) part</w:t>
      </w:r>
      <w:r w:rsidR="000E4B99" w:rsidRPr="006C6BB5">
        <w:rPr>
          <w:sz w:val="22"/>
          <w:szCs w:val="22"/>
          <w:lang w:val="en-GB"/>
        </w:rPr>
        <w:t xml:space="preserve"> that enable</w:t>
      </w:r>
      <w:r w:rsidR="00957BDF" w:rsidRPr="006C6BB5">
        <w:rPr>
          <w:sz w:val="22"/>
          <w:szCs w:val="22"/>
          <w:lang w:val="en-GB"/>
        </w:rPr>
        <w:t>s</w:t>
      </w:r>
      <w:r w:rsidR="000E4B99" w:rsidRPr="006C6BB5">
        <w:rPr>
          <w:sz w:val="22"/>
          <w:szCs w:val="22"/>
          <w:lang w:val="en-GB"/>
        </w:rPr>
        <w:t xml:space="preserve"> a parallel analysis of both formal and informal appropriation mechanisms. Furth</w:t>
      </w:r>
      <w:r w:rsidR="00DD798E" w:rsidRPr="006C6BB5">
        <w:rPr>
          <w:sz w:val="22"/>
          <w:szCs w:val="22"/>
          <w:lang w:val="en-GB"/>
        </w:rPr>
        <w:t xml:space="preserve">ermore, </w:t>
      </w:r>
      <w:r w:rsidR="00946022">
        <w:rPr>
          <w:sz w:val="22"/>
          <w:szCs w:val="22"/>
          <w:lang w:val="en-GB"/>
        </w:rPr>
        <w:t>the hypothese</w:t>
      </w:r>
      <w:r w:rsidR="0017651A">
        <w:rPr>
          <w:sz w:val="22"/>
          <w:szCs w:val="22"/>
          <w:lang w:val="en-GB"/>
        </w:rPr>
        <w:t xml:space="preserve">s </w:t>
      </w:r>
      <w:r w:rsidR="00DD798E" w:rsidRPr="006C6BB5">
        <w:rPr>
          <w:sz w:val="22"/>
          <w:szCs w:val="22"/>
          <w:lang w:val="en-GB"/>
        </w:rPr>
        <w:t>distinguish between external search</w:t>
      </w:r>
      <w:r w:rsidR="000E4B99" w:rsidRPr="006C6BB5">
        <w:rPr>
          <w:sz w:val="22"/>
          <w:szCs w:val="22"/>
          <w:lang w:val="en-GB"/>
        </w:rPr>
        <w:t xml:space="preserve"> breadth and depth in order </w:t>
      </w:r>
      <w:r w:rsidR="00A56A4B" w:rsidRPr="006C6BB5">
        <w:rPr>
          <w:sz w:val="22"/>
          <w:szCs w:val="22"/>
          <w:lang w:val="en-GB"/>
        </w:rPr>
        <w:t xml:space="preserve">to </w:t>
      </w:r>
      <w:r w:rsidR="000E4B99" w:rsidRPr="006C6BB5">
        <w:rPr>
          <w:sz w:val="22"/>
          <w:szCs w:val="22"/>
          <w:lang w:val="en-GB"/>
        </w:rPr>
        <w:t xml:space="preserve">capture both dimensions of a firm’s openness in innovation. These differentiations in </w:t>
      </w:r>
      <w:r w:rsidR="0017651A">
        <w:rPr>
          <w:sz w:val="22"/>
          <w:szCs w:val="22"/>
          <w:lang w:val="en-GB"/>
        </w:rPr>
        <w:t>the</w:t>
      </w:r>
      <w:r w:rsidR="000E4B99" w:rsidRPr="006C6BB5">
        <w:rPr>
          <w:sz w:val="22"/>
          <w:szCs w:val="22"/>
          <w:lang w:val="en-GB"/>
        </w:rPr>
        <w:t xml:space="preserve"> baseline hypothes</w:t>
      </w:r>
      <w:r w:rsidR="00946022">
        <w:rPr>
          <w:sz w:val="22"/>
          <w:szCs w:val="22"/>
          <w:lang w:val="en-GB"/>
        </w:rPr>
        <w:t>e</w:t>
      </w:r>
      <w:r w:rsidR="000E4B99" w:rsidRPr="006C6BB5">
        <w:rPr>
          <w:sz w:val="22"/>
          <w:szCs w:val="22"/>
          <w:lang w:val="en-GB"/>
        </w:rPr>
        <w:t>s will be important for stud</w:t>
      </w:r>
      <w:r w:rsidR="00DD798E" w:rsidRPr="006C6BB5">
        <w:rPr>
          <w:sz w:val="22"/>
          <w:szCs w:val="22"/>
          <w:lang w:val="en-GB"/>
        </w:rPr>
        <w:t xml:space="preserve">ying </w:t>
      </w:r>
      <w:r w:rsidR="0017651A">
        <w:rPr>
          <w:sz w:val="22"/>
          <w:szCs w:val="22"/>
          <w:lang w:val="en-GB"/>
        </w:rPr>
        <w:t>the</w:t>
      </w:r>
      <w:r w:rsidR="00DD798E" w:rsidRPr="006C6BB5">
        <w:rPr>
          <w:sz w:val="22"/>
          <w:szCs w:val="22"/>
          <w:lang w:val="en-GB"/>
        </w:rPr>
        <w:t xml:space="preserve"> third research </w:t>
      </w:r>
      <w:r w:rsidR="00736590" w:rsidRPr="006C6BB5">
        <w:rPr>
          <w:sz w:val="22"/>
          <w:szCs w:val="22"/>
          <w:lang w:val="en-GB"/>
        </w:rPr>
        <w:t>question</w:t>
      </w:r>
      <w:r w:rsidR="00A56A4B" w:rsidRPr="006C6BB5">
        <w:rPr>
          <w:sz w:val="22"/>
          <w:szCs w:val="22"/>
          <w:lang w:val="en-GB"/>
        </w:rPr>
        <w:t xml:space="preserve"> that refers to</w:t>
      </w:r>
      <w:r w:rsidR="00DD798E" w:rsidRPr="006C6BB5">
        <w:rPr>
          <w:sz w:val="22"/>
          <w:szCs w:val="22"/>
          <w:lang w:val="en-GB"/>
        </w:rPr>
        <w:t xml:space="preserve"> how external search</w:t>
      </w:r>
      <w:r w:rsidR="000E4B99" w:rsidRPr="006C6BB5">
        <w:rPr>
          <w:sz w:val="22"/>
          <w:szCs w:val="22"/>
          <w:lang w:val="en-GB"/>
        </w:rPr>
        <w:t xml:space="preserve"> breadth and depth influence formal and informal appropriation mechanisms differently, depending on whether firms are radical or incremental innovators. Hence, </w:t>
      </w:r>
      <w:r w:rsidR="0017651A">
        <w:rPr>
          <w:sz w:val="22"/>
          <w:szCs w:val="22"/>
          <w:lang w:val="en-GB"/>
        </w:rPr>
        <w:t>the following</w:t>
      </w:r>
      <w:r w:rsidR="008C693C">
        <w:rPr>
          <w:sz w:val="22"/>
          <w:szCs w:val="22"/>
          <w:lang w:val="en-GB"/>
        </w:rPr>
        <w:t xml:space="preserve"> </w:t>
      </w:r>
      <w:r w:rsidR="000E4B99" w:rsidRPr="006C6BB5">
        <w:rPr>
          <w:sz w:val="22"/>
          <w:szCs w:val="22"/>
          <w:lang w:val="en-GB"/>
        </w:rPr>
        <w:t>baseline hypothes</w:t>
      </w:r>
      <w:r w:rsidR="00946022">
        <w:rPr>
          <w:sz w:val="22"/>
          <w:szCs w:val="22"/>
          <w:lang w:val="en-GB"/>
        </w:rPr>
        <w:t>e</w:t>
      </w:r>
      <w:r w:rsidR="000E4B99" w:rsidRPr="006C6BB5">
        <w:rPr>
          <w:sz w:val="22"/>
          <w:szCs w:val="22"/>
          <w:lang w:val="en-GB"/>
        </w:rPr>
        <w:t>s</w:t>
      </w:r>
      <w:r w:rsidR="0017651A">
        <w:rPr>
          <w:sz w:val="22"/>
          <w:szCs w:val="22"/>
          <w:lang w:val="en-GB"/>
        </w:rPr>
        <w:t xml:space="preserve"> </w:t>
      </w:r>
      <w:r w:rsidR="00946022">
        <w:rPr>
          <w:sz w:val="22"/>
          <w:szCs w:val="22"/>
          <w:lang w:val="en-GB"/>
        </w:rPr>
        <w:t>are</w:t>
      </w:r>
      <w:r w:rsidR="0017651A">
        <w:rPr>
          <w:sz w:val="22"/>
          <w:szCs w:val="22"/>
          <w:lang w:val="en-GB"/>
        </w:rPr>
        <w:t xml:space="preserve"> stipulated</w:t>
      </w:r>
      <w:r w:rsidR="000E4B99" w:rsidRPr="006C6BB5">
        <w:rPr>
          <w:sz w:val="22"/>
          <w:szCs w:val="22"/>
          <w:lang w:val="en-GB"/>
        </w:rPr>
        <w:t>:</w:t>
      </w:r>
    </w:p>
    <w:p w14:paraId="4F6B8798" w14:textId="251072E3" w:rsidR="00946022" w:rsidRPr="00927D0E" w:rsidRDefault="0053051E" w:rsidP="006D5629">
      <w:pPr>
        <w:spacing w:after="240"/>
        <w:contextualSpacing/>
        <w:rPr>
          <w:i/>
          <w:sz w:val="22"/>
          <w:szCs w:val="22"/>
          <w:lang w:val="en-GB"/>
        </w:rPr>
      </w:pPr>
      <w:r w:rsidRPr="006C6BB5">
        <w:rPr>
          <w:i/>
          <w:sz w:val="22"/>
          <w:szCs w:val="22"/>
          <w:lang w:val="en-GB"/>
        </w:rPr>
        <w:t>H1</w:t>
      </w:r>
      <w:r w:rsidR="00452487" w:rsidRPr="006C6BB5">
        <w:rPr>
          <w:i/>
          <w:sz w:val="22"/>
          <w:szCs w:val="22"/>
          <w:lang w:val="en-GB"/>
        </w:rPr>
        <w:t xml:space="preserve">: </w:t>
      </w:r>
      <w:r w:rsidR="00946022" w:rsidRPr="006C6BB5">
        <w:rPr>
          <w:i/>
          <w:sz w:val="22"/>
          <w:szCs w:val="22"/>
          <w:lang w:val="en-GB"/>
        </w:rPr>
        <w:t xml:space="preserve">Firms’ external search breadth </w:t>
      </w:r>
      <w:r w:rsidR="00946022">
        <w:rPr>
          <w:i/>
          <w:sz w:val="22"/>
          <w:szCs w:val="22"/>
          <w:lang w:val="en-GB"/>
        </w:rPr>
        <w:t>has</w:t>
      </w:r>
      <w:r w:rsidR="00946022" w:rsidRPr="006C6BB5">
        <w:rPr>
          <w:i/>
          <w:sz w:val="22"/>
          <w:szCs w:val="22"/>
          <w:lang w:val="en-GB"/>
        </w:rPr>
        <w:t xml:space="preserve"> a positive association with their use of (a) formal appropriation </w:t>
      </w:r>
      <w:r w:rsidR="00946022" w:rsidRPr="00927D0E">
        <w:rPr>
          <w:i/>
          <w:sz w:val="22"/>
          <w:szCs w:val="22"/>
          <w:lang w:val="en-GB"/>
        </w:rPr>
        <w:t>mechanisms and (b) informal appropriation mechanisms</w:t>
      </w:r>
    </w:p>
    <w:p w14:paraId="4FE56A0F" w14:textId="64B81026" w:rsidR="008552E2" w:rsidRPr="00927D0E" w:rsidRDefault="00946022" w:rsidP="006D5629">
      <w:pPr>
        <w:spacing w:after="240"/>
        <w:contextualSpacing/>
        <w:rPr>
          <w:i/>
          <w:sz w:val="22"/>
          <w:szCs w:val="22"/>
          <w:lang w:val="en-GB"/>
        </w:rPr>
      </w:pPr>
      <w:r w:rsidRPr="00927D0E">
        <w:rPr>
          <w:i/>
          <w:sz w:val="22"/>
          <w:szCs w:val="22"/>
          <w:lang w:val="en-GB"/>
        </w:rPr>
        <w:t>H2: Firms’ external search depth has a positive association with their use of (a) formal appropriation mechanisms and (b) informal appropriation mechanisms</w:t>
      </w:r>
    </w:p>
    <w:p w14:paraId="75940FCA" w14:textId="577008D9" w:rsidR="00067B82" w:rsidRPr="006C6BB5" w:rsidRDefault="00672854" w:rsidP="00FC5219">
      <w:pPr>
        <w:contextualSpacing/>
        <w:rPr>
          <w:b/>
          <w:sz w:val="22"/>
          <w:szCs w:val="22"/>
          <w:lang w:val="en-GB"/>
        </w:rPr>
      </w:pPr>
      <w:r w:rsidRPr="006C6BB5">
        <w:rPr>
          <w:b/>
          <w:sz w:val="22"/>
          <w:szCs w:val="22"/>
          <w:lang w:val="en-GB"/>
        </w:rPr>
        <w:lastRenderedPageBreak/>
        <w:t xml:space="preserve">2.2 </w:t>
      </w:r>
      <w:r w:rsidR="00AA7CBD" w:rsidRPr="006C6BB5">
        <w:rPr>
          <w:b/>
          <w:sz w:val="22"/>
          <w:szCs w:val="22"/>
          <w:lang w:val="en-GB"/>
        </w:rPr>
        <w:t xml:space="preserve">Innovativeness </w:t>
      </w:r>
      <w:r w:rsidR="004673AC">
        <w:rPr>
          <w:b/>
          <w:sz w:val="22"/>
          <w:szCs w:val="22"/>
          <w:lang w:val="en-GB"/>
        </w:rPr>
        <w:t xml:space="preserve">and </w:t>
      </w:r>
      <w:r w:rsidR="00AA7CBD" w:rsidRPr="006C6BB5">
        <w:rPr>
          <w:b/>
          <w:sz w:val="22"/>
          <w:szCs w:val="22"/>
          <w:lang w:val="en-GB"/>
        </w:rPr>
        <w:t>Formal and Informal Appropriation Mechanisms</w:t>
      </w:r>
    </w:p>
    <w:p w14:paraId="63726E0A" w14:textId="5AEEE1B3" w:rsidR="00067B82" w:rsidRPr="00302B72" w:rsidRDefault="00117491" w:rsidP="00302B72">
      <w:pPr>
        <w:pStyle w:val="FootnoteText"/>
        <w:spacing w:line="480" w:lineRule="auto"/>
      </w:pPr>
      <w:r w:rsidRPr="006C6BB5">
        <w:rPr>
          <w:sz w:val="22"/>
          <w:szCs w:val="22"/>
          <w:lang w:val="en-GB"/>
        </w:rPr>
        <w:t xml:space="preserve">Given the differentiation in the innovation literature between incremental and radical innovators, </w:t>
      </w:r>
      <w:r w:rsidR="00C1769A">
        <w:rPr>
          <w:sz w:val="22"/>
          <w:szCs w:val="22"/>
          <w:lang w:val="en-GB"/>
        </w:rPr>
        <w:t xml:space="preserve">the </w:t>
      </w:r>
      <w:r w:rsidRPr="006C6BB5">
        <w:rPr>
          <w:sz w:val="22"/>
          <w:szCs w:val="22"/>
          <w:lang w:val="en-GB"/>
        </w:rPr>
        <w:t xml:space="preserve">question </w:t>
      </w:r>
      <w:r w:rsidR="00C1769A">
        <w:rPr>
          <w:sz w:val="22"/>
          <w:szCs w:val="22"/>
          <w:lang w:val="en-GB"/>
        </w:rPr>
        <w:t xml:space="preserve">emerges as </w:t>
      </w:r>
      <w:r w:rsidRPr="006C6BB5">
        <w:rPr>
          <w:sz w:val="22"/>
          <w:szCs w:val="22"/>
          <w:lang w:val="en-GB"/>
        </w:rPr>
        <w:t xml:space="preserve">to what extent, more or less incremental or alternatively more or less radical innovators use formal </w:t>
      </w:r>
      <w:r w:rsidR="00D8413D" w:rsidRPr="006C6BB5">
        <w:rPr>
          <w:sz w:val="22"/>
          <w:szCs w:val="22"/>
          <w:lang w:val="en-GB"/>
        </w:rPr>
        <w:t>and</w:t>
      </w:r>
      <w:r w:rsidRPr="006C6BB5">
        <w:rPr>
          <w:sz w:val="22"/>
          <w:szCs w:val="22"/>
          <w:lang w:val="en-GB"/>
        </w:rPr>
        <w:t xml:space="preserve"> informal appropriation mechanisms to protect their new products.</w:t>
      </w:r>
      <w:r w:rsidR="00302B72" w:rsidRPr="00927D0E">
        <w:rPr>
          <w:sz w:val="22"/>
          <w:szCs w:val="22"/>
          <w:lang w:val="en-GB"/>
        </w:rPr>
        <w:t xml:space="preserve"> The differentiation between incremental and radical innovative activities is less of a dichotomy rather than a continuum where innovative activities can be characterized in terms of their relative incremental or radical nature, which suggests various degrees of innovative ‘newness’ (Garcia &amp; </w:t>
      </w:r>
      <w:proofErr w:type="spellStart"/>
      <w:r w:rsidR="00302B72" w:rsidRPr="00927D0E">
        <w:rPr>
          <w:sz w:val="22"/>
          <w:szCs w:val="22"/>
          <w:lang w:val="en-GB"/>
        </w:rPr>
        <w:t>Calantone</w:t>
      </w:r>
      <w:proofErr w:type="spellEnd"/>
      <w:r w:rsidR="00302B72" w:rsidRPr="00927D0E">
        <w:rPr>
          <w:sz w:val="22"/>
          <w:szCs w:val="22"/>
          <w:lang w:val="en-GB"/>
        </w:rPr>
        <w:t>, 2002). Similarly, firms, as the main carriers of these innovative activities, can be categorized as incremental or radical innovators where it has to be recognized that the nature of their role as incremental or radical innovators is rather of a relative than a dichotomous nature. In other words, firms can be seen as more or less incremental innovators or more or less radical innovators, depending on the degree to which they introduce new products to their own output or also introduce new products that are new to the market at large.</w:t>
      </w:r>
    </w:p>
    <w:p w14:paraId="012843EB" w14:textId="4B03767D" w:rsidR="006531C2" w:rsidRPr="006C6BB5" w:rsidRDefault="006531C2" w:rsidP="006531C2">
      <w:pPr>
        <w:ind w:firstLine="720"/>
        <w:contextualSpacing/>
        <w:rPr>
          <w:sz w:val="22"/>
          <w:szCs w:val="22"/>
          <w:lang w:val="en-GB"/>
        </w:rPr>
      </w:pPr>
      <w:r w:rsidRPr="006C6BB5">
        <w:rPr>
          <w:sz w:val="22"/>
          <w:szCs w:val="22"/>
          <w:lang w:val="en-GB"/>
        </w:rPr>
        <w:t xml:space="preserve">In an interesting theoretical contribution, Anton &amp; Yao (2004) suggest that firms characterized as radical innovators rely less on formal appropriation mechanisms than other firms that can be found more on the incremental side of innovativeness. Their model implies that formal appropriation mechanisms, based on intellectual property, are not perfect and that the disclosure of the actual innovation(s) through intellectual property creates an opportunity for other firms to re-engineer or re-design ‘alternative’ products (see also </w:t>
      </w:r>
      <w:proofErr w:type="spellStart"/>
      <w:r w:rsidRPr="006C6BB5">
        <w:rPr>
          <w:sz w:val="22"/>
          <w:szCs w:val="22"/>
          <w:lang w:val="en-GB"/>
        </w:rPr>
        <w:t>Langinier</w:t>
      </w:r>
      <w:proofErr w:type="spellEnd"/>
      <w:r w:rsidRPr="006C6BB5">
        <w:rPr>
          <w:sz w:val="22"/>
          <w:szCs w:val="22"/>
          <w:lang w:val="en-GB"/>
        </w:rPr>
        <w:t xml:space="preserve">, 2005; </w:t>
      </w:r>
      <w:proofErr w:type="spellStart"/>
      <w:r w:rsidRPr="006C6BB5">
        <w:rPr>
          <w:sz w:val="22"/>
          <w:szCs w:val="22"/>
          <w:lang w:val="en-GB"/>
        </w:rPr>
        <w:t>Maggazinni</w:t>
      </w:r>
      <w:proofErr w:type="spellEnd"/>
      <w:r w:rsidRPr="006C6BB5">
        <w:rPr>
          <w:sz w:val="22"/>
          <w:szCs w:val="22"/>
          <w:lang w:val="en-GB"/>
        </w:rPr>
        <w:t xml:space="preserve">, </w:t>
      </w:r>
      <w:proofErr w:type="spellStart"/>
      <w:r w:rsidRPr="006C6BB5">
        <w:rPr>
          <w:sz w:val="22"/>
          <w:szCs w:val="22"/>
          <w:lang w:val="en-GB"/>
        </w:rPr>
        <w:t>Pammolli</w:t>
      </w:r>
      <w:proofErr w:type="spellEnd"/>
      <w:r w:rsidRPr="006C6BB5">
        <w:rPr>
          <w:sz w:val="22"/>
          <w:szCs w:val="22"/>
          <w:lang w:val="en-GB"/>
        </w:rPr>
        <w:t xml:space="preserve">, </w:t>
      </w:r>
      <w:proofErr w:type="spellStart"/>
      <w:r w:rsidRPr="006C6BB5">
        <w:rPr>
          <w:sz w:val="22"/>
          <w:szCs w:val="22"/>
          <w:lang w:val="en-GB"/>
        </w:rPr>
        <w:t>Riccaboni</w:t>
      </w:r>
      <w:proofErr w:type="spellEnd"/>
      <w:r w:rsidRPr="006C6BB5">
        <w:rPr>
          <w:sz w:val="22"/>
          <w:szCs w:val="22"/>
          <w:lang w:val="en-GB"/>
        </w:rPr>
        <w:t xml:space="preserve">, &amp; Rossi, 2009; </w:t>
      </w:r>
      <w:proofErr w:type="spellStart"/>
      <w:r w:rsidRPr="006C6BB5">
        <w:rPr>
          <w:sz w:val="22"/>
          <w:szCs w:val="22"/>
          <w:lang w:val="en-GB"/>
        </w:rPr>
        <w:t>Somaya</w:t>
      </w:r>
      <w:proofErr w:type="spellEnd"/>
      <w:r w:rsidRPr="006C6BB5">
        <w:rPr>
          <w:sz w:val="22"/>
          <w:szCs w:val="22"/>
          <w:lang w:val="en-GB"/>
        </w:rPr>
        <w:t xml:space="preserve">, 2012). Somewhat counter-intuitively, their model suggests that the more innovative, </w:t>
      </w:r>
      <w:r w:rsidR="00491F95">
        <w:rPr>
          <w:sz w:val="22"/>
          <w:szCs w:val="22"/>
          <w:lang w:val="en-GB"/>
        </w:rPr>
        <w:t xml:space="preserve">i.e. </w:t>
      </w:r>
      <w:r w:rsidRPr="006C6BB5">
        <w:rPr>
          <w:sz w:val="22"/>
          <w:szCs w:val="22"/>
          <w:lang w:val="en-GB"/>
        </w:rPr>
        <w:t>the more firms act as radical innovators, the larger the innovative distance to other firms, the less likely these firms prefer to use formal appropriation mechan</w:t>
      </w:r>
      <w:r w:rsidR="00736590" w:rsidRPr="006C6BB5">
        <w:rPr>
          <w:sz w:val="22"/>
          <w:szCs w:val="22"/>
          <w:lang w:val="en-GB"/>
        </w:rPr>
        <w:t xml:space="preserve">isms that requires disclosure. </w:t>
      </w:r>
      <w:r w:rsidR="00DD798E" w:rsidRPr="006C6BB5">
        <w:rPr>
          <w:sz w:val="22"/>
          <w:szCs w:val="22"/>
          <w:lang w:val="en-GB"/>
        </w:rPr>
        <w:t xml:space="preserve">These arguments point to a negative association between a firm’s radical innovation orientation and its implementation of formal appropriation mechanisms. </w:t>
      </w:r>
    </w:p>
    <w:p w14:paraId="3F1D1101" w14:textId="61F2C637" w:rsidR="0020764D" w:rsidRPr="00927D0E" w:rsidRDefault="006531C2" w:rsidP="0020764D">
      <w:pPr>
        <w:ind w:firstLine="720"/>
        <w:contextualSpacing/>
        <w:rPr>
          <w:rFonts w:eastAsia="Calibri"/>
          <w:sz w:val="22"/>
          <w:szCs w:val="22"/>
          <w:lang w:val="en-GB"/>
        </w:rPr>
      </w:pPr>
      <w:r w:rsidRPr="006C6BB5">
        <w:rPr>
          <w:sz w:val="22"/>
          <w:szCs w:val="22"/>
          <w:lang w:val="en-GB"/>
        </w:rPr>
        <w:t xml:space="preserve">For these radical innovators, informal appropriation mechanisms, such as lead-time, secrecy, and complexity, are expected to be more relevant mechanisms to protect their innovative rents as these mechanisms do not require firms to </w:t>
      </w:r>
      <w:r w:rsidRPr="00927D0E">
        <w:rPr>
          <w:sz w:val="22"/>
          <w:szCs w:val="22"/>
          <w:lang w:val="en-GB"/>
        </w:rPr>
        <w:t xml:space="preserve">publicly reveal the fundamentals of their radical innovations (Anton &amp; Yao, 2004). </w:t>
      </w:r>
      <w:r w:rsidR="00BC09C4" w:rsidRPr="00927D0E">
        <w:rPr>
          <w:sz w:val="22"/>
          <w:szCs w:val="22"/>
          <w:lang w:val="en-GB"/>
        </w:rPr>
        <w:t>Similarly</w:t>
      </w:r>
      <w:r w:rsidRPr="00927D0E">
        <w:rPr>
          <w:sz w:val="22"/>
          <w:szCs w:val="22"/>
          <w:lang w:val="en-GB"/>
        </w:rPr>
        <w:t xml:space="preserve">, </w:t>
      </w:r>
      <w:proofErr w:type="spellStart"/>
      <w:r w:rsidRPr="00927D0E">
        <w:rPr>
          <w:sz w:val="22"/>
          <w:szCs w:val="22"/>
          <w:lang w:val="en-GB"/>
        </w:rPr>
        <w:t>Zaby</w:t>
      </w:r>
      <w:proofErr w:type="spellEnd"/>
      <w:r w:rsidRPr="00927D0E">
        <w:rPr>
          <w:sz w:val="22"/>
          <w:szCs w:val="22"/>
          <w:lang w:val="en-GB"/>
        </w:rPr>
        <w:t xml:space="preserve"> </w:t>
      </w:r>
      <w:r w:rsidRPr="006C6BB5">
        <w:rPr>
          <w:sz w:val="22"/>
          <w:szCs w:val="22"/>
          <w:lang w:val="en-GB"/>
        </w:rPr>
        <w:t xml:space="preserve">(2010) presents a model where firms with a ‘technological head </w:t>
      </w:r>
      <w:r w:rsidRPr="006C6BB5">
        <w:rPr>
          <w:sz w:val="22"/>
          <w:szCs w:val="22"/>
          <w:lang w:val="en-GB"/>
        </w:rPr>
        <w:lastRenderedPageBreak/>
        <w:t xml:space="preserve">start’, i.e. with considerable innovative distance to others, show a lower propensity to use formal appropriation mechanisms and prefer secrecy to avoid the risks of disclosure. Furthermore, </w:t>
      </w:r>
      <w:r w:rsidRPr="006C6BB5">
        <w:rPr>
          <w:rFonts w:eastAsia="Calibri"/>
          <w:sz w:val="22"/>
          <w:szCs w:val="22"/>
          <w:lang w:val="en-GB"/>
        </w:rPr>
        <w:t xml:space="preserve">informal appropriation mechanisms might be useful for these radical innovators as it entails greater flexibility as informal appropriation mechanisms can be applied to a larger range of knowledge types, such as non-codified, tacit, and early stage knowledge. As noted by Hannah (2005), non-codified, tacit, and early stage knowledge might be particularly relevant in the context of radical innovations. </w:t>
      </w:r>
      <w:r w:rsidR="00957BDF" w:rsidRPr="006C6BB5">
        <w:rPr>
          <w:rFonts w:eastAsia="Calibri"/>
          <w:sz w:val="22"/>
          <w:szCs w:val="22"/>
          <w:lang w:val="en-GB"/>
        </w:rPr>
        <w:t>Thus</w:t>
      </w:r>
      <w:r w:rsidRPr="006C6BB5">
        <w:rPr>
          <w:rFonts w:eastAsia="Calibri"/>
          <w:sz w:val="22"/>
          <w:szCs w:val="22"/>
          <w:lang w:val="en-GB"/>
        </w:rPr>
        <w:t xml:space="preserve">, </w:t>
      </w:r>
      <w:r w:rsidR="003B74CD" w:rsidRPr="006C6BB5">
        <w:rPr>
          <w:rFonts w:eastAsia="Calibri"/>
          <w:sz w:val="22"/>
          <w:szCs w:val="22"/>
          <w:lang w:val="en-GB"/>
        </w:rPr>
        <w:t>the more innovators can be considered radical, the more relevant do informal appropriation mechanisms become for protecting</w:t>
      </w:r>
      <w:r w:rsidRPr="006C6BB5">
        <w:rPr>
          <w:rFonts w:eastAsia="Calibri"/>
          <w:sz w:val="22"/>
          <w:szCs w:val="22"/>
          <w:lang w:val="en-GB"/>
        </w:rPr>
        <w:t xml:space="preserve"> their innovative capabilities and innovative output as it enables them to maintain flexibility, while not facing risks of disclosure. </w:t>
      </w:r>
      <w:r w:rsidR="00957BDF" w:rsidRPr="006C6BB5">
        <w:rPr>
          <w:sz w:val="22"/>
          <w:szCs w:val="22"/>
          <w:lang w:val="en-GB"/>
        </w:rPr>
        <w:t>Taken the above arguments together</w:t>
      </w:r>
      <w:r w:rsidR="0053051E" w:rsidRPr="006C6BB5">
        <w:rPr>
          <w:sz w:val="22"/>
          <w:szCs w:val="22"/>
          <w:lang w:val="en-GB"/>
        </w:rPr>
        <w:t xml:space="preserve">, </w:t>
      </w:r>
      <w:r w:rsidR="0017651A">
        <w:rPr>
          <w:sz w:val="22"/>
          <w:szCs w:val="22"/>
          <w:lang w:val="en-GB"/>
        </w:rPr>
        <w:t xml:space="preserve">hypothesis </w:t>
      </w:r>
      <w:r w:rsidR="00FC32F0">
        <w:rPr>
          <w:sz w:val="22"/>
          <w:szCs w:val="22"/>
          <w:lang w:val="en-GB"/>
        </w:rPr>
        <w:t>th</w:t>
      </w:r>
      <w:r w:rsidR="008C693C">
        <w:rPr>
          <w:sz w:val="22"/>
          <w:szCs w:val="22"/>
          <w:lang w:val="en-GB"/>
        </w:rPr>
        <w:t>ree</w:t>
      </w:r>
      <w:r w:rsidR="0053051E" w:rsidRPr="006C6BB5">
        <w:rPr>
          <w:sz w:val="22"/>
          <w:szCs w:val="22"/>
          <w:lang w:val="en-GB"/>
        </w:rPr>
        <w:t xml:space="preserve"> </w:t>
      </w:r>
      <w:r w:rsidR="0053051E" w:rsidRPr="00927D0E">
        <w:rPr>
          <w:sz w:val="22"/>
          <w:szCs w:val="22"/>
          <w:lang w:val="en-GB"/>
        </w:rPr>
        <w:t>suggest</w:t>
      </w:r>
      <w:r w:rsidR="0017651A" w:rsidRPr="00927D0E">
        <w:rPr>
          <w:sz w:val="22"/>
          <w:szCs w:val="22"/>
          <w:lang w:val="en-GB"/>
        </w:rPr>
        <w:t>s</w:t>
      </w:r>
      <w:r w:rsidR="0053051E" w:rsidRPr="00927D0E">
        <w:rPr>
          <w:sz w:val="22"/>
          <w:szCs w:val="22"/>
          <w:lang w:val="en-GB"/>
        </w:rPr>
        <w:t xml:space="preserve"> that</w:t>
      </w:r>
      <w:r w:rsidR="0060076E" w:rsidRPr="00927D0E">
        <w:rPr>
          <w:sz w:val="22"/>
          <w:szCs w:val="22"/>
          <w:lang w:val="en-GB"/>
        </w:rPr>
        <w:t>:</w:t>
      </w:r>
      <w:r w:rsidR="0053051E" w:rsidRPr="00927D0E">
        <w:rPr>
          <w:sz w:val="22"/>
          <w:szCs w:val="22"/>
          <w:lang w:val="en-GB"/>
        </w:rPr>
        <w:t xml:space="preserve"> </w:t>
      </w:r>
    </w:p>
    <w:p w14:paraId="066AAAC0" w14:textId="224DA069" w:rsidR="0053051E" w:rsidRPr="006C6BB5" w:rsidRDefault="0053051E" w:rsidP="0020764D">
      <w:pPr>
        <w:contextualSpacing/>
        <w:rPr>
          <w:rFonts w:eastAsia="Calibri"/>
          <w:i/>
          <w:sz w:val="22"/>
          <w:szCs w:val="22"/>
          <w:lang w:val="en-GB"/>
        </w:rPr>
      </w:pPr>
      <w:r w:rsidRPr="00927D0E">
        <w:rPr>
          <w:rFonts w:eastAsia="Calibri"/>
          <w:i/>
          <w:sz w:val="22"/>
          <w:szCs w:val="22"/>
          <w:lang w:val="en-GB"/>
        </w:rPr>
        <w:t>H</w:t>
      </w:r>
      <w:r w:rsidR="00946022" w:rsidRPr="00927D0E">
        <w:rPr>
          <w:rFonts w:eastAsia="Calibri"/>
          <w:i/>
          <w:sz w:val="22"/>
          <w:szCs w:val="22"/>
          <w:lang w:val="en-GB"/>
        </w:rPr>
        <w:t>3</w:t>
      </w:r>
      <w:r w:rsidRPr="00927D0E">
        <w:rPr>
          <w:rFonts w:eastAsia="Calibri"/>
          <w:i/>
          <w:sz w:val="22"/>
          <w:szCs w:val="22"/>
          <w:lang w:val="en-GB"/>
        </w:rPr>
        <w:t xml:space="preserve">: </w:t>
      </w:r>
      <w:r w:rsidR="007A15F1" w:rsidRPr="00927D0E">
        <w:rPr>
          <w:i/>
          <w:sz w:val="22"/>
          <w:szCs w:val="22"/>
          <w:lang w:val="en-GB"/>
        </w:rPr>
        <w:t>Firm</w:t>
      </w:r>
      <w:r w:rsidR="005C3C6E" w:rsidRPr="00927D0E">
        <w:rPr>
          <w:i/>
          <w:sz w:val="22"/>
          <w:szCs w:val="22"/>
          <w:lang w:val="en-GB"/>
        </w:rPr>
        <w:t>s</w:t>
      </w:r>
      <w:r w:rsidR="007A15F1" w:rsidRPr="00927D0E">
        <w:rPr>
          <w:i/>
          <w:sz w:val="22"/>
          <w:szCs w:val="22"/>
          <w:lang w:val="en-GB"/>
        </w:rPr>
        <w:t>’</w:t>
      </w:r>
      <w:r w:rsidR="005C3C6E" w:rsidRPr="00927D0E">
        <w:rPr>
          <w:i/>
          <w:sz w:val="22"/>
          <w:szCs w:val="22"/>
          <w:lang w:val="en-GB"/>
        </w:rPr>
        <w:t xml:space="preserve"> </w:t>
      </w:r>
      <w:r w:rsidR="005C3C6E" w:rsidRPr="006C6BB5">
        <w:rPr>
          <w:i/>
          <w:sz w:val="22"/>
          <w:szCs w:val="22"/>
          <w:lang w:val="en-GB"/>
        </w:rPr>
        <w:t>radical innovation orientation has (a) a negative association with</w:t>
      </w:r>
      <w:r w:rsidR="007A15F1" w:rsidRPr="006C6BB5">
        <w:rPr>
          <w:i/>
          <w:sz w:val="22"/>
          <w:szCs w:val="22"/>
          <w:lang w:val="en-GB"/>
        </w:rPr>
        <w:t xml:space="preserve"> their use of </w:t>
      </w:r>
      <w:r w:rsidR="005C3C6E" w:rsidRPr="006C6BB5">
        <w:rPr>
          <w:i/>
          <w:sz w:val="22"/>
          <w:szCs w:val="22"/>
          <w:lang w:val="en-GB"/>
        </w:rPr>
        <w:t>formal appropriation mechanisms and (b) a positive association with</w:t>
      </w:r>
      <w:r w:rsidR="007A15F1" w:rsidRPr="006C6BB5">
        <w:rPr>
          <w:i/>
          <w:sz w:val="22"/>
          <w:szCs w:val="22"/>
          <w:lang w:val="en-GB"/>
        </w:rPr>
        <w:t xml:space="preserve"> their use of</w:t>
      </w:r>
      <w:r w:rsidR="005C3C6E" w:rsidRPr="006C6BB5">
        <w:rPr>
          <w:i/>
          <w:sz w:val="22"/>
          <w:szCs w:val="22"/>
          <w:lang w:val="en-GB"/>
        </w:rPr>
        <w:t xml:space="preserve"> informal appropriation mechanisms</w:t>
      </w:r>
    </w:p>
    <w:p w14:paraId="78A54C87" w14:textId="146A465D" w:rsidR="0060076E" w:rsidRPr="006C6BB5" w:rsidRDefault="006531C2" w:rsidP="006531C2">
      <w:pPr>
        <w:spacing w:after="200"/>
        <w:ind w:firstLine="720"/>
        <w:contextualSpacing/>
        <w:rPr>
          <w:rFonts w:eastAsia="Calibri"/>
          <w:sz w:val="22"/>
          <w:szCs w:val="22"/>
          <w:lang w:val="en-GB"/>
        </w:rPr>
      </w:pPr>
      <w:r w:rsidRPr="006C6BB5">
        <w:rPr>
          <w:rFonts w:eastAsia="Calibri"/>
          <w:sz w:val="22"/>
          <w:szCs w:val="22"/>
          <w:lang w:val="en-GB"/>
        </w:rPr>
        <w:t xml:space="preserve">For incremental innovators, that largely base their innovative activities on existing knowledge, informal appropriation mechanisms provide little or no protection as </w:t>
      </w:r>
      <w:proofErr w:type="gramStart"/>
      <w:r w:rsidRPr="006C6BB5">
        <w:rPr>
          <w:rFonts w:eastAsia="Calibri"/>
          <w:sz w:val="22"/>
          <w:szCs w:val="22"/>
          <w:lang w:val="en-GB"/>
        </w:rPr>
        <w:t>their</w:t>
      </w:r>
      <w:proofErr w:type="gramEnd"/>
      <w:r w:rsidRPr="006C6BB5">
        <w:rPr>
          <w:rFonts w:eastAsia="Calibri"/>
          <w:sz w:val="22"/>
          <w:szCs w:val="22"/>
          <w:lang w:val="en-GB"/>
        </w:rPr>
        <w:t xml:space="preserve"> new to the firm innovations are based on existing common technological knowledge. In particular, lead time and secrecy are of little relevance for incremental innovators as there is little or no lead time and neither is secrecy relevant when their innovative activities are largely drawn from existing common technological knowledge. </w:t>
      </w:r>
      <w:r w:rsidR="0060076E" w:rsidRPr="006C6BB5">
        <w:rPr>
          <w:rFonts w:eastAsia="Calibri"/>
          <w:sz w:val="22"/>
          <w:szCs w:val="22"/>
          <w:lang w:val="en-GB"/>
        </w:rPr>
        <w:t xml:space="preserve">As a result, </w:t>
      </w:r>
      <w:r w:rsidR="001F15D9">
        <w:rPr>
          <w:rFonts w:eastAsia="Calibri"/>
          <w:sz w:val="22"/>
          <w:szCs w:val="22"/>
          <w:lang w:val="en-GB"/>
        </w:rPr>
        <w:t xml:space="preserve">this study assumes </w:t>
      </w:r>
      <w:r w:rsidR="0060076E" w:rsidRPr="006C6BB5">
        <w:rPr>
          <w:rFonts w:eastAsia="Calibri"/>
          <w:sz w:val="22"/>
          <w:szCs w:val="22"/>
          <w:lang w:val="en-GB"/>
        </w:rPr>
        <w:t xml:space="preserve">a negative association between a firm’s incremental innovation orientation and its implementation of informal appropriation mechanisms. </w:t>
      </w:r>
    </w:p>
    <w:p w14:paraId="3947DDC7" w14:textId="3CACA720" w:rsidR="006531C2" w:rsidRPr="00927D0E" w:rsidRDefault="006531C2" w:rsidP="006531C2">
      <w:pPr>
        <w:spacing w:after="200"/>
        <w:ind w:firstLine="720"/>
        <w:contextualSpacing/>
        <w:rPr>
          <w:rFonts w:eastAsia="Calibri"/>
          <w:sz w:val="22"/>
          <w:szCs w:val="22"/>
          <w:lang w:val="en-GB"/>
        </w:rPr>
      </w:pPr>
      <w:r w:rsidRPr="006C6BB5">
        <w:rPr>
          <w:sz w:val="22"/>
          <w:szCs w:val="22"/>
          <w:lang w:val="en-GB"/>
        </w:rPr>
        <w:t xml:space="preserve">Instead, one can expect that for incremental innovators that introduce improvements to existing products it is important to protect their innovative activities through formal appropriation mechanisms (see also </w:t>
      </w:r>
      <w:proofErr w:type="spellStart"/>
      <w:r w:rsidRPr="006C6BB5">
        <w:rPr>
          <w:sz w:val="22"/>
          <w:szCs w:val="22"/>
          <w:lang w:val="en-GB"/>
        </w:rPr>
        <w:t>Zaby</w:t>
      </w:r>
      <w:proofErr w:type="spellEnd"/>
      <w:r w:rsidRPr="006C6BB5">
        <w:rPr>
          <w:sz w:val="22"/>
          <w:szCs w:val="22"/>
          <w:lang w:val="en-GB"/>
        </w:rPr>
        <w:t xml:space="preserve">, 2010). </w:t>
      </w:r>
      <w:r w:rsidR="0017651A">
        <w:rPr>
          <w:sz w:val="22"/>
          <w:szCs w:val="22"/>
          <w:lang w:val="en-GB"/>
        </w:rPr>
        <w:t>I</w:t>
      </w:r>
      <w:r w:rsidRPr="006C6BB5">
        <w:rPr>
          <w:sz w:val="22"/>
          <w:szCs w:val="22"/>
          <w:lang w:val="en-GB"/>
        </w:rPr>
        <w:t>n a perfect world, it would</w:t>
      </w:r>
      <w:r w:rsidR="00927D0E">
        <w:rPr>
          <w:sz w:val="22"/>
          <w:szCs w:val="22"/>
          <w:lang w:val="en-GB"/>
        </w:rPr>
        <w:t xml:space="preserve"> be</w:t>
      </w:r>
      <w:r w:rsidR="0017651A">
        <w:rPr>
          <w:sz w:val="22"/>
          <w:szCs w:val="22"/>
          <w:lang w:val="en-GB"/>
        </w:rPr>
        <w:t>, of course,</w:t>
      </w:r>
      <w:r w:rsidRPr="006C6BB5">
        <w:rPr>
          <w:sz w:val="22"/>
          <w:szCs w:val="22"/>
          <w:lang w:val="en-GB"/>
        </w:rPr>
        <w:t xml:space="preserve"> difficult for incremental innovators to use formal appropriation mechanisms, such as patents, as their innovative efforts would be too close to the state-of-the-art. However, without entering into the debate about the quality of current intellectual property as an appropriation mechanism, there is increasing evidence on the decline of the quality of formal appropriation mechanisms (in particular patents) through which firms apply for intellectual property that is relatively close to the state-of-the-art or rather </w:t>
      </w:r>
      <w:r w:rsidR="00D70C07" w:rsidRPr="006C6BB5">
        <w:rPr>
          <w:sz w:val="22"/>
          <w:szCs w:val="22"/>
          <w:lang w:val="en-GB"/>
        </w:rPr>
        <w:t xml:space="preserve">incremental (see e.g. </w:t>
      </w:r>
      <w:proofErr w:type="spellStart"/>
      <w:r w:rsidR="00D70C07" w:rsidRPr="006C6BB5">
        <w:rPr>
          <w:sz w:val="22"/>
          <w:szCs w:val="22"/>
          <w:lang w:val="en-GB"/>
        </w:rPr>
        <w:t>Bessen</w:t>
      </w:r>
      <w:proofErr w:type="spellEnd"/>
      <w:r w:rsidR="00D70C07" w:rsidRPr="006C6BB5">
        <w:rPr>
          <w:sz w:val="22"/>
          <w:szCs w:val="22"/>
          <w:lang w:val="en-GB"/>
        </w:rPr>
        <w:t xml:space="preserve"> &amp;</w:t>
      </w:r>
      <w:r w:rsidRPr="006C6BB5">
        <w:rPr>
          <w:sz w:val="22"/>
          <w:szCs w:val="22"/>
          <w:lang w:val="en-GB"/>
        </w:rPr>
        <w:t xml:space="preserve"> </w:t>
      </w:r>
      <w:proofErr w:type="spellStart"/>
      <w:r w:rsidRPr="006C6BB5">
        <w:rPr>
          <w:sz w:val="22"/>
          <w:szCs w:val="22"/>
          <w:lang w:val="en-GB"/>
        </w:rPr>
        <w:t>Meurer</w:t>
      </w:r>
      <w:proofErr w:type="spellEnd"/>
      <w:r w:rsidRPr="006C6BB5">
        <w:rPr>
          <w:sz w:val="22"/>
          <w:szCs w:val="22"/>
          <w:lang w:val="en-GB"/>
        </w:rPr>
        <w:t xml:space="preserve">, </w:t>
      </w:r>
      <w:r w:rsidRPr="006C6BB5">
        <w:rPr>
          <w:sz w:val="22"/>
          <w:szCs w:val="22"/>
          <w:lang w:val="en-GB"/>
        </w:rPr>
        <w:lastRenderedPageBreak/>
        <w:t xml:space="preserve">2008). </w:t>
      </w:r>
      <w:r w:rsidR="00927D0E" w:rsidRPr="006C6BB5">
        <w:rPr>
          <w:sz w:val="22"/>
          <w:szCs w:val="22"/>
          <w:lang w:val="en-GB"/>
        </w:rPr>
        <w:t>Therefore</w:t>
      </w:r>
      <w:r w:rsidRPr="006C6BB5">
        <w:rPr>
          <w:sz w:val="22"/>
          <w:szCs w:val="22"/>
          <w:lang w:val="en-GB"/>
        </w:rPr>
        <w:t>, for these incremental innovators, formal appropriation mechanisms give some protection for innovations that are close to e</w:t>
      </w:r>
      <w:r w:rsidR="0060076E" w:rsidRPr="006C6BB5">
        <w:rPr>
          <w:sz w:val="22"/>
          <w:szCs w:val="22"/>
          <w:lang w:val="en-GB"/>
        </w:rPr>
        <w:t>xisting technological knowledge</w:t>
      </w:r>
      <w:r w:rsidRPr="006C6BB5">
        <w:rPr>
          <w:sz w:val="22"/>
          <w:szCs w:val="22"/>
          <w:lang w:val="en-GB"/>
        </w:rPr>
        <w:t>.</w:t>
      </w:r>
      <w:r w:rsidR="0020764D" w:rsidRPr="006C6BB5">
        <w:rPr>
          <w:rFonts w:eastAsiaTheme="minorHAnsi"/>
          <w:sz w:val="22"/>
          <w:szCs w:val="22"/>
          <w:lang w:val="en-GB"/>
        </w:rPr>
        <w:t xml:space="preserve"> </w:t>
      </w:r>
      <w:r w:rsidR="0060076E" w:rsidRPr="006C6BB5">
        <w:rPr>
          <w:rFonts w:eastAsiaTheme="minorHAnsi"/>
          <w:sz w:val="22"/>
          <w:szCs w:val="22"/>
          <w:lang w:val="en-GB"/>
        </w:rPr>
        <w:t>Hence, the more their innovation orientation is incremental in nature, the more they will be inclined to implement a greater numbe</w:t>
      </w:r>
      <w:r w:rsidR="0060076E" w:rsidRPr="00927D0E">
        <w:rPr>
          <w:rFonts w:eastAsiaTheme="minorHAnsi"/>
          <w:sz w:val="22"/>
          <w:szCs w:val="22"/>
          <w:lang w:val="en-GB"/>
        </w:rPr>
        <w:t xml:space="preserve">r of formal association mechanisms. </w:t>
      </w:r>
      <w:r w:rsidRPr="00927D0E">
        <w:rPr>
          <w:sz w:val="22"/>
          <w:szCs w:val="22"/>
          <w:lang w:val="en-GB"/>
        </w:rPr>
        <w:t>Hence:</w:t>
      </w:r>
    </w:p>
    <w:p w14:paraId="2972C1FE" w14:textId="6527C766" w:rsidR="008552E2" w:rsidRPr="006C6BB5" w:rsidRDefault="007A15F1" w:rsidP="006D5629">
      <w:pPr>
        <w:shd w:val="clear" w:color="auto" w:fill="FFFFFF"/>
        <w:rPr>
          <w:i/>
          <w:lang w:val="en-GB"/>
        </w:rPr>
      </w:pPr>
      <w:r w:rsidRPr="00927D0E">
        <w:rPr>
          <w:i/>
          <w:sz w:val="22"/>
          <w:szCs w:val="22"/>
          <w:lang w:val="en-GB"/>
        </w:rPr>
        <w:t>H</w:t>
      </w:r>
      <w:r w:rsidR="00946022" w:rsidRPr="00927D0E">
        <w:rPr>
          <w:i/>
          <w:sz w:val="22"/>
          <w:szCs w:val="22"/>
          <w:lang w:val="en-GB"/>
        </w:rPr>
        <w:t>4</w:t>
      </w:r>
      <w:r w:rsidRPr="00927D0E">
        <w:rPr>
          <w:i/>
          <w:sz w:val="22"/>
          <w:szCs w:val="22"/>
          <w:lang w:val="en-GB"/>
        </w:rPr>
        <w:t>: Firm</w:t>
      </w:r>
      <w:r w:rsidR="005C3C6E" w:rsidRPr="00927D0E">
        <w:rPr>
          <w:i/>
          <w:sz w:val="22"/>
          <w:szCs w:val="22"/>
          <w:lang w:val="en-GB"/>
        </w:rPr>
        <w:t>s</w:t>
      </w:r>
      <w:r w:rsidRPr="00927D0E">
        <w:rPr>
          <w:i/>
          <w:sz w:val="22"/>
          <w:szCs w:val="22"/>
          <w:lang w:val="en-GB"/>
        </w:rPr>
        <w:t>’</w:t>
      </w:r>
      <w:r w:rsidR="005C3C6E" w:rsidRPr="00927D0E">
        <w:rPr>
          <w:i/>
          <w:sz w:val="22"/>
          <w:szCs w:val="22"/>
          <w:lang w:val="en-GB"/>
        </w:rPr>
        <w:t xml:space="preserve"> </w:t>
      </w:r>
      <w:r w:rsidR="005C3C6E" w:rsidRPr="006C6BB5">
        <w:rPr>
          <w:i/>
          <w:sz w:val="22"/>
          <w:szCs w:val="22"/>
          <w:lang w:val="en-GB"/>
        </w:rPr>
        <w:t xml:space="preserve">incremental innovation orientation has (a) a positive association with </w:t>
      </w:r>
      <w:r w:rsidRPr="006C6BB5">
        <w:rPr>
          <w:i/>
          <w:sz w:val="22"/>
          <w:szCs w:val="22"/>
          <w:lang w:val="en-GB"/>
        </w:rPr>
        <w:t xml:space="preserve">their use of </w:t>
      </w:r>
      <w:r w:rsidR="005C3C6E" w:rsidRPr="006C6BB5">
        <w:rPr>
          <w:i/>
          <w:sz w:val="22"/>
          <w:szCs w:val="22"/>
          <w:lang w:val="en-GB"/>
        </w:rPr>
        <w:t xml:space="preserve">formal appropriation mechanisms and (b) a negative association with </w:t>
      </w:r>
      <w:r w:rsidRPr="006C6BB5">
        <w:rPr>
          <w:i/>
          <w:sz w:val="22"/>
          <w:szCs w:val="22"/>
          <w:lang w:val="en-GB"/>
        </w:rPr>
        <w:t xml:space="preserve">their use of </w:t>
      </w:r>
      <w:r w:rsidR="005C3C6E" w:rsidRPr="006C6BB5">
        <w:rPr>
          <w:i/>
          <w:sz w:val="22"/>
          <w:szCs w:val="22"/>
          <w:lang w:val="en-GB"/>
        </w:rPr>
        <w:t>informal appropriation mechanisms</w:t>
      </w:r>
      <w:r w:rsidR="00452487" w:rsidRPr="006C6BB5">
        <w:rPr>
          <w:rFonts w:eastAsia="Calibri"/>
          <w:i/>
          <w:sz w:val="22"/>
          <w:szCs w:val="22"/>
          <w:lang w:val="en-GB"/>
        </w:rPr>
        <w:t xml:space="preserve">. </w:t>
      </w:r>
    </w:p>
    <w:p w14:paraId="626731DC" w14:textId="2F4B7AF0" w:rsidR="0013011E" w:rsidRPr="006C6BB5" w:rsidRDefault="00B309EF" w:rsidP="0060076E">
      <w:pPr>
        <w:tabs>
          <w:tab w:val="left" w:pos="0"/>
        </w:tabs>
        <w:spacing w:after="200"/>
        <w:contextualSpacing/>
        <w:rPr>
          <w:b/>
          <w:sz w:val="22"/>
          <w:szCs w:val="22"/>
          <w:lang w:val="en-GB"/>
        </w:rPr>
      </w:pPr>
      <w:r w:rsidRPr="006C6BB5">
        <w:rPr>
          <w:b/>
          <w:sz w:val="22"/>
          <w:szCs w:val="22"/>
          <w:lang w:val="en-GB"/>
        </w:rPr>
        <w:t>2</w:t>
      </w:r>
      <w:r w:rsidR="00672854" w:rsidRPr="006C6BB5">
        <w:rPr>
          <w:b/>
          <w:sz w:val="22"/>
          <w:szCs w:val="22"/>
          <w:lang w:val="en-GB"/>
        </w:rPr>
        <w:t xml:space="preserve">.3 </w:t>
      </w:r>
      <w:r w:rsidR="0013011E" w:rsidRPr="006C6BB5">
        <w:rPr>
          <w:b/>
          <w:sz w:val="22"/>
          <w:szCs w:val="22"/>
          <w:lang w:val="en-GB"/>
        </w:rPr>
        <w:t xml:space="preserve">Joint </w:t>
      </w:r>
      <w:r w:rsidR="00C259D9">
        <w:rPr>
          <w:b/>
          <w:sz w:val="22"/>
          <w:szCs w:val="22"/>
          <w:lang w:val="en-GB"/>
        </w:rPr>
        <w:t xml:space="preserve">Influence </w:t>
      </w:r>
      <w:r w:rsidR="0013011E" w:rsidRPr="006C6BB5">
        <w:rPr>
          <w:b/>
          <w:sz w:val="22"/>
          <w:szCs w:val="22"/>
          <w:lang w:val="en-GB"/>
        </w:rPr>
        <w:t xml:space="preserve">of Openness and Innovativeness </w:t>
      </w:r>
      <w:r w:rsidR="0053051E" w:rsidRPr="006C6BB5">
        <w:rPr>
          <w:b/>
          <w:sz w:val="22"/>
          <w:szCs w:val="22"/>
          <w:lang w:val="en-GB"/>
        </w:rPr>
        <w:t>on Formal and Informal Appropr</w:t>
      </w:r>
      <w:r w:rsidR="0060076E" w:rsidRPr="006C6BB5">
        <w:rPr>
          <w:b/>
          <w:sz w:val="22"/>
          <w:szCs w:val="22"/>
          <w:lang w:val="en-GB"/>
        </w:rPr>
        <w:t xml:space="preserve">iation </w:t>
      </w:r>
      <w:r w:rsidR="0053051E" w:rsidRPr="006C6BB5">
        <w:rPr>
          <w:b/>
          <w:sz w:val="22"/>
          <w:szCs w:val="22"/>
          <w:lang w:val="en-GB"/>
        </w:rPr>
        <w:t xml:space="preserve">Mechanisms </w:t>
      </w:r>
    </w:p>
    <w:p w14:paraId="2F396C6D" w14:textId="46944DB1" w:rsidR="006D5629" w:rsidRPr="006C6BB5" w:rsidRDefault="000F7B68" w:rsidP="006D5629">
      <w:pPr>
        <w:tabs>
          <w:tab w:val="left" w:pos="0"/>
        </w:tabs>
        <w:spacing w:after="240"/>
        <w:contextualSpacing/>
        <w:rPr>
          <w:rFonts w:eastAsia="Calibri"/>
          <w:i/>
          <w:sz w:val="22"/>
          <w:szCs w:val="22"/>
          <w:lang w:val="en-GB"/>
        </w:rPr>
      </w:pPr>
      <w:r>
        <w:rPr>
          <w:sz w:val="22"/>
          <w:szCs w:val="22"/>
          <w:lang w:val="en-GB"/>
        </w:rPr>
        <w:t>Prior work</w:t>
      </w:r>
      <w:r w:rsidR="00340808" w:rsidRPr="006C6BB5">
        <w:rPr>
          <w:sz w:val="22"/>
          <w:szCs w:val="22"/>
          <w:lang w:val="en-GB"/>
        </w:rPr>
        <w:t xml:space="preserve"> suggests that firms’ degree of innovativeness and external search openness are intertwined (</w:t>
      </w:r>
      <w:proofErr w:type="spellStart"/>
      <w:r w:rsidR="00340808" w:rsidRPr="006C6BB5">
        <w:rPr>
          <w:sz w:val="22"/>
          <w:szCs w:val="22"/>
          <w:lang w:val="en-GB"/>
        </w:rPr>
        <w:t>Köhler</w:t>
      </w:r>
      <w:proofErr w:type="spellEnd"/>
      <w:r w:rsidR="00340808" w:rsidRPr="006C6BB5">
        <w:rPr>
          <w:sz w:val="22"/>
          <w:szCs w:val="22"/>
          <w:lang w:val="en-GB"/>
        </w:rPr>
        <w:t xml:space="preserve">, </w:t>
      </w:r>
      <w:proofErr w:type="spellStart"/>
      <w:r w:rsidR="00340808" w:rsidRPr="006C6BB5">
        <w:rPr>
          <w:sz w:val="22"/>
          <w:szCs w:val="22"/>
          <w:lang w:val="en-GB"/>
        </w:rPr>
        <w:t>Sofka</w:t>
      </w:r>
      <w:proofErr w:type="spellEnd"/>
      <w:r w:rsidR="00340808" w:rsidRPr="006C6BB5">
        <w:rPr>
          <w:sz w:val="22"/>
          <w:szCs w:val="22"/>
          <w:lang w:val="en-GB"/>
        </w:rPr>
        <w:t xml:space="preserve"> &amp; </w:t>
      </w:r>
      <w:proofErr w:type="spellStart"/>
      <w:r w:rsidR="00340808" w:rsidRPr="006C6BB5">
        <w:rPr>
          <w:sz w:val="22"/>
          <w:szCs w:val="22"/>
          <w:lang w:val="en-GB"/>
        </w:rPr>
        <w:t>Grimpe</w:t>
      </w:r>
      <w:proofErr w:type="spellEnd"/>
      <w:r w:rsidR="00340808" w:rsidRPr="006C6BB5">
        <w:rPr>
          <w:sz w:val="22"/>
          <w:szCs w:val="22"/>
          <w:lang w:val="en-GB"/>
        </w:rPr>
        <w:t>, 2012). Thi</w:t>
      </w:r>
      <w:r w:rsidR="00340808" w:rsidRPr="00927D0E">
        <w:rPr>
          <w:sz w:val="22"/>
          <w:szCs w:val="22"/>
          <w:lang w:val="en-GB"/>
        </w:rPr>
        <w:t xml:space="preserve">s points to the importance of studying potential interactive </w:t>
      </w:r>
      <w:r w:rsidR="00540A3C" w:rsidRPr="00927D0E">
        <w:rPr>
          <w:sz w:val="22"/>
          <w:szCs w:val="22"/>
          <w:lang w:val="en-GB"/>
        </w:rPr>
        <w:t xml:space="preserve">impact </w:t>
      </w:r>
      <w:r w:rsidR="00340808" w:rsidRPr="00927D0E">
        <w:rPr>
          <w:sz w:val="22"/>
          <w:szCs w:val="22"/>
          <w:lang w:val="en-GB"/>
        </w:rPr>
        <w:t xml:space="preserve">of the degree of innovativeness and external search openness on firms’ use of formal and informal appropriation mechanisms. </w:t>
      </w:r>
      <w:r w:rsidR="0017651A" w:rsidRPr="00927D0E">
        <w:rPr>
          <w:sz w:val="22"/>
          <w:szCs w:val="22"/>
          <w:lang w:val="en-GB"/>
        </w:rPr>
        <w:t xml:space="preserve">The following section </w:t>
      </w:r>
      <w:r w:rsidR="00340808" w:rsidRPr="00927D0E">
        <w:rPr>
          <w:sz w:val="22"/>
          <w:szCs w:val="22"/>
          <w:lang w:val="en-GB"/>
        </w:rPr>
        <w:t>differentiate</w:t>
      </w:r>
      <w:r w:rsidR="0017651A" w:rsidRPr="00927D0E">
        <w:rPr>
          <w:sz w:val="22"/>
          <w:szCs w:val="22"/>
          <w:lang w:val="en-GB"/>
        </w:rPr>
        <w:t>s</w:t>
      </w:r>
      <w:r w:rsidR="00340808" w:rsidRPr="00927D0E">
        <w:rPr>
          <w:sz w:val="22"/>
          <w:szCs w:val="22"/>
          <w:lang w:val="en-GB"/>
        </w:rPr>
        <w:t xml:space="preserve"> between incremental and radical innovators and argue</w:t>
      </w:r>
      <w:r w:rsidR="0017651A" w:rsidRPr="00927D0E">
        <w:rPr>
          <w:sz w:val="22"/>
          <w:szCs w:val="22"/>
          <w:lang w:val="en-GB"/>
        </w:rPr>
        <w:t>s</w:t>
      </w:r>
      <w:r w:rsidR="00340808" w:rsidRPr="00927D0E">
        <w:rPr>
          <w:sz w:val="22"/>
          <w:szCs w:val="22"/>
          <w:lang w:val="en-GB"/>
        </w:rPr>
        <w:t xml:space="preserve"> to what extent it is their external search breadth or external search depth that </w:t>
      </w:r>
      <w:r w:rsidR="00426C9F" w:rsidRPr="00927D0E">
        <w:rPr>
          <w:sz w:val="22"/>
          <w:szCs w:val="22"/>
          <w:lang w:val="en-GB"/>
        </w:rPr>
        <w:t>influence</w:t>
      </w:r>
      <w:r w:rsidR="00340808" w:rsidRPr="00927D0E">
        <w:rPr>
          <w:sz w:val="22"/>
          <w:szCs w:val="22"/>
          <w:lang w:val="en-GB"/>
        </w:rPr>
        <w:t xml:space="preserve"> their </w:t>
      </w:r>
      <w:r w:rsidR="00426C9F" w:rsidRPr="00927D0E">
        <w:rPr>
          <w:sz w:val="22"/>
          <w:szCs w:val="22"/>
          <w:lang w:val="en-GB"/>
        </w:rPr>
        <w:t xml:space="preserve">use of </w:t>
      </w:r>
      <w:r w:rsidR="00340808" w:rsidRPr="00927D0E">
        <w:rPr>
          <w:sz w:val="22"/>
          <w:szCs w:val="22"/>
          <w:lang w:val="en-GB"/>
        </w:rPr>
        <w:t xml:space="preserve">formal and informal </w:t>
      </w:r>
      <w:r w:rsidR="00340808" w:rsidRPr="006C6BB5">
        <w:rPr>
          <w:sz w:val="22"/>
          <w:szCs w:val="22"/>
          <w:lang w:val="en-GB"/>
        </w:rPr>
        <w:t xml:space="preserve">appropriation mechanisms. </w:t>
      </w:r>
    </w:p>
    <w:p w14:paraId="43416A7D" w14:textId="49AE7F17" w:rsidR="00D56D90" w:rsidRPr="006C6BB5" w:rsidRDefault="00B309EF" w:rsidP="006D5629">
      <w:pPr>
        <w:tabs>
          <w:tab w:val="left" w:pos="0"/>
        </w:tabs>
        <w:spacing w:before="240"/>
        <w:contextualSpacing/>
        <w:rPr>
          <w:rFonts w:eastAsia="Calibri"/>
          <w:i/>
          <w:sz w:val="22"/>
          <w:szCs w:val="22"/>
          <w:lang w:val="en-GB"/>
        </w:rPr>
      </w:pPr>
      <w:r w:rsidRPr="006C6BB5">
        <w:rPr>
          <w:b/>
          <w:sz w:val="22"/>
          <w:szCs w:val="22"/>
          <w:lang w:val="en-GB"/>
        </w:rPr>
        <w:t>2</w:t>
      </w:r>
      <w:r w:rsidR="00672854" w:rsidRPr="006C6BB5">
        <w:rPr>
          <w:b/>
          <w:sz w:val="22"/>
          <w:szCs w:val="22"/>
          <w:lang w:val="en-GB"/>
        </w:rPr>
        <w:t xml:space="preserve">.3.1 </w:t>
      </w:r>
      <w:r w:rsidR="00452487" w:rsidRPr="006C6BB5">
        <w:rPr>
          <w:b/>
          <w:sz w:val="22"/>
          <w:szCs w:val="22"/>
          <w:lang w:val="en-GB"/>
        </w:rPr>
        <w:t>Openness</w:t>
      </w:r>
      <w:r w:rsidR="00153C19" w:rsidRPr="006C6BB5">
        <w:rPr>
          <w:b/>
          <w:sz w:val="22"/>
          <w:szCs w:val="22"/>
          <w:lang w:val="en-GB"/>
        </w:rPr>
        <w:t xml:space="preserve"> and incremental innovators. </w:t>
      </w:r>
    </w:p>
    <w:p w14:paraId="28A29AEE" w14:textId="1FE99713" w:rsidR="00F02892" w:rsidRPr="006C6BB5" w:rsidRDefault="00153C19" w:rsidP="00D56D90">
      <w:pPr>
        <w:contextualSpacing/>
        <w:rPr>
          <w:sz w:val="22"/>
          <w:szCs w:val="22"/>
          <w:lang w:val="en-GB"/>
        </w:rPr>
      </w:pPr>
      <w:r w:rsidRPr="006C6BB5">
        <w:rPr>
          <w:sz w:val="22"/>
          <w:szCs w:val="22"/>
          <w:lang w:val="en-GB"/>
        </w:rPr>
        <w:t>It</w:t>
      </w:r>
      <w:r w:rsidR="0013011E" w:rsidRPr="006C6BB5">
        <w:rPr>
          <w:sz w:val="22"/>
          <w:szCs w:val="22"/>
          <w:lang w:val="en-GB"/>
        </w:rPr>
        <w:t xml:space="preserve"> is relatively simple for partners of firms that are characterized as incremental innovators, i.e., for partners of those firms that base their incremental innovative activities on existing common knowledge, to acquire this knowledge. Given the modest nature of the innovative activities of incremental innovators, the primary risk of unintended knowledge transfer from increm</w:t>
      </w:r>
      <w:r w:rsidR="000F7B68">
        <w:rPr>
          <w:sz w:val="22"/>
          <w:szCs w:val="22"/>
          <w:lang w:val="en-GB"/>
        </w:rPr>
        <w:t>ental innovators lies with any interactions</w:t>
      </w:r>
      <w:r w:rsidR="0013011E" w:rsidRPr="006C6BB5">
        <w:rPr>
          <w:sz w:val="22"/>
          <w:szCs w:val="22"/>
          <w:lang w:val="en-GB"/>
        </w:rPr>
        <w:t xml:space="preserve"> through which </w:t>
      </w:r>
      <w:r w:rsidR="000F7B68">
        <w:rPr>
          <w:sz w:val="22"/>
          <w:szCs w:val="22"/>
          <w:lang w:val="en-GB"/>
        </w:rPr>
        <w:t>external parties</w:t>
      </w:r>
      <w:r w:rsidR="0013011E" w:rsidRPr="006C6BB5">
        <w:rPr>
          <w:sz w:val="22"/>
          <w:szCs w:val="22"/>
          <w:lang w:val="en-GB"/>
        </w:rPr>
        <w:t xml:space="preserve"> can easily appropriate this already existing relevant knowledge. With heightened diversity of their </w:t>
      </w:r>
      <w:r w:rsidR="000F7B68">
        <w:rPr>
          <w:sz w:val="22"/>
          <w:szCs w:val="22"/>
          <w:lang w:val="en-GB"/>
        </w:rPr>
        <w:t>interactions with a variety of external parties</w:t>
      </w:r>
      <w:r w:rsidR="0013011E" w:rsidRPr="006C6BB5">
        <w:rPr>
          <w:sz w:val="22"/>
          <w:szCs w:val="22"/>
          <w:lang w:val="en-GB"/>
        </w:rPr>
        <w:t xml:space="preserve">, which indicates </w:t>
      </w:r>
      <w:r w:rsidR="00340808" w:rsidRPr="006C6BB5">
        <w:rPr>
          <w:sz w:val="22"/>
          <w:szCs w:val="22"/>
          <w:lang w:val="en-GB"/>
        </w:rPr>
        <w:t xml:space="preserve">external search </w:t>
      </w:r>
      <w:r w:rsidR="00F02892" w:rsidRPr="006C6BB5">
        <w:rPr>
          <w:sz w:val="22"/>
          <w:szCs w:val="22"/>
          <w:lang w:val="en-GB"/>
        </w:rPr>
        <w:t>breadth</w:t>
      </w:r>
      <w:r w:rsidR="0013011E" w:rsidRPr="006C6BB5">
        <w:rPr>
          <w:sz w:val="22"/>
          <w:szCs w:val="22"/>
          <w:lang w:val="en-GB"/>
        </w:rPr>
        <w:t>, these incremental innovators increasingly face the risk of unintended knowledge transfer to their partners. This augmented risk of knowledge leak</w:t>
      </w:r>
      <w:r w:rsidR="00F02892" w:rsidRPr="006C6BB5">
        <w:rPr>
          <w:sz w:val="22"/>
          <w:szCs w:val="22"/>
          <w:lang w:val="en-GB"/>
        </w:rPr>
        <w:t xml:space="preserve">age with increasing breadth in </w:t>
      </w:r>
      <w:r w:rsidR="0013011E" w:rsidRPr="006C6BB5">
        <w:rPr>
          <w:sz w:val="22"/>
          <w:szCs w:val="22"/>
          <w:lang w:val="en-GB"/>
        </w:rPr>
        <w:t xml:space="preserve">openness forces them to </w:t>
      </w:r>
      <w:r w:rsidR="001C5629" w:rsidRPr="006C6BB5">
        <w:rPr>
          <w:sz w:val="22"/>
          <w:szCs w:val="22"/>
          <w:lang w:val="en-GB"/>
        </w:rPr>
        <w:t xml:space="preserve">increasingly </w:t>
      </w:r>
      <w:r w:rsidR="0013011E" w:rsidRPr="006C6BB5">
        <w:rPr>
          <w:sz w:val="22"/>
          <w:szCs w:val="22"/>
          <w:lang w:val="en-GB"/>
        </w:rPr>
        <w:t xml:space="preserve">use formal appropriation mechanisms to protect their knowledge from a variety of </w:t>
      </w:r>
      <w:r w:rsidR="00C92AAD">
        <w:rPr>
          <w:sz w:val="22"/>
          <w:szCs w:val="22"/>
          <w:lang w:val="en-GB"/>
        </w:rPr>
        <w:t>external parties</w:t>
      </w:r>
      <w:r w:rsidR="0013011E" w:rsidRPr="006C6BB5">
        <w:rPr>
          <w:sz w:val="22"/>
          <w:szCs w:val="22"/>
          <w:lang w:val="en-GB"/>
        </w:rPr>
        <w:t xml:space="preserve">. </w:t>
      </w:r>
    </w:p>
    <w:p w14:paraId="37B1EF53" w14:textId="5931269F" w:rsidR="00E65BCB" w:rsidRPr="006C6BB5" w:rsidRDefault="00E65BCB" w:rsidP="00E65BCB">
      <w:pPr>
        <w:ind w:firstLine="720"/>
        <w:contextualSpacing/>
        <w:rPr>
          <w:sz w:val="22"/>
          <w:szCs w:val="22"/>
          <w:lang w:val="en-GB"/>
        </w:rPr>
      </w:pPr>
      <w:r w:rsidRPr="006C6BB5">
        <w:rPr>
          <w:sz w:val="22"/>
          <w:szCs w:val="22"/>
          <w:lang w:val="en-GB"/>
        </w:rPr>
        <w:t xml:space="preserve">Given the incremental innovative nature of these firms, the depth of their </w:t>
      </w:r>
      <w:r w:rsidR="000F7B68">
        <w:rPr>
          <w:sz w:val="22"/>
          <w:szCs w:val="22"/>
          <w:lang w:val="en-GB"/>
        </w:rPr>
        <w:t>external search</w:t>
      </w:r>
      <w:r w:rsidRPr="006C6BB5">
        <w:rPr>
          <w:sz w:val="22"/>
          <w:szCs w:val="22"/>
          <w:lang w:val="en-GB"/>
        </w:rPr>
        <w:t xml:space="preserve"> activities seems less relevant</w:t>
      </w:r>
      <w:r w:rsidR="00340808" w:rsidRPr="006C6BB5">
        <w:rPr>
          <w:sz w:val="22"/>
          <w:szCs w:val="22"/>
          <w:lang w:val="en-GB"/>
        </w:rPr>
        <w:t xml:space="preserve"> </w:t>
      </w:r>
      <w:r w:rsidR="00C259D9">
        <w:rPr>
          <w:sz w:val="22"/>
          <w:szCs w:val="22"/>
          <w:lang w:val="en-GB"/>
        </w:rPr>
        <w:t>for</w:t>
      </w:r>
      <w:r w:rsidRPr="006C6BB5">
        <w:rPr>
          <w:sz w:val="22"/>
          <w:szCs w:val="22"/>
          <w:lang w:val="en-GB"/>
        </w:rPr>
        <w:t xml:space="preserve"> their use of formal appropriation mechanisms. Their </w:t>
      </w:r>
      <w:r w:rsidR="000F7B68">
        <w:rPr>
          <w:sz w:val="22"/>
          <w:szCs w:val="22"/>
          <w:lang w:val="en-GB"/>
        </w:rPr>
        <w:t xml:space="preserve">interactions with </w:t>
      </w:r>
      <w:r w:rsidR="000F7B68">
        <w:rPr>
          <w:sz w:val="22"/>
          <w:szCs w:val="22"/>
          <w:lang w:val="en-GB"/>
        </w:rPr>
        <w:lastRenderedPageBreak/>
        <w:t>external parties</w:t>
      </w:r>
      <w:r w:rsidRPr="006C6BB5">
        <w:rPr>
          <w:sz w:val="22"/>
          <w:szCs w:val="22"/>
          <w:lang w:val="en-GB"/>
        </w:rPr>
        <w:t xml:space="preserve"> builds largely on existing common knowledge which is easily accessible and well-suited for incremental innovation, but for which there is little or no need for in-depth </w:t>
      </w:r>
      <w:r w:rsidR="000F7B68">
        <w:rPr>
          <w:sz w:val="22"/>
          <w:szCs w:val="22"/>
          <w:lang w:val="en-GB"/>
        </w:rPr>
        <w:t>search</w:t>
      </w:r>
      <w:r w:rsidRPr="006C6BB5">
        <w:rPr>
          <w:sz w:val="22"/>
          <w:szCs w:val="22"/>
          <w:lang w:val="en-GB"/>
        </w:rPr>
        <w:t xml:space="preserve">. Given the common knowledge character of the knowledge exchange activities of incremental innovators, any enhanced </w:t>
      </w:r>
      <w:r w:rsidR="000F7B68">
        <w:rPr>
          <w:sz w:val="22"/>
          <w:szCs w:val="22"/>
          <w:lang w:val="en-GB"/>
        </w:rPr>
        <w:t>search depth</w:t>
      </w:r>
      <w:r w:rsidRPr="006C6BB5">
        <w:rPr>
          <w:sz w:val="22"/>
          <w:szCs w:val="22"/>
          <w:lang w:val="en-GB"/>
        </w:rPr>
        <w:t xml:space="preserve"> will not significantly increase the risk of unintended knowledge leakage. Thus, increasing the depth of </w:t>
      </w:r>
      <w:r w:rsidR="00724AD8" w:rsidRPr="006C6BB5">
        <w:rPr>
          <w:sz w:val="22"/>
          <w:szCs w:val="22"/>
          <w:lang w:val="en-GB"/>
        </w:rPr>
        <w:t xml:space="preserve">external search openness </w:t>
      </w:r>
      <w:r w:rsidRPr="006C6BB5">
        <w:rPr>
          <w:sz w:val="22"/>
          <w:szCs w:val="22"/>
          <w:lang w:val="en-GB"/>
        </w:rPr>
        <w:t>is of little or</w:t>
      </w:r>
      <w:r w:rsidR="00724AD8" w:rsidRPr="006C6BB5">
        <w:rPr>
          <w:sz w:val="22"/>
          <w:szCs w:val="22"/>
          <w:lang w:val="en-GB"/>
        </w:rPr>
        <w:t xml:space="preserve"> no relevance and </w:t>
      </w:r>
      <w:r w:rsidRPr="006C6BB5">
        <w:rPr>
          <w:sz w:val="22"/>
          <w:szCs w:val="22"/>
          <w:lang w:val="en-GB"/>
        </w:rPr>
        <w:t xml:space="preserve">will not impact incremental innovators to further employ formal appropriation mechanisms. Hence, it is expected that for incremental innovators, </w:t>
      </w:r>
      <w:r w:rsidR="00724AD8" w:rsidRPr="006C6BB5">
        <w:rPr>
          <w:sz w:val="22"/>
          <w:szCs w:val="22"/>
          <w:lang w:val="en-GB"/>
        </w:rPr>
        <w:t>external search</w:t>
      </w:r>
      <w:r w:rsidRPr="006C6BB5">
        <w:rPr>
          <w:sz w:val="22"/>
          <w:szCs w:val="22"/>
          <w:lang w:val="en-GB"/>
        </w:rPr>
        <w:t xml:space="preserve"> breadth, rather than </w:t>
      </w:r>
      <w:r w:rsidR="00724AD8" w:rsidRPr="006C6BB5">
        <w:rPr>
          <w:sz w:val="22"/>
          <w:szCs w:val="22"/>
          <w:lang w:val="en-GB"/>
        </w:rPr>
        <w:t>external search</w:t>
      </w:r>
      <w:r w:rsidRPr="006C6BB5">
        <w:rPr>
          <w:sz w:val="22"/>
          <w:szCs w:val="22"/>
          <w:lang w:val="en-GB"/>
        </w:rPr>
        <w:t xml:space="preserve"> depth, is of a primary concern and as such it is particularly the increasing breadth of the incremental innovator’s openness that is expected to impact their use of formal appropriation mechanisms. </w:t>
      </w:r>
    </w:p>
    <w:p w14:paraId="4812A05D" w14:textId="0C340347" w:rsidR="0060076E" w:rsidRPr="00927D0E" w:rsidRDefault="0060076E" w:rsidP="0060076E">
      <w:pPr>
        <w:ind w:firstLine="720"/>
        <w:contextualSpacing/>
        <w:rPr>
          <w:sz w:val="22"/>
          <w:szCs w:val="22"/>
          <w:lang w:val="en-GB"/>
        </w:rPr>
      </w:pPr>
      <w:r w:rsidRPr="006C6BB5">
        <w:rPr>
          <w:sz w:val="22"/>
          <w:szCs w:val="22"/>
          <w:lang w:val="en-GB"/>
        </w:rPr>
        <w:t xml:space="preserve">Informal appropriation mechanisms, based on secrecy, lead-time, and complexity are, given the common knowledge base of incremental innovators, of little relevance with heightened diversity and intensity of their </w:t>
      </w:r>
      <w:r w:rsidR="000F7B68">
        <w:rPr>
          <w:sz w:val="22"/>
          <w:szCs w:val="22"/>
          <w:lang w:val="en-GB"/>
        </w:rPr>
        <w:t>external search efforts</w:t>
      </w:r>
      <w:r w:rsidRPr="006C6BB5">
        <w:rPr>
          <w:sz w:val="22"/>
          <w:szCs w:val="22"/>
          <w:lang w:val="en-GB"/>
        </w:rPr>
        <w:t xml:space="preserve">. Furthermore, </w:t>
      </w:r>
      <w:r w:rsidR="000F7B68">
        <w:rPr>
          <w:sz w:val="22"/>
          <w:szCs w:val="22"/>
          <w:lang w:val="en-GB"/>
        </w:rPr>
        <w:t>searching broadly across external parties</w:t>
      </w:r>
      <w:r w:rsidRPr="006C6BB5">
        <w:rPr>
          <w:sz w:val="22"/>
          <w:szCs w:val="22"/>
          <w:lang w:val="en-GB"/>
        </w:rPr>
        <w:t xml:space="preserve"> often involves the transfer of codified knowledge that requires low levels of commitment (van de </w:t>
      </w:r>
      <w:proofErr w:type="spellStart"/>
      <w:r w:rsidRPr="006C6BB5">
        <w:rPr>
          <w:sz w:val="22"/>
          <w:szCs w:val="22"/>
          <w:lang w:val="en-GB"/>
        </w:rPr>
        <w:t>Vrande</w:t>
      </w:r>
      <w:proofErr w:type="spellEnd"/>
      <w:r w:rsidRPr="006C6BB5">
        <w:rPr>
          <w:sz w:val="22"/>
          <w:szCs w:val="22"/>
          <w:lang w:val="en-GB"/>
        </w:rPr>
        <w:t xml:space="preserve">, </w:t>
      </w:r>
      <w:proofErr w:type="spellStart"/>
      <w:r w:rsidRPr="006C6BB5">
        <w:rPr>
          <w:sz w:val="22"/>
          <w:szCs w:val="22"/>
          <w:lang w:val="en-GB"/>
        </w:rPr>
        <w:t>Lemmens</w:t>
      </w:r>
      <w:proofErr w:type="spellEnd"/>
      <w:r w:rsidRPr="006C6BB5">
        <w:rPr>
          <w:sz w:val="22"/>
          <w:szCs w:val="22"/>
          <w:lang w:val="en-GB"/>
        </w:rPr>
        <w:t xml:space="preserve">, &amp; Vanhaverbeke, 2006; </w:t>
      </w:r>
      <w:proofErr w:type="spellStart"/>
      <w:r w:rsidRPr="006C6BB5">
        <w:rPr>
          <w:sz w:val="22"/>
          <w:szCs w:val="22"/>
          <w:lang w:val="en-GB"/>
        </w:rPr>
        <w:t>Garriga</w:t>
      </w:r>
      <w:proofErr w:type="spellEnd"/>
      <w:r w:rsidRPr="006C6BB5">
        <w:rPr>
          <w:sz w:val="22"/>
          <w:szCs w:val="22"/>
          <w:lang w:val="en-GB"/>
        </w:rPr>
        <w:t xml:space="preserve">, von Krogh, &amp; </w:t>
      </w:r>
      <w:proofErr w:type="spellStart"/>
      <w:r w:rsidRPr="006C6BB5">
        <w:rPr>
          <w:sz w:val="22"/>
          <w:szCs w:val="22"/>
          <w:lang w:val="en-GB"/>
        </w:rPr>
        <w:t>Spaeth</w:t>
      </w:r>
      <w:proofErr w:type="spellEnd"/>
      <w:r w:rsidRPr="006C6BB5">
        <w:rPr>
          <w:sz w:val="22"/>
          <w:szCs w:val="22"/>
          <w:lang w:val="en-GB"/>
        </w:rPr>
        <w:t xml:space="preserve">, 2013). Also in that context, formal appropriation mechanisms are more relevant for protecting this codified knowledge than informal appropriation mechanisms. Given </w:t>
      </w:r>
      <w:r w:rsidR="0017651A">
        <w:rPr>
          <w:sz w:val="22"/>
          <w:szCs w:val="22"/>
          <w:lang w:val="en-GB"/>
        </w:rPr>
        <w:t>the</w:t>
      </w:r>
      <w:r w:rsidRPr="006C6BB5">
        <w:rPr>
          <w:sz w:val="22"/>
          <w:szCs w:val="22"/>
          <w:lang w:val="en-GB"/>
        </w:rPr>
        <w:t xml:space="preserve"> expected general association between incremental innovativeness and the use of formal appropriation mecha</w:t>
      </w:r>
      <w:r w:rsidR="001F15D9">
        <w:rPr>
          <w:sz w:val="22"/>
          <w:szCs w:val="22"/>
          <w:lang w:val="en-GB"/>
        </w:rPr>
        <w:t xml:space="preserve">nisms (see H2a), </w:t>
      </w:r>
      <w:r w:rsidRPr="006C6BB5">
        <w:rPr>
          <w:sz w:val="22"/>
          <w:szCs w:val="22"/>
          <w:lang w:val="en-GB"/>
        </w:rPr>
        <w:t>complexity, secrecy, and lead-time are less relevant for incremen</w:t>
      </w:r>
      <w:r w:rsidRPr="00927D0E">
        <w:rPr>
          <w:sz w:val="22"/>
          <w:szCs w:val="22"/>
          <w:lang w:val="en-GB"/>
        </w:rPr>
        <w:t xml:space="preserve">tal innovators to protect their innovative rents. Hence, a specific </w:t>
      </w:r>
      <w:r w:rsidR="00C259D9" w:rsidRPr="00927D0E">
        <w:rPr>
          <w:sz w:val="22"/>
          <w:szCs w:val="22"/>
          <w:lang w:val="en-GB"/>
        </w:rPr>
        <w:t>impact</w:t>
      </w:r>
      <w:r w:rsidRPr="00927D0E">
        <w:rPr>
          <w:sz w:val="22"/>
          <w:szCs w:val="22"/>
          <w:lang w:val="en-GB"/>
        </w:rPr>
        <w:t xml:space="preserve"> of either the increasing </w:t>
      </w:r>
      <w:r w:rsidR="00724AD8" w:rsidRPr="00927D0E">
        <w:rPr>
          <w:sz w:val="22"/>
          <w:szCs w:val="22"/>
          <w:lang w:val="en-GB"/>
        </w:rPr>
        <w:t>external search</w:t>
      </w:r>
      <w:r w:rsidRPr="00927D0E">
        <w:rPr>
          <w:sz w:val="22"/>
          <w:szCs w:val="22"/>
          <w:lang w:val="en-GB"/>
        </w:rPr>
        <w:t xml:space="preserve"> breadth or depth of incremental innovators on their use of informal appropriation mechanisms is not expected and, therefore, not hypothesized. </w:t>
      </w:r>
      <w:r w:rsidR="000F7B68" w:rsidRPr="00927D0E">
        <w:rPr>
          <w:sz w:val="22"/>
          <w:szCs w:val="22"/>
          <w:lang w:val="en-GB"/>
        </w:rPr>
        <w:t>Hence, the following hypothesis focuses on formal appropriation mechanisms and suggests that</w:t>
      </w:r>
      <w:r w:rsidR="00724AD8" w:rsidRPr="00927D0E">
        <w:rPr>
          <w:sz w:val="22"/>
          <w:szCs w:val="22"/>
          <w:lang w:val="en-GB"/>
        </w:rPr>
        <w:t xml:space="preserve">: </w:t>
      </w:r>
    </w:p>
    <w:p w14:paraId="5B4D80E0" w14:textId="7302BA8C" w:rsidR="0020764D" w:rsidRPr="006C6BB5" w:rsidRDefault="005C3C6E" w:rsidP="006D5629">
      <w:pPr>
        <w:shd w:val="clear" w:color="auto" w:fill="FFFFFF"/>
        <w:rPr>
          <w:i/>
          <w:color w:val="212121"/>
          <w:lang w:val="en-GB"/>
        </w:rPr>
      </w:pPr>
      <w:r w:rsidRPr="00927D0E">
        <w:rPr>
          <w:i/>
          <w:sz w:val="22"/>
          <w:szCs w:val="22"/>
          <w:lang w:val="en-GB"/>
        </w:rPr>
        <w:t>H</w:t>
      </w:r>
      <w:r w:rsidR="00946022" w:rsidRPr="00927D0E">
        <w:rPr>
          <w:i/>
          <w:sz w:val="22"/>
          <w:szCs w:val="22"/>
          <w:lang w:val="en-GB"/>
        </w:rPr>
        <w:t>5</w:t>
      </w:r>
      <w:r w:rsidRPr="00927D0E">
        <w:rPr>
          <w:i/>
          <w:sz w:val="22"/>
          <w:szCs w:val="22"/>
          <w:lang w:val="en-GB"/>
        </w:rPr>
        <w:t xml:space="preserve">: Increasing external </w:t>
      </w:r>
      <w:r w:rsidRPr="006C6BB5">
        <w:rPr>
          <w:i/>
          <w:sz w:val="22"/>
          <w:szCs w:val="22"/>
          <w:lang w:val="en-GB"/>
        </w:rPr>
        <w:t xml:space="preserve">search breadth of incremental innovators is positively associated with </w:t>
      </w:r>
      <w:r w:rsidR="007A15F1" w:rsidRPr="006C6BB5">
        <w:rPr>
          <w:i/>
          <w:sz w:val="22"/>
          <w:szCs w:val="22"/>
          <w:lang w:val="en-GB"/>
        </w:rPr>
        <w:t xml:space="preserve">their use of </w:t>
      </w:r>
      <w:r w:rsidRPr="006C6BB5">
        <w:rPr>
          <w:i/>
          <w:sz w:val="22"/>
          <w:szCs w:val="22"/>
          <w:lang w:val="en-GB"/>
        </w:rPr>
        <w:t xml:space="preserve">formal appropriation </w:t>
      </w:r>
      <w:r w:rsidRPr="006C6BB5">
        <w:rPr>
          <w:i/>
          <w:color w:val="212121"/>
          <w:sz w:val="22"/>
          <w:szCs w:val="22"/>
          <w:lang w:val="en-GB"/>
        </w:rPr>
        <w:t>mechanisms</w:t>
      </w:r>
    </w:p>
    <w:p w14:paraId="59DF23D9" w14:textId="34FBA328" w:rsidR="00C711D5" w:rsidRPr="006C6BB5" w:rsidRDefault="00B309EF" w:rsidP="00D56D90">
      <w:pPr>
        <w:contextualSpacing/>
        <w:rPr>
          <w:b/>
          <w:sz w:val="22"/>
          <w:szCs w:val="22"/>
          <w:lang w:val="en-GB"/>
        </w:rPr>
      </w:pPr>
      <w:r w:rsidRPr="006C6BB5">
        <w:rPr>
          <w:b/>
          <w:sz w:val="22"/>
          <w:szCs w:val="22"/>
          <w:lang w:val="en-GB"/>
        </w:rPr>
        <w:t>2</w:t>
      </w:r>
      <w:r w:rsidR="00672854" w:rsidRPr="006C6BB5">
        <w:rPr>
          <w:b/>
          <w:sz w:val="22"/>
          <w:szCs w:val="22"/>
          <w:lang w:val="en-GB"/>
        </w:rPr>
        <w:t xml:space="preserve">.3.2 </w:t>
      </w:r>
      <w:r w:rsidR="00452487" w:rsidRPr="006C6BB5">
        <w:rPr>
          <w:b/>
          <w:sz w:val="22"/>
          <w:szCs w:val="22"/>
          <w:lang w:val="en-GB"/>
        </w:rPr>
        <w:t>Openness</w:t>
      </w:r>
      <w:r w:rsidR="0013011E" w:rsidRPr="006C6BB5">
        <w:rPr>
          <w:b/>
          <w:sz w:val="22"/>
          <w:szCs w:val="22"/>
          <w:lang w:val="en-GB"/>
        </w:rPr>
        <w:t xml:space="preserve"> and radical innovators. </w:t>
      </w:r>
    </w:p>
    <w:p w14:paraId="1C599741" w14:textId="2463C7AA" w:rsidR="0013011E" w:rsidRPr="006C6BB5" w:rsidRDefault="00721E00" w:rsidP="00D56D90">
      <w:pPr>
        <w:contextualSpacing/>
        <w:rPr>
          <w:b/>
          <w:sz w:val="22"/>
          <w:szCs w:val="22"/>
          <w:lang w:val="en-GB"/>
        </w:rPr>
      </w:pPr>
      <w:r>
        <w:rPr>
          <w:sz w:val="22"/>
          <w:szCs w:val="22"/>
          <w:lang w:val="en-GB"/>
        </w:rPr>
        <w:t xml:space="preserve">Hypothesis </w:t>
      </w:r>
      <w:r w:rsidR="00FC32F0">
        <w:rPr>
          <w:sz w:val="22"/>
          <w:szCs w:val="22"/>
          <w:lang w:val="en-GB"/>
        </w:rPr>
        <w:t>3</w:t>
      </w:r>
      <w:r>
        <w:rPr>
          <w:sz w:val="22"/>
          <w:szCs w:val="22"/>
          <w:lang w:val="en-GB"/>
        </w:rPr>
        <w:t xml:space="preserve">b stipulates </w:t>
      </w:r>
      <w:r w:rsidR="0013011E" w:rsidRPr="006C6BB5">
        <w:rPr>
          <w:sz w:val="22"/>
          <w:szCs w:val="22"/>
          <w:lang w:val="en-GB"/>
        </w:rPr>
        <w:t>that</w:t>
      </w:r>
      <w:r w:rsidR="00153C19" w:rsidRPr="006C6BB5">
        <w:rPr>
          <w:sz w:val="22"/>
          <w:szCs w:val="22"/>
          <w:lang w:val="en-GB"/>
        </w:rPr>
        <w:t>,</w:t>
      </w:r>
      <w:r w:rsidR="0013011E" w:rsidRPr="006C6BB5">
        <w:rPr>
          <w:sz w:val="22"/>
          <w:szCs w:val="22"/>
          <w:lang w:val="en-GB"/>
        </w:rPr>
        <w:t xml:space="preserve"> in general</w:t>
      </w:r>
      <w:r w:rsidR="00153C19" w:rsidRPr="006C6BB5">
        <w:rPr>
          <w:sz w:val="22"/>
          <w:szCs w:val="22"/>
          <w:lang w:val="en-GB"/>
        </w:rPr>
        <w:t>,</w:t>
      </w:r>
      <w:r w:rsidR="0013011E" w:rsidRPr="006C6BB5">
        <w:rPr>
          <w:sz w:val="22"/>
          <w:szCs w:val="22"/>
          <w:lang w:val="en-GB"/>
        </w:rPr>
        <w:t xml:space="preserve"> </w:t>
      </w:r>
      <w:r w:rsidR="00844940" w:rsidRPr="006C6BB5">
        <w:rPr>
          <w:rFonts w:eastAsia="Calibri"/>
          <w:sz w:val="22"/>
          <w:szCs w:val="22"/>
          <w:lang w:val="en-GB"/>
        </w:rPr>
        <w:t>the degree to which firms are characterized as radical innovators has a positive association with their use of informal appropriation mechanisms</w:t>
      </w:r>
      <w:r w:rsidR="0013011E" w:rsidRPr="006C6BB5">
        <w:rPr>
          <w:sz w:val="22"/>
          <w:szCs w:val="22"/>
          <w:lang w:val="en-GB"/>
        </w:rPr>
        <w:t xml:space="preserve">, such as complexity, </w:t>
      </w:r>
      <w:proofErr w:type="gramStart"/>
      <w:r w:rsidR="0013011E" w:rsidRPr="006C6BB5">
        <w:rPr>
          <w:sz w:val="22"/>
          <w:szCs w:val="22"/>
          <w:lang w:val="en-GB"/>
        </w:rPr>
        <w:t>lead tim</w:t>
      </w:r>
      <w:r w:rsidR="0020764D" w:rsidRPr="006C6BB5">
        <w:rPr>
          <w:sz w:val="22"/>
          <w:szCs w:val="22"/>
          <w:lang w:val="en-GB"/>
        </w:rPr>
        <w:t>e</w:t>
      </w:r>
      <w:proofErr w:type="gramEnd"/>
      <w:r w:rsidR="0020764D" w:rsidRPr="006C6BB5">
        <w:rPr>
          <w:sz w:val="22"/>
          <w:szCs w:val="22"/>
          <w:lang w:val="en-GB"/>
        </w:rPr>
        <w:t>, and secrecy</w:t>
      </w:r>
      <w:r w:rsidR="0013011E" w:rsidRPr="006C6BB5">
        <w:rPr>
          <w:sz w:val="22"/>
          <w:szCs w:val="22"/>
          <w:lang w:val="en-GB"/>
        </w:rPr>
        <w:t xml:space="preserve">. However, while these radical innovators, that develop new technological knowledge that is used to create new to the market innovations, </w:t>
      </w:r>
      <w:r w:rsidR="00724AD8" w:rsidRPr="006C6BB5">
        <w:rPr>
          <w:sz w:val="22"/>
          <w:szCs w:val="22"/>
          <w:lang w:val="en-GB"/>
        </w:rPr>
        <w:t xml:space="preserve">search across their </w:t>
      </w:r>
      <w:r w:rsidR="00724AD8" w:rsidRPr="006C6BB5">
        <w:rPr>
          <w:sz w:val="22"/>
          <w:szCs w:val="22"/>
          <w:lang w:val="en-GB"/>
        </w:rPr>
        <w:lastRenderedPageBreak/>
        <w:t>external partners</w:t>
      </w:r>
      <w:r w:rsidR="0013011E" w:rsidRPr="006C6BB5">
        <w:rPr>
          <w:sz w:val="22"/>
          <w:szCs w:val="22"/>
          <w:lang w:val="en-GB"/>
        </w:rPr>
        <w:t xml:space="preserve">, they might still face the risk of unintended knowledge transfer in the context of certain types of openness in innovation. More particular, in-depth </w:t>
      </w:r>
      <w:r w:rsidR="00724AD8" w:rsidRPr="006C6BB5">
        <w:rPr>
          <w:sz w:val="22"/>
          <w:szCs w:val="22"/>
          <w:lang w:val="en-GB"/>
        </w:rPr>
        <w:t>search</w:t>
      </w:r>
      <w:r w:rsidR="0013011E" w:rsidRPr="006C6BB5">
        <w:rPr>
          <w:sz w:val="22"/>
          <w:szCs w:val="22"/>
          <w:lang w:val="en-GB"/>
        </w:rPr>
        <w:t xml:space="preserve"> </w:t>
      </w:r>
      <w:r w:rsidR="00724AD8" w:rsidRPr="006C6BB5">
        <w:rPr>
          <w:sz w:val="22"/>
          <w:szCs w:val="22"/>
          <w:lang w:val="en-GB"/>
        </w:rPr>
        <w:t>across external</w:t>
      </w:r>
      <w:r w:rsidR="0013011E" w:rsidRPr="006C6BB5">
        <w:rPr>
          <w:sz w:val="22"/>
          <w:szCs w:val="22"/>
          <w:lang w:val="en-GB"/>
        </w:rPr>
        <w:t xml:space="preserve"> partners will increase the risk of unintended knowledge transfer to others (Gomes-</w:t>
      </w:r>
      <w:proofErr w:type="spellStart"/>
      <w:r w:rsidR="0013011E" w:rsidRPr="006C6BB5">
        <w:rPr>
          <w:sz w:val="22"/>
          <w:szCs w:val="22"/>
          <w:lang w:val="en-GB"/>
        </w:rPr>
        <w:t>Casseres</w:t>
      </w:r>
      <w:proofErr w:type="spellEnd"/>
      <w:r w:rsidR="0013011E" w:rsidRPr="006C6BB5">
        <w:rPr>
          <w:sz w:val="22"/>
          <w:szCs w:val="22"/>
          <w:lang w:val="en-GB"/>
        </w:rPr>
        <w:t>, Hagedoorn, &amp; Jaffe, 2006; Mowery, Oxley, &amp; Silverman, 1998). When firms interact deeply with external parties, both parties typically aim at and are better c</w:t>
      </w:r>
      <w:r w:rsidR="00505771" w:rsidRPr="006C6BB5">
        <w:rPr>
          <w:sz w:val="22"/>
          <w:szCs w:val="22"/>
          <w:lang w:val="en-GB"/>
        </w:rPr>
        <w:t>apable of tapping into</w:t>
      </w:r>
      <w:r w:rsidR="0013011E" w:rsidRPr="006C6BB5">
        <w:rPr>
          <w:sz w:val="22"/>
          <w:szCs w:val="22"/>
          <w:lang w:val="en-GB"/>
        </w:rPr>
        <w:t xml:space="preserve"> more detailed tacit knowledge (Chiang &amp; Hung, 2010; </w:t>
      </w:r>
      <w:proofErr w:type="spellStart"/>
      <w:r w:rsidR="0013011E" w:rsidRPr="006C6BB5">
        <w:rPr>
          <w:sz w:val="22"/>
          <w:szCs w:val="22"/>
          <w:lang w:val="en-GB"/>
        </w:rPr>
        <w:t>Garriga</w:t>
      </w:r>
      <w:proofErr w:type="spellEnd"/>
      <w:r w:rsidR="0013011E" w:rsidRPr="006C6BB5">
        <w:rPr>
          <w:sz w:val="22"/>
          <w:szCs w:val="22"/>
          <w:lang w:val="en-GB"/>
        </w:rPr>
        <w:t xml:space="preserve">, von Krogh, &amp; </w:t>
      </w:r>
      <w:proofErr w:type="spellStart"/>
      <w:r w:rsidR="0013011E" w:rsidRPr="006C6BB5">
        <w:rPr>
          <w:sz w:val="22"/>
          <w:szCs w:val="22"/>
          <w:lang w:val="en-GB"/>
        </w:rPr>
        <w:t>Spaet</w:t>
      </w:r>
      <w:proofErr w:type="spellEnd"/>
      <w:r w:rsidR="0013011E" w:rsidRPr="006C6BB5">
        <w:rPr>
          <w:sz w:val="22"/>
          <w:szCs w:val="22"/>
          <w:lang w:val="en-GB"/>
        </w:rPr>
        <w:t xml:space="preserve">, 2013). This risk of tacit knowledge transfer will make the firm more vulnerable to potential knowledge leakage. The combination of radical innovators and in-depth </w:t>
      </w:r>
      <w:r w:rsidR="00C92AAD">
        <w:rPr>
          <w:sz w:val="22"/>
          <w:szCs w:val="22"/>
          <w:lang w:val="en-GB"/>
        </w:rPr>
        <w:t>external search</w:t>
      </w:r>
      <w:r w:rsidR="0013011E" w:rsidRPr="006C6BB5">
        <w:rPr>
          <w:sz w:val="22"/>
          <w:szCs w:val="22"/>
          <w:lang w:val="en-GB"/>
        </w:rPr>
        <w:t xml:space="preserve"> with increased risk of knowledge leakage suggests that it is more appropriate for these firms to use formal appropriation mechanisms, based on intellectual property, to protect their innovative activities. </w:t>
      </w:r>
    </w:p>
    <w:p w14:paraId="59EE2634" w14:textId="344B4936" w:rsidR="00080BDA" w:rsidRPr="006C6BB5" w:rsidRDefault="00080BDA" w:rsidP="00080BDA">
      <w:pPr>
        <w:ind w:firstLine="720"/>
        <w:contextualSpacing/>
        <w:rPr>
          <w:sz w:val="22"/>
          <w:szCs w:val="22"/>
          <w:lang w:val="en-GB"/>
        </w:rPr>
      </w:pPr>
      <w:r w:rsidRPr="006C6BB5">
        <w:rPr>
          <w:sz w:val="22"/>
          <w:szCs w:val="22"/>
          <w:lang w:val="en-GB"/>
        </w:rPr>
        <w:t xml:space="preserve">When these radical innovators </w:t>
      </w:r>
      <w:r w:rsidR="00724AD8" w:rsidRPr="006C6BB5">
        <w:rPr>
          <w:sz w:val="22"/>
          <w:szCs w:val="22"/>
          <w:lang w:val="en-GB"/>
        </w:rPr>
        <w:t>search</w:t>
      </w:r>
      <w:r w:rsidRPr="006C6BB5">
        <w:rPr>
          <w:sz w:val="22"/>
          <w:szCs w:val="22"/>
          <w:lang w:val="en-GB"/>
        </w:rPr>
        <w:t xml:space="preserve"> broadly, rather than deeply, they may not be required to refer to </w:t>
      </w:r>
      <w:r w:rsidR="00724AD8" w:rsidRPr="006C6BB5">
        <w:rPr>
          <w:sz w:val="22"/>
          <w:szCs w:val="22"/>
          <w:lang w:val="en-GB"/>
        </w:rPr>
        <w:t xml:space="preserve">such </w:t>
      </w:r>
      <w:r w:rsidRPr="006C6BB5">
        <w:rPr>
          <w:sz w:val="22"/>
          <w:szCs w:val="22"/>
          <w:lang w:val="en-GB"/>
        </w:rPr>
        <w:t xml:space="preserve">formal means of appropriation. In broad </w:t>
      </w:r>
      <w:r w:rsidR="00724AD8" w:rsidRPr="006C6BB5">
        <w:rPr>
          <w:sz w:val="22"/>
          <w:szCs w:val="22"/>
          <w:lang w:val="en-GB"/>
        </w:rPr>
        <w:t xml:space="preserve">external search </w:t>
      </w:r>
      <w:r w:rsidRPr="006C6BB5">
        <w:rPr>
          <w:sz w:val="22"/>
          <w:szCs w:val="22"/>
          <w:lang w:val="en-GB"/>
        </w:rPr>
        <w:t>patterns, that are superficial, rather than deep</w:t>
      </w:r>
      <w:r w:rsidR="00844940" w:rsidRPr="006C6BB5">
        <w:rPr>
          <w:sz w:val="22"/>
          <w:szCs w:val="22"/>
          <w:lang w:val="en-GB"/>
        </w:rPr>
        <w:t>,</w:t>
      </w:r>
      <w:r w:rsidRPr="006C6BB5">
        <w:rPr>
          <w:sz w:val="22"/>
          <w:szCs w:val="22"/>
          <w:lang w:val="en-GB"/>
        </w:rPr>
        <w:t xml:space="preserve"> the tacit knowledge of radical innovators is less likely to be accessible by their partners. As such, radical</w:t>
      </w:r>
      <w:r w:rsidR="00844940" w:rsidRPr="006C6BB5">
        <w:rPr>
          <w:sz w:val="22"/>
          <w:szCs w:val="22"/>
          <w:lang w:val="en-GB"/>
        </w:rPr>
        <w:t xml:space="preserve"> innovators </w:t>
      </w:r>
      <w:r w:rsidRPr="006C6BB5">
        <w:rPr>
          <w:sz w:val="22"/>
          <w:szCs w:val="22"/>
          <w:lang w:val="en-GB"/>
        </w:rPr>
        <w:t xml:space="preserve">face a lower risk of unintended knowledge transfer when they collaborate broadly and </w:t>
      </w:r>
      <w:r w:rsidR="00844940" w:rsidRPr="006C6BB5">
        <w:rPr>
          <w:sz w:val="22"/>
          <w:szCs w:val="22"/>
          <w:lang w:val="en-GB"/>
        </w:rPr>
        <w:t>may</w:t>
      </w:r>
      <w:r w:rsidRPr="006C6BB5">
        <w:rPr>
          <w:sz w:val="22"/>
          <w:szCs w:val="22"/>
          <w:lang w:val="en-GB"/>
        </w:rPr>
        <w:t>, therefore,</w:t>
      </w:r>
      <w:r w:rsidR="00844940" w:rsidRPr="006C6BB5">
        <w:rPr>
          <w:sz w:val="22"/>
          <w:szCs w:val="22"/>
          <w:lang w:val="en-GB"/>
        </w:rPr>
        <w:t xml:space="preserve"> be more hesitant to reveal the fundamentals of their innovations via formal </w:t>
      </w:r>
      <w:r w:rsidRPr="006C6BB5">
        <w:rPr>
          <w:sz w:val="22"/>
          <w:szCs w:val="22"/>
          <w:lang w:val="en-GB"/>
        </w:rPr>
        <w:t>appropriation (see also argumenta</w:t>
      </w:r>
      <w:r w:rsidR="0020764D" w:rsidRPr="006C6BB5">
        <w:rPr>
          <w:sz w:val="22"/>
          <w:szCs w:val="22"/>
          <w:lang w:val="en-GB"/>
        </w:rPr>
        <w:t>tion leading up to H</w:t>
      </w:r>
      <w:r w:rsidR="00FC32F0">
        <w:rPr>
          <w:sz w:val="22"/>
          <w:szCs w:val="22"/>
          <w:lang w:val="en-GB"/>
        </w:rPr>
        <w:t>3</w:t>
      </w:r>
      <w:r w:rsidR="0020764D" w:rsidRPr="006C6BB5">
        <w:rPr>
          <w:sz w:val="22"/>
          <w:szCs w:val="22"/>
          <w:lang w:val="en-GB"/>
        </w:rPr>
        <w:t xml:space="preserve">b). Hence, it is particularly the </w:t>
      </w:r>
      <w:r w:rsidR="00724AD8" w:rsidRPr="006C6BB5">
        <w:rPr>
          <w:sz w:val="22"/>
          <w:szCs w:val="22"/>
          <w:lang w:val="en-GB"/>
        </w:rPr>
        <w:t>external search depth</w:t>
      </w:r>
      <w:r w:rsidR="0020764D" w:rsidRPr="006C6BB5">
        <w:rPr>
          <w:sz w:val="22"/>
          <w:szCs w:val="22"/>
          <w:lang w:val="en-GB"/>
        </w:rPr>
        <w:t xml:space="preserve"> that </w:t>
      </w:r>
      <w:r w:rsidR="00426C9F">
        <w:rPr>
          <w:sz w:val="22"/>
          <w:szCs w:val="22"/>
          <w:lang w:val="en-GB"/>
        </w:rPr>
        <w:t>influences</w:t>
      </w:r>
      <w:r w:rsidR="0020764D" w:rsidRPr="006C6BB5">
        <w:rPr>
          <w:sz w:val="22"/>
          <w:szCs w:val="22"/>
          <w:lang w:val="en-GB"/>
        </w:rPr>
        <w:t xml:space="preserve"> thei</w:t>
      </w:r>
      <w:r w:rsidR="00273AE0" w:rsidRPr="006C6BB5">
        <w:rPr>
          <w:sz w:val="22"/>
          <w:szCs w:val="22"/>
          <w:lang w:val="en-GB"/>
        </w:rPr>
        <w:t>r usage of formal appropriation.</w:t>
      </w:r>
      <w:r w:rsidR="0020764D" w:rsidRPr="006C6BB5">
        <w:rPr>
          <w:sz w:val="22"/>
          <w:szCs w:val="22"/>
          <w:lang w:val="en-GB"/>
        </w:rPr>
        <w:t xml:space="preserve"> </w:t>
      </w:r>
    </w:p>
    <w:p w14:paraId="22A3ABF8" w14:textId="68EAC032" w:rsidR="0013011E" w:rsidRPr="00927D0E" w:rsidRDefault="003B74CD" w:rsidP="000B299A">
      <w:pPr>
        <w:spacing w:after="200"/>
        <w:ind w:firstLine="720"/>
        <w:contextualSpacing/>
        <w:rPr>
          <w:i/>
          <w:sz w:val="22"/>
          <w:szCs w:val="22"/>
          <w:lang w:val="en-GB"/>
        </w:rPr>
      </w:pPr>
      <w:r w:rsidRPr="006C6BB5">
        <w:rPr>
          <w:sz w:val="22"/>
          <w:szCs w:val="22"/>
          <w:lang w:val="en-GB"/>
        </w:rPr>
        <w:t xml:space="preserve">Yet, in the context of </w:t>
      </w:r>
      <w:r w:rsidR="00724AD8" w:rsidRPr="006C6BB5">
        <w:rPr>
          <w:sz w:val="22"/>
          <w:szCs w:val="22"/>
          <w:lang w:val="en-GB"/>
        </w:rPr>
        <w:t>external search</w:t>
      </w:r>
      <w:r w:rsidR="00C92AAD">
        <w:rPr>
          <w:sz w:val="22"/>
          <w:szCs w:val="22"/>
          <w:lang w:val="en-GB"/>
        </w:rPr>
        <w:t xml:space="preserve"> breadth</w:t>
      </w:r>
      <w:r w:rsidR="0013011E" w:rsidRPr="006C6BB5">
        <w:rPr>
          <w:sz w:val="22"/>
          <w:szCs w:val="22"/>
          <w:lang w:val="en-GB"/>
        </w:rPr>
        <w:t xml:space="preserve">, informal appropriation mechanisms become </w:t>
      </w:r>
      <w:r w:rsidRPr="006C6BB5">
        <w:rPr>
          <w:sz w:val="22"/>
          <w:szCs w:val="22"/>
          <w:lang w:val="en-GB"/>
        </w:rPr>
        <w:t>increasingly interesting</w:t>
      </w:r>
      <w:r w:rsidR="0013011E" w:rsidRPr="006C6BB5">
        <w:rPr>
          <w:sz w:val="22"/>
          <w:szCs w:val="22"/>
          <w:lang w:val="en-GB"/>
        </w:rPr>
        <w:t xml:space="preserve"> for radical innovators. Compared to in-depth </w:t>
      </w:r>
      <w:r w:rsidR="00724AD8" w:rsidRPr="006C6BB5">
        <w:rPr>
          <w:sz w:val="22"/>
          <w:szCs w:val="22"/>
          <w:lang w:val="en-GB"/>
        </w:rPr>
        <w:t>search</w:t>
      </w:r>
      <w:r w:rsidR="0013011E" w:rsidRPr="006C6BB5">
        <w:rPr>
          <w:sz w:val="22"/>
          <w:szCs w:val="22"/>
          <w:lang w:val="en-GB"/>
        </w:rPr>
        <w:t xml:space="preserve">, just </w:t>
      </w:r>
      <w:r w:rsidR="00724AD8" w:rsidRPr="006C6BB5">
        <w:rPr>
          <w:sz w:val="22"/>
          <w:szCs w:val="22"/>
          <w:lang w:val="en-GB"/>
        </w:rPr>
        <w:t>searching broadly across</w:t>
      </w:r>
      <w:r w:rsidR="0013011E" w:rsidRPr="006C6BB5">
        <w:rPr>
          <w:sz w:val="22"/>
          <w:szCs w:val="22"/>
          <w:lang w:val="en-GB"/>
        </w:rPr>
        <w:t xml:space="preserve"> a diverse group of partners indicates a lower risk of unintended knowledge transfer for radical innovators. As indicated by previous research, when radical innovators engage in broad rather than in-depth cooperation, their partners cannot easily know which part of the innovator’s knowledge will be worth imitating (</w:t>
      </w:r>
      <w:proofErr w:type="spellStart"/>
      <w:r w:rsidR="0013011E" w:rsidRPr="006C6BB5">
        <w:rPr>
          <w:sz w:val="22"/>
          <w:szCs w:val="22"/>
          <w:lang w:val="en-GB"/>
        </w:rPr>
        <w:t>Haunschild</w:t>
      </w:r>
      <w:proofErr w:type="spellEnd"/>
      <w:r w:rsidR="0013011E" w:rsidRPr="006C6BB5">
        <w:rPr>
          <w:sz w:val="22"/>
          <w:szCs w:val="22"/>
          <w:lang w:val="en-GB"/>
        </w:rPr>
        <w:t xml:space="preserve"> &amp; Miner 1997; </w:t>
      </w:r>
      <w:proofErr w:type="spellStart"/>
      <w:r w:rsidR="0013011E" w:rsidRPr="006C6BB5">
        <w:rPr>
          <w:sz w:val="22"/>
          <w:szCs w:val="22"/>
          <w:lang w:val="en-GB"/>
        </w:rPr>
        <w:t>Koput</w:t>
      </w:r>
      <w:proofErr w:type="spellEnd"/>
      <w:r w:rsidR="0013011E" w:rsidRPr="006C6BB5">
        <w:rPr>
          <w:sz w:val="22"/>
          <w:szCs w:val="22"/>
          <w:lang w:val="en-GB"/>
        </w:rPr>
        <w:t xml:space="preserve"> 1997). Furthermore, if partners do not </w:t>
      </w:r>
      <w:r w:rsidR="00724AD8" w:rsidRPr="006C6BB5">
        <w:rPr>
          <w:sz w:val="22"/>
          <w:szCs w:val="22"/>
          <w:lang w:val="en-GB"/>
        </w:rPr>
        <w:t>interact</w:t>
      </w:r>
      <w:r w:rsidR="0013011E" w:rsidRPr="006C6BB5">
        <w:rPr>
          <w:sz w:val="22"/>
          <w:szCs w:val="22"/>
          <w:lang w:val="en-GB"/>
        </w:rPr>
        <w:t xml:space="preserve"> deeply with radical innovators, it will be more difficult for these partners to tap into the tacit knowledge of radical innovators (</w:t>
      </w:r>
      <w:proofErr w:type="spellStart"/>
      <w:r w:rsidR="0013011E" w:rsidRPr="006C6BB5">
        <w:rPr>
          <w:sz w:val="22"/>
          <w:szCs w:val="22"/>
          <w:lang w:val="en-GB"/>
        </w:rPr>
        <w:t>Garriga</w:t>
      </w:r>
      <w:proofErr w:type="spellEnd"/>
      <w:r w:rsidR="0013011E" w:rsidRPr="006C6BB5">
        <w:rPr>
          <w:sz w:val="22"/>
          <w:szCs w:val="22"/>
          <w:lang w:val="en-GB"/>
        </w:rPr>
        <w:t xml:space="preserve">, von Krogh, &amp; </w:t>
      </w:r>
      <w:proofErr w:type="spellStart"/>
      <w:r w:rsidR="0013011E" w:rsidRPr="006C6BB5">
        <w:rPr>
          <w:sz w:val="22"/>
          <w:szCs w:val="22"/>
          <w:lang w:val="en-GB"/>
        </w:rPr>
        <w:t>Spaet</w:t>
      </w:r>
      <w:proofErr w:type="spellEnd"/>
      <w:r w:rsidR="0013011E" w:rsidRPr="006C6BB5">
        <w:rPr>
          <w:sz w:val="22"/>
          <w:szCs w:val="22"/>
          <w:lang w:val="en-GB"/>
        </w:rPr>
        <w:t xml:space="preserve">, 2013). </w:t>
      </w:r>
      <w:r w:rsidR="00927D0E" w:rsidRPr="006C6BB5">
        <w:rPr>
          <w:sz w:val="22"/>
          <w:szCs w:val="22"/>
          <w:lang w:val="en-GB"/>
        </w:rPr>
        <w:t>In addition</w:t>
      </w:r>
      <w:r w:rsidR="0013011E" w:rsidRPr="006C6BB5">
        <w:rPr>
          <w:sz w:val="22"/>
          <w:szCs w:val="22"/>
          <w:lang w:val="en-GB"/>
        </w:rPr>
        <w:t xml:space="preserve">, while using informal appropriation mechanisms, such as secrecy, product complexity, and lead-time, radical innovators can make it difficult for their partners to identify and access relevant new knowledge. Under these conditions, when </w:t>
      </w:r>
      <w:r w:rsidR="00724AD8" w:rsidRPr="006C6BB5">
        <w:rPr>
          <w:sz w:val="22"/>
          <w:szCs w:val="22"/>
          <w:lang w:val="en-GB"/>
        </w:rPr>
        <w:t>search across external</w:t>
      </w:r>
      <w:r w:rsidR="0013011E" w:rsidRPr="006C6BB5">
        <w:rPr>
          <w:sz w:val="22"/>
          <w:szCs w:val="22"/>
          <w:lang w:val="en-GB"/>
        </w:rPr>
        <w:t xml:space="preserve"> partners is characterized by breadth rather than depth, informal </w:t>
      </w:r>
      <w:r w:rsidR="0013011E" w:rsidRPr="006C6BB5">
        <w:rPr>
          <w:sz w:val="22"/>
          <w:szCs w:val="22"/>
          <w:lang w:val="en-GB"/>
        </w:rPr>
        <w:lastRenderedPageBreak/>
        <w:t xml:space="preserve">appropriation </w:t>
      </w:r>
      <w:r w:rsidR="0020764D" w:rsidRPr="006C6BB5">
        <w:rPr>
          <w:sz w:val="22"/>
          <w:szCs w:val="22"/>
          <w:lang w:val="en-GB"/>
        </w:rPr>
        <w:t>remains an important mechanism</w:t>
      </w:r>
      <w:r w:rsidR="0013011E" w:rsidRPr="006C6BB5">
        <w:rPr>
          <w:sz w:val="22"/>
          <w:szCs w:val="22"/>
          <w:lang w:val="en-GB"/>
        </w:rPr>
        <w:t xml:space="preserve"> for radical innovators. Thus, </w:t>
      </w:r>
      <w:r w:rsidR="00724AD8" w:rsidRPr="006C6BB5">
        <w:rPr>
          <w:sz w:val="22"/>
          <w:szCs w:val="22"/>
          <w:lang w:val="en-GB"/>
        </w:rPr>
        <w:t xml:space="preserve">external search </w:t>
      </w:r>
      <w:r w:rsidR="0013011E" w:rsidRPr="006C6BB5">
        <w:rPr>
          <w:sz w:val="22"/>
          <w:szCs w:val="22"/>
          <w:lang w:val="en-GB"/>
        </w:rPr>
        <w:t xml:space="preserve">breadth is more </w:t>
      </w:r>
      <w:r w:rsidR="0013011E" w:rsidRPr="00927D0E">
        <w:rPr>
          <w:sz w:val="22"/>
          <w:szCs w:val="22"/>
          <w:lang w:val="en-GB"/>
        </w:rPr>
        <w:t>relevant for radical innovators in determining their use of informal</w:t>
      </w:r>
      <w:r w:rsidR="00724AD8" w:rsidRPr="00927D0E">
        <w:rPr>
          <w:sz w:val="22"/>
          <w:szCs w:val="22"/>
          <w:lang w:val="en-GB"/>
        </w:rPr>
        <w:t xml:space="preserve"> appropriation mechanisms. Jointly, this suggests</w:t>
      </w:r>
      <w:r w:rsidR="0013011E" w:rsidRPr="00927D0E">
        <w:rPr>
          <w:sz w:val="22"/>
          <w:szCs w:val="22"/>
          <w:lang w:val="en-GB"/>
        </w:rPr>
        <w:t>:</w:t>
      </w:r>
    </w:p>
    <w:p w14:paraId="377EDCD4" w14:textId="5931D877" w:rsidR="005C3C6E" w:rsidRPr="00927D0E" w:rsidRDefault="005C3C6E" w:rsidP="005C3C6E">
      <w:pPr>
        <w:shd w:val="clear" w:color="auto" w:fill="FFFFFF"/>
        <w:rPr>
          <w:i/>
          <w:lang w:val="en-GB"/>
        </w:rPr>
      </w:pPr>
      <w:r w:rsidRPr="00927D0E">
        <w:rPr>
          <w:i/>
          <w:sz w:val="22"/>
          <w:szCs w:val="22"/>
          <w:lang w:val="en-GB"/>
        </w:rPr>
        <w:t>H</w:t>
      </w:r>
      <w:r w:rsidR="00946022" w:rsidRPr="00927D0E">
        <w:rPr>
          <w:i/>
          <w:sz w:val="22"/>
          <w:szCs w:val="22"/>
          <w:lang w:val="en-GB"/>
        </w:rPr>
        <w:t>6</w:t>
      </w:r>
      <w:r w:rsidRPr="00927D0E">
        <w:rPr>
          <w:i/>
          <w:sz w:val="22"/>
          <w:szCs w:val="22"/>
          <w:lang w:val="en-GB"/>
        </w:rPr>
        <w:t xml:space="preserve">a: Increasing external search depth of radical innovators is positively associated with </w:t>
      </w:r>
      <w:r w:rsidR="007A15F1" w:rsidRPr="00927D0E">
        <w:rPr>
          <w:i/>
          <w:sz w:val="22"/>
          <w:szCs w:val="22"/>
          <w:lang w:val="en-GB"/>
        </w:rPr>
        <w:t xml:space="preserve">their use of </w:t>
      </w:r>
      <w:r w:rsidRPr="00927D0E">
        <w:rPr>
          <w:i/>
          <w:sz w:val="22"/>
          <w:szCs w:val="22"/>
          <w:lang w:val="en-GB"/>
        </w:rPr>
        <w:t>formal appropriation mechanisms.</w:t>
      </w:r>
    </w:p>
    <w:p w14:paraId="18EA7C65" w14:textId="684A3B4C" w:rsidR="005C3C6E" w:rsidRPr="006C6BB5" w:rsidRDefault="005C3C6E" w:rsidP="006D5629">
      <w:pPr>
        <w:shd w:val="clear" w:color="auto" w:fill="FFFFFF"/>
        <w:rPr>
          <w:i/>
          <w:color w:val="212121"/>
          <w:lang w:val="en-GB"/>
        </w:rPr>
      </w:pPr>
      <w:r w:rsidRPr="00927D0E">
        <w:rPr>
          <w:i/>
          <w:sz w:val="22"/>
          <w:szCs w:val="22"/>
          <w:lang w:val="en-GB"/>
        </w:rPr>
        <w:t>H</w:t>
      </w:r>
      <w:r w:rsidR="00946022" w:rsidRPr="00927D0E">
        <w:rPr>
          <w:i/>
          <w:sz w:val="22"/>
          <w:szCs w:val="22"/>
          <w:lang w:val="en-GB"/>
        </w:rPr>
        <w:t>6</w:t>
      </w:r>
      <w:r w:rsidRPr="00927D0E">
        <w:rPr>
          <w:i/>
          <w:sz w:val="22"/>
          <w:szCs w:val="22"/>
          <w:lang w:val="en-GB"/>
        </w:rPr>
        <w:t xml:space="preserve">b: Increasing </w:t>
      </w:r>
      <w:r w:rsidRPr="006C6BB5">
        <w:rPr>
          <w:i/>
          <w:sz w:val="22"/>
          <w:szCs w:val="22"/>
          <w:lang w:val="en-GB"/>
        </w:rPr>
        <w:t>external search breadth of radical innovators is positively associated with</w:t>
      </w:r>
      <w:r w:rsidR="007A15F1" w:rsidRPr="006C6BB5">
        <w:rPr>
          <w:i/>
          <w:sz w:val="22"/>
          <w:szCs w:val="22"/>
          <w:lang w:val="en-GB"/>
        </w:rPr>
        <w:t xml:space="preserve"> their use of</w:t>
      </w:r>
      <w:r w:rsidRPr="006C6BB5">
        <w:rPr>
          <w:i/>
          <w:sz w:val="22"/>
          <w:szCs w:val="22"/>
          <w:lang w:val="en-GB"/>
        </w:rPr>
        <w:t xml:space="preserve"> informal appropriation mechanisms</w:t>
      </w:r>
      <w:r w:rsidRPr="006C6BB5">
        <w:rPr>
          <w:i/>
          <w:color w:val="212121"/>
          <w:sz w:val="22"/>
          <w:szCs w:val="22"/>
          <w:lang w:val="en-GB"/>
        </w:rPr>
        <w:t xml:space="preserve">. </w:t>
      </w:r>
    </w:p>
    <w:p w14:paraId="752C686F" w14:textId="02D1CC4C" w:rsidR="006D5629" w:rsidRPr="006C6BB5" w:rsidRDefault="00721E00" w:rsidP="006D5629">
      <w:pPr>
        <w:contextualSpacing/>
        <w:rPr>
          <w:rFonts w:eastAsia="SimSun"/>
          <w:b/>
          <w:sz w:val="22"/>
          <w:lang w:val="en-GB" w:eastAsia="zh-CN" w:bidi="he-IL"/>
        </w:rPr>
      </w:pPr>
      <w:r>
        <w:rPr>
          <w:rFonts w:eastAsia="SimSun"/>
          <w:b/>
          <w:sz w:val="22"/>
          <w:lang w:val="en-GB" w:eastAsia="zh-CN" w:bidi="he-IL"/>
        </w:rPr>
        <w:t>3</w:t>
      </w:r>
      <w:r w:rsidR="006D5629" w:rsidRPr="006C6BB5">
        <w:rPr>
          <w:rFonts w:eastAsia="SimSun"/>
          <w:b/>
          <w:sz w:val="22"/>
          <w:lang w:val="en-GB" w:eastAsia="zh-CN" w:bidi="he-IL"/>
        </w:rPr>
        <w:t>. DATA AND METHODS</w:t>
      </w:r>
    </w:p>
    <w:p w14:paraId="43AF71CB" w14:textId="4597327C" w:rsidR="006D5629" w:rsidRPr="006C6BB5" w:rsidRDefault="0017651A" w:rsidP="006D5629">
      <w:pPr>
        <w:contextualSpacing/>
        <w:rPr>
          <w:rFonts w:eastAsia="SimSun"/>
          <w:sz w:val="22"/>
          <w:lang w:val="en-GB" w:eastAsia="zh-CN" w:bidi="he-IL"/>
        </w:rPr>
      </w:pPr>
      <w:r>
        <w:rPr>
          <w:rFonts w:eastAsia="SimSun"/>
          <w:sz w:val="22"/>
          <w:lang w:val="en-GB" w:eastAsia="zh-CN" w:bidi="he-IL"/>
        </w:rPr>
        <w:t>T</w:t>
      </w:r>
      <w:r w:rsidR="006D5629" w:rsidRPr="006C6BB5">
        <w:rPr>
          <w:rFonts w:eastAsia="SimSun"/>
          <w:sz w:val="22"/>
          <w:lang w:val="en-GB" w:eastAsia="zh-CN" w:bidi="he-IL"/>
        </w:rPr>
        <w:t xml:space="preserve">he hypotheses </w:t>
      </w:r>
      <w:r>
        <w:rPr>
          <w:rFonts w:eastAsia="SimSun"/>
          <w:sz w:val="22"/>
          <w:lang w:val="en-GB" w:eastAsia="zh-CN" w:bidi="he-IL"/>
        </w:rPr>
        <w:t xml:space="preserve">are tested </w:t>
      </w:r>
      <w:r w:rsidR="006D5629" w:rsidRPr="006C6BB5">
        <w:rPr>
          <w:rFonts w:eastAsia="SimSun"/>
          <w:sz w:val="22"/>
          <w:lang w:val="en-GB" w:eastAsia="zh-CN" w:bidi="he-IL"/>
        </w:rPr>
        <w:t>using data from the Dutch Community Innovation Survey (CIS), which is conducted every two years by the Central Bureau of Statistics (CBS) in the Netherlands since 1996. The Dutch CIS is part of the Europe-wide data collection process under the auspices of the European Commission aimed at collecting harmonized data on firm innovation activities in the EU. These data forming a basis for official EU R&amp;D statistics are collected in accordance with the international guidelines for collecting innovation data from the private sector. The sampling methodology, as well as the harmonized questionnaire, is described in the OECD Oslo Manual (Eurostat, 200</w:t>
      </w:r>
      <w:r w:rsidR="00B73C8F" w:rsidRPr="006C6BB5">
        <w:rPr>
          <w:rFonts w:eastAsia="SimSun"/>
          <w:sz w:val="22"/>
          <w:lang w:val="en-GB" w:eastAsia="zh-CN" w:bidi="he-IL"/>
        </w:rPr>
        <w:t>5</w:t>
      </w:r>
      <w:r w:rsidR="006D5629" w:rsidRPr="006C6BB5">
        <w:rPr>
          <w:rFonts w:eastAsia="SimSun"/>
          <w:sz w:val="22"/>
          <w:lang w:val="en-GB" w:eastAsia="zh-CN" w:bidi="he-IL"/>
        </w:rPr>
        <w:t>; OECD,</w:t>
      </w:r>
      <w:r w:rsidR="00C92AAD">
        <w:rPr>
          <w:rFonts w:eastAsia="SimSun"/>
          <w:sz w:val="22"/>
          <w:lang w:val="en-GB" w:eastAsia="zh-CN" w:bidi="he-IL"/>
        </w:rPr>
        <w:t xml:space="preserve"> </w:t>
      </w:r>
      <w:r w:rsidR="006D5629" w:rsidRPr="006C6BB5">
        <w:rPr>
          <w:rFonts w:eastAsia="SimSun"/>
          <w:sz w:val="22"/>
          <w:lang w:val="en-GB" w:eastAsia="zh-CN" w:bidi="he-IL"/>
        </w:rPr>
        <w:t xml:space="preserve">2005). </w:t>
      </w:r>
    </w:p>
    <w:p w14:paraId="3CAD622C" w14:textId="10988D2E" w:rsidR="006D5629" w:rsidRPr="006C6BB5" w:rsidRDefault="006D5629" w:rsidP="006D5629">
      <w:pPr>
        <w:ind w:firstLine="720"/>
        <w:contextualSpacing/>
        <w:rPr>
          <w:sz w:val="22"/>
          <w:lang w:val="en-GB"/>
        </w:rPr>
      </w:pPr>
      <w:r w:rsidRPr="006C6BB5">
        <w:rPr>
          <w:sz w:val="22"/>
          <w:lang w:val="en-GB"/>
        </w:rPr>
        <w:t xml:space="preserve">CIS is an appropriate data source for </w:t>
      </w:r>
      <w:r w:rsidR="00491F95">
        <w:rPr>
          <w:sz w:val="22"/>
          <w:lang w:val="en-GB"/>
        </w:rPr>
        <w:t>the</w:t>
      </w:r>
      <w:r w:rsidRPr="006C6BB5">
        <w:rPr>
          <w:sz w:val="22"/>
          <w:lang w:val="en-GB"/>
        </w:rPr>
        <w:t xml:space="preserve"> research questions for several reasons. First, CIS is one of the few sec</w:t>
      </w:r>
      <w:r w:rsidR="00927D0E">
        <w:rPr>
          <w:sz w:val="22"/>
          <w:lang w:val="en-GB"/>
        </w:rPr>
        <w:t xml:space="preserve">ondary data sources at the firm </w:t>
      </w:r>
      <w:r w:rsidRPr="006C6BB5">
        <w:rPr>
          <w:sz w:val="22"/>
          <w:lang w:val="en-GB"/>
        </w:rPr>
        <w:t xml:space="preserve">level that has a question on the extent to which formal and informal IP are prevalent among firms. The only other source </w:t>
      </w:r>
      <w:r w:rsidR="0017651A">
        <w:rPr>
          <w:sz w:val="22"/>
          <w:lang w:val="en-GB"/>
        </w:rPr>
        <w:t xml:space="preserve">the authors are aware of </w:t>
      </w:r>
      <w:r w:rsidRPr="006C6BB5">
        <w:rPr>
          <w:sz w:val="22"/>
          <w:lang w:val="en-GB"/>
        </w:rPr>
        <w:t xml:space="preserve">is the Yale survey (Levin, </w:t>
      </w:r>
      <w:proofErr w:type="spellStart"/>
      <w:r w:rsidRPr="006C6BB5">
        <w:rPr>
          <w:sz w:val="22"/>
          <w:lang w:val="en-GB"/>
        </w:rPr>
        <w:t>Klevorick</w:t>
      </w:r>
      <w:proofErr w:type="spellEnd"/>
      <w:r w:rsidRPr="006C6BB5">
        <w:rPr>
          <w:sz w:val="22"/>
          <w:lang w:val="en-GB"/>
        </w:rPr>
        <w:t xml:space="preserve">, Nelson, &amp; Winter, 1987) and a subsequent Carnegie Mellon Survey (CMS) of Research and Development (Cohen, Nelson, &amp; Walsh, 2000). Second, being a database collected and maintained by the Central Bureau of Statistics, CIS has advantages over primary data in that it has a large sample size, broad coverage of industries, and inclusion of different types of firms with respect to their characteristics such as firm size, and R&amp;D intensity. Hence, the use of these data avoids the oversampling of large firms. Third, for the larger part CIS surveys are compatible across years, an important feature that allows us to use the lagged values of the explanatory variables in the analysis. These aspects of CIS improve the robustness of the inference </w:t>
      </w:r>
      <w:r w:rsidR="0017651A">
        <w:rPr>
          <w:sz w:val="22"/>
          <w:lang w:val="en-GB"/>
        </w:rPr>
        <w:t>that can be made</w:t>
      </w:r>
      <w:r w:rsidR="008C693C">
        <w:rPr>
          <w:sz w:val="22"/>
          <w:lang w:val="en-GB"/>
        </w:rPr>
        <w:t xml:space="preserve"> </w:t>
      </w:r>
      <w:r w:rsidR="00927D0E">
        <w:rPr>
          <w:sz w:val="22"/>
          <w:lang w:val="en-GB"/>
        </w:rPr>
        <w:t>from analys</w:t>
      </w:r>
      <w:r w:rsidRPr="006C6BB5">
        <w:rPr>
          <w:sz w:val="22"/>
          <w:lang w:val="en-GB"/>
        </w:rPr>
        <w:t>ing CIS data.</w:t>
      </w:r>
    </w:p>
    <w:p w14:paraId="4B6ED516" w14:textId="433FFD1A" w:rsidR="006D5629" w:rsidRPr="006C6BB5" w:rsidRDefault="006D5629" w:rsidP="006D5629">
      <w:pPr>
        <w:ind w:firstLine="426"/>
        <w:contextualSpacing/>
        <w:rPr>
          <w:rFonts w:eastAsiaTheme="minorHAnsi"/>
          <w:sz w:val="22"/>
          <w:lang w:val="en-GB"/>
        </w:rPr>
      </w:pPr>
      <w:r w:rsidRPr="006C6BB5">
        <w:rPr>
          <w:rFonts w:eastAsia="SimSun"/>
          <w:sz w:val="22"/>
          <w:lang w:val="en-GB" w:eastAsia="zh-CN" w:bidi="he-IL"/>
        </w:rPr>
        <w:lastRenderedPageBreak/>
        <w:t>While the set of questions on the use of formal appropriation mechanisms (patents, trademarks, copyrights, and design rights) has been consistently included in several CIS surveys, the questions pertaining to the use of informal appropriation mechanisms (</w:t>
      </w:r>
      <w:r w:rsidRPr="006C6BB5">
        <w:rPr>
          <w:rFonts w:eastAsiaTheme="minorHAnsi"/>
          <w:sz w:val="22"/>
          <w:lang w:val="en-GB"/>
        </w:rPr>
        <w:t xml:space="preserve">secrecy, lead-time, and product complexity) </w:t>
      </w:r>
      <w:r w:rsidRPr="006C6BB5">
        <w:rPr>
          <w:rFonts w:eastAsia="SimSun"/>
          <w:sz w:val="22"/>
          <w:lang w:val="en-GB" w:eastAsia="zh-CN" w:bidi="he-IL"/>
        </w:rPr>
        <w:t xml:space="preserve">were included in year 2000 survey only. Hence, the hypotheses on the use of formal and informal appropriation mechanisms </w:t>
      </w:r>
      <w:r w:rsidR="0017651A">
        <w:rPr>
          <w:rFonts w:eastAsia="SimSun"/>
          <w:sz w:val="22"/>
          <w:lang w:val="en-GB" w:eastAsia="zh-CN" w:bidi="he-IL"/>
        </w:rPr>
        <w:t xml:space="preserve">are tested </w:t>
      </w:r>
      <w:r w:rsidRPr="006C6BB5">
        <w:rPr>
          <w:rFonts w:eastAsia="SimSun"/>
          <w:sz w:val="22"/>
          <w:lang w:val="en-GB" w:eastAsia="zh-CN" w:bidi="he-IL"/>
        </w:rPr>
        <w:t>using this cross-sectional dataset.</w:t>
      </w:r>
      <w:r w:rsidRPr="006C6BB5">
        <w:rPr>
          <w:rFonts w:eastAsiaTheme="minorHAnsi"/>
          <w:sz w:val="22"/>
          <w:lang w:val="en-GB"/>
        </w:rPr>
        <w:t xml:space="preserve"> </w:t>
      </w:r>
      <w:r w:rsidR="0017651A">
        <w:rPr>
          <w:rFonts w:eastAsiaTheme="minorHAnsi"/>
          <w:sz w:val="22"/>
          <w:lang w:val="en-GB"/>
        </w:rPr>
        <w:t>S</w:t>
      </w:r>
      <w:r w:rsidRPr="006C6BB5">
        <w:rPr>
          <w:rFonts w:eastAsiaTheme="minorHAnsi"/>
          <w:sz w:val="22"/>
          <w:lang w:val="en-GB"/>
        </w:rPr>
        <w:t xml:space="preserve">hortcomings of the CIS data and of </w:t>
      </w:r>
      <w:r w:rsidR="0017651A">
        <w:rPr>
          <w:rFonts w:eastAsiaTheme="minorHAnsi"/>
          <w:sz w:val="22"/>
          <w:lang w:val="en-GB"/>
        </w:rPr>
        <w:t>the</w:t>
      </w:r>
      <w:r w:rsidRPr="006C6BB5">
        <w:rPr>
          <w:rFonts w:eastAsiaTheme="minorHAnsi"/>
          <w:sz w:val="22"/>
          <w:lang w:val="en-GB"/>
        </w:rPr>
        <w:t xml:space="preserve"> approach to the analysis </w:t>
      </w:r>
      <w:r w:rsidR="0017651A">
        <w:rPr>
          <w:rFonts w:eastAsiaTheme="minorHAnsi"/>
          <w:sz w:val="22"/>
          <w:lang w:val="en-GB"/>
        </w:rPr>
        <w:t xml:space="preserve">are discussed </w:t>
      </w:r>
      <w:r w:rsidRPr="006C6BB5">
        <w:rPr>
          <w:rFonts w:eastAsiaTheme="minorHAnsi"/>
          <w:sz w:val="22"/>
          <w:lang w:val="en-GB"/>
        </w:rPr>
        <w:t xml:space="preserve">in the limitations section. </w:t>
      </w:r>
    </w:p>
    <w:p w14:paraId="35B832B5" w14:textId="08DDB660" w:rsidR="006D5629" w:rsidRPr="006C6BB5" w:rsidRDefault="00721E00" w:rsidP="006D5629">
      <w:pPr>
        <w:contextualSpacing/>
        <w:rPr>
          <w:rFonts w:eastAsia="SimSun"/>
          <w:b/>
          <w:sz w:val="22"/>
          <w:lang w:val="en-GB" w:eastAsia="zh-CN" w:bidi="he-IL"/>
        </w:rPr>
      </w:pPr>
      <w:r>
        <w:rPr>
          <w:rFonts w:eastAsia="SimSun"/>
          <w:b/>
          <w:sz w:val="22"/>
          <w:lang w:val="en-GB" w:eastAsia="zh-CN" w:bidi="he-IL"/>
        </w:rPr>
        <w:t>3</w:t>
      </w:r>
      <w:r w:rsidR="006D5629" w:rsidRPr="006C6BB5">
        <w:rPr>
          <w:rFonts w:eastAsia="SimSun"/>
          <w:b/>
          <w:sz w:val="22"/>
          <w:lang w:val="en-GB" w:eastAsia="zh-CN" w:bidi="he-IL"/>
        </w:rPr>
        <w:t>.1 Measures</w:t>
      </w:r>
    </w:p>
    <w:p w14:paraId="767E11E8" w14:textId="684856A2" w:rsidR="006D5629" w:rsidRPr="006C6BB5" w:rsidRDefault="00491F95" w:rsidP="006D5629">
      <w:pPr>
        <w:contextualSpacing/>
        <w:rPr>
          <w:rFonts w:eastAsia="SimSun"/>
          <w:sz w:val="22"/>
          <w:lang w:val="en-GB" w:eastAsia="zh-CN" w:bidi="he-IL"/>
        </w:rPr>
      </w:pPr>
      <w:r>
        <w:rPr>
          <w:rFonts w:eastAsia="SimSun"/>
          <w:sz w:val="22"/>
          <w:lang w:val="en-GB" w:eastAsia="zh-CN" w:bidi="he-IL"/>
        </w:rPr>
        <w:t>The</w:t>
      </w:r>
      <w:r w:rsidR="006D5629" w:rsidRPr="006C6BB5">
        <w:rPr>
          <w:rFonts w:eastAsia="SimSun"/>
          <w:sz w:val="22"/>
          <w:lang w:val="en-GB" w:eastAsia="zh-CN" w:bidi="he-IL"/>
        </w:rPr>
        <w:t xml:space="preserve"> first dependent variable, </w:t>
      </w:r>
      <w:r w:rsidR="006D5629" w:rsidRPr="006C6BB5">
        <w:rPr>
          <w:rFonts w:eastAsia="SimSun"/>
          <w:i/>
          <w:sz w:val="22"/>
          <w:lang w:val="en-GB" w:eastAsia="zh-CN" w:bidi="he-IL"/>
        </w:rPr>
        <w:t>formal appropriation mechanisms</w:t>
      </w:r>
      <w:r w:rsidR="006D5629" w:rsidRPr="006C6BB5">
        <w:rPr>
          <w:rFonts w:eastAsia="SimSun"/>
          <w:sz w:val="22"/>
          <w:lang w:val="en-GB" w:eastAsia="zh-CN" w:bidi="he-IL"/>
        </w:rPr>
        <w:t xml:space="preserve">, refers to the exclusive privileges granted to owners of a variety of distinct new creations in terms of intangible assets (discoveries, inventions, and new designs). Formal appropriation mechanisms includes patents, trademarks, copyrights, and design rights. The CIS surveys ask whether a focal firm has applied for any of these four formal appropriation mechanisms in the past two years. Using this question, the number of forms of formal appropriation mechanisms a firm </w:t>
      </w:r>
      <w:r w:rsidR="00B73C8F" w:rsidRPr="006C6BB5">
        <w:rPr>
          <w:rFonts w:eastAsia="SimSun"/>
          <w:sz w:val="22"/>
          <w:lang w:val="en-GB" w:eastAsia="zh-CN" w:bidi="he-IL"/>
        </w:rPr>
        <w:t xml:space="preserve">had </w:t>
      </w:r>
      <w:r w:rsidR="006D5629" w:rsidRPr="006C6BB5">
        <w:rPr>
          <w:rFonts w:eastAsia="SimSun"/>
          <w:sz w:val="22"/>
          <w:lang w:val="en-GB" w:eastAsia="zh-CN" w:bidi="he-IL"/>
        </w:rPr>
        <w:t>used</w:t>
      </w:r>
      <w:r w:rsidR="0017651A">
        <w:rPr>
          <w:rFonts w:eastAsia="SimSun"/>
          <w:sz w:val="22"/>
          <w:lang w:val="en-GB" w:eastAsia="zh-CN" w:bidi="he-IL"/>
        </w:rPr>
        <w:t xml:space="preserve"> </w:t>
      </w:r>
      <w:proofErr w:type="gramStart"/>
      <w:r w:rsidR="0017651A">
        <w:rPr>
          <w:rFonts w:eastAsia="SimSun"/>
          <w:sz w:val="22"/>
          <w:lang w:val="en-GB" w:eastAsia="zh-CN" w:bidi="he-IL"/>
        </w:rPr>
        <w:t>are</w:t>
      </w:r>
      <w:proofErr w:type="gramEnd"/>
      <w:r w:rsidR="0017651A">
        <w:rPr>
          <w:rFonts w:eastAsia="SimSun"/>
          <w:sz w:val="22"/>
          <w:lang w:val="en-GB" w:eastAsia="zh-CN" w:bidi="he-IL"/>
        </w:rPr>
        <w:t xml:space="preserve"> summed up</w:t>
      </w:r>
      <w:r w:rsidR="006D5629" w:rsidRPr="006C6BB5">
        <w:rPr>
          <w:rFonts w:eastAsia="SimSun"/>
          <w:sz w:val="22"/>
          <w:lang w:val="en-GB" w:eastAsia="zh-CN" w:bidi="he-IL"/>
        </w:rPr>
        <w:t xml:space="preserve">. </w:t>
      </w:r>
    </w:p>
    <w:p w14:paraId="5D81EE69" w14:textId="3A307326" w:rsidR="006D5629" w:rsidRPr="006C6BB5" w:rsidRDefault="006D5629" w:rsidP="006D5629">
      <w:pPr>
        <w:ind w:firstLine="720"/>
        <w:contextualSpacing/>
        <w:rPr>
          <w:rFonts w:eastAsia="SimSun"/>
          <w:sz w:val="22"/>
          <w:lang w:val="en-GB" w:eastAsia="zh-CN" w:bidi="he-IL"/>
        </w:rPr>
      </w:pPr>
      <w:r w:rsidRPr="006C6BB5">
        <w:rPr>
          <w:rFonts w:eastAsia="SimSun"/>
          <w:sz w:val="22"/>
          <w:lang w:val="en-GB" w:eastAsia="zh-CN" w:bidi="he-IL"/>
        </w:rPr>
        <w:t xml:space="preserve">The second dependent variable, </w:t>
      </w:r>
      <w:r w:rsidRPr="006C6BB5">
        <w:rPr>
          <w:rFonts w:eastAsia="SimSun"/>
          <w:i/>
          <w:sz w:val="22"/>
          <w:lang w:val="en-GB" w:eastAsia="zh-CN" w:bidi="he-IL"/>
        </w:rPr>
        <w:t>informal appropriation mechanisms</w:t>
      </w:r>
      <w:r w:rsidRPr="006C6BB5">
        <w:rPr>
          <w:rFonts w:eastAsia="SimSun"/>
          <w:sz w:val="22"/>
          <w:lang w:val="en-GB" w:eastAsia="zh-CN" w:bidi="he-IL"/>
        </w:rPr>
        <w:t xml:space="preserve">, refers to the use of such forms of protection as secrecy, </w:t>
      </w:r>
      <w:proofErr w:type="gramStart"/>
      <w:r w:rsidRPr="006C6BB5">
        <w:rPr>
          <w:rFonts w:eastAsia="SimSun"/>
          <w:sz w:val="22"/>
          <w:lang w:val="en-GB" w:eastAsia="zh-CN" w:bidi="he-IL"/>
        </w:rPr>
        <w:t>lead time</w:t>
      </w:r>
      <w:proofErr w:type="gramEnd"/>
      <w:r w:rsidRPr="006C6BB5">
        <w:rPr>
          <w:rFonts w:eastAsia="SimSun"/>
          <w:sz w:val="22"/>
          <w:lang w:val="en-GB" w:eastAsia="zh-CN" w:bidi="he-IL"/>
        </w:rPr>
        <w:t>, and product complexity as ways to guard innovations from competitors. The managers of the surveyed firms were asked whether any of these informal appropriation mechanisms were used in the previous two years. Based on the responses to this question, the number of forms of informal appropriation mechanisms a firm had used</w:t>
      </w:r>
      <w:r w:rsidR="0017651A">
        <w:rPr>
          <w:rFonts w:eastAsia="SimSun"/>
          <w:sz w:val="22"/>
          <w:lang w:val="en-GB" w:eastAsia="zh-CN" w:bidi="he-IL"/>
        </w:rPr>
        <w:t xml:space="preserve"> </w:t>
      </w:r>
      <w:proofErr w:type="gramStart"/>
      <w:r w:rsidR="0017651A">
        <w:rPr>
          <w:rFonts w:eastAsia="SimSun"/>
          <w:sz w:val="22"/>
          <w:lang w:val="en-GB" w:eastAsia="zh-CN" w:bidi="he-IL"/>
        </w:rPr>
        <w:t>are</w:t>
      </w:r>
      <w:proofErr w:type="gramEnd"/>
      <w:r w:rsidR="0017651A">
        <w:rPr>
          <w:rFonts w:eastAsia="SimSun"/>
          <w:sz w:val="22"/>
          <w:lang w:val="en-GB" w:eastAsia="zh-CN" w:bidi="he-IL"/>
        </w:rPr>
        <w:t xml:space="preserve"> summed up</w:t>
      </w:r>
      <w:r w:rsidRPr="006C6BB5">
        <w:rPr>
          <w:rFonts w:eastAsia="SimSun"/>
          <w:sz w:val="22"/>
          <w:lang w:val="en-GB" w:eastAsia="zh-CN" w:bidi="he-IL"/>
        </w:rPr>
        <w:t xml:space="preserve">. </w:t>
      </w:r>
    </w:p>
    <w:p w14:paraId="5CA4192B" w14:textId="6FDD7EFF" w:rsidR="006D5629" w:rsidRPr="006C6BB5" w:rsidRDefault="0017651A" w:rsidP="006D5629">
      <w:pPr>
        <w:ind w:firstLine="720"/>
        <w:contextualSpacing/>
        <w:rPr>
          <w:rFonts w:eastAsia="SimSun"/>
          <w:sz w:val="22"/>
          <w:vertAlign w:val="superscript"/>
          <w:lang w:val="en-GB" w:eastAsia="zh-CN" w:bidi="he-IL"/>
        </w:rPr>
      </w:pPr>
      <w:r>
        <w:rPr>
          <w:rFonts w:eastAsia="SimSun"/>
          <w:sz w:val="22"/>
          <w:lang w:val="en-GB" w:eastAsia="zh-CN" w:bidi="he-IL"/>
        </w:rPr>
        <w:t>The</w:t>
      </w:r>
      <w:r w:rsidR="006D5629" w:rsidRPr="006C6BB5">
        <w:rPr>
          <w:rFonts w:eastAsia="SimSun"/>
          <w:sz w:val="22"/>
          <w:lang w:val="en-GB" w:eastAsia="zh-CN" w:bidi="he-IL"/>
        </w:rPr>
        <w:t xml:space="preserve"> first focal independent variable, the </w:t>
      </w:r>
      <w:r w:rsidR="006D5629" w:rsidRPr="006C6BB5">
        <w:rPr>
          <w:rFonts w:eastAsia="SimSun"/>
          <w:i/>
          <w:sz w:val="22"/>
          <w:lang w:val="en-GB" w:eastAsia="zh-CN" w:bidi="he-IL"/>
        </w:rPr>
        <w:t>external search breadth</w:t>
      </w:r>
      <w:r w:rsidR="006D5629" w:rsidRPr="006C6BB5">
        <w:rPr>
          <w:rFonts w:eastAsia="SimSun"/>
          <w:sz w:val="22"/>
          <w:lang w:val="en-GB" w:eastAsia="zh-CN" w:bidi="he-IL"/>
        </w:rPr>
        <w:t xml:space="preserve"> is a count of the variety of external sources of knowledge used by a firm</w:t>
      </w:r>
      <w:r w:rsidR="00F52D84">
        <w:rPr>
          <w:rFonts w:eastAsia="SimSun"/>
          <w:sz w:val="22"/>
          <w:lang w:val="en-GB" w:eastAsia="zh-CN" w:bidi="he-IL"/>
        </w:rPr>
        <w:t xml:space="preserve"> derived from the CIS surveys</w:t>
      </w:r>
      <w:r w:rsidR="006D5629" w:rsidRPr="006C6BB5">
        <w:rPr>
          <w:rFonts w:eastAsia="SimSun"/>
          <w:sz w:val="22"/>
          <w:lang w:val="en-GB" w:eastAsia="zh-CN" w:bidi="he-IL"/>
        </w:rPr>
        <w:t xml:space="preserve">. Following Laursen and Salter (2006), Chiang and Hung (2010), and </w:t>
      </w:r>
      <w:proofErr w:type="spellStart"/>
      <w:r w:rsidR="006D5629" w:rsidRPr="006C6BB5">
        <w:rPr>
          <w:rFonts w:eastAsia="SimSun"/>
          <w:sz w:val="22"/>
          <w:lang w:val="en-GB" w:eastAsia="zh-CN" w:bidi="he-IL"/>
        </w:rPr>
        <w:t>Garriga</w:t>
      </w:r>
      <w:proofErr w:type="spellEnd"/>
      <w:r w:rsidR="006D5629" w:rsidRPr="006C6BB5">
        <w:rPr>
          <w:rFonts w:eastAsia="SimSun"/>
          <w:sz w:val="22"/>
          <w:lang w:val="en-GB" w:eastAsia="zh-CN" w:bidi="he-IL"/>
        </w:rPr>
        <w:t xml:space="preserve">, von Krogh, and </w:t>
      </w:r>
      <w:proofErr w:type="spellStart"/>
      <w:r w:rsidR="006D5629" w:rsidRPr="006C6BB5">
        <w:rPr>
          <w:rFonts w:eastAsia="SimSun"/>
          <w:sz w:val="22"/>
          <w:lang w:val="en-GB" w:eastAsia="zh-CN" w:bidi="he-IL"/>
        </w:rPr>
        <w:t>Spaet</w:t>
      </w:r>
      <w:proofErr w:type="spellEnd"/>
      <w:r w:rsidR="006D5629" w:rsidRPr="006C6BB5">
        <w:rPr>
          <w:rFonts w:eastAsia="SimSun"/>
          <w:sz w:val="22"/>
          <w:lang w:val="en-GB" w:eastAsia="zh-CN" w:bidi="he-IL"/>
        </w:rPr>
        <w:t xml:space="preserve"> (2013), market- and institutional-based external sources</w:t>
      </w:r>
      <w:r w:rsidR="00476F04">
        <w:rPr>
          <w:rFonts w:eastAsia="SimSun"/>
          <w:sz w:val="22"/>
          <w:lang w:val="en-GB" w:eastAsia="zh-CN" w:bidi="he-IL"/>
        </w:rPr>
        <w:t xml:space="preserve"> are included</w:t>
      </w:r>
      <w:r w:rsidR="006D5629" w:rsidRPr="006C6BB5">
        <w:rPr>
          <w:rFonts w:eastAsia="SimSun"/>
          <w:sz w:val="22"/>
          <w:lang w:val="en-GB" w:eastAsia="zh-CN" w:bidi="he-IL"/>
        </w:rPr>
        <w:t xml:space="preserve">, as well as other specialized sources such as </w:t>
      </w:r>
      <w:r w:rsidR="00664589" w:rsidRPr="006C6BB5">
        <w:rPr>
          <w:rFonts w:eastAsia="SimSun"/>
          <w:sz w:val="22"/>
          <w:lang w:val="en-GB" w:eastAsia="zh-CN" w:bidi="he-IL"/>
        </w:rPr>
        <w:t>consultants</w:t>
      </w:r>
      <w:r w:rsidR="00664589">
        <w:rPr>
          <w:rFonts w:eastAsia="SimSun"/>
          <w:sz w:val="22"/>
          <w:lang w:val="en-GB" w:eastAsia="zh-CN" w:bidi="he-IL"/>
        </w:rPr>
        <w:t>,</w:t>
      </w:r>
      <w:r w:rsidR="00664589" w:rsidRPr="006C6BB5">
        <w:rPr>
          <w:rFonts w:eastAsia="SimSun"/>
          <w:sz w:val="22"/>
          <w:lang w:val="en-GB" w:eastAsia="zh-CN" w:bidi="he-IL"/>
        </w:rPr>
        <w:t xml:space="preserve"> </w:t>
      </w:r>
      <w:r w:rsidR="006D5629" w:rsidRPr="006C6BB5">
        <w:rPr>
          <w:rFonts w:eastAsia="SimSun"/>
          <w:sz w:val="22"/>
          <w:lang w:val="en-GB" w:eastAsia="zh-CN" w:bidi="he-IL"/>
        </w:rPr>
        <w:t xml:space="preserve">professional conferences, trade fairs or exhibitions to achieve a better fit with the concept of firms’ general search strategies. </w:t>
      </w:r>
    </w:p>
    <w:p w14:paraId="1E667D76" w14:textId="1B710C25" w:rsidR="006D5629" w:rsidRPr="006C6BB5" w:rsidRDefault="006D5629" w:rsidP="006D5629">
      <w:pPr>
        <w:ind w:firstLine="720"/>
        <w:contextualSpacing/>
        <w:rPr>
          <w:rFonts w:eastAsia="SimSun"/>
          <w:sz w:val="22"/>
          <w:lang w:val="en-GB" w:eastAsia="zh-CN" w:bidi="he-IL"/>
        </w:rPr>
      </w:pPr>
      <w:r w:rsidRPr="006C6BB5">
        <w:rPr>
          <w:rFonts w:eastAsia="SimSun"/>
          <w:sz w:val="22"/>
          <w:lang w:val="en-GB" w:eastAsia="zh-CN" w:bidi="he-IL"/>
        </w:rPr>
        <w:t xml:space="preserve">Next, the </w:t>
      </w:r>
      <w:r w:rsidRPr="006C6BB5">
        <w:rPr>
          <w:rFonts w:eastAsia="SimSun"/>
          <w:i/>
          <w:sz w:val="22"/>
          <w:lang w:val="en-GB" w:eastAsia="zh-CN" w:bidi="he-IL"/>
        </w:rPr>
        <w:t>external</w:t>
      </w:r>
      <w:r w:rsidRPr="006C6BB5">
        <w:rPr>
          <w:rFonts w:eastAsia="SimSun"/>
          <w:sz w:val="22"/>
          <w:lang w:val="en-GB" w:eastAsia="zh-CN" w:bidi="he-IL"/>
        </w:rPr>
        <w:t xml:space="preserve"> </w:t>
      </w:r>
      <w:r w:rsidRPr="006C6BB5">
        <w:rPr>
          <w:rFonts w:eastAsia="SimSun"/>
          <w:i/>
          <w:sz w:val="22"/>
          <w:lang w:val="en-GB" w:eastAsia="zh-CN" w:bidi="he-IL"/>
        </w:rPr>
        <w:t>search depth</w:t>
      </w:r>
      <w:r w:rsidRPr="006C6BB5">
        <w:rPr>
          <w:rFonts w:eastAsia="SimSun"/>
          <w:sz w:val="22"/>
          <w:lang w:val="en-GB" w:eastAsia="zh-CN" w:bidi="he-IL"/>
        </w:rPr>
        <w:t xml:space="preserve"> refers to the actual importance of external sources of knowledge for the innovative activities</w:t>
      </w:r>
      <w:r w:rsidR="00F52D84">
        <w:rPr>
          <w:rFonts w:eastAsia="SimSun"/>
          <w:sz w:val="22"/>
          <w:lang w:val="en-GB" w:eastAsia="zh-CN" w:bidi="he-IL"/>
        </w:rPr>
        <w:t xml:space="preserve"> as stipulated in the CIS surveys</w:t>
      </w:r>
      <w:r w:rsidRPr="006C6BB5">
        <w:rPr>
          <w:rFonts w:eastAsia="SimSun"/>
          <w:sz w:val="22"/>
          <w:lang w:val="en-GB" w:eastAsia="zh-CN" w:bidi="he-IL"/>
        </w:rPr>
        <w:t xml:space="preserve">. The managers of the sample firms were asked to rate the importance of sources of knowledge used in the innovation activities. Following Laursen &amp; Salter (2006), Chiang &amp; Hung (2010) and </w:t>
      </w:r>
      <w:proofErr w:type="spellStart"/>
      <w:r w:rsidRPr="006C6BB5">
        <w:rPr>
          <w:rFonts w:eastAsia="SimSun"/>
          <w:sz w:val="22"/>
          <w:lang w:val="en-GB" w:eastAsia="zh-CN" w:bidi="he-IL"/>
        </w:rPr>
        <w:t>Garriga</w:t>
      </w:r>
      <w:proofErr w:type="spellEnd"/>
      <w:r w:rsidRPr="006C6BB5">
        <w:rPr>
          <w:rFonts w:eastAsia="SimSun"/>
          <w:sz w:val="22"/>
          <w:lang w:val="en-GB" w:eastAsia="zh-CN" w:bidi="he-IL"/>
        </w:rPr>
        <w:t xml:space="preserve">, von Krogh, &amp; </w:t>
      </w:r>
      <w:proofErr w:type="spellStart"/>
      <w:r w:rsidRPr="006C6BB5">
        <w:rPr>
          <w:rFonts w:eastAsia="SimSun"/>
          <w:sz w:val="22"/>
          <w:lang w:val="en-GB" w:eastAsia="zh-CN" w:bidi="he-IL"/>
        </w:rPr>
        <w:t>Spaet</w:t>
      </w:r>
      <w:proofErr w:type="spellEnd"/>
      <w:r w:rsidRPr="006C6BB5">
        <w:rPr>
          <w:rFonts w:eastAsia="SimSun"/>
          <w:sz w:val="22"/>
          <w:lang w:val="en-GB" w:eastAsia="zh-CN" w:bidi="he-IL"/>
        </w:rPr>
        <w:t xml:space="preserve"> (2013) </w:t>
      </w:r>
      <w:r w:rsidRPr="006C6BB5">
        <w:rPr>
          <w:rFonts w:eastAsia="SimSun"/>
          <w:sz w:val="22"/>
          <w:lang w:val="en-GB" w:eastAsia="zh-CN" w:bidi="he-IL"/>
        </w:rPr>
        <w:lastRenderedPageBreak/>
        <w:t xml:space="preserve">each of the sources </w:t>
      </w:r>
      <w:r w:rsidR="00476F04">
        <w:rPr>
          <w:rFonts w:eastAsia="SimSun"/>
          <w:sz w:val="22"/>
          <w:lang w:val="en-GB" w:eastAsia="zh-CN" w:bidi="he-IL"/>
        </w:rPr>
        <w:t xml:space="preserve">were recoded </w:t>
      </w:r>
      <w:r w:rsidRPr="006C6BB5">
        <w:rPr>
          <w:rFonts w:eastAsia="SimSun"/>
          <w:sz w:val="22"/>
          <w:lang w:val="en-GB" w:eastAsia="zh-CN" w:bidi="he-IL"/>
        </w:rPr>
        <w:t xml:space="preserve">with value one when a firm reported that it used this source to a high degree and zero in the case of no, low, or medium use of the given source and then </w:t>
      </w:r>
      <w:r w:rsidR="00476F04">
        <w:rPr>
          <w:rFonts w:eastAsia="SimSun"/>
          <w:sz w:val="22"/>
          <w:lang w:val="en-GB" w:eastAsia="zh-CN" w:bidi="he-IL"/>
        </w:rPr>
        <w:t>the sources were added up</w:t>
      </w:r>
      <w:r w:rsidRPr="006C6BB5">
        <w:rPr>
          <w:rFonts w:eastAsia="SimSun"/>
          <w:sz w:val="22"/>
          <w:lang w:val="en-GB" w:eastAsia="zh-CN" w:bidi="he-IL"/>
        </w:rPr>
        <w:t xml:space="preserve">. </w:t>
      </w:r>
    </w:p>
    <w:p w14:paraId="5CE7CE7D" w14:textId="7F11AF2C" w:rsidR="006D5629" w:rsidRPr="006C6BB5" w:rsidRDefault="00FC32F0" w:rsidP="006D5629">
      <w:pPr>
        <w:ind w:firstLine="720"/>
        <w:contextualSpacing/>
        <w:rPr>
          <w:rFonts w:eastAsia="SimSun"/>
          <w:sz w:val="22"/>
          <w:lang w:val="en-GB" w:eastAsia="zh-CN" w:bidi="he-IL"/>
        </w:rPr>
      </w:pPr>
      <w:r>
        <w:rPr>
          <w:rFonts w:eastAsia="SimSun"/>
          <w:sz w:val="22"/>
          <w:lang w:val="en-GB" w:eastAsia="zh-CN" w:bidi="he-IL"/>
        </w:rPr>
        <w:t>This study</w:t>
      </w:r>
      <w:r w:rsidR="008C693C">
        <w:rPr>
          <w:rFonts w:eastAsia="SimSun"/>
          <w:sz w:val="22"/>
          <w:lang w:val="en-GB" w:eastAsia="zh-CN" w:bidi="he-IL"/>
        </w:rPr>
        <w:t xml:space="preserve"> </w:t>
      </w:r>
      <w:r w:rsidR="006D5629" w:rsidRPr="006C6BB5">
        <w:rPr>
          <w:rFonts w:eastAsia="SimSun"/>
          <w:sz w:val="22"/>
          <w:lang w:val="en-GB" w:eastAsia="zh-CN" w:bidi="he-IL"/>
        </w:rPr>
        <w:t>also exploit</w:t>
      </w:r>
      <w:r>
        <w:rPr>
          <w:rFonts w:eastAsia="SimSun"/>
          <w:sz w:val="22"/>
          <w:lang w:val="en-GB" w:eastAsia="zh-CN" w:bidi="he-IL"/>
        </w:rPr>
        <w:t>s</w:t>
      </w:r>
      <w:r w:rsidR="006D5629" w:rsidRPr="006C6BB5">
        <w:rPr>
          <w:rFonts w:eastAsia="SimSun"/>
          <w:sz w:val="22"/>
          <w:lang w:val="en-GB" w:eastAsia="zh-CN" w:bidi="he-IL"/>
        </w:rPr>
        <w:t xml:space="preserve"> the CIS question that asks firms to indicate (in percentages) the shares of unmodified, new to the firm, and new to the market products in their total sales. The two latter variables are mutually exclusive and together with the share of unchanged products add up to 100 per cent of firm’s sales. This information was used to assess both the degree to which a firm can be categorized as having incremental or radical </w:t>
      </w:r>
      <w:r w:rsidR="006D5629" w:rsidRPr="00892492">
        <w:rPr>
          <w:rFonts w:eastAsia="SimSun"/>
          <w:sz w:val="22"/>
          <w:lang w:val="en-GB" w:eastAsia="zh-CN" w:bidi="he-IL"/>
        </w:rPr>
        <w:t>innovation orientation (for testing hypotheses H</w:t>
      </w:r>
      <w:r w:rsidRPr="00892492">
        <w:rPr>
          <w:rFonts w:eastAsia="SimSun"/>
          <w:sz w:val="22"/>
          <w:lang w:val="en-GB" w:eastAsia="zh-CN" w:bidi="he-IL"/>
        </w:rPr>
        <w:t>3</w:t>
      </w:r>
      <w:r w:rsidR="00B671AD" w:rsidRPr="00892492">
        <w:rPr>
          <w:rFonts w:eastAsia="SimSun"/>
          <w:sz w:val="22"/>
          <w:lang w:val="en-GB" w:eastAsia="zh-CN" w:bidi="he-IL"/>
        </w:rPr>
        <w:t>a and b</w:t>
      </w:r>
      <w:r w:rsidR="006D5629" w:rsidRPr="00892492">
        <w:rPr>
          <w:rFonts w:eastAsia="SimSun"/>
          <w:sz w:val="22"/>
          <w:lang w:val="en-GB" w:eastAsia="zh-CN" w:bidi="he-IL"/>
        </w:rPr>
        <w:t xml:space="preserve"> and H</w:t>
      </w:r>
      <w:r w:rsidRPr="00892492">
        <w:rPr>
          <w:rFonts w:eastAsia="SimSun"/>
          <w:sz w:val="22"/>
          <w:lang w:val="en-GB" w:eastAsia="zh-CN" w:bidi="he-IL"/>
        </w:rPr>
        <w:t>4</w:t>
      </w:r>
      <w:r w:rsidR="00B671AD" w:rsidRPr="00892492">
        <w:rPr>
          <w:rFonts w:eastAsia="SimSun"/>
          <w:sz w:val="22"/>
          <w:lang w:val="en-GB" w:eastAsia="zh-CN" w:bidi="he-IL"/>
        </w:rPr>
        <w:t>a and b</w:t>
      </w:r>
      <w:r w:rsidR="006D5629" w:rsidRPr="00892492">
        <w:rPr>
          <w:rFonts w:eastAsia="SimSun"/>
          <w:sz w:val="22"/>
          <w:lang w:val="en-GB" w:eastAsia="zh-CN" w:bidi="he-IL"/>
        </w:rPr>
        <w:t xml:space="preserve">), as well as to separate firms into two groups, which allows </w:t>
      </w:r>
      <w:r w:rsidR="00892492" w:rsidRPr="00892492">
        <w:rPr>
          <w:rFonts w:eastAsia="SimSun"/>
          <w:sz w:val="22"/>
          <w:lang w:val="en-GB" w:eastAsia="zh-CN" w:bidi="he-IL"/>
        </w:rPr>
        <w:t>investigating</w:t>
      </w:r>
      <w:r w:rsidR="006D5629" w:rsidRPr="00892492">
        <w:rPr>
          <w:rFonts w:eastAsia="SimSun"/>
          <w:sz w:val="22"/>
          <w:lang w:val="en-GB" w:eastAsia="zh-CN" w:bidi="he-IL"/>
        </w:rPr>
        <w:t xml:space="preserve"> the </w:t>
      </w:r>
      <w:r w:rsidR="00C259D9" w:rsidRPr="00892492">
        <w:rPr>
          <w:rFonts w:eastAsia="SimSun"/>
          <w:sz w:val="22"/>
          <w:lang w:val="en-GB" w:eastAsia="zh-CN" w:bidi="he-IL"/>
        </w:rPr>
        <w:t>impact</w:t>
      </w:r>
      <w:r w:rsidR="006D5629" w:rsidRPr="00892492">
        <w:rPr>
          <w:rFonts w:eastAsia="SimSun"/>
          <w:sz w:val="22"/>
          <w:lang w:val="en-GB" w:eastAsia="zh-CN" w:bidi="he-IL"/>
        </w:rPr>
        <w:t xml:space="preserve"> of breadth and depths of search openness on the use of appropriation mechanisms by incremental versus radical innovators (for testing hypotheses </w:t>
      </w:r>
      <w:r w:rsidRPr="00892492">
        <w:rPr>
          <w:rFonts w:eastAsia="SimSun"/>
          <w:sz w:val="22"/>
          <w:lang w:val="en-GB" w:eastAsia="zh-CN" w:bidi="he-IL"/>
        </w:rPr>
        <w:t>5</w:t>
      </w:r>
      <w:r w:rsidR="006D5629" w:rsidRPr="00892492">
        <w:rPr>
          <w:rFonts w:eastAsia="SimSun"/>
          <w:sz w:val="22"/>
          <w:lang w:val="en-GB" w:eastAsia="zh-CN" w:bidi="he-IL"/>
        </w:rPr>
        <w:t xml:space="preserve"> and </w:t>
      </w:r>
      <w:r w:rsidRPr="00892492">
        <w:rPr>
          <w:rFonts w:eastAsia="SimSun"/>
          <w:sz w:val="22"/>
          <w:lang w:val="en-GB" w:eastAsia="zh-CN" w:bidi="he-IL"/>
        </w:rPr>
        <w:t>6</w:t>
      </w:r>
      <w:r w:rsidR="006D5629" w:rsidRPr="00892492">
        <w:rPr>
          <w:rFonts w:eastAsia="SimSun"/>
          <w:sz w:val="22"/>
          <w:lang w:val="en-GB" w:eastAsia="zh-CN" w:bidi="he-IL"/>
        </w:rPr>
        <w:t xml:space="preserve">a and </w:t>
      </w:r>
      <w:r w:rsidR="006D5629" w:rsidRPr="006C6BB5">
        <w:rPr>
          <w:rFonts w:eastAsia="SimSun"/>
          <w:sz w:val="22"/>
          <w:lang w:val="en-GB" w:eastAsia="zh-CN" w:bidi="he-IL"/>
        </w:rPr>
        <w:t xml:space="preserve">b). </w:t>
      </w:r>
    </w:p>
    <w:p w14:paraId="43E97B36" w14:textId="77777777" w:rsidR="006D5629" w:rsidRPr="006C6BB5" w:rsidRDefault="006D5629" w:rsidP="006D5629">
      <w:pPr>
        <w:ind w:firstLine="426"/>
        <w:contextualSpacing/>
        <w:rPr>
          <w:rFonts w:eastAsia="SimSun"/>
          <w:sz w:val="22"/>
          <w:lang w:val="en-GB" w:eastAsia="zh-CN" w:bidi="he-IL"/>
        </w:rPr>
      </w:pPr>
      <w:r w:rsidRPr="006C6BB5">
        <w:rPr>
          <w:rFonts w:eastAsia="SimSun"/>
          <w:sz w:val="22"/>
          <w:lang w:val="en-GB" w:eastAsia="zh-CN" w:bidi="he-IL"/>
        </w:rPr>
        <w:t xml:space="preserve">Regarding the degree of innovative orientation, the variable </w:t>
      </w:r>
      <w:r w:rsidRPr="006C6BB5">
        <w:rPr>
          <w:rFonts w:eastAsia="SimSun"/>
          <w:i/>
          <w:sz w:val="22"/>
          <w:lang w:val="en-GB" w:eastAsia="zh-CN" w:bidi="he-IL"/>
        </w:rPr>
        <w:t>share of incremental innovation</w:t>
      </w:r>
      <w:r w:rsidRPr="006C6BB5">
        <w:rPr>
          <w:rFonts w:eastAsia="SimSun"/>
          <w:sz w:val="22"/>
          <w:lang w:val="en-GB" w:eastAsia="zh-CN" w:bidi="he-IL"/>
        </w:rPr>
        <w:t xml:space="preserve"> refers to the share of new to the firm only products, while the variable </w:t>
      </w:r>
      <w:r w:rsidRPr="006C6BB5">
        <w:rPr>
          <w:rFonts w:eastAsia="SimSun"/>
          <w:i/>
          <w:sz w:val="22"/>
          <w:lang w:val="en-GB" w:eastAsia="zh-CN" w:bidi="he-IL"/>
        </w:rPr>
        <w:t>share of radical innovation</w:t>
      </w:r>
      <w:r w:rsidRPr="006C6BB5">
        <w:rPr>
          <w:rFonts w:eastAsia="SimSun"/>
          <w:sz w:val="22"/>
          <w:lang w:val="en-GB" w:eastAsia="zh-CN" w:bidi="he-IL"/>
        </w:rPr>
        <w:t xml:space="preserve"> refers to the firm’s share of new-to-the-market products in total sales. Higher values of these variables correspond to a higher degree to which firms have incremental or radical innovation orientation. Furthermore, to distinguish between these two groups of firms, </w:t>
      </w:r>
      <w:r w:rsidRPr="006C6BB5">
        <w:rPr>
          <w:rFonts w:eastAsia="SimSun"/>
          <w:i/>
          <w:sz w:val="22"/>
          <w:lang w:val="en-GB" w:eastAsia="zh-CN" w:bidi="he-IL"/>
        </w:rPr>
        <w:t xml:space="preserve">radical innovators </w:t>
      </w:r>
      <w:r w:rsidRPr="006C6BB5">
        <w:rPr>
          <w:sz w:val="22"/>
          <w:lang w:val="en-GB"/>
        </w:rPr>
        <w:t xml:space="preserve">are defined as firms that </w:t>
      </w:r>
      <w:r w:rsidRPr="006C6BB5">
        <w:rPr>
          <w:rFonts w:eastAsia="SimSun"/>
          <w:sz w:val="22"/>
          <w:lang w:val="en-GB" w:eastAsia="zh-CN" w:bidi="he-IL"/>
        </w:rPr>
        <w:t xml:space="preserve">have a positive share of innovative sales from new-to-the-market products and services. </w:t>
      </w:r>
      <w:r w:rsidRPr="006C6BB5">
        <w:rPr>
          <w:rFonts w:eastAsia="SimSun"/>
          <w:i/>
          <w:sz w:val="22"/>
          <w:lang w:val="en-GB" w:eastAsia="zh-CN" w:bidi="he-IL"/>
        </w:rPr>
        <w:t>I</w:t>
      </w:r>
      <w:r w:rsidRPr="006C6BB5">
        <w:rPr>
          <w:i/>
          <w:sz w:val="22"/>
          <w:lang w:val="en-GB"/>
        </w:rPr>
        <w:t>ncremental innovators</w:t>
      </w:r>
      <w:r w:rsidRPr="006C6BB5">
        <w:rPr>
          <w:sz w:val="22"/>
          <w:lang w:val="en-GB"/>
        </w:rPr>
        <w:t xml:space="preserve"> are firms</w:t>
      </w:r>
      <w:r w:rsidRPr="006C6BB5">
        <w:rPr>
          <w:i/>
          <w:sz w:val="22"/>
          <w:lang w:val="en-GB"/>
        </w:rPr>
        <w:t xml:space="preserve"> </w:t>
      </w:r>
      <w:r w:rsidRPr="006C6BB5">
        <w:rPr>
          <w:sz w:val="22"/>
          <w:lang w:val="en-GB"/>
        </w:rPr>
        <w:t xml:space="preserve">that generated (part of) their sales from significantly improved products and services that were new-to-the-firm, and that have a zero share of sales generated from products that were new-to-the-market. </w:t>
      </w:r>
    </w:p>
    <w:p w14:paraId="2B1478E6" w14:textId="1C1155B1" w:rsidR="006D5629" w:rsidRPr="006C6BB5" w:rsidRDefault="00476F04" w:rsidP="006D5629">
      <w:pPr>
        <w:ind w:firstLine="426"/>
        <w:contextualSpacing/>
        <w:rPr>
          <w:rFonts w:eastAsia="SimSun"/>
          <w:i/>
          <w:sz w:val="22"/>
          <w:lang w:val="en-GB" w:eastAsia="zh-CN" w:bidi="he-IL"/>
        </w:rPr>
      </w:pPr>
      <w:r>
        <w:rPr>
          <w:sz w:val="22"/>
          <w:lang w:val="en-GB"/>
        </w:rPr>
        <w:t xml:space="preserve">A first control variable is </w:t>
      </w:r>
      <w:r w:rsidR="006D5629" w:rsidRPr="006C6BB5">
        <w:rPr>
          <w:i/>
          <w:sz w:val="22"/>
          <w:lang w:val="en-GB"/>
        </w:rPr>
        <w:t>R&amp;D intensity</w:t>
      </w:r>
      <w:r w:rsidR="006D5629" w:rsidRPr="006C6BB5">
        <w:rPr>
          <w:sz w:val="22"/>
          <w:lang w:val="en-GB"/>
        </w:rPr>
        <w:t xml:space="preserve"> (the ratio of internal R&amp;D expenditures to total sales). M</w:t>
      </w:r>
      <w:r w:rsidR="006D5629" w:rsidRPr="006C6BB5">
        <w:rPr>
          <w:spacing w:val="-3"/>
          <w:sz w:val="22"/>
          <w:lang w:val="en-GB"/>
        </w:rPr>
        <w:t xml:space="preserve">ore </w:t>
      </w:r>
      <w:r w:rsidR="006D5629" w:rsidRPr="006C6BB5">
        <w:rPr>
          <w:sz w:val="22"/>
          <w:lang w:val="en-GB"/>
        </w:rPr>
        <w:t>R&amp;D-intensive firms are also more likely to extensively use appropriation mechanisms (Hall</w:t>
      </w:r>
      <w:r w:rsidR="001378FD">
        <w:rPr>
          <w:sz w:val="22"/>
          <w:lang w:val="en-GB"/>
        </w:rPr>
        <w:t xml:space="preserve"> et al.</w:t>
      </w:r>
      <w:r w:rsidR="006D5629" w:rsidRPr="006C6BB5">
        <w:rPr>
          <w:sz w:val="22"/>
          <w:lang w:val="en-GB"/>
        </w:rPr>
        <w:t>, 201</w:t>
      </w:r>
      <w:r w:rsidR="00B73C8F" w:rsidRPr="006C6BB5">
        <w:rPr>
          <w:sz w:val="22"/>
          <w:lang w:val="en-GB"/>
        </w:rPr>
        <w:t>4</w:t>
      </w:r>
      <w:r w:rsidR="006D5629" w:rsidRPr="006C6BB5">
        <w:rPr>
          <w:sz w:val="22"/>
          <w:lang w:val="en-GB"/>
        </w:rPr>
        <w:t xml:space="preserve">). </w:t>
      </w:r>
      <w:r>
        <w:rPr>
          <w:sz w:val="22"/>
          <w:lang w:val="en-GB"/>
        </w:rPr>
        <w:t>The</w:t>
      </w:r>
      <w:r w:rsidR="006D5629" w:rsidRPr="006C6BB5">
        <w:rPr>
          <w:sz w:val="22"/>
          <w:lang w:val="en-GB"/>
        </w:rPr>
        <w:t xml:space="preserve"> analysis also controls for </w:t>
      </w:r>
      <w:r w:rsidR="006D5629" w:rsidRPr="006C6BB5">
        <w:rPr>
          <w:i/>
          <w:sz w:val="22"/>
          <w:lang w:val="en-GB"/>
        </w:rPr>
        <w:t>firm size</w:t>
      </w:r>
      <w:r w:rsidR="006D5629" w:rsidRPr="006C6BB5">
        <w:rPr>
          <w:sz w:val="22"/>
          <w:lang w:val="en-GB"/>
        </w:rPr>
        <w:t xml:space="preserve">. Larger firms have more abundant resources and higher R&amp;D intensity (e.g. </w:t>
      </w:r>
      <w:proofErr w:type="spellStart"/>
      <w:r w:rsidR="006D5629" w:rsidRPr="006C6BB5">
        <w:rPr>
          <w:sz w:val="22"/>
          <w:lang w:val="en-GB"/>
        </w:rPr>
        <w:t>Narula</w:t>
      </w:r>
      <w:proofErr w:type="spellEnd"/>
      <w:r w:rsidR="006D5629" w:rsidRPr="006C6BB5">
        <w:rPr>
          <w:sz w:val="22"/>
          <w:lang w:val="en-GB"/>
        </w:rPr>
        <w:t xml:space="preserve">, 2004; </w:t>
      </w:r>
      <w:proofErr w:type="spellStart"/>
      <w:r w:rsidR="006D5629" w:rsidRPr="006C6BB5">
        <w:rPr>
          <w:sz w:val="22"/>
          <w:lang w:val="en-GB"/>
        </w:rPr>
        <w:t>Muscio</w:t>
      </w:r>
      <w:proofErr w:type="spellEnd"/>
      <w:r w:rsidR="006D5629" w:rsidRPr="006C6BB5">
        <w:rPr>
          <w:sz w:val="22"/>
          <w:lang w:val="en-GB"/>
        </w:rPr>
        <w:t xml:space="preserve">, 2007) and may, therefore, find it less problematic to handle multiple innovation objectives (Freeman &amp; </w:t>
      </w:r>
      <w:proofErr w:type="spellStart"/>
      <w:r w:rsidR="006D5629" w:rsidRPr="006C6BB5">
        <w:rPr>
          <w:sz w:val="22"/>
          <w:lang w:val="en-GB"/>
        </w:rPr>
        <w:t>Soete</w:t>
      </w:r>
      <w:proofErr w:type="spellEnd"/>
      <w:r w:rsidR="006D5629" w:rsidRPr="006C6BB5">
        <w:rPr>
          <w:sz w:val="22"/>
          <w:lang w:val="en-GB"/>
        </w:rPr>
        <w:t>, 1997) and manage multiple technology collaborations (</w:t>
      </w:r>
      <w:proofErr w:type="spellStart"/>
      <w:r w:rsidR="006D5629" w:rsidRPr="006C6BB5">
        <w:rPr>
          <w:sz w:val="22"/>
          <w:lang w:val="en-GB"/>
        </w:rPr>
        <w:t>Frankort</w:t>
      </w:r>
      <w:proofErr w:type="spellEnd"/>
      <w:r w:rsidR="006D5629" w:rsidRPr="006C6BB5">
        <w:rPr>
          <w:sz w:val="22"/>
          <w:lang w:val="en-GB"/>
        </w:rPr>
        <w:t xml:space="preserve">, Hagedoorn, &amp; </w:t>
      </w:r>
      <w:proofErr w:type="spellStart"/>
      <w:r w:rsidR="006D5629" w:rsidRPr="006C6BB5">
        <w:rPr>
          <w:sz w:val="22"/>
          <w:lang w:val="en-GB"/>
        </w:rPr>
        <w:t>Letterie</w:t>
      </w:r>
      <w:proofErr w:type="spellEnd"/>
      <w:r w:rsidR="006D5629" w:rsidRPr="006C6BB5">
        <w:rPr>
          <w:sz w:val="22"/>
          <w:lang w:val="en-GB"/>
        </w:rPr>
        <w:t xml:space="preserve">, 2012). Moreover, size may influence firms’ preferences for different forms of appropriation, particularly in the context of collaborative innovation activities. For instance, while SMEs may make greater use of non-internal R&amp;D sources (e.g. Rothwell </w:t>
      </w:r>
      <w:r w:rsidR="006D5629" w:rsidRPr="006C6BB5">
        <w:rPr>
          <w:sz w:val="22"/>
          <w:lang w:val="en-GB"/>
        </w:rPr>
        <w:lastRenderedPageBreak/>
        <w:t>&amp; Dodgson, 1994; Lee et al., 2010), they also tend to be more concerned about their loss of technological assets and competencies (</w:t>
      </w:r>
      <w:proofErr w:type="spellStart"/>
      <w:r w:rsidR="006D5629" w:rsidRPr="006C6BB5">
        <w:rPr>
          <w:sz w:val="22"/>
          <w:lang w:val="en-GB"/>
        </w:rPr>
        <w:t>Narula</w:t>
      </w:r>
      <w:proofErr w:type="spellEnd"/>
      <w:r w:rsidR="006D5629" w:rsidRPr="006C6BB5">
        <w:rPr>
          <w:sz w:val="22"/>
          <w:lang w:val="en-GB"/>
        </w:rPr>
        <w:t xml:space="preserve">, 2004). As a result, in the context of </w:t>
      </w:r>
      <w:r w:rsidR="001378FD">
        <w:rPr>
          <w:sz w:val="22"/>
          <w:lang w:val="en-GB"/>
        </w:rPr>
        <w:t>searching</w:t>
      </w:r>
      <w:r w:rsidR="006D5629" w:rsidRPr="006C6BB5">
        <w:rPr>
          <w:sz w:val="22"/>
          <w:lang w:val="en-GB"/>
        </w:rPr>
        <w:t xml:space="preserve"> broadly and deeply </w:t>
      </w:r>
      <w:r w:rsidR="001378FD">
        <w:rPr>
          <w:sz w:val="22"/>
          <w:lang w:val="en-GB"/>
        </w:rPr>
        <w:t>across</w:t>
      </w:r>
      <w:r w:rsidR="006D5629" w:rsidRPr="006C6BB5">
        <w:rPr>
          <w:sz w:val="22"/>
          <w:lang w:val="en-GB"/>
        </w:rPr>
        <w:t xml:space="preserve"> external partners, SMEs may be more careful in selecting formal and informal appropriation mechanisms in order to mitigate their vulnerability due to smaller size. </w:t>
      </w:r>
      <w:r>
        <w:rPr>
          <w:sz w:val="22"/>
          <w:lang w:val="en-GB"/>
        </w:rPr>
        <w:t xml:space="preserve">Size is measured as </w:t>
      </w:r>
      <w:r w:rsidR="006D5629" w:rsidRPr="006C6BB5">
        <w:rPr>
          <w:sz w:val="22"/>
          <w:lang w:val="en-GB"/>
        </w:rPr>
        <w:t>the logarithm of the number of employees. R&amp;D intensity and firm size ar</w:t>
      </w:r>
      <w:r w:rsidR="00892492">
        <w:rPr>
          <w:sz w:val="22"/>
          <w:lang w:val="en-GB"/>
        </w:rPr>
        <w:t xml:space="preserve">e taken from the (t-2) survey. </w:t>
      </w:r>
      <w:r>
        <w:rPr>
          <w:sz w:val="22"/>
          <w:lang w:val="en-GB"/>
        </w:rPr>
        <w:t>A further control variable refers to</w:t>
      </w:r>
      <w:r w:rsidR="006D5629" w:rsidRPr="006C6BB5">
        <w:rPr>
          <w:sz w:val="22"/>
          <w:lang w:val="en-GB"/>
        </w:rPr>
        <w:t xml:space="preserve"> whether the firm is part of a larger (domestic)</w:t>
      </w:r>
      <w:r w:rsidR="006D5629" w:rsidRPr="006C6BB5">
        <w:rPr>
          <w:i/>
          <w:sz w:val="22"/>
          <w:lang w:val="en-GB"/>
        </w:rPr>
        <w:t xml:space="preserve"> group</w:t>
      </w:r>
      <w:r w:rsidR="006D5629" w:rsidRPr="006C6BB5">
        <w:rPr>
          <w:sz w:val="22"/>
          <w:lang w:val="en-GB"/>
        </w:rPr>
        <w:t>. Firms that are part of a larger group may draw on group financial, legal, and technological resources that may lead to a higher propensity to use appropriation mechanisms (</w:t>
      </w:r>
      <w:proofErr w:type="spellStart"/>
      <w:r w:rsidR="006D5629" w:rsidRPr="006C6BB5">
        <w:rPr>
          <w:sz w:val="22"/>
          <w:lang w:val="en-GB"/>
        </w:rPr>
        <w:t>Narula</w:t>
      </w:r>
      <w:proofErr w:type="spellEnd"/>
      <w:r w:rsidR="006D5629" w:rsidRPr="006C6BB5">
        <w:rPr>
          <w:sz w:val="22"/>
          <w:lang w:val="en-GB"/>
        </w:rPr>
        <w:t xml:space="preserve"> &amp; </w:t>
      </w:r>
      <w:proofErr w:type="spellStart"/>
      <w:r w:rsidR="006D5629" w:rsidRPr="006C6BB5">
        <w:rPr>
          <w:sz w:val="22"/>
          <w:lang w:val="en-GB"/>
        </w:rPr>
        <w:t>Zanfei</w:t>
      </w:r>
      <w:proofErr w:type="spellEnd"/>
      <w:r w:rsidR="006D5629" w:rsidRPr="006C6BB5">
        <w:rPr>
          <w:sz w:val="22"/>
          <w:lang w:val="en-GB"/>
        </w:rPr>
        <w:t xml:space="preserve">, 2003). Finally, </w:t>
      </w:r>
      <w:r>
        <w:rPr>
          <w:sz w:val="22"/>
          <w:lang w:val="en-GB"/>
        </w:rPr>
        <w:t>the</w:t>
      </w:r>
      <w:r w:rsidR="006D5629" w:rsidRPr="006C6BB5">
        <w:rPr>
          <w:sz w:val="22"/>
          <w:lang w:val="en-GB"/>
        </w:rPr>
        <w:t xml:space="preserve"> analysis includes a set industry dummies (14 at the 2-digit industry level) as the need for formal appropriation mechanisms may differ across industries and across years (Hall</w:t>
      </w:r>
      <w:r w:rsidR="001378FD">
        <w:rPr>
          <w:sz w:val="22"/>
          <w:lang w:val="en-GB"/>
        </w:rPr>
        <w:t xml:space="preserve"> et al.</w:t>
      </w:r>
      <w:r w:rsidR="006D5629" w:rsidRPr="006C6BB5">
        <w:rPr>
          <w:sz w:val="22"/>
          <w:lang w:val="en-GB"/>
        </w:rPr>
        <w:t>, 201</w:t>
      </w:r>
      <w:r w:rsidR="00B73C8F" w:rsidRPr="006C6BB5">
        <w:rPr>
          <w:sz w:val="22"/>
          <w:lang w:val="en-GB"/>
        </w:rPr>
        <w:t>4</w:t>
      </w:r>
      <w:r w:rsidR="006D5629" w:rsidRPr="006C6BB5">
        <w:rPr>
          <w:sz w:val="22"/>
          <w:lang w:val="en-GB"/>
        </w:rPr>
        <w:t xml:space="preserve">). </w:t>
      </w:r>
    </w:p>
    <w:p w14:paraId="29C50F31" w14:textId="77A1A3BC" w:rsidR="006D5629" w:rsidRPr="006C6BB5" w:rsidRDefault="00721E00" w:rsidP="006D5629">
      <w:pPr>
        <w:contextualSpacing/>
        <w:rPr>
          <w:b/>
          <w:sz w:val="22"/>
          <w:lang w:val="en-GB"/>
        </w:rPr>
      </w:pPr>
      <w:r>
        <w:rPr>
          <w:b/>
          <w:sz w:val="22"/>
          <w:lang w:val="en-GB"/>
        </w:rPr>
        <w:t>3</w:t>
      </w:r>
      <w:r w:rsidR="006D5629" w:rsidRPr="006C6BB5">
        <w:rPr>
          <w:b/>
          <w:sz w:val="22"/>
          <w:lang w:val="en-GB"/>
        </w:rPr>
        <w:t>.2 Analysis</w:t>
      </w:r>
    </w:p>
    <w:p w14:paraId="07E48F4A" w14:textId="0B37563A" w:rsidR="006D5629" w:rsidRPr="006C6BB5" w:rsidRDefault="00491F95" w:rsidP="006D5629">
      <w:pPr>
        <w:contextualSpacing/>
        <w:rPr>
          <w:sz w:val="22"/>
          <w:lang w:val="en-GB"/>
        </w:rPr>
      </w:pPr>
      <w:r>
        <w:rPr>
          <w:rFonts w:eastAsiaTheme="minorHAnsi"/>
          <w:sz w:val="22"/>
          <w:lang w:val="en-GB"/>
        </w:rPr>
        <w:t>The</w:t>
      </w:r>
      <w:r w:rsidR="006D5629" w:rsidRPr="006C6BB5">
        <w:rPr>
          <w:rFonts w:eastAsiaTheme="minorHAnsi"/>
          <w:sz w:val="22"/>
          <w:lang w:val="en-GB"/>
        </w:rPr>
        <w:t xml:space="preserve"> final dataset includes </w:t>
      </w:r>
      <w:r w:rsidR="006D5629" w:rsidRPr="006C6BB5">
        <w:rPr>
          <w:rFonts w:eastAsia="SimSun"/>
          <w:sz w:val="22"/>
          <w:lang w:val="en-GB" w:eastAsia="zh-CN" w:bidi="he-IL"/>
        </w:rPr>
        <w:t>1133 innovating firms</w:t>
      </w:r>
      <w:r w:rsidR="006D5629" w:rsidRPr="006C6BB5">
        <w:rPr>
          <w:rFonts w:eastAsiaTheme="minorHAnsi"/>
          <w:sz w:val="22"/>
          <w:lang w:val="en-GB"/>
        </w:rPr>
        <w:t xml:space="preserve"> observed in both the 1998 and 2000 surveys</w:t>
      </w:r>
      <w:r w:rsidR="006D5629" w:rsidRPr="006C6BB5">
        <w:rPr>
          <w:rFonts w:eastAsia="SimSun"/>
          <w:sz w:val="22"/>
          <w:lang w:val="en-GB" w:eastAsia="zh-CN" w:bidi="he-IL"/>
        </w:rPr>
        <w:t xml:space="preserve"> operating in a wide range of industries.</w:t>
      </w:r>
      <w:r w:rsidR="006D5629" w:rsidRPr="006C6BB5">
        <w:rPr>
          <w:rFonts w:eastAsiaTheme="minorHAnsi"/>
          <w:sz w:val="22"/>
          <w:lang w:val="en-GB"/>
        </w:rPr>
        <w:t xml:space="preserve"> </w:t>
      </w:r>
      <w:r w:rsidR="006D5629" w:rsidRPr="006C6BB5">
        <w:rPr>
          <w:sz w:val="22"/>
          <w:lang w:val="en-GB"/>
        </w:rPr>
        <w:t xml:space="preserve">For each set of analyses, two types of </w:t>
      </w:r>
      <w:r w:rsidR="00476F04">
        <w:rPr>
          <w:sz w:val="22"/>
          <w:lang w:val="en-GB"/>
        </w:rPr>
        <w:t xml:space="preserve">possible </w:t>
      </w:r>
      <w:r w:rsidR="006D5629" w:rsidRPr="006C6BB5">
        <w:rPr>
          <w:sz w:val="22"/>
          <w:lang w:val="en-GB"/>
        </w:rPr>
        <w:t>biases</w:t>
      </w:r>
      <w:r w:rsidR="00476F04">
        <w:rPr>
          <w:sz w:val="22"/>
          <w:lang w:val="en-GB"/>
        </w:rPr>
        <w:t xml:space="preserve"> are considered</w:t>
      </w:r>
      <w:r w:rsidR="006D5629" w:rsidRPr="006C6BB5">
        <w:rPr>
          <w:sz w:val="22"/>
          <w:lang w:val="en-GB"/>
        </w:rPr>
        <w:t>. The first important issue is selection bias that may potentially arise from the fact that not all firms are ‘innovators’ according to the Oslo manual definition and if not, do not fill in the major part of the ques</w:t>
      </w:r>
      <w:r w:rsidR="00892492">
        <w:rPr>
          <w:sz w:val="22"/>
          <w:lang w:val="en-GB"/>
        </w:rPr>
        <w:t xml:space="preserve">tionnaire. </w:t>
      </w:r>
      <w:r w:rsidR="006D5629" w:rsidRPr="006C6BB5">
        <w:rPr>
          <w:sz w:val="22"/>
          <w:lang w:val="en-GB"/>
        </w:rPr>
        <w:t xml:space="preserve">One consequence of this selection is that the variable for the sales share of innovative products contains zeroes because some R&amp;D performers are non-product innovators or are non-innovators altogether. There are about 35% of such firms in </w:t>
      </w:r>
      <w:r>
        <w:rPr>
          <w:sz w:val="22"/>
          <w:lang w:val="en-GB"/>
        </w:rPr>
        <w:t>the</w:t>
      </w:r>
      <w:r w:rsidR="006D5629" w:rsidRPr="006C6BB5">
        <w:rPr>
          <w:sz w:val="22"/>
          <w:lang w:val="en-GB"/>
        </w:rPr>
        <w:t xml:space="preserve"> sample. Self-selection, if not accounted for, may bias the results. </w:t>
      </w:r>
      <w:r>
        <w:rPr>
          <w:sz w:val="22"/>
          <w:lang w:val="en-GB"/>
        </w:rPr>
        <w:t xml:space="preserve">To address this bias, the selection correction can be included in the regression as an additional covariate </w:t>
      </w:r>
      <w:r w:rsidR="006D5629" w:rsidRPr="006C6BB5">
        <w:rPr>
          <w:sz w:val="22"/>
          <w:lang w:val="en-GB"/>
        </w:rPr>
        <w:t xml:space="preserve">(Heckman, 1979). To this end, </w:t>
      </w:r>
      <w:r w:rsidR="00476F04">
        <w:rPr>
          <w:sz w:val="22"/>
          <w:lang w:val="en-GB"/>
        </w:rPr>
        <w:t xml:space="preserve">the analysis </w:t>
      </w:r>
      <w:r w:rsidR="006D5629" w:rsidRPr="006C6BB5">
        <w:rPr>
          <w:sz w:val="22"/>
          <w:lang w:val="en-GB"/>
        </w:rPr>
        <w:t>follow</w:t>
      </w:r>
      <w:r w:rsidR="00B671AD" w:rsidRPr="006C6BB5">
        <w:rPr>
          <w:sz w:val="22"/>
          <w:lang w:val="en-GB"/>
        </w:rPr>
        <w:t>ed</w:t>
      </w:r>
      <w:r w:rsidR="006D5629" w:rsidRPr="006C6BB5">
        <w:rPr>
          <w:sz w:val="22"/>
          <w:lang w:val="en-GB"/>
        </w:rPr>
        <w:t xml:space="preserve"> the Heckman</w:t>
      </w:r>
      <w:r w:rsidR="00B671AD" w:rsidRPr="006C6BB5">
        <w:rPr>
          <w:sz w:val="22"/>
          <w:lang w:val="en-GB"/>
        </w:rPr>
        <w:t xml:space="preserve"> two-step procedure</w:t>
      </w:r>
      <w:r w:rsidR="001F15D9">
        <w:rPr>
          <w:sz w:val="22"/>
          <w:lang w:val="en-GB"/>
        </w:rPr>
        <w:t xml:space="preserve"> by first running</w:t>
      </w:r>
      <w:r w:rsidR="006D5629" w:rsidRPr="006C6BB5">
        <w:rPr>
          <w:sz w:val="22"/>
          <w:lang w:val="en-GB"/>
        </w:rPr>
        <w:t xml:space="preserve"> a </w:t>
      </w:r>
      <w:proofErr w:type="spellStart"/>
      <w:r w:rsidR="006D5629" w:rsidRPr="006C6BB5">
        <w:rPr>
          <w:sz w:val="22"/>
          <w:lang w:val="en-GB"/>
        </w:rPr>
        <w:t>probit</w:t>
      </w:r>
      <w:proofErr w:type="spellEnd"/>
      <w:r w:rsidR="006D5629" w:rsidRPr="006C6BB5">
        <w:rPr>
          <w:sz w:val="22"/>
          <w:lang w:val="en-GB"/>
        </w:rPr>
        <w:t xml:space="preserve"> regression to estimate the likelihood of having non-zero values of sales of innovative products and derive</w:t>
      </w:r>
      <w:r w:rsidR="00305D08" w:rsidRPr="006C6BB5">
        <w:rPr>
          <w:sz w:val="22"/>
          <w:lang w:val="en-GB"/>
        </w:rPr>
        <w:t>d</w:t>
      </w:r>
      <w:r w:rsidR="006D5629" w:rsidRPr="006C6BB5">
        <w:rPr>
          <w:sz w:val="22"/>
          <w:lang w:val="en-GB"/>
        </w:rPr>
        <w:t xml:space="preserve"> from it an inverse Mill’s ratio (IMR), which </w:t>
      </w:r>
      <w:r w:rsidR="001479AD">
        <w:rPr>
          <w:sz w:val="22"/>
          <w:lang w:val="en-GB"/>
        </w:rPr>
        <w:t>was</w:t>
      </w:r>
      <w:r w:rsidR="001F15D9">
        <w:rPr>
          <w:sz w:val="22"/>
          <w:lang w:val="en-GB"/>
        </w:rPr>
        <w:t xml:space="preserve"> </w:t>
      </w:r>
      <w:r w:rsidR="006D5629" w:rsidRPr="006C6BB5">
        <w:rPr>
          <w:sz w:val="22"/>
          <w:lang w:val="en-GB"/>
        </w:rPr>
        <w:t>then introduce</w:t>
      </w:r>
      <w:r w:rsidR="00B671AD" w:rsidRPr="006C6BB5">
        <w:rPr>
          <w:sz w:val="22"/>
          <w:lang w:val="en-GB"/>
        </w:rPr>
        <w:t>d</w:t>
      </w:r>
      <w:r w:rsidR="006D5629" w:rsidRPr="006C6BB5">
        <w:rPr>
          <w:sz w:val="22"/>
          <w:lang w:val="en-GB"/>
        </w:rPr>
        <w:t xml:space="preserve"> in the second-stage regression model to explain the use of appropriation mechanisms. For the first stage models information on firm’s age, its size (number of employees) and industry dummies </w:t>
      </w:r>
      <w:r w:rsidR="001F15D9">
        <w:rPr>
          <w:sz w:val="22"/>
          <w:lang w:val="en-GB"/>
        </w:rPr>
        <w:t xml:space="preserve">was used </w:t>
      </w:r>
      <w:r w:rsidR="006D5629" w:rsidRPr="006C6BB5">
        <w:rPr>
          <w:sz w:val="22"/>
          <w:lang w:val="en-GB"/>
        </w:rPr>
        <w:t xml:space="preserve">at the 2-digit NAICS level as well as location dummies at the province level. This is justified by the differences among provinces with respect to the extent of innovation-related activities. </w:t>
      </w:r>
    </w:p>
    <w:p w14:paraId="1D983EF4" w14:textId="267D5D14" w:rsidR="006D5629" w:rsidRPr="006C6BB5" w:rsidRDefault="006D5629" w:rsidP="006D5629">
      <w:pPr>
        <w:ind w:firstLine="720"/>
        <w:contextualSpacing/>
        <w:rPr>
          <w:sz w:val="22"/>
          <w:lang w:val="en-GB"/>
        </w:rPr>
      </w:pPr>
      <w:r w:rsidRPr="006C6BB5">
        <w:rPr>
          <w:sz w:val="22"/>
          <w:lang w:val="en-GB"/>
        </w:rPr>
        <w:t xml:space="preserve">The endogeneity of the breadth and depth variables is the second issue that requires careful consideration. Endogeneity can be of some concern since a manager’s decisions to use open innovation </w:t>
      </w:r>
      <w:r w:rsidRPr="006C6BB5">
        <w:rPr>
          <w:sz w:val="22"/>
          <w:lang w:val="en-GB"/>
        </w:rPr>
        <w:lastRenderedPageBreak/>
        <w:t xml:space="preserve">strategies may be endogenous to the extent to which a firm’s innovative activities are protected. This concern is addressed by projecting depth and breadth on the variables that are correlated with the endogenous variables but do not directly lead to changes in the measures for appropriation mechanisms. Due to the closed nature of the survey, </w:t>
      </w:r>
      <w:r w:rsidR="00FC32F0">
        <w:rPr>
          <w:sz w:val="22"/>
          <w:lang w:val="en-GB"/>
        </w:rPr>
        <w:t xml:space="preserve">this study is </w:t>
      </w:r>
      <w:r w:rsidRPr="006C6BB5">
        <w:rPr>
          <w:sz w:val="22"/>
          <w:lang w:val="en-GB"/>
        </w:rPr>
        <w:t xml:space="preserve">constrained </w:t>
      </w:r>
      <w:r w:rsidR="00305D08" w:rsidRPr="006C6BB5">
        <w:rPr>
          <w:sz w:val="22"/>
          <w:lang w:val="en-GB"/>
        </w:rPr>
        <w:t xml:space="preserve">in </w:t>
      </w:r>
      <w:r w:rsidR="00FC32F0">
        <w:rPr>
          <w:sz w:val="22"/>
          <w:lang w:val="en-GB"/>
        </w:rPr>
        <w:t xml:space="preserve">its </w:t>
      </w:r>
      <w:r w:rsidR="00305D08" w:rsidRPr="006C6BB5">
        <w:rPr>
          <w:sz w:val="22"/>
          <w:lang w:val="en-GB"/>
        </w:rPr>
        <w:t xml:space="preserve">choice of instruments </w:t>
      </w:r>
      <w:r w:rsidRPr="006C6BB5">
        <w:rPr>
          <w:sz w:val="22"/>
          <w:lang w:val="en-GB"/>
        </w:rPr>
        <w:t>to those available within the questionnaire. The first set of instruments taken from the t-2 survey captures factors hampering the innovation process of the firm, potentially pushing the firm to use open innovation strategies</w:t>
      </w:r>
      <w:r w:rsidR="00C02768" w:rsidRPr="006C6BB5">
        <w:rPr>
          <w:sz w:val="22"/>
          <w:lang w:val="en-GB"/>
        </w:rPr>
        <w:t xml:space="preserve"> (</w:t>
      </w:r>
      <w:proofErr w:type="spellStart"/>
      <w:r w:rsidR="00C02768" w:rsidRPr="006C6BB5">
        <w:rPr>
          <w:sz w:val="22"/>
          <w:lang w:val="en-GB"/>
        </w:rPr>
        <w:t>Drechsler</w:t>
      </w:r>
      <w:proofErr w:type="spellEnd"/>
      <w:r w:rsidR="00C02768" w:rsidRPr="006C6BB5">
        <w:rPr>
          <w:sz w:val="22"/>
          <w:lang w:val="en-GB"/>
        </w:rPr>
        <w:t xml:space="preserve"> &amp; Natter, 2012)</w:t>
      </w:r>
      <w:r w:rsidRPr="006C6BB5">
        <w:rPr>
          <w:sz w:val="22"/>
          <w:lang w:val="en-GB"/>
        </w:rPr>
        <w:t>. This is also consistent with the management literature perspective on the various motivations for t</w:t>
      </w:r>
      <w:r w:rsidR="00C02768" w:rsidRPr="006C6BB5">
        <w:rPr>
          <w:sz w:val="22"/>
          <w:lang w:val="en-GB"/>
        </w:rPr>
        <w:t>echnology partnering</w:t>
      </w:r>
      <w:r w:rsidRPr="006C6BB5">
        <w:rPr>
          <w:sz w:val="22"/>
          <w:lang w:val="en-GB"/>
        </w:rPr>
        <w:t xml:space="preserve">. </w:t>
      </w:r>
      <w:r w:rsidRPr="006C6BB5">
        <w:rPr>
          <w:i/>
          <w:sz w:val="22"/>
          <w:lang w:val="en-GB"/>
        </w:rPr>
        <w:t>Risk constraint</w:t>
      </w:r>
      <w:r w:rsidRPr="006C6BB5">
        <w:rPr>
          <w:sz w:val="22"/>
          <w:lang w:val="en-GB"/>
        </w:rPr>
        <w:t xml:space="preserve"> catches limitations caused by uncertain market conditions, </w:t>
      </w:r>
      <w:r w:rsidRPr="006C6BB5">
        <w:rPr>
          <w:i/>
          <w:sz w:val="22"/>
          <w:lang w:val="en-GB"/>
        </w:rPr>
        <w:t>organizational constraint</w:t>
      </w:r>
      <w:r w:rsidRPr="006C6BB5">
        <w:rPr>
          <w:sz w:val="22"/>
          <w:lang w:val="en-GB"/>
        </w:rPr>
        <w:t xml:space="preserve"> captures bottlenecks that relate to firm’s shortage of qualified (R&amp;D) personnel, and </w:t>
      </w:r>
      <w:r w:rsidRPr="006C6BB5">
        <w:rPr>
          <w:i/>
          <w:sz w:val="22"/>
          <w:lang w:val="en-GB"/>
        </w:rPr>
        <w:t>cost constraint</w:t>
      </w:r>
      <w:r w:rsidRPr="006C6BB5">
        <w:rPr>
          <w:sz w:val="22"/>
          <w:lang w:val="en-GB"/>
        </w:rPr>
        <w:t xml:space="preserve"> refers to (forbiddingly) high costs faced by a firm in the innovation activities.  As additional instrument, </w:t>
      </w:r>
      <w:r w:rsidRPr="006C6BB5">
        <w:rPr>
          <w:i/>
          <w:sz w:val="22"/>
          <w:lang w:val="en-GB"/>
        </w:rPr>
        <w:t>firm age</w:t>
      </w:r>
      <w:r w:rsidRPr="006C6BB5">
        <w:rPr>
          <w:sz w:val="22"/>
          <w:lang w:val="en-GB"/>
        </w:rPr>
        <w:t>,</w:t>
      </w:r>
      <w:r w:rsidRPr="006C6BB5">
        <w:rPr>
          <w:i/>
          <w:sz w:val="22"/>
          <w:lang w:val="en-GB"/>
        </w:rPr>
        <w:t xml:space="preserve"> </w:t>
      </w:r>
      <w:r w:rsidRPr="006C6BB5">
        <w:rPr>
          <w:sz w:val="22"/>
          <w:lang w:val="en-GB"/>
        </w:rPr>
        <w:t xml:space="preserve">is included since older firms tend to be more experienced and will have well-established routines in place (Nelson &amp; Winter, 1982; March, 1988), also specifically geared to </w:t>
      </w:r>
      <w:r w:rsidR="001378FD">
        <w:rPr>
          <w:sz w:val="22"/>
          <w:lang w:val="en-GB"/>
        </w:rPr>
        <w:t>external search activities</w:t>
      </w:r>
      <w:r w:rsidRPr="006C6BB5">
        <w:rPr>
          <w:sz w:val="22"/>
          <w:lang w:val="en-GB"/>
        </w:rPr>
        <w:t>, which may positively affect their propensity to engag</w:t>
      </w:r>
      <w:r w:rsidR="001378FD">
        <w:rPr>
          <w:sz w:val="22"/>
          <w:lang w:val="en-GB"/>
        </w:rPr>
        <w:t>e in open innovation</w:t>
      </w:r>
      <w:r w:rsidRPr="006C6BB5">
        <w:rPr>
          <w:sz w:val="22"/>
          <w:lang w:val="en-GB"/>
        </w:rPr>
        <w:t xml:space="preserve">. On the other hand, well-established routines and abundant experience may also make firms become more self-reliant (Tidd, Bessant, &amp; Pavitt, 2005), which reduces their propensity to be engaged in external </w:t>
      </w:r>
      <w:r w:rsidR="001378FD">
        <w:rPr>
          <w:sz w:val="22"/>
          <w:lang w:val="en-GB"/>
        </w:rPr>
        <w:t>search</w:t>
      </w:r>
      <w:r w:rsidRPr="006C6BB5">
        <w:rPr>
          <w:sz w:val="22"/>
          <w:lang w:val="en-GB"/>
        </w:rPr>
        <w:t xml:space="preserve">. Finally, eleven region (province) dummies were included as the opportunity for </w:t>
      </w:r>
      <w:r w:rsidR="001378FD">
        <w:rPr>
          <w:sz w:val="22"/>
          <w:lang w:val="en-GB"/>
        </w:rPr>
        <w:t>external search</w:t>
      </w:r>
      <w:r w:rsidRPr="006C6BB5">
        <w:rPr>
          <w:sz w:val="22"/>
          <w:lang w:val="en-GB"/>
        </w:rPr>
        <w:t xml:space="preserve"> arising from, for instance, differences with regard to innovation activity or clustering varies systematically across</w:t>
      </w:r>
      <w:r w:rsidR="001F15D9">
        <w:rPr>
          <w:sz w:val="22"/>
          <w:lang w:val="en-GB"/>
        </w:rPr>
        <w:t xml:space="preserve"> regions. This estimation </w:t>
      </w:r>
      <w:r w:rsidRPr="006C6BB5">
        <w:rPr>
          <w:sz w:val="22"/>
          <w:lang w:val="en-GB"/>
        </w:rPr>
        <w:t xml:space="preserve">applied the Generalized Method of Moments (GMM) method using robust (heteroskedastic-consistent) standard errors, since the White test rejects the assumption of homoscedasticity at 10 per cent. The GMM estimator has been shown to produce more efficient estimates than the traditional IV/2SLS estimator (e.g., Stock &amp; Wright, 2000; Baum, Schaffer, &amp; </w:t>
      </w:r>
      <w:proofErr w:type="spellStart"/>
      <w:r w:rsidRPr="006C6BB5">
        <w:rPr>
          <w:sz w:val="22"/>
          <w:lang w:val="en-GB"/>
        </w:rPr>
        <w:t>Stillman</w:t>
      </w:r>
      <w:proofErr w:type="spellEnd"/>
      <w:r w:rsidRPr="006C6BB5">
        <w:rPr>
          <w:sz w:val="22"/>
          <w:lang w:val="en-GB"/>
        </w:rPr>
        <w:t xml:space="preserve">, 2003). </w:t>
      </w:r>
    </w:p>
    <w:p w14:paraId="74B3C731" w14:textId="7530E46D" w:rsidR="006D5629" w:rsidRPr="006C6BB5" w:rsidRDefault="00721E00" w:rsidP="006D5629">
      <w:pPr>
        <w:spacing w:after="200"/>
        <w:contextualSpacing/>
        <w:rPr>
          <w:b/>
          <w:sz w:val="22"/>
          <w:lang w:val="en-GB"/>
        </w:rPr>
      </w:pPr>
      <w:r>
        <w:rPr>
          <w:b/>
          <w:sz w:val="22"/>
          <w:lang w:val="en-GB"/>
        </w:rPr>
        <w:t>4</w:t>
      </w:r>
      <w:r w:rsidR="006D5629" w:rsidRPr="006C6BB5">
        <w:rPr>
          <w:b/>
          <w:sz w:val="22"/>
          <w:lang w:val="en-GB"/>
        </w:rPr>
        <w:t>. EMPIRICAL RESULTS</w:t>
      </w:r>
    </w:p>
    <w:p w14:paraId="30A7C701" w14:textId="4AA6D4F4" w:rsidR="00F52D84" w:rsidRPr="006C6BB5" w:rsidRDefault="006D5629" w:rsidP="00F52D84">
      <w:pPr>
        <w:spacing w:after="200"/>
        <w:contextualSpacing/>
        <w:rPr>
          <w:sz w:val="22"/>
          <w:lang w:val="en-GB"/>
        </w:rPr>
      </w:pPr>
      <w:r w:rsidRPr="006C6BB5">
        <w:rPr>
          <w:sz w:val="22"/>
          <w:lang w:val="en-GB"/>
        </w:rPr>
        <w:t xml:space="preserve">Table 1 provides descriptive statistics. </w:t>
      </w:r>
      <w:r w:rsidR="00F52D84">
        <w:rPr>
          <w:sz w:val="22"/>
          <w:lang w:val="en-GB"/>
        </w:rPr>
        <w:t>It also presents</w:t>
      </w:r>
      <w:r w:rsidR="00F52D84" w:rsidRPr="006C6BB5">
        <w:rPr>
          <w:sz w:val="22"/>
          <w:lang w:val="en-GB"/>
        </w:rPr>
        <w:t xml:space="preserve"> bivariate correlations between the variables used in the estimation. The correlation between the two focal variables, external search depth and breadth is moderate, 0.23, and does not prevent identification of the two effects. The remaining correlations are low to moderate in almost all cases, suggesting limited issues of multicollinearity. </w:t>
      </w:r>
    </w:p>
    <w:p w14:paraId="2FED979E" w14:textId="01D98700" w:rsidR="006D5629" w:rsidRPr="006C6BB5" w:rsidRDefault="006D5629" w:rsidP="00F52D84">
      <w:pPr>
        <w:ind w:firstLine="720"/>
        <w:contextualSpacing/>
        <w:rPr>
          <w:b/>
          <w:sz w:val="22"/>
          <w:lang w:val="en-GB"/>
        </w:rPr>
      </w:pPr>
      <w:r w:rsidRPr="006C6BB5">
        <w:rPr>
          <w:sz w:val="22"/>
          <w:lang w:val="en-GB"/>
        </w:rPr>
        <w:lastRenderedPageBreak/>
        <w:t>Table 2 report</w:t>
      </w:r>
      <w:r w:rsidR="001479AD">
        <w:rPr>
          <w:sz w:val="22"/>
          <w:lang w:val="en-GB"/>
        </w:rPr>
        <w:t>s</w:t>
      </w:r>
      <w:r w:rsidRPr="006C6BB5">
        <w:rPr>
          <w:sz w:val="22"/>
          <w:lang w:val="en-GB"/>
        </w:rPr>
        <w:t xml:space="preserve"> the percentage of firms, by industry that used formal and informal appropriation mechanisms. Overall, variation across all industries in the use of the two types of protection</w:t>
      </w:r>
      <w:r w:rsidR="001479AD">
        <w:rPr>
          <w:sz w:val="22"/>
          <w:lang w:val="en-GB"/>
        </w:rPr>
        <w:t xml:space="preserve"> is somewhat limited</w:t>
      </w:r>
      <w:r w:rsidRPr="006C6BB5">
        <w:rPr>
          <w:sz w:val="22"/>
          <w:lang w:val="en-GB"/>
        </w:rPr>
        <w:t xml:space="preserve">. On average, 51.63 per cent of firms relied on informal appropriation mechanisms and 34.86 per cent of firms applied formal appropriation mechanisms. In addition, lead time is the most popular informal appropriation mechanism, which was used by 75.56 per cent of the firms that used informal appropriation mechanisms, followed by product complexity (42.05 per cent) and secrecy (34.19 per cent). 10.94 per cent of firms used all three informal appropriation mechanisms and 45.64 per cent of firms that used informal appropriation mechanisms also used formal appropriation mechanisms. </w:t>
      </w:r>
    </w:p>
    <w:p w14:paraId="6A5839A1" w14:textId="6DEFD3A1" w:rsidR="006D5629" w:rsidRPr="006C6BB5" w:rsidRDefault="006D5629" w:rsidP="006D5629">
      <w:pPr>
        <w:contextualSpacing/>
        <w:jc w:val="center"/>
        <w:outlineLvl w:val="0"/>
        <w:rPr>
          <w:sz w:val="22"/>
          <w:lang w:val="en-GB"/>
        </w:rPr>
      </w:pPr>
      <w:r w:rsidRPr="006C6BB5">
        <w:rPr>
          <w:sz w:val="22"/>
          <w:lang w:val="en-GB"/>
        </w:rPr>
        <w:t>----- Insert tables 1-2 about here -----</w:t>
      </w:r>
    </w:p>
    <w:p w14:paraId="55A7B685" w14:textId="66F28C85" w:rsidR="006D5629" w:rsidRPr="006C6BB5" w:rsidRDefault="001479AD" w:rsidP="006D5629">
      <w:pPr>
        <w:spacing w:after="200"/>
        <w:ind w:firstLine="720"/>
        <w:contextualSpacing/>
        <w:rPr>
          <w:sz w:val="22"/>
          <w:lang w:val="en-GB"/>
        </w:rPr>
      </w:pPr>
      <w:r>
        <w:rPr>
          <w:sz w:val="22"/>
          <w:lang w:val="en-GB"/>
        </w:rPr>
        <w:t>Table 3</w:t>
      </w:r>
      <w:r w:rsidR="006D5629" w:rsidRPr="006C6BB5">
        <w:rPr>
          <w:sz w:val="22"/>
          <w:lang w:val="en-GB"/>
        </w:rPr>
        <w:t xml:space="preserve"> present</w:t>
      </w:r>
      <w:r w:rsidR="003D27BC">
        <w:rPr>
          <w:sz w:val="22"/>
          <w:lang w:val="en-GB"/>
        </w:rPr>
        <w:t>s</w:t>
      </w:r>
      <w:r w:rsidR="006D5629" w:rsidRPr="006C6BB5">
        <w:rPr>
          <w:sz w:val="22"/>
          <w:lang w:val="en-GB"/>
        </w:rPr>
        <w:t xml:space="preserve"> the empirical results of the instrumental variables GMM regression models regarding the use of the formal appropriation mechanisms, relevant for hypotheses 1a, 2</w:t>
      </w:r>
      <w:r w:rsidR="00C02768" w:rsidRPr="006C6BB5">
        <w:rPr>
          <w:sz w:val="22"/>
          <w:lang w:val="en-GB"/>
        </w:rPr>
        <w:t xml:space="preserve">a, </w:t>
      </w:r>
      <w:r w:rsidR="003D27BC">
        <w:rPr>
          <w:sz w:val="22"/>
          <w:lang w:val="en-GB"/>
        </w:rPr>
        <w:t>3a, 4</w:t>
      </w:r>
      <w:r w:rsidR="00C02768" w:rsidRPr="006C6BB5">
        <w:rPr>
          <w:sz w:val="22"/>
          <w:lang w:val="en-GB"/>
        </w:rPr>
        <w:t xml:space="preserve">a, </w:t>
      </w:r>
      <w:r w:rsidR="003D27BC">
        <w:rPr>
          <w:sz w:val="22"/>
          <w:lang w:val="en-GB"/>
        </w:rPr>
        <w:t>5</w:t>
      </w:r>
      <w:r w:rsidR="00C02768" w:rsidRPr="006C6BB5">
        <w:rPr>
          <w:sz w:val="22"/>
          <w:lang w:val="en-GB"/>
        </w:rPr>
        <w:t xml:space="preserve">, and </w:t>
      </w:r>
      <w:r w:rsidR="003D27BC">
        <w:rPr>
          <w:sz w:val="22"/>
          <w:lang w:val="en-GB"/>
        </w:rPr>
        <w:t>6</w:t>
      </w:r>
      <w:r w:rsidR="00C02768" w:rsidRPr="006C6BB5">
        <w:rPr>
          <w:sz w:val="22"/>
          <w:lang w:val="en-GB"/>
        </w:rPr>
        <w:t xml:space="preserve">a, see table 3. </w:t>
      </w:r>
      <w:r w:rsidR="006D5629" w:rsidRPr="006C6BB5">
        <w:rPr>
          <w:sz w:val="22"/>
          <w:lang w:val="en-GB"/>
        </w:rPr>
        <w:t>Model 1 is estimated on the entire sample</w:t>
      </w:r>
      <w:r w:rsidR="00844D55">
        <w:rPr>
          <w:sz w:val="22"/>
          <w:lang w:val="en-GB"/>
        </w:rPr>
        <w:t xml:space="preserve"> of innovating firms</w:t>
      </w:r>
      <w:r w:rsidR="006D5629" w:rsidRPr="006C6BB5">
        <w:rPr>
          <w:sz w:val="22"/>
          <w:lang w:val="en-GB"/>
        </w:rPr>
        <w:t xml:space="preserve">, while the results of the estimations on the sub-samples of incremental and radical innovators, are given in models 2 and 3. </w:t>
      </w:r>
    </w:p>
    <w:p w14:paraId="3101EF55" w14:textId="3C16F9A3" w:rsidR="006D5629" w:rsidRPr="006C6BB5" w:rsidRDefault="006D5629" w:rsidP="006D5629">
      <w:pPr>
        <w:spacing w:after="200"/>
        <w:ind w:firstLine="720"/>
        <w:contextualSpacing/>
        <w:rPr>
          <w:sz w:val="22"/>
          <w:lang w:val="en-GB"/>
        </w:rPr>
      </w:pPr>
      <w:r w:rsidRPr="006C6BB5">
        <w:rPr>
          <w:sz w:val="22"/>
          <w:lang w:val="en-GB"/>
        </w:rPr>
        <w:t xml:space="preserve">In model 1, </w:t>
      </w:r>
      <w:r w:rsidR="001378FD">
        <w:rPr>
          <w:sz w:val="22"/>
          <w:lang w:val="en-GB"/>
        </w:rPr>
        <w:t>external search breadth</w:t>
      </w:r>
      <w:r w:rsidRPr="006C6BB5">
        <w:rPr>
          <w:sz w:val="22"/>
          <w:lang w:val="en-GB"/>
        </w:rPr>
        <w:t xml:space="preserve"> has a positive and significant (p&lt;0.01) estimated coefficient, while that of depth is not significant. </w:t>
      </w:r>
      <w:r w:rsidR="00C02768" w:rsidRPr="006C6BB5">
        <w:rPr>
          <w:sz w:val="22"/>
          <w:lang w:val="en-GB"/>
        </w:rPr>
        <w:t>This provides support for H1a</w:t>
      </w:r>
      <w:r w:rsidR="00E87B98">
        <w:rPr>
          <w:sz w:val="22"/>
          <w:lang w:val="en-GB"/>
        </w:rPr>
        <w:t xml:space="preserve"> but not for H2a</w:t>
      </w:r>
      <w:r w:rsidR="00C02768" w:rsidRPr="006C6BB5">
        <w:rPr>
          <w:sz w:val="22"/>
          <w:lang w:val="en-GB"/>
        </w:rPr>
        <w:t>.</w:t>
      </w:r>
      <w:r w:rsidR="00C02768" w:rsidRPr="006C6BB5">
        <w:rPr>
          <w:color w:val="FF0000"/>
          <w:sz w:val="22"/>
          <w:lang w:val="en-GB"/>
        </w:rPr>
        <w:t xml:space="preserve"> </w:t>
      </w:r>
      <w:r w:rsidRPr="006C6BB5">
        <w:rPr>
          <w:sz w:val="22"/>
          <w:lang w:val="en-GB"/>
        </w:rPr>
        <w:t xml:space="preserve">Furthermore, the results in table 3, model 1, indicate support for hypotheses </w:t>
      </w:r>
      <w:r w:rsidR="00E87B98">
        <w:rPr>
          <w:sz w:val="22"/>
          <w:lang w:val="en-GB"/>
        </w:rPr>
        <w:t>3</w:t>
      </w:r>
      <w:r w:rsidRPr="006C6BB5">
        <w:rPr>
          <w:sz w:val="22"/>
          <w:lang w:val="en-GB"/>
        </w:rPr>
        <w:t xml:space="preserve">a, and </w:t>
      </w:r>
      <w:r w:rsidR="00E87B98">
        <w:rPr>
          <w:sz w:val="22"/>
          <w:lang w:val="en-GB"/>
        </w:rPr>
        <w:t>4</w:t>
      </w:r>
      <w:r w:rsidRPr="006C6BB5">
        <w:rPr>
          <w:sz w:val="22"/>
          <w:lang w:val="en-GB"/>
        </w:rPr>
        <w:t>a as the coefficient on the share of radical innovation is negativ</w:t>
      </w:r>
      <w:r w:rsidR="00222095">
        <w:rPr>
          <w:sz w:val="22"/>
          <w:lang w:val="en-GB"/>
        </w:rPr>
        <w:t>e and significant (p&lt;0.05)</w:t>
      </w:r>
      <w:r w:rsidRPr="006C6BB5">
        <w:rPr>
          <w:sz w:val="22"/>
          <w:lang w:val="en-GB"/>
        </w:rPr>
        <w:t xml:space="preserve">, while that on incremental innovation is positive and significant (p&lt;0.05). </w:t>
      </w:r>
    </w:p>
    <w:p w14:paraId="32475BB5" w14:textId="77777777" w:rsidR="006D5629" w:rsidRPr="006C6BB5" w:rsidRDefault="006D5629" w:rsidP="006D5629">
      <w:pPr>
        <w:contextualSpacing/>
        <w:jc w:val="center"/>
        <w:rPr>
          <w:sz w:val="22"/>
          <w:lang w:val="en-GB"/>
        </w:rPr>
      </w:pPr>
      <w:r w:rsidRPr="006C6BB5">
        <w:rPr>
          <w:sz w:val="22"/>
          <w:lang w:val="en-GB"/>
        </w:rPr>
        <w:t>----- Insert table 3 about here -----</w:t>
      </w:r>
    </w:p>
    <w:p w14:paraId="769601B2" w14:textId="6DEFB33A" w:rsidR="006D5629" w:rsidRPr="006C6BB5" w:rsidRDefault="006D5629" w:rsidP="006D5629">
      <w:pPr>
        <w:contextualSpacing/>
        <w:rPr>
          <w:sz w:val="22"/>
          <w:lang w:val="en-GB"/>
        </w:rPr>
      </w:pPr>
      <w:r w:rsidRPr="006C6BB5">
        <w:rPr>
          <w:sz w:val="22"/>
          <w:lang w:val="en-GB"/>
        </w:rPr>
        <w:tab/>
        <w:t xml:space="preserve">To test hypotheses </w:t>
      </w:r>
      <w:r w:rsidR="00E87B98">
        <w:rPr>
          <w:sz w:val="22"/>
          <w:lang w:val="en-GB"/>
        </w:rPr>
        <w:t>5</w:t>
      </w:r>
      <w:r w:rsidRPr="006C6BB5">
        <w:rPr>
          <w:sz w:val="22"/>
          <w:lang w:val="en-GB"/>
        </w:rPr>
        <w:t xml:space="preserve"> and </w:t>
      </w:r>
      <w:r w:rsidR="00E87B98">
        <w:rPr>
          <w:sz w:val="22"/>
          <w:lang w:val="en-GB"/>
        </w:rPr>
        <w:t>6</w:t>
      </w:r>
      <w:r w:rsidRPr="006C6BB5">
        <w:rPr>
          <w:sz w:val="22"/>
          <w:lang w:val="en-GB"/>
        </w:rPr>
        <w:t xml:space="preserve">a, </w:t>
      </w:r>
      <w:r w:rsidR="00491F95">
        <w:rPr>
          <w:sz w:val="22"/>
          <w:lang w:val="en-GB"/>
        </w:rPr>
        <w:t>the</w:t>
      </w:r>
      <w:r w:rsidRPr="006C6BB5">
        <w:rPr>
          <w:sz w:val="22"/>
          <w:lang w:val="en-GB"/>
        </w:rPr>
        <w:t xml:space="preserve"> model </w:t>
      </w:r>
      <w:r w:rsidR="001F15D9">
        <w:rPr>
          <w:sz w:val="22"/>
          <w:lang w:val="en-GB"/>
        </w:rPr>
        <w:t xml:space="preserve">was re-estimated </w:t>
      </w:r>
      <w:r w:rsidRPr="006C6BB5">
        <w:rPr>
          <w:sz w:val="22"/>
          <w:lang w:val="en-GB"/>
        </w:rPr>
        <w:t>on two sub-samples: model 2 refers to incremental innovators and model 3 refers to radical innovators. In the model estimated on the incremental innovat</w:t>
      </w:r>
      <w:r w:rsidR="00305D08" w:rsidRPr="006C6BB5">
        <w:rPr>
          <w:sz w:val="22"/>
          <w:lang w:val="en-GB"/>
        </w:rPr>
        <w:t>ors sub-sample (table 3, model 3</w:t>
      </w:r>
      <w:r w:rsidRPr="006C6BB5">
        <w:rPr>
          <w:sz w:val="22"/>
          <w:lang w:val="en-GB"/>
        </w:rPr>
        <w:t xml:space="preserve">), in line with hypothesis </w:t>
      </w:r>
      <w:r w:rsidR="00E87B98">
        <w:rPr>
          <w:sz w:val="22"/>
          <w:lang w:val="en-GB"/>
        </w:rPr>
        <w:t>5</w:t>
      </w:r>
      <w:r w:rsidRPr="006C6BB5">
        <w:rPr>
          <w:sz w:val="22"/>
          <w:lang w:val="en-GB"/>
        </w:rPr>
        <w:t xml:space="preserve">, the coefficient of the variable that measures </w:t>
      </w:r>
      <w:r w:rsidR="001378FD">
        <w:rPr>
          <w:sz w:val="22"/>
          <w:lang w:val="en-GB"/>
        </w:rPr>
        <w:t>external search breadth</w:t>
      </w:r>
      <w:r w:rsidRPr="006C6BB5">
        <w:rPr>
          <w:sz w:val="22"/>
          <w:lang w:val="en-GB"/>
        </w:rPr>
        <w:t xml:space="preserve"> is positive and significant (p&lt;0.01), the one on the variable depth is not significant. In support of hypothesis </w:t>
      </w:r>
      <w:r w:rsidR="00E87B98">
        <w:rPr>
          <w:sz w:val="22"/>
          <w:lang w:val="en-GB"/>
        </w:rPr>
        <w:t>6</w:t>
      </w:r>
      <w:r w:rsidRPr="006C6BB5">
        <w:rPr>
          <w:sz w:val="22"/>
          <w:lang w:val="en-GB"/>
        </w:rPr>
        <w:t xml:space="preserve">a, the coefficient of the variable that measures </w:t>
      </w:r>
      <w:r w:rsidR="001378FD">
        <w:rPr>
          <w:sz w:val="22"/>
          <w:lang w:val="en-GB"/>
        </w:rPr>
        <w:t>external search depth</w:t>
      </w:r>
      <w:r w:rsidRPr="006C6BB5">
        <w:rPr>
          <w:sz w:val="22"/>
          <w:lang w:val="en-GB"/>
        </w:rPr>
        <w:t xml:space="preserve"> is positive and significant (p&lt;0.01) in the model estimated on the radical innovat</w:t>
      </w:r>
      <w:r w:rsidR="00305D08" w:rsidRPr="006C6BB5">
        <w:rPr>
          <w:sz w:val="22"/>
          <w:lang w:val="en-GB"/>
        </w:rPr>
        <w:t>ors sub-sample (table 3, model 2</w:t>
      </w:r>
      <w:r w:rsidRPr="006C6BB5">
        <w:rPr>
          <w:sz w:val="22"/>
          <w:lang w:val="en-GB"/>
        </w:rPr>
        <w:t>), while the coefficient of the variable breadth is not significant.</w:t>
      </w:r>
    </w:p>
    <w:p w14:paraId="73CC0CC9" w14:textId="00105F40" w:rsidR="006D5629" w:rsidRPr="006C6BB5" w:rsidRDefault="006D5629" w:rsidP="006D5629">
      <w:pPr>
        <w:contextualSpacing/>
        <w:rPr>
          <w:sz w:val="22"/>
          <w:lang w:val="en-GB"/>
        </w:rPr>
      </w:pPr>
      <w:r w:rsidRPr="006C6BB5">
        <w:rPr>
          <w:sz w:val="22"/>
          <w:lang w:val="en-GB"/>
        </w:rPr>
        <w:lastRenderedPageBreak/>
        <w:tab/>
        <w:t>The empirical results of the instrumental variables GMM regression models regarding the use of the informal appropriation mechanisms, relevant for hypotheses 1b, 2b, 3b</w:t>
      </w:r>
      <w:r w:rsidR="00E87B98">
        <w:rPr>
          <w:sz w:val="22"/>
          <w:lang w:val="en-GB"/>
        </w:rPr>
        <w:t>, 4b</w:t>
      </w:r>
      <w:r w:rsidRPr="006C6BB5">
        <w:rPr>
          <w:sz w:val="22"/>
          <w:lang w:val="en-GB"/>
        </w:rPr>
        <w:t xml:space="preserve"> and </w:t>
      </w:r>
      <w:r w:rsidR="00E87B98">
        <w:rPr>
          <w:sz w:val="22"/>
          <w:lang w:val="en-GB"/>
        </w:rPr>
        <w:t>6</w:t>
      </w:r>
      <w:r w:rsidRPr="006C6BB5">
        <w:rPr>
          <w:sz w:val="22"/>
          <w:lang w:val="en-GB"/>
        </w:rPr>
        <w:t xml:space="preserve">b, are reported in table 4, models 4 and 5. Model 6 is only presented to give a complete overview of the results but as such it is not relevant for the hypotheses that are tested in this paper. </w:t>
      </w:r>
    </w:p>
    <w:p w14:paraId="7613766C" w14:textId="740380B8" w:rsidR="006D5629" w:rsidRPr="006C6BB5" w:rsidRDefault="006D5629" w:rsidP="006D5629">
      <w:pPr>
        <w:ind w:firstLine="720"/>
        <w:contextualSpacing/>
        <w:rPr>
          <w:sz w:val="22"/>
          <w:lang w:val="en-GB"/>
        </w:rPr>
      </w:pPr>
      <w:r w:rsidRPr="006C6BB5">
        <w:rPr>
          <w:sz w:val="22"/>
          <w:lang w:val="en-GB"/>
        </w:rPr>
        <w:t xml:space="preserve">In model 4, both </w:t>
      </w:r>
      <w:r w:rsidR="001378FD">
        <w:rPr>
          <w:sz w:val="22"/>
          <w:lang w:val="en-GB"/>
        </w:rPr>
        <w:t>external search breadth and depth</w:t>
      </w:r>
      <w:r w:rsidRPr="006C6BB5">
        <w:rPr>
          <w:sz w:val="22"/>
          <w:lang w:val="en-GB"/>
        </w:rPr>
        <w:t xml:space="preserve"> have a positive and significant (at the 5% level). Jointly with results from model 1, these results provide support for </w:t>
      </w:r>
      <w:r w:rsidR="00E93A80">
        <w:rPr>
          <w:sz w:val="22"/>
          <w:lang w:val="en-GB"/>
        </w:rPr>
        <w:t>the</w:t>
      </w:r>
      <w:r w:rsidRPr="006C6BB5">
        <w:rPr>
          <w:sz w:val="22"/>
          <w:lang w:val="en-GB"/>
        </w:rPr>
        <w:t xml:space="preserve"> general understanding that the openness of firms, in terms of both external search breadth and depth, has a positive impact on their propensity to use formal and informal appropriation mechanisms. </w:t>
      </w:r>
    </w:p>
    <w:p w14:paraId="6808C892" w14:textId="06515D80" w:rsidR="006D5629" w:rsidRPr="006C6BB5" w:rsidRDefault="00E93A80" w:rsidP="006D5629">
      <w:pPr>
        <w:ind w:firstLine="720"/>
        <w:contextualSpacing/>
        <w:rPr>
          <w:sz w:val="22"/>
          <w:lang w:val="en-GB"/>
        </w:rPr>
      </w:pPr>
      <w:r>
        <w:rPr>
          <w:sz w:val="22"/>
          <w:lang w:val="en-GB"/>
        </w:rPr>
        <w:t>T</w:t>
      </w:r>
      <w:r w:rsidR="006D5629" w:rsidRPr="006C6BB5">
        <w:rPr>
          <w:sz w:val="22"/>
          <w:lang w:val="en-GB"/>
        </w:rPr>
        <w:t>he results in table 4</w:t>
      </w:r>
      <w:r w:rsidR="00892492">
        <w:rPr>
          <w:sz w:val="22"/>
          <w:lang w:val="en-GB"/>
        </w:rPr>
        <w:t>,</w:t>
      </w:r>
      <w:r w:rsidR="006D5629" w:rsidRPr="006C6BB5">
        <w:rPr>
          <w:sz w:val="22"/>
          <w:lang w:val="en-GB"/>
        </w:rPr>
        <w:t xml:space="preserve"> model 4, indicate no support for hypothesis </w:t>
      </w:r>
      <w:r w:rsidR="0047721D">
        <w:rPr>
          <w:sz w:val="22"/>
          <w:lang w:val="en-GB"/>
        </w:rPr>
        <w:t>3</w:t>
      </w:r>
      <w:r w:rsidR="006D5629" w:rsidRPr="006C6BB5">
        <w:rPr>
          <w:sz w:val="22"/>
          <w:lang w:val="en-GB"/>
        </w:rPr>
        <w:t xml:space="preserve">b, as the coefficient on the share of radical innovation is not statistically significant. </w:t>
      </w:r>
      <w:r w:rsidR="001479AD">
        <w:rPr>
          <w:sz w:val="22"/>
          <w:lang w:val="en-GB"/>
        </w:rPr>
        <w:t xml:space="preserve">There is also no support for </w:t>
      </w:r>
      <w:r w:rsidR="006D5629" w:rsidRPr="006C6BB5">
        <w:rPr>
          <w:sz w:val="22"/>
          <w:lang w:val="en-GB"/>
        </w:rPr>
        <w:t xml:space="preserve">hypothesis </w:t>
      </w:r>
      <w:r w:rsidR="0047721D">
        <w:rPr>
          <w:sz w:val="22"/>
          <w:lang w:val="en-GB"/>
        </w:rPr>
        <w:t>4</w:t>
      </w:r>
      <w:r w:rsidR="006D5629" w:rsidRPr="006C6BB5">
        <w:rPr>
          <w:sz w:val="22"/>
          <w:lang w:val="en-GB"/>
        </w:rPr>
        <w:t>b, since the coefficient on the incremental innovation is</w:t>
      </w:r>
      <w:r w:rsidR="00305D08" w:rsidRPr="006C6BB5">
        <w:rPr>
          <w:sz w:val="22"/>
          <w:lang w:val="en-GB"/>
        </w:rPr>
        <w:t xml:space="preserve"> </w:t>
      </w:r>
      <w:r w:rsidR="006D5629" w:rsidRPr="006C6BB5">
        <w:rPr>
          <w:sz w:val="22"/>
          <w:lang w:val="en-GB"/>
        </w:rPr>
        <w:t xml:space="preserve">not significant. However, in line with hypothesis </w:t>
      </w:r>
      <w:r w:rsidR="0047721D">
        <w:rPr>
          <w:sz w:val="22"/>
          <w:lang w:val="en-GB"/>
        </w:rPr>
        <w:t>6</w:t>
      </w:r>
      <w:r w:rsidR="006D5629" w:rsidRPr="006C6BB5">
        <w:rPr>
          <w:sz w:val="22"/>
          <w:lang w:val="en-GB"/>
        </w:rPr>
        <w:t xml:space="preserve">b, </w:t>
      </w:r>
      <w:r w:rsidR="001479AD">
        <w:rPr>
          <w:sz w:val="22"/>
          <w:lang w:val="en-GB"/>
        </w:rPr>
        <w:t xml:space="preserve">the </w:t>
      </w:r>
      <w:r w:rsidR="006D5629" w:rsidRPr="006C6BB5">
        <w:rPr>
          <w:sz w:val="22"/>
          <w:lang w:val="en-GB"/>
        </w:rPr>
        <w:t xml:space="preserve">coefficient </w:t>
      </w:r>
      <w:r w:rsidR="001479AD">
        <w:rPr>
          <w:sz w:val="22"/>
          <w:lang w:val="en-GB"/>
        </w:rPr>
        <w:t>for</w:t>
      </w:r>
      <w:r w:rsidR="006D5629" w:rsidRPr="006C6BB5">
        <w:rPr>
          <w:sz w:val="22"/>
          <w:lang w:val="en-GB"/>
        </w:rPr>
        <w:t xml:space="preserve"> the breadth variable </w:t>
      </w:r>
      <w:r w:rsidR="001479AD">
        <w:rPr>
          <w:sz w:val="22"/>
          <w:lang w:val="en-GB"/>
        </w:rPr>
        <w:t xml:space="preserve">is positive and significant (p&lt;0.05), while the coefficient </w:t>
      </w:r>
      <w:r w:rsidR="006D5629" w:rsidRPr="006C6BB5">
        <w:rPr>
          <w:sz w:val="22"/>
          <w:lang w:val="en-GB"/>
        </w:rPr>
        <w:t xml:space="preserve">for the depth variable for radical innovators </w:t>
      </w:r>
      <w:r w:rsidR="001479AD">
        <w:rPr>
          <w:sz w:val="22"/>
          <w:lang w:val="en-GB"/>
        </w:rPr>
        <w:t xml:space="preserve">is insignificant </w:t>
      </w:r>
      <w:r w:rsidR="006D5629" w:rsidRPr="006C6BB5">
        <w:rPr>
          <w:sz w:val="22"/>
          <w:lang w:val="en-GB"/>
        </w:rPr>
        <w:t xml:space="preserve">(see table 4, model 5). These results suggest that the breadth of search openness of radical innovators, rather than their depth, has a positive impact on their </w:t>
      </w:r>
      <w:proofErr w:type="gramStart"/>
      <w:r w:rsidR="006D5629" w:rsidRPr="006C6BB5">
        <w:rPr>
          <w:sz w:val="22"/>
          <w:lang w:val="en-GB"/>
        </w:rPr>
        <w:t xml:space="preserve">use </w:t>
      </w:r>
      <w:r w:rsidR="00892492">
        <w:rPr>
          <w:sz w:val="22"/>
          <w:lang w:val="en-GB"/>
        </w:rPr>
        <w:t xml:space="preserve"> of</w:t>
      </w:r>
      <w:proofErr w:type="gramEnd"/>
      <w:r w:rsidR="00892492">
        <w:rPr>
          <w:sz w:val="22"/>
          <w:lang w:val="en-GB"/>
        </w:rPr>
        <w:t xml:space="preserve"> </w:t>
      </w:r>
      <w:r w:rsidR="006D5629" w:rsidRPr="006C6BB5">
        <w:rPr>
          <w:sz w:val="22"/>
          <w:lang w:val="en-GB"/>
        </w:rPr>
        <w:t>informal appropriation mechanisms.</w:t>
      </w:r>
      <w:r w:rsidR="008C693C">
        <w:rPr>
          <w:sz w:val="22"/>
          <w:lang w:val="en-GB"/>
        </w:rPr>
        <w:t xml:space="preserve"> </w:t>
      </w:r>
      <w:r w:rsidR="001479AD">
        <w:rPr>
          <w:sz w:val="22"/>
          <w:lang w:val="en-GB"/>
        </w:rPr>
        <w:t>Surprisingly</w:t>
      </w:r>
      <w:r w:rsidR="006D5629" w:rsidRPr="006C6BB5">
        <w:rPr>
          <w:sz w:val="22"/>
          <w:lang w:val="en-GB"/>
        </w:rPr>
        <w:t>, no impact of either breadth or depth of search openness for incremental innovators on informal appropriation mechanisms</w:t>
      </w:r>
      <w:r w:rsidR="001479AD">
        <w:rPr>
          <w:sz w:val="22"/>
          <w:lang w:val="en-GB"/>
        </w:rPr>
        <w:t xml:space="preserve"> was hypothesi</w:t>
      </w:r>
      <w:r w:rsidR="007E0896">
        <w:rPr>
          <w:sz w:val="22"/>
          <w:lang w:val="en-GB"/>
        </w:rPr>
        <w:t>zed</w:t>
      </w:r>
      <w:r w:rsidR="006D5629" w:rsidRPr="006C6BB5">
        <w:rPr>
          <w:sz w:val="22"/>
          <w:lang w:val="en-GB"/>
        </w:rPr>
        <w:t xml:space="preserve">, </w:t>
      </w:r>
      <w:r w:rsidR="001F15D9">
        <w:rPr>
          <w:sz w:val="22"/>
          <w:lang w:val="en-GB"/>
        </w:rPr>
        <w:t>the estimation produces</w:t>
      </w:r>
      <w:r w:rsidR="006D5629" w:rsidRPr="006C6BB5">
        <w:rPr>
          <w:sz w:val="22"/>
          <w:lang w:val="en-GB"/>
        </w:rPr>
        <w:t xml:space="preserve"> similar result for these incremental innovators (see table 4, model 6).</w:t>
      </w:r>
    </w:p>
    <w:p w14:paraId="01CCB9B7" w14:textId="4A2474A7" w:rsidR="006D5629" w:rsidRPr="006C6BB5" w:rsidRDefault="006D5629" w:rsidP="006D5629">
      <w:pPr>
        <w:contextualSpacing/>
        <w:jc w:val="center"/>
        <w:rPr>
          <w:sz w:val="22"/>
          <w:lang w:val="en-GB"/>
        </w:rPr>
      </w:pPr>
      <w:r w:rsidRPr="006C6BB5">
        <w:rPr>
          <w:sz w:val="22"/>
          <w:lang w:val="en-GB"/>
        </w:rPr>
        <w:t>----- Insert table 4 about here -----</w:t>
      </w:r>
    </w:p>
    <w:p w14:paraId="25FD5256" w14:textId="21F6FFB9" w:rsidR="006D5629" w:rsidRPr="006C6BB5" w:rsidRDefault="006D5629" w:rsidP="006D5629">
      <w:pPr>
        <w:ind w:firstLine="720"/>
        <w:contextualSpacing/>
        <w:rPr>
          <w:sz w:val="22"/>
          <w:lang w:val="en-GB"/>
        </w:rPr>
      </w:pPr>
      <w:r w:rsidRPr="006C6BB5">
        <w:rPr>
          <w:sz w:val="22"/>
          <w:lang w:val="en-GB"/>
        </w:rPr>
        <w:t>Among the control variables, firm size is posi</w:t>
      </w:r>
      <w:r w:rsidR="00305D08" w:rsidRPr="006C6BB5">
        <w:rPr>
          <w:sz w:val="22"/>
          <w:lang w:val="en-GB"/>
        </w:rPr>
        <w:t>tive and significant in models 1-3, (but not in 4-6</w:t>
      </w:r>
      <w:r w:rsidRPr="006C6BB5">
        <w:rPr>
          <w:sz w:val="22"/>
          <w:lang w:val="en-GB"/>
        </w:rPr>
        <w:t xml:space="preserve">) suggesting that larger firms are more likely to pursue formal appropriation strategies compared to smaller firms. One explanation of the significantly positive size coefficient in the formal appropriation models may be that smaller firms face affordability issues regarding their decision to use formal and informal mechanisms. In particular, smaller firms may not be in an ideal position concerning formal intellectual property rights, particularly given the high legal costs (Rothwell &amp; Dodgson, 1991).  Industry dummies are jointly not significant, and hence the estimated coefficients </w:t>
      </w:r>
      <w:r w:rsidR="007E0896">
        <w:rPr>
          <w:sz w:val="22"/>
          <w:lang w:val="en-GB"/>
        </w:rPr>
        <w:t xml:space="preserve">are not reported </w:t>
      </w:r>
      <w:r w:rsidRPr="006C6BB5">
        <w:rPr>
          <w:sz w:val="22"/>
          <w:lang w:val="en-GB"/>
        </w:rPr>
        <w:t>for the space reasons.</w:t>
      </w:r>
    </w:p>
    <w:p w14:paraId="024C7135" w14:textId="70EE7518" w:rsidR="006D5629" w:rsidRPr="006C6BB5" w:rsidRDefault="00491F95" w:rsidP="006D5629">
      <w:pPr>
        <w:ind w:firstLine="720"/>
        <w:contextualSpacing/>
        <w:rPr>
          <w:sz w:val="22"/>
          <w:lang w:val="en-GB"/>
        </w:rPr>
      </w:pPr>
      <w:r>
        <w:rPr>
          <w:sz w:val="22"/>
          <w:lang w:val="en-GB"/>
        </w:rPr>
        <w:lastRenderedPageBreak/>
        <w:t>A</w:t>
      </w:r>
      <w:r w:rsidR="006D5629" w:rsidRPr="006C6BB5">
        <w:rPr>
          <w:sz w:val="22"/>
          <w:lang w:val="en-GB"/>
        </w:rPr>
        <w:t xml:space="preserve"> number of tests </w:t>
      </w:r>
      <w:r>
        <w:rPr>
          <w:sz w:val="22"/>
          <w:lang w:val="en-GB"/>
        </w:rPr>
        <w:t>corroborate</w:t>
      </w:r>
      <w:r w:rsidR="008C693C">
        <w:rPr>
          <w:sz w:val="22"/>
          <w:lang w:val="en-GB"/>
        </w:rPr>
        <w:t xml:space="preserve"> </w:t>
      </w:r>
      <w:r w:rsidR="006D5629" w:rsidRPr="006C6BB5">
        <w:rPr>
          <w:sz w:val="22"/>
          <w:lang w:val="en-GB"/>
        </w:rPr>
        <w:t>the validity of the IV approach. Under-identification tests revealed identification for the breadth equations: the Kleinberg-</w:t>
      </w:r>
      <w:proofErr w:type="spellStart"/>
      <w:r w:rsidR="006D5629" w:rsidRPr="006C6BB5">
        <w:rPr>
          <w:sz w:val="22"/>
          <w:lang w:val="en-GB"/>
        </w:rPr>
        <w:t>Paap</w:t>
      </w:r>
      <w:proofErr w:type="spellEnd"/>
      <w:r w:rsidR="006D5629" w:rsidRPr="006C6BB5">
        <w:rPr>
          <w:sz w:val="22"/>
          <w:lang w:val="en-GB"/>
        </w:rPr>
        <w:t xml:space="preserve"> Wald test rejected the null hypothesis of under-identification (</w:t>
      </w:r>
      <w:r w:rsidR="006D5629" w:rsidRPr="006C6BB5">
        <w:rPr>
          <w:i/>
          <w:sz w:val="22"/>
          <w:lang w:val="en-GB"/>
        </w:rPr>
        <w:t>p</w:t>
      </w:r>
      <w:r w:rsidR="006D5629" w:rsidRPr="006C6BB5">
        <w:rPr>
          <w:sz w:val="22"/>
          <w:lang w:val="en-GB"/>
        </w:rPr>
        <w:t xml:space="preserve"> &lt; </w:t>
      </w:r>
      <w:r w:rsidR="00305D08" w:rsidRPr="006C6BB5">
        <w:rPr>
          <w:sz w:val="22"/>
          <w:lang w:val="en-GB"/>
        </w:rPr>
        <w:t>0</w:t>
      </w:r>
      <w:r w:rsidR="006D5629" w:rsidRPr="006C6BB5">
        <w:rPr>
          <w:sz w:val="22"/>
          <w:lang w:val="en-GB"/>
        </w:rPr>
        <w:t xml:space="preserve">.05) and marginally for the depth equation, while the </w:t>
      </w:r>
      <w:proofErr w:type="spellStart"/>
      <w:r w:rsidR="006D5629" w:rsidRPr="006C6BB5">
        <w:rPr>
          <w:sz w:val="22"/>
          <w:lang w:val="en-GB"/>
        </w:rPr>
        <w:t>Sargan</w:t>
      </w:r>
      <w:proofErr w:type="spellEnd"/>
      <w:r w:rsidR="006D5629" w:rsidRPr="006C6BB5">
        <w:rPr>
          <w:sz w:val="22"/>
          <w:lang w:val="en-GB"/>
        </w:rPr>
        <w:t xml:space="preserve"> test did not reject the over-identification restriction (</w:t>
      </w:r>
      <w:r w:rsidR="006D5629" w:rsidRPr="006C6BB5">
        <w:rPr>
          <w:i/>
          <w:sz w:val="22"/>
          <w:lang w:val="en-GB"/>
        </w:rPr>
        <w:t>p</w:t>
      </w:r>
      <w:r w:rsidR="006D5629" w:rsidRPr="006C6BB5">
        <w:rPr>
          <w:sz w:val="22"/>
          <w:lang w:val="en-GB"/>
        </w:rPr>
        <w:t xml:space="preserve"> &gt; </w:t>
      </w:r>
      <w:r w:rsidR="00305D08" w:rsidRPr="006C6BB5">
        <w:rPr>
          <w:sz w:val="22"/>
          <w:lang w:val="en-GB"/>
        </w:rPr>
        <w:t>0</w:t>
      </w:r>
      <w:r w:rsidR="006D5629" w:rsidRPr="006C6BB5">
        <w:rPr>
          <w:sz w:val="22"/>
          <w:lang w:val="en-GB"/>
        </w:rPr>
        <w:t>.1</w:t>
      </w:r>
      <w:r w:rsidR="00305D08" w:rsidRPr="006C6BB5">
        <w:rPr>
          <w:sz w:val="22"/>
          <w:lang w:val="en-GB"/>
        </w:rPr>
        <w:t>0</w:t>
      </w:r>
      <w:r w:rsidR="006D5629" w:rsidRPr="006C6BB5">
        <w:rPr>
          <w:sz w:val="22"/>
          <w:lang w:val="en-GB"/>
        </w:rPr>
        <w:t>) for the first-stage equations. The F-test based on Shea’s partial R</w:t>
      </w:r>
      <w:r w:rsidR="006D5629" w:rsidRPr="006C6BB5">
        <w:rPr>
          <w:sz w:val="22"/>
          <w:vertAlign w:val="superscript"/>
          <w:lang w:val="en-GB"/>
        </w:rPr>
        <w:t>2</w:t>
      </w:r>
      <w:r w:rsidR="006D5629" w:rsidRPr="006C6BB5">
        <w:rPr>
          <w:sz w:val="22"/>
          <w:lang w:val="en-GB"/>
        </w:rPr>
        <w:t xml:space="preserve"> of the first-stage regressions was significant (</w:t>
      </w:r>
      <w:r w:rsidR="006D5629" w:rsidRPr="006C6BB5">
        <w:rPr>
          <w:i/>
          <w:sz w:val="22"/>
          <w:lang w:val="en-GB"/>
        </w:rPr>
        <w:t>p</w:t>
      </w:r>
      <w:r w:rsidR="006D5629" w:rsidRPr="006C6BB5">
        <w:rPr>
          <w:sz w:val="22"/>
          <w:lang w:val="en-GB"/>
        </w:rPr>
        <w:t xml:space="preserve"> &lt; </w:t>
      </w:r>
      <w:r w:rsidR="00DF0BF1" w:rsidRPr="006C6BB5">
        <w:rPr>
          <w:sz w:val="22"/>
          <w:lang w:val="en-GB"/>
        </w:rPr>
        <w:t>0.0</w:t>
      </w:r>
      <w:r w:rsidR="006D5629" w:rsidRPr="006C6BB5">
        <w:rPr>
          <w:sz w:val="22"/>
          <w:lang w:val="en-GB"/>
        </w:rPr>
        <w:t xml:space="preserve">1) for both sets of analysis, indicating the appropriateness of the instruments. </w:t>
      </w:r>
    </w:p>
    <w:p w14:paraId="0EE97719" w14:textId="625AAC1E" w:rsidR="001378FD" w:rsidRPr="006C6BB5" w:rsidRDefault="001F15D9" w:rsidP="00C065CF">
      <w:pPr>
        <w:ind w:firstLine="720"/>
        <w:contextualSpacing/>
        <w:rPr>
          <w:sz w:val="22"/>
          <w:lang w:val="en-GB"/>
        </w:rPr>
      </w:pPr>
      <w:r>
        <w:rPr>
          <w:sz w:val="22"/>
          <w:lang w:val="en-GB"/>
        </w:rPr>
        <w:t xml:space="preserve">As a robustness check, </w:t>
      </w:r>
      <w:r w:rsidR="00E93A80">
        <w:rPr>
          <w:sz w:val="22"/>
          <w:lang w:val="en-GB"/>
        </w:rPr>
        <w:t>the</w:t>
      </w:r>
      <w:r w:rsidR="006D5629" w:rsidRPr="006C6BB5">
        <w:rPr>
          <w:sz w:val="22"/>
          <w:lang w:val="en-GB"/>
        </w:rPr>
        <w:t xml:space="preserve"> models </w:t>
      </w:r>
      <w:r>
        <w:rPr>
          <w:sz w:val="22"/>
          <w:lang w:val="en-GB"/>
        </w:rPr>
        <w:t xml:space="preserve">were re-run </w:t>
      </w:r>
      <w:r w:rsidR="006D5629" w:rsidRPr="006C6BB5">
        <w:rPr>
          <w:sz w:val="22"/>
          <w:lang w:val="en-GB"/>
        </w:rPr>
        <w:t xml:space="preserve">on an unbalanced longitudinal dataset, constructed from three consecutive surveys, covering 2002 to 2008. </w:t>
      </w:r>
      <w:r w:rsidR="00491F95">
        <w:rPr>
          <w:sz w:val="22"/>
          <w:lang w:val="en-GB"/>
        </w:rPr>
        <w:t>T</w:t>
      </w:r>
      <w:r w:rsidR="006D5629" w:rsidRPr="006C6BB5">
        <w:rPr>
          <w:sz w:val="22"/>
          <w:lang w:val="en-GB"/>
        </w:rPr>
        <w:t xml:space="preserve">hese results </w:t>
      </w:r>
      <w:r w:rsidR="00491F95">
        <w:rPr>
          <w:sz w:val="22"/>
          <w:lang w:val="en-GB"/>
        </w:rPr>
        <w:t>are</w:t>
      </w:r>
      <w:r w:rsidR="008C693C">
        <w:rPr>
          <w:sz w:val="22"/>
          <w:lang w:val="en-GB"/>
        </w:rPr>
        <w:t xml:space="preserve"> </w:t>
      </w:r>
      <w:r w:rsidR="006D5629" w:rsidRPr="006C6BB5">
        <w:rPr>
          <w:sz w:val="22"/>
          <w:lang w:val="en-GB"/>
        </w:rPr>
        <w:t xml:space="preserve">consistent with </w:t>
      </w:r>
      <w:r w:rsidR="00491F95">
        <w:rPr>
          <w:sz w:val="22"/>
          <w:lang w:val="en-GB"/>
        </w:rPr>
        <w:t>the</w:t>
      </w:r>
      <w:r w:rsidR="006D5629" w:rsidRPr="006C6BB5">
        <w:rPr>
          <w:sz w:val="22"/>
          <w:lang w:val="en-GB"/>
        </w:rPr>
        <w:t xml:space="preserve"> main results regarding the use of formal appropria</w:t>
      </w:r>
      <w:r w:rsidR="00305D08" w:rsidRPr="006C6BB5">
        <w:rPr>
          <w:sz w:val="22"/>
          <w:lang w:val="en-GB"/>
        </w:rPr>
        <w:t xml:space="preserve">tion mechanisms. </w:t>
      </w:r>
      <w:r w:rsidR="00491F95">
        <w:rPr>
          <w:sz w:val="22"/>
          <w:lang w:val="en-GB"/>
        </w:rPr>
        <w:t>T</w:t>
      </w:r>
      <w:r w:rsidR="00305D08" w:rsidRPr="006C6BB5">
        <w:rPr>
          <w:sz w:val="22"/>
          <w:lang w:val="en-GB"/>
        </w:rPr>
        <w:t>his additional analysi</w:t>
      </w:r>
      <w:r w:rsidR="006D5629" w:rsidRPr="006C6BB5">
        <w:rPr>
          <w:sz w:val="22"/>
          <w:lang w:val="en-GB"/>
        </w:rPr>
        <w:t>s</w:t>
      </w:r>
      <w:r w:rsidR="00491F95">
        <w:rPr>
          <w:sz w:val="22"/>
          <w:lang w:val="en-GB"/>
        </w:rPr>
        <w:t xml:space="preserve"> is reported</w:t>
      </w:r>
      <w:r w:rsidR="006D5629" w:rsidRPr="006C6BB5">
        <w:rPr>
          <w:sz w:val="22"/>
          <w:lang w:val="en-GB"/>
        </w:rPr>
        <w:t xml:space="preserve"> in the Appendix.</w:t>
      </w:r>
    </w:p>
    <w:p w14:paraId="0AF0AA42" w14:textId="19ACFCAE" w:rsidR="00E11BD5" w:rsidRPr="006C6BB5" w:rsidRDefault="00721E00" w:rsidP="00672854">
      <w:pPr>
        <w:spacing w:after="200"/>
        <w:contextualSpacing/>
        <w:rPr>
          <w:b/>
          <w:sz w:val="22"/>
          <w:szCs w:val="22"/>
          <w:lang w:val="en-GB"/>
        </w:rPr>
      </w:pPr>
      <w:r>
        <w:rPr>
          <w:b/>
          <w:sz w:val="22"/>
          <w:szCs w:val="22"/>
          <w:lang w:val="en-GB"/>
        </w:rPr>
        <w:t>5</w:t>
      </w:r>
      <w:r w:rsidR="00672854" w:rsidRPr="006C6BB5">
        <w:rPr>
          <w:b/>
          <w:sz w:val="22"/>
          <w:szCs w:val="22"/>
          <w:lang w:val="en-GB"/>
        </w:rPr>
        <w:t xml:space="preserve">. </w:t>
      </w:r>
      <w:r w:rsidR="006270B1" w:rsidRPr="006C6BB5">
        <w:rPr>
          <w:b/>
          <w:sz w:val="22"/>
          <w:szCs w:val="22"/>
          <w:lang w:val="en-GB"/>
        </w:rPr>
        <w:t xml:space="preserve">DISCUSSION </w:t>
      </w:r>
    </w:p>
    <w:p w14:paraId="24AF4CAD" w14:textId="38FE2323" w:rsidR="00930B4F" w:rsidRPr="00892492" w:rsidRDefault="00755BBD" w:rsidP="00B5729A">
      <w:pPr>
        <w:spacing w:after="200"/>
        <w:contextualSpacing/>
        <w:rPr>
          <w:sz w:val="22"/>
          <w:szCs w:val="22"/>
          <w:lang w:val="en-GB"/>
        </w:rPr>
      </w:pPr>
      <w:r w:rsidRPr="00A9230E">
        <w:rPr>
          <w:sz w:val="22"/>
          <w:szCs w:val="22"/>
          <w:lang w:val="en-GB"/>
        </w:rPr>
        <w:t xml:space="preserve">Acknowledging the increasing strategic relevance of appropriation mechanisms (Pisano &amp; </w:t>
      </w:r>
      <w:proofErr w:type="spellStart"/>
      <w:r w:rsidRPr="00A9230E">
        <w:rPr>
          <w:sz w:val="22"/>
          <w:szCs w:val="22"/>
          <w:lang w:val="en-GB"/>
        </w:rPr>
        <w:t>Teece</w:t>
      </w:r>
      <w:proofErr w:type="spellEnd"/>
      <w:r w:rsidRPr="00A9230E">
        <w:rPr>
          <w:sz w:val="22"/>
          <w:szCs w:val="22"/>
          <w:lang w:val="en-GB"/>
        </w:rPr>
        <w:t xml:space="preserve">, 2007; </w:t>
      </w:r>
      <w:proofErr w:type="spellStart"/>
      <w:r w:rsidRPr="00A9230E">
        <w:rPr>
          <w:sz w:val="22"/>
          <w:szCs w:val="22"/>
          <w:lang w:val="en-GB"/>
        </w:rPr>
        <w:t>Somaya</w:t>
      </w:r>
      <w:proofErr w:type="spellEnd"/>
      <w:r w:rsidRPr="00A9230E">
        <w:rPr>
          <w:sz w:val="22"/>
          <w:szCs w:val="22"/>
          <w:lang w:val="en-GB"/>
        </w:rPr>
        <w:t>, 2012)</w:t>
      </w:r>
      <w:r w:rsidR="00F35A89" w:rsidRPr="00A9230E">
        <w:rPr>
          <w:sz w:val="22"/>
          <w:szCs w:val="22"/>
          <w:lang w:val="en-GB"/>
        </w:rPr>
        <w:t>,</w:t>
      </w:r>
      <w:r w:rsidRPr="00A9230E">
        <w:rPr>
          <w:sz w:val="22"/>
          <w:szCs w:val="22"/>
          <w:lang w:val="en-GB"/>
        </w:rPr>
        <w:t xml:space="preserve"> </w:t>
      </w:r>
      <w:r w:rsidRPr="00892492">
        <w:rPr>
          <w:sz w:val="22"/>
          <w:szCs w:val="22"/>
          <w:lang w:val="en-GB"/>
        </w:rPr>
        <w:t xml:space="preserve">this study </w:t>
      </w:r>
      <w:r w:rsidR="00624C49" w:rsidRPr="00892492">
        <w:rPr>
          <w:sz w:val="22"/>
          <w:szCs w:val="22"/>
          <w:lang w:val="en-GB"/>
        </w:rPr>
        <w:t xml:space="preserve">analysed the </w:t>
      </w:r>
      <w:r w:rsidR="00426C9F" w:rsidRPr="00892492">
        <w:rPr>
          <w:sz w:val="22"/>
          <w:szCs w:val="22"/>
          <w:lang w:val="en-GB"/>
        </w:rPr>
        <w:t xml:space="preserve">influence </w:t>
      </w:r>
      <w:r w:rsidR="00632F66" w:rsidRPr="00892492">
        <w:rPr>
          <w:sz w:val="22"/>
          <w:szCs w:val="22"/>
          <w:lang w:val="en-GB"/>
        </w:rPr>
        <w:t>of the degree of openness and innovativeness on the use of</w:t>
      </w:r>
      <w:r w:rsidR="00624C49" w:rsidRPr="00892492">
        <w:rPr>
          <w:sz w:val="22"/>
          <w:szCs w:val="22"/>
          <w:lang w:val="en-GB"/>
        </w:rPr>
        <w:t xml:space="preserve"> </w:t>
      </w:r>
      <w:r w:rsidRPr="00892492">
        <w:rPr>
          <w:sz w:val="22"/>
          <w:szCs w:val="22"/>
          <w:lang w:val="en-GB"/>
        </w:rPr>
        <w:t>both formal and informal appropriation mechanisms</w:t>
      </w:r>
      <w:r w:rsidR="00C259D9" w:rsidRPr="00892492">
        <w:rPr>
          <w:sz w:val="22"/>
          <w:szCs w:val="22"/>
          <w:lang w:val="en-GB"/>
        </w:rPr>
        <w:t xml:space="preserve">. </w:t>
      </w:r>
      <w:r w:rsidR="00624C49" w:rsidRPr="00892492">
        <w:rPr>
          <w:sz w:val="22"/>
          <w:szCs w:val="22"/>
          <w:lang w:val="en-GB"/>
        </w:rPr>
        <w:t>Table 5 summariz</w:t>
      </w:r>
      <w:r w:rsidR="00EA6B25" w:rsidRPr="00892492">
        <w:rPr>
          <w:sz w:val="22"/>
          <w:szCs w:val="22"/>
          <w:lang w:val="en-GB"/>
        </w:rPr>
        <w:t>es the main results</w:t>
      </w:r>
      <w:r w:rsidR="00C259D9" w:rsidRPr="00892492">
        <w:rPr>
          <w:sz w:val="22"/>
          <w:szCs w:val="22"/>
          <w:lang w:val="en-GB"/>
        </w:rPr>
        <w:t>.</w:t>
      </w:r>
      <w:r w:rsidR="00075D08" w:rsidRPr="00892492">
        <w:rPr>
          <w:sz w:val="22"/>
          <w:szCs w:val="22"/>
          <w:lang w:val="en-GB"/>
        </w:rPr>
        <w:t xml:space="preserve"> </w:t>
      </w:r>
    </w:p>
    <w:p w14:paraId="688F8C34" w14:textId="356B69A2" w:rsidR="00D06794" w:rsidRPr="00892492" w:rsidRDefault="00302B72" w:rsidP="008C693C">
      <w:pPr>
        <w:spacing w:after="200"/>
        <w:contextualSpacing/>
        <w:jc w:val="center"/>
        <w:rPr>
          <w:sz w:val="22"/>
          <w:szCs w:val="22"/>
          <w:lang w:val="en-GB"/>
        </w:rPr>
      </w:pPr>
      <w:r>
        <w:rPr>
          <w:sz w:val="22"/>
          <w:szCs w:val="22"/>
          <w:lang w:val="en-GB"/>
        </w:rPr>
        <w:t>----- I</w:t>
      </w:r>
      <w:r w:rsidRPr="00892492">
        <w:rPr>
          <w:sz w:val="22"/>
          <w:szCs w:val="22"/>
          <w:lang w:val="en-GB"/>
        </w:rPr>
        <w:t>nsert table 5 about here</w:t>
      </w:r>
      <w:r>
        <w:rPr>
          <w:sz w:val="22"/>
          <w:szCs w:val="22"/>
          <w:lang w:val="en-GB"/>
        </w:rPr>
        <w:t xml:space="preserve"> -----</w:t>
      </w:r>
    </w:p>
    <w:p w14:paraId="2326D0BA" w14:textId="77777777" w:rsidR="00930B4F" w:rsidRPr="00892492" w:rsidRDefault="00930B4F" w:rsidP="00B5729A">
      <w:pPr>
        <w:spacing w:after="200"/>
        <w:contextualSpacing/>
        <w:rPr>
          <w:b/>
          <w:sz w:val="22"/>
          <w:szCs w:val="22"/>
          <w:lang w:val="en-GB"/>
        </w:rPr>
      </w:pPr>
      <w:r w:rsidRPr="00892492">
        <w:rPr>
          <w:b/>
          <w:sz w:val="22"/>
          <w:szCs w:val="22"/>
          <w:lang w:val="en-GB"/>
        </w:rPr>
        <w:t>5.1 Theoretical Implications</w:t>
      </w:r>
    </w:p>
    <w:p w14:paraId="0B508912" w14:textId="1D41D8C7" w:rsidR="00CD685C" w:rsidRPr="00A9230E" w:rsidRDefault="00E93A80" w:rsidP="00B5729A">
      <w:pPr>
        <w:spacing w:after="200"/>
        <w:contextualSpacing/>
        <w:rPr>
          <w:sz w:val="22"/>
          <w:szCs w:val="22"/>
          <w:lang w:val="en-GB"/>
        </w:rPr>
      </w:pPr>
      <w:r w:rsidRPr="00892492">
        <w:rPr>
          <w:sz w:val="22"/>
          <w:szCs w:val="22"/>
          <w:lang w:val="en-GB"/>
        </w:rPr>
        <w:t>The</w:t>
      </w:r>
      <w:r w:rsidR="00D97C50" w:rsidRPr="00892492">
        <w:rPr>
          <w:sz w:val="22"/>
          <w:szCs w:val="22"/>
          <w:lang w:val="en-GB"/>
        </w:rPr>
        <w:t xml:space="preserve"> first research question </w:t>
      </w:r>
      <w:r w:rsidR="00892492">
        <w:rPr>
          <w:sz w:val="22"/>
          <w:szCs w:val="22"/>
          <w:lang w:val="en-GB"/>
        </w:rPr>
        <w:t>concerned</w:t>
      </w:r>
      <w:r w:rsidR="00D97C50" w:rsidRPr="00A9230E">
        <w:rPr>
          <w:sz w:val="22"/>
          <w:szCs w:val="22"/>
          <w:lang w:val="en-GB"/>
        </w:rPr>
        <w:t xml:space="preserve"> the general role of openness in innovation </w:t>
      </w:r>
      <w:r w:rsidR="00624C49">
        <w:rPr>
          <w:sz w:val="22"/>
          <w:szCs w:val="22"/>
          <w:lang w:val="en-GB"/>
        </w:rPr>
        <w:t xml:space="preserve">and its impact on </w:t>
      </w:r>
      <w:r w:rsidR="00D97C50" w:rsidRPr="00A9230E">
        <w:rPr>
          <w:sz w:val="22"/>
          <w:szCs w:val="22"/>
          <w:lang w:val="en-GB"/>
        </w:rPr>
        <w:t xml:space="preserve">both </w:t>
      </w:r>
      <w:r w:rsidR="00830400">
        <w:rPr>
          <w:sz w:val="22"/>
          <w:szCs w:val="22"/>
          <w:lang w:val="en-GB"/>
        </w:rPr>
        <w:t xml:space="preserve">formal and informal </w:t>
      </w:r>
      <w:r w:rsidR="00D97C50" w:rsidRPr="00A9230E">
        <w:rPr>
          <w:sz w:val="22"/>
          <w:szCs w:val="22"/>
          <w:lang w:val="en-GB"/>
        </w:rPr>
        <w:t xml:space="preserve">appropriation mechanisms. </w:t>
      </w:r>
      <w:r w:rsidR="00F35A89" w:rsidRPr="00A9230E">
        <w:rPr>
          <w:sz w:val="22"/>
          <w:szCs w:val="22"/>
          <w:lang w:val="en-GB"/>
        </w:rPr>
        <w:t>A</w:t>
      </w:r>
      <w:r w:rsidR="0047721D">
        <w:rPr>
          <w:sz w:val="22"/>
          <w:szCs w:val="22"/>
          <w:lang w:val="en-GB"/>
        </w:rPr>
        <w:t xml:space="preserve"> set of</w:t>
      </w:r>
      <w:r w:rsidR="00F35A89" w:rsidRPr="00A9230E">
        <w:rPr>
          <w:sz w:val="22"/>
          <w:szCs w:val="22"/>
          <w:lang w:val="en-GB"/>
        </w:rPr>
        <w:t xml:space="preserve"> </w:t>
      </w:r>
      <w:r w:rsidR="00D97C50" w:rsidRPr="00A9230E">
        <w:rPr>
          <w:sz w:val="22"/>
          <w:szCs w:val="22"/>
          <w:lang w:val="en-GB"/>
        </w:rPr>
        <w:t>baseline hypothes</w:t>
      </w:r>
      <w:r w:rsidR="0047721D">
        <w:rPr>
          <w:sz w:val="22"/>
          <w:szCs w:val="22"/>
          <w:lang w:val="en-GB"/>
        </w:rPr>
        <w:t>e</w:t>
      </w:r>
      <w:r w:rsidR="00D97C50" w:rsidRPr="00A9230E">
        <w:rPr>
          <w:sz w:val="22"/>
          <w:szCs w:val="22"/>
          <w:lang w:val="en-GB"/>
        </w:rPr>
        <w:t>s suggested that e</w:t>
      </w:r>
      <w:r w:rsidR="00A65F4C" w:rsidRPr="00A9230E">
        <w:rPr>
          <w:sz w:val="22"/>
          <w:szCs w:val="22"/>
          <w:lang w:val="en-GB"/>
        </w:rPr>
        <w:t xml:space="preserve">xternal search breadth and depth are positively associated with firms’ use of both formal and informal appropriation mechanisms. </w:t>
      </w:r>
      <w:r>
        <w:rPr>
          <w:sz w:val="22"/>
          <w:szCs w:val="22"/>
          <w:lang w:val="en-GB"/>
        </w:rPr>
        <w:t>The results of this study</w:t>
      </w:r>
      <w:r w:rsidR="00830400">
        <w:rPr>
          <w:sz w:val="22"/>
          <w:szCs w:val="22"/>
          <w:lang w:val="en-GB"/>
        </w:rPr>
        <w:t xml:space="preserve"> </w:t>
      </w:r>
      <w:r w:rsidR="00A65F4C" w:rsidRPr="00A9230E">
        <w:rPr>
          <w:sz w:val="22"/>
          <w:szCs w:val="22"/>
          <w:lang w:val="en-GB"/>
        </w:rPr>
        <w:t>mostly support th</w:t>
      </w:r>
      <w:r w:rsidR="0047721D">
        <w:rPr>
          <w:sz w:val="22"/>
          <w:szCs w:val="22"/>
          <w:lang w:val="en-GB"/>
        </w:rPr>
        <w:t>e</w:t>
      </w:r>
      <w:r w:rsidR="00A65F4C" w:rsidRPr="00A9230E">
        <w:rPr>
          <w:sz w:val="22"/>
          <w:szCs w:val="22"/>
          <w:lang w:val="en-GB"/>
        </w:rPr>
        <w:t>s</w:t>
      </w:r>
      <w:r w:rsidR="00C12102">
        <w:rPr>
          <w:sz w:val="22"/>
          <w:szCs w:val="22"/>
          <w:lang w:val="en-GB"/>
        </w:rPr>
        <w:t>e</w:t>
      </w:r>
      <w:r w:rsidR="00A65F4C" w:rsidRPr="00A9230E">
        <w:rPr>
          <w:sz w:val="22"/>
          <w:szCs w:val="22"/>
          <w:lang w:val="en-GB"/>
        </w:rPr>
        <w:t xml:space="preserve"> hypothes</w:t>
      </w:r>
      <w:r w:rsidR="0047721D">
        <w:rPr>
          <w:sz w:val="22"/>
          <w:szCs w:val="22"/>
          <w:lang w:val="en-GB"/>
        </w:rPr>
        <w:t>e</w:t>
      </w:r>
      <w:r w:rsidR="00A65F4C" w:rsidRPr="00A9230E">
        <w:rPr>
          <w:sz w:val="22"/>
          <w:szCs w:val="22"/>
          <w:lang w:val="en-GB"/>
        </w:rPr>
        <w:t xml:space="preserve">s, except for the association between external search depth and formal appropriation mechanisms. This </w:t>
      </w:r>
      <w:r w:rsidR="00D97C50" w:rsidRPr="00A9230E">
        <w:rPr>
          <w:sz w:val="22"/>
          <w:szCs w:val="22"/>
          <w:lang w:val="en-GB"/>
        </w:rPr>
        <w:t xml:space="preserve">overall empirical support </w:t>
      </w:r>
      <w:r w:rsidR="00A65F4C" w:rsidRPr="00A9230E">
        <w:rPr>
          <w:sz w:val="22"/>
          <w:szCs w:val="22"/>
          <w:lang w:val="en-GB"/>
        </w:rPr>
        <w:t xml:space="preserve">is in line with prior literature, positioned in the domain of open </w:t>
      </w:r>
      <w:r w:rsidR="00F35A89" w:rsidRPr="00A9230E">
        <w:rPr>
          <w:sz w:val="22"/>
          <w:szCs w:val="22"/>
          <w:lang w:val="en-GB"/>
        </w:rPr>
        <w:t>innovation that</w:t>
      </w:r>
      <w:r w:rsidR="00A65F4C" w:rsidRPr="00A9230E">
        <w:rPr>
          <w:sz w:val="22"/>
          <w:szCs w:val="22"/>
          <w:lang w:val="en-GB"/>
        </w:rPr>
        <w:t xml:space="preserve"> has assumed a positive connection between openness and appropriation (Laursen</w:t>
      </w:r>
      <w:r w:rsidR="00A73E34" w:rsidRPr="00A9230E">
        <w:rPr>
          <w:sz w:val="22"/>
          <w:szCs w:val="22"/>
          <w:lang w:val="en-GB"/>
        </w:rPr>
        <w:t xml:space="preserve"> &amp;</w:t>
      </w:r>
      <w:r w:rsidR="00A65F4C" w:rsidRPr="00A9230E">
        <w:rPr>
          <w:sz w:val="22"/>
          <w:szCs w:val="22"/>
          <w:lang w:val="en-GB"/>
        </w:rPr>
        <w:t xml:space="preserve"> </w:t>
      </w:r>
      <w:r w:rsidR="00A73E34" w:rsidRPr="00A9230E">
        <w:rPr>
          <w:sz w:val="22"/>
          <w:szCs w:val="22"/>
          <w:lang w:val="en-GB"/>
        </w:rPr>
        <w:t>Salter, 2014; Hagedoorn &amp;</w:t>
      </w:r>
      <w:r w:rsidR="00A65F4C" w:rsidRPr="00A9230E">
        <w:rPr>
          <w:sz w:val="22"/>
          <w:szCs w:val="22"/>
          <w:lang w:val="en-GB"/>
        </w:rPr>
        <w:t xml:space="preserve"> Zobel, 2015; Zobel, Balsmeier, &amp; Chesbrough, 201</w:t>
      </w:r>
      <w:r w:rsidR="00A73E34" w:rsidRPr="00A9230E">
        <w:rPr>
          <w:sz w:val="22"/>
          <w:szCs w:val="22"/>
          <w:lang w:val="en-GB"/>
        </w:rPr>
        <w:t>6).</w:t>
      </w:r>
      <w:r w:rsidR="006D4D43" w:rsidRPr="00A9230E">
        <w:rPr>
          <w:sz w:val="22"/>
          <w:szCs w:val="22"/>
          <w:lang w:val="en-GB"/>
        </w:rPr>
        <w:t xml:space="preserve"> As firms become more open in their innovation processes, they increasingly need to protect their knowledge</w:t>
      </w:r>
      <w:r w:rsidR="00560C27" w:rsidRPr="00A9230E">
        <w:rPr>
          <w:sz w:val="22"/>
          <w:szCs w:val="22"/>
          <w:lang w:val="en-GB"/>
        </w:rPr>
        <w:t xml:space="preserve"> and prevent potential </w:t>
      </w:r>
      <w:proofErr w:type="gramStart"/>
      <w:r w:rsidR="00560C27" w:rsidRPr="00A9230E">
        <w:rPr>
          <w:sz w:val="22"/>
          <w:szCs w:val="22"/>
          <w:lang w:val="en-GB"/>
        </w:rPr>
        <w:t>free-riding</w:t>
      </w:r>
      <w:proofErr w:type="gramEnd"/>
      <w:r w:rsidR="006D4D43" w:rsidRPr="00A9230E">
        <w:rPr>
          <w:sz w:val="22"/>
          <w:szCs w:val="22"/>
          <w:lang w:val="en-GB"/>
        </w:rPr>
        <w:t xml:space="preserve"> via formal and informal mechanisms.</w:t>
      </w:r>
      <w:r w:rsidR="00A73E34" w:rsidRPr="00A9230E">
        <w:rPr>
          <w:sz w:val="22"/>
          <w:szCs w:val="22"/>
          <w:lang w:val="en-GB"/>
        </w:rPr>
        <w:t xml:space="preserve"> </w:t>
      </w:r>
      <w:r w:rsidR="00D97C50" w:rsidRPr="00A9230E">
        <w:rPr>
          <w:sz w:val="22"/>
          <w:szCs w:val="22"/>
          <w:lang w:val="en-GB"/>
        </w:rPr>
        <w:t xml:space="preserve">Interestingly, informal appropriation mechanisms, such as complexity, secrecy, and lead time, seem to demonstrate a somewhat stronger association with openness in innovation than formal appropriation mechanisms, such as patents, trademarks, copyrights, </w:t>
      </w:r>
      <w:r w:rsidR="00D97C50" w:rsidRPr="00A9230E">
        <w:rPr>
          <w:sz w:val="22"/>
          <w:szCs w:val="22"/>
          <w:lang w:val="en-GB"/>
        </w:rPr>
        <w:lastRenderedPageBreak/>
        <w:t xml:space="preserve">and design rights. Especially in the context of </w:t>
      </w:r>
      <w:r w:rsidR="00CD685C" w:rsidRPr="00A9230E">
        <w:rPr>
          <w:sz w:val="22"/>
          <w:szCs w:val="22"/>
          <w:lang w:val="en-GB"/>
        </w:rPr>
        <w:t xml:space="preserve">external </w:t>
      </w:r>
      <w:r w:rsidR="00D97C50" w:rsidRPr="00A9230E">
        <w:rPr>
          <w:sz w:val="22"/>
          <w:szCs w:val="22"/>
          <w:lang w:val="en-GB"/>
        </w:rPr>
        <w:t>search depth, hiding certain parts of the knowledge base via informa</w:t>
      </w:r>
      <w:r w:rsidR="00CD685C" w:rsidRPr="00A9230E">
        <w:rPr>
          <w:sz w:val="22"/>
          <w:szCs w:val="22"/>
          <w:lang w:val="en-GB"/>
        </w:rPr>
        <w:t>l appropriation mechanisms</w:t>
      </w:r>
      <w:r w:rsidR="00D97C50" w:rsidRPr="00A9230E">
        <w:rPr>
          <w:sz w:val="22"/>
          <w:szCs w:val="22"/>
          <w:lang w:val="en-GB"/>
        </w:rPr>
        <w:t>, seem</w:t>
      </w:r>
      <w:r w:rsidR="00B5729A" w:rsidRPr="00A9230E">
        <w:rPr>
          <w:sz w:val="22"/>
          <w:szCs w:val="22"/>
          <w:lang w:val="en-GB"/>
        </w:rPr>
        <w:t>s</w:t>
      </w:r>
      <w:r w:rsidR="00D97C50" w:rsidRPr="00A9230E">
        <w:rPr>
          <w:sz w:val="22"/>
          <w:szCs w:val="22"/>
          <w:lang w:val="en-GB"/>
        </w:rPr>
        <w:t xml:space="preserve"> to be more relevant </w:t>
      </w:r>
      <w:r w:rsidR="00D032A7" w:rsidRPr="00A9230E">
        <w:rPr>
          <w:sz w:val="22"/>
          <w:szCs w:val="22"/>
          <w:lang w:val="en-GB"/>
        </w:rPr>
        <w:t>(as indicated by a significant positive coefficient</w:t>
      </w:r>
      <w:r w:rsidR="00DB7176" w:rsidRPr="00A9230E">
        <w:rPr>
          <w:sz w:val="22"/>
          <w:szCs w:val="22"/>
          <w:lang w:val="en-GB"/>
        </w:rPr>
        <w:t xml:space="preserve"> of depth on informal appropriation</w:t>
      </w:r>
      <w:r w:rsidR="00D032A7" w:rsidRPr="00A9230E">
        <w:rPr>
          <w:sz w:val="22"/>
          <w:szCs w:val="22"/>
          <w:lang w:val="en-GB"/>
        </w:rPr>
        <w:t xml:space="preserve">) </w:t>
      </w:r>
      <w:r w:rsidR="00D97C50" w:rsidRPr="00A9230E">
        <w:rPr>
          <w:sz w:val="22"/>
          <w:szCs w:val="22"/>
          <w:lang w:val="en-GB"/>
        </w:rPr>
        <w:t>than knowledge protection and codification via forma</w:t>
      </w:r>
      <w:r w:rsidR="00CD685C" w:rsidRPr="00A9230E">
        <w:rPr>
          <w:sz w:val="22"/>
          <w:szCs w:val="22"/>
          <w:lang w:val="en-GB"/>
        </w:rPr>
        <w:t>l appropriation mechanisms</w:t>
      </w:r>
      <w:r w:rsidR="00DB7176" w:rsidRPr="00A9230E">
        <w:rPr>
          <w:sz w:val="22"/>
          <w:szCs w:val="22"/>
          <w:lang w:val="en-GB"/>
        </w:rPr>
        <w:t xml:space="preserve"> (as indicated by an insignificant coefficient of depth on formal appropriation)</w:t>
      </w:r>
      <w:r w:rsidR="00D97C50" w:rsidRPr="00A9230E">
        <w:rPr>
          <w:sz w:val="22"/>
          <w:szCs w:val="22"/>
          <w:lang w:val="en-GB"/>
        </w:rPr>
        <w:t xml:space="preserve">. </w:t>
      </w:r>
      <w:r w:rsidR="00560C27" w:rsidRPr="00A9230E">
        <w:rPr>
          <w:sz w:val="22"/>
          <w:szCs w:val="22"/>
          <w:lang w:val="en-GB"/>
        </w:rPr>
        <w:t xml:space="preserve">This finding echoes Hall et al. (2014) who suggest that firms </w:t>
      </w:r>
      <w:r w:rsidR="00F35A89" w:rsidRPr="00A9230E">
        <w:rPr>
          <w:sz w:val="22"/>
          <w:szCs w:val="22"/>
          <w:lang w:val="en-GB"/>
        </w:rPr>
        <w:t xml:space="preserve">tend to </w:t>
      </w:r>
      <w:r w:rsidR="00560C27" w:rsidRPr="00A9230E">
        <w:rPr>
          <w:sz w:val="22"/>
          <w:szCs w:val="22"/>
          <w:lang w:val="en-GB"/>
        </w:rPr>
        <w:t xml:space="preserve">consider informal appropriation mechanisms more important than formal appropriation mechanisms. </w:t>
      </w:r>
      <w:r w:rsidR="00D032A7" w:rsidRPr="00A9230E">
        <w:rPr>
          <w:sz w:val="22"/>
          <w:szCs w:val="22"/>
          <w:lang w:val="en-GB"/>
        </w:rPr>
        <w:t>However, this interpretation needs to be treated with caution, especially since the association between depth and formal appropriation mechanisms does become</w:t>
      </w:r>
      <w:r w:rsidR="00420DB7" w:rsidRPr="00A9230E">
        <w:rPr>
          <w:sz w:val="22"/>
          <w:szCs w:val="22"/>
          <w:lang w:val="en-GB"/>
        </w:rPr>
        <w:t xml:space="preserve"> somewhat</w:t>
      </w:r>
      <w:r w:rsidR="00D032A7" w:rsidRPr="00A9230E">
        <w:rPr>
          <w:sz w:val="22"/>
          <w:szCs w:val="22"/>
          <w:lang w:val="en-GB"/>
        </w:rPr>
        <w:t xml:space="preserve"> significant once multi</w:t>
      </w:r>
      <w:r w:rsidR="0021593F" w:rsidRPr="00A9230E">
        <w:rPr>
          <w:sz w:val="22"/>
          <w:szCs w:val="22"/>
          <w:lang w:val="en-GB"/>
        </w:rPr>
        <w:t>ple waves of the CIS data</w:t>
      </w:r>
      <w:r w:rsidR="00491F95">
        <w:rPr>
          <w:sz w:val="22"/>
          <w:szCs w:val="22"/>
          <w:lang w:val="en-GB"/>
        </w:rPr>
        <w:t xml:space="preserve"> are considered</w:t>
      </w:r>
      <w:r w:rsidR="0021593F" w:rsidRPr="00A9230E">
        <w:rPr>
          <w:sz w:val="22"/>
          <w:szCs w:val="22"/>
          <w:lang w:val="en-GB"/>
        </w:rPr>
        <w:t xml:space="preserve"> (see the A</w:t>
      </w:r>
      <w:r w:rsidR="00D032A7" w:rsidRPr="00A9230E">
        <w:rPr>
          <w:sz w:val="22"/>
          <w:szCs w:val="22"/>
          <w:lang w:val="en-GB"/>
        </w:rPr>
        <w:t xml:space="preserve">ppendix). </w:t>
      </w:r>
    </w:p>
    <w:p w14:paraId="44946028" w14:textId="71F0B7C7" w:rsidR="00A73E34" w:rsidRPr="00A9230E" w:rsidRDefault="00491F95" w:rsidP="00B5729A">
      <w:pPr>
        <w:spacing w:after="200"/>
        <w:ind w:firstLine="720"/>
        <w:contextualSpacing/>
        <w:rPr>
          <w:sz w:val="22"/>
          <w:szCs w:val="22"/>
          <w:lang w:val="en-GB"/>
        </w:rPr>
      </w:pPr>
      <w:r>
        <w:rPr>
          <w:sz w:val="22"/>
          <w:szCs w:val="22"/>
          <w:lang w:val="en-GB"/>
        </w:rPr>
        <w:t>The</w:t>
      </w:r>
      <w:r w:rsidR="00CD685C" w:rsidRPr="00A9230E">
        <w:rPr>
          <w:sz w:val="22"/>
          <w:szCs w:val="22"/>
          <w:lang w:val="en-GB"/>
        </w:rPr>
        <w:t xml:space="preserve"> s</w:t>
      </w:r>
      <w:r w:rsidR="00A73E34" w:rsidRPr="00A9230E">
        <w:rPr>
          <w:sz w:val="22"/>
          <w:szCs w:val="22"/>
          <w:lang w:val="en-GB"/>
        </w:rPr>
        <w:t xml:space="preserve">econd research question concerned the association between firms’ degree of innovativeness and their use of formal and informal appropriation mechanisms. In </w:t>
      </w:r>
      <w:r w:rsidR="00CD685C" w:rsidRPr="00A9230E">
        <w:rPr>
          <w:sz w:val="22"/>
          <w:szCs w:val="22"/>
          <w:lang w:val="en-GB"/>
        </w:rPr>
        <w:t xml:space="preserve">line with prior literature (Dewar &amp; Dutton, 1986; Schmidt &amp; </w:t>
      </w:r>
      <w:proofErr w:type="spellStart"/>
      <w:r w:rsidR="00CD685C" w:rsidRPr="00A9230E">
        <w:rPr>
          <w:sz w:val="22"/>
          <w:szCs w:val="22"/>
          <w:lang w:val="en-GB"/>
        </w:rPr>
        <w:t>Calantone</w:t>
      </w:r>
      <w:proofErr w:type="spellEnd"/>
      <w:r w:rsidR="00CD685C" w:rsidRPr="00A9230E">
        <w:rPr>
          <w:sz w:val="22"/>
          <w:szCs w:val="22"/>
          <w:lang w:val="en-GB"/>
        </w:rPr>
        <w:t xml:space="preserve">, 1998; Garcia &amp; </w:t>
      </w:r>
      <w:proofErr w:type="spellStart"/>
      <w:r w:rsidR="00CD685C" w:rsidRPr="00A9230E">
        <w:rPr>
          <w:sz w:val="22"/>
          <w:szCs w:val="22"/>
          <w:lang w:val="en-GB"/>
        </w:rPr>
        <w:t>Calantone</w:t>
      </w:r>
      <w:proofErr w:type="spellEnd"/>
      <w:r w:rsidR="00CD685C" w:rsidRPr="00A9230E">
        <w:rPr>
          <w:sz w:val="22"/>
          <w:szCs w:val="22"/>
          <w:lang w:val="en-GB"/>
        </w:rPr>
        <w:t>, 2002</w:t>
      </w:r>
      <w:r w:rsidR="00A73E34" w:rsidRPr="00A9230E">
        <w:rPr>
          <w:sz w:val="22"/>
          <w:szCs w:val="22"/>
          <w:lang w:val="en-GB"/>
        </w:rPr>
        <w:t xml:space="preserve">), </w:t>
      </w:r>
      <w:r>
        <w:rPr>
          <w:sz w:val="22"/>
          <w:szCs w:val="22"/>
          <w:lang w:val="en-GB"/>
        </w:rPr>
        <w:t>this study</w:t>
      </w:r>
      <w:r w:rsidR="00A73E34" w:rsidRPr="00A9230E">
        <w:rPr>
          <w:sz w:val="22"/>
          <w:szCs w:val="22"/>
          <w:lang w:val="en-GB"/>
        </w:rPr>
        <w:t xml:space="preserve"> differentiate</w:t>
      </w:r>
      <w:r>
        <w:rPr>
          <w:sz w:val="22"/>
          <w:szCs w:val="22"/>
          <w:lang w:val="en-GB"/>
        </w:rPr>
        <w:t>s</w:t>
      </w:r>
      <w:r w:rsidR="00A73E34" w:rsidRPr="00A9230E">
        <w:rPr>
          <w:sz w:val="22"/>
          <w:szCs w:val="22"/>
          <w:lang w:val="en-GB"/>
        </w:rPr>
        <w:t xml:space="preserve"> between incremental and radical innovation orientation. </w:t>
      </w:r>
      <w:r w:rsidR="00755BBD" w:rsidRPr="00A9230E">
        <w:rPr>
          <w:sz w:val="22"/>
          <w:szCs w:val="22"/>
          <w:lang w:val="en-GB"/>
        </w:rPr>
        <w:t xml:space="preserve">On the one hand, </w:t>
      </w:r>
      <w:r w:rsidR="001F15D9">
        <w:rPr>
          <w:sz w:val="22"/>
          <w:szCs w:val="22"/>
          <w:lang w:val="en-GB"/>
        </w:rPr>
        <w:t>there is</w:t>
      </w:r>
      <w:r w:rsidR="00A73E34" w:rsidRPr="00A9230E">
        <w:rPr>
          <w:sz w:val="22"/>
          <w:szCs w:val="22"/>
          <w:lang w:val="en-GB"/>
        </w:rPr>
        <w:t xml:space="preserve"> support with respect to formal </w:t>
      </w:r>
      <w:r w:rsidR="0021593F" w:rsidRPr="00A9230E">
        <w:rPr>
          <w:sz w:val="22"/>
          <w:szCs w:val="22"/>
          <w:lang w:val="en-GB"/>
        </w:rPr>
        <w:t>appropriation mechanisms that</w:t>
      </w:r>
      <w:r w:rsidR="00A73E34" w:rsidRPr="00A9230E">
        <w:rPr>
          <w:sz w:val="22"/>
          <w:szCs w:val="22"/>
          <w:lang w:val="en-GB"/>
        </w:rPr>
        <w:t xml:space="preserve"> are negatively influenced by a firm’s degree of radical innovation orientation and positively influence</w:t>
      </w:r>
      <w:r w:rsidR="00B5729A" w:rsidRPr="00A9230E">
        <w:rPr>
          <w:sz w:val="22"/>
          <w:szCs w:val="22"/>
          <w:lang w:val="en-GB"/>
        </w:rPr>
        <w:t>d</w:t>
      </w:r>
      <w:r w:rsidR="00A73E34" w:rsidRPr="00A9230E">
        <w:rPr>
          <w:sz w:val="22"/>
          <w:szCs w:val="22"/>
          <w:lang w:val="en-GB"/>
        </w:rPr>
        <w:t xml:space="preserve"> by a firm’s degree of incremental innovation orientation. </w:t>
      </w:r>
      <w:r w:rsidR="00CD685C" w:rsidRPr="00A9230E">
        <w:rPr>
          <w:sz w:val="22"/>
          <w:szCs w:val="22"/>
          <w:lang w:val="en-GB"/>
        </w:rPr>
        <w:t xml:space="preserve">Hence, </w:t>
      </w:r>
      <w:r>
        <w:rPr>
          <w:sz w:val="22"/>
          <w:szCs w:val="22"/>
          <w:lang w:val="en-GB"/>
        </w:rPr>
        <w:t>this study</w:t>
      </w:r>
      <w:r w:rsidR="00CD685C" w:rsidRPr="00A9230E">
        <w:rPr>
          <w:sz w:val="22"/>
          <w:szCs w:val="22"/>
          <w:lang w:val="en-GB"/>
        </w:rPr>
        <w:t xml:space="preserve"> confirm</w:t>
      </w:r>
      <w:r>
        <w:rPr>
          <w:sz w:val="22"/>
          <w:szCs w:val="22"/>
          <w:lang w:val="en-GB"/>
        </w:rPr>
        <w:t>s</w:t>
      </w:r>
      <w:r w:rsidR="00CD685C" w:rsidRPr="00A9230E">
        <w:rPr>
          <w:sz w:val="22"/>
          <w:szCs w:val="22"/>
          <w:lang w:val="en-GB"/>
        </w:rPr>
        <w:t xml:space="preserve"> some of Anton &amp; Yao (2004)</w:t>
      </w:r>
      <w:r w:rsidR="00755BBD" w:rsidRPr="00A9230E">
        <w:rPr>
          <w:sz w:val="22"/>
          <w:szCs w:val="22"/>
          <w:lang w:val="en-GB"/>
        </w:rPr>
        <w:t xml:space="preserve"> and </w:t>
      </w:r>
      <w:proofErr w:type="spellStart"/>
      <w:r w:rsidR="00755BBD" w:rsidRPr="00A9230E">
        <w:rPr>
          <w:sz w:val="22"/>
          <w:szCs w:val="22"/>
          <w:lang w:val="en-GB"/>
        </w:rPr>
        <w:t>Zaby</w:t>
      </w:r>
      <w:r w:rsidR="00CD685C" w:rsidRPr="00A9230E">
        <w:rPr>
          <w:sz w:val="22"/>
          <w:szCs w:val="22"/>
          <w:lang w:val="en-GB"/>
        </w:rPr>
        <w:t>’s</w:t>
      </w:r>
      <w:proofErr w:type="spellEnd"/>
      <w:r w:rsidR="00755BBD" w:rsidRPr="00A9230E">
        <w:rPr>
          <w:sz w:val="22"/>
          <w:szCs w:val="22"/>
          <w:lang w:val="en-GB"/>
        </w:rPr>
        <w:t xml:space="preserve"> (2010)</w:t>
      </w:r>
      <w:r w:rsidR="00CD685C" w:rsidRPr="00A9230E">
        <w:rPr>
          <w:sz w:val="22"/>
          <w:szCs w:val="22"/>
          <w:lang w:val="en-GB"/>
        </w:rPr>
        <w:t xml:space="preserve"> theoretical propositions that radical innovators</w:t>
      </w:r>
      <w:r w:rsidR="00B5729A" w:rsidRPr="00A9230E">
        <w:rPr>
          <w:sz w:val="22"/>
          <w:szCs w:val="22"/>
          <w:lang w:val="en-GB"/>
        </w:rPr>
        <w:t>, somewhat counterintuitively,</w:t>
      </w:r>
      <w:r w:rsidR="00CD685C" w:rsidRPr="00A9230E">
        <w:rPr>
          <w:sz w:val="22"/>
          <w:szCs w:val="22"/>
          <w:lang w:val="en-GB"/>
        </w:rPr>
        <w:t xml:space="preserve"> actually use less formal appropriation mechanisms. As firms are more radical in their innovation orientation, they want to avoid the disclosure of their knowledge via formal appropriation mechanisms</w:t>
      </w:r>
      <w:r w:rsidR="00755BBD" w:rsidRPr="00A9230E">
        <w:rPr>
          <w:sz w:val="22"/>
          <w:szCs w:val="22"/>
          <w:lang w:val="en-GB"/>
        </w:rPr>
        <w:t xml:space="preserve"> and prevent the re-design of their radical innovations (see also </w:t>
      </w:r>
      <w:proofErr w:type="spellStart"/>
      <w:r w:rsidR="00755BBD" w:rsidRPr="00A9230E">
        <w:rPr>
          <w:sz w:val="22"/>
          <w:szCs w:val="22"/>
          <w:lang w:val="en-GB"/>
        </w:rPr>
        <w:t>Langinier</w:t>
      </w:r>
      <w:proofErr w:type="spellEnd"/>
      <w:r w:rsidR="00755BBD" w:rsidRPr="00A9230E">
        <w:rPr>
          <w:sz w:val="22"/>
          <w:szCs w:val="22"/>
          <w:lang w:val="en-GB"/>
        </w:rPr>
        <w:t xml:space="preserve">, 2005; </w:t>
      </w:r>
      <w:proofErr w:type="spellStart"/>
      <w:r w:rsidR="00755BBD" w:rsidRPr="00A9230E">
        <w:rPr>
          <w:sz w:val="22"/>
          <w:szCs w:val="22"/>
          <w:lang w:val="en-GB"/>
        </w:rPr>
        <w:t>Maggazinni</w:t>
      </w:r>
      <w:proofErr w:type="spellEnd"/>
      <w:r w:rsidR="00755BBD" w:rsidRPr="00A9230E">
        <w:rPr>
          <w:sz w:val="22"/>
          <w:szCs w:val="22"/>
          <w:lang w:val="en-GB"/>
        </w:rPr>
        <w:t xml:space="preserve">, </w:t>
      </w:r>
      <w:proofErr w:type="spellStart"/>
      <w:r w:rsidR="00755BBD" w:rsidRPr="00A9230E">
        <w:rPr>
          <w:sz w:val="22"/>
          <w:szCs w:val="22"/>
          <w:lang w:val="en-GB"/>
        </w:rPr>
        <w:t>Pammolli</w:t>
      </w:r>
      <w:proofErr w:type="spellEnd"/>
      <w:r w:rsidR="00755BBD" w:rsidRPr="00A9230E">
        <w:rPr>
          <w:sz w:val="22"/>
          <w:szCs w:val="22"/>
          <w:lang w:val="en-GB"/>
        </w:rPr>
        <w:t xml:space="preserve">, </w:t>
      </w:r>
      <w:proofErr w:type="spellStart"/>
      <w:r w:rsidR="00755BBD" w:rsidRPr="00A9230E">
        <w:rPr>
          <w:sz w:val="22"/>
          <w:szCs w:val="22"/>
          <w:lang w:val="en-GB"/>
        </w:rPr>
        <w:t>Riccaboni</w:t>
      </w:r>
      <w:proofErr w:type="spellEnd"/>
      <w:r w:rsidR="00755BBD" w:rsidRPr="00A9230E">
        <w:rPr>
          <w:sz w:val="22"/>
          <w:szCs w:val="22"/>
          <w:lang w:val="en-GB"/>
        </w:rPr>
        <w:t xml:space="preserve">, &amp; Rossi, 2009; </w:t>
      </w:r>
      <w:proofErr w:type="spellStart"/>
      <w:r w:rsidR="00755BBD" w:rsidRPr="00A9230E">
        <w:rPr>
          <w:sz w:val="22"/>
          <w:szCs w:val="22"/>
          <w:lang w:val="en-GB"/>
        </w:rPr>
        <w:t>Somaya</w:t>
      </w:r>
      <w:proofErr w:type="spellEnd"/>
      <w:r w:rsidR="00755BBD" w:rsidRPr="00A9230E">
        <w:rPr>
          <w:sz w:val="22"/>
          <w:szCs w:val="22"/>
          <w:lang w:val="en-GB"/>
        </w:rPr>
        <w:t>, 2012</w:t>
      </w:r>
      <w:r w:rsidR="0021593F" w:rsidRPr="00A9230E">
        <w:rPr>
          <w:sz w:val="22"/>
          <w:szCs w:val="22"/>
          <w:lang w:val="en-GB"/>
        </w:rPr>
        <w:t>). Yet, as the</w:t>
      </w:r>
      <w:r w:rsidR="00B5729A" w:rsidRPr="00A9230E">
        <w:rPr>
          <w:sz w:val="22"/>
          <w:szCs w:val="22"/>
          <w:lang w:val="en-GB"/>
        </w:rPr>
        <w:t xml:space="preserve"> </w:t>
      </w:r>
      <w:r w:rsidR="00420DB7" w:rsidRPr="00A9230E">
        <w:rPr>
          <w:sz w:val="22"/>
          <w:szCs w:val="22"/>
          <w:lang w:val="en-GB"/>
        </w:rPr>
        <w:t xml:space="preserve">firms’ </w:t>
      </w:r>
      <w:r w:rsidR="00B5729A" w:rsidRPr="00A9230E">
        <w:rPr>
          <w:sz w:val="22"/>
          <w:szCs w:val="22"/>
          <w:lang w:val="en-GB"/>
        </w:rPr>
        <w:t>degree of incremental innovativeness increases, formal appropriation mechanisms</w:t>
      </w:r>
      <w:r w:rsidR="00420DB7" w:rsidRPr="00A9230E">
        <w:rPr>
          <w:sz w:val="22"/>
          <w:szCs w:val="22"/>
          <w:lang w:val="en-GB"/>
        </w:rPr>
        <w:t xml:space="preserve"> become</w:t>
      </w:r>
      <w:r w:rsidR="00B5729A" w:rsidRPr="00A9230E">
        <w:rPr>
          <w:sz w:val="22"/>
          <w:szCs w:val="22"/>
          <w:lang w:val="en-GB"/>
        </w:rPr>
        <w:t xml:space="preserve"> relevant for protecting innovations that are close to existing technological knowledge. </w:t>
      </w:r>
      <w:r w:rsidR="00755BBD" w:rsidRPr="00A9230E">
        <w:rPr>
          <w:sz w:val="22"/>
          <w:szCs w:val="22"/>
          <w:lang w:val="en-GB"/>
        </w:rPr>
        <w:t xml:space="preserve">On the other hand, </w:t>
      </w:r>
      <w:r>
        <w:rPr>
          <w:sz w:val="22"/>
          <w:szCs w:val="22"/>
          <w:lang w:val="en-GB"/>
        </w:rPr>
        <w:t>this study suggests</w:t>
      </w:r>
      <w:r w:rsidR="00A73E34" w:rsidRPr="00A9230E">
        <w:rPr>
          <w:sz w:val="22"/>
          <w:szCs w:val="22"/>
          <w:lang w:val="en-GB"/>
        </w:rPr>
        <w:t xml:space="preserve"> no support</w:t>
      </w:r>
      <w:r w:rsidR="00B5729A" w:rsidRPr="00A9230E">
        <w:rPr>
          <w:sz w:val="22"/>
          <w:szCs w:val="22"/>
          <w:lang w:val="en-GB"/>
        </w:rPr>
        <w:t xml:space="preserve"> with respect</w:t>
      </w:r>
      <w:r w:rsidR="00DB7176" w:rsidRPr="00A9230E">
        <w:rPr>
          <w:sz w:val="22"/>
          <w:szCs w:val="22"/>
          <w:lang w:val="en-GB"/>
        </w:rPr>
        <w:t xml:space="preserve"> to</w:t>
      </w:r>
      <w:r w:rsidR="00B5729A" w:rsidRPr="00A9230E">
        <w:rPr>
          <w:sz w:val="22"/>
          <w:szCs w:val="22"/>
          <w:lang w:val="en-GB"/>
        </w:rPr>
        <w:t xml:space="preserve"> any association between the degree of innovativeness and</w:t>
      </w:r>
      <w:r w:rsidR="00A73E34" w:rsidRPr="00A9230E">
        <w:rPr>
          <w:sz w:val="22"/>
          <w:szCs w:val="22"/>
          <w:lang w:val="en-GB"/>
        </w:rPr>
        <w:t xml:space="preserve"> </w:t>
      </w:r>
      <w:r w:rsidR="00560C27" w:rsidRPr="00A9230E">
        <w:rPr>
          <w:sz w:val="22"/>
          <w:szCs w:val="22"/>
          <w:lang w:val="en-GB"/>
        </w:rPr>
        <w:t xml:space="preserve">the use of </w:t>
      </w:r>
      <w:r w:rsidR="00A73E34" w:rsidRPr="00A9230E">
        <w:rPr>
          <w:sz w:val="22"/>
          <w:szCs w:val="22"/>
          <w:lang w:val="en-GB"/>
        </w:rPr>
        <w:t xml:space="preserve">informal appropriation mechanisms. Neither the degree to which a firm’s innovation orientation is radical nor its incremental innovation </w:t>
      </w:r>
      <w:r w:rsidR="00560C27" w:rsidRPr="00A9230E">
        <w:rPr>
          <w:sz w:val="22"/>
          <w:szCs w:val="22"/>
          <w:lang w:val="en-GB"/>
        </w:rPr>
        <w:t>orientation</w:t>
      </w:r>
      <w:r w:rsidR="00A73E34" w:rsidRPr="00A9230E">
        <w:rPr>
          <w:sz w:val="22"/>
          <w:szCs w:val="22"/>
          <w:lang w:val="en-GB"/>
        </w:rPr>
        <w:t xml:space="preserve"> has any significant association with its </w:t>
      </w:r>
      <w:r w:rsidR="00B5729A" w:rsidRPr="00A9230E">
        <w:rPr>
          <w:sz w:val="22"/>
          <w:szCs w:val="22"/>
          <w:lang w:val="en-GB"/>
        </w:rPr>
        <w:t>use</w:t>
      </w:r>
      <w:r w:rsidR="00A73E34" w:rsidRPr="00A9230E">
        <w:rPr>
          <w:sz w:val="22"/>
          <w:szCs w:val="22"/>
          <w:lang w:val="en-GB"/>
        </w:rPr>
        <w:t xml:space="preserve"> of informal appropriation.  </w:t>
      </w:r>
    </w:p>
    <w:p w14:paraId="79E233C9" w14:textId="0817AE23" w:rsidR="0052421C" w:rsidRPr="00A9230E" w:rsidRDefault="00A73E34" w:rsidP="00D032A7">
      <w:pPr>
        <w:spacing w:after="200"/>
        <w:ind w:firstLine="720"/>
        <w:contextualSpacing/>
        <w:rPr>
          <w:sz w:val="22"/>
          <w:szCs w:val="22"/>
          <w:lang w:val="en-GB"/>
        </w:rPr>
      </w:pPr>
      <w:r w:rsidRPr="00A9230E">
        <w:rPr>
          <w:sz w:val="22"/>
          <w:szCs w:val="22"/>
          <w:lang w:val="en-GB"/>
        </w:rPr>
        <w:t xml:space="preserve">Despite these mixed findings, a firm’s degree of innovativeness still matters </w:t>
      </w:r>
      <w:r w:rsidR="00D731E5">
        <w:rPr>
          <w:sz w:val="22"/>
          <w:szCs w:val="22"/>
          <w:lang w:val="en-GB"/>
        </w:rPr>
        <w:t xml:space="preserve">for </w:t>
      </w:r>
      <w:r w:rsidRPr="00A9230E">
        <w:rPr>
          <w:sz w:val="22"/>
          <w:szCs w:val="22"/>
          <w:lang w:val="en-GB"/>
        </w:rPr>
        <w:t xml:space="preserve">both formal and informal appropriation mechanisms. This is highlighted in </w:t>
      </w:r>
      <w:r w:rsidR="00E93A80">
        <w:rPr>
          <w:sz w:val="22"/>
          <w:szCs w:val="22"/>
          <w:lang w:val="en-GB"/>
        </w:rPr>
        <w:t>the</w:t>
      </w:r>
      <w:r w:rsidRPr="00A9230E">
        <w:rPr>
          <w:sz w:val="22"/>
          <w:szCs w:val="22"/>
          <w:lang w:val="en-GB"/>
        </w:rPr>
        <w:t xml:space="preserve"> findings</w:t>
      </w:r>
      <w:r w:rsidR="00F35A89" w:rsidRPr="00A9230E">
        <w:rPr>
          <w:sz w:val="22"/>
          <w:szCs w:val="22"/>
          <w:lang w:val="en-GB"/>
        </w:rPr>
        <w:t xml:space="preserve"> concerning </w:t>
      </w:r>
      <w:r w:rsidR="00E93A80">
        <w:rPr>
          <w:sz w:val="22"/>
          <w:szCs w:val="22"/>
          <w:lang w:val="en-GB"/>
        </w:rPr>
        <w:t>the</w:t>
      </w:r>
      <w:r w:rsidR="00F35A89" w:rsidRPr="00A9230E">
        <w:rPr>
          <w:sz w:val="22"/>
          <w:szCs w:val="22"/>
          <w:lang w:val="en-GB"/>
        </w:rPr>
        <w:t xml:space="preserve"> third </w:t>
      </w:r>
      <w:r w:rsidR="00892492">
        <w:rPr>
          <w:sz w:val="22"/>
          <w:szCs w:val="22"/>
          <w:lang w:val="en-GB"/>
        </w:rPr>
        <w:lastRenderedPageBreak/>
        <w:t>research question that addressed</w:t>
      </w:r>
      <w:r w:rsidRPr="00A9230E">
        <w:rPr>
          <w:sz w:val="22"/>
          <w:szCs w:val="22"/>
          <w:lang w:val="en-GB"/>
        </w:rPr>
        <w:t xml:space="preserve"> </w:t>
      </w:r>
      <w:r w:rsidR="00B5729A" w:rsidRPr="00A9230E">
        <w:rPr>
          <w:sz w:val="22"/>
          <w:szCs w:val="22"/>
          <w:lang w:val="en-GB"/>
        </w:rPr>
        <w:t xml:space="preserve">the </w:t>
      </w:r>
      <w:r w:rsidR="00B5729A" w:rsidRPr="00892492">
        <w:rPr>
          <w:sz w:val="22"/>
          <w:szCs w:val="22"/>
          <w:lang w:val="en-GB"/>
        </w:rPr>
        <w:t xml:space="preserve">joint </w:t>
      </w:r>
      <w:r w:rsidR="00C259D9" w:rsidRPr="00892492">
        <w:rPr>
          <w:sz w:val="22"/>
          <w:szCs w:val="22"/>
          <w:lang w:val="en-GB"/>
        </w:rPr>
        <w:t>influence</w:t>
      </w:r>
      <w:r w:rsidR="00B5729A" w:rsidRPr="00892492">
        <w:rPr>
          <w:sz w:val="22"/>
          <w:szCs w:val="22"/>
          <w:lang w:val="en-GB"/>
        </w:rPr>
        <w:t xml:space="preserve"> of openness and innovativeness on formal and informal appropria</w:t>
      </w:r>
      <w:r w:rsidR="008C693C" w:rsidRPr="00892492">
        <w:rPr>
          <w:sz w:val="22"/>
          <w:szCs w:val="22"/>
          <w:lang w:val="en-GB"/>
        </w:rPr>
        <w:t xml:space="preserve">tion mechanisms. </w:t>
      </w:r>
      <w:r w:rsidR="008C693C">
        <w:rPr>
          <w:sz w:val="22"/>
          <w:szCs w:val="22"/>
          <w:lang w:val="en-GB"/>
        </w:rPr>
        <w:t>In particular,</w:t>
      </w:r>
      <w:r w:rsidR="00B5729A" w:rsidRPr="00A9230E">
        <w:rPr>
          <w:sz w:val="22"/>
          <w:szCs w:val="22"/>
          <w:lang w:val="en-GB"/>
        </w:rPr>
        <w:t xml:space="preserve"> </w:t>
      </w:r>
      <w:r w:rsidR="00491F95">
        <w:rPr>
          <w:sz w:val="22"/>
          <w:szCs w:val="22"/>
          <w:lang w:val="en-GB"/>
        </w:rPr>
        <w:t xml:space="preserve">the results demonstrate </w:t>
      </w:r>
      <w:r w:rsidR="00B5729A" w:rsidRPr="00A9230E">
        <w:rPr>
          <w:sz w:val="22"/>
          <w:szCs w:val="22"/>
          <w:lang w:val="en-GB"/>
        </w:rPr>
        <w:t xml:space="preserve">significant associations between openness and informal (as well as formal) appropriation mechanisms, once </w:t>
      </w:r>
      <w:r w:rsidR="00491F95">
        <w:rPr>
          <w:sz w:val="22"/>
          <w:szCs w:val="22"/>
          <w:lang w:val="en-GB"/>
        </w:rPr>
        <w:t xml:space="preserve">the analysis </w:t>
      </w:r>
      <w:r w:rsidR="00B5729A" w:rsidRPr="00A9230E">
        <w:rPr>
          <w:sz w:val="22"/>
          <w:szCs w:val="22"/>
          <w:lang w:val="en-GB"/>
        </w:rPr>
        <w:t>differentiate</w:t>
      </w:r>
      <w:r w:rsidR="00491F95">
        <w:rPr>
          <w:sz w:val="22"/>
          <w:szCs w:val="22"/>
          <w:lang w:val="en-GB"/>
        </w:rPr>
        <w:t>s</w:t>
      </w:r>
      <w:r w:rsidR="00B5729A" w:rsidRPr="00A9230E">
        <w:rPr>
          <w:sz w:val="22"/>
          <w:szCs w:val="22"/>
          <w:lang w:val="en-GB"/>
        </w:rPr>
        <w:t xml:space="preserve"> between radical and incremental innovators.</w:t>
      </w:r>
      <w:r w:rsidRPr="00A9230E">
        <w:rPr>
          <w:sz w:val="22"/>
          <w:szCs w:val="22"/>
          <w:lang w:val="en-GB"/>
        </w:rPr>
        <w:t xml:space="preserve"> </w:t>
      </w:r>
      <w:r w:rsidR="00B5729A" w:rsidRPr="00A9230E">
        <w:rPr>
          <w:sz w:val="22"/>
          <w:szCs w:val="22"/>
          <w:lang w:val="en-GB"/>
        </w:rPr>
        <w:t xml:space="preserve">As hypothesized, for radical innovators it is external search breadth (rather than external search depth) that has a </w:t>
      </w:r>
      <w:r w:rsidR="00560C27" w:rsidRPr="00A9230E">
        <w:rPr>
          <w:sz w:val="22"/>
          <w:szCs w:val="22"/>
          <w:lang w:val="en-GB"/>
        </w:rPr>
        <w:t xml:space="preserve">significant </w:t>
      </w:r>
      <w:r w:rsidR="00B5729A" w:rsidRPr="00A9230E">
        <w:rPr>
          <w:sz w:val="22"/>
          <w:szCs w:val="22"/>
          <w:lang w:val="en-GB"/>
        </w:rPr>
        <w:t>positive</w:t>
      </w:r>
      <w:r w:rsidR="00420DB7" w:rsidRPr="00A9230E">
        <w:rPr>
          <w:sz w:val="22"/>
          <w:szCs w:val="22"/>
          <w:lang w:val="en-GB"/>
        </w:rPr>
        <w:t xml:space="preserve"> association with</w:t>
      </w:r>
      <w:r w:rsidR="00B5729A" w:rsidRPr="00A9230E">
        <w:rPr>
          <w:sz w:val="22"/>
          <w:szCs w:val="22"/>
          <w:lang w:val="en-GB"/>
        </w:rPr>
        <w:t xml:space="preserve"> the use of informal appropriation mechanisms.</w:t>
      </w:r>
      <w:r w:rsidR="0052421C" w:rsidRPr="00A9230E">
        <w:rPr>
          <w:sz w:val="22"/>
          <w:szCs w:val="22"/>
          <w:lang w:val="en-GB"/>
        </w:rPr>
        <w:t xml:space="preserve"> When radical innovators </w:t>
      </w:r>
      <w:r w:rsidR="00DE044A">
        <w:rPr>
          <w:sz w:val="22"/>
          <w:szCs w:val="22"/>
          <w:lang w:val="en-GB"/>
        </w:rPr>
        <w:t>search across a broad range of external partners</w:t>
      </w:r>
      <w:r w:rsidR="0052421C" w:rsidRPr="00A9230E">
        <w:rPr>
          <w:sz w:val="22"/>
          <w:szCs w:val="22"/>
          <w:lang w:val="en-GB"/>
        </w:rPr>
        <w:t xml:space="preserve"> with different backgrounds (e.g. with firms, universities, and technology institutions), it is difficult for partners to acquire knowledge and the risk of unintended appropriation is relatively low. Under these conditions, firms that are active in open innovation and that can be characterized as radical innovators are found to use informal appropriation mechanisms such as secrecy, lead-time, and product complexity. These findings and insights qualify propositions by </w:t>
      </w:r>
      <w:proofErr w:type="spellStart"/>
      <w:r w:rsidR="0052421C" w:rsidRPr="00A9230E">
        <w:rPr>
          <w:sz w:val="22"/>
          <w:szCs w:val="22"/>
          <w:lang w:val="en-GB"/>
        </w:rPr>
        <w:t>Zaby</w:t>
      </w:r>
      <w:proofErr w:type="spellEnd"/>
      <w:r w:rsidR="0052421C" w:rsidRPr="00A9230E">
        <w:rPr>
          <w:sz w:val="22"/>
          <w:szCs w:val="22"/>
          <w:lang w:val="en-GB"/>
        </w:rPr>
        <w:t xml:space="preserve"> (2010) who suggested a positive association between radical innovation and informal appropriation. </w:t>
      </w:r>
      <w:r w:rsidR="00DB7176" w:rsidRPr="00A9230E">
        <w:rPr>
          <w:sz w:val="22"/>
          <w:szCs w:val="22"/>
          <w:lang w:val="en-GB"/>
        </w:rPr>
        <w:t xml:space="preserve">Complementing prior research, </w:t>
      </w:r>
      <w:r w:rsidR="00E93A80">
        <w:rPr>
          <w:sz w:val="22"/>
          <w:szCs w:val="22"/>
          <w:lang w:val="en-GB"/>
        </w:rPr>
        <w:t>the</w:t>
      </w:r>
      <w:r w:rsidR="00DB7176" w:rsidRPr="00A9230E">
        <w:rPr>
          <w:sz w:val="22"/>
          <w:szCs w:val="22"/>
          <w:lang w:val="en-GB"/>
        </w:rPr>
        <w:t xml:space="preserve"> results </w:t>
      </w:r>
      <w:r w:rsidR="00E93A80">
        <w:rPr>
          <w:sz w:val="22"/>
          <w:szCs w:val="22"/>
          <w:lang w:val="en-GB"/>
        </w:rPr>
        <w:t xml:space="preserve">of this study </w:t>
      </w:r>
      <w:r w:rsidR="00DB7176" w:rsidRPr="00A9230E">
        <w:rPr>
          <w:sz w:val="22"/>
          <w:szCs w:val="22"/>
          <w:lang w:val="en-GB"/>
        </w:rPr>
        <w:t>suggest</w:t>
      </w:r>
      <w:r w:rsidR="0052421C" w:rsidRPr="00A9230E">
        <w:rPr>
          <w:sz w:val="22"/>
          <w:szCs w:val="22"/>
          <w:lang w:val="en-GB"/>
        </w:rPr>
        <w:t xml:space="preserve"> that it is not the degree of radical innovation orientation per se </w:t>
      </w:r>
      <w:r w:rsidR="0052421C" w:rsidRPr="00892492">
        <w:rPr>
          <w:sz w:val="22"/>
          <w:szCs w:val="22"/>
          <w:lang w:val="en-GB"/>
        </w:rPr>
        <w:t xml:space="preserve">that </w:t>
      </w:r>
      <w:r w:rsidR="00C259D9" w:rsidRPr="00892492">
        <w:rPr>
          <w:sz w:val="22"/>
          <w:szCs w:val="22"/>
          <w:lang w:val="en-GB"/>
        </w:rPr>
        <w:t>impacts</w:t>
      </w:r>
      <w:r w:rsidR="00DB7176" w:rsidRPr="00892492">
        <w:rPr>
          <w:sz w:val="22"/>
          <w:szCs w:val="22"/>
          <w:lang w:val="en-GB"/>
        </w:rPr>
        <w:t xml:space="preserve"> the use of </w:t>
      </w:r>
      <w:r w:rsidR="0052421C" w:rsidRPr="00892492">
        <w:rPr>
          <w:sz w:val="22"/>
          <w:szCs w:val="22"/>
          <w:lang w:val="en-GB"/>
        </w:rPr>
        <w:t xml:space="preserve">informal appropriation, but that the degree of radical innovation orientation and the </w:t>
      </w:r>
      <w:r w:rsidR="0052421C" w:rsidRPr="00A9230E">
        <w:rPr>
          <w:sz w:val="22"/>
          <w:szCs w:val="22"/>
          <w:lang w:val="en-GB"/>
        </w:rPr>
        <w:t xml:space="preserve">firm’s external search </w:t>
      </w:r>
      <w:r w:rsidR="00D032A7" w:rsidRPr="00A9230E">
        <w:rPr>
          <w:sz w:val="22"/>
          <w:szCs w:val="22"/>
          <w:lang w:val="en-GB"/>
        </w:rPr>
        <w:t>breadth</w:t>
      </w:r>
      <w:r w:rsidR="0052421C" w:rsidRPr="00A9230E">
        <w:rPr>
          <w:sz w:val="22"/>
          <w:szCs w:val="22"/>
          <w:lang w:val="en-GB"/>
        </w:rPr>
        <w:t xml:space="preserve"> interact in their influence on</w:t>
      </w:r>
      <w:r w:rsidR="00560C27" w:rsidRPr="00A9230E">
        <w:rPr>
          <w:sz w:val="22"/>
          <w:szCs w:val="22"/>
          <w:lang w:val="en-GB"/>
        </w:rPr>
        <w:t xml:space="preserve"> the use of</w:t>
      </w:r>
      <w:r w:rsidR="0052421C" w:rsidRPr="00A9230E">
        <w:rPr>
          <w:sz w:val="22"/>
          <w:szCs w:val="22"/>
          <w:lang w:val="en-GB"/>
        </w:rPr>
        <w:t xml:space="preserve"> informal appropriation mechanisms.</w:t>
      </w:r>
    </w:p>
    <w:p w14:paraId="554FC9B1" w14:textId="6D852C96" w:rsidR="00DB7176" w:rsidRPr="00A9230E" w:rsidRDefault="00B5729A" w:rsidP="00DB7176">
      <w:pPr>
        <w:spacing w:after="200"/>
        <w:ind w:firstLine="720"/>
        <w:contextualSpacing/>
        <w:rPr>
          <w:sz w:val="22"/>
          <w:szCs w:val="22"/>
          <w:lang w:val="en-GB"/>
        </w:rPr>
      </w:pPr>
      <w:r w:rsidRPr="00A9230E">
        <w:rPr>
          <w:sz w:val="22"/>
          <w:szCs w:val="22"/>
          <w:lang w:val="en-GB"/>
        </w:rPr>
        <w:t>Interestingly</w:t>
      </w:r>
      <w:r w:rsidR="00D032A7" w:rsidRPr="00A9230E">
        <w:rPr>
          <w:sz w:val="22"/>
          <w:szCs w:val="22"/>
          <w:lang w:val="en-GB"/>
        </w:rPr>
        <w:t xml:space="preserve">, </w:t>
      </w:r>
      <w:r w:rsidR="00491F95">
        <w:rPr>
          <w:sz w:val="22"/>
          <w:szCs w:val="22"/>
          <w:lang w:val="en-GB"/>
        </w:rPr>
        <w:t xml:space="preserve">there is also a </w:t>
      </w:r>
      <w:r w:rsidR="00D032A7" w:rsidRPr="00A9230E">
        <w:rPr>
          <w:sz w:val="22"/>
          <w:szCs w:val="22"/>
          <w:lang w:val="en-GB"/>
        </w:rPr>
        <w:t xml:space="preserve">positive association between external search breadth and informal appropriation mechanisms in the case of incremental innovators. </w:t>
      </w:r>
      <w:r w:rsidR="001F15D9">
        <w:rPr>
          <w:sz w:val="22"/>
          <w:szCs w:val="22"/>
          <w:lang w:val="en-GB"/>
        </w:rPr>
        <w:t>The theoretical framework of this study suggested</w:t>
      </w:r>
      <w:r w:rsidR="00DB7176" w:rsidRPr="00A9230E">
        <w:rPr>
          <w:sz w:val="22"/>
          <w:szCs w:val="22"/>
          <w:lang w:val="en-GB"/>
        </w:rPr>
        <w:t xml:space="preserve"> that for incremental innovators informal appropriation mechanisms are irrelevant, since their innovation knowledge is closely related to the state-of the-art and, therefore, difficult to protect by lead-time, secrecy, or complexity. </w:t>
      </w:r>
      <w:r w:rsidR="00560C27" w:rsidRPr="00A9230E">
        <w:rPr>
          <w:sz w:val="22"/>
          <w:szCs w:val="22"/>
          <w:lang w:val="en-GB"/>
        </w:rPr>
        <w:t>Yet</w:t>
      </w:r>
      <w:r w:rsidR="00DB7176" w:rsidRPr="00A9230E">
        <w:rPr>
          <w:sz w:val="22"/>
          <w:szCs w:val="22"/>
          <w:lang w:val="en-GB"/>
        </w:rPr>
        <w:t xml:space="preserve">, </w:t>
      </w:r>
      <w:r w:rsidR="00491F95">
        <w:rPr>
          <w:sz w:val="22"/>
          <w:szCs w:val="22"/>
          <w:lang w:val="en-GB"/>
        </w:rPr>
        <w:t>the</w:t>
      </w:r>
      <w:r w:rsidR="00DB7176" w:rsidRPr="00A9230E">
        <w:rPr>
          <w:sz w:val="22"/>
          <w:szCs w:val="22"/>
          <w:lang w:val="en-GB"/>
        </w:rPr>
        <w:t xml:space="preserve"> findings seem to suggest that when incremental innovators search broadly across external knowledge source</w:t>
      </w:r>
      <w:r w:rsidR="00C12102">
        <w:rPr>
          <w:sz w:val="22"/>
          <w:szCs w:val="22"/>
          <w:lang w:val="en-GB"/>
        </w:rPr>
        <w:t>s</w:t>
      </w:r>
      <w:r w:rsidR="00DB7176" w:rsidRPr="00A9230E">
        <w:rPr>
          <w:sz w:val="22"/>
          <w:szCs w:val="22"/>
          <w:lang w:val="en-GB"/>
        </w:rPr>
        <w:t xml:space="preserve"> they still find it useful to implement such informal appropriation mechanisms. </w:t>
      </w:r>
      <w:r w:rsidR="00F35A89" w:rsidRPr="00A9230E">
        <w:rPr>
          <w:sz w:val="22"/>
          <w:szCs w:val="22"/>
          <w:lang w:val="en-GB"/>
        </w:rPr>
        <w:t xml:space="preserve">Further research is required to identify the underlying mechanisms that explain the association between external search breadth and informal appropriation mechanisms in the context of incremental innovators. </w:t>
      </w:r>
    </w:p>
    <w:p w14:paraId="2770E190" w14:textId="40506C92" w:rsidR="00C065CF" w:rsidRDefault="00D032A7" w:rsidP="00C065CF">
      <w:pPr>
        <w:spacing w:after="200"/>
        <w:ind w:firstLine="720"/>
        <w:contextualSpacing/>
        <w:rPr>
          <w:sz w:val="22"/>
          <w:szCs w:val="22"/>
          <w:lang w:val="en-GB"/>
        </w:rPr>
      </w:pPr>
      <w:r w:rsidRPr="00A9230E">
        <w:rPr>
          <w:sz w:val="22"/>
          <w:szCs w:val="22"/>
          <w:lang w:val="en-GB"/>
        </w:rPr>
        <w:t xml:space="preserve"> </w:t>
      </w:r>
      <w:r w:rsidR="00F52D84">
        <w:rPr>
          <w:sz w:val="22"/>
          <w:szCs w:val="22"/>
          <w:lang w:val="en-GB"/>
        </w:rPr>
        <w:t>B</w:t>
      </w:r>
      <w:r w:rsidRPr="00A9230E">
        <w:rPr>
          <w:sz w:val="22"/>
          <w:szCs w:val="22"/>
          <w:lang w:val="en-GB"/>
        </w:rPr>
        <w:t>readth of search openness is more important for incremental innovators, while depth of search openness is more important for radical innovators</w:t>
      </w:r>
      <w:r w:rsidR="00F52D84">
        <w:rPr>
          <w:sz w:val="22"/>
          <w:szCs w:val="22"/>
          <w:lang w:val="en-GB"/>
        </w:rPr>
        <w:t xml:space="preserve"> for determining their use of formal appropriation mechanisms</w:t>
      </w:r>
      <w:r w:rsidRPr="00A9230E">
        <w:rPr>
          <w:sz w:val="22"/>
          <w:szCs w:val="22"/>
          <w:lang w:val="en-GB"/>
        </w:rPr>
        <w:t xml:space="preserve">. It turns out that it is in particular the breadth, rather than the depth of search </w:t>
      </w:r>
      <w:r w:rsidRPr="00A9230E">
        <w:rPr>
          <w:sz w:val="22"/>
          <w:szCs w:val="22"/>
          <w:lang w:val="en-GB"/>
        </w:rPr>
        <w:lastRenderedPageBreak/>
        <w:t xml:space="preserve">openness, that generates an appropriation risk for incremental innovators that is countered by formal appropriation mechanisms. Given that the innovative distance between incremental innovators and their partners is already small, increased depth of search openness does not offer any additional motivations for using formal appropriation mechanisms. </w:t>
      </w:r>
      <w:r w:rsidR="00560C27" w:rsidRPr="00A9230E">
        <w:rPr>
          <w:sz w:val="22"/>
          <w:szCs w:val="22"/>
          <w:lang w:val="en-GB"/>
        </w:rPr>
        <w:t>Oppositely, when</w:t>
      </w:r>
      <w:r w:rsidRPr="00A9230E">
        <w:rPr>
          <w:sz w:val="22"/>
          <w:szCs w:val="22"/>
          <w:lang w:val="en-GB"/>
        </w:rPr>
        <w:t xml:space="preserve"> radical innovators enter </w:t>
      </w:r>
      <w:r w:rsidR="00DE044A">
        <w:rPr>
          <w:sz w:val="22"/>
          <w:szCs w:val="22"/>
          <w:lang w:val="en-GB"/>
        </w:rPr>
        <w:t>into in-depth search processes across external partners</w:t>
      </w:r>
      <w:r w:rsidRPr="00A9230E">
        <w:rPr>
          <w:sz w:val="22"/>
          <w:szCs w:val="22"/>
          <w:lang w:val="en-GB"/>
        </w:rPr>
        <w:t xml:space="preserve"> and there is an increased risk of unintended knowledge transfer, appropriation concerns are apparently translated into an increasing use of formal appropriation mechanisms.</w:t>
      </w:r>
    </w:p>
    <w:p w14:paraId="3EE3A48E" w14:textId="0F802640" w:rsidR="00721E00" w:rsidRDefault="00D032A7" w:rsidP="00721E00">
      <w:pPr>
        <w:spacing w:after="200"/>
        <w:ind w:firstLine="720"/>
        <w:contextualSpacing/>
        <w:rPr>
          <w:sz w:val="22"/>
          <w:szCs w:val="22"/>
          <w:lang w:val="en-GB"/>
        </w:rPr>
      </w:pPr>
      <w:r w:rsidRPr="00A9230E">
        <w:rPr>
          <w:sz w:val="22"/>
          <w:szCs w:val="22"/>
          <w:lang w:val="en-GB"/>
        </w:rPr>
        <w:t xml:space="preserve">In sum, </w:t>
      </w:r>
      <w:r w:rsidR="00491F95">
        <w:rPr>
          <w:sz w:val="22"/>
          <w:szCs w:val="22"/>
          <w:lang w:val="en-GB"/>
        </w:rPr>
        <w:t xml:space="preserve">this study suggests </w:t>
      </w:r>
      <w:r w:rsidR="00892492">
        <w:rPr>
          <w:sz w:val="22"/>
          <w:szCs w:val="22"/>
          <w:lang w:val="en-GB"/>
        </w:rPr>
        <w:t xml:space="preserve">that </w:t>
      </w:r>
      <w:r w:rsidRPr="00A9230E">
        <w:rPr>
          <w:sz w:val="22"/>
          <w:szCs w:val="22"/>
          <w:lang w:val="en-GB"/>
        </w:rPr>
        <w:t>t</w:t>
      </w:r>
      <w:r w:rsidR="00A73E34" w:rsidRPr="00A9230E">
        <w:rPr>
          <w:sz w:val="22"/>
          <w:szCs w:val="22"/>
          <w:lang w:val="en-GB"/>
        </w:rPr>
        <w:t xml:space="preserve">he role of search breadth and depth differs between radical and incremental innovators. This differentiation of firms in terms of both the breadth and depth of their search openness as well as their role as incremental or radical </w:t>
      </w:r>
      <w:proofErr w:type="gramStart"/>
      <w:r w:rsidR="00A73E34" w:rsidRPr="00A9230E">
        <w:rPr>
          <w:sz w:val="22"/>
          <w:szCs w:val="22"/>
          <w:lang w:val="en-GB"/>
        </w:rPr>
        <w:t>innovators,</w:t>
      </w:r>
      <w:proofErr w:type="gramEnd"/>
      <w:r w:rsidR="00A73E34" w:rsidRPr="00A9230E">
        <w:rPr>
          <w:sz w:val="22"/>
          <w:szCs w:val="22"/>
          <w:lang w:val="en-GB"/>
        </w:rPr>
        <w:t xml:space="preserve"> enables a new and more fine-grained analysis of the degree to which firms use formal and inf</w:t>
      </w:r>
      <w:r w:rsidR="00C12102">
        <w:rPr>
          <w:sz w:val="22"/>
          <w:szCs w:val="22"/>
          <w:lang w:val="en-GB"/>
        </w:rPr>
        <w:t>ormal appropriation mechanisms.</w:t>
      </w:r>
      <w:r w:rsidR="00C065CF">
        <w:rPr>
          <w:sz w:val="22"/>
          <w:szCs w:val="22"/>
          <w:lang w:val="en-GB"/>
        </w:rPr>
        <w:t xml:space="preserve"> Interestingly the strategic innovative choices – in terms of external search openness and degree of innovativeness – are more relevant for determining firms’ use of formal and informal appropriation than external factors – such as industry affiliation – or more general firm characteristics, such as size, level of R&amp;D e</w:t>
      </w:r>
      <w:r w:rsidR="00721E00">
        <w:rPr>
          <w:sz w:val="22"/>
          <w:szCs w:val="22"/>
          <w:lang w:val="en-GB"/>
        </w:rPr>
        <w:t xml:space="preserve">ngagement, and group affiliation. </w:t>
      </w:r>
    </w:p>
    <w:p w14:paraId="14C096FA" w14:textId="52871EA4" w:rsidR="00930B4F" w:rsidRPr="00F23265" w:rsidRDefault="00930B4F" w:rsidP="008C693C">
      <w:pPr>
        <w:spacing w:after="200"/>
        <w:contextualSpacing/>
        <w:rPr>
          <w:b/>
          <w:sz w:val="22"/>
          <w:szCs w:val="22"/>
          <w:lang w:val="en-GB"/>
        </w:rPr>
      </w:pPr>
      <w:r w:rsidRPr="001F15D9">
        <w:rPr>
          <w:b/>
          <w:sz w:val="22"/>
          <w:szCs w:val="22"/>
          <w:lang w:val="en-GB"/>
        </w:rPr>
        <w:t xml:space="preserve">5.2 </w:t>
      </w:r>
      <w:r w:rsidRPr="00F23265">
        <w:rPr>
          <w:b/>
          <w:sz w:val="22"/>
          <w:szCs w:val="22"/>
          <w:lang w:val="en-GB"/>
        </w:rPr>
        <w:t xml:space="preserve">Practical Implications </w:t>
      </w:r>
    </w:p>
    <w:p w14:paraId="70919039" w14:textId="50019ECE" w:rsidR="00830400" w:rsidRPr="00F23265" w:rsidRDefault="00E93A80" w:rsidP="00A62A0B">
      <w:pPr>
        <w:spacing w:after="200"/>
        <w:ind w:firstLine="720"/>
        <w:contextualSpacing/>
        <w:rPr>
          <w:sz w:val="22"/>
          <w:szCs w:val="22"/>
          <w:lang w:val="en-GB"/>
        </w:rPr>
      </w:pPr>
      <w:r w:rsidRPr="00F23265">
        <w:rPr>
          <w:sz w:val="22"/>
          <w:szCs w:val="22"/>
          <w:lang w:val="en-GB"/>
        </w:rPr>
        <w:t>The</w:t>
      </w:r>
      <w:r w:rsidR="00CD2C8E" w:rsidRPr="00F23265">
        <w:rPr>
          <w:sz w:val="22"/>
          <w:szCs w:val="22"/>
          <w:lang w:val="en-GB"/>
        </w:rPr>
        <w:t xml:space="preserve"> findings</w:t>
      </w:r>
      <w:r w:rsidRPr="00F23265">
        <w:rPr>
          <w:sz w:val="22"/>
          <w:szCs w:val="22"/>
          <w:lang w:val="en-GB"/>
        </w:rPr>
        <w:t xml:space="preserve"> of this study</w:t>
      </w:r>
      <w:r w:rsidR="00CD2C8E" w:rsidRPr="00F23265">
        <w:rPr>
          <w:sz w:val="22"/>
          <w:szCs w:val="22"/>
          <w:lang w:val="en-GB"/>
        </w:rPr>
        <w:t xml:space="preserve"> indicate a number of imp</w:t>
      </w:r>
      <w:r w:rsidR="00F4319E" w:rsidRPr="00F23265">
        <w:rPr>
          <w:sz w:val="22"/>
          <w:szCs w:val="22"/>
          <w:lang w:val="en-GB"/>
        </w:rPr>
        <w:t xml:space="preserve">ortant managerial implications. </w:t>
      </w:r>
      <w:r w:rsidR="00BA65F4" w:rsidRPr="00F23265">
        <w:rPr>
          <w:sz w:val="22"/>
          <w:szCs w:val="22"/>
          <w:lang w:val="en-GB"/>
        </w:rPr>
        <w:t>First</w:t>
      </w:r>
      <w:r w:rsidR="00F4319E" w:rsidRPr="00F23265">
        <w:rPr>
          <w:sz w:val="22"/>
          <w:szCs w:val="22"/>
          <w:lang w:val="en-GB"/>
        </w:rPr>
        <w:t xml:space="preserve">, the results displayed in table 5 can serve as a helpful template for managers deciding on the firms’ use of formal and informal appropriation strategies. </w:t>
      </w:r>
      <w:r w:rsidR="00A62A0B" w:rsidRPr="00F23265">
        <w:rPr>
          <w:sz w:val="22"/>
          <w:szCs w:val="22"/>
          <w:lang w:val="en-GB"/>
        </w:rPr>
        <w:t xml:space="preserve">The table shows how the openness in innovation and the overall innovativeness of firms constitute important factors in the implementation of formal and informal appropriation mechanisms. </w:t>
      </w:r>
    </w:p>
    <w:p w14:paraId="398EB799" w14:textId="4A7E0E2B" w:rsidR="00CD2C8E" w:rsidRPr="00A9230E" w:rsidRDefault="00A62A0B" w:rsidP="00721E00">
      <w:pPr>
        <w:spacing w:after="200"/>
        <w:ind w:firstLine="720"/>
        <w:contextualSpacing/>
        <w:rPr>
          <w:sz w:val="22"/>
          <w:szCs w:val="22"/>
          <w:lang w:val="en-GB"/>
        </w:rPr>
      </w:pPr>
      <w:r w:rsidRPr="00F23265">
        <w:rPr>
          <w:sz w:val="22"/>
          <w:szCs w:val="22"/>
          <w:lang w:val="en-GB"/>
        </w:rPr>
        <w:t xml:space="preserve">Second, the results are informative for understanding appropriation strategies of competitors and potential partners. </w:t>
      </w:r>
      <w:r w:rsidR="00CD2C8E" w:rsidRPr="00F23265">
        <w:rPr>
          <w:sz w:val="22"/>
          <w:szCs w:val="22"/>
          <w:lang w:val="en-GB"/>
        </w:rPr>
        <w:t xml:space="preserve">The </w:t>
      </w:r>
      <w:r w:rsidR="00CD2C8E" w:rsidRPr="00A9230E">
        <w:rPr>
          <w:sz w:val="22"/>
          <w:szCs w:val="22"/>
          <w:lang w:val="en-GB"/>
        </w:rPr>
        <w:t>more firms are characterized as radical innovators, i.e. highly innovative firms, the more they will find that their peers, i.e. firms with similar characteristics, use patents, trademarks, copyrights, and design rights to protect their new products and technologies when they enter into close cooperation with innovation partners. Given the appropriation risks that come with in-depth cooperation, the use of these formal appropriation mechanisms seems necessary for radical innovators to protect their innovative capabilities. For these radical innovators, appropriat</w:t>
      </w:r>
      <w:r w:rsidR="00DE044A">
        <w:rPr>
          <w:sz w:val="22"/>
          <w:szCs w:val="22"/>
          <w:lang w:val="en-GB"/>
        </w:rPr>
        <w:t xml:space="preserve">ion risks seem </w:t>
      </w:r>
      <w:r w:rsidR="00DE044A">
        <w:rPr>
          <w:sz w:val="22"/>
          <w:szCs w:val="22"/>
          <w:lang w:val="en-GB"/>
        </w:rPr>
        <w:lastRenderedPageBreak/>
        <w:t>lower when they search</w:t>
      </w:r>
      <w:r w:rsidR="00CD2C8E" w:rsidRPr="00A9230E">
        <w:rPr>
          <w:sz w:val="22"/>
          <w:szCs w:val="22"/>
          <w:lang w:val="en-GB"/>
        </w:rPr>
        <w:t xml:space="preserve"> broadly </w:t>
      </w:r>
      <w:r w:rsidR="00DE044A">
        <w:rPr>
          <w:sz w:val="22"/>
          <w:szCs w:val="22"/>
          <w:lang w:val="en-GB"/>
        </w:rPr>
        <w:t>across</w:t>
      </w:r>
      <w:r w:rsidR="00CD2C8E" w:rsidRPr="00A9230E">
        <w:rPr>
          <w:sz w:val="22"/>
          <w:szCs w:val="22"/>
          <w:lang w:val="en-GB"/>
        </w:rPr>
        <w:t xml:space="preserve"> a large number of different partners but without in-depth joint efforts. Under such conditions, radical innovators will find that many of their peers prefer informal appropriation mechanisms, such as secrecy, lead-time, and complexity of their products or processes to protect their innovative capabilities. For incremental innovators, firms that play a very moderate role as innovators, </w:t>
      </w:r>
      <w:r w:rsidR="00E93A80">
        <w:rPr>
          <w:sz w:val="22"/>
          <w:szCs w:val="22"/>
          <w:lang w:val="en-GB"/>
        </w:rPr>
        <w:t xml:space="preserve">the results of this study </w:t>
      </w:r>
      <w:r w:rsidR="00CD2C8E" w:rsidRPr="00A9230E">
        <w:rPr>
          <w:sz w:val="22"/>
          <w:szCs w:val="22"/>
          <w:lang w:val="en-GB"/>
        </w:rPr>
        <w:t xml:space="preserve">suggest that in-depth </w:t>
      </w:r>
      <w:r w:rsidR="00DE044A">
        <w:rPr>
          <w:sz w:val="22"/>
          <w:szCs w:val="22"/>
          <w:lang w:val="en-GB"/>
        </w:rPr>
        <w:t xml:space="preserve">search </w:t>
      </w:r>
      <w:r w:rsidR="00CD2C8E" w:rsidRPr="00A9230E">
        <w:rPr>
          <w:sz w:val="22"/>
          <w:szCs w:val="22"/>
          <w:lang w:val="en-GB"/>
        </w:rPr>
        <w:t xml:space="preserve">might not be that relevant as there is little in their limited innovative capabilities that warrant in-depth cooperation. However, when incremental innovators </w:t>
      </w:r>
      <w:r w:rsidR="00DE044A">
        <w:rPr>
          <w:sz w:val="22"/>
          <w:szCs w:val="22"/>
          <w:lang w:val="en-GB"/>
        </w:rPr>
        <w:t>search across a large</w:t>
      </w:r>
      <w:r w:rsidR="00CD2C8E" w:rsidRPr="00A9230E">
        <w:rPr>
          <w:sz w:val="22"/>
          <w:szCs w:val="22"/>
          <w:lang w:val="en-GB"/>
        </w:rPr>
        <w:t xml:space="preserve"> range of partners at modest levels of cooperation intensity, using formal appropriation mechanisms (patents, trademarks, copyrights, and design rights) and to a lesser degree also informal appropriation mechanisms (secrecy, lead-time, and products or processes complexity) seem suitable mechanisms to protect their limited innovative capabilities.</w:t>
      </w:r>
    </w:p>
    <w:p w14:paraId="5564DC5E" w14:textId="60F26368" w:rsidR="00CC1A6B" w:rsidRPr="00A9230E" w:rsidRDefault="00721E00" w:rsidP="00CC1A6B">
      <w:pPr>
        <w:spacing w:after="200"/>
        <w:contextualSpacing/>
        <w:rPr>
          <w:b/>
          <w:sz w:val="22"/>
          <w:szCs w:val="22"/>
          <w:lang w:val="en-GB"/>
        </w:rPr>
      </w:pPr>
      <w:r>
        <w:rPr>
          <w:b/>
          <w:sz w:val="22"/>
          <w:szCs w:val="22"/>
          <w:lang w:val="en-GB"/>
        </w:rPr>
        <w:t>6</w:t>
      </w:r>
      <w:r w:rsidR="00A65F4C" w:rsidRPr="00A9230E">
        <w:rPr>
          <w:b/>
          <w:sz w:val="22"/>
          <w:szCs w:val="22"/>
          <w:lang w:val="en-GB"/>
        </w:rPr>
        <w:t xml:space="preserve">. </w:t>
      </w:r>
      <w:r w:rsidR="00CC1A6B" w:rsidRPr="00A9230E">
        <w:rPr>
          <w:b/>
          <w:sz w:val="22"/>
          <w:szCs w:val="22"/>
          <w:lang w:val="en-GB"/>
        </w:rPr>
        <w:t>LIMITATIONS</w:t>
      </w:r>
      <w:r w:rsidR="00A65F4C" w:rsidRPr="00A9230E">
        <w:rPr>
          <w:b/>
          <w:sz w:val="22"/>
          <w:szCs w:val="22"/>
          <w:lang w:val="en-GB"/>
        </w:rPr>
        <w:t xml:space="preserve"> AND CONCLUSION</w:t>
      </w:r>
      <w:r w:rsidR="0021593F" w:rsidRPr="00A9230E">
        <w:rPr>
          <w:b/>
          <w:sz w:val="22"/>
          <w:szCs w:val="22"/>
          <w:lang w:val="en-GB"/>
        </w:rPr>
        <w:t>S</w:t>
      </w:r>
    </w:p>
    <w:p w14:paraId="1D3FC5FC" w14:textId="1FB7C083" w:rsidR="00CC1A6B" w:rsidRPr="00F23265" w:rsidRDefault="00F35A89" w:rsidP="00CC1A6B">
      <w:pPr>
        <w:spacing w:after="200"/>
        <w:contextualSpacing/>
        <w:rPr>
          <w:sz w:val="22"/>
          <w:szCs w:val="22"/>
          <w:lang w:val="en-GB"/>
        </w:rPr>
      </w:pPr>
      <w:r w:rsidRPr="00A9230E">
        <w:rPr>
          <w:sz w:val="22"/>
          <w:szCs w:val="22"/>
          <w:lang w:val="en-GB"/>
        </w:rPr>
        <w:t>Despite the</w:t>
      </w:r>
      <w:r w:rsidR="009D0E78" w:rsidRPr="00A9230E">
        <w:rPr>
          <w:sz w:val="22"/>
          <w:szCs w:val="22"/>
          <w:lang w:val="en-GB"/>
        </w:rPr>
        <w:t>se</w:t>
      </w:r>
      <w:r w:rsidRPr="00A9230E">
        <w:rPr>
          <w:sz w:val="22"/>
          <w:szCs w:val="22"/>
          <w:lang w:val="en-GB"/>
        </w:rPr>
        <w:t xml:space="preserve"> interesting findings, a number of loose ends in </w:t>
      </w:r>
      <w:r w:rsidR="00E93A80">
        <w:rPr>
          <w:sz w:val="22"/>
          <w:szCs w:val="22"/>
          <w:lang w:val="en-GB"/>
        </w:rPr>
        <w:t>the</w:t>
      </w:r>
      <w:r w:rsidR="009D0E78" w:rsidRPr="00A9230E">
        <w:rPr>
          <w:sz w:val="22"/>
          <w:szCs w:val="22"/>
          <w:lang w:val="en-GB"/>
        </w:rPr>
        <w:t xml:space="preserve"> conceptual framework and empirical</w:t>
      </w:r>
      <w:r w:rsidRPr="00A9230E">
        <w:rPr>
          <w:sz w:val="22"/>
          <w:szCs w:val="22"/>
          <w:lang w:val="en-GB"/>
        </w:rPr>
        <w:t xml:space="preserve"> analysis merit a further discussion. </w:t>
      </w:r>
      <w:r w:rsidR="009D0E78" w:rsidRPr="00A9230E">
        <w:rPr>
          <w:sz w:val="22"/>
          <w:szCs w:val="22"/>
          <w:lang w:val="en-GB"/>
        </w:rPr>
        <w:t>First, it needs to be noted that while external search breadth and depth</w:t>
      </w:r>
      <w:r w:rsidR="001F15D9">
        <w:rPr>
          <w:sz w:val="22"/>
          <w:szCs w:val="22"/>
          <w:lang w:val="en-GB"/>
        </w:rPr>
        <w:t xml:space="preserve"> are treated</w:t>
      </w:r>
      <w:r w:rsidR="009D0E78" w:rsidRPr="00A9230E">
        <w:rPr>
          <w:sz w:val="22"/>
          <w:szCs w:val="22"/>
          <w:lang w:val="en-GB"/>
        </w:rPr>
        <w:t xml:space="preserve"> as separate constructs in </w:t>
      </w:r>
      <w:r w:rsidR="00E93A80">
        <w:rPr>
          <w:sz w:val="22"/>
          <w:szCs w:val="22"/>
          <w:lang w:val="en-GB"/>
        </w:rPr>
        <w:t>the</w:t>
      </w:r>
      <w:r w:rsidR="009D0E78" w:rsidRPr="00A9230E">
        <w:rPr>
          <w:sz w:val="22"/>
          <w:szCs w:val="22"/>
          <w:lang w:val="en-GB"/>
        </w:rPr>
        <w:t xml:space="preserve"> conceptual framework, </w:t>
      </w:r>
      <w:r w:rsidR="00E93A80">
        <w:rPr>
          <w:sz w:val="22"/>
          <w:szCs w:val="22"/>
          <w:lang w:val="en-GB"/>
        </w:rPr>
        <w:t>the</w:t>
      </w:r>
      <w:r w:rsidR="009D0E78" w:rsidRPr="00A9230E">
        <w:rPr>
          <w:sz w:val="22"/>
          <w:szCs w:val="22"/>
          <w:lang w:val="en-GB"/>
        </w:rPr>
        <w:t xml:space="preserve"> operationalization of these two variables is not independent. The way that these variables are constructed suggests that only three out of four possible combination</w:t>
      </w:r>
      <w:r w:rsidR="00B73C8F" w:rsidRPr="00A9230E">
        <w:rPr>
          <w:sz w:val="22"/>
          <w:szCs w:val="22"/>
          <w:lang w:val="en-GB"/>
        </w:rPr>
        <w:t>s</w:t>
      </w:r>
      <w:r w:rsidR="009D0E78" w:rsidRPr="00A9230E">
        <w:rPr>
          <w:sz w:val="22"/>
          <w:szCs w:val="22"/>
          <w:lang w:val="en-GB"/>
        </w:rPr>
        <w:t xml:space="preserve"> of these two search strategies can be assessed. While combinations of low breadth/low depth, high breadth/low depth, and high breadth/high depth can be captured by </w:t>
      </w:r>
      <w:r w:rsidR="00E93A80">
        <w:rPr>
          <w:sz w:val="22"/>
          <w:szCs w:val="22"/>
          <w:lang w:val="en-GB"/>
        </w:rPr>
        <w:t>the</w:t>
      </w:r>
      <w:r w:rsidR="009D0E78" w:rsidRPr="00A9230E">
        <w:rPr>
          <w:sz w:val="22"/>
          <w:szCs w:val="22"/>
          <w:lang w:val="en-GB"/>
        </w:rPr>
        <w:t xml:space="preserve"> variables</w:t>
      </w:r>
      <w:r w:rsidR="00E93A80">
        <w:rPr>
          <w:sz w:val="22"/>
          <w:szCs w:val="22"/>
          <w:lang w:val="en-GB"/>
        </w:rPr>
        <w:t xml:space="preserve"> used in this study</w:t>
      </w:r>
      <w:r w:rsidR="009D0E78" w:rsidRPr="00A9230E">
        <w:rPr>
          <w:sz w:val="22"/>
          <w:szCs w:val="22"/>
          <w:lang w:val="en-GB"/>
        </w:rPr>
        <w:t xml:space="preserve">, the combination of low breadth and high depth cannot be assessed. Hence, </w:t>
      </w:r>
      <w:r w:rsidR="00E93A80">
        <w:rPr>
          <w:sz w:val="22"/>
          <w:szCs w:val="22"/>
          <w:lang w:val="en-GB"/>
        </w:rPr>
        <w:t>the</w:t>
      </w:r>
      <w:r w:rsidR="009D0E78" w:rsidRPr="00A9230E">
        <w:rPr>
          <w:sz w:val="22"/>
          <w:szCs w:val="22"/>
          <w:lang w:val="en-GB"/>
        </w:rPr>
        <w:t xml:space="preserve"> analysis </w:t>
      </w:r>
      <w:r w:rsidR="00E93A80">
        <w:rPr>
          <w:sz w:val="22"/>
          <w:szCs w:val="22"/>
          <w:lang w:val="en-GB"/>
        </w:rPr>
        <w:t xml:space="preserve">at hand </w:t>
      </w:r>
      <w:r w:rsidR="009D0E78" w:rsidRPr="00A9230E">
        <w:rPr>
          <w:sz w:val="22"/>
          <w:szCs w:val="22"/>
          <w:lang w:val="en-GB"/>
        </w:rPr>
        <w:t xml:space="preserve">cannot </w:t>
      </w:r>
      <w:r w:rsidR="003F4841" w:rsidRPr="00A9230E">
        <w:rPr>
          <w:sz w:val="22"/>
          <w:szCs w:val="22"/>
          <w:lang w:val="en-GB"/>
        </w:rPr>
        <w:t xml:space="preserve">fully </w:t>
      </w:r>
      <w:r w:rsidR="009D0E78" w:rsidRPr="00A9230E">
        <w:rPr>
          <w:sz w:val="22"/>
          <w:szCs w:val="22"/>
          <w:lang w:val="en-GB"/>
        </w:rPr>
        <w:t xml:space="preserve">account for firms that cooperate very intensely with a very low variety of partners. Future </w:t>
      </w:r>
      <w:r w:rsidR="009D0E78" w:rsidRPr="00F23265">
        <w:rPr>
          <w:sz w:val="22"/>
          <w:szCs w:val="22"/>
          <w:lang w:val="en-GB"/>
        </w:rPr>
        <w:t xml:space="preserve">research needs to shed some light on this specific category of firms. </w:t>
      </w:r>
    </w:p>
    <w:p w14:paraId="4D100880" w14:textId="42913E8C" w:rsidR="00C12102" w:rsidRPr="00F23265" w:rsidRDefault="00C12102" w:rsidP="00CC1A6B">
      <w:pPr>
        <w:spacing w:after="200"/>
        <w:contextualSpacing/>
        <w:rPr>
          <w:sz w:val="22"/>
          <w:szCs w:val="22"/>
          <w:lang w:val="en-GB"/>
        </w:rPr>
      </w:pPr>
      <w:r w:rsidRPr="00F23265">
        <w:rPr>
          <w:sz w:val="22"/>
          <w:szCs w:val="22"/>
          <w:lang w:val="en-GB"/>
        </w:rPr>
        <w:tab/>
        <w:t xml:space="preserve">Second, while </w:t>
      </w:r>
      <w:r w:rsidR="00C259D9" w:rsidRPr="00F23265">
        <w:rPr>
          <w:sz w:val="22"/>
          <w:szCs w:val="22"/>
          <w:lang w:val="en-GB"/>
        </w:rPr>
        <w:t>the analysis suggests that</w:t>
      </w:r>
      <w:r w:rsidRPr="00F23265">
        <w:rPr>
          <w:sz w:val="22"/>
          <w:szCs w:val="22"/>
          <w:lang w:val="en-GB"/>
        </w:rPr>
        <w:t xml:space="preserve"> characteristics of the innovation process </w:t>
      </w:r>
      <w:r w:rsidR="00C259D9" w:rsidRPr="00F23265">
        <w:rPr>
          <w:sz w:val="22"/>
          <w:szCs w:val="22"/>
          <w:lang w:val="en-GB"/>
        </w:rPr>
        <w:t>impact</w:t>
      </w:r>
      <w:r w:rsidRPr="00F23265">
        <w:rPr>
          <w:sz w:val="22"/>
          <w:szCs w:val="22"/>
          <w:lang w:val="en-GB"/>
        </w:rPr>
        <w:t xml:space="preserve"> firms’ use of formal and informal appropriation mechanisms, the authors do acknowledge that both independent and dependent variables are strategic choice variables</w:t>
      </w:r>
      <w:r w:rsidR="00C259D9" w:rsidRPr="00F23265">
        <w:rPr>
          <w:sz w:val="22"/>
          <w:szCs w:val="22"/>
          <w:lang w:val="en-GB"/>
        </w:rPr>
        <w:t>, which implies that the reverse causality cannot be fully ruled out</w:t>
      </w:r>
      <w:r w:rsidRPr="00F23265">
        <w:rPr>
          <w:sz w:val="22"/>
          <w:szCs w:val="22"/>
          <w:lang w:val="en-GB"/>
        </w:rPr>
        <w:t xml:space="preserve">. </w:t>
      </w:r>
    </w:p>
    <w:p w14:paraId="5BDCC04F" w14:textId="738B0003" w:rsidR="006D3DD2" w:rsidRPr="00A9230E" w:rsidRDefault="009D0E78" w:rsidP="006741D7">
      <w:pPr>
        <w:spacing w:after="200"/>
        <w:ind w:firstLine="720"/>
        <w:contextualSpacing/>
        <w:rPr>
          <w:sz w:val="22"/>
          <w:szCs w:val="22"/>
          <w:lang w:val="en-GB"/>
        </w:rPr>
      </w:pPr>
      <w:r w:rsidRPr="00F23265">
        <w:rPr>
          <w:sz w:val="22"/>
          <w:szCs w:val="22"/>
          <w:lang w:val="en-GB"/>
        </w:rPr>
        <w:t>Furthermore</w:t>
      </w:r>
      <w:r w:rsidR="00384924" w:rsidRPr="00F23265">
        <w:rPr>
          <w:sz w:val="22"/>
          <w:szCs w:val="22"/>
          <w:lang w:val="en-GB"/>
        </w:rPr>
        <w:t xml:space="preserve">, the CIS </w:t>
      </w:r>
      <w:r w:rsidR="00384924" w:rsidRPr="00A9230E">
        <w:rPr>
          <w:sz w:val="22"/>
          <w:szCs w:val="22"/>
          <w:lang w:val="en-GB"/>
        </w:rPr>
        <w:t>data do</w:t>
      </w:r>
      <w:r w:rsidRPr="00A9230E">
        <w:rPr>
          <w:sz w:val="22"/>
          <w:szCs w:val="22"/>
          <w:lang w:val="en-GB"/>
        </w:rPr>
        <w:t>es</w:t>
      </w:r>
      <w:r w:rsidR="00384924" w:rsidRPr="00A9230E">
        <w:rPr>
          <w:sz w:val="22"/>
          <w:szCs w:val="22"/>
          <w:lang w:val="en-GB"/>
        </w:rPr>
        <w:t xml:space="preserve"> not enable us to discover a chronological pattern in the </w:t>
      </w:r>
      <w:r w:rsidR="00560C27" w:rsidRPr="00A9230E">
        <w:rPr>
          <w:sz w:val="22"/>
          <w:szCs w:val="22"/>
          <w:lang w:val="en-GB"/>
        </w:rPr>
        <w:t xml:space="preserve">use of </w:t>
      </w:r>
      <w:r w:rsidR="00384924" w:rsidRPr="00A9230E">
        <w:rPr>
          <w:sz w:val="22"/>
          <w:szCs w:val="22"/>
          <w:lang w:val="en-GB"/>
        </w:rPr>
        <w:t xml:space="preserve">e.g. informal </w:t>
      </w:r>
      <w:r w:rsidR="003321BF" w:rsidRPr="00A9230E">
        <w:rPr>
          <w:sz w:val="22"/>
          <w:szCs w:val="22"/>
          <w:lang w:val="en-GB"/>
        </w:rPr>
        <w:t xml:space="preserve">appropriation mechanisms </w:t>
      </w:r>
      <w:r w:rsidR="00384924" w:rsidRPr="00A9230E">
        <w:rPr>
          <w:sz w:val="22"/>
          <w:szCs w:val="22"/>
          <w:lang w:val="en-GB"/>
        </w:rPr>
        <w:t xml:space="preserve">in early stages of innovative activities and formal </w:t>
      </w:r>
      <w:r w:rsidR="003321BF" w:rsidRPr="00A9230E">
        <w:rPr>
          <w:sz w:val="22"/>
          <w:szCs w:val="22"/>
          <w:lang w:val="en-GB"/>
        </w:rPr>
        <w:t xml:space="preserve">appropriation mechanisms </w:t>
      </w:r>
      <w:r w:rsidR="00384924" w:rsidRPr="00A9230E">
        <w:rPr>
          <w:sz w:val="22"/>
          <w:szCs w:val="22"/>
          <w:lang w:val="en-GB"/>
        </w:rPr>
        <w:t>for later stage innovative activities.</w:t>
      </w:r>
      <w:r w:rsidR="00E93A80">
        <w:rPr>
          <w:sz w:val="22"/>
          <w:szCs w:val="22"/>
          <w:lang w:val="en-GB"/>
        </w:rPr>
        <w:t xml:space="preserve"> Additionally</w:t>
      </w:r>
      <w:r w:rsidR="00DC77CE" w:rsidRPr="00A9230E">
        <w:rPr>
          <w:sz w:val="22"/>
          <w:szCs w:val="22"/>
          <w:lang w:val="en-GB"/>
        </w:rPr>
        <w:t xml:space="preserve">, given data restrictions, </w:t>
      </w:r>
      <w:r w:rsidR="00491F95">
        <w:rPr>
          <w:sz w:val="22"/>
          <w:szCs w:val="22"/>
          <w:lang w:val="en-GB"/>
        </w:rPr>
        <w:t>this study cannot assess</w:t>
      </w:r>
      <w:r w:rsidR="00DC77CE" w:rsidRPr="00A9230E">
        <w:rPr>
          <w:sz w:val="22"/>
          <w:szCs w:val="22"/>
          <w:lang w:val="en-GB"/>
        </w:rPr>
        <w:t xml:space="preserve"> the actual innovative capabilities of the various open innovation partners of the focal firms in </w:t>
      </w:r>
      <w:r w:rsidR="00DC77CE" w:rsidRPr="00A9230E">
        <w:rPr>
          <w:sz w:val="22"/>
          <w:szCs w:val="22"/>
          <w:lang w:val="en-GB"/>
        </w:rPr>
        <w:lastRenderedPageBreak/>
        <w:t>this sample.</w:t>
      </w:r>
      <w:r w:rsidR="0097715C" w:rsidRPr="00A9230E">
        <w:rPr>
          <w:sz w:val="22"/>
          <w:szCs w:val="22"/>
          <w:lang w:val="en-GB"/>
        </w:rPr>
        <w:t xml:space="preserve"> A more thorough understanding of the capabilities of these partners is, however,</w:t>
      </w:r>
      <w:r w:rsidRPr="00A9230E">
        <w:rPr>
          <w:sz w:val="22"/>
          <w:szCs w:val="22"/>
          <w:lang w:val="en-GB"/>
        </w:rPr>
        <w:t xml:space="preserve"> necessary to better assess the</w:t>
      </w:r>
      <w:r w:rsidR="0097715C" w:rsidRPr="00A9230E">
        <w:rPr>
          <w:sz w:val="22"/>
          <w:szCs w:val="22"/>
          <w:lang w:val="en-GB"/>
        </w:rPr>
        <w:t xml:space="preserve"> use of both formal and informal </w:t>
      </w:r>
      <w:r w:rsidR="003321BF" w:rsidRPr="00A9230E">
        <w:rPr>
          <w:sz w:val="22"/>
          <w:szCs w:val="22"/>
          <w:lang w:val="en-GB"/>
        </w:rPr>
        <w:t>appropriation mechanisms u</w:t>
      </w:r>
      <w:r w:rsidR="0097715C" w:rsidRPr="00A9230E">
        <w:rPr>
          <w:sz w:val="22"/>
          <w:szCs w:val="22"/>
          <w:lang w:val="en-GB"/>
        </w:rPr>
        <w:t xml:space="preserve">nder various conditions. </w:t>
      </w:r>
      <w:r w:rsidR="006D3DD2" w:rsidRPr="00A9230E">
        <w:rPr>
          <w:sz w:val="22"/>
          <w:szCs w:val="22"/>
          <w:lang w:val="en-GB"/>
        </w:rPr>
        <w:t>Beyond capabilities, there are a number of other partner characteristics that would be of interest in the context of this study. For instance, partner firm size may be influential in determining a focal firm’</w:t>
      </w:r>
      <w:r w:rsidR="009124A4" w:rsidRPr="00A9230E">
        <w:rPr>
          <w:sz w:val="22"/>
          <w:szCs w:val="22"/>
          <w:lang w:val="en-GB"/>
        </w:rPr>
        <w:t>s</w:t>
      </w:r>
      <w:r w:rsidR="006D3DD2" w:rsidRPr="00A9230E">
        <w:rPr>
          <w:sz w:val="22"/>
          <w:szCs w:val="22"/>
          <w:lang w:val="en-GB"/>
        </w:rPr>
        <w:t xml:space="preserve"> </w:t>
      </w:r>
      <w:r w:rsidRPr="00A9230E">
        <w:rPr>
          <w:sz w:val="22"/>
          <w:szCs w:val="22"/>
          <w:lang w:val="en-GB"/>
        </w:rPr>
        <w:t>implementation of</w:t>
      </w:r>
      <w:r w:rsidR="006D3DD2" w:rsidRPr="00A9230E">
        <w:rPr>
          <w:sz w:val="22"/>
          <w:szCs w:val="22"/>
          <w:lang w:val="en-GB"/>
        </w:rPr>
        <w:t xml:space="preserve"> appropriation mechanisms. While there is often interdependence between small and large firms during the evolution of technologies (e.g. </w:t>
      </w:r>
      <w:r w:rsidR="00D20043" w:rsidRPr="00A9230E">
        <w:rPr>
          <w:sz w:val="22"/>
          <w:szCs w:val="22"/>
          <w:lang w:val="en-GB"/>
        </w:rPr>
        <w:t xml:space="preserve">Dodgson and </w:t>
      </w:r>
      <w:r w:rsidR="006D3DD2" w:rsidRPr="00A9230E">
        <w:rPr>
          <w:sz w:val="22"/>
          <w:szCs w:val="22"/>
          <w:lang w:val="en-GB"/>
        </w:rPr>
        <w:t xml:space="preserve">Rothwell, 1994), size differences between partners may also aggravate appropriation concerns, especially from the perspective of the smaller firm. </w:t>
      </w:r>
      <w:r w:rsidR="00590DEA" w:rsidRPr="00A9230E">
        <w:rPr>
          <w:sz w:val="22"/>
          <w:szCs w:val="22"/>
          <w:lang w:val="en-GB"/>
        </w:rPr>
        <w:t>Furthermore, appropriation hazards may depend on the level of absorptive capacity of partners (</w:t>
      </w:r>
      <w:proofErr w:type="spellStart"/>
      <w:r w:rsidR="00590DEA" w:rsidRPr="00A9230E">
        <w:rPr>
          <w:sz w:val="22"/>
          <w:szCs w:val="22"/>
          <w:lang w:val="en-GB"/>
        </w:rPr>
        <w:t>Muscio</w:t>
      </w:r>
      <w:proofErr w:type="spellEnd"/>
      <w:r w:rsidR="00590DEA" w:rsidRPr="00A9230E">
        <w:rPr>
          <w:sz w:val="22"/>
          <w:szCs w:val="22"/>
          <w:lang w:val="en-GB"/>
        </w:rPr>
        <w:t>, 2007). It may be likely that the greater the absorptive capacity of its partner, the more concerned would the focal firm be about implement</w:t>
      </w:r>
      <w:r w:rsidR="00E26612" w:rsidRPr="00A9230E">
        <w:rPr>
          <w:sz w:val="22"/>
          <w:szCs w:val="22"/>
          <w:lang w:val="en-GB"/>
        </w:rPr>
        <w:t>ing</w:t>
      </w:r>
      <w:r w:rsidR="00590DEA" w:rsidRPr="00A9230E">
        <w:rPr>
          <w:sz w:val="22"/>
          <w:szCs w:val="22"/>
          <w:lang w:val="en-GB"/>
        </w:rPr>
        <w:t xml:space="preserve"> informal rather than formal appropriation mechanisms. </w:t>
      </w:r>
    </w:p>
    <w:p w14:paraId="27EAC691" w14:textId="368C6D4C" w:rsidR="007E1637" w:rsidRPr="00A9230E" w:rsidRDefault="00590DEA" w:rsidP="006741D7">
      <w:pPr>
        <w:spacing w:after="200"/>
        <w:ind w:firstLine="720"/>
        <w:contextualSpacing/>
        <w:rPr>
          <w:sz w:val="22"/>
          <w:szCs w:val="22"/>
          <w:lang w:val="en-GB"/>
        </w:rPr>
      </w:pPr>
      <w:r w:rsidRPr="00A9230E">
        <w:rPr>
          <w:sz w:val="22"/>
          <w:szCs w:val="22"/>
          <w:lang w:val="en-GB"/>
        </w:rPr>
        <w:t>Finally</w:t>
      </w:r>
      <w:r w:rsidR="0097715C" w:rsidRPr="00A9230E">
        <w:rPr>
          <w:sz w:val="22"/>
          <w:szCs w:val="22"/>
          <w:lang w:val="en-GB"/>
        </w:rPr>
        <w:t xml:space="preserve">, </w:t>
      </w:r>
      <w:r w:rsidR="00301890" w:rsidRPr="00A9230E">
        <w:rPr>
          <w:sz w:val="22"/>
          <w:szCs w:val="22"/>
          <w:lang w:val="en-GB"/>
        </w:rPr>
        <w:t xml:space="preserve">it would be of interest to investigate to what extent firms adapt their use of both formal and informal </w:t>
      </w:r>
      <w:r w:rsidR="003321BF" w:rsidRPr="00A9230E">
        <w:rPr>
          <w:sz w:val="22"/>
          <w:szCs w:val="22"/>
          <w:lang w:val="en-GB"/>
        </w:rPr>
        <w:t xml:space="preserve">appropriation mechanisms </w:t>
      </w:r>
      <w:r w:rsidR="00301890" w:rsidRPr="00A9230E">
        <w:rPr>
          <w:sz w:val="22"/>
          <w:szCs w:val="22"/>
          <w:lang w:val="en-GB"/>
        </w:rPr>
        <w:t xml:space="preserve">according to different stages of the innovation process. For instance, </w:t>
      </w:r>
      <w:r w:rsidR="006021DC" w:rsidRPr="00A9230E">
        <w:rPr>
          <w:sz w:val="22"/>
          <w:szCs w:val="22"/>
          <w:lang w:val="en-GB"/>
        </w:rPr>
        <w:t>do</w:t>
      </w:r>
      <w:r w:rsidR="00301890" w:rsidRPr="00A9230E">
        <w:rPr>
          <w:sz w:val="22"/>
          <w:szCs w:val="22"/>
          <w:lang w:val="en-GB"/>
        </w:rPr>
        <w:t xml:space="preserve"> preferences with respect to formal and informal </w:t>
      </w:r>
      <w:r w:rsidR="003321BF" w:rsidRPr="00A9230E">
        <w:rPr>
          <w:sz w:val="22"/>
          <w:szCs w:val="22"/>
          <w:lang w:val="en-GB"/>
        </w:rPr>
        <w:t xml:space="preserve">appropriation mechanisms </w:t>
      </w:r>
      <w:r w:rsidR="006021DC" w:rsidRPr="00A9230E">
        <w:rPr>
          <w:sz w:val="22"/>
          <w:szCs w:val="22"/>
          <w:lang w:val="en-GB"/>
        </w:rPr>
        <w:t>differ</w:t>
      </w:r>
      <w:r w:rsidR="00301890" w:rsidRPr="00A9230E">
        <w:rPr>
          <w:sz w:val="22"/>
          <w:szCs w:val="22"/>
          <w:lang w:val="en-GB"/>
        </w:rPr>
        <w:t xml:space="preserve"> in early </w:t>
      </w:r>
      <w:r w:rsidR="000708FA" w:rsidRPr="00A9230E">
        <w:rPr>
          <w:sz w:val="22"/>
          <w:szCs w:val="22"/>
          <w:lang w:val="en-GB"/>
        </w:rPr>
        <w:t xml:space="preserve">research </w:t>
      </w:r>
      <w:r w:rsidR="00301890" w:rsidRPr="00A9230E">
        <w:rPr>
          <w:sz w:val="22"/>
          <w:szCs w:val="22"/>
          <w:lang w:val="en-GB"/>
        </w:rPr>
        <w:t>stages of the innovation funnel as compared to later stages</w:t>
      </w:r>
      <w:r w:rsidR="006021DC" w:rsidRPr="00A9230E">
        <w:rPr>
          <w:sz w:val="22"/>
          <w:szCs w:val="22"/>
          <w:lang w:val="en-GB"/>
        </w:rPr>
        <w:t xml:space="preserve"> of the development phase</w:t>
      </w:r>
      <w:r w:rsidR="00301890" w:rsidRPr="00A9230E">
        <w:rPr>
          <w:sz w:val="22"/>
          <w:szCs w:val="22"/>
          <w:lang w:val="en-GB"/>
        </w:rPr>
        <w:t xml:space="preserve">? </w:t>
      </w:r>
      <w:r w:rsidR="006741D7" w:rsidRPr="00A9230E">
        <w:rPr>
          <w:sz w:val="22"/>
          <w:szCs w:val="22"/>
          <w:lang w:val="en-GB"/>
        </w:rPr>
        <w:t>In that context, a more dynamic perspective on the interaction between innovation and appropriation mechanisms could benefit from a broader understanding of stages of innovation in terms of technological paradigms (</w:t>
      </w:r>
      <w:proofErr w:type="spellStart"/>
      <w:r w:rsidR="006741D7" w:rsidRPr="00A9230E">
        <w:rPr>
          <w:sz w:val="22"/>
          <w:szCs w:val="22"/>
          <w:lang w:val="en-GB"/>
        </w:rPr>
        <w:t>Dosi</w:t>
      </w:r>
      <w:proofErr w:type="spellEnd"/>
      <w:r w:rsidR="006741D7" w:rsidRPr="00A9230E">
        <w:rPr>
          <w:sz w:val="22"/>
          <w:szCs w:val="22"/>
          <w:lang w:val="en-GB"/>
        </w:rPr>
        <w:t>, 1982, Nelson &amp; Winter, 1982)</w:t>
      </w:r>
      <w:r w:rsidR="00760FEB" w:rsidRPr="00A9230E">
        <w:rPr>
          <w:sz w:val="22"/>
          <w:szCs w:val="22"/>
          <w:lang w:val="en-GB"/>
        </w:rPr>
        <w:t xml:space="preserve"> or technology life cycles (</w:t>
      </w:r>
      <w:proofErr w:type="spellStart"/>
      <w:r w:rsidR="00760FEB" w:rsidRPr="00A9230E">
        <w:rPr>
          <w:sz w:val="22"/>
          <w:szCs w:val="22"/>
          <w:lang w:val="en-GB"/>
        </w:rPr>
        <w:t>Stolwijk</w:t>
      </w:r>
      <w:proofErr w:type="spellEnd"/>
      <w:r w:rsidR="00760FEB" w:rsidRPr="00A9230E">
        <w:rPr>
          <w:sz w:val="22"/>
          <w:szCs w:val="22"/>
          <w:lang w:val="en-GB"/>
        </w:rPr>
        <w:t>, et al., 2012)</w:t>
      </w:r>
      <w:r w:rsidR="006741D7" w:rsidRPr="00A9230E">
        <w:rPr>
          <w:sz w:val="22"/>
          <w:szCs w:val="22"/>
          <w:lang w:val="en-GB"/>
        </w:rPr>
        <w:t xml:space="preserve">. As suggested by </w:t>
      </w:r>
      <w:proofErr w:type="spellStart"/>
      <w:r w:rsidR="006741D7" w:rsidRPr="00A9230E">
        <w:rPr>
          <w:sz w:val="22"/>
          <w:szCs w:val="22"/>
          <w:lang w:val="en-GB"/>
        </w:rPr>
        <w:t>Narula</w:t>
      </w:r>
      <w:proofErr w:type="spellEnd"/>
      <w:r w:rsidR="006741D7" w:rsidRPr="00A9230E">
        <w:rPr>
          <w:sz w:val="22"/>
          <w:szCs w:val="22"/>
          <w:lang w:val="en-GB"/>
        </w:rPr>
        <w:t xml:space="preserve"> (2001) such a detailed understanding of different stages of paradigmatic evolution and the position of firms in that evolution can inform </w:t>
      </w:r>
      <w:r w:rsidR="00E93A80">
        <w:rPr>
          <w:sz w:val="22"/>
          <w:szCs w:val="22"/>
          <w:lang w:val="en-GB"/>
        </w:rPr>
        <w:t>the</w:t>
      </w:r>
      <w:r w:rsidR="006741D7" w:rsidRPr="00A9230E">
        <w:rPr>
          <w:sz w:val="22"/>
          <w:szCs w:val="22"/>
          <w:lang w:val="en-GB"/>
        </w:rPr>
        <w:t xml:space="preserve"> perception of the relevance of alternative forms of external innovative inputs and the use of various appropriation mechanisms. </w:t>
      </w:r>
      <w:r w:rsidR="00E409B5" w:rsidRPr="00A9230E">
        <w:rPr>
          <w:sz w:val="22"/>
          <w:szCs w:val="22"/>
          <w:lang w:val="en-GB"/>
        </w:rPr>
        <w:t>Finally, normative implications of different combinations of appropriation</w:t>
      </w:r>
      <w:r w:rsidR="005D72BE" w:rsidRPr="00A9230E">
        <w:rPr>
          <w:sz w:val="22"/>
          <w:szCs w:val="22"/>
          <w:lang w:val="en-GB"/>
        </w:rPr>
        <w:t xml:space="preserve"> mechanisms, </w:t>
      </w:r>
      <w:r w:rsidR="00E409B5" w:rsidRPr="00A9230E">
        <w:rPr>
          <w:sz w:val="22"/>
          <w:szCs w:val="22"/>
          <w:lang w:val="en-GB"/>
        </w:rPr>
        <w:t>selected under different conditions</w:t>
      </w:r>
      <w:r w:rsidR="005D72BE" w:rsidRPr="00A9230E">
        <w:rPr>
          <w:sz w:val="22"/>
          <w:szCs w:val="22"/>
          <w:lang w:val="en-GB"/>
        </w:rPr>
        <w:t>,</w:t>
      </w:r>
      <w:r w:rsidR="00E409B5" w:rsidRPr="00A9230E">
        <w:rPr>
          <w:sz w:val="22"/>
          <w:szCs w:val="22"/>
          <w:lang w:val="en-GB"/>
        </w:rPr>
        <w:t xml:space="preserve"> remain to be investigated.</w:t>
      </w:r>
    </w:p>
    <w:p w14:paraId="4CD9A601" w14:textId="10BD8083" w:rsidR="00664756" w:rsidRPr="006C6BB5" w:rsidRDefault="00CD2C8E" w:rsidP="00CD2C8E">
      <w:pPr>
        <w:spacing w:after="200"/>
        <w:ind w:firstLine="720"/>
        <w:contextualSpacing/>
        <w:rPr>
          <w:sz w:val="22"/>
          <w:szCs w:val="22"/>
          <w:lang w:val="en-GB"/>
        </w:rPr>
      </w:pPr>
      <w:r w:rsidRPr="00A9230E">
        <w:rPr>
          <w:sz w:val="22"/>
          <w:szCs w:val="22"/>
          <w:lang w:val="en-GB"/>
        </w:rPr>
        <w:t>To conclude,</w:t>
      </w:r>
      <w:r w:rsidRPr="00A9230E">
        <w:rPr>
          <w:b/>
          <w:sz w:val="22"/>
          <w:szCs w:val="22"/>
          <w:lang w:val="en-GB"/>
        </w:rPr>
        <w:t xml:space="preserve"> </w:t>
      </w:r>
      <w:r w:rsidRPr="00A9230E">
        <w:rPr>
          <w:sz w:val="22"/>
          <w:szCs w:val="22"/>
          <w:lang w:val="en-GB"/>
        </w:rPr>
        <w:t>t</w:t>
      </w:r>
      <w:r w:rsidR="00664756" w:rsidRPr="00A9230E">
        <w:rPr>
          <w:sz w:val="22"/>
          <w:szCs w:val="22"/>
          <w:lang w:val="en-GB"/>
        </w:rPr>
        <w:t>he analysis presented in this paper generates a number of interesting new insights</w:t>
      </w:r>
      <w:r w:rsidR="00D731E5">
        <w:rPr>
          <w:sz w:val="22"/>
          <w:szCs w:val="22"/>
          <w:lang w:val="en-GB"/>
        </w:rPr>
        <w:t>.</w:t>
      </w:r>
      <w:r w:rsidR="00F23265">
        <w:rPr>
          <w:sz w:val="22"/>
          <w:szCs w:val="22"/>
          <w:lang w:val="en-GB"/>
        </w:rPr>
        <w:t xml:space="preserve"> It demonstrates</w:t>
      </w:r>
      <w:r w:rsidR="00664756" w:rsidRPr="00A9230E">
        <w:rPr>
          <w:sz w:val="22"/>
          <w:szCs w:val="22"/>
          <w:lang w:val="en-GB"/>
        </w:rPr>
        <w:t xml:space="preserve"> how two specific facets of the overall innovation activities of firms (i.e. openness and degree</w:t>
      </w:r>
      <w:r w:rsidR="00F23265">
        <w:rPr>
          <w:sz w:val="22"/>
          <w:szCs w:val="22"/>
          <w:lang w:val="en-GB"/>
        </w:rPr>
        <w:t xml:space="preserve"> of innovativeness) influence</w:t>
      </w:r>
      <w:r w:rsidR="00664756" w:rsidRPr="00A9230E">
        <w:rPr>
          <w:sz w:val="22"/>
          <w:szCs w:val="22"/>
          <w:lang w:val="en-GB"/>
        </w:rPr>
        <w:t xml:space="preserve"> </w:t>
      </w:r>
      <w:r w:rsidRPr="00A9230E">
        <w:rPr>
          <w:sz w:val="22"/>
          <w:szCs w:val="22"/>
          <w:lang w:val="en-GB"/>
        </w:rPr>
        <w:t>firms’ implementation of formal and informal appropriation mechanisms</w:t>
      </w:r>
      <w:r w:rsidR="00F23265">
        <w:rPr>
          <w:sz w:val="22"/>
          <w:szCs w:val="22"/>
          <w:lang w:val="en-GB"/>
        </w:rPr>
        <w:t>. T</w:t>
      </w:r>
      <w:r w:rsidR="00664756" w:rsidRPr="00A9230E">
        <w:rPr>
          <w:sz w:val="22"/>
          <w:szCs w:val="22"/>
          <w:lang w:val="en-GB"/>
        </w:rPr>
        <w:t>hese findings suggest a mor</w:t>
      </w:r>
      <w:r w:rsidR="001D4AEE" w:rsidRPr="00A9230E">
        <w:rPr>
          <w:sz w:val="22"/>
          <w:szCs w:val="22"/>
          <w:lang w:val="en-GB"/>
        </w:rPr>
        <w:t>e detailed insight regarding</w:t>
      </w:r>
      <w:r w:rsidR="00664756" w:rsidRPr="00A9230E">
        <w:rPr>
          <w:sz w:val="22"/>
          <w:szCs w:val="22"/>
          <w:lang w:val="en-GB"/>
        </w:rPr>
        <w:t xml:space="preserve"> appropriation strategies and management of appropriation mechanisms by firms and how these are </w:t>
      </w:r>
      <w:r w:rsidR="00F23265">
        <w:rPr>
          <w:sz w:val="22"/>
          <w:szCs w:val="22"/>
          <w:lang w:val="en-GB"/>
        </w:rPr>
        <w:t>influenced</w:t>
      </w:r>
      <w:r w:rsidR="00664756" w:rsidRPr="00A9230E">
        <w:rPr>
          <w:sz w:val="22"/>
          <w:szCs w:val="22"/>
          <w:lang w:val="en-GB"/>
        </w:rPr>
        <w:t xml:space="preserve"> by </w:t>
      </w:r>
      <w:r w:rsidR="00664756" w:rsidRPr="00A9230E">
        <w:rPr>
          <w:sz w:val="22"/>
          <w:szCs w:val="22"/>
          <w:lang w:val="en-GB"/>
        </w:rPr>
        <w:lastRenderedPageBreak/>
        <w:t xml:space="preserve">firms’ strategic </w:t>
      </w:r>
      <w:r w:rsidR="00F23265" w:rsidRPr="00A9230E">
        <w:rPr>
          <w:sz w:val="22"/>
          <w:szCs w:val="22"/>
          <w:lang w:val="en-GB"/>
        </w:rPr>
        <w:t>behaviours</w:t>
      </w:r>
      <w:r w:rsidR="00664756" w:rsidRPr="00A9230E">
        <w:rPr>
          <w:sz w:val="22"/>
          <w:szCs w:val="22"/>
          <w:lang w:val="en-GB"/>
        </w:rPr>
        <w:t>. In addition, this study contributes to the open innovation literature by developing a more differentiated picture of how firms manage appropriation mechanisms when engaging in open innovation a</w:t>
      </w:r>
      <w:r w:rsidR="00F23265">
        <w:rPr>
          <w:sz w:val="22"/>
          <w:szCs w:val="22"/>
          <w:lang w:val="en-GB"/>
        </w:rPr>
        <w:t>ctivities. In particular, it suggests</w:t>
      </w:r>
      <w:r w:rsidR="00664756" w:rsidRPr="00A9230E">
        <w:rPr>
          <w:sz w:val="22"/>
          <w:szCs w:val="22"/>
          <w:lang w:val="en-GB"/>
        </w:rPr>
        <w:t xml:space="preserve"> that the different types of search openness (i.e. breadth and depth) and different levels of innovativeness (i.e. incremental versus radical) intertwine in shaping a firm’s </w:t>
      </w:r>
      <w:r w:rsidRPr="00A9230E">
        <w:rPr>
          <w:sz w:val="22"/>
          <w:szCs w:val="22"/>
          <w:lang w:val="en-GB"/>
        </w:rPr>
        <w:t>implementation of formal and</w:t>
      </w:r>
      <w:r w:rsidR="00664756" w:rsidRPr="00A9230E">
        <w:rPr>
          <w:sz w:val="22"/>
          <w:szCs w:val="22"/>
          <w:lang w:val="en-GB"/>
        </w:rPr>
        <w:t xml:space="preserve"> informal appropriation </w:t>
      </w:r>
      <w:r w:rsidR="00664756" w:rsidRPr="006C6BB5">
        <w:rPr>
          <w:sz w:val="22"/>
          <w:szCs w:val="22"/>
          <w:lang w:val="en-GB"/>
        </w:rPr>
        <w:t xml:space="preserve">mechanisms. </w:t>
      </w:r>
    </w:p>
    <w:p w14:paraId="7BA7F097" w14:textId="77777777" w:rsidR="00BD0016" w:rsidRDefault="00BD0016">
      <w:pPr>
        <w:rPr>
          <w:b/>
          <w:sz w:val="22"/>
          <w:szCs w:val="22"/>
          <w:lang w:val="en-GB"/>
        </w:rPr>
      </w:pPr>
    </w:p>
    <w:p w14:paraId="54E3D495" w14:textId="77777777" w:rsidR="002C6801" w:rsidRDefault="002C6801">
      <w:pPr>
        <w:rPr>
          <w:b/>
          <w:sz w:val="22"/>
          <w:szCs w:val="22"/>
          <w:lang w:val="en-GB"/>
        </w:rPr>
      </w:pPr>
    </w:p>
    <w:p w14:paraId="08716C66" w14:textId="664D7A1B" w:rsidR="00A8036E" w:rsidRDefault="00A8036E">
      <w:pPr>
        <w:rPr>
          <w:b/>
          <w:sz w:val="22"/>
          <w:szCs w:val="22"/>
          <w:lang w:val="en-GB"/>
        </w:rPr>
      </w:pPr>
    </w:p>
    <w:p w14:paraId="391B3E42" w14:textId="77777777" w:rsidR="00A62A0B" w:rsidRDefault="00A62A0B">
      <w:pPr>
        <w:rPr>
          <w:b/>
          <w:sz w:val="22"/>
          <w:szCs w:val="22"/>
          <w:lang w:val="en-GB"/>
        </w:rPr>
      </w:pPr>
      <w:r>
        <w:rPr>
          <w:b/>
          <w:sz w:val="22"/>
          <w:szCs w:val="22"/>
          <w:lang w:val="en-GB"/>
        </w:rPr>
        <w:br w:type="page"/>
      </w:r>
    </w:p>
    <w:p w14:paraId="74C5D327" w14:textId="2C7FACF7" w:rsidR="00C47433" w:rsidRPr="006C6BB5" w:rsidRDefault="00E85E13" w:rsidP="00D56D90">
      <w:pPr>
        <w:spacing w:after="200" w:line="360" w:lineRule="auto"/>
        <w:ind w:left="720" w:hanging="720"/>
        <w:contextualSpacing/>
        <w:rPr>
          <w:b/>
          <w:sz w:val="22"/>
          <w:szCs w:val="22"/>
          <w:lang w:val="en-GB"/>
        </w:rPr>
      </w:pPr>
      <w:r w:rsidRPr="006C6BB5">
        <w:rPr>
          <w:b/>
          <w:sz w:val="22"/>
          <w:szCs w:val="22"/>
          <w:lang w:val="en-GB"/>
        </w:rPr>
        <w:lastRenderedPageBreak/>
        <w:t>REFERENCES</w:t>
      </w:r>
      <w:r w:rsidR="00CD2C8E" w:rsidRPr="006C6BB5">
        <w:rPr>
          <w:b/>
          <w:sz w:val="22"/>
          <w:szCs w:val="22"/>
          <w:lang w:val="en-GB"/>
        </w:rPr>
        <w:t xml:space="preserve"> </w:t>
      </w:r>
    </w:p>
    <w:p w14:paraId="64427A93" w14:textId="77777777" w:rsidR="002655C8" w:rsidRPr="006C6BB5" w:rsidRDefault="00B96EBE" w:rsidP="005333D6">
      <w:pPr>
        <w:spacing w:after="200" w:line="360" w:lineRule="auto"/>
        <w:ind w:left="720" w:hanging="720"/>
        <w:contextualSpacing/>
        <w:rPr>
          <w:sz w:val="22"/>
          <w:szCs w:val="22"/>
          <w:lang w:val="en-GB"/>
        </w:rPr>
      </w:pPr>
      <w:proofErr w:type="spellStart"/>
      <w:r w:rsidRPr="000E6790">
        <w:rPr>
          <w:sz w:val="22"/>
          <w:szCs w:val="22"/>
        </w:rPr>
        <w:t>Alexy</w:t>
      </w:r>
      <w:proofErr w:type="spellEnd"/>
      <w:r w:rsidRPr="000E6790">
        <w:rPr>
          <w:sz w:val="22"/>
          <w:szCs w:val="22"/>
        </w:rPr>
        <w:t xml:space="preserve">, O., </w:t>
      </w:r>
      <w:proofErr w:type="spellStart"/>
      <w:r w:rsidRPr="000E6790">
        <w:rPr>
          <w:sz w:val="22"/>
          <w:szCs w:val="22"/>
        </w:rPr>
        <w:t>Criscuolo</w:t>
      </w:r>
      <w:proofErr w:type="spellEnd"/>
      <w:r w:rsidRPr="000E6790">
        <w:rPr>
          <w:sz w:val="22"/>
          <w:szCs w:val="22"/>
        </w:rPr>
        <w:t>, P.</w:t>
      </w:r>
      <w:r w:rsidR="001F5E63" w:rsidRPr="000E6790">
        <w:rPr>
          <w:sz w:val="22"/>
          <w:szCs w:val="22"/>
        </w:rPr>
        <w:t xml:space="preserve"> </w:t>
      </w:r>
      <w:r w:rsidR="00270A1E" w:rsidRPr="000E6790">
        <w:rPr>
          <w:sz w:val="22"/>
          <w:szCs w:val="22"/>
        </w:rPr>
        <w:t>&amp;</w:t>
      </w:r>
      <w:r w:rsidR="001F5E63" w:rsidRPr="000E6790">
        <w:rPr>
          <w:sz w:val="22"/>
          <w:szCs w:val="22"/>
        </w:rPr>
        <w:t xml:space="preserve"> </w:t>
      </w:r>
      <w:r w:rsidRPr="000E6790">
        <w:rPr>
          <w:sz w:val="22"/>
          <w:szCs w:val="22"/>
        </w:rPr>
        <w:t xml:space="preserve">Salter, A. (2009). </w:t>
      </w:r>
      <w:r w:rsidRPr="006C6BB5">
        <w:rPr>
          <w:sz w:val="22"/>
          <w:szCs w:val="22"/>
          <w:lang w:val="en-GB"/>
        </w:rPr>
        <w:t xml:space="preserve">Does IP strategy have to cripple open innovation? </w:t>
      </w:r>
      <w:r w:rsidRPr="006C6BB5">
        <w:rPr>
          <w:i/>
          <w:sz w:val="22"/>
          <w:szCs w:val="22"/>
          <w:lang w:val="en-GB"/>
        </w:rPr>
        <w:t>MIT Sloan Management Review</w:t>
      </w:r>
      <w:r w:rsidRPr="006C6BB5">
        <w:rPr>
          <w:sz w:val="22"/>
          <w:szCs w:val="22"/>
          <w:lang w:val="en-GB"/>
        </w:rPr>
        <w:t xml:space="preserve">, 51 (1), 71-77. </w:t>
      </w:r>
    </w:p>
    <w:p w14:paraId="1A53FCEC" w14:textId="77777777" w:rsidR="00380A93" w:rsidRPr="006C6BB5" w:rsidRDefault="00380A93" w:rsidP="005333D6">
      <w:pPr>
        <w:spacing w:after="200" w:line="360" w:lineRule="auto"/>
        <w:ind w:left="720" w:hanging="720"/>
        <w:contextualSpacing/>
        <w:rPr>
          <w:sz w:val="22"/>
          <w:szCs w:val="22"/>
          <w:lang w:val="en-GB"/>
        </w:rPr>
      </w:pPr>
      <w:r w:rsidRPr="000E6790">
        <w:rPr>
          <w:sz w:val="22"/>
          <w:szCs w:val="22"/>
        </w:rPr>
        <w:t xml:space="preserve">Anton, J. J., &amp; Yao, D. A. (2004). </w:t>
      </w:r>
      <w:r w:rsidRPr="006C6BB5">
        <w:rPr>
          <w:sz w:val="22"/>
          <w:szCs w:val="22"/>
          <w:lang w:val="en-GB"/>
        </w:rPr>
        <w:t xml:space="preserve">Little patents and big secrets: Managing intellectual property. </w:t>
      </w:r>
      <w:r w:rsidRPr="006C6BB5">
        <w:rPr>
          <w:i/>
          <w:iCs/>
          <w:sz w:val="22"/>
          <w:szCs w:val="22"/>
          <w:lang w:val="en-GB"/>
        </w:rPr>
        <w:t>RAND Journal of Economics</w:t>
      </w:r>
      <w:r w:rsidRPr="006C6BB5">
        <w:rPr>
          <w:sz w:val="22"/>
          <w:szCs w:val="22"/>
          <w:lang w:val="en-GB"/>
        </w:rPr>
        <w:t>, 35, 1-22.</w:t>
      </w:r>
    </w:p>
    <w:p w14:paraId="26998426" w14:textId="1D605968" w:rsidR="002352E3" w:rsidRPr="006C6BB5" w:rsidRDefault="002352E3" w:rsidP="005333D6">
      <w:pPr>
        <w:spacing w:after="200" w:line="360" w:lineRule="auto"/>
        <w:ind w:left="720" w:hanging="720"/>
        <w:contextualSpacing/>
        <w:rPr>
          <w:sz w:val="22"/>
          <w:szCs w:val="22"/>
          <w:lang w:val="en-GB"/>
        </w:rPr>
      </w:pPr>
      <w:r w:rsidRPr="006C6BB5">
        <w:rPr>
          <w:sz w:val="22"/>
          <w:szCs w:val="22"/>
          <w:lang w:val="en-GB"/>
        </w:rPr>
        <w:t xml:space="preserve">Arundel, A. &amp; </w:t>
      </w:r>
      <w:proofErr w:type="spellStart"/>
      <w:r w:rsidRPr="006C6BB5">
        <w:rPr>
          <w:sz w:val="22"/>
          <w:szCs w:val="22"/>
          <w:lang w:val="en-GB"/>
        </w:rPr>
        <w:t>Kabla</w:t>
      </w:r>
      <w:proofErr w:type="spellEnd"/>
      <w:r w:rsidRPr="006C6BB5">
        <w:rPr>
          <w:sz w:val="22"/>
          <w:szCs w:val="22"/>
          <w:lang w:val="en-GB"/>
        </w:rPr>
        <w:t xml:space="preserve">, I. (1998). What </w:t>
      </w:r>
      <w:proofErr w:type="gramStart"/>
      <w:r w:rsidRPr="006C6BB5">
        <w:rPr>
          <w:sz w:val="22"/>
          <w:szCs w:val="22"/>
          <w:lang w:val="en-GB"/>
        </w:rPr>
        <w:t>percentage of innovations are</w:t>
      </w:r>
      <w:proofErr w:type="gramEnd"/>
      <w:r w:rsidRPr="006C6BB5">
        <w:rPr>
          <w:sz w:val="22"/>
          <w:szCs w:val="22"/>
          <w:lang w:val="en-GB"/>
        </w:rPr>
        <w:t xml:space="preserve"> patented? Empirical estimates for European firms. </w:t>
      </w:r>
      <w:r w:rsidRPr="006C6BB5">
        <w:rPr>
          <w:i/>
          <w:sz w:val="22"/>
          <w:szCs w:val="22"/>
          <w:lang w:val="en-GB"/>
        </w:rPr>
        <w:t>Research Policy</w:t>
      </w:r>
      <w:r w:rsidRPr="006C6BB5">
        <w:rPr>
          <w:sz w:val="22"/>
          <w:szCs w:val="22"/>
          <w:lang w:val="en-GB"/>
        </w:rPr>
        <w:t>, 27, 127-141.</w:t>
      </w:r>
    </w:p>
    <w:p w14:paraId="4FA64B6F" w14:textId="77777777" w:rsidR="00A215BA" w:rsidRPr="006C6BB5" w:rsidRDefault="00A215BA" w:rsidP="005333D6">
      <w:pPr>
        <w:spacing w:after="200" w:line="360" w:lineRule="auto"/>
        <w:ind w:left="720" w:hanging="720"/>
        <w:contextualSpacing/>
        <w:rPr>
          <w:sz w:val="22"/>
          <w:szCs w:val="22"/>
          <w:lang w:val="en-GB"/>
        </w:rPr>
      </w:pPr>
      <w:r w:rsidRPr="006C6BB5">
        <w:rPr>
          <w:sz w:val="22"/>
          <w:szCs w:val="22"/>
          <w:lang w:val="en-GB"/>
        </w:rPr>
        <w:t>Baum, C. F., Schaffer, M.E.,</w:t>
      </w:r>
      <w:r w:rsidR="00270A1E" w:rsidRPr="006C6BB5">
        <w:rPr>
          <w:sz w:val="22"/>
          <w:szCs w:val="22"/>
          <w:lang w:val="en-GB"/>
        </w:rPr>
        <w:t xml:space="preserve"> &amp; </w:t>
      </w:r>
      <w:proofErr w:type="spellStart"/>
      <w:r w:rsidRPr="006C6BB5">
        <w:rPr>
          <w:sz w:val="22"/>
          <w:szCs w:val="22"/>
          <w:lang w:val="en-GB"/>
        </w:rPr>
        <w:t>Stillman</w:t>
      </w:r>
      <w:proofErr w:type="spellEnd"/>
      <w:r w:rsidRPr="006C6BB5">
        <w:rPr>
          <w:sz w:val="22"/>
          <w:szCs w:val="22"/>
          <w:lang w:val="en-GB"/>
        </w:rPr>
        <w:t>, S. (</w:t>
      </w:r>
      <w:r w:rsidR="00E02F45" w:rsidRPr="006C6BB5">
        <w:rPr>
          <w:sz w:val="22"/>
          <w:szCs w:val="22"/>
          <w:lang w:val="en-GB"/>
        </w:rPr>
        <w:t>2003</w:t>
      </w:r>
      <w:r w:rsidRPr="006C6BB5">
        <w:rPr>
          <w:sz w:val="22"/>
          <w:szCs w:val="22"/>
          <w:lang w:val="en-GB"/>
        </w:rPr>
        <w:t xml:space="preserve">). Enhanced routines for instrumental variables/GMM estimation and testing.  </w:t>
      </w:r>
      <w:r w:rsidRPr="006C6BB5">
        <w:rPr>
          <w:i/>
          <w:sz w:val="22"/>
          <w:szCs w:val="22"/>
          <w:lang w:val="en-GB"/>
        </w:rPr>
        <w:t>The Stata Journal</w:t>
      </w:r>
      <w:r w:rsidRPr="006C6BB5">
        <w:rPr>
          <w:sz w:val="22"/>
          <w:szCs w:val="22"/>
          <w:lang w:val="en-GB"/>
        </w:rPr>
        <w:t>, 7(4), 465-506.</w:t>
      </w:r>
    </w:p>
    <w:p w14:paraId="1AD31867" w14:textId="77777777" w:rsidR="00FE6855" w:rsidRPr="006C6BB5" w:rsidRDefault="00FE6855" w:rsidP="005333D6">
      <w:pPr>
        <w:spacing w:after="200" w:line="360" w:lineRule="auto"/>
        <w:ind w:left="720" w:hanging="720"/>
        <w:contextualSpacing/>
        <w:rPr>
          <w:sz w:val="22"/>
          <w:szCs w:val="22"/>
          <w:lang w:val="en-GB"/>
        </w:rPr>
      </w:pPr>
      <w:r w:rsidRPr="00B4480A">
        <w:rPr>
          <w:sz w:val="22"/>
          <w:szCs w:val="22"/>
          <w:lang w:val="nl-NL"/>
        </w:rPr>
        <w:t>Bessen, J.</w:t>
      </w:r>
      <w:r w:rsidR="00270A1E" w:rsidRPr="00B4480A">
        <w:rPr>
          <w:sz w:val="22"/>
          <w:szCs w:val="22"/>
          <w:lang w:val="nl-NL"/>
        </w:rPr>
        <w:t xml:space="preserve"> &amp; </w:t>
      </w:r>
      <w:proofErr w:type="spellStart"/>
      <w:r w:rsidRPr="00B4480A">
        <w:rPr>
          <w:sz w:val="22"/>
          <w:szCs w:val="22"/>
          <w:lang w:val="nl-NL"/>
        </w:rPr>
        <w:t>Meurer</w:t>
      </w:r>
      <w:proofErr w:type="spellEnd"/>
      <w:r w:rsidRPr="00B4480A">
        <w:rPr>
          <w:sz w:val="22"/>
          <w:szCs w:val="22"/>
          <w:lang w:val="nl-NL"/>
        </w:rPr>
        <w:t xml:space="preserve">, M.J. (2008). </w:t>
      </w:r>
      <w:r w:rsidRPr="006C6BB5">
        <w:rPr>
          <w:i/>
          <w:sz w:val="22"/>
          <w:szCs w:val="22"/>
          <w:lang w:val="en-GB"/>
        </w:rPr>
        <w:t>Patent failure</w:t>
      </w:r>
      <w:r w:rsidRPr="006C6BB5">
        <w:rPr>
          <w:sz w:val="22"/>
          <w:szCs w:val="22"/>
          <w:lang w:val="en-GB"/>
        </w:rPr>
        <w:t>, Princeton, NJ</w:t>
      </w:r>
      <w:proofErr w:type="gramStart"/>
      <w:r w:rsidR="001136BD" w:rsidRPr="006C6BB5">
        <w:rPr>
          <w:sz w:val="22"/>
          <w:szCs w:val="22"/>
          <w:lang w:val="en-GB"/>
        </w:rPr>
        <w:t>.:</w:t>
      </w:r>
      <w:proofErr w:type="gramEnd"/>
      <w:r w:rsidR="001136BD" w:rsidRPr="006C6BB5">
        <w:rPr>
          <w:sz w:val="22"/>
          <w:szCs w:val="22"/>
          <w:lang w:val="en-GB"/>
        </w:rPr>
        <w:t xml:space="preserve"> Princeton University Press</w:t>
      </w:r>
    </w:p>
    <w:p w14:paraId="2F5BF858" w14:textId="77777777" w:rsidR="00540698" w:rsidRPr="006C6BB5" w:rsidRDefault="00540698" w:rsidP="00540698">
      <w:pPr>
        <w:spacing w:after="200" w:line="360" w:lineRule="auto"/>
        <w:ind w:left="720" w:hanging="720"/>
        <w:contextualSpacing/>
        <w:rPr>
          <w:sz w:val="22"/>
          <w:szCs w:val="22"/>
          <w:lang w:val="en-GB"/>
        </w:rPr>
      </w:pPr>
      <w:r w:rsidRPr="00844D55">
        <w:rPr>
          <w:sz w:val="22"/>
          <w:szCs w:val="22"/>
          <w:lang w:val="nl-NL"/>
        </w:rPr>
        <w:t xml:space="preserve">Centraal Bureau voor de Statistiek (2010). </w:t>
      </w:r>
      <w:proofErr w:type="spellStart"/>
      <w:r w:rsidRPr="006C6BB5">
        <w:rPr>
          <w:sz w:val="22"/>
          <w:szCs w:val="22"/>
          <w:lang w:val="en-GB"/>
        </w:rPr>
        <w:t>Documentatierapport</w:t>
      </w:r>
      <w:proofErr w:type="spellEnd"/>
      <w:r w:rsidRPr="006C6BB5">
        <w:rPr>
          <w:sz w:val="22"/>
          <w:szCs w:val="22"/>
          <w:lang w:val="en-GB"/>
        </w:rPr>
        <w:t xml:space="preserve"> Community Innovation</w:t>
      </w:r>
    </w:p>
    <w:p w14:paraId="76530209" w14:textId="77777777" w:rsidR="00540698" w:rsidRPr="006C6BB5" w:rsidRDefault="006501A5" w:rsidP="00540698">
      <w:pPr>
        <w:spacing w:after="200" w:line="360" w:lineRule="auto"/>
        <w:ind w:left="720"/>
        <w:contextualSpacing/>
        <w:rPr>
          <w:sz w:val="22"/>
          <w:szCs w:val="22"/>
          <w:lang w:val="en-GB"/>
        </w:rPr>
      </w:pPr>
      <w:r w:rsidRPr="006C6BB5">
        <w:rPr>
          <w:sz w:val="22"/>
          <w:szCs w:val="22"/>
          <w:lang w:val="en-GB"/>
        </w:rPr>
        <w:t xml:space="preserve">Survey (CIS). </w:t>
      </w:r>
    </w:p>
    <w:p w14:paraId="69820AB4" w14:textId="77777777" w:rsidR="002655C8" w:rsidRPr="006C6BB5" w:rsidRDefault="002655C8" w:rsidP="005333D6">
      <w:pPr>
        <w:spacing w:after="200" w:line="360" w:lineRule="auto"/>
        <w:ind w:left="720" w:hanging="720"/>
        <w:contextualSpacing/>
        <w:rPr>
          <w:sz w:val="22"/>
          <w:szCs w:val="22"/>
          <w:lang w:val="en-GB"/>
        </w:rPr>
      </w:pPr>
      <w:r w:rsidRPr="006C6BB5">
        <w:rPr>
          <w:sz w:val="22"/>
          <w:szCs w:val="22"/>
          <w:lang w:val="en-GB"/>
        </w:rPr>
        <w:t xml:space="preserve">Chesbrough, H.W. (2003). </w:t>
      </w:r>
      <w:r w:rsidRPr="006C6BB5">
        <w:rPr>
          <w:i/>
          <w:iCs/>
          <w:sz w:val="22"/>
          <w:szCs w:val="22"/>
          <w:lang w:val="en-GB"/>
        </w:rPr>
        <w:t>Open Innovation: The new imperative for creating and profiting from technology</w:t>
      </w:r>
      <w:r w:rsidR="001136BD" w:rsidRPr="006C6BB5">
        <w:rPr>
          <w:sz w:val="22"/>
          <w:szCs w:val="22"/>
          <w:lang w:val="en-GB"/>
        </w:rPr>
        <w:t>, Boston, M</w:t>
      </w:r>
      <w:r w:rsidRPr="006C6BB5">
        <w:rPr>
          <w:sz w:val="22"/>
          <w:szCs w:val="22"/>
          <w:lang w:val="en-GB"/>
        </w:rPr>
        <w:t>A</w:t>
      </w:r>
      <w:proofErr w:type="gramStart"/>
      <w:r w:rsidRPr="006C6BB5">
        <w:rPr>
          <w:sz w:val="22"/>
          <w:szCs w:val="22"/>
          <w:lang w:val="en-GB"/>
        </w:rPr>
        <w:t>.:</w:t>
      </w:r>
      <w:proofErr w:type="gramEnd"/>
      <w:r w:rsidRPr="006C6BB5">
        <w:rPr>
          <w:sz w:val="22"/>
          <w:szCs w:val="22"/>
          <w:lang w:val="en-GB"/>
        </w:rPr>
        <w:t xml:space="preserve"> Harvard Business School Press.</w:t>
      </w:r>
    </w:p>
    <w:p w14:paraId="3CE189E9" w14:textId="77777777" w:rsidR="00E13E3D" w:rsidRDefault="00A701FC" w:rsidP="00E13E3D">
      <w:pPr>
        <w:spacing w:after="200" w:line="360" w:lineRule="auto"/>
        <w:ind w:left="720" w:hanging="720"/>
        <w:contextualSpacing/>
        <w:rPr>
          <w:sz w:val="22"/>
          <w:szCs w:val="22"/>
          <w:lang w:val="en-GB"/>
        </w:rPr>
      </w:pPr>
      <w:r w:rsidRPr="006C6BB5">
        <w:rPr>
          <w:sz w:val="22"/>
          <w:szCs w:val="22"/>
          <w:lang w:val="en-GB"/>
        </w:rPr>
        <w:t>Chiang, Y.</w:t>
      </w:r>
      <w:r w:rsidR="00270A1E" w:rsidRPr="006C6BB5">
        <w:rPr>
          <w:sz w:val="22"/>
          <w:szCs w:val="22"/>
          <w:lang w:val="en-GB"/>
        </w:rPr>
        <w:t xml:space="preserve"> &amp; </w:t>
      </w:r>
      <w:r w:rsidRPr="006C6BB5">
        <w:rPr>
          <w:sz w:val="22"/>
          <w:szCs w:val="22"/>
          <w:lang w:val="en-GB"/>
        </w:rPr>
        <w:t xml:space="preserve">Hung, K. (2010). Exploring open search strategies and perceived innovation performance from the perspective of inter-organizational knowledge flows. </w:t>
      </w:r>
      <w:r w:rsidRPr="006C6BB5">
        <w:rPr>
          <w:i/>
          <w:sz w:val="22"/>
          <w:szCs w:val="22"/>
          <w:lang w:val="en-GB"/>
        </w:rPr>
        <w:t>R&amp;D Management</w:t>
      </w:r>
      <w:r w:rsidRPr="006C6BB5">
        <w:rPr>
          <w:sz w:val="22"/>
          <w:szCs w:val="22"/>
          <w:lang w:val="en-GB"/>
        </w:rPr>
        <w:t xml:space="preserve">, 40 (3), 292-299. </w:t>
      </w:r>
    </w:p>
    <w:p w14:paraId="3374866A" w14:textId="4ABB77DF" w:rsidR="00E13E3D" w:rsidRPr="006C6BB5" w:rsidRDefault="00E13E3D" w:rsidP="00DE6E74">
      <w:pPr>
        <w:spacing w:after="200" w:line="360" w:lineRule="auto"/>
        <w:ind w:left="720" w:hanging="720"/>
        <w:contextualSpacing/>
        <w:rPr>
          <w:sz w:val="22"/>
          <w:szCs w:val="22"/>
          <w:lang w:val="en-GB"/>
        </w:rPr>
      </w:pPr>
      <w:r w:rsidRPr="006C6BB5">
        <w:rPr>
          <w:sz w:val="22"/>
          <w:szCs w:val="22"/>
          <w:lang w:val="en-GB"/>
        </w:rPr>
        <w:t xml:space="preserve">Cohen, W.M., Nelson, R., Walsh, J. (2000): Protecting their intellectual assets - </w:t>
      </w:r>
      <w:proofErr w:type="spellStart"/>
      <w:r w:rsidRPr="006C6BB5">
        <w:rPr>
          <w:sz w:val="22"/>
          <w:szCs w:val="22"/>
          <w:lang w:val="en-GB"/>
        </w:rPr>
        <w:t>appro</w:t>
      </w:r>
      <w:r w:rsidR="00855137" w:rsidRPr="006C6BB5">
        <w:rPr>
          <w:sz w:val="22"/>
          <w:szCs w:val="22"/>
          <w:lang w:val="en-GB"/>
        </w:rPr>
        <w:t>pr</w:t>
      </w:r>
      <w:r w:rsidRPr="006C6BB5">
        <w:rPr>
          <w:sz w:val="22"/>
          <w:szCs w:val="22"/>
          <w:lang w:val="en-GB"/>
        </w:rPr>
        <w:t>iability</w:t>
      </w:r>
      <w:proofErr w:type="spellEnd"/>
      <w:r w:rsidRPr="006C6BB5">
        <w:rPr>
          <w:sz w:val="22"/>
          <w:szCs w:val="22"/>
          <w:lang w:val="en-GB"/>
        </w:rPr>
        <w:t xml:space="preserve"> conditions and why U.S. manufactu</w:t>
      </w:r>
      <w:r w:rsidR="00E125A3" w:rsidRPr="006C6BB5">
        <w:rPr>
          <w:sz w:val="22"/>
          <w:szCs w:val="22"/>
          <w:lang w:val="en-GB"/>
        </w:rPr>
        <w:t xml:space="preserve">ring firms patent or not. NBER </w:t>
      </w:r>
      <w:r w:rsidRPr="006C6BB5">
        <w:rPr>
          <w:sz w:val="22"/>
          <w:szCs w:val="22"/>
          <w:lang w:val="en-GB"/>
        </w:rPr>
        <w:t>Working Paper No. 7552.</w:t>
      </w:r>
    </w:p>
    <w:p w14:paraId="18555106" w14:textId="77777777" w:rsidR="00F909D5" w:rsidRPr="006C6BB5" w:rsidRDefault="00F909D5" w:rsidP="00DE6E74">
      <w:pPr>
        <w:spacing w:line="360" w:lineRule="auto"/>
        <w:rPr>
          <w:sz w:val="22"/>
          <w:szCs w:val="22"/>
          <w:lang w:val="en-GB"/>
        </w:rPr>
      </w:pPr>
      <w:r w:rsidRPr="006C6BB5">
        <w:rPr>
          <w:sz w:val="22"/>
          <w:szCs w:val="22"/>
          <w:lang w:val="en-GB"/>
        </w:rPr>
        <w:t>Dahlander, L</w:t>
      </w:r>
      <w:r w:rsidR="00270A1E" w:rsidRPr="006C6BB5">
        <w:rPr>
          <w:sz w:val="22"/>
          <w:szCs w:val="22"/>
          <w:lang w:val="en-GB"/>
        </w:rPr>
        <w:t xml:space="preserve"> &amp; </w:t>
      </w:r>
      <w:r w:rsidRPr="006C6BB5">
        <w:rPr>
          <w:sz w:val="22"/>
          <w:szCs w:val="22"/>
          <w:lang w:val="en-GB"/>
        </w:rPr>
        <w:t xml:space="preserve">Gann, D.M. (2010). How open is innovation? </w:t>
      </w:r>
      <w:r w:rsidRPr="006C6BB5">
        <w:rPr>
          <w:i/>
          <w:sz w:val="22"/>
          <w:szCs w:val="22"/>
          <w:lang w:val="en-GB"/>
        </w:rPr>
        <w:t>Research Policy</w:t>
      </w:r>
      <w:r w:rsidRPr="006C6BB5">
        <w:rPr>
          <w:sz w:val="22"/>
          <w:szCs w:val="22"/>
          <w:lang w:val="en-GB"/>
        </w:rPr>
        <w:t xml:space="preserve">, 39, 699-709. </w:t>
      </w:r>
    </w:p>
    <w:p w14:paraId="1C1215B8" w14:textId="77777777" w:rsidR="00DE6E74" w:rsidRPr="006C6BB5" w:rsidRDefault="00DE6E74" w:rsidP="00DE6E74">
      <w:pPr>
        <w:widowControl w:val="0"/>
        <w:autoSpaceDE w:val="0"/>
        <w:autoSpaceDN w:val="0"/>
        <w:adjustRightInd w:val="0"/>
        <w:spacing w:line="360" w:lineRule="auto"/>
        <w:rPr>
          <w:sz w:val="22"/>
          <w:szCs w:val="22"/>
          <w:lang w:val="en-GB"/>
        </w:rPr>
      </w:pPr>
      <w:r w:rsidRPr="000E6790">
        <w:rPr>
          <w:sz w:val="22"/>
          <w:szCs w:val="22"/>
        </w:rPr>
        <w:t xml:space="preserve">Dewar, R. D. &amp; Dutton, J. E. (1986). </w:t>
      </w:r>
      <w:r w:rsidRPr="006C6BB5">
        <w:rPr>
          <w:sz w:val="22"/>
          <w:szCs w:val="22"/>
          <w:lang w:val="en-GB"/>
        </w:rPr>
        <w:t>The adoption of radical and incremental innovations: An</w:t>
      </w:r>
    </w:p>
    <w:p w14:paraId="7CD7F2B5" w14:textId="77777777" w:rsidR="00DE6E74" w:rsidRPr="006C6BB5" w:rsidRDefault="00DE6E74" w:rsidP="00DE6E74">
      <w:pPr>
        <w:widowControl w:val="0"/>
        <w:autoSpaceDE w:val="0"/>
        <w:autoSpaceDN w:val="0"/>
        <w:adjustRightInd w:val="0"/>
        <w:spacing w:line="360" w:lineRule="auto"/>
        <w:ind w:firstLine="720"/>
        <w:rPr>
          <w:sz w:val="22"/>
          <w:szCs w:val="22"/>
          <w:lang w:val="en-GB"/>
        </w:rPr>
      </w:pPr>
      <w:proofErr w:type="gramStart"/>
      <w:r w:rsidRPr="006C6BB5">
        <w:rPr>
          <w:sz w:val="22"/>
          <w:szCs w:val="22"/>
          <w:lang w:val="en-GB"/>
        </w:rPr>
        <w:t>empirical</w:t>
      </w:r>
      <w:proofErr w:type="gramEnd"/>
      <w:r w:rsidRPr="006C6BB5">
        <w:rPr>
          <w:sz w:val="22"/>
          <w:szCs w:val="22"/>
          <w:lang w:val="en-GB"/>
        </w:rPr>
        <w:t xml:space="preserve"> analysis. </w:t>
      </w:r>
      <w:r w:rsidRPr="006C6BB5">
        <w:rPr>
          <w:i/>
          <w:sz w:val="22"/>
          <w:szCs w:val="22"/>
          <w:lang w:val="en-GB"/>
        </w:rPr>
        <w:t>Management Science</w:t>
      </w:r>
      <w:r w:rsidRPr="006C6BB5">
        <w:rPr>
          <w:sz w:val="22"/>
          <w:szCs w:val="22"/>
          <w:lang w:val="en-GB"/>
        </w:rPr>
        <w:t>, 32, 1422-1433.</w:t>
      </w:r>
    </w:p>
    <w:p w14:paraId="0BC513D0" w14:textId="77777777" w:rsidR="000E3CAD" w:rsidRPr="006C6BB5" w:rsidRDefault="000E3CAD" w:rsidP="006741D7">
      <w:pPr>
        <w:widowControl w:val="0"/>
        <w:autoSpaceDE w:val="0"/>
        <w:autoSpaceDN w:val="0"/>
        <w:adjustRightInd w:val="0"/>
        <w:spacing w:line="360" w:lineRule="auto"/>
        <w:rPr>
          <w:sz w:val="22"/>
          <w:szCs w:val="22"/>
          <w:lang w:val="en-GB"/>
        </w:rPr>
      </w:pPr>
      <w:r w:rsidRPr="006C6BB5">
        <w:rPr>
          <w:sz w:val="22"/>
          <w:szCs w:val="22"/>
          <w:lang w:val="en-GB"/>
        </w:rPr>
        <w:t>Dodgson, M &amp; Rothwell, R. (1994). Innovation and size of firm. In Dodgson, M &amp; Rothwell, R. (</w:t>
      </w:r>
      <w:proofErr w:type="spellStart"/>
      <w:r w:rsidRPr="006C6BB5">
        <w:rPr>
          <w:sz w:val="22"/>
          <w:szCs w:val="22"/>
          <w:lang w:val="en-GB"/>
        </w:rPr>
        <w:t>eds</w:t>
      </w:r>
      <w:proofErr w:type="spellEnd"/>
      <w:r w:rsidRPr="006C6BB5">
        <w:rPr>
          <w:sz w:val="22"/>
          <w:szCs w:val="22"/>
          <w:lang w:val="en-GB"/>
        </w:rPr>
        <w:t xml:space="preserve">) </w:t>
      </w:r>
    </w:p>
    <w:p w14:paraId="5894F64A" w14:textId="2295C165" w:rsidR="000E3CAD" w:rsidRPr="00844D55" w:rsidRDefault="000E3CAD" w:rsidP="000E3CAD">
      <w:pPr>
        <w:widowControl w:val="0"/>
        <w:autoSpaceDE w:val="0"/>
        <w:autoSpaceDN w:val="0"/>
        <w:adjustRightInd w:val="0"/>
        <w:spacing w:line="360" w:lineRule="auto"/>
        <w:ind w:firstLine="720"/>
        <w:rPr>
          <w:sz w:val="22"/>
          <w:szCs w:val="22"/>
          <w:lang w:val="nl-NL"/>
        </w:rPr>
      </w:pPr>
      <w:r w:rsidRPr="006C6BB5">
        <w:rPr>
          <w:sz w:val="22"/>
          <w:szCs w:val="22"/>
          <w:lang w:val="en-GB"/>
        </w:rPr>
        <w:t xml:space="preserve">The Handbook of Industrial Innovation. </w:t>
      </w:r>
      <w:proofErr w:type="spellStart"/>
      <w:r w:rsidRPr="00844D55">
        <w:rPr>
          <w:sz w:val="22"/>
          <w:szCs w:val="22"/>
          <w:lang w:val="nl-NL"/>
        </w:rPr>
        <w:t>Cheltenham</w:t>
      </w:r>
      <w:proofErr w:type="spellEnd"/>
      <w:r w:rsidRPr="00844D55">
        <w:rPr>
          <w:sz w:val="22"/>
          <w:szCs w:val="22"/>
          <w:lang w:val="nl-NL"/>
        </w:rPr>
        <w:t xml:space="preserve">: Edward </w:t>
      </w:r>
      <w:proofErr w:type="spellStart"/>
      <w:r w:rsidRPr="00844D55">
        <w:rPr>
          <w:sz w:val="22"/>
          <w:szCs w:val="22"/>
          <w:lang w:val="nl-NL"/>
        </w:rPr>
        <w:t>Elgar</w:t>
      </w:r>
      <w:proofErr w:type="spellEnd"/>
      <w:r w:rsidRPr="00844D55">
        <w:rPr>
          <w:sz w:val="22"/>
          <w:szCs w:val="22"/>
          <w:lang w:val="nl-NL"/>
        </w:rPr>
        <w:t>.</w:t>
      </w:r>
    </w:p>
    <w:p w14:paraId="24BE6046" w14:textId="165E4295" w:rsidR="006741D7" w:rsidRPr="006C6BB5" w:rsidRDefault="006741D7" w:rsidP="006741D7">
      <w:pPr>
        <w:widowControl w:val="0"/>
        <w:autoSpaceDE w:val="0"/>
        <w:autoSpaceDN w:val="0"/>
        <w:adjustRightInd w:val="0"/>
        <w:spacing w:line="360" w:lineRule="auto"/>
        <w:rPr>
          <w:sz w:val="22"/>
          <w:szCs w:val="22"/>
          <w:lang w:val="en-GB"/>
        </w:rPr>
      </w:pPr>
      <w:proofErr w:type="spellStart"/>
      <w:r w:rsidRPr="00F23265">
        <w:rPr>
          <w:sz w:val="22"/>
          <w:szCs w:val="22"/>
        </w:rPr>
        <w:t>Dosi</w:t>
      </w:r>
      <w:proofErr w:type="spellEnd"/>
      <w:r w:rsidRPr="00F23265">
        <w:rPr>
          <w:sz w:val="22"/>
          <w:szCs w:val="22"/>
        </w:rPr>
        <w:t>, G. (1</w:t>
      </w:r>
      <w:r w:rsidR="004D1489" w:rsidRPr="00F23265">
        <w:rPr>
          <w:sz w:val="22"/>
          <w:szCs w:val="22"/>
        </w:rPr>
        <w:t>9</w:t>
      </w:r>
      <w:r w:rsidRPr="00F23265">
        <w:rPr>
          <w:sz w:val="22"/>
          <w:szCs w:val="22"/>
        </w:rPr>
        <w:t xml:space="preserve">82). </w:t>
      </w:r>
      <w:r w:rsidRPr="006C6BB5">
        <w:rPr>
          <w:sz w:val="22"/>
          <w:szCs w:val="22"/>
          <w:lang w:val="en-GB"/>
        </w:rPr>
        <w:t xml:space="preserve">Technological paradigms and technological </w:t>
      </w:r>
      <w:proofErr w:type="gramStart"/>
      <w:r w:rsidRPr="006C6BB5">
        <w:rPr>
          <w:sz w:val="22"/>
          <w:szCs w:val="22"/>
          <w:lang w:val="en-GB"/>
        </w:rPr>
        <w:t>trajectories :</w:t>
      </w:r>
      <w:proofErr w:type="gramEnd"/>
      <w:r w:rsidRPr="006C6BB5">
        <w:rPr>
          <w:sz w:val="22"/>
          <w:szCs w:val="22"/>
          <w:lang w:val="en-GB"/>
        </w:rPr>
        <w:t xml:space="preserve"> A suggested interpretation of</w:t>
      </w:r>
    </w:p>
    <w:p w14:paraId="44AA536B" w14:textId="6B8DF502" w:rsidR="006741D7" w:rsidRPr="006C6BB5" w:rsidRDefault="006741D7" w:rsidP="006741D7">
      <w:pPr>
        <w:widowControl w:val="0"/>
        <w:autoSpaceDE w:val="0"/>
        <w:autoSpaceDN w:val="0"/>
        <w:adjustRightInd w:val="0"/>
        <w:spacing w:line="360" w:lineRule="auto"/>
        <w:ind w:firstLine="720"/>
        <w:rPr>
          <w:sz w:val="22"/>
          <w:szCs w:val="22"/>
          <w:lang w:val="en-GB"/>
        </w:rPr>
      </w:pPr>
      <w:proofErr w:type="gramStart"/>
      <w:r w:rsidRPr="006C6BB5">
        <w:rPr>
          <w:sz w:val="22"/>
          <w:szCs w:val="22"/>
          <w:lang w:val="en-GB"/>
        </w:rPr>
        <w:t>the</w:t>
      </w:r>
      <w:proofErr w:type="gramEnd"/>
      <w:r w:rsidRPr="006C6BB5">
        <w:rPr>
          <w:sz w:val="22"/>
          <w:szCs w:val="22"/>
          <w:lang w:val="en-GB"/>
        </w:rPr>
        <w:t xml:space="preserve"> determinants and </w:t>
      </w:r>
      <w:proofErr w:type="spellStart"/>
      <w:r w:rsidRPr="006C6BB5">
        <w:rPr>
          <w:sz w:val="22"/>
          <w:szCs w:val="22"/>
          <w:lang w:val="en-GB"/>
        </w:rPr>
        <w:t>and</w:t>
      </w:r>
      <w:proofErr w:type="spellEnd"/>
      <w:r w:rsidRPr="006C6BB5">
        <w:rPr>
          <w:sz w:val="22"/>
          <w:szCs w:val="22"/>
          <w:lang w:val="en-GB"/>
        </w:rPr>
        <w:t xml:space="preserve"> directions of technical change. </w:t>
      </w:r>
      <w:r w:rsidRPr="006C6BB5">
        <w:rPr>
          <w:i/>
          <w:sz w:val="22"/>
          <w:szCs w:val="22"/>
          <w:lang w:val="en-GB"/>
        </w:rPr>
        <w:t>Research Policy</w:t>
      </w:r>
      <w:r w:rsidRPr="006C6BB5">
        <w:rPr>
          <w:sz w:val="22"/>
          <w:szCs w:val="22"/>
          <w:lang w:val="en-GB"/>
        </w:rPr>
        <w:t>, 11, 147-62.</w:t>
      </w:r>
    </w:p>
    <w:p w14:paraId="16914D8E" w14:textId="77777777" w:rsidR="000B299A" w:rsidRPr="006C6BB5" w:rsidRDefault="002655C8" w:rsidP="000B299A">
      <w:pPr>
        <w:spacing w:line="360" w:lineRule="auto"/>
        <w:rPr>
          <w:i/>
          <w:sz w:val="22"/>
          <w:szCs w:val="22"/>
          <w:lang w:val="en-GB"/>
        </w:rPr>
      </w:pPr>
      <w:proofErr w:type="spellStart"/>
      <w:r w:rsidRPr="006C6BB5">
        <w:rPr>
          <w:sz w:val="22"/>
          <w:szCs w:val="22"/>
          <w:lang w:val="en-GB"/>
        </w:rPr>
        <w:t>Drechsler</w:t>
      </w:r>
      <w:proofErr w:type="spellEnd"/>
      <w:r w:rsidRPr="006C6BB5">
        <w:rPr>
          <w:sz w:val="22"/>
          <w:szCs w:val="22"/>
          <w:lang w:val="en-GB"/>
        </w:rPr>
        <w:t>, W.</w:t>
      </w:r>
      <w:r w:rsidR="00270A1E" w:rsidRPr="006C6BB5">
        <w:rPr>
          <w:sz w:val="22"/>
          <w:szCs w:val="22"/>
          <w:lang w:val="en-GB"/>
        </w:rPr>
        <w:t xml:space="preserve"> &amp; </w:t>
      </w:r>
      <w:r w:rsidRPr="006C6BB5">
        <w:rPr>
          <w:sz w:val="22"/>
          <w:szCs w:val="22"/>
          <w:lang w:val="en-GB"/>
        </w:rPr>
        <w:t xml:space="preserve">Natter, M. (2012). Understanding a firm’s openness decisions in innovation. </w:t>
      </w:r>
      <w:r w:rsidRPr="006C6BB5">
        <w:rPr>
          <w:i/>
          <w:sz w:val="22"/>
          <w:szCs w:val="22"/>
          <w:lang w:val="en-GB"/>
        </w:rPr>
        <w:t>Journal</w:t>
      </w:r>
    </w:p>
    <w:p w14:paraId="6B1D95C9" w14:textId="73DCACDE" w:rsidR="002655C8" w:rsidRPr="006C6BB5" w:rsidRDefault="002655C8" w:rsidP="000B299A">
      <w:pPr>
        <w:spacing w:line="360" w:lineRule="auto"/>
        <w:ind w:firstLine="720"/>
        <w:rPr>
          <w:sz w:val="22"/>
          <w:szCs w:val="22"/>
          <w:lang w:val="en-GB"/>
        </w:rPr>
      </w:pPr>
      <w:proofErr w:type="gramStart"/>
      <w:r w:rsidRPr="006C6BB5">
        <w:rPr>
          <w:i/>
          <w:sz w:val="22"/>
          <w:szCs w:val="22"/>
          <w:lang w:val="en-GB"/>
        </w:rPr>
        <w:t>of</w:t>
      </w:r>
      <w:proofErr w:type="gramEnd"/>
      <w:r w:rsidRPr="006C6BB5">
        <w:rPr>
          <w:i/>
          <w:sz w:val="22"/>
          <w:szCs w:val="22"/>
          <w:lang w:val="en-GB"/>
        </w:rPr>
        <w:t xml:space="preserve"> Business Research</w:t>
      </w:r>
      <w:r w:rsidRPr="006C6BB5">
        <w:rPr>
          <w:sz w:val="22"/>
          <w:szCs w:val="22"/>
          <w:lang w:val="en-GB"/>
        </w:rPr>
        <w:t xml:space="preserve">, 65, 438-445. </w:t>
      </w:r>
    </w:p>
    <w:p w14:paraId="392AD046" w14:textId="77777777" w:rsidR="000B299A" w:rsidRPr="006C6BB5" w:rsidRDefault="002655C8" w:rsidP="000B299A">
      <w:pPr>
        <w:spacing w:line="360" w:lineRule="auto"/>
        <w:rPr>
          <w:i/>
          <w:iCs/>
          <w:sz w:val="22"/>
          <w:szCs w:val="22"/>
          <w:lang w:val="en-GB"/>
        </w:rPr>
      </w:pPr>
      <w:proofErr w:type="spellStart"/>
      <w:r w:rsidRPr="006C6BB5">
        <w:rPr>
          <w:sz w:val="22"/>
          <w:szCs w:val="22"/>
          <w:lang w:val="en-GB"/>
        </w:rPr>
        <w:t>Dubiansky</w:t>
      </w:r>
      <w:proofErr w:type="spellEnd"/>
      <w:r w:rsidRPr="006C6BB5">
        <w:rPr>
          <w:sz w:val="22"/>
          <w:szCs w:val="22"/>
          <w:lang w:val="en-GB"/>
        </w:rPr>
        <w:t xml:space="preserve">, J. (2006). The role of patents in fostering open innovation. </w:t>
      </w:r>
      <w:r w:rsidRPr="006C6BB5">
        <w:rPr>
          <w:i/>
          <w:iCs/>
          <w:sz w:val="22"/>
          <w:szCs w:val="22"/>
          <w:lang w:val="en-GB"/>
        </w:rPr>
        <w:t>Virginia Journal of</w:t>
      </w:r>
      <w:r w:rsidR="000B299A" w:rsidRPr="006C6BB5">
        <w:rPr>
          <w:i/>
          <w:iCs/>
          <w:sz w:val="22"/>
          <w:szCs w:val="22"/>
          <w:lang w:val="en-GB"/>
        </w:rPr>
        <w:t xml:space="preserve"> </w:t>
      </w:r>
      <w:r w:rsidRPr="006C6BB5">
        <w:rPr>
          <w:i/>
          <w:iCs/>
          <w:sz w:val="22"/>
          <w:szCs w:val="22"/>
          <w:lang w:val="en-GB"/>
        </w:rPr>
        <w:t>Law</w:t>
      </w:r>
      <w:r w:rsidR="00AA65F2" w:rsidRPr="006C6BB5">
        <w:rPr>
          <w:i/>
          <w:iCs/>
          <w:sz w:val="22"/>
          <w:szCs w:val="22"/>
          <w:lang w:val="en-GB"/>
        </w:rPr>
        <w:t xml:space="preserve"> </w:t>
      </w:r>
      <w:r w:rsidRPr="006C6BB5">
        <w:rPr>
          <w:i/>
          <w:iCs/>
          <w:sz w:val="22"/>
          <w:szCs w:val="22"/>
          <w:lang w:val="en-GB"/>
        </w:rPr>
        <w:t>&amp;</w:t>
      </w:r>
    </w:p>
    <w:p w14:paraId="79F6DAA9" w14:textId="3A84E3E6" w:rsidR="002655C8" w:rsidRPr="006C6BB5" w:rsidRDefault="00E13E3D" w:rsidP="000B299A">
      <w:pPr>
        <w:spacing w:line="360" w:lineRule="auto"/>
        <w:ind w:firstLine="720"/>
        <w:rPr>
          <w:i/>
          <w:iCs/>
          <w:sz w:val="22"/>
          <w:szCs w:val="22"/>
          <w:lang w:val="en-GB"/>
        </w:rPr>
      </w:pPr>
      <w:r w:rsidRPr="006C6BB5">
        <w:rPr>
          <w:i/>
          <w:iCs/>
          <w:sz w:val="22"/>
          <w:szCs w:val="22"/>
          <w:lang w:val="en-GB"/>
        </w:rPr>
        <w:t xml:space="preserve"> </w:t>
      </w:r>
      <w:r w:rsidR="002655C8" w:rsidRPr="006C6BB5">
        <w:rPr>
          <w:i/>
          <w:iCs/>
          <w:sz w:val="22"/>
          <w:szCs w:val="22"/>
          <w:lang w:val="en-GB"/>
        </w:rPr>
        <w:t>Technology</w:t>
      </w:r>
      <w:r w:rsidR="002655C8" w:rsidRPr="006C6BB5">
        <w:rPr>
          <w:sz w:val="22"/>
          <w:szCs w:val="22"/>
          <w:lang w:val="en-GB"/>
        </w:rPr>
        <w:t>, 11 (7), 1-36.</w:t>
      </w:r>
    </w:p>
    <w:p w14:paraId="14E88ED4" w14:textId="77777777" w:rsidR="000B299A" w:rsidRPr="006C6BB5" w:rsidRDefault="00270A1E" w:rsidP="000B299A">
      <w:pPr>
        <w:autoSpaceDE w:val="0"/>
        <w:autoSpaceDN w:val="0"/>
        <w:adjustRightInd w:val="0"/>
        <w:spacing w:line="360" w:lineRule="auto"/>
        <w:rPr>
          <w:sz w:val="22"/>
          <w:szCs w:val="22"/>
          <w:lang w:val="en-GB"/>
        </w:rPr>
      </w:pPr>
      <w:r w:rsidRPr="006C6BB5">
        <w:rPr>
          <w:sz w:val="22"/>
          <w:szCs w:val="22"/>
          <w:lang w:val="en-GB"/>
        </w:rPr>
        <w:t>Eurostat &amp;</w:t>
      </w:r>
      <w:r w:rsidR="00007C1F" w:rsidRPr="006C6BB5">
        <w:rPr>
          <w:sz w:val="22"/>
          <w:szCs w:val="22"/>
          <w:lang w:val="en-GB"/>
        </w:rPr>
        <w:t xml:space="preserve"> OECD (2005). Oslo manual: Guidelines for collecting and interpreting</w:t>
      </w:r>
      <w:r w:rsidR="000B299A" w:rsidRPr="006C6BB5">
        <w:rPr>
          <w:sz w:val="22"/>
          <w:szCs w:val="22"/>
          <w:lang w:val="en-GB"/>
        </w:rPr>
        <w:t xml:space="preserve"> </w:t>
      </w:r>
      <w:r w:rsidR="00007C1F" w:rsidRPr="006C6BB5">
        <w:rPr>
          <w:sz w:val="22"/>
          <w:szCs w:val="22"/>
          <w:lang w:val="en-GB"/>
        </w:rPr>
        <w:t xml:space="preserve">innovation data, 3rd </w:t>
      </w:r>
    </w:p>
    <w:p w14:paraId="4DA2E318" w14:textId="2028F919" w:rsidR="00007C1F" w:rsidRPr="006C6BB5" w:rsidRDefault="000B299A" w:rsidP="000B299A">
      <w:pPr>
        <w:autoSpaceDE w:val="0"/>
        <w:autoSpaceDN w:val="0"/>
        <w:adjustRightInd w:val="0"/>
        <w:spacing w:line="360" w:lineRule="auto"/>
        <w:rPr>
          <w:sz w:val="22"/>
          <w:szCs w:val="22"/>
          <w:lang w:val="en-GB"/>
        </w:rPr>
      </w:pPr>
      <w:r w:rsidRPr="006C6BB5">
        <w:rPr>
          <w:sz w:val="22"/>
          <w:szCs w:val="22"/>
          <w:lang w:val="en-GB"/>
        </w:rPr>
        <w:tab/>
      </w:r>
      <w:r w:rsidR="00007C1F" w:rsidRPr="006C6BB5">
        <w:rPr>
          <w:sz w:val="22"/>
          <w:szCs w:val="22"/>
          <w:lang w:val="en-GB"/>
        </w:rPr>
        <w:t>Edition, Paris.</w:t>
      </w:r>
    </w:p>
    <w:p w14:paraId="4537F758" w14:textId="77777777" w:rsidR="00F9404A" w:rsidRPr="006C6BB5" w:rsidRDefault="00F9404A" w:rsidP="005333D6">
      <w:pPr>
        <w:spacing w:line="360" w:lineRule="auto"/>
        <w:rPr>
          <w:sz w:val="22"/>
          <w:szCs w:val="22"/>
          <w:lang w:val="en-GB"/>
        </w:rPr>
      </w:pPr>
      <w:proofErr w:type="spellStart"/>
      <w:r w:rsidRPr="002403EE">
        <w:rPr>
          <w:sz w:val="22"/>
          <w:szCs w:val="22"/>
        </w:rPr>
        <w:t>Frankort</w:t>
      </w:r>
      <w:proofErr w:type="spellEnd"/>
      <w:r w:rsidRPr="002403EE">
        <w:rPr>
          <w:sz w:val="22"/>
          <w:szCs w:val="22"/>
        </w:rPr>
        <w:t>, H.T.W., Hagedoorn, J.,</w:t>
      </w:r>
      <w:r w:rsidR="00270A1E" w:rsidRPr="002403EE">
        <w:rPr>
          <w:sz w:val="22"/>
          <w:szCs w:val="22"/>
        </w:rPr>
        <w:t xml:space="preserve"> &amp; </w:t>
      </w:r>
      <w:proofErr w:type="spellStart"/>
      <w:r w:rsidRPr="002403EE">
        <w:rPr>
          <w:sz w:val="22"/>
          <w:szCs w:val="22"/>
        </w:rPr>
        <w:t>Letterie</w:t>
      </w:r>
      <w:proofErr w:type="spellEnd"/>
      <w:r w:rsidRPr="002403EE">
        <w:rPr>
          <w:sz w:val="22"/>
          <w:szCs w:val="22"/>
        </w:rPr>
        <w:t xml:space="preserve">, W. (2012). </w:t>
      </w:r>
      <w:r w:rsidRPr="006C6BB5">
        <w:rPr>
          <w:sz w:val="22"/>
          <w:szCs w:val="22"/>
          <w:lang w:val="en-GB"/>
        </w:rPr>
        <w:t xml:space="preserve">R&amp;D partnership portfolios and the </w:t>
      </w:r>
    </w:p>
    <w:p w14:paraId="0F18BB85" w14:textId="77777777" w:rsidR="00F9404A" w:rsidRPr="006C6BB5" w:rsidRDefault="00F9404A" w:rsidP="005333D6">
      <w:pPr>
        <w:spacing w:line="360" w:lineRule="auto"/>
        <w:ind w:firstLine="720"/>
        <w:rPr>
          <w:sz w:val="22"/>
          <w:szCs w:val="22"/>
          <w:lang w:val="en-GB"/>
        </w:rPr>
      </w:pPr>
      <w:proofErr w:type="gramStart"/>
      <w:r w:rsidRPr="006C6BB5">
        <w:rPr>
          <w:sz w:val="22"/>
          <w:szCs w:val="22"/>
          <w:lang w:val="en-GB"/>
        </w:rPr>
        <w:t>inflow</w:t>
      </w:r>
      <w:proofErr w:type="gramEnd"/>
      <w:r w:rsidRPr="006C6BB5">
        <w:rPr>
          <w:sz w:val="22"/>
          <w:szCs w:val="22"/>
          <w:lang w:val="en-GB"/>
        </w:rPr>
        <w:t xml:space="preserve"> of technological knowledge. </w:t>
      </w:r>
      <w:hyperlink r:id="rId13" w:tooltip="Industrial and Corporate Change" w:history="1">
        <w:r w:rsidRPr="006C6BB5">
          <w:rPr>
            <w:rStyle w:val="Hyperlink"/>
            <w:i/>
            <w:color w:val="auto"/>
            <w:sz w:val="22"/>
            <w:szCs w:val="22"/>
            <w:u w:val="none"/>
            <w:lang w:val="en-GB"/>
          </w:rPr>
          <w:t>Industrial and Corporate Change</w:t>
        </w:r>
      </w:hyperlink>
      <w:r w:rsidRPr="006C6BB5">
        <w:rPr>
          <w:i/>
          <w:sz w:val="22"/>
          <w:szCs w:val="22"/>
          <w:lang w:val="en-GB"/>
        </w:rPr>
        <w:t xml:space="preserve">, </w:t>
      </w:r>
      <w:r w:rsidRPr="006C6BB5">
        <w:rPr>
          <w:sz w:val="22"/>
          <w:szCs w:val="22"/>
          <w:lang w:val="en-GB"/>
        </w:rPr>
        <w:t>21, 507-537.</w:t>
      </w:r>
    </w:p>
    <w:p w14:paraId="42DE9AE8" w14:textId="77777777" w:rsidR="00F9404A" w:rsidRPr="006C6BB5" w:rsidRDefault="00F9404A" w:rsidP="005333D6">
      <w:pPr>
        <w:spacing w:line="360" w:lineRule="auto"/>
        <w:rPr>
          <w:sz w:val="22"/>
          <w:szCs w:val="22"/>
          <w:lang w:val="en-GB" w:eastAsia="nl-NL"/>
        </w:rPr>
      </w:pPr>
      <w:r w:rsidRPr="006C6BB5">
        <w:rPr>
          <w:sz w:val="22"/>
          <w:szCs w:val="22"/>
          <w:lang w:val="en-GB" w:eastAsia="nl-NL"/>
        </w:rPr>
        <w:t>Freeman, C.</w:t>
      </w:r>
      <w:r w:rsidR="00270A1E" w:rsidRPr="006C6BB5">
        <w:rPr>
          <w:sz w:val="22"/>
          <w:szCs w:val="22"/>
          <w:lang w:val="en-GB" w:eastAsia="nl-NL"/>
        </w:rPr>
        <w:t xml:space="preserve"> &amp; </w:t>
      </w:r>
      <w:proofErr w:type="spellStart"/>
      <w:r w:rsidRPr="006C6BB5">
        <w:rPr>
          <w:sz w:val="22"/>
          <w:szCs w:val="22"/>
          <w:lang w:val="en-GB" w:eastAsia="nl-NL"/>
        </w:rPr>
        <w:t>Soete</w:t>
      </w:r>
      <w:proofErr w:type="spellEnd"/>
      <w:r w:rsidRPr="006C6BB5">
        <w:rPr>
          <w:sz w:val="22"/>
          <w:szCs w:val="22"/>
          <w:lang w:val="en-GB" w:eastAsia="nl-NL"/>
        </w:rPr>
        <w:t xml:space="preserve">, L. (1997). </w:t>
      </w:r>
      <w:r w:rsidRPr="006C6BB5">
        <w:rPr>
          <w:i/>
          <w:sz w:val="22"/>
          <w:szCs w:val="22"/>
          <w:lang w:val="en-GB" w:eastAsia="nl-NL"/>
        </w:rPr>
        <w:t>The economics of industrial innovation</w:t>
      </w:r>
      <w:r w:rsidRPr="006C6BB5">
        <w:rPr>
          <w:sz w:val="22"/>
          <w:szCs w:val="22"/>
          <w:lang w:val="en-GB" w:eastAsia="nl-NL"/>
        </w:rPr>
        <w:t>. Routledge.</w:t>
      </w:r>
    </w:p>
    <w:p w14:paraId="1E33F2F1" w14:textId="77777777" w:rsidR="00E13E3D" w:rsidRPr="006C6BB5" w:rsidRDefault="00EA2FB7" w:rsidP="0015490B">
      <w:pPr>
        <w:spacing w:line="360" w:lineRule="auto"/>
        <w:rPr>
          <w:sz w:val="22"/>
          <w:szCs w:val="22"/>
          <w:lang w:val="en-GB" w:eastAsia="nl-NL"/>
        </w:rPr>
      </w:pPr>
      <w:r w:rsidRPr="006C6BB5">
        <w:rPr>
          <w:sz w:val="22"/>
          <w:szCs w:val="22"/>
          <w:lang w:val="en-GB" w:eastAsia="nl-NL"/>
        </w:rPr>
        <w:t>Garcia, R.</w:t>
      </w:r>
      <w:r w:rsidR="00270A1E" w:rsidRPr="006C6BB5">
        <w:rPr>
          <w:sz w:val="22"/>
          <w:szCs w:val="22"/>
          <w:lang w:val="en-GB" w:eastAsia="nl-NL"/>
        </w:rPr>
        <w:t xml:space="preserve"> &amp; </w:t>
      </w:r>
      <w:proofErr w:type="spellStart"/>
      <w:r w:rsidRPr="006C6BB5">
        <w:rPr>
          <w:sz w:val="22"/>
          <w:szCs w:val="22"/>
          <w:lang w:val="en-GB" w:eastAsia="nl-NL"/>
        </w:rPr>
        <w:t>Calantone</w:t>
      </w:r>
      <w:proofErr w:type="spellEnd"/>
      <w:r w:rsidRPr="006C6BB5">
        <w:rPr>
          <w:sz w:val="22"/>
          <w:szCs w:val="22"/>
          <w:lang w:val="en-GB" w:eastAsia="nl-NL"/>
        </w:rPr>
        <w:t>, R. (2002). A critical look at technology innovation typology and</w:t>
      </w:r>
    </w:p>
    <w:p w14:paraId="49FBC43E" w14:textId="77777777" w:rsidR="00E13E3D" w:rsidRPr="006C6BB5" w:rsidRDefault="00E13E3D" w:rsidP="00E13E3D">
      <w:pPr>
        <w:spacing w:line="360" w:lineRule="auto"/>
        <w:ind w:firstLine="720"/>
        <w:rPr>
          <w:i/>
          <w:sz w:val="22"/>
          <w:szCs w:val="22"/>
          <w:lang w:val="en-GB" w:eastAsia="nl-NL"/>
        </w:rPr>
      </w:pPr>
      <w:r w:rsidRPr="006C6BB5">
        <w:rPr>
          <w:sz w:val="22"/>
          <w:szCs w:val="22"/>
          <w:lang w:val="en-GB" w:eastAsia="nl-NL"/>
        </w:rPr>
        <w:t>I</w:t>
      </w:r>
      <w:r w:rsidR="00EA2FB7" w:rsidRPr="006C6BB5">
        <w:rPr>
          <w:sz w:val="22"/>
          <w:szCs w:val="22"/>
          <w:lang w:val="en-GB" w:eastAsia="nl-NL"/>
        </w:rPr>
        <w:t>nnovativeness</w:t>
      </w:r>
      <w:r w:rsidRPr="006C6BB5">
        <w:rPr>
          <w:sz w:val="22"/>
          <w:szCs w:val="22"/>
          <w:lang w:val="en-GB" w:eastAsia="nl-NL"/>
        </w:rPr>
        <w:t xml:space="preserve"> t</w:t>
      </w:r>
      <w:r w:rsidR="00EA2FB7" w:rsidRPr="006C6BB5">
        <w:rPr>
          <w:sz w:val="22"/>
          <w:szCs w:val="22"/>
          <w:lang w:val="en-GB" w:eastAsia="nl-NL"/>
        </w:rPr>
        <w:t xml:space="preserve">erminology: a literature review. </w:t>
      </w:r>
      <w:r w:rsidR="00EA2FB7" w:rsidRPr="006C6BB5">
        <w:rPr>
          <w:i/>
          <w:sz w:val="22"/>
          <w:szCs w:val="22"/>
          <w:lang w:val="en-GB" w:eastAsia="nl-NL"/>
        </w:rPr>
        <w:t>The Journal of Product Innovation</w:t>
      </w:r>
    </w:p>
    <w:p w14:paraId="5AA45D4E" w14:textId="77777777" w:rsidR="00EA2FB7" w:rsidRPr="00A9230E" w:rsidRDefault="00EA2FB7" w:rsidP="00E13E3D">
      <w:pPr>
        <w:spacing w:line="360" w:lineRule="auto"/>
        <w:ind w:firstLine="720"/>
        <w:rPr>
          <w:sz w:val="22"/>
          <w:szCs w:val="22"/>
          <w:lang w:val="de-CH" w:eastAsia="nl-NL"/>
        </w:rPr>
      </w:pPr>
      <w:r w:rsidRPr="00A9230E">
        <w:rPr>
          <w:i/>
          <w:sz w:val="22"/>
          <w:szCs w:val="22"/>
          <w:lang w:val="de-CH" w:eastAsia="nl-NL"/>
        </w:rPr>
        <w:lastRenderedPageBreak/>
        <w:t>Management</w:t>
      </w:r>
      <w:r w:rsidRPr="00A9230E">
        <w:rPr>
          <w:sz w:val="22"/>
          <w:szCs w:val="22"/>
          <w:lang w:val="de-CH" w:eastAsia="nl-NL"/>
        </w:rPr>
        <w:t>, 19, 110-132.</w:t>
      </w:r>
    </w:p>
    <w:p w14:paraId="6E9C70EB" w14:textId="77777777" w:rsidR="00AA65F2" w:rsidRPr="006C6BB5" w:rsidRDefault="00540090" w:rsidP="00AA65F2">
      <w:pPr>
        <w:spacing w:line="360" w:lineRule="auto"/>
        <w:rPr>
          <w:sz w:val="22"/>
          <w:szCs w:val="22"/>
          <w:lang w:val="en-GB" w:eastAsia="nl-NL"/>
        </w:rPr>
      </w:pPr>
      <w:proofErr w:type="spellStart"/>
      <w:r w:rsidRPr="00A9230E">
        <w:rPr>
          <w:sz w:val="22"/>
          <w:szCs w:val="22"/>
          <w:lang w:val="de-CH" w:eastAsia="nl-NL"/>
        </w:rPr>
        <w:t>Garriga</w:t>
      </w:r>
      <w:proofErr w:type="spellEnd"/>
      <w:r w:rsidRPr="00A9230E">
        <w:rPr>
          <w:sz w:val="22"/>
          <w:szCs w:val="22"/>
          <w:lang w:val="de-CH" w:eastAsia="nl-NL"/>
        </w:rPr>
        <w:t>,</w:t>
      </w:r>
      <w:r w:rsidR="00E24E1D" w:rsidRPr="00A9230E">
        <w:rPr>
          <w:sz w:val="22"/>
          <w:szCs w:val="22"/>
          <w:lang w:val="de-CH" w:eastAsia="nl-NL"/>
        </w:rPr>
        <w:t xml:space="preserve"> </w:t>
      </w:r>
      <w:r w:rsidRPr="00A9230E">
        <w:rPr>
          <w:sz w:val="22"/>
          <w:szCs w:val="22"/>
          <w:lang w:val="de-CH" w:eastAsia="nl-NL"/>
        </w:rPr>
        <w:t>H, von Krogh, G.,</w:t>
      </w:r>
      <w:r w:rsidR="00270A1E" w:rsidRPr="00A9230E">
        <w:rPr>
          <w:sz w:val="22"/>
          <w:szCs w:val="22"/>
          <w:lang w:val="de-CH" w:eastAsia="nl-NL"/>
        </w:rPr>
        <w:t xml:space="preserve"> &amp; </w:t>
      </w:r>
      <w:r w:rsidRPr="00A9230E">
        <w:rPr>
          <w:sz w:val="22"/>
          <w:szCs w:val="22"/>
          <w:lang w:val="de-CH" w:eastAsia="nl-NL"/>
        </w:rPr>
        <w:t>Spaeth, S. (201</w:t>
      </w:r>
      <w:r w:rsidR="001E2721" w:rsidRPr="00A9230E">
        <w:rPr>
          <w:sz w:val="22"/>
          <w:szCs w:val="22"/>
          <w:lang w:val="de-CH" w:eastAsia="nl-NL"/>
        </w:rPr>
        <w:t>3</w:t>
      </w:r>
      <w:r w:rsidRPr="00A9230E">
        <w:rPr>
          <w:sz w:val="22"/>
          <w:szCs w:val="22"/>
          <w:lang w:val="de-CH" w:eastAsia="nl-NL"/>
        </w:rPr>
        <w:t xml:space="preserve">). </w:t>
      </w:r>
      <w:r w:rsidRPr="006C6BB5">
        <w:rPr>
          <w:sz w:val="22"/>
          <w:szCs w:val="22"/>
          <w:lang w:val="en-GB" w:eastAsia="nl-NL"/>
        </w:rPr>
        <w:t>How constraints and knowledge impact</w:t>
      </w:r>
    </w:p>
    <w:p w14:paraId="02A4E3AE" w14:textId="1C3C2C63" w:rsidR="00540090" w:rsidRPr="006C6BB5" w:rsidRDefault="00540090" w:rsidP="00AA65F2">
      <w:pPr>
        <w:spacing w:line="360" w:lineRule="auto"/>
        <w:ind w:firstLine="720"/>
        <w:rPr>
          <w:sz w:val="22"/>
          <w:szCs w:val="22"/>
          <w:lang w:val="en-GB" w:eastAsia="nl-NL"/>
        </w:rPr>
      </w:pPr>
      <w:proofErr w:type="gramStart"/>
      <w:r w:rsidRPr="006C6BB5">
        <w:rPr>
          <w:sz w:val="22"/>
          <w:szCs w:val="22"/>
          <w:lang w:val="en-GB" w:eastAsia="nl-NL"/>
        </w:rPr>
        <w:t>open</w:t>
      </w:r>
      <w:proofErr w:type="gramEnd"/>
      <w:r w:rsidRPr="006C6BB5">
        <w:rPr>
          <w:sz w:val="22"/>
          <w:szCs w:val="22"/>
          <w:lang w:val="en-GB" w:eastAsia="nl-NL"/>
        </w:rPr>
        <w:t xml:space="preserve"> innovation.</w:t>
      </w:r>
      <w:r w:rsidR="00B125FB" w:rsidRPr="006C6BB5">
        <w:rPr>
          <w:sz w:val="22"/>
          <w:szCs w:val="22"/>
          <w:lang w:val="en-GB" w:eastAsia="nl-NL"/>
        </w:rPr>
        <w:t xml:space="preserve"> </w:t>
      </w:r>
      <w:r w:rsidR="00B125FB" w:rsidRPr="006C6BB5">
        <w:rPr>
          <w:i/>
          <w:sz w:val="22"/>
          <w:szCs w:val="22"/>
          <w:lang w:val="en-GB" w:eastAsia="nl-NL"/>
        </w:rPr>
        <w:t>Strategic Management Journal</w:t>
      </w:r>
      <w:r w:rsidR="00B125FB" w:rsidRPr="006C6BB5">
        <w:rPr>
          <w:sz w:val="22"/>
          <w:szCs w:val="22"/>
          <w:lang w:val="en-GB" w:eastAsia="nl-NL"/>
        </w:rPr>
        <w:t xml:space="preserve"> </w:t>
      </w:r>
      <w:r w:rsidR="006C6BB5" w:rsidRPr="006C6BB5">
        <w:rPr>
          <w:sz w:val="22"/>
          <w:szCs w:val="22"/>
          <w:lang w:val="en-GB" w:eastAsia="nl-NL"/>
        </w:rPr>
        <w:t>34(9), 1134–1144.</w:t>
      </w:r>
    </w:p>
    <w:p w14:paraId="3D3FCFD0" w14:textId="77777777" w:rsidR="003B4BC1" w:rsidRPr="006C6BB5" w:rsidRDefault="003B4BC1" w:rsidP="000B299A">
      <w:pPr>
        <w:pStyle w:val="NoSpacing"/>
        <w:spacing w:line="360" w:lineRule="auto"/>
        <w:ind w:left="720" w:hanging="720"/>
        <w:rPr>
          <w:rFonts w:ascii="Times New Roman" w:hAnsi="Times New Roman"/>
          <w:lang w:val="en-GB"/>
        </w:rPr>
      </w:pPr>
      <w:r w:rsidRPr="006C6BB5">
        <w:rPr>
          <w:rFonts w:ascii="Times New Roman" w:hAnsi="Times New Roman"/>
          <w:lang w:val="en-GB"/>
        </w:rPr>
        <w:t>Gomes-</w:t>
      </w:r>
      <w:proofErr w:type="spellStart"/>
      <w:r w:rsidRPr="006C6BB5">
        <w:rPr>
          <w:rFonts w:ascii="Times New Roman" w:hAnsi="Times New Roman"/>
          <w:lang w:val="en-GB"/>
        </w:rPr>
        <w:t>Casseres</w:t>
      </w:r>
      <w:proofErr w:type="spellEnd"/>
      <w:r w:rsidRPr="006C6BB5">
        <w:rPr>
          <w:rFonts w:ascii="Times New Roman" w:hAnsi="Times New Roman"/>
          <w:lang w:val="en-GB"/>
        </w:rPr>
        <w:t>, B., Hagedoorn, J.</w:t>
      </w:r>
      <w:r w:rsidR="00270A1E" w:rsidRPr="006C6BB5">
        <w:rPr>
          <w:rFonts w:ascii="Times New Roman" w:hAnsi="Times New Roman"/>
          <w:lang w:val="en-GB"/>
        </w:rPr>
        <w:t xml:space="preserve"> &amp; </w:t>
      </w:r>
      <w:proofErr w:type="spellStart"/>
      <w:r w:rsidRPr="006C6BB5">
        <w:rPr>
          <w:rFonts w:ascii="Times New Roman" w:hAnsi="Times New Roman"/>
          <w:lang w:val="en-GB"/>
        </w:rPr>
        <w:t>Jeffe</w:t>
      </w:r>
      <w:proofErr w:type="spellEnd"/>
      <w:r w:rsidRPr="006C6BB5">
        <w:rPr>
          <w:rFonts w:ascii="Times New Roman" w:hAnsi="Times New Roman"/>
          <w:lang w:val="en-GB"/>
        </w:rPr>
        <w:t>, A. (2006). Do alliances promote knowledge</w:t>
      </w:r>
      <w:r w:rsidR="00E13E3D" w:rsidRPr="006C6BB5">
        <w:rPr>
          <w:rFonts w:ascii="Times New Roman" w:hAnsi="Times New Roman"/>
          <w:lang w:val="en-GB"/>
        </w:rPr>
        <w:tab/>
      </w:r>
      <w:proofErr w:type="gramStart"/>
      <w:r w:rsidRPr="006C6BB5">
        <w:rPr>
          <w:rFonts w:ascii="Times New Roman" w:hAnsi="Times New Roman"/>
          <w:lang w:val="en-GB"/>
        </w:rPr>
        <w:t>flows ?</w:t>
      </w:r>
      <w:proofErr w:type="gramEnd"/>
      <w:r w:rsidRPr="006C6BB5">
        <w:rPr>
          <w:rFonts w:ascii="Times New Roman" w:hAnsi="Times New Roman"/>
          <w:lang w:val="en-GB"/>
        </w:rPr>
        <w:t xml:space="preserve"> </w:t>
      </w:r>
      <w:r w:rsidRPr="006C6BB5">
        <w:rPr>
          <w:rFonts w:ascii="Times New Roman" w:hAnsi="Times New Roman"/>
          <w:i/>
          <w:lang w:val="en-GB"/>
        </w:rPr>
        <w:t>Journal of Financial Economics</w:t>
      </w:r>
      <w:r w:rsidRPr="006C6BB5">
        <w:rPr>
          <w:rFonts w:ascii="Times New Roman" w:hAnsi="Times New Roman"/>
          <w:lang w:val="en-GB"/>
        </w:rPr>
        <w:t>, 80, 5-33.</w:t>
      </w:r>
    </w:p>
    <w:p w14:paraId="54143002" w14:textId="77777777" w:rsidR="00956C8C" w:rsidRPr="006C6BB5" w:rsidRDefault="002655C8" w:rsidP="005333D6">
      <w:pPr>
        <w:spacing w:line="360" w:lineRule="auto"/>
        <w:rPr>
          <w:i/>
          <w:iCs/>
          <w:sz w:val="22"/>
          <w:szCs w:val="22"/>
          <w:lang w:val="en-GB"/>
        </w:rPr>
      </w:pPr>
      <w:r w:rsidRPr="006C6BB5">
        <w:rPr>
          <w:sz w:val="22"/>
          <w:szCs w:val="22"/>
          <w:lang w:val="en-GB"/>
        </w:rPr>
        <w:t>Graham, S.J.H.</w:t>
      </w:r>
      <w:r w:rsidR="00270A1E" w:rsidRPr="006C6BB5">
        <w:rPr>
          <w:sz w:val="22"/>
          <w:szCs w:val="22"/>
          <w:lang w:val="en-GB"/>
        </w:rPr>
        <w:t xml:space="preserve"> &amp; </w:t>
      </w:r>
      <w:r w:rsidRPr="006C6BB5">
        <w:rPr>
          <w:sz w:val="22"/>
          <w:szCs w:val="22"/>
          <w:lang w:val="en-GB"/>
        </w:rPr>
        <w:t xml:space="preserve">Mowery, D.C. (2006). </w:t>
      </w:r>
      <w:r w:rsidRPr="006C6BB5">
        <w:rPr>
          <w:i/>
          <w:iCs/>
          <w:sz w:val="22"/>
          <w:szCs w:val="22"/>
          <w:lang w:val="en-GB"/>
        </w:rPr>
        <w:t xml:space="preserve">The use of intellectual property in software: </w:t>
      </w:r>
    </w:p>
    <w:p w14:paraId="2582A794" w14:textId="77777777" w:rsidR="002655C8" w:rsidRPr="006C6BB5" w:rsidRDefault="002655C8" w:rsidP="005333D6">
      <w:pPr>
        <w:spacing w:line="360" w:lineRule="auto"/>
        <w:ind w:left="720"/>
        <w:rPr>
          <w:i/>
          <w:iCs/>
          <w:sz w:val="22"/>
          <w:szCs w:val="22"/>
          <w:lang w:val="en-GB"/>
        </w:rPr>
      </w:pPr>
      <w:proofErr w:type="gramStart"/>
      <w:r w:rsidRPr="006C6BB5">
        <w:rPr>
          <w:i/>
          <w:iCs/>
          <w:sz w:val="22"/>
          <w:szCs w:val="22"/>
          <w:lang w:val="en-GB"/>
        </w:rPr>
        <w:t>implications</w:t>
      </w:r>
      <w:proofErr w:type="gramEnd"/>
      <w:r w:rsidRPr="006C6BB5">
        <w:rPr>
          <w:i/>
          <w:iCs/>
          <w:sz w:val="22"/>
          <w:szCs w:val="22"/>
          <w:lang w:val="en-GB"/>
        </w:rPr>
        <w:t xml:space="preserve"> </w:t>
      </w:r>
      <w:r w:rsidR="00956C8C" w:rsidRPr="006C6BB5">
        <w:rPr>
          <w:i/>
          <w:iCs/>
          <w:sz w:val="22"/>
          <w:szCs w:val="22"/>
          <w:lang w:val="en-GB"/>
        </w:rPr>
        <w:t xml:space="preserve">for </w:t>
      </w:r>
      <w:r w:rsidRPr="006C6BB5">
        <w:rPr>
          <w:i/>
          <w:iCs/>
          <w:sz w:val="22"/>
          <w:szCs w:val="22"/>
          <w:lang w:val="en-GB"/>
        </w:rPr>
        <w:t xml:space="preserve">open innovation. </w:t>
      </w:r>
      <w:r w:rsidRPr="006C6BB5">
        <w:rPr>
          <w:sz w:val="22"/>
          <w:szCs w:val="22"/>
          <w:lang w:val="en-GB"/>
        </w:rPr>
        <w:t>In Chesbrough, H.W., Vanhaverbeke, W.</w:t>
      </w:r>
      <w:r w:rsidR="00270A1E" w:rsidRPr="006C6BB5">
        <w:rPr>
          <w:sz w:val="22"/>
          <w:szCs w:val="22"/>
          <w:lang w:val="en-GB"/>
        </w:rPr>
        <w:t xml:space="preserve"> &amp; </w:t>
      </w:r>
      <w:r w:rsidRPr="006C6BB5">
        <w:rPr>
          <w:sz w:val="22"/>
          <w:szCs w:val="22"/>
          <w:lang w:val="en-GB"/>
        </w:rPr>
        <w:t>West, J. (</w:t>
      </w:r>
      <w:proofErr w:type="spellStart"/>
      <w:r w:rsidRPr="006C6BB5">
        <w:rPr>
          <w:sz w:val="22"/>
          <w:szCs w:val="22"/>
          <w:lang w:val="en-GB"/>
        </w:rPr>
        <w:t>eds</w:t>
      </w:r>
      <w:proofErr w:type="spellEnd"/>
      <w:r w:rsidRPr="006C6BB5">
        <w:rPr>
          <w:sz w:val="22"/>
          <w:szCs w:val="22"/>
          <w:lang w:val="en-GB"/>
        </w:rPr>
        <w:t>), Open innovation: researching a new paradigm, Oxford University Press, Oxford, pp 109-133.</w:t>
      </w:r>
    </w:p>
    <w:p w14:paraId="06499316" w14:textId="5B5CAB77" w:rsidR="002D6FFE" w:rsidRPr="006C6BB5" w:rsidRDefault="002D6FFE" w:rsidP="005333D6">
      <w:pPr>
        <w:spacing w:after="200" w:line="360" w:lineRule="auto"/>
        <w:ind w:left="720" w:hanging="720"/>
        <w:contextualSpacing/>
        <w:rPr>
          <w:sz w:val="22"/>
          <w:szCs w:val="22"/>
          <w:lang w:val="en-GB"/>
        </w:rPr>
      </w:pPr>
      <w:r w:rsidRPr="006C6BB5">
        <w:rPr>
          <w:sz w:val="22"/>
          <w:szCs w:val="22"/>
          <w:lang w:val="en-GB"/>
        </w:rPr>
        <w:t>Hagedoorn, J. &amp; Zobel, A-K. (2015)</w:t>
      </w:r>
      <w:proofErr w:type="gramStart"/>
      <w:r w:rsidRPr="006C6BB5">
        <w:rPr>
          <w:sz w:val="22"/>
          <w:szCs w:val="22"/>
          <w:lang w:val="en-GB"/>
        </w:rPr>
        <w:t>. The role of contracts and intellectual property rights in open innovation</w:t>
      </w:r>
      <w:r w:rsidR="00DD4780" w:rsidRPr="006C6BB5">
        <w:rPr>
          <w:sz w:val="22"/>
          <w:szCs w:val="22"/>
          <w:lang w:val="en-GB"/>
        </w:rPr>
        <w:t>.</w:t>
      </w:r>
      <w:proofErr w:type="gramEnd"/>
      <w:r w:rsidR="00DD4780" w:rsidRPr="006C6BB5">
        <w:rPr>
          <w:sz w:val="22"/>
          <w:szCs w:val="22"/>
          <w:lang w:val="en-GB"/>
        </w:rPr>
        <w:t xml:space="preserve"> Technology Analysis and Strategic Management, 27 (9), 1050-1067. </w:t>
      </w:r>
    </w:p>
    <w:p w14:paraId="745FB77C" w14:textId="43A8322B" w:rsidR="002352E3" w:rsidRPr="006C6BB5" w:rsidRDefault="002352E3" w:rsidP="005333D6">
      <w:pPr>
        <w:spacing w:after="200" w:line="360" w:lineRule="auto"/>
        <w:ind w:left="720" w:hanging="720"/>
        <w:contextualSpacing/>
        <w:rPr>
          <w:bCs/>
          <w:sz w:val="22"/>
          <w:szCs w:val="22"/>
          <w:lang w:val="en-GB"/>
        </w:rPr>
      </w:pPr>
      <w:r w:rsidRPr="006C6BB5">
        <w:rPr>
          <w:bCs/>
          <w:sz w:val="22"/>
          <w:szCs w:val="22"/>
          <w:lang w:val="en-GB"/>
        </w:rPr>
        <w:t xml:space="preserve">Hall, B. &amp; </w:t>
      </w:r>
      <w:proofErr w:type="spellStart"/>
      <w:r w:rsidRPr="006C6BB5">
        <w:rPr>
          <w:bCs/>
          <w:sz w:val="22"/>
          <w:szCs w:val="22"/>
          <w:lang w:val="en-GB"/>
        </w:rPr>
        <w:t>Ziedonis</w:t>
      </w:r>
      <w:proofErr w:type="spellEnd"/>
      <w:r w:rsidRPr="006C6BB5">
        <w:rPr>
          <w:bCs/>
          <w:sz w:val="22"/>
          <w:szCs w:val="22"/>
          <w:lang w:val="en-GB"/>
        </w:rPr>
        <w:t>, R. (2001). The patent paradox revisited: An empirical study of patenting in the U.S. semiconductor industry, 1979-1995. RAND Journal of Economics, 32, 101-128.</w:t>
      </w:r>
    </w:p>
    <w:p w14:paraId="5DC48AD6" w14:textId="66801953" w:rsidR="00F909D5" w:rsidRPr="006C6BB5" w:rsidRDefault="00F909D5" w:rsidP="005333D6">
      <w:pPr>
        <w:spacing w:after="200" w:line="360" w:lineRule="auto"/>
        <w:ind w:left="720" w:hanging="720"/>
        <w:contextualSpacing/>
        <w:rPr>
          <w:bCs/>
          <w:sz w:val="22"/>
          <w:szCs w:val="22"/>
          <w:lang w:val="en-GB"/>
        </w:rPr>
      </w:pPr>
      <w:r w:rsidRPr="006C6BB5">
        <w:rPr>
          <w:bCs/>
          <w:sz w:val="22"/>
          <w:szCs w:val="22"/>
          <w:lang w:val="en-GB"/>
        </w:rPr>
        <w:t xml:space="preserve">Hall, B., </w:t>
      </w:r>
      <w:proofErr w:type="spellStart"/>
      <w:r w:rsidRPr="006C6BB5">
        <w:rPr>
          <w:bCs/>
          <w:sz w:val="22"/>
          <w:szCs w:val="22"/>
          <w:lang w:val="en-GB"/>
        </w:rPr>
        <w:t>Helmers</w:t>
      </w:r>
      <w:proofErr w:type="spellEnd"/>
      <w:r w:rsidRPr="006C6BB5">
        <w:rPr>
          <w:bCs/>
          <w:sz w:val="22"/>
          <w:szCs w:val="22"/>
          <w:lang w:val="en-GB"/>
        </w:rPr>
        <w:t>, C., Rogers, M.,</w:t>
      </w:r>
      <w:r w:rsidR="00270A1E" w:rsidRPr="006C6BB5">
        <w:rPr>
          <w:bCs/>
          <w:sz w:val="22"/>
          <w:szCs w:val="22"/>
          <w:lang w:val="en-GB"/>
        </w:rPr>
        <w:t xml:space="preserve"> &amp; </w:t>
      </w:r>
      <w:proofErr w:type="spellStart"/>
      <w:r w:rsidRPr="006C6BB5">
        <w:rPr>
          <w:bCs/>
          <w:sz w:val="22"/>
          <w:szCs w:val="22"/>
          <w:lang w:val="en-GB"/>
        </w:rPr>
        <w:t>Sena</w:t>
      </w:r>
      <w:proofErr w:type="spellEnd"/>
      <w:r w:rsidRPr="006C6BB5">
        <w:rPr>
          <w:bCs/>
          <w:sz w:val="22"/>
          <w:szCs w:val="22"/>
          <w:lang w:val="en-GB"/>
        </w:rPr>
        <w:t>, V. (201</w:t>
      </w:r>
      <w:r w:rsidR="006C6BB5" w:rsidRPr="006C6BB5">
        <w:rPr>
          <w:bCs/>
          <w:sz w:val="22"/>
          <w:szCs w:val="22"/>
          <w:lang w:val="en-GB"/>
        </w:rPr>
        <w:t>4</w:t>
      </w:r>
      <w:r w:rsidRPr="006C6BB5">
        <w:rPr>
          <w:bCs/>
          <w:sz w:val="22"/>
          <w:szCs w:val="22"/>
          <w:lang w:val="en-GB"/>
        </w:rPr>
        <w:t xml:space="preserve">).  </w:t>
      </w:r>
      <w:hyperlink r:id="rId14" w:history="1">
        <w:r w:rsidRPr="006C6BB5">
          <w:rPr>
            <w:rStyle w:val="Hyperlink"/>
            <w:bCs/>
            <w:color w:val="auto"/>
            <w:sz w:val="22"/>
            <w:szCs w:val="22"/>
            <w:u w:val="none"/>
            <w:lang w:val="en-GB"/>
          </w:rPr>
          <w:t>The choice between formal and informal intellectual property: A literature review</w:t>
        </w:r>
      </w:hyperlink>
      <w:r w:rsidRPr="006C6BB5">
        <w:rPr>
          <w:bCs/>
          <w:i/>
          <w:sz w:val="22"/>
          <w:szCs w:val="22"/>
          <w:lang w:val="en-GB"/>
        </w:rPr>
        <w:t>,</w:t>
      </w:r>
      <w:r w:rsidRPr="006C6BB5">
        <w:rPr>
          <w:bCs/>
          <w:sz w:val="22"/>
          <w:szCs w:val="22"/>
          <w:lang w:val="en-GB"/>
        </w:rPr>
        <w:t xml:space="preserve"> </w:t>
      </w:r>
      <w:r w:rsidR="006C6BB5" w:rsidRPr="006C6BB5">
        <w:rPr>
          <w:bCs/>
          <w:i/>
          <w:sz w:val="22"/>
          <w:szCs w:val="22"/>
          <w:lang w:val="en-GB"/>
        </w:rPr>
        <w:t>Journal of Economic Literature</w:t>
      </w:r>
      <w:r w:rsidR="006C6BB5" w:rsidRPr="006C6BB5">
        <w:rPr>
          <w:bCs/>
          <w:sz w:val="22"/>
          <w:szCs w:val="22"/>
          <w:lang w:val="en-GB"/>
        </w:rPr>
        <w:t>, 52(2), 375-423</w:t>
      </w:r>
      <w:r w:rsidRPr="006C6BB5">
        <w:rPr>
          <w:bCs/>
          <w:sz w:val="22"/>
          <w:szCs w:val="22"/>
          <w:lang w:val="en-GB"/>
        </w:rPr>
        <w:t>.</w:t>
      </w:r>
    </w:p>
    <w:p w14:paraId="580F2901" w14:textId="77777777" w:rsidR="00591FEB" w:rsidRPr="006C6BB5" w:rsidRDefault="002B62CA" w:rsidP="005333D6">
      <w:pPr>
        <w:spacing w:after="200" w:line="360" w:lineRule="auto"/>
        <w:ind w:left="720" w:hanging="720"/>
        <w:contextualSpacing/>
        <w:rPr>
          <w:sz w:val="22"/>
          <w:szCs w:val="22"/>
          <w:lang w:val="en-GB"/>
        </w:rPr>
      </w:pPr>
      <w:r w:rsidRPr="006C6BB5">
        <w:rPr>
          <w:sz w:val="22"/>
          <w:szCs w:val="22"/>
          <w:lang w:val="en-GB"/>
        </w:rPr>
        <w:t xml:space="preserve">Hannah, D.R. (2005). Should I keep a secret? The effects of trade secret protection procedures on employees’ obligations to protect trade secrets. </w:t>
      </w:r>
      <w:r w:rsidRPr="006C6BB5">
        <w:rPr>
          <w:i/>
          <w:sz w:val="22"/>
          <w:szCs w:val="22"/>
          <w:lang w:val="en-GB"/>
        </w:rPr>
        <w:t>Organization Science</w:t>
      </w:r>
      <w:r w:rsidRPr="006C6BB5">
        <w:rPr>
          <w:sz w:val="22"/>
          <w:szCs w:val="22"/>
          <w:lang w:val="en-GB"/>
        </w:rPr>
        <w:t>, 16 (1), 71-84.</w:t>
      </w:r>
    </w:p>
    <w:p w14:paraId="35FE91B9" w14:textId="7F73BE73" w:rsidR="00D200AB" w:rsidRPr="006C6BB5" w:rsidRDefault="00D200AB" w:rsidP="005333D6">
      <w:pPr>
        <w:autoSpaceDE w:val="0"/>
        <w:autoSpaceDN w:val="0"/>
        <w:adjustRightInd w:val="0"/>
        <w:spacing w:line="360" w:lineRule="auto"/>
        <w:rPr>
          <w:sz w:val="22"/>
          <w:szCs w:val="22"/>
          <w:lang w:val="en-GB"/>
        </w:rPr>
      </w:pPr>
      <w:proofErr w:type="spellStart"/>
      <w:r w:rsidRPr="006C6BB5">
        <w:rPr>
          <w:sz w:val="22"/>
          <w:szCs w:val="22"/>
          <w:lang w:val="en-GB"/>
        </w:rPr>
        <w:t>Haunschild</w:t>
      </w:r>
      <w:proofErr w:type="spellEnd"/>
      <w:r w:rsidRPr="006C6BB5">
        <w:rPr>
          <w:sz w:val="22"/>
          <w:szCs w:val="22"/>
          <w:lang w:val="en-GB"/>
        </w:rPr>
        <w:t xml:space="preserve"> P</w:t>
      </w:r>
      <w:r w:rsidR="00E24E1D" w:rsidRPr="006C6BB5">
        <w:rPr>
          <w:sz w:val="22"/>
          <w:szCs w:val="22"/>
          <w:lang w:val="en-GB"/>
        </w:rPr>
        <w:t>.R.</w:t>
      </w:r>
      <w:r w:rsidR="00270A1E" w:rsidRPr="006C6BB5">
        <w:rPr>
          <w:sz w:val="22"/>
          <w:szCs w:val="22"/>
          <w:lang w:val="en-GB"/>
        </w:rPr>
        <w:t xml:space="preserve"> &amp; </w:t>
      </w:r>
      <w:r w:rsidR="00A01D0D" w:rsidRPr="006C6BB5">
        <w:rPr>
          <w:sz w:val="22"/>
          <w:szCs w:val="22"/>
          <w:lang w:val="en-GB"/>
        </w:rPr>
        <w:t xml:space="preserve">Miner AS. </w:t>
      </w:r>
      <w:r w:rsidR="004D1489" w:rsidRPr="006C6BB5">
        <w:rPr>
          <w:sz w:val="22"/>
          <w:szCs w:val="22"/>
          <w:lang w:val="en-GB"/>
        </w:rPr>
        <w:t>(</w:t>
      </w:r>
      <w:r w:rsidR="00A01D0D" w:rsidRPr="006C6BB5">
        <w:rPr>
          <w:sz w:val="22"/>
          <w:szCs w:val="22"/>
          <w:lang w:val="en-GB"/>
        </w:rPr>
        <w:t>1997</w:t>
      </w:r>
      <w:r w:rsidR="004D1489" w:rsidRPr="006C6BB5">
        <w:rPr>
          <w:sz w:val="22"/>
          <w:szCs w:val="22"/>
          <w:lang w:val="en-GB"/>
        </w:rPr>
        <w:t>)</w:t>
      </w:r>
      <w:r w:rsidR="00A01D0D" w:rsidRPr="006C6BB5">
        <w:rPr>
          <w:sz w:val="22"/>
          <w:szCs w:val="22"/>
          <w:lang w:val="en-GB"/>
        </w:rPr>
        <w:t xml:space="preserve">. Modes of </w:t>
      </w:r>
      <w:proofErr w:type="spellStart"/>
      <w:r w:rsidR="00A01D0D" w:rsidRPr="006C6BB5">
        <w:rPr>
          <w:sz w:val="22"/>
          <w:szCs w:val="22"/>
          <w:lang w:val="en-GB"/>
        </w:rPr>
        <w:t>interorganizational</w:t>
      </w:r>
      <w:proofErr w:type="spellEnd"/>
      <w:r w:rsidR="00A01D0D" w:rsidRPr="006C6BB5">
        <w:rPr>
          <w:sz w:val="22"/>
          <w:szCs w:val="22"/>
          <w:lang w:val="en-GB"/>
        </w:rPr>
        <w:t xml:space="preserve"> imitation: The e</w:t>
      </w:r>
      <w:r w:rsidRPr="006C6BB5">
        <w:rPr>
          <w:sz w:val="22"/>
          <w:szCs w:val="22"/>
          <w:lang w:val="en-GB"/>
        </w:rPr>
        <w:t>ffects of</w:t>
      </w:r>
    </w:p>
    <w:p w14:paraId="02294166" w14:textId="77777777" w:rsidR="00D200AB" w:rsidRPr="006C6BB5" w:rsidRDefault="00A01D0D" w:rsidP="005333D6">
      <w:pPr>
        <w:spacing w:after="200" w:line="360" w:lineRule="auto"/>
        <w:ind w:firstLine="720"/>
        <w:contextualSpacing/>
        <w:rPr>
          <w:sz w:val="22"/>
          <w:szCs w:val="22"/>
          <w:lang w:val="en-GB"/>
        </w:rPr>
      </w:pPr>
      <w:proofErr w:type="gramStart"/>
      <w:r w:rsidRPr="006C6BB5">
        <w:rPr>
          <w:sz w:val="22"/>
          <w:szCs w:val="22"/>
          <w:lang w:val="en-GB"/>
        </w:rPr>
        <w:t>outcome</w:t>
      </w:r>
      <w:proofErr w:type="gramEnd"/>
      <w:r w:rsidRPr="006C6BB5">
        <w:rPr>
          <w:sz w:val="22"/>
          <w:szCs w:val="22"/>
          <w:lang w:val="en-GB"/>
        </w:rPr>
        <w:t xml:space="preserve"> salience and u</w:t>
      </w:r>
      <w:r w:rsidR="00D200AB" w:rsidRPr="006C6BB5">
        <w:rPr>
          <w:sz w:val="22"/>
          <w:szCs w:val="22"/>
          <w:lang w:val="en-GB"/>
        </w:rPr>
        <w:t xml:space="preserve">ncertainty. </w:t>
      </w:r>
      <w:r w:rsidR="00D200AB" w:rsidRPr="006C6BB5">
        <w:rPr>
          <w:i/>
          <w:iCs/>
          <w:sz w:val="22"/>
          <w:szCs w:val="22"/>
          <w:lang w:val="en-GB"/>
        </w:rPr>
        <w:t xml:space="preserve">Administrative Science Quarterly </w:t>
      </w:r>
      <w:r w:rsidR="00D200AB" w:rsidRPr="006C6BB5">
        <w:rPr>
          <w:bCs/>
          <w:sz w:val="22"/>
          <w:szCs w:val="22"/>
          <w:lang w:val="en-GB"/>
        </w:rPr>
        <w:t>42</w:t>
      </w:r>
      <w:r w:rsidR="00D200AB" w:rsidRPr="006C6BB5">
        <w:rPr>
          <w:b/>
          <w:bCs/>
          <w:sz w:val="22"/>
          <w:szCs w:val="22"/>
          <w:lang w:val="en-GB"/>
        </w:rPr>
        <w:t xml:space="preserve"> </w:t>
      </w:r>
      <w:r w:rsidR="00D200AB" w:rsidRPr="006C6BB5">
        <w:rPr>
          <w:sz w:val="22"/>
          <w:szCs w:val="22"/>
          <w:lang w:val="en-GB"/>
        </w:rPr>
        <w:t>(3), 472-500.</w:t>
      </w:r>
    </w:p>
    <w:p w14:paraId="03BE9BB5" w14:textId="77777777" w:rsidR="00D645A6" w:rsidRPr="006C6BB5" w:rsidRDefault="00591FEB" w:rsidP="005333D6">
      <w:pPr>
        <w:spacing w:after="200" w:line="360" w:lineRule="auto"/>
        <w:ind w:left="720" w:hanging="720"/>
        <w:contextualSpacing/>
        <w:rPr>
          <w:sz w:val="22"/>
          <w:szCs w:val="22"/>
          <w:lang w:val="en-GB"/>
        </w:rPr>
      </w:pPr>
      <w:proofErr w:type="spellStart"/>
      <w:r w:rsidRPr="006C6BB5">
        <w:rPr>
          <w:sz w:val="22"/>
          <w:szCs w:val="22"/>
          <w:lang w:val="en-GB"/>
        </w:rPr>
        <w:t>Helfat</w:t>
      </w:r>
      <w:proofErr w:type="spellEnd"/>
      <w:r w:rsidRPr="006C6BB5">
        <w:rPr>
          <w:sz w:val="22"/>
          <w:szCs w:val="22"/>
          <w:lang w:val="en-GB"/>
        </w:rPr>
        <w:t>, C. E.</w:t>
      </w:r>
      <w:r w:rsidR="00270A1E" w:rsidRPr="006C6BB5">
        <w:rPr>
          <w:sz w:val="22"/>
          <w:szCs w:val="22"/>
          <w:lang w:val="en-GB"/>
        </w:rPr>
        <w:t xml:space="preserve"> &amp; </w:t>
      </w:r>
      <w:r w:rsidRPr="006C6BB5">
        <w:rPr>
          <w:sz w:val="22"/>
          <w:szCs w:val="22"/>
          <w:lang w:val="en-GB"/>
        </w:rPr>
        <w:t>Quinn, J.B.</w:t>
      </w:r>
      <w:r w:rsidR="002B62CA" w:rsidRPr="006C6BB5">
        <w:rPr>
          <w:sz w:val="22"/>
          <w:szCs w:val="22"/>
          <w:lang w:val="en-GB"/>
        </w:rPr>
        <w:t xml:space="preserve"> </w:t>
      </w:r>
      <w:r w:rsidR="00A01D0D" w:rsidRPr="006C6BB5">
        <w:rPr>
          <w:sz w:val="22"/>
          <w:szCs w:val="22"/>
          <w:lang w:val="en-GB"/>
        </w:rPr>
        <w:t>(2006). Open innovation: The new imperative for creating and profiting from t</w:t>
      </w:r>
      <w:r w:rsidRPr="006C6BB5">
        <w:rPr>
          <w:sz w:val="22"/>
          <w:szCs w:val="22"/>
          <w:lang w:val="en-GB"/>
        </w:rPr>
        <w:t xml:space="preserve">echnology by Henry Chesbrough, Review by: Constance E. </w:t>
      </w:r>
      <w:proofErr w:type="spellStart"/>
      <w:r w:rsidRPr="006C6BB5">
        <w:rPr>
          <w:sz w:val="22"/>
          <w:szCs w:val="22"/>
          <w:lang w:val="en-GB"/>
        </w:rPr>
        <w:t>Helfat</w:t>
      </w:r>
      <w:proofErr w:type="spellEnd"/>
      <w:r w:rsidR="00270A1E" w:rsidRPr="006C6BB5">
        <w:rPr>
          <w:sz w:val="22"/>
          <w:szCs w:val="22"/>
          <w:lang w:val="en-GB"/>
        </w:rPr>
        <w:t xml:space="preserve"> &amp; </w:t>
      </w:r>
      <w:r w:rsidRPr="006C6BB5">
        <w:rPr>
          <w:sz w:val="22"/>
          <w:szCs w:val="22"/>
          <w:lang w:val="en-GB"/>
        </w:rPr>
        <w:t xml:space="preserve">J. Brian Quinn. </w:t>
      </w:r>
      <w:r w:rsidRPr="006C6BB5">
        <w:rPr>
          <w:i/>
          <w:sz w:val="22"/>
          <w:szCs w:val="22"/>
          <w:lang w:val="en-GB"/>
        </w:rPr>
        <w:t>Academy of Management Perspectives</w:t>
      </w:r>
      <w:r w:rsidRPr="006C6BB5">
        <w:rPr>
          <w:sz w:val="22"/>
          <w:szCs w:val="22"/>
          <w:lang w:val="en-GB"/>
        </w:rPr>
        <w:t xml:space="preserve">, 20 (2), 86-88. </w:t>
      </w:r>
    </w:p>
    <w:p w14:paraId="42682455" w14:textId="77777777" w:rsidR="00CD7EFB" w:rsidRPr="00F23265" w:rsidRDefault="00CD7EFB" w:rsidP="005333D6">
      <w:pPr>
        <w:spacing w:after="200" w:line="360" w:lineRule="auto"/>
        <w:ind w:left="720" w:hanging="720"/>
        <w:contextualSpacing/>
        <w:rPr>
          <w:sz w:val="22"/>
          <w:szCs w:val="22"/>
          <w:lang w:val="en-GB"/>
        </w:rPr>
      </w:pPr>
      <w:proofErr w:type="spellStart"/>
      <w:r w:rsidRPr="00B4480A">
        <w:rPr>
          <w:sz w:val="22"/>
          <w:szCs w:val="22"/>
          <w:lang w:val="nl-NL"/>
        </w:rPr>
        <w:t>Hsu</w:t>
      </w:r>
      <w:proofErr w:type="spellEnd"/>
      <w:r w:rsidRPr="00B4480A">
        <w:rPr>
          <w:sz w:val="22"/>
          <w:szCs w:val="22"/>
          <w:lang w:val="nl-NL"/>
        </w:rPr>
        <w:t>, D. H</w:t>
      </w:r>
      <w:r w:rsidR="00270A1E" w:rsidRPr="00B4480A">
        <w:rPr>
          <w:sz w:val="22"/>
          <w:szCs w:val="22"/>
          <w:lang w:val="nl-NL"/>
        </w:rPr>
        <w:t xml:space="preserve"> &amp; </w:t>
      </w:r>
      <w:proofErr w:type="spellStart"/>
      <w:r w:rsidRPr="00B4480A">
        <w:rPr>
          <w:sz w:val="22"/>
          <w:szCs w:val="22"/>
          <w:lang w:val="nl-NL"/>
        </w:rPr>
        <w:t>Ziedonis</w:t>
      </w:r>
      <w:proofErr w:type="spellEnd"/>
      <w:r w:rsidRPr="00B4480A">
        <w:rPr>
          <w:sz w:val="22"/>
          <w:szCs w:val="22"/>
          <w:lang w:val="nl-NL"/>
        </w:rPr>
        <w:t xml:space="preserve">, R. H. (2013). </w:t>
      </w:r>
      <w:r w:rsidRPr="006C6BB5">
        <w:rPr>
          <w:sz w:val="22"/>
          <w:szCs w:val="22"/>
          <w:lang w:val="en-GB"/>
        </w:rPr>
        <w:t>Resources as dual sources of advantage: implications for valuing entrepre</w:t>
      </w:r>
      <w:r w:rsidRPr="00F23265">
        <w:rPr>
          <w:sz w:val="22"/>
          <w:szCs w:val="22"/>
          <w:lang w:val="en-GB"/>
        </w:rPr>
        <w:t>neurial -firm patents</w:t>
      </w:r>
      <w:r w:rsidRPr="00F23265">
        <w:rPr>
          <w:i/>
          <w:sz w:val="22"/>
          <w:szCs w:val="22"/>
          <w:lang w:val="en-GB"/>
        </w:rPr>
        <w:t>. Strategic Management Journal</w:t>
      </w:r>
      <w:r w:rsidRPr="00F23265">
        <w:rPr>
          <w:sz w:val="22"/>
          <w:szCs w:val="22"/>
          <w:lang w:val="en-GB"/>
        </w:rPr>
        <w:t>, DOI: 10.1002.</w:t>
      </w:r>
    </w:p>
    <w:p w14:paraId="0CFB28E0" w14:textId="61303A60" w:rsidR="00D06794" w:rsidRPr="00F23265" w:rsidRDefault="00D06794" w:rsidP="005333D6">
      <w:pPr>
        <w:spacing w:after="200" w:line="360" w:lineRule="auto"/>
        <w:ind w:left="720" w:hanging="720"/>
        <w:contextualSpacing/>
        <w:rPr>
          <w:sz w:val="22"/>
          <w:szCs w:val="22"/>
          <w:lang w:val="en-GB"/>
        </w:rPr>
      </w:pPr>
      <w:proofErr w:type="spellStart"/>
      <w:r w:rsidRPr="00F23265">
        <w:rPr>
          <w:sz w:val="22"/>
          <w:szCs w:val="22"/>
          <w:lang w:val="en-GB"/>
        </w:rPr>
        <w:t>Huizingh</w:t>
      </w:r>
      <w:proofErr w:type="spellEnd"/>
      <w:r w:rsidRPr="00F23265">
        <w:rPr>
          <w:sz w:val="22"/>
          <w:szCs w:val="22"/>
          <w:lang w:val="en-GB"/>
        </w:rPr>
        <w:t>, E.K.R.E. (2011). Open innovation: state of the art and future perspectives</w:t>
      </w:r>
      <w:r w:rsidR="008C693C" w:rsidRPr="00F23265">
        <w:rPr>
          <w:i/>
          <w:sz w:val="22"/>
          <w:szCs w:val="22"/>
          <w:lang w:val="en-GB"/>
        </w:rPr>
        <w:t xml:space="preserve">. </w:t>
      </w:r>
      <w:proofErr w:type="spellStart"/>
      <w:r w:rsidRPr="00F23265">
        <w:rPr>
          <w:i/>
          <w:sz w:val="22"/>
          <w:szCs w:val="22"/>
          <w:lang w:val="en-GB"/>
        </w:rPr>
        <w:t>Technovation</w:t>
      </w:r>
      <w:proofErr w:type="spellEnd"/>
      <w:r w:rsidRPr="00F23265">
        <w:rPr>
          <w:sz w:val="22"/>
          <w:szCs w:val="22"/>
          <w:lang w:val="en-GB"/>
        </w:rPr>
        <w:t xml:space="preserve">, 31, 2-9. </w:t>
      </w:r>
    </w:p>
    <w:p w14:paraId="3046967B" w14:textId="77777777" w:rsidR="00D645A6" w:rsidRPr="006C6BB5" w:rsidRDefault="00D645A6" w:rsidP="005333D6">
      <w:pPr>
        <w:spacing w:after="200" w:line="360" w:lineRule="auto"/>
        <w:ind w:left="720" w:hanging="720"/>
        <w:contextualSpacing/>
        <w:rPr>
          <w:sz w:val="22"/>
          <w:szCs w:val="22"/>
          <w:lang w:val="en-GB"/>
        </w:rPr>
      </w:pPr>
      <w:proofErr w:type="spellStart"/>
      <w:r w:rsidRPr="00F23265">
        <w:rPr>
          <w:sz w:val="22"/>
          <w:szCs w:val="22"/>
          <w:lang w:val="en-GB"/>
        </w:rPr>
        <w:t>Hu</w:t>
      </w:r>
      <w:r w:rsidR="009A6089" w:rsidRPr="00F23265">
        <w:rPr>
          <w:sz w:val="22"/>
          <w:szCs w:val="22"/>
          <w:lang w:val="en-GB"/>
        </w:rPr>
        <w:t>r</w:t>
      </w:r>
      <w:r w:rsidRPr="00F23265">
        <w:rPr>
          <w:sz w:val="22"/>
          <w:szCs w:val="22"/>
          <w:lang w:val="en-GB"/>
        </w:rPr>
        <w:t>melinna-Lauk</w:t>
      </w:r>
      <w:r w:rsidR="009A6089" w:rsidRPr="00F23265">
        <w:rPr>
          <w:sz w:val="22"/>
          <w:szCs w:val="22"/>
          <w:lang w:val="en-GB"/>
        </w:rPr>
        <w:t>k</w:t>
      </w:r>
      <w:r w:rsidRPr="00F23265">
        <w:rPr>
          <w:sz w:val="22"/>
          <w:szCs w:val="22"/>
          <w:lang w:val="en-GB"/>
        </w:rPr>
        <w:t>anen</w:t>
      </w:r>
      <w:proofErr w:type="spellEnd"/>
      <w:r w:rsidRPr="006C6BB5">
        <w:rPr>
          <w:sz w:val="22"/>
          <w:szCs w:val="22"/>
          <w:lang w:val="en-GB"/>
        </w:rPr>
        <w:t xml:space="preserve">, P. (2011). Enabling collaborative innovation – knowledge protection for knowledge sharing. </w:t>
      </w:r>
      <w:r w:rsidRPr="006C6BB5">
        <w:rPr>
          <w:i/>
          <w:sz w:val="22"/>
          <w:szCs w:val="22"/>
          <w:lang w:val="en-GB"/>
        </w:rPr>
        <w:t>European Journal of Innovation Management</w:t>
      </w:r>
      <w:r w:rsidRPr="006C6BB5">
        <w:rPr>
          <w:sz w:val="22"/>
          <w:szCs w:val="22"/>
          <w:lang w:val="en-GB"/>
        </w:rPr>
        <w:t xml:space="preserve">, 14 (3), 303-321. </w:t>
      </w:r>
    </w:p>
    <w:p w14:paraId="1F07AD6D" w14:textId="77777777" w:rsidR="00A7675D" w:rsidRPr="006C6BB5" w:rsidRDefault="00A7675D" w:rsidP="005333D6">
      <w:pPr>
        <w:spacing w:after="200" w:line="360" w:lineRule="auto"/>
        <w:ind w:left="720" w:hanging="720"/>
        <w:contextualSpacing/>
        <w:rPr>
          <w:sz w:val="22"/>
          <w:szCs w:val="22"/>
          <w:lang w:val="en-GB"/>
        </w:rPr>
      </w:pPr>
      <w:proofErr w:type="spellStart"/>
      <w:r w:rsidRPr="006C6BB5">
        <w:rPr>
          <w:sz w:val="22"/>
          <w:szCs w:val="22"/>
          <w:lang w:val="en-GB"/>
        </w:rPr>
        <w:t>Hurmelinna</w:t>
      </w:r>
      <w:proofErr w:type="spellEnd"/>
      <w:r w:rsidRPr="006C6BB5">
        <w:rPr>
          <w:sz w:val="22"/>
          <w:szCs w:val="22"/>
          <w:lang w:val="en-GB"/>
        </w:rPr>
        <w:t xml:space="preserve">, P., </w:t>
      </w:r>
      <w:proofErr w:type="spellStart"/>
      <w:r w:rsidRPr="006C6BB5">
        <w:rPr>
          <w:sz w:val="22"/>
          <w:szCs w:val="22"/>
          <w:lang w:val="en-GB"/>
        </w:rPr>
        <w:t>Kyläheiko</w:t>
      </w:r>
      <w:proofErr w:type="spellEnd"/>
      <w:r w:rsidRPr="006C6BB5">
        <w:rPr>
          <w:sz w:val="22"/>
          <w:szCs w:val="22"/>
          <w:lang w:val="en-GB"/>
        </w:rPr>
        <w:t>, K.,</w:t>
      </w:r>
      <w:r w:rsidR="00270A1E" w:rsidRPr="006C6BB5">
        <w:rPr>
          <w:sz w:val="22"/>
          <w:szCs w:val="22"/>
          <w:lang w:val="en-GB"/>
        </w:rPr>
        <w:t xml:space="preserve"> &amp; </w:t>
      </w:r>
      <w:proofErr w:type="spellStart"/>
      <w:r w:rsidRPr="006C6BB5">
        <w:rPr>
          <w:sz w:val="22"/>
          <w:szCs w:val="22"/>
          <w:lang w:val="en-GB"/>
        </w:rPr>
        <w:t>Jauhiainen</w:t>
      </w:r>
      <w:proofErr w:type="spellEnd"/>
      <w:r w:rsidRPr="006C6BB5">
        <w:rPr>
          <w:sz w:val="22"/>
          <w:szCs w:val="22"/>
          <w:lang w:val="en-GB"/>
        </w:rPr>
        <w:t xml:space="preserve">, T. (2007). The </w:t>
      </w:r>
      <w:proofErr w:type="spellStart"/>
      <w:proofErr w:type="gramStart"/>
      <w:r w:rsidRPr="006C6BB5">
        <w:rPr>
          <w:sz w:val="22"/>
          <w:szCs w:val="22"/>
          <w:lang w:val="en-GB"/>
        </w:rPr>
        <w:t>janus</w:t>
      </w:r>
      <w:proofErr w:type="spellEnd"/>
      <w:proofErr w:type="gramEnd"/>
      <w:r w:rsidRPr="006C6BB5">
        <w:rPr>
          <w:sz w:val="22"/>
          <w:szCs w:val="22"/>
          <w:lang w:val="en-GB"/>
        </w:rPr>
        <w:t xml:space="preserve"> face of the </w:t>
      </w:r>
      <w:proofErr w:type="spellStart"/>
      <w:r w:rsidRPr="006C6BB5">
        <w:rPr>
          <w:sz w:val="22"/>
          <w:szCs w:val="22"/>
          <w:lang w:val="en-GB"/>
        </w:rPr>
        <w:t>appropriability</w:t>
      </w:r>
      <w:proofErr w:type="spellEnd"/>
      <w:r w:rsidRPr="006C6BB5">
        <w:rPr>
          <w:sz w:val="22"/>
          <w:szCs w:val="22"/>
          <w:lang w:val="en-GB"/>
        </w:rPr>
        <w:t xml:space="preserve"> regime in the protection of innovations: Theoretical re-appraisal and empirical analysis. </w:t>
      </w:r>
      <w:proofErr w:type="spellStart"/>
      <w:r w:rsidRPr="006C6BB5">
        <w:rPr>
          <w:i/>
          <w:sz w:val="22"/>
          <w:szCs w:val="22"/>
          <w:lang w:val="en-GB"/>
        </w:rPr>
        <w:t>Technovation</w:t>
      </w:r>
      <w:proofErr w:type="spellEnd"/>
      <w:r w:rsidRPr="006C6BB5">
        <w:rPr>
          <w:sz w:val="22"/>
          <w:szCs w:val="22"/>
          <w:lang w:val="en-GB"/>
        </w:rPr>
        <w:t xml:space="preserve">, 27, 133-144. </w:t>
      </w:r>
    </w:p>
    <w:p w14:paraId="707BAD88" w14:textId="77777777" w:rsidR="000B299A" w:rsidRPr="006C6BB5" w:rsidRDefault="002E15AA" w:rsidP="000B299A">
      <w:pPr>
        <w:spacing w:after="200" w:line="360" w:lineRule="auto"/>
        <w:contextualSpacing/>
        <w:rPr>
          <w:i/>
          <w:sz w:val="22"/>
          <w:szCs w:val="22"/>
          <w:lang w:val="en-GB"/>
        </w:rPr>
      </w:pPr>
      <w:r w:rsidRPr="006C6BB5">
        <w:rPr>
          <w:sz w:val="22"/>
          <w:szCs w:val="22"/>
          <w:lang w:val="en-GB"/>
        </w:rPr>
        <w:t xml:space="preserve">James, S.D., </w:t>
      </w:r>
      <w:proofErr w:type="spellStart"/>
      <w:r w:rsidRPr="006C6BB5">
        <w:rPr>
          <w:sz w:val="22"/>
          <w:szCs w:val="22"/>
          <w:lang w:val="en-GB"/>
        </w:rPr>
        <w:t>Leiblein</w:t>
      </w:r>
      <w:proofErr w:type="spellEnd"/>
      <w:r w:rsidRPr="006C6BB5">
        <w:rPr>
          <w:sz w:val="22"/>
          <w:szCs w:val="22"/>
          <w:lang w:val="en-GB"/>
        </w:rPr>
        <w:t>, M.J.</w:t>
      </w:r>
      <w:r w:rsidR="00270A1E" w:rsidRPr="006C6BB5">
        <w:rPr>
          <w:sz w:val="22"/>
          <w:szCs w:val="22"/>
          <w:lang w:val="en-GB"/>
        </w:rPr>
        <w:t xml:space="preserve"> &amp; </w:t>
      </w:r>
      <w:r w:rsidRPr="006C6BB5">
        <w:rPr>
          <w:sz w:val="22"/>
          <w:szCs w:val="22"/>
          <w:lang w:val="en-GB"/>
        </w:rPr>
        <w:t xml:space="preserve">Lu, S. (2013). How firms capture value from their innovations. </w:t>
      </w:r>
      <w:r w:rsidRPr="006C6BB5">
        <w:rPr>
          <w:i/>
          <w:sz w:val="22"/>
          <w:szCs w:val="22"/>
          <w:lang w:val="en-GB"/>
        </w:rPr>
        <w:t xml:space="preserve">Journal </w:t>
      </w:r>
    </w:p>
    <w:p w14:paraId="5E55C8B6" w14:textId="1E615A47" w:rsidR="002E15AA" w:rsidRPr="006C6BB5" w:rsidRDefault="000B299A" w:rsidP="000B299A">
      <w:pPr>
        <w:spacing w:after="200" w:line="360" w:lineRule="auto"/>
        <w:contextualSpacing/>
        <w:rPr>
          <w:sz w:val="22"/>
          <w:szCs w:val="22"/>
          <w:lang w:val="en-GB"/>
        </w:rPr>
      </w:pPr>
      <w:r w:rsidRPr="006C6BB5">
        <w:rPr>
          <w:i/>
          <w:sz w:val="22"/>
          <w:szCs w:val="22"/>
          <w:lang w:val="en-GB"/>
        </w:rPr>
        <w:tab/>
      </w:r>
      <w:proofErr w:type="gramStart"/>
      <w:r w:rsidR="002E15AA" w:rsidRPr="006C6BB5">
        <w:rPr>
          <w:i/>
          <w:sz w:val="22"/>
          <w:szCs w:val="22"/>
          <w:lang w:val="en-GB"/>
        </w:rPr>
        <w:t>of</w:t>
      </w:r>
      <w:proofErr w:type="gramEnd"/>
      <w:r w:rsidR="002E15AA" w:rsidRPr="006C6BB5">
        <w:rPr>
          <w:i/>
          <w:sz w:val="22"/>
          <w:szCs w:val="22"/>
          <w:lang w:val="en-GB"/>
        </w:rPr>
        <w:t xml:space="preserve"> Management</w:t>
      </w:r>
      <w:r w:rsidR="002E15AA" w:rsidRPr="006C6BB5">
        <w:rPr>
          <w:sz w:val="22"/>
          <w:szCs w:val="22"/>
          <w:lang w:val="en-GB"/>
        </w:rPr>
        <w:t xml:space="preserve">, 39 (5), 1123-1155. </w:t>
      </w:r>
    </w:p>
    <w:p w14:paraId="1C01D84B" w14:textId="77777777" w:rsidR="000B267C" w:rsidRPr="006C6BB5" w:rsidRDefault="000B267C" w:rsidP="005333D6">
      <w:pPr>
        <w:spacing w:after="200" w:line="360" w:lineRule="auto"/>
        <w:ind w:left="720" w:hanging="720"/>
        <w:contextualSpacing/>
        <w:rPr>
          <w:sz w:val="22"/>
          <w:szCs w:val="22"/>
          <w:lang w:val="en-GB"/>
        </w:rPr>
      </w:pPr>
      <w:proofErr w:type="spellStart"/>
      <w:r w:rsidRPr="006C6BB5">
        <w:rPr>
          <w:sz w:val="22"/>
          <w:szCs w:val="22"/>
          <w:lang w:val="en-GB"/>
        </w:rPr>
        <w:t>Kani</w:t>
      </w:r>
      <w:proofErr w:type="spellEnd"/>
      <w:r w:rsidRPr="006C6BB5">
        <w:rPr>
          <w:sz w:val="22"/>
          <w:szCs w:val="22"/>
          <w:lang w:val="en-GB"/>
        </w:rPr>
        <w:t>, M.</w:t>
      </w:r>
      <w:r w:rsidR="00270A1E" w:rsidRPr="006C6BB5">
        <w:rPr>
          <w:sz w:val="22"/>
          <w:szCs w:val="22"/>
          <w:lang w:val="en-GB"/>
        </w:rPr>
        <w:t xml:space="preserve"> &amp; </w:t>
      </w:r>
      <w:proofErr w:type="spellStart"/>
      <w:r w:rsidRPr="006C6BB5">
        <w:rPr>
          <w:sz w:val="22"/>
          <w:szCs w:val="22"/>
          <w:lang w:val="en-GB"/>
        </w:rPr>
        <w:t>Motohashi</w:t>
      </w:r>
      <w:proofErr w:type="spellEnd"/>
      <w:r w:rsidRPr="006C6BB5">
        <w:rPr>
          <w:sz w:val="22"/>
          <w:szCs w:val="22"/>
          <w:lang w:val="en-GB"/>
        </w:rPr>
        <w:t xml:space="preserve">, K. (2012). Understanding the technology market for patents: New insights from licensing survey of Japanese firms. </w:t>
      </w:r>
      <w:r w:rsidRPr="006C6BB5">
        <w:rPr>
          <w:i/>
          <w:sz w:val="22"/>
          <w:szCs w:val="22"/>
          <w:lang w:val="en-GB"/>
        </w:rPr>
        <w:t>Research Policy</w:t>
      </w:r>
      <w:r w:rsidRPr="006C6BB5">
        <w:rPr>
          <w:sz w:val="22"/>
          <w:szCs w:val="22"/>
          <w:lang w:val="en-GB"/>
        </w:rPr>
        <w:t>, 41, 226-235.</w:t>
      </w:r>
    </w:p>
    <w:p w14:paraId="0DD3777C" w14:textId="77777777" w:rsidR="002B54D9" w:rsidRPr="006C6BB5" w:rsidRDefault="002B54D9" w:rsidP="005333D6">
      <w:pPr>
        <w:spacing w:after="200" w:line="360" w:lineRule="auto"/>
        <w:ind w:left="720" w:hanging="720"/>
        <w:contextualSpacing/>
        <w:rPr>
          <w:sz w:val="22"/>
          <w:szCs w:val="22"/>
          <w:lang w:val="en-GB"/>
        </w:rPr>
      </w:pPr>
      <w:proofErr w:type="spellStart"/>
      <w:r w:rsidRPr="006C6BB5">
        <w:rPr>
          <w:sz w:val="22"/>
          <w:szCs w:val="22"/>
          <w:lang w:val="en-GB"/>
        </w:rPr>
        <w:t>Koput</w:t>
      </w:r>
      <w:proofErr w:type="spellEnd"/>
      <w:r w:rsidRPr="006C6BB5">
        <w:rPr>
          <w:sz w:val="22"/>
          <w:szCs w:val="22"/>
          <w:lang w:val="en-GB"/>
        </w:rPr>
        <w:t xml:space="preserve">, K.W. (1997). A chaotic model of innovative search: some answers, many questions. </w:t>
      </w:r>
      <w:r w:rsidRPr="006C6BB5">
        <w:rPr>
          <w:i/>
          <w:sz w:val="22"/>
          <w:szCs w:val="22"/>
          <w:lang w:val="en-GB"/>
        </w:rPr>
        <w:t>Organization Science</w:t>
      </w:r>
      <w:r w:rsidRPr="006C6BB5">
        <w:rPr>
          <w:sz w:val="22"/>
          <w:szCs w:val="22"/>
          <w:lang w:val="en-GB"/>
        </w:rPr>
        <w:t xml:space="preserve">, 8, 528-542. </w:t>
      </w:r>
    </w:p>
    <w:p w14:paraId="049B9968" w14:textId="77777777" w:rsidR="00AA65F2" w:rsidRPr="006C6BB5" w:rsidRDefault="009B6111" w:rsidP="00AA65F2">
      <w:pPr>
        <w:spacing w:after="200" w:line="360" w:lineRule="auto"/>
        <w:contextualSpacing/>
        <w:rPr>
          <w:sz w:val="22"/>
          <w:szCs w:val="22"/>
          <w:lang w:val="en-GB"/>
        </w:rPr>
      </w:pPr>
      <w:proofErr w:type="spellStart"/>
      <w:r w:rsidRPr="000E6790">
        <w:rPr>
          <w:sz w:val="22"/>
          <w:szCs w:val="22"/>
        </w:rPr>
        <w:t>Köhler</w:t>
      </w:r>
      <w:proofErr w:type="spellEnd"/>
      <w:r w:rsidRPr="000E6790">
        <w:rPr>
          <w:sz w:val="22"/>
          <w:szCs w:val="22"/>
        </w:rPr>
        <w:t xml:space="preserve">, C., </w:t>
      </w:r>
      <w:proofErr w:type="spellStart"/>
      <w:r w:rsidRPr="000E6790">
        <w:rPr>
          <w:sz w:val="22"/>
          <w:szCs w:val="22"/>
        </w:rPr>
        <w:t>Sofka</w:t>
      </w:r>
      <w:proofErr w:type="spellEnd"/>
      <w:r w:rsidRPr="000E6790">
        <w:rPr>
          <w:sz w:val="22"/>
          <w:szCs w:val="22"/>
        </w:rPr>
        <w:t>, W.,</w:t>
      </w:r>
      <w:r w:rsidR="00270A1E" w:rsidRPr="000E6790">
        <w:rPr>
          <w:sz w:val="22"/>
          <w:szCs w:val="22"/>
        </w:rPr>
        <w:t xml:space="preserve"> &amp; </w:t>
      </w:r>
      <w:proofErr w:type="spellStart"/>
      <w:r w:rsidRPr="000E6790">
        <w:rPr>
          <w:sz w:val="22"/>
          <w:szCs w:val="22"/>
        </w:rPr>
        <w:t>Grimpe</w:t>
      </w:r>
      <w:proofErr w:type="spellEnd"/>
      <w:r w:rsidRPr="000E6790">
        <w:rPr>
          <w:sz w:val="22"/>
          <w:szCs w:val="22"/>
        </w:rPr>
        <w:t xml:space="preserve">, C. (2012). </w:t>
      </w:r>
      <w:r w:rsidRPr="006C6BB5">
        <w:rPr>
          <w:sz w:val="22"/>
          <w:szCs w:val="22"/>
          <w:lang w:val="en-GB"/>
        </w:rPr>
        <w:t>Selective search, sectoral patterns, and the</w:t>
      </w:r>
    </w:p>
    <w:p w14:paraId="6058D796" w14:textId="77777777" w:rsidR="009B6111" w:rsidRPr="006C6BB5" w:rsidRDefault="009B6111" w:rsidP="00AA65F2">
      <w:pPr>
        <w:spacing w:after="200" w:line="360" w:lineRule="auto"/>
        <w:ind w:firstLine="720"/>
        <w:contextualSpacing/>
        <w:rPr>
          <w:sz w:val="22"/>
          <w:szCs w:val="22"/>
          <w:lang w:val="en-GB"/>
        </w:rPr>
      </w:pPr>
      <w:proofErr w:type="gramStart"/>
      <w:r w:rsidRPr="006C6BB5">
        <w:rPr>
          <w:sz w:val="22"/>
          <w:szCs w:val="22"/>
          <w:lang w:val="en-GB"/>
        </w:rPr>
        <w:lastRenderedPageBreak/>
        <w:t>impact</w:t>
      </w:r>
      <w:proofErr w:type="gramEnd"/>
      <w:r w:rsidRPr="006C6BB5">
        <w:rPr>
          <w:sz w:val="22"/>
          <w:szCs w:val="22"/>
          <w:lang w:val="en-GB"/>
        </w:rPr>
        <w:t xml:space="preserve"> on product innovation performance. </w:t>
      </w:r>
      <w:r w:rsidRPr="006C6BB5">
        <w:rPr>
          <w:i/>
          <w:sz w:val="22"/>
          <w:szCs w:val="22"/>
          <w:lang w:val="en-GB"/>
        </w:rPr>
        <w:t>Research Policy</w:t>
      </w:r>
      <w:r w:rsidRPr="006C6BB5">
        <w:rPr>
          <w:sz w:val="22"/>
          <w:szCs w:val="22"/>
          <w:lang w:val="en-GB"/>
        </w:rPr>
        <w:t xml:space="preserve">, 41, 1344-1356. </w:t>
      </w:r>
    </w:p>
    <w:p w14:paraId="4B538728" w14:textId="77777777" w:rsidR="00995EDC" w:rsidRPr="006C6BB5" w:rsidRDefault="00995EDC" w:rsidP="005333D6">
      <w:pPr>
        <w:spacing w:line="360" w:lineRule="auto"/>
        <w:ind w:left="720" w:hanging="720"/>
        <w:contextualSpacing/>
        <w:rPr>
          <w:sz w:val="22"/>
          <w:szCs w:val="22"/>
          <w:lang w:val="en-GB"/>
        </w:rPr>
      </w:pPr>
      <w:proofErr w:type="spellStart"/>
      <w:r w:rsidRPr="006C6BB5">
        <w:rPr>
          <w:sz w:val="22"/>
          <w:szCs w:val="22"/>
          <w:lang w:val="en-GB"/>
        </w:rPr>
        <w:t>L</w:t>
      </w:r>
      <w:r w:rsidR="00380A93" w:rsidRPr="006C6BB5">
        <w:rPr>
          <w:sz w:val="22"/>
          <w:szCs w:val="22"/>
          <w:lang w:val="en-GB"/>
        </w:rPr>
        <w:t>anginier</w:t>
      </w:r>
      <w:proofErr w:type="spellEnd"/>
      <w:r w:rsidR="00380A93" w:rsidRPr="006C6BB5">
        <w:rPr>
          <w:sz w:val="22"/>
          <w:szCs w:val="22"/>
          <w:lang w:val="en-GB"/>
        </w:rPr>
        <w:t>, C. (2005). Using pate</w:t>
      </w:r>
      <w:r w:rsidRPr="006C6BB5">
        <w:rPr>
          <w:sz w:val="22"/>
          <w:szCs w:val="22"/>
          <w:lang w:val="en-GB"/>
        </w:rPr>
        <w:t xml:space="preserve">nts to mislead rivals. </w:t>
      </w:r>
      <w:r w:rsidRPr="006C6BB5">
        <w:rPr>
          <w:i/>
          <w:sz w:val="22"/>
          <w:szCs w:val="22"/>
          <w:lang w:val="en-GB"/>
        </w:rPr>
        <w:t>Canadian Journal of Economics</w:t>
      </w:r>
      <w:r w:rsidRPr="006C6BB5">
        <w:rPr>
          <w:sz w:val="22"/>
          <w:szCs w:val="22"/>
          <w:lang w:val="en-GB"/>
        </w:rPr>
        <w:t>, 38, 520-545.</w:t>
      </w:r>
    </w:p>
    <w:p w14:paraId="486B40D8" w14:textId="078EDD50" w:rsidR="002655C8" w:rsidRPr="006C6BB5" w:rsidRDefault="002655C8" w:rsidP="000B299A">
      <w:pPr>
        <w:pStyle w:val="Default"/>
        <w:spacing w:line="360" w:lineRule="auto"/>
        <w:rPr>
          <w:color w:val="auto"/>
          <w:sz w:val="22"/>
          <w:szCs w:val="22"/>
          <w:lang w:val="en-GB"/>
        </w:rPr>
      </w:pPr>
      <w:r w:rsidRPr="006C6BB5">
        <w:rPr>
          <w:color w:val="auto"/>
          <w:sz w:val="22"/>
          <w:szCs w:val="22"/>
          <w:lang w:val="en-GB"/>
        </w:rPr>
        <w:t>Laursen, K.</w:t>
      </w:r>
      <w:r w:rsidR="00270A1E" w:rsidRPr="006C6BB5">
        <w:rPr>
          <w:color w:val="auto"/>
          <w:sz w:val="22"/>
          <w:szCs w:val="22"/>
          <w:lang w:val="en-GB"/>
        </w:rPr>
        <w:t xml:space="preserve"> &amp; </w:t>
      </w:r>
      <w:r w:rsidRPr="006C6BB5">
        <w:rPr>
          <w:color w:val="auto"/>
          <w:sz w:val="22"/>
          <w:szCs w:val="22"/>
          <w:lang w:val="en-GB"/>
        </w:rPr>
        <w:t>Salter, A. (2006). Open for innovation: the role of openness in explaining innovation</w:t>
      </w:r>
      <w:r w:rsidR="000B299A" w:rsidRPr="006C6BB5">
        <w:rPr>
          <w:color w:val="auto"/>
          <w:sz w:val="22"/>
          <w:szCs w:val="22"/>
          <w:lang w:val="en-GB"/>
        </w:rPr>
        <w:tab/>
      </w:r>
      <w:r w:rsidRPr="006C6BB5">
        <w:rPr>
          <w:color w:val="auto"/>
          <w:sz w:val="22"/>
          <w:szCs w:val="22"/>
          <w:lang w:val="en-GB"/>
        </w:rPr>
        <w:t xml:space="preserve">performance among U.K. manufacturing firms. </w:t>
      </w:r>
      <w:r w:rsidRPr="006C6BB5">
        <w:rPr>
          <w:i/>
          <w:iCs/>
          <w:color w:val="auto"/>
          <w:sz w:val="22"/>
          <w:szCs w:val="22"/>
          <w:lang w:val="en-GB"/>
        </w:rPr>
        <w:t>Strategic Management Journal</w:t>
      </w:r>
      <w:r w:rsidRPr="006C6BB5">
        <w:rPr>
          <w:color w:val="auto"/>
          <w:sz w:val="22"/>
          <w:szCs w:val="22"/>
          <w:lang w:val="en-GB"/>
        </w:rPr>
        <w:t>, 27,131-150.</w:t>
      </w:r>
    </w:p>
    <w:p w14:paraId="55A370BD" w14:textId="1B683451" w:rsidR="00D81754" w:rsidRPr="006C6BB5" w:rsidRDefault="00D81754" w:rsidP="00D81754">
      <w:pPr>
        <w:spacing w:after="200" w:line="360" w:lineRule="auto"/>
        <w:contextualSpacing/>
        <w:rPr>
          <w:sz w:val="22"/>
          <w:szCs w:val="22"/>
          <w:lang w:val="en-GB"/>
        </w:rPr>
      </w:pPr>
      <w:r w:rsidRPr="006C6BB5">
        <w:rPr>
          <w:sz w:val="22"/>
          <w:szCs w:val="22"/>
          <w:lang w:val="en-GB"/>
        </w:rPr>
        <w:t>Laursen, K.</w:t>
      </w:r>
      <w:r w:rsidR="00270A1E" w:rsidRPr="006C6BB5">
        <w:rPr>
          <w:sz w:val="22"/>
          <w:szCs w:val="22"/>
          <w:lang w:val="en-GB"/>
        </w:rPr>
        <w:t xml:space="preserve"> &amp; </w:t>
      </w:r>
      <w:r w:rsidRPr="006C6BB5">
        <w:rPr>
          <w:sz w:val="22"/>
          <w:szCs w:val="22"/>
          <w:lang w:val="en-GB"/>
        </w:rPr>
        <w:t>Salter, A.</w:t>
      </w:r>
      <w:r w:rsidR="004C6040" w:rsidRPr="006C6BB5">
        <w:rPr>
          <w:sz w:val="22"/>
          <w:szCs w:val="22"/>
          <w:lang w:val="en-GB"/>
        </w:rPr>
        <w:t xml:space="preserve"> (2014</w:t>
      </w:r>
      <w:r w:rsidRPr="006C6BB5">
        <w:rPr>
          <w:sz w:val="22"/>
          <w:szCs w:val="22"/>
          <w:lang w:val="en-GB"/>
        </w:rPr>
        <w:t xml:space="preserve">). The paradox of openness: </w:t>
      </w:r>
      <w:proofErr w:type="spellStart"/>
      <w:r w:rsidRPr="006C6BB5">
        <w:rPr>
          <w:sz w:val="22"/>
          <w:szCs w:val="22"/>
          <w:lang w:val="en-GB"/>
        </w:rPr>
        <w:t>appropriability</w:t>
      </w:r>
      <w:proofErr w:type="spellEnd"/>
      <w:r w:rsidRPr="006C6BB5">
        <w:rPr>
          <w:sz w:val="22"/>
          <w:szCs w:val="22"/>
          <w:lang w:val="en-GB"/>
        </w:rPr>
        <w:t xml:space="preserve">, external search </w:t>
      </w:r>
    </w:p>
    <w:p w14:paraId="7A28ED6E" w14:textId="473EA314" w:rsidR="00D81754" w:rsidRPr="006C6BB5" w:rsidRDefault="00AB6671" w:rsidP="00D81754">
      <w:pPr>
        <w:spacing w:after="200" w:line="360" w:lineRule="auto"/>
        <w:contextualSpacing/>
        <w:rPr>
          <w:sz w:val="22"/>
          <w:szCs w:val="22"/>
          <w:lang w:val="en-GB"/>
        </w:rPr>
      </w:pPr>
      <w:r w:rsidRPr="006C6BB5">
        <w:rPr>
          <w:sz w:val="22"/>
          <w:szCs w:val="22"/>
          <w:lang w:val="en-GB"/>
        </w:rPr>
        <w:tab/>
      </w:r>
      <w:proofErr w:type="gramStart"/>
      <w:r w:rsidRPr="006C6BB5">
        <w:rPr>
          <w:sz w:val="22"/>
          <w:szCs w:val="22"/>
          <w:lang w:val="en-GB"/>
        </w:rPr>
        <w:t>and</w:t>
      </w:r>
      <w:proofErr w:type="gramEnd"/>
      <w:r w:rsidRPr="006C6BB5">
        <w:rPr>
          <w:sz w:val="22"/>
          <w:szCs w:val="22"/>
          <w:lang w:val="en-GB"/>
        </w:rPr>
        <w:t xml:space="preserve"> collaboration, </w:t>
      </w:r>
      <w:r w:rsidR="00D81754" w:rsidRPr="006C6BB5">
        <w:rPr>
          <w:i/>
          <w:sz w:val="22"/>
          <w:szCs w:val="22"/>
          <w:lang w:val="en-GB"/>
        </w:rPr>
        <w:t>Research Policy</w:t>
      </w:r>
      <w:r w:rsidRPr="006C6BB5">
        <w:rPr>
          <w:sz w:val="22"/>
          <w:szCs w:val="22"/>
          <w:lang w:val="en-GB"/>
        </w:rPr>
        <w:t>, 43 (5), 867-878.</w:t>
      </w:r>
    </w:p>
    <w:p w14:paraId="4F62301F" w14:textId="77777777" w:rsidR="00E81EEC" w:rsidRPr="006C6BB5" w:rsidRDefault="00E81EEC" w:rsidP="00E125A3">
      <w:pPr>
        <w:spacing w:line="360" w:lineRule="auto"/>
        <w:rPr>
          <w:sz w:val="22"/>
          <w:szCs w:val="22"/>
          <w:lang w:val="en-GB"/>
        </w:rPr>
      </w:pPr>
      <w:r w:rsidRPr="006C6BB5">
        <w:rPr>
          <w:sz w:val="22"/>
          <w:szCs w:val="22"/>
          <w:lang w:val="en-GB"/>
        </w:rPr>
        <w:t xml:space="preserve">Lee, S., Park, G., Yoon, B., &amp; Park, J. (2010). Open innovation in SMEs – an intermediated network </w:t>
      </w:r>
    </w:p>
    <w:p w14:paraId="70E5C565" w14:textId="04DD025C" w:rsidR="00E81EEC" w:rsidRPr="006C6BB5" w:rsidRDefault="00E81EEC" w:rsidP="00E81EEC">
      <w:pPr>
        <w:spacing w:line="360" w:lineRule="auto"/>
        <w:ind w:firstLine="720"/>
        <w:rPr>
          <w:sz w:val="22"/>
          <w:szCs w:val="22"/>
          <w:lang w:val="en-GB"/>
        </w:rPr>
      </w:pPr>
      <w:proofErr w:type="gramStart"/>
      <w:r w:rsidRPr="006C6BB5">
        <w:rPr>
          <w:sz w:val="22"/>
          <w:szCs w:val="22"/>
          <w:lang w:val="en-GB"/>
        </w:rPr>
        <w:t>model</w:t>
      </w:r>
      <w:proofErr w:type="gramEnd"/>
      <w:r w:rsidRPr="006C6BB5">
        <w:rPr>
          <w:sz w:val="22"/>
          <w:szCs w:val="22"/>
          <w:lang w:val="en-GB"/>
        </w:rPr>
        <w:t xml:space="preserve">. </w:t>
      </w:r>
      <w:r w:rsidRPr="006C6BB5">
        <w:rPr>
          <w:i/>
          <w:sz w:val="22"/>
          <w:szCs w:val="22"/>
          <w:lang w:val="en-GB"/>
        </w:rPr>
        <w:t>Research Policy</w:t>
      </w:r>
      <w:r w:rsidRPr="006C6BB5">
        <w:rPr>
          <w:sz w:val="22"/>
          <w:szCs w:val="22"/>
          <w:lang w:val="en-GB"/>
        </w:rPr>
        <w:t xml:space="preserve">, 39, 290-300. </w:t>
      </w:r>
    </w:p>
    <w:p w14:paraId="4C1C57ED" w14:textId="77777777" w:rsidR="00E125A3" w:rsidRPr="006C6BB5" w:rsidRDefault="00E125A3" w:rsidP="00E125A3">
      <w:pPr>
        <w:spacing w:line="360" w:lineRule="auto"/>
        <w:rPr>
          <w:sz w:val="22"/>
          <w:szCs w:val="22"/>
          <w:lang w:val="en-GB"/>
        </w:rPr>
      </w:pPr>
      <w:proofErr w:type="spellStart"/>
      <w:r w:rsidRPr="00B4480A">
        <w:rPr>
          <w:sz w:val="22"/>
          <w:szCs w:val="22"/>
          <w:lang w:val="nl-NL"/>
        </w:rPr>
        <w:t>Levin</w:t>
      </w:r>
      <w:proofErr w:type="spellEnd"/>
      <w:r w:rsidRPr="00B4480A">
        <w:rPr>
          <w:sz w:val="22"/>
          <w:szCs w:val="22"/>
          <w:lang w:val="nl-NL"/>
        </w:rPr>
        <w:t xml:space="preserve">, R.C., </w:t>
      </w:r>
      <w:proofErr w:type="spellStart"/>
      <w:r w:rsidRPr="00B4480A">
        <w:rPr>
          <w:sz w:val="22"/>
          <w:szCs w:val="22"/>
          <w:lang w:val="nl-NL"/>
        </w:rPr>
        <w:t>Klevorik</w:t>
      </w:r>
      <w:proofErr w:type="spellEnd"/>
      <w:r w:rsidRPr="00B4480A">
        <w:rPr>
          <w:sz w:val="22"/>
          <w:szCs w:val="22"/>
          <w:lang w:val="nl-NL"/>
        </w:rPr>
        <w:t>, A.K., Nelson, R.R.,</w:t>
      </w:r>
      <w:r w:rsidR="00270A1E" w:rsidRPr="00B4480A">
        <w:rPr>
          <w:sz w:val="22"/>
          <w:szCs w:val="22"/>
          <w:lang w:val="nl-NL"/>
        </w:rPr>
        <w:t xml:space="preserve"> &amp; </w:t>
      </w:r>
      <w:r w:rsidRPr="00B4480A">
        <w:rPr>
          <w:sz w:val="22"/>
          <w:szCs w:val="22"/>
          <w:lang w:val="nl-NL"/>
        </w:rPr>
        <w:t xml:space="preserve">Winter, </w:t>
      </w:r>
      <w:r w:rsidR="00D81754" w:rsidRPr="00B4480A">
        <w:rPr>
          <w:sz w:val="22"/>
          <w:szCs w:val="22"/>
          <w:lang w:val="nl-NL"/>
        </w:rPr>
        <w:t>S.G. (1987).</w:t>
      </w:r>
      <w:r w:rsidRPr="00B4480A">
        <w:rPr>
          <w:sz w:val="22"/>
          <w:szCs w:val="22"/>
          <w:lang w:val="nl-NL"/>
        </w:rPr>
        <w:t xml:space="preserve"> </w:t>
      </w:r>
      <w:r w:rsidRPr="006C6BB5">
        <w:rPr>
          <w:sz w:val="22"/>
          <w:szCs w:val="22"/>
          <w:lang w:val="en-GB"/>
        </w:rPr>
        <w:t xml:space="preserve">Appropriating the returns </w:t>
      </w:r>
    </w:p>
    <w:p w14:paraId="7665F496" w14:textId="77777777" w:rsidR="00E125A3" w:rsidRPr="006C6BB5" w:rsidRDefault="00E125A3" w:rsidP="00E125A3">
      <w:pPr>
        <w:spacing w:line="360" w:lineRule="auto"/>
        <w:ind w:left="720"/>
        <w:rPr>
          <w:sz w:val="22"/>
          <w:szCs w:val="22"/>
          <w:lang w:val="en-GB"/>
        </w:rPr>
      </w:pPr>
      <w:proofErr w:type="gramStart"/>
      <w:r w:rsidRPr="006C6BB5">
        <w:rPr>
          <w:sz w:val="22"/>
          <w:szCs w:val="22"/>
          <w:lang w:val="en-GB"/>
        </w:rPr>
        <w:t>from</w:t>
      </w:r>
      <w:proofErr w:type="gramEnd"/>
      <w:r w:rsidRPr="006C6BB5">
        <w:rPr>
          <w:sz w:val="22"/>
          <w:szCs w:val="22"/>
          <w:lang w:val="en-GB"/>
        </w:rPr>
        <w:t xml:space="preserve"> industrial research and development, </w:t>
      </w:r>
      <w:r w:rsidRPr="006C6BB5">
        <w:rPr>
          <w:i/>
          <w:iCs/>
          <w:sz w:val="22"/>
          <w:szCs w:val="22"/>
          <w:lang w:val="en-GB"/>
        </w:rPr>
        <w:t xml:space="preserve">Brookings Papers on Economic Activity, </w:t>
      </w:r>
      <w:r w:rsidRPr="006C6BB5">
        <w:rPr>
          <w:sz w:val="22"/>
          <w:szCs w:val="22"/>
          <w:lang w:val="en-GB"/>
        </w:rPr>
        <w:t>3, 783-820.</w:t>
      </w:r>
    </w:p>
    <w:p w14:paraId="3333D722" w14:textId="77777777" w:rsidR="0031772A" w:rsidRPr="006C6BB5" w:rsidRDefault="0031772A" w:rsidP="00E125A3">
      <w:pPr>
        <w:spacing w:line="360" w:lineRule="auto"/>
        <w:rPr>
          <w:sz w:val="22"/>
          <w:szCs w:val="22"/>
          <w:lang w:val="en-GB"/>
        </w:rPr>
      </w:pPr>
      <w:proofErr w:type="spellStart"/>
      <w:r w:rsidRPr="006C6BB5">
        <w:rPr>
          <w:sz w:val="22"/>
          <w:szCs w:val="22"/>
          <w:lang w:val="en-GB"/>
        </w:rPr>
        <w:t>Liebeskind</w:t>
      </w:r>
      <w:proofErr w:type="spellEnd"/>
      <w:r w:rsidRPr="006C6BB5">
        <w:rPr>
          <w:sz w:val="22"/>
          <w:szCs w:val="22"/>
          <w:lang w:val="en-GB"/>
        </w:rPr>
        <w:t xml:space="preserve">, J. (1997). Keeping organizational secrets: protective institutional mechanisms and their </w:t>
      </w:r>
    </w:p>
    <w:p w14:paraId="7D6B504A" w14:textId="66D1035F" w:rsidR="0031772A" w:rsidRPr="006C6BB5" w:rsidRDefault="0031772A" w:rsidP="0031772A">
      <w:pPr>
        <w:spacing w:line="360" w:lineRule="auto"/>
        <w:ind w:firstLine="720"/>
        <w:rPr>
          <w:sz w:val="22"/>
          <w:szCs w:val="22"/>
          <w:lang w:val="en-GB"/>
        </w:rPr>
      </w:pPr>
      <w:proofErr w:type="gramStart"/>
      <w:r w:rsidRPr="006C6BB5">
        <w:rPr>
          <w:sz w:val="22"/>
          <w:szCs w:val="22"/>
          <w:lang w:val="en-GB"/>
        </w:rPr>
        <w:t>costs</w:t>
      </w:r>
      <w:proofErr w:type="gramEnd"/>
      <w:r w:rsidRPr="006C6BB5">
        <w:rPr>
          <w:sz w:val="22"/>
          <w:szCs w:val="22"/>
          <w:lang w:val="en-GB"/>
        </w:rPr>
        <w:t xml:space="preserve">. </w:t>
      </w:r>
      <w:r w:rsidRPr="006C6BB5">
        <w:rPr>
          <w:i/>
          <w:sz w:val="22"/>
          <w:szCs w:val="22"/>
          <w:lang w:val="en-GB"/>
        </w:rPr>
        <w:t>Industrial and Corporate Change</w:t>
      </w:r>
      <w:r w:rsidRPr="006C6BB5">
        <w:rPr>
          <w:sz w:val="22"/>
          <w:szCs w:val="22"/>
          <w:lang w:val="en-GB"/>
        </w:rPr>
        <w:t xml:space="preserve">, 6, 623-663. </w:t>
      </w:r>
    </w:p>
    <w:p w14:paraId="4065285C" w14:textId="77777777" w:rsidR="002655C8" w:rsidRPr="006C6BB5" w:rsidRDefault="002655C8" w:rsidP="00E125A3">
      <w:pPr>
        <w:spacing w:line="360" w:lineRule="auto"/>
        <w:rPr>
          <w:sz w:val="22"/>
          <w:szCs w:val="22"/>
          <w:lang w:val="en-GB"/>
        </w:rPr>
      </w:pPr>
      <w:proofErr w:type="spellStart"/>
      <w:r w:rsidRPr="00A9230E">
        <w:rPr>
          <w:sz w:val="22"/>
          <w:szCs w:val="22"/>
          <w:lang w:val="it-IT"/>
        </w:rPr>
        <w:t>Luoma</w:t>
      </w:r>
      <w:proofErr w:type="spellEnd"/>
      <w:r w:rsidRPr="00A9230E">
        <w:rPr>
          <w:sz w:val="22"/>
          <w:szCs w:val="22"/>
          <w:lang w:val="it-IT"/>
        </w:rPr>
        <w:t xml:space="preserve">, T., </w:t>
      </w:r>
      <w:proofErr w:type="spellStart"/>
      <w:r w:rsidRPr="00A9230E">
        <w:rPr>
          <w:sz w:val="22"/>
          <w:szCs w:val="22"/>
          <w:lang w:val="it-IT"/>
        </w:rPr>
        <w:t>Paasi</w:t>
      </w:r>
      <w:proofErr w:type="spellEnd"/>
      <w:r w:rsidRPr="00A9230E">
        <w:rPr>
          <w:sz w:val="22"/>
          <w:szCs w:val="22"/>
          <w:lang w:val="it-IT"/>
        </w:rPr>
        <w:t>, J.,</w:t>
      </w:r>
      <w:r w:rsidR="00270A1E" w:rsidRPr="00A9230E">
        <w:rPr>
          <w:sz w:val="22"/>
          <w:szCs w:val="22"/>
          <w:lang w:val="it-IT"/>
        </w:rPr>
        <w:t xml:space="preserve"> &amp; </w:t>
      </w:r>
      <w:proofErr w:type="spellStart"/>
      <w:r w:rsidRPr="00A9230E">
        <w:rPr>
          <w:sz w:val="22"/>
          <w:szCs w:val="22"/>
          <w:lang w:val="it-IT"/>
        </w:rPr>
        <w:t>Valkokari</w:t>
      </w:r>
      <w:proofErr w:type="spellEnd"/>
      <w:r w:rsidRPr="00A9230E">
        <w:rPr>
          <w:sz w:val="22"/>
          <w:szCs w:val="22"/>
          <w:lang w:val="it-IT"/>
        </w:rPr>
        <w:t xml:space="preserve">, K. (2010). </w:t>
      </w:r>
      <w:r w:rsidRPr="006C6BB5">
        <w:rPr>
          <w:sz w:val="22"/>
          <w:szCs w:val="22"/>
          <w:lang w:val="en-GB"/>
        </w:rPr>
        <w:t xml:space="preserve">Intellectual property in inter-organisational </w:t>
      </w:r>
    </w:p>
    <w:p w14:paraId="03CA33A8" w14:textId="77777777" w:rsidR="002655C8" w:rsidRPr="006C6BB5" w:rsidRDefault="002655C8" w:rsidP="00E125A3">
      <w:pPr>
        <w:spacing w:line="360" w:lineRule="auto"/>
        <w:ind w:left="708"/>
        <w:rPr>
          <w:sz w:val="22"/>
          <w:szCs w:val="22"/>
          <w:lang w:val="en-GB"/>
        </w:rPr>
      </w:pPr>
      <w:proofErr w:type="gramStart"/>
      <w:r w:rsidRPr="006C6BB5">
        <w:rPr>
          <w:sz w:val="22"/>
          <w:szCs w:val="22"/>
          <w:lang w:val="en-GB"/>
        </w:rPr>
        <w:t>relationships</w:t>
      </w:r>
      <w:proofErr w:type="gramEnd"/>
      <w:r w:rsidRPr="006C6BB5">
        <w:rPr>
          <w:sz w:val="22"/>
          <w:szCs w:val="22"/>
          <w:lang w:val="en-GB"/>
        </w:rPr>
        <w:t xml:space="preserve"> – findings from an interview study. </w:t>
      </w:r>
      <w:r w:rsidRPr="006C6BB5">
        <w:rPr>
          <w:i/>
          <w:iCs/>
          <w:sz w:val="22"/>
          <w:szCs w:val="22"/>
          <w:lang w:val="en-GB"/>
        </w:rPr>
        <w:t>International Journal of Innovation Management</w:t>
      </w:r>
      <w:r w:rsidRPr="006C6BB5">
        <w:rPr>
          <w:sz w:val="22"/>
          <w:szCs w:val="22"/>
          <w:lang w:val="en-GB"/>
        </w:rPr>
        <w:t>, 14 (3), 399-414.</w:t>
      </w:r>
    </w:p>
    <w:p w14:paraId="7F2C6C86" w14:textId="77777777" w:rsidR="00995EDC" w:rsidRPr="006C6BB5" w:rsidRDefault="000B7E7A" w:rsidP="00E125A3">
      <w:pPr>
        <w:spacing w:after="200" w:line="360" w:lineRule="auto"/>
        <w:ind w:left="720" w:hanging="720"/>
        <w:contextualSpacing/>
        <w:rPr>
          <w:sz w:val="22"/>
          <w:szCs w:val="22"/>
          <w:lang w:val="en-GB"/>
        </w:rPr>
      </w:pPr>
      <w:proofErr w:type="spellStart"/>
      <w:r w:rsidRPr="000E6790">
        <w:rPr>
          <w:sz w:val="22"/>
          <w:szCs w:val="22"/>
          <w:lang w:val="en-GB"/>
        </w:rPr>
        <w:t>Mag</w:t>
      </w:r>
      <w:r w:rsidR="00995EDC" w:rsidRPr="000E6790">
        <w:rPr>
          <w:sz w:val="22"/>
          <w:szCs w:val="22"/>
          <w:lang w:val="en-GB"/>
        </w:rPr>
        <w:t>azzini</w:t>
      </w:r>
      <w:proofErr w:type="spellEnd"/>
      <w:r w:rsidR="00995EDC" w:rsidRPr="000E6790">
        <w:rPr>
          <w:sz w:val="22"/>
          <w:szCs w:val="22"/>
          <w:lang w:val="en-GB"/>
        </w:rPr>
        <w:t xml:space="preserve">, L., </w:t>
      </w:r>
      <w:proofErr w:type="spellStart"/>
      <w:r w:rsidR="00995EDC" w:rsidRPr="000E6790">
        <w:rPr>
          <w:sz w:val="22"/>
          <w:szCs w:val="22"/>
          <w:lang w:val="en-GB"/>
        </w:rPr>
        <w:t>Pammolli</w:t>
      </w:r>
      <w:proofErr w:type="spellEnd"/>
      <w:r w:rsidR="00995EDC" w:rsidRPr="000E6790">
        <w:rPr>
          <w:sz w:val="22"/>
          <w:szCs w:val="22"/>
          <w:lang w:val="en-GB"/>
        </w:rPr>
        <w:t xml:space="preserve">, F., </w:t>
      </w:r>
      <w:proofErr w:type="spellStart"/>
      <w:r w:rsidR="00995EDC" w:rsidRPr="000E6790">
        <w:rPr>
          <w:sz w:val="22"/>
          <w:szCs w:val="22"/>
          <w:lang w:val="en-GB"/>
        </w:rPr>
        <w:t>Riccaboni</w:t>
      </w:r>
      <w:proofErr w:type="spellEnd"/>
      <w:r w:rsidRPr="000E6790">
        <w:rPr>
          <w:sz w:val="22"/>
          <w:szCs w:val="22"/>
          <w:lang w:val="en-GB"/>
        </w:rPr>
        <w:t>, M.</w:t>
      </w:r>
      <w:r w:rsidR="00270A1E" w:rsidRPr="000E6790">
        <w:rPr>
          <w:sz w:val="22"/>
          <w:szCs w:val="22"/>
          <w:lang w:val="en-GB"/>
        </w:rPr>
        <w:t xml:space="preserve"> &amp; </w:t>
      </w:r>
      <w:r w:rsidRPr="000E6790">
        <w:rPr>
          <w:sz w:val="22"/>
          <w:szCs w:val="22"/>
          <w:lang w:val="en-GB"/>
        </w:rPr>
        <w:t xml:space="preserve">Rossi, M.A. (2009). </w:t>
      </w:r>
      <w:r w:rsidRPr="006C6BB5">
        <w:rPr>
          <w:sz w:val="22"/>
          <w:szCs w:val="22"/>
          <w:lang w:val="en-GB"/>
        </w:rPr>
        <w:t xml:space="preserve">Patent disclosure and R&amp;D competition in pharmaceuticals. </w:t>
      </w:r>
      <w:r w:rsidRPr="006C6BB5">
        <w:rPr>
          <w:i/>
          <w:sz w:val="22"/>
          <w:szCs w:val="22"/>
          <w:lang w:val="en-GB"/>
        </w:rPr>
        <w:t>Economics of Innovation and New Technology</w:t>
      </w:r>
      <w:r w:rsidRPr="006C6BB5">
        <w:rPr>
          <w:sz w:val="22"/>
          <w:szCs w:val="22"/>
          <w:lang w:val="en-GB"/>
        </w:rPr>
        <w:t>, 18, 467-486.</w:t>
      </w:r>
    </w:p>
    <w:p w14:paraId="664C4F3B" w14:textId="77777777" w:rsidR="0058756E" w:rsidRPr="00F23265" w:rsidRDefault="0058756E" w:rsidP="00E125A3">
      <w:pPr>
        <w:spacing w:after="200" w:line="360" w:lineRule="auto"/>
        <w:ind w:left="720" w:hanging="720"/>
        <w:contextualSpacing/>
        <w:rPr>
          <w:sz w:val="22"/>
          <w:szCs w:val="22"/>
          <w:lang w:val="en-GB"/>
        </w:rPr>
      </w:pPr>
      <w:r w:rsidRPr="006C6BB5">
        <w:rPr>
          <w:sz w:val="22"/>
          <w:szCs w:val="22"/>
          <w:lang w:val="en-GB"/>
        </w:rPr>
        <w:t>March, J. G. (1988</w:t>
      </w:r>
      <w:r w:rsidRPr="00F23265">
        <w:rPr>
          <w:sz w:val="22"/>
          <w:szCs w:val="22"/>
          <w:lang w:val="en-GB"/>
        </w:rPr>
        <w:t xml:space="preserve">). </w:t>
      </w:r>
      <w:r w:rsidRPr="00F23265">
        <w:rPr>
          <w:i/>
          <w:sz w:val="22"/>
          <w:szCs w:val="22"/>
          <w:lang w:val="en-GB"/>
        </w:rPr>
        <w:t>Decisions and Organizations</w:t>
      </w:r>
      <w:r w:rsidRPr="00F23265">
        <w:rPr>
          <w:sz w:val="22"/>
          <w:szCs w:val="22"/>
          <w:lang w:val="en-GB"/>
        </w:rPr>
        <w:t>. New York, Blackwell.</w:t>
      </w:r>
    </w:p>
    <w:p w14:paraId="675C7D3E" w14:textId="0ED02ED7" w:rsidR="00EC4072" w:rsidRPr="00F23265" w:rsidRDefault="00EC4072" w:rsidP="00E125A3">
      <w:pPr>
        <w:spacing w:after="200" w:line="360" w:lineRule="auto"/>
        <w:ind w:left="720" w:hanging="720"/>
        <w:contextualSpacing/>
        <w:rPr>
          <w:sz w:val="22"/>
          <w:szCs w:val="22"/>
        </w:rPr>
      </w:pPr>
      <w:proofErr w:type="spellStart"/>
      <w:r w:rsidRPr="00F23265">
        <w:rPr>
          <w:sz w:val="22"/>
          <w:szCs w:val="22"/>
        </w:rPr>
        <w:t>Miles</w:t>
      </w:r>
      <w:r w:rsidR="00361E18" w:rsidRPr="00F23265">
        <w:rPr>
          <w:sz w:val="22"/>
          <w:szCs w:val="22"/>
        </w:rPr>
        <w:t>i</w:t>
      </w:r>
      <w:proofErr w:type="spellEnd"/>
      <w:r w:rsidR="00361E18" w:rsidRPr="00F23265">
        <w:rPr>
          <w:sz w:val="22"/>
          <w:szCs w:val="22"/>
        </w:rPr>
        <w:t xml:space="preserve">, D., </w:t>
      </w:r>
      <w:proofErr w:type="spellStart"/>
      <w:r w:rsidR="00361E18" w:rsidRPr="00F23265">
        <w:rPr>
          <w:sz w:val="22"/>
          <w:szCs w:val="22"/>
        </w:rPr>
        <w:t>Petelski</w:t>
      </w:r>
      <w:proofErr w:type="spellEnd"/>
      <w:r w:rsidR="00361E18" w:rsidRPr="00F23265">
        <w:rPr>
          <w:sz w:val="22"/>
          <w:szCs w:val="22"/>
        </w:rPr>
        <w:t xml:space="preserve">, N. &amp; </w:t>
      </w:r>
      <w:proofErr w:type="spellStart"/>
      <w:r w:rsidR="00361E18" w:rsidRPr="00F23265">
        <w:rPr>
          <w:sz w:val="22"/>
          <w:szCs w:val="22"/>
        </w:rPr>
        <w:t>Verre</w:t>
      </w:r>
      <w:proofErr w:type="spellEnd"/>
      <w:r w:rsidR="00361E18" w:rsidRPr="00F23265">
        <w:rPr>
          <w:sz w:val="22"/>
          <w:szCs w:val="22"/>
        </w:rPr>
        <w:t>, V.</w:t>
      </w:r>
      <w:r w:rsidRPr="00F23265">
        <w:rPr>
          <w:sz w:val="22"/>
          <w:szCs w:val="22"/>
        </w:rPr>
        <w:t xml:space="preserve"> (2013). Innovation and appropriation mechanisms: evidence from Argentine microdata. </w:t>
      </w:r>
      <w:proofErr w:type="spellStart"/>
      <w:r w:rsidRPr="00F23265">
        <w:rPr>
          <w:i/>
          <w:sz w:val="22"/>
          <w:szCs w:val="22"/>
        </w:rPr>
        <w:t>Technovation</w:t>
      </w:r>
      <w:proofErr w:type="spellEnd"/>
      <w:r w:rsidRPr="00F23265">
        <w:rPr>
          <w:sz w:val="22"/>
          <w:szCs w:val="22"/>
        </w:rPr>
        <w:t xml:space="preserve">, 33, 78-87. </w:t>
      </w:r>
    </w:p>
    <w:p w14:paraId="7C011A28" w14:textId="32CBF626" w:rsidR="00514A32" w:rsidRPr="00F23265" w:rsidRDefault="00514A32" w:rsidP="00E125A3">
      <w:pPr>
        <w:spacing w:after="200" w:line="360" w:lineRule="auto"/>
        <w:ind w:left="720" w:hanging="720"/>
        <w:contextualSpacing/>
        <w:rPr>
          <w:sz w:val="22"/>
          <w:szCs w:val="22"/>
          <w:lang w:val="en-GB"/>
        </w:rPr>
      </w:pPr>
      <w:proofErr w:type="spellStart"/>
      <w:r w:rsidRPr="00F23265">
        <w:rPr>
          <w:sz w:val="22"/>
          <w:szCs w:val="22"/>
          <w:lang w:val="en-GB"/>
        </w:rPr>
        <w:t>Mortara</w:t>
      </w:r>
      <w:proofErr w:type="spellEnd"/>
      <w:r w:rsidRPr="00F23265">
        <w:rPr>
          <w:sz w:val="22"/>
          <w:szCs w:val="22"/>
          <w:lang w:val="en-GB"/>
        </w:rPr>
        <w:t xml:space="preserve">, L. &amp; </w:t>
      </w:r>
      <w:proofErr w:type="spellStart"/>
      <w:r w:rsidRPr="00F23265">
        <w:rPr>
          <w:sz w:val="22"/>
          <w:szCs w:val="22"/>
          <w:lang w:val="en-GB"/>
        </w:rPr>
        <w:t>Minshall</w:t>
      </w:r>
      <w:proofErr w:type="spellEnd"/>
      <w:r w:rsidRPr="00F23265">
        <w:rPr>
          <w:sz w:val="22"/>
          <w:szCs w:val="22"/>
          <w:lang w:val="en-GB"/>
        </w:rPr>
        <w:t xml:space="preserve">, T. (2011). How do large multinational companies implement open innovation? </w:t>
      </w:r>
      <w:proofErr w:type="spellStart"/>
      <w:r w:rsidRPr="00F23265">
        <w:rPr>
          <w:i/>
          <w:sz w:val="22"/>
          <w:szCs w:val="22"/>
          <w:lang w:val="en-GB"/>
        </w:rPr>
        <w:t>Technovation</w:t>
      </w:r>
      <w:proofErr w:type="spellEnd"/>
      <w:r w:rsidRPr="00F23265">
        <w:rPr>
          <w:sz w:val="22"/>
          <w:szCs w:val="22"/>
          <w:lang w:val="en-GB"/>
        </w:rPr>
        <w:t xml:space="preserve">, 31:586-597. </w:t>
      </w:r>
    </w:p>
    <w:p w14:paraId="188882B2" w14:textId="66DEC834" w:rsidR="00F9404A" w:rsidRPr="006C6BB5" w:rsidRDefault="00F9404A" w:rsidP="00E125A3">
      <w:pPr>
        <w:spacing w:after="200" w:line="360" w:lineRule="auto"/>
        <w:ind w:left="720" w:hanging="720"/>
        <w:contextualSpacing/>
        <w:rPr>
          <w:sz w:val="22"/>
          <w:szCs w:val="22"/>
          <w:lang w:val="en-GB"/>
        </w:rPr>
      </w:pPr>
      <w:r w:rsidRPr="00F23265">
        <w:rPr>
          <w:sz w:val="22"/>
          <w:szCs w:val="22"/>
          <w:lang w:val="en-GB"/>
        </w:rPr>
        <w:t>Mowery, D.C., Oxley, J.E.,</w:t>
      </w:r>
      <w:r w:rsidR="00270A1E" w:rsidRPr="00F23265">
        <w:rPr>
          <w:sz w:val="22"/>
          <w:szCs w:val="22"/>
          <w:lang w:val="en-GB"/>
        </w:rPr>
        <w:t xml:space="preserve"> &amp; </w:t>
      </w:r>
      <w:r w:rsidRPr="00F23265">
        <w:rPr>
          <w:sz w:val="22"/>
          <w:szCs w:val="22"/>
          <w:lang w:val="en-GB"/>
        </w:rPr>
        <w:t>Silverman, B.S. (1998). Tech</w:t>
      </w:r>
      <w:r w:rsidR="000B299A" w:rsidRPr="00F23265">
        <w:rPr>
          <w:sz w:val="22"/>
          <w:szCs w:val="22"/>
          <w:lang w:val="en-GB"/>
        </w:rPr>
        <w:t xml:space="preserve">nological overlap and interfirm </w:t>
      </w:r>
      <w:r w:rsidRPr="00F23265">
        <w:rPr>
          <w:sz w:val="22"/>
          <w:szCs w:val="22"/>
          <w:lang w:val="en-GB"/>
        </w:rPr>
        <w:t xml:space="preserve">cooperation: implications </w:t>
      </w:r>
      <w:r w:rsidRPr="006C6BB5">
        <w:rPr>
          <w:sz w:val="22"/>
          <w:szCs w:val="22"/>
          <w:lang w:val="en-GB"/>
        </w:rPr>
        <w:t xml:space="preserve">for the resource-based view of the firm. </w:t>
      </w:r>
      <w:r w:rsidRPr="006C6BB5">
        <w:rPr>
          <w:i/>
          <w:iCs/>
          <w:sz w:val="22"/>
          <w:szCs w:val="22"/>
          <w:lang w:val="en-GB"/>
        </w:rPr>
        <w:t xml:space="preserve">Research Policy </w:t>
      </w:r>
      <w:r w:rsidRPr="006C6BB5">
        <w:rPr>
          <w:bCs/>
          <w:sz w:val="22"/>
          <w:szCs w:val="22"/>
          <w:lang w:val="en-GB"/>
        </w:rPr>
        <w:t>27</w:t>
      </w:r>
      <w:r w:rsidRPr="006C6BB5">
        <w:rPr>
          <w:sz w:val="22"/>
          <w:szCs w:val="22"/>
          <w:lang w:val="en-GB"/>
        </w:rPr>
        <w:t>, 507–523.</w:t>
      </w:r>
    </w:p>
    <w:p w14:paraId="7A253103" w14:textId="189D019A" w:rsidR="00296A20" w:rsidRPr="006C6BB5" w:rsidRDefault="00296A20" w:rsidP="00E125A3">
      <w:pPr>
        <w:spacing w:after="200" w:line="360" w:lineRule="auto"/>
        <w:ind w:left="720" w:hanging="720"/>
        <w:contextualSpacing/>
        <w:rPr>
          <w:sz w:val="22"/>
          <w:szCs w:val="22"/>
          <w:lang w:val="en-GB"/>
        </w:rPr>
      </w:pPr>
      <w:proofErr w:type="spellStart"/>
      <w:r w:rsidRPr="006C6BB5">
        <w:rPr>
          <w:sz w:val="22"/>
          <w:szCs w:val="22"/>
          <w:lang w:val="en-GB"/>
        </w:rPr>
        <w:t>Muscio</w:t>
      </w:r>
      <w:proofErr w:type="spellEnd"/>
      <w:r w:rsidRPr="006C6BB5">
        <w:rPr>
          <w:sz w:val="22"/>
          <w:szCs w:val="22"/>
          <w:lang w:val="en-GB"/>
        </w:rPr>
        <w:t xml:space="preserve">, A. (2007). The impact of absorptive capacity on SMEs collaboration. </w:t>
      </w:r>
      <w:r w:rsidRPr="006C6BB5">
        <w:rPr>
          <w:i/>
          <w:sz w:val="22"/>
          <w:szCs w:val="22"/>
          <w:lang w:val="en-GB"/>
        </w:rPr>
        <w:t>Economics of Innovation and New Technology</w:t>
      </w:r>
      <w:r w:rsidRPr="006C6BB5">
        <w:rPr>
          <w:sz w:val="22"/>
          <w:szCs w:val="22"/>
          <w:lang w:val="en-GB"/>
        </w:rPr>
        <w:t xml:space="preserve">, 16(8), 653-668. </w:t>
      </w:r>
    </w:p>
    <w:p w14:paraId="3FFD4AB5" w14:textId="33747A1C" w:rsidR="006741D7" w:rsidRPr="006C6BB5" w:rsidRDefault="006741D7" w:rsidP="00E125A3">
      <w:pPr>
        <w:spacing w:after="200" w:line="360" w:lineRule="auto"/>
        <w:ind w:left="720" w:hanging="720"/>
        <w:contextualSpacing/>
        <w:rPr>
          <w:sz w:val="22"/>
          <w:szCs w:val="22"/>
          <w:lang w:val="en-GB"/>
        </w:rPr>
      </w:pPr>
      <w:proofErr w:type="spellStart"/>
      <w:r w:rsidRPr="006C6BB5">
        <w:rPr>
          <w:sz w:val="22"/>
          <w:szCs w:val="22"/>
          <w:lang w:val="en-GB"/>
        </w:rPr>
        <w:t>Narula</w:t>
      </w:r>
      <w:proofErr w:type="spellEnd"/>
      <w:r w:rsidRPr="006C6BB5">
        <w:rPr>
          <w:sz w:val="22"/>
          <w:szCs w:val="22"/>
          <w:lang w:val="en-GB"/>
        </w:rPr>
        <w:t>, R. (2001). Choosing between internal and non-internal R&amp;D activities: Some technological and economic factors</w:t>
      </w:r>
      <w:r w:rsidR="003B39A2" w:rsidRPr="006C6BB5">
        <w:rPr>
          <w:sz w:val="22"/>
          <w:szCs w:val="22"/>
          <w:lang w:val="en-GB"/>
        </w:rPr>
        <w:t xml:space="preserve">. </w:t>
      </w:r>
      <w:r w:rsidR="003B39A2" w:rsidRPr="006C6BB5">
        <w:rPr>
          <w:i/>
          <w:sz w:val="22"/>
          <w:szCs w:val="22"/>
          <w:lang w:val="en-GB"/>
        </w:rPr>
        <w:t>Technology Analysis &amp; Strategic Management</w:t>
      </w:r>
      <w:r w:rsidR="003B39A2" w:rsidRPr="006C6BB5">
        <w:rPr>
          <w:sz w:val="22"/>
          <w:szCs w:val="22"/>
          <w:lang w:val="en-GB"/>
        </w:rPr>
        <w:t>, 13, 365-387.</w:t>
      </w:r>
    </w:p>
    <w:p w14:paraId="2407756E" w14:textId="7C4A3605" w:rsidR="00094285" w:rsidRPr="006C6BB5" w:rsidRDefault="00094285" w:rsidP="00E125A3">
      <w:pPr>
        <w:spacing w:after="200" w:line="360" w:lineRule="auto"/>
        <w:ind w:left="720" w:hanging="720"/>
        <w:contextualSpacing/>
        <w:rPr>
          <w:sz w:val="22"/>
          <w:szCs w:val="22"/>
          <w:lang w:val="en-GB"/>
        </w:rPr>
      </w:pPr>
      <w:proofErr w:type="spellStart"/>
      <w:r w:rsidRPr="006C6BB5">
        <w:rPr>
          <w:sz w:val="22"/>
          <w:szCs w:val="22"/>
          <w:lang w:val="en-GB"/>
        </w:rPr>
        <w:t>Narula</w:t>
      </w:r>
      <w:proofErr w:type="spellEnd"/>
      <w:r w:rsidRPr="006C6BB5">
        <w:rPr>
          <w:sz w:val="22"/>
          <w:szCs w:val="22"/>
          <w:lang w:val="en-GB"/>
        </w:rPr>
        <w:t xml:space="preserve">, R. (2004). R&amp;D collaboration by SMEs: new opportunities and limitations in the face of globalization. </w:t>
      </w:r>
      <w:proofErr w:type="spellStart"/>
      <w:r w:rsidRPr="006C6BB5">
        <w:rPr>
          <w:i/>
          <w:sz w:val="22"/>
          <w:szCs w:val="22"/>
          <w:lang w:val="en-GB"/>
        </w:rPr>
        <w:t>Technovation</w:t>
      </w:r>
      <w:proofErr w:type="spellEnd"/>
      <w:r w:rsidRPr="006C6BB5">
        <w:rPr>
          <w:sz w:val="22"/>
          <w:szCs w:val="22"/>
          <w:lang w:val="en-GB"/>
        </w:rPr>
        <w:t xml:space="preserve">, 24, 153-161. </w:t>
      </w:r>
    </w:p>
    <w:p w14:paraId="480AAE98" w14:textId="77777777" w:rsidR="00033A6B" w:rsidRPr="006C6BB5" w:rsidRDefault="00033A6B" w:rsidP="00E125A3">
      <w:pPr>
        <w:spacing w:after="200" w:line="360" w:lineRule="auto"/>
        <w:ind w:left="720" w:hanging="720"/>
        <w:contextualSpacing/>
        <w:rPr>
          <w:sz w:val="22"/>
          <w:szCs w:val="22"/>
          <w:lang w:val="en-GB"/>
        </w:rPr>
      </w:pPr>
      <w:proofErr w:type="spellStart"/>
      <w:r w:rsidRPr="006C6BB5">
        <w:rPr>
          <w:sz w:val="22"/>
          <w:szCs w:val="22"/>
          <w:lang w:val="en-GB"/>
        </w:rPr>
        <w:t>Narula</w:t>
      </w:r>
      <w:proofErr w:type="spellEnd"/>
      <w:r w:rsidRPr="006C6BB5">
        <w:rPr>
          <w:sz w:val="22"/>
          <w:szCs w:val="22"/>
          <w:lang w:val="en-GB"/>
        </w:rPr>
        <w:t xml:space="preserve"> R.</w:t>
      </w:r>
      <w:r w:rsidR="00270A1E" w:rsidRPr="006C6BB5">
        <w:rPr>
          <w:sz w:val="22"/>
          <w:szCs w:val="22"/>
          <w:lang w:val="en-GB"/>
        </w:rPr>
        <w:t xml:space="preserve"> &amp; </w:t>
      </w:r>
      <w:proofErr w:type="spellStart"/>
      <w:r w:rsidRPr="006C6BB5">
        <w:rPr>
          <w:sz w:val="22"/>
          <w:szCs w:val="22"/>
          <w:lang w:val="en-GB"/>
        </w:rPr>
        <w:t>Zanfei</w:t>
      </w:r>
      <w:proofErr w:type="spellEnd"/>
      <w:r w:rsidRPr="006C6BB5">
        <w:rPr>
          <w:sz w:val="22"/>
          <w:szCs w:val="22"/>
          <w:lang w:val="en-GB"/>
        </w:rPr>
        <w:t xml:space="preserve">, Z. (2003). </w:t>
      </w:r>
      <w:r w:rsidRPr="006C6BB5">
        <w:rPr>
          <w:bCs/>
          <w:i/>
          <w:sz w:val="22"/>
          <w:szCs w:val="22"/>
          <w:lang w:val="en-GB"/>
        </w:rPr>
        <w:t>Globalisation of innovation: The role of multinational enterprises</w:t>
      </w:r>
      <w:r w:rsidRPr="006C6BB5">
        <w:rPr>
          <w:bCs/>
          <w:sz w:val="22"/>
          <w:szCs w:val="22"/>
          <w:lang w:val="en-GB"/>
        </w:rPr>
        <w:t>.</w:t>
      </w:r>
      <w:r w:rsidRPr="006C6BB5">
        <w:rPr>
          <w:sz w:val="22"/>
          <w:szCs w:val="22"/>
          <w:lang w:val="en-GB"/>
        </w:rPr>
        <w:t xml:space="preserve"> DRUID Working Paper No 03-15</w:t>
      </w:r>
    </w:p>
    <w:p w14:paraId="5CD8E571" w14:textId="77777777" w:rsidR="00493FE9" w:rsidRPr="00F23265" w:rsidRDefault="00493FE9" w:rsidP="00E125A3">
      <w:pPr>
        <w:spacing w:after="200" w:line="360" w:lineRule="auto"/>
        <w:ind w:left="720" w:hanging="720"/>
        <w:contextualSpacing/>
        <w:rPr>
          <w:sz w:val="22"/>
          <w:szCs w:val="22"/>
          <w:lang w:val="en-GB"/>
        </w:rPr>
      </w:pPr>
      <w:r w:rsidRPr="006C6BB5">
        <w:rPr>
          <w:sz w:val="22"/>
          <w:szCs w:val="22"/>
          <w:lang w:val="en-GB"/>
        </w:rPr>
        <w:t>Nelson, R.R.</w:t>
      </w:r>
      <w:r w:rsidR="00270A1E" w:rsidRPr="006C6BB5">
        <w:rPr>
          <w:sz w:val="22"/>
          <w:szCs w:val="22"/>
          <w:lang w:val="en-GB"/>
        </w:rPr>
        <w:t xml:space="preserve"> &amp; </w:t>
      </w:r>
      <w:r w:rsidRPr="006C6BB5">
        <w:rPr>
          <w:sz w:val="22"/>
          <w:szCs w:val="22"/>
          <w:lang w:val="en-GB"/>
        </w:rPr>
        <w:t xml:space="preserve">Winter, S.G. (1982). </w:t>
      </w:r>
      <w:r w:rsidRPr="006C6BB5">
        <w:rPr>
          <w:i/>
          <w:sz w:val="22"/>
          <w:szCs w:val="22"/>
          <w:lang w:val="en-GB"/>
        </w:rPr>
        <w:t>An evolutionary theory of economic change</w:t>
      </w:r>
      <w:r w:rsidRPr="006C6BB5">
        <w:rPr>
          <w:sz w:val="22"/>
          <w:szCs w:val="22"/>
          <w:lang w:val="en-GB"/>
        </w:rPr>
        <w:t>. Cambridge (MA), Harvard U</w:t>
      </w:r>
      <w:r w:rsidRPr="00F23265">
        <w:rPr>
          <w:sz w:val="22"/>
          <w:szCs w:val="22"/>
          <w:lang w:val="en-GB"/>
        </w:rPr>
        <w:t>niversity Press.</w:t>
      </w:r>
    </w:p>
    <w:p w14:paraId="64C778DC" w14:textId="0C16CD8F" w:rsidR="00EC04E5" w:rsidRPr="00F23265" w:rsidRDefault="00EC04E5" w:rsidP="00E125A3">
      <w:pPr>
        <w:spacing w:after="200" w:line="360" w:lineRule="auto"/>
        <w:ind w:left="720" w:hanging="720"/>
        <w:contextualSpacing/>
        <w:rPr>
          <w:sz w:val="22"/>
          <w:szCs w:val="22"/>
          <w:lang w:val="en-GB"/>
        </w:rPr>
      </w:pPr>
      <w:proofErr w:type="spellStart"/>
      <w:r w:rsidRPr="00F23265">
        <w:rPr>
          <w:sz w:val="22"/>
          <w:szCs w:val="22"/>
          <w:lang w:val="en-GB"/>
        </w:rPr>
        <w:t>Neuhaeusler</w:t>
      </w:r>
      <w:proofErr w:type="spellEnd"/>
      <w:r w:rsidRPr="00F23265">
        <w:rPr>
          <w:sz w:val="22"/>
          <w:szCs w:val="22"/>
          <w:lang w:val="en-GB"/>
        </w:rPr>
        <w:t xml:space="preserve">, P. (2012). The use of patents and informal appropriation mechanisms – differences between sectors and among companies. </w:t>
      </w:r>
      <w:proofErr w:type="spellStart"/>
      <w:r w:rsidRPr="00F23265">
        <w:rPr>
          <w:i/>
          <w:sz w:val="22"/>
          <w:szCs w:val="22"/>
          <w:lang w:val="en-GB"/>
        </w:rPr>
        <w:t>Technovation</w:t>
      </w:r>
      <w:proofErr w:type="spellEnd"/>
      <w:r w:rsidRPr="00F23265">
        <w:rPr>
          <w:sz w:val="22"/>
          <w:szCs w:val="22"/>
          <w:lang w:val="en-GB"/>
        </w:rPr>
        <w:t xml:space="preserve">, 32, 681-693. </w:t>
      </w:r>
    </w:p>
    <w:p w14:paraId="07E7134B" w14:textId="0485350D" w:rsidR="00C60F64" w:rsidRPr="006C6BB5" w:rsidRDefault="00C60F64" w:rsidP="005333D6">
      <w:pPr>
        <w:spacing w:after="200" w:line="360" w:lineRule="auto"/>
        <w:ind w:left="720" w:hanging="720"/>
        <w:contextualSpacing/>
        <w:rPr>
          <w:sz w:val="22"/>
          <w:szCs w:val="22"/>
          <w:lang w:val="en-GB"/>
        </w:rPr>
      </w:pPr>
      <w:r w:rsidRPr="00F23265">
        <w:rPr>
          <w:sz w:val="22"/>
          <w:szCs w:val="22"/>
          <w:lang w:val="en-GB"/>
        </w:rPr>
        <w:lastRenderedPageBreak/>
        <w:t>Organisation for Eco</w:t>
      </w:r>
      <w:r w:rsidRPr="006C6BB5">
        <w:rPr>
          <w:sz w:val="22"/>
          <w:szCs w:val="22"/>
          <w:lang w:val="en-GB"/>
        </w:rPr>
        <w:t xml:space="preserve">nomic Co-operation and Development. </w:t>
      </w:r>
      <w:r w:rsidR="004D1489" w:rsidRPr="006C6BB5">
        <w:rPr>
          <w:sz w:val="22"/>
          <w:szCs w:val="22"/>
          <w:lang w:val="en-GB"/>
        </w:rPr>
        <w:t>(</w:t>
      </w:r>
      <w:r w:rsidRPr="006C6BB5">
        <w:rPr>
          <w:sz w:val="22"/>
          <w:szCs w:val="22"/>
          <w:lang w:val="en-GB"/>
        </w:rPr>
        <w:t>1997</w:t>
      </w:r>
      <w:r w:rsidR="004D1489" w:rsidRPr="006C6BB5">
        <w:rPr>
          <w:sz w:val="22"/>
          <w:szCs w:val="22"/>
          <w:lang w:val="en-GB"/>
        </w:rPr>
        <w:t>; 2005)</w:t>
      </w:r>
      <w:r w:rsidRPr="006C6BB5">
        <w:rPr>
          <w:sz w:val="22"/>
          <w:szCs w:val="22"/>
          <w:lang w:val="en-GB"/>
        </w:rPr>
        <w:t xml:space="preserve">. </w:t>
      </w:r>
      <w:r w:rsidRPr="006C6BB5">
        <w:rPr>
          <w:i/>
          <w:sz w:val="22"/>
          <w:szCs w:val="22"/>
          <w:lang w:val="en-GB"/>
        </w:rPr>
        <w:t>Oslo manual</w:t>
      </w:r>
      <w:r w:rsidRPr="006C6BB5">
        <w:rPr>
          <w:sz w:val="22"/>
          <w:szCs w:val="22"/>
          <w:lang w:val="en-GB"/>
        </w:rPr>
        <w:t>. Paris: OECD.</w:t>
      </w:r>
    </w:p>
    <w:p w14:paraId="46DBE5A9" w14:textId="77777777" w:rsidR="002655C8" w:rsidRPr="006C6BB5" w:rsidRDefault="00A7675D" w:rsidP="005333D6">
      <w:pPr>
        <w:spacing w:after="200" w:line="360" w:lineRule="auto"/>
        <w:ind w:left="720" w:hanging="720"/>
        <w:contextualSpacing/>
        <w:rPr>
          <w:sz w:val="22"/>
          <w:szCs w:val="22"/>
          <w:lang w:val="en-GB"/>
        </w:rPr>
      </w:pPr>
      <w:proofErr w:type="spellStart"/>
      <w:r w:rsidRPr="000E6790">
        <w:rPr>
          <w:sz w:val="22"/>
          <w:szCs w:val="22"/>
        </w:rPr>
        <w:t>Pénin</w:t>
      </w:r>
      <w:proofErr w:type="spellEnd"/>
      <w:r w:rsidRPr="000E6790">
        <w:rPr>
          <w:sz w:val="22"/>
          <w:szCs w:val="22"/>
        </w:rPr>
        <w:t xml:space="preserve">, J., </w:t>
      </w:r>
      <w:proofErr w:type="spellStart"/>
      <w:r w:rsidRPr="000E6790">
        <w:rPr>
          <w:sz w:val="22"/>
          <w:szCs w:val="22"/>
        </w:rPr>
        <w:t>Hussler</w:t>
      </w:r>
      <w:proofErr w:type="spellEnd"/>
      <w:r w:rsidRPr="000E6790">
        <w:rPr>
          <w:sz w:val="22"/>
          <w:szCs w:val="22"/>
        </w:rPr>
        <w:t>, C.,</w:t>
      </w:r>
      <w:r w:rsidR="00270A1E" w:rsidRPr="000E6790">
        <w:rPr>
          <w:sz w:val="22"/>
          <w:szCs w:val="22"/>
        </w:rPr>
        <w:t xml:space="preserve"> &amp; </w:t>
      </w:r>
      <w:r w:rsidRPr="000E6790">
        <w:rPr>
          <w:sz w:val="22"/>
          <w:szCs w:val="22"/>
        </w:rPr>
        <w:t>Burger-</w:t>
      </w:r>
      <w:proofErr w:type="spellStart"/>
      <w:r w:rsidRPr="000E6790">
        <w:rPr>
          <w:sz w:val="22"/>
          <w:szCs w:val="22"/>
        </w:rPr>
        <w:t>Helmchen</w:t>
      </w:r>
      <w:proofErr w:type="spellEnd"/>
      <w:r w:rsidRPr="000E6790">
        <w:rPr>
          <w:sz w:val="22"/>
          <w:szCs w:val="22"/>
        </w:rPr>
        <w:t xml:space="preserve">, T. (2011). </w:t>
      </w:r>
      <w:r w:rsidRPr="006C6BB5">
        <w:rPr>
          <w:sz w:val="22"/>
          <w:szCs w:val="22"/>
          <w:lang w:val="en-GB"/>
        </w:rPr>
        <w:t xml:space="preserve">New shapes and new stakes: a portrait of open innovation as a promising phenomenon. </w:t>
      </w:r>
      <w:r w:rsidRPr="006C6BB5">
        <w:rPr>
          <w:i/>
          <w:sz w:val="22"/>
          <w:szCs w:val="22"/>
          <w:lang w:val="en-GB"/>
        </w:rPr>
        <w:t>Journal of Innovation Economics</w:t>
      </w:r>
      <w:r w:rsidR="002655C8" w:rsidRPr="006C6BB5">
        <w:rPr>
          <w:sz w:val="22"/>
          <w:szCs w:val="22"/>
          <w:lang w:val="en-GB"/>
        </w:rPr>
        <w:t>, 7, 11-29.</w:t>
      </w:r>
    </w:p>
    <w:p w14:paraId="7D064DD2" w14:textId="77777777" w:rsidR="00AA65F2" w:rsidRPr="006C6BB5" w:rsidRDefault="00A43ADA" w:rsidP="00AA65F2">
      <w:pPr>
        <w:spacing w:line="360" w:lineRule="auto"/>
        <w:rPr>
          <w:i/>
          <w:sz w:val="22"/>
          <w:szCs w:val="22"/>
          <w:lang w:val="en-GB"/>
        </w:rPr>
      </w:pPr>
      <w:r w:rsidRPr="006C6BB5">
        <w:rPr>
          <w:sz w:val="22"/>
          <w:szCs w:val="22"/>
          <w:lang w:val="en-GB"/>
        </w:rPr>
        <w:t>Pisano, G. (2006). Profiting from innovation and the intellectual property revolution.</w:t>
      </w:r>
      <w:r w:rsidRPr="006C6BB5">
        <w:rPr>
          <w:i/>
          <w:sz w:val="22"/>
          <w:szCs w:val="22"/>
          <w:lang w:val="en-GB"/>
        </w:rPr>
        <w:t xml:space="preserve"> </w:t>
      </w:r>
    </w:p>
    <w:p w14:paraId="75E471CA" w14:textId="77777777" w:rsidR="00A43ADA" w:rsidRPr="006C6BB5" w:rsidRDefault="00AA65F2" w:rsidP="00AA65F2">
      <w:pPr>
        <w:spacing w:line="360" w:lineRule="auto"/>
        <w:rPr>
          <w:i/>
          <w:sz w:val="22"/>
          <w:szCs w:val="22"/>
          <w:lang w:val="en-GB"/>
        </w:rPr>
      </w:pPr>
      <w:r w:rsidRPr="006C6BB5">
        <w:rPr>
          <w:i/>
          <w:sz w:val="22"/>
          <w:szCs w:val="22"/>
          <w:lang w:val="en-GB"/>
        </w:rPr>
        <w:tab/>
      </w:r>
      <w:r w:rsidR="00A43ADA" w:rsidRPr="006C6BB5">
        <w:rPr>
          <w:i/>
          <w:sz w:val="22"/>
          <w:szCs w:val="22"/>
          <w:lang w:val="en-GB"/>
        </w:rPr>
        <w:t>Research</w:t>
      </w:r>
      <w:r w:rsidRPr="006C6BB5">
        <w:rPr>
          <w:i/>
          <w:sz w:val="22"/>
          <w:szCs w:val="22"/>
          <w:lang w:val="en-GB"/>
        </w:rPr>
        <w:t xml:space="preserve"> </w:t>
      </w:r>
      <w:r w:rsidR="00A43ADA" w:rsidRPr="006C6BB5">
        <w:rPr>
          <w:i/>
          <w:sz w:val="22"/>
          <w:szCs w:val="22"/>
          <w:lang w:val="en-GB"/>
        </w:rPr>
        <w:t>Policy</w:t>
      </w:r>
      <w:r w:rsidR="00A43ADA" w:rsidRPr="006C6BB5">
        <w:rPr>
          <w:sz w:val="22"/>
          <w:szCs w:val="22"/>
          <w:lang w:val="en-GB"/>
        </w:rPr>
        <w:t>, 35,</w:t>
      </w:r>
      <w:r w:rsidR="00E13E3D" w:rsidRPr="006C6BB5">
        <w:rPr>
          <w:sz w:val="22"/>
          <w:szCs w:val="22"/>
          <w:lang w:val="en-GB"/>
        </w:rPr>
        <w:t xml:space="preserve"> </w:t>
      </w:r>
      <w:r w:rsidR="00A43ADA" w:rsidRPr="006C6BB5">
        <w:rPr>
          <w:sz w:val="22"/>
          <w:szCs w:val="22"/>
          <w:lang w:val="en-GB"/>
        </w:rPr>
        <w:t>1122-1130.</w:t>
      </w:r>
    </w:p>
    <w:p w14:paraId="52411DDF" w14:textId="77777777" w:rsidR="000B299A" w:rsidRPr="006C6BB5" w:rsidRDefault="00380A93" w:rsidP="000B299A">
      <w:pPr>
        <w:spacing w:line="360" w:lineRule="auto"/>
        <w:rPr>
          <w:sz w:val="22"/>
          <w:szCs w:val="22"/>
          <w:lang w:val="en-GB"/>
        </w:rPr>
      </w:pPr>
      <w:r w:rsidRPr="000E6790">
        <w:rPr>
          <w:sz w:val="22"/>
          <w:szCs w:val="22"/>
        </w:rPr>
        <w:t>Pisano, G.P.</w:t>
      </w:r>
      <w:r w:rsidR="00270A1E" w:rsidRPr="000E6790">
        <w:rPr>
          <w:sz w:val="22"/>
          <w:szCs w:val="22"/>
        </w:rPr>
        <w:t xml:space="preserve"> &amp; </w:t>
      </w:r>
      <w:proofErr w:type="spellStart"/>
      <w:r w:rsidRPr="000E6790">
        <w:rPr>
          <w:sz w:val="22"/>
          <w:szCs w:val="22"/>
        </w:rPr>
        <w:t>Teece</w:t>
      </w:r>
      <w:proofErr w:type="spellEnd"/>
      <w:r w:rsidRPr="000E6790">
        <w:rPr>
          <w:sz w:val="22"/>
          <w:szCs w:val="22"/>
        </w:rPr>
        <w:t xml:space="preserve">, D.J. (2007). </w:t>
      </w:r>
      <w:r w:rsidRPr="006C6BB5">
        <w:rPr>
          <w:sz w:val="22"/>
          <w:szCs w:val="22"/>
          <w:lang w:val="en-GB"/>
        </w:rPr>
        <w:t>How to capture value from innovation: Shaping</w:t>
      </w:r>
      <w:r w:rsidR="000B299A" w:rsidRPr="006C6BB5">
        <w:rPr>
          <w:sz w:val="22"/>
          <w:szCs w:val="22"/>
          <w:lang w:val="en-GB"/>
        </w:rPr>
        <w:t xml:space="preserve"> </w:t>
      </w:r>
      <w:r w:rsidR="0015490B" w:rsidRPr="006C6BB5">
        <w:rPr>
          <w:sz w:val="22"/>
          <w:szCs w:val="22"/>
          <w:lang w:val="en-GB"/>
        </w:rPr>
        <w:t>i</w:t>
      </w:r>
      <w:r w:rsidRPr="006C6BB5">
        <w:rPr>
          <w:sz w:val="22"/>
          <w:szCs w:val="22"/>
          <w:lang w:val="en-GB"/>
        </w:rPr>
        <w:t>ntellectual</w:t>
      </w:r>
      <w:r w:rsidR="00AA65F2" w:rsidRPr="006C6BB5">
        <w:rPr>
          <w:sz w:val="22"/>
          <w:szCs w:val="22"/>
          <w:lang w:val="en-GB"/>
        </w:rPr>
        <w:t xml:space="preserve"> </w:t>
      </w:r>
      <w:r w:rsidRPr="006C6BB5">
        <w:rPr>
          <w:sz w:val="22"/>
          <w:szCs w:val="22"/>
          <w:lang w:val="en-GB"/>
        </w:rPr>
        <w:t>property</w:t>
      </w:r>
    </w:p>
    <w:p w14:paraId="0AA26DA3" w14:textId="2723CF6D" w:rsidR="00380A93" w:rsidRPr="006C6BB5" w:rsidRDefault="00E13E3D" w:rsidP="000B299A">
      <w:pPr>
        <w:spacing w:line="360" w:lineRule="auto"/>
        <w:ind w:firstLine="720"/>
        <w:rPr>
          <w:sz w:val="22"/>
          <w:szCs w:val="22"/>
          <w:lang w:val="en-GB"/>
        </w:rPr>
      </w:pPr>
      <w:r w:rsidRPr="006C6BB5">
        <w:rPr>
          <w:sz w:val="22"/>
          <w:szCs w:val="22"/>
          <w:lang w:val="en-GB"/>
        </w:rPr>
        <w:t xml:space="preserve"> </w:t>
      </w:r>
      <w:proofErr w:type="gramStart"/>
      <w:r w:rsidR="00380A93" w:rsidRPr="006C6BB5">
        <w:rPr>
          <w:sz w:val="22"/>
          <w:szCs w:val="22"/>
          <w:lang w:val="en-GB"/>
        </w:rPr>
        <w:t>and</w:t>
      </w:r>
      <w:proofErr w:type="gramEnd"/>
      <w:r w:rsidR="00380A93" w:rsidRPr="006C6BB5">
        <w:rPr>
          <w:sz w:val="22"/>
          <w:szCs w:val="22"/>
          <w:lang w:val="en-GB"/>
        </w:rPr>
        <w:t xml:space="preserve"> industry architecture</w:t>
      </w:r>
      <w:r w:rsidR="00380A93" w:rsidRPr="006C6BB5">
        <w:rPr>
          <w:i/>
          <w:sz w:val="22"/>
          <w:szCs w:val="22"/>
          <w:lang w:val="en-GB"/>
        </w:rPr>
        <w:t>. California Management Review</w:t>
      </w:r>
      <w:r w:rsidR="00380A93" w:rsidRPr="006C6BB5">
        <w:rPr>
          <w:sz w:val="22"/>
          <w:szCs w:val="22"/>
          <w:lang w:val="en-GB"/>
        </w:rPr>
        <w:t xml:space="preserve">, 50 (1), 278-295. </w:t>
      </w:r>
    </w:p>
    <w:p w14:paraId="57893A78" w14:textId="77777777" w:rsidR="004A398E" w:rsidRPr="006C6BB5" w:rsidRDefault="004A398E" w:rsidP="00AA65F2">
      <w:pPr>
        <w:spacing w:line="360" w:lineRule="auto"/>
        <w:rPr>
          <w:sz w:val="22"/>
          <w:szCs w:val="22"/>
          <w:lang w:val="en-GB"/>
        </w:rPr>
      </w:pPr>
      <w:r w:rsidRPr="006C6BB5">
        <w:rPr>
          <w:sz w:val="22"/>
          <w:szCs w:val="22"/>
          <w:lang w:val="en-GB"/>
        </w:rPr>
        <w:t xml:space="preserve">Rothwell, R. and Dodgson, M. (1991). External linkages and innovation in small and medium-sized </w:t>
      </w:r>
    </w:p>
    <w:p w14:paraId="051B07EC" w14:textId="4694EB1B" w:rsidR="00094285" w:rsidRPr="006C6BB5" w:rsidRDefault="004A398E" w:rsidP="004A398E">
      <w:pPr>
        <w:spacing w:line="360" w:lineRule="auto"/>
        <w:ind w:firstLine="720"/>
        <w:rPr>
          <w:sz w:val="22"/>
          <w:szCs w:val="22"/>
          <w:lang w:val="en-GB"/>
        </w:rPr>
      </w:pPr>
      <w:proofErr w:type="gramStart"/>
      <w:r w:rsidRPr="006C6BB5">
        <w:rPr>
          <w:sz w:val="22"/>
          <w:szCs w:val="22"/>
          <w:lang w:val="en-GB"/>
        </w:rPr>
        <w:t>enterprises</w:t>
      </w:r>
      <w:proofErr w:type="gramEnd"/>
      <w:r w:rsidRPr="006C6BB5">
        <w:rPr>
          <w:sz w:val="22"/>
          <w:szCs w:val="22"/>
          <w:lang w:val="en-GB"/>
        </w:rPr>
        <w:t xml:space="preserve">. </w:t>
      </w:r>
      <w:r w:rsidRPr="006C6BB5">
        <w:rPr>
          <w:i/>
          <w:sz w:val="22"/>
          <w:szCs w:val="22"/>
          <w:lang w:val="en-GB"/>
        </w:rPr>
        <w:t>R&amp;D Management</w:t>
      </w:r>
      <w:r w:rsidRPr="006C6BB5">
        <w:rPr>
          <w:sz w:val="22"/>
          <w:szCs w:val="22"/>
          <w:lang w:val="en-GB"/>
        </w:rPr>
        <w:t xml:space="preserve">, 21(2), 125-137. </w:t>
      </w:r>
    </w:p>
    <w:p w14:paraId="1454C023" w14:textId="77777777" w:rsidR="00AA65F2" w:rsidRPr="006C6BB5" w:rsidRDefault="009B6111" w:rsidP="00AA65F2">
      <w:pPr>
        <w:spacing w:line="360" w:lineRule="auto"/>
        <w:rPr>
          <w:sz w:val="22"/>
          <w:szCs w:val="22"/>
          <w:lang w:val="en-GB"/>
        </w:rPr>
      </w:pPr>
      <w:proofErr w:type="spellStart"/>
      <w:r w:rsidRPr="006C6BB5">
        <w:rPr>
          <w:sz w:val="22"/>
          <w:szCs w:val="22"/>
          <w:lang w:val="en-GB"/>
        </w:rPr>
        <w:t>Salge</w:t>
      </w:r>
      <w:proofErr w:type="spellEnd"/>
      <w:r w:rsidRPr="006C6BB5">
        <w:rPr>
          <w:sz w:val="22"/>
          <w:szCs w:val="22"/>
          <w:lang w:val="en-GB"/>
        </w:rPr>
        <w:t xml:space="preserve">, T.O., </w:t>
      </w:r>
      <w:proofErr w:type="spellStart"/>
      <w:r w:rsidRPr="006C6BB5">
        <w:rPr>
          <w:sz w:val="22"/>
          <w:szCs w:val="22"/>
          <w:lang w:val="en-GB"/>
        </w:rPr>
        <w:t>Farchi</w:t>
      </w:r>
      <w:proofErr w:type="spellEnd"/>
      <w:r w:rsidRPr="006C6BB5">
        <w:rPr>
          <w:sz w:val="22"/>
          <w:szCs w:val="22"/>
          <w:lang w:val="en-GB"/>
        </w:rPr>
        <w:t>, T., Barrett, M.I.,</w:t>
      </w:r>
      <w:r w:rsidR="00270A1E" w:rsidRPr="006C6BB5">
        <w:rPr>
          <w:sz w:val="22"/>
          <w:szCs w:val="22"/>
          <w:lang w:val="en-GB"/>
        </w:rPr>
        <w:t xml:space="preserve"> &amp; </w:t>
      </w:r>
      <w:r w:rsidRPr="006C6BB5">
        <w:rPr>
          <w:sz w:val="22"/>
          <w:szCs w:val="22"/>
          <w:lang w:val="en-GB"/>
        </w:rPr>
        <w:t>Dopson, S. (2013). When does search openness</w:t>
      </w:r>
    </w:p>
    <w:p w14:paraId="125BC1DB" w14:textId="77777777" w:rsidR="00AA65F2" w:rsidRPr="006C6BB5" w:rsidRDefault="009B6111" w:rsidP="00AA65F2">
      <w:pPr>
        <w:spacing w:line="360" w:lineRule="auto"/>
        <w:ind w:firstLine="720"/>
        <w:rPr>
          <w:i/>
          <w:sz w:val="22"/>
          <w:szCs w:val="22"/>
          <w:lang w:val="en-GB"/>
        </w:rPr>
      </w:pPr>
      <w:proofErr w:type="gramStart"/>
      <w:r w:rsidRPr="006C6BB5">
        <w:rPr>
          <w:sz w:val="22"/>
          <w:szCs w:val="22"/>
          <w:lang w:val="en-GB"/>
        </w:rPr>
        <w:t>really</w:t>
      </w:r>
      <w:proofErr w:type="gramEnd"/>
      <w:r w:rsidRPr="006C6BB5">
        <w:rPr>
          <w:sz w:val="22"/>
          <w:szCs w:val="22"/>
          <w:lang w:val="en-GB"/>
        </w:rPr>
        <w:t xml:space="preserve"> matter? A contingency study of health-care innovation projects. </w:t>
      </w:r>
      <w:r w:rsidRPr="006C6BB5">
        <w:rPr>
          <w:i/>
          <w:sz w:val="22"/>
          <w:szCs w:val="22"/>
          <w:lang w:val="en-GB"/>
        </w:rPr>
        <w:t>Journal of</w:t>
      </w:r>
    </w:p>
    <w:p w14:paraId="65289871" w14:textId="77777777" w:rsidR="009B6111" w:rsidRPr="006C6BB5" w:rsidRDefault="009B6111" w:rsidP="00AA65F2">
      <w:pPr>
        <w:spacing w:line="360" w:lineRule="auto"/>
        <w:ind w:firstLine="720"/>
        <w:rPr>
          <w:sz w:val="22"/>
          <w:szCs w:val="22"/>
          <w:lang w:val="en-GB"/>
        </w:rPr>
      </w:pPr>
      <w:r w:rsidRPr="006C6BB5">
        <w:rPr>
          <w:i/>
          <w:sz w:val="22"/>
          <w:szCs w:val="22"/>
          <w:lang w:val="en-GB"/>
        </w:rPr>
        <w:t>Product Innovation Management</w:t>
      </w:r>
      <w:r w:rsidRPr="006C6BB5">
        <w:rPr>
          <w:sz w:val="22"/>
          <w:szCs w:val="22"/>
          <w:lang w:val="en-GB"/>
        </w:rPr>
        <w:t>, 30 (4).</w:t>
      </w:r>
    </w:p>
    <w:p w14:paraId="616D157E" w14:textId="77777777" w:rsidR="002655C8" w:rsidRPr="006C6BB5" w:rsidRDefault="002655C8" w:rsidP="005333D6">
      <w:pPr>
        <w:spacing w:after="200" w:line="360" w:lineRule="auto"/>
        <w:ind w:left="720" w:hanging="720"/>
        <w:contextualSpacing/>
        <w:rPr>
          <w:rStyle w:val="Hyperlink"/>
          <w:color w:val="auto"/>
          <w:sz w:val="22"/>
          <w:szCs w:val="22"/>
          <w:lang w:val="en-GB"/>
        </w:rPr>
      </w:pPr>
      <w:proofErr w:type="spellStart"/>
      <w:r w:rsidRPr="006C6BB5">
        <w:rPr>
          <w:sz w:val="22"/>
          <w:szCs w:val="22"/>
          <w:lang w:val="en-GB"/>
        </w:rPr>
        <w:t>Sandulli</w:t>
      </w:r>
      <w:proofErr w:type="spellEnd"/>
      <w:r w:rsidRPr="006C6BB5">
        <w:rPr>
          <w:sz w:val="22"/>
          <w:szCs w:val="22"/>
          <w:lang w:val="en-GB"/>
        </w:rPr>
        <w:t>, F.</w:t>
      </w:r>
      <w:r w:rsidR="00270A1E" w:rsidRPr="006C6BB5">
        <w:rPr>
          <w:sz w:val="22"/>
          <w:szCs w:val="22"/>
          <w:lang w:val="en-GB"/>
        </w:rPr>
        <w:t xml:space="preserve"> &amp; </w:t>
      </w:r>
      <w:r w:rsidRPr="006C6BB5">
        <w:rPr>
          <w:sz w:val="22"/>
          <w:szCs w:val="22"/>
          <w:lang w:val="en-GB"/>
        </w:rPr>
        <w:t xml:space="preserve">Chesbrough, H. (2009) </w:t>
      </w:r>
      <w:r w:rsidRPr="006C6BB5">
        <w:rPr>
          <w:i/>
          <w:iCs/>
          <w:sz w:val="22"/>
          <w:szCs w:val="22"/>
          <w:lang w:val="en-GB"/>
        </w:rPr>
        <w:t xml:space="preserve">The two faces of open business models. </w:t>
      </w:r>
      <w:r w:rsidRPr="006C6BB5">
        <w:rPr>
          <w:sz w:val="22"/>
          <w:szCs w:val="22"/>
          <w:lang w:val="en-GB"/>
        </w:rPr>
        <w:t xml:space="preserve">Working Paper Available at SSRN: </w:t>
      </w:r>
      <w:hyperlink r:id="rId15" w:history="1">
        <w:r w:rsidR="00EA2FB7" w:rsidRPr="006C6BB5">
          <w:rPr>
            <w:rStyle w:val="Hyperlink"/>
            <w:color w:val="auto"/>
            <w:sz w:val="22"/>
            <w:szCs w:val="22"/>
            <w:lang w:val="en-GB"/>
          </w:rPr>
          <w:t>http://ssrn.com/abstract=1325682</w:t>
        </w:r>
      </w:hyperlink>
    </w:p>
    <w:p w14:paraId="61D253D2" w14:textId="77777777" w:rsidR="00EA2FB7" w:rsidRPr="006C6BB5" w:rsidRDefault="00EA2FB7" w:rsidP="005333D6">
      <w:pPr>
        <w:spacing w:after="200" w:line="360" w:lineRule="auto"/>
        <w:ind w:left="720" w:hanging="720"/>
        <w:contextualSpacing/>
        <w:rPr>
          <w:sz w:val="22"/>
          <w:szCs w:val="22"/>
          <w:lang w:val="en-GB"/>
        </w:rPr>
      </w:pPr>
      <w:r w:rsidRPr="006C6BB5">
        <w:rPr>
          <w:sz w:val="22"/>
          <w:szCs w:val="22"/>
          <w:lang w:val="en-GB"/>
        </w:rPr>
        <w:t>Schmidt, J.B.</w:t>
      </w:r>
      <w:r w:rsidR="00270A1E" w:rsidRPr="006C6BB5">
        <w:rPr>
          <w:sz w:val="22"/>
          <w:szCs w:val="22"/>
          <w:lang w:val="en-GB"/>
        </w:rPr>
        <w:t xml:space="preserve"> &amp; </w:t>
      </w:r>
      <w:proofErr w:type="spellStart"/>
      <w:r w:rsidRPr="006C6BB5">
        <w:rPr>
          <w:sz w:val="22"/>
          <w:szCs w:val="22"/>
          <w:lang w:val="en-GB"/>
        </w:rPr>
        <w:t>Calantone</w:t>
      </w:r>
      <w:proofErr w:type="spellEnd"/>
      <w:r w:rsidRPr="006C6BB5">
        <w:rPr>
          <w:sz w:val="22"/>
          <w:szCs w:val="22"/>
          <w:lang w:val="en-GB"/>
        </w:rPr>
        <w:t xml:space="preserve">, R.J. (1998). Are really new product development projects harder to shut down? </w:t>
      </w:r>
      <w:r w:rsidRPr="006C6BB5">
        <w:rPr>
          <w:i/>
          <w:sz w:val="22"/>
          <w:szCs w:val="22"/>
          <w:lang w:val="en-GB"/>
        </w:rPr>
        <w:t>The Journal of Product Innovation Management</w:t>
      </w:r>
      <w:r w:rsidRPr="006C6BB5">
        <w:rPr>
          <w:sz w:val="22"/>
          <w:szCs w:val="22"/>
          <w:lang w:val="en-GB"/>
        </w:rPr>
        <w:t xml:space="preserve">, 15, 111-123. </w:t>
      </w:r>
    </w:p>
    <w:p w14:paraId="5CE687D0" w14:textId="77777777" w:rsidR="002655C8" w:rsidRPr="006C6BB5" w:rsidRDefault="000B7E7A" w:rsidP="005333D6">
      <w:pPr>
        <w:spacing w:after="200" w:line="360" w:lineRule="auto"/>
        <w:ind w:left="720" w:hanging="720"/>
        <w:contextualSpacing/>
        <w:rPr>
          <w:sz w:val="22"/>
          <w:szCs w:val="22"/>
          <w:lang w:val="en-GB"/>
        </w:rPr>
      </w:pPr>
      <w:proofErr w:type="spellStart"/>
      <w:r w:rsidRPr="006C6BB5">
        <w:rPr>
          <w:sz w:val="22"/>
          <w:szCs w:val="22"/>
          <w:lang w:val="en-GB"/>
        </w:rPr>
        <w:t>Somaya</w:t>
      </w:r>
      <w:proofErr w:type="spellEnd"/>
      <w:r w:rsidRPr="006C6BB5">
        <w:rPr>
          <w:sz w:val="22"/>
          <w:szCs w:val="22"/>
          <w:lang w:val="en-GB"/>
        </w:rPr>
        <w:t xml:space="preserve">, D. (2012). Patent strategy and management: An integrative review and research agenda. </w:t>
      </w:r>
      <w:r w:rsidRPr="006C6BB5">
        <w:rPr>
          <w:i/>
          <w:sz w:val="22"/>
          <w:szCs w:val="22"/>
          <w:lang w:val="en-GB"/>
        </w:rPr>
        <w:t>Journal of Management</w:t>
      </w:r>
      <w:r w:rsidRPr="006C6BB5">
        <w:rPr>
          <w:sz w:val="22"/>
          <w:szCs w:val="22"/>
          <w:lang w:val="en-GB"/>
        </w:rPr>
        <w:t>, 38, 1084-1114.</w:t>
      </w:r>
    </w:p>
    <w:p w14:paraId="60BF175A" w14:textId="77777777" w:rsidR="00AA1461" w:rsidRPr="00844D55" w:rsidRDefault="00AA1461" w:rsidP="005333D6">
      <w:pPr>
        <w:spacing w:after="200" w:line="360" w:lineRule="auto"/>
        <w:ind w:left="720" w:hanging="720"/>
        <w:contextualSpacing/>
        <w:rPr>
          <w:sz w:val="22"/>
          <w:szCs w:val="22"/>
          <w:lang w:val="nl-NL"/>
        </w:rPr>
      </w:pPr>
      <w:proofErr w:type="gramStart"/>
      <w:r w:rsidRPr="006C6BB5">
        <w:rPr>
          <w:sz w:val="22"/>
          <w:szCs w:val="22"/>
          <w:lang w:val="en-GB"/>
        </w:rPr>
        <w:t>Stock, J.H.</w:t>
      </w:r>
      <w:r w:rsidR="00270A1E" w:rsidRPr="006C6BB5">
        <w:rPr>
          <w:sz w:val="22"/>
          <w:szCs w:val="22"/>
          <w:lang w:val="en-GB"/>
        </w:rPr>
        <w:t xml:space="preserve"> &amp; </w:t>
      </w:r>
      <w:r w:rsidRPr="006C6BB5">
        <w:rPr>
          <w:sz w:val="22"/>
          <w:szCs w:val="22"/>
          <w:lang w:val="en-GB"/>
        </w:rPr>
        <w:t>Wright, J.H.</w:t>
      </w:r>
      <w:proofErr w:type="gramEnd"/>
      <w:r w:rsidRPr="006C6BB5">
        <w:rPr>
          <w:sz w:val="22"/>
          <w:szCs w:val="22"/>
          <w:lang w:val="en-GB"/>
        </w:rPr>
        <w:t xml:space="preserve">  (2000)</w:t>
      </w:r>
      <w:proofErr w:type="gramStart"/>
      <w:r w:rsidRPr="006C6BB5">
        <w:rPr>
          <w:sz w:val="22"/>
          <w:szCs w:val="22"/>
          <w:lang w:val="en-GB"/>
        </w:rPr>
        <w:t>.  GMM with Weak Identification.</w:t>
      </w:r>
      <w:proofErr w:type="gramEnd"/>
      <w:r w:rsidRPr="006C6BB5">
        <w:rPr>
          <w:sz w:val="22"/>
          <w:szCs w:val="22"/>
          <w:lang w:val="en-GB"/>
        </w:rPr>
        <w:t xml:space="preserve">  </w:t>
      </w:r>
      <w:proofErr w:type="spellStart"/>
      <w:r w:rsidRPr="00844D55">
        <w:rPr>
          <w:i/>
          <w:sz w:val="22"/>
          <w:szCs w:val="22"/>
          <w:lang w:val="nl-NL"/>
        </w:rPr>
        <w:t>Econometrica</w:t>
      </w:r>
      <w:proofErr w:type="spellEnd"/>
      <w:r w:rsidRPr="00844D55">
        <w:rPr>
          <w:sz w:val="22"/>
          <w:szCs w:val="22"/>
          <w:lang w:val="nl-NL"/>
        </w:rPr>
        <w:t>, 68(5), 1055-1096.</w:t>
      </w:r>
    </w:p>
    <w:p w14:paraId="7CBD3F58" w14:textId="77777777" w:rsidR="0082599F" w:rsidRPr="00A9230E" w:rsidRDefault="0082599F" w:rsidP="0082599F">
      <w:pPr>
        <w:widowControl w:val="0"/>
        <w:autoSpaceDE w:val="0"/>
        <w:autoSpaceDN w:val="0"/>
        <w:adjustRightInd w:val="0"/>
        <w:spacing w:line="360" w:lineRule="auto"/>
        <w:rPr>
          <w:sz w:val="22"/>
          <w:szCs w:val="22"/>
          <w:lang w:val="de-CH"/>
        </w:rPr>
      </w:pPr>
      <w:proofErr w:type="spellStart"/>
      <w:r w:rsidRPr="00A9230E">
        <w:rPr>
          <w:sz w:val="22"/>
          <w:szCs w:val="22"/>
          <w:lang w:val="de-CH"/>
        </w:rPr>
        <w:t>Stolwijk</w:t>
      </w:r>
      <w:proofErr w:type="spellEnd"/>
      <w:r w:rsidRPr="00A9230E">
        <w:rPr>
          <w:sz w:val="22"/>
          <w:szCs w:val="22"/>
          <w:lang w:val="de-CH"/>
        </w:rPr>
        <w:t xml:space="preserve">, C. C., Vanhaverbeke, W. P., </w:t>
      </w:r>
      <w:proofErr w:type="spellStart"/>
      <w:r w:rsidRPr="00A9230E">
        <w:rPr>
          <w:sz w:val="22"/>
          <w:szCs w:val="22"/>
          <w:lang w:val="de-CH"/>
        </w:rPr>
        <w:t>Ortt</w:t>
      </w:r>
      <w:proofErr w:type="spellEnd"/>
      <w:r w:rsidRPr="00A9230E">
        <w:rPr>
          <w:sz w:val="22"/>
          <w:szCs w:val="22"/>
          <w:lang w:val="de-CH"/>
        </w:rPr>
        <w:t xml:space="preserve">, J. R., Pieters, M. W., Den </w:t>
      </w:r>
      <w:proofErr w:type="spellStart"/>
      <w:r w:rsidRPr="00A9230E">
        <w:rPr>
          <w:sz w:val="22"/>
          <w:szCs w:val="22"/>
          <w:lang w:val="de-CH"/>
        </w:rPr>
        <w:t>Hartigh</w:t>
      </w:r>
      <w:proofErr w:type="spellEnd"/>
      <w:r w:rsidRPr="00A9230E">
        <w:rPr>
          <w:sz w:val="22"/>
          <w:szCs w:val="22"/>
          <w:lang w:val="de-CH"/>
        </w:rPr>
        <w:t>, E., &amp; Van Beers, C.</w:t>
      </w:r>
    </w:p>
    <w:p w14:paraId="53B1A34D" w14:textId="269DB33C" w:rsidR="0082599F" w:rsidRPr="006C6BB5" w:rsidRDefault="0082599F" w:rsidP="0082599F">
      <w:pPr>
        <w:widowControl w:val="0"/>
        <w:autoSpaceDE w:val="0"/>
        <w:autoSpaceDN w:val="0"/>
        <w:adjustRightInd w:val="0"/>
        <w:spacing w:line="360" w:lineRule="auto"/>
        <w:ind w:left="720"/>
        <w:rPr>
          <w:sz w:val="22"/>
          <w:szCs w:val="22"/>
          <w:lang w:val="en-GB"/>
        </w:rPr>
      </w:pPr>
      <w:r w:rsidRPr="006C6BB5">
        <w:rPr>
          <w:sz w:val="22"/>
          <w:szCs w:val="22"/>
          <w:lang w:val="en-GB"/>
        </w:rPr>
        <w:t>(2012)</w:t>
      </w:r>
      <w:proofErr w:type="gramStart"/>
      <w:r w:rsidRPr="006C6BB5">
        <w:rPr>
          <w:sz w:val="22"/>
          <w:szCs w:val="22"/>
          <w:lang w:val="en-GB"/>
        </w:rPr>
        <w:t>. The effect of internal and external technology sourcing on firm performance throughout the technology life cycle.</w:t>
      </w:r>
      <w:proofErr w:type="gramEnd"/>
      <w:r w:rsidRPr="006C6BB5">
        <w:rPr>
          <w:sz w:val="22"/>
          <w:szCs w:val="22"/>
          <w:lang w:val="en-GB"/>
        </w:rPr>
        <w:t xml:space="preserve"> </w:t>
      </w:r>
      <w:r w:rsidRPr="006C6BB5">
        <w:rPr>
          <w:i/>
          <w:sz w:val="22"/>
          <w:szCs w:val="22"/>
          <w:lang w:val="en-GB"/>
        </w:rPr>
        <w:t>Technology Analysis &amp; Strategic Management</w:t>
      </w:r>
      <w:r w:rsidRPr="006C6BB5">
        <w:rPr>
          <w:sz w:val="22"/>
          <w:szCs w:val="22"/>
          <w:lang w:val="en-GB"/>
        </w:rPr>
        <w:t xml:space="preserve">. </w:t>
      </w:r>
      <w:proofErr w:type="gramStart"/>
      <w:r w:rsidRPr="006C6BB5">
        <w:rPr>
          <w:sz w:val="22"/>
          <w:szCs w:val="22"/>
          <w:lang w:val="en-GB"/>
        </w:rPr>
        <w:t>24, 1013-1028.</w:t>
      </w:r>
      <w:proofErr w:type="gramEnd"/>
    </w:p>
    <w:p w14:paraId="30093EEC" w14:textId="0A5DF13D" w:rsidR="001311E1" w:rsidRPr="006C6BB5" w:rsidRDefault="006D16B0" w:rsidP="0082599F">
      <w:pPr>
        <w:spacing w:after="200" w:line="360" w:lineRule="auto"/>
        <w:contextualSpacing/>
        <w:rPr>
          <w:i/>
          <w:sz w:val="22"/>
          <w:szCs w:val="22"/>
          <w:lang w:val="en-GB"/>
        </w:rPr>
      </w:pPr>
      <w:r w:rsidRPr="006C6BB5">
        <w:rPr>
          <w:sz w:val="22"/>
          <w:szCs w:val="22"/>
          <w:lang w:val="en-GB"/>
        </w:rPr>
        <w:t xml:space="preserve">Tidd, J., Bessant, J. &amp; Pavitt. K. </w:t>
      </w:r>
      <w:r w:rsidR="004D1489" w:rsidRPr="006C6BB5">
        <w:rPr>
          <w:sz w:val="22"/>
          <w:szCs w:val="22"/>
          <w:lang w:val="en-GB"/>
        </w:rPr>
        <w:t>(</w:t>
      </w:r>
      <w:r w:rsidRPr="006C6BB5">
        <w:rPr>
          <w:sz w:val="22"/>
          <w:szCs w:val="22"/>
          <w:lang w:val="en-GB"/>
        </w:rPr>
        <w:t>2005</w:t>
      </w:r>
      <w:r w:rsidR="004D1489" w:rsidRPr="006C6BB5">
        <w:rPr>
          <w:sz w:val="22"/>
          <w:szCs w:val="22"/>
          <w:lang w:val="en-GB"/>
        </w:rPr>
        <w:t>)</w:t>
      </w:r>
      <w:r w:rsidRPr="006C6BB5">
        <w:rPr>
          <w:sz w:val="22"/>
          <w:szCs w:val="22"/>
          <w:lang w:val="en-GB"/>
        </w:rPr>
        <w:t xml:space="preserve">. </w:t>
      </w:r>
      <w:r w:rsidRPr="006C6BB5">
        <w:rPr>
          <w:i/>
          <w:sz w:val="22"/>
          <w:szCs w:val="22"/>
          <w:lang w:val="en-GB"/>
        </w:rPr>
        <w:t>Managing innovation: Integrating technological, market and</w:t>
      </w:r>
    </w:p>
    <w:p w14:paraId="1DEFC8FD" w14:textId="6B85D3DD" w:rsidR="006D16B0" w:rsidRPr="006C6BB5" w:rsidRDefault="006D16B0" w:rsidP="001311E1">
      <w:pPr>
        <w:spacing w:after="200" w:line="360" w:lineRule="auto"/>
        <w:ind w:firstLine="720"/>
        <w:contextualSpacing/>
        <w:rPr>
          <w:sz w:val="22"/>
          <w:szCs w:val="22"/>
          <w:lang w:val="en-GB"/>
        </w:rPr>
      </w:pPr>
      <w:proofErr w:type="gramStart"/>
      <w:r w:rsidRPr="006C6BB5">
        <w:rPr>
          <w:i/>
          <w:sz w:val="22"/>
          <w:szCs w:val="22"/>
          <w:lang w:val="en-GB"/>
        </w:rPr>
        <w:t>organizational</w:t>
      </w:r>
      <w:proofErr w:type="gramEnd"/>
      <w:r w:rsidRPr="006C6BB5">
        <w:rPr>
          <w:i/>
          <w:sz w:val="22"/>
          <w:szCs w:val="22"/>
          <w:lang w:val="en-GB"/>
        </w:rPr>
        <w:t xml:space="preserve"> change</w:t>
      </w:r>
      <w:r w:rsidRPr="006C6BB5">
        <w:rPr>
          <w:sz w:val="22"/>
          <w:szCs w:val="22"/>
          <w:lang w:val="en-GB"/>
        </w:rPr>
        <w:t>, Chichester: John Wiley &amp; Sons.</w:t>
      </w:r>
    </w:p>
    <w:p w14:paraId="420D7193" w14:textId="081DAC77" w:rsidR="005E5724" w:rsidRPr="001A2621" w:rsidRDefault="002863E7" w:rsidP="001311E1">
      <w:pPr>
        <w:spacing w:after="200" w:line="360" w:lineRule="auto"/>
        <w:ind w:left="720" w:hanging="720"/>
        <w:contextualSpacing/>
        <w:rPr>
          <w:strike/>
          <w:sz w:val="22"/>
          <w:szCs w:val="22"/>
          <w:lang w:val="nl-NL"/>
        </w:rPr>
      </w:pPr>
      <w:r w:rsidRPr="00A9230E">
        <w:rPr>
          <w:sz w:val="22"/>
          <w:szCs w:val="22"/>
          <w:lang w:val="fr-FR"/>
        </w:rPr>
        <w:t xml:space="preserve">Van de </w:t>
      </w:r>
      <w:proofErr w:type="spellStart"/>
      <w:r w:rsidRPr="00A9230E">
        <w:rPr>
          <w:sz w:val="22"/>
          <w:szCs w:val="22"/>
          <w:lang w:val="fr-FR"/>
        </w:rPr>
        <w:t>Vrande</w:t>
      </w:r>
      <w:proofErr w:type="spellEnd"/>
      <w:r w:rsidRPr="00A9230E">
        <w:rPr>
          <w:sz w:val="22"/>
          <w:szCs w:val="22"/>
          <w:lang w:val="fr-FR"/>
        </w:rPr>
        <w:t>,</w:t>
      </w:r>
      <w:r w:rsidR="003B4BC1" w:rsidRPr="00A9230E">
        <w:rPr>
          <w:sz w:val="22"/>
          <w:szCs w:val="22"/>
          <w:lang w:val="fr-FR"/>
        </w:rPr>
        <w:t xml:space="preserve"> V., Lemmens, C.</w:t>
      </w:r>
      <w:r w:rsidR="00270A1E" w:rsidRPr="00A9230E">
        <w:rPr>
          <w:sz w:val="22"/>
          <w:szCs w:val="22"/>
          <w:lang w:val="fr-FR"/>
        </w:rPr>
        <w:t xml:space="preserve"> &amp; </w:t>
      </w:r>
      <w:r w:rsidR="003B4BC1" w:rsidRPr="00A9230E">
        <w:rPr>
          <w:sz w:val="22"/>
          <w:szCs w:val="22"/>
          <w:lang w:val="fr-FR"/>
        </w:rPr>
        <w:t xml:space="preserve">Vanhaverbeke, W. (2006). </w:t>
      </w:r>
      <w:r w:rsidR="003B4BC1" w:rsidRPr="006C6BB5">
        <w:rPr>
          <w:sz w:val="22"/>
          <w:szCs w:val="22"/>
          <w:lang w:val="en-GB"/>
        </w:rPr>
        <w:t xml:space="preserve">Choosing governance modes for external technology sourcing. </w:t>
      </w:r>
      <w:r w:rsidR="003B4BC1" w:rsidRPr="001A2621">
        <w:rPr>
          <w:i/>
          <w:sz w:val="22"/>
          <w:szCs w:val="22"/>
          <w:lang w:val="nl-NL"/>
        </w:rPr>
        <w:t>R&amp;D Management</w:t>
      </w:r>
      <w:r w:rsidR="003B4BC1" w:rsidRPr="001A2621">
        <w:rPr>
          <w:sz w:val="22"/>
          <w:szCs w:val="22"/>
          <w:lang w:val="nl-NL"/>
        </w:rPr>
        <w:t>, 36 (3), 347-363.</w:t>
      </w:r>
      <w:r w:rsidR="005E5724" w:rsidRPr="001A2621">
        <w:rPr>
          <w:strike/>
          <w:sz w:val="22"/>
          <w:szCs w:val="22"/>
          <w:lang w:val="nl-NL"/>
        </w:rPr>
        <w:t xml:space="preserve"> </w:t>
      </w:r>
    </w:p>
    <w:p w14:paraId="6F97F9F3" w14:textId="77777777" w:rsidR="000D2D93" w:rsidRPr="006C6BB5" w:rsidRDefault="000B7E7A" w:rsidP="000D2D93">
      <w:pPr>
        <w:spacing w:after="200" w:line="360" w:lineRule="auto"/>
        <w:contextualSpacing/>
        <w:rPr>
          <w:sz w:val="22"/>
          <w:szCs w:val="22"/>
          <w:lang w:val="en-GB"/>
        </w:rPr>
      </w:pPr>
      <w:proofErr w:type="spellStart"/>
      <w:r w:rsidRPr="006C6BB5">
        <w:rPr>
          <w:sz w:val="22"/>
          <w:szCs w:val="22"/>
          <w:lang w:val="en-GB"/>
        </w:rPr>
        <w:t>Zab</w:t>
      </w:r>
      <w:r w:rsidR="00983451" w:rsidRPr="006C6BB5">
        <w:rPr>
          <w:sz w:val="22"/>
          <w:szCs w:val="22"/>
          <w:lang w:val="en-GB"/>
        </w:rPr>
        <w:t>y</w:t>
      </w:r>
      <w:proofErr w:type="spellEnd"/>
      <w:r w:rsidR="00983451" w:rsidRPr="006C6BB5">
        <w:rPr>
          <w:sz w:val="22"/>
          <w:szCs w:val="22"/>
          <w:lang w:val="en-GB"/>
        </w:rPr>
        <w:t>, A.K. (2010). Losing the lead:</w:t>
      </w:r>
      <w:r w:rsidRPr="006C6BB5">
        <w:rPr>
          <w:sz w:val="22"/>
          <w:szCs w:val="22"/>
          <w:lang w:val="en-GB"/>
        </w:rPr>
        <w:t xml:space="preserve"> the patenting decision in the light of the disclosure</w:t>
      </w:r>
    </w:p>
    <w:p w14:paraId="2B376982" w14:textId="7010F43E" w:rsidR="00A9230E" w:rsidRDefault="000B7E7A" w:rsidP="00A9230E">
      <w:pPr>
        <w:spacing w:after="200" w:line="360" w:lineRule="auto"/>
        <w:ind w:firstLine="720"/>
        <w:contextualSpacing/>
        <w:rPr>
          <w:sz w:val="22"/>
          <w:szCs w:val="22"/>
          <w:lang w:val="en-GB"/>
        </w:rPr>
      </w:pPr>
      <w:proofErr w:type="gramStart"/>
      <w:r w:rsidRPr="006C6BB5">
        <w:rPr>
          <w:sz w:val="22"/>
          <w:szCs w:val="22"/>
          <w:lang w:val="en-GB"/>
        </w:rPr>
        <w:t>requirement</w:t>
      </w:r>
      <w:proofErr w:type="gramEnd"/>
      <w:r w:rsidR="00F9404A" w:rsidRPr="006C6BB5">
        <w:rPr>
          <w:sz w:val="22"/>
          <w:szCs w:val="22"/>
          <w:lang w:val="en-GB"/>
        </w:rPr>
        <w:t>.</w:t>
      </w:r>
      <w:r w:rsidR="00983451" w:rsidRPr="006C6BB5">
        <w:rPr>
          <w:sz w:val="22"/>
          <w:szCs w:val="22"/>
          <w:lang w:val="en-GB"/>
        </w:rPr>
        <w:t xml:space="preserve"> </w:t>
      </w:r>
      <w:r w:rsidR="00983451" w:rsidRPr="006C6BB5">
        <w:rPr>
          <w:i/>
          <w:sz w:val="22"/>
          <w:szCs w:val="22"/>
          <w:lang w:val="en-GB"/>
        </w:rPr>
        <w:t>Economics of Innovation and New Technology</w:t>
      </w:r>
      <w:r w:rsidR="00983451" w:rsidRPr="006C6BB5">
        <w:rPr>
          <w:sz w:val="22"/>
          <w:szCs w:val="22"/>
          <w:lang w:val="en-GB"/>
        </w:rPr>
        <w:t>, 19, 147-164</w:t>
      </w:r>
    </w:p>
    <w:p w14:paraId="73E2F1BE" w14:textId="77777777" w:rsidR="00A9230E" w:rsidRDefault="00A9230E" w:rsidP="00A9230E">
      <w:pPr>
        <w:spacing w:after="200" w:line="360" w:lineRule="auto"/>
        <w:contextualSpacing/>
        <w:rPr>
          <w:sz w:val="22"/>
          <w:szCs w:val="22"/>
        </w:rPr>
      </w:pPr>
      <w:r w:rsidRPr="00A9230E">
        <w:rPr>
          <w:sz w:val="22"/>
          <w:szCs w:val="22"/>
        </w:rPr>
        <w:t xml:space="preserve">Zobel, A-K., Balsmeier, B. &amp; Chesbrough, H. </w:t>
      </w:r>
      <w:r>
        <w:rPr>
          <w:sz w:val="22"/>
          <w:szCs w:val="22"/>
        </w:rPr>
        <w:t xml:space="preserve">(2016).  Does patenting help or hinder open innovation? </w:t>
      </w:r>
    </w:p>
    <w:p w14:paraId="76BBF9D0" w14:textId="64610793" w:rsidR="00A9230E" w:rsidRPr="00A9230E" w:rsidRDefault="00A9230E" w:rsidP="00A9230E">
      <w:pPr>
        <w:spacing w:after="200" w:line="360" w:lineRule="auto"/>
        <w:ind w:left="720"/>
        <w:contextualSpacing/>
        <w:rPr>
          <w:sz w:val="22"/>
          <w:szCs w:val="22"/>
        </w:rPr>
        <w:sectPr w:rsidR="00A9230E" w:rsidRPr="00A9230E" w:rsidSect="000B299A">
          <w:headerReference w:type="default" r:id="rId16"/>
          <w:footerReference w:type="even" r:id="rId17"/>
          <w:footerReference w:type="default" r:id="rId18"/>
          <w:endnotePr>
            <w:numFmt w:val="decimal"/>
          </w:endnotePr>
          <w:pgSz w:w="11894" w:h="16819" w:code="1"/>
          <w:pgMar w:top="1368" w:right="1368" w:bottom="1368" w:left="1368" w:header="706" w:footer="706" w:gutter="0"/>
          <w:cols w:space="708"/>
          <w:docGrid w:linePitch="360"/>
        </w:sectPr>
      </w:pPr>
      <w:r>
        <w:rPr>
          <w:sz w:val="22"/>
          <w:szCs w:val="22"/>
        </w:rPr>
        <w:t xml:space="preserve">Evidence from new entrants in the solar industry. </w:t>
      </w:r>
      <w:r w:rsidRPr="00A9230E">
        <w:rPr>
          <w:i/>
          <w:sz w:val="22"/>
          <w:szCs w:val="22"/>
        </w:rPr>
        <w:t>Industrial and Corporate Change</w:t>
      </w:r>
      <w:r>
        <w:rPr>
          <w:sz w:val="22"/>
          <w:szCs w:val="22"/>
        </w:rPr>
        <w:t xml:space="preserve">, 25(2), 307-331. </w:t>
      </w:r>
    </w:p>
    <w:p w14:paraId="4742EB50" w14:textId="77777777" w:rsidR="00270A1E" w:rsidRPr="00A9230E" w:rsidRDefault="00270A1E" w:rsidP="00270A1E">
      <w:pPr>
        <w:rPr>
          <w:b/>
          <w:bCs/>
          <w:sz w:val="22"/>
          <w:szCs w:val="22"/>
        </w:rPr>
      </w:pPr>
    </w:p>
    <w:p w14:paraId="6D4A4662" w14:textId="77777777" w:rsidR="00270A1E" w:rsidRPr="00A9230E" w:rsidRDefault="00270A1E" w:rsidP="00270A1E">
      <w:pPr>
        <w:rPr>
          <w:b/>
          <w:bCs/>
          <w:sz w:val="22"/>
          <w:szCs w:val="22"/>
        </w:rPr>
      </w:pPr>
    </w:p>
    <w:p w14:paraId="557B1423" w14:textId="77777777" w:rsidR="00270A1E" w:rsidRPr="00A9230E" w:rsidRDefault="00270A1E" w:rsidP="00270A1E">
      <w:pPr>
        <w:jc w:val="center"/>
        <w:rPr>
          <w:b/>
          <w:bCs/>
          <w:sz w:val="22"/>
          <w:szCs w:val="22"/>
        </w:rPr>
      </w:pPr>
    </w:p>
    <w:p w14:paraId="75CAAE22" w14:textId="77777777" w:rsidR="006D5629" w:rsidRPr="006C6BB5" w:rsidRDefault="006D5629" w:rsidP="006D5629">
      <w:pPr>
        <w:keepNext/>
        <w:keepLines/>
        <w:tabs>
          <w:tab w:val="left" w:pos="4253"/>
        </w:tabs>
        <w:spacing w:before="480"/>
        <w:jc w:val="center"/>
        <w:outlineLvl w:val="0"/>
        <w:rPr>
          <w:b/>
          <w:bCs/>
          <w:sz w:val="22"/>
          <w:szCs w:val="22"/>
          <w:lang w:val="en-GB"/>
        </w:rPr>
      </w:pPr>
      <w:r w:rsidRPr="006C6BB5">
        <w:rPr>
          <w:b/>
          <w:bCs/>
          <w:sz w:val="22"/>
          <w:szCs w:val="22"/>
          <w:lang w:val="en-GB"/>
        </w:rPr>
        <w:t>TABLE 1 DESCRIPTIVE STATISTICS AND PAIRWISE CORRELATIONS, 1133 FIRMS</w:t>
      </w:r>
    </w:p>
    <w:tbl>
      <w:tblPr>
        <w:tblStyle w:val="LightShading11"/>
        <w:tblW w:w="13645" w:type="dxa"/>
        <w:tblInd w:w="-176" w:type="dxa"/>
        <w:tblLayout w:type="fixed"/>
        <w:tblLook w:val="0660" w:firstRow="1" w:lastRow="1" w:firstColumn="0" w:lastColumn="0" w:noHBand="1" w:noVBand="1"/>
      </w:tblPr>
      <w:tblGrid>
        <w:gridCol w:w="3686"/>
        <w:gridCol w:w="829"/>
        <w:gridCol w:w="830"/>
        <w:gridCol w:w="830"/>
        <w:gridCol w:w="830"/>
        <w:gridCol w:w="830"/>
        <w:gridCol w:w="830"/>
        <w:gridCol w:w="830"/>
        <w:gridCol w:w="830"/>
        <w:gridCol w:w="830"/>
        <w:gridCol w:w="830"/>
        <w:gridCol w:w="830"/>
        <w:gridCol w:w="830"/>
      </w:tblGrid>
      <w:tr w:rsidR="006D5629" w:rsidRPr="006C6BB5" w14:paraId="35990973" w14:textId="77777777" w:rsidTr="006D5629">
        <w:trPr>
          <w:cnfStyle w:val="100000000000" w:firstRow="1" w:lastRow="0" w:firstColumn="0" w:lastColumn="0" w:oddVBand="0" w:evenVBand="0" w:oddHBand="0" w:evenHBand="0" w:firstRowFirstColumn="0" w:firstRowLastColumn="0" w:lastRowFirstColumn="0" w:lastRowLastColumn="0"/>
        </w:trPr>
        <w:tc>
          <w:tcPr>
            <w:tcW w:w="3686" w:type="dxa"/>
            <w:hideMark/>
          </w:tcPr>
          <w:p w14:paraId="7B87385F" w14:textId="77777777" w:rsidR="006D5629" w:rsidRPr="006C6BB5" w:rsidRDefault="006D5629" w:rsidP="006D5629">
            <w:pPr>
              <w:widowControl w:val="0"/>
              <w:autoSpaceDE w:val="0"/>
              <w:autoSpaceDN w:val="0"/>
              <w:adjustRightInd w:val="0"/>
              <w:spacing w:line="360" w:lineRule="auto"/>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Variables</w:t>
            </w:r>
          </w:p>
        </w:tc>
        <w:tc>
          <w:tcPr>
            <w:tcW w:w="829" w:type="dxa"/>
            <w:hideMark/>
          </w:tcPr>
          <w:p w14:paraId="0D8A959E" w14:textId="77777777" w:rsidR="006D5629" w:rsidRPr="006C6BB5" w:rsidRDefault="006D5629" w:rsidP="006D5629">
            <w:pPr>
              <w:widowControl w:val="0"/>
              <w:autoSpaceDE w:val="0"/>
              <w:autoSpaceDN w:val="0"/>
              <w:adjustRightInd w:val="0"/>
              <w:spacing w:line="360" w:lineRule="auto"/>
              <w:ind w:left="-24"/>
              <w:jc w:val="center"/>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Mean</w:t>
            </w:r>
          </w:p>
        </w:tc>
        <w:tc>
          <w:tcPr>
            <w:tcW w:w="830" w:type="dxa"/>
            <w:hideMark/>
          </w:tcPr>
          <w:p w14:paraId="189A80AE"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S.D.</w:t>
            </w:r>
          </w:p>
        </w:tc>
        <w:tc>
          <w:tcPr>
            <w:tcW w:w="830" w:type="dxa"/>
          </w:tcPr>
          <w:p w14:paraId="7A47421D"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sz w:val="22"/>
                <w:szCs w:val="22"/>
                <w:lang w:val="en-GB"/>
              </w:rPr>
            </w:pPr>
            <w:r w:rsidRPr="006C6BB5">
              <w:rPr>
                <w:rFonts w:ascii="Times New Roman" w:hAnsi="Times New Roman" w:cs="Times New Roman"/>
                <w:sz w:val="22"/>
                <w:szCs w:val="22"/>
                <w:lang w:val="en-GB"/>
              </w:rPr>
              <w:t>Min</w:t>
            </w:r>
          </w:p>
        </w:tc>
        <w:tc>
          <w:tcPr>
            <w:tcW w:w="830" w:type="dxa"/>
          </w:tcPr>
          <w:p w14:paraId="1AC04780"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sz w:val="22"/>
                <w:szCs w:val="22"/>
                <w:lang w:val="en-GB"/>
              </w:rPr>
            </w:pPr>
            <w:r w:rsidRPr="006C6BB5">
              <w:rPr>
                <w:rFonts w:ascii="Times New Roman" w:hAnsi="Times New Roman" w:cs="Times New Roman"/>
                <w:sz w:val="22"/>
                <w:szCs w:val="22"/>
                <w:lang w:val="en-GB"/>
              </w:rPr>
              <w:t>Max</w:t>
            </w:r>
          </w:p>
        </w:tc>
        <w:tc>
          <w:tcPr>
            <w:tcW w:w="830" w:type="dxa"/>
            <w:hideMark/>
          </w:tcPr>
          <w:p w14:paraId="5D83C1CE"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1</w:t>
            </w:r>
          </w:p>
        </w:tc>
        <w:tc>
          <w:tcPr>
            <w:tcW w:w="830" w:type="dxa"/>
            <w:hideMark/>
          </w:tcPr>
          <w:p w14:paraId="22AEE08B"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2</w:t>
            </w:r>
          </w:p>
        </w:tc>
        <w:tc>
          <w:tcPr>
            <w:tcW w:w="830" w:type="dxa"/>
            <w:hideMark/>
          </w:tcPr>
          <w:p w14:paraId="29E8ECC5"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3</w:t>
            </w:r>
          </w:p>
        </w:tc>
        <w:tc>
          <w:tcPr>
            <w:tcW w:w="830" w:type="dxa"/>
            <w:hideMark/>
          </w:tcPr>
          <w:p w14:paraId="67D004DA"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4</w:t>
            </w:r>
          </w:p>
        </w:tc>
        <w:tc>
          <w:tcPr>
            <w:tcW w:w="830" w:type="dxa"/>
            <w:hideMark/>
          </w:tcPr>
          <w:p w14:paraId="3256FD62"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5</w:t>
            </w:r>
          </w:p>
        </w:tc>
        <w:tc>
          <w:tcPr>
            <w:tcW w:w="830" w:type="dxa"/>
            <w:hideMark/>
          </w:tcPr>
          <w:p w14:paraId="4E435871"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6</w:t>
            </w:r>
          </w:p>
        </w:tc>
        <w:tc>
          <w:tcPr>
            <w:tcW w:w="830" w:type="dxa"/>
            <w:hideMark/>
          </w:tcPr>
          <w:p w14:paraId="08A4B79A"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7</w:t>
            </w:r>
          </w:p>
        </w:tc>
        <w:tc>
          <w:tcPr>
            <w:tcW w:w="830" w:type="dxa"/>
            <w:hideMark/>
          </w:tcPr>
          <w:p w14:paraId="32244C8A" w14:textId="77777777" w:rsidR="006D5629" w:rsidRPr="006C6BB5" w:rsidRDefault="006D5629" w:rsidP="006D5629">
            <w:pPr>
              <w:widowControl w:val="0"/>
              <w:autoSpaceDE w:val="0"/>
              <w:autoSpaceDN w:val="0"/>
              <w:adjustRightInd w:val="0"/>
              <w:spacing w:line="360" w:lineRule="auto"/>
              <w:jc w:val="center"/>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8</w:t>
            </w:r>
          </w:p>
        </w:tc>
      </w:tr>
      <w:tr w:rsidR="006D5629" w:rsidRPr="006C6BB5" w14:paraId="756A545A" w14:textId="77777777" w:rsidTr="006D5629">
        <w:tc>
          <w:tcPr>
            <w:tcW w:w="3686" w:type="dxa"/>
            <w:tcBorders>
              <w:top w:val="nil"/>
              <w:left w:val="nil"/>
              <w:bottom w:val="nil"/>
              <w:right w:val="nil"/>
            </w:tcBorders>
          </w:tcPr>
          <w:p w14:paraId="4B0C46E9" w14:textId="77777777" w:rsidR="006D5629" w:rsidRPr="006C6BB5" w:rsidRDefault="006D5629" w:rsidP="006D5629">
            <w:pPr>
              <w:widowControl w:val="0"/>
              <w:autoSpaceDE w:val="0"/>
              <w:autoSpaceDN w:val="0"/>
              <w:adjustRightInd w:val="0"/>
              <w:spacing w:line="360" w:lineRule="auto"/>
              <w:rPr>
                <w:rFonts w:ascii="Times New Roman" w:hAnsi="Times New Roman" w:cs="Times New Roman"/>
                <w:sz w:val="22"/>
                <w:szCs w:val="22"/>
                <w:lang w:val="en-GB"/>
              </w:rPr>
            </w:pPr>
            <w:r w:rsidRPr="006C6BB5">
              <w:rPr>
                <w:rFonts w:ascii="Times New Roman" w:hAnsi="Times New Roman" w:cs="Times New Roman"/>
                <w:color w:val="auto"/>
                <w:sz w:val="22"/>
                <w:szCs w:val="22"/>
                <w:lang w:val="en-GB"/>
              </w:rPr>
              <w:t>1. Informal appropriation mechanisms</w:t>
            </w:r>
          </w:p>
        </w:tc>
        <w:tc>
          <w:tcPr>
            <w:tcW w:w="829" w:type="dxa"/>
            <w:tcBorders>
              <w:top w:val="nil"/>
              <w:left w:val="nil"/>
              <w:bottom w:val="nil"/>
              <w:right w:val="nil"/>
            </w:tcBorders>
          </w:tcPr>
          <w:p w14:paraId="31093316"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color w:val="auto"/>
                <w:sz w:val="22"/>
                <w:szCs w:val="22"/>
                <w:lang w:val="en-GB"/>
              </w:rPr>
              <w:t>0.78</w:t>
            </w:r>
          </w:p>
        </w:tc>
        <w:tc>
          <w:tcPr>
            <w:tcW w:w="830" w:type="dxa"/>
            <w:tcBorders>
              <w:top w:val="nil"/>
              <w:left w:val="nil"/>
              <w:bottom w:val="nil"/>
              <w:right w:val="nil"/>
            </w:tcBorders>
          </w:tcPr>
          <w:p w14:paraId="48F98FAF"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0.90</w:t>
            </w:r>
          </w:p>
        </w:tc>
        <w:tc>
          <w:tcPr>
            <w:tcW w:w="830" w:type="dxa"/>
            <w:tcBorders>
              <w:top w:val="nil"/>
              <w:left w:val="nil"/>
              <w:bottom w:val="nil"/>
              <w:right w:val="nil"/>
            </w:tcBorders>
          </w:tcPr>
          <w:p w14:paraId="290A0B5C"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0</w:t>
            </w:r>
          </w:p>
        </w:tc>
        <w:tc>
          <w:tcPr>
            <w:tcW w:w="830" w:type="dxa"/>
            <w:tcBorders>
              <w:top w:val="nil"/>
              <w:left w:val="nil"/>
              <w:bottom w:val="nil"/>
              <w:right w:val="nil"/>
            </w:tcBorders>
          </w:tcPr>
          <w:p w14:paraId="016299A6"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3</w:t>
            </w:r>
          </w:p>
        </w:tc>
        <w:tc>
          <w:tcPr>
            <w:tcW w:w="830" w:type="dxa"/>
            <w:tcBorders>
              <w:top w:val="nil"/>
              <w:left w:val="nil"/>
              <w:bottom w:val="nil"/>
              <w:right w:val="nil"/>
            </w:tcBorders>
            <w:vAlign w:val="bottom"/>
          </w:tcPr>
          <w:p w14:paraId="3EAD24E2" w14:textId="77777777" w:rsidR="006D5629" w:rsidRPr="006C6BB5" w:rsidRDefault="006D5629" w:rsidP="006D5629">
            <w:pPr>
              <w:spacing w:line="360" w:lineRule="auto"/>
              <w:jc w:val="right"/>
              <w:rPr>
                <w:rFonts w:ascii="Times New Roman" w:hAnsi="Times New Roman" w:cs="Times New Roman"/>
                <w:sz w:val="22"/>
                <w:szCs w:val="22"/>
                <w:lang w:val="en-GB"/>
              </w:rPr>
            </w:pPr>
          </w:p>
        </w:tc>
        <w:tc>
          <w:tcPr>
            <w:tcW w:w="830" w:type="dxa"/>
            <w:tcBorders>
              <w:top w:val="nil"/>
              <w:left w:val="nil"/>
              <w:bottom w:val="nil"/>
              <w:right w:val="nil"/>
            </w:tcBorders>
            <w:vAlign w:val="bottom"/>
          </w:tcPr>
          <w:p w14:paraId="136CD90F" w14:textId="77777777" w:rsidR="006D5629" w:rsidRPr="006C6BB5" w:rsidRDefault="006D5629" w:rsidP="006D5629">
            <w:pPr>
              <w:spacing w:line="360" w:lineRule="auto"/>
              <w:rPr>
                <w:rFonts w:ascii="Times New Roman" w:hAnsi="Times New Roman" w:cs="Times New Roman"/>
                <w:sz w:val="22"/>
                <w:szCs w:val="22"/>
                <w:lang w:val="en-GB"/>
              </w:rPr>
            </w:pPr>
          </w:p>
        </w:tc>
        <w:tc>
          <w:tcPr>
            <w:tcW w:w="830" w:type="dxa"/>
            <w:tcBorders>
              <w:top w:val="nil"/>
              <w:left w:val="nil"/>
              <w:bottom w:val="nil"/>
              <w:right w:val="nil"/>
            </w:tcBorders>
            <w:vAlign w:val="bottom"/>
          </w:tcPr>
          <w:p w14:paraId="51CFC30E" w14:textId="77777777" w:rsidR="006D5629" w:rsidRPr="006C6BB5" w:rsidRDefault="006D5629" w:rsidP="006D5629">
            <w:pPr>
              <w:spacing w:line="360" w:lineRule="auto"/>
              <w:rPr>
                <w:rFonts w:ascii="Times New Roman" w:hAnsi="Times New Roman" w:cs="Times New Roman"/>
                <w:sz w:val="22"/>
                <w:szCs w:val="22"/>
                <w:lang w:val="en-GB"/>
              </w:rPr>
            </w:pPr>
          </w:p>
        </w:tc>
        <w:tc>
          <w:tcPr>
            <w:tcW w:w="830" w:type="dxa"/>
            <w:tcBorders>
              <w:top w:val="nil"/>
              <w:left w:val="nil"/>
              <w:bottom w:val="nil"/>
              <w:right w:val="nil"/>
            </w:tcBorders>
            <w:vAlign w:val="bottom"/>
          </w:tcPr>
          <w:p w14:paraId="2A7AC92D" w14:textId="77777777" w:rsidR="006D5629" w:rsidRPr="006C6BB5" w:rsidRDefault="006D5629" w:rsidP="006D5629">
            <w:pPr>
              <w:spacing w:line="360" w:lineRule="auto"/>
              <w:rPr>
                <w:rFonts w:ascii="Times New Roman" w:hAnsi="Times New Roman" w:cs="Times New Roman"/>
                <w:sz w:val="22"/>
                <w:szCs w:val="22"/>
                <w:lang w:val="en-GB"/>
              </w:rPr>
            </w:pPr>
          </w:p>
        </w:tc>
        <w:tc>
          <w:tcPr>
            <w:tcW w:w="830" w:type="dxa"/>
            <w:tcBorders>
              <w:top w:val="nil"/>
              <w:left w:val="nil"/>
              <w:bottom w:val="nil"/>
              <w:right w:val="nil"/>
            </w:tcBorders>
            <w:vAlign w:val="bottom"/>
          </w:tcPr>
          <w:p w14:paraId="43849C10" w14:textId="77777777" w:rsidR="006D5629" w:rsidRPr="006C6BB5" w:rsidRDefault="006D5629" w:rsidP="006D5629">
            <w:pPr>
              <w:spacing w:line="360" w:lineRule="auto"/>
              <w:rPr>
                <w:rFonts w:ascii="Times New Roman" w:hAnsi="Times New Roman" w:cs="Times New Roman"/>
                <w:sz w:val="22"/>
                <w:szCs w:val="22"/>
                <w:lang w:val="en-GB"/>
              </w:rPr>
            </w:pPr>
          </w:p>
        </w:tc>
        <w:tc>
          <w:tcPr>
            <w:tcW w:w="830" w:type="dxa"/>
            <w:tcBorders>
              <w:top w:val="nil"/>
              <w:left w:val="nil"/>
              <w:bottom w:val="nil"/>
              <w:right w:val="nil"/>
            </w:tcBorders>
            <w:vAlign w:val="bottom"/>
          </w:tcPr>
          <w:p w14:paraId="5163EE0C" w14:textId="77777777" w:rsidR="006D5629" w:rsidRPr="006C6BB5" w:rsidRDefault="006D5629" w:rsidP="006D5629">
            <w:pPr>
              <w:spacing w:line="360" w:lineRule="auto"/>
              <w:rPr>
                <w:rFonts w:ascii="Times New Roman" w:hAnsi="Times New Roman" w:cs="Times New Roman"/>
                <w:sz w:val="22"/>
                <w:szCs w:val="22"/>
                <w:lang w:val="en-GB"/>
              </w:rPr>
            </w:pPr>
          </w:p>
        </w:tc>
        <w:tc>
          <w:tcPr>
            <w:tcW w:w="830" w:type="dxa"/>
            <w:tcBorders>
              <w:top w:val="nil"/>
              <w:left w:val="nil"/>
              <w:bottom w:val="nil"/>
              <w:right w:val="nil"/>
            </w:tcBorders>
            <w:vAlign w:val="bottom"/>
          </w:tcPr>
          <w:p w14:paraId="01B03335" w14:textId="77777777" w:rsidR="006D5629" w:rsidRPr="006C6BB5" w:rsidRDefault="006D5629" w:rsidP="006D5629">
            <w:pPr>
              <w:spacing w:line="360" w:lineRule="auto"/>
              <w:rPr>
                <w:rFonts w:ascii="Times New Roman" w:hAnsi="Times New Roman" w:cs="Times New Roman"/>
                <w:sz w:val="22"/>
                <w:szCs w:val="22"/>
                <w:lang w:val="en-GB"/>
              </w:rPr>
            </w:pPr>
          </w:p>
        </w:tc>
        <w:tc>
          <w:tcPr>
            <w:tcW w:w="830" w:type="dxa"/>
            <w:tcBorders>
              <w:top w:val="nil"/>
              <w:left w:val="nil"/>
              <w:bottom w:val="nil"/>
              <w:right w:val="nil"/>
            </w:tcBorders>
            <w:vAlign w:val="bottom"/>
          </w:tcPr>
          <w:p w14:paraId="5FA91A7F" w14:textId="77777777" w:rsidR="006D5629" w:rsidRPr="006C6BB5" w:rsidRDefault="006D5629" w:rsidP="006D5629">
            <w:pPr>
              <w:spacing w:line="360" w:lineRule="auto"/>
              <w:rPr>
                <w:rFonts w:ascii="Times New Roman" w:hAnsi="Times New Roman" w:cs="Times New Roman"/>
                <w:sz w:val="22"/>
                <w:szCs w:val="22"/>
                <w:lang w:val="en-GB"/>
              </w:rPr>
            </w:pPr>
          </w:p>
        </w:tc>
      </w:tr>
      <w:tr w:rsidR="006D5629" w:rsidRPr="006C6BB5" w14:paraId="22ED0FCB" w14:textId="77777777" w:rsidTr="006D5629">
        <w:tc>
          <w:tcPr>
            <w:tcW w:w="3686" w:type="dxa"/>
            <w:tcBorders>
              <w:top w:val="nil"/>
              <w:left w:val="nil"/>
              <w:bottom w:val="nil"/>
              <w:right w:val="nil"/>
            </w:tcBorders>
            <w:hideMark/>
          </w:tcPr>
          <w:p w14:paraId="0B32E5DA" w14:textId="77777777" w:rsidR="006D5629" w:rsidRPr="006C6BB5" w:rsidRDefault="006D5629" w:rsidP="006D5629">
            <w:pPr>
              <w:widowControl w:val="0"/>
              <w:autoSpaceDE w:val="0"/>
              <w:autoSpaceDN w:val="0"/>
              <w:adjustRightInd w:val="0"/>
              <w:spacing w:line="360" w:lineRule="auto"/>
              <w:rPr>
                <w:rFonts w:ascii="Times New Roman" w:hAnsi="Times New Roman" w:cs="Times New Roman"/>
                <w:color w:val="auto"/>
                <w:sz w:val="22"/>
                <w:szCs w:val="22"/>
                <w:vertAlign w:val="subscript"/>
                <w:lang w:val="en-GB"/>
              </w:rPr>
            </w:pPr>
            <w:r w:rsidRPr="006C6BB5">
              <w:rPr>
                <w:rFonts w:ascii="Times New Roman" w:hAnsi="Times New Roman" w:cs="Times New Roman"/>
                <w:color w:val="auto"/>
                <w:sz w:val="22"/>
                <w:szCs w:val="22"/>
                <w:lang w:val="en-GB"/>
              </w:rPr>
              <w:t>2. Formal appropriation mechanisms</w:t>
            </w:r>
          </w:p>
        </w:tc>
        <w:tc>
          <w:tcPr>
            <w:tcW w:w="829" w:type="dxa"/>
            <w:tcBorders>
              <w:top w:val="nil"/>
              <w:left w:val="nil"/>
              <w:bottom w:val="nil"/>
              <w:right w:val="nil"/>
            </w:tcBorders>
          </w:tcPr>
          <w:p w14:paraId="3AA89810"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sz w:val="22"/>
                <w:szCs w:val="22"/>
                <w:lang w:val="en-GB"/>
              </w:rPr>
              <w:t>0.52</w:t>
            </w:r>
          </w:p>
        </w:tc>
        <w:tc>
          <w:tcPr>
            <w:tcW w:w="830" w:type="dxa"/>
            <w:tcBorders>
              <w:top w:val="nil"/>
              <w:left w:val="nil"/>
              <w:bottom w:val="nil"/>
              <w:right w:val="nil"/>
            </w:tcBorders>
          </w:tcPr>
          <w:p w14:paraId="70DE7CAB"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0.83</w:t>
            </w:r>
          </w:p>
        </w:tc>
        <w:tc>
          <w:tcPr>
            <w:tcW w:w="830" w:type="dxa"/>
            <w:tcBorders>
              <w:top w:val="nil"/>
              <w:left w:val="nil"/>
              <w:bottom w:val="nil"/>
              <w:right w:val="nil"/>
            </w:tcBorders>
          </w:tcPr>
          <w:p w14:paraId="2261AAAD"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0</w:t>
            </w:r>
          </w:p>
        </w:tc>
        <w:tc>
          <w:tcPr>
            <w:tcW w:w="830" w:type="dxa"/>
            <w:tcBorders>
              <w:top w:val="nil"/>
              <w:left w:val="nil"/>
              <w:bottom w:val="nil"/>
              <w:right w:val="nil"/>
            </w:tcBorders>
          </w:tcPr>
          <w:p w14:paraId="17DD80BF"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4</w:t>
            </w:r>
          </w:p>
        </w:tc>
        <w:tc>
          <w:tcPr>
            <w:tcW w:w="830" w:type="dxa"/>
            <w:tcBorders>
              <w:top w:val="nil"/>
              <w:left w:val="nil"/>
              <w:bottom w:val="nil"/>
              <w:right w:val="nil"/>
            </w:tcBorders>
            <w:vAlign w:val="bottom"/>
          </w:tcPr>
          <w:p w14:paraId="27A0E752"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0.25</w:t>
            </w:r>
          </w:p>
        </w:tc>
        <w:tc>
          <w:tcPr>
            <w:tcW w:w="830" w:type="dxa"/>
            <w:tcBorders>
              <w:top w:val="nil"/>
              <w:left w:val="nil"/>
              <w:bottom w:val="nil"/>
              <w:right w:val="nil"/>
            </w:tcBorders>
            <w:vAlign w:val="bottom"/>
          </w:tcPr>
          <w:p w14:paraId="62D6F6A6"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6BC1318B"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6D968945"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431D0BEF"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4C5FB101"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0E1663C2"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0BFDCEA4" w14:textId="77777777" w:rsidR="006D5629" w:rsidRPr="006C6BB5" w:rsidRDefault="006D5629" w:rsidP="006D5629">
            <w:pPr>
              <w:spacing w:line="360" w:lineRule="auto"/>
              <w:rPr>
                <w:rFonts w:ascii="Times New Roman" w:hAnsi="Times New Roman" w:cs="Times New Roman"/>
                <w:color w:val="auto"/>
                <w:sz w:val="22"/>
                <w:szCs w:val="22"/>
                <w:lang w:val="en-GB"/>
              </w:rPr>
            </w:pPr>
          </w:p>
        </w:tc>
      </w:tr>
      <w:tr w:rsidR="006D5629" w:rsidRPr="006C6BB5" w14:paraId="29FDE9DF" w14:textId="77777777" w:rsidTr="006D5629">
        <w:tc>
          <w:tcPr>
            <w:tcW w:w="3686" w:type="dxa"/>
            <w:tcBorders>
              <w:top w:val="nil"/>
              <w:left w:val="nil"/>
              <w:bottom w:val="nil"/>
              <w:right w:val="nil"/>
            </w:tcBorders>
            <w:hideMark/>
          </w:tcPr>
          <w:p w14:paraId="7B83AAA5" w14:textId="77777777" w:rsidR="006D5629" w:rsidRPr="006C6BB5" w:rsidRDefault="006D5629" w:rsidP="006D5629">
            <w:pPr>
              <w:widowControl w:val="0"/>
              <w:autoSpaceDE w:val="0"/>
              <w:autoSpaceDN w:val="0"/>
              <w:adjustRightInd w:val="0"/>
              <w:spacing w:line="360" w:lineRule="auto"/>
              <w:rPr>
                <w:rFonts w:ascii="Times New Roman" w:hAnsi="Times New Roman" w:cs="Times New Roman"/>
                <w:color w:val="auto"/>
                <w:sz w:val="22"/>
                <w:szCs w:val="22"/>
                <w:vertAlign w:val="subscript"/>
                <w:lang w:val="en-GB"/>
              </w:rPr>
            </w:pPr>
            <w:r w:rsidRPr="006C6BB5">
              <w:rPr>
                <w:rFonts w:ascii="Times New Roman" w:hAnsi="Times New Roman" w:cs="Times New Roman"/>
                <w:color w:val="auto"/>
                <w:sz w:val="22"/>
                <w:szCs w:val="22"/>
                <w:lang w:val="en-GB"/>
              </w:rPr>
              <w:t xml:space="preserve">3. External search depth   </w:t>
            </w:r>
          </w:p>
        </w:tc>
        <w:tc>
          <w:tcPr>
            <w:tcW w:w="829" w:type="dxa"/>
            <w:tcBorders>
              <w:top w:val="nil"/>
              <w:left w:val="nil"/>
              <w:bottom w:val="nil"/>
              <w:right w:val="nil"/>
            </w:tcBorders>
          </w:tcPr>
          <w:p w14:paraId="05367C39"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0.20</w:t>
            </w:r>
          </w:p>
        </w:tc>
        <w:tc>
          <w:tcPr>
            <w:tcW w:w="830" w:type="dxa"/>
            <w:tcBorders>
              <w:top w:val="nil"/>
              <w:left w:val="nil"/>
              <w:bottom w:val="nil"/>
              <w:right w:val="nil"/>
            </w:tcBorders>
          </w:tcPr>
          <w:p w14:paraId="164848FD"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0.47</w:t>
            </w:r>
          </w:p>
        </w:tc>
        <w:tc>
          <w:tcPr>
            <w:tcW w:w="830" w:type="dxa"/>
            <w:tcBorders>
              <w:top w:val="nil"/>
              <w:left w:val="nil"/>
              <w:bottom w:val="nil"/>
              <w:right w:val="nil"/>
            </w:tcBorders>
          </w:tcPr>
          <w:p w14:paraId="6E24C0D0"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0</w:t>
            </w:r>
          </w:p>
        </w:tc>
        <w:tc>
          <w:tcPr>
            <w:tcW w:w="830" w:type="dxa"/>
            <w:tcBorders>
              <w:top w:val="nil"/>
              <w:left w:val="nil"/>
              <w:bottom w:val="nil"/>
              <w:right w:val="nil"/>
            </w:tcBorders>
          </w:tcPr>
          <w:p w14:paraId="1305E087"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4</w:t>
            </w:r>
          </w:p>
        </w:tc>
        <w:tc>
          <w:tcPr>
            <w:tcW w:w="830" w:type="dxa"/>
            <w:tcBorders>
              <w:top w:val="nil"/>
              <w:left w:val="nil"/>
              <w:bottom w:val="nil"/>
              <w:right w:val="nil"/>
            </w:tcBorders>
            <w:vAlign w:val="bottom"/>
          </w:tcPr>
          <w:p w14:paraId="63836359"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0.14</w:t>
            </w:r>
          </w:p>
        </w:tc>
        <w:tc>
          <w:tcPr>
            <w:tcW w:w="830" w:type="dxa"/>
            <w:tcBorders>
              <w:top w:val="nil"/>
              <w:left w:val="nil"/>
              <w:bottom w:val="nil"/>
              <w:right w:val="nil"/>
            </w:tcBorders>
            <w:vAlign w:val="bottom"/>
          </w:tcPr>
          <w:p w14:paraId="42873209"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0.11</w:t>
            </w:r>
          </w:p>
        </w:tc>
        <w:tc>
          <w:tcPr>
            <w:tcW w:w="830" w:type="dxa"/>
            <w:tcBorders>
              <w:top w:val="nil"/>
              <w:left w:val="nil"/>
              <w:bottom w:val="nil"/>
              <w:right w:val="nil"/>
            </w:tcBorders>
            <w:vAlign w:val="bottom"/>
          </w:tcPr>
          <w:p w14:paraId="579761E7"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6593C491"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70E8CCDC"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2E07FA20"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03136E2D"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1B7671F1" w14:textId="77777777" w:rsidR="006D5629" w:rsidRPr="006C6BB5" w:rsidRDefault="006D5629" w:rsidP="006D5629">
            <w:pPr>
              <w:spacing w:line="360" w:lineRule="auto"/>
              <w:rPr>
                <w:rFonts w:ascii="Times New Roman" w:hAnsi="Times New Roman" w:cs="Times New Roman"/>
                <w:color w:val="auto"/>
                <w:sz w:val="22"/>
                <w:szCs w:val="22"/>
                <w:lang w:val="en-GB"/>
              </w:rPr>
            </w:pPr>
          </w:p>
        </w:tc>
      </w:tr>
      <w:tr w:rsidR="006D5629" w:rsidRPr="006C6BB5" w14:paraId="7963B0EC" w14:textId="77777777" w:rsidTr="006D5629">
        <w:tc>
          <w:tcPr>
            <w:tcW w:w="3686" w:type="dxa"/>
            <w:tcBorders>
              <w:top w:val="nil"/>
              <w:left w:val="nil"/>
              <w:bottom w:val="nil"/>
              <w:right w:val="nil"/>
            </w:tcBorders>
            <w:hideMark/>
          </w:tcPr>
          <w:p w14:paraId="0D01C6CA" w14:textId="77777777" w:rsidR="006D5629" w:rsidRPr="006C6BB5" w:rsidRDefault="006D5629" w:rsidP="006D5629">
            <w:pPr>
              <w:widowControl w:val="0"/>
              <w:autoSpaceDE w:val="0"/>
              <w:autoSpaceDN w:val="0"/>
              <w:adjustRightInd w:val="0"/>
              <w:spacing w:line="360" w:lineRule="auto"/>
              <w:rPr>
                <w:rFonts w:ascii="Times New Roman" w:hAnsi="Times New Roman" w:cs="Times New Roman"/>
                <w:color w:val="auto"/>
                <w:sz w:val="22"/>
                <w:szCs w:val="22"/>
                <w:vertAlign w:val="subscript"/>
                <w:lang w:val="en-GB"/>
              </w:rPr>
            </w:pPr>
            <w:r w:rsidRPr="006C6BB5">
              <w:rPr>
                <w:rFonts w:ascii="Times New Roman" w:hAnsi="Times New Roman" w:cs="Times New Roman"/>
                <w:color w:val="auto"/>
                <w:sz w:val="22"/>
                <w:szCs w:val="22"/>
                <w:lang w:val="en-GB"/>
              </w:rPr>
              <w:t>4. External search breadth</w:t>
            </w:r>
          </w:p>
        </w:tc>
        <w:tc>
          <w:tcPr>
            <w:tcW w:w="829" w:type="dxa"/>
            <w:tcBorders>
              <w:top w:val="nil"/>
              <w:left w:val="nil"/>
              <w:bottom w:val="nil"/>
              <w:right w:val="nil"/>
            </w:tcBorders>
          </w:tcPr>
          <w:p w14:paraId="1833DE65"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0.76</w:t>
            </w:r>
          </w:p>
        </w:tc>
        <w:tc>
          <w:tcPr>
            <w:tcW w:w="830" w:type="dxa"/>
            <w:tcBorders>
              <w:top w:val="nil"/>
              <w:left w:val="nil"/>
              <w:bottom w:val="nil"/>
              <w:right w:val="nil"/>
            </w:tcBorders>
          </w:tcPr>
          <w:p w14:paraId="18E78636"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2.01</w:t>
            </w:r>
          </w:p>
        </w:tc>
        <w:tc>
          <w:tcPr>
            <w:tcW w:w="830" w:type="dxa"/>
            <w:tcBorders>
              <w:top w:val="nil"/>
              <w:left w:val="nil"/>
              <w:bottom w:val="nil"/>
              <w:right w:val="nil"/>
            </w:tcBorders>
          </w:tcPr>
          <w:p w14:paraId="05147DF8"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0</w:t>
            </w:r>
          </w:p>
        </w:tc>
        <w:tc>
          <w:tcPr>
            <w:tcW w:w="830" w:type="dxa"/>
            <w:tcBorders>
              <w:top w:val="nil"/>
              <w:left w:val="nil"/>
              <w:bottom w:val="nil"/>
              <w:right w:val="nil"/>
            </w:tcBorders>
          </w:tcPr>
          <w:p w14:paraId="7E3136FB" w14:textId="7A77B981" w:rsidR="006D5629" w:rsidRPr="006C6BB5" w:rsidRDefault="00664589" w:rsidP="006D5629">
            <w:pPr>
              <w:spacing w:line="360" w:lineRule="auto"/>
              <w:jc w:val="right"/>
              <w:rPr>
                <w:rFonts w:ascii="Times New Roman" w:hAnsi="Times New Roman" w:cs="Times New Roman"/>
                <w:sz w:val="22"/>
                <w:szCs w:val="22"/>
                <w:lang w:val="en-GB"/>
              </w:rPr>
            </w:pPr>
            <w:r>
              <w:rPr>
                <w:rFonts w:ascii="Times New Roman" w:hAnsi="Times New Roman" w:cs="Times New Roman"/>
                <w:sz w:val="22"/>
                <w:szCs w:val="22"/>
                <w:lang w:val="en-GB"/>
              </w:rPr>
              <w:t>8</w:t>
            </w:r>
          </w:p>
        </w:tc>
        <w:tc>
          <w:tcPr>
            <w:tcW w:w="830" w:type="dxa"/>
            <w:tcBorders>
              <w:top w:val="nil"/>
              <w:left w:val="nil"/>
              <w:bottom w:val="nil"/>
              <w:right w:val="nil"/>
            </w:tcBorders>
            <w:vAlign w:val="bottom"/>
          </w:tcPr>
          <w:p w14:paraId="41173B9C"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0.27</w:t>
            </w:r>
          </w:p>
        </w:tc>
        <w:tc>
          <w:tcPr>
            <w:tcW w:w="830" w:type="dxa"/>
            <w:tcBorders>
              <w:top w:val="nil"/>
              <w:left w:val="nil"/>
              <w:bottom w:val="nil"/>
              <w:right w:val="nil"/>
            </w:tcBorders>
            <w:vAlign w:val="bottom"/>
          </w:tcPr>
          <w:p w14:paraId="3356B666"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0.28</w:t>
            </w:r>
          </w:p>
        </w:tc>
        <w:tc>
          <w:tcPr>
            <w:tcW w:w="830" w:type="dxa"/>
            <w:tcBorders>
              <w:top w:val="nil"/>
              <w:left w:val="nil"/>
              <w:bottom w:val="nil"/>
              <w:right w:val="nil"/>
            </w:tcBorders>
            <w:vAlign w:val="bottom"/>
          </w:tcPr>
          <w:p w14:paraId="20A04205"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0.23</w:t>
            </w:r>
          </w:p>
        </w:tc>
        <w:tc>
          <w:tcPr>
            <w:tcW w:w="830" w:type="dxa"/>
            <w:tcBorders>
              <w:top w:val="nil"/>
              <w:left w:val="nil"/>
              <w:bottom w:val="nil"/>
              <w:right w:val="nil"/>
            </w:tcBorders>
            <w:vAlign w:val="bottom"/>
          </w:tcPr>
          <w:p w14:paraId="3F1180EC"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1D8BC609"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16391B1E"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27D20B31"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4004209B" w14:textId="77777777" w:rsidR="006D5629" w:rsidRPr="006C6BB5" w:rsidRDefault="006D5629" w:rsidP="006D5629">
            <w:pPr>
              <w:spacing w:line="360" w:lineRule="auto"/>
              <w:rPr>
                <w:rFonts w:ascii="Times New Roman" w:hAnsi="Times New Roman" w:cs="Times New Roman"/>
                <w:color w:val="auto"/>
                <w:sz w:val="22"/>
                <w:szCs w:val="22"/>
                <w:lang w:val="en-GB"/>
              </w:rPr>
            </w:pPr>
          </w:p>
        </w:tc>
      </w:tr>
      <w:tr w:rsidR="006D5629" w:rsidRPr="006C6BB5" w14:paraId="2EB03831" w14:textId="77777777" w:rsidTr="006D5629">
        <w:tc>
          <w:tcPr>
            <w:tcW w:w="3686" w:type="dxa"/>
            <w:tcBorders>
              <w:top w:val="nil"/>
              <w:left w:val="nil"/>
              <w:bottom w:val="nil"/>
              <w:right w:val="nil"/>
            </w:tcBorders>
            <w:hideMark/>
          </w:tcPr>
          <w:p w14:paraId="00874D0B" w14:textId="77777777" w:rsidR="006D5629" w:rsidRPr="006C6BB5" w:rsidRDefault="006D5629" w:rsidP="006D5629">
            <w:pPr>
              <w:widowControl w:val="0"/>
              <w:autoSpaceDE w:val="0"/>
              <w:autoSpaceDN w:val="0"/>
              <w:adjustRightInd w:val="0"/>
              <w:spacing w:line="360" w:lineRule="auto"/>
              <w:rPr>
                <w:rFonts w:ascii="Times New Roman" w:hAnsi="Times New Roman" w:cs="Times New Roman"/>
                <w:color w:val="auto"/>
                <w:sz w:val="22"/>
                <w:szCs w:val="22"/>
                <w:vertAlign w:val="subscript"/>
                <w:lang w:val="en-GB"/>
              </w:rPr>
            </w:pPr>
            <w:r w:rsidRPr="006C6BB5">
              <w:rPr>
                <w:rFonts w:ascii="Times New Roman" w:hAnsi="Times New Roman" w:cs="Times New Roman"/>
                <w:color w:val="auto"/>
                <w:sz w:val="22"/>
                <w:szCs w:val="22"/>
                <w:lang w:val="en-GB"/>
              </w:rPr>
              <w:t>5. Share of radical innovation, %</w:t>
            </w:r>
          </w:p>
        </w:tc>
        <w:tc>
          <w:tcPr>
            <w:tcW w:w="829" w:type="dxa"/>
            <w:tcBorders>
              <w:top w:val="nil"/>
              <w:left w:val="nil"/>
              <w:bottom w:val="nil"/>
              <w:right w:val="nil"/>
            </w:tcBorders>
          </w:tcPr>
          <w:p w14:paraId="61A3437C"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5.58</w:t>
            </w:r>
          </w:p>
        </w:tc>
        <w:tc>
          <w:tcPr>
            <w:tcW w:w="830" w:type="dxa"/>
            <w:tcBorders>
              <w:top w:val="nil"/>
              <w:left w:val="nil"/>
              <w:bottom w:val="nil"/>
              <w:right w:val="nil"/>
            </w:tcBorders>
          </w:tcPr>
          <w:p w14:paraId="4F60D77F"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12.50</w:t>
            </w:r>
          </w:p>
        </w:tc>
        <w:tc>
          <w:tcPr>
            <w:tcW w:w="830" w:type="dxa"/>
            <w:tcBorders>
              <w:top w:val="nil"/>
              <w:left w:val="nil"/>
              <w:bottom w:val="nil"/>
              <w:right w:val="nil"/>
            </w:tcBorders>
          </w:tcPr>
          <w:p w14:paraId="5137F435"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0</w:t>
            </w:r>
          </w:p>
        </w:tc>
        <w:tc>
          <w:tcPr>
            <w:tcW w:w="830" w:type="dxa"/>
            <w:tcBorders>
              <w:top w:val="nil"/>
              <w:left w:val="nil"/>
              <w:bottom w:val="nil"/>
              <w:right w:val="nil"/>
            </w:tcBorders>
          </w:tcPr>
          <w:p w14:paraId="6AA0839F"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90</w:t>
            </w:r>
          </w:p>
        </w:tc>
        <w:tc>
          <w:tcPr>
            <w:tcW w:w="830" w:type="dxa"/>
            <w:tcBorders>
              <w:top w:val="nil"/>
              <w:left w:val="nil"/>
              <w:bottom w:val="nil"/>
              <w:right w:val="nil"/>
            </w:tcBorders>
            <w:vAlign w:val="bottom"/>
          </w:tcPr>
          <w:p w14:paraId="2AE659F5"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0.17</w:t>
            </w:r>
          </w:p>
        </w:tc>
        <w:tc>
          <w:tcPr>
            <w:tcW w:w="830" w:type="dxa"/>
            <w:tcBorders>
              <w:top w:val="nil"/>
              <w:left w:val="nil"/>
              <w:bottom w:val="nil"/>
              <w:right w:val="nil"/>
            </w:tcBorders>
            <w:vAlign w:val="bottom"/>
          </w:tcPr>
          <w:p w14:paraId="6215D4C2"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0.07</w:t>
            </w:r>
          </w:p>
        </w:tc>
        <w:tc>
          <w:tcPr>
            <w:tcW w:w="830" w:type="dxa"/>
            <w:tcBorders>
              <w:top w:val="nil"/>
              <w:left w:val="nil"/>
              <w:bottom w:val="nil"/>
              <w:right w:val="nil"/>
            </w:tcBorders>
            <w:vAlign w:val="bottom"/>
          </w:tcPr>
          <w:p w14:paraId="7A8FFEA0"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0.06</w:t>
            </w:r>
          </w:p>
        </w:tc>
        <w:tc>
          <w:tcPr>
            <w:tcW w:w="830" w:type="dxa"/>
            <w:tcBorders>
              <w:top w:val="nil"/>
              <w:left w:val="nil"/>
              <w:bottom w:val="nil"/>
              <w:right w:val="nil"/>
            </w:tcBorders>
            <w:vAlign w:val="bottom"/>
          </w:tcPr>
          <w:p w14:paraId="01282C67"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0.15</w:t>
            </w:r>
          </w:p>
        </w:tc>
        <w:tc>
          <w:tcPr>
            <w:tcW w:w="830" w:type="dxa"/>
            <w:tcBorders>
              <w:top w:val="nil"/>
              <w:left w:val="nil"/>
              <w:bottom w:val="nil"/>
              <w:right w:val="nil"/>
            </w:tcBorders>
            <w:vAlign w:val="bottom"/>
          </w:tcPr>
          <w:p w14:paraId="7D3C0AA9"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0371EBC9"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446F3CBC"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7A79D368" w14:textId="77777777" w:rsidR="006D5629" w:rsidRPr="006C6BB5" w:rsidRDefault="006D5629" w:rsidP="006D5629">
            <w:pPr>
              <w:spacing w:line="360" w:lineRule="auto"/>
              <w:rPr>
                <w:rFonts w:ascii="Times New Roman" w:hAnsi="Times New Roman" w:cs="Times New Roman"/>
                <w:color w:val="auto"/>
                <w:sz w:val="22"/>
                <w:szCs w:val="22"/>
                <w:lang w:val="en-GB"/>
              </w:rPr>
            </w:pPr>
          </w:p>
        </w:tc>
      </w:tr>
      <w:tr w:rsidR="006D5629" w:rsidRPr="006C6BB5" w14:paraId="6D0AEE5C" w14:textId="77777777" w:rsidTr="006D5629">
        <w:tc>
          <w:tcPr>
            <w:tcW w:w="3686" w:type="dxa"/>
            <w:tcBorders>
              <w:top w:val="nil"/>
              <w:left w:val="nil"/>
              <w:bottom w:val="nil"/>
              <w:right w:val="nil"/>
            </w:tcBorders>
            <w:hideMark/>
          </w:tcPr>
          <w:p w14:paraId="39686992" w14:textId="77777777" w:rsidR="006D5629" w:rsidRPr="006C6BB5" w:rsidRDefault="006D5629" w:rsidP="006D5629">
            <w:pPr>
              <w:widowControl w:val="0"/>
              <w:autoSpaceDE w:val="0"/>
              <w:autoSpaceDN w:val="0"/>
              <w:adjustRightInd w:val="0"/>
              <w:spacing w:line="360" w:lineRule="auto"/>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6. Share of incremental innovation, %</w:t>
            </w:r>
          </w:p>
        </w:tc>
        <w:tc>
          <w:tcPr>
            <w:tcW w:w="829" w:type="dxa"/>
            <w:tcBorders>
              <w:top w:val="nil"/>
              <w:left w:val="nil"/>
              <w:bottom w:val="nil"/>
              <w:right w:val="nil"/>
            </w:tcBorders>
          </w:tcPr>
          <w:p w14:paraId="75A6E199"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24.23</w:t>
            </w:r>
          </w:p>
        </w:tc>
        <w:tc>
          <w:tcPr>
            <w:tcW w:w="830" w:type="dxa"/>
            <w:tcBorders>
              <w:top w:val="nil"/>
              <w:left w:val="nil"/>
              <w:bottom w:val="nil"/>
              <w:right w:val="nil"/>
            </w:tcBorders>
          </w:tcPr>
          <w:p w14:paraId="1E29A970"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24.99</w:t>
            </w:r>
          </w:p>
        </w:tc>
        <w:tc>
          <w:tcPr>
            <w:tcW w:w="830" w:type="dxa"/>
            <w:tcBorders>
              <w:top w:val="nil"/>
              <w:left w:val="nil"/>
              <w:bottom w:val="nil"/>
              <w:right w:val="nil"/>
            </w:tcBorders>
          </w:tcPr>
          <w:p w14:paraId="3F55F518"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0</w:t>
            </w:r>
          </w:p>
        </w:tc>
        <w:tc>
          <w:tcPr>
            <w:tcW w:w="830" w:type="dxa"/>
            <w:tcBorders>
              <w:top w:val="nil"/>
              <w:left w:val="nil"/>
              <w:bottom w:val="nil"/>
              <w:right w:val="nil"/>
            </w:tcBorders>
          </w:tcPr>
          <w:p w14:paraId="5FA87787"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100</w:t>
            </w:r>
          </w:p>
        </w:tc>
        <w:tc>
          <w:tcPr>
            <w:tcW w:w="830" w:type="dxa"/>
            <w:tcBorders>
              <w:top w:val="nil"/>
              <w:left w:val="nil"/>
              <w:bottom w:val="nil"/>
              <w:right w:val="nil"/>
            </w:tcBorders>
            <w:vAlign w:val="bottom"/>
          </w:tcPr>
          <w:p w14:paraId="5CFE5FC4"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0.22</w:t>
            </w:r>
          </w:p>
        </w:tc>
        <w:tc>
          <w:tcPr>
            <w:tcW w:w="830" w:type="dxa"/>
            <w:tcBorders>
              <w:top w:val="nil"/>
              <w:left w:val="nil"/>
              <w:bottom w:val="nil"/>
              <w:right w:val="nil"/>
            </w:tcBorders>
            <w:vAlign w:val="bottom"/>
          </w:tcPr>
          <w:p w14:paraId="25ACC75C"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0.18</w:t>
            </w:r>
          </w:p>
        </w:tc>
        <w:tc>
          <w:tcPr>
            <w:tcW w:w="830" w:type="dxa"/>
            <w:tcBorders>
              <w:top w:val="nil"/>
              <w:left w:val="nil"/>
              <w:bottom w:val="nil"/>
              <w:right w:val="nil"/>
            </w:tcBorders>
            <w:vAlign w:val="bottom"/>
          </w:tcPr>
          <w:p w14:paraId="7068D023"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0.10</w:t>
            </w:r>
          </w:p>
        </w:tc>
        <w:tc>
          <w:tcPr>
            <w:tcW w:w="830" w:type="dxa"/>
            <w:tcBorders>
              <w:top w:val="nil"/>
              <w:left w:val="nil"/>
              <w:bottom w:val="nil"/>
              <w:right w:val="nil"/>
            </w:tcBorders>
            <w:vAlign w:val="bottom"/>
          </w:tcPr>
          <w:p w14:paraId="0005C601"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0.16</w:t>
            </w:r>
          </w:p>
        </w:tc>
        <w:tc>
          <w:tcPr>
            <w:tcW w:w="830" w:type="dxa"/>
            <w:tcBorders>
              <w:top w:val="nil"/>
              <w:left w:val="nil"/>
              <w:bottom w:val="nil"/>
              <w:right w:val="nil"/>
            </w:tcBorders>
            <w:vAlign w:val="bottom"/>
          </w:tcPr>
          <w:p w14:paraId="7889CE6E"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0.52</w:t>
            </w:r>
          </w:p>
        </w:tc>
        <w:tc>
          <w:tcPr>
            <w:tcW w:w="830" w:type="dxa"/>
            <w:tcBorders>
              <w:top w:val="nil"/>
              <w:left w:val="nil"/>
              <w:bottom w:val="nil"/>
              <w:right w:val="nil"/>
            </w:tcBorders>
            <w:vAlign w:val="bottom"/>
          </w:tcPr>
          <w:p w14:paraId="59C14966"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6729A3FF"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43855497" w14:textId="77777777" w:rsidR="006D5629" w:rsidRPr="006C6BB5" w:rsidRDefault="006D5629" w:rsidP="006D5629">
            <w:pPr>
              <w:spacing w:line="360" w:lineRule="auto"/>
              <w:rPr>
                <w:rFonts w:ascii="Times New Roman" w:hAnsi="Times New Roman" w:cs="Times New Roman"/>
                <w:color w:val="auto"/>
                <w:sz w:val="22"/>
                <w:szCs w:val="22"/>
                <w:lang w:val="en-GB"/>
              </w:rPr>
            </w:pPr>
          </w:p>
        </w:tc>
      </w:tr>
      <w:tr w:rsidR="006D5629" w:rsidRPr="006C6BB5" w14:paraId="001D0A48" w14:textId="77777777" w:rsidTr="006D5629">
        <w:tc>
          <w:tcPr>
            <w:tcW w:w="3686" w:type="dxa"/>
            <w:tcBorders>
              <w:top w:val="nil"/>
              <w:left w:val="nil"/>
              <w:bottom w:val="nil"/>
              <w:right w:val="nil"/>
            </w:tcBorders>
            <w:hideMark/>
          </w:tcPr>
          <w:p w14:paraId="57672087" w14:textId="77777777" w:rsidR="006D5629" w:rsidRPr="006C6BB5" w:rsidRDefault="006D5629" w:rsidP="006D5629">
            <w:pPr>
              <w:widowControl w:val="0"/>
              <w:autoSpaceDE w:val="0"/>
              <w:autoSpaceDN w:val="0"/>
              <w:adjustRightInd w:val="0"/>
              <w:spacing w:line="360" w:lineRule="auto"/>
              <w:rPr>
                <w:rFonts w:ascii="Times New Roman" w:hAnsi="Times New Roman" w:cs="Times New Roman"/>
                <w:color w:val="auto"/>
                <w:sz w:val="22"/>
                <w:szCs w:val="22"/>
                <w:vertAlign w:val="subscript"/>
                <w:lang w:val="en-GB"/>
              </w:rPr>
            </w:pPr>
            <w:r w:rsidRPr="006C6BB5">
              <w:rPr>
                <w:rFonts w:ascii="Times New Roman" w:hAnsi="Times New Roman" w:cs="Times New Roman"/>
                <w:color w:val="auto"/>
                <w:sz w:val="22"/>
                <w:szCs w:val="22"/>
                <w:lang w:val="en-GB"/>
              </w:rPr>
              <w:t>7. R&amp;D intensity, %</w:t>
            </w:r>
          </w:p>
        </w:tc>
        <w:tc>
          <w:tcPr>
            <w:tcW w:w="829" w:type="dxa"/>
            <w:tcBorders>
              <w:top w:val="nil"/>
              <w:left w:val="nil"/>
              <w:bottom w:val="nil"/>
              <w:right w:val="nil"/>
            </w:tcBorders>
          </w:tcPr>
          <w:p w14:paraId="2A57C478"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1.58</w:t>
            </w:r>
          </w:p>
        </w:tc>
        <w:tc>
          <w:tcPr>
            <w:tcW w:w="830" w:type="dxa"/>
            <w:tcBorders>
              <w:top w:val="nil"/>
              <w:left w:val="nil"/>
              <w:bottom w:val="nil"/>
              <w:right w:val="nil"/>
            </w:tcBorders>
          </w:tcPr>
          <w:p w14:paraId="0418F8E1"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5.37</w:t>
            </w:r>
          </w:p>
        </w:tc>
        <w:tc>
          <w:tcPr>
            <w:tcW w:w="830" w:type="dxa"/>
            <w:tcBorders>
              <w:top w:val="nil"/>
              <w:left w:val="nil"/>
              <w:bottom w:val="nil"/>
              <w:right w:val="nil"/>
            </w:tcBorders>
          </w:tcPr>
          <w:p w14:paraId="4D107594"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0</w:t>
            </w:r>
          </w:p>
        </w:tc>
        <w:tc>
          <w:tcPr>
            <w:tcW w:w="830" w:type="dxa"/>
            <w:tcBorders>
              <w:top w:val="nil"/>
              <w:left w:val="nil"/>
              <w:bottom w:val="nil"/>
              <w:right w:val="nil"/>
            </w:tcBorders>
          </w:tcPr>
          <w:p w14:paraId="0B7B7E31"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85</w:t>
            </w:r>
          </w:p>
        </w:tc>
        <w:tc>
          <w:tcPr>
            <w:tcW w:w="830" w:type="dxa"/>
            <w:tcBorders>
              <w:top w:val="nil"/>
              <w:left w:val="nil"/>
              <w:bottom w:val="nil"/>
              <w:right w:val="nil"/>
            </w:tcBorders>
            <w:vAlign w:val="bottom"/>
          </w:tcPr>
          <w:p w14:paraId="1BA4E5F6"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0.19</w:t>
            </w:r>
          </w:p>
        </w:tc>
        <w:tc>
          <w:tcPr>
            <w:tcW w:w="830" w:type="dxa"/>
            <w:tcBorders>
              <w:top w:val="nil"/>
              <w:left w:val="nil"/>
              <w:bottom w:val="nil"/>
              <w:right w:val="nil"/>
            </w:tcBorders>
            <w:vAlign w:val="bottom"/>
          </w:tcPr>
          <w:p w14:paraId="2016BEC6"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0.15</w:t>
            </w:r>
          </w:p>
        </w:tc>
        <w:tc>
          <w:tcPr>
            <w:tcW w:w="830" w:type="dxa"/>
            <w:tcBorders>
              <w:top w:val="nil"/>
              <w:left w:val="nil"/>
              <w:bottom w:val="nil"/>
              <w:right w:val="nil"/>
            </w:tcBorders>
            <w:vAlign w:val="bottom"/>
          </w:tcPr>
          <w:p w14:paraId="23A17272"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0.05</w:t>
            </w:r>
          </w:p>
        </w:tc>
        <w:tc>
          <w:tcPr>
            <w:tcW w:w="830" w:type="dxa"/>
            <w:tcBorders>
              <w:top w:val="nil"/>
              <w:left w:val="nil"/>
              <w:bottom w:val="nil"/>
              <w:right w:val="nil"/>
            </w:tcBorders>
            <w:vAlign w:val="bottom"/>
          </w:tcPr>
          <w:p w14:paraId="03B041F4"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0.18</w:t>
            </w:r>
          </w:p>
        </w:tc>
        <w:tc>
          <w:tcPr>
            <w:tcW w:w="830" w:type="dxa"/>
            <w:tcBorders>
              <w:top w:val="nil"/>
              <w:left w:val="nil"/>
              <w:bottom w:val="nil"/>
              <w:right w:val="nil"/>
            </w:tcBorders>
            <w:vAlign w:val="bottom"/>
          </w:tcPr>
          <w:p w14:paraId="1BDEEC82"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0.09</w:t>
            </w:r>
          </w:p>
        </w:tc>
        <w:tc>
          <w:tcPr>
            <w:tcW w:w="830" w:type="dxa"/>
            <w:tcBorders>
              <w:top w:val="nil"/>
              <w:left w:val="nil"/>
              <w:bottom w:val="nil"/>
              <w:right w:val="nil"/>
            </w:tcBorders>
            <w:vAlign w:val="bottom"/>
          </w:tcPr>
          <w:p w14:paraId="5223F9E9"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0.15</w:t>
            </w:r>
          </w:p>
        </w:tc>
        <w:tc>
          <w:tcPr>
            <w:tcW w:w="830" w:type="dxa"/>
            <w:tcBorders>
              <w:top w:val="nil"/>
              <w:left w:val="nil"/>
              <w:bottom w:val="nil"/>
              <w:right w:val="nil"/>
            </w:tcBorders>
            <w:vAlign w:val="bottom"/>
          </w:tcPr>
          <w:p w14:paraId="493752CF" w14:textId="77777777" w:rsidR="006D5629" w:rsidRPr="006C6BB5" w:rsidRDefault="006D5629" w:rsidP="006D5629">
            <w:pPr>
              <w:spacing w:line="360" w:lineRule="auto"/>
              <w:rPr>
                <w:rFonts w:ascii="Times New Roman" w:hAnsi="Times New Roman" w:cs="Times New Roman"/>
                <w:color w:val="auto"/>
                <w:sz w:val="22"/>
                <w:szCs w:val="22"/>
                <w:lang w:val="en-GB"/>
              </w:rPr>
            </w:pPr>
          </w:p>
        </w:tc>
        <w:tc>
          <w:tcPr>
            <w:tcW w:w="830" w:type="dxa"/>
            <w:tcBorders>
              <w:top w:val="nil"/>
              <w:left w:val="nil"/>
              <w:bottom w:val="nil"/>
              <w:right w:val="nil"/>
            </w:tcBorders>
            <w:vAlign w:val="bottom"/>
          </w:tcPr>
          <w:p w14:paraId="6A70B001" w14:textId="77777777" w:rsidR="006D5629" w:rsidRPr="006C6BB5" w:rsidRDefault="006D5629" w:rsidP="006D5629">
            <w:pPr>
              <w:spacing w:line="360" w:lineRule="auto"/>
              <w:rPr>
                <w:rFonts w:ascii="Times New Roman" w:hAnsi="Times New Roman" w:cs="Times New Roman"/>
                <w:color w:val="auto"/>
                <w:sz w:val="22"/>
                <w:szCs w:val="22"/>
                <w:lang w:val="en-GB"/>
              </w:rPr>
            </w:pPr>
          </w:p>
        </w:tc>
      </w:tr>
      <w:tr w:rsidR="006D5629" w:rsidRPr="006C6BB5" w14:paraId="6026AECB" w14:textId="77777777" w:rsidTr="006D5629">
        <w:tc>
          <w:tcPr>
            <w:tcW w:w="3686" w:type="dxa"/>
            <w:tcBorders>
              <w:top w:val="nil"/>
              <w:left w:val="nil"/>
              <w:bottom w:val="nil"/>
              <w:right w:val="nil"/>
            </w:tcBorders>
            <w:hideMark/>
          </w:tcPr>
          <w:p w14:paraId="75201F8E" w14:textId="77777777" w:rsidR="006D5629" w:rsidRPr="006C6BB5" w:rsidRDefault="006D5629" w:rsidP="006D5629">
            <w:pPr>
              <w:widowControl w:val="0"/>
              <w:autoSpaceDE w:val="0"/>
              <w:autoSpaceDN w:val="0"/>
              <w:adjustRightInd w:val="0"/>
              <w:spacing w:line="360" w:lineRule="auto"/>
              <w:rPr>
                <w:rFonts w:ascii="Times New Roman" w:hAnsi="Times New Roman" w:cs="Times New Roman"/>
                <w:color w:val="auto"/>
                <w:sz w:val="22"/>
                <w:szCs w:val="22"/>
                <w:vertAlign w:val="subscript"/>
                <w:lang w:val="en-GB"/>
              </w:rPr>
            </w:pPr>
            <w:r w:rsidRPr="006C6BB5">
              <w:rPr>
                <w:rFonts w:ascii="Times New Roman" w:hAnsi="Times New Roman" w:cs="Times New Roman"/>
                <w:color w:val="auto"/>
                <w:sz w:val="22"/>
                <w:szCs w:val="22"/>
                <w:lang w:val="en-GB"/>
              </w:rPr>
              <w:t>8. Firm size (log)</w:t>
            </w:r>
          </w:p>
        </w:tc>
        <w:tc>
          <w:tcPr>
            <w:tcW w:w="829" w:type="dxa"/>
            <w:tcBorders>
              <w:top w:val="nil"/>
              <w:left w:val="nil"/>
              <w:bottom w:val="nil"/>
              <w:right w:val="nil"/>
            </w:tcBorders>
          </w:tcPr>
          <w:p w14:paraId="6C677BA7"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4.60</w:t>
            </w:r>
          </w:p>
        </w:tc>
        <w:tc>
          <w:tcPr>
            <w:tcW w:w="830" w:type="dxa"/>
            <w:tcBorders>
              <w:top w:val="nil"/>
              <w:left w:val="nil"/>
              <w:bottom w:val="nil"/>
              <w:right w:val="nil"/>
            </w:tcBorders>
          </w:tcPr>
          <w:p w14:paraId="58FFA1A3"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1.22</w:t>
            </w:r>
          </w:p>
        </w:tc>
        <w:tc>
          <w:tcPr>
            <w:tcW w:w="830" w:type="dxa"/>
            <w:tcBorders>
              <w:top w:val="nil"/>
              <w:left w:val="nil"/>
              <w:bottom w:val="nil"/>
              <w:right w:val="nil"/>
            </w:tcBorders>
          </w:tcPr>
          <w:p w14:paraId="61E8E0AD"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0</w:t>
            </w:r>
          </w:p>
        </w:tc>
        <w:tc>
          <w:tcPr>
            <w:tcW w:w="830" w:type="dxa"/>
            <w:tcBorders>
              <w:top w:val="nil"/>
              <w:left w:val="nil"/>
              <w:bottom w:val="nil"/>
              <w:right w:val="nil"/>
            </w:tcBorders>
          </w:tcPr>
          <w:p w14:paraId="3E002D5B" w14:textId="77777777" w:rsidR="006D5629" w:rsidRPr="006C6BB5" w:rsidRDefault="006D5629" w:rsidP="006D5629">
            <w:pPr>
              <w:spacing w:line="360" w:lineRule="auto"/>
              <w:jc w:val="right"/>
              <w:rPr>
                <w:rFonts w:ascii="Times New Roman" w:hAnsi="Times New Roman" w:cs="Times New Roman"/>
                <w:sz w:val="22"/>
                <w:szCs w:val="22"/>
                <w:lang w:val="en-GB"/>
              </w:rPr>
            </w:pPr>
            <w:r w:rsidRPr="006C6BB5">
              <w:rPr>
                <w:rFonts w:ascii="Times New Roman" w:hAnsi="Times New Roman" w:cs="Times New Roman"/>
                <w:sz w:val="22"/>
                <w:szCs w:val="22"/>
                <w:lang w:val="en-GB"/>
              </w:rPr>
              <w:t>10.02</w:t>
            </w:r>
          </w:p>
        </w:tc>
        <w:tc>
          <w:tcPr>
            <w:tcW w:w="830" w:type="dxa"/>
            <w:tcBorders>
              <w:top w:val="nil"/>
              <w:left w:val="nil"/>
              <w:bottom w:val="nil"/>
              <w:right w:val="nil"/>
            </w:tcBorders>
            <w:vAlign w:val="bottom"/>
          </w:tcPr>
          <w:p w14:paraId="27D8D41A"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0.21</w:t>
            </w:r>
          </w:p>
        </w:tc>
        <w:tc>
          <w:tcPr>
            <w:tcW w:w="830" w:type="dxa"/>
            <w:tcBorders>
              <w:top w:val="nil"/>
              <w:left w:val="nil"/>
              <w:bottom w:val="nil"/>
              <w:right w:val="nil"/>
            </w:tcBorders>
            <w:vAlign w:val="bottom"/>
          </w:tcPr>
          <w:p w14:paraId="444DAD55"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0.26</w:t>
            </w:r>
          </w:p>
        </w:tc>
        <w:tc>
          <w:tcPr>
            <w:tcW w:w="830" w:type="dxa"/>
            <w:tcBorders>
              <w:top w:val="nil"/>
              <w:left w:val="nil"/>
              <w:bottom w:val="nil"/>
              <w:right w:val="nil"/>
            </w:tcBorders>
            <w:vAlign w:val="bottom"/>
          </w:tcPr>
          <w:p w14:paraId="72FF5F15"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0.06</w:t>
            </w:r>
          </w:p>
        </w:tc>
        <w:tc>
          <w:tcPr>
            <w:tcW w:w="830" w:type="dxa"/>
            <w:tcBorders>
              <w:top w:val="nil"/>
              <w:left w:val="nil"/>
              <w:bottom w:val="nil"/>
              <w:right w:val="nil"/>
            </w:tcBorders>
            <w:vAlign w:val="bottom"/>
          </w:tcPr>
          <w:p w14:paraId="49EF943A"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0.25</w:t>
            </w:r>
          </w:p>
        </w:tc>
        <w:tc>
          <w:tcPr>
            <w:tcW w:w="830" w:type="dxa"/>
            <w:tcBorders>
              <w:top w:val="nil"/>
              <w:left w:val="nil"/>
              <w:bottom w:val="nil"/>
              <w:right w:val="nil"/>
            </w:tcBorders>
            <w:vAlign w:val="bottom"/>
          </w:tcPr>
          <w:p w14:paraId="0716489F"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0.06</w:t>
            </w:r>
          </w:p>
        </w:tc>
        <w:tc>
          <w:tcPr>
            <w:tcW w:w="830" w:type="dxa"/>
            <w:tcBorders>
              <w:top w:val="nil"/>
              <w:left w:val="nil"/>
              <w:bottom w:val="nil"/>
              <w:right w:val="nil"/>
            </w:tcBorders>
            <w:vAlign w:val="bottom"/>
          </w:tcPr>
          <w:p w14:paraId="7CEC9D2D"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0.09</w:t>
            </w:r>
          </w:p>
        </w:tc>
        <w:tc>
          <w:tcPr>
            <w:tcW w:w="830" w:type="dxa"/>
            <w:tcBorders>
              <w:top w:val="nil"/>
              <w:left w:val="nil"/>
              <w:bottom w:val="nil"/>
              <w:right w:val="nil"/>
            </w:tcBorders>
            <w:vAlign w:val="bottom"/>
          </w:tcPr>
          <w:p w14:paraId="1C56C801" w14:textId="77777777" w:rsidR="006D5629" w:rsidRPr="006C6BB5" w:rsidRDefault="006D5629" w:rsidP="006D5629">
            <w:pPr>
              <w:spacing w:line="360" w:lineRule="auto"/>
              <w:jc w:val="right"/>
              <w:rPr>
                <w:rFonts w:ascii="Times New Roman" w:hAnsi="Times New Roman" w:cs="Times New Roman"/>
                <w:color w:val="auto"/>
                <w:sz w:val="22"/>
                <w:szCs w:val="22"/>
                <w:lang w:val="en-GB"/>
              </w:rPr>
            </w:pPr>
            <w:r w:rsidRPr="006C6BB5">
              <w:rPr>
                <w:rFonts w:ascii="Times New Roman" w:hAnsi="Times New Roman" w:cs="Times New Roman"/>
                <w:color w:val="auto"/>
                <w:sz w:val="22"/>
                <w:szCs w:val="22"/>
                <w:lang w:val="en-GB"/>
              </w:rPr>
              <w:t>0.17</w:t>
            </w:r>
          </w:p>
        </w:tc>
        <w:tc>
          <w:tcPr>
            <w:tcW w:w="830" w:type="dxa"/>
            <w:tcBorders>
              <w:top w:val="nil"/>
              <w:left w:val="nil"/>
              <w:bottom w:val="nil"/>
              <w:right w:val="nil"/>
            </w:tcBorders>
            <w:vAlign w:val="bottom"/>
          </w:tcPr>
          <w:p w14:paraId="48437D31" w14:textId="77777777" w:rsidR="006D5629" w:rsidRPr="006C6BB5" w:rsidRDefault="006D5629" w:rsidP="006D5629">
            <w:pPr>
              <w:spacing w:line="360" w:lineRule="auto"/>
              <w:rPr>
                <w:rFonts w:ascii="Times New Roman" w:hAnsi="Times New Roman" w:cs="Times New Roman"/>
                <w:color w:val="auto"/>
                <w:sz w:val="22"/>
                <w:szCs w:val="22"/>
                <w:lang w:val="en-GB"/>
              </w:rPr>
            </w:pPr>
          </w:p>
        </w:tc>
      </w:tr>
      <w:tr w:rsidR="006D5629" w:rsidRPr="006C6BB5" w14:paraId="02D22CB2" w14:textId="77777777" w:rsidTr="006D5629">
        <w:trPr>
          <w:cnfStyle w:val="010000000000" w:firstRow="0" w:lastRow="1" w:firstColumn="0" w:lastColumn="0" w:oddVBand="0" w:evenVBand="0" w:oddHBand="0" w:evenHBand="0" w:firstRowFirstColumn="0" w:firstRowLastColumn="0" w:lastRowFirstColumn="0" w:lastRowLastColumn="0"/>
        </w:trPr>
        <w:tc>
          <w:tcPr>
            <w:tcW w:w="3686" w:type="dxa"/>
            <w:tcBorders>
              <w:top w:val="nil"/>
              <w:bottom w:val="single" w:sz="4" w:space="0" w:color="auto"/>
            </w:tcBorders>
            <w:hideMark/>
          </w:tcPr>
          <w:p w14:paraId="470C9476" w14:textId="77777777" w:rsidR="006D5629" w:rsidRPr="006C6BB5" w:rsidRDefault="006D5629" w:rsidP="006D5629">
            <w:pPr>
              <w:widowControl w:val="0"/>
              <w:autoSpaceDE w:val="0"/>
              <w:autoSpaceDN w:val="0"/>
              <w:adjustRightInd w:val="0"/>
              <w:spacing w:line="360" w:lineRule="auto"/>
              <w:rPr>
                <w:rFonts w:ascii="Times New Roman" w:hAnsi="Times New Roman" w:cs="Times New Roman"/>
                <w:b w:val="0"/>
                <w:color w:val="auto"/>
                <w:sz w:val="22"/>
                <w:szCs w:val="22"/>
                <w:vertAlign w:val="subscript"/>
                <w:lang w:val="en-GB"/>
              </w:rPr>
            </w:pPr>
            <w:r w:rsidRPr="006C6BB5">
              <w:rPr>
                <w:rFonts w:ascii="Times New Roman" w:hAnsi="Times New Roman" w:cs="Times New Roman"/>
                <w:b w:val="0"/>
                <w:color w:val="auto"/>
                <w:sz w:val="22"/>
                <w:szCs w:val="22"/>
                <w:lang w:val="en-GB"/>
              </w:rPr>
              <w:t>9. Part of a group</w:t>
            </w:r>
          </w:p>
        </w:tc>
        <w:tc>
          <w:tcPr>
            <w:tcW w:w="829" w:type="dxa"/>
            <w:tcBorders>
              <w:top w:val="nil"/>
              <w:bottom w:val="single" w:sz="4" w:space="0" w:color="auto"/>
            </w:tcBorders>
          </w:tcPr>
          <w:p w14:paraId="48A8503A" w14:textId="77777777" w:rsidR="006D5629" w:rsidRPr="006C6BB5" w:rsidRDefault="006D5629" w:rsidP="006D5629">
            <w:pPr>
              <w:spacing w:line="360" w:lineRule="auto"/>
              <w:jc w:val="right"/>
              <w:rPr>
                <w:rFonts w:ascii="Times New Roman" w:hAnsi="Times New Roman" w:cs="Times New Roman"/>
                <w:b w:val="0"/>
                <w:color w:val="auto"/>
                <w:sz w:val="22"/>
                <w:szCs w:val="22"/>
                <w:lang w:val="en-GB"/>
              </w:rPr>
            </w:pPr>
            <w:r w:rsidRPr="006C6BB5">
              <w:rPr>
                <w:rFonts w:ascii="Times New Roman" w:hAnsi="Times New Roman" w:cs="Times New Roman"/>
                <w:b w:val="0"/>
                <w:color w:val="auto"/>
                <w:sz w:val="22"/>
                <w:szCs w:val="22"/>
                <w:lang w:val="en-GB"/>
              </w:rPr>
              <w:t>0.77</w:t>
            </w:r>
          </w:p>
        </w:tc>
        <w:tc>
          <w:tcPr>
            <w:tcW w:w="830" w:type="dxa"/>
            <w:tcBorders>
              <w:top w:val="nil"/>
              <w:bottom w:val="single" w:sz="4" w:space="0" w:color="auto"/>
            </w:tcBorders>
          </w:tcPr>
          <w:p w14:paraId="7C1AA758" w14:textId="77777777" w:rsidR="006D5629" w:rsidRPr="006C6BB5" w:rsidRDefault="006D5629" w:rsidP="006D5629">
            <w:pPr>
              <w:spacing w:line="360" w:lineRule="auto"/>
              <w:jc w:val="right"/>
              <w:rPr>
                <w:rFonts w:ascii="Times New Roman" w:hAnsi="Times New Roman" w:cs="Times New Roman"/>
                <w:b w:val="0"/>
                <w:color w:val="auto"/>
                <w:sz w:val="22"/>
                <w:szCs w:val="22"/>
                <w:lang w:val="en-GB"/>
              </w:rPr>
            </w:pPr>
            <w:r w:rsidRPr="006C6BB5">
              <w:rPr>
                <w:rFonts w:ascii="Times New Roman" w:hAnsi="Times New Roman" w:cs="Times New Roman"/>
                <w:b w:val="0"/>
                <w:color w:val="auto"/>
                <w:sz w:val="22"/>
                <w:szCs w:val="22"/>
                <w:lang w:val="en-GB"/>
              </w:rPr>
              <w:t>0.42</w:t>
            </w:r>
          </w:p>
        </w:tc>
        <w:tc>
          <w:tcPr>
            <w:tcW w:w="830" w:type="dxa"/>
            <w:tcBorders>
              <w:top w:val="nil"/>
              <w:bottom w:val="single" w:sz="4" w:space="0" w:color="auto"/>
            </w:tcBorders>
          </w:tcPr>
          <w:p w14:paraId="2592D8DA" w14:textId="77777777" w:rsidR="006D5629" w:rsidRPr="006C6BB5" w:rsidRDefault="006D5629" w:rsidP="006D5629">
            <w:pPr>
              <w:spacing w:line="360" w:lineRule="auto"/>
              <w:jc w:val="right"/>
              <w:rPr>
                <w:rFonts w:ascii="Times New Roman" w:hAnsi="Times New Roman" w:cs="Times New Roman"/>
                <w:b w:val="0"/>
                <w:sz w:val="22"/>
                <w:szCs w:val="22"/>
                <w:lang w:val="en-GB"/>
              </w:rPr>
            </w:pPr>
            <w:r w:rsidRPr="006C6BB5">
              <w:rPr>
                <w:rFonts w:ascii="Times New Roman" w:hAnsi="Times New Roman" w:cs="Times New Roman"/>
                <w:b w:val="0"/>
                <w:sz w:val="22"/>
                <w:szCs w:val="22"/>
                <w:lang w:val="en-GB"/>
              </w:rPr>
              <w:t>0</w:t>
            </w:r>
          </w:p>
        </w:tc>
        <w:tc>
          <w:tcPr>
            <w:tcW w:w="830" w:type="dxa"/>
            <w:tcBorders>
              <w:top w:val="nil"/>
              <w:bottom w:val="single" w:sz="4" w:space="0" w:color="auto"/>
            </w:tcBorders>
          </w:tcPr>
          <w:p w14:paraId="0D95DCAB" w14:textId="77777777" w:rsidR="006D5629" w:rsidRPr="006C6BB5" w:rsidRDefault="006D5629" w:rsidP="006D5629">
            <w:pPr>
              <w:spacing w:line="360" w:lineRule="auto"/>
              <w:jc w:val="right"/>
              <w:rPr>
                <w:rFonts w:ascii="Times New Roman" w:hAnsi="Times New Roman" w:cs="Times New Roman"/>
                <w:b w:val="0"/>
                <w:sz w:val="22"/>
                <w:szCs w:val="22"/>
                <w:lang w:val="en-GB"/>
              </w:rPr>
            </w:pPr>
            <w:r w:rsidRPr="006C6BB5">
              <w:rPr>
                <w:rFonts w:ascii="Times New Roman" w:hAnsi="Times New Roman" w:cs="Times New Roman"/>
                <w:b w:val="0"/>
                <w:sz w:val="22"/>
                <w:szCs w:val="22"/>
                <w:lang w:val="en-GB"/>
              </w:rPr>
              <w:t>1</w:t>
            </w:r>
          </w:p>
        </w:tc>
        <w:tc>
          <w:tcPr>
            <w:tcW w:w="830" w:type="dxa"/>
            <w:tcBorders>
              <w:top w:val="nil"/>
              <w:bottom w:val="single" w:sz="4" w:space="0" w:color="auto"/>
            </w:tcBorders>
            <w:vAlign w:val="bottom"/>
          </w:tcPr>
          <w:p w14:paraId="493F4BCF" w14:textId="77777777" w:rsidR="006D5629" w:rsidRPr="006C6BB5" w:rsidRDefault="006D5629" w:rsidP="006D5629">
            <w:pPr>
              <w:spacing w:line="360" w:lineRule="auto"/>
              <w:jc w:val="right"/>
              <w:rPr>
                <w:rFonts w:ascii="Times New Roman" w:hAnsi="Times New Roman" w:cs="Times New Roman"/>
                <w:b w:val="0"/>
                <w:color w:val="auto"/>
                <w:sz w:val="22"/>
                <w:szCs w:val="22"/>
                <w:lang w:val="en-GB"/>
              </w:rPr>
            </w:pPr>
            <w:r w:rsidRPr="006C6BB5">
              <w:rPr>
                <w:rFonts w:ascii="Times New Roman" w:hAnsi="Times New Roman" w:cs="Times New Roman"/>
                <w:b w:val="0"/>
                <w:color w:val="auto"/>
                <w:sz w:val="22"/>
                <w:szCs w:val="22"/>
                <w:lang w:val="en-GB"/>
              </w:rPr>
              <w:t>0.09</w:t>
            </w:r>
          </w:p>
        </w:tc>
        <w:tc>
          <w:tcPr>
            <w:tcW w:w="830" w:type="dxa"/>
            <w:tcBorders>
              <w:top w:val="nil"/>
              <w:bottom w:val="single" w:sz="4" w:space="0" w:color="auto"/>
            </w:tcBorders>
            <w:vAlign w:val="bottom"/>
          </w:tcPr>
          <w:p w14:paraId="1C4C2D2D" w14:textId="77777777" w:rsidR="006D5629" w:rsidRPr="006C6BB5" w:rsidRDefault="006D5629" w:rsidP="006D5629">
            <w:pPr>
              <w:spacing w:line="360" w:lineRule="auto"/>
              <w:jc w:val="right"/>
              <w:rPr>
                <w:rFonts w:ascii="Times New Roman" w:hAnsi="Times New Roman" w:cs="Times New Roman"/>
                <w:b w:val="0"/>
                <w:color w:val="auto"/>
                <w:sz w:val="22"/>
                <w:szCs w:val="22"/>
                <w:lang w:val="en-GB"/>
              </w:rPr>
            </w:pPr>
            <w:r w:rsidRPr="006C6BB5">
              <w:rPr>
                <w:rFonts w:ascii="Times New Roman" w:hAnsi="Times New Roman" w:cs="Times New Roman"/>
                <w:b w:val="0"/>
                <w:color w:val="auto"/>
                <w:sz w:val="22"/>
                <w:szCs w:val="22"/>
                <w:lang w:val="en-GB"/>
              </w:rPr>
              <w:t>0.12</w:t>
            </w:r>
          </w:p>
        </w:tc>
        <w:tc>
          <w:tcPr>
            <w:tcW w:w="830" w:type="dxa"/>
            <w:tcBorders>
              <w:top w:val="nil"/>
              <w:bottom w:val="single" w:sz="4" w:space="0" w:color="auto"/>
            </w:tcBorders>
            <w:vAlign w:val="bottom"/>
          </w:tcPr>
          <w:p w14:paraId="316DDD2F" w14:textId="77777777" w:rsidR="006D5629" w:rsidRPr="006C6BB5" w:rsidRDefault="006D5629" w:rsidP="006D5629">
            <w:pPr>
              <w:spacing w:line="360" w:lineRule="auto"/>
              <w:jc w:val="right"/>
              <w:rPr>
                <w:rFonts w:ascii="Times New Roman" w:hAnsi="Times New Roman" w:cs="Times New Roman"/>
                <w:b w:val="0"/>
                <w:color w:val="auto"/>
                <w:sz w:val="22"/>
                <w:szCs w:val="22"/>
                <w:lang w:val="en-GB"/>
              </w:rPr>
            </w:pPr>
            <w:r w:rsidRPr="006C6BB5">
              <w:rPr>
                <w:rFonts w:ascii="Times New Roman" w:hAnsi="Times New Roman" w:cs="Times New Roman"/>
                <w:b w:val="0"/>
                <w:color w:val="auto"/>
                <w:sz w:val="22"/>
                <w:szCs w:val="22"/>
                <w:lang w:val="en-GB"/>
              </w:rPr>
              <w:t>0.01</w:t>
            </w:r>
          </w:p>
        </w:tc>
        <w:tc>
          <w:tcPr>
            <w:tcW w:w="830" w:type="dxa"/>
            <w:tcBorders>
              <w:top w:val="nil"/>
              <w:bottom w:val="single" w:sz="4" w:space="0" w:color="auto"/>
            </w:tcBorders>
            <w:vAlign w:val="bottom"/>
          </w:tcPr>
          <w:p w14:paraId="5ECB12A3" w14:textId="77777777" w:rsidR="006D5629" w:rsidRPr="006C6BB5" w:rsidRDefault="006D5629" w:rsidP="006D5629">
            <w:pPr>
              <w:spacing w:line="360" w:lineRule="auto"/>
              <w:jc w:val="right"/>
              <w:rPr>
                <w:rFonts w:ascii="Times New Roman" w:hAnsi="Times New Roman" w:cs="Times New Roman"/>
                <w:b w:val="0"/>
                <w:color w:val="auto"/>
                <w:sz w:val="22"/>
                <w:szCs w:val="22"/>
                <w:lang w:val="en-GB"/>
              </w:rPr>
            </w:pPr>
            <w:r w:rsidRPr="006C6BB5">
              <w:rPr>
                <w:rFonts w:ascii="Times New Roman" w:hAnsi="Times New Roman" w:cs="Times New Roman"/>
                <w:b w:val="0"/>
                <w:color w:val="auto"/>
                <w:sz w:val="22"/>
                <w:szCs w:val="22"/>
                <w:lang w:val="en-GB"/>
              </w:rPr>
              <w:t>0.04</w:t>
            </w:r>
          </w:p>
        </w:tc>
        <w:tc>
          <w:tcPr>
            <w:tcW w:w="830" w:type="dxa"/>
            <w:tcBorders>
              <w:top w:val="nil"/>
              <w:bottom w:val="single" w:sz="4" w:space="0" w:color="auto"/>
            </w:tcBorders>
            <w:vAlign w:val="bottom"/>
          </w:tcPr>
          <w:p w14:paraId="2F96EAC1" w14:textId="77777777" w:rsidR="006D5629" w:rsidRPr="006C6BB5" w:rsidRDefault="006D5629" w:rsidP="006D5629">
            <w:pPr>
              <w:spacing w:line="360" w:lineRule="auto"/>
              <w:jc w:val="right"/>
              <w:rPr>
                <w:rFonts w:ascii="Times New Roman" w:hAnsi="Times New Roman" w:cs="Times New Roman"/>
                <w:b w:val="0"/>
                <w:color w:val="auto"/>
                <w:sz w:val="22"/>
                <w:szCs w:val="22"/>
                <w:lang w:val="en-GB"/>
              </w:rPr>
            </w:pPr>
            <w:r w:rsidRPr="006C6BB5">
              <w:rPr>
                <w:rFonts w:ascii="Times New Roman" w:hAnsi="Times New Roman" w:cs="Times New Roman"/>
                <w:b w:val="0"/>
                <w:color w:val="auto"/>
                <w:sz w:val="22"/>
                <w:szCs w:val="22"/>
                <w:lang w:val="en-GB"/>
              </w:rPr>
              <w:t>0.04</w:t>
            </w:r>
          </w:p>
        </w:tc>
        <w:tc>
          <w:tcPr>
            <w:tcW w:w="830" w:type="dxa"/>
            <w:tcBorders>
              <w:top w:val="nil"/>
              <w:bottom w:val="single" w:sz="4" w:space="0" w:color="auto"/>
            </w:tcBorders>
            <w:vAlign w:val="bottom"/>
          </w:tcPr>
          <w:p w14:paraId="4BB8CB66" w14:textId="77777777" w:rsidR="006D5629" w:rsidRPr="006C6BB5" w:rsidRDefault="006D5629" w:rsidP="006D5629">
            <w:pPr>
              <w:spacing w:line="360" w:lineRule="auto"/>
              <w:jc w:val="right"/>
              <w:rPr>
                <w:rFonts w:ascii="Times New Roman" w:hAnsi="Times New Roman" w:cs="Times New Roman"/>
                <w:b w:val="0"/>
                <w:color w:val="auto"/>
                <w:sz w:val="22"/>
                <w:szCs w:val="22"/>
                <w:lang w:val="en-GB"/>
              </w:rPr>
            </w:pPr>
            <w:r w:rsidRPr="006C6BB5">
              <w:rPr>
                <w:rFonts w:ascii="Times New Roman" w:hAnsi="Times New Roman" w:cs="Times New Roman"/>
                <w:b w:val="0"/>
                <w:color w:val="auto"/>
                <w:sz w:val="22"/>
                <w:szCs w:val="22"/>
                <w:lang w:val="en-GB"/>
              </w:rPr>
              <w:t>0.09</w:t>
            </w:r>
          </w:p>
        </w:tc>
        <w:tc>
          <w:tcPr>
            <w:tcW w:w="830" w:type="dxa"/>
            <w:tcBorders>
              <w:top w:val="nil"/>
              <w:bottom w:val="single" w:sz="4" w:space="0" w:color="auto"/>
            </w:tcBorders>
            <w:vAlign w:val="bottom"/>
          </w:tcPr>
          <w:p w14:paraId="0B5FE75E" w14:textId="77777777" w:rsidR="006D5629" w:rsidRPr="006C6BB5" w:rsidRDefault="006D5629" w:rsidP="006D5629">
            <w:pPr>
              <w:spacing w:line="360" w:lineRule="auto"/>
              <w:jc w:val="right"/>
              <w:rPr>
                <w:rFonts w:ascii="Times New Roman" w:hAnsi="Times New Roman" w:cs="Times New Roman"/>
                <w:b w:val="0"/>
                <w:color w:val="auto"/>
                <w:sz w:val="22"/>
                <w:szCs w:val="22"/>
                <w:lang w:val="en-GB"/>
              </w:rPr>
            </w:pPr>
            <w:r w:rsidRPr="006C6BB5">
              <w:rPr>
                <w:rFonts w:ascii="Times New Roman" w:hAnsi="Times New Roman" w:cs="Times New Roman"/>
                <w:b w:val="0"/>
                <w:color w:val="auto"/>
                <w:sz w:val="22"/>
                <w:szCs w:val="22"/>
                <w:lang w:val="en-GB"/>
              </w:rPr>
              <w:t>0.05</w:t>
            </w:r>
          </w:p>
        </w:tc>
        <w:tc>
          <w:tcPr>
            <w:tcW w:w="830" w:type="dxa"/>
            <w:tcBorders>
              <w:top w:val="nil"/>
              <w:bottom w:val="single" w:sz="4" w:space="0" w:color="auto"/>
            </w:tcBorders>
            <w:vAlign w:val="bottom"/>
          </w:tcPr>
          <w:p w14:paraId="793BB66B" w14:textId="77777777" w:rsidR="006D5629" w:rsidRPr="006C6BB5" w:rsidRDefault="006D5629" w:rsidP="006D5629">
            <w:pPr>
              <w:spacing w:line="360" w:lineRule="auto"/>
              <w:jc w:val="right"/>
              <w:rPr>
                <w:rFonts w:ascii="Times New Roman" w:hAnsi="Times New Roman" w:cs="Times New Roman"/>
                <w:b w:val="0"/>
                <w:color w:val="auto"/>
                <w:sz w:val="22"/>
                <w:szCs w:val="22"/>
                <w:lang w:val="en-GB"/>
              </w:rPr>
            </w:pPr>
            <w:r w:rsidRPr="006C6BB5">
              <w:rPr>
                <w:rFonts w:ascii="Times New Roman" w:hAnsi="Times New Roman" w:cs="Times New Roman"/>
                <w:b w:val="0"/>
                <w:color w:val="auto"/>
                <w:sz w:val="22"/>
                <w:szCs w:val="22"/>
                <w:lang w:val="en-GB"/>
              </w:rPr>
              <w:t>0.26</w:t>
            </w:r>
          </w:p>
        </w:tc>
      </w:tr>
    </w:tbl>
    <w:p w14:paraId="54096C06" w14:textId="77777777" w:rsidR="006D5629" w:rsidRPr="006C6BB5" w:rsidRDefault="006D5629" w:rsidP="006D5629">
      <w:pPr>
        <w:keepNext/>
        <w:keepLines/>
        <w:spacing w:before="480" w:line="360" w:lineRule="auto"/>
        <w:contextualSpacing/>
        <w:outlineLvl w:val="0"/>
        <w:rPr>
          <w:b/>
          <w:bCs/>
          <w:sz w:val="22"/>
          <w:szCs w:val="22"/>
          <w:lang w:val="en-GB"/>
        </w:rPr>
        <w:sectPr w:rsidR="006D5629" w:rsidRPr="006C6BB5" w:rsidSect="006D5629">
          <w:endnotePr>
            <w:numFmt w:val="decimal"/>
          </w:endnotePr>
          <w:pgSz w:w="16819" w:h="11894" w:orient="landscape" w:code="1"/>
          <w:pgMar w:top="1366" w:right="1366" w:bottom="1366" w:left="1366" w:header="709" w:footer="709" w:gutter="0"/>
          <w:cols w:space="708"/>
          <w:docGrid w:linePitch="360"/>
        </w:sectPr>
      </w:pPr>
    </w:p>
    <w:p w14:paraId="08820757" w14:textId="77777777" w:rsidR="006D5629" w:rsidRPr="006C6BB5" w:rsidRDefault="006D5629" w:rsidP="006D5629">
      <w:pPr>
        <w:spacing w:after="200"/>
        <w:contextualSpacing/>
        <w:jc w:val="center"/>
        <w:rPr>
          <w:b/>
          <w:bCs/>
          <w:sz w:val="22"/>
          <w:szCs w:val="22"/>
          <w:lang w:val="en-GB"/>
        </w:rPr>
      </w:pPr>
      <w:r w:rsidRPr="006C6BB5">
        <w:rPr>
          <w:b/>
          <w:bCs/>
          <w:sz w:val="22"/>
          <w:szCs w:val="22"/>
          <w:lang w:val="en-GB"/>
        </w:rPr>
        <w:lastRenderedPageBreak/>
        <w:t>TABLE 2 FIRMS' USE OF FORMAL AND INFORMAL APPROPRIATION MECHANISMS ACROSS INDUSTRIES</w:t>
      </w:r>
    </w:p>
    <w:tbl>
      <w:tblPr>
        <w:tblStyle w:val="TableGrid"/>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1460"/>
        <w:gridCol w:w="1460"/>
        <w:gridCol w:w="1460"/>
        <w:gridCol w:w="1460"/>
      </w:tblGrid>
      <w:tr w:rsidR="006D5629" w:rsidRPr="006C6BB5" w14:paraId="770D9889" w14:textId="77777777" w:rsidTr="006D5629">
        <w:tc>
          <w:tcPr>
            <w:tcW w:w="3624" w:type="dxa"/>
          </w:tcPr>
          <w:p w14:paraId="7F6040F6"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Industry (SIC code)</w:t>
            </w:r>
          </w:p>
        </w:tc>
        <w:tc>
          <w:tcPr>
            <w:tcW w:w="1460" w:type="dxa"/>
          </w:tcPr>
          <w:p w14:paraId="2AA90B97" w14:textId="77777777" w:rsidR="006D5629" w:rsidRPr="006C6BB5" w:rsidRDefault="006D5629" w:rsidP="003F4841">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Percentage of firms that use formal mechanisms</w:t>
            </w:r>
          </w:p>
        </w:tc>
        <w:tc>
          <w:tcPr>
            <w:tcW w:w="1460" w:type="dxa"/>
          </w:tcPr>
          <w:p w14:paraId="322E5AD3" w14:textId="77777777" w:rsidR="006D5629" w:rsidRPr="006C6BB5" w:rsidRDefault="006D5629" w:rsidP="003F4841">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Average number of formal mechanisms used</w:t>
            </w:r>
          </w:p>
        </w:tc>
        <w:tc>
          <w:tcPr>
            <w:tcW w:w="1460" w:type="dxa"/>
          </w:tcPr>
          <w:p w14:paraId="375F289E"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Percentage of firms that use informal mechanisms</w:t>
            </w:r>
          </w:p>
        </w:tc>
        <w:tc>
          <w:tcPr>
            <w:tcW w:w="1460" w:type="dxa"/>
          </w:tcPr>
          <w:p w14:paraId="2FAC8456"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Average number of informal mechanisms used</w:t>
            </w:r>
          </w:p>
          <w:p w14:paraId="58A618AD" w14:textId="77777777" w:rsidR="003F4841" w:rsidRPr="006C6BB5" w:rsidRDefault="003F4841" w:rsidP="006D5629">
            <w:pPr>
              <w:spacing w:after="200"/>
              <w:contextualSpacing/>
              <w:jc w:val="center"/>
              <w:rPr>
                <w:rFonts w:ascii="Times New Roman" w:eastAsia="SimSun" w:hAnsi="Times New Roman" w:cs="Times New Roman"/>
                <w:sz w:val="22"/>
                <w:szCs w:val="22"/>
                <w:lang w:eastAsia="zh-CN" w:bidi="he-IL"/>
              </w:rPr>
            </w:pPr>
          </w:p>
        </w:tc>
      </w:tr>
      <w:tr w:rsidR="006D5629" w:rsidRPr="006C6BB5" w14:paraId="3A1B3417" w14:textId="77777777" w:rsidTr="006D5629">
        <w:tc>
          <w:tcPr>
            <w:tcW w:w="3624" w:type="dxa"/>
            <w:vAlign w:val="center"/>
          </w:tcPr>
          <w:p w14:paraId="5FA1AAFE" w14:textId="77777777" w:rsidR="006D5629" w:rsidRPr="006C6BB5" w:rsidRDefault="006D5629" w:rsidP="006D5629">
            <w:pPr>
              <w:contextualSpacing/>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Extraction, mining (10)</w:t>
            </w:r>
          </w:p>
        </w:tc>
        <w:tc>
          <w:tcPr>
            <w:tcW w:w="1460" w:type="dxa"/>
          </w:tcPr>
          <w:p w14:paraId="5829A96A"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26.7</w:t>
            </w:r>
          </w:p>
        </w:tc>
        <w:tc>
          <w:tcPr>
            <w:tcW w:w="1460" w:type="dxa"/>
          </w:tcPr>
          <w:p w14:paraId="51552ADD"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1.3</w:t>
            </w:r>
          </w:p>
        </w:tc>
        <w:tc>
          <w:tcPr>
            <w:tcW w:w="1460" w:type="dxa"/>
          </w:tcPr>
          <w:p w14:paraId="4B5A3494"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46.7</w:t>
            </w:r>
          </w:p>
        </w:tc>
        <w:tc>
          <w:tcPr>
            <w:tcW w:w="1460" w:type="dxa"/>
          </w:tcPr>
          <w:p w14:paraId="5E9FF8DE"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1.1</w:t>
            </w:r>
          </w:p>
        </w:tc>
      </w:tr>
      <w:tr w:rsidR="006D5629" w:rsidRPr="006C6BB5" w14:paraId="7D19E5A8" w14:textId="77777777" w:rsidTr="006D5629">
        <w:tc>
          <w:tcPr>
            <w:tcW w:w="3624" w:type="dxa"/>
            <w:vAlign w:val="center"/>
          </w:tcPr>
          <w:p w14:paraId="40AA2F39"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Food, beverages, and tobacco (15,16)</w:t>
            </w:r>
          </w:p>
        </w:tc>
        <w:tc>
          <w:tcPr>
            <w:tcW w:w="1460" w:type="dxa"/>
          </w:tcPr>
          <w:p w14:paraId="5BE26184"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34.8</w:t>
            </w:r>
          </w:p>
        </w:tc>
        <w:tc>
          <w:tcPr>
            <w:tcW w:w="1460" w:type="dxa"/>
          </w:tcPr>
          <w:p w14:paraId="16C3ED8E"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c>
          <w:tcPr>
            <w:tcW w:w="1460" w:type="dxa"/>
          </w:tcPr>
          <w:p w14:paraId="757D29F0"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66.3</w:t>
            </w:r>
          </w:p>
        </w:tc>
        <w:tc>
          <w:tcPr>
            <w:tcW w:w="1460" w:type="dxa"/>
          </w:tcPr>
          <w:p w14:paraId="5DBED5B8"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r>
      <w:tr w:rsidR="006D5629" w:rsidRPr="006C6BB5" w14:paraId="11932E81" w14:textId="77777777" w:rsidTr="006D5629">
        <w:tc>
          <w:tcPr>
            <w:tcW w:w="3624" w:type="dxa"/>
            <w:vAlign w:val="center"/>
          </w:tcPr>
          <w:p w14:paraId="658C5ADC"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Textile, apparel and leather (17,19)</w:t>
            </w:r>
          </w:p>
        </w:tc>
        <w:tc>
          <w:tcPr>
            <w:tcW w:w="1460" w:type="dxa"/>
          </w:tcPr>
          <w:p w14:paraId="54869B70"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39.4</w:t>
            </w:r>
          </w:p>
        </w:tc>
        <w:tc>
          <w:tcPr>
            <w:tcW w:w="1460" w:type="dxa"/>
          </w:tcPr>
          <w:p w14:paraId="4B05F8A5"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1.1</w:t>
            </w:r>
          </w:p>
        </w:tc>
        <w:tc>
          <w:tcPr>
            <w:tcW w:w="1460" w:type="dxa"/>
          </w:tcPr>
          <w:p w14:paraId="3F20AD6E"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51.5</w:t>
            </w:r>
          </w:p>
        </w:tc>
        <w:tc>
          <w:tcPr>
            <w:tcW w:w="1460" w:type="dxa"/>
          </w:tcPr>
          <w:p w14:paraId="63AA267B"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1.6</w:t>
            </w:r>
          </w:p>
        </w:tc>
      </w:tr>
      <w:tr w:rsidR="006D5629" w:rsidRPr="006C6BB5" w14:paraId="3B0B4CC2" w14:textId="77777777" w:rsidTr="006D5629">
        <w:tc>
          <w:tcPr>
            <w:tcW w:w="3624" w:type="dxa"/>
            <w:vAlign w:val="center"/>
          </w:tcPr>
          <w:p w14:paraId="566BBAF7"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Paper and paper products, wood (21)</w:t>
            </w:r>
          </w:p>
        </w:tc>
        <w:tc>
          <w:tcPr>
            <w:tcW w:w="1460" w:type="dxa"/>
          </w:tcPr>
          <w:p w14:paraId="7DF08718"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30.2</w:t>
            </w:r>
          </w:p>
        </w:tc>
        <w:tc>
          <w:tcPr>
            <w:tcW w:w="1460" w:type="dxa"/>
          </w:tcPr>
          <w:p w14:paraId="0F7B9D1B"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c>
          <w:tcPr>
            <w:tcW w:w="1460" w:type="dxa"/>
          </w:tcPr>
          <w:p w14:paraId="1446D22E"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46.5</w:t>
            </w:r>
          </w:p>
        </w:tc>
        <w:tc>
          <w:tcPr>
            <w:tcW w:w="1460" w:type="dxa"/>
          </w:tcPr>
          <w:p w14:paraId="7BF9D91E"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r>
      <w:tr w:rsidR="006D5629" w:rsidRPr="006C6BB5" w14:paraId="383A128E" w14:textId="77777777" w:rsidTr="006D5629">
        <w:tc>
          <w:tcPr>
            <w:tcW w:w="3624" w:type="dxa"/>
            <w:vAlign w:val="center"/>
          </w:tcPr>
          <w:p w14:paraId="3B8C87DE"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Printing and publishing (22)</w:t>
            </w:r>
          </w:p>
        </w:tc>
        <w:tc>
          <w:tcPr>
            <w:tcW w:w="1460" w:type="dxa"/>
          </w:tcPr>
          <w:p w14:paraId="19451DE0"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27.5</w:t>
            </w:r>
          </w:p>
        </w:tc>
        <w:tc>
          <w:tcPr>
            <w:tcW w:w="1460" w:type="dxa"/>
          </w:tcPr>
          <w:p w14:paraId="0B97E622"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2.0</w:t>
            </w:r>
          </w:p>
        </w:tc>
        <w:tc>
          <w:tcPr>
            <w:tcW w:w="1460" w:type="dxa"/>
          </w:tcPr>
          <w:p w14:paraId="5D644BF7"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30.4</w:t>
            </w:r>
          </w:p>
        </w:tc>
        <w:tc>
          <w:tcPr>
            <w:tcW w:w="1460" w:type="dxa"/>
          </w:tcPr>
          <w:p w14:paraId="6BC3239C"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r>
      <w:tr w:rsidR="006D5629" w:rsidRPr="006C6BB5" w14:paraId="0FCA7C0C" w14:textId="77777777" w:rsidTr="006D5629">
        <w:tc>
          <w:tcPr>
            <w:tcW w:w="3624" w:type="dxa"/>
            <w:vAlign w:val="center"/>
          </w:tcPr>
          <w:p w14:paraId="26E6A73B"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Oil (23)</w:t>
            </w:r>
          </w:p>
        </w:tc>
        <w:tc>
          <w:tcPr>
            <w:tcW w:w="1460" w:type="dxa"/>
          </w:tcPr>
          <w:p w14:paraId="79AA4D82"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30.0</w:t>
            </w:r>
          </w:p>
        </w:tc>
        <w:tc>
          <w:tcPr>
            <w:tcW w:w="1460" w:type="dxa"/>
          </w:tcPr>
          <w:p w14:paraId="156C7495"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2.0</w:t>
            </w:r>
          </w:p>
        </w:tc>
        <w:tc>
          <w:tcPr>
            <w:tcW w:w="1460" w:type="dxa"/>
          </w:tcPr>
          <w:p w14:paraId="7CC13172"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60.0</w:t>
            </w:r>
          </w:p>
        </w:tc>
        <w:tc>
          <w:tcPr>
            <w:tcW w:w="1460" w:type="dxa"/>
          </w:tcPr>
          <w:p w14:paraId="1A92E0E5"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2.0</w:t>
            </w:r>
          </w:p>
        </w:tc>
      </w:tr>
      <w:tr w:rsidR="006D5629" w:rsidRPr="006C6BB5" w14:paraId="3C3AC96D" w14:textId="77777777" w:rsidTr="006D5629">
        <w:tc>
          <w:tcPr>
            <w:tcW w:w="3624" w:type="dxa"/>
            <w:vAlign w:val="center"/>
          </w:tcPr>
          <w:p w14:paraId="66059D71"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Chemicals and pharmaceuticals (24)</w:t>
            </w:r>
          </w:p>
        </w:tc>
        <w:tc>
          <w:tcPr>
            <w:tcW w:w="1460" w:type="dxa"/>
          </w:tcPr>
          <w:p w14:paraId="0075E407"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49.4</w:t>
            </w:r>
          </w:p>
        </w:tc>
        <w:tc>
          <w:tcPr>
            <w:tcW w:w="1460" w:type="dxa"/>
          </w:tcPr>
          <w:p w14:paraId="45B98A34"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1.3</w:t>
            </w:r>
          </w:p>
        </w:tc>
        <w:tc>
          <w:tcPr>
            <w:tcW w:w="1460" w:type="dxa"/>
          </w:tcPr>
          <w:p w14:paraId="79F7C66E"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61.6</w:t>
            </w:r>
          </w:p>
        </w:tc>
        <w:tc>
          <w:tcPr>
            <w:tcW w:w="1460" w:type="dxa"/>
          </w:tcPr>
          <w:p w14:paraId="31845197"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1.7</w:t>
            </w:r>
          </w:p>
        </w:tc>
      </w:tr>
      <w:tr w:rsidR="006D5629" w:rsidRPr="006C6BB5" w14:paraId="648F0A3A" w14:textId="77777777" w:rsidTr="006D5629">
        <w:tc>
          <w:tcPr>
            <w:tcW w:w="3624" w:type="dxa"/>
            <w:vAlign w:val="center"/>
          </w:tcPr>
          <w:p w14:paraId="364E1D96"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Rubber products and plastics (25)</w:t>
            </w:r>
          </w:p>
        </w:tc>
        <w:tc>
          <w:tcPr>
            <w:tcW w:w="1460" w:type="dxa"/>
          </w:tcPr>
          <w:p w14:paraId="6DD1C5CD"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40.0</w:t>
            </w:r>
          </w:p>
        </w:tc>
        <w:tc>
          <w:tcPr>
            <w:tcW w:w="1460" w:type="dxa"/>
          </w:tcPr>
          <w:p w14:paraId="239E4029"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1.7</w:t>
            </w:r>
          </w:p>
        </w:tc>
        <w:tc>
          <w:tcPr>
            <w:tcW w:w="1460" w:type="dxa"/>
          </w:tcPr>
          <w:p w14:paraId="091033F3"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65.5</w:t>
            </w:r>
          </w:p>
        </w:tc>
        <w:tc>
          <w:tcPr>
            <w:tcW w:w="1460" w:type="dxa"/>
          </w:tcPr>
          <w:p w14:paraId="4DA59697"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1.6</w:t>
            </w:r>
          </w:p>
        </w:tc>
      </w:tr>
      <w:tr w:rsidR="006D5629" w:rsidRPr="006C6BB5" w14:paraId="354B95C6" w14:textId="77777777" w:rsidTr="006D5629">
        <w:tc>
          <w:tcPr>
            <w:tcW w:w="3624" w:type="dxa"/>
            <w:vAlign w:val="center"/>
          </w:tcPr>
          <w:p w14:paraId="5E883812"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Basic metals (27)</w:t>
            </w:r>
          </w:p>
        </w:tc>
        <w:tc>
          <w:tcPr>
            <w:tcW w:w="1460" w:type="dxa"/>
          </w:tcPr>
          <w:p w14:paraId="2ADC050C"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38.1</w:t>
            </w:r>
          </w:p>
        </w:tc>
        <w:tc>
          <w:tcPr>
            <w:tcW w:w="1460" w:type="dxa"/>
          </w:tcPr>
          <w:p w14:paraId="55BA7686"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c>
          <w:tcPr>
            <w:tcW w:w="1460" w:type="dxa"/>
          </w:tcPr>
          <w:p w14:paraId="6D61D25C"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66.7</w:t>
            </w:r>
          </w:p>
        </w:tc>
        <w:tc>
          <w:tcPr>
            <w:tcW w:w="1460" w:type="dxa"/>
          </w:tcPr>
          <w:p w14:paraId="5CD011E6"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1.7</w:t>
            </w:r>
          </w:p>
        </w:tc>
      </w:tr>
      <w:tr w:rsidR="006D5629" w:rsidRPr="006C6BB5" w14:paraId="5EA7A04C" w14:textId="77777777" w:rsidTr="006D5629">
        <w:tc>
          <w:tcPr>
            <w:tcW w:w="3624" w:type="dxa"/>
            <w:vAlign w:val="center"/>
          </w:tcPr>
          <w:p w14:paraId="2FBD9204"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Fabricated metal products (28)</w:t>
            </w:r>
          </w:p>
        </w:tc>
        <w:tc>
          <w:tcPr>
            <w:tcW w:w="1460" w:type="dxa"/>
          </w:tcPr>
          <w:p w14:paraId="16976910"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30.3</w:t>
            </w:r>
          </w:p>
        </w:tc>
        <w:tc>
          <w:tcPr>
            <w:tcW w:w="1460" w:type="dxa"/>
          </w:tcPr>
          <w:p w14:paraId="49A65AD6"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1.4</w:t>
            </w:r>
          </w:p>
        </w:tc>
        <w:tc>
          <w:tcPr>
            <w:tcW w:w="1460" w:type="dxa"/>
          </w:tcPr>
          <w:p w14:paraId="0DF79D49"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54.6</w:t>
            </w:r>
          </w:p>
        </w:tc>
        <w:tc>
          <w:tcPr>
            <w:tcW w:w="1460" w:type="dxa"/>
          </w:tcPr>
          <w:p w14:paraId="6F59AF51"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1.3</w:t>
            </w:r>
          </w:p>
        </w:tc>
      </w:tr>
      <w:tr w:rsidR="006D5629" w:rsidRPr="006C6BB5" w14:paraId="61ECBB24" w14:textId="77777777" w:rsidTr="006D5629">
        <w:tc>
          <w:tcPr>
            <w:tcW w:w="3624" w:type="dxa"/>
            <w:vAlign w:val="center"/>
          </w:tcPr>
          <w:p w14:paraId="5FBD76C6"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Machines and equipment (29)</w:t>
            </w:r>
          </w:p>
        </w:tc>
        <w:tc>
          <w:tcPr>
            <w:tcW w:w="1460" w:type="dxa"/>
          </w:tcPr>
          <w:p w14:paraId="02826ABE"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48.6</w:t>
            </w:r>
          </w:p>
        </w:tc>
        <w:tc>
          <w:tcPr>
            <w:tcW w:w="1460" w:type="dxa"/>
          </w:tcPr>
          <w:p w14:paraId="6045A236"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1.6</w:t>
            </w:r>
          </w:p>
        </w:tc>
        <w:tc>
          <w:tcPr>
            <w:tcW w:w="1460" w:type="dxa"/>
          </w:tcPr>
          <w:p w14:paraId="6A6CCB62"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70.5</w:t>
            </w:r>
          </w:p>
        </w:tc>
        <w:tc>
          <w:tcPr>
            <w:tcW w:w="1460" w:type="dxa"/>
          </w:tcPr>
          <w:p w14:paraId="6AC3504E"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r>
      <w:tr w:rsidR="006D5629" w:rsidRPr="006C6BB5" w14:paraId="7A40CA78" w14:textId="77777777" w:rsidTr="006D5629">
        <w:tc>
          <w:tcPr>
            <w:tcW w:w="3624" w:type="dxa"/>
            <w:vAlign w:val="center"/>
          </w:tcPr>
          <w:p w14:paraId="51D4491E"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Office machinery (30)</w:t>
            </w:r>
          </w:p>
        </w:tc>
        <w:tc>
          <w:tcPr>
            <w:tcW w:w="1460" w:type="dxa"/>
          </w:tcPr>
          <w:p w14:paraId="5805D319"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50.6</w:t>
            </w:r>
          </w:p>
        </w:tc>
        <w:tc>
          <w:tcPr>
            <w:tcW w:w="1460" w:type="dxa"/>
          </w:tcPr>
          <w:p w14:paraId="72803FB2"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1.6</w:t>
            </w:r>
          </w:p>
        </w:tc>
        <w:tc>
          <w:tcPr>
            <w:tcW w:w="1460" w:type="dxa"/>
          </w:tcPr>
          <w:p w14:paraId="3D1872CB"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57.1</w:t>
            </w:r>
          </w:p>
        </w:tc>
        <w:tc>
          <w:tcPr>
            <w:tcW w:w="1460" w:type="dxa"/>
          </w:tcPr>
          <w:p w14:paraId="6DF8BB92"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1.6</w:t>
            </w:r>
          </w:p>
        </w:tc>
      </w:tr>
      <w:tr w:rsidR="006D5629" w:rsidRPr="006C6BB5" w14:paraId="6FBF4F96" w14:textId="77777777" w:rsidTr="006D5629">
        <w:tc>
          <w:tcPr>
            <w:tcW w:w="3624" w:type="dxa"/>
            <w:vAlign w:val="center"/>
          </w:tcPr>
          <w:p w14:paraId="22A4564E"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Motor vehicles, other  transport equipment (34, 35)</w:t>
            </w:r>
          </w:p>
        </w:tc>
        <w:tc>
          <w:tcPr>
            <w:tcW w:w="1460" w:type="dxa"/>
          </w:tcPr>
          <w:p w14:paraId="158FB9CB"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42.9</w:t>
            </w:r>
          </w:p>
        </w:tc>
        <w:tc>
          <w:tcPr>
            <w:tcW w:w="1460" w:type="dxa"/>
          </w:tcPr>
          <w:p w14:paraId="45D750DA"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c>
          <w:tcPr>
            <w:tcW w:w="1460" w:type="dxa"/>
          </w:tcPr>
          <w:p w14:paraId="70458632"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41.1</w:t>
            </w:r>
          </w:p>
        </w:tc>
        <w:tc>
          <w:tcPr>
            <w:tcW w:w="1460" w:type="dxa"/>
          </w:tcPr>
          <w:p w14:paraId="363A258C"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1.3</w:t>
            </w:r>
          </w:p>
        </w:tc>
      </w:tr>
      <w:tr w:rsidR="006D5629" w:rsidRPr="006C6BB5" w14:paraId="5C18E9CC" w14:textId="77777777" w:rsidTr="006D5629">
        <w:tc>
          <w:tcPr>
            <w:tcW w:w="3624" w:type="dxa"/>
            <w:vAlign w:val="center"/>
          </w:tcPr>
          <w:p w14:paraId="195D24A2"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 xml:space="preserve">Furniture manufacturing, </w:t>
            </w:r>
            <w:proofErr w:type="spellStart"/>
            <w:r w:rsidRPr="006C6BB5">
              <w:rPr>
                <w:rFonts w:ascii="Times New Roman" w:hAnsi="Times New Roman" w:cs="Times New Roman"/>
                <w:sz w:val="22"/>
                <w:szCs w:val="22"/>
              </w:rPr>
              <w:t>n.e.c</w:t>
            </w:r>
            <w:proofErr w:type="spellEnd"/>
            <w:r w:rsidRPr="006C6BB5">
              <w:rPr>
                <w:rFonts w:ascii="Times New Roman" w:hAnsi="Times New Roman" w:cs="Times New Roman"/>
                <w:sz w:val="22"/>
                <w:szCs w:val="22"/>
              </w:rPr>
              <w:t>. (36)</w:t>
            </w:r>
          </w:p>
        </w:tc>
        <w:tc>
          <w:tcPr>
            <w:tcW w:w="1460" w:type="dxa"/>
          </w:tcPr>
          <w:p w14:paraId="25530723"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40.6</w:t>
            </w:r>
          </w:p>
        </w:tc>
        <w:tc>
          <w:tcPr>
            <w:tcW w:w="1460" w:type="dxa"/>
          </w:tcPr>
          <w:p w14:paraId="7D458A99"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1.6</w:t>
            </w:r>
          </w:p>
        </w:tc>
        <w:tc>
          <w:tcPr>
            <w:tcW w:w="1460" w:type="dxa"/>
          </w:tcPr>
          <w:p w14:paraId="6FE31B52"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51.3</w:t>
            </w:r>
          </w:p>
        </w:tc>
        <w:tc>
          <w:tcPr>
            <w:tcW w:w="1460" w:type="dxa"/>
          </w:tcPr>
          <w:p w14:paraId="769C0FD9"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1.4</w:t>
            </w:r>
          </w:p>
        </w:tc>
      </w:tr>
      <w:tr w:rsidR="006D5629" w:rsidRPr="006C6BB5" w14:paraId="59C08072" w14:textId="77777777" w:rsidTr="006D5629">
        <w:tc>
          <w:tcPr>
            <w:tcW w:w="3624" w:type="dxa"/>
            <w:vAlign w:val="center"/>
          </w:tcPr>
          <w:p w14:paraId="42CE1B97"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Other (40)</w:t>
            </w:r>
          </w:p>
        </w:tc>
        <w:tc>
          <w:tcPr>
            <w:tcW w:w="1460" w:type="dxa"/>
          </w:tcPr>
          <w:p w14:paraId="78053995"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20.8</w:t>
            </w:r>
          </w:p>
        </w:tc>
        <w:tc>
          <w:tcPr>
            <w:tcW w:w="1460" w:type="dxa"/>
          </w:tcPr>
          <w:p w14:paraId="7B7EFF23"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1.3</w:t>
            </w:r>
          </w:p>
        </w:tc>
        <w:tc>
          <w:tcPr>
            <w:tcW w:w="1460" w:type="dxa"/>
          </w:tcPr>
          <w:p w14:paraId="520EE537"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35.1</w:t>
            </w:r>
          </w:p>
        </w:tc>
        <w:tc>
          <w:tcPr>
            <w:tcW w:w="1460" w:type="dxa"/>
          </w:tcPr>
          <w:p w14:paraId="207C406E" w14:textId="77777777" w:rsidR="006D5629" w:rsidRPr="006C6BB5" w:rsidRDefault="006D5629" w:rsidP="006D5629">
            <w:pPr>
              <w:spacing w:after="200"/>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r>
      <w:tr w:rsidR="006D5629" w:rsidRPr="006C6BB5" w14:paraId="01089703" w14:textId="77777777" w:rsidTr="006D5629">
        <w:tc>
          <w:tcPr>
            <w:tcW w:w="3624" w:type="dxa"/>
            <w:vAlign w:val="center"/>
          </w:tcPr>
          <w:p w14:paraId="085D97D6" w14:textId="77777777" w:rsidR="003F4841" w:rsidRPr="006C6BB5" w:rsidRDefault="003F4841" w:rsidP="006D5629">
            <w:pPr>
              <w:rPr>
                <w:rFonts w:ascii="Times New Roman" w:hAnsi="Times New Roman" w:cs="Times New Roman"/>
                <w:sz w:val="22"/>
                <w:szCs w:val="22"/>
              </w:rPr>
            </w:pPr>
          </w:p>
          <w:p w14:paraId="490C7001" w14:textId="77777777" w:rsidR="006D5629" w:rsidRPr="006C6BB5" w:rsidRDefault="006D5629" w:rsidP="006D5629">
            <w:pPr>
              <w:rPr>
                <w:rFonts w:ascii="Times New Roman" w:hAnsi="Times New Roman" w:cs="Times New Roman"/>
                <w:sz w:val="22"/>
                <w:szCs w:val="22"/>
              </w:rPr>
            </w:pPr>
            <w:r w:rsidRPr="006C6BB5">
              <w:rPr>
                <w:rFonts w:ascii="Times New Roman" w:hAnsi="Times New Roman" w:cs="Times New Roman"/>
                <w:sz w:val="22"/>
                <w:szCs w:val="22"/>
              </w:rPr>
              <w:t>Average</w:t>
            </w:r>
          </w:p>
        </w:tc>
        <w:tc>
          <w:tcPr>
            <w:tcW w:w="1460" w:type="dxa"/>
            <w:vAlign w:val="center"/>
          </w:tcPr>
          <w:p w14:paraId="1275D092" w14:textId="77777777" w:rsidR="003F4841" w:rsidRPr="006C6BB5" w:rsidRDefault="003F4841" w:rsidP="006D5629">
            <w:pPr>
              <w:contextualSpacing/>
              <w:jc w:val="center"/>
              <w:rPr>
                <w:rFonts w:ascii="Times New Roman" w:eastAsia="SimSun" w:hAnsi="Times New Roman" w:cs="Times New Roman"/>
                <w:sz w:val="22"/>
                <w:szCs w:val="22"/>
                <w:lang w:eastAsia="zh-CN" w:bidi="he-IL"/>
              </w:rPr>
            </w:pPr>
          </w:p>
          <w:p w14:paraId="7D31A0FD" w14:textId="77777777" w:rsidR="006D5629" w:rsidRPr="006C6BB5" w:rsidRDefault="006D5629" w:rsidP="006D5629">
            <w:pPr>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34.9</w:t>
            </w:r>
          </w:p>
        </w:tc>
        <w:tc>
          <w:tcPr>
            <w:tcW w:w="1460" w:type="dxa"/>
            <w:vAlign w:val="center"/>
          </w:tcPr>
          <w:p w14:paraId="4B3384AD" w14:textId="77777777" w:rsidR="003F4841" w:rsidRPr="006C6BB5" w:rsidRDefault="003F4841" w:rsidP="006D5629">
            <w:pPr>
              <w:contextualSpacing/>
              <w:jc w:val="center"/>
              <w:rPr>
                <w:rFonts w:ascii="Times New Roman" w:eastAsia="SimSun" w:hAnsi="Times New Roman" w:cs="Times New Roman"/>
                <w:sz w:val="22"/>
                <w:szCs w:val="22"/>
                <w:lang w:eastAsia="zh-CN" w:bidi="he-IL"/>
              </w:rPr>
            </w:pPr>
          </w:p>
          <w:p w14:paraId="73FA06D0" w14:textId="77777777" w:rsidR="006D5629" w:rsidRPr="006C6BB5" w:rsidRDefault="006D5629" w:rsidP="006D5629">
            <w:pPr>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c>
          <w:tcPr>
            <w:tcW w:w="1460" w:type="dxa"/>
          </w:tcPr>
          <w:p w14:paraId="09968FE3" w14:textId="77777777" w:rsidR="003F4841" w:rsidRPr="006C6BB5" w:rsidRDefault="003F4841" w:rsidP="006D5629">
            <w:pPr>
              <w:contextualSpacing/>
              <w:jc w:val="center"/>
              <w:rPr>
                <w:rFonts w:ascii="Times New Roman" w:eastAsia="SimSun" w:hAnsi="Times New Roman" w:cs="Times New Roman"/>
                <w:sz w:val="22"/>
                <w:szCs w:val="22"/>
                <w:lang w:eastAsia="zh-CN" w:bidi="he-IL"/>
              </w:rPr>
            </w:pPr>
          </w:p>
          <w:p w14:paraId="59E451F9" w14:textId="77777777" w:rsidR="006D5629" w:rsidRPr="006C6BB5" w:rsidRDefault="006D5629" w:rsidP="006D5629">
            <w:pPr>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51.6</w:t>
            </w:r>
          </w:p>
        </w:tc>
        <w:tc>
          <w:tcPr>
            <w:tcW w:w="1460" w:type="dxa"/>
          </w:tcPr>
          <w:p w14:paraId="701AB235" w14:textId="77777777" w:rsidR="003F4841" w:rsidRPr="006C6BB5" w:rsidRDefault="003F4841" w:rsidP="006D5629">
            <w:pPr>
              <w:contextualSpacing/>
              <w:jc w:val="center"/>
              <w:rPr>
                <w:rFonts w:ascii="Times New Roman" w:eastAsia="SimSun" w:hAnsi="Times New Roman" w:cs="Times New Roman"/>
                <w:sz w:val="22"/>
                <w:szCs w:val="22"/>
                <w:lang w:eastAsia="zh-CN" w:bidi="he-IL"/>
              </w:rPr>
            </w:pPr>
          </w:p>
          <w:p w14:paraId="27299367" w14:textId="77777777" w:rsidR="006D5629" w:rsidRPr="006C6BB5" w:rsidRDefault="006D5629" w:rsidP="006D5629">
            <w:pPr>
              <w:contextualSpacing/>
              <w:jc w:val="center"/>
              <w:rPr>
                <w:rFonts w:ascii="Times New Roman" w:eastAsia="SimSun" w:hAnsi="Times New Roman" w:cs="Times New Roman"/>
                <w:sz w:val="22"/>
                <w:szCs w:val="22"/>
                <w:lang w:eastAsia="zh-CN" w:bidi="he-IL"/>
              </w:rPr>
            </w:pPr>
            <w:r w:rsidRPr="006C6BB5">
              <w:rPr>
                <w:rFonts w:ascii="Times New Roman" w:eastAsia="SimSun" w:hAnsi="Times New Roman" w:cs="Times New Roman"/>
                <w:sz w:val="22"/>
                <w:szCs w:val="22"/>
                <w:lang w:eastAsia="zh-CN" w:bidi="he-IL"/>
              </w:rPr>
              <w:t>1.5</w:t>
            </w:r>
          </w:p>
        </w:tc>
      </w:tr>
    </w:tbl>
    <w:p w14:paraId="4195F13B" w14:textId="77777777" w:rsidR="006D5629" w:rsidRPr="006C6BB5" w:rsidRDefault="006D5629" w:rsidP="006D5629">
      <w:pPr>
        <w:spacing w:after="200"/>
        <w:contextualSpacing/>
        <w:jc w:val="center"/>
        <w:rPr>
          <w:rFonts w:eastAsia="SimSun"/>
          <w:b/>
          <w:sz w:val="22"/>
          <w:szCs w:val="22"/>
          <w:lang w:val="en-GB" w:eastAsia="zh-CN" w:bidi="he-IL"/>
        </w:rPr>
      </w:pPr>
    </w:p>
    <w:p w14:paraId="3054458B" w14:textId="77777777" w:rsidR="006D5629" w:rsidRPr="006C6BB5" w:rsidRDefault="006D5629" w:rsidP="006D5629">
      <w:pPr>
        <w:spacing w:after="200" w:line="276" w:lineRule="auto"/>
        <w:rPr>
          <w:b/>
          <w:bCs/>
          <w:sz w:val="22"/>
          <w:szCs w:val="22"/>
          <w:lang w:val="en-GB"/>
        </w:rPr>
      </w:pPr>
      <w:r w:rsidRPr="006C6BB5">
        <w:rPr>
          <w:b/>
          <w:bCs/>
          <w:sz w:val="22"/>
          <w:szCs w:val="22"/>
          <w:lang w:val="en-GB"/>
        </w:rPr>
        <w:br w:type="page"/>
      </w:r>
    </w:p>
    <w:p w14:paraId="2BFCB406" w14:textId="77777777" w:rsidR="006D5629" w:rsidRPr="006C6BB5" w:rsidRDefault="006D5629" w:rsidP="006D5629">
      <w:pPr>
        <w:spacing w:after="200"/>
        <w:contextualSpacing/>
        <w:jc w:val="center"/>
        <w:rPr>
          <w:b/>
          <w:bCs/>
          <w:sz w:val="22"/>
          <w:szCs w:val="22"/>
          <w:lang w:val="en-GB"/>
        </w:rPr>
      </w:pPr>
      <w:r w:rsidRPr="006C6BB5">
        <w:rPr>
          <w:b/>
          <w:bCs/>
          <w:sz w:val="22"/>
          <w:szCs w:val="22"/>
          <w:lang w:val="en-GB"/>
        </w:rPr>
        <w:lastRenderedPageBreak/>
        <w:t xml:space="preserve">TABLE 3 INSTRUMENTAL VARIABLES ANALYSIS OF FIRMS' USE OF </w:t>
      </w:r>
    </w:p>
    <w:p w14:paraId="18930B72" w14:textId="77777777" w:rsidR="006D5629" w:rsidRPr="006C6BB5" w:rsidRDefault="006D5629" w:rsidP="006D5629">
      <w:pPr>
        <w:spacing w:after="200"/>
        <w:contextualSpacing/>
        <w:jc w:val="center"/>
        <w:rPr>
          <w:rFonts w:eastAsia="SimSun"/>
          <w:b/>
          <w:sz w:val="22"/>
          <w:szCs w:val="22"/>
          <w:lang w:val="en-GB" w:eastAsia="zh-CN" w:bidi="he-IL"/>
        </w:rPr>
      </w:pPr>
      <w:r w:rsidRPr="006C6BB5">
        <w:rPr>
          <w:b/>
          <w:bCs/>
          <w:sz w:val="22"/>
          <w:szCs w:val="22"/>
          <w:lang w:val="en-GB"/>
        </w:rPr>
        <w:t xml:space="preserve">FORMAL APPROPRIATION MECHANISMS </w:t>
      </w:r>
    </w:p>
    <w:tbl>
      <w:tblPr>
        <w:tblW w:w="9039" w:type="dxa"/>
        <w:tblLayout w:type="fixed"/>
        <w:tblLook w:val="04A0" w:firstRow="1" w:lastRow="0" w:firstColumn="1" w:lastColumn="0" w:noHBand="0" w:noVBand="1"/>
      </w:tblPr>
      <w:tblGrid>
        <w:gridCol w:w="4077"/>
        <w:gridCol w:w="1654"/>
        <w:gridCol w:w="1654"/>
        <w:gridCol w:w="1654"/>
      </w:tblGrid>
      <w:tr w:rsidR="006D5629" w:rsidRPr="006C6BB5" w14:paraId="307B3711" w14:textId="77777777" w:rsidTr="006D5629">
        <w:tc>
          <w:tcPr>
            <w:tcW w:w="4077" w:type="dxa"/>
            <w:tcBorders>
              <w:top w:val="nil"/>
              <w:left w:val="nil"/>
              <w:bottom w:val="single" w:sz="8" w:space="0" w:color="auto"/>
              <w:right w:val="nil"/>
            </w:tcBorders>
            <w:hideMark/>
          </w:tcPr>
          <w:p w14:paraId="5C2ACFE8" w14:textId="77777777" w:rsidR="006D5629" w:rsidRPr="006C6BB5" w:rsidRDefault="006D5629" w:rsidP="006D5629">
            <w:pPr>
              <w:widowControl w:val="0"/>
              <w:autoSpaceDE w:val="0"/>
              <w:autoSpaceDN w:val="0"/>
              <w:adjustRightInd w:val="0"/>
              <w:spacing w:line="360" w:lineRule="auto"/>
              <w:rPr>
                <w:b/>
                <w:sz w:val="22"/>
                <w:szCs w:val="22"/>
                <w:lang w:val="en-GB" w:eastAsia="zh-CN"/>
              </w:rPr>
            </w:pPr>
          </w:p>
          <w:p w14:paraId="7176D9A9" w14:textId="77777777" w:rsidR="006D5629" w:rsidRPr="006C6BB5" w:rsidRDefault="006D5629" w:rsidP="006D5629">
            <w:pPr>
              <w:widowControl w:val="0"/>
              <w:autoSpaceDE w:val="0"/>
              <w:autoSpaceDN w:val="0"/>
              <w:adjustRightInd w:val="0"/>
              <w:spacing w:line="360" w:lineRule="auto"/>
              <w:rPr>
                <w:b/>
                <w:sz w:val="22"/>
                <w:szCs w:val="22"/>
                <w:vertAlign w:val="subscript"/>
                <w:lang w:val="en-GB" w:eastAsia="zh-CN"/>
              </w:rPr>
            </w:pPr>
          </w:p>
        </w:tc>
        <w:tc>
          <w:tcPr>
            <w:tcW w:w="1654" w:type="dxa"/>
            <w:tcBorders>
              <w:top w:val="nil"/>
              <w:left w:val="nil"/>
              <w:bottom w:val="single" w:sz="8" w:space="0" w:color="auto"/>
              <w:right w:val="nil"/>
            </w:tcBorders>
            <w:hideMark/>
          </w:tcPr>
          <w:p w14:paraId="77891530"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p>
          <w:p w14:paraId="60FEC8BF"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Model 1</w:t>
            </w:r>
          </w:p>
          <w:p w14:paraId="3C876F8A"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All firms</w:t>
            </w:r>
          </w:p>
          <w:p w14:paraId="29684066" w14:textId="07998D65" w:rsidR="00A65F4C" w:rsidRPr="006C6BB5" w:rsidRDefault="00A65F4C" w:rsidP="006D5629">
            <w:pPr>
              <w:widowControl w:val="0"/>
              <w:autoSpaceDE w:val="0"/>
              <w:autoSpaceDN w:val="0"/>
              <w:adjustRightInd w:val="0"/>
              <w:spacing w:line="360" w:lineRule="auto"/>
              <w:jc w:val="center"/>
              <w:rPr>
                <w:b/>
                <w:i/>
                <w:sz w:val="22"/>
                <w:szCs w:val="22"/>
                <w:lang w:val="en-GB" w:eastAsia="zh-CN"/>
              </w:rPr>
            </w:pPr>
            <w:r w:rsidRPr="006C6BB5">
              <w:rPr>
                <w:b/>
                <w:i/>
                <w:sz w:val="22"/>
                <w:szCs w:val="22"/>
                <w:lang w:val="en-GB" w:eastAsia="zh-CN"/>
              </w:rPr>
              <w:t>H1a, H2a, H3a</w:t>
            </w:r>
            <w:r w:rsidR="0047721D">
              <w:rPr>
                <w:b/>
                <w:i/>
                <w:sz w:val="22"/>
                <w:szCs w:val="22"/>
                <w:lang w:val="en-GB" w:eastAsia="zh-CN"/>
              </w:rPr>
              <w:t>, H4a</w:t>
            </w:r>
          </w:p>
        </w:tc>
        <w:tc>
          <w:tcPr>
            <w:tcW w:w="1654" w:type="dxa"/>
            <w:tcBorders>
              <w:top w:val="nil"/>
              <w:left w:val="nil"/>
              <w:bottom w:val="single" w:sz="8" w:space="0" w:color="auto"/>
              <w:right w:val="nil"/>
            </w:tcBorders>
            <w:hideMark/>
          </w:tcPr>
          <w:p w14:paraId="1F7B49F2"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p>
          <w:p w14:paraId="57D087ED"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Model 2</w:t>
            </w:r>
          </w:p>
          <w:p w14:paraId="4963F479"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Radical innovators</w:t>
            </w:r>
          </w:p>
          <w:p w14:paraId="75FB8615" w14:textId="353D4DD1" w:rsidR="00A65F4C" w:rsidRPr="006C6BB5" w:rsidRDefault="00A65F4C" w:rsidP="006D5629">
            <w:pPr>
              <w:widowControl w:val="0"/>
              <w:autoSpaceDE w:val="0"/>
              <w:autoSpaceDN w:val="0"/>
              <w:adjustRightInd w:val="0"/>
              <w:spacing w:line="360" w:lineRule="auto"/>
              <w:jc w:val="center"/>
              <w:rPr>
                <w:b/>
                <w:i/>
                <w:sz w:val="22"/>
                <w:szCs w:val="22"/>
                <w:lang w:val="en-GB" w:eastAsia="zh-CN"/>
              </w:rPr>
            </w:pPr>
            <w:r w:rsidRPr="006C6BB5">
              <w:rPr>
                <w:b/>
                <w:i/>
                <w:sz w:val="22"/>
                <w:szCs w:val="22"/>
                <w:lang w:val="en-GB" w:eastAsia="zh-CN"/>
              </w:rPr>
              <w:t>H</w:t>
            </w:r>
            <w:r w:rsidR="0047721D">
              <w:rPr>
                <w:b/>
                <w:i/>
                <w:sz w:val="22"/>
                <w:szCs w:val="22"/>
                <w:lang w:val="en-GB" w:eastAsia="zh-CN"/>
              </w:rPr>
              <w:t>6</w:t>
            </w:r>
            <w:r w:rsidRPr="006C6BB5">
              <w:rPr>
                <w:b/>
                <w:i/>
                <w:sz w:val="22"/>
                <w:szCs w:val="22"/>
                <w:lang w:val="en-GB" w:eastAsia="zh-CN"/>
              </w:rPr>
              <w:t>a</w:t>
            </w:r>
          </w:p>
        </w:tc>
        <w:tc>
          <w:tcPr>
            <w:tcW w:w="1654" w:type="dxa"/>
            <w:tcBorders>
              <w:top w:val="nil"/>
              <w:left w:val="nil"/>
              <w:bottom w:val="single" w:sz="8" w:space="0" w:color="auto"/>
              <w:right w:val="nil"/>
            </w:tcBorders>
            <w:hideMark/>
          </w:tcPr>
          <w:p w14:paraId="4D53BE8D"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p>
          <w:p w14:paraId="20C208DB"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Model 3</w:t>
            </w:r>
          </w:p>
          <w:p w14:paraId="7C9ABFD8"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Incremental innovators</w:t>
            </w:r>
          </w:p>
          <w:p w14:paraId="4EDA8709" w14:textId="0BDF18DB" w:rsidR="00A65F4C" w:rsidRPr="006C6BB5" w:rsidRDefault="00A65F4C" w:rsidP="006D5629">
            <w:pPr>
              <w:widowControl w:val="0"/>
              <w:autoSpaceDE w:val="0"/>
              <w:autoSpaceDN w:val="0"/>
              <w:adjustRightInd w:val="0"/>
              <w:spacing w:line="360" w:lineRule="auto"/>
              <w:jc w:val="center"/>
              <w:rPr>
                <w:b/>
                <w:i/>
                <w:sz w:val="22"/>
                <w:szCs w:val="22"/>
                <w:lang w:val="en-GB" w:eastAsia="zh-CN"/>
              </w:rPr>
            </w:pPr>
            <w:r w:rsidRPr="006C6BB5">
              <w:rPr>
                <w:b/>
                <w:i/>
                <w:sz w:val="22"/>
                <w:szCs w:val="22"/>
                <w:lang w:val="en-GB" w:eastAsia="zh-CN"/>
              </w:rPr>
              <w:t>H</w:t>
            </w:r>
            <w:r w:rsidR="0047721D">
              <w:rPr>
                <w:b/>
                <w:i/>
                <w:sz w:val="22"/>
                <w:szCs w:val="22"/>
                <w:lang w:val="en-GB" w:eastAsia="zh-CN"/>
              </w:rPr>
              <w:t>5</w:t>
            </w:r>
          </w:p>
        </w:tc>
      </w:tr>
      <w:tr w:rsidR="006D5629" w:rsidRPr="006C6BB5" w14:paraId="2EBFE83C" w14:textId="77777777" w:rsidTr="006D5629">
        <w:tc>
          <w:tcPr>
            <w:tcW w:w="4077" w:type="dxa"/>
            <w:vMerge w:val="restart"/>
            <w:tcBorders>
              <w:top w:val="single" w:sz="8" w:space="0" w:color="auto"/>
              <w:left w:val="nil"/>
              <w:bottom w:val="nil"/>
              <w:right w:val="nil"/>
            </w:tcBorders>
          </w:tcPr>
          <w:p w14:paraId="01FC5601" w14:textId="77777777" w:rsidR="006D5629" w:rsidRPr="006C6BB5" w:rsidRDefault="006D5629" w:rsidP="006D5629">
            <w:pPr>
              <w:widowControl w:val="0"/>
              <w:autoSpaceDE w:val="0"/>
              <w:autoSpaceDN w:val="0"/>
              <w:adjustRightInd w:val="0"/>
              <w:spacing w:line="360" w:lineRule="auto"/>
              <w:rPr>
                <w:sz w:val="22"/>
                <w:szCs w:val="22"/>
                <w:lang w:val="en-GB"/>
              </w:rPr>
            </w:pPr>
          </w:p>
          <w:p w14:paraId="487C1B23"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rPr>
              <w:t xml:space="preserve">External search </w:t>
            </w:r>
            <w:r w:rsidRPr="006C6BB5">
              <w:rPr>
                <w:sz w:val="22"/>
                <w:szCs w:val="22"/>
                <w:lang w:val="en-GB" w:eastAsia="zh-CN"/>
              </w:rPr>
              <w:t xml:space="preserve">breadth </w:t>
            </w:r>
          </w:p>
        </w:tc>
        <w:tc>
          <w:tcPr>
            <w:tcW w:w="1654" w:type="dxa"/>
            <w:tcBorders>
              <w:top w:val="single" w:sz="8" w:space="0" w:color="auto"/>
              <w:left w:val="nil"/>
              <w:bottom w:val="nil"/>
              <w:right w:val="nil"/>
            </w:tcBorders>
          </w:tcPr>
          <w:p w14:paraId="5C29DF17" w14:textId="77777777" w:rsidR="006D5629" w:rsidRPr="006C6BB5" w:rsidRDefault="006D5629" w:rsidP="006D5629">
            <w:pPr>
              <w:spacing w:line="360" w:lineRule="auto"/>
              <w:jc w:val="center"/>
              <w:rPr>
                <w:sz w:val="22"/>
                <w:szCs w:val="22"/>
                <w:lang w:val="en-GB" w:eastAsia="zh-CN"/>
              </w:rPr>
            </w:pPr>
          </w:p>
          <w:p w14:paraId="4D6049E0"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0.248***</w:t>
            </w:r>
          </w:p>
        </w:tc>
        <w:tc>
          <w:tcPr>
            <w:tcW w:w="1654" w:type="dxa"/>
            <w:tcBorders>
              <w:top w:val="single" w:sz="8" w:space="0" w:color="auto"/>
              <w:left w:val="nil"/>
              <w:bottom w:val="nil"/>
              <w:right w:val="nil"/>
            </w:tcBorders>
          </w:tcPr>
          <w:p w14:paraId="01FEEC06" w14:textId="77777777" w:rsidR="006D5629" w:rsidRPr="006C6BB5" w:rsidRDefault="006D5629" w:rsidP="006D5629">
            <w:pPr>
              <w:spacing w:line="360" w:lineRule="auto"/>
              <w:jc w:val="center"/>
              <w:rPr>
                <w:sz w:val="22"/>
                <w:szCs w:val="22"/>
                <w:lang w:val="en-GB" w:eastAsia="zh-CN"/>
              </w:rPr>
            </w:pPr>
          </w:p>
          <w:p w14:paraId="2BB146E5"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0.080</w:t>
            </w:r>
          </w:p>
        </w:tc>
        <w:tc>
          <w:tcPr>
            <w:tcW w:w="1654" w:type="dxa"/>
            <w:tcBorders>
              <w:top w:val="single" w:sz="8" w:space="0" w:color="auto"/>
              <w:left w:val="nil"/>
              <w:bottom w:val="nil"/>
              <w:right w:val="nil"/>
            </w:tcBorders>
          </w:tcPr>
          <w:p w14:paraId="4AF9992F" w14:textId="77777777" w:rsidR="006D5629" w:rsidRPr="006C6BB5" w:rsidRDefault="006D5629" w:rsidP="006D5629">
            <w:pPr>
              <w:spacing w:line="360" w:lineRule="auto"/>
              <w:jc w:val="center"/>
              <w:rPr>
                <w:sz w:val="22"/>
                <w:szCs w:val="22"/>
                <w:lang w:val="en-GB" w:eastAsia="zh-CN"/>
              </w:rPr>
            </w:pPr>
          </w:p>
          <w:p w14:paraId="64767052"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0.234***</w:t>
            </w:r>
          </w:p>
        </w:tc>
      </w:tr>
      <w:tr w:rsidR="006D5629" w:rsidRPr="006C6BB5" w14:paraId="02A4FC55" w14:textId="77777777" w:rsidTr="006D5629">
        <w:tc>
          <w:tcPr>
            <w:tcW w:w="4077" w:type="dxa"/>
            <w:vMerge/>
            <w:tcBorders>
              <w:top w:val="single" w:sz="8" w:space="0" w:color="auto"/>
              <w:left w:val="nil"/>
              <w:bottom w:val="nil"/>
              <w:right w:val="nil"/>
            </w:tcBorders>
            <w:vAlign w:val="center"/>
          </w:tcPr>
          <w:p w14:paraId="133D1599" w14:textId="77777777" w:rsidR="006D5629" w:rsidRPr="006C6BB5" w:rsidRDefault="006D5629" w:rsidP="006D5629">
            <w:pPr>
              <w:spacing w:line="360" w:lineRule="auto"/>
              <w:rPr>
                <w:sz w:val="22"/>
                <w:szCs w:val="22"/>
                <w:vertAlign w:val="subscript"/>
                <w:lang w:val="en-GB" w:eastAsia="zh-CN"/>
              </w:rPr>
            </w:pPr>
          </w:p>
        </w:tc>
        <w:tc>
          <w:tcPr>
            <w:tcW w:w="1654" w:type="dxa"/>
          </w:tcPr>
          <w:p w14:paraId="2972533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(0.090)</w:t>
            </w:r>
          </w:p>
        </w:tc>
        <w:tc>
          <w:tcPr>
            <w:tcW w:w="1654" w:type="dxa"/>
          </w:tcPr>
          <w:p w14:paraId="21EF4D82"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(0.106)</w:t>
            </w:r>
          </w:p>
        </w:tc>
        <w:tc>
          <w:tcPr>
            <w:tcW w:w="1654" w:type="dxa"/>
          </w:tcPr>
          <w:p w14:paraId="747D369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(0.088)</w:t>
            </w:r>
          </w:p>
        </w:tc>
      </w:tr>
      <w:tr w:rsidR="006D5629" w:rsidRPr="006C6BB5" w14:paraId="3F055B5D" w14:textId="77777777" w:rsidTr="006D5629">
        <w:tc>
          <w:tcPr>
            <w:tcW w:w="4077" w:type="dxa"/>
            <w:vMerge w:val="restart"/>
          </w:tcPr>
          <w:p w14:paraId="0E70ED86"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rPr>
              <w:t xml:space="preserve">External search </w:t>
            </w:r>
            <w:r w:rsidRPr="006C6BB5">
              <w:rPr>
                <w:sz w:val="22"/>
                <w:szCs w:val="22"/>
                <w:lang w:val="en-GB" w:eastAsia="zh-CN"/>
              </w:rPr>
              <w:t>depth</w:t>
            </w:r>
          </w:p>
        </w:tc>
        <w:tc>
          <w:tcPr>
            <w:tcW w:w="1654" w:type="dxa"/>
          </w:tcPr>
          <w:p w14:paraId="1D54DA57"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0.152</w:t>
            </w:r>
          </w:p>
        </w:tc>
        <w:tc>
          <w:tcPr>
            <w:tcW w:w="1654" w:type="dxa"/>
          </w:tcPr>
          <w:p w14:paraId="5B490FF9"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1.106***</w:t>
            </w:r>
          </w:p>
        </w:tc>
        <w:tc>
          <w:tcPr>
            <w:tcW w:w="1654" w:type="dxa"/>
          </w:tcPr>
          <w:p w14:paraId="1CF6B187"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-0.412</w:t>
            </w:r>
          </w:p>
        </w:tc>
      </w:tr>
      <w:tr w:rsidR="006D5629" w:rsidRPr="006C6BB5" w14:paraId="7814CE5E" w14:textId="77777777" w:rsidTr="006D5629">
        <w:tc>
          <w:tcPr>
            <w:tcW w:w="4077" w:type="dxa"/>
            <w:vMerge/>
            <w:vAlign w:val="center"/>
          </w:tcPr>
          <w:p w14:paraId="4B8ED806" w14:textId="77777777" w:rsidR="006D5629" w:rsidRPr="006C6BB5" w:rsidRDefault="006D5629" w:rsidP="006D5629">
            <w:pPr>
              <w:spacing w:line="360" w:lineRule="auto"/>
              <w:rPr>
                <w:sz w:val="22"/>
                <w:szCs w:val="22"/>
                <w:vertAlign w:val="subscript"/>
                <w:lang w:val="en-GB" w:eastAsia="zh-CN"/>
              </w:rPr>
            </w:pPr>
          </w:p>
        </w:tc>
        <w:tc>
          <w:tcPr>
            <w:tcW w:w="1654" w:type="dxa"/>
          </w:tcPr>
          <w:p w14:paraId="420244D5"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(0.444)</w:t>
            </w:r>
          </w:p>
        </w:tc>
        <w:tc>
          <w:tcPr>
            <w:tcW w:w="1654" w:type="dxa"/>
          </w:tcPr>
          <w:p w14:paraId="6C17735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(0.415)</w:t>
            </w:r>
          </w:p>
        </w:tc>
        <w:tc>
          <w:tcPr>
            <w:tcW w:w="1654" w:type="dxa"/>
          </w:tcPr>
          <w:p w14:paraId="5AB1F51A"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(0.492)</w:t>
            </w:r>
          </w:p>
        </w:tc>
      </w:tr>
      <w:tr w:rsidR="006D5629" w:rsidRPr="006C6BB5" w14:paraId="32175767" w14:textId="77777777" w:rsidTr="006D5629">
        <w:tc>
          <w:tcPr>
            <w:tcW w:w="4077" w:type="dxa"/>
            <w:vMerge w:val="restart"/>
          </w:tcPr>
          <w:p w14:paraId="513DE9E1"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eastAsia="zh-CN"/>
              </w:rPr>
              <w:t>Share of incremental innovation</w:t>
            </w:r>
          </w:p>
        </w:tc>
        <w:tc>
          <w:tcPr>
            <w:tcW w:w="1654" w:type="dxa"/>
          </w:tcPr>
          <w:p w14:paraId="4F422EC9"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0.280**</w:t>
            </w:r>
          </w:p>
        </w:tc>
        <w:tc>
          <w:tcPr>
            <w:tcW w:w="1654" w:type="dxa"/>
          </w:tcPr>
          <w:p w14:paraId="3909AAE3"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0.282</w:t>
            </w:r>
          </w:p>
        </w:tc>
        <w:tc>
          <w:tcPr>
            <w:tcW w:w="1654" w:type="dxa"/>
          </w:tcPr>
          <w:p w14:paraId="42EDA673"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0.255</w:t>
            </w:r>
          </w:p>
        </w:tc>
      </w:tr>
      <w:tr w:rsidR="006D5629" w:rsidRPr="006C6BB5" w14:paraId="24729C88" w14:textId="77777777" w:rsidTr="006D5629">
        <w:tc>
          <w:tcPr>
            <w:tcW w:w="4077" w:type="dxa"/>
            <w:vMerge/>
            <w:vAlign w:val="center"/>
          </w:tcPr>
          <w:p w14:paraId="4480EB27" w14:textId="77777777" w:rsidR="006D5629" w:rsidRPr="006C6BB5" w:rsidRDefault="006D5629" w:rsidP="006D5629">
            <w:pPr>
              <w:spacing w:line="360" w:lineRule="auto"/>
              <w:rPr>
                <w:sz w:val="22"/>
                <w:szCs w:val="22"/>
                <w:vertAlign w:val="subscript"/>
                <w:lang w:val="en-GB" w:eastAsia="zh-CN"/>
              </w:rPr>
            </w:pPr>
          </w:p>
        </w:tc>
        <w:tc>
          <w:tcPr>
            <w:tcW w:w="1654" w:type="dxa"/>
          </w:tcPr>
          <w:p w14:paraId="20C9FDC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(0.137)</w:t>
            </w:r>
          </w:p>
        </w:tc>
        <w:tc>
          <w:tcPr>
            <w:tcW w:w="1654" w:type="dxa"/>
          </w:tcPr>
          <w:p w14:paraId="00188CA4"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(0.215)</w:t>
            </w:r>
          </w:p>
        </w:tc>
        <w:tc>
          <w:tcPr>
            <w:tcW w:w="1654" w:type="dxa"/>
          </w:tcPr>
          <w:p w14:paraId="48D8138B"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(0.199)</w:t>
            </w:r>
          </w:p>
        </w:tc>
      </w:tr>
      <w:tr w:rsidR="006D5629" w:rsidRPr="006C6BB5" w14:paraId="74419D42" w14:textId="77777777" w:rsidTr="006D5629">
        <w:tc>
          <w:tcPr>
            <w:tcW w:w="4077" w:type="dxa"/>
            <w:vMerge w:val="restart"/>
          </w:tcPr>
          <w:p w14:paraId="5BEBD722"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eastAsia="zh-CN"/>
              </w:rPr>
              <w:t xml:space="preserve">Share of radical innovation </w:t>
            </w:r>
          </w:p>
        </w:tc>
        <w:tc>
          <w:tcPr>
            <w:tcW w:w="1654" w:type="dxa"/>
          </w:tcPr>
          <w:p w14:paraId="01A9295E"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-0.599**</w:t>
            </w:r>
          </w:p>
        </w:tc>
        <w:tc>
          <w:tcPr>
            <w:tcW w:w="1654" w:type="dxa"/>
          </w:tcPr>
          <w:p w14:paraId="51A4B1D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-0.730**</w:t>
            </w:r>
          </w:p>
        </w:tc>
        <w:tc>
          <w:tcPr>
            <w:tcW w:w="1654" w:type="dxa"/>
          </w:tcPr>
          <w:p w14:paraId="36479C3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w:t>
            </w:r>
          </w:p>
        </w:tc>
      </w:tr>
      <w:tr w:rsidR="006D5629" w:rsidRPr="006C6BB5" w14:paraId="2F15E8E9" w14:textId="77777777" w:rsidTr="006D5629">
        <w:tc>
          <w:tcPr>
            <w:tcW w:w="4077" w:type="dxa"/>
            <w:vMerge/>
            <w:vAlign w:val="center"/>
          </w:tcPr>
          <w:p w14:paraId="143AE9A9" w14:textId="77777777" w:rsidR="006D5629" w:rsidRPr="006C6BB5" w:rsidRDefault="006D5629" w:rsidP="006D5629">
            <w:pPr>
              <w:spacing w:line="360" w:lineRule="auto"/>
              <w:rPr>
                <w:sz w:val="22"/>
                <w:szCs w:val="22"/>
                <w:vertAlign w:val="subscript"/>
                <w:lang w:val="en-GB" w:eastAsia="zh-CN"/>
              </w:rPr>
            </w:pPr>
          </w:p>
        </w:tc>
        <w:tc>
          <w:tcPr>
            <w:tcW w:w="1654" w:type="dxa"/>
          </w:tcPr>
          <w:p w14:paraId="3322B576"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(0.259)</w:t>
            </w:r>
          </w:p>
        </w:tc>
        <w:tc>
          <w:tcPr>
            <w:tcW w:w="1654" w:type="dxa"/>
          </w:tcPr>
          <w:p w14:paraId="55984B2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(0.341)</w:t>
            </w:r>
          </w:p>
        </w:tc>
        <w:tc>
          <w:tcPr>
            <w:tcW w:w="1654" w:type="dxa"/>
          </w:tcPr>
          <w:p w14:paraId="4E8713F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w:t>
            </w:r>
          </w:p>
        </w:tc>
      </w:tr>
      <w:tr w:rsidR="006D5629" w:rsidRPr="006C6BB5" w14:paraId="2463BD93" w14:textId="77777777" w:rsidTr="006D5629">
        <w:tc>
          <w:tcPr>
            <w:tcW w:w="4077" w:type="dxa"/>
            <w:vMerge w:val="restart"/>
            <w:hideMark/>
          </w:tcPr>
          <w:p w14:paraId="769507FC"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eastAsia="zh-CN"/>
              </w:rPr>
              <w:t xml:space="preserve">R&amp;D intensity </w:t>
            </w:r>
          </w:p>
        </w:tc>
        <w:tc>
          <w:tcPr>
            <w:tcW w:w="1654" w:type="dxa"/>
          </w:tcPr>
          <w:p w14:paraId="4E604A7A"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0.372</w:t>
            </w:r>
          </w:p>
        </w:tc>
        <w:tc>
          <w:tcPr>
            <w:tcW w:w="1654" w:type="dxa"/>
          </w:tcPr>
          <w:p w14:paraId="5F1614F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0.277</w:t>
            </w:r>
          </w:p>
        </w:tc>
        <w:tc>
          <w:tcPr>
            <w:tcW w:w="1654" w:type="dxa"/>
          </w:tcPr>
          <w:p w14:paraId="6D2E4D9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0.841</w:t>
            </w:r>
          </w:p>
        </w:tc>
      </w:tr>
      <w:tr w:rsidR="006D5629" w:rsidRPr="006C6BB5" w14:paraId="4BDF51EA" w14:textId="77777777" w:rsidTr="006D5629">
        <w:tc>
          <w:tcPr>
            <w:tcW w:w="4077" w:type="dxa"/>
            <w:vMerge/>
            <w:vAlign w:val="center"/>
            <w:hideMark/>
          </w:tcPr>
          <w:p w14:paraId="216C85E6" w14:textId="77777777" w:rsidR="006D5629" w:rsidRPr="006C6BB5" w:rsidRDefault="006D5629" w:rsidP="006D5629">
            <w:pPr>
              <w:spacing w:line="360" w:lineRule="auto"/>
              <w:rPr>
                <w:sz w:val="22"/>
                <w:szCs w:val="22"/>
                <w:vertAlign w:val="subscript"/>
                <w:lang w:val="en-GB" w:eastAsia="zh-CN"/>
              </w:rPr>
            </w:pPr>
          </w:p>
        </w:tc>
        <w:tc>
          <w:tcPr>
            <w:tcW w:w="1654" w:type="dxa"/>
          </w:tcPr>
          <w:p w14:paraId="5B5985B2"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(0.622)</w:t>
            </w:r>
          </w:p>
        </w:tc>
        <w:tc>
          <w:tcPr>
            <w:tcW w:w="1654" w:type="dxa"/>
          </w:tcPr>
          <w:p w14:paraId="146ADFE6"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(1.282)</w:t>
            </w:r>
          </w:p>
        </w:tc>
        <w:tc>
          <w:tcPr>
            <w:tcW w:w="1654" w:type="dxa"/>
          </w:tcPr>
          <w:p w14:paraId="631C330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(0.569)</w:t>
            </w:r>
          </w:p>
        </w:tc>
      </w:tr>
      <w:tr w:rsidR="006D5629" w:rsidRPr="006C6BB5" w14:paraId="3F96111E" w14:textId="77777777" w:rsidTr="006D5629">
        <w:tc>
          <w:tcPr>
            <w:tcW w:w="4077" w:type="dxa"/>
            <w:vMerge w:val="restart"/>
            <w:hideMark/>
          </w:tcPr>
          <w:p w14:paraId="51564FD4"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eastAsia="zh-CN"/>
              </w:rPr>
              <w:t>Firm size (log)</w:t>
            </w:r>
          </w:p>
        </w:tc>
        <w:tc>
          <w:tcPr>
            <w:tcW w:w="1654" w:type="dxa"/>
          </w:tcPr>
          <w:p w14:paraId="77415F57"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0.085**</w:t>
            </w:r>
          </w:p>
        </w:tc>
        <w:tc>
          <w:tcPr>
            <w:tcW w:w="1654" w:type="dxa"/>
          </w:tcPr>
          <w:p w14:paraId="21F378F4"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0.158**</w:t>
            </w:r>
          </w:p>
        </w:tc>
        <w:tc>
          <w:tcPr>
            <w:tcW w:w="1654" w:type="dxa"/>
          </w:tcPr>
          <w:p w14:paraId="1473F54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0.078*</w:t>
            </w:r>
          </w:p>
        </w:tc>
      </w:tr>
      <w:tr w:rsidR="006D5629" w:rsidRPr="006C6BB5" w14:paraId="1CCE1B13" w14:textId="77777777" w:rsidTr="006D5629">
        <w:tc>
          <w:tcPr>
            <w:tcW w:w="4077" w:type="dxa"/>
            <w:vMerge/>
            <w:vAlign w:val="center"/>
            <w:hideMark/>
          </w:tcPr>
          <w:p w14:paraId="7B1B81B0" w14:textId="77777777" w:rsidR="006D5629" w:rsidRPr="006C6BB5" w:rsidRDefault="006D5629" w:rsidP="006D5629">
            <w:pPr>
              <w:spacing w:line="360" w:lineRule="auto"/>
              <w:rPr>
                <w:sz w:val="22"/>
                <w:szCs w:val="22"/>
                <w:vertAlign w:val="subscript"/>
                <w:lang w:val="en-GB" w:eastAsia="zh-CN"/>
              </w:rPr>
            </w:pPr>
          </w:p>
        </w:tc>
        <w:tc>
          <w:tcPr>
            <w:tcW w:w="1654" w:type="dxa"/>
          </w:tcPr>
          <w:p w14:paraId="694B3C50"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(0.039)</w:t>
            </w:r>
          </w:p>
        </w:tc>
        <w:tc>
          <w:tcPr>
            <w:tcW w:w="1654" w:type="dxa"/>
          </w:tcPr>
          <w:p w14:paraId="0655C12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(0.071)</w:t>
            </w:r>
          </w:p>
        </w:tc>
        <w:tc>
          <w:tcPr>
            <w:tcW w:w="1654" w:type="dxa"/>
          </w:tcPr>
          <w:p w14:paraId="22E0955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(0.043)</w:t>
            </w:r>
          </w:p>
        </w:tc>
      </w:tr>
      <w:tr w:rsidR="006D5629" w:rsidRPr="006C6BB5" w14:paraId="3378B84A" w14:textId="77777777" w:rsidTr="006D5629">
        <w:tc>
          <w:tcPr>
            <w:tcW w:w="4077" w:type="dxa"/>
            <w:vMerge w:val="restart"/>
            <w:vAlign w:val="center"/>
          </w:tcPr>
          <w:p w14:paraId="29F17408" w14:textId="77777777" w:rsidR="006D5629" w:rsidRPr="006C6BB5" w:rsidRDefault="006D5629" w:rsidP="006D5629">
            <w:pPr>
              <w:spacing w:line="360" w:lineRule="auto"/>
              <w:rPr>
                <w:sz w:val="22"/>
                <w:szCs w:val="22"/>
                <w:lang w:val="en-GB" w:eastAsia="zh-CN"/>
              </w:rPr>
            </w:pPr>
            <w:r w:rsidRPr="006C6BB5">
              <w:rPr>
                <w:sz w:val="22"/>
                <w:szCs w:val="22"/>
                <w:lang w:val="en-GB" w:eastAsia="zh-CN"/>
              </w:rPr>
              <w:t>Part of a group</w:t>
            </w:r>
          </w:p>
        </w:tc>
        <w:tc>
          <w:tcPr>
            <w:tcW w:w="1654" w:type="dxa"/>
          </w:tcPr>
          <w:p w14:paraId="2EFD1F5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0.174</w:t>
            </w:r>
          </w:p>
        </w:tc>
        <w:tc>
          <w:tcPr>
            <w:tcW w:w="1654" w:type="dxa"/>
          </w:tcPr>
          <w:p w14:paraId="3FA8FF10"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0.228</w:t>
            </w:r>
          </w:p>
        </w:tc>
        <w:tc>
          <w:tcPr>
            <w:tcW w:w="1654" w:type="dxa"/>
          </w:tcPr>
          <w:p w14:paraId="514DDF34"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0.096</w:t>
            </w:r>
          </w:p>
        </w:tc>
      </w:tr>
      <w:tr w:rsidR="006D5629" w:rsidRPr="006C6BB5" w14:paraId="1B9E5374" w14:textId="77777777" w:rsidTr="006D5629">
        <w:tc>
          <w:tcPr>
            <w:tcW w:w="4077" w:type="dxa"/>
            <w:vMerge/>
            <w:vAlign w:val="center"/>
          </w:tcPr>
          <w:p w14:paraId="3942C606" w14:textId="77777777" w:rsidR="006D5629" w:rsidRPr="006C6BB5" w:rsidRDefault="006D5629" w:rsidP="006D5629">
            <w:pPr>
              <w:spacing w:line="360" w:lineRule="auto"/>
              <w:rPr>
                <w:sz w:val="22"/>
                <w:szCs w:val="22"/>
                <w:lang w:val="en-GB" w:eastAsia="zh-CN"/>
              </w:rPr>
            </w:pPr>
          </w:p>
        </w:tc>
        <w:tc>
          <w:tcPr>
            <w:tcW w:w="1654" w:type="dxa"/>
          </w:tcPr>
          <w:p w14:paraId="51B3B789"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(0.077)</w:t>
            </w:r>
          </w:p>
        </w:tc>
        <w:tc>
          <w:tcPr>
            <w:tcW w:w="1654" w:type="dxa"/>
          </w:tcPr>
          <w:p w14:paraId="7694D710"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(0.125)</w:t>
            </w:r>
          </w:p>
        </w:tc>
        <w:tc>
          <w:tcPr>
            <w:tcW w:w="1654" w:type="dxa"/>
          </w:tcPr>
          <w:p w14:paraId="470B67EA"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(0.086)</w:t>
            </w:r>
          </w:p>
        </w:tc>
      </w:tr>
      <w:tr w:rsidR="006D5629" w:rsidRPr="006C6BB5" w14:paraId="1BB26DE5" w14:textId="77777777" w:rsidTr="006D5629">
        <w:tc>
          <w:tcPr>
            <w:tcW w:w="4077" w:type="dxa"/>
            <w:vMerge w:val="restart"/>
            <w:vAlign w:val="center"/>
          </w:tcPr>
          <w:p w14:paraId="23F43BA5" w14:textId="77777777" w:rsidR="006D5629" w:rsidRPr="006C6BB5" w:rsidRDefault="006D5629" w:rsidP="006D5629">
            <w:pPr>
              <w:spacing w:line="360" w:lineRule="auto"/>
              <w:rPr>
                <w:sz w:val="22"/>
                <w:szCs w:val="22"/>
                <w:lang w:val="en-GB" w:eastAsia="zh-CN"/>
              </w:rPr>
            </w:pPr>
            <w:r w:rsidRPr="006C6BB5">
              <w:rPr>
                <w:sz w:val="22"/>
                <w:szCs w:val="22"/>
                <w:lang w:val="en-GB" w:eastAsia="zh-CN"/>
              </w:rPr>
              <w:t>IMR (Innovator)</w:t>
            </w:r>
          </w:p>
        </w:tc>
        <w:tc>
          <w:tcPr>
            <w:tcW w:w="1654" w:type="dxa"/>
          </w:tcPr>
          <w:p w14:paraId="6BA0ECC0"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0.424</w:t>
            </w:r>
          </w:p>
        </w:tc>
        <w:tc>
          <w:tcPr>
            <w:tcW w:w="1654" w:type="dxa"/>
          </w:tcPr>
          <w:p w14:paraId="17A76A5A"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0.039</w:t>
            </w:r>
          </w:p>
        </w:tc>
        <w:tc>
          <w:tcPr>
            <w:tcW w:w="1654" w:type="dxa"/>
          </w:tcPr>
          <w:p w14:paraId="0CA7C80E"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0.123</w:t>
            </w:r>
          </w:p>
        </w:tc>
      </w:tr>
      <w:tr w:rsidR="006D5629" w:rsidRPr="006C6BB5" w14:paraId="2D7E5BCC" w14:textId="77777777" w:rsidTr="006D5629">
        <w:tc>
          <w:tcPr>
            <w:tcW w:w="4077" w:type="dxa"/>
            <w:vMerge/>
            <w:vAlign w:val="center"/>
          </w:tcPr>
          <w:p w14:paraId="272EB57F" w14:textId="77777777" w:rsidR="006D5629" w:rsidRPr="006C6BB5" w:rsidRDefault="006D5629" w:rsidP="006D5629">
            <w:pPr>
              <w:spacing w:line="360" w:lineRule="auto"/>
              <w:rPr>
                <w:sz w:val="22"/>
                <w:szCs w:val="22"/>
                <w:lang w:val="en-GB" w:eastAsia="zh-CN"/>
              </w:rPr>
            </w:pPr>
          </w:p>
        </w:tc>
        <w:tc>
          <w:tcPr>
            <w:tcW w:w="1654" w:type="dxa"/>
          </w:tcPr>
          <w:p w14:paraId="45F591AB"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(0.327)</w:t>
            </w:r>
          </w:p>
        </w:tc>
        <w:tc>
          <w:tcPr>
            <w:tcW w:w="1654" w:type="dxa"/>
          </w:tcPr>
          <w:p w14:paraId="78E2205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(0.565)</w:t>
            </w:r>
          </w:p>
        </w:tc>
        <w:tc>
          <w:tcPr>
            <w:tcW w:w="1654" w:type="dxa"/>
          </w:tcPr>
          <w:p w14:paraId="1600886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(0.376)</w:t>
            </w:r>
          </w:p>
        </w:tc>
      </w:tr>
      <w:tr w:rsidR="006D5629" w:rsidRPr="006C6BB5" w14:paraId="32EC5E3E" w14:textId="77777777" w:rsidTr="006D5629">
        <w:tc>
          <w:tcPr>
            <w:tcW w:w="4077" w:type="dxa"/>
            <w:vMerge w:val="restart"/>
            <w:vAlign w:val="center"/>
          </w:tcPr>
          <w:p w14:paraId="63945C4D" w14:textId="77777777" w:rsidR="006D5629" w:rsidRPr="006C6BB5" w:rsidRDefault="006D5629" w:rsidP="006D5629">
            <w:pPr>
              <w:spacing w:line="360" w:lineRule="auto"/>
              <w:rPr>
                <w:sz w:val="22"/>
                <w:szCs w:val="22"/>
                <w:vertAlign w:val="subscript"/>
                <w:lang w:val="en-GB" w:eastAsia="zh-CN"/>
              </w:rPr>
            </w:pPr>
            <w:r w:rsidRPr="006C6BB5">
              <w:rPr>
                <w:sz w:val="22"/>
                <w:szCs w:val="22"/>
                <w:lang w:val="en-GB" w:eastAsia="zh-CN"/>
              </w:rPr>
              <w:t>Intercept</w:t>
            </w:r>
          </w:p>
        </w:tc>
        <w:tc>
          <w:tcPr>
            <w:tcW w:w="1654" w:type="dxa"/>
          </w:tcPr>
          <w:p w14:paraId="4DA5E2D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-0.687</w:t>
            </w:r>
          </w:p>
        </w:tc>
        <w:tc>
          <w:tcPr>
            <w:tcW w:w="1654" w:type="dxa"/>
          </w:tcPr>
          <w:p w14:paraId="6FFC4F62"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-0.781</w:t>
            </w:r>
          </w:p>
        </w:tc>
        <w:tc>
          <w:tcPr>
            <w:tcW w:w="1654" w:type="dxa"/>
          </w:tcPr>
          <w:p w14:paraId="3D7E576A"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-0.173</w:t>
            </w:r>
          </w:p>
        </w:tc>
      </w:tr>
      <w:tr w:rsidR="006D5629" w:rsidRPr="006C6BB5" w14:paraId="0E8C39CC" w14:textId="77777777" w:rsidTr="006D5629">
        <w:tc>
          <w:tcPr>
            <w:tcW w:w="4077" w:type="dxa"/>
            <w:vMerge/>
            <w:vAlign w:val="center"/>
          </w:tcPr>
          <w:p w14:paraId="30E8371B" w14:textId="77777777" w:rsidR="006D5629" w:rsidRPr="006C6BB5" w:rsidRDefault="006D5629" w:rsidP="006D5629">
            <w:pPr>
              <w:spacing w:line="360" w:lineRule="auto"/>
              <w:rPr>
                <w:sz w:val="22"/>
                <w:szCs w:val="22"/>
                <w:vertAlign w:val="subscript"/>
                <w:lang w:val="en-GB" w:eastAsia="zh-CN"/>
              </w:rPr>
            </w:pPr>
          </w:p>
        </w:tc>
        <w:tc>
          <w:tcPr>
            <w:tcW w:w="1654" w:type="dxa"/>
          </w:tcPr>
          <w:p w14:paraId="5796E4B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(0.455)</w:t>
            </w:r>
          </w:p>
        </w:tc>
        <w:tc>
          <w:tcPr>
            <w:tcW w:w="1654" w:type="dxa"/>
          </w:tcPr>
          <w:p w14:paraId="52D04AFE"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(0.713)</w:t>
            </w:r>
          </w:p>
        </w:tc>
        <w:tc>
          <w:tcPr>
            <w:tcW w:w="1654" w:type="dxa"/>
          </w:tcPr>
          <w:p w14:paraId="1BD9D34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(0.562)</w:t>
            </w:r>
          </w:p>
        </w:tc>
      </w:tr>
      <w:tr w:rsidR="006D5629" w:rsidRPr="006C6BB5" w14:paraId="28C895E8" w14:textId="77777777" w:rsidTr="006D5629">
        <w:tc>
          <w:tcPr>
            <w:tcW w:w="4077" w:type="dxa"/>
          </w:tcPr>
          <w:p w14:paraId="3491EE26" w14:textId="77777777" w:rsidR="006D5629" w:rsidRPr="006C6BB5" w:rsidRDefault="006D5629" w:rsidP="006D5629">
            <w:pPr>
              <w:widowControl w:val="0"/>
              <w:autoSpaceDE w:val="0"/>
              <w:autoSpaceDN w:val="0"/>
              <w:adjustRightInd w:val="0"/>
              <w:spacing w:line="360" w:lineRule="auto"/>
              <w:rPr>
                <w:sz w:val="22"/>
                <w:szCs w:val="22"/>
                <w:lang w:val="en-GB" w:eastAsia="zh-CN"/>
              </w:rPr>
            </w:pPr>
            <w:r w:rsidRPr="006C6BB5">
              <w:rPr>
                <w:sz w:val="22"/>
                <w:szCs w:val="22"/>
                <w:lang w:val="en-GB" w:eastAsia="zh-CN"/>
              </w:rPr>
              <w:t>Industry dummies</w:t>
            </w:r>
          </w:p>
        </w:tc>
        <w:tc>
          <w:tcPr>
            <w:tcW w:w="1654" w:type="dxa"/>
          </w:tcPr>
          <w:p w14:paraId="5D69F3A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Included</w:t>
            </w:r>
          </w:p>
        </w:tc>
        <w:tc>
          <w:tcPr>
            <w:tcW w:w="1654" w:type="dxa"/>
          </w:tcPr>
          <w:p w14:paraId="44B460C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Included</w:t>
            </w:r>
          </w:p>
        </w:tc>
        <w:tc>
          <w:tcPr>
            <w:tcW w:w="1654" w:type="dxa"/>
          </w:tcPr>
          <w:p w14:paraId="56F24ED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Included</w:t>
            </w:r>
          </w:p>
        </w:tc>
      </w:tr>
      <w:tr w:rsidR="006D5629" w:rsidRPr="006C6BB5" w14:paraId="4A36A9BE" w14:textId="77777777" w:rsidTr="006D5629">
        <w:tc>
          <w:tcPr>
            <w:tcW w:w="4077" w:type="dxa"/>
            <w:tcBorders>
              <w:top w:val="single" w:sz="4" w:space="0" w:color="auto"/>
              <w:left w:val="nil"/>
              <w:bottom w:val="nil"/>
              <w:right w:val="nil"/>
            </w:tcBorders>
            <w:hideMark/>
          </w:tcPr>
          <w:p w14:paraId="322BB767" w14:textId="77777777" w:rsidR="006D5629" w:rsidRPr="006C6BB5" w:rsidRDefault="006D5629" w:rsidP="006D5629">
            <w:pPr>
              <w:widowControl w:val="0"/>
              <w:autoSpaceDE w:val="0"/>
              <w:autoSpaceDN w:val="0"/>
              <w:adjustRightInd w:val="0"/>
              <w:spacing w:line="360" w:lineRule="auto"/>
              <w:rPr>
                <w:sz w:val="22"/>
                <w:szCs w:val="22"/>
                <w:lang w:val="en-GB" w:eastAsia="zh-CN"/>
              </w:rPr>
            </w:pPr>
          </w:p>
          <w:p w14:paraId="5227C741" w14:textId="77777777" w:rsidR="006D5629" w:rsidRPr="006C6BB5" w:rsidRDefault="006D5629" w:rsidP="006D5629">
            <w:pPr>
              <w:widowControl w:val="0"/>
              <w:autoSpaceDE w:val="0"/>
              <w:autoSpaceDN w:val="0"/>
              <w:adjustRightInd w:val="0"/>
              <w:spacing w:line="360" w:lineRule="auto"/>
              <w:rPr>
                <w:sz w:val="22"/>
                <w:szCs w:val="22"/>
                <w:lang w:val="en-GB" w:eastAsia="zh-CN"/>
              </w:rPr>
            </w:pPr>
            <w:r w:rsidRPr="006C6BB5">
              <w:rPr>
                <w:sz w:val="22"/>
                <w:szCs w:val="22"/>
                <w:lang w:val="en-GB" w:eastAsia="zh-CN"/>
              </w:rPr>
              <w:t>Shea (first-stage) partial R2 (breadth)</w:t>
            </w:r>
          </w:p>
        </w:tc>
        <w:tc>
          <w:tcPr>
            <w:tcW w:w="1654" w:type="dxa"/>
            <w:tcBorders>
              <w:top w:val="single" w:sz="4" w:space="0" w:color="auto"/>
              <w:left w:val="nil"/>
              <w:bottom w:val="nil"/>
              <w:right w:val="nil"/>
            </w:tcBorders>
          </w:tcPr>
          <w:p w14:paraId="5B13E479" w14:textId="77777777" w:rsidR="006D5629" w:rsidRPr="006C6BB5" w:rsidRDefault="006D5629" w:rsidP="006D5629">
            <w:pPr>
              <w:spacing w:line="360" w:lineRule="auto"/>
              <w:jc w:val="center"/>
              <w:rPr>
                <w:sz w:val="22"/>
                <w:szCs w:val="22"/>
                <w:lang w:val="en-GB" w:eastAsia="zh-CN"/>
              </w:rPr>
            </w:pPr>
          </w:p>
          <w:p w14:paraId="2530EA53"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0.03</w:t>
            </w:r>
          </w:p>
        </w:tc>
        <w:tc>
          <w:tcPr>
            <w:tcW w:w="1654" w:type="dxa"/>
            <w:tcBorders>
              <w:top w:val="single" w:sz="4" w:space="0" w:color="auto"/>
              <w:left w:val="nil"/>
              <w:bottom w:val="nil"/>
              <w:right w:val="nil"/>
            </w:tcBorders>
          </w:tcPr>
          <w:p w14:paraId="609A2900" w14:textId="77777777" w:rsidR="006D5629" w:rsidRPr="006C6BB5" w:rsidRDefault="006D5629" w:rsidP="006D5629">
            <w:pPr>
              <w:spacing w:line="360" w:lineRule="auto"/>
              <w:jc w:val="center"/>
              <w:rPr>
                <w:sz w:val="22"/>
                <w:szCs w:val="22"/>
                <w:lang w:val="en-GB" w:eastAsia="zh-CN"/>
              </w:rPr>
            </w:pPr>
          </w:p>
          <w:p w14:paraId="1523BD5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0.06</w:t>
            </w:r>
          </w:p>
        </w:tc>
        <w:tc>
          <w:tcPr>
            <w:tcW w:w="1654" w:type="dxa"/>
            <w:tcBorders>
              <w:top w:val="single" w:sz="4" w:space="0" w:color="auto"/>
              <w:left w:val="nil"/>
              <w:bottom w:val="nil"/>
              <w:right w:val="nil"/>
            </w:tcBorders>
          </w:tcPr>
          <w:p w14:paraId="1723925E" w14:textId="77777777" w:rsidR="006D5629" w:rsidRPr="006C6BB5" w:rsidRDefault="006D5629" w:rsidP="006D5629">
            <w:pPr>
              <w:spacing w:line="360" w:lineRule="auto"/>
              <w:jc w:val="center"/>
              <w:rPr>
                <w:sz w:val="22"/>
                <w:szCs w:val="22"/>
                <w:lang w:val="en-GB" w:eastAsia="zh-CN"/>
              </w:rPr>
            </w:pPr>
          </w:p>
          <w:p w14:paraId="4AB2D8DE"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0.05</w:t>
            </w:r>
          </w:p>
        </w:tc>
      </w:tr>
      <w:tr w:rsidR="006D5629" w:rsidRPr="006C6BB5" w14:paraId="5D083DAE" w14:textId="77777777" w:rsidTr="006D5629">
        <w:tc>
          <w:tcPr>
            <w:tcW w:w="4077" w:type="dxa"/>
          </w:tcPr>
          <w:p w14:paraId="2E1AC9D9" w14:textId="77777777" w:rsidR="006D5629" w:rsidRPr="006C6BB5" w:rsidRDefault="006D5629" w:rsidP="006D5629">
            <w:pPr>
              <w:widowControl w:val="0"/>
              <w:autoSpaceDE w:val="0"/>
              <w:autoSpaceDN w:val="0"/>
              <w:adjustRightInd w:val="0"/>
              <w:spacing w:line="360" w:lineRule="auto"/>
              <w:rPr>
                <w:sz w:val="22"/>
                <w:szCs w:val="22"/>
                <w:lang w:val="en-GB" w:eastAsia="zh-CN"/>
              </w:rPr>
            </w:pPr>
            <w:r w:rsidRPr="006C6BB5">
              <w:rPr>
                <w:sz w:val="22"/>
                <w:szCs w:val="22"/>
                <w:lang w:val="en-GB" w:eastAsia="zh-CN"/>
              </w:rPr>
              <w:t>Shea (first-stage) partial R2 (depth)</w:t>
            </w:r>
          </w:p>
        </w:tc>
        <w:tc>
          <w:tcPr>
            <w:tcW w:w="1654" w:type="dxa"/>
          </w:tcPr>
          <w:p w14:paraId="54BE4BEB"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0.02</w:t>
            </w:r>
          </w:p>
        </w:tc>
        <w:tc>
          <w:tcPr>
            <w:tcW w:w="1654" w:type="dxa"/>
          </w:tcPr>
          <w:p w14:paraId="2373582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0.05</w:t>
            </w:r>
          </w:p>
        </w:tc>
        <w:tc>
          <w:tcPr>
            <w:tcW w:w="1654" w:type="dxa"/>
          </w:tcPr>
          <w:p w14:paraId="1B09AB95"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0.03</w:t>
            </w:r>
          </w:p>
        </w:tc>
      </w:tr>
      <w:tr w:rsidR="006D5629" w:rsidRPr="006C6BB5" w14:paraId="2DA405B0" w14:textId="77777777" w:rsidTr="006D5629">
        <w:tc>
          <w:tcPr>
            <w:tcW w:w="4077" w:type="dxa"/>
          </w:tcPr>
          <w:p w14:paraId="20333226" w14:textId="77777777" w:rsidR="006D5629" w:rsidRPr="006C6BB5" w:rsidRDefault="006D5629" w:rsidP="006D5629">
            <w:pPr>
              <w:widowControl w:val="0"/>
              <w:autoSpaceDE w:val="0"/>
              <w:autoSpaceDN w:val="0"/>
              <w:adjustRightInd w:val="0"/>
              <w:spacing w:line="360" w:lineRule="auto"/>
              <w:rPr>
                <w:sz w:val="22"/>
                <w:szCs w:val="22"/>
                <w:lang w:val="en-GB" w:eastAsia="zh-CN"/>
              </w:rPr>
            </w:pPr>
            <w:r w:rsidRPr="006C6BB5">
              <w:rPr>
                <w:sz w:val="22"/>
                <w:szCs w:val="22"/>
                <w:lang w:val="en-GB" w:eastAsia="zh-CN"/>
              </w:rPr>
              <w:t>Hansen J statistic (p-value)</w:t>
            </w:r>
          </w:p>
        </w:tc>
        <w:tc>
          <w:tcPr>
            <w:tcW w:w="1654" w:type="dxa"/>
          </w:tcPr>
          <w:p w14:paraId="6717B1E5"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10.83 (0.54)</w:t>
            </w:r>
          </w:p>
        </w:tc>
        <w:tc>
          <w:tcPr>
            <w:tcW w:w="1654" w:type="dxa"/>
          </w:tcPr>
          <w:p w14:paraId="13109315"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8.15 (0.83)</w:t>
            </w:r>
          </w:p>
        </w:tc>
        <w:tc>
          <w:tcPr>
            <w:tcW w:w="1654" w:type="dxa"/>
          </w:tcPr>
          <w:p w14:paraId="7DE74DE3"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10.20 (0.68)</w:t>
            </w:r>
          </w:p>
        </w:tc>
      </w:tr>
      <w:tr w:rsidR="006D5629" w:rsidRPr="006C6BB5" w14:paraId="31B3E5EA" w14:textId="77777777" w:rsidTr="006D5629">
        <w:tc>
          <w:tcPr>
            <w:tcW w:w="4077" w:type="dxa"/>
            <w:hideMark/>
          </w:tcPr>
          <w:p w14:paraId="087AED1C" w14:textId="77777777" w:rsidR="006D5629" w:rsidRPr="006C6BB5" w:rsidRDefault="006D5629" w:rsidP="006D5629">
            <w:pPr>
              <w:widowControl w:val="0"/>
              <w:autoSpaceDE w:val="0"/>
              <w:autoSpaceDN w:val="0"/>
              <w:adjustRightInd w:val="0"/>
              <w:spacing w:line="360" w:lineRule="auto"/>
              <w:rPr>
                <w:sz w:val="22"/>
                <w:szCs w:val="22"/>
                <w:lang w:val="en-GB" w:eastAsia="zh-CN"/>
              </w:rPr>
            </w:pPr>
            <w:r w:rsidRPr="006C6BB5">
              <w:rPr>
                <w:sz w:val="22"/>
                <w:szCs w:val="22"/>
                <w:lang w:val="en-GB" w:eastAsia="zh-CN"/>
              </w:rPr>
              <w:t>No of obs.</w:t>
            </w:r>
          </w:p>
        </w:tc>
        <w:tc>
          <w:tcPr>
            <w:tcW w:w="1654" w:type="dxa"/>
          </w:tcPr>
          <w:p w14:paraId="6EE6F92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1133</w:t>
            </w:r>
          </w:p>
        </w:tc>
        <w:tc>
          <w:tcPr>
            <w:tcW w:w="1654" w:type="dxa"/>
          </w:tcPr>
          <w:p w14:paraId="2DF2216B"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467</w:t>
            </w:r>
          </w:p>
        </w:tc>
        <w:tc>
          <w:tcPr>
            <w:tcW w:w="1654" w:type="dxa"/>
          </w:tcPr>
          <w:p w14:paraId="3CF8D944"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666</w:t>
            </w:r>
          </w:p>
        </w:tc>
      </w:tr>
    </w:tbl>
    <w:p w14:paraId="5D87FE2C" w14:textId="77777777" w:rsidR="006D5629" w:rsidRPr="006C6BB5" w:rsidRDefault="006D5629" w:rsidP="006D5629">
      <w:pPr>
        <w:spacing w:line="360" w:lineRule="auto"/>
        <w:rPr>
          <w:b/>
          <w:sz w:val="22"/>
          <w:szCs w:val="22"/>
          <w:lang w:val="en-GB"/>
        </w:rPr>
      </w:pPr>
      <w:r w:rsidRPr="006C6BB5">
        <w:rPr>
          <w:iCs/>
          <w:sz w:val="22"/>
          <w:szCs w:val="22"/>
          <w:lang w:val="en-GB"/>
        </w:rPr>
        <w:t>Notes: Robust standard errors</w:t>
      </w:r>
      <w:r w:rsidRPr="006C6BB5">
        <w:rPr>
          <w:sz w:val="22"/>
          <w:szCs w:val="22"/>
          <w:lang w:val="en-GB"/>
        </w:rPr>
        <w:t xml:space="preserve"> in parentheses, * p&lt;0.1, ** p&lt;0.05, *** p&lt;0.01</w:t>
      </w:r>
    </w:p>
    <w:p w14:paraId="452ED8B8" w14:textId="77777777" w:rsidR="006D5629" w:rsidRPr="006C6BB5" w:rsidRDefault="006D5629" w:rsidP="006D5629">
      <w:pPr>
        <w:spacing w:after="200" w:line="276" w:lineRule="auto"/>
        <w:rPr>
          <w:lang w:val="en-GB"/>
        </w:rPr>
      </w:pPr>
      <w:r w:rsidRPr="006C6BB5">
        <w:rPr>
          <w:lang w:val="en-GB"/>
        </w:rPr>
        <w:br w:type="page"/>
      </w:r>
    </w:p>
    <w:p w14:paraId="313CD28D" w14:textId="77777777" w:rsidR="006D5629" w:rsidRPr="006C6BB5" w:rsidRDefault="006D5629" w:rsidP="006D5629">
      <w:pPr>
        <w:keepNext/>
        <w:keepLines/>
        <w:spacing w:before="480" w:after="200" w:line="240" w:lineRule="auto"/>
        <w:jc w:val="center"/>
        <w:outlineLvl w:val="0"/>
        <w:rPr>
          <w:b/>
          <w:bCs/>
          <w:sz w:val="22"/>
          <w:szCs w:val="22"/>
          <w:lang w:val="en-GB"/>
        </w:rPr>
      </w:pPr>
      <w:r w:rsidRPr="006C6BB5">
        <w:rPr>
          <w:b/>
          <w:bCs/>
          <w:sz w:val="22"/>
          <w:szCs w:val="22"/>
          <w:lang w:val="en-GB"/>
        </w:rPr>
        <w:lastRenderedPageBreak/>
        <w:t>TABLE 4 INSTRUMENTAL VARIABLES ANALYSIS OF FIRMS' USE OF</w:t>
      </w:r>
    </w:p>
    <w:p w14:paraId="05663E8C" w14:textId="77777777" w:rsidR="006D5629" w:rsidRPr="006C6BB5" w:rsidRDefault="006D5629" w:rsidP="006D5629">
      <w:pPr>
        <w:keepNext/>
        <w:keepLines/>
        <w:spacing w:after="200" w:line="240" w:lineRule="auto"/>
        <w:jc w:val="center"/>
        <w:outlineLvl w:val="0"/>
        <w:rPr>
          <w:b/>
          <w:bCs/>
          <w:sz w:val="22"/>
          <w:szCs w:val="22"/>
          <w:lang w:val="en-GB"/>
        </w:rPr>
      </w:pPr>
      <w:r w:rsidRPr="006C6BB5">
        <w:rPr>
          <w:b/>
          <w:bCs/>
          <w:sz w:val="22"/>
          <w:szCs w:val="22"/>
          <w:lang w:val="en-GB"/>
        </w:rPr>
        <w:t>INFORMAL APPROPRIATION MECHANISMS</w:t>
      </w:r>
    </w:p>
    <w:tbl>
      <w:tblPr>
        <w:tblW w:w="9039" w:type="dxa"/>
        <w:tblLayout w:type="fixed"/>
        <w:tblLook w:val="04A0" w:firstRow="1" w:lastRow="0" w:firstColumn="1" w:lastColumn="0" w:noHBand="0" w:noVBand="1"/>
      </w:tblPr>
      <w:tblGrid>
        <w:gridCol w:w="4077"/>
        <w:gridCol w:w="1654"/>
        <w:gridCol w:w="1654"/>
        <w:gridCol w:w="1654"/>
      </w:tblGrid>
      <w:tr w:rsidR="006D5629" w:rsidRPr="006C6BB5" w14:paraId="7E845781" w14:textId="77777777" w:rsidTr="006D5629">
        <w:tc>
          <w:tcPr>
            <w:tcW w:w="4077" w:type="dxa"/>
            <w:tcBorders>
              <w:top w:val="nil"/>
              <w:left w:val="nil"/>
              <w:bottom w:val="single" w:sz="8" w:space="0" w:color="auto"/>
              <w:right w:val="nil"/>
            </w:tcBorders>
            <w:hideMark/>
          </w:tcPr>
          <w:p w14:paraId="3E7A33BC" w14:textId="77777777" w:rsidR="006D5629" w:rsidRPr="006C6BB5" w:rsidRDefault="006D5629" w:rsidP="006D5629">
            <w:pPr>
              <w:widowControl w:val="0"/>
              <w:autoSpaceDE w:val="0"/>
              <w:autoSpaceDN w:val="0"/>
              <w:adjustRightInd w:val="0"/>
              <w:spacing w:line="360" w:lineRule="auto"/>
              <w:rPr>
                <w:b/>
                <w:sz w:val="22"/>
                <w:szCs w:val="22"/>
                <w:lang w:val="en-GB" w:eastAsia="zh-CN"/>
              </w:rPr>
            </w:pPr>
          </w:p>
          <w:p w14:paraId="711F99F2" w14:textId="77777777" w:rsidR="006D5629" w:rsidRPr="006C6BB5" w:rsidRDefault="006D5629" w:rsidP="006D5629">
            <w:pPr>
              <w:widowControl w:val="0"/>
              <w:autoSpaceDE w:val="0"/>
              <w:autoSpaceDN w:val="0"/>
              <w:adjustRightInd w:val="0"/>
              <w:spacing w:line="360" w:lineRule="auto"/>
              <w:rPr>
                <w:b/>
                <w:sz w:val="22"/>
                <w:szCs w:val="22"/>
                <w:vertAlign w:val="subscript"/>
                <w:lang w:val="en-GB" w:eastAsia="zh-CN"/>
              </w:rPr>
            </w:pPr>
          </w:p>
        </w:tc>
        <w:tc>
          <w:tcPr>
            <w:tcW w:w="1654" w:type="dxa"/>
            <w:tcBorders>
              <w:top w:val="nil"/>
              <w:left w:val="nil"/>
              <w:bottom w:val="single" w:sz="8" w:space="0" w:color="auto"/>
              <w:right w:val="nil"/>
            </w:tcBorders>
            <w:hideMark/>
          </w:tcPr>
          <w:p w14:paraId="6461D345"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p>
          <w:p w14:paraId="17F2EFBC"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Model 4</w:t>
            </w:r>
          </w:p>
          <w:p w14:paraId="5DE3C7D3"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All firms</w:t>
            </w:r>
          </w:p>
          <w:p w14:paraId="0675E344" w14:textId="5311D8AF" w:rsidR="006D5629" w:rsidRPr="006C6BB5" w:rsidRDefault="00A65F4C" w:rsidP="00A65F4C">
            <w:pPr>
              <w:widowControl w:val="0"/>
              <w:autoSpaceDE w:val="0"/>
              <w:autoSpaceDN w:val="0"/>
              <w:adjustRightInd w:val="0"/>
              <w:spacing w:line="360" w:lineRule="auto"/>
              <w:jc w:val="center"/>
              <w:rPr>
                <w:b/>
                <w:i/>
                <w:sz w:val="22"/>
                <w:szCs w:val="22"/>
                <w:lang w:val="en-GB" w:eastAsia="zh-CN"/>
              </w:rPr>
            </w:pPr>
            <w:r w:rsidRPr="006C6BB5">
              <w:rPr>
                <w:b/>
                <w:i/>
                <w:sz w:val="22"/>
                <w:szCs w:val="22"/>
                <w:lang w:val="en-GB" w:eastAsia="zh-CN"/>
              </w:rPr>
              <w:t>H1b, H2b, H3b</w:t>
            </w:r>
            <w:r w:rsidR="0047721D">
              <w:rPr>
                <w:b/>
                <w:i/>
                <w:sz w:val="22"/>
                <w:szCs w:val="22"/>
                <w:lang w:val="en-GB" w:eastAsia="zh-CN"/>
              </w:rPr>
              <w:t>, H4b</w:t>
            </w:r>
          </w:p>
        </w:tc>
        <w:tc>
          <w:tcPr>
            <w:tcW w:w="1654" w:type="dxa"/>
            <w:tcBorders>
              <w:top w:val="nil"/>
              <w:left w:val="nil"/>
              <w:bottom w:val="single" w:sz="8" w:space="0" w:color="auto"/>
              <w:right w:val="nil"/>
            </w:tcBorders>
            <w:hideMark/>
          </w:tcPr>
          <w:p w14:paraId="739C539C"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p>
          <w:p w14:paraId="4F407272"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Model 5</w:t>
            </w:r>
          </w:p>
          <w:p w14:paraId="63144386"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Radical innovators</w:t>
            </w:r>
          </w:p>
          <w:p w14:paraId="7673531B" w14:textId="08C95072" w:rsidR="00A65F4C" w:rsidRPr="006C6BB5" w:rsidRDefault="00A65F4C" w:rsidP="006D5629">
            <w:pPr>
              <w:widowControl w:val="0"/>
              <w:autoSpaceDE w:val="0"/>
              <w:autoSpaceDN w:val="0"/>
              <w:adjustRightInd w:val="0"/>
              <w:spacing w:line="360" w:lineRule="auto"/>
              <w:jc w:val="center"/>
              <w:rPr>
                <w:b/>
                <w:i/>
                <w:sz w:val="22"/>
                <w:szCs w:val="22"/>
                <w:lang w:val="en-GB" w:eastAsia="zh-CN"/>
              </w:rPr>
            </w:pPr>
            <w:r w:rsidRPr="006C6BB5">
              <w:rPr>
                <w:b/>
                <w:i/>
                <w:sz w:val="22"/>
                <w:szCs w:val="22"/>
                <w:lang w:val="en-GB" w:eastAsia="zh-CN"/>
              </w:rPr>
              <w:t>H</w:t>
            </w:r>
            <w:r w:rsidR="0047721D">
              <w:rPr>
                <w:b/>
                <w:i/>
                <w:sz w:val="22"/>
                <w:szCs w:val="22"/>
                <w:lang w:val="en-GB" w:eastAsia="zh-CN"/>
              </w:rPr>
              <w:t>6</w:t>
            </w:r>
            <w:r w:rsidRPr="006C6BB5">
              <w:rPr>
                <w:b/>
                <w:i/>
                <w:sz w:val="22"/>
                <w:szCs w:val="22"/>
                <w:lang w:val="en-GB" w:eastAsia="zh-CN"/>
              </w:rPr>
              <w:t>b</w:t>
            </w:r>
          </w:p>
        </w:tc>
        <w:tc>
          <w:tcPr>
            <w:tcW w:w="1654" w:type="dxa"/>
            <w:tcBorders>
              <w:top w:val="nil"/>
              <w:left w:val="nil"/>
              <w:bottom w:val="single" w:sz="8" w:space="0" w:color="auto"/>
              <w:right w:val="nil"/>
            </w:tcBorders>
            <w:hideMark/>
          </w:tcPr>
          <w:p w14:paraId="41482EE4"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p>
          <w:p w14:paraId="093BB2E1"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Model 6</w:t>
            </w:r>
          </w:p>
          <w:p w14:paraId="18C4BA3B" w14:textId="77777777" w:rsidR="006D5629" w:rsidRPr="006C6BB5" w:rsidRDefault="006D5629" w:rsidP="006D5629">
            <w:pPr>
              <w:widowControl w:val="0"/>
              <w:autoSpaceDE w:val="0"/>
              <w:autoSpaceDN w:val="0"/>
              <w:adjustRightInd w:val="0"/>
              <w:spacing w:line="360" w:lineRule="auto"/>
              <w:jc w:val="center"/>
              <w:rPr>
                <w:b/>
                <w:sz w:val="22"/>
                <w:szCs w:val="22"/>
                <w:lang w:val="en-GB" w:eastAsia="zh-CN"/>
              </w:rPr>
            </w:pPr>
            <w:r w:rsidRPr="006C6BB5">
              <w:rPr>
                <w:b/>
                <w:sz w:val="22"/>
                <w:szCs w:val="22"/>
                <w:lang w:val="en-GB" w:eastAsia="zh-CN"/>
              </w:rPr>
              <w:t>Incremental innovators</w:t>
            </w:r>
          </w:p>
          <w:p w14:paraId="524A113E" w14:textId="4620FCAB" w:rsidR="00A65F4C" w:rsidRPr="006C6BB5" w:rsidRDefault="00A65F4C" w:rsidP="006D5629">
            <w:pPr>
              <w:widowControl w:val="0"/>
              <w:autoSpaceDE w:val="0"/>
              <w:autoSpaceDN w:val="0"/>
              <w:adjustRightInd w:val="0"/>
              <w:spacing w:line="360" w:lineRule="auto"/>
              <w:jc w:val="center"/>
              <w:rPr>
                <w:b/>
                <w:i/>
                <w:sz w:val="22"/>
                <w:szCs w:val="22"/>
                <w:lang w:val="en-GB" w:eastAsia="zh-CN"/>
              </w:rPr>
            </w:pPr>
            <w:r w:rsidRPr="006C6BB5">
              <w:rPr>
                <w:b/>
                <w:i/>
                <w:sz w:val="20"/>
                <w:szCs w:val="22"/>
                <w:lang w:val="en-GB" w:eastAsia="zh-CN"/>
              </w:rPr>
              <w:t>Not hypothesized</w:t>
            </w:r>
          </w:p>
        </w:tc>
      </w:tr>
      <w:tr w:rsidR="006D5629" w:rsidRPr="006C6BB5" w14:paraId="3B2FC612" w14:textId="77777777" w:rsidTr="006D5629">
        <w:tc>
          <w:tcPr>
            <w:tcW w:w="4077" w:type="dxa"/>
            <w:vMerge w:val="restart"/>
            <w:tcBorders>
              <w:top w:val="single" w:sz="8" w:space="0" w:color="auto"/>
              <w:left w:val="nil"/>
              <w:bottom w:val="nil"/>
              <w:right w:val="nil"/>
            </w:tcBorders>
          </w:tcPr>
          <w:p w14:paraId="361DE3DA" w14:textId="77777777" w:rsidR="006D5629" w:rsidRPr="006C6BB5" w:rsidRDefault="006D5629" w:rsidP="006D5629">
            <w:pPr>
              <w:widowControl w:val="0"/>
              <w:autoSpaceDE w:val="0"/>
              <w:autoSpaceDN w:val="0"/>
              <w:adjustRightInd w:val="0"/>
              <w:spacing w:line="360" w:lineRule="auto"/>
              <w:rPr>
                <w:sz w:val="22"/>
                <w:szCs w:val="22"/>
                <w:lang w:val="en-GB"/>
              </w:rPr>
            </w:pPr>
          </w:p>
          <w:p w14:paraId="33BB02EE"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rPr>
              <w:t xml:space="preserve">External search </w:t>
            </w:r>
            <w:r w:rsidRPr="006C6BB5">
              <w:rPr>
                <w:sz w:val="22"/>
                <w:szCs w:val="22"/>
                <w:lang w:val="en-GB" w:eastAsia="zh-CN"/>
              </w:rPr>
              <w:t>breadth</w:t>
            </w:r>
          </w:p>
        </w:tc>
        <w:tc>
          <w:tcPr>
            <w:tcW w:w="1654" w:type="dxa"/>
            <w:tcBorders>
              <w:top w:val="single" w:sz="8" w:space="0" w:color="auto"/>
              <w:left w:val="nil"/>
              <w:bottom w:val="nil"/>
              <w:right w:val="nil"/>
            </w:tcBorders>
          </w:tcPr>
          <w:p w14:paraId="286C2B0C" w14:textId="77777777" w:rsidR="006D5629" w:rsidRPr="006C6BB5" w:rsidRDefault="006D5629" w:rsidP="006D5629">
            <w:pPr>
              <w:spacing w:line="360" w:lineRule="auto"/>
              <w:jc w:val="center"/>
              <w:rPr>
                <w:sz w:val="22"/>
                <w:szCs w:val="22"/>
                <w:lang w:val="en-GB" w:eastAsia="zh-CN"/>
              </w:rPr>
            </w:pPr>
          </w:p>
          <w:p w14:paraId="58BC22E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0.324**</w:t>
            </w:r>
          </w:p>
        </w:tc>
        <w:tc>
          <w:tcPr>
            <w:tcW w:w="1654" w:type="dxa"/>
            <w:tcBorders>
              <w:top w:val="single" w:sz="8" w:space="0" w:color="auto"/>
              <w:left w:val="nil"/>
              <w:bottom w:val="nil"/>
              <w:right w:val="nil"/>
            </w:tcBorders>
          </w:tcPr>
          <w:p w14:paraId="4493026E" w14:textId="77777777" w:rsidR="006D5629" w:rsidRPr="006C6BB5" w:rsidRDefault="006D5629" w:rsidP="006D5629">
            <w:pPr>
              <w:spacing w:line="360" w:lineRule="auto"/>
              <w:jc w:val="center"/>
              <w:rPr>
                <w:sz w:val="22"/>
                <w:szCs w:val="22"/>
                <w:lang w:val="en-GB" w:eastAsia="zh-CN"/>
              </w:rPr>
            </w:pPr>
          </w:p>
          <w:p w14:paraId="56D116FE"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0.264**</w:t>
            </w:r>
          </w:p>
        </w:tc>
        <w:tc>
          <w:tcPr>
            <w:tcW w:w="1654" w:type="dxa"/>
            <w:tcBorders>
              <w:top w:val="single" w:sz="8" w:space="0" w:color="auto"/>
              <w:left w:val="nil"/>
              <w:bottom w:val="nil"/>
              <w:right w:val="nil"/>
            </w:tcBorders>
          </w:tcPr>
          <w:p w14:paraId="2E6BF0BB" w14:textId="77777777" w:rsidR="006D5629" w:rsidRPr="006C6BB5" w:rsidRDefault="006D5629" w:rsidP="006D5629">
            <w:pPr>
              <w:spacing w:line="360" w:lineRule="auto"/>
              <w:jc w:val="center"/>
              <w:rPr>
                <w:sz w:val="22"/>
                <w:szCs w:val="22"/>
                <w:lang w:val="en-GB" w:eastAsia="zh-CN"/>
              </w:rPr>
            </w:pPr>
          </w:p>
          <w:p w14:paraId="7DFF0355"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0.526***</w:t>
            </w:r>
          </w:p>
        </w:tc>
      </w:tr>
      <w:tr w:rsidR="006D5629" w:rsidRPr="006C6BB5" w14:paraId="60F5D8F1" w14:textId="77777777" w:rsidTr="006D5629">
        <w:tc>
          <w:tcPr>
            <w:tcW w:w="4077" w:type="dxa"/>
            <w:vMerge/>
            <w:tcBorders>
              <w:top w:val="single" w:sz="8" w:space="0" w:color="auto"/>
              <w:left w:val="nil"/>
              <w:bottom w:val="nil"/>
              <w:right w:val="nil"/>
            </w:tcBorders>
            <w:vAlign w:val="center"/>
          </w:tcPr>
          <w:p w14:paraId="32CE737C" w14:textId="77777777" w:rsidR="006D5629" w:rsidRPr="006C6BB5" w:rsidRDefault="006D5629" w:rsidP="006D5629">
            <w:pPr>
              <w:spacing w:line="360" w:lineRule="auto"/>
              <w:rPr>
                <w:sz w:val="22"/>
                <w:szCs w:val="22"/>
                <w:vertAlign w:val="subscript"/>
                <w:lang w:val="en-GB" w:eastAsia="zh-CN"/>
              </w:rPr>
            </w:pPr>
          </w:p>
        </w:tc>
        <w:tc>
          <w:tcPr>
            <w:tcW w:w="1654" w:type="dxa"/>
          </w:tcPr>
          <w:p w14:paraId="353138C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(0.128)</w:t>
            </w:r>
          </w:p>
        </w:tc>
        <w:tc>
          <w:tcPr>
            <w:tcW w:w="1654" w:type="dxa"/>
          </w:tcPr>
          <w:p w14:paraId="3C5D321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(0.119)</w:t>
            </w:r>
          </w:p>
        </w:tc>
        <w:tc>
          <w:tcPr>
            <w:tcW w:w="1654" w:type="dxa"/>
          </w:tcPr>
          <w:p w14:paraId="5E5794D7"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(0.125)</w:t>
            </w:r>
          </w:p>
        </w:tc>
      </w:tr>
      <w:tr w:rsidR="006D5629" w:rsidRPr="006C6BB5" w14:paraId="56873260" w14:textId="77777777" w:rsidTr="006D5629">
        <w:tc>
          <w:tcPr>
            <w:tcW w:w="4077" w:type="dxa"/>
            <w:vMerge w:val="restart"/>
          </w:tcPr>
          <w:p w14:paraId="52907169"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rPr>
              <w:t xml:space="preserve">External search </w:t>
            </w:r>
            <w:r w:rsidRPr="006C6BB5">
              <w:rPr>
                <w:sz w:val="22"/>
                <w:szCs w:val="22"/>
                <w:lang w:val="en-GB" w:eastAsia="zh-CN"/>
              </w:rPr>
              <w:t xml:space="preserve">depth </w:t>
            </w:r>
          </w:p>
        </w:tc>
        <w:tc>
          <w:tcPr>
            <w:tcW w:w="1654" w:type="dxa"/>
          </w:tcPr>
          <w:p w14:paraId="0A5BBD83"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1.168**</w:t>
            </w:r>
          </w:p>
        </w:tc>
        <w:tc>
          <w:tcPr>
            <w:tcW w:w="1654" w:type="dxa"/>
          </w:tcPr>
          <w:p w14:paraId="7C82016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0.642</w:t>
            </w:r>
          </w:p>
        </w:tc>
        <w:tc>
          <w:tcPr>
            <w:tcW w:w="1654" w:type="dxa"/>
          </w:tcPr>
          <w:p w14:paraId="227DFE0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0.196</w:t>
            </w:r>
          </w:p>
        </w:tc>
      </w:tr>
      <w:tr w:rsidR="006D5629" w:rsidRPr="006C6BB5" w14:paraId="69A8EC3F" w14:textId="77777777" w:rsidTr="006D5629">
        <w:tc>
          <w:tcPr>
            <w:tcW w:w="4077" w:type="dxa"/>
            <w:vMerge/>
            <w:vAlign w:val="center"/>
          </w:tcPr>
          <w:p w14:paraId="1BA472EE" w14:textId="77777777" w:rsidR="006D5629" w:rsidRPr="006C6BB5" w:rsidRDefault="006D5629" w:rsidP="006D5629">
            <w:pPr>
              <w:spacing w:line="360" w:lineRule="auto"/>
              <w:rPr>
                <w:sz w:val="22"/>
                <w:szCs w:val="22"/>
                <w:vertAlign w:val="subscript"/>
                <w:lang w:val="en-GB" w:eastAsia="zh-CN"/>
              </w:rPr>
            </w:pPr>
          </w:p>
        </w:tc>
        <w:tc>
          <w:tcPr>
            <w:tcW w:w="1654" w:type="dxa"/>
          </w:tcPr>
          <w:p w14:paraId="0ED9D713"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(0.605)</w:t>
            </w:r>
          </w:p>
        </w:tc>
        <w:tc>
          <w:tcPr>
            <w:tcW w:w="1654" w:type="dxa"/>
          </w:tcPr>
          <w:p w14:paraId="561CB9B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(0.486)</w:t>
            </w:r>
          </w:p>
        </w:tc>
        <w:tc>
          <w:tcPr>
            <w:tcW w:w="1654" w:type="dxa"/>
          </w:tcPr>
          <w:p w14:paraId="270E463A"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(0.683)</w:t>
            </w:r>
          </w:p>
        </w:tc>
      </w:tr>
      <w:tr w:rsidR="006D5629" w:rsidRPr="006C6BB5" w14:paraId="517160FD" w14:textId="77777777" w:rsidTr="006D5629">
        <w:tc>
          <w:tcPr>
            <w:tcW w:w="4077" w:type="dxa"/>
            <w:vMerge w:val="restart"/>
          </w:tcPr>
          <w:p w14:paraId="107C0A2D"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eastAsia="zh-CN"/>
              </w:rPr>
              <w:t>Share of incremental innovation</w:t>
            </w:r>
          </w:p>
        </w:tc>
        <w:tc>
          <w:tcPr>
            <w:tcW w:w="1654" w:type="dxa"/>
          </w:tcPr>
          <w:p w14:paraId="019F194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0.168</w:t>
            </w:r>
          </w:p>
        </w:tc>
        <w:tc>
          <w:tcPr>
            <w:tcW w:w="1654" w:type="dxa"/>
          </w:tcPr>
          <w:p w14:paraId="4F9A2DE2"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0.472*</w:t>
            </w:r>
          </w:p>
        </w:tc>
        <w:tc>
          <w:tcPr>
            <w:tcW w:w="1654" w:type="dxa"/>
          </w:tcPr>
          <w:p w14:paraId="68DF168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-0.213</w:t>
            </w:r>
          </w:p>
        </w:tc>
      </w:tr>
      <w:tr w:rsidR="006D5629" w:rsidRPr="006C6BB5" w14:paraId="54C6C80D" w14:textId="77777777" w:rsidTr="006D5629">
        <w:tc>
          <w:tcPr>
            <w:tcW w:w="4077" w:type="dxa"/>
            <w:vMerge/>
            <w:vAlign w:val="center"/>
          </w:tcPr>
          <w:p w14:paraId="05A2991D" w14:textId="77777777" w:rsidR="006D5629" w:rsidRPr="006C6BB5" w:rsidRDefault="006D5629" w:rsidP="006D5629">
            <w:pPr>
              <w:spacing w:line="360" w:lineRule="auto"/>
              <w:rPr>
                <w:sz w:val="22"/>
                <w:szCs w:val="22"/>
                <w:vertAlign w:val="subscript"/>
                <w:lang w:val="en-GB" w:eastAsia="zh-CN"/>
              </w:rPr>
            </w:pPr>
          </w:p>
        </w:tc>
        <w:tc>
          <w:tcPr>
            <w:tcW w:w="1654" w:type="dxa"/>
          </w:tcPr>
          <w:p w14:paraId="49D8A0C9"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(0.182)</w:t>
            </w:r>
          </w:p>
        </w:tc>
        <w:tc>
          <w:tcPr>
            <w:tcW w:w="1654" w:type="dxa"/>
          </w:tcPr>
          <w:p w14:paraId="169D2227"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(0.265)</w:t>
            </w:r>
          </w:p>
        </w:tc>
        <w:tc>
          <w:tcPr>
            <w:tcW w:w="1654" w:type="dxa"/>
          </w:tcPr>
          <w:p w14:paraId="2533F18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(0.282)</w:t>
            </w:r>
          </w:p>
        </w:tc>
      </w:tr>
      <w:tr w:rsidR="006D5629" w:rsidRPr="006C6BB5" w14:paraId="3516DDFE" w14:textId="77777777" w:rsidTr="006D5629">
        <w:tc>
          <w:tcPr>
            <w:tcW w:w="4077" w:type="dxa"/>
            <w:vMerge w:val="restart"/>
          </w:tcPr>
          <w:p w14:paraId="68F5710A"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eastAsia="zh-CN"/>
              </w:rPr>
              <w:t xml:space="preserve">Share of radical innovation </w:t>
            </w:r>
          </w:p>
        </w:tc>
        <w:tc>
          <w:tcPr>
            <w:tcW w:w="1654" w:type="dxa"/>
          </w:tcPr>
          <w:p w14:paraId="2AFE7010"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0.026</w:t>
            </w:r>
          </w:p>
        </w:tc>
        <w:tc>
          <w:tcPr>
            <w:tcW w:w="1654" w:type="dxa"/>
          </w:tcPr>
          <w:p w14:paraId="7E1DF112"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-0.535</w:t>
            </w:r>
          </w:p>
        </w:tc>
        <w:tc>
          <w:tcPr>
            <w:tcW w:w="1654" w:type="dxa"/>
          </w:tcPr>
          <w:p w14:paraId="5DB648E2"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w:t>
            </w:r>
          </w:p>
        </w:tc>
      </w:tr>
      <w:tr w:rsidR="006D5629" w:rsidRPr="006C6BB5" w14:paraId="5C6F374A" w14:textId="77777777" w:rsidTr="006D5629">
        <w:tc>
          <w:tcPr>
            <w:tcW w:w="4077" w:type="dxa"/>
            <w:vMerge/>
            <w:vAlign w:val="center"/>
          </w:tcPr>
          <w:p w14:paraId="494F3596" w14:textId="77777777" w:rsidR="006D5629" w:rsidRPr="006C6BB5" w:rsidRDefault="006D5629" w:rsidP="006D5629">
            <w:pPr>
              <w:spacing w:line="360" w:lineRule="auto"/>
              <w:rPr>
                <w:sz w:val="22"/>
                <w:szCs w:val="22"/>
                <w:vertAlign w:val="subscript"/>
                <w:lang w:val="en-GB" w:eastAsia="zh-CN"/>
              </w:rPr>
            </w:pPr>
          </w:p>
        </w:tc>
        <w:tc>
          <w:tcPr>
            <w:tcW w:w="1654" w:type="dxa"/>
          </w:tcPr>
          <w:p w14:paraId="7EC78CF0"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(0.350)</w:t>
            </w:r>
          </w:p>
        </w:tc>
        <w:tc>
          <w:tcPr>
            <w:tcW w:w="1654" w:type="dxa"/>
          </w:tcPr>
          <w:p w14:paraId="4876BE09"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(0.433)</w:t>
            </w:r>
          </w:p>
        </w:tc>
        <w:tc>
          <w:tcPr>
            <w:tcW w:w="1654" w:type="dxa"/>
          </w:tcPr>
          <w:p w14:paraId="0E653A03"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w:t>
            </w:r>
          </w:p>
        </w:tc>
      </w:tr>
      <w:tr w:rsidR="006D5629" w:rsidRPr="006C6BB5" w14:paraId="12A15DD6" w14:textId="77777777" w:rsidTr="006D5629">
        <w:tc>
          <w:tcPr>
            <w:tcW w:w="4077" w:type="dxa"/>
            <w:vMerge w:val="restart"/>
            <w:hideMark/>
          </w:tcPr>
          <w:p w14:paraId="31A9068C"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eastAsia="zh-CN"/>
              </w:rPr>
              <w:t xml:space="preserve">R&amp;D intensity </w:t>
            </w:r>
          </w:p>
        </w:tc>
        <w:tc>
          <w:tcPr>
            <w:tcW w:w="1654" w:type="dxa"/>
          </w:tcPr>
          <w:p w14:paraId="3C6CFB95"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0.503</w:t>
            </w:r>
          </w:p>
        </w:tc>
        <w:tc>
          <w:tcPr>
            <w:tcW w:w="1654" w:type="dxa"/>
          </w:tcPr>
          <w:p w14:paraId="3BFC4AF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-0.664</w:t>
            </w:r>
          </w:p>
        </w:tc>
        <w:tc>
          <w:tcPr>
            <w:tcW w:w="1654" w:type="dxa"/>
          </w:tcPr>
          <w:p w14:paraId="58D586C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1.927**</w:t>
            </w:r>
          </w:p>
        </w:tc>
      </w:tr>
      <w:tr w:rsidR="006D5629" w:rsidRPr="006C6BB5" w14:paraId="7BA23834" w14:textId="77777777" w:rsidTr="006D5629">
        <w:tc>
          <w:tcPr>
            <w:tcW w:w="4077" w:type="dxa"/>
            <w:vMerge/>
            <w:vAlign w:val="center"/>
            <w:hideMark/>
          </w:tcPr>
          <w:p w14:paraId="53999BC7" w14:textId="77777777" w:rsidR="006D5629" w:rsidRPr="006C6BB5" w:rsidRDefault="006D5629" w:rsidP="006D5629">
            <w:pPr>
              <w:spacing w:line="360" w:lineRule="auto"/>
              <w:rPr>
                <w:sz w:val="22"/>
                <w:szCs w:val="22"/>
                <w:vertAlign w:val="subscript"/>
                <w:lang w:val="en-GB" w:eastAsia="zh-CN"/>
              </w:rPr>
            </w:pPr>
          </w:p>
        </w:tc>
        <w:tc>
          <w:tcPr>
            <w:tcW w:w="1654" w:type="dxa"/>
          </w:tcPr>
          <w:p w14:paraId="46FA149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(0.844)</w:t>
            </w:r>
          </w:p>
        </w:tc>
        <w:tc>
          <w:tcPr>
            <w:tcW w:w="1654" w:type="dxa"/>
          </w:tcPr>
          <w:p w14:paraId="02F56D0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(1.476)</w:t>
            </w:r>
          </w:p>
        </w:tc>
        <w:tc>
          <w:tcPr>
            <w:tcW w:w="1654" w:type="dxa"/>
          </w:tcPr>
          <w:p w14:paraId="1C657766"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(0.794)</w:t>
            </w:r>
          </w:p>
        </w:tc>
      </w:tr>
      <w:tr w:rsidR="006D5629" w:rsidRPr="006C6BB5" w14:paraId="3ED47ED5" w14:textId="77777777" w:rsidTr="006D5629">
        <w:tc>
          <w:tcPr>
            <w:tcW w:w="4077" w:type="dxa"/>
            <w:vMerge w:val="restart"/>
            <w:hideMark/>
          </w:tcPr>
          <w:p w14:paraId="195323EB" w14:textId="77777777" w:rsidR="006D5629" w:rsidRPr="006C6BB5" w:rsidRDefault="006D5629" w:rsidP="006D5629">
            <w:pPr>
              <w:widowControl w:val="0"/>
              <w:autoSpaceDE w:val="0"/>
              <w:autoSpaceDN w:val="0"/>
              <w:adjustRightInd w:val="0"/>
              <w:spacing w:line="360" w:lineRule="auto"/>
              <w:rPr>
                <w:sz w:val="22"/>
                <w:szCs w:val="22"/>
                <w:vertAlign w:val="subscript"/>
                <w:lang w:val="en-GB" w:eastAsia="zh-CN"/>
              </w:rPr>
            </w:pPr>
            <w:r w:rsidRPr="006C6BB5">
              <w:rPr>
                <w:sz w:val="22"/>
                <w:szCs w:val="22"/>
                <w:lang w:val="en-GB" w:eastAsia="zh-CN"/>
              </w:rPr>
              <w:t>Firm size (log)</w:t>
            </w:r>
          </w:p>
        </w:tc>
        <w:tc>
          <w:tcPr>
            <w:tcW w:w="1654" w:type="dxa"/>
          </w:tcPr>
          <w:p w14:paraId="2595C01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0.015</w:t>
            </w:r>
          </w:p>
        </w:tc>
        <w:tc>
          <w:tcPr>
            <w:tcW w:w="1654" w:type="dxa"/>
          </w:tcPr>
          <w:p w14:paraId="7CF81F4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-0.034</w:t>
            </w:r>
          </w:p>
        </w:tc>
        <w:tc>
          <w:tcPr>
            <w:tcW w:w="1654" w:type="dxa"/>
          </w:tcPr>
          <w:p w14:paraId="55D3F114"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0.065</w:t>
            </w:r>
          </w:p>
        </w:tc>
      </w:tr>
      <w:tr w:rsidR="006D5629" w:rsidRPr="006C6BB5" w14:paraId="066CF905" w14:textId="77777777" w:rsidTr="006D5629">
        <w:tc>
          <w:tcPr>
            <w:tcW w:w="4077" w:type="dxa"/>
            <w:vMerge/>
            <w:vAlign w:val="center"/>
            <w:hideMark/>
          </w:tcPr>
          <w:p w14:paraId="791280CD" w14:textId="77777777" w:rsidR="006D5629" w:rsidRPr="006C6BB5" w:rsidRDefault="006D5629" w:rsidP="006D5629">
            <w:pPr>
              <w:spacing w:line="360" w:lineRule="auto"/>
              <w:rPr>
                <w:sz w:val="22"/>
                <w:szCs w:val="22"/>
                <w:vertAlign w:val="subscript"/>
                <w:lang w:val="en-GB" w:eastAsia="zh-CN"/>
              </w:rPr>
            </w:pPr>
          </w:p>
        </w:tc>
        <w:tc>
          <w:tcPr>
            <w:tcW w:w="1654" w:type="dxa"/>
          </w:tcPr>
          <w:p w14:paraId="55E426FE"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(0.052)</w:t>
            </w:r>
          </w:p>
        </w:tc>
        <w:tc>
          <w:tcPr>
            <w:tcW w:w="1654" w:type="dxa"/>
          </w:tcPr>
          <w:p w14:paraId="2CB8B51E"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(0.071)</w:t>
            </w:r>
          </w:p>
        </w:tc>
        <w:tc>
          <w:tcPr>
            <w:tcW w:w="1654" w:type="dxa"/>
          </w:tcPr>
          <w:p w14:paraId="4509076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(0.060)</w:t>
            </w:r>
          </w:p>
        </w:tc>
      </w:tr>
      <w:tr w:rsidR="006D5629" w:rsidRPr="006C6BB5" w14:paraId="7EF535DB" w14:textId="77777777" w:rsidTr="006D5629">
        <w:tc>
          <w:tcPr>
            <w:tcW w:w="4077" w:type="dxa"/>
            <w:vMerge w:val="restart"/>
            <w:vAlign w:val="center"/>
          </w:tcPr>
          <w:p w14:paraId="1D99F40F" w14:textId="77777777" w:rsidR="006D5629" w:rsidRPr="006C6BB5" w:rsidRDefault="006D5629" w:rsidP="006D5629">
            <w:pPr>
              <w:spacing w:line="360" w:lineRule="auto"/>
              <w:rPr>
                <w:sz w:val="22"/>
                <w:szCs w:val="22"/>
                <w:lang w:val="en-GB" w:eastAsia="zh-CN"/>
              </w:rPr>
            </w:pPr>
            <w:r w:rsidRPr="006C6BB5">
              <w:rPr>
                <w:sz w:val="22"/>
                <w:szCs w:val="22"/>
                <w:lang w:val="en-GB" w:eastAsia="zh-CN"/>
              </w:rPr>
              <w:t>Part of a group</w:t>
            </w:r>
          </w:p>
        </w:tc>
        <w:tc>
          <w:tcPr>
            <w:tcW w:w="1654" w:type="dxa"/>
          </w:tcPr>
          <w:p w14:paraId="3634A29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0.154</w:t>
            </w:r>
          </w:p>
        </w:tc>
        <w:tc>
          <w:tcPr>
            <w:tcW w:w="1654" w:type="dxa"/>
          </w:tcPr>
          <w:p w14:paraId="1C4F3F99"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0.073</w:t>
            </w:r>
          </w:p>
        </w:tc>
        <w:tc>
          <w:tcPr>
            <w:tcW w:w="1654" w:type="dxa"/>
          </w:tcPr>
          <w:p w14:paraId="27478CE7"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0.237</w:t>
            </w:r>
          </w:p>
        </w:tc>
      </w:tr>
      <w:tr w:rsidR="006D5629" w:rsidRPr="006C6BB5" w14:paraId="6BC30036" w14:textId="77777777" w:rsidTr="006D5629">
        <w:tc>
          <w:tcPr>
            <w:tcW w:w="4077" w:type="dxa"/>
            <w:vMerge/>
            <w:vAlign w:val="center"/>
          </w:tcPr>
          <w:p w14:paraId="20201EC0" w14:textId="77777777" w:rsidR="006D5629" w:rsidRPr="006C6BB5" w:rsidRDefault="006D5629" w:rsidP="006D5629">
            <w:pPr>
              <w:spacing w:line="360" w:lineRule="auto"/>
              <w:rPr>
                <w:sz w:val="22"/>
                <w:szCs w:val="22"/>
                <w:lang w:val="en-GB" w:eastAsia="zh-CN"/>
              </w:rPr>
            </w:pPr>
          </w:p>
        </w:tc>
        <w:tc>
          <w:tcPr>
            <w:tcW w:w="1654" w:type="dxa"/>
          </w:tcPr>
          <w:p w14:paraId="0B487FE6"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(0.103)</w:t>
            </w:r>
          </w:p>
        </w:tc>
        <w:tc>
          <w:tcPr>
            <w:tcW w:w="1654" w:type="dxa"/>
          </w:tcPr>
          <w:p w14:paraId="775F4D5A"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(0.144)</w:t>
            </w:r>
          </w:p>
        </w:tc>
        <w:tc>
          <w:tcPr>
            <w:tcW w:w="1654" w:type="dxa"/>
          </w:tcPr>
          <w:p w14:paraId="1E277BB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(0.120)</w:t>
            </w:r>
          </w:p>
        </w:tc>
      </w:tr>
      <w:tr w:rsidR="006D5629" w:rsidRPr="006C6BB5" w14:paraId="7EAF3AA8" w14:textId="77777777" w:rsidTr="006D5629">
        <w:tc>
          <w:tcPr>
            <w:tcW w:w="4077" w:type="dxa"/>
            <w:vMerge w:val="restart"/>
            <w:vAlign w:val="center"/>
          </w:tcPr>
          <w:p w14:paraId="32EC0FCE" w14:textId="77777777" w:rsidR="006D5629" w:rsidRPr="006C6BB5" w:rsidRDefault="006D5629" w:rsidP="006D5629">
            <w:pPr>
              <w:spacing w:line="360" w:lineRule="auto"/>
              <w:rPr>
                <w:sz w:val="22"/>
                <w:szCs w:val="22"/>
                <w:lang w:val="en-GB" w:eastAsia="zh-CN"/>
              </w:rPr>
            </w:pPr>
            <w:r w:rsidRPr="006C6BB5">
              <w:rPr>
                <w:sz w:val="22"/>
                <w:szCs w:val="22"/>
                <w:lang w:val="en-GB" w:eastAsia="zh-CN"/>
              </w:rPr>
              <w:t>IMR (Innovator)</w:t>
            </w:r>
          </w:p>
        </w:tc>
        <w:tc>
          <w:tcPr>
            <w:tcW w:w="1654" w:type="dxa"/>
          </w:tcPr>
          <w:p w14:paraId="252712C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0.322</w:t>
            </w:r>
          </w:p>
        </w:tc>
        <w:tc>
          <w:tcPr>
            <w:tcW w:w="1654" w:type="dxa"/>
          </w:tcPr>
          <w:p w14:paraId="67090874"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0.151</w:t>
            </w:r>
          </w:p>
        </w:tc>
        <w:tc>
          <w:tcPr>
            <w:tcW w:w="1654" w:type="dxa"/>
          </w:tcPr>
          <w:p w14:paraId="60963D0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0.670</w:t>
            </w:r>
          </w:p>
        </w:tc>
      </w:tr>
      <w:tr w:rsidR="006D5629" w:rsidRPr="006C6BB5" w14:paraId="657E7F8C" w14:textId="77777777" w:rsidTr="006D5629">
        <w:tc>
          <w:tcPr>
            <w:tcW w:w="4077" w:type="dxa"/>
            <w:vMerge/>
            <w:vAlign w:val="center"/>
          </w:tcPr>
          <w:p w14:paraId="236A436E" w14:textId="77777777" w:rsidR="006D5629" w:rsidRPr="006C6BB5" w:rsidRDefault="006D5629" w:rsidP="006D5629">
            <w:pPr>
              <w:spacing w:line="360" w:lineRule="auto"/>
              <w:rPr>
                <w:sz w:val="22"/>
                <w:szCs w:val="22"/>
                <w:lang w:val="en-GB" w:eastAsia="zh-CN"/>
              </w:rPr>
            </w:pPr>
          </w:p>
        </w:tc>
        <w:tc>
          <w:tcPr>
            <w:tcW w:w="1654" w:type="dxa"/>
          </w:tcPr>
          <w:p w14:paraId="3EA9AB4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(0.437)</w:t>
            </w:r>
          </w:p>
        </w:tc>
        <w:tc>
          <w:tcPr>
            <w:tcW w:w="1654" w:type="dxa"/>
          </w:tcPr>
          <w:p w14:paraId="0E1D88B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(0.590)</w:t>
            </w:r>
          </w:p>
        </w:tc>
        <w:tc>
          <w:tcPr>
            <w:tcW w:w="1654" w:type="dxa"/>
          </w:tcPr>
          <w:p w14:paraId="1E134D05"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(0.530)</w:t>
            </w:r>
          </w:p>
        </w:tc>
      </w:tr>
      <w:tr w:rsidR="006D5629" w:rsidRPr="006C6BB5" w14:paraId="7F907564" w14:textId="77777777" w:rsidTr="006D5629">
        <w:tc>
          <w:tcPr>
            <w:tcW w:w="4077" w:type="dxa"/>
            <w:vMerge w:val="restart"/>
            <w:vAlign w:val="center"/>
          </w:tcPr>
          <w:p w14:paraId="40F009AE" w14:textId="77777777" w:rsidR="006D5629" w:rsidRPr="006C6BB5" w:rsidRDefault="006D5629" w:rsidP="006D5629">
            <w:pPr>
              <w:spacing w:line="360" w:lineRule="auto"/>
              <w:rPr>
                <w:sz w:val="22"/>
                <w:szCs w:val="22"/>
                <w:vertAlign w:val="subscript"/>
                <w:lang w:val="en-GB" w:eastAsia="zh-CN"/>
              </w:rPr>
            </w:pPr>
            <w:r w:rsidRPr="006C6BB5">
              <w:rPr>
                <w:sz w:val="22"/>
                <w:szCs w:val="22"/>
                <w:lang w:val="en-GB" w:eastAsia="zh-CN"/>
              </w:rPr>
              <w:t>Intercept</w:t>
            </w:r>
          </w:p>
        </w:tc>
        <w:tc>
          <w:tcPr>
            <w:tcW w:w="1654" w:type="dxa"/>
          </w:tcPr>
          <w:p w14:paraId="53B040A9"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-0.255</w:t>
            </w:r>
          </w:p>
        </w:tc>
        <w:tc>
          <w:tcPr>
            <w:tcW w:w="1654" w:type="dxa"/>
          </w:tcPr>
          <w:p w14:paraId="2BAD752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0.265</w:t>
            </w:r>
          </w:p>
        </w:tc>
        <w:tc>
          <w:tcPr>
            <w:tcW w:w="1654" w:type="dxa"/>
          </w:tcPr>
          <w:p w14:paraId="38751AC3"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-0.767</w:t>
            </w:r>
          </w:p>
        </w:tc>
      </w:tr>
      <w:tr w:rsidR="006D5629" w:rsidRPr="006C6BB5" w14:paraId="48F5E195" w14:textId="77777777" w:rsidTr="006D5629">
        <w:tc>
          <w:tcPr>
            <w:tcW w:w="4077" w:type="dxa"/>
            <w:vMerge/>
            <w:vAlign w:val="center"/>
          </w:tcPr>
          <w:p w14:paraId="63F47343" w14:textId="77777777" w:rsidR="006D5629" w:rsidRPr="006C6BB5" w:rsidRDefault="006D5629" w:rsidP="006D5629">
            <w:pPr>
              <w:spacing w:line="360" w:lineRule="auto"/>
              <w:rPr>
                <w:sz w:val="22"/>
                <w:szCs w:val="22"/>
                <w:vertAlign w:val="subscript"/>
                <w:lang w:val="en-GB" w:eastAsia="zh-CN"/>
              </w:rPr>
            </w:pPr>
          </w:p>
        </w:tc>
        <w:tc>
          <w:tcPr>
            <w:tcW w:w="1654" w:type="dxa"/>
          </w:tcPr>
          <w:p w14:paraId="33F6CDF2"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(0.606)</w:t>
            </w:r>
          </w:p>
        </w:tc>
        <w:tc>
          <w:tcPr>
            <w:tcW w:w="1654" w:type="dxa"/>
          </w:tcPr>
          <w:p w14:paraId="1E47996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(0.847)</w:t>
            </w:r>
          </w:p>
        </w:tc>
        <w:tc>
          <w:tcPr>
            <w:tcW w:w="1654" w:type="dxa"/>
          </w:tcPr>
          <w:p w14:paraId="3BD3D742"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(0.788)</w:t>
            </w:r>
          </w:p>
        </w:tc>
      </w:tr>
      <w:tr w:rsidR="006D5629" w:rsidRPr="006C6BB5" w14:paraId="79F9BE8B" w14:textId="77777777" w:rsidTr="006D5629">
        <w:tc>
          <w:tcPr>
            <w:tcW w:w="4077" w:type="dxa"/>
          </w:tcPr>
          <w:p w14:paraId="1BDBEC78" w14:textId="77777777" w:rsidR="006D5629" w:rsidRPr="006C6BB5" w:rsidRDefault="006D5629" w:rsidP="006D5629">
            <w:pPr>
              <w:widowControl w:val="0"/>
              <w:autoSpaceDE w:val="0"/>
              <w:autoSpaceDN w:val="0"/>
              <w:adjustRightInd w:val="0"/>
              <w:spacing w:line="360" w:lineRule="auto"/>
              <w:rPr>
                <w:sz w:val="22"/>
                <w:szCs w:val="22"/>
                <w:lang w:val="en-GB" w:eastAsia="zh-CN"/>
              </w:rPr>
            </w:pPr>
            <w:r w:rsidRPr="006C6BB5">
              <w:rPr>
                <w:sz w:val="22"/>
                <w:szCs w:val="22"/>
                <w:lang w:val="en-GB" w:eastAsia="zh-CN"/>
              </w:rPr>
              <w:t>Industry dummies</w:t>
            </w:r>
          </w:p>
        </w:tc>
        <w:tc>
          <w:tcPr>
            <w:tcW w:w="1654" w:type="dxa"/>
          </w:tcPr>
          <w:p w14:paraId="5F0B7B2D"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Included</w:t>
            </w:r>
          </w:p>
        </w:tc>
        <w:tc>
          <w:tcPr>
            <w:tcW w:w="1654" w:type="dxa"/>
          </w:tcPr>
          <w:p w14:paraId="56816768"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Included</w:t>
            </w:r>
          </w:p>
        </w:tc>
        <w:tc>
          <w:tcPr>
            <w:tcW w:w="1654" w:type="dxa"/>
          </w:tcPr>
          <w:p w14:paraId="3D68D680"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Included</w:t>
            </w:r>
          </w:p>
        </w:tc>
      </w:tr>
      <w:tr w:rsidR="006D5629" w:rsidRPr="006C6BB5" w14:paraId="340A2DEB" w14:textId="77777777" w:rsidTr="006D5629">
        <w:tc>
          <w:tcPr>
            <w:tcW w:w="4077" w:type="dxa"/>
            <w:tcBorders>
              <w:top w:val="single" w:sz="4" w:space="0" w:color="auto"/>
              <w:left w:val="nil"/>
              <w:bottom w:val="nil"/>
              <w:right w:val="nil"/>
            </w:tcBorders>
            <w:hideMark/>
          </w:tcPr>
          <w:p w14:paraId="7D0FD6B9" w14:textId="77777777" w:rsidR="006D5629" w:rsidRPr="006C6BB5" w:rsidRDefault="006D5629" w:rsidP="006D5629">
            <w:pPr>
              <w:widowControl w:val="0"/>
              <w:autoSpaceDE w:val="0"/>
              <w:autoSpaceDN w:val="0"/>
              <w:adjustRightInd w:val="0"/>
              <w:spacing w:line="360" w:lineRule="auto"/>
              <w:rPr>
                <w:sz w:val="22"/>
                <w:szCs w:val="22"/>
                <w:lang w:val="en-GB" w:eastAsia="zh-CN"/>
              </w:rPr>
            </w:pPr>
          </w:p>
          <w:p w14:paraId="63AD7DB4" w14:textId="77777777" w:rsidR="006D5629" w:rsidRPr="006C6BB5" w:rsidRDefault="006D5629" w:rsidP="006D5629">
            <w:pPr>
              <w:widowControl w:val="0"/>
              <w:autoSpaceDE w:val="0"/>
              <w:autoSpaceDN w:val="0"/>
              <w:adjustRightInd w:val="0"/>
              <w:spacing w:line="360" w:lineRule="auto"/>
              <w:rPr>
                <w:sz w:val="22"/>
                <w:szCs w:val="22"/>
                <w:lang w:val="en-GB" w:eastAsia="zh-CN"/>
              </w:rPr>
            </w:pPr>
            <w:r w:rsidRPr="006C6BB5">
              <w:rPr>
                <w:sz w:val="22"/>
                <w:szCs w:val="22"/>
                <w:lang w:val="en-GB" w:eastAsia="zh-CN"/>
              </w:rPr>
              <w:t>Shea (first-stage) partial R2 (breadth)</w:t>
            </w:r>
          </w:p>
        </w:tc>
        <w:tc>
          <w:tcPr>
            <w:tcW w:w="1654" w:type="dxa"/>
            <w:tcBorders>
              <w:top w:val="single" w:sz="4" w:space="0" w:color="auto"/>
              <w:left w:val="nil"/>
              <w:bottom w:val="nil"/>
              <w:right w:val="nil"/>
            </w:tcBorders>
          </w:tcPr>
          <w:p w14:paraId="11BC3E08" w14:textId="77777777" w:rsidR="006D5629" w:rsidRPr="006C6BB5" w:rsidRDefault="006D5629" w:rsidP="006D5629">
            <w:pPr>
              <w:spacing w:line="360" w:lineRule="auto"/>
              <w:jc w:val="center"/>
              <w:rPr>
                <w:sz w:val="22"/>
                <w:szCs w:val="22"/>
                <w:lang w:val="en-GB" w:eastAsia="zh-CN"/>
              </w:rPr>
            </w:pPr>
          </w:p>
          <w:p w14:paraId="7DA47200"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0.03</w:t>
            </w:r>
          </w:p>
        </w:tc>
        <w:tc>
          <w:tcPr>
            <w:tcW w:w="1654" w:type="dxa"/>
            <w:tcBorders>
              <w:top w:val="single" w:sz="4" w:space="0" w:color="auto"/>
              <w:left w:val="nil"/>
              <w:bottom w:val="nil"/>
              <w:right w:val="nil"/>
            </w:tcBorders>
          </w:tcPr>
          <w:p w14:paraId="28B65393" w14:textId="77777777" w:rsidR="006D5629" w:rsidRPr="006C6BB5" w:rsidRDefault="006D5629" w:rsidP="006D5629">
            <w:pPr>
              <w:spacing w:line="360" w:lineRule="auto"/>
              <w:jc w:val="center"/>
              <w:rPr>
                <w:sz w:val="22"/>
                <w:szCs w:val="22"/>
                <w:lang w:val="en-GB" w:eastAsia="zh-CN"/>
              </w:rPr>
            </w:pPr>
          </w:p>
          <w:p w14:paraId="75B105B1"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0.06</w:t>
            </w:r>
          </w:p>
        </w:tc>
        <w:tc>
          <w:tcPr>
            <w:tcW w:w="1654" w:type="dxa"/>
            <w:tcBorders>
              <w:top w:val="single" w:sz="4" w:space="0" w:color="auto"/>
              <w:left w:val="nil"/>
              <w:bottom w:val="nil"/>
              <w:right w:val="nil"/>
            </w:tcBorders>
          </w:tcPr>
          <w:p w14:paraId="23344898" w14:textId="77777777" w:rsidR="006D5629" w:rsidRPr="006C6BB5" w:rsidRDefault="006D5629" w:rsidP="006D5629">
            <w:pPr>
              <w:spacing w:line="360" w:lineRule="auto"/>
              <w:jc w:val="center"/>
              <w:rPr>
                <w:sz w:val="22"/>
                <w:szCs w:val="22"/>
                <w:lang w:val="en-GB" w:eastAsia="zh-CN"/>
              </w:rPr>
            </w:pPr>
          </w:p>
          <w:p w14:paraId="27D1BB46"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0.05</w:t>
            </w:r>
          </w:p>
        </w:tc>
      </w:tr>
      <w:tr w:rsidR="006D5629" w:rsidRPr="006C6BB5" w14:paraId="748CBE4A" w14:textId="77777777" w:rsidTr="006D5629">
        <w:tc>
          <w:tcPr>
            <w:tcW w:w="4077" w:type="dxa"/>
          </w:tcPr>
          <w:p w14:paraId="059060C6" w14:textId="77777777" w:rsidR="006D5629" w:rsidRPr="006C6BB5" w:rsidRDefault="006D5629" w:rsidP="006D5629">
            <w:pPr>
              <w:widowControl w:val="0"/>
              <w:autoSpaceDE w:val="0"/>
              <w:autoSpaceDN w:val="0"/>
              <w:adjustRightInd w:val="0"/>
              <w:spacing w:line="360" w:lineRule="auto"/>
              <w:rPr>
                <w:sz w:val="22"/>
                <w:szCs w:val="22"/>
                <w:lang w:val="en-GB" w:eastAsia="zh-CN"/>
              </w:rPr>
            </w:pPr>
            <w:r w:rsidRPr="006C6BB5">
              <w:rPr>
                <w:sz w:val="22"/>
                <w:szCs w:val="22"/>
                <w:lang w:val="en-GB" w:eastAsia="zh-CN"/>
              </w:rPr>
              <w:t>Shea (first-stage) partial R2 (depth)</w:t>
            </w:r>
          </w:p>
        </w:tc>
        <w:tc>
          <w:tcPr>
            <w:tcW w:w="1654" w:type="dxa"/>
          </w:tcPr>
          <w:p w14:paraId="0EDD3B96"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0.02</w:t>
            </w:r>
          </w:p>
        </w:tc>
        <w:tc>
          <w:tcPr>
            <w:tcW w:w="1654" w:type="dxa"/>
          </w:tcPr>
          <w:p w14:paraId="5843B10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0.03</w:t>
            </w:r>
          </w:p>
        </w:tc>
        <w:tc>
          <w:tcPr>
            <w:tcW w:w="1654" w:type="dxa"/>
          </w:tcPr>
          <w:p w14:paraId="37EC051B"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0.03</w:t>
            </w:r>
          </w:p>
        </w:tc>
      </w:tr>
      <w:tr w:rsidR="006D5629" w:rsidRPr="006C6BB5" w14:paraId="3D559D24" w14:textId="77777777" w:rsidTr="006D5629">
        <w:tc>
          <w:tcPr>
            <w:tcW w:w="4077" w:type="dxa"/>
          </w:tcPr>
          <w:p w14:paraId="566D02C9" w14:textId="77777777" w:rsidR="006D5629" w:rsidRPr="006C6BB5" w:rsidRDefault="006D5629" w:rsidP="006D5629">
            <w:pPr>
              <w:widowControl w:val="0"/>
              <w:autoSpaceDE w:val="0"/>
              <w:autoSpaceDN w:val="0"/>
              <w:adjustRightInd w:val="0"/>
              <w:spacing w:line="360" w:lineRule="auto"/>
              <w:rPr>
                <w:sz w:val="22"/>
                <w:szCs w:val="22"/>
                <w:lang w:val="en-GB" w:eastAsia="zh-CN"/>
              </w:rPr>
            </w:pPr>
            <w:r w:rsidRPr="006C6BB5">
              <w:rPr>
                <w:sz w:val="22"/>
                <w:szCs w:val="22"/>
                <w:lang w:val="en-GB" w:eastAsia="zh-CN"/>
              </w:rPr>
              <w:t>Hansen J statistic (p-value)</w:t>
            </w:r>
          </w:p>
        </w:tc>
        <w:tc>
          <w:tcPr>
            <w:tcW w:w="1654" w:type="dxa"/>
          </w:tcPr>
          <w:p w14:paraId="2F10B40F"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4.76 (0.98)</w:t>
            </w:r>
          </w:p>
        </w:tc>
        <w:tc>
          <w:tcPr>
            <w:tcW w:w="1654" w:type="dxa"/>
          </w:tcPr>
          <w:p w14:paraId="2ED87187"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4.21 (0.99)</w:t>
            </w:r>
          </w:p>
        </w:tc>
        <w:tc>
          <w:tcPr>
            <w:tcW w:w="1654" w:type="dxa"/>
          </w:tcPr>
          <w:p w14:paraId="408805DC"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6.93 (0.91)</w:t>
            </w:r>
          </w:p>
        </w:tc>
      </w:tr>
      <w:tr w:rsidR="006D5629" w:rsidRPr="006C6BB5" w14:paraId="76BF3D8C" w14:textId="77777777" w:rsidTr="006D5629">
        <w:tc>
          <w:tcPr>
            <w:tcW w:w="4077" w:type="dxa"/>
            <w:hideMark/>
          </w:tcPr>
          <w:p w14:paraId="187A4E37" w14:textId="77777777" w:rsidR="006D5629" w:rsidRPr="006C6BB5" w:rsidRDefault="006D5629" w:rsidP="006D5629">
            <w:pPr>
              <w:widowControl w:val="0"/>
              <w:autoSpaceDE w:val="0"/>
              <w:autoSpaceDN w:val="0"/>
              <w:adjustRightInd w:val="0"/>
              <w:spacing w:line="360" w:lineRule="auto"/>
              <w:rPr>
                <w:sz w:val="22"/>
                <w:szCs w:val="22"/>
                <w:lang w:val="en-GB" w:eastAsia="zh-CN"/>
              </w:rPr>
            </w:pPr>
            <w:r w:rsidRPr="006C6BB5">
              <w:rPr>
                <w:sz w:val="22"/>
                <w:szCs w:val="22"/>
                <w:lang w:val="en-GB" w:eastAsia="zh-CN"/>
              </w:rPr>
              <w:t>No of obs.</w:t>
            </w:r>
          </w:p>
        </w:tc>
        <w:tc>
          <w:tcPr>
            <w:tcW w:w="1654" w:type="dxa"/>
          </w:tcPr>
          <w:p w14:paraId="2717492E"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1133</w:t>
            </w:r>
          </w:p>
        </w:tc>
        <w:tc>
          <w:tcPr>
            <w:tcW w:w="1654" w:type="dxa"/>
          </w:tcPr>
          <w:p w14:paraId="435F4234"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467</w:t>
            </w:r>
          </w:p>
        </w:tc>
        <w:tc>
          <w:tcPr>
            <w:tcW w:w="1654" w:type="dxa"/>
          </w:tcPr>
          <w:p w14:paraId="387B8C39" w14:textId="77777777" w:rsidR="006D5629" w:rsidRPr="006C6BB5" w:rsidRDefault="006D5629" w:rsidP="006D5629">
            <w:pPr>
              <w:spacing w:line="360" w:lineRule="auto"/>
              <w:jc w:val="center"/>
              <w:rPr>
                <w:sz w:val="22"/>
                <w:szCs w:val="22"/>
                <w:lang w:val="en-GB" w:eastAsia="zh-CN"/>
              </w:rPr>
            </w:pPr>
            <w:r w:rsidRPr="006C6BB5">
              <w:rPr>
                <w:sz w:val="22"/>
                <w:szCs w:val="22"/>
                <w:lang w:val="en-GB" w:eastAsia="zh-CN"/>
              </w:rPr>
              <w:t>666</w:t>
            </w:r>
          </w:p>
        </w:tc>
      </w:tr>
    </w:tbl>
    <w:p w14:paraId="21A911B5" w14:textId="77777777" w:rsidR="006D5629" w:rsidRPr="006C6BB5" w:rsidRDefault="006D5629" w:rsidP="006D5629">
      <w:pPr>
        <w:spacing w:line="360" w:lineRule="auto"/>
        <w:rPr>
          <w:b/>
          <w:sz w:val="22"/>
          <w:szCs w:val="22"/>
          <w:lang w:val="en-GB"/>
        </w:rPr>
      </w:pPr>
      <w:r w:rsidRPr="006C6BB5">
        <w:rPr>
          <w:iCs/>
          <w:sz w:val="22"/>
          <w:szCs w:val="22"/>
          <w:lang w:val="en-GB"/>
        </w:rPr>
        <w:t>Notes: Robust standard errors</w:t>
      </w:r>
      <w:r w:rsidRPr="006C6BB5">
        <w:rPr>
          <w:sz w:val="22"/>
          <w:szCs w:val="22"/>
          <w:lang w:val="en-GB"/>
        </w:rPr>
        <w:t xml:space="preserve"> in parentheses, * p&lt;0.1, ** p&lt;0.05, *** p&lt;0.01</w:t>
      </w:r>
    </w:p>
    <w:p w14:paraId="6E190B51" w14:textId="77777777" w:rsidR="006D5629" w:rsidRDefault="006D5629" w:rsidP="006D5629">
      <w:pPr>
        <w:spacing w:after="200" w:line="276" w:lineRule="auto"/>
        <w:rPr>
          <w:b/>
          <w:bCs/>
          <w:sz w:val="22"/>
          <w:szCs w:val="22"/>
          <w:lang w:val="en-GB"/>
        </w:rPr>
      </w:pPr>
      <w:r w:rsidRPr="006C6BB5">
        <w:rPr>
          <w:b/>
          <w:bCs/>
          <w:sz w:val="22"/>
          <w:szCs w:val="22"/>
          <w:lang w:val="en-GB"/>
        </w:rPr>
        <w:br w:type="page"/>
      </w:r>
    </w:p>
    <w:p w14:paraId="0B0283CF" w14:textId="3405A749" w:rsidR="0047721D" w:rsidRDefault="00075D08" w:rsidP="006D5629">
      <w:pPr>
        <w:spacing w:after="200" w:line="276" w:lineRule="auto"/>
        <w:rPr>
          <w:b/>
          <w:bCs/>
          <w:sz w:val="22"/>
          <w:szCs w:val="22"/>
          <w:lang w:val="en-GB"/>
        </w:rPr>
      </w:pPr>
      <w:r>
        <w:rPr>
          <w:b/>
          <w:bCs/>
          <w:sz w:val="22"/>
          <w:szCs w:val="22"/>
          <w:lang w:val="en-GB"/>
        </w:rPr>
        <w:lastRenderedPageBreak/>
        <w:t xml:space="preserve">TABLE </w:t>
      </w:r>
      <w:r w:rsidRPr="00F23265">
        <w:rPr>
          <w:b/>
          <w:bCs/>
          <w:sz w:val="22"/>
          <w:szCs w:val="22"/>
          <w:lang w:val="en-GB"/>
        </w:rPr>
        <w:t xml:space="preserve">5: </w:t>
      </w:r>
      <w:r w:rsidR="00222095" w:rsidRPr="00F23265">
        <w:rPr>
          <w:b/>
          <w:bCs/>
          <w:sz w:val="22"/>
          <w:szCs w:val="22"/>
          <w:lang w:val="en-GB"/>
        </w:rPr>
        <w:t>Summary of relationships between innovative activities and appropriation mechanisms</w:t>
      </w:r>
      <w:r w:rsidR="00C1769A" w:rsidRPr="00F23265">
        <w:rPr>
          <w:b/>
          <w:bCs/>
          <w:sz w:val="22"/>
          <w:szCs w:val="22"/>
          <w:lang w:val="en-GB"/>
        </w:rPr>
        <w:t xml:space="preserve"> </w:t>
      </w:r>
    </w:p>
    <w:tbl>
      <w:tblPr>
        <w:tblStyle w:val="TableGrid"/>
        <w:tblW w:w="0" w:type="auto"/>
        <w:tblLayout w:type="fixed"/>
        <w:tblLook w:val="04A0" w:firstRow="1" w:lastRow="0" w:firstColumn="1" w:lastColumn="0" w:noHBand="0" w:noVBand="1"/>
      </w:tblPr>
      <w:tblGrid>
        <w:gridCol w:w="1975"/>
        <w:gridCol w:w="2160"/>
        <w:gridCol w:w="2610"/>
        <w:gridCol w:w="2403"/>
      </w:tblGrid>
      <w:tr w:rsidR="003B23F7" w:rsidRPr="0047721D" w14:paraId="5B8129C6" w14:textId="77777777" w:rsidTr="00075D08">
        <w:tc>
          <w:tcPr>
            <w:tcW w:w="4135" w:type="dxa"/>
            <w:gridSpan w:val="2"/>
            <w:vMerge w:val="restart"/>
          </w:tcPr>
          <w:p w14:paraId="16F66DB6" w14:textId="1915D930" w:rsidR="003B23F7"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INNOVATIVE ACTIVITIES</w:t>
            </w:r>
          </w:p>
        </w:tc>
        <w:tc>
          <w:tcPr>
            <w:tcW w:w="5013" w:type="dxa"/>
            <w:gridSpan w:val="2"/>
            <w:vAlign w:val="center"/>
          </w:tcPr>
          <w:p w14:paraId="341D1A27" w14:textId="5E8C7C61" w:rsidR="003B23F7" w:rsidRPr="0047721D" w:rsidRDefault="003B23F7" w:rsidP="003B23F7">
            <w:pPr>
              <w:spacing w:after="200"/>
              <w:jc w:val="center"/>
              <w:rPr>
                <w:rFonts w:ascii="Times New Roman" w:hAnsi="Times New Roman" w:cs="Times New Roman"/>
                <w:b/>
                <w:bCs/>
                <w:sz w:val="22"/>
                <w:szCs w:val="22"/>
              </w:rPr>
            </w:pPr>
            <w:r>
              <w:rPr>
                <w:rFonts w:ascii="Times New Roman" w:hAnsi="Times New Roman" w:cs="Times New Roman"/>
                <w:b/>
                <w:bCs/>
                <w:sz w:val="22"/>
                <w:szCs w:val="22"/>
              </w:rPr>
              <w:t>APPROPRIATION MECHANISMS</w:t>
            </w:r>
          </w:p>
        </w:tc>
      </w:tr>
      <w:tr w:rsidR="003B23F7" w:rsidRPr="0047721D" w14:paraId="2C79E2A7" w14:textId="77777777" w:rsidTr="00075D08">
        <w:tc>
          <w:tcPr>
            <w:tcW w:w="4135" w:type="dxa"/>
            <w:gridSpan w:val="2"/>
            <w:vMerge/>
          </w:tcPr>
          <w:p w14:paraId="187B2607" w14:textId="77777777" w:rsidR="003B23F7" w:rsidRPr="0047721D" w:rsidRDefault="003B23F7" w:rsidP="0047721D">
            <w:pPr>
              <w:spacing w:after="200"/>
              <w:rPr>
                <w:rFonts w:ascii="Times New Roman" w:hAnsi="Times New Roman" w:cs="Times New Roman"/>
                <w:b/>
                <w:bCs/>
                <w:sz w:val="22"/>
                <w:szCs w:val="22"/>
              </w:rPr>
            </w:pPr>
          </w:p>
        </w:tc>
        <w:tc>
          <w:tcPr>
            <w:tcW w:w="2610" w:type="dxa"/>
          </w:tcPr>
          <w:p w14:paraId="476E9F41" w14:textId="4BD5B2FA" w:rsidR="003B23F7" w:rsidRPr="0047721D" w:rsidRDefault="003B23F7" w:rsidP="003B23F7">
            <w:pPr>
              <w:spacing w:after="200"/>
              <w:jc w:val="center"/>
              <w:rPr>
                <w:rFonts w:ascii="Times New Roman" w:hAnsi="Times New Roman" w:cs="Times New Roman"/>
                <w:b/>
                <w:bCs/>
                <w:sz w:val="22"/>
                <w:szCs w:val="22"/>
              </w:rPr>
            </w:pPr>
            <w:r w:rsidRPr="0047721D">
              <w:rPr>
                <w:rFonts w:ascii="Times New Roman" w:hAnsi="Times New Roman" w:cs="Times New Roman"/>
                <w:b/>
                <w:bCs/>
                <w:sz w:val="22"/>
                <w:szCs w:val="22"/>
              </w:rPr>
              <w:t>Formal</w:t>
            </w:r>
          </w:p>
        </w:tc>
        <w:tc>
          <w:tcPr>
            <w:tcW w:w="2403" w:type="dxa"/>
          </w:tcPr>
          <w:p w14:paraId="79E049BD" w14:textId="603FF3EA" w:rsidR="003B23F7" w:rsidRPr="0047721D" w:rsidRDefault="003B23F7" w:rsidP="003B23F7">
            <w:pPr>
              <w:spacing w:after="200"/>
              <w:jc w:val="center"/>
              <w:rPr>
                <w:rFonts w:ascii="Times New Roman" w:hAnsi="Times New Roman" w:cs="Times New Roman"/>
                <w:b/>
                <w:bCs/>
                <w:sz w:val="22"/>
                <w:szCs w:val="22"/>
              </w:rPr>
            </w:pPr>
            <w:r w:rsidRPr="0047721D">
              <w:rPr>
                <w:rFonts w:ascii="Times New Roman" w:hAnsi="Times New Roman" w:cs="Times New Roman"/>
                <w:b/>
                <w:bCs/>
                <w:sz w:val="22"/>
                <w:szCs w:val="22"/>
              </w:rPr>
              <w:t>Informal</w:t>
            </w:r>
          </w:p>
        </w:tc>
      </w:tr>
      <w:tr w:rsidR="00075D08" w:rsidRPr="0047721D" w14:paraId="1A0B9280" w14:textId="77777777" w:rsidTr="00075D08">
        <w:tc>
          <w:tcPr>
            <w:tcW w:w="1975" w:type="dxa"/>
            <w:vMerge w:val="restart"/>
          </w:tcPr>
          <w:p w14:paraId="5AF8F868" w14:textId="6249D5B4"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SEARCH OPENNESS</w:t>
            </w:r>
          </w:p>
        </w:tc>
        <w:tc>
          <w:tcPr>
            <w:tcW w:w="2160" w:type="dxa"/>
          </w:tcPr>
          <w:p w14:paraId="1C5EA286" w14:textId="6ECF59D0"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Search Breadth</w:t>
            </w:r>
          </w:p>
        </w:tc>
        <w:tc>
          <w:tcPr>
            <w:tcW w:w="2610" w:type="dxa"/>
          </w:tcPr>
          <w:p w14:paraId="758DA201" w14:textId="16612327" w:rsidR="00075D08" w:rsidRPr="00BD49AB" w:rsidRDefault="00075D08" w:rsidP="00075D08">
            <w:pPr>
              <w:spacing w:after="200"/>
              <w:jc w:val="center"/>
              <w:rPr>
                <w:rFonts w:ascii="Times New Roman" w:hAnsi="Times New Roman" w:cs="Times New Roman"/>
                <w:bCs/>
                <w:i/>
                <w:sz w:val="28"/>
                <w:szCs w:val="22"/>
              </w:rPr>
            </w:pPr>
            <w:r w:rsidRPr="00BD49AB">
              <w:rPr>
                <w:rFonts w:ascii="Times New Roman" w:hAnsi="Times New Roman" w:cs="Times New Roman"/>
                <w:bCs/>
                <w:i/>
                <w:sz w:val="28"/>
                <w:szCs w:val="22"/>
              </w:rPr>
              <w:t>+</w:t>
            </w:r>
          </w:p>
        </w:tc>
        <w:tc>
          <w:tcPr>
            <w:tcW w:w="2403" w:type="dxa"/>
          </w:tcPr>
          <w:p w14:paraId="558CEA76" w14:textId="3E5DBB81" w:rsidR="00075D08" w:rsidRPr="00BD49AB" w:rsidRDefault="00075D08" w:rsidP="00075D08">
            <w:pPr>
              <w:spacing w:after="200"/>
              <w:jc w:val="center"/>
              <w:rPr>
                <w:rFonts w:ascii="Times New Roman" w:hAnsi="Times New Roman" w:cs="Times New Roman"/>
                <w:bCs/>
                <w:i/>
                <w:sz w:val="28"/>
                <w:szCs w:val="22"/>
              </w:rPr>
            </w:pPr>
            <w:r w:rsidRPr="00BD49AB">
              <w:rPr>
                <w:rFonts w:ascii="Times New Roman" w:hAnsi="Times New Roman" w:cs="Times New Roman"/>
                <w:bCs/>
                <w:i/>
                <w:sz w:val="28"/>
                <w:szCs w:val="22"/>
              </w:rPr>
              <w:t>+</w:t>
            </w:r>
          </w:p>
        </w:tc>
      </w:tr>
      <w:tr w:rsidR="00075D08" w:rsidRPr="0047721D" w14:paraId="197978D9" w14:textId="77777777" w:rsidTr="00075D08">
        <w:tc>
          <w:tcPr>
            <w:tcW w:w="1975" w:type="dxa"/>
            <w:vMerge/>
          </w:tcPr>
          <w:p w14:paraId="490005FA" w14:textId="77777777" w:rsidR="00075D08" w:rsidRPr="0047721D" w:rsidRDefault="00075D08" w:rsidP="0047721D">
            <w:pPr>
              <w:spacing w:after="200"/>
              <w:rPr>
                <w:rFonts w:ascii="Times New Roman" w:hAnsi="Times New Roman" w:cs="Times New Roman"/>
                <w:b/>
                <w:bCs/>
                <w:sz w:val="22"/>
                <w:szCs w:val="22"/>
              </w:rPr>
            </w:pPr>
          </w:p>
        </w:tc>
        <w:tc>
          <w:tcPr>
            <w:tcW w:w="2160" w:type="dxa"/>
          </w:tcPr>
          <w:p w14:paraId="20F21A9E" w14:textId="23B56232"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Search Depth</w:t>
            </w:r>
          </w:p>
        </w:tc>
        <w:tc>
          <w:tcPr>
            <w:tcW w:w="2610" w:type="dxa"/>
          </w:tcPr>
          <w:p w14:paraId="02F3EE3A" w14:textId="024EA31E" w:rsidR="00075D08" w:rsidRPr="00BD49AB" w:rsidRDefault="00075D08" w:rsidP="00075D08">
            <w:pPr>
              <w:spacing w:after="200"/>
              <w:jc w:val="center"/>
              <w:rPr>
                <w:rFonts w:ascii="Times New Roman" w:hAnsi="Times New Roman" w:cs="Times New Roman"/>
                <w:bCs/>
                <w:i/>
                <w:sz w:val="28"/>
                <w:szCs w:val="22"/>
              </w:rPr>
            </w:pPr>
            <w:r w:rsidRPr="00BD49AB">
              <w:rPr>
                <w:rFonts w:ascii="Times New Roman" w:hAnsi="Times New Roman" w:cs="Times New Roman"/>
                <w:bCs/>
                <w:i/>
                <w:sz w:val="22"/>
                <w:szCs w:val="22"/>
              </w:rPr>
              <w:t>No association</w:t>
            </w:r>
          </w:p>
        </w:tc>
        <w:tc>
          <w:tcPr>
            <w:tcW w:w="2403" w:type="dxa"/>
          </w:tcPr>
          <w:p w14:paraId="6306DDD7" w14:textId="46B27B8B" w:rsidR="00075D08" w:rsidRPr="00075D08" w:rsidRDefault="00075D08" w:rsidP="00075D08">
            <w:pPr>
              <w:spacing w:after="200"/>
              <w:jc w:val="center"/>
              <w:rPr>
                <w:bCs/>
                <w:sz w:val="28"/>
                <w:szCs w:val="22"/>
              </w:rPr>
            </w:pPr>
            <w:r w:rsidRPr="00BD49AB">
              <w:rPr>
                <w:rFonts w:ascii="Times New Roman" w:hAnsi="Times New Roman" w:cs="Times New Roman"/>
                <w:bCs/>
                <w:i/>
                <w:sz w:val="28"/>
                <w:szCs w:val="22"/>
              </w:rPr>
              <w:t>+</w:t>
            </w:r>
          </w:p>
        </w:tc>
      </w:tr>
      <w:tr w:rsidR="00075D08" w:rsidRPr="0047721D" w14:paraId="1E3F6CFF" w14:textId="77777777" w:rsidTr="00075D08">
        <w:tc>
          <w:tcPr>
            <w:tcW w:w="1975" w:type="dxa"/>
            <w:vMerge w:val="restart"/>
          </w:tcPr>
          <w:p w14:paraId="641DCAFC" w14:textId="468AEA27"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INNOVATIVE-NESS</w:t>
            </w:r>
          </w:p>
        </w:tc>
        <w:tc>
          <w:tcPr>
            <w:tcW w:w="2160" w:type="dxa"/>
          </w:tcPr>
          <w:p w14:paraId="6601218D" w14:textId="0084E5B8"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Radical Innovation Orientation</w:t>
            </w:r>
          </w:p>
        </w:tc>
        <w:tc>
          <w:tcPr>
            <w:tcW w:w="2610" w:type="dxa"/>
          </w:tcPr>
          <w:p w14:paraId="54710FAA" w14:textId="78C0EB0C" w:rsidR="00075D08" w:rsidRPr="00BD49AB" w:rsidRDefault="00075D08" w:rsidP="00075D08">
            <w:pPr>
              <w:spacing w:after="200"/>
              <w:jc w:val="center"/>
              <w:rPr>
                <w:bCs/>
                <w:i/>
                <w:sz w:val="28"/>
                <w:szCs w:val="22"/>
              </w:rPr>
            </w:pPr>
            <w:r w:rsidRPr="00BD49AB">
              <w:rPr>
                <w:bCs/>
                <w:i/>
                <w:sz w:val="28"/>
                <w:szCs w:val="22"/>
              </w:rPr>
              <w:t>-</w:t>
            </w:r>
          </w:p>
        </w:tc>
        <w:tc>
          <w:tcPr>
            <w:tcW w:w="2403" w:type="dxa"/>
          </w:tcPr>
          <w:p w14:paraId="1072C6C0" w14:textId="0134EEB0" w:rsidR="00075D08" w:rsidRPr="00BD49AB" w:rsidRDefault="00075D08" w:rsidP="00075D08">
            <w:pPr>
              <w:spacing w:after="200"/>
              <w:jc w:val="center"/>
              <w:rPr>
                <w:rFonts w:ascii="Times New Roman" w:hAnsi="Times New Roman" w:cs="Times New Roman"/>
                <w:bCs/>
                <w:i/>
                <w:sz w:val="28"/>
                <w:szCs w:val="22"/>
              </w:rPr>
            </w:pPr>
            <w:r w:rsidRPr="00BD49AB">
              <w:rPr>
                <w:rFonts w:ascii="Times New Roman" w:hAnsi="Times New Roman" w:cs="Times New Roman"/>
                <w:bCs/>
                <w:i/>
                <w:sz w:val="22"/>
                <w:szCs w:val="22"/>
              </w:rPr>
              <w:t>No association</w:t>
            </w:r>
          </w:p>
        </w:tc>
      </w:tr>
      <w:tr w:rsidR="00075D08" w:rsidRPr="0047721D" w14:paraId="1B7DB5CC" w14:textId="77777777" w:rsidTr="00075D08">
        <w:tc>
          <w:tcPr>
            <w:tcW w:w="1975" w:type="dxa"/>
            <w:vMerge/>
          </w:tcPr>
          <w:p w14:paraId="024543CA" w14:textId="77777777" w:rsidR="00075D08" w:rsidRPr="0047721D" w:rsidRDefault="00075D08" w:rsidP="0047721D">
            <w:pPr>
              <w:spacing w:after="200"/>
              <w:rPr>
                <w:rFonts w:ascii="Times New Roman" w:hAnsi="Times New Roman" w:cs="Times New Roman"/>
                <w:b/>
                <w:bCs/>
                <w:sz w:val="22"/>
                <w:szCs w:val="22"/>
              </w:rPr>
            </w:pPr>
          </w:p>
        </w:tc>
        <w:tc>
          <w:tcPr>
            <w:tcW w:w="2160" w:type="dxa"/>
          </w:tcPr>
          <w:p w14:paraId="364644FF" w14:textId="056D7740"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Incremental Innovation Orientation</w:t>
            </w:r>
          </w:p>
        </w:tc>
        <w:tc>
          <w:tcPr>
            <w:tcW w:w="2610" w:type="dxa"/>
          </w:tcPr>
          <w:p w14:paraId="40D1AF59" w14:textId="29A5FAAF" w:rsidR="00075D08" w:rsidRPr="00BD49AB" w:rsidRDefault="00075D08" w:rsidP="00075D08">
            <w:pPr>
              <w:spacing w:after="200"/>
              <w:jc w:val="center"/>
              <w:rPr>
                <w:rFonts w:ascii="Times New Roman" w:hAnsi="Times New Roman" w:cs="Times New Roman"/>
                <w:bCs/>
                <w:i/>
                <w:sz w:val="28"/>
                <w:szCs w:val="22"/>
              </w:rPr>
            </w:pPr>
            <w:r w:rsidRPr="00BD49AB">
              <w:rPr>
                <w:rFonts w:ascii="Times New Roman" w:hAnsi="Times New Roman" w:cs="Times New Roman"/>
                <w:bCs/>
                <w:i/>
                <w:sz w:val="28"/>
                <w:szCs w:val="22"/>
              </w:rPr>
              <w:t>+</w:t>
            </w:r>
          </w:p>
        </w:tc>
        <w:tc>
          <w:tcPr>
            <w:tcW w:w="2403" w:type="dxa"/>
          </w:tcPr>
          <w:p w14:paraId="4740C977" w14:textId="36C57D87" w:rsidR="00075D08" w:rsidRPr="00F23265" w:rsidRDefault="00075D08" w:rsidP="00075D08">
            <w:pPr>
              <w:spacing w:after="200"/>
              <w:jc w:val="center"/>
              <w:rPr>
                <w:rFonts w:ascii="Times New Roman" w:hAnsi="Times New Roman" w:cs="Times New Roman"/>
                <w:bCs/>
                <w:i/>
                <w:sz w:val="28"/>
                <w:szCs w:val="22"/>
              </w:rPr>
            </w:pPr>
            <w:r w:rsidRPr="00F23265">
              <w:rPr>
                <w:rFonts w:ascii="Times New Roman" w:hAnsi="Times New Roman" w:cs="Times New Roman"/>
                <w:bCs/>
                <w:i/>
                <w:sz w:val="22"/>
                <w:szCs w:val="22"/>
              </w:rPr>
              <w:t>No association</w:t>
            </w:r>
          </w:p>
        </w:tc>
      </w:tr>
      <w:tr w:rsidR="00075D08" w:rsidRPr="0047721D" w14:paraId="1864E485" w14:textId="77777777" w:rsidTr="00075D08">
        <w:tc>
          <w:tcPr>
            <w:tcW w:w="1975" w:type="dxa"/>
            <w:vMerge w:val="restart"/>
          </w:tcPr>
          <w:p w14:paraId="40B4053D" w14:textId="426F17C9"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 xml:space="preserve">INCREMENTAL INNOVATORS </w:t>
            </w:r>
          </w:p>
        </w:tc>
        <w:tc>
          <w:tcPr>
            <w:tcW w:w="2160" w:type="dxa"/>
          </w:tcPr>
          <w:p w14:paraId="5539BC7E" w14:textId="53847697"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Search Breadth</w:t>
            </w:r>
          </w:p>
        </w:tc>
        <w:tc>
          <w:tcPr>
            <w:tcW w:w="2610" w:type="dxa"/>
          </w:tcPr>
          <w:p w14:paraId="2301049E" w14:textId="5F8EC92A" w:rsidR="00075D08" w:rsidRPr="00BD49AB" w:rsidRDefault="00075D08" w:rsidP="00075D08">
            <w:pPr>
              <w:spacing w:after="200"/>
              <w:jc w:val="center"/>
              <w:rPr>
                <w:rFonts w:ascii="Times New Roman" w:hAnsi="Times New Roman" w:cs="Times New Roman"/>
                <w:bCs/>
                <w:i/>
                <w:sz w:val="28"/>
                <w:szCs w:val="22"/>
              </w:rPr>
            </w:pPr>
            <w:r w:rsidRPr="00BD49AB">
              <w:rPr>
                <w:rFonts w:ascii="Times New Roman" w:hAnsi="Times New Roman" w:cs="Times New Roman"/>
                <w:bCs/>
                <w:i/>
                <w:sz w:val="28"/>
                <w:szCs w:val="22"/>
              </w:rPr>
              <w:t>+</w:t>
            </w:r>
          </w:p>
        </w:tc>
        <w:tc>
          <w:tcPr>
            <w:tcW w:w="2403" w:type="dxa"/>
          </w:tcPr>
          <w:p w14:paraId="791AE8E0" w14:textId="4F8D0F89" w:rsidR="00075D08" w:rsidRPr="00F23265" w:rsidRDefault="00222095" w:rsidP="00075D08">
            <w:pPr>
              <w:spacing w:after="200"/>
              <w:jc w:val="center"/>
              <w:rPr>
                <w:rFonts w:ascii="Times New Roman" w:hAnsi="Times New Roman" w:cs="Times New Roman"/>
                <w:bCs/>
                <w:i/>
                <w:sz w:val="28"/>
                <w:szCs w:val="28"/>
              </w:rPr>
            </w:pPr>
            <w:r w:rsidRPr="00F23265">
              <w:rPr>
                <w:rFonts w:ascii="Times New Roman" w:hAnsi="Times New Roman" w:cs="Times New Roman"/>
                <w:bCs/>
                <w:i/>
                <w:sz w:val="28"/>
                <w:szCs w:val="28"/>
              </w:rPr>
              <w:t>+</w:t>
            </w:r>
          </w:p>
        </w:tc>
      </w:tr>
      <w:tr w:rsidR="00075D08" w:rsidRPr="0047721D" w14:paraId="4A0D12BB" w14:textId="77777777" w:rsidTr="00075D08">
        <w:tc>
          <w:tcPr>
            <w:tcW w:w="1975" w:type="dxa"/>
            <w:vMerge/>
          </w:tcPr>
          <w:p w14:paraId="719F81A1" w14:textId="77777777" w:rsidR="00075D08" w:rsidRPr="0047721D" w:rsidRDefault="00075D08" w:rsidP="0047721D">
            <w:pPr>
              <w:spacing w:after="200"/>
              <w:rPr>
                <w:rFonts w:ascii="Times New Roman" w:hAnsi="Times New Roman" w:cs="Times New Roman"/>
                <w:b/>
                <w:bCs/>
                <w:sz w:val="22"/>
                <w:szCs w:val="22"/>
              </w:rPr>
            </w:pPr>
          </w:p>
        </w:tc>
        <w:tc>
          <w:tcPr>
            <w:tcW w:w="2160" w:type="dxa"/>
          </w:tcPr>
          <w:p w14:paraId="0F3CE9FD" w14:textId="510A7DEB"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Search Depth</w:t>
            </w:r>
          </w:p>
        </w:tc>
        <w:tc>
          <w:tcPr>
            <w:tcW w:w="2610" w:type="dxa"/>
          </w:tcPr>
          <w:p w14:paraId="2EE942FD" w14:textId="6713323D" w:rsidR="00075D08" w:rsidRPr="00BD49AB" w:rsidRDefault="00075D08" w:rsidP="00075D08">
            <w:pPr>
              <w:spacing w:after="200"/>
              <w:jc w:val="center"/>
              <w:rPr>
                <w:rFonts w:ascii="Times New Roman" w:hAnsi="Times New Roman" w:cs="Times New Roman"/>
                <w:bCs/>
                <w:i/>
                <w:sz w:val="28"/>
                <w:szCs w:val="22"/>
              </w:rPr>
            </w:pPr>
            <w:r w:rsidRPr="00BD49AB">
              <w:rPr>
                <w:rFonts w:ascii="Times New Roman" w:hAnsi="Times New Roman" w:cs="Times New Roman"/>
                <w:bCs/>
                <w:i/>
                <w:sz w:val="22"/>
                <w:szCs w:val="22"/>
              </w:rPr>
              <w:t>No association</w:t>
            </w:r>
          </w:p>
        </w:tc>
        <w:tc>
          <w:tcPr>
            <w:tcW w:w="2403" w:type="dxa"/>
          </w:tcPr>
          <w:p w14:paraId="45BBA09A" w14:textId="39E6B0AF" w:rsidR="00075D08" w:rsidRPr="00F23265" w:rsidRDefault="00075D08" w:rsidP="00075D08">
            <w:pPr>
              <w:spacing w:after="200"/>
              <w:jc w:val="center"/>
              <w:rPr>
                <w:rFonts w:ascii="Times New Roman" w:hAnsi="Times New Roman" w:cs="Times New Roman"/>
                <w:bCs/>
                <w:i/>
                <w:sz w:val="28"/>
                <w:szCs w:val="22"/>
              </w:rPr>
            </w:pPr>
            <w:r w:rsidRPr="00F23265">
              <w:rPr>
                <w:rFonts w:ascii="Times New Roman" w:hAnsi="Times New Roman" w:cs="Times New Roman"/>
                <w:bCs/>
                <w:i/>
                <w:sz w:val="22"/>
                <w:szCs w:val="22"/>
              </w:rPr>
              <w:t>No association</w:t>
            </w:r>
          </w:p>
        </w:tc>
      </w:tr>
      <w:tr w:rsidR="00075D08" w:rsidRPr="0047721D" w14:paraId="01D2FDCE" w14:textId="77777777" w:rsidTr="00075D08">
        <w:tc>
          <w:tcPr>
            <w:tcW w:w="1975" w:type="dxa"/>
            <w:vMerge w:val="restart"/>
          </w:tcPr>
          <w:p w14:paraId="72946127" w14:textId="3F62F653"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 xml:space="preserve">RADICAL INNOVATORS </w:t>
            </w:r>
          </w:p>
        </w:tc>
        <w:tc>
          <w:tcPr>
            <w:tcW w:w="2160" w:type="dxa"/>
          </w:tcPr>
          <w:p w14:paraId="41601179" w14:textId="258B5E2E"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Search Breadth</w:t>
            </w:r>
          </w:p>
        </w:tc>
        <w:tc>
          <w:tcPr>
            <w:tcW w:w="2610" w:type="dxa"/>
          </w:tcPr>
          <w:p w14:paraId="1D8B35FC" w14:textId="5F156173" w:rsidR="00075D08" w:rsidRPr="00BD49AB" w:rsidRDefault="00075D08" w:rsidP="00075D08">
            <w:pPr>
              <w:spacing w:after="200"/>
              <w:jc w:val="center"/>
              <w:rPr>
                <w:rFonts w:ascii="Times New Roman" w:hAnsi="Times New Roman" w:cs="Times New Roman"/>
                <w:bCs/>
                <w:i/>
                <w:sz w:val="28"/>
                <w:szCs w:val="22"/>
              </w:rPr>
            </w:pPr>
            <w:r w:rsidRPr="00BD49AB">
              <w:rPr>
                <w:rFonts w:ascii="Times New Roman" w:hAnsi="Times New Roman" w:cs="Times New Roman"/>
                <w:bCs/>
                <w:i/>
                <w:sz w:val="22"/>
                <w:szCs w:val="22"/>
              </w:rPr>
              <w:t>No association</w:t>
            </w:r>
          </w:p>
        </w:tc>
        <w:tc>
          <w:tcPr>
            <w:tcW w:w="2403" w:type="dxa"/>
          </w:tcPr>
          <w:p w14:paraId="00A2D506" w14:textId="046303AA" w:rsidR="00075D08" w:rsidRPr="00F23265" w:rsidRDefault="00075D08" w:rsidP="00075D08">
            <w:pPr>
              <w:spacing w:after="200"/>
              <w:jc w:val="center"/>
              <w:rPr>
                <w:bCs/>
                <w:sz w:val="28"/>
                <w:szCs w:val="22"/>
              </w:rPr>
            </w:pPr>
            <w:r w:rsidRPr="00F23265">
              <w:rPr>
                <w:rFonts w:ascii="Times New Roman" w:hAnsi="Times New Roman" w:cs="Times New Roman"/>
                <w:bCs/>
                <w:i/>
                <w:sz w:val="28"/>
                <w:szCs w:val="22"/>
              </w:rPr>
              <w:t>+</w:t>
            </w:r>
          </w:p>
        </w:tc>
      </w:tr>
      <w:tr w:rsidR="00075D08" w:rsidRPr="0047721D" w14:paraId="608AE73B" w14:textId="77777777" w:rsidTr="00075D08">
        <w:tc>
          <w:tcPr>
            <w:tcW w:w="1975" w:type="dxa"/>
            <w:vMerge/>
          </w:tcPr>
          <w:p w14:paraId="165F8B47" w14:textId="77777777" w:rsidR="00075D08" w:rsidRPr="0047721D" w:rsidRDefault="00075D08" w:rsidP="0047721D">
            <w:pPr>
              <w:spacing w:after="200"/>
              <w:rPr>
                <w:rFonts w:ascii="Times New Roman" w:hAnsi="Times New Roman" w:cs="Times New Roman"/>
                <w:b/>
                <w:bCs/>
                <w:sz w:val="22"/>
                <w:szCs w:val="22"/>
              </w:rPr>
            </w:pPr>
          </w:p>
        </w:tc>
        <w:tc>
          <w:tcPr>
            <w:tcW w:w="2160" w:type="dxa"/>
          </w:tcPr>
          <w:p w14:paraId="6A6ECDAF" w14:textId="6EA8DCD4" w:rsidR="00075D08" w:rsidRPr="0047721D" w:rsidRDefault="00075D08" w:rsidP="0047721D">
            <w:pPr>
              <w:spacing w:after="200"/>
              <w:rPr>
                <w:rFonts w:ascii="Times New Roman" w:hAnsi="Times New Roman" w:cs="Times New Roman"/>
                <w:b/>
                <w:bCs/>
                <w:sz w:val="22"/>
                <w:szCs w:val="22"/>
              </w:rPr>
            </w:pPr>
            <w:r>
              <w:rPr>
                <w:rFonts w:ascii="Times New Roman" w:hAnsi="Times New Roman" w:cs="Times New Roman"/>
                <w:b/>
                <w:bCs/>
                <w:sz w:val="22"/>
                <w:szCs w:val="22"/>
              </w:rPr>
              <w:t>Search Depth</w:t>
            </w:r>
          </w:p>
        </w:tc>
        <w:tc>
          <w:tcPr>
            <w:tcW w:w="2610" w:type="dxa"/>
          </w:tcPr>
          <w:p w14:paraId="37D5AE8B" w14:textId="25F29F63" w:rsidR="00075D08" w:rsidRPr="00BD49AB" w:rsidRDefault="00075D08" w:rsidP="00075D08">
            <w:pPr>
              <w:spacing w:after="200"/>
              <w:jc w:val="center"/>
              <w:rPr>
                <w:rFonts w:ascii="Times New Roman" w:hAnsi="Times New Roman" w:cs="Times New Roman"/>
                <w:bCs/>
                <w:i/>
                <w:sz w:val="28"/>
                <w:szCs w:val="22"/>
              </w:rPr>
            </w:pPr>
            <w:r w:rsidRPr="00BD49AB">
              <w:rPr>
                <w:rFonts w:ascii="Times New Roman" w:hAnsi="Times New Roman" w:cs="Times New Roman"/>
                <w:bCs/>
                <w:i/>
                <w:sz w:val="28"/>
                <w:szCs w:val="22"/>
              </w:rPr>
              <w:t>+</w:t>
            </w:r>
          </w:p>
        </w:tc>
        <w:tc>
          <w:tcPr>
            <w:tcW w:w="2403" w:type="dxa"/>
          </w:tcPr>
          <w:p w14:paraId="1B95E550" w14:textId="0E28D0F7" w:rsidR="00075D08" w:rsidRPr="00F23265" w:rsidRDefault="00222095" w:rsidP="00075D08">
            <w:pPr>
              <w:spacing w:after="200"/>
              <w:jc w:val="center"/>
              <w:rPr>
                <w:rFonts w:ascii="Times New Roman" w:hAnsi="Times New Roman" w:cs="Times New Roman"/>
                <w:bCs/>
                <w:i/>
                <w:sz w:val="22"/>
                <w:szCs w:val="22"/>
              </w:rPr>
            </w:pPr>
            <w:r w:rsidRPr="00F23265">
              <w:rPr>
                <w:rFonts w:ascii="Times New Roman" w:hAnsi="Times New Roman" w:cs="Times New Roman"/>
                <w:bCs/>
                <w:i/>
                <w:sz w:val="22"/>
                <w:szCs w:val="22"/>
              </w:rPr>
              <w:t>No association</w:t>
            </w:r>
          </w:p>
        </w:tc>
      </w:tr>
    </w:tbl>
    <w:p w14:paraId="7A874149" w14:textId="77777777" w:rsidR="0047721D" w:rsidRPr="006C6BB5" w:rsidRDefault="0047721D" w:rsidP="006D5629">
      <w:pPr>
        <w:spacing w:after="200" w:line="276" w:lineRule="auto"/>
        <w:rPr>
          <w:b/>
          <w:bCs/>
          <w:sz w:val="22"/>
          <w:szCs w:val="22"/>
          <w:lang w:val="en-GB"/>
        </w:rPr>
      </w:pPr>
    </w:p>
    <w:p w14:paraId="0E73E5BB" w14:textId="77777777" w:rsidR="003B23F7" w:rsidRDefault="003B23F7">
      <w:pPr>
        <w:rPr>
          <w:b/>
          <w:lang w:val="en-GB"/>
        </w:rPr>
      </w:pPr>
      <w:r>
        <w:rPr>
          <w:b/>
          <w:lang w:val="en-GB"/>
        </w:rPr>
        <w:br w:type="page"/>
      </w:r>
    </w:p>
    <w:p w14:paraId="51D415F7" w14:textId="4C55B0FE" w:rsidR="006D5629" w:rsidRPr="006C6BB5" w:rsidRDefault="006D5629" w:rsidP="006D5629">
      <w:pPr>
        <w:jc w:val="center"/>
        <w:rPr>
          <w:b/>
          <w:lang w:val="en-GB"/>
        </w:rPr>
      </w:pPr>
      <w:r w:rsidRPr="006C6BB5">
        <w:rPr>
          <w:b/>
          <w:lang w:val="en-GB"/>
        </w:rPr>
        <w:lastRenderedPageBreak/>
        <w:t>Appendix</w:t>
      </w:r>
    </w:p>
    <w:p w14:paraId="505B822A" w14:textId="7687A69D" w:rsidR="006D5629" w:rsidRPr="006C6BB5" w:rsidRDefault="006D5629" w:rsidP="006D5629">
      <w:pPr>
        <w:rPr>
          <w:rFonts w:eastAsiaTheme="minorHAnsi"/>
          <w:sz w:val="22"/>
          <w:szCs w:val="22"/>
          <w:lang w:val="en-GB"/>
        </w:rPr>
      </w:pPr>
      <w:r w:rsidRPr="006C6BB5">
        <w:rPr>
          <w:sz w:val="22"/>
          <w:szCs w:val="22"/>
          <w:lang w:val="en-GB"/>
        </w:rPr>
        <w:t>The characteristics of this larger sample are similar to the ones reported for the ma</w:t>
      </w:r>
      <w:r w:rsidR="001F15D9">
        <w:rPr>
          <w:sz w:val="22"/>
          <w:szCs w:val="22"/>
          <w:lang w:val="en-GB"/>
        </w:rPr>
        <w:t xml:space="preserve">in analysis. </w:t>
      </w:r>
      <w:r w:rsidRPr="006C6BB5">
        <w:rPr>
          <w:sz w:val="22"/>
          <w:szCs w:val="22"/>
          <w:lang w:val="en-GB"/>
        </w:rPr>
        <w:t xml:space="preserve">38.67 per cent of the firms in the longitudinal sample have used formal appropriation mechanisms. Among these firms, 69.55 per cent used patents, by far the most popular appropriation mechanism, followed by trademarks (54.99 per cent), design rights (22.86 per cent), and copyrights (12.52 per cent).  Among those firms that used formal appropriation mechanisms, 43.68 per cent used more than one appropriation mechanism, and 3.37 per cent used all four formal appropriation mechanisms.  </w:t>
      </w:r>
    </w:p>
    <w:p w14:paraId="619D7280" w14:textId="77777777" w:rsidR="006D5629" w:rsidRPr="006C6BB5" w:rsidRDefault="006D5629" w:rsidP="006D5629">
      <w:pPr>
        <w:spacing w:after="200" w:line="276" w:lineRule="auto"/>
        <w:rPr>
          <w:rFonts w:eastAsiaTheme="minorHAnsi"/>
          <w:sz w:val="22"/>
          <w:szCs w:val="22"/>
          <w:lang w:val="en-GB"/>
        </w:rPr>
      </w:pPr>
    </w:p>
    <w:p w14:paraId="703E9241" w14:textId="77777777" w:rsidR="006D5629" w:rsidRPr="006C6BB5" w:rsidRDefault="006D5629" w:rsidP="006D5629">
      <w:pPr>
        <w:keepNext/>
        <w:keepLines/>
        <w:spacing w:before="480" w:line="360" w:lineRule="auto"/>
        <w:contextualSpacing/>
        <w:jc w:val="center"/>
        <w:outlineLvl w:val="0"/>
        <w:rPr>
          <w:b/>
          <w:bCs/>
          <w:sz w:val="22"/>
          <w:szCs w:val="22"/>
          <w:lang w:val="en-GB"/>
        </w:rPr>
      </w:pPr>
      <w:r w:rsidRPr="006C6BB5">
        <w:rPr>
          <w:b/>
          <w:bCs/>
          <w:sz w:val="22"/>
          <w:szCs w:val="22"/>
          <w:lang w:val="en-GB"/>
        </w:rPr>
        <w:t>TABLE A1 INSTRUMENTAL VARIABLES ANALYSIS OF FIRMS' PROPENSITY TO USE FORMAL APPROPRIATION MECHANISMS, 2002-2008</w:t>
      </w:r>
    </w:p>
    <w:tbl>
      <w:tblPr>
        <w:tblW w:w="9039" w:type="dxa"/>
        <w:tblLayout w:type="fixed"/>
        <w:tblLook w:val="04A0" w:firstRow="1" w:lastRow="0" w:firstColumn="1" w:lastColumn="0" w:noHBand="0" w:noVBand="1"/>
      </w:tblPr>
      <w:tblGrid>
        <w:gridCol w:w="4077"/>
        <w:gridCol w:w="1654"/>
        <w:gridCol w:w="1654"/>
        <w:gridCol w:w="1654"/>
      </w:tblGrid>
      <w:tr w:rsidR="006D5629" w:rsidRPr="006C6BB5" w14:paraId="002F3258" w14:textId="77777777" w:rsidTr="006D5629">
        <w:tc>
          <w:tcPr>
            <w:tcW w:w="4077" w:type="dxa"/>
            <w:tcBorders>
              <w:top w:val="nil"/>
              <w:left w:val="nil"/>
              <w:bottom w:val="single" w:sz="8" w:space="0" w:color="auto"/>
              <w:right w:val="nil"/>
            </w:tcBorders>
            <w:hideMark/>
          </w:tcPr>
          <w:p w14:paraId="2B7DCE30" w14:textId="77777777" w:rsidR="006D5629" w:rsidRPr="006C6BB5" w:rsidRDefault="006D5629" w:rsidP="006D5629">
            <w:pPr>
              <w:widowControl w:val="0"/>
              <w:autoSpaceDE w:val="0"/>
              <w:autoSpaceDN w:val="0"/>
              <w:adjustRightInd w:val="0"/>
              <w:spacing w:line="240" w:lineRule="auto"/>
              <w:rPr>
                <w:b/>
                <w:sz w:val="22"/>
                <w:szCs w:val="22"/>
                <w:vertAlign w:val="subscript"/>
                <w:lang w:val="en-GB" w:eastAsia="zh-CN"/>
              </w:rPr>
            </w:pPr>
          </w:p>
        </w:tc>
        <w:tc>
          <w:tcPr>
            <w:tcW w:w="1654" w:type="dxa"/>
            <w:tcBorders>
              <w:top w:val="nil"/>
              <w:left w:val="nil"/>
              <w:bottom w:val="single" w:sz="8" w:space="0" w:color="auto"/>
              <w:right w:val="nil"/>
            </w:tcBorders>
            <w:hideMark/>
          </w:tcPr>
          <w:p w14:paraId="145BC39C" w14:textId="77777777" w:rsidR="006D5629" w:rsidRPr="006C6BB5" w:rsidRDefault="006D5629" w:rsidP="006D5629">
            <w:pPr>
              <w:widowControl w:val="0"/>
              <w:autoSpaceDE w:val="0"/>
              <w:autoSpaceDN w:val="0"/>
              <w:adjustRightInd w:val="0"/>
              <w:spacing w:line="240" w:lineRule="auto"/>
              <w:jc w:val="center"/>
              <w:rPr>
                <w:b/>
                <w:sz w:val="22"/>
                <w:szCs w:val="22"/>
                <w:lang w:val="en-GB" w:eastAsia="zh-CN"/>
              </w:rPr>
            </w:pPr>
          </w:p>
          <w:p w14:paraId="1ACBCEC9" w14:textId="77777777" w:rsidR="006D5629" w:rsidRPr="006C6BB5" w:rsidRDefault="006D5629" w:rsidP="006D5629">
            <w:pPr>
              <w:widowControl w:val="0"/>
              <w:autoSpaceDE w:val="0"/>
              <w:autoSpaceDN w:val="0"/>
              <w:adjustRightInd w:val="0"/>
              <w:spacing w:line="240" w:lineRule="auto"/>
              <w:jc w:val="center"/>
              <w:rPr>
                <w:b/>
                <w:sz w:val="22"/>
                <w:szCs w:val="22"/>
                <w:lang w:val="en-GB" w:eastAsia="zh-CN"/>
              </w:rPr>
            </w:pPr>
            <w:r w:rsidRPr="006C6BB5">
              <w:rPr>
                <w:b/>
                <w:sz w:val="22"/>
                <w:szCs w:val="22"/>
                <w:lang w:val="en-GB" w:eastAsia="zh-CN"/>
              </w:rPr>
              <w:t>Model 1</w:t>
            </w:r>
          </w:p>
          <w:p w14:paraId="1F6BE5AE" w14:textId="17C8B17D" w:rsidR="00A65F4C" w:rsidRPr="006C6BB5" w:rsidRDefault="00A65F4C" w:rsidP="006D5629">
            <w:pPr>
              <w:widowControl w:val="0"/>
              <w:autoSpaceDE w:val="0"/>
              <w:autoSpaceDN w:val="0"/>
              <w:adjustRightInd w:val="0"/>
              <w:spacing w:line="240" w:lineRule="auto"/>
              <w:jc w:val="center"/>
              <w:rPr>
                <w:b/>
                <w:sz w:val="22"/>
                <w:szCs w:val="22"/>
                <w:lang w:val="en-GB" w:eastAsia="zh-CN"/>
              </w:rPr>
            </w:pPr>
            <w:r w:rsidRPr="006C6BB5">
              <w:rPr>
                <w:b/>
                <w:i/>
                <w:sz w:val="22"/>
                <w:szCs w:val="22"/>
                <w:lang w:val="en-GB" w:eastAsia="zh-CN"/>
              </w:rPr>
              <w:t>H1a, H2a, H3a</w:t>
            </w:r>
          </w:p>
        </w:tc>
        <w:tc>
          <w:tcPr>
            <w:tcW w:w="1654" w:type="dxa"/>
            <w:tcBorders>
              <w:top w:val="nil"/>
              <w:left w:val="nil"/>
              <w:bottom w:val="single" w:sz="8" w:space="0" w:color="auto"/>
              <w:right w:val="nil"/>
            </w:tcBorders>
            <w:hideMark/>
          </w:tcPr>
          <w:p w14:paraId="09570BEC" w14:textId="77777777" w:rsidR="006D5629" w:rsidRPr="006C6BB5" w:rsidRDefault="006D5629" w:rsidP="006D5629">
            <w:pPr>
              <w:widowControl w:val="0"/>
              <w:autoSpaceDE w:val="0"/>
              <w:autoSpaceDN w:val="0"/>
              <w:adjustRightInd w:val="0"/>
              <w:spacing w:line="240" w:lineRule="auto"/>
              <w:jc w:val="center"/>
              <w:rPr>
                <w:b/>
                <w:sz w:val="22"/>
                <w:szCs w:val="22"/>
                <w:lang w:val="en-GB" w:eastAsia="zh-CN"/>
              </w:rPr>
            </w:pPr>
          </w:p>
          <w:p w14:paraId="6B7109B0" w14:textId="77777777" w:rsidR="006D5629" w:rsidRPr="006C6BB5" w:rsidRDefault="006D5629" w:rsidP="006D5629">
            <w:pPr>
              <w:widowControl w:val="0"/>
              <w:autoSpaceDE w:val="0"/>
              <w:autoSpaceDN w:val="0"/>
              <w:adjustRightInd w:val="0"/>
              <w:spacing w:line="240" w:lineRule="auto"/>
              <w:jc w:val="center"/>
              <w:rPr>
                <w:b/>
                <w:sz w:val="22"/>
                <w:szCs w:val="22"/>
                <w:lang w:val="en-GB" w:eastAsia="zh-CN"/>
              </w:rPr>
            </w:pPr>
            <w:r w:rsidRPr="006C6BB5">
              <w:rPr>
                <w:b/>
                <w:sz w:val="22"/>
                <w:szCs w:val="22"/>
                <w:lang w:val="en-GB" w:eastAsia="zh-CN"/>
              </w:rPr>
              <w:t>Model 2</w:t>
            </w:r>
          </w:p>
          <w:p w14:paraId="712E5669" w14:textId="77777777" w:rsidR="006D5629" w:rsidRPr="006C6BB5" w:rsidRDefault="006D5629" w:rsidP="006D5629">
            <w:pPr>
              <w:widowControl w:val="0"/>
              <w:autoSpaceDE w:val="0"/>
              <w:autoSpaceDN w:val="0"/>
              <w:adjustRightInd w:val="0"/>
              <w:spacing w:line="240" w:lineRule="auto"/>
              <w:jc w:val="center"/>
              <w:rPr>
                <w:b/>
                <w:sz w:val="22"/>
                <w:szCs w:val="22"/>
                <w:lang w:val="en-GB" w:eastAsia="zh-CN"/>
              </w:rPr>
            </w:pPr>
            <w:r w:rsidRPr="006C6BB5">
              <w:rPr>
                <w:b/>
                <w:sz w:val="22"/>
                <w:szCs w:val="22"/>
                <w:lang w:val="en-GB" w:eastAsia="zh-CN"/>
              </w:rPr>
              <w:t>Incremental innovators</w:t>
            </w:r>
          </w:p>
          <w:p w14:paraId="6A8DA48A" w14:textId="19B5EBAA" w:rsidR="00A65F4C" w:rsidRPr="006C6BB5" w:rsidRDefault="00A65F4C" w:rsidP="006D5629">
            <w:pPr>
              <w:widowControl w:val="0"/>
              <w:autoSpaceDE w:val="0"/>
              <w:autoSpaceDN w:val="0"/>
              <w:adjustRightInd w:val="0"/>
              <w:spacing w:line="240" w:lineRule="auto"/>
              <w:jc w:val="center"/>
              <w:rPr>
                <w:b/>
                <w:i/>
                <w:sz w:val="22"/>
                <w:szCs w:val="22"/>
                <w:lang w:val="en-GB" w:eastAsia="zh-CN"/>
              </w:rPr>
            </w:pPr>
            <w:r w:rsidRPr="006C6BB5">
              <w:rPr>
                <w:b/>
                <w:i/>
                <w:sz w:val="22"/>
                <w:szCs w:val="22"/>
                <w:lang w:val="en-GB" w:eastAsia="zh-CN"/>
              </w:rPr>
              <w:t>H4</w:t>
            </w:r>
          </w:p>
        </w:tc>
        <w:tc>
          <w:tcPr>
            <w:tcW w:w="1654" w:type="dxa"/>
            <w:tcBorders>
              <w:top w:val="nil"/>
              <w:left w:val="nil"/>
              <w:bottom w:val="single" w:sz="8" w:space="0" w:color="auto"/>
              <w:right w:val="nil"/>
            </w:tcBorders>
          </w:tcPr>
          <w:p w14:paraId="56EE28DC" w14:textId="77777777" w:rsidR="006D5629" w:rsidRPr="006C6BB5" w:rsidRDefault="006D5629" w:rsidP="006D5629">
            <w:pPr>
              <w:widowControl w:val="0"/>
              <w:autoSpaceDE w:val="0"/>
              <w:autoSpaceDN w:val="0"/>
              <w:adjustRightInd w:val="0"/>
              <w:spacing w:line="240" w:lineRule="auto"/>
              <w:jc w:val="center"/>
              <w:rPr>
                <w:b/>
                <w:sz w:val="22"/>
                <w:szCs w:val="22"/>
                <w:lang w:val="en-GB" w:eastAsia="zh-CN"/>
              </w:rPr>
            </w:pPr>
          </w:p>
          <w:p w14:paraId="09A25AE3" w14:textId="77777777" w:rsidR="006D5629" w:rsidRPr="006C6BB5" w:rsidRDefault="006D5629" w:rsidP="006D5629">
            <w:pPr>
              <w:widowControl w:val="0"/>
              <w:autoSpaceDE w:val="0"/>
              <w:autoSpaceDN w:val="0"/>
              <w:adjustRightInd w:val="0"/>
              <w:spacing w:line="240" w:lineRule="auto"/>
              <w:jc w:val="center"/>
              <w:rPr>
                <w:b/>
                <w:sz w:val="22"/>
                <w:szCs w:val="22"/>
                <w:lang w:val="en-GB" w:eastAsia="zh-CN"/>
              </w:rPr>
            </w:pPr>
            <w:r w:rsidRPr="006C6BB5">
              <w:rPr>
                <w:b/>
                <w:sz w:val="22"/>
                <w:szCs w:val="22"/>
                <w:lang w:val="en-GB" w:eastAsia="zh-CN"/>
              </w:rPr>
              <w:t>Model 3</w:t>
            </w:r>
          </w:p>
          <w:p w14:paraId="731E936D" w14:textId="77777777" w:rsidR="006D5629" w:rsidRPr="006C6BB5" w:rsidRDefault="006D5629" w:rsidP="006D5629">
            <w:pPr>
              <w:widowControl w:val="0"/>
              <w:autoSpaceDE w:val="0"/>
              <w:autoSpaceDN w:val="0"/>
              <w:adjustRightInd w:val="0"/>
              <w:spacing w:line="240" w:lineRule="auto"/>
              <w:jc w:val="center"/>
              <w:rPr>
                <w:b/>
                <w:sz w:val="22"/>
                <w:szCs w:val="22"/>
                <w:lang w:val="en-GB" w:eastAsia="zh-CN"/>
              </w:rPr>
            </w:pPr>
            <w:r w:rsidRPr="006C6BB5">
              <w:rPr>
                <w:b/>
                <w:sz w:val="22"/>
                <w:szCs w:val="22"/>
                <w:lang w:val="en-GB" w:eastAsia="zh-CN"/>
              </w:rPr>
              <w:t>Radical innovators</w:t>
            </w:r>
          </w:p>
          <w:p w14:paraId="34857D93" w14:textId="770A9F0D" w:rsidR="00A65F4C" w:rsidRPr="006C6BB5" w:rsidRDefault="00A65F4C" w:rsidP="006D5629">
            <w:pPr>
              <w:widowControl w:val="0"/>
              <w:autoSpaceDE w:val="0"/>
              <w:autoSpaceDN w:val="0"/>
              <w:adjustRightInd w:val="0"/>
              <w:spacing w:line="240" w:lineRule="auto"/>
              <w:jc w:val="center"/>
              <w:rPr>
                <w:b/>
                <w:i/>
                <w:sz w:val="22"/>
                <w:szCs w:val="22"/>
                <w:lang w:val="en-GB" w:eastAsia="zh-CN"/>
              </w:rPr>
            </w:pPr>
            <w:r w:rsidRPr="006C6BB5">
              <w:rPr>
                <w:b/>
                <w:i/>
                <w:sz w:val="22"/>
                <w:szCs w:val="22"/>
                <w:lang w:val="en-GB" w:eastAsia="zh-CN"/>
              </w:rPr>
              <w:t>H5a</w:t>
            </w:r>
          </w:p>
        </w:tc>
      </w:tr>
      <w:tr w:rsidR="006D5629" w:rsidRPr="006C6BB5" w14:paraId="03AD8AE2" w14:textId="77777777" w:rsidTr="006D5629">
        <w:tc>
          <w:tcPr>
            <w:tcW w:w="4077" w:type="dxa"/>
            <w:vMerge w:val="restart"/>
            <w:tcBorders>
              <w:top w:val="single" w:sz="8" w:space="0" w:color="auto"/>
              <w:left w:val="nil"/>
              <w:bottom w:val="nil"/>
              <w:right w:val="nil"/>
            </w:tcBorders>
          </w:tcPr>
          <w:p w14:paraId="2DAB0774" w14:textId="77777777" w:rsidR="006D5629" w:rsidRPr="006C6BB5" w:rsidRDefault="006D5629" w:rsidP="006D5629">
            <w:pPr>
              <w:widowControl w:val="0"/>
              <w:autoSpaceDE w:val="0"/>
              <w:autoSpaceDN w:val="0"/>
              <w:adjustRightInd w:val="0"/>
              <w:spacing w:line="240" w:lineRule="auto"/>
              <w:rPr>
                <w:sz w:val="22"/>
                <w:szCs w:val="22"/>
                <w:lang w:val="en-GB"/>
              </w:rPr>
            </w:pPr>
          </w:p>
          <w:p w14:paraId="1549AA70" w14:textId="77777777" w:rsidR="006D5629" w:rsidRPr="006C6BB5" w:rsidRDefault="006D5629" w:rsidP="006D5629">
            <w:pPr>
              <w:widowControl w:val="0"/>
              <w:autoSpaceDE w:val="0"/>
              <w:autoSpaceDN w:val="0"/>
              <w:adjustRightInd w:val="0"/>
              <w:spacing w:line="240" w:lineRule="auto"/>
              <w:rPr>
                <w:sz w:val="22"/>
                <w:szCs w:val="22"/>
                <w:vertAlign w:val="subscript"/>
                <w:lang w:val="en-GB" w:eastAsia="zh-CN"/>
              </w:rPr>
            </w:pPr>
            <w:r w:rsidRPr="006C6BB5">
              <w:rPr>
                <w:sz w:val="22"/>
                <w:szCs w:val="22"/>
                <w:lang w:val="en-GB"/>
              </w:rPr>
              <w:t>External search breadth</w:t>
            </w:r>
          </w:p>
        </w:tc>
        <w:tc>
          <w:tcPr>
            <w:tcW w:w="1654" w:type="dxa"/>
            <w:tcBorders>
              <w:top w:val="single" w:sz="8" w:space="0" w:color="auto"/>
              <w:left w:val="nil"/>
              <w:bottom w:val="nil"/>
              <w:right w:val="nil"/>
            </w:tcBorders>
          </w:tcPr>
          <w:p w14:paraId="461C3C84" w14:textId="77777777" w:rsidR="006D5629" w:rsidRPr="006C6BB5" w:rsidRDefault="006D5629" w:rsidP="006D5629">
            <w:pPr>
              <w:spacing w:line="240" w:lineRule="auto"/>
              <w:jc w:val="center"/>
              <w:rPr>
                <w:sz w:val="22"/>
                <w:szCs w:val="22"/>
                <w:lang w:val="en-GB" w:eastAsia="zh-CN"/>
              </w:rPr>
            </w:pPr>
          </w:p>
          <w:p w14:paraId="444A65C6"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0.156***</w:t>
            </w:r>
          </w:p>
        </w:tc>
        <w:tc>
          <w:tcPr>
            <w:tcW w:w="1654" w:type="dxa"/>
            <w:tcBorders>
              <w:top w:val="single" w:sz="8" w:space="0" w:color="auto"/>
              <w:left w:val="nil"/>
              <w:bottom w:val="nil"/>
              <w:right w:val="nil"/>
            </w:tcBorders>
          </w:tcPr>
          <w:p w14:paraId="752F4441" w14:textId="77777777" w:rsidR="006D5629" w:rsidRPr="006C6BB5" w:rsidRDefault="006D5629" w:rsidP="006D5629">
            <w:pPr>
              <w:spacing w:line="240" w:lineRule="auto"/>
              <w:jc w:val="center"/>
              <w:rPr>
                <w:sz w:val="22"/>
                <w:szCs w:val="22"/>
                <w:lang w:val="en-GB" w:eastAsia="zh-CN"/>
              </w:rPr>
            </w:pPr>
          </w:p>
          <w:p w14:paraId="315A5DF6"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0.164***</w:t>
            </w:r>
          </w:p>
        </w:tc>
        <w:tc>
          <w:tcPr>
            <w:tcW w:w="1654" w:type="dxa"/>
            <w:tcBorders>
              <w:top w:val="single" w:sz="8" w:space="0" w:color="auto"/>
              <w:left w:val="nil"/>
              <w:bottom w:val="nil"/>
              <w:right w:val="nil"/>
            </w:tcBorders>
          </w:tcPr>
          <w:p w14:paraId="72D37304" w14:textId="77777777" w:rsidR="006D5629" w:rsidRPr="006C6BB5" w:rsidRDefault="006D5629" w:rsidP="006D5629">
            <w:pPr>
              <w:spacing w:line="240" w:lineRule="auto"/>
              <w:jc w:val="center"/>
              <w:rPr>
                <w:sz w:val="22"/>
                <w:szCs w:val="22"/>
                <w:lang w:val="en-GB" w:eastAsia="zh-CN"/>
              </w:rPr>
            </w:pPr>
          </w:p>
          <w:p w14:paraId="34F059B0"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-0.049</w:t>
            </w:r>
          </w:p>
        </w:tc>
      </w:tr>
      <w:tr w:rsidR="006D5629" w:rsidRPr="006C6BB5" w14:paraId="175FB01A" w14:textId="77777777" w:rsidTr="006D5629">
        <w:tc>
          <w:tcPr>
            <w:tcW w:w="4077" w:type="dxa"/>
            <w:vMerge/>
            <w:tcBorders>
              <w:top w:val="single" w:sz="8" w:space="0" w:color="auto"/>
              <w:left w:val="nil"/>
              <w:bottom w:val="nil"/>
              <w:right w:val="nil"/>
            </w:tcBorders>
            <w:vAlign w:val="center"/>
          </w:tcPr>
          <w:p w14:paraId="33B5C0B1" w14:textId="77777777" w:rsidR="006D5629" w:rsidRPr="006C6BB5" w:rsidRDefault="006D5629" w:rsidP="006D5629">
            <w:pPr>
              <w:spacing w:line="240" w:lineRule="auto"/>
              <w:rPr>
                <w:sz w:val="22"/>
                <w:szCs w:val="22"/>
                <w:vertAlign w:val="subscript"/>
                <w:lang w:val="en-GB" w:eastAsia="zh-CN"/>
              </w:rPr>
            </w:pPr>
          </w:p>
        </w:tc>
        <w:tc>
          <w:tcPr>
            <w:tcW w:w="1654" w:type="dxa"/>
          </w:tcPr>
          <w:p w14:paraId="5EAE0FCE"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(0.050)</w:t>
            </w:r>
          </w:p>
        </w:tc>
        <w:tc>
          <w:tcPr>
            <w:tcW w:w="1654" w:type="dxa"/>
          </w:tcPr>
          <w:p w14:paraId="56A132F1"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(0.048)</w:t>
            </w:r>
          </w:p>
        </w:tc>
        <w:tc>
          <w:tcPr>
            <w:tcW w:w="1654" w:type="dxa"/>
          </w:tcPr>
          <w:p w14:paraId="012C30FB"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(0.054)</w:t>
            </w:r>
          </w:p>
        </w:tc>
      </w:tr>
      <w:tr w:rsidR="006D5629" w:rsidRPr="006C6BB5" w14:paraId="31328D65" w14:textId="77777777" w:rsidTr="006D5629">
        <w:tc>
          <w:tcPr>
            <w:tcW w:w="4077" w:type="dxa"/>
            <w:vMerge w:val="restart"/>
          </w:tcPr>
          <w:p w14:paraId="4CF3A1A6" w14:textId="77777777" w:rsidR="006D5629" w:rsidRPr="006C6BB5" w:rsidRDefault="006D5629" w:rsidP="006D5629">
            <w:pPr>
              <w:widowControl w:val="0"/>
              <w:autoSpaceDE w:val="0"/>
              <w:autoSpaceDN w:val="0"/>
              <w:adjustRightInd w:val="0"/>
              <w:spacing w:line="240" w:lineRule="auto"/>
              <w:rPr>
                <w:sz w:val="22"/>
                <w:szCs w:val="22"/>
                <w:vertAlign w:val="subscript"/>
                <w:lang w:val="en-GB" w:eastAsia="zh-CN"/>
              </w:rPr>
            </w:pPr>
            <w:r w:rsidRPr="006C6BB5">
              <w:rPr>
                <w:sz w:val="22"/>
                <w:szCs w:val="22"/>
                <w:lang w:val="en-GB"/>
              </w:rPr>
              <w:t xml:space="preserve">External search </w:t>
            </w:r>
            <w:r w:rsidRPr="006C6BB5">
              <w:rPr>
                <w:sz w:val="22"/>
                <w:szCs w:val="22"/>
                <w:lang w:val="en-GB" w:eastAsia="zh-CN"/>
              </w:rPr>
              <w:t xml:space="preserve">depth  </w:t>
            </w:r>
          </w:p>
        </w:tc>
        <w:tc>
          <w:tcPr>
            <w:tcW w:w="1654" w:type="dxa"/>
          </w:tcPr>
          <w:p w14:paraId="398D383B"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0.687*</w:t>
            </w:r>
          </w:p>
        </w:tc>
        <w:tc>
          <w:tcPr>
            <w:tcW w:w="1654" w:type="dxa"/>
          </w:tcPr>
          <w:p w14:paraId="79B30633"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0.481</w:t>
            </w:r>
          </w:p>
        </w:tc>
        <w:tc>
          <w:tcPr>
            <w:tcW w:w="1654" w:type="dxa"/>
          </w:tcPr>
          <w:p w14:paraId="6401B967"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0.693**</w:t>
            </w:r>
          </w:p>
        </w:tc>
      </w:tr>
      <w:tr w:rsidR="006D5629" w:rsidRPr="006C6BB5" w14:paraId="1FA6851A" w14:textId="77777777" w:rsidTr="006D5629">
        <w:tc>
          <w:tcPr>
            <w:tcW w:w="4077" w:type="dxa"/>
            <w:vMerge/>
            <w:vAlign w:val="center"/>
          </w:tcPr>
          <w:p w14:paraId="7B672185" w14:textId="77777777" w:rsidR="006D5629" w:rsidRPr="006C6BB5" w:rsidRDefault="006D5629" w:rsidP="006D5629">
            <w:pPr>
              <w:spacing w:line="240" w:lineRule="auto"/>
              <w:rPr>
                <w:sz w:val="22"/>
                <w:szCs w:val="22"/>
                <w:vertAlign w:val="subscript"/>
                <w:lang w:val="en-GB" w:eastAsia="zh-CN"/>
              </w:rPr>
            </w:pPr>
          </w:p>
        </w:tc>
        <w:tc>
          <w:tcPr>
            <w:tcW w:w="1654" w:type="dxa"/>
          </w:tcPr>
          <w:p w14:paraId="3E7DF69C"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(0.390)</w:t>
            </w:r>
          </w:p>
        </w:tc>
        <w:tc>
          <w:tcPr>
            <w:tcW w:w="1654" w:type="dxa"/>
          </w:tcPr>
          <w:p w14:paraId="016A8BED"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(0.336)</w:t>
            </w:r>
          </w:p>
        </w:tc>
        <w:tc>
          <w:tcPr>
            <w:tcW w:w="1654" w:type="dxa"/>
          </w:tcPr>
          <w:p w14:paraId="6F86C0FC"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(0.343)</w:t>
            </w:r>
          </w:p>
        </w:tc>
      </w:tr>
      <w:tr w:rsidR="006D5629" w:rsidRPr="006C6BB5" w14:paraId="5A5AE822" w14:textId="77777777" w:rsidTr="006D5629">
        <w:tc>
          <w:tcPr>
            <w:tcW w:w="4077" w:type="dxa"/>
            <w:vMerge w:val="restart"/>
          </w:tcPr>
          <w:p w14:paraId="524CF7B5" w14:textId="77777777" w:rsidR="006D5629" w:rsidRPr="006C6BB5" w:rsidRDefault="006D5629" w:rsidP="006D5629">
            <w:pPr>
              <w:widowControl w:val="0"/>
              <w:autoSpaceDE w:val="0"/>
              <w:autoSpaceDN w:val="0"/>
              <w:adjustRightInd w:val="0"/>
              <w:spacing w:line="240" w:lineRule="auto"/>
              <w:rPr>
                <w:sz w:val="22"/>
                <w:szCs w:val="22"/>
                <w:vertAlign w:val="subscript"/>
                <w:lang w:val="en-GB" w:eastAsia="zh-CN"/>
              </w:rPr>
            </w:pPr>
            <w:r w:rsidRPr="006C6BB5">
              <w:rPr>
                <w:sz w:val="22"/>
                <w:szCs w:val="22"/>
                <w:lang w:val="en-GB" w:eastAsia="zh-CN"/>
              </w:rPr>
              <w:t xml:space="preserve">Share of incremental innovation </w:t>
            </w:r>
          </w:p>
        </w:tc>
        <w:tc>
          <w:tcPr>
            <w:tcW w:w="1654" w:type="dxa"/>
          </w:tcPr>
          <w:p w14:paraId="6DC7BC9C"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0.074</w:t>
            </w:r>
          </w:p>
        </w:tc>
        <w:tc>
          <w:tcPr>
            <w:tcW w:w="1654" w:type="dxa"/>
          </w:tcPr>
          <w:p w14:paraId="229B8F0E"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0.064</w:t>
            </w:r>
          </w:p>
        </w:tc>
        <w:tc>
          <w:tcPr>
            <w:tcW w:w="1654" w:type="dxa"/>
          </w:tcPr>
          <w:p w14:paraId="44CBD298"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0.443*</w:t>
            </w:r>
          </w:p>
        </w:tc>
      </w:tr>
      <w:tr w:rsidR="006D5629" w:rsidRPr="006C6BB5" w14:paraId="30513853" w14:textId="77777777" w:rsidTr="006D5629">
        <w:tc>
          <w:tcPr>
            <w:tcW w:w="4077" w:type="dxa"/>
            <w:vMerge/>
            <w:vAlign w:val="center"/>
          </w:tcPr>
          <w:p w14:paraId="6C88552A" w14:textId="77777777" w:rsidR="006D5629" w:rsidRPr="006C6BB5" w:rsidRDefault="006D5629" w:rsidP="006D5629">
            <w:pPr>
              <w:spacing w:line="240" w:lineRule="auto"/>
              <w:rPr>
                <w:sz w:val="22"/>
                <w:szCs w:val="22"/>
                <w:vertAlign w:val="subscript"/>
                <w:lang w:val="en-GB" w:eastAsia="zh-CN"/>
              </w:rPr>
            </w:pPr>
          </w:p>
        </w:tc>
        <w:tc>
          <w:tcPr>
            <w:tcW w:w="1654" w:type="dxa"/>
          </w:tcPr>
          <w:p w14:paraId="45380CEA"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(0.141)</w:t>
            </w:r>
          </w:p>
        </w:tc>
        <w:tc>
          <w:tcPr>
            <w:tcW w:w="1654" w:type="dxa"/>
          </w:tcPr>
          <w:p w14:paraId="12545323"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(0.132)</w:t>
            </w:r>
          </w:p>
        </w:tc>
        <w:tc>
          <w:tcPr>
            <w:tcW w:w="1654" w:type="dxa"/>
          </w:tcPr>
          <w:p w14:paraId="48062F4B"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(0.252)</w:t>
            </w:r>
          </w:p>
        </w:tc>
      </w:tr>
      <w:tr w:rsidR="006D5629" w:rsidRPr="006C6BB5" w14:paraId="2041BB99" w14:textId="77777777" w:rsidTr="006D5629">
        <w:tc>
          <w:tcPr>
            <w:tcW w:w="4077" w:type="dxa"/>
            <w:vMerge w:val="restart"/>
          </w:tcPr>
          <w:p w14:paraId="36EA8718" w14:textId="77777777" w:rsidR="006D5629" w:rsidRPr="006C6BB5" w:rsidRDefault="006D5629" w:rsidP="006D5629">
            <w:pPr>
              <w:widowControl w:val="0"/>
              <w:autoSpaceDE w:val="0"/>
              <w:autoSpaceDN w:val="0"/>
              <w:adjustRightInd w:val="0"/>
              <w:spacing w:line="240" w:lineRule="auto"/>
              <w:rPr>
                <w:sz w:val="22"/>
                <w:szCs w:val="22"/>
                <w:vertAlign w:val="subscript"/>
                <w:lang w:val="en-GB" w:eastAsia="zh-CN"/>
              </w:rPr>
            </w:pPr>
            <w:r w:rsidRPr="006C6BB5">
              <w:rPr>
                <w:sz w:val="22"/>
                <w:szCs w:val="22"/>
                <w:lang w:val="en-GB" w:eastAsia="zh-CN"/>
              </w:rPr>
              <w:t xml:space="preserve">Share of radical innovation </w:t>
            </w:r>
          </w:p>
        </w:tc>
        <w:tc>
          <w:tcPr>
            <w:tcW w:w="1654" w:type="dxa"/>
          </w:tcPr>
          <w:p w14:paraId="5E4D6D5F"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-0.103</w:t>
            </w:r>
          </w:p>
        </w:tc>
        <w:tc>
          <w:tcPr>
            <w:tcW w:w="1654" w:type="dxa"/>
          </w:tcPr>
          <w:p w14:paraId="5B69C48E"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w:t>
            </w:r>
          </w:p>
        </w:tc>
        <w:tc>
          <w:tcPr>
            <w:tcW w:w="1654" w:type="dxa"/>
          </w:tcPr>
          <w:p w14:paraId="03A65CC6"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-0.095</w:t>
            </w:r>
          </w:p>
        </w:tc>
      </w:tr>
      <w:tr w:rsidR="006D5629" w:rsidRPr="006C6BB5" w14:paraId="080C7F08" w14:textId="77777777" w:rsidTr="006D5629">
        <w:tc>
          <w:tcPr>
            <w:tcW w:w="4077" w:type="dxa"/>
            <w:vMerge/>
            <w:vAlign w:val="center"/>
          </w:tcPr>
          <w:p w14:paraId="14C6A1BE" w14:textId="77777777" w:rsidR="006D5629" w:rsidRPr="006C6BB5" w:rsidRDefault="006D5629" w:rsidP="006D5629">
            <w:pPr>
              <w:spacing w:line="240" w:lineRule="auto"/>
              <w:rPr>
                <w:sz w:val="22"/>
                <w:szCs w:val="22"/>
                <w:vertAlign w:val="subscript"/>
                <w:lang w:val="en-GB" w:eastAsia="zh-CN"/>
              </w:rPr>
            </w:pPr>
          </w:p>
        </w:tc>
        <w:tc>
          <w:tcPr>
            <w:tcW w:w="1654" w:type="dxa"/>
          </w:tcPr>
          <w:p w14:paraId="2337C29A"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(0.218)</w:t>
            </w:r>
          </w:p>
        </w:tc>
        <w:tc>
          <w:tcPr>
            <w:tcW w:w="1654" w:type="dxa"/>
          </w:tcPr>
          <w:p w14:paraId="2D3159D9"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w:t>
            </w:r>
          </w:p>
        </w:tc>
        <w:tc>
          <w:tcPr>
            <w:tcW w:w="1654" w:type="dxa"/>
          </w:tcPr>
          <w:p w14:paraId="5950B3BF"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(0.186)</w:t>
            </w:r>
          </w:p>
        </w:tc>
      </w:tr>
      <w:tr w:rsidR="006D5629" w:rsidRPr="006C6BB5" w14:paraId="5A211445" w14:textId="77777777" w:rsidTr="006D5629">
        <w:tc>
          <w:tcPr>
            <w:tcW w:w="4077" w:type="dxa"/>
            <w:vMerge w:val="restart"/>
            <w:hideMark/>
          </w:tcPr>
          <w:p w14:paraId="627204CF" w14:textId="77777777" w:rsidR="006D5629" w:rsidRPr="006C6BB5" w:rsidRDefault="006D5629" w:rsidP="006D5629">
            <w:pPr>
              <w:widowControl w:val="0"/>
              <w:autoSpaceDE w:val="0"/>
              <w:autoSpaceDN w:val="0"/>
              <w:adjustRightInd w:val="0"/>
              <w:spacing w:line="240" w:lineRule="auto"/>
              <w:rPr>
                <w:sz w:val="22"/>
                <w:szCs w:val="22"/>
                <w:vertAlign w:val="subscript"/>
                <w:lang w:val="en-GB" w:eastAsia="zh-CN"/>
              </w:rPr>
            </w:pPr>
            <w:r w:rsidRPr="006C6BB5">
              <w:rPr>
                <w:sz w:val="22"/>
                <w:szCs w:val="22"/>
                <w:lang w:val="en-GB" w:eastAsia="zh-CN"/>
              </w:rPr>
              <w:t xml:space="preserve">R&amp;D intensity </w:t>
            </w:r>
          </w:p>
        </w:tc>
        <w:tc>
          <w:tcPr>
            <w:tcW w:w="1654" w:type="dxa"/>
          </w:tcPr>
          <w:p w14:paraId="4B2F6E29"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-0.274</w:t>
            </w:r>
          </w:p>
        </w:tc>
        <w:tc>
          <w:tcPr>
            <w:tcW w:w="1654" w:type="dxa"/>
          </w:tcPr>
          <w:p w14:paraId="75A2097C"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-0.218</w:t>
            </w:r>
          </w:p>
        </w:tc>
        <w:tc>
          <w:tcPr>
            <w:tcW w:w="1654" w:type="dxa"/>
          </w:tcPr>
          <w:p w14:paraId="6452DE25"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2.874**</w:t>
            </w:r>
          </w:p>
        </w:tc>
      </w:tr>
      <w:tr w:rsidR="006D5629" w:rsidRPr="006C6BB5" w14:paraId="751BBA6F" w14:textId="77777777" w:rsidTr="006D5629">
        <w:tc>
          <w:tcPr>
            <w:tcW w:w="4077" w:type="dxa"/>
            <w:vMerge/>
            <w:vAlign w:val="center"/>
            <w:hideMark/>
          </w:tcPr>
          <w:p w14:paraId="42138B4F" w14:textId="77777777" w:rsidR="006D5629" w:rsidRPr="006C6BB5" w:rsidRDefault="006D5629" w:rsidP="006D5629">
            <w:pPr>
              <w:spacing w:line="240" w:lineRule="auto"/>
              <w:rPr>
                <w:sz w:val="22"/>
                <w:szCs w:val="22"/>
                <w:vertAlign w:val="subscript"/>
                <w:lang w:val="en-GB" w:eastAsia="zh-CN"/>
              </w:rPr>
            </w:pPr>
          </w:p>
        </w:tc>
        <w:tc>
          <w:tcPr>
            <w:tcW w:w="1654" w:type="dxa"/>
          </w:tcPr>
          <w:p w14:paraId="02D4334A"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(0.870)</w:t>
            </w:r>
          </w:p>
        </w:tc>
        <w:tc>
          <w:tcPr>
            <w:tcW w:w="1654" w:type="dxa"/>
          </w:tcPr>
          <w:p w14:paraId="21C04C57"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(1.079)</w:t>
            </w:r>
          </w:p>
        </w:tc>
        <w:tc>
          <w:tcPr>
            <w:tcW w:w="1654" w:type="dxa"/>
          </w:tcPr>
          <w:p w14:paraId="693D70C2"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(1.121)</w:t>
            </w:r>
          </w:p>
        </w:tc>
      </w:tr>
      <w:tr w:rsidR="006D5629" w:rsidRPr="006C6BB5" w14:paraId="0F5A3863" w14:textId="77777777" w:rsidTr="006D5629">
        <w:tc>
          <w:tcPr>
            <w:tcW w:w="4077" w:type="dxa"/>
            <w:vMerge w:val="restart"/>
            <w:hideMark/>
          </w:tcPr>
          <w:p w14:paraId="43CC2D1C" w14:textId="77777777" w:rsidR="006D5629" w:rsidRPr="006C6BB5" w:rsidRDefault="006D5629" w:rsidP="006D5629">
            <w:pPr>
              <w:widowControl w:val="0"/>
              <w:autoSpaceDE w:val="0"/>
              <w:autoSpaceDN w:val="0"/>
              <w:adjustRightInd w:val="0"/>
              <w:spacing w:line="240" w:lineRule="auto"/>
              <w:rPr>
                <w:sz w:val="22"/>
                <w:szCs w:val="22"/>
                <w:vertAlign w:val="subscript"/>
                <w:lang w:val="en-GB" w:eastAsia="zh-CN"/>
              </w:rPr>
            </w:pPr>
            <w:r w:rsidRPr="006C6BB5">
              <w:rPr>
                <w:sz w:val="22"/>
                <w:szCs w:val="22"/>
                <w:lang w:val="en-GB" w:eastAsia="zh-CN"/>
              </w:rPr>
              <w:t>Firm size (log)</w:t>
            </w:r>
          </w:p>
        </w:tc>
        <w:tc>
          <w:tcPr>
            <w:tcW w:w="1654" w:type="dxa"/>
          </w:tcPr>
          <w:p w14:paraId="0AEB5D86"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-0.012</w:t>
            </w:r>
          </w:p>
        </w:tc>
        <w:tc>
          <w:tcPr>
            <w:tcW w:w="1654" w:type="dxa"/>
          </w:tcPr>
          <w:p w14:paraId="026F82B3"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-0.017</w:t>
            </w:r>
          </w:p>
        </w:tc>
        <w:tc>
          <w:tcPr>
            <w:tcW w:w="1654" w:type="dxa"/>
          </w:tcPr>
          <w:p w14:paraId="0AF5B62B"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0.231***</w:t>
            </w:r>
          </w:p>
        </w:tc>
      </w:tr>
      <w:tr w:rsidR="006D5629" w:rsidRPr="006C6BB5" w14:paraId="428D14CC" w14:textId="77777777" w:rsidTr="006D5629">
        <w:tc>
          <w:tcPr>
            <w:tcW w:w="4077" w:type="dxa"/>
            <w:vMerge/>
            <w:vAlign w:val="center"/>
            <w:hideMark/>
          </w:tcPr>
          <w:p w14:paraId="1331F13F" w14:textId="77777777" w:rsidR="006D5629" w:rsidRPr="006C6BB5" w:rsidRDefault="006D5629" w:rsidP="006D5629">
            <w:pPr>
              <w:spacing w:line="240" w:lineRule="auto"/>
              <w:rPr>
                <w:sz w:val="22"/>
                <w:szCs w:val="22"/>
                <w:vertAlign w:val="subscript"/>
                <w:lang w:val="en-GB" w:eastAsia="zh-CN"/>
              </w:rPr>
            </w:pPr>
          </w:p>
        </w:tc>
        <w:tc>
          <w:tcPr>
            <w:tcW w:w="1654" w:type="dxa"/>
          </w:tcPr>
          <w:p w14:paraId="7E00A675"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(0.051)</w:t>
            </w:r>
          </w:p>
        </w:tc>
        <w:tc>
          <w:tcPr>
            <w:tcW w:w="1654" w:type="dxa"/>
          </w:tcPr>
          <w:p w14:paraId="79FED145"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(0.051)</w:t>
            </w:r>
          </w:p>
        </w:tc>
        <w:tc>
          <w:tcPr>
            <w:tcW w:w="1654" w:type="dxa"/>
          </w:tcPr>
          <w:p w14:paraId="3FAF48EA"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(0.066)</w:t>
            </w:r>
          </w:p>
        </w:tc>
      </w:tr>
      <w:tr w:rsidR="006D5629" w:rsidRPr="006C6BB5" w14:paraId="56AE8F77" w14:textId="77777777" w:rsidTr="006D5629">
        <w:tc>
          <w:tcPr>
            <w:tcW w:w="4077" w:type="dxa"/>
            <w:vMerge w:val="restart"/>
            <w:hideMark/>
          </w:tcPr>
          <w:p w14:paraId="39639D24" w14:textId="77777777" w:rsidR="006D5629" w:rsidRPr="006C6BB5" w:rsidRDefault="006D5629" w:rsidP="006D5629">
            <w:pPr>
              <w:spacing w:line="240" w:lineRule="auto"/>
              <w:rPr>
                <w:sz w:val="22"/>
                <w:szCs w:val="22"/>
                <w:vertAlign w:val="subscript"/>
                <w:lang w:val="en-GB" w:eastAsia="zh-CN"/>
              </w:rPr>
            </w:pPr>
            <w:r w:rsidRPr="006C6BB5">
              <w:rPr>
                <w:sz w:val="22"/>
                <w:szCs w:val="22"/>
                <w:lang w:val="en-GB" w:eastAsia="zh-CN"/>
              </w:rPr>
              <w:t>MNE dummy</w:t>
            </w:r>
          </w:p>
        </w:tc>
        <w:tc>
          <w:tcPr>
            <w:tcW w:w="1654" w:type="dxa"/>
          </w:tcPr>
          <w:p w14:paraId="3D904F69"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-0.071</w:t>
            </w:r>
          </w:p>
        </w:tc>
        <w:tc>
          <w:tcPr>
            <w:tcW w:w="1654" w:type="dxa"/>
          </w:tcPr>
          <w:p w14:paraId="6443471C"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0.065</w:t>
            </w:r>
          </w:p>
        </w:tc>
        <w:tc>
          <w:tcPr>
            <w:tcW w:w="1654" w:type="dxa"/>
          </w:tcPr>
          <w:p w14:paraId="040BE075"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-0.159</w:t>
            </w:r>
          </w:p>
        </w:tc>
      </w:tr>
      <w:tr w:rsidR="006D5629" w:rsidRPr="006C6BB5" w14:paraId="5FE5834C" w14:textId="77777777" w:rsidTr="006D5629">
        <w:tc>
          <w:tcPr>
            <w:tcW w:w="4077" w:type="dxa"/>
            <w:vMerge/>
            <w:vAlign w:val="center"/>
            <w:hideMark/>
          </w:tcPr>
          <w:p w14:paraId="01C2B375" w14:textId="77777777" w:rsidR="006D5629" w:rsidRPr="006C6BB5" w:rsidRDefault="006D5629" w:rsidP="006D5629">
            <w:pPr>
              <w:spacing w:line="240" w:lineRule="auto"/>
              <w:rPr>
                <w:sz w:val="22"/>
                <w:szCs w:val="22"/>
                <w:vertAlign w:val="subscript"/>
                <w:lang w:val="en-GB" w:eastAsia="zh-CN"/>
              </w:rPr>
            </w:pPr>
          </w:p>
        </w:tc>
        <w:tc>
          <w:tcPr>
            <w:tcW w:w="1654" w:type="dxa"/>
          </w:tcPr>
          <w:p w14:paraId="256B4036"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(0.110)</w:t>
            </w:r>
          </w:p>
        </w:tc>
        <w:tc>
          <w:tcPr>
            <w:tcW w:w="1654" w:type="dxa"/>
          </w:tcPr>
          <w:p w14:paraId="1E8B0DA5"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(0.118)</w:t>
            </w:r>
          </w:p>
        </w:tc>
        <w:tc>
          <w:tcPr>
            <w:tcW w:w="1654" w:type="dxa"/>
          </w:tcPr>
          <w:p w14:paraId="57973BFF"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(0.174)</w:t>
            </w:r>
          </w:p>
        </w:tc>
      </w:tr>
      <w:tr w:rsidR="006D5629" w:rsidRPr="006C6BB5" w14:paraId="3D2E018A" w14:textId="77777777" w:rsidTr="006D5629">
        <w:tc>
          <w:tcPr>
            <w:tcW w:w="4077" w:type="dxa"/>
            <w:vMerge w:val="restart"/>
            <w:vAlign w:val="center"/>
          </w:tcPr>
          <w:p w14:paraId="02EAD667" w14:textId="77777777" w:rsidR="006D5629" w:rsidRPr="006C6BB5" w:rsidRDefault="006D5629" w:rsidP="006D5629">
            <w:pPr>
              <w:spacing w:line="240" w:lineRule="auto"/>
              <w:rPr>
                <w:sz w:val="22"/>
                <w:szCs w:val="22"/>
                <w:lang w:val="en-GB" w:eastAsia="zh-CN"/>
              </w:rPr>
            </w:pPr>
            <w:r w:rsidRPr="006C6BB5">
              <w:rPr>
                <w:sz w:val="22"/>
                <w:szCs w:val="22"/>
                <w:lang w:val="en-GB" w:eastAsia="zh-CN"/>
              </w:rPr>
              <w:t>Domestic group dummy</w:t>
            </w:r>
          </w:p>
        </w:tc>
        <w:tc>
          <w:tcPr>
            <w:tcW w:w="1654" w:type="dxa"/>
          </w:tcPr>
          <w:p w14:paraId="062FCE17"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0.020</w:t>
            </w:r>
          </w:p>
        </w:tc>
        <w:tc>
          <w:tcPr>
            <w:tcW w:w="1654" w:type="dxa"/>
          </w:tcPr>
          <w:p w14:paraId="73020353"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0.128</w:t>
            </w:r>
          </w:p>
        </w:tc>
        <w:tc>
          <w:tcPr>
            <w:tcW w:w="1654" w:type="dxa"/>
          </w:tcPr>
          <w:p w14:paraId="2F46761D"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-0.029</w:t>
            </w:r>
          </w:p>
        </w:tc>
      </w:tr>
      <w:tr w:rsidR="006D5629" w:rsidRPr="006C6BB5" w14:paraId="572FDE7A" w14:textId="77777777" w:rsidTr="006D5629">
        <w:tc>
          <w:tcPr>
            <w:tcW w:w="4077" w:type="dxa"/>
            <w:vMerge/>
            <w:vAlign w:val="center"/>
          </w:tcPr>
          <w:p w14:paraId="28FDDE28" w14:textId="77777777" w:rsidR="006D5629" w:rsidRPr="006C6BB5" w:rsidRDefault="006D5629" w:rsidP="006D5629">
            <w:pPr>
              <w:spacing w:line="240" w:lineRule="auto"/>
              <w:rPr>
                <w:sz w:val="22"/>
                <w:szCs w:val="22"/>
                <w:lang w:val="en-GB" w:eastAsia="zh-CN"/>
              </w:rPr>
            </w:pPr>
          </w:p>
        </w:tc>
        <w:tc>
          <w:tcPr>
            <w:tcW w:w="1654" w:type="dxa"/>
          </w:tcPr>
          <w:p w14:paraId="2E4061E6"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(0.112)</w:t>
            </w:r>
          </w:p>
        </w:tc>
        <w:tc>
          <w:tcPr>
            <w:tcW w:w="1654" w:type="dxa"/>
          </w:tcPr>
          <w:p w14:paraId="76F88553"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(0.115)</w:t>
            </w:r>
          </w:p>
        </w:tc>
        <w:tc>
          <w:tcPr>
            <w:tcW w:w="1654" w:type="dxa"/>
          </w:tcPr>
          <w:p w14:paraId="371FBA03"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(0.181)</w:t>
            </w:r>
          </w:p>
        </w:tc>
      </w:tr>
      <w:tr w:rsidR="006D5629" w:rsidRPr="006C6BB5" w14:paraId="7DC28DE6" w14:textId="77777777" w:rsidTr="006D5629">
        <w:tc>
          <w:tcPr>
            <w:tcW w:w="4077" w:type="dxa"/>
            <w:vMerge w:val="restart"/>
            <w:vAlign w:val="center"/>
          </w:tcPr>
          <w:p w14:paraId="6276E2E8" w14:textId="77777777" w:rsidR="006D5629" w:rsidRPr="006C6BB5" w:rsidRDefault="006D5629" w:rsidP="006D5629">
            <w:pPr>
              <w:spacing w:line="240" w:lineRule="auto"/>
              <w:rPr>
                <w:sz w:val="22"/>
                <w:szCs w:val="22"/>
                <w:lang w:val="en-GB" w:eastAsia="zh-CN"/>
              </w:rPr>
            </w:pPr>
            <w:r w:rsidRPr="006C6BB5">
              <w:rPr>
                <w:sz w:val="22"/>
                <w:szCs w:val="22"/>
                <w:lang w:val="en-GB" w:eastAsia="zh-CN"/>
              </w:rPr>
              <w:t>IMR (Innovator)</w:t>
            </w:r>
          </w:p>
        </w:tc>
        <w:tc>
          <w:tcPr>
            <w:tcW w:w="1654" w:type="dxa"/>
          </w:tcPr>
          <w:p w14:paraId="05EBD067"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0.332*</w:t>
            </w:r>
          </w:p>
        </w:tc>
        <w:tc>
          <w:tcPr>
            <w:tcW w:w="1654" w:type="dxa"/>
          </w:tcPr>
          <w:p w14:paraId="42A6A508"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0.394*</w:t>
            </w:r>
          </w:p>
        </w:tc>
        <w:tc>
          <w:tcPr>
            <w:tcW w:w="1654" w:type="dxa"/>
          </w:tcPr>
          <w:p w14:paraId="0E1604CB"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-0.051</w:t>
            </w:r>
          </w:p>
        </w:tc>
      </w:tr>
      <w:tr w:rsidR="006D5629" w:rsidRPr="006C6BB5" w14:paraId="2749DE9F" w14:textId="77777777" w:rsidTr="006D5629">
        <w:tc>
          <w:tcPr>
            <w:tcW w:w="4077" w:type="dxa"/>
            <w:vMerge/>
            <w:vAlign w:val="center"/>
          </w:tcPr>
          <w:p w14:paraId="2BCAAC90" w14:textId="77777777" w:rsidR="006D5629" w:rsidRPr="006C6BB5" w:rsidRDefault="006D5629" w:rsidP="006D5629">
            <w:pPr>
              <w:spacing w:line="240" w:lineRule="auto"/>
              <w:rPr>
                <w:sz w:val="22"/>
                <w:szCs w:val="22"/>
                <w:lang w:val="en-GB" w:eastAsia="zh-CN"/>
              </w:rPr>
            </w:pPr>
          </w:p>
        </w:tc>
        <w:tc>
          <w:tcPr>
            <w:tcW w:w="1654" w:type="dxa"/>
          </w:tcPr>
          <w:p w14:paraId="194ADB78"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(0.183)</w:t>
            </w:r>
          </w:p>
        </w:tc>
        <w:tc>
          <w:tcPr>
            <w:tcW w:w="1654" w:type="dxa"/>
          </w:tcPr>
          <w:p w14:paraId="67D24530"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(0.208)</w:t>
            </w:r>
          </w:p>
        </w:tc>
        <w:tc>
          <w:tcPr>
            <w:tcW w:w="1654" w:type="dxa"/>
          </w:tcPr>
          <w:p w14:paraId="08B51DEE"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(0.255)</w:t>
            </w:r>
          </w:p>
        </w:tc>
      </w:tr>
      <w:tr w:rsidR="006D5629" w:rsidRPr="006C6BB5" w14:paraId="052ADE74" w14:textId="77777777" w:rsidTr="006D5629">
        <w:tc>
          <w:tcPr>
            <w:tcW w:w="4077" w:type="dxa"/>
            <w:vMerge w:val="restart"/>
            <w:vAlign w:val="center"/>
          </w:tcPr>
          <w:p w14:paraId="57EE4537" w14:textId="77777777" w:rsidR="006D5629" w:rsidRPr="006C6BB5" w:rsidRDefault="006D5629" w:rsidP="006D5629">
            <w:pPr>
              <w:spacing w:line="240" w:lineRule="auto"/>
              <w:rPr>
                <w:sz w:val="22"/>
                <w:szCs w:val="22"/>
                <w:vertAlign w:val="subscript"/>
                <w:lang w:val="en-GB" w:eastAsia="zh-CN"/>
              </w:rPr>
            </w:pPr>
            <w:r w:rsidRPr="006C6BB5">
              <w:rPr>
                <w:sz w:val="22"/>
                <w:szCs w:val="22"/>
                <w:lang w:val="en-GB" w:eastAsia="zh-CN"/>
              </w:rPr>
              <w:t>Intercept</w:t>
            </w:r>
          </w:p>
        </w:tc>
        <w:tc>
          <w:tcPr>
            <w:tcW w:w="1654" w:type="dxa"/>
          </w:tcPr>
          <w:p w14:paraId="6AE22572"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-0.830***</w:t>
            </w:r>
          </w:p>
        </w:tc>
        <w:tc>
          <w:tcPr>
            <w:tcW w:w="1654" w:type="dxa"/>
          </w:tcPr>
          <w:p w14:paraId="00C377C9"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-0.902***</w:t>
            </w:r>
          </w:p>
        </w:tc>
        <w:tc>
          <w:tcPr>
            <w:tcW w:w="1654" w:type="dxa"/>
          </w:tcPr>
          <w:p w14:paraId="65D706C0"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-1.204***</w:t>
            </w:r>
          </w:p>
        </w:tc>
      </w:tr>
      <w:tr w:rsidR="006D5629" w:rsidRPr="006C6BB5" w14:paraId="409AB334" w14:textId="77777777" w:rsidTr="006D5629">
        <w:tc>
          <w:tcPr>
            <w:tcW w:w="4077" w:type="dxa"/>
            <w:vMerge/>
            <w:vAlign w:val="center"/>
          </w:tcPr>
          <w:p w14:paraId="58A4B9E4" w14:textId="77777777" w:rsidR="006D5629" w:rsidRPr="006C6BB5" w:rsidRDefault="006D5629" w:rsidP="006D5629">
            <w:pPr>
              <w:spacing w:line="240" w:lineRule="auto"/>
              <w:rPr>
                <w:sz w:val="22"/>
                <w:szCs w:val="22"/>
                <w:vertAlign w:val="subscript"/>
                <w:lang w:val="en-GB" w:eastAsia="zh-CN"/>
              </w:rPr>
            </w:pPr>
          </w:p>
        </w:tc>
        <w:tc>
          <w:tcPr>
            <w:tcW w:w="1654" w:type="dxa"/>
          </w:tcPr>
          <w:p w14:paraId="427C510C"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(0.209)</w:t>
            </w:r>
          </w:p>
        </w:tc>
        <w:tc>
          <w:tcPr>
            <w:tcW w:w="1654" w:type="dxa"/>
          </w:tcPr>
          <w:p w14:paraId="363DFE72"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(0.241)</w:t>
            </w:r>
          </w:p>
        </w:tc>
        <w:tc>
          <w:tcPr>
            <w:tcW w:w="1654" w:type="dxa"/>
          </w:tcPr>
          <w:p w14:paraId="03572107"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(0.344)</w:t>
            </w:r>
          </w:p>
        </w:tc>
      </w:tr>
      <w:tr w:rsidR="006D5629" w:rsidRPr="006C6BB5" w14:paraId="018141C4" w14:textId="77777777" w:rsidTr="006D5629">
        <w:tc>
          <w:tcPr>
            <w:tcW w:w="4077" w:type="dxa"/>
          </w:tcPr>
          <w:p w14:paraId="09D9AB6F" w14:textId="77777777" w:rsidR="006D5629" w:rsidRPr="006C6BB5" w:rsidRDefault="006D5629" w:rsidP="006D5629">
            <w:pPr>
              <w:widowControl w:val="0"/>
              <w:autoSpaceDE w:val="0"/>
              <w:autoSpaceDN w:val="0"/>
              <w:adjustRightInd w:val="0"/>
              <w:spacing w:line="240" w:lineRule="auto"/>
              <w:rPr>
                <w:sz w:val="22"/>
                <w:szCs w:val="22"/>
                <w:lang w:val="en-GB" w:eastAsia="zh-CN"/>
              </w:rPr>
            </w:pPr>
            <w:r w:rsidRPr="006C6BB5">
              <w:rPr>
                <w:sz w:val="22"/>
                <w:szCs w:val="22"/>
                <w:lang w:val="en-GB" w:eastAsia="zh-CN"/>
              </w:rPr>
              <w:t>Year dummies</w:t>
            </w:r>
          </w:p>
        </w:tc>
        <w:tc>
          <w:tcPr>
            <w:tcW w:w="1654" w:type="dxa"/>
          </w:tcPr>
          <w:p w14:paraId="7E92771F"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Included</w:t>
            </w:r>
          </w:p>
        </w:tc>
        <w:tc>
          <w:tcPr>
            <w:tcW w:w="1654" w:type="dxa"/>
          </w:tcPr>
          <w:p w14:paraId="53F0CA22"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Included</w:t>
            </w:r>
          </w:p>
        </w:tc>
        <w:tc>
          <w:tcPr>
            <w:tcW w:w="1654" w:type="dxa"/>
          </w:tcPr>
          <w:p w14:paraId="57876D84"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Included</w:t>
            </w:r>
          </w:p>
        </w:tc>
      </w:tr>
      <w:tr w:rsidR="006D5629" w:rsidRPr="006C6BB5" w14:paraId="5F620E95" w14:textId="77777777" w:rsidTr="006D5629">
        <w:tc>
          <w:tcPr>
            <w:tcW w:w="4077" w:type="dxa"/>
          </w:tcPr>
          <w:p w14:paraId="56C4A364" w14:textId="77777777" w:rsidR="006D5629" w:rsidRPr="006C6BB5" w:rsidRDefault="006D5629" w:rsidP="006D5629">
            <w:pPr>
              <w:widowControl w:val="0"/>
              <w:autoSpaceDE w:val="0"/>
              <w:autoSpaceDN w:val="0"/>
              <w:adjustRightInd w:val="0"/>
              <w:spacing w:line="240" w:lineRule="auto"/>
              <w:rPr>
                <w:sz w:val="22"/>
                <w:szCs w:val="22"/>
                <w:lang w:val="en-GB" w:eastAsia="zh-CN"/>
              </w:rPr>
            </w:pPr>
            <w:r w:rsidRPr="006C6BB5">
              <w:rPr>
                <w:sz w:val="22"/>
                <w:szCs w:val="22"/>
                <w:lang w:val="en-GB" w:eastAsia="zh-CN"/>
              </w:rPr>
              <w:t>Industry dummies</w:t>
            </w:r>
          </w:p>
        </w:tc>
        <w:tc>
          <w:tcPr>
            <w:tcW w:w="1654" w:type="dxa"/>
          </w:tcPr>
          <w:p w14:paraId="50BD0D18"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Included</w:t>
            </w:r>
          </w:p>
        </w:tc>
        <w:tc>
          <w:tcPr>
            <w:tcW w:w="1654" w:type="dxa"/>
          </w:tcPr>
          <w:p w14:paraId="7FAC27E2"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Included</w:t>
            </w:r>
          </w:p>
        </w:tc>
        <w:tc>
          <w:tcPr>
            <w:tcW w:w="1654" w:type="dxa"/>
          </w:tcPr>
          <w:p w14:paraId="0A8304F6"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Included</w:t>
            </w:r>
          </w:p>
        </w:tc>
      </w:tr>
      <w:tr w:rsidR="006D5629" w:rsidRPr="006C6BB5" w14:paraId="298D4DC3" w14:textId="77777777" w:rsidTr="006D5629">
        <w:tc>
          <w:tcPr>
            <w:tcW w:w="4077" w:type="dxa"/>
            <w:tcBorders>
              <w:top w:val="single" w:sz="4" w:space="0" w:color="auto"/>
              <w:left w:val="nil"/>
              <w:bottom w:val="nil"/>
              <w:right w:val="nil"/>
            </w:tcBorders>
            <w:hideMark/>
          </w:tcPr>
          <w:p w14:paraId="4FD65354" w14:textId="77777777" w:rsidR="006D5629" w:rsidRPr="006C6BB5" w:rsidRDefault="006D5629" w:rsidP="006D5629">
            <w:pPr>
              <w:widowControl w:val="0"/>
              <w:autoSpaceDE w:val="0"/>
              <w:autoSpaceDN w:val="0"/>
              <w:adjustRightInd w:val="0"/>
              <w:spacing w:line="240" w:lineRule="auto"/>
              <w:rPr>
                <w:sz w:val="22"/>
                <w:szCs w:val="22"/>
                <w:lang w:val="en-GB" w:eastAsia="zh-CN"/>
              </w:rPr>
            </w:pPr>
          </w:p>
          <w:p w14:paraId="6C479840" w14:textId="77777777" w:rsidR="006D5629" w:rsidRPr="006C6BB5" w:rsidRDefault="006D5629" w:rsidP="006D5629">
            <w:pPr>
              <w:widowControl w:val="0"/>
              <w:autoSpaceDE w:val="0"/>
              <w:autoSpaceDN w:val="0"/>
              <w:adjustRightInd w:val="0"/>
              <w:spacing w:line="240" w:lineRule="auto"/>
              <w:rPr>
                <w:sz w:val="22"/>
                <w:szCs w:val="22"/>
                <w:lang w:val="en-GB" w:eastAsia="zh-CN"/>
              </w:rPr>
            </w:pPr>
            <w:r w:rsidRPr="006C6BB5">
              <w:rPr>
                <w:sz w:val="22"/>
                <w:szCs w:val="22"/>
                <w:lang w:val="en-GB" w:eastAsia="zh-CN"/>
              </w:rPr>
              <w:t>Shea (first-stage) partial R2 (breadth)</w:t>
            </w:r>
          </w:p>
        </w:tc>
        <w:tc>
          <w:tcPr>
            <w:tcW w:w="1654" w:type="dxa"/>
            <w:tcBorders>
              <w:top w:val="single" w:sz="4" w:space="0" w:color="auto"/>
              <w:left w:val="nil"/>
              <w:bottom w:val="nil"/>
              <w:right w:val="nil"/>
            </w:tcBorders>
          </w:tcPr>
          <w:p w14:paraId="11A8CE2F" w14:textId="77777777" w:rsidR="006D5629" w:rsidRPr="006C6BB5" w:rsidRDefault="006D5629" w:rsidP="006D5629">
            <w:pPr>
              <w:spacing w:line="240" w:lineRule="auto"/>
              <w:jc w:val="center"/>
              <w:rPr>
                <w:sz w:val="22"/>
                <w:szCs w:val="22"/>
                <w:lang w:val="en-GB" w:eastAsia="zh-CN"/>
              </w:rPr>
            </w:pPr>
          </w:p>
          <w:p w14:paraId="13FA892A"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0.02</w:t>
            </w:r>
          </w:p>
        </w:tc>
        <w:tc>
          <w:tcPr>
            <w:tcW w:w="1654" w:type="dxa"/>
            <w:tcBorders>
              <w:top w:val="single" w:sz="4" w:space="0" w:color="auto"/>
              <w:left w:val="nil"/>
              <w:bottom w:val="nil"/>
              <w:right w:val="nil"/>
            </w:tcBorders>
          </w:tcPr>
          <w:p w14:paraId="0D6CCA8E" w14:textId="77777777" w:rsidR="006D5629" w:rsidRPr="006C6BB5" w:rsidRDefault="006D5629" w:rsidP="006D5629">
            <w:pPr>
              <w:spacing w:line="240" w:lineRule="auto"/>
              <w:jc w:val="center"/>
              <w:rPr>
                <w:sz w:val="22"/>
                <w:szCs w:val="22"/>
                <w:lang w:val="en-GB" w:eastAsia="zh-CN"/>
              </w:rPr>
            </w:pPr>
          </w:p>
          <w:p w14:paraId="21A36934"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0.04</w:t>
            </w:r>
          </w:p>
        </w:tc>
        <w:tc>
          <w:tcPr>
            <w:tcW w:w="1654" w:type="dxa"/>
            <w:tcBorders>
              <w:top w:val="single" w:sz="4" w:space="0" w:color="auto"/>
              <w:left w:val="nil"/>
              <w:bottom w:val="nil"/>
              <w:right w:val="nil"/>
            </w:tcBorders>
          </w:tcPr>
          <w:p w14:paraId="1507AB89" w14:textId="77777777" w:rsidR="006D5629" w:rsidRPr="006C6BB5" w:rsidRDefault="006D5629" w:rsidP="006D5629">
            <w:pPr>
              <w:spacing w:line="240" w:lineRule="auto"/>
              <w:jc w:val="center"/>
              <w:rPr>
                <w:sz w:val="22"/>
                <w:szCs w:val="22"/>
                <w:lang w:val="en-GB" w:eastAsia="zh-CN"/>
              </w:rPr>
            </w:pPr>
          </w:p>
          <w:p w14:paraId="624C70B9"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0.04</w:t>
            </w:r>
          </w:p>
        </w:tc>
      </w:tr>
      <w:tr w:rsidR="006D5629" w:rsidRPr="006C6BB5" w14:paraId="21A736BD" w14:textId="77777777" w:rsidTr="006D5629">
        <w:tc>
          <w:tcPr>
            <w:tcW w:w="4077" w:type="dxa"/>
          </w:tcPr>
          <w:p w14:paraId="2CED028A" w14:textId="77777777" w:rsidR="006D5629" w:rsidRPr="006C6BB5" w:rsidRDefault="006D5629" w:rsidP="006D5629">
            <w:pPr>
              <w:widowControl w:val="0"/>
              <w:autoSpaceDE w:val="0"/>
              <w:autoSpaceDN w:val="0"/>
              <w:adjustRightInd w:val="0"/>
              <w:spacing w:line="240" w:lineRule="auto"/>
              <w:rPr>
                <w:sz w:val="22"/>
                <w:szCs w:val="22"/>
                <w:lang w:val="en-GB" w:eastAsia="zh-CN"/>
              </w:rPr>
            </w:pPr>
            <w:r w:rsidRPr="006C6BB5">
              <w:rPr>
                <w:sz w:val="22"/>
                <w:szCs w:val="22"/>
                <w:lang w:val="en-GB" w:eastAsia="zh-CN"/>
              </w:rPr>
              <w:t>Shea (first-stage) partial R2 (depth)</w:t>
            </w:r>
          </w:p>
        </w:tc>
        <w:tc>
          <w:tcPr>
            <w:tcW w:w="1654" w:type="dxa"/>
          </w:tcPr>
          <w:p w14:paraId="1B8733AA"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0.01</w:t>
            </w:r>
          </w:p>
        </w:tc>
        <w:tc>
          <w:tcPr>
            <w:tcW w:w="1654" w:type="dxa"/>
          </w:tcPr>
          <w:p w14:paraId="2CD5B7D5"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0.02</w:t>
            </w:r>
          </w:p>
        </w:tc>
        <w:tc>
          <w:tcPr>
            <w:tcW w:w="1654" w:type="dxa"/>
          </w:tcPr>
          <w:p w14:paraId="1DFA2D43"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0.02</w:t>
            </w:r>
          </w:p>
        </w:tc>
      </w:tr>
      <w:tr w:rsidR="006D5629" w:rsidRPr="006C6BB5" w14:paraId="4706E6A3" w14:textId="77777777" w:rsidTr="006D5629">
        <w:tc>
          <w:tcPr>
            <w:tcW w:w="4077" w:type="dxa"/>
          </w:tcPr>
          <w:p w14:paraId="26EBAA82" w14:textId="77777777" w:rsidR="006D5629" w:rsidRPr="006C6BB5" w:rsidRDefault="006D5629" w:rsidP="006D5629">
            <w:pPr>
              <w:widowControl w:val="0"/>
              <w:autoSpaceDE w:val="0"/>
              <w:autoSpaceDN w:val="0"/>
              <w:adjustRightInd w:val="0"/>
              <w:spacing w:line="240" w:lineRule="auto"/>
              <w:rPr>
                <w:sz w:val="22"/>
                <w:szCs w:val="22"/>
                <w:lang w:val="en-GB" w:eastAsia="zh-CN"/>
              </w:rPr>
            </w:pPr>
            <w:r w:rsidRPr="006C6BB5">
              <w:rPr>
                <w:sz w:val="22"/>
                <w:szCs w:val="22"/>
                <w:lang w:val="en-GB" w:eastAsia="zh-CN"/>
              </w:rPr>
              <w:t>Hansen J statistic (p-value)</w:t>
            </w:r>
          </w:p>
        </w:tc>
        <w:tc>
          <w:tcPr>
            <w:tcW w:w="1654" w:type="dxa"/>
          </w:tcPr>
          <w:p w14:paraId="39F8F965"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15.53 (0.34)</w:t>
            </w:r>
          </w:p>
        </w:tc>
        <w:tc>
          <w:tcPr>
            <w:tcW w:w="1654" w:type="dxa"/>
          </w:tcPr>
          <w:p w14:paraId="1F846C10"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12.41 (0.57)</w:t>
            </w:r>
          </w:p>
        </w:tc>
        <w:tc>
          <w:tcPr>
            <w:tcW w:w="1654" w:type="dxa"/>
          </w:tcPr>
          <w:p w14:paraId="36326985"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15.83 (0.39)</w:t>
            </w:r>
          </w:p>
        </w:tc>
      </w:tr>
      <w:tr w:rsidR="006D5629" w:rsidRPr="006C6BB5" w14:paraId="4FEDD9D4" w14:textId="77777777" w:rsidTr="006D5629">
        <w:tc>
          <w:tcPr>
            <w:tcW w:w="4077" w:type="dxa"/>
            <w:hideMark/>
          </w:tcPr>
          <w:p w14:paraId="6ECAD474" w14:textId="77777777" w:rsidR="006D5629" w:rsidRPr="006C6BB5" w:rsidRDefault="006D5629" w:rsidP="006D5629">
            <w:pPr>
              <w:widowControl w:val="0"/>
              <w:autoSpaceDE w:val="0"/>
              <w:autoSpaceDN w:val="0"/>
              <w:adjustRightInd w:val="0"/>
              <w:spacing w:line="240" w:lineRule="auto"/>
              <w:rPr>
                <w:sz w:val="22"/>
                <w:szCs w:val="22"/>
                <w:lang w:val="en-GB" w:eastAsia="zh-CN"/>
              </w:rPr>
            </w:pPr>
            <w:r w:rsidRPr="006C6BB5">
              <w:rPr>
                <w:sz w:val="22"/>
                <w:szCs w:val="22"/>
                <w:lang w:val="en-GB" w:eastAsia="zh-CN"/>
              </w:rPr>
              <w:t>No of obs.</w:t>
            </w:r>
          </w:p>
        </w:tc>
        <w:tc>
          <w:tcPr>
            <w:tcW w:w="1654" w:type="dxa"/>
          </w:tcPr>
          <w:p w14:paraId="76454CCA"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2149</w:t>
            </w:r>
          </w:p>
        </w:tc>
        <w:tc>
          <w:tcPr>
            <w:tcW w:w="1654" w:type="dxa"/>
          </w:tcPr>
          <w:p w14:paraId="5B9FDBE4"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1083</w:t>
            </w:r>
          </w:p>
        </w:tc>
        <w:tc>
          <w:tcPr>
            <w:tcW w:w="1654" w:type="dxa"/>
          </w:tcPr>
          <w:p w14:paraId="1EC39312" w14:textId="77777777" w:rsidR="006D5629" w:rsidRPr="006C6BB5" w:rsidRDefault="006D5629" w:rsidP="006D5629">
            <w:pPr>
              <w:spacing w:line="240" w:lineRule="auto"/>
              <w:jc w:val="center"/>
              <w:rPr>
                <w:sz w:val="22"/>
                <w:szCs w:val="22"/>
                <w:lang w:val="en-GB" w:eastAsia="zh-CN"/>
              </w:rPr>
            </w:pPr>
            <w:r w:rsidRPr="006C6BB5">
              <w:rPr>
                <w:sz w:val="22"/>
                <w:szCs w:val="22"/>
                <w:lang w:val="en-GB" w:eastAsia="zh-CN"/>
              </w:rPr>
              <w:t>1066</w:t>
            </w:r>
          </w:p>
        </w:tc>
      </w:tr>
    </w:tbl>
    <w:p w14:paraId="44D49752" w14:textId="14319C75" w:rsidR="00270A1E" w:rsidRPr="006C6BB5" w:rsidRDefault="006D5629" w:rsidP="006D5629">
      <w:pPr>
        <w:spacing w:line="360" w:lineRule="auto"/>
        <w:rPr>
          <w:lang w:val="en-GB"/>
        </w:rPr>
      </w:pPr>
      <w:r w:rsidRPr="006C6BB5">
        <w:rPr>
          <w:iCs/>
          <w:sz w:val="22"/>
          <w:szCs w:val="22"/>
          <w:lang w:val="en-GB"/>
        </w:rPr>
        <w:t>Notes: Robust standard errors</w:t>
      </w:r>
      <w:r w:rsidRPr="006C6BB5">
        <w:rPr>
          <w:sz w:val="22"/>
          <w:szCs w:val="22"/>
          <w:lang w:val="en-GB"/>
        </w:rPr>
        <w:t xml:space="preserve"> in parentheses, * p&lt;0.1, ** p&lt;0.05, *** p&lt;0.01</w:t>
      </w:r>
    </w:p>
    <w:sectPr w:rsidR="00270A1E" w:rsidRPr="006C6BB5" w:rsidSect="006D5629">
      <w:endnotePr>
        <w:numFmt w:val="decimal"/>
      </w:endnotePr>
      <w:pgSz w:w="11894" w:h="16819" w:code="1"/>
      <w:pgMar w:top="1368" w:right="1368" w:bottom="1368" w:left="136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2413" w14:textId="77777777" w:rsidR="00A52BF2" w:rsidRDefault="00A52BF2" w:rsidP="00E13DB2">
      <w:pPr>
        <w:spacing w:line="240" w:lineRule="auto"/>
      </w:pPr>
      <w:r>
        <w:separator/>
      </w:r>
    </w:p>
  </w:endnote>
  <w:endnote w:type="continuationSeparator" w:id="0">
    <w:p w14:paraId="1D771568" w14:textId="77777777" w:rsidR="00A52BF2" w:rsidRDefault="00A52BF2" w:rsidP="00E13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F06E" w14:textId="77777777" w:rsidR="00A52BF2" w:rsidRDefault="00A52BF2" w:rsidP="000B2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9722C" w14:textId="77777777" w:rsidR="00A52BF2" w:rsidRDefault="00A52BF2" w:rsidP="000B29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056E" w14:textId="1A2D0E5F" w:rsidR="00A52BF2" w:rsidRDefault="00A52BF2" w:rsidP="000B2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E72">
      <w:rPr>
        <w:rStyle w:val="PageNumber"/>
        <w:noProof/>
      </w:rPr>
      <w:t>37</w:t>
    </w:r>
    <w:r>
      <w:rPr>
        <w:rStyle w:val="PageNumber"/>
      </w:rPr>
      <w:fldChar w:fldCharType="end"/>
    </w:r>
  </w:p>
  <w:sdt>
    <w:sdtPr>
      <w:id w:val="-1302911522"/>
      <w:docPartObj>
        <w:docPartGallery w:val="Page Numbers (Bottom of Page)"/>
        <w:docPartUnique/>
      </w:docPartObj>
    </w:sdtPr>
    <w:sdtEndPr>
      <w:rPr>
        <w:noProof/>
      </w:rPr>
    </w:sdtEndPr>
    <w:sdtContent>
      <w:p w14:paraId="09FFB243" w14:textId="5A72867B" w:rsidR="00A52BF2" w:rsidRDefault="00156E72" w:rsidP="000B299A">
        <w:pPr>
          <w:pStyle w:val="Footer"/>
          <w:ind w:right="360"/>
          <w:jc w:val="center"/>
        </w:pPr>
      </w:p>
    </w:sdtContent>
  </w:sdt>
  <w:p w14:paraId="31667C92" w14:textId="77777777" w:rsidR="00A52BF2" w:rsidRDefault="00A52B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FF858" w14:textId="77777777" w:rsidR="00A52BF2" w:rsidRDefault="00A52BF2" w:rsidP="00E13DB2">
      <w:pPr>
        <w:spacing w:line="240" w:lineRule="auto"/>
      </w:pPr>
      <w:r>
        <w:separator/>
      </w:r>
    </w:p>
  </w:footnote>
  <w:footnote w:type="continuationSeparator" w:id="0">
    <w:p w14:paraId="33F5E7B3" w14:textId="77777777" w:rsidR="00A52BF2" w:rsidRDefault="00A52BF2" w:rsidP="00E13DB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BAD9" w14:textId="2F27C555" w:rsidR="00A52BF2" w:rsidRPr="000F7B68" w:rsidRDefault="00A52BF2" w:rsidP="000F7B68">
    <w:pPr>
      <w:pStyle w:val="Header"/>
      <w:ind w:left="1440"/>
      <w:rPr>
        <w:sz w:val="20"/>
      </w:rPr>
    </w:pPr>
    <w:r w:rsidRPr="000F7B68">
      <w:rPr>
        <w:sz w:val="22"/>
      </w:rPr>
      <w:tab/>
      <w:t xml:space="preserve">                                                          </w:t>
    </w:r>
    <w:r>
      <w:rPr>
        <w:sz w:val="20"/>
      </w:rPr>
      <w:t xml:space="preserve">Formal and informal appropriation mechanisms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572AF"/>
    <w:multiLevelType w:val="hybridMultilevel"/>
    <w:tmpl w:val="937435B2"/>
    <w:lvl w:ilvl="0" w:tplc="92E271BC">
      <w:start w:val="5"/>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A1746B5"/>
    <w:multiLevelType w:val="hybridMultilevel"/>
    <w:tmpl w:val="0D5CEF32"/>
    <w:lvl w:ilvl="0" w:tplc="EF6E0600">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44AFE"/>
    <w:multiLevelType w:val="hybridMultilevel"/>
    <w:tmpl w:val="098C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45C09"/>
    <w:multiLevelType w:val="hybridMultilevel"/>
    <w:tmpl w:val="A67C6EFA"/>
    <w:lvl w:ilvl="0" w:tplc="8AC8AE8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B6638"/>
    <w:multiLevelType w:val="hybridMultilevel"/>
    <w:tmpl w:val="4C6654CA"/>
    <w:lvl w:ilvl="0" w:tplc="AAC6E18C">
      <w:start w:val="5"/>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85C2B85"/>
    <w:multiLevelType w:val="hybridMultilevel"/>
    <w:tmpl w:val="2FB6E292"/>
    <w:lvl w:ilvl="0" w:tplc="D0EA5E54">
      <w:start w:val="5"/>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C0"/>
    <w:rsid w:val="000001BB"/>
    <w:rsid w:val="00000601"/>
    <w:rsid w:val="00001F42"/>
    <w:rsid w:val="00002197"/>
    <w:rsid w:val="000022F2"/>
    <w:rsid w:val="00005B15"/>
    <w:rsid w:val="00006375"/>
    <w:rsid w:val="0000711D"/>
    <w:rsid w:val="0000720C"/>
    <w:rsid w:val="00007C1F"/>
    <w:rsid w:val="00007DC2"/>
    <w:rsid w:val="000125C2"/>
    <w:rsid w:val="00013665"/>
    <w:rsid w:val="00013781"/>
    <w:rsid w:val="000145D7"/>
    <w:rsid w:val="00014981"/>
    <w:rsid w:val="00015081"/>
    <w:rsid w:val="00017F51"/>
    <w:rsid w:val="0002051D"/>
    <w:rsid w:val="0002138D"/>
    <w:rsid w:val="00026A58"/>
    <w:rsid w:val="00026C4A"/>
    <w:rsid w:val="000311B7"/>
    <w:rsid w:val="00031E7B"/>
    <w:rsid w:val="00031FF1"/>
    <w:rsid w:val="00032D8B"/>
    <w:rsid w:val="00033A6B"/>
    <w:rsid w:val="00035457"/>
    <w:rsid w:val="00036264"/>
    <w:rsid w:val="0003778E"/>
    <w:rsid w:val="00041234"/>
    <w:rsid w:val="00042F3B"/>
    <w:rsid w:val="0004472C"/>
    <w:rsid w:val="00044BD1"/>
    <w:rsid w:val="00045CAA"/>
    <w:rsid w:val="0004669D"/>
    <w:rsid w:val="00051583"/>
    <w:rsid w:val="00052909"/>
    <w:rsid w:val="00052D25"/>
    <w:rsid w:val="00053CE7"/>
    <w:rsid w:val="00055B1D"/>
    <w:rsid w:val="0005758F"/>
    <w:rsid w:val="00061714"/>
    <w:rsid w:val="000627D4"/>
    <w:rsid w:val="000656B2"/>
    <w:rsid w:val="00066661"/>
    <w:rsid w:val="00066AC5"/>
    <w:rsid w:val="00066C05"/>
    <w:rsid w:val="00066F75"/>
    <w:rsid w:val="00067B82"/>
    <w:rsid w:val="000708FA"/>
    <w:rsid w:val="00075A8A"/>
    <w:rsid w:val="00075D08"/>
    <w:rsid w:val="0008040B"/>
    <w:rsid w:val="00080489"/>
    <w:rsid w:val="00080BDA"/>
    <w:rsid w:val="00081F84"/>
    <w:rsid w:val="00082E63"/>
    <w:rsid w:val="00083279"/>
    <w:rsid w:val="00083D14"/>
    <w:rsid w:val="00086E6E"/>
    <w:rsid w:val="000913D8"/>
    <w:rsid w:val="00093275"/>
    <w:rsid w:val="00093D26"/>
    <w:rsid w:val="00094285"/>
    <w:rsid w:val="000945EF"/>
    <w:rsid w:val="000A044D"/>
    <w:rsid w:val="000A19D1"/>
    <w:rsid w:val="000A2196"/>
    <w:rsid w:val="000A5E34"/>
    <w:rsid w:val="000A771C"/>
    <w:rsid w:val="000B047A"/>
    <w:rsid w:val="000B106A"/>
    <w:rsid w:val="000B25D4"/>
    <w:rsid w:val="000B267C"/>
    <w:rsid w:val="000B299A"/>
    <w:rsid w:val="000B3712"/>
    <w:rsid w:val="000B3779"/>
    <w:rsid w:val="000B411A"/>
    <w:rsid w:val="000B419F"/>
    <w:rsid w:val="000B5837"/>
    <w:rsid w:val="000B6AEE"/>
    <w:rsid w:val="000B78AF"/>
    <w:rsid w:val="000B7E7A"/>
    <w:rsid w:val="000C08E2"/>
    <w:rsid w:val="000C0E74"/>
    <w:rsid w:val="000C3ED5"/>
    <w:rsid w:val="000C41F4"/>
    <w:rsid w:val="000C6BA3"/>
    <w:rsid w:val="000C6CCA"/>
    <w:rsid w:val="000D2370"/>
    <w:rsid w:val="000D2D93"/>
    <w:rsid w:val="000D35DF"/>
    <w:rsid w:val="000D5CC3"/>
    <w:rsid w:val="000D6771"/>
    <w:rsid w:val="000D6A8C"/>
    <w:rsid w:val="000D6DE5"/>
    <w:rsid w:val="000D7E56"/>
    <w:rsid w:val="000E12A8"/>
    <w:rsid w:val="000E1C75"/>
    <w:rsid w:val="000E200B"/>
    <w:rsid w:val="000E21C7"/>
    <w:rsid w:val="000E288B"/>
    <w:rsid w:val="000E3CAD"/>
    <w:rsid w:val="000E4B99"/>
    <w:rsid w:val="000E5897"/>
    <w:rsid w:val="000E5CC3"/>
    <w:rsid w:val="000E61F7"/>
    <w:rsid w:val="000E6790"/>
    <w:rsid w:val="000E6B41"/>
    <w:rsid w:val="000F066B"/>
    <w:rsid w:val="000F114A"/>
    <w:rsid w:val="000F1C63"/>
    <w:rsid w:val="000F3E38"/>
    <w:rsid w:val="000F7B68"/>
    <w:rsid w:val="00100F04"/>
    <w:rsid w:val="00103036"/>
    <w:rsid w:val="00106D9E"/>
    <w:rsid w:val="001074B7"/>
    <w:rsid w:val="0010769D"/>
    <w:rsid w:val="0011136A"/>
    <w:rsid w:val="00111617"/>
    <w:rsid w:val="001136BD"/>
    <w:rsid w:val="0011389C"/>
    <w:rsid w:val="00113D32"/>
    <w:rsid w:val="00117491"/>
    <w:rsid w:val="00120808"/>
    <w:rsid w:val="00121A2A"/>
    <w:rsid w:val="00122261"/>
    <w:rsid w:val="00122C5D"/>
    <w:rsid w:val="00122D26"/>
    <w:rsid w:val="00122D39"/>
    <w:rsid w:val="00126A6E"/>
    <w:rsid w:val="00130058"/>
    <w:rsid w:val="0013011E"/>
    <w:rsid w:val="001311E1"/>
    <w:rsid w:val="001318B7"/>
    <w:rsid w:val="00131F75"/>
    <w:rsid w:val="00132047"/>
    <w:rsid w:val="00134AC7"/>
    <w:rsid w:val="00134B08"/>
    <w:rsid w:val="00134F49"/>
    <w:rsid w:val="001353F7"/>
    <w:rsid w:val="00136CF0"/>
    <w:rsid w:val="00136EB6"/>
    <w:rsid w:val="00137509"/>
    <w:rsid w:val="001378FD"/>
    <w:rsid w:val="00140C8B"/>
    <w:rsid w:val="00142CD4"/>
    <w:rsid w:val="00143465"/>
    <w:rsid w:val="0014499B"/>
    <w:rsid w:val="00145BA8"/>
    <w:rsid w:val="001479AD"/>
    <w:rsid w:val="00150341"/>
    <w:rsid w:val="00152349"/>
    <w:rsid w:val="00153627"/>
    <w:rsid w:val="00153C19"/>
    <w:rsid w:val="001548A2"/>
    <w:rsid w:val="0015490B"/>
    <w:rsid w:val="00155637"/>
    <w:rsid w:val="00156E72"/>
    <w:rsid w:val="00157EF5"/>
    <w:rsid w:val="001614DB"/>
    <w:rsid w:val="0016553E"/>
    <w:rsid w:val="00167837"/>
    <w:rsid w:val="00171AFD"/>
    <w:rsid w:val="00171D87"/>
    <w:rsid w:val="00175239"/>
    <w:rsid w:val="00175D8E"/>
    <w:rsid w:val="00175F9B"/>
    <w:rsid w:val="0017651A"/>
    <w:rsid w:val="001809CA"/>
    <w:rsid w:val="00181B37"/>
    <w:rsid w:val="0018247C"/>
    <w:rsid w:val="00182F5D"/>
    <w:rsid w:val="00184B90"/>
    <w:rsid w:val="001853D1"/>
    <w:rsid w:val="00186A9A"/>
    <w:rsid w:val="00187BA0"/>
    <w:rsid w:val="001912A0"/>
    <w:rsid w:val="001918F5"/>
    <w:rsid w:val="00191E65"/>
    <w:rsid w:val="001979DF"/>
    <w:rsid w:val="00197C1D"/>
    <w:rsid w:val="001A0E0B"/>
    <w:rsid w:val="001A2621"/>
    <w:rsid w:val="001A2D92"/>
    <w:rsid w:val="001A5D05"/>
    <w:rsid w:val="001B0197"/>
    <w:rsid w:val="001B04F7"/>
    <w:rsid w:val="001B13AF"/>
    <w:rsid w:val="001B15DB"/>
    <w:rsid w:val="001B176C"/>
    <w:rsid w:val="001B1F0A"/>
    <w:rsid w:val="001B6C56"/>
    <w:rsid w:val="001C1EAF"/>
    <w:rsid w:val="001C23AB"/>
    <w:rsid w:val="001C2C80"/>
    <w:rsid w:val="001C3ACC"/>
    <w:rsid w:val="001C4AA4"/>
    <w:rsid w:val="001C5629"/>
    <w:rsid w:val="001C6E1D"/>
    <w:rsid w:val="001C7C67"/>
    <w:rsid w:val="001D2125"/>
    <w:rsid w:val="001D2512"/>
    <w:rsid w:val="001D2B6C"/>
    <w:rsid w:val="001D44B9"/>
    <w:rsid w:val="001D4AEE"/>
    <w:rsid w:val="001D557F"/>
    <w:rsid w:val="001D6924"/>
    <w:rsid w:val="001D746B"/>
    <w:rsid w:val="001D782C"/>
    <w:rsid w:val="001E0109"/>
    <w:rsid w:val="001E2721"/>
    <w:rsid w:val="001E2F1F"/>
    <w:rsid w:val="001E4AB7"/>
    <w:rsid w:val="001F0410"/>
    <w:rsid w:val="001F15D9"/>
    <w:rsid w:val="001F1FA2"/>
    <w:rsid w:val="001F272A"/>
    <w:rsid w:val="001F38CA"/>
    <w:rsid w:val="001F3CA8"/>
    <w:rsid w:val="001F526C"/>
    <w:rsid w:val="001F5E63"/>
    <w:rsid w:val="001F698D"/>
    <w:rsid w:val="00200FCC"/>
    <w:rsid w:val="00201871"/>
    <w:rsid w:val="0020530D"/>
    <w:rsid w:val="0020581F"/>
    <w:rsid w:val="0020764D"/>
    <w:rsid w:val="00210624"/>
    <w:rsid w:val="002145D4"/>
    <w:rsid w:val="00214E2A"/>
    <w:rsid w:val="0021593F"/>
    <w:rsid w:val="00215D8A"/>
    <w:rsid w:val="00216244"/>
    <w:rsid w:val="002209D1"/>
    <w:rsid w:val="00221316"/>
    <w:rsid w:val="002219E5"/>
    <w:rsid w:val="00222095"/>
    <w:rsid w:val="00222D7F"/>
    <w:rsid w:val="002231B5"/>
    <w:rsid w:val="00223B31"/>
    <w:rsid w:val="00227435"/>
    <w:rsid w:val="002274BD"/>
    <w:rsid w:val="00232620"/>
    <w:rsid w:val="002352E3"/>
    <w:rsid w:val="002403EE"/>
    <w:rsid w:val="002441E2"/>
    <w:rsid w:val="0024420B"/>
    <w:rsid w:val="00246F85"/>
    <w:rsid w:val="0024741D"/>
    <w:rsid w:val="00247887"/>
    <w:rsid w:val="00251E6E"/>
    <w:rsid w:val="002527B4"/>
    <w:rsid w:val="00252CF3"/>
    <w:rsid w:val="00255599"/>
    <w:rsid w:val="00255D04"/>
    <w:rsid w:val="00256E7F"/>
    <w:rsid w:val="0025708A"/>
    <w:rsid w:val="00260A94"/>
    <w:rsid w:val="00264D06"/>
    <w:rsid w:val="00264F34"/>
    <w:rsid w:val="002655C8"/>
    <w:rsid w:val="00267799"/>
    <w:rsid w:val="00270A1E"/>
    <w:rsid w:val="00270EFA"/>
    <w:rsid w:val="00271771"/>
    <w:rsid w:val="00271819"/>
    <w:rsid w:val="002736A8"/>
    <w:rsid w:val="00273AE0"/>
    <w:rsid w:val="00275328"/>
    <w:rsid w:val="00276513"/>
    <w:rsid w:val="00276CE9"/>
    <w:rsid w:val="00276F02"/>
    <w:rsid w:val="002771BA"/>
    <w:rsid w:val="00277B8B"/>
    <w:rsid w:val="00282817"/>
    <w:rsid w:val="00285942"/>
    <w:rsid w:val="002863E7"/>
    <w:rsid w:val="002866CF"/>
    <w:rsid w:val="002925C4"/>
    <w:rsid w:val="002949F6"/>
    <w:rsid w:val="00296A20"/>
    <w:rsid w:val="002B0712"/>
    <w:rsid w:val="002B0AC7"/>
    <w:rsid w:val="002B156B"/>
    <w:rsid w:val="002B3777"/>
    <w:rsid w:val="002B54D9"/>
    <w:rsid w:val="002B62CA"/>
    <w:rsid w:val="002B6BCC"/>
    <w:rsid w:val="002B7133"/>
    <w:rsid w:val="002B7576"/>
    <w:rsid w:val="002C2D56"/>
    <w:rsid w:val="002C3373"/>
    <w:rsid w:val="002C33D0"/>
    <w:rsid w:val="002C3968"/>
    <w:rsid w:val="002C6285"/>
    <w:rsid w:val="002C6801"/>
    <w:rsid w:val="002D07E5"/>
    <w:rsid w:val="002D16CA"/>
    <w:rsid w:val="002D1AE9"/>
    <w:rsid w:val="002D40A0"/>
    <w:rsid w:val="002D4817"/>
    <w:rsid w:val="002D54E2"/>
    <w:rsid w:val="002D5FCC"/>
    <w:rsid w:val="002D637E"/>
    <w:rsid w:val="002D6FFE"/>
    <w:rsid w:val="002E01E0"/>
    <w:rsid w:val="002E0E82"/>
    <w:rsid w:val="002E0ED4"/>
    <w:rsid w:val="002E15AA"/>
    <w:rsid w:val="002E26F8"/>
    <w:rsid w:val="002E6C3E"/>
    <w:rsid w:val="002E79DA"/>
    <w:rsid w:val="002F195D"/>
    <w:rsid w:val="002F3BB7"/>
    <w:rsid w:val="002F4154"/>
    <w:rsid w:val="002F4858"/>
    <w:rsid w:val="002F5CDB"/>
    <w:rsid w:val="002F6868"/>
    <w:rsid w:val="00300ADD"/>
    <w:rsid w:val="00300BE9"/>
    <w:rsid w:val="003012A9"/>
    <w:rsid w:val="003016D6"/>
    <w:rsid w:val="00301890"/>
    <w:rsid w:val="00302B72"/>
    <w:rsid w:val="00303E6F"/>
    <w:rsid w:val="00303EFF"/>
    <w:rsid w:val="00304F2E"/>
    <w:rsid w:val="003057E3"/>
    <w:rsid w:val="00305D08"/>
    <w:rsid w:val="00306177"/>
    <w:rsid w:val="00307FCA"/>
    <w:rsid w:val="003104A3"/>
    <w:rsid w:val="00311477"/>
    <w:rsid w:val="00311C27"/>
    <w:rsid w:val="003140BB"/>
    <w:rsid w:val="00316972"/>
    <w:rsid w:val="00316E6E"/>
    <w:rsid w:val="0031772A"/>
    <w:rsid w:val="00321EC4"/>
    <w:rsid w:val="00322B3F"/>
    <w:rsid w:val="00323AB0"/>
    <w:rsid w:val="00324849"/>
    <w:rsid w:val="00324C9B"/>
    <w:rsid w:val="003316CA"/>
    <w:rsid w:val="003321BF"/>
    <w:rsid w:val="003322B6"/>
    <w:rsid w:val="00333CF0"/>
    <w:rsid w:val="00334123"/>
    <w:rsid w:val="0033480A"/>
    <w:rsid w:val="00337E53"/>
    <w:rsid w:val="00340808"/>
    <w:rsid w:val="00341FAD"/>
    <w:rsid w:val="00344B7D"/>
    <w:rsid w:val="003456FC"/>
    <w:rsid w:val="003506E6"/>
    <w:rsid w:val="00351010"/>
    <w:rsid w:val="00352455"/>
    <w:rsid w:val="00352A64"/>
    <w:rsid w:val="00352D0A"/>
    <w:rsid w:val="00352D4F"/>
    <w:rsid w:val="00352D53"/>
    <w:rsid w:val="003552BC"/>
    <w:rsid w:val="003605BB"/>
    <w:rsid w:val="00361452"/>
    <w:rsid w:val="00361E18"/>
    <w:rsid w:val="003628C2"/>
    <w:rsid w:val="003635BB"/>
    <w:rsid w:val="00373421"/>
    <w:rsid w:val="00373BA6"/>
    <w:rsid w:val="003755AF"/>
    <w:rsid w:val="003767B2"/>
    <w:rsid w:val="00376CED"/>
    <w:rsid w:val="00380A93"/>
    <w:rsid w:val="003825D1"/>
    <w:rsid w:val="00384924"/>
    <w:rsid w:val="00384AC6"/>
    <w:rsid w:val="00384D59"/>
    <w:rsid w:val="00391B19"/>
    <w:rsid w:val="0039302B"/>
    <w:rsid w:val="00393C89"/>
    <w:rsid w:val="00394513"/>
    <w:rsid w:val="00394E3D"/>
    <w:rsid w:val="00395AA6"/>
    <w:rsid w:val="00396DB4"/>
    <w:rsid w:val="003974D9"/>
    <w:rsid w:val="003A0E57"/>
    <w:rsid w:val="003A24E3"/>
    <w:rsid w:val="003A2E18"/>
    <w:rsid w:val="003B1AD9"/>
    <w:rsid w:val="003B1D21"/>
    <w:rsid w:val="003B23F7"/>
    <w:rsid w:val="003B33FB"/>
    <w:rsid w:val="003B3757"/>
    <w:rsid w:val="003B39A2"/>
    <w:rsid w:val="003B4BC1"/>
    <w:rsid w:val="003B526D"/>
    <w:rsid w:val="003B54F3"/>
    <w:rsid w:val="003B61FA"/>
    <w:rsid w:val="003B6EDF"/>
    <w:rsid w:val="003B72A5"/>
    <w:rsid w:val="003B74CD"/>
    <w:rsid w:val="003C0385"/>
    <w:rsid w:val="003C0B99"/>
    <w:rsid w:val="003C194C"/>
    <w:rsid w:val="003C1A03"/>
    <w:rsid w:val="003C2161"/>
    <w:rsid w:val="003C3DEF"/>
    <w:rsid w:val="003C406B"/>
    <w:rsid w:val="003C543A"/>
    <w:rsid w:val="003C6007"/>
    <w:rsid w:val="003D0CE3"/>
    <w:rsid w:val="003D179B"/>
    <w:rsid w:val="003D25EA"/>
    <w:rsid w:val="003D27BC"/>
    <w:rsid w:val="003D2B9E"/>
    <w:rsid w:val="003D6284"/>
    <w:rsid w:val="003D6355"/>
    <w:rsid w:val="003D6773"/>
    <w:rsid w:val="003D67E0"/>
    <w:rsid w:val="003D6C0A"/>
    <w:rsid w:val="003D78DE"/>
    <w:rsid w:val="003E0758"/>
    <w:rsid w:val="003E119F"/>
    <w:rsid w:val="003E158D"/>
    <w:rsid w:val="003E2D57"/>
    <w:rsid w:val="003E43D7"/>
    <w:rsid w:val="003E4DF8"/>
    <w:rsid w:val="003E507E"/>
    <w:rsid w:val="003E7A59"/>
    <w:rsid w:val="003E7C51"/>
    <w:rsid w:val="003F3269"/>
    <w:rsid w:val="003F3B1C"/>
    <w:rsid w:val="003F4841"/>
    <w:rsid w:val="003F4A76"/>
    <w:rsid w:val="003F4E12"/>
    <w:rsid w:val="003F6A59"/>
    <w:rsid w:val="003F7375"/>
    <w:rsid w:val="003F79C6"/>
    <w:rsid w:val="00400141"/>
    <w:rsid w:val="00402BAB"/>
    <w:rsid w:val="00404DFC"/>
    <w:rsid w:val="004074AB"/>
    <w:rsid w:val="004107A9"/>
    <w:rsid w:val="00410952"/>
    <w:rsid w:val="00412012"/>
    <w:rsid w:val="004126EC"/>
    <w:rsid w:val="00412B1F"/>
    <w:rsid w:val="00413A7D"/>
    <w:rsid w:val="00414166"/>
    <w:rsid w:val="00414E43"/>
    <w:rsid w:val="0041588F"/>
    <w:rsid w:val="00415B84"/>
    <w:rsid w:val="00420BA4"/>
    <w:rsid w:val="00420DB7"/>
    <w:rsid w:val="00422145"/>
    <w:rsid w:val="00422841"/>
    <w:rsid w:val="00422B00"/>
    <w:rsid w:val="00422E0A"/>
    <w:rsid w:val="00423468"/>
    <w:rsid w:val="00423482"/>
    <w:rsid w:val="00426A25"/>
    <w:rsid w:val="00426C9F"/>
    <w:rsid w:val="004300A9"/>
    <w:rsid w:val="00430E79"/>
    <w:rsid w:val="00431418"/>
    <w:rsid w:val="004332C5"/>
    <w:rsid w:val="004369A9"/>
    <w:rsid w:val="00440EBF"/>
    <w:rsid w:val="00442542"/>
    <w:rsid w:val="004437A7"/>
    <w:rsid w:val="00443E51"/>
    <w:rsid w:val="004445CC"/>
    <w:rsid w:val="00444BF9"/>
    <w:rsid w:val="00445ED3"/>
    <w:rsid w:val="0044639F"/>
    <w:rsid w:val="00446445"/>
    <w:rsid w:val="004468C2"/>
    <w:rsid w:val="00452487"/>
    <w:rsid w:val="004525F8"/>
    <w:rsid w:val="00453873"/>
    <w:rsid w:val="0045479A"/>
    <w:rsid w:val="00455E9F"/>
    <w:rsid w:val="00456222"/>
    <w:rsid w:val="00456B4B"/>
    <w:rsid w:val="0046112A"/>
    <w:rsid w:val="00462F08"/>
    <w:rsid w:val="0046315F"/>
    <w:rsid w:val="00463858"/>
    <w:rsid w:val="00464197"/>
    <w:rsid w:val="004673AC"/>
    <w:rsid w:val="00467C56"/>
    <w:rsid w:val="004728D1"/>
    <w:rsid w:val="00472998"/>
    <w:rsid w:val="00472ABF"/>
    <w:rsid w:val="00474630"/>
    <w:rsid w:val="00474D17"/>
    <w:rsid w:val="00476F04"/>
    <w:rsid w:val="0047721D"/>
    <w:rsid w:val="004804F9"/>
    <w:rsid w:val="00480A81"/>
    <w:rsid w:val="00481D6D"/>
    <w:rsid w:val="0048357E"/>
    <w:rsid w:val="00484000"/>
    <w:rsid w:val="0048565F"/>
    <w:rsid w:val="004856F7"/>
    <w:rsid w:val="0048608E"/>
    <w:rsid w:val="00486492"/>
    <w:rsid w:val="004864B7"/>
    <w:rsid w:val="00487602"/>
    <w:rsid w:val="00487D55"/>
    <w:rsid w:val="004919EC"/>
    <w:rsid w:val="00491F95"/>
    <w:rsid w:val="00493FE9"/>
    <w:rsid w:val="00494658"/>
    <w:rsid w:val="0049490E"/>
    <w:rsid w:val="00495249"/>
    <w:rsid w:val="004A0CFB"/>
    <w:rsid w:val="004A270D"/>
    <w:rsid w:val="004A3904"/>
    <w:rsid w:val="004A398E"/>
    <w:rsid w:val="004A4C1E"/>
    <w:rsid w:val="004A586D"/>
    <w:rsid w:val="004A70D8"/>
    <w:rsid w:val="004B0319"/>
    <w:rsid w:val="004B230C"/>
    <w:rsid w:val="004B37CC"/>
    <w:rsid w:val="004B4299"/>
    <w:rsid w:val="004B47DE"/>
    <w:rsid w:val="004B547C"/>
    <w:rsid w:val="004B5B43"/>
    <w:rsid w:val="004C0150"/>
    <w:rsid w:val="004C1254"/>
    <w:rsid w:val="004C16BB"/>
    <w:rsid w:val="004C5C63"/>
    <w:rsid w:val="004C6040"/>
    <w:rsid w:val="004C6B0C"/>
    <w:rsid w:val="004C7A92"/>
    <w:rsid w:val="004D1489"/>
    <w:rsid w:val="004D16EB"/>
    <w:rsid w:val="004D2238"/>
    <w:rsid w:val="004D304F"/>
    <w:rsid w:val="004D32D0"/>
    <w:rsid w:val="004D3AA6"/>
    <w:rsid w:val="004D512D"/>
    <w:rsid w:val="004E04DB"/>
    <w:rsid w:val="004E12F7"/>
    <w:rsid w:val="004E15B9"/>
    <w:rsid w:val="004E1CE9"/>
    <w:rsid w:val="004E24C7"/>
    <w:rsid w:val="004E2BFB"/>
    <w:rsid w:val="004E3D6B"/>
    <w:rsid w:val="004E4902"/>
    <w:rsid w:val="004E4B89"/>
    <w:rsid w:val="004E64AD"/>
    <w:rsid w:val="004E69D0"/>
    <w:rsid w:val="004E7592"/>
    <w:rsid w:val="004F0D53"/>
    <w:rsid w:val="004F24C4"/>
    <w:rsid w:val="004F36CB"/>
    <w:rsid w:val="004F5F6C"/>
    <w:rsid w:val="004F6C48"/>
    <w:rsid w:val="00500A6E"/>
    <w:rsid w:val="00500AF5"/>
    <w:rsid w:val="00502C58"/>
    <w:rsid w:val="005037F9"/>
    <w:rsid w:val="005045E5"/>
    <w:rsid w:val="00505771"/>
    <w:rsid w:val="00505C22"/>
    <w:rsid w:val="00507BC3"/>
    <w:rsid w:val="00512E59"/>
    <w:rsid w:val="00514A32"/>
    <w:rsid w:val="005153BB"/>
    <w:rsid w:val="005214B3"/>
    <w:rsid w:val="0052228A"/>
    <w:rsid w:val="005233BB"/>
    <w:rsid w:val="0052421C"/>
    <w:rsid w:val="0053051E"/>
    <w:rsid w:val="0053078C"/>
    <w:rsid w:val="00531C93"/>
    <w:rsid w:val="005333D6"/>
    <w:rsid w:val="00533EC6"/>
    <w:rsid w:val="00534260"/>
    <w:rsid w:val="00534553"/>
    <w:rsid w:val="00535386"/>
    <w:rsid w:val="00536A1A"/>
    <w:rsid w:val="00537A3B"/>
    <w:rsid w:val="00537B7F"/>
    <w:rsid w:val="00540090"/>
    <w:rsid w:val="00540698"/>
    <w:rsid w:val="00540A3C"/>
    <w:rsid w:val="0054111F"/>
    <w:rsid w:val="005416F2"/>
    <w:rsid w:val="0054306F"/>
    <w:rsid w:val="00544B27"/>
    <w:rsid w:val="00547491"/>
    <w:rsid w:val="00550D19"/>
    <w:rsid w:val="00551FD6"/>
    <w:rsid w:val="005520EC"/>
    <w:rsid w:val="00552FB9"/>
    <w:rsid w:val="00556EBF"/>
    <w:rsid w:val="00560C27"/>
    <w:rsid w:val="00562E4C"/>
    <w:rsid w:val="005630C9"/>
    <w:rsid w:val="0056321F"/>
    <w:rsid w:val="0056512E"/>
    <w:rsid w:val="00570580"/>
    <w:rsid w:val="00572DEB"/>
    <w:rsid w:val="00573AA4"/>
    <w:rsid w:val="00577081"/>
    <w:rsid w:val="005852A1"/>
    <w:rsid w:val="005861DE"/>
    <w:rsid w:val="0058756E"/>
    <w:rsid w:val="00587E45"/>
    <w:rsid w:val="00590682"/>
    <w:rsid w:val="00590DEA"/>
    <w:rsid w:val="00591FEB"/>
    <w:rsid w:val="0059296A"/>
    <w:rsid w:val="00592FD1"/>
    <w:rsid w:val="00595CFD"/>
    <w:rsid w:val="005961AE"/>
    <w:rsid w:val="00596341"/>
    <w:rsid w:val="0059713E"/>
    <w:rsid w:val="00597844"/>
    <w:rsid w:val="005A3264"/>
    <w:rsid w:val="005A55F3"/>
    <w:rsid w:val="005B29E7"/>
    <w:rsid w:val="005B7151"/>
    <w:rsid w:val="005B7CA5"/>
    <w:rsid w:val="005C1BFA"/>
    <w:rsid w:val="005C28E1"/>
    <w:rsid w:val="005C3C6E"/>
    <w:rsid w:val="005D00C2"/>
    <w:rsid w:val="005D0192"/>
    <w:rsid w:val="005D0A18"/>
    <w:rsid w:val="005D18FC"/>
    <w:rsid w:val="005D2424"/>
    <w:rsid w:val="005D2F37"/>
    <w:rsid w:val="005D44B5"/>
    <w:rsid w:val="005D456C"/>
    <w:rsid w:val="005D46C3"/>
    <w:rsid w:val="005D72BE"/>
    <w:rsid w:val="005E154B"/>
    <w:rsid w:val="005E34A0"/>
    <w:rsid w:val="005E3874"/>
    <w:rsid w:val="005E3AF5"/>
    <w:rsid w:val="005E3F43"/>
    <w:rsid w:val="005E40B8"/>
    <w:rsid w:val="005E5724"/>
    <w:rsid w:val="005E59BC"/>
    <w:rsid w:val="005E6FA2"/>
    <w:rsid w:val="005F0008"/>
    <w:rsid w:val="005F10AD"/>
    <w:rsid w:val="005F365E"/>
    <w:rsid w:val="005F371C"/>
    <w:rsid w:val="005F3787"/>
    <w:rsid w:val="005F3EA3"/>
    <w:rsid w:val="005F49B6"/>
    <w:rsid w:val="0060076E"/>
    <w:rsid w:val="006017E2"/>
    <w:rsid w:val="006021DC"/>
    <w:rsid w:val="00602258"/>
    <w:rsid w:val="0060241D"/>
    <w:rsid w:val="0060257E"/>
    <w:rsid w:val="0060759F"/>
    <w:rsid w:val="00607F88"/>
    <w:rsid w:val="006110DC"/>
    <w:rsid w:val="006117D5"/>
    <w:rsid w:val="006128DC"/>
    <w:rsid w:val="006132BE"/>
    <w:rsid w:val="00615456"/>
    <w:rsid w:val="006154FB"/>
    <w:rsid w:val="00617616"/>
    <w:rsid w:val="00621358"/>
    <w:rsid w:val="00622ACF"/>
    <w:rsid w:val="0062366B"/>
    <w:rsid w:val="00624C49"/>
    <w:rsid w:val="006270B1"/>
    <w:rsid w:val="006271FD"/>
    <w:rsid w:val="00631687"/>
    <w:rsid w:val="00632F66"/>
    <w:rsid w:val="006351B4"/>
    <w:rsid w:val="00637474"/>
    <w:rsid w:val="006406B1"/>
    <w:rsid w:val="00641269"/>
    <w:rsid w:val="00645069"/>
    <w:rsid w:val="00646F64"/>
    <w:rsid w:val="00647898"/>
    <w:rsid w:val="006501A5"/>
    <w:rsid w:val="006531C2"/>
    <w:rsid w:val="00655CC7"/>
    <w:rsid w:val="006571CE"/>
    <w:rsid w:val="00662FFB"/>
    <w:rsid w:val="00664589"/>
    <w:rsid w:val="00664756"/>
    <w:rsid w:val="00666B69"/>
    <w:rsid w:val="00667241"/>
    <w:rsid w:val="00672854"/>
    <w:rsid w:val="006741D7"/>
    <w:rsid w:val="00674319"/>
    <w:rsid w:val="00675B60"/>
    <w:rsid w:val="0067645A"/>
    <w:rsid w:val="00676D1F"/>
    <w:rsid w:val="0067705B"/>
    <w:rsid w:val="00680858"/>
    <w:rsid w:val="00683D02"/>
    <w:rsid w:val="006855D4"/>
    <w:rsid w:val="00685B4E"/>
    <w:rsid w:val="00687D00"/>
    <w:rsid w:val="00690885"/>
    <w:rsid w:val="0069102C"/>
    <w:rsid w:val="00691E9D"/>
    <w:rsid w:val="00693C46"/>
    <w:rsid w:val="0069664A"/>
    <w:rsid w:val="0069728A"/>
    <w:rsid w:val="006A1988"/>
    <w:rsid w:val="006A1FF0"/>
    <w:rsid w:val="006A2BDD"/>
    <w:rsid w:val="006A460C"/>
    <w:rsid w:val="006A5712"/>
    <w:rsid w:val="006A631F"/>
    <w:rsid w:val="006A6A20"/>
    <w:rsid w:val="006B06B5"/>
    <w:rsid w:val="006B12CD"/>
    <w:rsid w:val="006B2FBD"/>
    <w:rsid w:val="006B3551"/>
    <w:rsid w:val="006B424A"/>
    <w:rsid w:val="006B457A"/>
    <w:rsid w:val="006B525C"/>
    <w:rsid w:val="006B5945"/>
    <w:rsid w:val="006B5996"/>
    <w:rsid w:val="006B6350"/>
    <w:rsid w:val="006B6448"/>
    <w:rsid w:val="006B774F"/>
    <w:rsid w:val="006B7DE0"/>
    <w:rsid w:val="006C2579"/>
    <w:rsid w:val="006C2AFF"/>
    <w:rsid w:val="006C3600"/>
    <w:rsid w:val="006C3AAA"/>
    <w:rsid w:val="006C4224"/>
    <w:rsid w:val="006C6BB5"/>
    <w:rsid w:val="006C764F"/>
    <w:rsid w:val="006D0047"/>
    <w:rsid w:val="006D08A7"/>
    <w:rsid w:val="006D16B0"/>
    <w:rsid w:val="006D1E17"/>
    <w:rsid w:val="006D29F5"/>
    <w:rsid w:val="006D3AC2"/>
    <w:rsid w:val="006D3DD2"/>
    <w:rsid w:val="006D47B2"/>
    <w:rsid w:val="006D4D43"/>
    <w:rsid w:val="006D5629"/>
    <w:rsid w:val="006D5788"/>
    <w:rsid w:val="006D746E"/>
    <w:rsid w:val="006E0192"/>
    <w:rsid w:val="006E1E17"/>
    <w:rsid w:val="006E2F5D"/>
    <w:rsid w:val="006E32E5"/>
    <w:rsid w:val="006E76C0"/>
    <w:rsid w:val="006E7D39"/>
    <w:rsid w:val="006F175D"/>
    <w:rsid w:val="006F280F"/>
    <w:rsid w:val="006F4B17"/>
    <w:rsid w:val="006F7751"/>
    <w:rsid w:val="006F7E07"/>
    <w:rsid w:val="00700950"/>
    <w:rsid w:val="00701A77"/>
    <w:rsid w:val="00701FC0"/>
    <w:rsid w:val="00702F29"/>
    <w:rsid w:val="00704D9B"/>
    <w:rsid w:val="00704DFA"/>
    <w:rsid w:val="007079A3"/>
    <w:rsid w:val="00710482"/>
    <w:rsid w:val="0071059E"/>
    <w:rsid w:val="0071258F"/>
    <w:rsid w:val="00714869"/>
    <w:rsid w:val="00714B58"/>
    <w:rsid w:val="007155E4"/>
    <w:rsid w:val="00715EAB"/>
    <w:rsid w:val="007165F4"/>
    <w:rsid w:val="00717CFC"/>
    <w:rsid w:val="00721E00"/>
    <w:rsid w:val="00724AD8"/>
    <w:rsid w:val="00725045"/>
    <w:rsid w:val="007258A0"/>
    <w:rsid w:val="00731BC0"/>
    <w:rsid w:val="00734434"/>
    <w:rsid w:val="00735240"/>
    <w:rsid w:val="00736366"/>
    <w:rsid w:val="00736590"/>
    <w:rsid w:val="00737F69"/>
    <w:rsid w:val="00740BDA"/>
    <w:rsid w:val="00743E76"/>
    <w:rsid w:val="00745F47"/>
    <w:rsid w:val="00746852"/>
    <w:rsid w:val="007558F6"/>
    <w:rsid w:val="00755BBD"/>
    <w:rsid w:val="00756221"/>
    <w:rsid w:val="00756E11"/>
    <w:rsid w:val="007579F0"/>
    <w:rsid w:val="00760ED4"/>
    <w:rsid w:val="00760FEB"/>
    <w:rsid w:val="007647F2"/>
    <w:rsid w:val="00766608"/>
    <w:rsid w:val="0076666F"/>
    <w:rsid w:val="00770E4C"/>
    <w:rsid w:val="007719A3"/>
    <w:rsid w:val="007727F5"/>
    <w:rsid w:val="0077343E"/>
    <w:rsid w:val="00773DEC"/>
    <w:rsid w:val="007741C6"/>
    <w:rsid w:val="00774F83"/>
    <w:rsid w:val="00775070"/>
    <w:rsid w:val="00776414"/>
    <w:rsid w:val="0078007E"/>
    <w:rsid w:val="007808BA"/>
    <w:rsid w:val="00780F8B"/>
    <w:rsid w:val="0078399E"/>
    <w:rsid w:val="007854B2"/>
    <w:rsid w:val="007858FE"/>
    <w:rsid w:val="007862DD"/>
    <w:rsid w:val="00787E4B"/>
    <w:rsid w:val="00790475"/>
    <w:rsid w:val="00791572"/>
    <w:rsid w:val="0079710B"/>
    <w:rsid w:val="007A15F1"/>
    <w:rsid w:val="007A1FD8"/>
    <w:rsid w:val="007A2A33"/>
    <w:rsid w:val="007A62C0"/>
    <w:rsid w:val="007A6405"/>
    <w:rsid w:val="007A6503"/>
    <w:rsid w:val="007A7394"/>
    <w:rsid w:val="007B028E"/>
    <w:rsid w:val="007B16AC"/>
    <w:rsid w:val="007B23B6"/>
    <w:rsid w:val="007B2578"/>
    <w:rsid w:val="007B2EF1"/>
    <w:rsid w:val="007B459A"/>
    <w:rsid w:val="007B7EDB"/>
    <w:rsid w:val="007B7EEE"/>
    <w:rsid w:val="007C2C8F"/>
    <w:rsid w:val="007C5862"/>
    <w:rsid w:val="007C6835"/>
    <w:rsid w:val="007C7B08"/>
    <w:rsid w:val="007D0198"/>
    <w:rsid w:val="007D21D0"/>
    <w:rsid w:val="007D2AD0"/>
    <w:rsid w:val="007D2AD4"/>
    <w:rsid w:val="007D53B7"/>
    <w:rsid w:val="007D64D1"/>
    <w:rsid w:val="007D6F9D"/>
    <w:rsid w:val="007D73E2"/>
    <w:rsid w:val="007E0896"/>
    <w:rsid w:val="007E1637"/>
    <w:rsid w:val="007E1B92"/>
    <w:rsid w:val="007E20B3"/>
    <w:rsid w:val="007E2448"/>
    <w:rsid w:val="007E6963"/>
    <w:rsid w:val="007F3CBC"/>
    <w:rsid w:val="007F45AA"/>
    <w:rsid w:val="007F61A5"/>
    <w:rsid w:val="007F6647"/>
    <w:rsid w:val="007F6B49"/>
    <w:rsid w:val="00800980"/>
    <w:rsid w:val="00801A97"/>
    <w:rsid w:val="00802F4A"/>
    <w:rsid w:val="008069A6"/>
    <w:rsid w:val="00806A50"/>
    <w:rsid w:val="00807D51"/>
    <w:rsid w:val="00807D6D"/>
    <w:rsid w:val="008160F2"/>
    <w:rsid w:val="008162B2"/>
    <w:rsid w:val="00816432"/>
    <w:rsid w:val="008218C8"/>
    <w:rsid w:val="0082282B"/>
    <w:rsid w:val="008232CA"/>
    <w:rsid w:val="00823F11"/>
    <w:rsid w:val="00824398"/>
    <w:rsid w:val="00825781"/>
    <w:rsid w:val="0082599F"/>
    <w:rsid w:val="00827E29"/>
    <w:rsid w:val="00830400"/>
    <w:rsid w:val="00830436"/>
    <w:rsid w:val="00831B43"/>
    <w:rsid w:val="00833847"/>
    <w:rsid w:val="00837EAA"/>
    <w:rsid w:val="0084043D"/>
    <w:rsid w:val="00844940"/>
    <w:rsid w:val="00844D55"/>
    <w:rsid w:val="00845343"/>
    <w:rsid w:val="0084727C"/>
    <w:rsid w:val="00853B0E"/>
    <w:rsid w:val="00854A5A"/>
    <w:rsid w:val="00854D5D"/>
    <w:rsid w:val="00855137"/>
    <w:rsid w:val="008552E2"/>
    <w:rsid w:val="008612F9"/>
    <w:rsid w:val="008617BD"/>
    <w:rsid w:val="00861975"/>
    <w:rsid w:val="0086309C"/>
    <w:rsid w:val="0086400B"/>
    <w:rsid w:val="008654B6"/>
    <w:rsid w:val="00865C74"/>
    <w:rsid w:val="00866BB4"/>
    <w:rsid w:val="00870113"/>
    <w:rsid w:val="00871F19"/>
    <w:rsid w:val="00871FE3"/>
    <w:rsid w:val="008724E0"/>
    <w:rsid w:val="0087537A"/>
    <w:rsid w:val="00876034"/>
    <w:rsid w:val="008765A9"/>
    <w:rsid w:val="0087680F"/>
    <w:rsid w:val="00876AD7"/>
    <w:rsid w:val="008779D0"/>
    <w:rsid w:val="00881896"/>
    <w:rsid w:val="008822E5"/>
    <w:rsid w:val="00882B7C"/>
    <w:rsid w:val="00883343"/>
    <w:rsid w:val="008843F6"/>
    <w:rsid w:val="008855B4"/>
    <w:rsid w:val="008872E6"/>
    <w:rsid w:val="008908F5"/>
    <w:rsid w:val="00891EE6"/>
    <w:rsid w:val="00891F48"/>
    <w:rsid w:val="00892492"/>
    <w:rsid w:val="008938FE"/>
    <w:rsid w:val="008952F5"/>
    <w:rsid w:val="00895E10"/>
    <w:rsid w:val="008971C7"/>
    <w:rsid w:val="00897958"/>
    <w:rsid w:val="008A001E"/>
    <w:rsid w:val="008A031C"/>
    <w:rsid w:val="008A18FA"/>
    <w:rsid w:val="008A285D"/>
    <w:rsid w:val="008A378B"/>
    <w:rsid w:val="008A646A"/>
    <w:rsid w:val="008A6F60"/>
    <w:rsid w:val="008A7D37"/>
    <w:rsid w:val="008B20C0"/>
    <w:rsid w:val="008B6723"/>
    <w:rsid w:val="008B6D14"/>
    <w:rsid w:val="008B7D39"/>
    <w:rsid w:val="008C19E1"/>
    <w:rsid w:val="008C3958"/>
    <w:rsid w:val="008C60A7"/>
    <w:rsid w:val="008C693C"/>
    <w:rsid w:val="008C7834"/>
    <w:rsid w:val="008D00C2"/>
    <w:rsid w:val="008D1DFA"/>
    <w:rsid w:val="008D34B7"/>
    <w:rsid w:val="008D707D"/>
    <w:rsid w:val="008E1F28"/>
    <w:rsid w:val="008E2929"/>
    <w:rsid w:val="008E53DD"/>
    <w:rsid w:val="008E7C4C"/>
    <w:rsid w:val="008F1F18"/>
    <w:rsid w:val="008F22B1"/>
    <w:rsid w:val="00901C14"/>
    <w:rsid w:val="00902670"/>
    <w:rsid w:val="00902773"/>
    <w:rsid w:val="00902BA0"/>
    <w:rsid w:val="00903B2B"/>
    <w:rsid w:val="00905297"/>
    <w:rsid w:val="00906301"/>
    <w:rsid w:val="009074A9"/>
    <w:rsid w:val="009075F4"/>
    <w:rsid w:val="00910F1A"/>
    <w:rsid w:val="0091105A"/>
    <w:rsid w:val="0091124A"/>
    <w:rsid w:val="009124A4"/>
    <w:rsid w:val="00912DF1"/>
    <w:rsid w:val="0091652E"/>
    <w:rsid w:val="009259D5"/>
    <w:rsid w:val="00926396"/>
    <w:rsid w:val="0092799B"/>
    <w:rsid w:val="00927D0E"/>
    <w:rsid w:val="00930150"/>
    <w:rsid w:val="0093018D"/>
    <w:rsid w:val="00930B4F"/>
    <w:rsid w:val="0093153C"/>
    <w:rsid w:val="00931E64"/>
    <w:rsid w:val="00932DA9"/>
    <w:rsid w:val="0093341F"/>
    <w:rsid w:val="009346B5"/>
    <w:rsid w:val="00934D6A"/>
    <w:rsid w:val="00934E3F"/>
    <w:rsid w:val="00935D12"/>
    <w:rsid w:val="0093629A"/>
    <w:rsid w:val="00936929"/>
    <w:rsid w:val="00937AA7"/>
    <w:rsid w:val="009407A5"/>
    <w:rsid w:val="00941828"/>
    <w:rsid w:val="009429AD"/>
    <w:rsid w:val="009451AC"/>
    <w:rsid w:val="00945721"/>
    <w:rsid w:val="00945A7B"/>
    <w:rsid w:val="00946022"/>
    <w:rsid w:val="00950014"/>
    <w:rsid w:val="009501BB"/>
    <w:rsid w:val="0095222D"/>
    <w:rsid w:val="00953086"/>
    <w:rsid w:val="0095387F"/>
    <w:rsid w:val="009549CB"/>
    <w:rsid w:val="00955BBB"/>
    <w:rsid w:val="00956C8C"/>
    <w:rsid w:val="009570E6"/>
    <w:rsid w:val="00957205"/>
    <w:rsid w:val="00957BDF"/>
    <w:rsid w:val="00960C9A"/>
    <w:rsid w:val="00963FB7"/>
    <w:rsid w:val="009641D8"/>
    <w:rsid w:val="00966BA5"/>
    <w:rsid w:val="00966D9F"/>
    <w:rsid w:val="009678B6"/>
    <w:rsid w:val="009678EF"/>
    <w:rsid w:val="00971BCA"/>
    <w:rsid w:val="00971EDE"/>
    <w:rsid w:val="00973728"/>
    <w:rsid w:val="00976DF7"/>
    <w:rsid w:val="00976E0B"/>
    <w:rsid w:val="0097715C"/>
    <w:rsid w:val="00982436"/>
    <w:rsid w:val="0098343A"/>
    <w:rsid w:val="00983451"/>
    <w:rsid w:val="009839F5"/>
    <w:rsid w:val="0098429A"/>
    <w:rsid w:val="009844E7"/>
    <w:rsid w:val="00984EEA"/>
    <w:rsid w:val="009856FA"/>
    <w:rsid w:val="00985A54"/>
    <w:rsid w:val="009866C9"/>
    <w:rsid w:val="0098769C"/>
    <w:rsid w:val="00991285"/>
    <w:rsid w:val="00994045"/>
    <w:rsid w:val="00995EDC"/>
    <w:rsid w:val="00996841"/>
    <w:rsid w:val="00997776"/>
    <w:rsid w:val="009A2290"/>
    <w:rsid w:val="009A2CF7"/>
    <w:rsid w:val="009A3228"/>
    <w:rsid w:val="009A35E8"/>
    <w:rsid w:val="009A6089"/>
    <w:rsid w:val="009B0DEC"/>
    <w:rsid w:val="009B0F75"/>
    <w:rsid w:val="009B291C"/>
    <w:rsid w:val="009B2B7A"/>
    <w:rsid w:val="009B318B"/>
    <w:rsid w:val="009B33C3"/>
    <w:rsid w:val="009B38E5"/>
    <w:rsid w:val="009B40F8"/>
    <w:rsid w:val="009B4C6E"/>
    <w:rsid w:val="009B52DD"/>
    <w:rsid w:val="009B5EB3"/>
    <w:rsid w:val="009B6111"/>
    <w:rsid w:val="009B6693"/>
    <w:rsid w:val="009C0029"/>
    <w:rsid w:val="009C24CD"/>
    <w:rsid w:val="009C262D"/>
    <w:rsid w:val="009C26E2"/>
    <w:rsid w:val="009C4411"/>
    <w:rsid w:val="009C4E28"/>
    <w:rsid w:val="009C6DA6"/>
    <w:rsid w:val="009C7407"/>
    <w:rsid w:val="009D0E78"/>
    <w:rsid w:val="009D27CB"/>
    <w:rsid w:val="009D5BC3"/>
    <w:rsid w:val="009D72BB"/>
    <w:rsid w:val="009E1593"/>
    <w:rsid w:val="009E3076"/>
    <w:rsid w:val="009E4C01"/>
    <w:rsid w:val="009E4F3F"/>
    <w:rsid w:val="009E5695"/>
    <w:rsid w:val="009E574B"/>
    <w:rsid w:val="009E5A04"/>
    <w:rsid w:val="009E6229"/>
    <w:rsid w:val="009E650C"/>
    <w:rsid w:val="009F0E7D"/>
    <w:rsid w:val="009F1A23"/>
    <w:rsid w:val="009F2EC1"/>
    <w:rsid w:val="009F4D97"/>
    <w:rsid w:val="009F583D"/>
    <w:rsid w:val="009F6DB3"/>
    <w:rsid w:val="009F6F62"/>
    <w:rsid w:val="009F6F64"/>
    <w:rsid w:val="00A00D49"/>
    <w:rsid w:val="00A01D0D"/>
    <w:rsid w:val="00A025ED"/>
    <w:rsid w:val="00A05607"/>
    <w:rsid w:val="00A07C81"/>
    <w:rsid w:val="00A102F2"/>
    <w:rsid w:val="00A1095F"/>
    <w:rsid w:val="00A125AD"/>
    <w:rsid w:val="00A12910"/>
    <w:rsid w:val="00A12A8B"/>
    <w:rsid w:val="00A1455D"/>
    <w:rsid w:val="00A14806"/>
    <w:rsid w:val="00A14BE9"/>
    <w:rsid w:val="00A14E44"/>
    <w:rsid w:val="00A17747"/>
    <w:rsid w:val="00A201AA"/>
    <w:rsid w:val="00A215BA"/>
    <w:rsid w:val="00A252BD"/>
    <w:rsid w:val="00A25707"/>
    <w:rsid w:val="00A30646"/>
    <w:rsid w:val="00A30711"/>
    <w:rsid w:val="00A30D73"/>
    <w:rsid w:val="00A3130A"/>
    <w:rsid w:val="00A32681"/>
    <w:rsid w:val="00A33C6B"/>
    <w:rsid w:val="00A35C75"/>
    <w:rsid w:val="00A375E3"/>
    <w:rsid w:val="00A40BAA"/>
    <w:rsid w:val="00A418B5"/>
    <w:rsid w:val="00A431D0"/>
    <w:rsid w:val="00A43ADA"/>
    <w:rsid w:val="00A43E3E"/>
    <w:rsid w:val="00A45AB7"/>
    <w:rsid w:val="00A47C3A"/>
    <w:rsid w:val="00A51EA7"/>
    <w:rsid w:val="00A52815"/>
    <w:rsid w:val="00A52BF2"/>
    <w:rsid w:val="00A56A4B"/>
    <w:rsid w:val="00A571A9"/>
    <w:rsid w:val="00A60363"/>
    <w:rsid w:val="00A60C98"/>
    <w:rsid w:val="00A62646"/>
    <w:rsid w:val="00A62A0B"/>
    <w:rsid w:val="00A62DAE"/>
    <w:rsid w:val="00A638BE"/>
    <w:rsid w:val="00A64A0E"/>
    <w:rsid w:val="00A6513F"/>
    <w:rsid w:val="00A65F4C"/>
    <w:rsid w:val="00A672FD"/>
    <w:rsid w:val="00A677F6"/>
    <w:rsid w:val="00A701FC"/>
    <w:rsid w:val="00A73619"/>
    <w:rsid w:val="00A739EF"/>
    <w:rsid w:val="00A73E34"/>
    <w:rsid w:val="00A75144"/>
    <w:rsid w:val="00A75C53"/>
    <w:rsid w:val="00A7675D"/>
    <w:rsid w:val="00A76E2D"/>
    <w:rsid w:val="00A77273"/>
    <w:rsid w:val="00A77BF5"/>
    <w:rsid w:val="00A8036E"/>
    <w:rsid w:val="00A80F80"/>
    <w:rsid w:val="00A813C6"/>
    <w:rsid w:val="00A8162C"/>
    <w:rsid w:val="00A81E56"/>
    <w:rsid w:val="00A834B5"/>
    <w:rsid w:val="00A85B2C"/>
    <w:rsid w:val="00A875D4"/>
    <w:rsid w:val="00A9230E"/>
    <w:rsid w:val="00A92BC1"/>
    <w:rsid w:val="00A93F07"/>
    <w:rsid w:val="00A94EB5"/>
    <w:rsid w:val="00A9572A"/>
    <w:rsid w:val="00A958C0"/>
    <w:rsid w:val="00A95951"/>
    <w:rsid w:val="00A97D48"/>
    <w:rsid w:val="00AA0A8A"/>
    <w:rsid w:val="00AA0E86"/>
    <w:rsid w:val="00AA1461"/>
    <w:rsid w:val="00AA1B8D"/>
    <w:rsid w:val="00AA1D79"/>
    <w:rsid w:val="00AA2893"/>
    <w:rsid w:val="00AA29C1"/>
    <w:rsid w:val="00AA471E"/>
    <w:rsid w:val="00AA50F0"/>
    <w:rsid w:val="00AA5500"/>
    <w:rsid w:val="00AA65F2"/>
    <w:rsid w:val="00AA68FF"/>
    <w:rsid w:val="00AA7CBD"/>
    <w:rsid w:val="00AA7E45"/>
    <w:rsid w:val="00AB228A"/>
    <w:rsid w:val="00AB2DAA"/>
    <w:rsid w:val="00AB320F"/>
    <w:rsid w:val="00AB38CB"/>
    <w:rsid w:val="00AB6610"/>
    <w:rsid w:val="00AB6671"/>
    <w:rsid w:val="00AB7E5B"/>
    <w:rsid w:val="00AC12A3"/>
    <w:rsid w:val="00AC12FE"/>
    <w:rsid w:val="00AC21D6"/>
    <w:rsid w:val="00AC2858"/>
    <w:rsid w:val="00AC6177"/>
    <w:rsid w:val="00AC6373"/>
    <w:rsid w:val="00AC6652"/>
    <w:rsid w:val="00AC7054"/>
    <w:rsid w:val="00AD4E04"/>
    <w:rsid w:val="00AD51BE"/>
    <w:rsid w:val="00AD559A"/>
    <w:rsid w:val="00AD5FA8"/>
    <w:rsid w:val="00AD63CF"/>
    <w:rsid w:val="00AD7599"/>
    <w:rsid w:val="00AD7F36"/>
    <w:rsid w:val="00AE00FD"/>
    <w:rsid w:val="00AE0B91"/>
    <w:rsid w:val="00AE28BA"/>
    <w:rsid w:val="00AE2A32"/>
    <w:rsid w:val="00AE3BB9"/>
    <w:rsid w:val="00AE62F5"/>
    <w:rsid w:val="00AE68E9"/>
    <w:rsid w:val="00AE77AE"/>
    <w:rsid w:val="00AF0B7C"/>
    <w:rsid w:val="00AF19D3"/>
    <w:rsid w:val="00AF30E4"/>
    <w:rsid w:val="00AF47F9"/>
    <w:rsid w:val="00AF5F3C"/>
    <w:rsid w:val="00AF7F83"/>
    <w:rsid w:val="00B001D3"/>
    <w:rsid w:val="00B010E6"/>
    <w:rsid w:val="00B016D5"/>
    <w:rsid w:val="00B038C6"/>
    <w:rsid w:val="00B03A43"/>
    <w:rsid w:val="00B04F9A"/>
    <w:rsid w:val="00B05315"/>
    <w:rsid w:val="00B071BB"/>
    <w:rsid w:val="00B07595"/>
    <w:rsid w:val="00B103F8"/>
    <w:rsid w:val="00B1081A"/>
    <w:rsid w:val="00B111E3"/>
    <w:rsid w:val="00B11EAA"/>
    <w:rsid w:val="00B125FB"/>
    <w:rsid w:val="00B12C16"/>
    <w:rsid w:val="00B142E9"/>
    <w:rsid w:val="00B147C7"/>
    <w:rsid w:val="00B155C9"/>
    <w:rsid w:val="00B200D0"/>
    <w:rsid w:val="00B2022C"/>
    <w:rsid w:val="00B20EC8"/>
    <w:rsid w:val="00B20F51"/>
    <w:rsid w:val="00B210E2"/>
    <w:rsid w:val="00B21A98"/>
    <w:rsid w:val="00B21E9A"/>
    <w:rsid w:val="00B22A9F"/>
    <w:rsid w:val="00B23DB8"/>
    <w:rsid w:val="00B245A8"/>
    <w:rsid w:val="00B272FD"/>
    <w:rsid w:val="00B309EF"/>
    <w:rsid w:val="00B31C91"/>
    <w:rsid w:val="00B32171"/>
    <w:rsid w:val="00B33D99"/>
    <w:rsid w:val="00B33E16"/>
    <w:rsid w:val="00B3418B"/>
    <w:rsid w:val="00B34B64"/>
    <w:rsid w:val="00B3703E"/>
    <w:rsid w:val="00B37FCD"/>
    <w:rsid w:val="00B42885"/>
    <w:rsid w:val="00B43EC4"/>
    <w:rsid w:val="00B4480A"/>
    <w:rsid w:val="00B47239"/>
    <w:rsid w:val="00B516B2"/>
    <w:rsid w:val="00B51A19"/>
    <w:rsid w:val="00B51F89"/>
    <w:rsid w:val="00B52A64"/>
    <w:rsid w:val="00B537DC"/>
    <w:rsid w:val="00B539D5"/>
    <w:rsid w:val="00B545C0"/>
    <w:rsid w:val="00B54B86"/>
    <w:rsid w:val="00B54C9E"/>
    <w:rsid w:val="00B55276"/>
    <w:rsid w:val="00B5729A"/>
    <w:rsid w:val="00B57380"/>
    <w:rsid w:val="00B575F0"/>
    <w:rsid w:val="00B57A7E"/>
    <w:rsid w:val="00B57D26"/>
    <w:rsid w:val="00B600F6"/>
    <w:rsid w:val="00B62D23"/>
    <w:rsid w:val="00B638E0"/>
    <w:rsid w:val="00B664A6"/>
    <w:rsid w:val="00B671AD"/>
    <w:rsid w:val="00B7316B"/>
    <w:rsid w:val="00B73C8F"/>
    <w:rsid w:val="00B75A35"/>
    <w:rsid w:val="00B7633E"/>
    <w:rsid w:val="00B83B92"/>
    <w:rsid w:val="00B84072"/>
    <w:rsid w:val="00B84107"/>
    <w:rsid w:val="00B8497E"/>
    <w:rsid w:val="00B84B65"/>
    <w:rsid w:val="00B863A6"/>
    <w:rsid w:val="00B86FD2"/>
    <w:rsid w:val="00B900C1"/>
    <w:rsid w:val="00B94D0C"/>
    <w:rsid w:val="00B96EBE"/>
    <w:rsid w:val="00BA06B4"/>
    <w:rsid w:val="00BA1A37"/>
    <w:rsid w:val="00BA63DA"/>
    <w:rsid w:val="00BA65F4"/>
    <w:rsid w:val="00BA67F1"/>
    <w:rsid w:val="00BA7F98"/>
    <w:rsid w:val="00BB05B0"/>
    <w:rsid w:val="00BB28DF"/>
    <w:rsid w:val="00BC09C4"/>
    <w:rsid w:val="00BC0E7D"/>
    <w:rsid w:val="00BC3BAF"/>
    <w:rsid w:val="00BC4090"/>
    <w:rsid w:val="00BC65D8"/>
    <w:rsid w:val="00BC7A8B"/>
    <w:rsid w:val="00BD0016"/>
    <w:rsid w:val="00BD01FD"/>
    <w:rsid w:val="00BD2317"/>
    <w:rsid w:val="00BD2446"/>
    <w:rsid w:val="00BD49AB"/>
    <w:rsid w:val="00BD5FCE"/>
    <w:rsid w:val="00BE6895"/>
    <w:rsid w:val="00BE7051"/>
    <w:rsid w:val="00BE74F9"/>
    <w:rsid w:val="00BF0870"/>
    <w:rsid w:val="00BF123C"/>
    <w:rsid w:val="00BF1BAA"/>
    <w:rsid w:val="00BF2837"/>
    <w:rsid w:val="00BF38B7"/>
    <w:rsid w:val="00BF438C"/>
    <w:rsid w:val="00BF49BC"/>
    <w:rsid w:val="00BF6F37"/>
    <w:rsid w:val="00BF7997"/>
    <w:rsid w:val="00C003C3"/>
    <w:rsid w:val="00C01D2B"/>
    <w:rsid w:val="00C02768"/>
    <w:rsid w:val="00C065CF"/>
    <w:rsid w:val="00C103EE"/>
    <w:rsid w:val="00C10954"/>
    <w:rsid w:val="00C10F8F"/>
    <w:rsid w:val="00C1120B"/>
    <w:rsid w:val="00C12102"/>
    <w:rsid w:val="00C15A7B"/>
    <w:rsid w:val="00C1769A"/>
    <w:rsid w:val="00C21F1A"/>
    <w:rsid w:val="00C21FE0"/>
    <w:rsid w:val="00C225FF"/>
    <w:rsid w:val="00C22AAB"/>
    <w:rsid w:val="00C22C83"/>
    <w:rsid w:val="00C2581F"/>
    <w:rsid w:val="00C259D9"/>
    <w:rsid w:val="00C25F54"/>
    <w:rsid w:val="00C31E7F"/>
    <w:rsid w:val="00C3398D"/>
    <w:rsid w:val="00C33EFE"/>
    <w:rsid w:val="00C3592E"/>
    <w:rsid w:val="00C378EF"/>
    <w:rsid w:val="00C4095F"/>
    <w:rsid w:val="00C40FB0"/>
    <w:rsid w:val="00C41600"/>
    <w:rsid w:val="00C436B6"/>
    <w:rsid w:val="00C4600D"/>
    <w:rsid w:val="00C46697"/>
    <w:rsid w:val="00C46AE9"/>
    <w:rsid w:val="00C47433"/>
    <w:rsid w:val="00C47CCE"/>
    <w:rsid w:val="00C51E9C"/>
    <w:rsid w:val="00C522E3"/>
    <w:rsid w:val="00C5382A"/>
    <w:rsid w:val="00C53924"/>
    <w:rsid w:val="00C53F89"/>
    <w:rsid w:val="00C540BA"/>
    <w:rsid w:val="00C607E7"/>
    <w:rsid w:val="00C60F64"/>
    <w:rsid w:val="00C61A21"/>
    <w:rsid w:val="00C6392E"/>
    <w:rsid w:val="00C66300"/>
    <w:rsid w:val="00C67677"/>
    <w:rsid w:val="00C67A02"/>
    <w:rsid w:val="00C67CE5"/>
    <w:rsid w:val="00C67ECF"/>
    <w:rsid w:val="00C711D5"/>
    <w:rsid w:val="00C76FC2"/>
    <w:rsid w:val="00C8089B"/>
    <w:rsid w:val="00C809B6"/>
    <w:rsid w:val="00C823D5"/>
    <w:rsid w:val="00C82BFE"/>
    <w:rsid w:val="00C910AE"/>
    <w:rsid w:val="00C913DA"/>
    <w:rsid w:val="00C92AAD"/>
    <w:rsid w:val="00C939B2"/>
    <w:rsid w:val="00C952D5"/>
    <w:rsid w:val="00C958EC"/>
    <w:rsid w:val="00CA07CB"/>
    <w:rsid w:val="00CA1399"/>
    <w:rsid w:val="00CA36C1"/>
    <w:rsid w:val="00CA3B40"/>
    <w:rsid w:val="00CB0FCA"/>
    <w:rsid w:val="00CB12C6"/>
    <w:rsid w:val="00CB1402"/>
    <w:rsid w:val="00CB1D02"/>
    <w:rsid w:val="00CB372E"/>
    <w:rsid w:val="00CB4771"/>
    <w:rsid w:val="00CB5A9B"/>
    <w:rsid w:val="00CB5E81"/>
    <w:rsid w:val="00CB67F3"/>
    <w:rsid w:val="00CB7411"/>
    <w:rsid w:val="00CC1A6B"/>
    <w:rsid w:val="00CC6036"/>
    <w:rsid w:val="00CC641D"/>
    <w:rsid w:val="00CC6C9D"/>
    <w:rsid w:val="00CD23B0"/>
    <w:rsid w:val="00CD2C8E"/>
    <w:rsid w:val="00CD3596"/>
    <w:rsid w:val="00CD42D0"/>
    <w:rsid w:val="00CD4FAC"/>
    <w:rsid w:val="00CD685C"/>
    <w:rsid w:val="00CD68F4"/>
    <w:rsid w:val="00CD7EFB"/>
    <w:rsid w:val="00CE03BC"/>
    <w:rsid w:val="00CE098F"/>
    <w:rsid w:val="00CE389B"/>
    <w:rsid w:val="00CE3CCF"/>
    <w:rsid w:val="00CE3E24"/>
    <w:rsid w:val="00CE62B4"/>
    <w:rsid w:val="00CE68A5"/>
    <w:rsid w:val="00CE7740"/>
    <w:rsid w:val="00CF0D7D"/>
    <w:rsid w:val="00CF0F57"/>
    <w:rsid w:val="00CF0FE4"/>
    <w:rsid w:val="00CF4740"/>
    <w:rsid w:val="00CF5918"/>
    <w:rsid w:val="00CF6120"/>
    <w:rsid w:val="00D000D8"/>
    <w:rsid w:val="00D01E4F"/>
    <w:rsid w:val="00D032A7"/>
    <w:rsid w:val="00D0364A"/>
    <w:rsid w:val="00D04075"/>
    <w:rsid w:val="00D061F5"/>
    <w:rsid w:val="00D06286"/>
    <w:rsid w:val="00D06794"/>
    <w:rsid w:val="00D12E16"/>
    <w:rsid w:val="00D13905"/>
    <w:rsid w:val="00D167DE"/>
    <w:rsid w:val="00D20043"/>
    <w:rsid w:val="00D200AB"/>
    <w:rsid w:val="00D23BAF"/>
    <w:rsid w:val="00D2448A"/>
    <w:rsid w:val="00D244B0"/>
    <w:rsid w:val="00D2698D"/>
    <w:rsid w:val="00D26F0B"/>
    <w:rsid w:val="00D31409"/>
    <w:rsid w:val="00D31B9E"/>
    <w:rsid w:val="00D32FB9"/>
    <w:rsid w:val="00D3312A"/>
    <w:rsid w:val="00D33914"/>
    <w:rsid w:val="00D33B20"/>
    <w:rsid w:val="00D4168D"/>
    <w:rsid w:val="00D422D7"/>
    <w:rsid w:val="00D507B2"/>
    <w:rsid w:val="00D50EC7"/>
    <w:rsid w:val="00D56D90"/>
    <w:rsid w:val="00D60930"/>
    <w:rsid w:val="00D62186"/>
    <w:rsid w:val="00D622D3"/>
    <w:rsid w:val="00D640E7"/>
    <w:rsid w:val="00D645A6"/>
    <w:rsid w:val="00D6517E"/>
    <w:rsid w:val="00D67262"/>
    <w:rsid w:val="00D67C73"/>
    <w:rsid w:val="00D70B71"/>
    <w:rsid w:val="00D70C07"/>
    <w:rsid w:val="00D731E5"/>
    <w:rsid w:val="00D73713"/>
    <w:rsid w:val="00D7402E"/>
    <w:rsid w:val="00D740E6"/>
    <w:rsid w:val="00D7447C"/>
    <w:rsid w:val="00D81550"/>
    <w:rsid w:val="00D81754"/>
    <w:rsid w:val="00D81D3A"/>
    <w:rsid w:val="00D8413D"/>
    <w:rsid w:val="00D84185"/>
    <w:rsid w:val="00D86C79"/>
    <w:rsid w:val="00D87BF4"/>
    <w:rsid w:val="00D9007C"/>
    <w:rsid w:val="00D9416B"/>
    <w:rsid w:val="00D952D3"/>
    <w:rsid w:val="00D95608"/>
    <w:rsid w:val="00D95B59"/>
    <w:rsid w:val="00D97C50"/>
    <w:rsid w:val="00DA1894"/>
    <w:rsid w:val="00DA1E9B"/>
    <w:rsid w:val="00DA2409"/>
    <w:rsid w:val="00DA4068"/>
    <w:rsid w:val="00DA4B94"/>
    <w:rsid w:val="00DA4DBE"/>
    <w:rsid w:val="00DA593F"/>
    <w:rsid w:val="00DA6EB6"/>
    <w:rsid w:val="00DB0014"/>
    <w:rsid w:val="00DB48D8"/>
    <w:rsid w:val="00DB4C68"/>
    <w:rsid w:val="00DB5353"/>
    <w:rsid w:val="00DB6E7C"/>
    <w:rsid w:val="00DB7176"/>
    <w:rsid w:val="00DB7440"/>
    <w:rsid w:val="00DB7F81"/>
    <w:rsid w:val="00DC2C18"/>
    <w:rsid w:val="00DC326C"/>
    <w:rsid w:val="00DC4230"/>
    <w:rsid w:val="00DC674A"/>
    <w:rsid w:val="00DC77CE"/>
    <w:rsid w:val="00DC7D79"/>
    <w:rsid w:val="00DD01E1"/>
    <w:rsid w:val="00DD03CA"/>
    <w:rsid w:val="00DD3513"/>
    <w:rsid w:val="00DD4780"/>
    <w:rsid w:val="00DD77A8"/>
    <w:rsid w:val="00DD798E"/>
    <w:rsid w:val="00DE00ED"/>
    <w:rsid w:val="00DE044A"/>
    <w:rsid w:val="00DE0DB1"/>
    <w:rsid w:val="00DE107F"/>
    <w:rsid w:val="00DE114F"/>
    <w:rsid w:val="00DE3862"/>
    <w:rsid w:val="00DE4CB5"/>
    <w:rsid w:val="00DE581A"/>
    <w:rsid w:val="00DE6E74"/>
    <w:rsid w:val="00DE7BBE"/>
    <w:rsid w:val="00DF0BF1"/>
    <w:rsid w:val="00DF1402"/>
    <w:rsid w:val="00DF15F1"/>
    <w:rsid w:val="00DF257C"/>
    <w:rsid w:val="00DF36A8"/>
    <w:rsid w:val="00DF5176"/>
    <w:rsid w:val="00DF5F60"/>
    <w:rsid w:val="00DF63A3"/>
    <w:rsid w:val="00DF671E"/>
    <w:rsid w:val="00DF701F"/>
    <w:rsid w:val="00E01E0F"/>
    <w:rsid w:val="00E020E5"/>
    <w:rsid w:val="00E02F45"/>
    <w:rsid w:val="00E04309"/>
    <w:rsid w:val="00E05079"/>
    <w:rsid w:val="00E051A7"/>
    <w:rsid w:val="00E0536A"/>
    <w:rsid w:val="00E05B89"/>
    <w:rsid w:val="00E05C6F"/>
    <w:rsid w:val="00E079B9"/>
    <w:rsid w:val="00E1057D"/>
    <w:rsid w:val="00E10E44"/>
    <w:rsid w:val="00E11BD5"/>
    <w:rsid w:val="00E1221A"/>
    <w:rsid w:val="00E122F6"/>
    <w:rsid w:val="00E12328"/>
    <w:rsid w:val="00E1249F"/>
    <w:rsid w:val="00E125A3"/>
    <w:rsid w:val="00E13DB2"/>
    <w:rsid w:val="00E13E3D"/>
    <w:rsid w:val="00E171FE"/>
    <w:rsid w:val="00E20395"/>
    <w:rsid w:val="00E20763"/>
    <w:rsid w:val="00E207CE"/>
    <w:rsid w:val="00E22186"/>
    <w:rsid w:val="00E238A8"/>
    <w:rsid w:val="00E24E1D"/>
    <w:rsid w:val="00E25577"/>
    <w:rsid w:val="00E26612"/>
    <w:rsid w:val="00E36A95"/>
    <w:rsid w:val="00E37B36"/>
    <w:rsid w:val="00E409B5"/>
    <w:rsid w:val="00E40AFE"/>
    <w:rsid w:val="00E417EC"/>
    <w:rsid w:val="00E43E2D"/>
    <w:rsid w:val="00E43F75"/>
    <w:rsid w:val="00E445E5"/>
    <w:rsid w:val="00E44A00"/>
    <w:rsid w:val="00E45064"/>
    <w:rsid w:val="00E45427"/>
    <w:rsid w:val="00E4546F"/>
    <w:rsid w:val="00E465C8"/>
    <w:rsid w:val="00E50E28"/>
    <w:rsid w:val="00E511AE"/>
    <w:rsid w:val="00E53949"/>
    <w:rsid w:val="00E56E70"/>
    <w:rsid w:val="00E6135D"/>
    <w:rsid w:val="00E6366E"/>
    <w:rsid w:val="00E656BD"/>
    <w:rsid w:val="00E65BCB"/>
    <w:rsid w:val="00E67F25"/>
    <w:rsid w:val="00E707D6"/>
    <w:rsid w:val="00E728BC"/>
    <w:rsid w:val="00E73BBC"/>
    <w:rsid w:val="00E74E1C"/>
    <w:rsid w:val="00E76946"/>
    <w:rsid w:val="00E81EEC"/>
    <w:rsid w:val="00E83180"/>
    <w:rsid w:val="00E838C9"/>
    <w:rsid w:val="00E85511"/>
    <w:rsid w:val="00E85C7C"/>
    <w:rsid w:val="00E85E13"/>
    <w:rsid w:val="00E86014"/>
    <w:rsid w:val="00E8649D"/>
    <w:rsid w:val="00E87B98"/>
    <w:rsid w:val="00E90485"/>
    <w:rsid w:val="00E93A80"/>
    <w:rsid w:val="00E9637B"/>
    <w:rsid w:val="00E9652B"/>
    <w:rsid w:val="00EA2FB7"/>
    <w:rsid w:val="00EA39A4"/>
    <w:rsid w:val="00EA3AA8"/>
    <w:rsid w:val="00EA53F1"/>
    <w:rsid w:val="00EA5596"/>
    <w:rsid w:val="00EA6A8C"/>
    <w:rsid w:val="00EA6B25"/>
    <w:rsid w:val="00EB4881"/>
    <w:rsid w:val="00EB6189"/>
    <w:rsid w:val="00EB6E6B"/>
    <w:rsid w:val="00EC04E5"/>
    <w:rsid w:val="00EC2B43"/>
    <w:rsid w:val="00EC4072"/>
    <w:rsid w:val="00EC5381"/>
    <w:rsid w:val="00EC6102"/>
    <w:rsid w:val="00ED0921"/>
    <w:rsid w:val="00ED19D7"/>
    <w:rsid w:val="00ED4652"/>
    <w:rsid w:val="00ED5BBC"/>
    <w:rsid w:val="00ED71A0"/>
    <w:rsid w:val="00EE0019"/>
    <w:rsid w:val="00EE01BE"/>
    <w:rsid w:val="00EE4B6E"/>
    <w:rsid w:val="00EE6ADF"/>
    <w:rsid w:val="00EE6D13"/>
    <w:rsid w:val="00EE6E9D"/>
    <w:rsid w:val="00EF1CCA"/>
    <w:rsid w:val="00EF2C5F"/>
    <w:rsid w:val="00EF2C80"/>
    <w:rsid w:val="00EF31ED"/>
    <w:rsid w:val="00EF3927"/>
    <w:rsid w:val="00EF402E"/>
    <w:rsid w:val="00EF40EB"/>
    <w:rsid w:val="00EF4445"/>
    <w:rsid w:val="00EF5220"/>
    <w:rsid w:val="00EF7CA7"/>
    <w:rsid w:val="00EF7FD7"/>
    <w:rsid w:val="00F00A1C"/>
    <w:rsid w:val="00F017C4"/>
    <w:rsid w:val="00F026AD"/>
    <w:rsid w:val="00F02892"/>
    <w:rsid w:val="00F05183"/>
    <w:rsid w:val="00F055AE"/>
    <w:rsid w:val="00F06C90"/>
    <w:rsid w:val="00F07C82"/>
    <w:rsid w:val="00F115E2"/>
    <w:rsid w:val="00F11BB5"/>
    <w:rsid w:val="00F12DC2"/>
    <w:rsid w:val="00F14226"/>
    <w:rsid w:val="00F21DE5"/>
    <w:rsid w:val="00F222F3"/>
    <w:rsid w:val="00F23265"/>
    <w:rsid w:val="00F32D1B"/>
    <w:rsid w:val="00F33BD5"/>
    <w:rsid w:val="00F33CBC"/>
    <w:rsid w:val="00F35A89"/>
    <w:rsid w:val="00F40414"/>
    <w:rsid w:val="00F4202E"/>
    <w:rsid w:val="00F42FD1"/>
    <w:rsid w:val="00F4319E"/>
    <w:rsid w:val="00F44253"/>
    <w:rsid w:val="00F4531A"/>
    <w:rsid w:val="00F45B6A"/>
    <w:rsid w:val="00F47D18"/>
    <w:rsid w:val="00F50068"/>
    <w:rsid w:val="00F5084B"/>
    <w:rsid w:val="00F5297A"/>
    <w:rsid w:val="00F52D84"/>
    <w:rsid w:val="00F533A5"/>
    <w:rsid w:val="00F53F2F"/>
    <w:rsid w:val="00F53F3E"/>
    <w:rsid w:val="00F54277"/>
    <w:rsid w:val="00F54992"/>
    <w:rsid w:val="00F54A28"/>
    <w:rsid w:val="00F55D87"/>
    <w:rsid w:val="00F57229"/>
    <w:rsid w:val="00F57781"/>
    <w:rsid w:val="00F60D0B"/>
    <w:rsid w:val="00F61A12"/>
    <w:rsid w:val="00F63963"/>
    <w:rsid w:val="00F663AA"/>
    <w:rsid w:val="00F701E9"/>
    <w:rsid w:val="00F70223"/>
    <w:rsid w:val="00F70A9F"/>
    <w:rsid w:val="00F70EE1"/>
    <w:rsid w:val="00F72955"/>
    <w:rsid w:val="00F743CA"/>
    <w:rsid w:val="00F744B0"/>
    <w:rsid w:val="00F75188"/>
    <w:rsid w:val="00F75612"/>
    <w:rsid w:val="00F77952"/>
    <w:rsid w:val="00F81A5B"/>
    <w:rsid w:val="00F860FE"/>
    <w:rsid w:val="00F869E4"/>
    <w:rsid w:val="00F909D5"/>
    <w:rsid w:val="00F92310"/>
    <w:rsid w:val="00F929E0"/>
    <w:rsid w:val="00F9324C"/>
    <w:rsid w:val="00F9404A"/>
    <w:rsid w:val="00F944FD"/>
    <w:rsid w:val="00F9691C"/>
    <w:rsid w:val="00F97194"/>
    <w:rsid w:val="00FA02EA"/>
    <w:rsid w:val="00FA0666"/>
    <w:rsid w:val="00FA1186"/>
    <w:rsid w:val="00FA1628"/>
    <w:rsid w:val="00FA4658"/>
    <w:rsid w:val="00FA4D48"/>
    <w:rsid w:val="00FA608D"/>
    <w:rsid w:val="00FA7D2E"/>
    <w:rsid w:val="00FA7EAA"/>
    <w:rsid w:val="00FA7EFC"/>
    <w:rsid w:val="00FB0935"/>
    <w:rsid w:val="00FB2775"/>
    <w:rsid w:val="00FB6D9A"/>
    <w:rsid w:val="00FC0A9B"/>
    <w:rsid w:val="00FC2863"/>
    <w:rsid w:val="00FC2BA9"/>
    <w:rsid w:val="00FC2C6F"/>
    <w:rsid w:val="00FC32F0"/>
    <w:rsid w:val="00FC5219"/>
    <w:rsid w:val="00FC577B"/>
    <w:rsid w:val="00FC7626"/>
    <w:rsid w:val="00FD06F3"/>
    <w:rsid w:val="00FD2922"/>
    <w:rsid w:val="00FD2E38"/>
    <w:rsid w:val="00FD483F"/>
    <w:rsid w:val="00FD4976"/>
    <w:rsid w:val="00FD5029"/>
    <w:rsid w:val="00FD5684"/>
    <w:rsid w:val="00FD5CAC"/>
    <w:rsid w:val="00FD6CCD"/>
    <w:rsid w:val="00FD70FC"/>
    <w:rsid w:val="00FE0614"/>
    <w:rsid w:val="00FE10F8"/>
    <w:rsid w:val="00FE19E3"/>
    <w:rsid w:val="00FE2691"/>
    <w:rsid w:val="00FE2DDF"/>
    <w:rsid w:val="00FE4819"/>
    <w:rsid w:val="00FE6855"/>
    <w:rsid w:val="00FF3009"/>
    <w:rsid w:val="00FF6D67"/>
    <w:rsid w:val="00FF75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8F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DB2"/>
    <w:pPr>
      <w:tabs>
        <w:tab w:val="center" w:pos="4536"/>
        <w:tab w:val="right" w:pos="9072"/>
      </w:tabs>
      <w:spacing w:line="240" w:lineRule="auto"/>
    </w:pPr>
  </w:style>
  <w:style w:type="character" w:customStyle="1" w:styleId="HeaderChar">
    <w:name w:val="Header Char"/>
    <w:basedOn w:val="DefaultParagraphFont"/>
    <w:link w:val="Header"/>
    <w:uiPriority w:val="99"/>
    <w:rsid w:val="00E13DB2"/>
    <w:rPr>
      <w:sz w:val="24"/>
      <w:szCs w:val="24"/>
    </w:rPr>
  </w:style>
  <w:style w:type="paragraph" w:styleId="Footer">
    <w:name w:val="footer"/>
    <w:basedOn w:val="Normal"/>
    <w:link w:val="FooterChar"/>
    <w:uiPriority w:val="99"/>
    <w:rsid w:val="00E13DB2"/>
    <w:pPr>
      <w:tabs>
        <w:tab w:val="center" w:pos="4536"/>
        <w:tab w:val="right" w:pos="9072"/>
      </w:tabs>
      <w:spacing w:line="240" w:lineRule="auto"/>
    </w:pPr>
  </w:style>
  <w:style w:type="character" w:customStyle="1" w:styleId="FooterChar">
    <w:name w:val="Footer Char"/>
    <w:basedOn w:val="DefaultParagraphFont"/>
    <w:link w:val="Footer"/>
    <w:uiPriority w:val="99"/>
    <w:rsid w:val="00E13DB2"/>
    <w:rPr>
      <w:sz w:val="24"/>
      <w:szCs w:val="24"/>
    </w:rPr>
  </w:style>
  <w:style w:type="paragraph" w:styleId="BalloonText">
    <w:name w:val="Balloon Text"/>
    <w:basedOn w:val="Normal"/>
    <w:link w:val="BalloonTextChar"/>
    <w:rsid w:val="009C44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4411"/>
    <w:rPr>
      <w:rFonts w:ascii="Tahoma" w:hAnsi="Tahoma" w:cs="Tahoma"/>
      <w:sz w:val="16"/>
      <w:szCs w:val="16"/>
    </w:rPr>
  </w:style>
  <w:style w:type="table" w:customStyle="1" w:styleId="LightShading1">
    <w:name w:val="Light Shading1"/>
    <w:basedOn w:val="TableNormal"/>
    <w:uiPriority w:val="60"/>
    <w:rsid w:val="006270B1"/>
    <w:pPr>
      <w:spacing w:line="240" w:lineRule="auto"/>
    </w:pPr>
    <w:rPr>
      <w:rFonts w:asciiTheme="minorHAnsi" w:eastAsiaTheme="minorEastAsia" w:hAnsiTheme="minorHAnsi" w:cstheme="minorBidi"/>
      <w:color w:val="000000" w:themeColor="text1" w:themeShade="BF"/>
      <w:sz w:val="22"/>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31BC0"/>
    <w:rPr>
      <w:color w:val="0000FF"/>
      <w:u w:val="single"/>
    </w:rPr>
  </w:style>
  <w:style w:type="character" w:styleId="CommentReference">
    <w:name w:val="annotation reference"/>
    <w:basedOn w:val="DefaultParagraphFont"/>
    <w:rsid w:val="00A3130A"/>
    <w:rPr>
      <w:sz w:val="16"/>
      <w:szCs w:val="16"/>
    </w:rPr>
  </w:style>
  <w:style w:type="paragraph" w:styleId="CommentText">
    <w:name w:val="annotation text"/>
    <w:basedOn w:val="Normal"/>
    <w:link w:val="CommentTextChar"/>
    <w:rsid w:val="00A3130A"/>
    <w:pPr>
      <w:spacing w:line="240" w:lineRule="auto"/>
    </w:pPr>
    <w:rPr>
      <w:sz w:val="20"/>
      <w:szCs w:val="20"/>
    </w:rPr>
  </w:style>
  <w:style w:type="character" w:customStyle="1" w:styleId="CommentTextChar">
    <w:name w:val="Comment Text Char"/>
    <w:basedOn w:val="DefaultParagraphFont"/>
    <w:link w:val="CommentText"/>
    <w:rsid w:val="00A3130A"/>
  </w:style>
  <w:style w:type="paragraph" w:styleId="CommentSubject">
    <w:name w:val="annotation subject"/>
    <w:basedOn w:val="CommentText"/>
    <w:next w:val="CommentText"/>
    <w:link w:val="CommentSubjectChar"/>
    <w:rsid w:val="00A3130A"/>
    <w:rPr>
      <w:b/>
      <w:bCs/>
    </w:rPr>
  </w:style>
  <w:style w:type="character" w:customStyle="1" w:styleId="CommentSubjectChar">
    <w:name w:val="Comment Subject Char"/>
    <w:basedOn w:val="CommentTextChar"/>
    <w:link w:val="CommentSubject"/>
    <w:rsid w:val="00A3130A"/>
    <w:rPr>
      <w:b/>
      <w:bCs/>
    </w:rPr>
  </w:style>
  <w:style w:type="table" w:customStyle="1" w:styleId="LightShading11">
    <w:name w:val="Light Shading11"/>
    <w:basedOn w:val="TableNormal"/>
    <w:uiPriority w:val="60"/>
    <w:rsid w:val="00A51EA7"/>
    <w:pPr>
      <w:spacing w:line="240" w:lineRule="auto"/>
    </w:pPr>
    <w:rPr>
      <w:rFonts w:asciiTheme="minorHAnsi" w:eastAsiaTheme="minorEastAsia" w:hAnsiTheme="minorHAnsi" w:cstheme="minorBidi"/>
      <w:color w:val="000000" w:themeColor="text1" w:themeShade="BF"/>
      <w:sz w:val="22"/>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655C8"/>
    <w:pPr>
      <w:autoSpaceDE w:val="0"/>
      <w:autoSpaceDN w:val="0"/>
      <w:adjustRightInd w:val="0"/>
      <w:spacing w:line="240" w:lineRule="auto"/>
    </w:pPr>
    <w:rPr>
      <w:color w:val="000000"/>
      <w:sz w:val="24"/>
      <w:szCs w:val="24"/>
    </w:rPr>
  </w:style>
  <w:style w:type="paragraph" w:styleId="NoSpacing">
    <w:name w:val="No Spacing"/>
    <w:uiPriority w:val="99"/>
    <w:qFormat/>
    <w:rsid w:val="00A43ADA"/>
    <w:pPr>
      <w:spacing w:line="240" w:lineRule="auto"/>
    </w:pPr>
    <w:rPr>
      <w:rFonts w:ascii="Calibri" w:hAnsi="Calibri"/>
      <w:sz w:val="22"/>
      <w:szCs w:val="22"/>
      <w:lang w:val="nl-NL"/>
    </w:rPr>
  </w:style>
  <w:style w:type="paragraph" w:styleId="Revision">
    <w:name w:val="Revision"/>
    <w:hidden/>
    <w:uiPriority w:val="99"/>
    <w:semiHidden/>
    <w:rsid w:val="00C51E9C"/>
    <w:pPr>
      <w:spacing w:line="240" w:lineRule="auto"/>
    </w:pPr>
    <w:rPr>
      <w:sz w:val="24"/>
      <w:szCs w:val="24"/>
    </w:rPr>
  </w:style>
  <w:style w:type="paragraph" w:styleId="EndnoteText">
    <w:name w:val="endnote text"/>
    <w:basedOn w:val="Normal"/>
    <w:link w:val="EndnoteTextChar"/>
    <w:rsid w:val="00F77952"/>
    <w:pPr>
      <w:spacing w:line="240" w:lineRule="auto"/>
    </w:pPr>
  </w:style>
  <w:style w:type="character" w:customStyle="1" w:styleId="EndnoteTextChar">
    <w:name w:val="Endnote Text Char"/>
    <w:basedOn w:val="DefaultParagraphFont"/>
    <w:link w:val="EndnoteText"/>
    <w:rsid w:val="00F77952"/>
    <w:rPr>
      <w:sz w:val="24"/>
      <w:szCs w:val="24"/>
    </w:rPr>
  </w:style>
  <w:style w:type="character" w:styleId="EndnoteReference">
    <w:name w:val="endnote reference"/>
    <w:basedOn w:val="DefaultParagraphFont"/>
    <w:rsid w:val="00F77952"/>
    <w:rPr>
      <w:vertAlign w:val="superscript"/>
    </w:rPr>
  </w:style>
  <w:style w:type="paragraph" w:styleId="ListParagraph">
    <w:name w:val="List Paragraph"/>
    <w:basedOn w:val="Normal"/>
    <w:uiPriority w:val="34"/>
    <w:qFormat/>
    <w:rsid w:val="00552FB9"/>
    <w:pPr>
      <w:ind w:left="720"/>
      <w:contextualSpacing/>
    </w:pPr>
  </w:style>
  <w:style w:type="character" w:styleId="FollowedHyperlink">
    <w:name w:val="FollowedHyperlink"/>
    <w:basedOn w:val="DefaultParagraphFont"/>
    <w:rsid w:val="00122261"/>
    <w:rPr>
      <w:color w:val="800080" w:themeColor="followedHyperlink"/>
      <w:u w:val="single"/>
    </w:rPr>
  </w:style>
  <w:style w:type="paragraph" w:styleId="FootnoteText">
    <w:name w:val="footnote text"/>
    <w:basedOn w:val="Normal"/>
    <w:link w:val="FootnoteTextChar"/>
    <w:rsid w:val="000A771C"/>
    <w:pPr>
      <w:spacing w:line="240" w:lineRule="auto"/>
    </w:pPr>
  </w:style>
  <w:style w:type="character" w:customStyle="1" w:styleId="FootnoteTextChar">
    <w:name w:val="Footnote Text Char"/>
    <w:basedOn w:val="DefaultParagraphFont"/>
    <w:link w:val="FootnoteText"/>
    <w:rsid w:val="000A771C"/>
    <w:rPr>
      <w:sz w:val="24"/>
      <w:szCs w:val="24"/>
    </w:rPr>
  </w:style>
  <w:style w:type="character" w:styleId="FootnoteReference">
    <w:name w:val="footnote reference"/>
    <w:basedOn w:val="DefaultParagraphFont"/>
    <w:rsid w:val="000A771C"/>
    <w:rPr>
      <w:vertAlign w:val="superscript"/>
    </w:rPr>
  </w:style>
  <w:style w:type="paragraph" w:styleId="DocumentMap">
    <w:name w:val="Document Map"/>
    <w:basedOn w:val="Normal"/>
    <w:link w:val="DocumentMapChar"/>
    <w:rsid w:val="00155637"/>
    <w:pPr>
      <w:spacing w:line="240" w:lineRule="auto"/>
    </w:pPr>
    <w:rPr>
      <w:rFonts w:ascii="Lucida Grande" w:hAnsi="Lucida Grande"/>
    </w:rPr>
  </w:style>
  <w:style w:type="character" w:customStyle="1" w:styleId="DocumentMapChar">
    <w:name w:val="Document Map Char"/>
    <w:basedOn w:val="DefaultParagraphFont"/>
    <w:link w:val="DocumentMap"/>
    <w:rsid w:val="00155637"/>
    <w:rPr>
      <w:rFonts w:ascii="Lucida Grande" w:hAnsi="Lucida Grande"/>
      <w:sz w:val="24"/>
      <w:szCs w:val="24"/>
    </w:rPr>
  </w:style>
  <w:style w:type="character" w:styleId="PageNumber">
    <w:name w:val="page number"/>
    <w:basedOn w:val="DefaultParagraphFont"/>
    <w:semiHidden/>
    <w:unhideWhenUsed/>
    <w:rsid w:val="000B299A"/>
  </w:style>
  <w:style w:type="character" w:customStyle="1" w:styleId="apple-converted-space">
    <w:name w:val="apple-converted-space"/>
    <w:basedOn w:val="DefaultParagraphFont"/>
    <w:rsid w:val="009E650C"/>
  </w:style>
  <w:style w:type="table" w:styleId="TableGrid">
    <w:name w:val="Table Grid"/>
    <w:basedOn w:val="TableNormal"/>
    <w:uiPriority w:val="59"/>
    <w:rsid w:val="006D5629"/>
    <w:pPr>
      <w:spacing w:line="240" w:lineRule="auto"/>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DB2"/>
    <w:pPr>
      <w:tabs>
        <w:tab w:val="center" w:pos="4536"/>
        <w:tab w:val="right" w:pos="9072"/>
      </w:tabs>
      <w:spacing w:line="240" w:lineRule="auto"/>
    </w:pPr>
  </w:style>
  <w:style w:type="character" w:customStyle="1" w:styleId="HeaderChar">
    <w:name w:val="Header Char"/>
    <w:basedOn w:val="DefaultParagraphFont"/>
    <w:link w:val="Header"/>
    <w:uiPriority w:val="99"/>
    <w:rsid w:val="00E13DB2"/>
    <w:rPr>
      <w:sz w:val="24"/>
      <w:szCs w:val="24"/>
    </w:rPr>
  </w:style>
  <w:style w:type="paragraph" w:styleId="Footer">
    <w:name w:val="footer"/>
    <w:basedOn w:val="Normal"/>
    <w:link w:val="FooterChar"/>
    <w:uiPriority w:val="99"/>
    <w:rsid w:val="00E13DB2"/>
    <w:pPr>
      <w:tabs>
        <w:tab w:val="center" w:pos="4536"/>
        <w:tab w:val="right" w:pos="9072"/>
      </w:tabs>
      <w:spacing w:line="240" w:lineRule="auto"/>
    </w:pPr>
  </w:style>
  <w:style w:type="character" w:customStyle="1" w:styleId="FooterChar">
    <w:name w:val="Footer Char"/>
    <w:basedOn w:val="DefaultParagraphFont"/>
    <w:link w:val="Footer"/>
    <w:uiPriority w:val="99"/>
    <w:rsid w:val="00E13DB2"/>
    <w:rPr>
      <w:sz w:val="24"/>
      <w:szCs w:val="24"/>
    </w:rPr>
  </w:style>
  <w:style w:type="paragraph" w:styleId="BalloonText">
    <w:name w:val="Balloon Text"/>
    <w:basedOn w:val="Normal"/>
    <w:link w:val="BalloonTextChar"/>
    <w:rsid w:val="009C44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4411"/>
    <w:rPr>
      <w:rFonts w:ascii="Tahoma" w:hAnsi="Tahoma" w:cs="Tahoma"/>
      <w:sz w:val="16"/>
      <w:szCs w:val="16"/>
    </w:rPr>
  </w:style>
  <w:style w:type="table" w:customStyle="1" w:styleId="LightShading1">
    <w:name w:val="Light Shading1"/>
    <w:basedOn w:val="TableNormal"/>
    <w:uiPriority w:val="60"/>
    <w:rsid w:val="006270B1"/>
    <w:pPr>
      <w:spacing w:line="240" w:lineRule="auto"/>
    </w:pPr>
    <w:rPr>
      <w:rFonts w:asciiTheme="minorHAnsi" w:eastAsiaTheme="minorEastAsia" w:hAnsiTheme="minorHAnsi" w:cstheme="minorBidi"/>
      <w:color w:val="000000" w:themeColor="text1" w:themeShade="BF"/>
      <w:sz w:val="22"/>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31BC0"/>
    <w:rPr>
      <w:color w:val="0000FF"/>
      <w:u w:val="single"/>
    </w:rPr>
  </w:style>
  <w:style w:type="character" w:styleId="CommentReference">
    <w:name w:val="annotation reference"/>
    <w:basedOn w:val="DefaultParagraphFont"/>
    <w:rsid w:val="00A3130A"/>
    <w:rPr>
      <w:sz w:val="16"/>
      <w:szCs w:val="16"/>
    </w:rPr>
  </w:style>
  <w:style w:type="paragraph" w:styleId="CommentText">
    <w:name w:val="annotation text"/>
    <w:basedOn w:val="Normal"/>
    <w:link w:val="CommentTextChar"/>
    <w:rsid w:val="00A3130A"/>
    <w:pPr>
      <w:spacing w:line="240" w:lineRule="auto"/>
    </w:pPr>
    <w:rPr>
      <w:sz w:val="20"/>
      <w:szCs w:val="20"/>
    </w:rPr>
  </w:style>
  <w:style w:type="character" w:customStyle="1" w:styleId="CommentTextChar">
    <w:name w:val="Comment Text Char"/>
    <w:basedOn w:val="DefaultParagraphFont"/>
    <w:link w:val="CommentText"/>
    <w:rsid w:val="00A3130A"/>
  </w:style>
  <w:style w:type="paragraph" w:styleId="CommentSubject">
    <w:name w:val="annotation subject"/>
    <w:basedOn w:val="CommentText"/>
    <w:next w:val="CommentText"/>
    <w:link w:val="CommentSubjectChar"/>
    <w:rsid w:val="00A3130A"/>
    <w:rPr>
      <w:b/>
      <w:bCs/>
    </w:rPr>
  </w:style>
  <w:style w:type="character" w:customStyle="1" w:styleId="CommentSubjectChar">
    <w:name w:val="Comment Subject Char"/>
    <w:basedOn w:val="CommentTextChar"/>
    <w:link w:val="CommentSubject"/>
    <w:rsid w:val="00A3130A"/>
    <w:rPr>
      <w:b/>
      <w:bCs/>
    </w:rPr>
  </w:style>
  <w:style w:type="table" w:customStyle="1" w:styleId="LightShading11">
    <w:name w:val="Light Shading11"/>
    <w:basedOn w:val="TableNormal"/>
    <w:uiPriority w:val="60"/>
    <w:rsid w:val="00A51EA7"/>
    <w:pPr>
      <w:spacing w:line="240" w:lineRule="auto"/>
    </w:pPr>
    <w:rPr>
      <w:rFonts w:asciiTheme="minorHAnsi" w:eastAsiaTheme="minorEastAsia" w:hAnsiTheme="minorHAnsi" w:cstheme="minorBidi"/>
      <w:color w:val="000000" w:themeColor="text1" w:themeShade="BF"/>
      <w:sz w:val="22"/>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655C8"/>
    <w:pPr>
      <w:autoSpaceDE w:val="0"/>
      <w:autoSpaceDN w:val="0"/>
      <w:adjustRightInd w:val="0"/>
      <w:spacing w:line="240" w:lineRule="auto"/>
    </w:pPr>
    <w:rPr>
      <w:color w:val="000000"/>
      <w:sz w:val="24"/>
      <w:szCs w:val="24"/>
    </w:rPr>
  </w:style>
  <w:style w:type="paragraph" w:styleId="NoSpacing">
    <w:name w:val="No Spacing"/>
    <w:uiPriority w:val="99"/>
    <w:qFormat/>
    <w:rsid w:val="00A43ADA"/>
    <w:pPr>
      <w:spacing w:line="240" w:lineRule="auto"/>
    </w:pPr>
    <w:rPr>
      <w:rFonts w:ascii="Calibri" w:hAnsi="Calibri"/>
      <w:sz w:val="22"/>
      <w:szCs w:val="22"/>
      <w:lang w:val="nl-NL"/>
    </w:rPr>
  </w:style>
  <w:style w:type="paragraph" w:styleId="Revision">
    <w:name w:val="Revision"/>
    <w:hidden/>
    <w:uiPriority w:val="99"/>
    <w:semiHidden/>
    <w:rsid w:val="00C51E9C"/>
    <w:pPr>
      <w:spacing w:line="240" w:lineRule="auto"/>
    </w:pPr>
    <w:rPr>
      <w:sz w:val="24"/>
      <w:szCs w:val="24"/>
    </w:rPr>
  </w:style>
  <w:style w:type="paragraph" w:styleId="EndnoteText">
    <w:name w:val="endnote text"/>
    <w:basedOn w:val="Normal"/>
    <w:link w:val="EndnoteTextChar"/>
    <w:rsid w:val="00F77952"/>
    <w:pPr>
      <w:spacing w:line="240" w:lineRule="auto"/>
    </w:pPr>
  </w:style>
  <w:style w:type="character" w:customStyle="1" w:styleId="EndnoteTextChar">
    <w:name w:val="Endnote Text Char"/>
    <w:basedOn w:val="DefaultParagraphFont"/>
    <w:link w:val="EndnoteText"/>
    <w:rsid w:val="00F77952"/>
    <w:rPr>
      <w:sz w:val="24"/>
      <w:szCs w:val="24"/>
    </w:rPr>
  </w:style>
  <w:style w:type="character" w:styleId="EndnoteReference">
    <w:name w:val="endnote reference"/>
    <w:basedOn w:val="DefaultParagraphFont"/>
    <w:rsid w:val="00F77952"/>
    <w:rPr>
      <w:vertAlign w:val="superscript"/>
    </w:rPr>
  </w:style>
  <w:style w:type="paragraph" w:styleId="ListParagraph">
    <w:name w:val="List Paragraph"/>
    <w:basedOn w:val="Normal"/>
    <w:uiPriority w:val="34"/>
    <w:qFormat/>
    <w:rsid w:val="00552FB9"/>
    <w:pPr>
      <w:ind w:left="720"/>
      <w:contextualSpacing/>
    </w:pPr>
  </w:style>
  <w:style w:type="character" w:styleId="FollowedHyperlink">
    <w:name w:val="FollowedHyperlink"/>
    <w:basedOn w:val="DefaultParagraphFont"/>
    <w:rsid w:val="00122261"/>
    <w:rPr>
      <w:color w:val="800080" w:themeColor="followedHyperlink"/>
      <w:u w:val="single"/>
    </w:rPr>
  </w:style>
  <w:style w:type="paragraph" w:styleId="FootnoteText">
    <w:name w:val="footnote text"/>
    <w:basedOn w:val="Normal"/>
    <w:link w:val="FootnoteTextChar"/>
    <w:rsid w:val="000A771C"/>
    <w:pPr>
      <w:spacing w:line="240" w:lineRule="auto"/>
    </w:pPr>
  </w:style>
  <w:style w:type="character" w:customStyle="1" w:styleId="FootnoteTextChar">
    <w:name w:val="Footnote Text Char"/>
    <w:basedOn w:val="DefaultParagraphFont"/>
    <w:link w:val="FootnoteText"/>
    <w:rsid w:val="000A771C"/>
    <w:rPr>
      <w:sz w:val="24"/>
      <w:szCs w:val="24"/>
    </w:rPr>
  </w:style>
  <w:style w:type="character" w:styleId="FootnoteReference">
    <w:name w:val="footnote reference"/>
    <w:basedOn w:val="DefaultParagraphFont"/>
    <w:rsid w:val="000A771C"/>
    <w:rPr>
      <w:vertAlign w:val="superscript"/>
    </w:rPr>
  </w:style>
  <w:style w:type="paragraph" w:styleId="DocumentMap">
    <w:name w:val="Document Map"/>
    <w:basedOn w:val="Normal"/>
    <w:link w:val="DocumentMapChar"/>
    <w:rsid w:val="00155637"/>
    <w:pPr>
      <w:spacing w:line="240" w:lineRule="auto"/>
    </w:pPr>
    <w:rPr>
      <w:rFonts w:ascii="Lucida Grande" w:hAnsi="Lucida Grande"/>
    </w:rPr>
  </w:style>
  <w:style w:type="character" w:customStyle="1" w:styleId="DocumentMapChar">
    <w:name w:val="Document Map Char"/>
    <w:basedOn w:val="DefaultParagraphFont"/>
    <w:link w:val="DocumentMap"/>
    <w:rsid w:val="00155637"/>
    <w:rPr>
      <w:rFonts w:ascii="Lucida Grande" w:hAnsi="Lucida Grande"/>
      <w:sz w:val="24"/>
      <w:szCs w:val="24"/>
    </w:rPr>
  </w:style>
  <w:style w:type="character" w:styleId="PageNumber">
    <w:name w:val="page number"/>
    <w:basedOn w:val="DefaultParagraphFont"/>
    <w:semiHidden/>
    <w:unhideWhenUsed/>
    <w:rsid w:val="000B299A"/>
  </w:style>
  <w:style w:type="character" w:customStyle="1" w:styleId="apple-converted-space">
    <w:name w:val="apple-converted-space"/>
    <w:basedOn w:val="DefaultParagraphFont"/>
    <w:rsid w:val="009E650C"/>
  </w:style>
  <w:style w:type="table" w:styleId="TableGrid">
    <w:name w:val="Table Grid"/>
    <w:basedOn w:val="TableNormal"/>
    <w:uiPriority w:val="59"/>
    <w:rsid w:val="006D5629"/>
    <w:pPr>
      <w:spacing w:line="240" w:lineRule="auto"/>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8040">
      <w:bodyDiv w:val="1"/>
      <w:marLeft w:val="0"/>
      <w:marRight w:val="0"/>
      <w:marTop w:val="0"/>
      <w:marBottom w:val="0"/>
      <w:divBdr>
        <w:top w:val="none" w:sz="0" w:space="0" w:color="auto"/>
        <w:left w:val="none" w:sz="0" w:space="0" w:color="auto"/>
        <w:bottom w:val="none" w:sz="0" w:space="0" w:color="auto"/>
        <w:right w:val="none" w:sz="0" w:space="0" w:color="auto"/>
      </w:divBdr>
      <w:divsChild>
        <w:div w:id="1631084277">
          <w:marLeft w:val="0"/>
          <w:marRight w:val="0"/>
          <w:marTop w:val="0"/>
          <w:marBottom w:val="0"/>
          <w:divBdr>
            <w:top w:val="none" w:sz="0" w:space="0" w:color="auto"/>
            <w:left w:val="none" w:sz="0" w:space="0" w:color="auto"/>
            <w:bottom w:val="none" w:sz="0" w:space="0" w:color="auto"/>
            <w:right w:val="none" w:sz="0" w:space="0" w:color="auto"/>
          </w:divBdr>
          <w:divsChild>
            <w:div w:id="20843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08">
      <w:bodyDiv w:val="1"/>
      <w:marLeft w:val="0"/>
      <w:marRight w:val="0"/>
      <w:marTop w:val="0"/>
      <w:marBottom w:val="0"/>
      <w:divBdr>
        <w:top w:val="none" w:sz="0" w:space="0" w:color="auto"/>
        <w:left w:val="none" w:sz="0" w:space="0" w:color="auto"/>
        <w:bottom w:val="none" w:sz="0" w:space="0" w:color="auto"/>
        <w:right w:val="none" w:sz="0" w:space="0" w:color="auto"/>
      </w:divBdr>
    </w:div>
    <w:div w:id="120461181">
      <w:bodyDiv w:val="1"/>
      <w:marLeft w:val="0"/>
      <w:marRight w:val="0"/>
      <w:marTop w:val="0"/>
      <w:marBottom w:val="0"/>
      <w:divBdr>
        <w:top w:val="none" w:sz="0" w:space="0" w:color="auto"/>
        <w:left w:val="none" w:sz="0" w:space="0" w:color="auto"/>
        <w:bottom w:val="none" w:sz="0" w:space="0" w:color="auto"/>
        <w:right w:val="none" w:sz="0" w:space="0" w:color="auto"/>
      </w:divBdr>
    </w:div>
    <w:div w:id="436947314">
      <w:bodyDiv w:val="1"/>
      <w:marLeft w:val="0"/>
      <w:marRight w:val="0"/>
      <w:marTop w:val="0"/>
      <w:marBottom w:val="0"/>
      <w:divBdr>
        <w:top w:val="none" w:sz="0" w:space="0" w:color="auto"/>
        <w:left w:val="none" w:sz="0" w:space="0" w:color="auto"/>
        <w:bottom w:val="none" w:sz="0" w:space="0" w:color="auto"/>
        <w:right w:val="none" w:sz="0" w:space="0" w:color="auto"/>
      </w:divBdr>
    </w:div>
    <w:div w:id="729351198">
      <w:bodyDiv w:val="1"/>
      <w:marLeft w:val="0"/>
      <w:marRight w:val="0"/>
      <w:marTop w:val="0"/>
      <w:marBottom w:val="0"/>
      <w:divBdr>
        <w:top w:val="none" w:sz="0" w:space="0" w:color="auto"/>
        <w:left w:val="none" w:sz="0" w:space="0" w:color="auto"/>
        <w:bottom w:val="none" w:sz="0" w:space="0" w:color="auto"/>
        <w:right w:val="none" w:sz="0" w:space="0" w:color="auto"/>
      </w:divBdr>
    </w:div>
    <w:div w:id="1299922914">
      <w:bodyDiv w:val="1"/>
      <w:marLeft w:val="0"/>
      <w:marRight w:val="0"/>
      <w:marTop w:val="0"/>
      <w:marBottom w:val="0"/>
      <w:divBdr>
        <w:top w:val="none" w:sz="0" w:space="0" w:color="auto"/>
        <w:left w:val="none" w:sz="0" w:space="0" w:color="auto"/>
        <w:bottom w:val="none" w:sz="0" w:space="0" w:color="auto"/>
        <w:right w:val="none" w:sz="0" w:space="0" w:color="auto"/>
      </w:divBdr>
    </w:div>
    <w:div w:id="1866750502">
      <w:bodyDiv w:val="1"/>
      <w:marLeft w:val="0"/>
      <w:marRight w:val="0"/>
      <w:marTop w:val="0"/>
      <w:marBottom w:val="0"/>
      <w:divBdr>
        <w:top w:val="none" w:sz="0" w:space="0" w:color="auto"/>
        <w:left w:val="none" w:sz="0" w:space="0" w:color="auto"/>
        <w:bottom w:val="none" w:sz="0" w:space="0" w:color="auto"/>
        <w:right w:val="none" w:sz="0" w:space="0" w:color="auto"/>
      </w:divBdr>
    </w:div>
    <w:div w:id="1929263121">
      <w:bodyDiv w:val="1"/>
      <w:marLeft w:val="0"/>
      <w:marRight w:val="0"/>
      <w:marTop w:val="0"/>
      <w:marBottom w:val="0"/>
      <w:divBdr>
        <w:top w:val="none" w:sz="0" w:space="0" w:color="auto"/>
        <w:left w:val="none" w:sz="0" w:space="0" w:color="auto"/>
        <w:bottom w:val="none" w:sz="0" w:space="0" w:color="auto"/>
        <w:right w:val="none" w:sz="0" w:space="0" w:color="auto"/>
      </w:divBdr>
      <w:divsChild>
        <w:div w:id="1740472252">
          <w:marLeft w:val="0"/>
          <w:marRight w:val="0"/>
          <w:marTop w:val="0"/>
          <w:marBottom w:val="0"/>
          <w:divBdr>
            <w:top w:val="none" w:sz="0" w:space="0" w:color="auto"/>
            <w:left w:val="none" w:sz="0" w:space="0" w:color="auto"/>
            <w:bottom w:val="none" w:sz="0" w:space="0" w:color="auto"/>
            <w:right w:val="none" w:sz="0" w:space="0" w:color="auto"/>
          </w:divBdr>
          <w:divsChild>
            <w:div w:id="1215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zobel@ethz.ch" TargetMode="External"/><Relationship Id="rId20" Type="http://schemas.openxmlformats.org/officeDocument/2006/relationships/theme" Target="theme/theme1.xml"/><Relationship Id="rId10" Type="http://schemas.openxmlformats.org/officeDocument/2006/relationships/hyperlink" Target="mailto:b.lokshin@maastrichtuniversity.nl" TargetMode="External"/><Relationship Id="rId11" Type="http://schemas.openxmlformats.org/officeDocument/2006/relationships/hyperlink" Target="mailto:John.hagedoorn@rhul.ac.uk" TargetMode="External"/><Relationship Id="rId12" Type="http://schemas.openxmlformats.org/officeDocument/2006/relationships/hyperlink" Target="mailto:j.hagedoorn@maastrichtuniversity.nl" TargetMode="External"/><Relationship Id="rId13" Type="http://schemas.openxmlformats.org/officeDocument/2006/relationships/hyperlink" Target="http://www.ingentaconnect.com/content/oup/indcor;jsessionid=3bhhsrs7m2oc8.victoria" TargetMode="External"/><Relationship Id="rId14" Type="http://schemas.openxmlformats.org/officeDocument/2006/relationships/hyperlink" Target="http://elsa.berkeley.edu/~bhhall/papers/HHRS12_IP_choice_lit_survey.pdf" TargetMode="External"/><Relationship Id="rId15" Type="http://schemas.openxmlformats.org/officeDocument/2006/relationships/hyperlink" Target="http://ssrn.com/abstract=1325682"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77D9-F275-7348-B3E7-A166B5F4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12331</Words>
  <Characters>70293</Characters>
  <Application>Microsoft Macintosh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82460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J.Hagedoorn</dc:creator>
  <cp:lastModifiedBy>John Hagedoorn</cp:lastModifiedBy>
  <cp:revision>2</cp:revision>
  <cp:lastPrinted>2016-09-28T09:57:00Z</cp:lastPrinted>
  <dcterms:created xsi:type="dcterms:W3CDTF">2016-10-11T09:20:00Z</dcterms:created>
  <dcterms:modified xsi:type="dcterms:W3CDTF">2016-10-11T09:20:00Z</dcterms:modified>
</cp:coreProperties>
</file>