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58" w:rsidRPr="007723F5" w:rsidRDefault="00F60C58" w:rsidP="00A81624">
      <w:pPr>
        <w:autoSpaceDE w:val="0"/>
        <w:autoSpaceDN w:val="0"/>
        <w:adjustRightInd w:val="0"/>
        <w:ind w:left="-1440" w:right="-1440"/>
        <w:jc w:val="center"/>
        <w:rPr>
          <w:b/>
          <w:sz w:val="28"/>
          <w:szCs w:val="28"/>
          <w:lang w:val="en-GB"/>
        </w:rPr>
      </w:pPr>
    </w:p>
    <w:p w:rsidR="00F60C58" w:rsidRPr="007723F5" w:rsidRDefault="00F60C58" w:rsidP="00F60C58">
      <w:pPr>
        <w:autoSpaceDE w:val="0"/>
        <w:autoSpaceDN w:val="0"/>
        <w:adjustRightInd w:val="0"/>
        <w:jc w:val="center"/>
        <w:rPr>
          <w:b/>
          <w:sz w:val="28"/>
          <w:szCs w:val="28"/>
          <w:lang w:val="en-GB"/>
        </w:rPr>
      </w:pPr>
    </w:p>
    <w:p w:rsidR="00F60C58" w:rsidRPr="007723F5" w:rsidRDefault="00F60C58" w:rsidP="00F60C58">
      <w:pPr>
        <w:autoSpaceDE w:val="0"/>
        <w:autoSpaceDN w:val="0"/>
        <w:adjustRightInd w:val="0"/>
        <w:jc w:val="center"/>
        <w:rPr>
          <w:b/>
          <w:sz w:val="28"/>
          <w:szCs w:val="28"/>
          <w:lang w:val="en-GB"/>
        </w:rPr>
      </w:pPr>
    </w:p>
    <w:p w:rsidR="00A81624" w:rsidRPr="007723F5" w:rsidRDefault="00A81624" w:rsidP="00F60C58">
      <w:pPr>
        <w:autoSpaceDE w:val="0"/>
        <w:autoSpaceDN w:val="0"/>
        <w:adjustRightInd w:val="0"/>
        <w:jc w:val="center"/>
        <w:rPr>
          <w:b/>
          <w:sz w:val="28"/>
          <w:szCs w:val="28"/>
          <w:lang w:val="en-GB"/>
        </w:rPr>
      </w:pPr>
    </w:p>
    <w:p w:rsidR="00A81624" w:rsidRPr="007723F5" w:rsidRDefault="00A81624" w:rsidP="00F60C58">
      <w:pPr>
        <w:autoSpaceDE w:val="0"/>
        <w:autoSpaceDN w:val="0"/>
        <w:adjustRightInd w:val="0"/>
        <w:jc w:val="center"/>
        <w:rPr>
          <w:b/>
          <w:sz w:val="28"/>
          <w:szCs w:val="28"/>
          <w:lang w:val="en-GB"/>
        </w:rPr>
      </w:pPr>
    </w:p>
    <w:p w:rsidR="00A81624" w:rsidRPr="007723F5" w:rsidRDefault="00A81624"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370F08" w:rsidRPr="007723F5" w:rsidRDefault="00370F08" w:rsidP="00F60C58">
      <w:pPr>
        <w:autoSpaceDE w:val="0"/>
        <w:autoSpaceDN w:val="0"/>
        <w:adjustRightInd w:val="0"/>
        <w:jc w:val="center"/>
        <w:rPr>
          <w:b/>
          <w:sz w:val="28"/>
          <w:szCs w:val="28"/>
          <w:lang w:val="en-GB"/>
        </w:rPr>
      </w:pPr>
    </w:p>
    <w:p w:rsidR="00F60C58" w:rsidRPr="007723F5" w:rsidRDefault="00F60C58" w:rsidP="00F60C58">
      <w:pPr>
        <w:autoSpaceDE w:val="0"/>
        <w:autoSpaceDN w:val="0"/>
        <w:adjustRightInd w:val="0"/>
        <w:jc w:val="center"/>
        <w:rPr>
          <w:b/>
          <w:sz w:val="28"/>
          <w:szCs w:val="28"/>
          <w:lang w:val="en-GB"/>
        </w:rPr>
      </w:pPr>
    </w:p>
    <w:p w:rsidR="004745BA" w:rsidRPr="007723F5" w:rsidRDefault="00A24633" w:rsidP="00DF4469">
      <w:pPr>
        <w:autoSpaceDE w:val="0"/>
        <w:autoSpaceDN w:val="0"/>
        <w:adjustRightInd w:val="0"/>
        <w:jc w:val="center"/>
        <w:rPr>
          <w:sz w:val="40"/>
          <w:szCs w:val="40"/>
          <w:lang w:val="en-GB"/>
        </w:rPr>
      </w:pPr>
      <w:r w:rsidRPr="007723F5">
        <w:rPr>
          <w:sz w:val="40"/>
          <w:szCs w:val="40"/>
          <w:lang w:val="en-GB"/>
        </w:rPr>
        <w:t>DUTCH MORTGAGES</w:t>
      </w:r>
      <w:r w:rsidR="004745BA" w:rsidRPr="007723F5">
        <w:rPr>
          <w:sz w:val="40"/>
          <w:szCs w:val="40"/>
          <w:lang w:val="en-GB"/>
        </w:rPr>
        <w:t>:</w:t>
      </w:r>
    </w:p>
    <w:p w:rsidR="004745BA" w:rsidRPr="007723F5" w:rsidRDefault="004745BA" w:rsidP="00DF4469">
      <w:pPr>
        <w:autoSpaceDE w:val="0"/>
        <w:autoSpaceDN w:val="0"/>
        <w:adjustRightInd w:val="0"/>
        <w:jc w:val="center"/>
        <w:rPr>
          <w:sz w:val="40"/>
          <w:szCs w:val="40"/>
          <w:lang w:val="en-GB"/>
        </w:rPr>
      </w:pPr>
    </w:p>
    <w:p w:rsidR="00F52668" w:rsidRPr="007723F5" w:rsidRDefault="00A24633" w:rsidP="00380B4D">
      <w:pPr>
        <w:autoSpaceDE w:val="0"/>
        <w:autoSpaceDN w:val="0"/>
        <w:adjustRightInd w:val="0"/>
        <w:jc w:val="center"/>
        <w:rPr>
          <w:sz w:val="32"/>
          <w:szCs w:val="32"/>
          <w:lang w:val="en-GB"/>
        </w:rPr>
      </w:pPr>
      <w:r w:rsidRPr="007723F5">
        <w:rPr>
          <w:sz w:val="32"/>
          <w:szCs w:val="32"/>
          <w:lang w:val="en-GB"/>
        </w:rPr>
        <w:t>IMPACT OF THE CRISIS ON PROBABILITY OF DEFAULT</w:t>
      </w:r>
    </w:p>
    <w:p w:rsidR="00DF4469" w:rsidRPr="007723F5" w:rsidRDefault="00DF4469" w:rsidP="00DF4469">
      <w:pPr>
        <w:autoSpaceDE w:val="0"/>
        <w:autoSpaceDN w:val="0"/>
        <w:adjustRightInd w:val="0"/>
        <w:jc w:val="center"/>
        <w:rPr>
          <w:sz w:val="32"/>
          <w:szCs w:val="32"/>
          <w:lang w:val="en-GB"/>
        </w:rPr>
      </w:pPr>
    </w:p>
    <w:p w:rsidR="00380B4D" w:rsidRPr="007723F5" w:rsidRDefault="00380B4D" w:rsidP="00380B4D">
      <w:pPr>
        <w:pStyle w:val="a8"/>
        <w:jc w:val="center"/>
        <w:rPr>
          <w:i w:val="0"/>
          <w:sz w:val="32"/>
          <w:szCs w:val="32"/>
          <w:lang w:val="en-GB"/>
        </w:rPr>
      </w:pPr>
      <w:r w:rsidRPr="007723F5">
        <w:rPr>
          <w:i w:val="0"/>
          <w:sz w:val="32"/>
          <w:szCs w:val="32"/>
          <w:lang w:val="en-GB"/>
        </w:rPr>
        <w:t>Jan Kroot &amp; Evangelos Giouvris</w:t>
      </w:r>
    </w:p>
    <w:p w:rsidR="00464DEA" w:rsidRPr="007723F5" w:rsidRDefault="00464DEA" w:rsidP="006A4F63">
      <w:pPr>
        <w:rPr>
          <w:lang w:val="en-US"/>
        </w:rPr>
        <w:sectPr w:rsidR="00464DEA" w:rsidRPr="007723F5" w:rsidSect="0043486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493" w:gutter="0"/>
          <w:pgNumType w:start="1"/>
          <w:cols w:space="708"/>
          <w:docGrid w:linePitch="360"/>
        </w:sectPr>
      </w:pPr>
    </w:p>
    <w:p w:rsidR="00121C79" w:rsidRPr="007723F5" w:rsidRDefault="00121C79" w:rsidP="00121C79">
      <w:pPr>
        <w:autoSpaceDE w:val="0"/>
        <w:autoSpaceDN w:val="0"/>
        <w:adjustRightInd w:val="0"/>
        <w:jc w:val="center"/>
        <w:rPr>
          <w:sz w:val="32"/>
          <w:szCs w:val="32"/>
          <w:lang w:val="en-GB"/>
        </w:rPr>
      </w:pPr>
      <w:r w:rsidRPr="007723F5">
        <w:rPr>
          <w:sz w:val="32"/>
          <w:szCs w:val="32"/>
          <w:lang w:val="en-GB"/>
        </w:rPr>
        <w:lastRenderedPageBreak/>
        <w:t>Dutch mortgages: Impact of the crisis on probability of default</w:t>
      </w:r>
    </w:p>
    <w:p w:rsidR="00121C79" w:rsidRPr="007723F5" w:rsidRDefault="00121C79" w:rsidP="00A15F4D">
      <w:pPr>
        <w:pStyle w:val="a8"/>
        <w:jc w:val="center"/>
        <w:rPr>
          <w:b/>
          <w:i w:val="0"/>
          <w:sz w:val="32"/>
          <w:szCs w:val="32"/>
          <w:lang w:val="en-GB"/>
        </w:rPr>
      </w:pPr>
    </w:p>
    <w:p w:rsidR="00121C79" w:rsidRPr="007723F5" w:rsidRDefault="00380B4D" w:rsidP="00A15F4D">
      <w:pPr>
        <w:pStyle w:val="a8"/>
        <w:jc w:val="center"/>
        <w:rPr>
          <w:i w:val="0"/>
          <w:sz w:val="32"/>
          <w:szCs w:val="32"/>
          <w:lang w:val="en-GB"/>
        </w:rPr>
      </w:pPr>
      <w:r w:rsidRPr="007723F5">
        <w:rPr>
          <w:i w:val="0"/>
          <w:sz w:val="32"/>
          <w:szCs w:val="32"/>
          <w:lang w:val="en-GB"/>
        </w:rPr>
        <w:t>Jan Kroot &amp; Evangelos Giouvris</w:t>
      </w:r>
    </w:p>
    <w:p w:rsidR="00121C79" w:rsidRPr="007723F5" w:rsidRDefault="00121C79" w:rsidP="00A15F4D">
      <w:pPr>
        <w:pStyle w:val="a8"/>
        <w:jc w:val="center"/>
        <w:rPr>
          <w:b/>
          <w:i w:val="0"/>
          <w:sz w:val="32"/>
          <w:szCs w:val="32"/>
          <w:lang w:val="en-GB"/>
        </w:rPr>
      </w:pPr>
    </w:p>
    <w:p w:rsidR="00A15F4D" w:rsidRPr="007723F5" w:rsidRDefault="00857927" w:rsidP="00A15F4D">
      <w:pPr>
        <w:pStyle w:val="a8"/>
        <w:jc w:val="center"/>
        <w:rPr>
          <w:i w:val="0"/>
          <w:sz w:val="32"/>
          <w:szCs w:val="32"/>
          <w:lang w:val="en-GB"/>
        </w:rPr>
      </w:pPr>
      <w:r w:rsidRPr="007723F5">
        <w:rPr>
          <w:i w:val="0"/>
          <w:sz w:val="32"/>
          <w:szCs w:val="32"/>
          <w:lang w:val="en-GB"/>
        </w:rPr>
        <w:t>ABSTRACT</w:t>
      </w:r>
    </w:p>
    <w:p w:rsidR="00A15F4D" w:rsidRPr="007723F5" w:rsidRDefault="00A15F4D" w:rsidP="00E04A80">
      <w:pPr>
        <w:spacing w:line="360" w:lineRule="auto"/>
        <w:jc w:val="both"/>
        <w:rPr>
          <w:lang w:val="en-GB"/>
        </w:rPr>
      </w:pPr>
    </w:p>
    <w:p w:rsidR="004269E4" w:rsidRPr="007723F5" w:rsidRDefault="00603E14" w:rsidP="004269E4">
      <w:pPr>
        <w:spacing w:line="360" w:lineRule="auto"/>
        <w:jc w:val="both"/>
        <w:rPr>
          <w:lang w:val="en-GB"/>
        </w:rPr>
      </w:pPr>
      <w:r w:rsidRPr="007723F5">
        <w:rPr>
          <w:lang w:val="en-GB"/>
        </w:rPr>
        <w:t>This paper analyzes the impact of the financial crisis on the probability of default (PD) for a large Dutch mortgage portfolio</w:t>
      </w:r>
      <w:r w:rsidR="00B137EA" w:rsidRPr="007723F5">
        <w:rPr>
          <w:lang w:val="en-GB"/>
        </w:rPr>
        <w:t xml:space="preserve"> </w:t>
      </w:r>
      <w:r w:rsidR="00042FA5" w:rsidRPr="007723F5">
        <w:rPr>
          <w:lang w:val="en-GB"/>
        </w:rPr>
        <w:t>covering a period from 2001 until 2012</w:t>
      </w:r>
      <w:r w:rsidRPr="007723F5">
        <w:rPr>
          <w:lang w:val="en-GB"/>
        </w:rPr>
        <w:t xml:space="preserve">. A </w:t>
      </w:r>
      <w:r w:rsidR="00FE135D" w:rsidRPr="007723F5">
        <w:rPr>
          <w:lang w:val="en-GB"/>
        </w:rPr>
        <w:t>statistical model has been</w:t>
      </w:r>
      <w:r w:rsidRPr="007723F5">
        <w:rPr>
          <w:lang w:val="en-GB"/>
        </w:rPr>
        <w:t xml:space="preserve"> developed, which determines the likelihood that a healthy mortgage cus</w:t>
      </w:r>
      <w:r w:rsidR="00FE135D" w:rsidRPr="007723F5">
        <w:rPr>
          <w:lang w:val="en-GB"/>
        </w:rPr>
        <w:t>tomer defaults within 12 months</w:t>
      </w:r>
      <w:r w:rsidRPr="007723F5">
        <w:rPr>
          <w:lang w:val="en-GB"/>
        </w:rPr>
        <w:t>. The PD model is based on risk drivers which are related to the characteristics of the customers and their products (internal risk drivers) and to market factors</w:t>
      </w:r>
      <w:r w:rsidR="00FE135D" w:rsidRPr="007723F5">
        <w:rPr>
          <w:lang w:val="en-GB"/>
        </w:rPr>
        <w:t xml:space="preserve"> such</w:t>
      </w:r>
      <w:r w:rsidRPr="007723F5">
        <w:rPr>
          <w:lang w:val="en-GB"/>
        </w:rPr>
        <w:t xml:space="preserve"> as stock market illiquidity, GDP, unemployment and house price index</w:t>
      </w:r>
      <w:r w:rsidR="00FE135D" w:rsidRPr="007723F5">
        <w:rPr>
          <w:lang w:val="en-GB"/>
        </w:rPr>
        <w:t xml:space="preserve"> (external risk drivers)</w:t>
      </w:r>
      <w:r w:rsidRPr="007723F5">
        <w:rPr>
          <w:lang w:val="en-GB"/>
        </w:rPr>
        <w:t xml:space="preserve">. </w:t>
      </w:r>
      <w:r w:rsidR="00FE135D" w:rsidRPr="007723F5">
        <w:rPr>
          <w:lang w:val="en-GB"/>
        </w:rPr>
        <w:t>Data shows that t</w:t>
      </w:r>
      <w:r w:rsidRPr="007723F5">
        <w:rPr>
          <w:lang w:val="en-GB"/>
        </w:rPr>
        <w:t>he financial crisis did not</w:t>
      </w:r>
      <w:r w:rsidR="001576C7" w:rsidRPr="007723F5">
        <w:rPr>
          <w:lang w:val="en-GB"/>
        </w:rPr>
        <w:t xml:space="preserve"> seem to have had the expected worsening</w:t>
      </w:r>
      <w:r w:rsidRPr="007723F5">
        <w:rPr>
          <w:lang w:val="en-GB"/>
        </w:rPr>
        <w:t xml:space="preserve"> impact on the </w:t>
      </w:r>
      <w:r w:rsidR="00FE135D" w:rsidRPr="007723F5">
        <w:rPr>
          <w:lang w:val="en-GB"/>
        </w:rPr>
        <w:t xml:space="preserve">observed customer defaults. </w:t>
      </w:r>
      <w:r w:rsidR="001576C7" w:rsidRPr="007723F5">
        <w:rPr>
          <w:lang w:val="en-GB"/>
        </w:rPr>
        <w:t>However, t</w:t>
      </w:r>
      <w:r w:rsidR="00FE135D" w:rsidRPr="007723F5">
        <w:rPr>
          <w:lang w:val="en-GB"/>
        </w:rPr>
        <w:t>his is the result of simultaneous</w:t>
      </w:r>
      <w:r w:rsidRPr="007723F5">
        <w:rPr>
          <w:lang w:val="en-GB"/>
        </w:rPr>
        <w:t xml:space="preserve"> debt collection improvements. </w:t>
      </w:r>
      <w:r w:rsidR="00FE135D" w:rsidRPr="007723F5">
        <w:rPr>
          <w:lang w:val="en-GB"/>
        </w:rPr>
        <w:t xml:space="preserve">This paper shows how the internal drivers of the model are able to pick up the effect of the collection process </w:t>
      </w:r>
      <w:r w:rsidR="004269E4" w:rsidRPr="007723F5">
        <w:rPr>
          <w:lang w:val="en-GB"/>
        </w:rPr>
        <w:t>improvements (decrease in PD)</w:t>
      </w:r>
      <w:r w:rsidR="00FE135D" w:rsidRPr="007723F5">
        <w:rPr>
          <w:lang w:val="en-GB"/>
        </w:rPr>
        <w:t>, whereas the external drivers add significant value to the model to also address</w:t>
      </w:r>
      <w:r w:rsidR="004269E4" w:rsidRPr="007723F5">
        <w:rPr>
          <w:lang w:val="en-GB"/>
        </w:rPr>
        <w:t xml:space="preserve"> the crisis effect (increase in PD).</w:t>
      </w:r>
    </w:p>
    <w:p w:rsidR="00F52668" w:rsidRPr="007723F5" w:rsidRDefault="00F52668" w:rsidP="004269E4">
      <w:pPr>
        <w:spacing w:line="360" w:lineRule="auto"/>
        <w:jc w:val="both"/>
        <w:rPr>
          <w:lang w:val="en-GB"/>
        </w:rPr>
      </w:pPr>
    </w:p>
    <w:p w:rsidR="00F52668" w:rsidRPr="007723F5" w:rsidRDefault="00F52668" w:rsidP="004269E4">
      <w:pPr>
        <w:spacing w:line="360" w:lineRule="auto"/>
        <w:jc w:val="both"/>
        <w:rPr>
          <w:lang w:val="en-GB"/>
        </w:rPr>
      </w:pPr>
      <w:r w:rsidRPr="007723F5">
        <w:rPr>
          <w:lang w:val="en-GB"/>
        </w:rPr>
        <w:t>JEL: C1, R3</w:t>
      </w:r>
    </w:p>
    <w:p w:rsidR="00F52668" w:rsidRPr="007723F5" w:rsidRDefault="00F52668" w:rsidP="004269E4">
      <w:pPr>
        <w:spacing w:line="360" w:lineRule="auto"/>
        <w:jc w:val="both"/>
        <w:rPr>
          <w:lang w:val="en-GB"/>
        </w:rPr>
      </w:pPr>
      <w:r w:rsidRPr="007723F5">
        <w:rPr>
          <w:lang w:val="en-GB"/>
        </w:rPr>
        <w:t>Keywords: probability of default (PD), Dutch mortgages, liquidity, European debt crisis</w:t>
      </w:r>
    </w:p>
    <w:p w:rsidR="00F52668" w:rsidRPr="007723F5" w:rsidRDefault="00F52668" w:rsidP="004269E4">
      <w:pPr>
        <w:spacing w:line="360" w:lineRule="auto"/>
        <w:jc w:val="both"/>
        <w:rPr>
          <w:lang w:val="en-GB"/>
        </w:rPr>
      </w:pPr>
    </w:p>
    <w:p w:rsidR="00F52668" w:rsidRPr="007723F5" w:rsidRDefault="00F52668" w:rsidP="004269E4">
      <w:pPr>
        <w:spacing w:line="360" w:lineRule="auto"/>
        <w:jc w:val="both"/>
        <w:rPr>
          <w:lang w:val="en-GB"/>
        </w:rPr>
      </w:pPr>
    </w:p>
    <w:p w:rsidR="00F52668" w:rsidRPr="007723F5" w:rsidRDefault="00F52668" w:rsidP="004269E4">
      <w:pPr>
        <w:spacing w:line="360" w:lineRule="auto"/>
        <w:jc w:val="both"/>
        <w:rPr>
          <w:lang w:val="en-GB"/>
        </w:rPr>
      </w:pPr>
    </w:p>
    <w:p w:rsidR="00E350E2" w:rsidRPr="007723F5" w:rsidRDefault="00E350E2" w:rsidP="009C3497">
      <w:pPr>
        <w:jc w:val="both"/>
        <w:rPr>
          <w:lang w:val="en-GB"/>
        </w:rPr>
        <w:sectPr w:rsidR="00E350E2" w:rsidRPr="007723F5" w:rsidSect="0043486C">
          <w:pgSz w:w="11907" w:h="16840" w:code="9"/>
          <w:pgMar w:top="1440" w:right="1440" w:bottom="1276" w:left="1440" w:header="709" w:footer="445" w:gutter="0"/>
          <w:cols w:space="708"/>
          <w:docGrid w:linePitch="360"/>
        </w:sectPr>
      </w:pPr>
    </w:p>
    <w:p w:rsidR="00F52668" w:rsidRPr="007723F5" w:rsidRDefault="00F52668" w:rsidP="00F52668">
      <w:pPr>
        <w:autoSpaceDE w:val="0"/>
        <w:autoSpaceDN w:val="0"/>
        <w:adjustRightInd w:val="0"/>
        <w:jc w:val="center"/>
        <w:rPr>
          <w:sz w:val="32"/>
          <w:szCs w:val="32"/>
          <w:lang w:val="en-GB"/>
        </w:rPr>
      </w:pPr>
      <w:bookmarkStart w:id="0" w:name="_Ref257577827"/>
      <w:bookmarkStart w:id="1" w:name="_Toc371788229"/>
      <w:r w:rsidRPr="007723F5">
        <w:rPr>
          <w:sz w:val="32"/>
          <w:szCs w:val="32"/>
          <w:lang w:val="en-GB"/>
        </w:rPr>
        <w:lastRenderedPageBreak/>
        <w:t>Dutch mortgages: Impact of the crisis on probability of default</w:t>
      </w:r>
    </w:p>
    <w:p w:rsidR="00F52668" w:rsidRPr="007723F5" w:rsidRDefault="00F52668" w:rsidP="00F52668">
      <w:pPr>
        <w:autoSpaceDE w:val="0"/>
        <w:autoSpaceDN w:val="0"/>
        <w:adjustRightInd w:val="0"/>
        <w:jc w:val="center"/>
        <w:rPr>
          <w:sz w:val="32"/>
          <w:szCs w:val="32"/>
          <w:lang w:val="en-GB"/>
        </w:rPr>
      </w:pPr>
    </w:p>
    <w:p w:rsidR="00CE0C51" w:rsidRPr="007723F5" w:rsidRDefault="00D45FEB" w:rsidP="004A3B68">
      <w:pPr>
        <w:pStyle w:val="1"/>
        <w:numPr>
          <w:ilvl w:val="0"/>
          <w:numId w:val="0"/>
        </w:numPr>
      </w:pPr>
      <w:r w:rsidRPr="007723F5">
        <w:t xml:space="preserve">1 </w:t>
      </w:r>
      <w:r w:rsidR="00464DEA" w:rsidRPr="007723F5">
        <w:t>Introduction</w:t>
      </w:r>
      <w:bookmarkEnd w:id="0"/>
      <w:bookmarkEnd w:id="1"/>
    </w:p>
    <w:p w:rsidR="00111664" w:rsidRPr="007723F5" w:rsidRDefault="00436D02"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r w:rsidRPr="007723F5">
        <w:rPr>
          <w:lang w:val="en-GB"/>
        </w:rPr>
        <w:t>Banks are required to hold sufficient capital to protect them against unexpected los</w:t>
      </w:r>
      <w:r w:rsidR="00007CB6" w:rsidRPr="007723F5">
        <w:rPr>
          <w:lang w:val="en-GB"/>
        </w:rPr>
        <w:t xml:space="preserve">ses. In the Basel II framework, </w:t>
      </w:r>
      <w:r w:rsidRPr="007723F5">
        <w:rPr>
          <w:lang w:val="en-GB"/>
        </w:rPr>
        <w:t>the amount of capital that a bank should hold is calculated on the basis of risk-weighted assets formulas. One of the major components in the derivation of the</w:t>
      </w:r>
      <w:r w:rsidR="0084509C" w:rsidRPr="007723F5">
        <w:rPr>
          <w:lang w:val="en-GB"/>
        </w:rPr>
        <w:t>se risk-weighted assets is the p</w:t>
      </w:r>
      <w:r w:rsidRPr="007723F5">
        <w:rPr>
          <w:lang w:val="en-GB"/>
        </w:rPr>
        <w:t xml:space="preserve">robability of </w:t>
      </w:r>
      <w:r w:rsidR="0084509C" w:rsidRPr="007723F5">
        <w:rPr>
          <w:lang w:val="en-GB"/>
        </w:rPr>
        <w:t>d</w:t>
      </w:r>
      <w:r w:rsidR="00B50EE6" w:rsidRPr="007723F5">
        <w:rPr>
          <w:lang w:val="en-GB"/>
        </w:rPr>
        <w:t>efault (PD).</w:t>
      </w:r>
      <w:r w:rsidR="004A3B68" w:rsidRPr="007723F5">
        <w:rPr>
          <w:lang w:val="en-GB"/>
        </w:rPr>
        <w:t xml:space="preserve"> </w:t>
      </w:r>
      <w:r w:rsidRPr="007723F5">
        <w:rPr>
          <w:lang w:val="en-GB"/>
        </w:rPr>
        <w:t xml:space="preserve">The PD is a quantitative measure which expresses the likelihood that a </w:t>
      </w:r>
      <w:r w:rsidR="001576C7" w:rsidRPr="007723F5">
        <w:rPr>
          <w:lang w:val="en-GB"/>
        </w:rPr>
        <w:t>financially performing</w:t>
      </w:r>
      <w:r w:rsidRPr="007723F5">
        <w:rPr>
          <w:lang w:val="en-GB"/>
        </w:rPr>
        <w:t xml:space="preserve"> borrower defaults within 12 months. PD models are typically determined separately for different customer se</w:t>
      </w:r>
      <w:r w:rsidR="000C19CF" w:rsidRPr="007723F5">
        <w:rPr>
          <w:lang w:val="en-GB"/>
        </w:rPr>
        <w:t>gments, such as large corporat</w:t>
      </w:r>
      <w:r w:rsidR="0099420D" w:rsidRPr="007723F5">
        <w:rPr>
          <w:lang w:val="en-GB"/>
        </w:rPr>
        <w:t>es</w:t>
      </w:r>
      <w:r w:rsidRPr="007723F5">
        <w:rPr>
          <w:lang w:val="en-GB"/>
        </w:rPr>
        <w:t xml:space="preserve">, small and medium enterprises, and private individuals. </w:t>
      </w:r>
    </w:p>
    <w:p w:rsidR="004A3B68" w:rsidRPr="007723F5" w:rsidRDefault="004A3B68"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p>
    <w:p w:rsidR="00F45B1E" w:rsidRPr="007723F5" w:rsidRDefault="00F45B1E" w:rsidP="00F45B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r w:rsidRPr="007723F5">
        <w:rPr>
          <w:lang w:val="en-GB"/>
        </w:rPr>
        <w:t>Extensive literature exists on PD modelling. Typically, loans to businesses require expert modelling, because the number of observed defaults is too low for statistical analysis. Therefore, banks often make use of external ratings from e.g. credit rating agencies (CRAs) such as Standard and Poor’s and Moody’s. Large datasets, suitable for statistical analyses, are available in case either a lot of defaults occur, or when the loan portfolios are large. The latter is the case for retail lending, such as mortgage loans. Literature on statistical models used for PD modelling is also extensive, especially as a result of the upcoming capital regulations in the last couple of decennia. This literature discusses the representativeness and the completeness of the used data, the types of statistical models and the corresponding parameters, and the relevance of application in different regimes of the economic cycle. However, literature about the application of PD models to mortgage portfolios is limited, especially with the inclusion of the data of the recent credit crisis. This paper aims to fill the gap in literature to assess how the crisis has impacted the PD of mortgages. The underlying dataset from March 2001 until October 2012 covers a full economic cycle in the Netherlands and specifically includes the crisis years. Note that this paper is not aiming to introduce a new statistical model, or to prove the completeness of the dataset, because this can already be derived from the fact that the model, for it to be Basel II compliant, has been validated and approved by the relevant regulatory institutions. Additionally, whereas regulatory models typically only include customer and contract information internally available in a bank, the model presented in this paper also incorporates external market information.</w:t>
      </w:r>
    </w:p>
    <w:p w:rsidR="00F45B1E" w:rsidRPr="007723F5" w:rsidRDefault="00F45B1E"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p>
    <w:p w:rsidR="00436D02" w:rsidRPr="007723F5" w:rsidRDefault="00111664"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r w:rsidRPr="007723F5">
        <w:rPr>
          <w:lang w:val="en-GB"/>
        </w:rPr>
        <w:lastRenderedPageBreak/>
        <w:t>This paper investigates the impact of the financial crisis on the PD model for Dutch mortgages</w:t>
      </w:r>
      <w:r w:rsidR="004A3B68" w:rsidRPr="007723F5">
        <w:rPr>
          <w:lang w:val="en-GB"/>
        </w:rPr>
        <w:t>, based on data of one of the largest Dutch mortgage providers</w:t>
      </w:r>
      <w:r w:rsidR="00FC1C0A" w:rsidRPr="007723F5">
        <w:rPr>
          <w:rStyle w:val="af"/>
          <w:lang w:val="en-GB"/>
        </w:rPr>
        <w:footnoteReference w:id="2"/>
      </w:r>
      <w:r w:rsidRPr="007723F5">
        <w:rPr>
          <w:lang w:val="en-GB"/>
        </w:rPr>
        <w:t xml:space="preserve">. </w:t>
      </w:r>
      <w:r w:rsidR="00436D02" w:rsidRPr="007723F5">
        <w:rPr>
          <w:lang w:val="en-GB"/>
        </w:rPr>
        <w:t xml:space="preserve">There are several reasons to expect that the impact is large. </w:t>
      </w:r>
      <w:r w:rsidR="004A3B68" w:rsidRPr="007723F5">
        <w:rPr>
          <w:lang w:val="en-GB"/>
        </w:rPr>
        <w:t>Customer</w:t>
      </w:r>
      <w:r w:rsidR="00436D02" w:rsidRPr="007723F5">
        <w:rPr>
          <w:lang w:val="en-GB"/>
        </w:rPr>
        <w:t xml:space="preserve">s </w:t>
      </w:r>
      <w:r w:rsidR="000C19CF" w:rsidRPr="007723F5">
        <w:rPr>
          <w:lang w:val="en-GB"/>
        </w:rPr>
        <w:t xml:space="preserve">are likely to default </w:t>
      </w:r>
      <w:r w:rsidR="00436D02" w:rsidRPr="007723F5">
        <w:rPr>
          <w:lang w:val="en-GB"/>
        </w:rPr>
        <w:t>due to worsening market factors such as increasing unemployment, declining house prices and tightening borrowing practices. As part of the impact analysis of the crisis, a number of related sub-questions needs to be answered, such as:</w:t>
      </w:r>
      <w:r w:rsidRPr="007723F5">
        <w:rPr>
          <w:lang w:val="en-GB"/>
        </w:rPr>
        <w:t xml:space="preserve"> i) </w:t>
      </w:r>
      <w:r w:rsidR="00436D02" w:rsidRPr="007723F5">
        <w:rPr>
          <w:lang w:val="en-GB"/>
        </w:rPr>
        <w:t>What are the main specificities of the Dutch mortgage market that affect the model?</w:t>
      </w:r>
      <w:r w:rsidRPr="007723F5">
        <w:rPr>
          <w:lang w:val="en-GB"/>
        </w:rPr>
        <w:t xml:space="preserve"> ii) </w:t>
      </w:r>
      <w:r w:rsidR="00436D02" w:rsidRPr="007723F5">
        <w:rPr>
          <w:lang w:val="en-GB"/>
        </w:rPr>
        <w:t xml:space="preserve">Can a statistical model be constructed in such a way that it picks up the changes in the market and in </w:t>
      </w:r>
      <w:r w:rsidR="004A3B68" w:rsidRPr="007723F5">
        <w:rPr>
          <w:lang w:val="en-GB"/>
        </w:rPr>
        <w:t>customer</w:t>
      </w:r>
      <w:r w:rsidR="00436D02" w:rsidRPr="007723F5">
        <w:rPr>
          <w:lang w:val="en-GB"/>
        </w:rPr>
        <w:t xml:space="preserve"> </w:t>
      </w:r>
      <w:r w:rsidR="004B4C88" w:rsidRPr="007723F5">
        <w:rPr>
          <w:lang w:val="en-GB"/>
        </w:rPr>
        <w:t>behaviour</w:t>
      </w:r>
      <w:r w:rsidR="00436D02" w:rsidRPr="007723F5">
        <w:rPr>
          <w:lang w:val="en-GB"/>
        </w:rPr>
        <w:t xml:space="preserve"> to come up with an accurate PD estimate </w:t>
      </w:r>
      <w:r w:rsidR="001576C7" w:rsidRPr="007723F5">
        <w:rPr>
          <w:lang w:val="en-GB"/>
        </w:rPr>
        <w:t>on portfolio level</w:t>
      </w:r>
      <w:r w:rsidR="00436D02" w:rsidRPr="007723F5">
        <w:rPr>
          <w:lang w:val="en-GB"/>
        </w:rPr>
        <w:t>?</w:t>
      </w:r>
      <w:r w:rsidRPr="007723F5">
        <w:rPr>
          <w:lang w:val="en-GB"/>
        </w:rPr>
        <w:t xml:space="preserve"> iii) </w:t>
      </w:r>
      <w:r w:rsidR="00436D02" w:rsidRPr="007723F5">
        <w:rPr>
          <w:lang w:val="en-GB"/>
        </w:rPr>
        <w:t xml:space="preserve">To what extent do changes in </w:t>
      </w:r>
      <w:r w:rsidR="001576C7" w:rsidRPr="007723F5">
        <w:rPr>
          <w:lang w:val="en-GB"/>
        </w:rPr>
        <w:t>collection</w:t>
      </w:r>
      <w:r w:rsidR="00436D02" w:rsidRPr="007723F5">
        <w:rPr>
          <w:lang w:val="en-GB"/>
        </w:rPr>
        <w:t xml:space="preserve"> processes have an effect on the model outcome?</w:t>
      </w:r>
      <w:r w:rsidR="004A3B68" w:rsidRPr="007723F5">
        <w:rPr>
          <w:lang w:val="en-GB"/>
        </w:rPr>
        <w:t xml:space="preserve"> </w:t>
      </w:r>
      <w:r w:rsidR="00503CFA" w:rsidRPr="007723F5">
        <w:rPr>
          <w:lang w:val="en-GB"/>
        </w:rPr>
        <w:t xml:space="preserve">In order to answer these questions, the first step is to </w:t>
      </w:r>
      <w:r w:rsidR="004B4C88" w:rsidRPr="007723F5">
        <w:rPr>
          <w:lang w:val="en-GB"/>
        </w:rPr>
        <w:t>design</w:t>
      </w:r>
      <w:r w:rsidR="00503CFA" w:rsidRPr="007723F5">
        <w:rPr>
          <w:lang w:val="en-GB"/>
        </w:rPr>
        <w:t xml:space="preserve"> a statistical model that can predict the probability of default (PD) accurately. </w:t>
      </w:r>
      <w:r w:rsidR="00436D02" w:rsidRPr="007723F5">
        <w:rPr>
          <w:lang w:val="en-GB"/>
        </w:rPr>
        <w:t xml:space="preserve">The statistical method that will be applied is the logistic regression method. </w:t>
      </w:r>
      <w:r w:rsidR="0099420D" w:rsidRPr="007723F5">
        <w:rPr>
          <w:lang w:val="en-GB"/>
        </w:rPr>
        <w:t>It searches for</w:t>
      </w:r>
      <w:r w:rsidR="00436D02" w:rsidRPr="007723F5">
        <w:rPr>
          <w:lang w:val="en-GB"/>
        </w:rPr>
        <w:t xml:space="preserve"> relevant risk drivers that can predict the PD</w:t>
      </w:r>
      <w:r w:rsidR="005A0A1E" w:rsidRPr="007723F5">
        <w:rPr>
          <w:lang w:val="en-GB"/>
        </w:rPr>
        <w:t xml:space="preserve"> level per </w:t>
      </w:r>
      <w:r w:rsidR="004A3B68" w:rsidRPr="007723F5">
        <w:rPr>
          <w:lang w:val="en-GB"/>
        </w:rPr>
        <w:t>customer</w:t>
      </w:r>
      <w:r w:rsidR="005A0A1E" w:rsidRPr="007723F5">
        <w:rPr>
          <w:lang w:val="en-GB"/>
        </w:rPr>
        <w:t xml:space="preserve"> and</w:t>
      </w:r>
      <w:r w:rsidR="00436D02" w:rsidRPr="007723F5">
        <w:rPr>
          <w:lang w:val="en-GB"/>
        </w:rPr>
        <w:t xml:space="preserve"> a calibration </w:t>
      </w:r>
      <w:r w:rsidR="004A3B68" w:rsidRPr="007723F5">
        <w:rPr>
          <w:lang w:val="en-GB"/>
        </w:rPr>
        <w:t>level</w:t>
      </w:r>
      <w:r w:rsidR="00CB6219" w:rsidRPr="007723F5">
        <w:rPr>
          <w:lang w:val="en-GB"/>
        </w:rPr>
        <w:t xml:space="preserve"> that is conceptually sound</w:t>
      </w:r>
      <w:r w:rsidR="00436D02" w:rsidRPr="007723F5">
        <w:rPr>
          <w:lang w:val="en-GB"/>
        </w:rPr>
        <w:t xml:space="preserve">. The resulting statistical model can then be used to analyze the impact of </w:t>
      </w:r>
      <w:r w:rsidR="00CB6219" w:rsidRPr="007723F5">
        <w:rPr>
          <w:lang w:val="en-GB"/>
        </w:rPr>
        <w:t xml:space="preserve">the crisis on the PD </w:t>
      </w:r>
      <w:r w:rsidR="004A3B68" w:rsidRPr="007723F5">
        <w:rPr>
          <w:lang w:val="en-GB"/>
        </w:rPr>
        <w:t>scores</w:t>
      </w:r>
      <w:r w:rsidR="00436D02" w:rsidRPr="007723F5">
        <w:rPr>
          <w:lang w:val="en-GB"/>
        </w:rPr>
        <w:t>.</w:t>
      </w:r>
    </w:p>
    <w:p w:rsidR="00212613" w:rsidRPr="007723F5" w:rsidRDefault="00212613"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p>
    <w:p w:rsidR="00E978D5" w:rsidRPr="007723F5" w:rsidRDefault="0061286D"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r w:rsidRPr="007723F5">
        <w:rPr>
          <w:lang w:val="en-GB"/>
        </w:rPr>
        <w:t>This</w:t>
      </w:r>
      <w:r w:rsidR="00AD2763" w:rsidRPr="007723F5">
        <w:rPr>
          <w:lang w:val="en-GB"/>
        </w:rPr>
        <w:t xml:space="preserve"> </w:t>
      </w:r>
      <w:r w:rsidRPr="007723F5">
        <w:rPr>
          <w:lang w:val="en-GB"/>
        </w:rPr>
        <w:t>study</w:t>
      </w:r>
      <w:r w:rsidR="00AD2763" w:rsidRPr="007723F5">
        <w:rPr>
          <w:lang w:val="en-GB"/>
        </w:rPr>
        <w:t xml:space="preserve"> </w:t>
      </w:r>
      <w:r w:rsidRPr="007723F5">
        <w:rPr>
          <w:lang w:val="en-GB"/>
        </w:rPr>
        <w:t>may</w:t>
      </w:r>
      <w:r w:rsidR="00AD2763" w:rsidRPr="007723F5">
        <w:rPr>
          <w:lang w:val="en-GB"/>
        </w:rPr>
        <w:t xml:space="preserve"> serve </w:t>
      </w:r>
      <w:r w:rsidRPr="007723F5">
        <w:rPr>
          <w:lang w:val="en-GB"/>
        </w:rPr>
        <w:t xml:space="preserve">as a much awaited update on older papers (see </w:t>
      </w:r>
      <w:r w:rsidR="00B83EA1" w:rsidRPr="007723F5">
        <w:rPr>
          <w:lang w:val="en-GB"/>
        </w:rPr>
        <w:t xml:space="preserve">e.g. </w:t>
      </w:r>
      <w:r w:rsidRPr="007723F5">
        <w:rPr>
          <w:lang w:val="en-GB"/>
        </w:rPr>
        <w:t xml:space="preserve">Medema et al., 2009). It also closes a gap in the literature since </w:t>
      </w:r>
      <w:r w:rsidR="007701FB" w:rsidRPr="007723F5">
        <w:rPr>
          <w:lang w:val="en-GB"/>
        </w:rPr>
        <w:t xml:space="preserve">the </w:t>
      </w:r>
      <w:r w:rsidRPr="007723F5">
        <w:rPr>
          <w:lang w:val="en-GB"/>
        </w:rPr>
        <w:t>financial cris</w:t>
      </w:r>
      <w:r w:rsidR="007701FB" w:rsidRPr="007723F5">
        <w:rPr>
          <w:lang w:val="en-GB"/>
        </w:rPr>
        <w:t xml:space="preserve">is </w:t>
      </w:r>
      <w:r w:rsidR="00B83EA1" w:rsidRPr="007723F5">
        <w:rPr>
          <w:lang w:val="en-GB"/>
        </w:rPr>
        <w:t xml:space="preserve">is incorporated in the </w:t>
      </w:r>
      <w:r w:rsidR="007701FB" w:rsidRPr="007723F5">
        <w:rPr>
          <w:lang w:val="en-GB"/>
        </w:rPr>
        <w:t>analysis</w:t>
      </w:r>
      <w:r w:rsidR="00A94E2B" w:rsidRPr="007723F5">
        <w:rPr>
          <w:lang w:val="en-GB"/>
        </w:rPr>
        <w:t xml:space="preserve"> and proprietary data is used</w:t>
      </w:r>
      <w:r w:rsidRPr="007723F5">
        <w:rPr>
          <w:lang w:val="en-GB"/>
        </w:rPr>
        <w:t xml:space="preserve">. In </w:t>
      </w:r>
      <w:r w:rsidR="007701FB" w:rsidRPr="007723F5">
        <w:rPr>
          <w:lang w:val="en-GB"/>
        </w:rPr>
        <w:t>a</w:t>
      </w:r>
      <w:bookmarkStart w:id="2" w:name="_GoBack"/>
      <w:bookmarkEnd w:id="2"/>
      <w:r w:rsidR="007701FB" w:rsidRPr="007723F5">
        <w:rPr>
          <w:lang w:val="en-GB"/>
        </w:rPr>
        <w:t>ddition</w:t>
      </w:r>
      <w:r w:rsidR="00B83EA1" w:rsidRPr="007723F5">
        <w:rPr>
          <w:lang w:val="en-GB"/>
        </w:rPr>
        <w:t>,</w:t>
      </w:r>
      <w:r w:rsidR="007701FB" w:rsidRPr="007723F5">
        <w:rPr>
          <w:lang w:val="en-GB"/>
        </w:rPr>
        <w:t xml:space="preserve"> this paper</w:t>
      </w:r>
      <w:r w:rsidRPr="007723F5">
        <w:rPr>
          <w:lang w:val="en-GB"/>
        </w:rPr>
        <w:t xml:space="preserve"> incorporates externa</w:t>
      </w:r>
      <w:r w:rsidR="007701FB" w:rsidRPr="007723F5">
        <w:rPr>
          <w:lang w:val="en-GB"/>
        </w:rPr>
        <w:t xml:space="preserve">l macroeconomic factors into its </w:t>
      </w:r>
      <w:r w:rsidRPr="007723F5">
        <w:rPr>
          <w:lang w:val="en-GB"/>
        </w:rPr>
        <w:t>modelling</w:t>
      </w:r>
      <w:r w:rsidR="00B51D22" w:rsidRPr="007723F5">
        <w:rPr>
          <w:lang w:val="en-GB"/>
        </w:rPr>
        <w:t xml:space="preserve"> such as stock market liquidity</w:t>
      </w:r>
      <w:r w:rsidR="009D3373" w:rsidRPr="007723F5">
        <w:rPr>
          <w:lang w:val="en-GB"/>
        </w:rPr>
        <w:t xml:space="preserve">, a variable </w:t>
      </w:r>
      <w:r w:rsidR="00B83EA1" w:rsidRPr="007723F5">
        <w:rPr>
          <w:lang w:val="en-GB"/>
        </w:rPr>
        <w:t xml:space="preserve">the authors </w:t>
      </w:r>
      <w:r w:rsidR="00022E59" w:rsidRPr="007723F5">
        <w:rPr>
          <w:lang w:val="en-GB"/>
        </w:rPr>
        <w:t>have</w:t>
      </w:r>
      <w:r w:rsidR="00B83EA1" w:rsidRPr="007723F5">
        <w:rPr>
          <w:lang w:val="en-GB"/>
        </w:rPr>
        <w:t xml:space="preserve"> </w:t>
      </w:r>
      <w:r w:rsidR="009D3373" w:rsidRPr="007723F5">
        <w:rPr>
          <w:lang w:val="en-GB"/>
        </w:rPr>
        <w:t>not come across in any other relevant study</w:t>
      </w:r>
      <w:r w:rsidR="00320F38" w:rsidRPr="007723F5">
        <w:rPr>
          <w:lang w:val="en-GB"/>
        </w:rPr>
        <w:t xml:space="preserve"> and other qualitative variables such as changes</w:t>
      </w:r>
      <w:r w:rsidR="00C42690" w:rsidRPr="007723F5">
        <w:rPr>
          <w:lang w:val="en-GB"/>
        </w:rPr>
        <w:t xml:space="preserve"> (intensification) </w:t>
      </w:r>
      <w:r w:rsidR="00320F38" w:rsidRPr="007723F5">
        <w:rPr>
          <w:lang w:val="en-GB"/>
        </w:rPr>
        <w:t xml:space="preserve">in instalment collection processes </w:t>
      </w:r>
      <w:r w:rsidR="007A443D" w:rsidRPr="007723F5">
        <w:rPr>
          <w:lang w:val="en-GB"/>
        </w:rPr>
        <w:t>which</w:t>
      </w:r>
      <w:r w:rsidR="00320F38" w:rsidRPr="007723F5">
        <w:rPr>
          <w:lang w:val="en-GB"/>
        </w:rPr>
        <w:t xml:space="preserve"> lower probability of default (PD). </w:t>
      </w:r>
      <w:r w:rsidR="00C42690" w:rsidRPr="007723F5">
        <w:rPr>
          <w:lang w:val="en-GB"/>
        </w:rPr>
        <w:t>Overall</w:t>
      </w:r>
      <w:r w:rsidR="003E3AA9" w:rsidRPr="007723F5">
        <w:rPr>
          <w:lang w:val="en-GB"/>
        </w:rPr>
        <w:t>,</w:t>
      </w:r>
      <w:r w:rsidR="00C42690" w:rsidRPr="007723F5">
        <w:rPr>
          <w:lang w:val="en-GB"/>
        </w:rPr>
        <w:t xml:space="preserve"> </w:t>
      </w:r>
      <w:r w:rsidR="003E3AA9" w:rsidRPr="007723F5">
        <w:rPr>
          <w:lang w:val="en-GB"/>
        </w:rPr>
        <w:t xml:space="preserve">the authors </w:t>
      </w:r>
      <w:r w:rsidR="00C42690" w:rsidRPr="007723F5">
        <w:rPr>
          <w:lang w:val="en-GB"/>
        </w:rPr>
        <w:t xml:space="preserve">believe that </w:t>
      </w:r>
      <w:r w:rsidR="003E3AA9" w:rsidRPr="007723F5">
        <w:rPr>
          <w:lang w:val="en-GB"/>
        </w:rPr>
        <w:t xml:space="preserve">risk managers, </w:t>
      </w:r>
      <w:r w:rsidR="00C42690" w:rsidRPr="007723F5">
        <w:rPr>
          <w:lang w:val="en-GB"/>
        </w:rPr>
        <w:t xml:space="preserve">policy makers, academics, bankers, and even macro-economists have a lot to learn from the Dutch experience. </w:t>
      </w:r>
      <w:r w:rsidR="00AD0DF7" w:rsidRPr="007723F5">
        <w:rPr>
          <w:lang w:val="en-GB"/>
        </w:rPr>
        <w:t xml:space="preserve">Existing models should be enriched to include more </w:t>
      </w:r>
      <w:r w:rsidR="00A60983" w:rsidRPr="007723F5">
        <w:rPr>
          <w:lang w:val="en-GB"/>
        </w:rPr>
        <w:t>external market risk drivers such as macroeconomic variables but also qualitative variables such as changes in internal policies (in this case intensification of collection processes).</w:t>
      </w:r>
      <w:r w:rsidR="00AD0DF7" w:rsidRPr="007723F5">
        <w:rPr>
          <w:lang w:val="en-GB"/>
        </w:rPr>
        <w:t xml:space="preserve"> </w:t>
      </w:r>
      <w:r w:rsidR="00A60983" w:rsidRPr="007723F5">
        <w:rPr>
          <w:lang w:val="en-GB"/>
        </w:rPr>
        <w:t>To summarize</w:t>
      </w:r>
      <w:r w:rsidR="003E3AA9" w:rsidRPr="007723F5">
        <w:rPr>
          <w:lang w:val="en-GB"/>
        </w:rPr>
        <w:t>,</w:t>
      </w:r>
      <w:r w:rsidR="00A60983" w:rsidRPr="007723F5">
        <w:rPr>
          <w:lang w:val="en-GB"/>
        </w:rPr>
        <w:t xml:space="preserve"> this study adds to the existing body of knowledge by providing a validation methodology for an extended sample that incorporates the financial crisis while at the same time considers external drivers that previous studies have not considered in their modelling and shows that those new variables </w:t>
      </w:r>
      <w:r w:rsidR="00A60983" w:rsidRPr="007723F5">
        <w:rPr>
          <w:lang w:val="en-GB"/>
        </w:rPr>
        <w:lastRenderedPageBreak/>
        <w:t xml:space="preserve">can actually make a difference. </w:t>
      </w:r>
    </w:p>
    <w:p w:rsidR="003E3AA9" w:rsidRPr="007723F5" w:rsidRDefault="003E3AA9"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p>
    <w:p w:rsidR="00164C6A" w:rsidRPr="007723F5" w:rsidRDefault="00273122" w:rsidP="00436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r w:rsidRPr="007723F5">
        <w:rPr>
          <w:lang w:val="en-GB"/>
        </w:rPr>
        <w:t>The</w:t>
      </w:r>
      <w:r w:rsidR="003F1D90" w:rsidRPr="007723F5">
        <w:rPr>
          <w:lang w:val="en-GB"/>
        </w:rPr>
        <w:t xml:space="preserve"> </w:t>
      </w:r>
      <w:r w:rsidRPr="007723F5">
        <w:rPr>
          <w:lang w:val="en-GB"/>
        </w:rPr>
        <w:t xml:space="preserve">remainder of this </w:t>
      </w:r>
      <w:r w:rsidR="003F1D90" w:rsidRPr="007723F5">
        <w:rPr>
          <w:lang w:val="en-GB"/>
        </w:rPr>
        <w:t xml:space="preserve">paper is organised as follows. Section 2 </w:t>
      </w:r>
      <w:r w:rsidR="00D54841" w:rsidRPr="007723F5">
        <w:rPr>
          <w:lang w:val="en-GB"/>
        </w:rPr>
        <w:t xml:space="preserve">explains the regulatory framework of capital requirements to which the PD model has to comply. </w:t>
      </w:r>
      <w:r w:rsidRPr="007723F5">
        <w:rPr>
          <w:lang w:val="en-GB"/>
        </w:rPr>
        <w:t xml:space="preserve">Section 3 summarizes the existing literature on PD modelling approaches and their applications to Dutch mortgages specifically. </w:t>
      </w:r>
      <w:r w:rsidR="00D54841" w:rsidRPr="007723F5">
        <w:rPr>
          <w:lang w:val="en-GB"/>
        </w:rPr>
        <w:t xml:space="preserve">Section </w:t>
      </w:r>
      <w:r w:rsidRPr="007723F5">
        <w:rPr>
          <w:lang w:val="en-GB"/>
        </w:rPr>
        <w:t>4</w:t>
      </w:r>
      <w:r w:rsidR="00D54841" w:rsidRPr="007723F5">
        <w:rPr>
          <w:lang w:val="en-GB"/>
        </w:rPr>
        <w:t xml:space="preserve"> provides relevant</w:t>
      </w:r>
      <w:r w:rsidR="003F1D90" w:rsidRPr="007723F5">
        <w:rPr>
          <w:lang w:val="en-GB"/>
        </w:rPr>
        <w:t xml:space="preserve"> background information</w:t>
      </w:r>
      <w:r w:rsidR="00D54841" w:rsidRPr="007723F5">
        <w:rPr>
          <w:lang w:val="en-GB"/>
        </w:rPr>
        <w:t xml:space="preserve"> on the Dutch housing market, macro-economic factors and market liquidity. These external factors play an important role in the enhancement of the PD model</w:t>
      </w:r>
      <w:r w:rsidR="00F06DCD" w:rsidRPr="007723F5">
        <w:rPr>
          <w:lang w:val="en-GB"/>
        </w:rPr>
        <w:t xml:space="preserve"> during</w:t>
      </w:r>
      <w:r w:rsidR="00D54841" w:rsidRPr="007723F5">
        <w:rPr>
          <w:lang w:val="en-GB"/>
        </w:rPr>
        <w:t xml:space="preserve"> the economic downturn.</w:t>
      </w:r>
      <w:r w:rsidR="00F06DCD" w:rsidRPr="007723F5">
        <w:rPr>
          <w:lang w:val="en-GB"/>
        </w:rPr>
        <w:t xml:space="preserve"> Section </w:t>
      </w:r>
      <w:r w:rsidRPr="007723F5">
        <w:rPr>
          <w:lang w:val="en-GB"/>
        </w:rPr>
        <w:t>5</w:t>
      </w:r>
      <w:r w:rsidR="00F06DCD" w:rsidRPr="007723F5">
        <w:rPr>
          <w:lang w:val="en-GB"/>
        </w:rPr>
        <w:t xml:space="preserve"> presents the</w:t>
      </w:r>
      <w:r w:rsidR="00FB5E2B" w:rsidRPr="007723F5">
        <w:rPr>
          <w:lang w:val="en-GB"/>
        </w:rPr>
        <w:t xml:space="preserve"> set-up of the model, including data collection, the list of possible default risk drivers, the univariate analysis, multivariate analysis,</w:t>
      </w:r>
      <w:r w:rsidR="00F06DCD" w:rsidRPr="007723F5">
        <w:rPr>
          <w:lang w:val="en-GB"/>
        </w:rPr>
        <w:t xml:space="preserve"> </w:t>
      </w:r>
      <w:r w:rsidR="00FB5E2B" w:rsidRPr="007723F5">
        <w:rPr>
          <w:lang w:val="en-GB"/>
        </w:rPr>
        <w:t>model calibration and the testing and validation of the resulting model. In Section 6, the results are presented. Section 7 summarizes the conclusions of this paper and provides some recommendations for further research.</w:t>
      </w:r>
    </w:p>
    <w:p w:rsidR="004A3B68" w:rsidRPr="007723F5" w:rsidRDefault="00D45FEB" w:rsidP="002D0938">
      <w:pPr>
        <w:pStyle w:val="1"/>
        <w:numPr>
          <w:ilvl w:val="0"/>
          <w:numId w:val="0"/>
        </w:numPr>
        <w:rPr>
          <w:lang w:val="en-GB"/>
        </w:rPr>
      </w:pPr>
      <w:bookmarkStart w:id="3" w:name="_Ref425676336"/>
      <w:bookmarkStart w:id="4" w:name="_Ref348097196"/>
      <w:bookmarkStart w:id="5" w:name="_Ref348100324"/>
      <w:bookmarkStart w:id="6" w:name="_Toc371788231"/>
      <w:r w:rsidRPr="007723F5">
        <w:rPr>
          <w:lang w:val="en-GB"/>
        </w:rPr>
        <w:t xml:space="preserve">2 </w:t>
      </w:r>
      <w:r w:rsidR="002D0938" w:rsidRPr="007723F5">
        <w:rPr>
          <w:lang w:val="en-GB"/>
        </w:rPr>
        <w:t>R</w:t>
      </w:r>
      <w:r w:rsidR="004A3B68" w:rsidRPr="007723F5">
        <w:rPr>
          <w:lang w:val="en-GB"/>
        </w:rPr>
        <w:t>egulatory requirements</w:t>
      </w:r>
      <w:bookmarkEnd w:id="3"/>
    </w:p>
    <w:p w:rsidR="004A3B68" w:rsidRPr="007723F5" w:rsidRDefault="004A3B68" w:rsidP="004A3B68">
      <w:pPr>
        <w:spacing w:line="360" w:lineRule="auto"/>
        <w:jc w:val="both"/>
      </w:pPr>
      <w:r w:rsidRPr="007723F5">
        <w:rPr>
          <w:bCs/>
        </w:rPr>
        <w:t>Regulatory capital is the amount of capital a bank has to hold, as required by its financial regulator. R</w:t>
      </w:r>
      <w:r w:rsidR="001576C7" w:rsidRPr="007723F5">
        <w:t>equirements are put in</w:t>
      </w:r>
      <w:r w:rsidRPr="007723F5">
        <w:t xml:space="preserve"> place to ensure that a bank does not expose itself to high risks through its lending and investment practices. The greater the risk to which the bank is exposed, the greater the amount of capital the bank needs to hold to safeguard its solvency and overall economic stability.</w:t>
      </w:r>
    </w:p>
    <w:p w:rsidR="004A3B68" w:rsidRPr="007723F5" w:rsidRDefault="004A3B68" w:rsidP="004A3B68">
      <w:pPr>
        <w:spacing w:line="360" w:lineRule="auto"/>
        <w:jc w:val="both"/>
      </w:pPr>
    </w:p>
    <w:p w:rsidR="004A3B68" w:rsidRPr="007723F5" w:rsidRDefault="004A3B68" w:rsidP="004A3B68">
      <w:pPr>
        <w:spacing w:line="360" w:lineRule="auto"/>
        <w:jc w:val="both"/>
        <w:rPr>
          <w:bCs/>
        </w:rPr>
      </w:pPr>
      <w:r w:rsidRPr="007723F5">
        <w:t xml:space="preserve">The main international effort to establish rules around capital requirements has been through the Basel Accords, published by the Basel Committee on Banking Supervision (BCBS), housed at the Bank for International Settlements (BIS). This sets a framework on how </w:t>
      </w:r>
      <w:hyperlink r:id="rId14" w:tooltip="Bank" w:history="1">
        <w:r w:rsidRPr="007723F5">
          <w:t>banks</w:t>
        </w:r>
      </w:hyperlink>
      <w:r w:rsidRPr="007723F5">
        <w:t xml:space="preserve"> must calculate their </w:t>
      </w:r>
      <w:hyperlink r:id="rId15" w:tooltip="Capital (economics)" w:history="1">
        <w:r w:rsidRPr="007723F5">
          <w:t>capital</w:t>
        </w:r>
      </w:hyperlink>
      <w:r w:rsidRPr="007723F5">
        <w:t>. In 1988, the committee decided to introduce a capital measurement system commonly referred to as Basel I; see e.g. BCBS (1998). This framework has been replaced in 2005 by a significantly more complex capital adequacy framework commonly known a</w:t>
      </w:r>
      <w:r w:rsidR="00164C6A" w:rsidRPr="007723F5">
        <w:t>s Basel II; see e.g. BCBS (2005</w:t>
      </w:r>
      <w:r w:rsidRPr="007723F5">
        <w:t>) and BCBS (2006).</w:t>
      </w:r>
    </w:p>
    <w:p w:rsidR="002D0938" w:rsidRPr="007723F5" w:rsidRDefault="002D0938" w:rsidP="004A3B68">
      <w:pPr>
        <w:pStyle w:val="Web"/>
        <w:spacing w:line="360" w:lineRule="auto"/>
        <w:ind w:left="0"/>
        <w:jc w:val="both"/>
        <w:rPr>
          <w:rFonts w:ascii="Times New Roman" w:eastAsia="MS Mincho" w:hAnsi="Times New Roman"/>
          <w:color w:val="auto"/>
          <w:sz w:val="24"/>
          <w:szCs w:val="24"/>
          <w:lang w:val="en-GB" w:eastAsia="ja-JP"/>
        </w:rPr>
      </w:pPr>
    </w:p>
    <w:p w:rsidR="004A3B68" w:rsidRPr="007723F5" w:rsidRDefault="004A3B68" w:rsidP="002D0938">
      <w:pPr>
        <w:pStyle w:val="Web"/>
        <w:spacing w:line="360" w:lineRule="auto"/>
        <w:ind w:left="0"/>
        <w:jc w:val="both"/>
        <w:rPr>
          <w:rFonts w:ascii="Times New Roman" w:eastAsia="MS Mincho" w:hAnsi="Times New Roman"/>
          <w:color w:val="auto"/>
          <w:sz w:val="24"/>
          <w:szCs w:val="24"/>
          <w:lang w:val="en-GB" w:eastAsia="ja-JP"/>
        </w:rPr>
      </w:pPr>
      <w:r w:rsidRPr="007723F5">
        <w:rPr>
          <w:rFonts w:ascii="Times New Roman" w:eastAsia="MS Mincho" w:hAnsi="Times New Roman"/>
          <w:color w:val="auto"/>
          <w:sz w:val="24"/>
          <w:szCs w:val="24"/>
          <w:lang w:val="en-GB" w:eastAsia="ja-JP"/>
        </w:rPr>
        <w:t xml:space="preserve">Banks that have implemented the </w:t>
      </w:r>
      <w:r w:rsidR="002D0938" w:rsidRPr="007723F5">
        <w:rPr>
          <w:rFonts w:ascii="Times New Roman" w:eastAsia="MS Mincho" w:hAnsi="Times New Roman"/>
          <w:color w:val="auto"/>
          <w:sz w:val="24"/>
          <w:szCs w:val="24"/>
          <w:lang w:val="en-GB" w:eastAsia="ja-JP"/>
        </w:rPr>
        <w:t>so-called advanced internal rating-based (</w:t>
      </w:r>
      <w:r w:rsidRPr="007723F5">
        <w:rPr>
          <w:rFonts w:ascii="Times New Roman" w:eastAsia="MS Mincho" w:hAnsi="Times New Roman"/>
          <w:color w:val="auto"/>
          <w:sz w:val="24"/>
          <w:szCs w:val="24"/>
          <w:lang w:val="en-GB" w:eastAsia="ja-JP"/>
        </w:rPr>
        <w:t>AIRB</w:t>
      </w:r>
      <w:r w:rsidR="002D0938" w:rsidRPr="007723F5">
        <w:rPr>
          <w:rFonts w:ascii="Times New Roman" w:eastAsia="MS Mincho" w:hAnsi="Times New Roman"/>
          <w:color w:val="auto"/>
          <w:sz w:val="24"/>
          <w:szCs w:val="24"/>
          <w:lang w:val="en-GB" w:eastAsia="ja-JP"/>
        </w:rPr>
        <w:t>)</w:t>
      </w:r>
      <w:r w:rsidRPr="007723F5">
        <w:rPr>
          <w:rFonts w:ascii="Times New Roman" w:eastAsia="MS Mincho" w:hAnsi="Times New Roman"/>
          <w:color w:val="auto"/>
          <w:sz w:val="24"/>
          <w:szCs w:val="24"/>
          <w:lang w:val="en-GB" w:eastAsia="ja-JP"/>
        </w:rPr>
        <w:t xml:space="preserve"> approach may rely on their own internal estimates of risk components in determining the capital requirement for a given exposure. Derivation of the risk-weighted assets depends on the estimates of the following risk components: probability of default (PD), loss given default </w:t>
      </w:r>
      <w:r w:rsidRPr="007723F5">
        <w:rPr>
          <w:rFonts w:ascii="Times New Roman" w:eastAsia="MS Mincho" w:hAnsi="Times New Roman"/>
          <w:color w:val="auto"/>
          <w:sz w:val="24"/>
          <w:szCs w:val="24"/>
          <w:lang w:val="en-GB" w:eastAsia="ja-JP"/>
        </w:rPr>
        <w:lastRenderedPageBreak/>
        <w:t>(LGD) and exposure at default (EAD) and, in some cases, effective m</w:t>
      </w:r>
      <w:r w:rsidR="002D0938" w:rsidRPr="007723F5">
        <w:rPr>
          <w:rFonts w:ascii="Times New Roman" w:eastAsia="MS Mincho" w:hAnsi="Times New Roman"/>
          <w:color w:val="auto"/>
          <w:sz w:val="24"/>
          <w:szCs w:val="24"/>
          <w:lang w:val="en-GB" w:eastAsia="ja-JP"/>
        </w:rPr>
        <w:t xml:space="preserve">aturity (EM). </w:t>
      </w:r>
      <w:r w:rsidRPr="007723F5">
        <w:rPr>
          <w:rFonts w:ascii="Times New Roman" w:eastAsia="MS Mincho" w:hAnsi="Times New Roman"/>
          <w:color w:val="auto"/>
          <w:sz w:val="24"/>
          <w:szCs w:val="24"/>
          <w:lang w:val="en-GB" w:eastAsia="ja-JP"/>
        </w:rPr>
        <w:t xml:space="preserve">The PD model predicts the likelihood </w:t>
      </w:r>
      <w:r w:rsidR="001576C7" w:rsidRPr="007723F5">
        <w:rPr>
          <w:rFonts w:ascii="Times New Roman" w:eastAsia="MS Mincho" w:hAnsi="Times New Roman"/>
          <w:color w:val="auto"/>
          <w:sz w:val="24"/>
          <w:szCs w:val="24"/>
          <w:lang w:val="en-GB" w:eastAsia="ja-JP"/>
        </w:rPr>
        <w:t xml:space="preserve">that </w:t>
      </w:r>
      <w:r w:rsidRPr="007723F5">
        <w:rPr>
          <w:rFonts w:ascii="Times New Roman" w:eastAsia="MS Mincho" w:hAnsi="Times New Roman"/>
          <w:color w:val="auto"/>
          <w:sz w:val="24"/>
          <w:szCs w:val="24"/>
          <w:lang w:val="en-GB" w:eastAsia="ja-JP"/>
        </w:rPr>
        <w:t xml:space="preserve">a default occurs within the next 12 months. The EAD model predicts the level of exposure at the moment of default </w:t>
      </w:r>
      <w:r w:rsidR="001576C7" w:rsidRPr="007723F5">
        <w:rPr>
          <w:rFonts w:ascii="Times New Roman" w:eastAsia="MS Mincho" w:hAnsi="Times New Roman"/>
          <w:color w:val="auto"/>
          <w:sz w:val="24"/>
          <w:szCs w:val="24"/>
          <w:lang w:val="en-GB" w:eastAsia="ja-JP"/>
        </w:rPr>
        <w:t xml:space="preserve">in </w:t>
      </w:r>
      <w:r w:rsidRPr="007723F5">
        <w:rPr>
          <w:rFonts w:ascii="Times New Roman" w:eastAsia="MS Mincho" w:hAnsi="Times New Roman"/>
          <w:color w:val="auto"/>
          <w:sz w:val="24"/>
          <w:szCs w:val="24"/>
          <w:lang w:val="en-GB" w:eastAsia="ja-JP"/>
        </w:rPr>
        <w:t>relat</w:t>
      </w:r>
      <w:r w:rsidR="001576C7" w:rsidRPr="007723F5">
        <w:rPr>
          <w:rFonts w:ascii="Times New Roman" w:eastAsia="MS Mincho" w:hAnsi="Times New Roman"/>
          <w:color w:val="auto"/>
          <w:sz w:val="24"/>
          <w:szCs w:val="24"/>
          <w:lang w:val="en-GB" w:eastAsia="ja-JP"/>
        </w:rPr>
        <w:t>ion</w:t>
      </w:r>
      <w:r w:rsidRPr="007723F5">
        <w:rPr>
          <w:rFonts w:ascii="Times New Roman" w:eastAsia="MS Mincho" w:hAnsi="Times New Roman"/>
          <w:color w:val="auto"/>
          <w:sz w:val="24"/>
          <w:szCs w:val="24"/>
          <w:lang w:val="en-GB" w:eastAsia="ja-JP"/>
        </w:rPr>
        <w:t xml:space="preserve"> to the current exposure. The LGD component expresses the percentage of loss to be expected from that EAD in case of a default. The EM formula determines the time-weighted average of the cash flow schedule of a contract or portfolio. For residential mortgages</w:t>
      </w:r>
      <w:r w:rsidR="002D0938" w:rsidRPr="007723F5">
        <w:rPr>
          <w:rFonts w:ascii="Times New Roman" w:eastAsia="MS Mincho" w:hAnsi="Times New Roman"/>
          <w:color w:val="auto"/>
          <w:sz w:val="24"/>
          <w:szCs w:val="24"/>
          <w:lang w:val="en-GB" w:eastAsia="ja-JP"/>
        </w:rPr>
        <w:t xml:space="preserve">, </w:t>
      </w:r>
      <w:r w:rsidRPr="007723F5">
        <w:rPr>
          <w:rFonts w:ascii="Times New Roman" w:eastAsia="MS Mincho" w:hAnsi="Times New Roman"/>
          <w:color w:val="auto"/>
          <w:sz w:val="24"/>
          <w:szCs w:val="24"/>
          <w:lang w:val="en-GB" w:eastAsia="ja-JP"/>
        </w:rPr>
        <w:t xml:space="preserve">Basel II does not require explicit maturity adjustment for retail risk-weight functions; see BCBS (2006, §327). </w:t>
      </w:r>
      <w:bookmarkStart w:id="7" w:name="_Ref348864005"/>
      <w:bookmarkStart w:id="8" w:name="_Toc371788241"/>
    </w:p>
    <w:bookmarkEnd w:id="7"/>
    <w:bookmarkEnd w:id="8"/>
    <w:p w:rsidR="004A3B68" w:rsidRPr="007723F5" w:rsidRDefault="004A3B68" w:rsidP="005D02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p>
    <w:p w:rsidR="00CE0C51" w:rsidRPr="007723F5" w:rsidRDefault="00273122" w:rsidP="004A3B68">
      <w:pPr>
        <w:pStyle w:val="1"/>
        <w:numPr>
          <w:ilvl w:val="0"/>
          <w:numId w:val="0"/>
        </w:numPr>
        <w:rPr>
          <w:lang w:val="en-GB"/>
        </w:rPr>
      </w:pPr>
      <w:r w:rsidRPr="007723F5">
        <w:t>3</w:t>
      </w:r>
      <w:r w:rsidR="00D45FEB" w:rsidRPr="007723F5">
        <w:t xml:space="preserve"> </w:t>
      </w:r>
      <w:r w:rsidR="00CE0C51" w:rsidRPr="007723F5">
        <w:t>P</w:t>
      </w:r>
      <w:bookmarkEnd w:id="4"/>
      <w:bookmarkEnd w:id="5"/>
      <w:bookmarkEnd w:id="6"/>
      <w:r w:rsidR="004A3B68" w:rsidRPr="007723F5">
        <w:t>D modelling</w:t>
      </w:r>
      <w:r w:rsidR="0039699B" w:rsidRPr="007723F5">
        <w:t>: literature review</w:t>
      </w:r>
    </w:p>
    <w:p w:rsidR="00A93167" w:rsidRPr="007723F5" w:rsidRDefault="00A93167" w:rsidP="00A93167">
      <w:pPr>
        <w:autoSpaceDE w:val="0"/>
        <w:autoSpaceDN w:val="0"/>
        <w:adjustRightInd w:val="0"/>
        <w:spacing w:line="360" w:lineRule="auto"/>
        <w:jc w:val="both"/>
        <w:rPr>
          <w:lang w:val="en-GB"/>
        </w:rPr>
      </w:pPr>
      <w:r w:rsidRPr="007723F5">
        <w:rPr>
          <w:lang w:val="en-GB"/>
        </w:rPr>
        <w:t>The main approach in modelling the probability of default is through classification models</w:t>
      </w:r>
      <w:r w:rsidR="00AE0581" w:rsidRPr="007723F5">
        <w:rPr>
          <w:lang w:val="en-GB"/>
        </w:rPr>
        <w:t>;</w:t>
      </w:r>
      <w:r w:rsidRPr="007723F5">
        <w:rPr>
          <w:lang w:val="en-GB"/>
        </w:rPr>
        <w:t xml:space="preserve"> see e.g. Hasti</w:t>
      </w:r>
      <w:r w:rsidR="00AE0581" w:rsidRPr="007723F5">
        <w:rPr>
          <w:lang w:val="en-GB"/>
        </w:rPr>
        <w:t>e et al. (2001) for an overview</w:t>
      </w:r>
      <w:r w:rsidRPr="007723F5">
        <w:rPr>
          <w:lang w:val="en-GB"/>
        </w:rPr>
        <w:t>. The most popular models in this category are discriminant analysis and probability models</w:t>
      </w:r>
      <w:r w:rsidR="00AE0581" w:rsidRPr="007723F5">
        <w:rPr>
          <w:lang w:val="en-GB"/>
        </w:rPr>
        <w:t>;</w:t>
      </w:r>
      <w:r w:rsidR="00CC2146" w:rsidRPr="007723F5">
        <w:rPr>
          <w:lang w:val="en-GB"/>
        </w:rPr>
        <w:t xml:space="preserve"> see e.g. Duffie and Singleton</w:t>
      </w:r>
      <w:r w:rsidRPr="007723F5">
        <w:rPr>
          <w:lang w:val="en-GB"/>
        </w:rPr>
        <w:t xml:space="preserve"> </w:t>
      </w:r>
      <w:r w:rsidR="00CC2146" w:rsidRPr="007723F5">
        <w:rPr>
          <w:lang w:val="en-GB"/>
        </w:rPr>
        <w:t>(</w:t>
      </w:r>
      <w:r w:rsidRPr="007723F5">
        <w:rPr>
          <w:lang w:val="en-GB"/>
        </w:rPr>
        <w:t>2003</w:t>
      </w:r>
      <w:r w:rsidR="00CC2146" w:rsidRPr="007723F5">
        <w:rPr>
          <w:lang w:val="en-GB"/>
        </w:rPr>
        <w:t>)</w:t>
      </w:r>
      <w:r w:rsidRPr="007723F5">
        <w:rPr>
          <w:lang w:val="en-GB"/>
        </w:rPr>
        <w:t xml:space="preserve"> and Harrell</w:t>
      </w:r>
      <w:r w:rsidR="00CC2146" w:rsidRPr="007723F5">
        <w:rPr>
          <w:lang w:val="en-GB"/>
        </w:rPr>
        <w:t xml:space="preserve"> (</w:t>
      </w:r>
      <w:r w:rsidRPr="007723F5">
        <w:rPr>
          <w:lang w:val="en-GB"/>
        </w:rPr>
        <w:t>2001). Discriminant analysis assumes that the overall population of borrowers consists of two subpopulations, a group of defaulters and a group of non-defaulters. Based on the borrower characteristics</w:t>
      </w:r>
      <w:r w:rsidR="00AE0581" w:rsidRPr="007723F5">
        <w:rPr>
          <w:lang w:val="en-GB"/>
        </w:rPr>
        <w:t>,</w:t>
      </w:r>
      <w:r w:rsidRPr="007723F5">
        <w:rPr>
          <w:lang w:val="en-GB"/>
        </w:rPr>
        <w:t xml:space="preserve"> the analysis determines to which population the borrower belongs. A disadvan</w:t>
      </w:r>
      <w:r w:rsidR="00CC2146" w:rsidRPr="007723F5">
        <w:rPr>
          <w:lang w:val="en-GB"/>
        </w:rPr>
        <w:t>tage of this approach is that it</w:t>
      </w:r>
      <w:r w:rsidRPr="007723F5">
        <w:rPr>
          <w:lang w:val="en-GB"/>
        </w:rPr>
        <w:t xml:space="preserve"> does not yield PD</w:t>
      </w:r>
      <w:r w:rsidR="00C23871" w:rsidRPr="007723F5">
        <w:rPr>
          <w:lang w:val="en-GB"/>
        </w:rPr>
        <w:t xml:space="preserve"> e</w:t>
      </w:r>
      <w:r w:rsidR="002D0938" w:rsidRPr="007723F5">
        <w:rPr>
          <w:lang w:val="en-GB"/>
        </w:rPr>
        <w:t>s</w:t>
      </w:r>
      <w:r w:rsidR="00C23871" w:rsidRPr="007723F5">
        <w:rPr>
          <w:lang w:val="en-GB"/>
        </w:rPr>
        <w:t>t</w:t>
      </w:r>
      <w:r w:rsidR="002D0938" w:rsidRPr="007723F5">
        <w:rPr>
          <w:lang w:val="en-GB"/>
        </w:rPr>
        <w:t>imate</w:t>
      </w:r>
      <w:r w:rsidRPr="007723F5">
        <w:rPr>
          <w:lang w:val="en-GB"/>
        </w:rPr>
        <w:t xml:space="preserve">s. </w:t>
      </w:r>
    </w:p>
    <w:p w:rsidR="00A93167" w:rsidRPr="007723F5" w:rsidRDefault="00A93167" w:rsidP="00DB27FB">
      <w:pPr>
        <w:autoSpaceDE w:val="0"/>
        <w:autoSpaceDN w:val="0"/>
        <w:adjustRightInd w:val="0"/>
        <w:spacing w:line="360" w:lineRule="auto"/>
        <w:jc w:val="both"/>
        <w:rPr>
          <w:lang w:val="en-GB"/>
        </w:rPr>
      </w:pPr>
    </w:p>
    <w:p w:rsidR="00A93167" w:rsidRPr="007723F5" w:rsidRDefault="00A93167" w:rsidP="00A93167">
      <w:pPr>
        <w:autoSpaceDE w:val="0"/>
        <w:autoSpaceDN w:val="0"/>
        <w:adjustRightInd w:val="0"/>
        <w:spacing w:line="360" w:lineRule="auto"/>
        <w:jc w:val="both"/>
        <w:rPr>
          <w:lang w:val="en-GB"/>
        </w:rPr>
      </w:pPr>
      <w:r w:rsidRPr="007723F5">
        <w:rPr>
          <w:lang w:val="en-GB"/>
        </w:rPr>
        <w:t>In a probability model</w:t>
      </w:r>
      <w:r w:rsidR="00CC2146" w:rsidRPr="007723F5">
        <w:rPr>
          <w:lang w:val="en-GB"/>
        </w:rPr>
        <w:t>,</w:t>
      </w:r>
      <w:r w:rsidRPr="007723F5">
        <w:rPr>
          <w:lang w:val="en-GB"/>
        </w:rPr>
        <w:t xml:space="preserve"> the PD is modelled as a function of the characteristics of the borrower. The logistic regression model used in this </w:t>
      </w:r>
      <w:r w:rsidR="002D0938" w:rsidRPr="007723F5">
        <w:rPr>
          <w:lang w:val="en-GB"/>
        </w:rPr>
        <w:t>paper</w:t>
      </w:r>
      <w:r w:rsidRPr="007723F5">
        <w:rPr>
          <w:lang w:val="en-GB"/>
        </w:rPr>
        <w:t xml:space="preserve"> is an example of a probability model. The characteristics of the borrower are included in the logistic regression model as explanatory variables. Let </w:t>
      </w:r>
      <w:r w:rsidRPr="007723F5">
        <w:rPr>
          <w:position w:val="-12"/>
          <w:lang w:val="en-GB"/>
        </w:rPr>
        <w:object w:dxaOrig="360" w:dyaOrig="360">
          <v:shape id="_x0000_i1025" type="#_x0000_t75" style="width:19pt;height:19pt" o:ole="">
            <v:imagedata r:id="rId16" o:title=""/>
          </v:shape>
          <o:OLEObject Type="Embed" ProgID="Equation.3" ShapeID="_x0000_i1025" DrawAspect="Content" ObjectID="_1522061849" r:id="rId17"/>
        </w:object>
      </w:r>
      <w:r w:rsidRPr="007723F5">
        <w:rPr>
          <w:lang w:val="en-GB"/>
        </w:rPr>
        <w:t xml:space="preserve">  be the explanatory variables of </w:t>
      </w:r>
      <w:r w:rsidR="004A3B68" w:rsidRPr="007723F5">
        <w:rPr>
          <w:lang w:val="en-GB"/>
        </w:rPr>
        <w:t>customer</w:t>
      </w:r>
      <w:r w:rsidRPr="007723F5">
        <w:rPr>
          <w:lang w:val="en-GB"/>
        </w:rPr>
        <w:t xml:space="preserve"> </w:t>
      </w:r>
      <w:r w:rsidRPr="007723F5">
        <w:rPr>
          <w:position w:val="-6"/>
          <w:lang w:val="en-GB"/>
        </w:rPr>
        <w:object w:dxaOrig="139" w:dyaOrig="260">
          <v:shape id="_x0000_i1026" type="#_x0000_t75" style="width:6.9pt;height:13.25pt" o:ole="">
            <v:imagedata r:id="rId18" o:title=""/>
          </v:shape>
          <o:OLEObject Type="Embed" ProgID="Equation.3" ShapeID="_x0000_i1026" DrawAspect="Content" ObjectID="_1522061850" r:id="rId19"/>
        </w:object>
      </w:r>
      <w:r w:rsidRPr="007723F5">
        <w:rPr>
          <w:lang w:val="en-GB"/>
        </w:rPr>
        <w:t xml:space="preserve"> at time </w:t>
      </w:r>
      <w:r w:rsidRPr="007723F5">
        <w:rPr>
          <w:position w:val="-6"/>
          <w:lang w:val="en-GB"/>
        </w:rPr>
        <w:object w:dxaOrig="160" w:dyaOrig="240">
          <v:shape id="_x0000_i1027" type="#_x0000_t75" style="width:8.05pt;height:12.1pt" o:ole="">
            <v:imagedata r:id="rId20" o:title=""/>
          </v:shape>
          <o:OLEObject Type="Embed" ProgID="Equation.3" ShapeID="_x0000_i1027" DrawAspect="Content" ObjectID="_1522061851" r:id="rId21"/>
        </w:object>
      </w:r>
      <w:r w:rsidRPr="007723F5">
        <w:rPr>
          <w:lang w:val="en-GB"/>
        </w:rPr>
        <w:t xml:space="preserve">. Let </w:t>
      </w:r>
      <w:r w:rsidRPr="007723F5">
        <w:rPr>
          <w:position w:val="-12"/>
          <w:lang w:val="en-GB"/>
        </w:rPr>
        <w:object w:dxaOrig="279" w:dyaOrig="360">
          <v:shape id="_x0000_i1028" type="#_x0000_t75" style="width:13.25pt;height:19pt" o:ole="">
            <v:imagedata r:id="rId22" o:title=""/>
          </v:shape>
          <o:OLEObject Type="Embed" ProgID="Equation.3" ShapeID="_x0000_i1028" DrawAspect="Content" ObjectID="_1522061852" r:id="rId23"/>
        </w:object>
      </w:r>
      <w:r w:rsidRPr="007723F5">
        <w:rPr>
          <w:lang w:val="en-GB"/>
        </w:rPr>
        <w:t xml:space="preserve"> be the dependent variable which equals 1 if </w:t>
      </w:r>
      <w:r w:rsidR="004A3B68" w:rsidRPr="007723F5">
        <w:rPr>
          <w:lang w:val="en-GB"/>
        </w:rPr>
        <w:t>customer</w:t>
      </w:r>
      <w:r w:rsidRPr="007723F5">
        <w:rPr>
          <w:lang w:val="en-GB"/>
        </w:rPr>
        <w:t xml:space="preserve"> </w:t>
      </w:r>
      <w:r w:rsidRPr="007723F5">
        <w:rPr>
          <w:position w:val="-6"/>
          <w:lang w:val="en-GB"/>
        </w:rPr>
        <w:object w:dxaOrig="139" w:dyaOrig="260">
          <v:shape id="_x0000_i1029" type="#_x0000_t75" style="width:6.9pt;height:13.25pt" o:ole="">
            <v:imagedata r:id="rId18" o:title=""/>
          </v:shape>
          <o:OLEObject Type="Embed" ProgID="Equation.3" ShapeID="_x0000_i1029" DrawAspect="Content" ObjectID="_1522061853" r:id="rId24"/>
        </w:object>
      </w:r>
      <w:r w:rsidRPr="007723F5">
        <w:rPr>
          <w:lang w:val="en-GB"/>
        </w:rPr>
        <w:t xml:space="preserve"> defaults between time </w:t>
      </w:r>
      <w:r w:rsidRPr="007723F5">
        <w:rPr>
          <w:position w:val="-6"/>
          <w:lang w:val="en-GB"/>
        </w:rPr>
        <w:object w:dxaOrig="160" w:dyaOrig="240">
          <v:shape id="_x0000_i1030" type="#_x0000_t75" style="width:8.05pt;height:12.1pt" o:ole="">
            <v:imagedata r:id="rId20" o:title=""/>
          </v:shape>
          <o:OLEObject Type="Embed" ProgID="Equation.3" ShapeID="_x0000_i1030" DrawAspect="Content" ObjectID="_1522061854" r:id="rId25"/>
        </w:object>
      </w:r>
      <w:r w:rsidRPr="007723F5">
        <w:rPr>
          <w:lang w:val="en-GB"/>
        </w:rPr>
        <w:t xml:space="preserve"> and </w:t>
      </w:r>
      <w:r w:rsidRPr="007723F5">
        <w:rPr>
          <w:position w:val="-6"/>
          <w:lang w:val="en-GB"/>
        </w:rPr>
        <w:object w:dxaOrig="460" w:dyaOrig="279">
          <v:shape id="_x0000_i1031" type="#_x0000_t75" style="width:23.05pt;height:13.25pt" o:ole="">
            <v:imagedata r:id="rId26" o:title=""/>
          </v:shape>
          <o:OLEObject Type="Embed" ProgID="Equation.3" ShapeID="_x0000_i1031" DrawAspect="Content" ObjectID="_1522061855" r:id="rId27"/>
        </w:object>
      </w:r>
      <w:r w:rsidRPr="007723F5">
        <w:rPr>
          <w:lang w:val="en-GB"/>
        </w:rPr>
        <w:t xml:space="preserve"> (or </w:t>
      </w:r>
      <w:r w:rsidRPr="007723F5">
        <w:rPr>
          <w:position w:val="-6"/>
          <w:lang w:val="en-GB"/>
        </w:rPr>
        <w:object w:dxaOrig="580" w:dyaOrig="279">
          <v:shape id="_x0000_i1032" type="#_x0000_t75" style="width:28.2pt;height:13.25pt" o:ole="">
            <v:imagedata r:id="rId28" o:title=""/>
          </v:shape>
          <o:OLEObject Type="Embed" ProgID="Equation.3" ShapeID="_x0000_i1032" DrawAspect="Content" ObjectID="_1522061856" r:id="rId29"/>
        </w:object>
      </w:r>
      <w:r w:rsidRPr="007723F5">
        <w:rPr>
          <w:lang w:val="en-GB"/>
        </w:rPr>
        <w:t xml:space="preserve"> if time is expressed in months), and 0 otherwise. The PD for </w:t>
      </w:r>
      <w:r w:rsidR="004A3B68" w:rsidRPr="007723F5">
        <w:rPr>
          <w:lang w:val="en-GB"/>
        </w:rPr>
        <w:t>customer</w:t>
      </w:r>
      <w:r w:rsidRPr="007723F5">
        <w:rPr>
          <w:lang w:val="en-GB"/>
        </w:rPr>
        <w:t xml:space="preserve"> </w:t>
      </w:r>
      <w:r w:rsidRPr="007723F5">
        <w:rPr>
          <w:position w:val="-6"/>
          <w:lang w:val="en-GB"/>
        </w:rPr>
        <w:object w:dxaOrig="139" w:dyaOrig="260">
          <v:shape id="_x0000_i1033" type="#_x0000_t75" style="width:6.9pt;height:13.25pt" o:ole="">
            <v:imagedata r:id="rId18" o:title=""/>
          </v:shape>
          <o:OLEObject Type="Embed" ProgID="Equation.3" ShapeID="_x0000_i1033" DrawAspect="Content" ObjectID="_1522061857" r:id="rId30"/>
        </w:object>
      </w:r>
      <w:r w:rsidRPr="007723F5">
        <w:rPr>
          <w:lang w:val="en-GB"/>
        </w:rPr>
        <w:t xml:space="preserve"> at time </w:t>
      </w:r>
      <w:r w:rsidRPr="007723F5">
        <w:rPr>
          <w:position w:val="-6"/>
          <w:lang w:val="en-GB"/>
        </w:rPr>
        <w:object w:dxaOrig="160" w:dyaOrig="240">
          <v:shape id="_x0000_i1034" type="#_x0000_t75" style="width:8.05pt;height:12.1pt" o:ole="">
            <v:imagedata r:id="rId20" o:title=""/>
          </v:shape>
          <o:OLEObject Type="Embed" ProgID="Equation.3" ShapeID="_x0000_i1034" DrawAspect="Content" ObjectID="_1522061858" r:id="rId31"/>
        </w:object>
      </w:r>
      <w:r w:rsidRPr="007723F5">
        <w:rPr>
          <w:lang w:val="en-GB"/>
        </w:rPr>
        <w:t xml:space="preserve">, represented by </w:t>
      </w:r>
      <w:r w:rsidRPr="007723F5">
        <w:rPr>
          <w:position w:val="-12"/>
          <w:lang w:val="en-GB"/>
        </w:rPr>
        <w:object w:dxaOrig="499" w:dyaOrig="360">
          <v:shape id="_x0000_i1035" type="#_x0000_t75" style="width:24.75pt;height:19pt" o:ole="">
            <v:imagedata r:id="rId32" o:title=""/>
          </v:shape>
          <o:OLEObject Type="Embed" ProgID="Equation.3" ShapeID="_x0000_i1035" DrawAspect="Content" ObjectID="_1522061859" r:id="rId33"/>
        </w:object>
      </w:r>
      <w:r w:rsidRPr="007723F5">
        <w:rPr>
          <w:lang w:val="en-GB"/>
        </w:rPr>
        <w:t>, is then calculated from</w:t>
      </w:r>
      <w:r w:rsidR="005801D1" w:rsidRPr="007723F5">
        <w:rPr>
          <w:lang w:val="en-GB"/>
        </w:rPr>
        <w:t xml:space="preserve"> </w:t>
      </w:r>
    </w:p>
    <w:p w:rsidR="00A93167" w:rsidRPr="007723F5" w:rsidRDefault="00ED5DD8" w:rsidP="00A93167">
      <w:pPr>
        <w:autoSpaceDE w:val="0"/>
        <w:autoSpaceDN w:val="0"/>
        <w:adjustRightInd w:val="0"/>
        <w:spacing w:line="360" w:lineRule="auto"/>
        <w:jc w:val="center"/>
        <w:rPr>
          <w:lang w:val="en-GB"/>
        </w:rPr>
      </w:pPr>
      <w:r w:rsidRPr="007723F5">
        <w:rPr>
          <w:position w:val="-24"/>
          <w:lang w:val="en-GB"/>
        </w:rPr>
        <w:object w:dxaOrig="3460" w:dyaOrig="620">
          <v:shape id="_x0000_i1036" type="#_x0000_t75" style="width:172.2pt;height:30.55pt" o:ole="">
            <v:imagedata r:id="rId34" o:title=""/>
          </v:shape>
          <o:OLEObject Type="Embed" ProgID="Equation.3" ShapeID="_x0000_i1036" DrawAspect="Content" ObjectID="_1522061860" r:id="rId35"/>
        </w:object>
      </w:r>
    </w:p>
    <w:p w:rsidR="00A93167" w:rsidRPr="007723F5" w:rsidRDefault="00A93167" w:rsidP="00A93167">
      <w:pPr>
        <w:autoSpaceDE w:val="0"/>
        <w:autoSpaceDN w:val="0"/>
        <w:adjustRightInd w:val="0"/>
        <w:spacing w:line="360" w:lineRule="auto"/>
        <w:jc w:val="both"/>
        <w:rPr>
          <w:lang w:val="en-GB"/>
        </w:rPr>
      </w:pPr>
      <w:r w:rsidRPr="007723F5">
        <w:rPr>
          <w:lang w:val="en-GB"/>
        </w:rPr>
        <w:t xml:space="preserve">Here, </w:t>
      </w:r>
      <w:r w:rsidRPr="007723F5">
        <w:rPr>
          <w:position w:val="-10"/>
          <w:lang w:val="en-GB"/>
        </w:rPr>
        <w:object w:dxaOrig="240" w:dyaOrig="320">
          <v:shape id="_x0000_i1037" type="#_x0000_t75" style="width:12.1pt;height:15.55pt" o:ole="">
            <v:imagedata r:id="rId36" o:title=""/>
          </v:shape>
          <o:OLEObject Type="Embed" ProgID="Equation.3" ShapeID="_x0000_i1037" DrawAspect="Content" ObjectID="_1522061861" r:id="rId37"/>
        </w:object>
      </w:r>
      <w:r w:rsidRPr="007723F5">
        <w:rPr>
          <w:lang w:val="en-GB"/>
        </w:rPr>
        <w:t xml:space="preserve"> is an unknown parameter vector, which needs to be estimated by the logistic regression. </w:t>
      </w:r>
    </w:p>
    <w:p w:rsidR="00A93167" w:rsidRPr="007723F5" w:rsidRDefault="00A93167" w:rsidP="00A93167">
      <w:pPr>
        <w:autoSpaceDE w:val="0"/>
        <w:autoSpaceDN w:val="0"/>
        <w:adjustRightInd w:val="0"/>
        <w:spacing w:line="360" w:lineRule="auto"/>
        <w:jc w:val="both"/>
        <w:rPr>
          <w:lang w:val="en-GB"/>
        </w:rPr>
      </w:pPr>
    </w:p>
    <w:p w:rsidR="00A93167" w:rsidRPr="007723F5" w:rsidRDefault="00A93167" w:rsidP="00A93167">
      <w:pPr>
        <w:autoSpaceDE w:val="0"/>
        <w:autoSpaceDN w:val="0"/>
        <w:adjustRightInd w:val="0"/>
        <w:spacing w:line="360" w:lineRule="auto"/>
        <w:jc w:val="both"/>
        <w:rPr>
          <w:lang w:val="en-GB"/>
        </w:rPr>
      </w:pPr>
      <w:r w:rsidRPr="007723F5">
        <w:rPr>
          <w:lang w:val="en-GB"/>
        </w:rPr>
        <w:t xml:space="preserve">The explanatory variables that characterize a borrower’s probability of default incorporate information relevant </w:t>
      </w:r>
      <w:r w:rsidR="00ED5DD8" w:rsidRPr="007723F5">
        <w:rPr>
          <w:lang w:val="en-GB"/>
        </w:rPr>
        <w:t>for</w:t>
      </w:r>
      <w:r w:rsidRPr="007723F5">
        <w:rPr>
          <w:lang w:val="en-GB"/>
        </w:rPr>
        <w:t xml:space="preserve"> assessing the </w:t>
      </w:r>
      <w:r w:rsidR="00ED5DD8" w:rsidRPr="007723F5">
        <w:rPr>
          <w:lang w:val="en-GB"/>
        </w:rPr>
        <w:t>borrower</w:t>
      </w:r>
      <w:r w:rsidRPr="007723F5">
        <w:rPr>
          <w:lang w:val="en-GB"/>
        </w:rPr>
        <w:t xml:space="preserve">’s ability and willingness to repay its debts, as </w:t>
      </w:r>
      <w:r w:rsidRPr="007723F5">
        <w:rPr>
          <w:lang w:val="en-GB"/>
        </w:rPr>
        <w:lastRenderedPageBreak/>
        <w:t xml:space="preserve">well as information about the economic environment in which the </w:t>
      </w:r>
      <w:r w:rsidR="00ED5DD8" w:rsidRPr="007723F5">
        <w:rPr>
          <w:lang w:val="en-GB"/>
        </w:rPr>
        <w:t>borrower</w:t>
      </w:r>
      <w:r w:rsidRPr="007723F5">
        <w:rPr>
          <w:lang w:val="en-GB"/>
        </w:rPr>
        <w:t xml:space="preserve"> operates. The information available to estimate </w:t>
      </w:r>
      <w:r w:rsidR="00ED5DD8" w:rsidRPr="007723F5">
        <w:rPr>
          <w:lang w:val="en-GB"/>
        </w:rPr>
        <w:t xml:space="preserve">the </w:t>
      </w:r>
      <w:r w:rsidRPr="007723F5">
        <w:rPr>
          <w:lang w:val="en-GB"/>
        </w:rPr>
        <w:t>PD can be divided into four categories</w:t>
      </w:r>
      <w:r w:rsidRPr="007723F5">
        <w:rPr>
          <w:rStyle w:val="af"/>
          <w:lang w:val="en-GB"/>
        </w:rPr>
        <w:footnoteReference w:id="3"/>
      </w:r>
      <w:r w:rsidRPr="007723F5">
        <w:rPr>
          <w:lang w:val="en-GB"/>
        </w:rPr>
        <w:t>:</w:t>
      </w:r>
    </w:p>
    <w:p w:rsidR="00A93167" w:rsidRPr="007723F5" w:rsidRDefault="00A93167" w:rsidP="00B7736C">
      <w:pPr>
        <w:numPr>
          <w:ilvl w:val="0"/>
          <w:numId w:val="9"/>
        </w:numPr>
        <w:spacing w:line="360" w:lineRule="auto"/>
        <w:ind w:left="714" w:hanging="357"/>
        <w:jc w:val="both"/>
        <w:rPr>
          <w:lang w:val="en-GB"/>
        </w:rPr>
      </w:pPr>
      <w:r w:rsidRPr="007723F5">
        <w:rPr>
          <w:lang w:val="en-GB"/>
        </w:rPr>
        <w:t>Borrower risk characteristics: this information is specific to a single borrower. Examples are borrower type, demographics (e.g. age, occupation) and debt-to-income ratio.</w:t>
      </w:r>
    </w:p>
    <w:p w:rsidR="00A93167" w:rsidRPr="007723F5" w:rsidRDefault="00A93167" w:rsidP="00B7736C">
      <w:pPr>
        <w:numPr>
          <w:ilvl w:val="0"/>
          <w:numId w:val="9"/>
        </w:numPr>
        <w:spacing w:line="360" w:lineRule="auto"/>
        <w:ind w:left="714" w:hanging="357"/>
        <w:jc w:val="both"/>
        <w:rPr>
          <w:lang w:val="en-GB"/>
        </w:rPr>
      </w:pPr>
      <w:r w:rsidRPr="007723F5">
        <w:rPr>
          <w:lang w:val="en-GB"/>
        </w:rPr>
        <w:t xml:space="preserve">Transaction risk characteristics: this information is specific to the product or the collateral. Examples are </w:t>
      </w:r>
      <w:r w:rsidR="002D0938" w:rsidRPr="007723F5">
        <w:rPr>
          <w:lang w:val="en-GB"/>
        </w:rPr>
        <w:t xml:space="preserve">loan </w:t>
      </w:r>
      <w:r w:rsidRPr="007723F5">
        <w:rPr>
          <w:lang w:val="en-GB"/>
        </w:rPr>
        <w:t>purpose, house type and loan-to-value ratio.</w:t>
      </w:r>
    </w:p>
    <w:p w:rsidR="00A93167" w:rsidRPr="007723F5" w:rsidRDefault="00A93167" w:rsidP="00B7736C">
      <w:pPr>
        <w:numPr>
          <w:ilvl w:val="0"/>
          <w:numId w:val="9"/>
        </w:numPr>
        <w:spacing w:line="360" w:lineRule="auto"/>
        <w:ind w:left="714" w:hanging="357"/>
        <w:jc w:val="both"/>
        <w:rPr>
          <w:lang w:val="en-GB"/>
        </w:rPr>
      </w:pPr>
      <w:r w:rsidRPr="007723F5">
        <w:rPr>
          <w:lang w:val="en-GB"/>
        </w:rPr>
        <w:t xml:space="preserve">Aggregate risk characteristics: this information </w:t>
      </w:r>
      <w:r w:rsidR="00364B02" w:rsidRPr="007723F5">
        <w:rPr>
          <w:lang w:val="en-GB"/>
        </w:rPr>
        <w:t>is</w:t>
      </w:r>
      <w:r w:rsidRPr="007723F5">
        <w:rPr>
          <w:lang w:val="en-GB"/>
        </w:rPr>
        <w:t xml:space="preserve"> the same for multiple borrowers. This category typically includes macroeconomic variables such as house price indices, unemployment</w:t>
      </w:r>
      <w:r w:rsidR="00415103" w:rsidRPr="007723F5">
        <w:rPr>
          <w:lang w:val="en-GB"/>
        </w:rPr>
        <w:t>, market illiquidity</w:t>
      </w:r>
      <w:r w:rsidRPr="007723F5">
        <w:rPr>
          <w:lang w:val="en-GB"/>
        </w:rPr>
        <w:t xml:space="preserve"> and GDP growth rates.</w:t>
      </w:r>
    </w:p>
    <w:p w:rsidR="00A93167" w:rsidRPr="007723F5" w:rsidRDefault="00A93167" w:rsidP="00B7736C">
      <w:pPr>
        <w:numPr>
          <w:ilvl w:val="0"/>
          <w:numId w:val="9"/>
        </w:numPr>
        <w:spacing w:line="360" w:lineRule="auto"/>
        <w:ind w:left="714" w:hanging="357"/>
        <w:jc w:val="both"/>
        <w:rPr>
          <w:lang w:val="en-GB"/>
        </w:rPr>
      </w:pPr>
      <w:r w:rsidRPr="007723F5">
        <w:rPr>
          <w:lang w:val="en-GB"/>
        </w:rPr>
        <w:t>Delinquency characteristics: banks are expected to separately identify exposures that are delinquent and those that are not. Examples are number of times delinquent in the past twelve months</w:t>
      </w:r>
      <w:r w:rsidR="00364B02" w:rsidRPr="007723F5">
        <w:rPr>
          <w:lang w:val="en-GB"/>
        </w:rPr>
        <w:t xml:space="preserve"> and</w:t>
      </w:r>
      <w:r w:rsidRPr="007723F5">
        <w:rPr>
          <w:lang w:val="en-GB"/>
        </w:rPr>
        <w:t xml:space="preserve"> number of months since last delinquency occurred.</w:t>
      </w:r>
    </w:p>
    <w:p w:rsidR="00A93167" w:rsidRPr="007723F5" w:rsidRDefault="00A93167" w:rsidP="00A93167">
      <w:pPr>
        <w:autoSpaceDE w:val="0"/>
        <w:autoSpaceDN w:val="0"/>
        <w:adjustRightInd w:val="0"/>
        <w:spacing w:line="360" w:lineRule="auto"/>
        <w:jc w:val="both"/>
        <w:rPr>
          <w:lang w:val="en-GB"/>
        </w:rPr>
      </w:pPr>
    </w:p>
    <w:p w:rsidR="006A16C6" w:rsidRPr="007723F5" w:rsidRDefault="00A93167" w:rsidP="008A1557">
      <w:pPr>
        <w:autoSpaceDE w:val="0"/>
        <w:autoSpaceDN w:val="0"/>
        <w:adjustRightInd w:val="0"/>
        <w:spacing w:line="360" w:lineRule="auto"/>
        <w:jc w:val="both"/>
        <w:rPr>
          <w:lang w:val="en-GB"/>
        </w:rPr>
      </w:pPr>
      <w:r w:rsidRPr="007723F5">
        <w:rPr>
          <w:lang w:val="en-GB"/>
        </w:rPr>
        <w:t xml:space="preserve">The explanatory variables are referred to as risk drivers. The drivers can be static </w:t>
      </w:r>
      <w:r w:rsidR="00415103" w:rsidRPr="007723F5">
        <w:rPr>
          <w:lang w:val="en-GB"/>
        </w:rPr>
        <w:t>or</w:t>
      </w:r>
      <w:r w:rsidRPr="007723F5">
        <w:rPr>
          <w:lang w:val="en-GB"/>
        </w:rPr>
        <w:t xml:space="preserve"> dynamic. For instance, loan-to-value at origination of the contract is a static driver, because it is determined at the start of the contract and does not change over time. In contrast, loan-to-value at reporting date is a dynamic driver, because both the outstanding amount of the loan and the value of the house can change over time.</w:t>
      </w:r>
      <w:r w:rsidR="002D0938" w:rsidRPr="007723F5">
        <w:rPr>
          <w:lang w:val="en-GB"/>
        </w:rPr>
        <w:t xml:space="preserve"> </w:t>
      </w:r>
      <w:r w:rsidRPr="007723F5">
        <w:rPr>
          <w:lang w:val="en-GB"/>
        </w:rPr>
        <w:t>Theoretically, any variable can become a risk driver. It is up to the logistic regression method to determine from the data whether a variable is statistically significant or not. Of course, the most preferable variables to become risk drivers are the ones that</w:t>
      </w:r>
      <w:r w:rsidR="00FB4AD8" w:rsidRPr="007723F5">
        <w:rPr>
          <w:lang w:val="en-GB"/>
        </w:rPr>
        <w:t xml:space="preserve"> can be explained economically.</w:t>
      </w:r>
    </w:p>
    <w:p w:rsidR="008A1557" w:rsidRPr="007723F5" w:rsidRDefault="008A1557" w:rsidP="008A1557">
      <w:pPr>
        <w:autoSpaceDE w:val="0"/>
        <w:autoSpaceDN w:val="0"/>
        <w:adjustRightInd w:val="0"/>
        <w:spacing w:line="360" w:lineRule="auto"/>
        <w:jc w:val="both"/>
        <w:rPr>
          <w:lang w:val="en-GB"/>
        </w:rPr>
      </w:pPr>
    </w:p>
    <w:p w:rsidR="00376443" w:rsidRPr="007723F5" w:rsidRDefault="00A93167" w:rsidP="002D0938">
      <w:pPr>
        <w:spacing w:line="360" w:lineRule="auto"/>
        <w:jc w:val="both"/>
        <w:rPr>
          <w:lang w:val="en-GB"/>
        </w:rPr>
      </w:pPr>
      <w:r w:rsidRPr="007723F5">
        <w:rPr>
          <w:lang w:val="en-GB"/>
        </w:rPr>
        <w:t>With the statistical model</w:t>
      </w:r>
      <w:r w:rsidR="00376443" w:rsidRPr="007723F5">
        <w:rPr>
          <w:lang w:val="en-GB"/>
        </w:rPr>
        <w:t xml:space="preserve"> based on the risk drivers that resulted from the logistic regression</w:t>
      </w:r>
      <w:r w:rsidRPr="007723F5">
        <w:rPr>
          <w:lang w:val="en-GB"/>
        </w:rPr>
        <w:t xml:space="preserve">, each of the </w:t>
      </w:r>
      <w:r w:rsidR="004A3B68" w:rsidRPr="007723F5">
        <w:rPr>
          <w:lang w:val="en-GB"/>
        </w:rPr>
        <w:t>customer</w:t>
      </w:r>
      <w:r w:rsidRPr="007723F5">
        <w:rPr>
          <w:lang w:val="en-GB"/>
        </w:rPr>
        <w:t>s is given a model PD score</w:t>
      </w:r>
      <w:r w:rsidR="00376443" w:rsidRPr="007723F5">
        <w:rPr>
          <w:lang w:val="en-GB"/>
        </w:rPr>
        <w:t>. T</w:t>
      </w:r>
      <w:r w:rsidRPr="007723F5">
        <w:rPr>
          <w:lang w:val="en-GB"/>
        </w:rPr>
        <w:t xml:space="preserve">hese scores are </w:t>
      </w:r>
      <w:r w:rsidR="00376443" w:rsidRPr="007723F5">
        <w:rPr>
          <w:lang w:val="en-GB"/>
        </w:rPr>
        <w:t>calibrated to the long-</w:t>
      </w:r>
      <w:r w:rsidRPr="007723F5">
        <w:rPr>
          <w:lang w:val="en-GB"/>
        </w:rPr>
        <w:t>run average PD. Calibration is the ability of the model to make unbiased estimates of the PDs</w:t>
      </w:r>
      <w:r w:rsidR="00376443" w:rsidRPr="007723F5">
        <w:rPr>
          <w:lang w:val="en-GB"/>
        </w:rPr>
        <w:t>.</w:t>
      </w:r>
      <w:r w:rsidR="002D0938" w:rsidRPr="007723F5">
        <w:rPr>
          <w:lang w:val="en-GB"/>
        </w:rPr>
        <w:t xml:space="preserve"> </w:t>
      </w:r>
      <w:r w:rsidR="00364B02" w:rsidRPr="007723F5">
        <w:rPr>
          <w:lang w:val="en-GB"/>
        </w:rPr>
        <w:t>P</w:t>
      </w:r>
      <w:r w:rsidRPr="007723F5">
        <w:rPr>
          <w:lang w:val="en-GB"/>
        </w:rPr>
        <w:t>oor calibration may result in</w:t>
      </w:r>
      <w:r w:rsidR="00376443" w:rsidRPr="007723F5">
        <w:rPr>
          <w:lang w:val="en-GB"/>
        </w:rPr>
        <w:t xml:space="preserve"> a wrong estimation of the long-</w:t>
      </w:r>
      <w:r w:rsidRPr="007723F5">
        <w:rPr>
          <w:lang w:val="en-GB"/>
        </w:rPr>
        <w:t>run average PD and this can have the following consequences:</w:t>
      </w:r>
      <w:r w:rsidR="000C19CF" w:rsidRPr="007723F5">
        <w:rPr>
          <w:lang w:val="en-GB"/>
        </w:rPr>
        <w:t xml:space="preserve"> i) Underestimation of PD (this means that </w:t>
      </w:r>
      <w:r w:rsidR="00364B02" w:rsidRPr="007723F5">
        <w:rPr>
          <w:lang w:val="en-GB"/>
        </w:rPr>
        <w:t>the</w:t>
      </w:r>
      <w:r w:rsidR="00376443" w:rsidRPr="007723F5">
        <w:rPr>
          <w:lang w:val="en-GB"/>
        </w:rPr>
        <w:t xml:space="preserve"> ba</w:t>
      </w:r>
      <w:r w:rsidR="000C19CF" w:rsidRPr="007723F5">
        <w:rPr>
          <w:lang w:val="en-GB"/>
        </w:rPr>
        <w:t xml:space="preserve">nk may fail to cover risk costs) and ii) Overestimation of PD (this means that </w:t>
      </w:r>
      <w:r w:rsidR="00364B02" w:rsidRPr="007723F5">
        <w:rPr>
          <w:lang w:val="en-GB"/>
        </w:rPr>
        <w:t>the</w:t>
      </w:r>
      <w:r w:rsidR="00376443" w:rsidRPr="007723F5">
        <w:rPr>
          <w:lang w:val="en-GB"/>
        </w:rPr>
        <w:t xml:space="preserve"> bank may overprice and reject value-adding opportunities</w:t>
      </w:r>
      <w:r w:rsidR="000C19CF" w:rsidRPr="007723F5">
        <w:rPr>
          <w:lang w:val="en-GB"/>
        </w:rPr>
        <w:t>)</w:t>
      </w:r>
      <w:r w:rsidR="00376443" w:rsidRPr="007723F5">
        <w:rPr>
          <w:lang w:val="en-GB"/>
        </w:rPr>
        <w:t>.</w:t>
      </w:r>
    </w:p>
    <w:p w:rsidR="00376443" w:rsidRPr="007723F5" w:rsidRDefault="00376443" w:rsidP="00376443">
      <w:pPr>
        <w:tabs>
          <w:tab w:val="left" w:pos="720"/>
        </w:tabs>
        <w:spacing w:line="360" w:lineRule="auto"/>
        <w:jc w:val="both"/>
        <w:rPr>
          <w:lang w:val="en-GB"/>
        </w:rPr>
      </w:pPr>
    </w:p>
    <w:p w:rsidR="005D02C5" w:rsidRPr="007723F5" w:rsidRDefault="00376443" w:rsidP="005D02C5">
      <w:pPr>
        <w:autoSpaceDE w:val="0"/>
        <w:autoSpaceDN w:val="0"/>
        <w:adjustRightInd w:val="0"/>
        <w:spacing w:line="360" w:lineRule="auto"/>
        <w:jc w:val="both"/>
        <w:rPr>
          <w:lang w:val="en-GB"/>
        </w:rPr>
      </w:pPr>
      <w:r w:rsidRPr="007723F5">
        <w:rPr>
          <w:lang w:val="en-GB"/>
        </w:rPr>
        <w:lastRenderedPageBreak/>
        <w:t xml:space="preserve">Since a smaller PD will result in a lower capital reserve, banks have </w:t>
      </w:r>
      <w:r w:rsidR="00570A78" w:rsidRPr="007723F5">
        <w:rPr>
          <w:lang w:val="en-GB"/>
        </w:rPr>
        <w:t>an</w:t>
      </w:r>
      <w:r w:rsidRPr="007723F5">
        <w:rPr>
          <w:lang w:val="en-GB"/>
        </w:rPr>
        <w:t xml:space="preserve"> incentive to underestimate the PDs (Blum, 2007). Therefore, PD models are tested thoroughly by external supervisors. In fact, </w:t>
      </w:r>
      <w:r w:rsidR="00364B02" w:rsidRPr="007723F5">
        <w:rPr>
          <w:lang w:val="en-GB"/>
        </w:rPr>
        <w:t>some PD models are only allowed to</w:t>
      </w:r>
      <w:r w:rsidRPr="007723F5">
        <w:rPr>
          <w:lang w:val="en-GB"/>
        </w:rPr>
        <w:t xml:space="preserve"> be implemented after the supervisors have given their official approval.</w:t>
      </w:r>
      <w:bookmarkStart w:id="9" w:name="_Ref348110942"/>
      <w:bookmarkStart w:id="10" w:name="_Toc371788235"/>
    </w:p>
    <w:bookmarkEnd w:id="9"/>
    <w:bookmarkEnd w:id="10"/>
    <w:p w:rsidR="002D0938" w:rsidRPr="007723F5" w:rsidRDefault="002D0938" w:rsidP="0044006D">
      <w:pPr>
        <w:tabs>
          <w:tab w:val="left" w:pos="720"/>
        </w:tabs>
        <w:spacing w:line="360" w:lineRule="auto"/>
        <w:jc w:val="both"/>
        <w:rPr>
          <w:lang w:val="en-GB"/>
        </w:rPr>
      </w:pPr>
    </w:p>
    <w:p w:rsidR="00DC17A2" w:rsidRPr="007723F5" w:rsidRDefault="00DC17A2" w:rsidP="0044006D">
      <w:pPr>
        <w:tabs>
          <w:tab w:val="left" w:pos="720"/>
        </w:tabs>
        <w:spacing w:line="360" w:lineRule="auto"/>
        <w:jc w:val="both"/>
        <w:rPr>
          <w:lang w:val="en-GB"/>
        </w:rPr>
      </w:pPr>
      <w:r w:rsidRPr="007723F5">
        <w:rPr>
          <w:lang w:val="en-GB"/>
        </w:rPr>
        <w:t>The creditworthiness of a borrower depends on both idiosyncratic va</w:t>
      </w:r>
      <w:r w:rsidR="0044006D" w:rsidRPr="007723F5">
        <w:rPr>
          <w:lang w:val="en-GB"/>
        </w:rPr>
        <w:t>riables and system</w:t>
      </w:r>
      <w:r w:rsidR="002A70DF" w:rsidRPr="007723F5">
        <w:rPr>
          <w:lang w:val="en-GB"/>
        </w:rPr>
        <w:t>at</w:t>
      </w:r>
      <w:r w:rsidR="0044006D" w:rsidRPr="007723F5">
        <w:rPr>
          <w:lang w:val="en-GB"/>
        </w:rPr>
        <w:t>ic variables. Idiosyncratic variables entail non-</w:t>
      </w:r>
      <w:r w:rsidRPr="007723F5">
        <w:rPr>
          <w:lang w:val="en-GB"/>
        </w:rPr>
        <w:t>macroeconomic factors</w:t>
      </w:r>
      <w:r w:rsidR="00570A78" w:rsidRPr="007723F5">
        <w:rPr>
          <w:lang w:val="en-GB"/>
        </w:rPr>
        <w:t>,</w:t>
      </w:r>
      <w:r w:rsidRPr="007723F5">
        <w:rPr>
          <w:lang w:val="en-GB"/>
        </w:rPr>
        <w:t xml:space="preserve"> which depend on the characteristics of</w:t>
      </w:r>
      <w:r w:rsidR="00364B02" w:rsidRPr="007723F5">
        <w:rPr>
          <w:lang w:val="en-GB"/>
        </w:rPr>
        <w:t xml:space="preserve"> the</w:t>
      </w:r>
      <w:r w:rsidRPr="007723F5">
        <w:rPr>
          <w:lang w:val="en-GB"/>
        </w:rPr>
        <w:t xml:space="preserve"> individual bo</w:t>
      </w:r>
      <w:r w:rsidR="0044006D" w:rsidRPr="007723F5">
        <w:rPr>
          <w:lang w:val="en-GB"/>
        </w:rPr>
        <w:t>rrower. System</w:t>
      </w:r>
      <w:r w:rsidR="002A70DF" w:rsidRPr="007723F5">
        <w:rPr>
          <w:lang w:val="en-GB"/>
        </w:rPr>
        <w:t>at</w:t>
      </w:r>
      <w:r w:rsidR="0044006D" w:rsidRPr="007723F5">
        <w:rPr>
          <w:lang w:val="en-GB"/>
        </w:rPr>
        <w:t>ic variables entail</w:t>
      </w:r>
      <w:r w:rsidRPr="007723F5">
        <w:rPr>
          <w:lang w:val="en-GB"/>
        </w:rPr>
        <w:t xml:space="preserve"> </w:t>
      </w:r>
      <w:r w:rsidR="0044006D" w:rsidRPr="007723F5">
        <w:rPr>
          <w:lang w:val="en-GB"/>
        </w:rPr>
        <w:t>macroeconomic factors</w:t>
      </w:r>
      <w:r w:rsidR="00570A78" w:rsidRPr="007723F5">
        <w:rPr>
          <w:lang w:val="en-GB"/>
        </w:rPr>
        <w:t>,</w:t>
      </w:r>
      <w:r w:rsidRPr="007723F5">
        <w:rPr>
          <w:lang w:val="en-GB"/>
        </w:rPr>
        <w:t xml:space="preserve"> characterised by the performance of the broader economy. </w:t>
      </w:r>
      <w:r w:rsidR="00364B02" w:rsidRPr="007723F5">
        <w:rPr>
          <w:lang w:val="en-GB"/>
        </w:rPr>
        <w:t>System</w:t>
      </w:r>
      <w:r w:rsidR="002A70DF" w:rsidRPr="007723F5">
        <w:rPr>
          <w:lang w:val="en-GB"/>
        </w:rPr>
        <w:t>at</w:t>
      </w:r>
      <w:r w:rsidR="00364B02" w:rsidRPr="007723F5">
        <w:rPr>
          <w:lang w:val="en-GB"/>
        </w:rPr>
        <w:t xml:space="preserve">ic shifts also affect </w:t>
      </w:r>
      <w:r w:rsidRPr="007723F5">
        <w:rPr>
          <w:lang w:val="en-GB"/>
        </w:rPr>
        <w:t>the behaviour of the borrower</w:t>
      </w:r>
      <w:r w:rsidR="00164B7D" w:rsidRPr="007723F5">
        <w:rPr>
          <w:lang w:val="en-GB"/>
        </w:rPr>
        <w:t>; see e.g. Agresti and Finlay (</w:t>
      </w:r>
      <w:r w:rsidR="00BA4A61" w:rsidRPr="007723F5">
        <w:rPr>
          <w:lang w:val="en-GB"/>
        </w:rPr>
        <w:t>1997</w:t>
      </w:r>
      <w:r w:rsidR="00164B7D" w:rsidRPr="007723F5">
        <w:rPr>
          <w:lang w:val="en-GB"/>
        </w:rPr>
        <w:t>)</w:t>
      </w:r>
      <w:r w:rsidR="0012221A" w:rsidRPr="007723F5">
        <w:rPr>
          <w:lang w:val="en-GB"/>
        </w:rPr>
        <w:t xml:space="preserve"> and Sharpe (1963)</w:t>
      </w:r>
      <w:r w:rsidRPr="007723F5">
        <w:rPr>
          <w:lang w:val="en-GB"/>
        </w:rPr>
        <w:t>.</w:t>
      </w:r>
    </w:p>
    <w:p w:rsidR="00164B7D" w:rsidRPr="007723F5" w:rsidRDefault="00164B7D" w:rsidP="0044006D">
      <w:pPr>
        <w:tabs>
          <w:tab w:val="left" w:pos="720"/>
        </w:tabs>
        <w:spacing w:line="360" w:lineRule="auto"/>
        <w:jc w:val="both"/>
        <w:rPr>
          <w:lang w:val="en-GB"/>
        </w:rPr>
      </w:pPr>
    </w:p>
    <w:p w:rsidR="00DC17A2" w:rsidRPr="007723F5" w:rsidRDefault="003C5774" w:rsidP="00DC17A2">
      <w:pPr>
        <w:spacing w:line="360" w:lineRule="auto"/>
        <w:jc w:val="both"/>
        <w:rPr>
          <w:lang w:val="en-GB"/>
        </w:rPr>
      </w:pPr>
      <w:r w:rsidRPr="007723F5">
        <w:rPr>
          <w:lang w:val="en-GB"/>
        </w:rPr>
        <w:t>In literature, three types</w:t>
      </w:r>
      <w:r w:rsidR="00DC17A2" w:rsidRPr="007723F5">
        <w:rPr>
          <w:lang w:val="en-GB"/>
        </w:rPr>
        <w:t xml:space="preserve"> of </w:t>
      </w:r>
      <w:r w:rsidR="0076033A" w:rsidRPr="007723F5">
        <w:rPr>
          <w:lang w:val="en-GB"/>
        </w:rPr>
        <w:t>model</w:t>
      </w:r>
      <w:r w:rsidR="00364B02" w:rsidRPr="007723F5">
        <w:rPr>
          <w:lang w:val="en-GB"/>
        </w:rPr>
        <w:t xml:space="preserve"> philosophies</w:t>
      </w:r>
      <w:r w:rsidRPr="007723F5">
        <w:rPr>
          <w:lang w:val="en-GB"/>
        </w:rPr>
        <w:t xml:space="preserve"> are found</w:t>
      </w:r>
      <w:r w:rsidR="00DC17A2" w:rsidRPr="007723F5">
        <w:rPr>
          <w:lang w:val="en-GB"/>
        </w:rPr>
        <w:t>:</w:t>
      </w:r>
    </w:p>
    <w:p w:rsidR="00C47BCD" w:rsidRPr="007723F5" w:rsidRDefault="00DC17A2" w:rsidP="00C47BCD">
      <w:pPr>
        <w:numPr>
          <w:ilvl w:val="0"/>
          <w:numId w:val="16"/>
        </w:numPr>
        <w:autoSpaceDE w:val="0"/>
        <w:autoSpaceDN w:val="0"/>
        <w:adjustRightInd w:val="0"/>
        <w:spacing w:line="360" w:lineRule="auto"/>
        <w:jc w:val="both"/>
        <w:rPr>
          <w:lang w:val="en-GB"/>
        </w:rPr>
      </w:pPr>
      <w:r w:rsidRPr="007723F5">
        <w:rPr>
          <w:lang w:val="en-GB"/>
        </w:rPr>
        <w:t>Point</w:t>
      </w:r>
      <w:r w:rsidR="0044006D" w:rsidRPr="007723F5">
        <w:rPr>
          <w:lang w:val="en-GB"/>
        </w:rPr>
        <w:t>-</w:t>
      </w:r>
      <w:r w:rsidRPr="007723F5">
        <w:rPr>
          <w:lang w:val="en-GB"/>
        </w:rPr>
        <w:t>in</w:t>
      </w:r>
      <w:r w:rsidR="0044006D" w:rsidRPr="007723F5">
        <w:rPr>
          <w:lang w:val="en-GB"/>
        </w:rPr>
        <w:t>-t</w:t>
      </w:r>
      <w:r w:rsidRPr="007723F5">
        <w:rPr>
          <w:lang w:val="en-GB"/>
        </w:rPr>
        <w:t>ime (PIT): a rating system based on PD models using both idiosyncratic and system</w:t>
      </w:r>
      <w:r w:rsidR="002A70DF" w:rsidRPr="007723F5">
        <w:rPr>
          <w:lang w:val="en-GB"/>
        </w:rPr>
        <w:t>at</w:t>
      </w:r>
      <w:r w:rsidRPr="007723F5">
        <w:rPr>
          <w:lang w:val="en-GB"/>
        </w:rPr>
        <w:t xml:space="preserve">ic variables, </w:t>
      </w:r>
      <w:r w:rsidR="0044006D" w:rsidRPr="007723F5">
        <w:rPr>
          <w:lang w:val="en-GB"/>
        </w:rPr>
        <w:t xml:space="preserve">being </w:t>
      </w:r>
      <w:r w:rsidR="00364B02" w:rsidRPr="007723F5">
        <w:rPr>
          <w:lang w:val="en-GB"/>
        </w:rPr>
        <w:t xml:space="preserve">fully </w:t>
      </w:r>
      <w:r w:rsidRPr="007723F5">
        <w:rPr>
          <w:lang w:val="en-GB"/>
        </w:rPr>
        <w:t xml:space="preserve">cyclical. </w:t>
      </w:r>
      <w:r w:rsidR="00C47BCD" w:rsidRPr="007723F5">
        <w:rPr>
          <w:lang w:val="en-GB"/>
        </w:rPr>
        <w:t>Examples include a variety of market-price based quantitative models, including Merton-style PD models and CDS spread based models</w:t>
      </w:r>
      <w:r w:rsidR="00BA4A61" w:rsidRPr="007723F5">
        <w:rPr>
          <w:lang w:val="en-GB"/>
        </w:rPr>
        <w:t>; see e.g. Merton (1974)</w:t>
      </w:r>
      <w:r w:rsidR="005F6474" w:rsidRPr="007723F5">
        <w:rPr>
          <w:lang w:val="en-GB"/>
        </w:rPr>
        <w:t xml:space="preserve"> and Duffie (1999).</w:t>
      </w:r>
      <w:r w:rsidR="00C47BCD" w:rsidRPr="007723F5">
        <w:rPr>
          <w:lang w:val="en-GB"/>
        </w:rPr>
        <w:t xml:space="preserve">  </w:t>
      </w:r>
    </w:p>
    <w:p w:rsidR="00C47BCD" w:rsidRPr="007723F5" w:rsidRDefault="00DC17A2" w:rsidP="00C47BCD">
      <w:pPr>
        <w:numPr>
          <w:ilvl w:val="0"/>
          <w:numId w:val="16"/>
        </w:numPr>
        <w:autoSpaceDE w:val="0"/>
        <w:autoSpaceDN w:val="0"/>
        <w:adjustRightInd w:val="0"/>
        <w:spacing w:line="360" w:lineRule="auto"/>
        <w:jc w:val="both"/>
        <w:rPr>
          <w:lang w:val="en-GB"/>
        </w:rPr>
      </w:pPr>
      <w:r w:rsidRPr="007723F5">
        <w:rPr>
          <w:lang w:val="en-GB"/>
        </w:rPr>
        <w:t>Through</w:t>
      </w:r>
      <w:r w:rsidR="0044006D" w:rsidRPr="007723F5">
        <w:rPr>
          <w:lang w:val="en-GB"/>
        </w:rPr>
        <w:t>-</w:t>
      </w:r>
      <w:r w:rsidRPr="007723F5">
        <w:rPr>
          <w:lang w:val="en-GB"/>
        </w:rPr>
        <w:t>the</w:t>
      </w:r>
      <w:r w:rsidR="0044006D" w:rsidRPr="007723F5">
        <w:rPr>
          <w:lang w:val="en-GB"/>
        </w:rPr>
        <w:t>-</w:t>
      </w:r>
      <w:r w:rsidRPr="007723F5">
        <w:rPr>
          <w:lang w:val="en-GB"/>
        </w:rPr>
        <w:t>cycle (TTC): a rating system based on PD models that disregard the system</w:t>
      </w:r>
      <w:r w:rsidR="002A70DF" w:rsidRPr="007723F5">
        <w:rPr>
          <w:lang w:val="en-GB"/>
        </w:rPr>
        <w:t>at</w:t>
      </w:r>
      <w:r w:rsidRPr="007723F5">
        <w:rPr>
          <w:lang w:val="en-GB"/>
        </w:rPr>
        <w:t xml:space="preserve">ic variables and take into account the idiosyncratic variables only. </w:t>
      </w:r>
      <w:r w:rsidR="00C47BCD" w:rsidRPr="007723F5">
        <w:rPr>
          <w:lang w:val="en-GB"/>
        </w:rPr>
        <w:t>Examples include credit ratings and financial ratios based models</w:t>
      </w:r>
      <w:r w:rsidR="00746FBB" w:rsidRPr="007723F5">
        <w:rPr>
          <w:lang w:val="en-GB"/>
        </w:rPr>
        <w:t>; see e.g. Beaver (196</w:t>
      </w:r>
      <w:r w:rsidR="001442B4" w:rsidRPr="007723F5">
        <w:rPr>
          <w:lang w:val="en-GB"/>
        </w:rPr>
        <w:t>6</w:t>
      </w:r>
      <w:r w:rsidR="00746FBB" w:rsidRPr="007723F5">
        <w:rPr>
          <w:lang w:val="en-GB"/>
        </w:rPr>
        <w:t>) and Altman (1968)</w:t>
      </w:r>
      <w:r w:rsidR="00C47BCD" w:rsidRPr="007723F5">
        <w:rPr>
          <w:lang w:val="en-GB"/>
        </w:rPr>
        <w:t>.</w:t>
      </w:r>
    </w:p>
    <w:p w:rsidR="00DC17A2" w:rsidRPr="007723F5" w:rsidRDefault="00DC17A2" w:rsidP="00B7736C">
      <w:pPr>
        <w:numPr>
          <w:ilvl w:val="0"/>
          <w:numId w:val="10"/>
        </w:numPr>
        <w:tabs>
          <w:tab w:val="left" w:pos="720"/>
        </w:tabs>
        <w:autoSpaceDE w:val="0"/>
        <w:autoSpaceDN w:val="0"/>
        <w:adjustRightInd w:val="0"/>
        <w:spacing w:line="360" w:lineRule="auto"/>
        <w:jc w:val="both"/>
        <w:rPr>
          <w:lang w:val="en-GB"/>
        </w:rPr>
      </w:pPr>
      <w:r w:rsidRPr="007723F5">
        <w:rPr>
          <w:lang w:val="en-GB"/>
        </w:rPr>
        <w:t xml:space="preserve">Hybrid: a rating system </w:t>
      </w:r>
      <w:r w:rsidR="0044006D" w:rsidRPr="007723F5">
        <w:rPr>
          <w:lang w:val="en-GB"/>
        </w:rPr>
        <w:t>based on PD models that reflect</w:t>
      </w:r>
      <w:r w:rsidRPr="007723F5">
        <w:rPr>
          <w:lang w:val="en-GB"/>
        </w:rPr>
        <w:t xml:space="preserve"> </w:t>
      </w:r>
      <w:r w:rsidR="00364B02" w:rsidRPr="007723F5">
        <w:rPr>
          <w:lang w:val="en-GB"/>
        </w:rPr>
        <w:t xml:space="preserve">individual borrower behaviour </w:t>
      </w:r>
      <w:r w:rsidRPr="007723F5">
        <w:rPr>
          <w:lang w:val="en-GB"/>
        </w:rPr>
        <w:t xml:space="preserve">and follows the cycle in a dampened way. </w:t>
      </w:r>
    </w:p>
    <w:p w:rsidR="00246547" w:rsidRPr="007723F5" w:rsidRDefault="00C47BCD" w:rsidP="001D329B">
      <w:pPr>
        <w:autoSpaceDE w:val="0"/>
        <w:autoSpaceDN w:val="0"/>
        <w:adjustRightInd w:val="0"/>
        <w:spacing w:line="360" w:lineRule="auto"/>
        <w:jc w:val="both"/>
      </w:pPr>
      <w:r w:rsidRPr="007723F5">
        <w:rPr>
          <w:lang w:val="en-GB"/>
        </w:rPr>
        <w:t>TTC rati</w:t>
      </w:r>
      <w:r w:rsidR="00224DE7" w:rsidRPr="007723F5">
        <w:rPr>
          <w:lang w:val="en-GB"/>
        </w:rPr>
        <w:t xml:space="preserve">ngs will tend to remain more or </w:t>
      </w:r>
      <w:r w:rsidRPr="007723F5">
        <w:rPr>
          <w:lang w:val="en-GB"/>
        </w:rPr>
        <w:t>less constant as macroeconomic conditions change over time. PIT ratings will tend to adjust quickly to a changing economic environment. Between these two extreme cases</w:t>
      </w:r>
      <w:r w:rsidR="00364B02" w:rsidRPr="007723F5">
        <w:rPr>
          <w:lang w:val="en-GB"/>
        </w:rPr>
        <w:t>,</w:t>
      </w:r>
      <w:r w:rsidRPr="007723F5">
        <w:rPr>
          <w:lang w:val="en-GB"/>
        </w:rPr>
        <w:t xml:space="preserve"> hybrid rating systems embody characteristics of both PIT and TTC </w:t>
      </w:r>
      <w:r w:rsidR="0076033A" w:rsidRPr="007723F5">
        <w:rPr>
          <w:lang w:val="en-GB"/>
        </w:rPr>
        <w:t>model</w:t>
      </w:r>
      <w:r w:rsidRPr="007723F5">
        <w:rPr>
          <w:lang w:val="en-GB"/>
        </w:rPr>
        <w:t xml:space="preserve"> philosophies. </w:t>
      </w:r>
    </w:p>
    <w:p w:rsidR="00246547" w:rsidRPr="007723F5" w:rsidRDefault="00246547" w:rsidP="001D329B">
      <w:pPr>
        <w:autoSpaceDE w:val="0"/>
        <w:autoSpaceDN w:val="0"/>
        <w:adjustRightInd w:val="0"/>
        <w:spacing w:line="360" w:lineRule="auto"/>
        <w:jc w:val="both"/>
      </w:pPr>
    </w:p>
    <w:p w:rsidR="001D329B" w:rsidRPr="007723F5" w:rsidRDefault="003C194B" w:rsidP="001D329B">
      <w:pPr>
        <w:autoSpaceDE w:val="0"/>
        <w:autoSpaceDN w:val="0"/>
        <w:adjustRightInd w:val="0"/>
        <w:spacing w:line="360" w:lineRule="auto"/>
        <w:jc w:val="both"/>
      </w:pPr>
      <w:r w:rsidRPr="007723F5">
        <w:rPr>
          <w:rFonts w:eastAsia="SimSun"/>
          <w:lang w:val="en-US" w:eastAsia="zh-CN"/>
        </w:rPr>
        <w:t xml:space="preserve">With respect to the point-in-time (PIT) and through-the-cycle (TTC) philosophies, literature is </w:t>
      </w:r>
      <w:r w:rsidR="0014095F" w:rsidRPr="007723F5">
        <w:rPr>
          <w:rFonts w:eastAsia="SimSun"/>
          <w:lang w:val="en-US" w:eastAsia="zh-CN"/>
        </w:rPr>
        <w:t>not unanimous</w:t>
      </w:r>
      <w:r w:rsidRPr="007723F5">
        <w:rPr>
          <w:rFonts w:eastAsia="SimSun"/>
          <w:lang w:val="en-US" w:eastAsia="zh-CN"/>
        </w:rPr>
        <w:t xml:space="preserve"> on preferred approaches. </w:t>
      </w:r>
      <w:r w:rsidR="00C33EC4" w:rsidRPr="007723F5">
        <w:rPr>
          <w:rFonts w:eastAsia="SimSun"/>
          <w:lang w:val="en-US" w:eastAsia="zh-CN"/>
        </w:rPr>
        <w:t xml:space="preserve">Rating agencies generally assign ratings on a TTC basis whereas banks' internal valuations are often based on a PIT performance; see e.g. IMF (2013). </w:t>
      </w:r>
      <w:r w:rsidR="00CA044D" w:rsidRPr="007723F5">
        <w:rPr>
          <w:rFonts w:eastAsia="SimSun"/>
          <w:lang w:val="en-US" w:eastAsia="zh-CN"/>
        </w:rPr>
        <w:t>Under Basel II, banks have</w:t>
      </w:r>
      <w:r w:rsidRPr="007723F5">
        <w:rPr>
          <w:rFonts w:eastAsia="SimSun"/>
          <w:lang w:val="en-US" w:eastAsia="zh-CN"/>
        </w:rPr>
        <w:t xml:space="preserve"> the choice of adopting PIT or TTC approaches. Some regulators </w:t>
      </w:r>
      <w:r w:rsidR="00D313F4" w:rsidRPr="007723F5">
        <w:rPr>
          <w:rFonts w:eastAsia="SimSun"/>
          <w:lang w:val="en-US" w:eastAsia="zh-CN"/>
        </w:rPr>
        <w:t>encourage</w:t>
      </w:r>
      <w:r w:rsidRPr="007723F5">
        <w:rPr>
          <w:rFonts w:eastAsia="SimSun"/>
          <w:lang w:val="en-US" w:eastAsia="zh-CN"/>
        </w:rPr>
        <w:t xml:space="preserve"> PIT </w:t>
      </w:r>
      <w:r w:rsidR="00D63D94" w:rsidRPr="007723F5">
        <w:rPr>
          <w:rFonts w:eastAsia="SimSun"/>
          <w:lang w:val="en-US" w:eastAsia="zh-CN"/>
        </w:rPr>
        <w:t>modeling,</w:t>
      </w:r>
      <w:r w:rsidRPr="007723F5">
        <w:rPr>
          <w:rFonts w:eastAsia="SimSun"/>
          <w:lang w:val="en-US" w:eastAsia="zh-CN"/>
        </w:rPr>
        <w:t xml:space="preserve"> because the standard errors between </w:t>
      </w:r>
      <w:r w:rsidR="00D63D94" w:rsidRPr="007723F5">
        <w:rPr>
          <w:rFonts w:eastAsia="SimSun"/>
          <w:lang w:val="en-US" w:eastAsia="zh-CN"/>
        </w:rPr>
        <w:t xml:space="preserve">observed </w:t>
      </w:r>
      <w:r w:rsidRPr="007723F5">
        <w:rPr>
          <w:rFonts w:eastAsia="SimSun"/>
          <w:lang w:val="en-US" w:eastAsia="zh-CN"/>
        </w:rPr>
        <w:t xml:space="preserve">default rates and PD estimates </w:t>
      </w:r>
      <w:r w:rsidR="00D313F4" w:rsidRPr="007723F5">
        <w:rPr>
          <w:rFonts w:eastAsia="SimSun"/>
          <w:lang w:val="en-US" w:eastAsia="zh-CN"/>
        </w:rPr>
        <w:t>are</w:t>
      </w:r>
      <w:r w:rsidRPr="007723F5">
        <w:rPr>
          <w:rFonts w:eastAsia="SimSun"/>
          <w:lang w:val="en-US" w:eastAsia="zh-CN"/>
        </w:rPr>
        <w:t xml:space="preserve"> lower.</w:t>
      </w:r>
      <w:r w:rsidR="00D63D94" w:rsidRPr="007723F5">
        <w:rPr>
          <w:rFonts w:eastAsia="SimSun"/>
          <w:lang w:val="en-US" w:eastAsia="zh-CN"/>
        </w:rPr>
        <w:t xml:space="preserve"> T</w:t>
      </w:r>
      <w:r w:rsidR="00D313F4" w:rsidRPr="007723F5">
        <w:rPr>
          <w:rFonts w:eastAsia="SimSun"/>
          <w:lang w:val="en-US" w:eastAsia="zh-CN"/>
        </w:rPr>
        <w:t>hey argue</w:t>
      </w:r>
      <w:r w:rsidR="00D63D94" w:rsidRPr="007723F5">
        <w:rPr>
          <w:rFonts w:eastAsia="SimSun"/>
          <w:lang w:val="en-US" w:eastAsia="zh-CN"/>
        </w:rPr>
        <w:t xml:space="preserve"> that TTC models are poorly suited for internal </w:t>
      </w:r>
      <w:r w:rsidR="00D63D94" w:rsidRPr="007723F5">
        <w:rPr>
          <w:rFonts w:eastAsia="SimSun"/>
          <w:lang w:val="en-US" w:eastAsia="zh-CN"/>
        </w:rPr>
        <w:lastRenderedPageBreak/>
        <w:t>pricing and risk management purposes; see e.g. Gordy and Howell</w:t>
      </w:r>
      <w:r w:rsidR="001D329B" w:rsidRPr="007723F5">
        <w:rPr>
          <w:rFonts w:eastAsia="SimSun"/>
          <w:lang w:val="en-US" w:eastAsia="zh-CN"/>
        </w:rPr>
        <w:t>s (2006</w:t>
      </w:r>
      <w:r w:rsidR="00D63D94" w:rsidRPr="007723F5">
        <w:rPr>
          <w:rFonts w:eastAsia="SimSun"/>
          <w:lang w:val="en-US" w:eastAsia="zh-CN"/>
        </w:rPr>
        <w:t xml:space="preserve">). </w:t>
      </w:r>
      <w:r w:rsidR="001D329B" w:rsidRPr="007723F5">
        <w:rPr>
          <w:lang w:val="en-GB"/>
        </w:rPr>
        <w:t xml:space="preserve">In a survey of internal rating systems at large US banks, Treacy and Carey (1998) find that banks tend to focus more narrowly on current conditions in setting ratings than do public rating agencies. This suggests that many US bank rating systems conform more closely to a PIT philosophy. </w:t>
      </w:r>
    </w:p>
    <w:p w:rsidR="001D329B" w:rsidRPr="007723F5" w:rsidRDefault="001D329B" w:rsidP="00BB3592">
      <w:pPr>
        <w:spacing w:line="360" w:lineRule="auto"/>
        <w:jc w:val="both"/>
        <w:rPr>
          <w:rFonts w:eastAsia="SimSun"/>
          <w:lang w:val="en-US" w:eastAsia="zh-CN"/>
        </w:rPr>
      </w:pPr>
    </w:p>
    <w:p w:rsidR="00C33BFA" w:rsidRPr="007723F5" w:rsidRDefault="00D63D94" w:rsidP="00F747B9">
      <w:pPr>
        <w:spacing w:line="360" w:lineRule="auto"/>
        <w:jc w:val="both"/>
        <w:rPr>
          <w:rFonts w:eastAsia="SimSun"/>
          <w:lang w:val="en-US" w:eastAsia="zh-CN"/>
        </w:rPr>
      </w:pPr>
      <w:r w:rsidRPr="007723F5">
        <w:rPr>
          <w:rFonts w:eastAsia="SimSun"/>
          <w:lang w:val="en-US" w:eastAsia="zh-CN"/>
        </w:rPr>
        <w:t>In contrast</w:t>
      </w:r>
      <w:r w:rsidR="00D313F4" w:rsidRPr="007723F5">
        <w:rPr>
          <w:rFonts w:eastAsia="SimSun"/>
          <w:lang w:val="en-US" w:eastAsia="zh-CN"/>
        </w:rPr>
        <w:t>, other regulators encourage</w:t>
      </w:r>
      <w:r w:rsidRPr="007723F5">
        <w:rPr>
          <w:rFonts w:eastAsia="SimSun"/>
          <w:lang w:val="en-US" w:eastAsia="zh-CN"/>
        </w:rPr>
        <w:t xml:space="preserve"> TTC modeling, because it keeps the capital reserves more stable and pricing and exposure decisions are taken on a more accurate view of the risk over the life of the loan</w:t>
      </w:r>
      <w:r w:rsidR="005F3CC8" w:rsidRPr="007723F5">
        <w:rPr>
          <w:rFonts w:eastAsia="SimSun"/>
          <w:lang w:val="en-US" w:eastAsia="zh-CN"/>
        </w:rPr>
        <w:t>; see e.g. Taylor (2003)</w:t>
      </w:r>
      <w:r w:rsidRPr="007723F5">
        <w:rPr>
          <w:rFonts w:eastAsia="SimSun"/>
          <w:lang w:val="en-US" w:eastAsia="zh-CN"/>
        </w:rPr>
        <w:t xml:space="preserve">. </w:t>
      </w:r>
      <w:r w:rsidR="00C33BFA" w:rsidRPr="007723F5">
        <w:rPr>
          <w:rFonts w:eastAsia="SimSun"/>
          <w:lang w:val="en-US" w:eastAsia="zh-CN"/>
        </w:rPr>
        <w:t xml:space="preserve">In the UK, according </w:t>
      </w:r>
      <w:r w:rsidR="0014095F" w:rsidRPr="007723F5">
        <w:rPr>
          <w:rFonts w:eastAsia="SimSun"/>
          <w:lang w:val="en-US" w:eastAsia="zh-CN"/>
        </w:rPr>
        <w:t xml:space="preserve">to </w:t>
      </w:r>
      <w:r w:rsidR="00C33BFA" w:rsidRPr="007723F5">
        <w:rPr>
          <w:rFonts w:eastAsia="SimSun"/>
          <w:lang w:val="en-US" w:eastAsia="zh-CN"/>
        </w:rPr>
        <w:t xml:space="preserve">the </w:t>
      </w:r>
      <w:r w:rsidR="00302AF5" w:rsidRPr="007723F5">
        <w:rPr>
          <w:rFonts w:eastAsia="SimSun"/>
          <w:lang w:val="en-US" w:eastAsia="zh-CN"/>
        </w:rPr>
        <w:t>Financial Services Authority</w:t>
      </w:r>
      <w:r w:rsidR="00C33BFA" w:rsidRPr="007723F5">
        <w:rPr>
          <w:rFonts w:eastAsia="SimSun"/>
          <w:lang w:val="en-US" w:eastAsia="zh-CN"/>
        </w:rPr>
        <w:t xml:space="preserve"> </w:t>
      </w:r>
      <w:r w:rsidR="00302AF5" w:rsidRPr="007723F5">
        <w:rPr>
          <w:rFonts w:eastAsia="SimSun"/>
          <w:lang w:val="en-US" w:eastAsia="zh-CN"/>
        </w:rPr>
        <w:t>(</w:t>
      </w:r>
      <w:r w:rsidR="00C33BFA" w:rsidRPr="007723F5">
        <w:rPr>
          <w:rFonts w:eastAsia="SimSun"/>
          <w:lang w:val="en-US" w:eastAsia="zh-CN"/>
        </w:rPr>
        <w:t>FSA</w:t>
      </w:r>
      <w:r w:rsidR="00302AF5" w:rsidRPr="007723F5">
        <w:rPr>
          <w:rFonts w:eastAsia="SimSun"/>
          <w:lang w:val="en-US" w:eastAsia="zh-CN"/>
        </w:rPr>
        <w:t>)</w:t>
      </w:r>
      <w:r w:rsidR="00C33BFA" w:rsidRPr="007723F5">
        <w:rPr>
          <w:rFonts w:eastAsia="SimSun"/>
          <w:lang w:val="en-US" w:eastAsia="zh-CN"/>
        </w:rPr>
        <w:t xml:space="preserve">, </w:t>
      </w:r>
      <w:r w:rsidR="00AC4A38" w:rsidRPr="007723F5">
        <w:rPr>
          <w:rFonts w:eastAsia="SimSun"/>
          <w:lang w:val="en-GB" w:eastAsia="zh-CN"/>
        </w:rPr>
        <w:t>most</w:t>
      </w:r>
      <w:r w:rsidR="00AC4A38" w:rsidRPr="007723F5">
        <w:rPr>
          <w:rFonts w:eastAsia="SimSun"/>
          <w:lang w:val="en-US" w:eastAsia="zh-CN"/>
        </w:rPr>
        <w:t xml:space="preserve"> of the approaches are TTC</w:t>
      </w:r>
      <w:r w:rsidR="00302AF5" w:rsidRPr="007723F5">
        <w:rPr>
          <w:rFonts w:eastAsia="SimSun"/>
          <w:lang w:val="en-US" w:eastAsia="zh-CN"/>
        </w:rPr>
        <w:t>; see FSA (2006)</w:t>
      </w:r>
      <w:r w:rsidR="00AC4A38" w:rsidRPr="007723F5">
        <w:rPr>
          <w:rFonts w:eastAsia="SimSun"/>
          <w:lang w:val="en-US" w:eastAsia="zh-CN"/>
        </w:rPr>
        <w:t>. They reverse out cyclical fluctuations</w:t>
      </w:r>
      <w:r w:rsidR="0014095F" w:rsidRPr="007723F5">
        <w:rPr>
          <w:rFonts w:eastAsia="SimSun"/>
          <w:lang w:val="en-US" w:eastAsia="zh-CN"/>
        </w:rPr>
        <w:t>,</w:t>
      </w:r>
      <w:r w:rsidR="00AC4A38" w:rsidRPr="007723F5">
        <w:rPr>
          <w:rFonts w:eastAsia="SimSun"/>
          <w:lang w:val="en-US" w:eastAsia="zh-CN"/>
        </w:rPr>
        <w:t xml:space="preserve"> but also those fluctuations associated with non-systemic risk, i.e. changes in credit quality due to factors other than the current economic environment.</w:t>
      </w:r>
      <w:r w:rsidR="00F747B9" w:rsidRPr="007723F5">
        <w:rPr>
          <w:rFonts w:eastAsia="SimSun"/>
          <w:lang w:val="en-US" w:eastAsia="zh-CN"/>
        </w:rPr>
        <w:t xml:space="preserve"> </w:t>
      </w:r>
    </w:p>
    <w:p w:rsidR="00C33BFA" w:rsidRPr="007723F5" w:rsidRDefault="00C33BFA" w:rsidP="00BB3592">
      <w:pPr>
        <w:spacing w:line="360" w:lineRule="auto"/>
        <w:jc w:val="both"/>
      </w:pPr>
    </w:p>
    <w:p w:rsidR="00D63D94" w:rsidRPr="007723F5" w:rsidRDefault="00D63D94" w:rsidP="00BB3592">
      <w:pPr>
        <w:spacing w:line="360" w:lineRule="auto"/>
        <w:jc w:val="both"/>
        <w:rPr>
          <w:lang w:val="en-GB"/>
        </w:rPr>
      </w:pPr>
      <w:r w:rsidRPr="007723F5">
        <w:rPr>
          <w:rFonts w:eastAsia="SimSun"/>
          <w:lang w:val="en-US" w:eastAsia="zh-CN"/>
        </w:rPr>
        <w:t xml:space="preserve">Some banks have adopted a hybrid approach, where the bank measures risk using </w:t>
      </w:r>
      <w:r w:rsidR="00D313F4" w:rsidRPr="007723F5">
        <w:rPr>
          <w:rFonts w:eastAsia="SimSun"/>
          <w:lang w:val="en-US" w:eastAsia="zh-CN"/>
        </w:rPr>
        <w:t>a combination of</w:t>
      </w:r>
      <w:r w:rsidRPr="007723F5">
        <w:rPr>
          <w:rFonts w:eastAsia="SimSun"/>
          <w:lang w:val="en-US" w:eastAsia="zh-CN"/>
        </w:rPr>
        <w:t xml:space="preserve"> PIT and TTC </w:t>
      </w:r>
      <w:r w:rsidR="00D313F4" w:rsidRPr="007723F5">
        <w:rPr>
          <w:rFonts w:eastAsia="SimSun"/>
          <w:lang w:val="en-US" w:eastAsia="zh-CN"/>
        </w:rPr>
        <w:t>approaches</w:t>
      </w:r>
      <w:r w:rsidRPr="007723F5">
        <w:rPr>
          <w:rFonts w:eastAsia="SimSun"/>
          <w:lang w:val="en-US" w:eastAsia="zh-CN"/>
        </w:rPr>
        <w:t xml:space="preserve">. For instance, the PIT measure is scaled to a TTC </w:t>
      </w:r>
      <w:r w:rsidR="00CD71E4" w:rsidRPr="007723F5">
        <w:rPr>
          <w:rFonts w:eastAsia="SimSun"/>
          <w:lang w:val="en-US" w:eastAsia="zh-CN"/>
        </w:rPr>
        <w:t>level</w:t>
      </w:r>
      <w:r w:rsidRPr="007723F5">
        <w:rPr>
          <w:rFonts w:eastAsia="SimSun"/>
          <w:lang w:val="en-US" w:eastAsia="zh-CN"/>
        </w:rPr>
        <w:t xml:space="preserve"> given the point in the cycle.</w:t>
      </w:r>
      <w:r w:rsidR="002354FF" w:rsidRPr="007723F5">
        <w:rPr>
          <w:rFonts w:eastAsia="SimSun"/>
          <w:lang w:val="en-US" w:eastAsia="zh-CN"/>
        </w:rPr>
        <w:t xml:space="preserve"> Also </w:t>
      </w:r>
      <w:r w:rsidR="00AA368B" w:rsidRPr="007723F5">
        <w:rPr>
          <w:rFonts w:eastAsia="SimSun"/>
          <w:lang w:val="en-US" w:eastAsia="zh-CN"/>
        </w:rPr>
        <w:t xml:space="preserve">rating agencies </w:t>
      </w:r>
      <w:r w:rsidR="002354FF" w:rsidRPr="007723F5">
        <w:rPr>
          <w:rFonts w:eastAsia="SimSun"/>
          <w:lang w:val="en-US" w:eastAsia="zh-CN"/>
        </w:rPr>
        <w:t>Moody’s and S&amp;P are using hybrid approache</w:t>
      </w:r>
      <w:r w:rsidR="00302AF5" w:rsidRPr="007723F5">
        <w:rPr>
          <w:rFonts w:eastAsia="SimSun"/>
          <w:lang w:val="en-US" w:eastAsia="zh-CN"/>
        </w:rPr>
        <w:t>s</w:t>
      </w:r>
      <w:r w:rsidR="002354FF" w:rsidRPr="007723F5">
        <w:rPr>
          <w:rFonts w:eastAsia="SimSun"/>
          <w:lang w:val="en-US" w:eastAsia="zh-CN"/>
        </w:rPr>
        <w:t xml:space="preserve">; see e.g. </w:t>
      </w:r>
      <w:r w:rsidR="002354FF" w:rsidRPr="007723F5">
        <w:rPr>
          <w:lang w:val="en-GB"/>
        </w:rPr>
        <w:t>Moody’s (1999) and S&amp;P (2002).</w:t>
      </w:r>
      <w:r w:rsidR="00302AF5" w:rsidRPr="007723F5">
        <w:rPr>
          <w:lang w:val="en-GB"/>
        </w:rPr>
        <w:t xml:space="preserve"> </w:t>
      </w:r>
      <w:r w:rsidR="0014095F" w:rsidRPr="007723F5">
        <w:rPr>
          <w:lang w:val="en-GB"/>
        </w:rPr>
        <w:t xml:space="preserve">The model development in this </w:t>
      </w:r>
      <w:r w:rsidR="00290FF1" w:rsidRPr="007723F5">
        <w:rPr>
          <w:lang w:val="en-GB"/>
        </w:rPr>
        <w:t>paper</w:t>
      </w:r>
      <w:r w:rsidR="0014095F" w:rsidRPr="007723F5">
        <w:rPr>
          <w:lang w:val="en-GB"/>
        </w:rPr>
        <w:t xml:space="preserve"> also follows a hybrid approach, </w:t>
      </w:r>
      <w:r w:rsidR="009A666B" w:rsidRPr="007723F5">
        <w:rPr>
          <w:lang w:val="en-GB"/>
        </w:rPr>
        <w:t>where</w:t>
      </w:r>
      <w:r w:rsidR="0014095F" w:rsidRPr="007723F5">
        <w:rPr>
          <w:lang w:val="en-GB"/>
        </w:rPr>
        <w:t xml:space="preserve"> risk drivers based on reporting date imply a PIT characteristic, </w:t>
      </w:r>
      <w:r w:rsidR="009A666B" w:rsidRPr="007723F5">
        <w:rPr>
          <w:lang w:val="en-GB"/>
        </w:rPr>
        <w:t>and</w:t>
      </w:r>
      <w:r w:rsidR="0014095F" w:rsidRPr="007723F5">
        <w:rPr>
          <w:lang w:val="en-GB"/>
        </w:rPr>
        <w:t xml:space="preserve"> calibration b</w:t>
      </w:r>
      <w:r w:rsidR="009A666B" w:rsidRPr="007723F5">
        <w:rPr>
          <w:lang w:val="en-GB"/>
        </w:rPr>
        <w:t>ased on long-term averages implies</w:t>
      </w:r>
      <w:r w:rsidR="0014095F" w:rsidRPr="007723F5">
        <w:rPr>
          <w:lang w:val="en-GB"/>
        </w:rPr>
        <w:t xml:space="preserve"> a TTC characteristic.</w:t>
      </w:r>
    </w:p>
    <w:p w:rsidR="00E14989" w:rsidRPr="007723F5" w:rsidRDefault="00E14989" w:rsidP="00BB3592">
      <w:pPr>
        <w:spacing w:line="360" w:lineRule="auto"/>
        <w:jc w:val="both"/>
        <w:rPr>
          <w:lang w:val="en-GB"/>
        </w:rPr>
      </w:pPr>
    </w:p>
    <w:p w:rsidR="00110853" w:rsidRPr="007723F5" w:rsidRDefault="00110853" w:rsidP="00BB3592">
      <w:pPr>
        <w:spacing w:line="360" w:lineRule="auto"/>
        <w:jc w:val="both"/>
        <w:rPr>
          <w:rFonts w:eastAsia="SimSun"/>
          <w:lang w:val="en-US" w:eastAsia="zh-CN"/>
        </w:rPr>
      </w:pPr>
      <w:r w:rsidRPr="007723F5">
        <w:rPr>
          <w:rFonts w:eastAsia="SimSun"/>
          <w:lang w:val="en-US" w:eastAsia="zh-CN"/>
        </w:rPr>
        <w:t>Studies that look into debt default at the household level are mostly empirical in nature. Their main objective is to develop credit ratings that distinguish good borrowers from bad borrowers; see e.g. DeVaney and Lytton (1995). There are two alternative views of home mortgage default behaviour. Jackson and Kaserman (1980) define them as equity theory of default and ability-to-pay theory of default. The equity theory of default involves rational borrowers who attempt to maximize the equity position of the house at each point in time. They cease payments if the market value of the house is lower than the outstanding mortgage balance. According to the ability-to-pay theory of default, debtors will avoid defaulting on their debts as long as their income flows are sufficient to cover the mortgage payments without undue stress. Campbell and Cocco (2010) attempt to identify the main determinants of mortgage default behavior in terms of these two theories. They state that according to the equity theory the ratio between the amount borrowed and the current value of the property (i.e. current LTV) should be the most important factor in the borrower’s decision to default. In the light of the ability-to-pay theory, it is the proportion of the current income that is used to pay off debt (i.e. current DTI) that plays a major role in the decision to default.</w:t>
      </w:r>
    </w:p>
    <w:p w:rsidR="00110853" w:rsidRPr="007723F5" w:rsidRDefault="00110853" w:rsidP="00BB3592">
      <w:pPr>
        <w:spacing w:line="360" w:lineRule="auto"/>
        <w:jc w:val="both"/>
        <w:rPr>
          <w:rFonts w:eastAsia="SimSun"/>
          <w:lang w:val="en-US" w:eastAsia="zh-CN"/>
        </w:rPr>
      </w:pPr>
    </w:p>
    <w:p w:rsidR="00110853" w:rsidRPr="007723F5" w:rsidRDefault="00110853" w:rsidP="00110853">
      <w:pPr>
        <w:autoSpaceDE w:val="0"/>
        <w:autoSpaceDN w:val="0"/>
        <w:adjustRightInd w:val="0"/>
        <w:spacing w:line="360" w:lineRule="auto"/>
        <w:jc w:val="both"/>
        <w:rPr>
          <w:rFonts w:eastAsia="SimSun"/>
          <w:lang w:val="en-US" w:eastAsia="zh-CN"/>
        </w:rPr>
      </w:pPr>
      <w:r w:rsidRPr="007723F5">
        <w:rPr>
          <w:rFonts w:eastAsia="SimSun"/>
          <w:lang w:val="en-US" w:eastAsia="zh-CN"/>
        </w:rPr>
        <w:t xml:space="preserve">The variables LTV and DTI have often been studied in literature. In the papers by Campbell and Dietrich (1983), Vandell and Thibodeau (1985) and Lawrence and Smith (1992), they all conclude that the LTV ratio is a strong determinant of mortgage loan default risk and they also show that the relationship between the two is positively correlated. Furthermore, Stansell and Millar (1976), Vandell (1978) and Ingram and Frazier (1982) confirm the importance of DTI as an explanatory variable of mortgage loan default. </w:t>
      </w:r>
    </w:p>
    <w:p w:rsidR="00110853" w:rsidRPr="007723F5" w:rsidRDefault="00110853" w:rsidP="00BB3592">
      <w:pPr>
        <w:spacing w:line="360" w:lineRule="auto"/>
        <w:jc w:val="both"/>
        <w:rPr>
          <w:lang w:val="en-GB"/>
        </w:rPr>
      </w:pPr>
    </w:p>
    <w:p w:rsidR="00110853" w:rsidRPr="007723F5" w:rsidRDefault="00110853" w:rsidP="00110853">
      <w:pPr>
        <w:autoSpaceDE w:val="0"/>
        <w:autoSpaceDN w:val="0"/>
        <w:adjustRightInd w:val="0"/>
        <w:spacing w:line="360" w:lineRule="auto"/>
        <w:jc w:val="both"/>
        <w:rPr>
          <w:rFonts w:eastAsia="SimSun"/>
          <w:lang w:val="en-US" w:eastAsia="zh-CN"/>
        </w:rPr>
      </w:pPr>
      <w:r w:rsidRPr="007723F5">
        <w:rPr>
          <w:rFonts w:eastAsia="SimSun"/>
          <w:lang w:val="en-US" w:eastAsia="zh-CN"/>
        </w:rPr>
        <w:t>The explanatory factors of a PD model</w:t>
      </w:r>
      <w:r w:rsidR="00757ADE" w:rsidRPr="007723F5">
        <w:rPr>
          <w:rFonts w:eastAsia="SimSun"/>
          <w:lang w:val="en-US" w:eastAsia="zh-CN"/>
        </w:rPr>
        <w:t xml:space="preserve"> can be mortgage-</w:t>
      </w:r>
      <w:r w:rsidRPr="007723F5">
        <w:rPr>
          <w:rFonts w:eastAsia="SimSun"/>
          <w:lang w:val="en-US" w:eastAsia="zh-CN"/>
        </w:rPr>
        <w:t xml:space="preserve">specific, such as LTV, but can also be macro-economic; see e.g. Burkhard and De Giorgi (2006). The economic environment plays an important role via factors such as unemployment rate, interest rates, and social and demographic developments (e.g. increase in number of divorces). A rise in unemployment means that more people lose their primary source of income, which affects their ability to pay the interest on their loans. The same holds for interest rates. An increase in number of divorces also increases the debt burden of the borrowers. Furthermore, risk drivers of a PD model can be </w:t>
      </w:r>
      <w:r w:rsidR="00757ADE" w:rsidRPr="007723F5">
        <w:rPr>
          <w:rFonts w:eastAsia="SimSun"/>
          <w:lang w:val="en-US" w:eastAsia="zh-CN"/>
        </w:rPr>
        <w:t>borrower-</w:t>
      </w:r>
      <w:r w:rsidRPr="007723F5">
        <w:rPr>
          <w:rFonts w:eastAsia="SimSun"/>
          <w:lang w:val="en-US" w:eastAsia="zh-CN"/>
        </w:rPr>
        <w:t>specific. Various authors have concluded that personal characteristics such as education and income are as important in explaining default</w:t>
      </w:r>
      <w:r w:rsidR="00757ADE" w:rsidRPr="007723F5">
        <w:rPr>
          <w:rFonts w:eastAsia="SimSun"/>
          <w:lang w:val="en-US" w:eastAsia="zh-CN"/>
        </w:rPr>
        <w:t>s</w:t>
      </w:r>
      <w:r w:rsidRPr="007723F5">
        <w:rPr>
          <w:rFonts w:eastAsia="SimSun"/>
          <w:lang w:val="en-US" w:eastAsia="zh-CN"/>
        </w:rPr>
        <w:t xml:space="preserve"> as th</w:t>
      </w:r>
      <w:r w:rsidR="00757ADE" w:rsidRPr="007723F5">
        <w:rPr>
          <w:rFonts w:eastAsia="SimSun"/>
          <w:lang w:val="en-US" w:eastAsia="zh-CN"/>
        </w:rPr>
        <w:t>e mortgage-</w:t>
      </w:r>
      <w:r w:rsidRPr="007723F5">
        <w:rPr>
          <w:rFonts w:eastAsia="SimSun"/>
          <w:lang w:val="en-US" w:eastAsia="zh-CN"/>
        </w:rPr>
        <w:t xml:space="preserve">specific and macro-economic risk drivers; see e.g. Morton (1975), Ingram and Frazier (1982) and Webb (1982). This could be an explanation for why some households with zero or negative equity do not default, while others with positive equity do. </w:t>
      </w:r>
    </w:p>
    <w:p w:rsidR="00110853" w:rsidRPr="007723F5" w:rsidRDefault="00110853" w:rsidP="00BB3592">
      <w:pPr>
        <w:spacing w:line="360" w:lineRule="auto"/>
        <w:jc w:val="both"/>
        <w:rPr>
          <w:lang w:val="en-GB"/>
        </w:rPr>
      </w:pPr>
    </w:p>
    <w:p w:rsidR="00A711C6" w:rsidRPr="007723F5" w:rsidRDefault="00A711C6" w:rsidP="00A711C6">
      <w:pPr>
        <w:spacing w:line="360" w:lineRule="auto"/>
        <w:jc w:val="both"/>
        <w:rPr>
          <w:lang w:val="en-GB"/>
        </w:rPr>
      </w:pPr>
      <w:r w:rsidRPr="007723F5">
        <w:rPr>
          <w:lang w:val="en-GB"/>
        </w:rPr>
        <w:t xml:space="preserve">Specifically for the Netherlands, when house prices began to fall in 2008, many borrowers found themselves in a situation where they owed more on their house than it was worth (i.e. negative equity). For many of them, this impacted their consumption and caused loan delinquencies; see e.g. Buiter (2008) and Calomiris et al. (2012). Going forward, there are several market factors that play a role in the change of creditworthiness of Dutch mortgage owners and hence their PDs. Factors that will continue to support the credit quality of Dutch residential mortgages are the long-term fixed interest rates, the long-term contract maturities, the tax deductibility (see e.g. Glaeser and Shapiro (2002)), a regulated rental market, limited housing supply (see e.g. Kranendonk and Verbruggen (2008)), the provision of the national mortgage guarantee (NHG, to cover a repayment gap after repossession of the house) and borrowers’ liability to repay residual outstanding debt following the sale of a house.  </w:t>
      </w:r>
    </w:p>
    <w:p w:rsidR="00246F48" w:rsidRPr="007723F5" w:rsidRDefault="00246F48" w:rsidP="00A711C6">
      <w:pPr>
        <w:spacing w:line="360" w:lineRule="auto"/>
        <w:jc w:val="both"/>
        <w:rPr>
          <w:lang w:val="en-GB"/>
        </w:rPr>
      </w:pPr>
    </w:p>
    <w:p w:rsidR="00115489" w:rsidRPr="007723F5" w:rsidRDefault="005273D6" w:rsidP="009A666B">
      <w:pPr>
        <w:spacing w:line="360" w:lineRule="auto"/>
        <w:jc w:val="both"/>
        <w:rPr>
          <w:lang w:val="en-GB"/>
        </w:rPr>
      </w:pPr>
      <w:r w:rsidRPr="007723F5">
        <w:rPr>
          <w:lang w:val="en-GB"/>
        </w:rPr>
        <w:lastRenderedPageBreak/>
        <w:t xml:space="preserve">The literature on PD models for Dutch mortgage loans is very limited. </w:t>
      </w:r>
      <w:r w:rsidR="00385E4F" w:rsidRPr="007723F5">
        <w:rPr>
          <w:lang w:val="en-GB"/>
        </w:rPr>
        <w:t xml:space="preserve">Relevant research has been carried out by Medema et al. (2009). This paper also describes a PD model for Dutch mortgages, but the focus is more on the validation methodology of the model. Moreover, their model covers the years 2000 – 2003, so the time span of their sample does not cover a full economic cycle and does not include the sub-prime crisis. </w:t>
      </w:r>
      <w:r w:rsidR="009A666B" w:rsidRPr="007723F5">
        <w:rPr>
          <w:lang w:val="en-GB"/>
        </w:rPr>
        <w:t xml:space="preserve">This paper aims to fill up this gap in existing literature. </w:t>
      </w:r>
      <w:r w:rsidR="00892100" w:rsidRPr="007723F5">
        <w:rPr>
          <w:lang w:val="en-GB"/>
        </w:rPr>
        <w:t xml:space="preserve">The Dutch economy has gone through a boom, recession and partial recovery and this makes it suitable to build a prediction model based on a whole business cycle. This results in a more robust model than one based only on data of a booming house market/economy. Another reason to concentrate in this paper on the Dutch market is that the mortgage debt in Netherlands is in excess of 100% of its GDP, among the highest in the euro zone. </w:t>
      </w:r>
    </w:p>
    <w:p w:rsidR="005D02C5" w:rsidRPr="007723F5" w:rsidRDefault="005D02C5" w:rsidP="00A82BE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bookmarkStart w:id="11" w:name="_Ref349078747"/>
      <w:bookmarkStart w:id="12" w:name="_Toc371788247"/>
      <w:bookmarkStart w:id="13" w:name="_Ref257350420"/>
    </w:p>
    <w:p w:rsidR="004F2274" w:rsidRPr="007723F5" w:rsidRDefault="00273122">
      <w:pPr>
        <w:pStyle w:val="1"/>
        <w:numPr>
          <w:ilvl w:val="0"/>
          <w:numId w:val="0"/>
        </w:numPr>
        <w:jc w:val="both"/>
        <w:rPr>
          <w:lang w:val="en-GB"/>
        </w:rPr>
      </w:pPr>
      <w:r w:rsidRPr="007723F5">
        <w:rPr>
          <w:lang w:val="en-GB"/>
        </w:rPr>
        <w:t>4 External factors: Dutch market</w:t>
      </w:r>
      <w:r w:rsidR="00E14989" w:rsidRPr="007723F5">
        <w:rPr>
          <w:lang w:val="en-GB"/>
        </w:rPr>
        <w:t xml:space="preserve"> indicators</w:t>
      </w:r>
      <w:r w:rsidR="00042FA5" w:rsidRPr="007723F5">
        <w:rPr>
          <w:lang w:val="en-GB"/>
        </w:rPr>
        <w:t xml:space="preserve"> and </w:t>
      </w:r>
      <w:r w:rsidR="00E14989" w:rsidRPr="007723F5">
        <w:rPr>
          <w:lang w:val="en-GB"/>
        </w:rPr>
        <w:t>their</w:t>
      </w:r>
      <w:r w:rsidR="00042FA5" w:rsidRPr="007723F5">
        <w:rPr>
          <w:lang w:val="en-GB"/>
        </w:rPr>
        <w:t xml:space="preserve"> suitability for a prediction model</w:t>
      </w:r>
      <w:r w:rsidRPr="007723F5">
        <w:rPr>
          <w:lang w:val="en-GB"/>
        </w:rPr>
        <w:t>.</w:t>
      </w:r>
    </w:p>
    <w:p w:rsidR="00273122" w:rsidRPr="007723F5" w:rsidRDefault="00273122" w:rsidP="00273122">
      <w:pPr>
        <w:spacing w:line="360" w:lineRule="auto"/>
        <w:jc w:val="both"/>
        <w:rPr>
          <w:lang w:val="en-GB"/>
        </w:rPr>
      </w:pPr>
      <w:r w:rsidRPr="007723F5">
        <w:rPr>
          <w:lang w:val="en-GB"/>
        </w:rPr>
        <w:t xml:space="preserve">Market indicators that are commonly referred to in assessments of a country’s economic circumstances are gross domestic product, unemployment rate and average house prices of the country. The Netherlands experienced uninterrupted growth from 1982 until 2008, with an unprecedented boom in the second half of the 1990s; see </w:t>
      </w:r>
      <w:fldSimple w:instr=" REF _Ref349083656 \h  \* MERGEFORMAT ">
        <w:r w:rsidR="00B46DD6" w:rsidRPr="007723F5">
          <w:rPr>
            <w:lang w:val="en-GB"/>
          </w:rPr>
          <w:t>Figure 1</w:t>
        </w:r>
      </w:fldSimple>
      <w:r w:rsidRPr="007723F5">
        <w:rPr>
          <w:lang w:val="en-GB"/>
        </w:rPr>
        <w:t xml:space="preserve"> (a), in which the gross domestic product (GDP) of the Netherlands is shown, based on data from the World Bank</w:t>
      </w:r>
      <w:r w:rsidRPr="007723F5">
        <w:rPr>
          <w:rStyle w:val="af"/>
          <w:lang w:val="en-GB"/>
        </w:rPr>
        <w:footnoteReference w:id="4"/>
      </w:r>
      <w:r w:rsidRPr="007723F5">
        <w:rPr>
          <w:lang w:val="en-GB"/>
        </w:rPr>
        <w:t xml:space="preserve">. There was low inflation, low unemployment and strong exports. One legacy of this period is the high mortgage debt (above 100% of GDP), among the highest in the euro zone. The Dutch economy entered into a recession in Q3 2008 (after the fall of Lehman Brothers). Recovery was noticed after 2010, but recession returned in Q4 2011; see </w:t>
      </w:r>
      <w:fldSimple w:instr=" REF _Ref349083656 \h  \* MERGEFORMAT ">
        <w:r w:rsidR="00B46DD6" w:rsidRPr="007723F5">
          <w:rPr>
            <w:lang w:val="en-GB"/>
          </w:rPr>
          <w:t>Figure 1</w:t>
        </w:r>
      </w:fldSimple>
      <w:r w:rsidRPr="007723F5">
        <w:rPr>
          <w:lang w:val="en-GB"/>
        </w:rPr>
        <w:t xml:space="preserve"> (b).</w:t>
      </w:r>
    </w:p>
    <w:p w:rsidR="00273122" w:rsidRPr="007723F5" w:rsidRDefault="00273122" w:rsidP="00273122">
      <w:pPr>
        <w:spacing w:line="360" w:lineRule="auto"/>
        <w:jc w:val="center"/>
      </w:pPr>
      <w:r w:rsidRPr="007723F5">
        <w:rPr>
          <w:lang w:val="en-GB"/>
        </w:rPr>
        <w:t xml:space="preserve">[INSERT </w:t>
      </w:r>
      <w:fldSimple w:instr=" REF _Ref349083656 \h  \* MERGEFORMAT ">
        <w:r w:rsidR="00B46DD6" w:rsidRPr="007723F5">
          <w:t xml:space="preserve">Figure </w:t>
        </w:r>
        <w:r w:rsidR="00B46DD6" w:rsidRPr="007723F5">
          <w:rPr>
            <w:noProof/>
          </w:rPr>
          <w:t>1</w:t>
        </w:r>
      </w:fldSimple>
      <w:r w:rsidRPr="007723F5">
        <w:rPr>
          <w:lang w:val="en-GB"/>
        </w:rPr>
        <w:t xml:space="preserve"> ABOUT HERE]</w:t>
      </w:r>
    </w:p>
    <w:p w:rsidR="00273122" w:rsidRPr="007723F5" w:rsidRDefault="00273122" w:rsidP="0027312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p>
    <w:p w:rsidR="00273122" w:rsidRPr="007723F5" w:rsidRDefault="00273122" w:rsidP="0027312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r w:rsidRPr="007723F5">
        <w:rPr>
          <w:lang w:val="en-GB"/>
        </w:rPr>
        <w:t>Unemployment has been rising since 2008. In November 2012, the unemployment rate was 7%, according to the Dutch Central Bureau of Statistics (CBS)</w:t>
      </w:r>
      <w:r w:rsidRPr="007723F5">
        <w:rPr>
          <w:rStyle w:val="af"/>
          <w:lang w:val="en-GB"/>
        </w:rPr>
        <w:footnoteReference w:id="5"/>
      </w:r>
      <w:r w:rsidRPr="007723F5">
        <w:rPr>
          <w:lang w:val="en-GB"/>
        </w:rPr>
        <w:t xml:space="preserve">; see </w:t>
      </w:r>
      <w:fldSimple w:instr=" REF _Ref349084720 \h  \* MERGEFORMAT ">
        <w:r w:rsidR="00B46DD6" w:rsidRPr="007723F5">
          <w:rPr>
            <w:lang w:val="en-GB"/>
          </w:rPr>
          <w:t>Figure 2</w:t>
        </w:r>
      </w:fldSimple>
      <w:r w:rsidRPr="007723F5">
        <w:rPr>
          <w:lang w:val="en-GB"/>
        </w:rPr>
        <w:t xml:space="preserve"> (a). During the recession, the government was forced to boost the economy through stimulus programs and bank bailouts, which resulted in a budget deficit of above 3% of GDP since 2008. The Dutch house price boom lasted until 2008 and was pushed by economic growth; see </w:t>
      </w:r>
      <w:fldSimple w:instr=" REF _Ref349084720 \h  \* MERGEFORMAT ">
        <w:r w:rsidR="00B46DD6" w:rsidRPr="007723F5">
          <w:rPr>
            <w:lang w:val="en-GB"/>
          </w:rPr>
          <w:t>Figure 2</w:t>
        </w:r>
      </w:fldSimple>
      <w:r w:rsidRPr="007723F5">
        <w:rPr>
          <w:lang w:val="en-GB"/>
        </w:rPr>
        <w:t xml:space="preserve"> (b). In </w:t>
      </w:r>
      <w:r w:rsidRPr="007723F5">
        <w:rPr>
          <w:lang w:val="en-GB"/>
        </w:rPr>
        <w:lastRenderedPageBreak/>
        <w:t xml:space="preserve">the second half of the 1990s, the private sector wages rose by 3.6% annually, while inflation was only 2.7%, leading to significant increases in purchasing power. House prices have been falling since 2008 and even despite modest economic recovery in 2010 and 2011, the Dutch housing market has remained depressed. </w:t>
      </w:r>
    </w:p>
    <w:p w:rsidR="00273122" w:rsidRPr="007723F5" w:rsidRDefault="00273122" w:rsidP="00273122">
      <w:pPr>
        <w:spacing w:line="360" w:lineRule="auto"/>
        <w:jc w:val="center"/>
      </w:pPr>
      <w:r w:rsidRPr="007723F5">
        <w:rPr>
          <w:lang w:val="en-GB"/>
        </w:rPr>
        <w:t xml:space="preserve">[INSERT </w:t>
      </w:r>
      <w:fldSimple w:instr=" REF _Ref349084720 \h  \* MERGEFORMAT ">
        <w:r w:rsidR="00B46DD6" w:rsidRPr="007723F5">
          <w:t xml:space="preserve">Figure </w:t>
        </w:r>
        <w:r w:rsidR="00B46DD6" w:rsidRPr="007723F5">
          <w:rPr>
            <w:noProof/>
          </w:rPr>
          <w:t>2</w:t>
        </w:r>
      </w:fldSimple>
      <w:r w:rsidRPr="007723F5">
        <w:rPr>
          <w:lang w:val="en-GB"/>
        </w:rPr>
        <w:t xml:space="preserve"> ABOUT HERE]</w:t>
      </w:r>
    </w:p>
    <w:p w:rsidR="00273122" w:rsidRPr="007723F5" w:rsidRDefault="00273122" w:rsidP="0027312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892100" w:rsidRPr="007723F5" w:rsidRDefault="00246F48" w:rsidP="00892100">
      <w:pPr>
        <w:spacing w:line="360" w:lineRule="auto"/>
        <w:jc w:val="both"/>
        <w:rPr>
          <w:lang w:val="en-GB"/>
        </w:rPr>
      </w:pPr>
      <w:r w:rsidRPr="007723F5">
        <w:rPr>
          <w:lang w:val="en-GB"/>
        </w:rPr>
        <w:t>I</w:t>
      </w:r>
      <w:r w:rsidR="00892100" w:rsidRPr="007723F5">
        <w:rPr>
          <w:lang w:val="en-GB"/>
        </w:rPr>
        <w:t>t is expected that the combination of a prolonged housing market downturn, rising unemployment, and generally weak macro-economic environment will result in a notable increase in mortgage-related impairment charges for Dutch mortgage lenders over the next few years; see e.g. S&amp;P (2012a). The Dutch government has gradually introduced several housing market reforms over the past few years, to reduce risks for borrowers while avoiding market destabilization; see e.g. Vandevyvere and Zenthöfer (2012). The revised Dutch mortgage lending Code of Conduct, in force since August 2011, includes further tightening of the framework around affordability testing, limited financing by interest-only mortgages (only 50% of the house purchase price) and a capped LTV ratio (at 106% for new borrowers). Since May 2012, new measures also include restrictions on the tax deductibility of interest payments for new mortgages, a permanent reduction of the transaction tax to 2%, and some liberalization of the rental market.</w:t>
      </w:r>
    </w:p>
    <w:p w:rsidR="00892100" w:rsidRPr="007723F5" w:rsidRDefault="00892100" w:rsidP="00892100">
      <w:pPr>
        <w:spacing w:line="360" w:lineRule="auto"/>
        <w:jc w:val="both"/>
        <w:rPr>
          <w:lang w:val="en-GB"/>
        </w:rPr>
      </w:pPr>
    </w:p>
    <w:p w:rsidR="004F2274" w:rsidRPr="007723F5" w:rsidRDefault="00892100">
      <w:pPr>
        <w:autoSpaceDE w:val="0"/>
        <w:autoSpaceDN w:val="0"/>
        <w:adjustRightInd w:val="0"/>
        <w:spacing w:line="360" w:lineRule="auto"/>
        <w:jc w:val="both"/>
        <w:rPr>
          <w:lang w:val="en-GB"/>
        </w:rPr>
      </w:pPr>
      <w:r w:rsidRPr="007723F5">
        <w:rPr>
          <w:lang w:val="en-GB"/>
        </w:rPr>
        <w:t>Rating agencies believe that these measures will contribute to further market deterioration in the short to medium term, but that they will have a positive impact in the longer term; see e.g. S&amp;P (2012b) and Fitch (2012). The mortgage market is expected to normalize gradually, as well as the creditworthiness of the Dutch borrowers, such that the banking system will stabilize and systemic risk will reduce. They expect ongoing pressure on the private sector as a result of the continued price correction in the Dutch property market, the recessionary conditions in the euro zone, and measures to reduce the budget deficit; see S&amp;P (2012b). High private sector indebtedness (i.e. leverage) is largely due to the tax deductibility of mortgage interest payments. This has given Dutch people a strong incentive to borrow the maximum for their houses and to pay into insurance products or repayment vehicles.</w:t>
      </w:r>
    </w:p>
    <w:p w:rsidR="00892100" w:rsidRPr="007723F5" w:rsidRDefault="00892100" w:rsidP="00273122">
      <w:pPr>
        <w:spacing w:line="360" w:lineRule="auto"/>
        <w:jc w:val="both"/>
      </w:pPr>
    </w:p>
    <w:p w:rsidR="00273122" w:rsidRPr="007723F5" w:rsidRDefault="00273122" w:rsidP="00273122">
      <w:pPr>
        <w:spacing w:line="360" w:lineRule="auto"/>
        <w:jc w:val="both"/>
      </w:pPr>
      <w:r w:rsidRPr="007723F5">
        <w:t xml:space="preserve">Another market indicator </w:t>
      </w:r>
      <w:r w:rsidR="00042FA5" w:rsidRPr="007723F5">
        <w:t>that precedes, moves along or follows</w:t>
      </w:r>
      <w:r w:rsidRPr="007723F5">
        <w:t xml:space="preserve">the economic situation of a country comes from the stock market and is called market illiquidity. It increases in times of crisis. A stock is called illiquid when it cannot easily be sold or exchanged for cash without substantial loss of value. Two commonly used measures of illiquidity are Amihud’s </w:t>
      </w:r>
      <w:r w:rsidRPr="007723F5">
        <w:lastRenderedPageBreak/>
        <w:t xml:space="preserve">illiquidity ratio and Roll’s implicit spread estimator; see Amihud (2002) and Roll (1984), respectively. </w:t>
      </w:r>
    </w:p>
    <w:p w:rsidR="00273122" w:rsidRPr="007723F5" w:rsidRDefault="00273122" w:rsidP="00273122">
      <w:pPr>
        <w:spacing w:line="360" w:lineRule="auto"/>
        <w:jc w:val="both"/>
      </w:pPr>
    </w:p>
    <w:p w:rsidR="00273122" w:rsidRPr="007723F5" w:rsidRDefault="00273122" w:rsidP="00273122">
      <w:pPr>
        <w:spacing w:line="360" w:lineRule="auto"/>
        <w:jc w:val="both"/>
      </w:pPr>
      <w:r w:rsidRPr="007723F5">
        <w:t>The illiquidity ratio of Amihud is defined as the ratio of the average daily absolute stock return across stocks to the daily average traded volume. This ratio is easily obtained from daily stock data for long time series in most stock markets. The hypothesis on the relationship between stock return and stock liquidity is that return increases with illiquidity, as proposed by Amihud and Mendelson (1986). This is consistent with Kyle’s concept of illiquidity, i.e. the response of price to order flow, and Silber’s thinness measure, i.e. the ratio of absolute price change to absolute excess demand for trading; see Kyle (1985) and Silber (1975), respectively. The Roll variable is defined as the square-root of the auto covariance of stock returns; see Roll (1984).</w:t>
      </w:r>
    </w:p>
    <w:p w:rsidR="00273122" w:rsidRPr="007723F5" w:rsidRDefault="00273122" w:rsidP="00273122">
      <w:pPr>
        <w:spacing w:line="360" w:lineRule="auto"/>
        <w:jc w:val="both"/>
      </w:pPr>
    </w:p>
    <w:p w:rsidR="00461F4B" w:rsidRPr="007723F5" w:rsidRDefault="00461F4B" w:rsidP="00273122">
      <w:pPr>
        <w:spacing w:line="360" w:lineRule="auto"/>
        <w:jc w:val="both"/>
      </w:pPr>
      <w:r w:rsidRPr="007723F5">
        <w:t xml:space="preserve">Naes at al. (2011) find that illiquidity predicts crises in the US. Galariotis and Giouvris (2015) find that this is not necessarily the case for the US using an extended sample and each country in their sample (G7) is a different case. Generalizations cannot easily be made. The Netherlands is not part of the sample in Galariotis and Giouvris so it is not clear if it precedes, moves along or follows the crisis. </w:t>
      </w:r>
      <w:r w:rsidR="00C25FF4" w:rsidRPr="007723F5">
        <w:t>Therefore</w:t>
      </w:r>
      <w:r w:rsidRPr="007723F5">
        <w:t>, it has been decided to include illiquidity in the sample to see if it affects probability of default at all.</w:t>
      </w:r>
    </w:p>
    <w:p w:rsidR="00461F4B" w:rsidRPr="007723F5" w:rsidRDefault="00461F4B" w:rsidP="00273122">
      <w:pPr>
        <w:spacing w:line="360" w:lineRule="auto"/>
        <w:jc w:val="both"/>
      </w:pPr>
    </w:p>
    <w:p w:rsidR="00273122" w:rsidRPr="007723F5" w:rsidRDefault="00273122" w:rsidP="00273122">
      <w:pPr>
        <w:spacing w:line="360" w:lineRule="auto"/>
        <w:jc w:val="both"/>
      </w:pPr>
      <w:r w:rsidRPr="007723F5">
        <w:t>For the Dutch stock market, daily trading volumes and prices of all listed companies have been collected using Datastream</w:t>
      </w:r>
      <w:r w:rsidRPr="007723F5">
        <w:rPr>
          <w:rStyle w:val="af"/>
        </w:rPr>
        <w:footnoteReference w:id="6"/>
      </w:r>
      <w:r w:rsidRPr="007723F5">
        <w:t xml:space="preserve">. From all daily Amihud ratios, a monthly average has been calculated. </w:t>
      </w:r>
      <w:fldSimple w:instr=" REF _Ref379402415 \h  \* MERGEFORMAT ">
        <w:r w:rsidR="00B46DD6" w:rsidRPr="007723F5">
          <w:t xml:space="preserve">Figure </w:t>
        </w:r>
        <w:r w:rsidR="00B46DD6" w:rsidRPr="007723F5">
          <w:rPr>
            <w:noProof/>
          </w:rPr>
          <w:t>3</w:t>
        </w:r>
      </w:fldSimple>
      <w:r w:rsidRPr="007723F5">
        <w:t xml:space="preserve"> shows how the monthly Dutch illiquidity evolved over time in the period January 2000 until March 2013. The illiquidity values are rather volatile, but three clear periods of higher illiquidity can be observed: one period with its peak in September 2002, one with its peak in July 2009 and one that started at the end of 2011 and is still ongoing. During these periods illiquidity reached values above 1.0, whereas between these periods illiquidity was close to 0. </w:t>
      </w:r>
      <w:fldSimple w:instr=" REF _Ref379402415 \h  \* MERGEFORMAT ">
        <w:r w:rsidR="00B46DD6" w:rsidRPr="007723F5">
          <w:t xml:space="preserve">Figure </w:t>
        </w:r>
        <w:r w:rsidR="00B46DD6" w:rsidRPr="007723F5">
          <w:rPr>
            <w:noProof/>
          </w:rPr>
          <w:t>3</w:t>
        </w:r>
      </w:fldSimple>
      <w:r w:rsidRPr="007723F5">
        <w:t xml:space="preserve"> also shows the one-year moving average of the illiquidity, which is less volatile and reconfirms the periods of higher illiquidity.</w:t>
      </w:r>
    </w:p>
    <w:p w:rsidR="00273122" w:rsidRPr="007723F5" w:rsidRDefault="00273122" w:rsidP="00273122">
      <w:pPr>
        <w:spacing w:line="360" w:lineRule="auto"/>
        <w:jc w:val="center"/>
      </w:pPr>
      <w:r w:rsidRPr="007723F5">
        <w:rPr>
          <w:lang w:val="en-GB"/>
        </w:rPr>
        <w:t xml:space="preserve">[INSERT </w:t>
      </w:r>
      <w:fldSimple w:instr=" REF _Ref379402415 \h  \* MERGEFORMAT ">
        <w:r w:rsidR="00B46DD6" w:rsidRPr="007723F5">
          <w:t xml:space="preserve">Figure </w:t>
        </w:r>
        <w:r w:rsidR="00B46DD6" w:rsidRPr="007723F5">
          <w:rPr>
            <w:noProof/>
          </w:rPr>
          <w:t>3</w:t>
        </w:r>
      </w:fldSimple>
      <w:r w:rsidRPr="007723F5">
        <w:rPr>
          <w:lang w:val="en-GB"/>
        </w:rPr>
        <w:t xml:space="preserve"> ABOUT HERE]</w:t>
      </w:r>
    </w:p>
    <w:p w:rsidR="00273122" w:rsidRPr="007723F5" w:rsidRDefault="00273122" w:rsidP="00A82BE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GB"/>
        </w:rPr>
      </w:pPr>
    </w:p>
    <w:p w:rsidR="00436D02" w:rsidRPr="007723F5" w:rsidRDefault="00D45FEB" w:rsidP="00A82BE2">
      <w:pPr>
        <w:pStyle w:val="1"/>
        <w:numPr>
          <w:ilvl w:val="0"/>
          <w:numId w:val="0"/>
        </w:numPr>
      </w:pPr>
      <w:r w:rsidRPr="007723F5">
        <w:rPr>
          <w:lang w:val="en-GB"/>
        </w:rPr>
        <w:lastRenderedPageBreak/>
        <w:t xml:space="preserve">5 </w:t>
      </w:r>
      <w:r w:rsidR="00456E88" w:rsidRPr="007723F5">
        <w:rPr>
          <w:lang w:val="en-GB"/>
        </w:rPr>
        <w:t>Model</w:t>
      </w:r>
      <w:r w:rsidR="00436D02" w:rsidRPr="007723F5">
        <w:rPr>
          <w:lang w:val="en-GB"/>
        </w:rPr>
        <w:t xml:space="preserve"> </w:t>
      </w:r>
      <w:r w:rsidR="00A82BE2" w:rsidRPr="007723F5">
        <w:rPr>
          <w:lang w:val="en-GB"/>
        </w:rPr>
        <w:t>development</w:t>
      </w:r>
      <w:bookmarkEnd w:id="11"/>
      <w:bookmarkEnd w:id="12"/>
    </w:p>
    <w:p w:rsidR="00A51F79" w:rsidRPr="007723F5" w:rsidRDefault="00A82BE2" w:rsidP="007821E3">
      <w:pPr>
        <w:spacing w:line="360" w:lineRule="auto"/>
        <w:jc w:val="both"/>
        <w:rPr>
          <w:lang w:val="en-GB"/>
        </w:rPr>
      </w:pPr>
      <w:r w:rsidRPr="007723F5">
        <w:rPr>
          <w:lang w:val="en-GB"/>
        </w:rPr>
        <w:t>For t</w:t>
      </w:r>
      <w:r w:rsidR="00EF2247" w:rsidRPr="007723F5">
        <w:rPr>
          <w:lang w:val="en-GB"/>
        </w:rPr>
        <w:t xml:space="preserve">he development of </w:t>
      </w:r>
      <w:r w:rsidRPr="007723F5">
        <w:rPr>
          <w:lang w:val="en-GB"/>
        </w:rPr>
        <w:t xml:space="preserve">the PD model, data has been collected spanning the period from </w:t>
      </w:r>
      <w:r w:rsidR="00461F4B" w:rsidRPr="007723F5">
        <w:rPr>
          <w:lang w:val="en-GB"/>
        </w:rPr>
        <w:t xml:space="preserve">March </w:t>
      </w:r>
      <w:r w:rsidRPr="007723F5">
        <w:rPr>
          <w:lang w:val="en-GB"/>
        </w:rPr>
        <w:t xml:space="preserve">2001 until </w:t>
      </w:r>
      <w:r w:rsidR="00461F4B" w:rsidRPr="007723F5">
        <w:rPr>
          <w:lang w:val="en-GB"/>
        </w:rPr>
        <w:t xml:space="preserve">October </w:t>
      </w:r>
      <w:r w:rsidRPr="007723F5">
        <w:rPr>
          <w:lang w:val="en-GB"/>
        </w:rPr>
        <w:t xml:space="preserve">2012. </w:t>
      </w:r>
      <w:r w:rsidR="00B16860" w:rsidRPr="007723F5">
        <w:rPr>
          <w:lang w:val="en-GB"/>
        </w:rPr>
        <w:t xml:space="preserve">This resulted in a dataset with millions of records containing contract and payment details of </w:t>
      </w:r>
      <w:r w:rsidR="00424301" w:rsidRPr="007723F5">
        <w:rPr>
          <w:lang w:val="en-GB"/>
        </w:rPr>
        <w:t xml:space="preserve">Dutch </w:t>
      </w:r>
      <w:r w:rsidR="00B16860" w:rsidRPr="007723F5">
        <w:rPr>
          <w:lang w:val="en-GB"/>
        </w:rPr>
        <w:t>mortgage customers</w:t>
      </w:r>
      <w:r w:rsidR="00424301" w:rsidRPr="007723F5">
        <w:rPr>
          <w:lang w:val="en-GB"/>
        </w:rPr>
        <w:t xml:space="preserve"> and values of economic indicators of the Netherlands</w:t>
      </w:r>
      <w:r w:rsidR="00B16860" w:rsidRPr="007723F5">
        <w:rPr>
          <w:lang w:val="en-GB"/>
        </w:rPr>
        <w:t xml:space="preserve">. </w:t>
      </w:r>
      <w:r w:rsidRPr="007723F5">
        <w:rPr>
          <w:lang w:val="en-GB"/>
        </w:rPr>
        <w:t xml:space="preserve">Initially, </w:t>
      </w:r>
      <w:r w:rsidR="00461F4B" w:rsidRPr="007723F5">
        <w:rPr>
          <w:lang w:val="en-GB"/>
        </w:rPr>
        <w:t xml:space="preserve">several </w:t>
      </w:r>
      <w:r w:rsidR="002E3DDE" w:rsidRPr="007723F5">
        <w:rPr>
          <w:lang w:val="en-GB"/>
        </w:rPr>
        <w:t xml:space="preserve">data cleansing and </w:t>
      </w:r>
      <w:r w:rsidR="00461F4B" w:rsidRPr="007723F5">
        <w:rPr>
          <w:lang w:val="en-GB"/>
        </w:rPr>
        <w:t xml:space="preserve">sampling techniques have been applied to the data </w:t>
      </w:r>
      <w:r w:rsidR="00EA1C47" w:rsidRPr="007723F5">
        <w:rPr>
          <w:lang w:val="en-GB"/>
        </w:rPr>
        <w:t>such</w:t>
      </w:r>
      <w:r w:rsidR="00461F4B" w:rsidRPr="007723F5">
        <w:rPr>
          <w:lang w:val="en-GB"/>
        </w:rPr>
        <w:t xml:space="preserve"> that the remaining dataset is accurate and representative. </w:t>
      </w:r>
      <w:r w:rsidR="002E3DDE" w:rsidRPr="007723F5">
        <w:rPr>
          <w:lang w:val="en-GB"/>
        </w:rPr>
        <w:t>The techniques are standard and ensure that inaccurate records are filtered out</w:t>
      </w:r>
      <w:r w:rsidR="00EA1C47" w:rsidRPr="007723F5">
        <w:rPr>
          <w:lang w:val="en-GB"/>
        </w:rPr>
        <w:t>, seasonality effects are reduced and customers are selected only once in order to avoid correlation between observation moments (mutually exclusive sampling)</w:t>
      </w:r>
      <w:r w:rsidR="00976055" w:rsidRPr="007723F5">
        <w:rPr>
          <w:lang w:val="en-GB"/>
        </w:rPr>
        <w:t xml:space="preserve">. </w:t>
      </w:r>
      <w:r w:rsidR="00994203" w:rsidRPr="007723F5">
        <w:rPr>
          <w:lang w:val="en-GB"/>
        </w:rPr>
        <w:t xml:space="preserve">Furthermore, the dataset has been split into a development sample to build the model and a testing sample to test the model. </w:t>
      </w:r>
      <w:r w:rsidR="00461F4B" w:rsidRPr="007723F5">
        <w:rPr>
          <w:lang w:val="en-GB"/>
        </w:rPr>
        <w:t xml:space="preserve">Next, </w:t>
      </w:r>
      <w:r w:rsidRPr="007723F5">
        <w:rPr>
          <w:lang w:val="en-GB"/>
        </w:rPr>
        <w:t xml:space="preserve">a set of </w:t>
      </w:r>
      <w:r w:rsidR="00FE02CF" w:rsidRPr="007723F5">
        <w:rPr>
          <w:lang w:val="en-GB"/>
        </w:rPr>
        <w:t xml:space="preserve">31 </w:t>
      </w:r>
      <w:r w:rsidRPr="007723F5">
        <w:rPr>
          <w:lang w:val="en-GB"/>
        </w:rPr>
        <w:t xml:space="preserve">variables </w:t>
      </w:r>
      <w:r w:rsidR="00976055" w:rsidRPr="007723F5">
        <w:rPr>
          <w:lang w:val="en-GB"/>
        </w:rPr>
        <w:t xml:space="preserve">has been </w:t>
      </w:r>
      <w:r w:rsidRPr="007723F5">
        <w:rPr>
          <w:lang w:val="en-GB"/>
        </w:rPr>
        <w:t xml:space="preserve">identified as possible risk drivers. </w:t>
      </w:r>
      <w:r w:rsidR="00EE638E" w:rsidRPr="007723F5">
        <w:rPr>
          <w:lang w:val="en-GB"/>
        </w:rPr>
        <w:t xml:space="preserve">The set of variables is presented in </w:t>
      </w:r>
      <w:fldSimple w:instr=" REF _Ref431414765 \h  \* MERGEFORMAT ">
        <w:r w:rsidR="00B46DD6" w:rsidRPr="007723F5">
          <w:t xml:space="preserve">Table </w:t>
        </w:r>
        <w:r w:rsidR="00B46DD6" w:rsidRPr="007723F5">
          <w:rPr>
            <w:noProof/>
          </w:rPr>
          <w:t>2</w:t>
        </w:r>
      </w:fldSimple>
      <w:r w:rsidR="00FE02CF" w:rsidRPr="007723F5">
        <w:rPr>
          <w:lang w:val="en-GB"/>
        </w:rPr>
        <w:t xml:space="preserve"> of </w:t>
      </w:r>
      <w:r w:rsidR="00EE638E" w:rsidRPr="007723F5">
        <w:rPr>
          <w:lang w:val="en-GB"/>
        </w:rPr>
        <w:t xml:space="preserve">appendix 1 along with </w:t>
      </w:r>
      <w:r w:rsidR="00976055" w:rsidRPr="007723F5">
        <w:rPr>
          <w:lang w:val="en-GB"/>
        </w:rPr>
        <w:t xml:space="preserve">the </w:t>
      </w:r>
      <w:r w:rsidR="00EE638E" w:rsidRPr="007723F5">
        <w:rPr>
          <w:lang w:val="en-GB"/>
        </w:rPr>
        <w:t xml:space="preserve">description </w:t>
      </w:r>
      <w:r w:rsidR="00976055" w:rsidRPr="007723F5">
        <w:rPr>
          <w:lang w:val="en-GB"/>
        </w:rPr>
        <w:t xml:space="preserve">of </w:t>
      </w:r>
      <w:r w:rsidR="00FE02CF" w:rsidRPr="007723F5">
        <w:rPr>
          <w:lang w:val="en-GB"/>
        </w:rPr>
        <w:t>each variable</w:t>
      </w:r>
      <w:r w:rsidR="00EE638E" w:rsidRPr="007723F5">
        <w:rPr>
          <w:lang w:val="en-GB"/>
        </w:rPr>
        <w:t xml:space="preserve">. </w:t>
      </w:r>
      <w:r w:rsidRPr="007723F5">
        <w:rPr>
          <w:lang w:val="en-GB"/>
        </w:rPr>
        <w:t xml:space="preserve">Analysis of patterns in the data </w:t>
      </w:r>
      <w:r w:rsidR="00C25FF4" w:rsidRPr="007723F5">
        <w:rPr>
          <w:lang w:val="en-GB"/>
        </w:rPr>
        <w:t>reveals</w:t>
      </w:r>
      <w:r w:rsidR="000532F8" w:rsidRPr="007723F5">
        <w:rPr>
          <w:lang w:val="en-GB"/>
        </w:rPr>
        <w:t xml:space="preserve"> information</w:t>
      </w:r>
      <w:r w:rsidR="00337922" w:rsidRPr="007723F5">
        <w:rPr>
          <w:lang w:val="en-GB"/>
        </w:rPr>
        <w:t xml:space="preserve"> about the performance of a potential risk driver. </w:t>
      </w:r>
      <w:r w:rsidRPr="007723F5">
        <w:rPr>
          <w:lang w:val="en-GB"/>
        </w:rPr>
        <w:t xml:space="preserve">This analysis is referred to as univariate analysis. </w:t>
      </w:r>
      <w:r w:rsidR="00976055" w:rsidRPr="007723F5">
        <w:rPr>
          <w:lang w:val="en-GB"/>
        </w:rPr>
        <w:t xml:space="preserve">A strong pattern does not automatically mean that the corresponding risk driver will end up in the final model, because it might be correlated to other risk drivers or obtain a low ranking in the multivariate analysis. Each pattern has been discussed with business experts to verify </w:t>
      </w:r>
      <w:r w:rsidR="00FE02CF" w:rsidRPr="007723F5">
        <w:rPr>
          <w:lang w:val="en-GB"/>
        </w:rPr>
        <w:t>whether</w:t>
      </w:r>
      <w:r w:rsidR="00976055" w:rsidRPr="007723F5">
        <w:rPr>
          <w:lang w:val="en-GB"/>
        </w:rPr>
        <w:t xml:space="preserve"> it makes sense economically </w:t>
      </w:r>
      <w:r w:rsidR="00FE02CF" w:rsidRPr="007723F5">
        <w:rPr>
          <w:lang w:val="en-GB"/>
        </w:rPr>
        <w:t>and</w:t>
      </w:r>
      <w:r w:rsidR="00976055" w:rsidRPr="007723F5">
        <w:rPr>
          <w:lang w:val="en-GB"/>
        </w:rPr>
        <w:t xml:space="preserve"> whether it is in line with current and future expectations. </w:t>
      </w:r>
      <w:r w:rsidR="007F0682" w:rsidRPr="007723F5">
        <w:rPr>
          <w:lang w:val="en-GB"/>
        </w:rPr>
        <w:t xml:space="preserve">To explain the </w:t>
      </w:r>
      <w:r w:rsidR="00FE02CF" w:rsidRPr="007723F5">
        <w:rPr>
          <w:lang w:val="en-GB"/>
        </w:rPr>
        <w:t xml:space="preserve">observed </w:t>
      </w:r>
      <w:r w:rsidR="007F0682" w:rsidRPr="007723F5">
        <w:rPr>
          <w:lang w:val="en-GB"/>
        </w:rPr>
        <w:t>patterns, some relevant drivers are explained below (the list is not extensive).</w:t>
      </w:r>
      <w:r w:rsidR="00E25598" w:rsidRPr="007723F5">
        <w:rPr>
          <w:lang w:val="en-GB"/>
        </w:rPr>
        <w:t xml:space="preserve"> </w:t>
      </w:r>
    </w:p>
    <w:p w:rsidR="00272CEE" w:rsidRPr="007723F5" w:rsidRDefault="00272CEE" w:rsidP="00112A99">
      <w:pPr>
        <w:spacing w:line="360" w:lineRule="auto"/>
        <w:jc w:val="both"/>
        <w:rPr>
          <w:lang w:val="en-GB"/>
        </w:rPr>
      </w:pPr>
    </w:p>
    <w:p w:rsidR="001809BA" w:rsidRPr="007723F5" w:rsidRDefault="001809BA" w:rsidP="00112A99">
      <w:pPr>
        <w:spacing w:line="360" w:lineRule="auto"/>
        <w:jc w:val="both"/>
      </w:pPr>
      <w:r w:rsidRPr="007723F5">
        <w:t xml:space="preserve">5.1 Internal risk drivers </w:t>
      </w:r>
    </w:p>
    <w:p w:rsidR="001809BA" w:rsidRPr="007723F5" w:rsidRDefault="001809BA" w:rsidP="007F0682">
      <w:pPr>
        <w:spacing w:line="360" w:lineRule="auto"/>
        <w:jc w:val="both"/>
      </w:pPr>
    </w:p>
    <w:p w:rsidR="007F0682" w:rsidRPr="007723F5" w:rsidRDefault="00CF7DEE" w:rsidP="007F0682">
      <w:pPr>
        <w:spacing w:line="360" w:lineRule="auto"/>
        <w:jc w:val="both"/>
      </w:pPr>
      <w:r w:rsidRPr="007723F5">
        <w:t>Internal risk drivers are risk drivers that are related to the characteristics of the customer</w:t>
      </w:r>
      <w:r w:rsidR="00AA368B" w:rsidRPr="007723F5">
        <w:t>s and their contracts</w:t>
      </w:r>
      <w:r w:rsidRPr="007723F5">
        <w:t xml:space="preserve">. </w:t>
      </w:r>
      <w:r w:rsidR="007F0682" w:rsidRPr="007723F5">
        <w:t xml:space="preserve">One internal risk driver is the loan-to-value </w:t>
      </w:r>
      <w:r w:rsidR="002A1A2F" w:rsidRPr="007723F5">
        <w:t xml:space="preserve">(LTV) </w:t>
      </w:r>
      <w:r w:rsidR="007F0682" w:rsidRPr="007723F5">
        <w:t xml:space="preserve">at reporting date. This is a continuous variable, meaning that </w:t>
      </w:r>
      <w:r w:rsidR="00CA6875" w:rsidRPr="007723F5">
        <w:t xml:space="preserve">it can have all values within a certain range and </w:t>
      </w:r>
      <w:r w:rsidR="007F0682" w:rsidRPr="007723F5">
        <w:t xml:space="preserve">its values can be ordered. One way to present continuous variables is </w:t>
      </w:r>
      <w:r w:rsidR="002A1A2F" w:rsidRPr="007723F5">
        <w:t>to plot</w:t>
      </w:r>
      <w:r w:rsidR="007F0682" w:rsidRPr="007723F5">
        <w:t xml:space="preserve"> observed defaults against </w:t>
      </w:r>
      <w:r w:rsidR="002A1A2F" w:rsidRPr="007723F5">
        <w:t>buckets of the</w:t>
      </w:r>
      <w:r w:rsidR="007F0682" w:rsidRPr="007723F5">
        <w:t xml:space="preserve"> risk driver. </w:t>
      </w:r>
      <w:r w:rsidR="003533DC" w:rsidRPr="007723F5">
        <w:t xml:space="preserve">The observed defaults are the averages per bucket. </w:t>
      </w:r>
      <w:r w:rsidR="002A1A2F" w:rsidRPr="007723F5">
        <w:t>A line can</w:t>
      </w:r>
      <w:r w:rsidR="007F0682" w:rsidRPr="007723F5">
        <w:t xml:space="preserve"> </w:t>
      </w:r>
      <w:r w:rsidR="002A1A2F" w:rsidRPr="007723F5">
        <w:t xml:space="preserve">be </w:t>
      </w:r>
      <w:r w:rsidR="007F0682" w:rsidRPr="007723F5">
        <w:t>fitted through the observation points.</w:t>
      </w:r>
      <w:r w:rsidR="004A1CB3" w:rsidRPr="007723F5">
        <w:t xml:space="preserve"> </w:t>
      </w:r>
      <w:fldSimple w:instr=" REF _Ref379402068 \h  \* MERGEFORMAT ">
        <w:r w:rsidR="00B46DD6" w:rsidRPr="007723F5">
          <w:t xml:space="preserve">Figure </w:t>
        </w:r>
        <w:r w:rsidR="00B46DD6" w:rsidRPr="007723F5">
          <w:rPr>
            <w:noProof/>
          </w:rPr>
          <w:t>4</w:t>
        </w:r>
      </w:fldSimple>
      <w:r w:rsidR="007F0682" w:rsidRPr="007723F5">
        <w:t xml:space="preserve"> shows that for higher LTVs at reporting date the number of observed defaults was higher than for lower </w:t>
      </w:r>
      <w:r w:rsidR="002A1A2F" w:rsidRPr="007723F5">
        <w:t xml:space="preserve">LTV </w:t>
      </w:r>
      <w:r w:rsidR="007F0682" w:rsidRPr="007723F5">
        <w:t>values</w:t>
      </w:r>
      <w:r w:rsidR="00AA1257" w:rsidRPr="007723F5">
        <w:rPr>
          <w:rStyle w:val="af"/>
        </w:rPr>
        <w:footnoteReference w:id="7"/>
      </w:r>
      <w:r w:rsidR="007F0682" w:rsidRPr="007723F5">
        <w:t xml:space="preserve">. The </w:t>
      </w:r>
      <w:r w:rsidR="00775F8C" w:rsidRPr="007723F5">
        <w:t xml:space="preserve">trend line with the best fit is a </w:t>
      </w:r>
      <w:r w:rsidR="007F0682" w:rsidRPr="007723F5">
        <w:t>logistic function with R</w:t>
      </w:r>
      <w:r w:rsidR="007F0682" w:rsidRPr="007723F5">
        <w:rPr>
          <w:vertAlign w:val="superscript"/>
        </w:rPr>
        <w:t>2</w:t>
      </w:r>
      <w:r w:rsidR="007F0682" w:rsidRPr="007723F5">
        <w:t xml:space="preserve"> = 99%.</w:t>
      </w:r>
      <w:r w:rsidR="002A1A2F" w:rsidRPr="007723F5">
        <w:t xml:space="preserve"> </w:t>
      </w:r>
      <w:r w:rsidR="007F0682" w:rsidRPr="007723F5">
        <w:t>Th</w:t>
      </w:r>
      <w:r w:rsidR="002A1A2F" w:rsidRPr="007723F5">
        <w:t>is</w:t>
      </w:r>
      <w:r w:rsidR="007F0682" w:rsidRPr="007723F5">
        <w:t xml:space="preserve"> variable is accepted as risk driver, because it is expected that the number of defaults increases as the LTV increases.</w:t>
      </w:r>
    </w:p>
    <w:p w:rsidR="007F0682" w:rsidRPr="007723F5" w:rsidRDefault="007F0682" w:rsidP="007F0682">
      <w:pPr>
        <w:spacing w:line="360" w:lineRule="auto"/>
        <w:jc w:val="center"/>
        <w:rPr>
          <w:lang w:val="en-GB"/>
        </w:rPr>
      </w:pPr>
      <w:r w:rsidRPr="007723F5">
        <w:rPr>
          <w:lang w:val="en-GB"/>
        </w:rPr>
        <w:lastRenderedPageBreak/>
        <w:t>[INSERT</w:t>
      </w:r>
      <w:r w:rsidR="004A1CB3" w:rsidRPr="007723F5">
        <w:rPr>
          <w:lang w:val="en-GB"/>
        </w:rPr>
        <w:t xml:space="preserve"> </w:t>
      </w:r>
      <w:fldSimple w:instr=" REF _Ref379402068 \h  \* MERGEFORMAT ">
        <w:r w:rsidR="00B46DD6" w:rsidRPr="007723F5">
          <w:t xml:space="preserve">Figure </w:t>
        </w:r>
        <w:r w:rsidR="00B46DD6" w:rsidRPr="007723F5">
          <w:rPr>
            <w:noProof/>
          </w:rPr>
          <w:t>4</w:t>
        </w:r>
      </w:fldSimple>
      <w:r w:rsidRPr="007723F5">
        <w:rPr>
          <w:lang w:val="en-GB"/>
        </w:rPr>
        <w:t xml:space="preserve"> ABOUT HERE]</w:t>
      </w:r>
    </w:p>
    <w:p w:rsidR="007F0682" w:rsidRPr="007723F5" w:rsidRDefault="007F0682" w:rsidP="005D02C5">
      <w:pPr>
        <w:spacing w:line="360" w:lineRule="auto"/>
        <w:jc w:val="both"/>
      </w:pPr>
    </w:p>
    <w:p w:rsidR="002A1A2F" w:rsidRPr="007723F5" w:rsidRDefault="002A1A2F" w:rsidP="002A1A2F">
      <w:pPr>
        <w:spacing w:line="360" w:lineRule="auto"/>
        <w:jc w:val="both"/>
      </w:pPr>
      <w:r w:rsidRPr="007723F5">
        <w:t>The next internal risk driver is interest-to-income (ITI). This is a continuous variable with values between 0 and 1.</w:t>
      </w:r>
      <w:r w:rsidR="004A1CB3" w:rsidRPr="007723F5">
        <w:t xml:space="preserve"> </w:t>
      </w:r>
      <w:fldSimple w:instr=" REF _Ref379402144 \h  \* MERGEFORMAT ">
        <w:r w:rsidR="00B46DD6" w:rsidRPr="007723F5">
          <w:t xml:space="preserve">Figure </w:t>
        </w:r>
        <w:r w:rsidR="00B46DD6" w:rsidRPr="007723F5">
          <w:rPr>
            <w:noProof/>
          </w:rPr>
          <w:t>5</w:t>
        </w:r>
      </w:fldSimple>
      <w:r w:rsidR="004A1CB3" w:rsidRPr="007723F5">
        <w:t xml:space="preserve"> </w:t>
      </w:r>
      <w:r w:rsidRPr="007723F5">
        <w:t>shows that defaults increase when ITI increases. The best fit line is a logistic function with R</w:t>
      </w:r>
      <w:r w:rsidRPr="007723F5">
        <w:rPr>
          <w:vertAlign w:val="superscript"/>
        </w:rPr>
        <w:t>2</w:t>
      </w:r>
      <w:r w:rsidRPr="007723F5">
        <w:t xml:space="preserve"> = 99%. The difference in default level between the left and the right of the graph is a factor 3. The variable ITI is accepted as risk driver, because it is expected that the number of defaults increases as the ITI increases.</w:t>
      </w:r>
    </w:p>
    <w:p w:rsidR="002A1A2F" w:rsidRPr="007723F5" w:rsidRDefault="002A1A2F" w:rsidP="002A1A2F">
      <w:pPr>
        <w:spacing w:line="360" w:lineRule="auto"/>
        <w:jc w:val="center"/>
        <w:rPr>
          <w:lang w:val="en-GB"/>
        </w:rPr>
      </w:pPr>
      <w:r w:rsidRPr="007723F5">
        <w:rPr>
          <w:lang w:val="en-GB"/>
        </w:rPr>
        <w:t>[INSERT</w:t>
      </w:r>
      <w:r w:rsidR="004A1CB3" w:rsidRPr="007723F5">
        <w:rPr>
          <w:lang w:val="en-GB"/>
        </w:rPr>
        <w:t xml:space="preserve"> </w:t>
      </w:r>
      <w:fldSimple w:instr=" REF _Ref379402144 \h  \* MERGEFORMAT ">
        <w:r w:rsidR="00B46DD6" w:rsidRPr="007723F5">
          <w:t xml:space="preserve">Figure </w:t>
        </w:r>
        <w:r w:rsidR="00B46DD6" w:rsidRPr="007723F5">
          <w:rPr>
            <w:noProof/>
          </w:rPr>
          <w:t>5</w:t>
        </w:r>
      </w:fldSimple>
      <w:r w:rsidR="004A1CB3" w:rsidRPr="007723F5">
        <w:rPr>
          <w:lang w:val="en-GB"/>
        </w:rPr>
        <w:t xml:space="preserve"> </w:t>
      </w:r>
      <w:r w:rsidRPr="007723F5">
        <w:rPr>
          <w:lang w:val="en-GB"/>
        </w:rPr>
        <w:t>ABOUT HERE]</w:t>
      </w:r>
    </w:p>
    <w:p w:rsidR="007F0682" w:rsidRPr="007723F5" w:rsidRDefault="007F0682" w:rsidP="005D02C5">
      <w:pPr>
        <w:spacing w:line="360" w:lineRule="auto"/>
        <w:jc w:val="both"/>
      </w:pPr>
    </w:p>
    <w:p w:rsidR="00E72C54" w:rsidRPr="007723F5" w:rsidRDefault="00AD3D6A" w:rsidP="00E72C54">
      <w:pPr>
        <w:spacing w:line="360" w:lineRule="auto"/>
        <w:jc w:val="both"/>
      </w:pPr>
      <w:r w:rsidRPr="007723F5">
        <w:t xml:space="preserve">The number of months since the last delinquency is an internal risk driver represented by </w:t>
      </w:r>
      <w:r w:rsidR="00517652" w:rsidRPr="007723F5">
        <w:t xml:space="preserve">a nominal variable, </w:t>
      </w:r>
      <w:r w:rsidRPr="007723F5">
        <w:t xml:space="preserve">i.e. </w:t>
      </w:r>
      <w:r w:rsidR="00517652" w:rsidRPr="007723F5">
        <w:t>it</w:t>
      </w:r>
      <w:r w:rsidR="00CF436A" w:rsidRPr="007723F5">
        <w:t xml:space="preserve"> consist</w:t>
      </w:r>
      <w:r w:rsidR="00517652" w:rsidRPr="007723F5">
        <w:t>s</w:t>
      </w:r>
      <w:r w:rsidR="00CF436A" w:rsidRPr="007723F5">
        <w:t xml:space="preserve"> of a relatively small number of distinct values. </w:t>
      </w:r>
      <w:r w:rsidR="00517652" w:rsidRPr="007723F5">
        <w:rPr>
          <w:lang w:val="en-GB" w:eastAsia="en-US"/>
        </w:rPr>
        <w:t>A nominal variable does</w:t>
      </w:r>
      <w:r w:rsidR="00CF436A" w:rsidRPr="007723F5">
        <w:rPr>
          <w:lang w:val="en-GB" w:eastAsia="en-US"/>
        </w:rPr>
        <w:t xml:space="preserve"> not have an ordinal character</w:t>
      </w:r>
      <w:r w:rsidR="00517652" w:rsidRPr="007723F5">
        <w:rPr>
          <w:lang w:val="en-GB" w:eastAsia="en-US"/>
        </w:rPr>
        <w:t xml:space="preserve"> like a continuous variable</w:t>
      </w:r>
      <w:r w:rsidR="00CF436A" w:rsidRPr="007723F5">
        <w:rPr>
          <w:lang w:val="en-GB" w:eastAsia="en-US"/>
        </w:rPr>
        <w:t>.</w:t>
      </w:r>
      <w:r w:rsidR="00517652" w:rsidRPr="007723F5">
        <w:rPr>
          <w:lang w:val="en-GB" w:eastAsia="en-US"/>
        </w:rPr>
        <w:t xml:space="preserve"> </w:t>
      </w:r>
      <w:r w:rsidRPr="007723F5">
        <w:t>This delinquency</w:t>
      </w:r>
      <w:r w:rsidR="00E72C54" w:rsidRPr="007723F5">
        <w:t xml:space="preserve"> variable is defined for 12 groups. The labels A until K represent the groups of customers who have not been in arrears since 1 month (A) until 11 months (K). Label L represents the group of customers who have not been in arrears at all. </w:t>
      </w:r>
      <w:r w:rsidRPr="007723F5">
        <w:t>I</w:t>
      </w:r>
      <w:r w:rsidR="00E72C54" w:rsidRPr="007723F5">
        <w:t>n</w:t>
      </w:r>
      <w:r w:rsidR="004A1CB3" w:rsidRPr="007723F5">
        <w:t xml:space="preserve"> </w:t>
      </w:r>
      <w:fldSimple w:instr=" REF _Ref379402181 \h  \* MERGEFORMAT ">
        <w:r w:rsidR="00B46DD6" w:rsidRPr="007723F5">
          <w:t xml:space="preserve">Figure </w:t>
        </w:r>
        <w:r w:rsidR="00B46DD6" w:rsidRPr="007723F5">
          <w:rPr>
            <w:noProof/>
          </w:rPr>
          <w:t>6</w:t>
        </w:r>
      </w:fldSimple>
      <w:r w:rsidRPr="007723F5">
        <w:t>,</w:t>
      </w:r>
      <w:r w:rsidR="00E72C54" w:rsidRPr="007723F5">
        <w:t xml:space="preserve"> </w:t>
      </w:r>
      <w:r w:rsidRPr="007723F5">
        <w:t>a</w:t>
      </w:r>
      <w:r w:rsidR="00586276" w:rsidRPr="007723F5">
        <w:t xml:space="preserve"> bubble plot </w:t>
      </w:r>
      <w:r w:rsidRPr="007723F5">
        <w:t>for this variable is presented, which shows</w:t>
      </w:r>
      <w:r w:rsidR="00586276" w:rsidRPr="007723F5">
        <w:t xml:space="preserve"> the observed PD percentages for every </w:t>
      </w:r>
      <w:r w:rsidR="00B701C4" w:rsidRPr="007723F5">
        <w:t>group</w:t>
      </w:r>
      <w:r w:rsidR="00C06A59" w:rsidRPr="007723F5">
        <w:t xml:space="preserve"> </w:t>
      </w:r>
      <w:r w:rsidR="00E72C54" w:rsidRPr="007723F5">
        <w:t>(A – L)</w:t>
      </w:r>
      <w:r w:rsidRPr="007723F5">
        <w:t>. T</w:t>
      </w:r>
      <w:r w:rsidR="00C06A59" w:rsidRPr="007723F5">
        <w:t>he size of each bubble corresponds with the frequency.</w:t>
      </w:r>
      <w:r w:rsidR="00E72C54" w:rsidRPr="007723F5">
        <w:t xml:space="preserve"> </w:t>
      </w:r>
      <w:r w:rsidRPr="007723F5">
        <w:t>It can be observed how the large majority of the customers has never been in arrears. Moreover,</w:t>
      </w:r>
      <w:r w:rsidR="004A1CB3" w:rsidRPr="007723F5">
        <w:t xml:space="preserve"> </w:t>
      </w:r>
      <w:fldSimple w:instr=" REF _Ref379402181 \h  \* MERGEFORMAT ">
        <w:r w:rsidR="00B46DD6" w:rsidRPr="007723F5">
          <w:t xml:space="preserve">Figure </w:t>
        </w:r>
        <w:r w:rsidR="00B46DD6" w:rsidRPr="007723F5">
          <w:rPr>
            <w:noProof/>
          </w:rPr>
          <w:t>6</w:t>
        </w:r>
      </w:fldSimple>
      <w:r w:rsidR="004A1CB3" w:rsidRPr="007723F5">
        <w:t xml:space="preserve"> </w:t>
      </w:r>
      <w:r w:rsidR="00E72C54" w:rsidRPr="007723F5">
        <w:t xml:space="preserve">shows how customers, who have been in arrears more recently, have also defaulted more often. It is </w:t>
      </w:r>
      <w:r w:rsidR="00775F8C" w:rsidRPr="007723F5">
        <w:t>indeed</w:t>
      </w:r>
      <w:r w:rsidR="00E72C54" w:rsidRPr="007723F5">
        <w:t xml:space="preserve"> expected that customers with only a few months since last delinquency have a higher probability to default. Hence, </w:t>
      </w:r>
      <w:r w:rsidR="004A1CB3" w:rsidRPr="007723F5">
        <w:t xml:space="preserve">the number of months since the last delinquency is </w:t>
      </w:r>
      <w:r w:rsidR="00E72C54" w:rsidRPr="007723F5">
        <w:t>a good risk driver.</w:t>
      </w:r>
    </w:p>
    <w:p w:rsidR="00E72C54" w:rsidRPr="007723F5" w:rsidRDefault="00E72C54" w:rsidP="00E72C54">
      <w:pPr>
        <w:spacing w:line="360" w:lineRule="auto"/>
        <w:jc w:val="center"/>
      </w:pPr>
      <w:r w:rsidRPr="007723F5">
        <w:rPr>
          <w:lang w:val="en-GB"/>
        </w:rPr>
        <w:t>[INSERT</w:t>
      </w:r>
      <w:r w:rsidR="004A1CB3" w:rsidRPr="007723F5">
        <w:rPr>
          <w:lang w:val="en-GB"/>
        </w:rPr>
        <w:t xml:space="preserve"> </w:t>
      </w:r>
      <w:fldSimple w:instr=" REF _Ref379402181 \h  \* MERGEFORMAT ">
        <w:r w:rsidR="00B46DD6" w:rsidRPr="007723F5">
          <w:t xml:space="preserve">Figure </w:t>
        </w:r>
        <w:r w:rsidR="00B46DD6" w:rsidRPr="007723F5">
          <w:rPr>
            <w:noProof/>
          </w:rPr>
          <w:t>6</w:t>
        </w:r>
      </w:fldSimple>
      <w:r w:rsidRPr="007723F5">
        <w:rPr>
          <w:lang w:val="en-GB"/>
        </w:rPr>
        <w:t xml:space="preserve"> ABOUT HERE]</w:t>
      </w:r>
    </w:p>
    <w:p w:rsidR="00E72C54" w:rsidRPr="007723F5" w:rsidRDefault="00E72C54" w:rsidP="00E72C54">
      <w:pPr>
        <w:spacing w:line="360" w:lineRule="auto"/>
        <w:jc w:val="both"/>
      </w:pPr>
    </w:p>
    <w:p w:rsidR="001809BA" w:rsidRPr="007723F5" w:rsidRDefault="001809BA" w:rsidP="00E72C54">
      <w:pPr>
        <w:spacing w:line="360" w:lineRule="auto"/>
        <w:jc w:val="both"/>
      </w:pPr>
      <w:r w:rsidRPr="007723F5">
        <w:t>5.2 External risk drivers</w:t>
      </w:r>
    </w:p>
    <w:p w:rsidR="00946DD7" w:rsidRPr="007723F5" w:rsidRDefault="00AD3D6A" w:rsidP="00665F75">
      <w:pPr>
        <w:spacing w:line="360" w:lineRule="auto"/>
        <w:jc w:val="both"/>
      </w:pPr>
      <w:r w:rsidRPr="007723F5">
        <w:t>External risk drivers are affected by</w:t>
      </w:r>
      <w:bookmarkStart w:id="14" w:name="_Toc371788260"/>
      <w:r w:rsidR="00A77D90" w:rsidRPr="007723F5">
        <w:t xml:space="preserve"> external market circumstances.</w:t>
      </w:r>
      <w:bookmarkEnd w:id="14"/>
      <w:r w:rsidR="00A77D90" w:rsidRPr="007723F5">
        <w:t xml:space="preserve"> They</w:t>
      </w:r>
      <w:r w:rsidR="00E5056D" w:rsidRPr="007723F5">
        <w:t xml:space="preserve"> are not directly related to the characteristics of customer</w:t>
      </w:r>
      <w:r w:rsidR="00775F8C" w:rsidRPr="007723F5">
        <w:t>s</w:t>
      </w:r>
      <w:r w:rsidR="00E5056D" w:rsidRPr="007723F5">
        <w:t xml:space="preserve"> or </w:t>
      </w:r>
      <w:r w:rsidR="00775F8C" w:rsidRPr="007723F5">
        <w:t>their</w:t>
      </w:r>
      <w:r w:rsidR="00E5056D" w:rsidRPr="007723F5">
        <w:t xml:space="preserve"> contract</w:t>
      </w:r>
      <w:r w:rsidR="00775F8C" w:rsidRPr="007723F5">
        <w:t>s</w:t>
      </w:r>
      <w:r w:rsidR="00A77D90" w:rsidRPr="007723F5">
        <w:t xml:space="preserve"> and do not distinguish among customers</w:t>
      </w:r>
      <w:r w:rsidR="00E5056D" w:rsidRPr="007723F5">
        <w:t>. There are several market variables that move along with the economic situation of the country. They can come from the stock market, such as market illiquidity, which increases in times of crisis</w:t>
      </w:r>
      <w:r w:rsidR="00775F8C" w:rsidRPr="007723F5">
        <w:t xml:space="preserve">, or are </w:t>
      </w:r>
      <w:r w:rsidR="00E5056D" w:rsidRPr="007723F5">
        <w:t xml:space="preserve">related to </w:t>
      </w:r>
      <w:r w:rsidR="00351641" w:rsidRPr="007723F5">
        <w:t>country indices, such as the GDP, unemployment rate and hous</w:t>
      </w:r>
      <w:r w:rsidR="00775F8C" w:rsidRPr="007723F5">
        <w:t>e price index</w:t>
      </w:r>
      <w:r w:rsidR="00351641" w:rsidRPr="007723F5">
        <w:t>.</w:t>
      </w:r>
      <w:r w:rsidR="00946DD7" w:rsidRPr="007723F5">
        <w:t xml:space="preserve"> </w:t>
      </w:r>
    </w:p>
    <w:p w:rsidR="00946DD7" w:rsidRPr="007723F5" w:rsidRDefault="00946DD7" w:rsidP="00665F75">
      <w:pPr>
        <w:spacing w:line="360" w:lineRule="auto"/>
        <w:jc w:val="both"/>
      </w:pPr>
    </w:p>
    <w:p w:rsidR="00AF51CF" w:rsidRPr="007723F5" w:rsidRDefault="00A77D90" w:rsidP="00946DD7">
      <w:pPr>
        <w:spacing w:line="360" w:lineRule="auto"/>
        <w:jc w:val="both"/>
      </w:pPr>
      <w:r w:rsidRPr="007723F5">
        <w:t xml:space="preserve">The first possible external risk driver is the </w:t>
      </w:r>
      <w:r w:rsidR="00946DD7" w:rsidRPr="007723F5">
        <w:t>illiquidity in the Dutch stock market</w:t>
      </w:r>
      <w:r w:rsidR="008F3687" w:rsidRPr="007723F5">
        <w:t xml:space="preserve">. Both Amihud and Roll measures have been investigated as possible risk drivers; see e.g. </w:t>
      </w:r>
      <w:fldSimple w:instr=" REF _Ref379402415 \h  \* MERGEFORMAT ">
        <w:r w:rsidR="00B46DD6" w:rsidRPr="007723F5">
          <w:t xml:space="preserve">Figure </w:t>
        </w:r>
        <w:r w:rsidR="00B46DD6" w:rsidRPr="007723F5">
          <w:rPr>
            <w:noProof/>
          </w:rPr>
          <w:t>3</w:t>
        </w:r>
      </w:fldSimple>
      <w:r w:rsidR="008F3687" w:rsidRPr="007723F5">
        <w:t xml:space="preserve"> </w:t>
      </w:r>
      <w:r w:rsidR="008F3687" w:rsidRPr="007723F5">
        <w:lastRenderedPageBreak/>
        <w:t>for the development over time of the Amihud illiquidity</w:t>
      </w:r>
      <w:r w:rsidRPr="007723F5">
        <w:t xml:space="preserve">. </w:t>
      </w:r>
      <w:r w:rsidR="00CE3AEA" w:rsidRPr="007723F5">
        <w:t>The monthly illiquidity values have been added to the dataset: per month, each customer got the same illiquidity value assigned.</w:t>
      </w:r>
    </w:p>
    <w:p w:rsidR="00EC7C2F" w:rsidRPr="007723F5" w:rsidRDefault="00EC7C2F" w:rsidP="00023D71">
      <w:pPr>
        <w:spacing w:line="360" w:lineRule="auto"/>
        <w:jc w:val="both"/>
      </w:pPr>
    </w:p>
    <w:p w:rsidR="00023D71" w:rsidRPr="007723F5" w:rsidRDefault="00CB37D4" w:rsidP="00023D71">
      <w:pPr>
        <w:spacing w:line="360" w:lineRule="auto"/>
        <w:jc w:val="both"/>
      </w:pPr>
      <w:r w:rsidRPr="007723F5">
        <w:t>The results of the univariate analysis are presented in</w:t>
      </w:r>
      <w:r w:rsidR="003A723E" w:rsidRPr="007723F5">
        <w:t xml:space="preserve"> </w:t>
      </w:r>
      <w:fldSimple w:instr=" REF _Ref379402466 \h  \* MERGEFORMAT ">
        <w:r w:rsidR="00B46DD6" w:rsidRPr="007723F5">
          <w:t xml:space="preserve">Figure </w:t>
        </w:r>
        <w:r w:rsidR="00B46DD6" w:rsidRPr="007723F5">
          <w:rPr>
            <w:noProof/>
          </w:rPr>
          <w:t>7</w:t>
        </w:r>
      </w:fldSimple>
      <w:r w:rsidR="00B46DD6" w:rsidRPr="007723F5">
        <w:t xml:space="preserve"> (a)</w:t>
      </w:r>
      <w:r w:rsidRPr="007723F5">
        <w:t xml:space="preserve">. The best line fit shows how </w:t>
      </w:r>
      <w:r w:rsidR="00D46ABB" w:rsidRPr="007723F5">
        <w:t xml:space="preserve">the level of defaults was more or less the same for all values of illiquidity. Only for very small values of illiquidity the number of observed defaults was higher. This is not really the trend that was expected. </w:t>
      </w:r>
      <w:r w:rsidR="00991543" w:rsidRPr="007723F5">
        <w:t>One</w:t>
      </w:r>
      <w:r w:rsidR="00A92657" w:rsidRPr="007723F5">
        <w:t xml:space="preserve"> would expect</w:t>
      </w:r>
      <w:r w:rsidR="00D46ABB" w:rsidRPr="007723F5">
        <w:t xml:space="preserve"> an increase in defaults when illiquidity increases. The argument for that </w:t>
      </w:r>
      <w:r w:rsidR="00991543" w:rsidRPr="007723F5">
        <w:t>would be</w:t>
      </w:r>
      <w:r w:rsidR="00D46ABB" w:rsidRPr="007723F5">
        <w:t xml:space="preserve"> that in times of high illiquidity the financial stress would also be felt by the customers and would result in more defaults. Acco</w:t>
      </w:r>
      <w:r w:rsidR="00EC7C2F" w:rsidRPr="007723F5">
        <w:t xml:space="preserve">rding to the data, this has not </w:t>
      </w:r>
      <w:r w:rsidR="00D46ABB" w:rsidRPr="007723F5">
        <w:t>been the case.</w:t>
      </w:r>
      <w:r w:rsidRPr="007723F5">
        <w:t xml:space="preserve"> </w:t>
      </w:r>
      <w:r w:rsidR="005A2C39" w:rsidRPr="007723F5">
        <w:t>The R</w:t>
      </w:r>
      <w:r w:rsidR="005A2C39" w:rsidRPr="007723F5">
        <w:rPr>
          <w:vertAlign w:val="superscript"/>
        </w:rPr>
        <w:t>2</w:t>
      </w:r>
      <w:r w:rsidR="005A2C39" w:rsidRPr="007723F5">
        <w:t xml:space="preserve"> of the fit is 21%</w:t>
      </w:r>
      <w:r w:rsidR="00EC7C2F" w:rsidRPr="007723F5">
        <w:t>,</w:t>
      </w:r>
      <w:r w:rsidR="005A2C39" w:rsidRPr="007723F5">
        <w:t xml:space="preserve"> </w:t>
      </w:r>
      <w:r w:rsidR="00EC7C2F" w:rsidRPr="007723F5">
        <w:t xml:space="preserve">which is </w:t>
      </w:r>
      <w:r w:rsidR="00D079C3" w:rsidRPr="007723F5">
        <w:t>very low</w:t>
      </w:r>
      <w:r w:rsidR="005A2C39" w:rsidRPr="007723F5">
        <w:t>.</w:t>
      </w:r>
    </w:p>
    <w:p w:rsidR="001A19BE" w:rsidRPr="007723F5" w:rsidRDefault="001A19BE" w:rsidP="001A19BE">
      <w:pPr>
        <w:spacing w:line="360" w:lineRule="auto"/>
        <w:jc w:val="center"/>
      </w:pPr>
      <w:r w:rsidRPr="007723F5">
        <w:rPr>
          <w:lang w:val="en-GB"/>
        </w:rPr>
        <w:t>[INSERT</w:t>
      </w:r>
      <w:r w:rsidR="003A723E" w:rsidRPr="007723F5">
        <w:rPr>
          <w:lang w:val="en-GB"/>
        </w:rPr>
        <w:t xml:space="preserve"> </w:t>
      </w:r>
      <w:fldSimple w:instr=" REF _Ref379402466 \h  \* MERGEFORMAT ">
        <w:r w:rsidR="00B46DD6" w:rsidRPr="007723F5">
          <w:t xml:space="preserve">Figure </w:t>
        </w:r>
        <w:r w:rsidR="00B46DD6" w:rsidRPr="007723F5">
          <w:rPr>
            <w:noProof/>
          </w:rPr>
          <w:t>7</w:t>
        </w:r>
      </w:fldSimple>
      <w:r w:rsidR="003A723E" w:rsidRPr="007723F5">
        <w:rPr>
          <w:lang w:val="en-GB"/>
        </w:rPr>
        <w:t xml:space="preserve"> </w:t>
      </w:r>
      <w:r w:rsidRPr="007723F5">
        <w:rPr>
          <w:lang w:val="en-GB"/>
        </w:rPr>
        <w:t>ABOUT HERE]</w:t>
      </w:r>
    </w:p>
    <w:p w:rsidR="00EC7C2F" w:rsidRPr="007723F5" w:rsidRDefault="00EC7C2F" w:rsidP="00CB37D4">
      <w:pPr>
        <w:spacing w:line="360" w:lineRule="auto"/>
        <w:jc w:val="both"/>
        <w:rPr>
          <w:lang w:val="en-US"/>
        </w:rPr>
      </w:pPr>
    </w:p>
    <w:p w:rsidR="00840C6C" w:rsidRPr="007723F5" w:rsidRDefault="00CA3867" w:rsidP="00CB37D4">
      <w:pPr>
        <w:spacing w:line="360" w:lineRule="auto"/>
        <w:jc w:val="both"/>
      </w:pPr>
      <w:r w:rsidRPr="007723F5">
        <w:rPr>
          <w:lang w:val="en-US"/>
        </w:rPr>
        <w:t>Based on the results presented in</w:t>
      </w:r>
      <w:r w:rsidR="003A723E" w:rsidRPr="007723F5">
        <w:rPr>
          <w:lang w:val="en-US"/>
        </w:rPr>
        <w:t xml:space="preserve"> </w:t>
      </w:r>
      <w:fldSimple w:instr=" REF _Ref379402466 \h  \* MERGEFORMAT ">
        <w:r w:rsidR="00B46DD6" w:rsidRPr="007723F5">
          <w:t xml:space="preserve">Figure </w:t>
        </w:r>
        <w:r w:rsidR="00B46DD6" w:rsidRPr="007723F5">
          <w:rPr>
            <w:noProof/>
          </w:rPr>
          <w:t>7</w:t>
        </w:r>
      </w:fldSimple>
      <w:r w:rsidR="00B46DD6" w:rsidRPr="007723F5">
        <w:rPr>
          <w:lang w:val="en-US"/>
        </w:rPr>
        <w:t xml:space="preserve"> (a)</w:t>
      </w:r>
      <w:r w:rsidRPr="007723F5">
        <w:t xml:space="preserve">, no conclusion can be drawn yet. The risk driver needs to be investigated further. One way of reasoning </w:t>
      </w:r>
      <w:r w:rsidR="00EC7C2F" w:rsidRPr="007723F5">
        <w:t>is</w:t>
      </w:r>
      <w:r w:rsidRPr="007723F5">
        <w:t xml:space="preserve"> as follows: the absolute value of illiquidity might not be correlated to the changes in defaults, but maybe the changes in illiquidity do. Big changes in illiquidity represent the entry into a recession. Therefore, the relative </w:t>
      </w:r>
      <w:r w:rsidR="00840C6C" w:rsidRPr="007723F5">
        <w:t xml:space="preserve">monthly </w:t>
      </w:r>
      <w:r w:rsidRPr="007723F5">
        <w:t>changes in illiquidity</w:t>
      </w:r>
      <w:r w:rsidR="00840C6C" w:rsidRPr="007723F5">
        <w:t xml:space="preserve"> </w:t>
      </w:r>
      <w:r w:rsidR="00991543" w:rsidRPr="007723F5">
        <w:t>have been</w:t>
      </w:r>
      <w:r w:rsidR="00840C6C" w:rsidRPr="007723F5">
        <w:t xml:space="preserve"> investigated in order to test the </w:t>
      </w:r>
      <w:r w:rsidRPr="007723F5">
        <w:t>hypothesis</w:t>
      </w:r>
      <w:r w:rsidR="00840C6C" w:rsidRPr="007723F5">
        <w:t xml:space="preserve"> that increases in illiquidity lead to higher defaults and decreases in illiquidity lead to lower defaults. </w:t>
      </w:r>
      <w:r w:rsidR="00EC7C2F" w:rsidRPr="007723F5">
        <w:t>However, u</w:t>
      </w:r>
      <w:r w:rsidR="00840C6C" w:rsidRPr="007723F5">
        <w:t xml:space="preserve">nivariate </w:t>
      </w:r>
      <w:r w:rsidR="00EC7C2F" w:rsidRPr="007723F5">
        <w:t>analysis</w:t>
      </w:r>
      <w:r w:rsidR="00840C6C" w:rsidRPr="007723F5">
        <w:t xml:space="preserve"> show</w:t>
      </w:r>
      <w:r w:rsidR="00EC7C2F" w:rsidRPr="007723F5">
        <w:t>s</w:t>
      </w:r>
      <w:r w:rsidR="00840C6C" w:rsidRPr="007723F5">
        <w:t xml:space="preserve"> that the best fit line is again horizontal. This means that the hypothesis is rejected.</w:t>
      </w:r>
    </w:p>
    <w:p w:rsidR="00A92657" w:rsidRPr="007723F5" w:rsidRDefault="00A92657" w:rsidP="00CB37D4">
      <w:pPr>
        <w:spacing w:line="360" w:lineRule="auto"/>
        <w:jc w:val="both"/>
      </w:pPr>
    </w:p>
    <w:p w:rsidR="00801583" w:rsidRPr="007723F5" w:rsidRDefault="00840C6C" w:rsidP="00801583">
      <w:pPr>
        <w:spacing w:line="360" w:lineRule="auto"/>
        <w:jc w:val="both"/>
      </w:pPr>
      <w:r w:rsidRPr="007723F5">
        <w:t xml:space="preserve">Another argument </w:t>
      </w:r>
      <w:r w:rsidR="00EC7C2F" w:rsidRPr="007723F5">
        <w:t>could be</w:t>
      </w:r>
      <w:r w:rsidRPr="007723F5">
        <w:t xml:space="preserve"> that the volatility in illiquidity values is too high</w:t>
      </w:r>
      <w:r w:rsidR="00EC7C2F" w:rsidRPr="007723F5">
        <w:t xml:space="preserve">, </w:t>
      </w:r>
      <w:r w:rsidRPr="007723F5">
        <w:t>disturb</w:t>
      </w:r>
      <w:r w:rsidR="00EC7C2F" w:rsidRPr="007723F5">
        <w:t>ing</w:t>
      </w:r>
      <w:r w:rsidRPr="007723F5">
        <w:t xml:space="preserve"> the results. Therefore, a new variable is defined as the average of </w:t>
      </w:r>
      <w:r w:rsidR="00801583" w:rsidRPr="007723F5">
        <w:t>the illiquidity values of</w:t>
      </w:r>
      <w:r w:rsidR="00EC7C2F" w:rsidRPr="007723F5">
        <w:t xml:space="preserve"> the preceding 12 months. However, </w:t>
      </w:r>
      <w:r w:rsidR="00801583" w:rsidRPr="007723F5">
        <w:t xml:space="preserve">univariate analysis </w:t>
      </w:r>
      <w:r w:rsidR="00EC7C2F" w:rsidRPr="007723F5">
        <w:t xml:space="preserve">now </w:t>
      </w:r>
      <w:r w:rsidR="00801583" w:rsidRPr="007723F5">
        <w:t>show</w:t>
      </w:r>
      <w:r w:rsidR="00EC7C2F" w:rsidRPr="007723F5">
        <w:t>s</w:t>
      </w:r>
      <w:r w:rsidR="00801583" w:rsidRPr="007723F5">
        <w:t xml:space="preserve"> a best fit line, which has </w:t>
      </w:r>
      <w:r w:rsidR="00EC7C2F" w:rsidRPr="007723F5">
        <w:t>a decreasing trend and observation points which are very much scattered across the spectrum (R</w:t>
      </w:r>
      <w:r w:rsidR="00EC7C2F" w:rsidRPr="007723F5">
        <w:rPr>
          <w:vertAlign w:val="superscript"/>
        </w:rPr>
        <w:t>2</w:t>
      </w:r>
      <w:r w:rsidR="00EC7C2F" w:rsidRPr="007723F5">
        <w:t xml:space="preserve"> = 23%). This is</w:t>
      </w:r>
      <w:r w:rsidR="00801583" w:rsidRPr="007723F5">
        <w:t xml:space="preserve"> opposite to what was expected. Hence, this variable is not a good risk driver</w:t>
      </w:r>
      <w:r w:rsidR="007A4A30" w:rsidRPr="007723F5">
        <w:t xml:space="preserve"> either</w:t>
      </w:r>
      <w:r w:rsidR="00801583" w:rsidRPr="007723F5">
        <w:t>.</w:t>
      </w:r>
    </w:p>
    <w:p w:rsidR="001A19BE" w:rsidRPr="007723F5" w:rsidRDefault="001A19BE" w:rsidP="00801583">
      <w:pPr>
        <w:spacing w:line="360" w:lineRule="auto"/>
        <w:jc w:val="both"/>
      </w:pPr>
    </w:p>
    <w:p w:rsidR="007A4A30" w:rsidRPr="007723F5" w:rsidRDefault="00801583" w:rsidP="00801583">
      <w:pPr>
        <w:spacing w:line="360" w:lineRule="auto"/>
        <w:jc w:val="both"/>
      </w:pPr>
      <w:r w:rsidRPr="007723F5">
        <w:t>The last attempt for finding a reliable definition of the illiquidity driver is to consider the illiquidity values with a time lag</w:t>
      </w:r>
      <w:r w:rsidR="007A4A30" w:rsidRPr="007723F5">
        <w:t>, because</w:t>
      </w:r>
      <w:r w:rsidRPr="007723F5">
        <w:t xml:space="preserve"> changes in illiquidity </w:t>
      </w:r>
      <w:r w:rsidR="007A4A30" w:rsidRPr="007723F5">
        <w:t>might be correlated to</w:t>
      </w:r>
      <w:r w:rsidR="005A2C39" w:rsidRPr="007723F5">
        <w:t xml:space="preserve"> </w:t>
      </w:r>
      <w:r w:rsidR="007A4A30" w:rsidRPr="007723F5">
        <w:t xml:space="preserve">delayed </w:t>
      </w:r>
      <w:r w:rsidR="005A2C39" w:rsidRPr="007723F5">
        <w:t>defaults. Univariate analyses have been performed with time lags of 1 month up to 6 months</w:t>
      </w:r>
      <w:r w:rsidR="007A4A30" w:rsidRPr="007723F5">
        <w:t>, but</w:t>
      </w:r>
      <w:r w:rsidRPr="007723F5">
        <w:t xml:space="preserve"> </w:t>
      </w:r>
      <w:r w:rsidR="007A4A30" w:rsidRPr="007723F5">
        <w:t>the</w:t>
      </w:r>
      <w:r w:rsidR="005A2C39" w:rsidRPr="007723F5">
        <w:t xml:space="preserve"> results are very similar to those presented in</w:t>
      </w:r>
      <w:r w:rsidR="003A723E" w:rsidRPr="007723F5">
        <w:t xml:space="preserve"> </w:t>
      </w:r>
      <w:fldSimple w:instr=" REF _Ref379402466 \h  \* MERGEFORMAT ">
        <w:r w:rsidR="00B46DD6" w:rsidRPr="007723F5">
          <w:t xml:space="preserve">Figure </w:t>
        </w:r>
        <w:r w:rsidR="00B46DD6" w:rsidRPr="007723F5">
          <w:rPr>
            <w:noProof/>
          </w:rPr>
          <w:t>7</w:t>
        </w:r>
      </w:fldSimple>
      <w:r w:rsidR="005A2C39" w:rsidRPr="007723F5">
        <w:t xml:space="preserve">. </w:t>
      </w:r>
      <w:r w:rsidR="00565ED2" w:rsidRPr="007723F5">
        <w:t xml:space="preserve">The same holds for the Roll variable. The univariate results for the Roll variable are </w:t>
      </w:r>
      <w:r w:rsidR="00A21C29" w:rsidRPr="007723F5">
        <w:t>very similar to the results for the Amihud variable</w:t>
      </w:r>
      <w:r w:rsidR="00565ED2" w:rsidRPr="007723F5">
        <w:t xml:space="preserve"> presented in</w:t>
      </w:r>
      <w:r w:rsidR="003A723E" w:rsidRPr="007723F5">
        <w:t xml:space="preserve"> </w:t>
      </w:r>
      <w:fldSimple w:instr=" REF _Ref379402466 \h  \* MERGEFORMAT ">
        <w:r w:rsidR="00B46DD6" w:rsidRPr="007723F5">
          <w:t xml:space="preserve">Figure </w:t>
        </w:r>
        <w:r w:rsidR="00B46DD6" w:rsidRPr="007723F5">
          <w:rPr>
            <w:noProof/>
          </w:rPr>
          <w:t>7</w:t>
        </w:r>
      </w:fldSimple>
      <w:r w:rsidR="00B46DD6" w:rsidRPr="007723F5">
        <w:t xml:space="preserve"> (a)</w:t>
      </w:r>
      <w:r w:rsidR="00565ED2" w:rsidRPr="007723F5">
        <w:t>.</w:t>
      </w:r>
      <w:r w:rsidR="005A2C39" w:rsidRPr="007723F5">
        <w:t xml:space="preserve"> </w:t>
      </w:r>
    </w:p>
    <w:p w:rsidR="007A4A30" w:rsidRPr="007723F5" w:rsidRDefault="007A4A30" w:rsidP="00801583">
      <w:pPr>
        <w:spacing w:line="360" w:lineRule="auto"/>
        <w:jc w:val="both"/>
      </w:pPr>
    </w:p>
    <w:p w:rsidR="00023D71" w:rsidRPr="007723F5" w:rsidRDefault="007A4A30" w:rsidP="00023D71">
      <w:pPr>
        <w:spacing w:line="360" w:lineRule="auto"/>
        <w:jc w:val="both"/>
      </w:pPr>
      <w:r w:rsidRPr="007723F5">
        <w:t>The next possible external risk driver is the</w:t>
      </w:r>
      <w:r w:rsidR="00AD6D88" w:rsidRPr="007723F5">
        <w:t xml:space="preserve"> change in g</w:t>
      </w:r>
      <w:r w:rsidR="00F83DFC" w:rsidRPr="007723F5">
        <w:t xml:space="preserve">ross domestic product </w:t>
      </w:r>
      <w:r w:rsidRPr="007723F5">
        <w:t xml:space="preserve">(GDP) </w:t>
      </w:r>
      <w:r w:rsidR="00F83DFC" w:rsidRPr="007723F5">
        <w:t>of the Netherlands</w:t>
      </w:r>
      <w:r w:rsidR="002F0F72" w:rsidRPr="007723F5">
        <w:t xml:space="preserve">, as presented in </w:t>
      </w:r>
      <w:fldSimple w:instr=" REF _Ref349083656 \h  \* MERGEFORMAT ">
        <w:r w:rsidR="00B46DD6" w:rsidRPr="007723F5">
          <w:t xml:space="preserve">Figure </w:t>
        </w:r>
        <w:r w:rsidR="00B46DD6" w:rsidRPr="007723F5">
          <w:rPr>
            <w:noProof/>
          </w:rPr>
          <w:t>1</w:t>
        </w:r>
      </w:fldSimple>
      <w:r w:rsidR="002F0F72" w:rsidRPr="007723F5">
        <w:t xml:space="preserve"> (b)</w:t>
      </w:r>
      <w:r w:rsidRPr="007723F5">
        <w:t xml:space="preserve">. </w:t>
      </w:r>
      <w:r w:rsidR="00536118" w:rsidRPr="007723F5">
        <w:t xml:space="preserve">It is expected that </w:t>
      </w:r>
      <w:r w:rsidR="00B87027" w:rsidRPr="007723F5">
        <w:t xml:space="preserve">the number of defaults increase when the changes in GDP are negative and that the number of defaults </w:t>
      </w:r>
      <w:r w:rsidR="00E649BE" w:rsidRPr="007723F5">
        <w:t>de</w:t>
      </w:r>
      <w:r w:rsidR="00B87027" w:rsidRPr="007723F5">
        <w:t>crease when the changes in GDP are positive.</w:t>
      </w:r>
      <w:r w:rsidR="003A723E" w:rsidRPr="007723F5">
        <w:t xml:space="preserve"> </w:t>
      </w:r>
      <w:fldSimple w:instr=" REF _Ref379402466 \h  \* MERGEFORMAT ">
        <w:r w:rsidR="00B46DD6" w:rsidRPr="007723F5">
          <w:t xml:space="preserve">Figure </w:t>
        </w:r>
        <w:r w:rsidR="00B46DD6" w:rsidRPr="007723F5">
          <w:rPr>
            <w:noProof/>
          </w:rPr>
          <w:t>7</w:t>
        </w:r>
      </w:fldSimple>
      <w:r w:rsidR="00B46DD6" w:rsidRPr="007723F5">
        <w:t xml:space="preserve"> (b) </w:t>
      </w:r>
      <w:r w:rsidR="00536118" w:rsidRPr="007723F5">
        <w:t xml:space="preserve">shows the results of the univariate analysis of </w:t>
      </w:r>
      <w:r w:rsidRPr="007723F5">
        <w:t>quarterly changes in the GDP</w:t>
      </w:r>
      <w:r w:rsidR="00536118" w:rsidRPr="007723F5">
        <w:t>. It can be observed from th</w:t>
      </w:r>
      <w:r w:rsidR="00E649BE" w:rsidRPr="007723F5">
        <w:t>e best fit line that there is an up</w:t>
      </w:r>
      <w:r w:rsidR="00536118" w:rsidRPr="007723F5">
        <w:t>ward trend in observed defaults. Howev</w:t>
      </w:r>
      <w:r w:rsidR="00DC4DEE" w:rsidRPr="007723F5">
        <w:t>er, this is not in line with</w:t>
      </w:r>
      <w:r w:rsidR="00536118" w:rsidRPr="007723F5">
        <w:t xml:space="preserve"> expectation</w:t>
      </w:r>
      <w:r w:rsidR="00DC4DEE" w:rsidRPr="007723F5">
        <w:t>s</w:t>
      </w:r>
      <w:r w:rsidR="00536118" w:rsidRPr="007723F5">
        <w:t>.</w:t>
      </w:r>
    </w:p>
    <w:p w:rsidR="007A4A30" w:rsidRPr="007723F5" w:rsidRDefault="007A4A30" w:rsidP="007A4A30">
      <w:pPr>
        <w:spacing w:line="360" w:lineRule="auto"/>
        <w:jc w:val="both"/>
        <w:rPr>
          <w:lang w:val="en-GB"/>
        </w:rPr>
      </w:pPr>
    </w:p>
    <w:p w:rsidR="00023D71" w:rsidRPr="007723F5" w:rsidRDefault="007A4A30" w:rsidP="007A4A30">
      <w:pPr>
        <w:spacing w:line="360" w:lineRule="auto"/>
        <w:jc w:val="both"/>
      </w:pPr>
      <w:r w:rsidRPr="007723F5">
        <w:rPr>
          <w:lang w:val="en-GB"/>
        </w:rPr>
        <w:t>The same observation holds for the external variable that represents the</w:t>
      </w:r>
      <w:r w:rsidR="00F83DFC" w:rsidRPr="007723F5">
        <w:t xml:space="preserve"> </w:t>
      </w:r>
      <w:r w:rsidR="00DC4DEE" w:rsidRPr="007723F5">
        <w:t>change in the</w:t>
      </w:r>
      <w:r w:rsidRPr="007723F5">
        <w:t xml:space="preserve"> </w:t>
      </w:r>
      <w:r w:rsidR="00F83DFC" w:rsidRPr="007723F5">
        <w:t>unemployment rate in the Netherlands</w:t>
      </w:r>
      <w:r w:rsidR="002F0F72" w:rsidRPr="007723F5">
        <w:t xml:space="preserve">, the development of which is shown in </w:t>
      </w:r>
      <w:fldSimple w:instr=" REF _Ref349084720 \h  \* MERGEFORMAT ">
        <w:r w:rsidR="00B46DD6" w:rsidRPr="007723F5">
          <w:t xml:space="preserve">Figure </w:t>
        </w:r>
        <w:r w:rsidR="00B46DD6" w:rsidRPr="007723F5">
          <w:rPr>
            <w:noProof/>
          </w:rPr>
          <w:t>2</w:t>
        </w:r>
      </w:fldSimple>
      <w:r w:rsidR="002F0F72" w:rsidRPr="007723F5">
        <w:t xml:space="preserve"> (a)</w:t>
      </w:r>
      <w:r w:rsidRPr="007723F5">
        <w:t>. Even though it</w:t>
      </w:r>
      <w:r w:rsidR="00B87027" w:rsidRPr="007723F5">
        <w:t xml:space="preserve"> is expected that the number of defaults increase when the changes in </w:t>
      </w:r>
      <w:r w:rsidR="00E649BE" w:rsidRPr="007723F5">
        <w:t>unemployment</w:t>
      </w:r>
      <w:r w:rsidR="00B87027" w:rsidRPr="007723F5">
        <w:t xml:space="preserve"> are </w:t>
      </w:r>
      <w:r w:rsidR="00E649BE" w:rsidRPr="007723F5">
        <w:t>posi</w:t>
      </w:r>
      <w:r w:rsidR="00B87027" w:rsidRPr="007723F5">
        <w:t xml:space="preserve">tive and that the number of defaults </w:t>
      </w:r>
      <w:r w:rsidR="00E649BE" w:rsidRPr="007723F5">
        <w:t>de</w:t>
      </w:r>
      <w:r w:rsidR="00B87027" w:rsidRPr="007723F5">
        <w:t xml:space="preserve">crease when the changes in </w:t>
      </w:r>
      <w:r w:rsidR="00E649BE" w:rsidRPr="007723F5">
        <w:t>unemployment</w:t>
      </w:r>
      <w:r w:rsidR="00B87027" w:rsidRPr="007723F5">
        <w:t xml:space="preserve"> are </w:t>
      </w:r>
      <w:r w:rsidR="00E649BE" w:rsidRPr="007723F5">
        <w:t>nega</w:t>
      </w:r>
      <w:r w:rsidR="00B87027" w:rsidRPr="007723F5">
        <w:t>tive</w:t>
      </w:r>
      <w:r w:rsidR="00EE172C" w:rsidRPr="007723F5">
        <w:t>, it can be observed in</w:t>
      </w:r>
      <w:r w:rsidR="003A723E" w:rsidRPr="007723F5">
        <w:t xml:space="preserve"> </w:t>
      </w:r>
      <w:fldSimple w:instr=" REF _Ref379402585 \h  \* MERGEFORMAT ">
        <w:r w:rsidR="00B46DD6" w:rsidRPr="007723F5">
          <w:t xml:space="preserve">Figure </w:t>
        </w:r>
        <w:r w:rsidR="00B46DD6" w:rsidRPr="007723F5">
          <w:rPr>
            <w:noProof/>
          </w:rPr>
          <w:t>8</w:t>
        </w:r>
      </w:fldSimple>
      <w:r w:rsidR="00FA09DF" w:rsidRPr="007723F5">
        <w:t xml:space="preserve"> </w:t>
      </w:r>
      <w:r w:rsidR="001C64E0" w:rsidRPr="007723F5">
        <w:t xml:space="preserve">(a) </w:t>
      </w:r>
      <w:r w:rsidR="00EE172C" w:rsidRPr="007723F5">
        <w:t>that</w:t>
      </w:r>
      <w:r w:rsidR="00B87027" w:rsidRPr="007723F5">
        <w:t xml:space="preserve"> the best fit line </w:t>
      </w:r>
      <w:r w:rsidR="00EE172C" w:rsidRPr="007723F5">
        <w:t>shows</w:t>
      </w:r>
      <w:r w:rsidR="00B87027" w:rsidRPr="007723F5">
        <w:t xml:space="preserve"> a downward trend</w:t>
      </w:r>
      <w:r w:rsidR="00EE172C" w:rsidRPr="007723F5">
        <w:t>.</w:t>
      </w:r>
    </w:p>
    <w:p w:rsidR="001A19BE" w:rsidRPr="007723F5" w:rsidRDefault="001A19BE" w:rsidP="001A19BE">
      <w:pPr>
        <w:spacing w:line="360" w:lineRule="auto"/>
        <w:jc w:val="center"/>
      </w:pPr>
      <w:r w:rsidRPr="007723F5">
        <w:rPr>
          <w:lang w:val="en-GB"/>
        </w:rPr>
        <w:t>[INSERT</w:t>
      </w:r>
      <w:r w:rsidR="003A723E" w:rsidRPr="007723F5">
        <w:rPr>
          <w:lang w:val="en-GB"/>
        </w:rPr>
        <w:t xml:space="preserve"> </w:t>
      </w:r>
      <w:fldSimple w:instr=" REF _Ref379402585 \h  \* MERGEFORMAT ">
        <w:r w:rsidR="00B46DD6" w:rsidRPr="007723F5">
          <w:t xml:space="preserve">Figure </w:t>
        </w:r>
        <w:r w:rsidR="00B46DD6" w:rsidRPr="007723F5">
          <w:rPr>
            <w:noProof/>
          </w:rPr>
          <w:t>8</w:t>
        </w:r>
      </w:fldSimple>
      <w:r w:rsidRPr="007723F5">
        <w:rPr>
          <w:lang w:val="en-GB"/>
        </w:rPr>
        <w:t xml:space="preserve"> ABOUT HERE]</w:t>
      </w:r>
    </w:p>
    <w:p w:rsidR="00EE172C" w:rsidRPr="007723F5" w:rsidRDefault="00EE172C" w:rsidP="00F83DFC">
      <w:pPr>
        <w:spacing w:line="360" w:lineRule="auto"/>
        <w:jc w:val="both"/>
      </w:pPr>
    </w:p>
    <w:p w:rsidR="00E649BE" w:rsidRPr="007723F5" w:rsidRDefault="00EE172C" w:rsidP="00F83DFC">
      <w:pPr>
        <w:spacing w:line="360" w:lineRule="auto"/>
        <w:jc w:val="both"/>
      </w:pPr>
      <w:r w:rsidRPr="007723F5">
        <w:t>The last possible external risk driver is the house price index in the Netherlands</w:t>
      </w:r>
      <w:r w:rsidR="002F0F72" w:rsidRPr="007723F5">
        <w:t xml:space="preserve">; see </w:t>
      </w:r>
      <w:fldSimple w:instr=" REF _Ref349084720 \h  \* MERGEFORMAT ">
        <w:r w:rsidR="00B46DD6" w:rsidRPr="007723F5">
          <w:t xml:space="preserve">Figure </w:t>
        </w:r>
        <w:r w:rsidR="00B46DD6" w:rsidRPr="007723F5">
          <w:rPr>
            <w:noProof/>
          </w:rPr>
          <w:t>2</w:t>
        </w:r>
      </w:fldSimple>
      <w:r w:rsidR="002F0F72" w:rsidRPr="007723F5">
        <w:t xml:space="preserve"> (b)</w:t>
      </w:r>
      <w:r w:rsidRPr="007723F5">
        <w:t xml:space="preserve">. </w:t>
      </w:r>
      <w:r w:rsidR="00B471CE" w:rsidRPr="007723F5">
        <w:t>T</w:t>
      </w:r>
      <w:r w:rsidR="00032830" w:rsidRPr="007723F5">
        <w:t>he house price index</w:t>
      </w:r>
      <w:r w:rsidR="00E649BE" w:rsidRPr="007723F5">
        <w:t xml:space="preserve"> is expected to be correlated to the number of defaults.</w:t>
      </w:r>
      <w:r w:rsidR="00032830" w:rsidRPr="007723F5">
        <w:t xml:space="preserve"> </w:t>
      </w:r>
      <w:r w:rsidR="00E649BE" w:rsidRPr="007723F5">
        <w:t xml:space="preserve">The results of the univariate analysis </w:t>
      </w:r>
      <w:r w:rsidR="00032830" w:rsidRPr="007723F5">
        <w:t>are presented in</w:t>
      </w:r>
      <w:r w:rsidR="001C64E0" w:rsidRPr="007723F5">
        <w:t xml:space="preserve"> </w:t>
      </w:r>
      <w:fldSimple w:instr=" REF _Ref379402585 \h  \* MERGEFORMAT ">
        <w:r w:rsidR="001C64E0" w:rsidRPr="007723F5">
          <w:t xml:space="preserve">Figure </w:t>
        </w:r>
        <w:r w:rsidR="001C64E0" w:rsidRPr="007723F5">
          <w:rPr>
            <w:noProof/>
          </w:rPr>
          <w:t>8</w:t>
        </w:r>
      </w:fldSimple>
      <w:r w:rsidR="001C64E0" w:rsidRPr="007723F5">
        <w:t xml:space="preserve"> (b)</w:t>
      </w:r>
      <w:r w:rsidR="00032830" w:rsidRPr="007723F5">
        <w:t xml:space="preserve">. The best fit line is for a big part horizontal, except for </w:t>
      </w:r>
      <w:r w:rsidR="00B471CE" w:rsidRPr="007723F5">
        <w:t xml:space="preserve">the </w:t>
      </w:r>
      <w:r w:rsidR="00032830" w:rsidRPr="007723F5">
        <w:t>slightly higher le</w:t>
      </w:r>
      <w:r w:rsidR="00B471CE" w:rsidRPr="007723F5">
        <w:t xml:space="preserve">vel at the low </w:t>
      </w:r>
      <w:r w:rsidRPr="007723F5">
        <w:t>index</w:t>
      </w:r>
      <w:r w:rsidR="00B471CE" w:rsidRPr="007723F5">
        <w:t xml:space="preserve"> values. </w:t>
      </w:r>
      <w:r w:rsidRPr="007723F5">
        <w:t xml:space="preserve">Here, the </w:t>
      </w:r>
      <w:r w:rsidR="00032830" w:rsidRPr="007723F5">
        <w:t>R</w:t>
      </w:r>
      <w:r w:rsidR="00032830" w:rsidRPr="007723F5">
        <w:rPr>
          <w:vertAlign w:val="superscript"/>
        </w:rPr>
        <w:t>2</w:t>
      </w:r>
      <w:r w:rsidR="00032830" w:rsidRPr="007723F5">
        <w:t xml:space="preserve"> is only 7%</w:t>
      </w:r>
      <w:r w:rsidRPr="007723F5">
        <w:t xml:space="preserve">. </w:t>
      </w:r>
    </w:p>
    <w:p w:rsidR="00EE172C" w:rsidRPr="007723F5" w:rsidRDefault="00EE172C" w:rsidP="00EF15D1">
      <w:pPr>
        <w:spacing w:line="360" w:lineRule="auto"/>
        <w:jc w:val="both"/>
      </w:pPr>
    </w:p>
    <w:p w:rsidR="00533BBB" w:rsidRPr="007723F5" w:rsidRDefault="00EE172C" w:rsidP="00BA4019">
      <w:pPr>
        <w:spacing w:line="360" w:lineRule="auto"/>
        <w:jc w:val="both"/>
      </w:pPr>
      <w:r w:rsidRPr="007723F5">
        <w:t xml:space="preserve">The conclusion from the univariate analysis is that several internal risk drivers show strong predictive power. </w:t>
      </w:r>
      <w:r w:rsidR="00BA4019" w:rsidRPr="007723F5">
        <w:t xml:space="preserve">They are selected to be included in the multivariate analysis, the next step of the model development. In contrast, the external risk drivers have not shown sufficient predictive power in the univariate analysis. </w:t>
      </w:r>
      <w:r w:rsidR="00FE02CF" w:rsidRPr="007723F5">
        <w:t>In line with the standard multivariate regression approach</w:t>
      </w:r>
      <w:r w:rsidR="00BA4019" w:rsidRPr="007723F5">
        <w:t xml:space="preserve">, they are excluded </w:t>
      </w:r>
      <w:r w:rsidR="0014601B" w:rsidRPr="007723F5">
        <w:t>from</w:t>
      </w:r>
      <w:r w:rsidR="00BA4019" w:rsidRPr="007723F5">
        <w:t xml:space="preserve"> the multivariate analysis.</w:t>
      </w:r>
      <w:r w:rsidRPr="007723F5">
        <w:t xml:space="preserve">  </w:t>
      </w:r>
      <w:bookmarkStart w:id="15" w:name="_Ref369429281"/>
      <w:bookmarkStart w:id="16" w:name="_Toc371788263"/>
    </w:p>
    <w:p w:rsidR="00533BBB" w:rsidRPr="007723F5" w:rsidRDefault="00533BBB" w:rsidP="00533BBB">
      <w:pPr>
        <w:spacing w:line="360" w:lineRule="auto"/>
        <w:jc w:val="both"/>
      </w:pPr>
    </w:p>
    <w:p w:rsidR="00994203" w:rsidRPr="007723F5" w:rsidRDefault="00BA4019" w:rsidP="00994203">
      <w:pPr>
        <w:pStyle w:val="Normal1"/>
        <w:spacing w:line="360" w:lineRule="auto"/>
        <w:ind w:firstLine="0"/>
        <w:jc w:val="both"/>
        <w:rPr>
          <w:iCs/>
        </w:rPr>
      </w:pPr>
      <w:r w:rsidRPr="007723F5">
        <w:rPr>
          <w:lang w:val="en-GB"/>
        </w:rPr>
        <w:t xml:space="preserve">In the multivariate analysis, a logistic regression is performed, which results in the parameter estimates of the logistic function (as presented in the section on PD modelling). </w:t>
      </w:r>
      <w:bookmarkEnd w:id="15"/>
      <w:bookmarkEnd w:id="16"/>
      <w:r w:rsidRPr="007723F5">
        <w:rPr>
          <w:lang w:val="en-GB"/>
        </w:rPr>
        <w:t xml:space="preserve">Each risk driver obtains a parameter estimate. </w:t>
      </w:r>
      <w:r w:rsidR="00703AFC" w:rsidRPr="007723F5">
        <w:t xml:space="preserve">The parameter estimates hold for all customers. However, in combination with the customer-specific values of the risk drivers, a </w:t>
      </w:r>
      <w:r w:rsidRPr="007723F5">
        <w:t xml:space="preserve">different </w:t>
      </w:r>
      <w:r w:rsidR="00703AFC" w:rsidRPr="007723F5">
        <w:t xml:space="preserve">PD score </w:t>
      </w:r>
      <w:r w:rsidRPr="007723F5">
        <w:t>is obtained for</w:t>
      </w:r>
      <w:r w:rsidR="00703AFC" w:rsidRPr="007723F5">
        <w:t xml:space="preserve"> each customer separately</w:t>
      </w:r>
      <w:r w:rsidRPr="007723F5">
        <w:t>.</w:t>
      </w:r>
      <w:r w:rsidR="00A85A3D" w:rsidRPr="007723F5">
        <w:t xml:space="preserve"> This PD score is not yet the final PD value. </w:t>
      </w:r>
      <w:r w:rsidR="0039699B" w:rsidRPr="007723F5">
        <w:lastRenderedPageBreak/>
        <w:t>A</w:t>
      </w:r>
      <w:r w:rsidR="00A85A3D" w:rsidRPr="007723F5">
        <w:t xml:space="preserve">ll PD scores </w:t>
      </w:r>
      <w:r w:rsidR="0039699B" w:rsidRPr="007723F5">
        <w:t xml:space="preserve">are </w:t>
      </w:r>
      <w:r w:rsidR="00A85A3D" w:rsidRPr="007723F5">
        <w:t>ca</w:t>
      </w:r>
      <w:r w:rsidR="004C5325" w:rsidRPr="007723F5">
        <w:t xml:space="preserve">librated </w:t>
      </w:r>
      <w:r w:rsidR="0039699B" w:rsidRPr="007723F5">
        <w:t>to the</w:t>
      </w:r>
      <w:r w:rsidR="00703AFC" w:rsidRPr="007723F5">
        <w:rPr>
          <w:iCs/>
        </w:rPr>
        <w:t xml:space="preserve"> average long-term default percentage</w:t>
      </w:r>
      <w:r w:rsidR="001E5A93" w:rsidRPr="007723F5">
        <w:rPr>
          <w:iCs/>
        </w:rPr>
        <w:t xml:space="preserve"> </w:t>
      </w:r>
      <w:r w:rsidR="00703AFC" w:rsidRPr="007723F5">
        <w:rPr>
          <w:iCs/>
        </w:rPr>
        <w:t>over the full development period</w:t>
      </w:r>
      <w:r w:rsidR="0039699B" w:rsidRPr="007723F5">
        <w:rPr>
          <w:iCs/>
        </w:rPr>
        <w:t xml:space="preserve"> (i.e. through-the-cycle)</w:t>
      </w:r>
      <w:r w:rsidR="00703AFC" w:rsidRPr="007723F5">
        <w:rPr>
          <w:iCs/>
        </w:rPr>
        <w:t xml:space="preserve">. </w:t>
      </w:r>
    </w:p>
    <w:p w:rsidR="00994203" w:rsidRPr="007723F5" w:rsidRDefault="00994203" w:rsidP="00994203">
      <w:pPr>
        <w:pStyle w:val="Normal1"/>
        <w:spacing w:line="360" w:lineRule="auto"/>
        <w:ind w:firstLine="0"/>
        <w:jc w:val="both"/>
        <w:rPr>
          <w:iCs/>
        </w:rPr>
      </w:pPr>
    </w:p>
    <w:p w:rsidR="00994203" w:rsidRPr="007723F5" w:rsidRDefault="00B1133A" w:rsidP="00994203">
      <w:pPr>
        <w:pStyle w:val="Normal1"/>
        <w:spacing w:line="360" w:lineRule="auto"/>
        <w:ind w:firstLine="0"/>
        <w:jc w:val="both"/>
      </w:pPr>
      <w:r w:rsidRPr="007723F5">
        <w:rPr>
          <w:iCs/>
        </w:rPr>
        <w:t xml:space="preserve">Finally, </w:t>
      </w:r>
      <w:r w:rsidRPr="007723F5">
        <w:t xml:space="preserve">the performance of the new model has been tested for discriminatory power, robustness, accuracy and concentrations in the PD score distribution. </w:t>
      </w:r>
      <w:r w:rsidR="00FE02CF" w:rsidRPr="007723F5">
        <w:t xml:space="preserve">Details of the tests are out of scope of this paper, but the steps taken are summarized as follows: </w:t>
      </w:r>
      <w:r w:rsidRPr="007723F5">
        <w:t>In order to make use of the most recent data, which covers the current financial crisis, out-of-time (OOT) validation was not possible. Instead, an out-of-sample (OOS) validation and an in-sample bootstrapping test have been performed to test the robustness of the model.</w:t>
      </w:r>
      <w:r w:rsidR="00772F57" w:rsidRPr="007723F5">
        <w:t xml:space="preserve"> </w:t>
      </w:r>
      <w:r w:rsidR="00994203" w:rsidRPr="007723F5">
        <w:rPr>
          <w:szCs w:val="20"/>
          <w:lang w:val="en-GB"/>
        </w:rPr>
        <w:t>The dataset has been split into a development sample and an out-of-sample (OOS) testing sample. Normally, a split of about 75% - 25% is used. It must be proven that the samples are representative to the overall dataset, by comparing the statistics of the most important variables.</w:t>
      </w:r>
      <w:r w:rsidR="005D6920" w:rsidRPr="007723F5">
        <w:rPr>
          <w:szCs w:val="20"/>
          <w:lang w:val="en-GB"/>
        </w:rPr>
        <w:t xml:space="preserve"> </w:t>
      </w:r>
      <w:r w:rsidR="00994203" w:rsidRPr="007723F5">
        <w:t>The robustness of the model is tested by a bootstrap analysis: a large number of samples (100 runs) are drawn randomly from the dataset. The logistic regression procedure, with the model risk drivers as fixed input variables, is applied to every sample to determine the estimates and performance of the test models. All resulting estimates are compared to check the variation. If the standard deviation between all estimates and between all PD scores is below a certain threshold, then the variables are stable and significant. This indicates that the model is robust.</w:t>
      </w:r>
    </w:p>
    <w:p w:rsidR="00994203" w:rsidRPr="007723F5" w:rsidRDefault="00994203" w:rsidP="00B1133A">
      <w:pPr>
        <w:pStyle w:val="Normal1"/>
        <w:spacing w:line="360" w:lineRule="auto"/>
        <w:ind w:firstLine="0"/>
        <w:jc w:val="both"/>
      </w:pPr>
    </w:p>
    <w:p w:rsidR="00B1133A" w:rsidRPr="007723F5" w:rsidRDefault="00772F57" w:rsidP="00B1133A">
      <w:pPr>
        <w:pStyle w:val="Normal1"/>
        <w:spacing w:line="360" w:lineRule="auto"/>
        <w:ind w:firstLine="0"/>
        <w:jc w:val="both"/>
      </w:pPr>
      <w:r w:rsidRPr="007723F5">
        <w:t xml:space="preserve">The final model </w:t>
      </w:r>
      <w:r w:rsidR="006F07B7" w:rsidRPr="007723F5">
        <w:t xml:space="preserve">based on internal risk drivers </w:t>
      </w:r>
      <w:r w:rsidRPr="007723F5">
        <w:t>has been approved by the Dutch banking regulator to be compliant with the Basel II guidelines for advanced internal rating-based models.</w:t>
      </w:r>
    </w:p>
    <w:p w:rsidR="00703AFC" w:rsidRPr="007723F5" w:rsidRDefault="00703AFC" w:rsidP="00703AFC">
      <w:pPr>
        <w:pStyle w:val="Justified"/>
        <w:spacing w:line="360" w:lineRule="auto"/>
        <w:rPr>
          <w:rFonts w:ascii="Times New Roman" w:eastAsia="MS Mincho" w:hAnsi="Times New Roman"/>
          <w:iCs/>
          <w:szCs w:val="24"/>
          <w:lang w:val="en-AU" w:eastAsia="ja-JP"/>
        </w:rPr>
      </w:pPr>
    </w:p>
    <w:p w:rsidR="0039699B" w:rsidRPr="007723F5" w:rsidRDefault="00D45FEB" w:rsidP="0039699B">
      <w:pPr>
        <w:pStyle w:val="1"/>
        <w:numPr>
          <w:ilvl w:val="0"/>
          <w:numId w:val="0"/>
        </w:numPr>
      </w:pPr>
      <w:r w:rsidRPr="007723F5">
        <w:t xml:space="preserve">6 </w:t>
      </w:r>
      <w:r w:rsidR="0039699B" w:rsidRPr="007723F5">
        <w:t>Results: impact of the crisis on PD</w:t>
      </w:r>
    </w:p>
    <w:p w:rsidR="004C5325" w:rsidRPr="007723F5" w:rsidRDefault="0039699B" w:rsidP="00991543">
      <w:pPr>
        <w:pStyle w:val="Justified"/>
        <w:spacing w:line="360" w:lineRule="auto"/>
        <w:rPr>
          <w:rFonts w:ascii="Times New Roman" w:eastAsia="MS Mincho" w:hAnsi="Times New Roman"/>
          <w:iCs/>
          <w:szCs w:val="24"/>
          <w:lang w:val="en-AU" w:eastAsia="ja-JP"/>
        </w:rPr>
      </w:pPr>
      <w:r w:rsidRPr="007723F5">
        <w:rPr>
          <w:rFonts w:ascii="Times New Roman" w:eastAsia="MS Mincho" w:hAnsi="Times New Roman"/>
          <w:szCs w:val="24"/>
        </w:rPr>
        <w:t>To analyse the performance of the model</w:t>
      </w:r>
      <w:r w:rsidR="00B1133A" w:rsidRPr="007723F5">
        <w:rPr>
          <w:rFonts w:ascii="Times New Roman" w:eastAsia="MS Mincho" w:hAnsi="Times New Roman"/>
          <w:szCs w:val="24"/>
        </w:rPr>
        <w:t xml:space="preserve"> and the impact of the crisis on the model</w:t>
      </w:r>
      <w:r w:rsidRPr="007723F5">
        <w:rPr>
          <w:rFonts w:ascii="Times New Roman" w:eastAsia="MS Mincho" w:hAnsi="Times New Roman"/>
          <w:szCs w:val="24"/>
        </w:rPr>
        <w:t xml:space="preserve">, </w:t>
      </w:r>
      <w:r w:rsidR="00B1133A" w:rsidRPr="007723F5">
        <w:rPr>
          <w:rFonts w:ascii="Times New Roman" w:eastAsia="MS Mincho" w:hAnsi="Times New Roman"/>
          <w:szCs w:val="24"/>
        </w:rPr>
        <w:t>PD scores have been calculated based on</w:t>
      </w:r>
      <w:r w:rsidRPr="007723F5">
        <w:rPr>
          <w:rFonts w:ascii="Times New Roman" w:eastAsia="MS Mincho" w:hAnsi="Times New Roman"/>
          <w:szCs w:val="24"/>
        </w:rPr>
        <w:t xml:space="preserve"> historical data. </w:t>
      </w:r>
      <w:r w:rsidR="002335AD" w:rsidRPr="007723F5">
        <w:rPr>
          <w:rFonts w:ascii="Times New Roman" w:eastAsia="MS Mincho" w:hAnsi="Times New Roman"/>
          <w:szCs w:val="24"/>
        </w:rPr>
        <w:t>This yields the PD values the customers would have had in the past, if the model was already applied at that time</w:t>
      </w:r>
      <w:r w:rsidR="00B1133A" w:rsidRPr="007723F5">
        <w:rPr>
          <w:rFonts w:ascii="Times New Roman" w:eastAsia="MS Mincho" w:hAnsi="Times New Roman"/>
          <w:szCs w:val="24"/>
        </w:rPr>
        <w:t>, based on the observed values of the risk drivers of all customers individually</w:t>
      </w:r>
      <w:r w:rsidR="002335AD" w:rsidRPr="007723F5">
        <w:rPr>
          <w:rFonts w:ascii="Times New Roman" w:eastAsia="MS Mincho" w:hAnsi="Times New Roman"/>
          <w:szCs w:val="24"/>
        </w:rPr>
        <w:t>.</w:t>
      </w:r>
      <w:r w:rsidR="00A85A3D" w:rsidRPr="007723F5">
        <w:rPr>
          <w:rFonts w:ascii="Times New Roman" w:eastAsia="MS Mincho" w:hAnsi="Times New Roman"/>
          <w:szCs w:val="24"/>
        </w:rPr>
        <w:t xml:space="preserve"> </w:t>
      </w:r>
    </w:p>
    <w:p w:rsidR="00991543" w:rsidRPr="007723F5" w:rsidRDefault="00991543" w:rsidP="00683348">
      <w:pPr>
        <w:spacing w:line="360" w:lineRule="auto"/>
        <w:jc w:val="both"/>
      </w:pPr>
    </w:p>
    <w:p w:rsidR="004F0EA9" w:rsidRPr="007723F5" w:rsidRDefault="008B1C7B" w:rsidP="00A86FB3">
      <w:pPr>
        <w:spacing w:line="360" w:lineRule="auto"/>
        <w:jc w:val="both"/>
        <w:rPr>
          <w:lang w:val="en-GB"/>
        </w:rPr>
      </w:pPr>
      <w:r w:rsidRPr="007723F5">
        <w:rPr>
          <w:lang w:val="en-GB"/>
        </w:rPr>
        <w:t xml:space="preserve">Ultimately, data from the recent financial crisis is included in the dataset, which enables to analyze the </w:t>
      </w:r>
      <w:r w:rsidR="00F77709" w:rsidRPr="007723F5">
        <w:rPr>
          <w:lang w:val="en-GB"/>
        </w:rPr>
        <w:t>impact of the financial crisis on the PD model for Dutch mortgages.</w:t>
      </w:r>
      <w:r w:rsidR="0054356A" w:rsidRPr="007723F5">
        <w:rPr>
          <w:lang w:val="en-GB"/>
        </w:rPr>
        <w:t xml:space="preserve"> </w:t>
      </w:r>
      <w:r w:rsidRPr="007723F5">
        <w:rPr>
          <w:lang w:val="en-GB"/>
        </w:rPr>
        <w:t xml:space="preserve">There are several reasons to expect that the </w:t>
      </w:r>
      <w:r w:rsidR="0054356A" w:rsidRPr="007723F5">
        <w:rPr>
          <w:lang w:val="en-GB"/>
        </w:rPr>
        <w:t xml:space="preserve">crisis had a worsening </w:t>
      </w:r>
      <w:r w:rsidRPr="007723F5">
        <w:rPr>
          <w:lang w:val="en-GB"/>
        </w:rPr>
        <w:t xml:space="preserve">impact </w:t>
      </w:r>
      <w:r w:rsidR="0054356A" w:rsidRPr="007723F5">
        <w:rPr>
          <w:lang w:val="en-GB"/>
        </w:rPr>
        <w:t>on observed defaults</w:t>
      </w:r>
      <w:r w:rsidRPr="007723F5">
        <w:rPr>
          <w:lang w:val="en-GB"/>
        </w:rPr>
        <w:t xml:space="preserve">. </w:t>
      </w:r>
      <w:r w:rsidRPr="007723F5">
        <w:rPr>
          <w:lang w:val="en-GB"/>
        </w:rPr>
        <w:lastRenderedPageBreak/>
        <w:t xml:space="preserve">Customers have </w:t>
      </w:r>
      <w:r w:rsidR="00F77709" w:rsidRPr="007723F5">
        <w:rPr>
          <w:lang w:val="en-GB"/>
        </w:rPr>
        <w:t>fallen behind with</w:t>
      </w:r>
      <w:r w:rsidRPr="007723F5">
        <w:rPr>
          <w:lang w:val="en-GB"/>
        </w:rPr>
        <w:t xml:space="preserve"> payment</w:t>
      </w:r>
      <w:r w:rsidR="00F77709" w:rsidRPr="007723F5">
        <w:rPr>
          <w:lang w:val="en-GB"/>
        </w:rPr>
        <w:t>s</w:t>
      </w:r>
      <w:r w:rsidRPr="007723F5">
        <w:rPr>
          <w:lang w:val="en-GB"/>
        </w:rPr>
        <w:t xml:space="preserve"> due to worsening market factors such as increasing unemployment</w:t>
      </w:r>
      <w:r w:rsidR="003164A2" w:rsidRPr="007723F5">
        <w:rPr>
          <w:lang w:val="en-GB"/>
        </w:rPr>
        <w:t>,</w:t>
      </w:r>
      <w:r w:rsidRPr="007723F5">
        <w:rPr>
          <w:lang w:val="en-GB"/>
        </w:rPr>
        <w:t xml:space="preserve"> </w:t>
      </w:r>
      <w:r w:rsidR="003164A2" w:rsidRPr="007723F5">
        <w:rPr>
          <w:lang w:val="en-GB"/>
        </w:rPr>
        <w:t>d</w:t>
      </w:r>
      <w:r w:rsidRPr="007723F5">
        <w:rPr>
          <w:lang w:val="en-GB"/>
        </w:rPr>
        <w:t>eclining house prices and tightening</w:t>
      </w:r>
      <w:r w:rsidR="0054356A" w:rsidRPr="007723F5">
        <w:rPr>
          <w:lang w:val="en-GB"/>
        </w:rPr>
        <w:t xml:space="preserve"> borrowing practices. </w:t>
      </w:r>
      <w:r w:rsidR="003164A2" w:rsidRPr="007723F5">
        <w:rPr>
          <w:lang w:val="en-GB"/>
        </w:rPr>
        <w:t>However, the realized defaults observed in the Dutch mortgage portfolio have shown a downward trend during the crisis. This downward trend is clearly visible in</w:t>
      </w:r>
      <w:r w:rsidR="003A723E" w:rsidRPr="007723F5">
        <w:rPr>
          <w:lang w:val="en-GB"/>
        </w:rPr>
        <w:t xml:space="preserve"> </w:t>
      </w:r>
      <w:fldSimple w:instr=" REF _Ref379402659 \h  \* MERGEFORMAT ">
        <w:r w:rsidR="00B46DD6" w:rsidRPr="007723F5">
          <w:t xml:space="preserve">Figure </w:t>
        </w:r>
        <w:r w:rsidR="00B46DD6" w:rsidRPr="007723F5">
          <w:rPr>
            <w:noProof/>
          </w:rPr>
          <w:t>9</w:t>
        </w:r>
      </w:fldSimple>
      <w:r w:rsidR="0054356A" w:rsidRPr="007723F5">
        <w:t>, starting at the beginning of 2</w:t>
      </w:r>
      <w:r w:rsidR="004F0EA9" w:rsidRPr="007723F5">
        <w:t xml:space="preserve">008 and decreasing </w:t>
      </w:r>
      <w:r w:rsidR="00403226" w:rsidRPr="007723F5">
        <w:t>at least until the second half of 2010</w:t>
      </w:r>
      <w:r w:rsidR="003164A2" w:rsidRPr="007723F5">
        <w:rPr>
          <w:lang w:val="en-GB"/>
        </w:rPr>
        <w:t>.</w:t>
      </w:r>
      <w:r w:rsidR="004F0EA9" w:rsidRPr="007723F5">
        <w:rPr>
          <w:lang w:val="en-GB"/>
        </w:rPr>
        <w:t xml:space="preserve"> Note that the period of observed defaults</w:t>
      </w:r>
      <w:r w:rsidR="00403226" w:rsidRPr="007723F5">
        <w:rPr>
          <w:lang w:val="en-GB"/>
        </w:rPr>
        <w:t>,</w:t>
      </w:r>
      <w:r w:rsidR="004F0EA9" w:rsidRPr="007723F5">
        <w:rPr>
          <w:lang w:val="en-GB"/>
        </w:rPr>
        <w:t xml:space="preserve"> </w:t>
      </w:r>
      <w:r w:rsidR="00403226" w:rsidRPr="007723F5">
        <w:rPr>
          <w:lang w:val="en-GB"/>
        </w:rPr>
        <w:t xml:space="preserve">used to build the model, </w:t>
      </w:r>
      <w:r w:rsidR="004F0EA9" w:rsidRPr="007723F5">
        <w:rPr>
          <w:lang w:val="en-GB"/>
        </w:rPr>
        <w:t>ends at the end of 201</w:t>
      </w:r>
      <w:r w:rsidR="00C62305" w:rsidRPr="007723F5">
        <w:rPr>
          <w:lang w:val="en-GB"/>
        </w:rPr>
        <w:t>1</w:t>
      </w:r>
      <w:r w:rsidR="004F0EA9" w:rsidRPr="007723F5">
        <w:rPr>
          <w:lang w:val="en-GB"/>
        </w:rPr>
        <w:t>, because the last period of 12 months of the dataset is needed for the so-called performance period. The performance period is the period needed to verify whether the customer went into default or not (henc</w:t>
      </w:r>
      <w:r w:rsidR="00775F8C" w:rsidRPr="007723F5">
        <w:rPr>
          <w:lang w:val="en-GB"/>
        </w:rPr>
        <w:t>e also referred to as observed i</w:t>
      </w:r>
      <w:r w:rsidR="004F0EA9" w:rsidRPr="007723F5">
        <w:rPr>
          <w:lang w:val="en-GB"/>
        </w:rPr>
        <w:t>nto-defaults).</w:t>
      </w:r>
      <w:r w:rsidR="00403226" w:rsidRPr="007723F5">
        <w:rPr>
          <w:lang w:val="en-GB"/>
        </w:rPr>
        <w:t xml:space="preserve"> The last four observed into-defaults (in red) have been added after the model development, namely when more recent data was available.</w:t>
      </w:r>
      <w:r w:rsidR="004F0EA9" w:rsidRPr="007723F5">
        <w:rPr>
          <w:lang w:val="en-GB"/>
        </w:rPr>
        <w:t xml:space="preserve"> </w:t>
      </w:r>
    </w:p>
    <w:p w:rsidR="004F0EA9" w:rsidRPr="007723F5" w:rsidRDefault="004F0EA9" w:rsidP="00A86FB3">
      <w:pPr>
        <w:spacing w:line="360" w:lineRule="auto"/>
        <w:jc w:val="both"/>
        <w:rPr>
          <w:lang w:val="en-GB"/>
        </w:rPr>
      </w:pPr>
    </w:p>
    <w:p w:rsidR="00FE02CF" w:rsidRPr="007723F5" w:rsidRDefault="00FE02CF" w:rsidP="00FE02CF">
      <w:pPr>
        <w:spacing w:line="360" w:lineRule="auto"/>
        <w:jc w:val="center"/>
        <w:rPr>
          <w:lang w:val="en-GB"/>
        </w:rPr>
      </w:pPr>
      <w:r w:rsidRPr="007723F5">
        <w:rPr>
          <w:lang w:val="en-GB"/>
        </w:rPr>
        <w:t xml:space="preserve">[INSERT </w:t>
      </w:r>
      <w:fldSimple w:instr=" REF _Ref379402659 \h  \* MERGEFORMAT ">
        <w:r w:rsidR="00B46DD6" w:rsidRPr="007723F5">
          <w:t xml:space="preserve">Figure </w:t>
        </w:r>
        <w:r w:rsidR="00B46DD6" w:rsidRPr="007723F5">
          <w:rPr>
            <w:noProof/>
          </w:rPr>
          <w:t>9</w:t>
        </w:r>
      </w:fldSimple>
      <w:r w:rsidRPr="007723F5">
        <w:rPr>
          <w:lang w:val="en-GB"/>
        </w:rPr>
        <w:t xml:space="preserve"> ABOUT HERE]</w:t>
      </w:r>
    </w:p>
    <w:p w:rsidR="00FE02CF" w:rsidRPr="007723F5" w:rsidRDefault="00FE02CF" w:rsidP="00A86FB3">
      <w:pPr>
        <w:spacing w:line="360" w:lineRule="auto"/>
        <w:jc w:val="both"/>
        <w:rPr>
          <w:lang w:val="en-GB"/>
        </w:rPr>
      </w:pPr>
    </w:p>
    <w:p w:rsidR="00D21415" w:rsidRPr="007723F5" w:rsidRDefault="004F0EA9" w:rsidP="00A86FB3">
      <w:pPr>
        <w:spacing w:line="360" w:lineRule="auto"/>
        <w:jc w:val="both"/>
        <w:rPr>
          <w:lang w:val="en-GB"/>
        </w:rPr>
      </w:pPr>
      <w:r w:rsidRPr="007723F5">
        <w:rPr>
          <w:lang w:val="en-GB"/>
        </w:rPr>
        <w:t>The downward trend in observed into-defaults</w:t>
      </w:r>
      <w:r w:rsidR="003164A2" w:rsidRPr="007723F5">
        <w:rPr>
          <w:lang w:val="en-GB"/>
        </w:rPr>
        <w:t xml:space="preserve"> is explained by the intensification of the </w:t>
      </w:r>
      <w:r w:rsidRPr="007723F5">
        <w:rPr>
          <w:lang w:val="en-GB"/>
        </w:rPr>
        <w:t>arrears and problem loan management process</w:t>
      </w:r>
      <w:r w:rsidR="003164A2" w:rsidRPr="007723F5">
        <w:rPr>
          <w:lang w:val="en-GB"/>
        </w:rPr>
        <w:t xml:space="preserve"> </w:t>
      </w:r>
      <w:r w:rsidRPr="007723F5">
        <w:rPr>
          <w:lang w:val="en-GB"/>
        </w:rPr>
        <w:t>and further</w:t>
      </w:r>
      <w:r w:rsidR="003164A2" w:rsidRPr="007723F5">
        <w:rPr>
          <w:lang w:val="en-GB"/>
        </w:rPr>
        <w:t xml:space="preserve"> automation of the collection process. These are all process improvements</w:t>
      </w:r>
      <w:r w:rsidR="00304349" w:rsidRPr="007723F5">
        <w:rPr>
          <w:lang w:val="en-GB"/>
        </w:rPr>
        <w:t xml:space="preserve"> to support customers in preventing defaults</w:t>
      </w:r>
      <w:r w:rsidR="003164A2" w:rsidRPr="007723F5">
        <w:rPr>
          <w:lang w:val="en-GB"/>
        </w:rPr>
        <w:t>, which have led to a decrease in payment arrears and, consequently, the number of defaults.</w:t>
      </w:r>
    </w:p>
    <w:p w:rsidR="004F0EA9" w:rsidRPr="007723F5" w:rsidRDefault="004F0EA9" w:rsidP="00A86FB3">
      <w:pPr>
        <w:spacing w:line="360" w:lineRule="auto"/>
        <w:jc w:val="both"/>
        <w:rPr>
          <w:lang w:val="en-GB"/>
        </w:rPr>
      </w:pPr>
    </w:p>
    <w:p w:rsidR="00621A8D" w:rsidRPr="007723F5" w:rsidRDefault="004F0EA9" w:rsidP="00A86FB3">
      <w:pPr>
        <w:spacing w:line="360" w:lineRule="auto"/>
        <w:jc w:val="both"/>
        <w:rPr>
          <w:lang w:val="en-GB"/>
        </w:rPr>
      </w:pPr>
      <w:r w:rsidRPr="007723F5">
        <w:rPr>
          <w:lang w:val="en-GB"/>
        </w:rPr>
        <w:t xml:space="preserve">All </w:t>
      </w:r>
      <w:r w:rsidR="00621A8D" w:rsidRPr="007723F5">
        <w:rPr>
          <w:lang w:val="en-GB"/>
        </w:rPr>
        <w:t xml:space="preserve">risk drivers </w:t>
      </w:r>
      <w:r w:rsidRPr="007723F5">
        <w:rPr>
          <w:lang w:val="en-GB"/>
        </w:rPr>
        <w:t xml:space="preserve">in the model </w:t>
      </w:r>
      <w:r w:rsidR="00621A8D" w:rsidRPr="007723F5">
        <w:rPr>
          <w:lang w:val="en-GB"/>
        </w:rPr>
        <w:t>are internal risk drivers, meaning that they are related to the characteristics of the customer</w:t>
      </w:r>
      <w:r w:rsidR="00775F8C" w:rsidRPr="007723F5">
        <w:rPr>
          <w:lang w:val="en-GB"/>
        </w:rPr>
        <w:t>s and their contracts</w:t>
      </w:r>
      <w:r w:rsidR="00621A8D" w:rsidRPr="007723F5">
        <w:rPr>
          <w:lang w:val="en-GB"/>
        </w:rPr>
        <w:t xml:space="preserve">. None of these drivers has a direct link to the crisis. One could argue that the crisis has an indirect impact on </w:t>
      </w:r>
      <w:r w:rsidRPr="007723F5">
        <w:rPr>
          <w:lang w:val="en-GB"/>
        </w:rPr>
        <w:t xml:space="preserve">some of the internal risk drivers, such as </w:t>
      </w:r>
      <w:r w:rsidR="00621A8D" w:rsidRPr="007723F5">
        <w:rPr>
          <w:lang w:val="en-GB"/>
        </w:rPr>
        <w:t>the current loan-to-</w:t>
      </w:r>
      <w:r w:rsidRPr="007723F5">
        <w:rPr>
          <w:lang w:val="en-GB"/>
        </w:rPr>
        <w:t>value</w:t>
      </w:r>
      <w:r w:rsidR="00621A8D" w:rsidRPr="007723F5">
        <w:rPr>
          <w:lang w:val="en-GB"/>
        </w:rPr>
        <w:t xml:space="preserve">, because </w:t>
      </w:r>
      <w:r w:rsidRPr="007723F5">
        <w:rPr>
          <w:lang w:val="en-GB"/>
        </w:rPr>
        <w:t>decreasing</w:t>
      </w:r>
      <w:r w:rsidR="00621A8D" w:rsidRPr="007723F5">
        <w:rPr>
          <w:lang w:val="en-GB"/>
        </w:rPr>
        <w:t xml:space="preserve"> house prices lead to higher LTVs and therefore higher default risk. However, this relation turned out to be a weak one, based on the development data. The external drivers that have been investigated </w:t>
      </w:r>
      <w:r w:rsidR="000C1FF1" w:rsidRPr="007723F5">
        <w:rPr>
          <w:lang w:val="en-GB"/>
        </w:rPr>
        <w:t>(i.e.</w:t>
      </w:r>
      <w:r w:rsidR="00621A8D" w:rsidRPr="007723F5">
        <w:rPr>
          <w:lang w:val="en-GB"/>
        </w:rPr>
        <w:t xml:space="preserve"> market illiquidity, GDP, unemployment and house price index</w:t>
      </w:r>
      <w:r w:rsidR="000C1FF1" w:rsidRPr="007723F5">
        <w:rPr>
          <w:lang w:val="en-GB"/>
        </w:rPr>
        <w:t>) do not distinguish among</w:t>
      </w:r>
      <w:r w:rsidR="00621A8D" w:rsidRPr="007723F5">
        <w:rPr>
          <w:lang w:val="en-GB"/>
        </w:rPr>
        <w:t xml:space="preserve"> customers, but change over time. </w:t>
      </w:r>
      <w:r w:rsidR="000C1FF1" w:rsidRPr="007723F5">
        <w:rPr>
          <w:lang w:val="en-GB"/>
        </w:rPr>
        <w:t>These drivers</w:t>
      </w:r>
      <w:r w:rsidR="00621A8D" w:rsidRPr="007723F5">
        <w:rPr>
          <w:lang w:val="en-GB"/>
        </w:rPr>
        <w:t xml:space="preserve"> did not end up in the final model</w:t>
      </w:r>
      <w:r w:rsidR="000C1FF1" w:rsidRPr="007723F5">
        <w:rPr>
          <w:lang w:val="en-GB"/>
        </w:rPr>
        <w:t>, because the univariate analysis showed insufficient predictive power.</w:t>
      </w:r>
    </w:p>
    <w:p w:rsidR="00621A8D" w:rsidRPr="007723F5" w:rsidRDefault="00621A8D" w:rsidP="00A86FB3">
      <w:pPr>
        <w:spacing w:line="360" w:lineRule="auto"/>
        <w:jc w:val="both"/>
        <w:rPr>
          <w:lang w:val="en-GB"/>
        </w:rPr>
      </w:pPr>
    </w:p>
    <w:p w:rsidR="00A75F87" w:rsidRPr="007723F5" w:rsidRDefault="00621A8D" w:rsidP="00A86FB3">
      <w:pPr>
        <w:spacing w:line="360" w:lineRule="auto"/>
        <w:jc w:val="both"/>
        <w:rPr>
          <w:lang w:val="en-GB"/>
        </w:rPr>
      </w:pPr>
      <w:r w:rsidRPr="007723F5">
        <w:rPr>
          <w:lang w:val="en-GB"/>
        </w:rPr>
        <w:t xml:space="preserve">The conclusion so far is that the crisis did not seem to have had the expected </w:t>
      </w:r>
      <w:r w:rsidR="00304349" w:rsidRPr="007723F5">
        <w:rPr>
          <w:lang w:val="en-GB"/>
        </w:rPr>
        <w:t>increasing</w:t>
      </w:r>
      <w:r w:rsidR="00B65F14" w:rsidRPr="007723F5">
        <w:rPr>
          <w:lang w:val="en-GB"/>
        </w:rPr>
        <w:t xml:space="preserve"> </w:t>
      </w:r>
      <w:r w:rsidRPr="007723F5">
        <w:rPr>
          <w:lang w:val="en-GB"/>
        </w:rPr>
        <w:t>impact on the PD model. T</w:t>
      </w:r>
      <w:r w:rsidR="00B65F14" w:rsidRPr="007723F5">
        <w:rPr>
          <w:lang w:val="en-GB"/>
        </w:rPr>
        <w:t>he most</w:t>
      </w:r>
      <w:r w:rsidRPr="007723F5">
        <w:rPr>
          <w:lang w:val="en-GB"/>
        </w:rPr>
        <w:t xml:space="preserve"> important</w:t>
      </w:r>
      <w:r w:rsidR="00B65F14" w:rsidRPr="007723F5">
        <w:rPr>
          <w:lang w:val="en-GB"/>
        </w:rPr>
        <w:t xml:space="preserve"> reason for that is that the changes in the </w:t>
      </w:r>
      <w:r w:rsidR="00304349" w:rsidRPr="007723F5">
        <w:rPr>
          <w:lang w:val="en-GB"/>
        </w:rPr>
        <w:t>collection</w:t>
      </w:r>
      <w:r w:rsidR="00B65F14" w:rsidRPr="007723F5">
        <w:rPr>
          <w:lang w:val="en-GB"/>
        </w:rPr>
        <w:t xml:space="preserve"> processes have a stronger influence on the PD development than the crisis: the improvements in the </w:t>
      </w:r>
      <w:r w:rsidR="00304349" w:rsidRPr="007723F5">
        <w:rPr>
          <w:lang w:val="en-GB"/>
        </w:rPr>
        <w:t>collection</w:t>
      </w:r>
      <w:r w:rsidR="00B65F14" w:rsidRPr="007723F5">
        <w:rPr>
          <w:lang w:val="en-GB"/>
        </w:rPr>
        <w:t xml:space="preserve"> processes since 2008 led to a decrease in registered defaults, whereas an increase was expected due to the crisis. The crisis </w:t>
      </w:r>
      <w:r w:rsidR="00A75F87" w:rsidRPr="007723F5">
        <w:rPr>
          <w:lang w:val="en-GB"/>
        </w:rPr>
        <w:t>could still</w:t>
      </w:r>
      <w:r w:rsidR="00B65F14" w:rsidRPr="007723F5">
        <w:rPr>
          <w:lang w:val="en-GB"/>
        </w:rPr>
        <w:t xml:space="preserve"> have had a </w:t>
      </w:r>
      <w:r w:rsidR="00B65F14" w:rsidRPr="007723F5">
        <w:rPr>
          <w:lang w:val="en-GB"/>
        </w:rPr>
        <w:lastRenderedPageBreak/>
        <w:t xml:space="preserve">worsening impact on the number of defaulting customers, but the </w:t>
      </w:r>
      <w:r w:rsidR="000C1FF1" w:rsidRPr="007723F5">
        <w:rPr>
          <w:lang w:val="en-GB"/>
        </w:rPr>
        <w:t xml:space="preserve">default data and, consequently, the </w:t>
      </w:r>
      <w:r w:rsidR="00B65F14" w:rsidRPr="007723F5">
        <w:rPr>
          <w:lang w:val="en-GB"/>
        </w:rPr>
        <w:t>PD model</w:t>
      </w:r>
      <w:r w:rsidR="000C1FF1" w:rsidRPr="007723F5">
        <w:rPr>
          <w:lang w:val="en-GB"/>
        </w:rPr>
        <w:t xml:space="preserve"> depend</w:t>
      </w:r>
      <w:r w:rsidR="00B65F14" w:rsidRPr="007723F5">
        <w:rPr>
          <w:lang w:val="en-GB"/>
        </w:rPr>
        <w:t xml:space="preserve"> on more (apparently stronger) factors. </w:t>
      </w:r>
    </w:p>
    <w:p w:rsidR="00A75F87" w:rsidRPr="007723F5" w:rsidRDefault="00A75F87" w:rsidP="00A86FB3">
      <w:pPr>
        <w:spacing w:line="360" w:lineRule="auto"/>
        <w:jc w:val="both"/>
        <w:rPr>
          <w:lang w:val="en-GB"/>
        </w:rPr>
      </w:pPr>
    </w:p>
    <w:p w:rsidR="006E6E7B" w:rsidRPr="007723F5" w:rsidRDefault="006D61D4" w:rsidP="006E6E7B">
      <w:pPr>
        <w:spacing w:line="360" w:lineRule="auto"/>
        <w:jc w:val="both"/>
        <w:rPr>
          <w:lang w:val="en-GB"/>
        </w:rPr>
      </w:pPr>
      <w:r w:rsidRPr="007723F5">
        <w:rPr>
          <w:lang w:val="en-GB"/>
        </w:rPr>
        <w:t xml:space="preserve">The </w:t>
      </w:r>
      <w:r w:rsidR="000C1FF1" w:rsidRPr="007723F5">
        <w:rPr>
          <w:lang w:val="en-GB"/>
        </w:rPr>
        <w:t>ability</w:t>
      </w:r>
      <w:r w:rsidR="00775F8C" w:rsidRPr="007723F5">
        <w:rPr>
          <w:lang w:val="en-GB"/>
        </w:rPr>
        <w:t>-</w:t>
      </w:r>
      <w:r w:rsidR="000C1FF1" w:rsidRPr="007723F5">
        <w:rPr>
          <w:lang w:val="en-GB"/>
        </w:rPr>
        <w:t>to</w:t>
      </w:r>
      <w:r w:rsidR="00775F8C" w:rsidRPr="007723F5">
        <w:rPr>
          <w:lang w:val="en-GB"/>
        </w:rPr>
        <w:t>-</w:t>
      </w:r>
      <w:r w:rsidRPr="007723F5">
        <w:rPr>
          <w:lang w:val="en-GB"/>
        </w:rPr>
        <w:t>pay</w:t>
      </w:r>
      <w:r w:rsidR="000C1FF1" w:rsidRPr="007723F5">
        <w:rPr>
          <w:lang w:val="en-GB"/>
        </w:rPr>
        <w:t xml:space="preserve"> of</w:t>
      </w:r>
      <w:r w:rsidRPr="007723F5">
        <w:rPr>
          <w:lang w:val="en-GB"/>
        </w:rPr>
        <w:t xml:space="preserve"> the customers depend</w:t>
      </w:r>
      <w:r w:rsidR="00304349" w:rsidRPr="007723F5">
        <w:rPr>
          <w:lang w:val="en-GB"/>
        </w:rPr>
        <w:t>s</w:t>
      </w:r>
      <w:r w:rsidRPr="007723F5">
        <w:rPr>
          <w:lang w:val="en-GB"/>
        </w:rPr>
        <w:t xml:space="preserve"> on personal factors, such as unemployment, divorce</w:t>
      </w:r>
      <w:r w:rsidR="000C1FF1" w:rsidRPr="007723F5">
        <w:rPr>
          <w:lang w:val="en-GB"/>
        </w:rPr>
        <w:t>,</w:t>
      </w:r>
      <w:r w:rsidRPr="007723F5">
        <w:rPr>
          <w:lang w:val="en-GB"/>
        </w:rPr>
        <w:t xml:space="preserve"> </w:t>
      </w:r>
      <w:r w:rsidR="004C53BD" w:rsidRPr="007723F5">
        <w:rPr>
          <w:lang w:val="en-GB"/>
        </w:rPr>
        <w:t>etc</w:t>
      </w:r>
      <w:r w:rsidRPr="007723F5">
        <w:rPr>
          <w:lang w:val="en-GB"/>
        </w:rPr>
        <w:t>. Since most of these personal factors are affected by market circumstances, it was expe</w:t>
      </w:r>
      <w:r w:rsidR="00571C30" w:rsidRPr="007723F5">
        <w:rPr>
          <w:lang w:val="en-GB"/>
        </w:rPr>
        <w:t>cted that the external drivers</w:t>
      </w:r>
      <w:r w:rsidRPr="007723F5">
        <w:rPr>
          <w:lang w:val="en-GB"/>
        </w:rPr>
        <w:t xml:space="preserve"> would have a direct correlation with the PD development. And even if this would not hold for</w:t>
      </w:r>
      <w:r w:rsidR="00571C30" w:rsidRPr="007723F5">
        <w:rPr>
          <w:lang w:val="en-GB"/>
        </w:rPr>
        <w:t xml:space="preserve"> every individual customer, it c</w:t>
      </w:r>
      <w:r w:rsidRPr="007723F5">
        <w:rPr>
          <w:lang w:val="en-GB"/>
        </w:rPr>
        <w:t xml:space="preserve">ould become apparent on portfolio level. </w:t>
      </w:r>
      <w:r w:rsidR="006E6E7B" w:rsidRPr="007723F5">
        <w:rPr>
          <w:lang w:val="en-GB"/>
        </w:rPr>
        <w:t xml:space="preserve">GDP, unemployment and house prices are well-known to have a strong relation with the business cycle. </w:t>
      </w:r>
      <w:r w:rsidR="00042FA5" w:rsidRPr="007723F5">
        <w:rPr>
          <w:lang w:val="en-GB"/>
        </w:rPr>
        <w:t>Naes et al. (2011) have found that this is also the case for US stock market liquidity. However</w:t>
      </w:r>
      <w:r w:rsidR="00907778" w:rsidRPr="007723F5">
        <w:rPr>
          <w:lang w:val="en-GB"/>
        </w:rPr>
        <w:t>,</w:t>
      </w:r>
      <w:r w:rsidR="00042FA5" w:rsidRPr="007723F5">
        <w:rPr>
          <w:lang w:val="en-GB"/>
        </w:rPr>
        <w:t xml:space="preserve"> </w:t>
      </w:r>
      <w:r w:rsidR="00042FA5" w:rsidRPr="007723F5">
        <w:t xml:space="preserve">Galariotis and Giouvris (2015) find that this is not necessarily the case for the US using an extended sample. </w:t>
      </w:r>
      <w:r w:rsidR="00907778" w:rsidRPr="007723F5">
        <w:t xml:space="preserve">The </w:t>
      </w:r>
      <w:r w:rsidR="00042FA5" w:rsidRPr="007723F5">
        <w:t xml:space="preserve">Netherlands is not part of the sample in Galariotis and Giouvris so </w:t>
      </w:r>
      <w:r w:rsidR="00907778" w:rsidRPr="007723F5">
        <w:t>from this research it is not clear</w:t>
      </w:r>
      <w:r w:rsidR="00042FA5" w:rsidRPr="007723F5">
        <w:t xml:space="preserve"> if it precedes, moves along or follows the crisis</w:t>
      </w:r>
      <w:r w:rsidR="00042FA5" w:rsidRPr="007723F5">
        <w:rPr>
          <w:lang w:val="en-GB"/>
        </w:rPr>
        <w:t>.</w:t>
      </w:r>
      <w:r w:rsidR="00A7459A" w:rsidRPr="007723F5">
        <w:rPr>
          <w:lang w:val="en-GB"/>
        </w:rPr>
        <w:t xml:space="preserve"> </w:t>
      </w:r>
      <w:r w:rsidR="00136FB8" w:rsidRPr="007723F5">
        <w:rPr>
          <w:lang w:val="en-GB"/>
        </w:rPr>
        <w:t>Darius and Radde (2010) state that global liquidity has a significant impact on the build-up in house prices.</w:t>
      </w:r>
      <w:r w:rsidR="006E6E7B" w:rsidRPr="007723F5">
        <w:rPr>
          <w:lang w:val="en-GB"/>
        </w:rPr>
        <w:t xml:space="preserve"> Even though the univariate analysis did not show a clear trend for these</w:t>
      </w:r>
      <w:r w:rsidR="008D56DF" w:rsidRPr="007723F5">
        <w:rPr>
          <w:lang w:val="en-GB"/>
        </w:rPr>
        <w:t xml:space="preserve"> external drivers (because of the strong influence of the </w:t>
      </w:r>
      <w:r w:rsidR="00304349" w:rsidRPr="007723F5">
        <w:rPr>
          <w:lang w:val="en-GB"/>
        </w:rPr>
        <w:t>collection</w:t>
      </w:r>
      <w:r w:rsidR="008D56DF" w:rsidRPr="007723F5">
        <w:rPr>
          <w:lang w:val="en-GB"/>
        </w:rPr>
        <w:t xml:space="preserve"> process on the PD observations), it may still be </w:t>
      </w:r>
      <w:r w:rsidR="00571C30" w:rsidRPr="007723F5">
        <w:rPr>
          <w:lang w:val="en-GB"/>
        </w:rPr>
        <w:t>possible that these drivers had</w:t>
      </w:r>
      <w:r w:rsidR="008D56DF" w:rsidRPr="007723F5">
        <w:rPr>
          <w:lang w:val="en-GB"/>
        </w:rPr>
        <w:t xml:space="preserve"> an impact on the customer behaviour. However, this is difficult to prove with the current dataset, because the effect of the </w:t>
      </w:r>
      <w:r w:rsidR="00304349" w:rsidRPr="007723F5">
        <w:rPr>
          <w:lang w:val="en-GB"/>
        </w:rPr>
        <w:t>collection</w:t>
      </w:r>
      <w:r w:rsidR="008D56DF" w:rsidRPr="007723F5">
        <w:rPr>
          <w:lang w:val="en-GB"/>
        </w:rPr>
        <w:t xml:space="preserve"> process cannot be filtered out.</w:t>
      </w:r>
    </w:p>
    <w:p w:rsidR="008D56DF" w:rsidRPr="007723F5" w:rsidRDefault="008D56DF" w:rsidP="006E6E7B">
      <w:pPr>
        <w:spacing w:line="360" w:lineRule="auto"/>
        <w:jc w:val="both"/>
        <w:rPr>
          <w:lang w:val="en-GB"/>
        </w:rPr>
      </w:pPr>
    </w:p>
    <w:p w:rsidR="008D56DF" w:rsidRPr="007723F5" w:rsidRDefault="00775F8C" w:rsidP="006E6E7B">
      <w:pPr>
        <w:spacing w:line="360" w:lineRule="auto"/>
        <w:jc w:val="both"/>
        <w:rPr>
          <w:lang w:val="en-GB"/>
        </w:rPr>
      </w:pPr>
      <w:r w:rsidRPr="007723F5">
        <w:rPr>
          <w:lang w:val="en-GB"/>
        </w:rPr>
        <w:t>O</w:t>
      </w:r>
      <w:r w:rsidR="008D56DF" w:rsidRPr="007723F5">
        <w:rPr>
          <w:lang w:val="en-GB"/>
        </w:rPr>
        <w:t>ne additional analys</w:t>
      </w:r>
      <w:r w:rsidR="00AA3997" w:rsidRPr="007723F5">
        <w:rPr>
          <w:lang w:val="en-GB"/>
        </w:rPr>
        <w:t>is that can</w:t>
      </w:r>
      <w:r w:rsidR="00DF1803" w:rsidRPr="007723F5">
        <w:rPr>
          <w:lang w:val="en-GB"/>
        </w:rPr>
        <w:t xml:space="preserve"> be performed is the creation of a new model in which the external drivers are included in the </w:t>
      </w:r>
      <w:r w:rsidR="00AA3997" w:rsidRPr="007723F5">
        <w:rPr>
          <w:lang w:val="en-GB"/>
        </w:rPr>
        <w:t xml:space="preserve">multivariate </w:t>
      </w:r>
      <w:r w:rsidR="00DF1803" w:rsidRPr="007723F5">
        <w:rPr>
          <w:lang w:val="en-GB"/>
        </w:rPr>
        <w:t>regression.</w:t>
      </w:r>
      <w:r w:rsidR="00AA3997" w:rsidRPr="007723F5">
        <w:rPr>
          <w:lang w:val="en-GB"/>
        </w:rPr>
        <w:t xml:space="preserve"> So, even though the drivers were rejected during the univariate analysis, they are included in the multivariate analysis anyway. It turns out that </w:t>
      </w:r>
      <w:r w:rsidR="00571C30" w:rsidRPr="007723F5">
        <w:rPr>
          <w:lang w:val="en-GB"/>
        </w:rPr>
        <w:t>all four risk</w:t>
      </w:r>
      <w:r w:rsidR="00AA3997" w:rsidRPr="007723F5">
        <w:rPr>
          <w:lang w:val="en-GB"/>
        </w:rPr>
        <w:t xml:space="preserve"> drivers</w:t>
      </w:r>
      <w:r w:rsidR="00136FB8" w:rsidRPr="007723F5">
        <w:rPr>
          <w:lang w:val="en-GB"/>
        </w:rPr>
        <w:t xml:space="preserve"> end up in the final model, meaning that they provide </w:t>
      </w:r>
      <w:r w:rsidRPr="007723F5">
        <w:rPr>
          <w:lang w:val="en-GB"/>
        </w:rPr>
        <w:t>significant</w:t>
      </w:r>
      <w:r w:rsidR="00136FB8" w:rsidRPr="007723F5">
        <w:rPr>
          <w:lang w:val="en-GB"/>
        </w:rPr>
        <w:t xml:space="preserve"> added value to the model in the multivariate regression. </w:t>
      </w:r>
      <w:fldSimple w:instr=" REF _Ref431415100 \h  \* MERGEFORMAT ">
        <w:r w:rsidR="00B46DD6" w:rsidRPr="007723F5">
          <w:t xml:space="preserve">Table </w:t>
        </w:r>
        <w:r w:rsidR="00B46DD6" w:rsidRPr="007723F5">
          <w:rPr>
            <w:noProof/>
          </w:rPr>
          <w:t>3</w:t>
        </w:r>
      </w:fldSimple>
      <w:r w:rsidR="00F7539B" w:rsidRPr="007723F5">
        <w:rPr>
          <w:lang w:val="en-GB"/>
        </w:rPr>
        <w:t xml:space="preserve"> in </w:t>
      </w:r>
      <w:r w:rsidR="00907778" w:rsidRPr="007723F5">
        <w:rPr>
          <w:lang w:val="en-GB"/>
        </w:rPr>
        <w:t xml:space="preserve">Appendix 2 shows the final list of risk drivers in the multivariate regression. </w:t>
      </w:r>
      <w:r w:rsidR="008A7732" w:rsidRPr="007723F5">
        <w:rPr>
          <w:lang w:val="en-GB"/>
        </w:rPr>
        <w:t>The resulting PD development of the model that includes the external drivers is presented in</w:t>
      </w:r>
      <w:r w:rsidR="003A723E" w:rsidRPr="007723F5">
        <w:rPr>
          <w:lang w:val="en-GB"/>
        </w:rPr>
        <w:t xml:space="preserve"> </w:t>
      </w:r>
      <w:fldSimple w:instr=" REF _Ref379402659 \h  \* MERGEFORMAT ">
        <w:r w:rsidR="00B46DD6" w:rsidRPr="007723F5">
          <w:t xml:space="preserve">Figure </w:t>
        </w:r>
        <w:r w:rsidR="00B46DD6" w:rsidRPr="007723F5">
          <w:rPr>
            <w:noProof/>
          </w:rPr>
          <w:t>9</w:t>
        </w:r>
      </w:fldSimple>
      <w:r w:rsidR="008A7732" w:rsidRPr="007723F5">
        <w:rPr>
          <w:lang w:val="en-GB"/>
        </w:rPr>
        <w:t>.</w:t>
      </w:r>
    </w:p>
    <w:p w:rsidR="00571C30" w:rsidRPr="007723F5" w:rsidRDefault="00571C30" w:rsidP="008A7732">
      <w:pPr>
        <w:spacing w:line="360" w:lineRule="auto"/>
        <w:jc w:val="both"/>
      </w:pPr>
    </w:p>
    <w:p w:rsidR="008A7732" w:rsidRPr="007723F5" w:rsidRDefault="00467C98" w:rsidP="008A7732">
      <w:pPr>
        <w:spacing w:line="360" w:lineRule="auto"/>
        <w:jc w:val="both"/>
        <w:rPr>
          <w:lang w:val="en-GB"/>
        </w:rPr>
      </w:pPr>
      <w:fldSimple w:instr=" REF _Ref379402659 \h  \* MERGEFORMAT ">
        <w:r w:rsidR="00B46DD6" w:rsidRPr="007723F5">
          <w:t xml:space="preserve">Figure </w:t>
        </w:r>
        <w:r w:rsidR="00B46DD6" w:rsidRPr="007723F5">
          <w:rPr>
            <w:noProof/>
          </w:rPr>
          <w:t>9</w:t>
        </w:r>
      </w:fldSimple>
      <w:r w:rsidR="00DA798E" w:rsidRPr="007723F5">
        <w:t xml:space="preserve"> </w:t>
      </w:r>
      <w:r w:rsidR="008A7732" w:rsidRPr="007723F5">
        <w:rPr>
          <w:lang w:val="en-GB"/>
        </w:rPr>
        <w:t xml:space="preserve">also shows the results of the model </w:t>
      </w:r>
      <w:r w:rsidR="00C13DDB" w:rsidRPr="007723F5">
        <w:rPr>
          <w:lang w:val="en-GB"/>
        </w:rPr>
        <w:t xml:space="preserve">without external risk drivers </w:t>
      </w:r>
      <w:r w:rsidR="008A7732" w:rsidRPr="007723F5">
        <w:rPr>
          <w:lang w:val="en-GB"/>
        </w:rPr>
        <w:t xml:space="preserve">and the observed into-defaults. </w:t>
      </w:r>
      <w:r w:rsidR="00B708B9" w:rsidRPr="007723F5">
        <w:rPr>
          <w:lang w:val="en-GB"/>
        </w:rPr>
        <w:t xml:space="preserve">Note that </w:t>
      </w:r>
      <w:r w:rsidR="00571C30" w:rsidRPr="007723F5">
        <w:rPr>
          <w:lang w:val="en-GB"/>
        </w:rPr>
        <w:t xml:space="preserve">the model predictions have been made until the end of 2012, because the driver information was available for this period. The </w:t>
      </w:r>
      <w:r w:rsidR="00B708B9" w:rsidRPr="007723F5">
        <w:rPr>
          <w:lang w:val="en-GB"/>
        </w:rPr>
        <w:t>into-default observations</w:t>
      </w:r>
      <w:r w:rsidR="00571C30" w:rsidRPr="007723F5">
        <w:rPr>
          <w:lang w:val="en-GB"/>
        </w:rPr>
        <w:t xml:space="preserve"> </w:t>
      </w:r>
      <w:r w:rsidR="00403226" w:rsidRPr="007723F5">
        <w:rPr>
          <w:lang w:val="en-GB"/>
        </w:rPr>
        <w:t>contain the performance period until</w:t>
      </w:r>
      <w:r w:rsidR="00571C30" w:rsidRPr="007723F5">
        <w:rPr>
          <w:lang w:val="en-GB"/>
        </w:rPr>
        <w:t xml:space="preserve"> the end of 201</w:t>
      </w:r>
      <w:r w:rsidR="00C62305" w:rsidRPr="007723F5">
        <w:rPr>
          <w:lang w:val="en-GB"/>
        </w:rPr>
        <w:t>1</w:t>
      </w:r>
      <w:r w:rsidR="00403226" w:rsidRPr="007723F5">
        <w:rPr>
          <w:lang w:val="en-GB"/>
        </w:rPr>
        <w:t xml:space="preserve"> and an additional year of more recent observations.</w:t>
      </w:r>
      <w:r w:rsidR="0025233C" w:rsidRPr="007723F5">
        <w:rPr>
          <w:lang w:val="en-GB"/>
        </w:rPr>
        <w:t xml:space="preserve"> </w:t>
      </w:r>
      <w:r w:rsidR="008A7732" w:rsidRPr="007723F5">
        <w:rPr>
          <w:lang w:val="en-GB"/>
        </w:rPr>
        <w:t xml:space="preserve">The overall </w:t>
      </w:r>
      <w:r w:rsidR="0025233C" w:rsidRPr="007723F5">
        <w:rPr>
          <w:lang w:val="en-GB"/>
        </w:rPr>
        <w:t xml:space="preserve">predictive power </w:t>
      </w:r>
      <w:r w:rsidR="008A7732" w:rsidRPr="007723F5">
        <w:rPr>
          <w:lang w:val="en-GB"/>
        </w:rPr>
        <w:t xml:space="preserve">of the model with external drivers </w:t>
      </w:r>
      <w:r w:rsidR="0025233C" w:rsidRPr="007723F5">
        <w:rPr>
          <w:lang w:val="en-GB"/>
        </w:rPr>
        <w:t xml:space="preserve">is the same as for the model without external drivers. </w:t>
      </w:r>
      <w:r w:rsidR="008A7732" w:rsidRPr="007723F5">
        <w:rPr>
          <w:lang w:val="en-GB"/>
        </w:rPr>
        <w:t>Two important observations can be made from this graph:</w:t>
      </w:r>
    </w:p>
    <w:p w:rsidR="00B708B9" w:rsidRPr="007723F5" w:rsidRDefault="008A7732" w:rsidP="008A7732">
      <w:pPr>
        <w:numPr>
          <w:ilvl w:val="0"/>
          <w:numId w:val="41"/>
        </w:numPr>
        <w:spacing w:line="360" w:lineRule="auto"/>
        <w:jc w:val="both"/>
        <w:rPr>
          <w:lang w:val="en-GB"/>
        </w:rPr>
      </w:pPr>
      <w:r w:rsidRPr="007723F5">
        <w:rPr>
          <w:lang w:val="en-GB"/>
        </w:rPr>
        <w:lastRenderedPageBreak/>
        <w:t xml:space="preserve">The overall distance between the line of the model with external drivers and the line of the observed into-defaults is smaller than </w:t>
      </w:r>
      <w:r w:rsidR="00B708B9" w:rsidRPr="007723F5">
        <w:rPr>
          <w:lang w:val="en-GB"/>
        </w:rPr>
        <w:t>that for the m</w:t>
      </w:r>
      <w:r w:rsidR="0025233C" w:rsidRPr="007723F5">
        <w:rPr>
          <w:lang w:val="en-GB"/>
        </w:rPr>
        <w:t>odel without external drivers: t</w:t>
      </w:r>
      <w:r w:rsidR="00B708B9" w:rsidRPr="007723F5">
        <w:rPr>
          <w:lang w:val="en-GB"/>
        </w:rPr>
        <w:t>he fit has improved from R</w:t>
      </w:r>
      <w:r w:rsidR="00B708B9" w:rsidRPr="007723F5">
        <w:rPr>
          <w:vertAlign w:val="superscript"/>
          <w:lang w:val="en-GB"/>
        </w:rPr>
        <w:t>2</w:t>
      </w:r>
      <w:r w:rsidR="00B708B9" w:rsidRPr="007723F5">
        <w:rPr>
          <w:lang w:val="en-GB"/>
        </w:rPr>
        <w:t xml:space="preserve"> = 42% to R</w:t>
      </w:r>
      <w:r w:rsidR="00B708B9" w:rsidRPr="007723F5">
        <w:rPr>
          <w:vertAlign w:val="superscript"/>
          <w:lang w:val="en-GB"/>
        </w:rPr>
        <w:t>2</w:t>
      </w:r>
      <w:r w:rsidR="00B708B9" w:rsidRPr="007723F5">
        <w:rPr>
          <w:lang w:val="en-GB"/>
        </w:rPr>
        <w:t xml:space="preserve"> = 62%.</w:t>
      </w:r>
    </w:p>
    <w:p w:rsidR="00B708B9" w:rsidRPr="007723F5" w:rsidRDefault="00B708B9" w:rsidP="008A7732">
      <w:pPr>
        <w:numPr>
          <w:ilvl w:val="0"/>
          <w:numId w:val="41"/>
        </w:numPr>
        <w:spacing w:line="360" w:lineRule="auto"/>
        <w:jc w:val="both"/>
        <w:rPr>
          <w:lang w:val="en-GB"/>
        </w:rPr>
      </w:pPr>
      <w:r w:rsidRPr="007723F5">
        <w:rPr>
          <w:lang w:val="en-GB"/>
        </w:rPr>
        <w:t xml:space="preserve">The predicted PD for the model with external drivers increases faster </w:t>
      </w:r>
      <w:r w:rsidR="0025233C" w:rsidRPr="007723F5">
        <w:rPr>
          <w:lang w:val="en-GB"/>
        </w:rPr>
        <w:t xml:space="preserve">since the start of 2011 </w:t>
      </w:r>
      <w:r w:rsidRPr="007723F5">
        <w:rPr>
          <w:lang w:val="en-GB"/>
        </w:rPr>
        <w:t xml:space="preserve">than the PD of the model without external drivers. </w:t>
      </w:r>
    </w:p>
    <w:p w:rsidR="00533BBB" w:rsidRPr="007723F5" w:rsidRDefault="00907778" w:rsidP="00533BBB">
      <w:pPr>
        <w:spacing w:line="360" w:lineRule="auto"/>
        <w:jc w:val="both"/>
        <w:rPr>
          <w:lang w:val="en-GB"/>
        </w:rPr>
      </w:pPr>
      <w:r w:rsidRPr="007723F5">
        <w:rPr>
          <w:lang w:val="en-GB"/>
        </w:rPr>
        <w:t>T</w:t>
      </w:r>
      <w:r w:rsidR="00B708B9" w:rsidRPr="007723F5">
        <w:rPr>
          <w:lang w:val="en-GB"/>
        </w:rPr>
        <w:t>he new model that includes external drivers is picking up both the process improvement after March 2008 (decrease in PD) and the crisis effect (increase in PD).</w:t>
      </w:r>
      <w:r w:rsidR="008A7732" w:rsidRPr="007723F5">
        <w:rPr>
          <w:lang w:val="en-GB"/>
        </w:rPr>
        <w:t xml:space="preserve"> </w:t>
      </w:r>
      <w:bookmarkStart w:id="17" w:name="_Ref349079015"/>
      <w:bookmarkStart w:id="18" w:name="_Toc371788272"/>
    </w:p>
    <w:p w:rsidR="005D6920" w:rsidRPr="007723F5" w:rsidRDefault="005D6920" w:rsidP="00533BBB">
      <w:pPr>
        <w:spacing w:line="360" w:lineRule="auto"/>
        <w:jc w:val="both"/>
        <w:rPr>
          <w:lang w:val="en-GB"/>
        </w:rPr>
      </w:pPr>
    </w:p>
    <w:p w:rsidR="005D6920" w:rsidRPr="007723F5" w:rsidRDefault="005D6920" w:rsidP="00533BBB">
      <w:pPr>
        <w:spacing w:line="360" w:lineRule="auto"/>
        <w:jc w:val="both"/>
        <w:rPr>
          <w:lang w:val="en-GB"/>
        </w:rPr>
      </w:pPr>
      <w:r w:rsidRPr="007723F5">
        <w:rPr>
          <w:lang w:val="en-GB"/>
        </w:rPr>
        <w:t xml:space="preserve">The results of the model have been validated with the Out-of-sample (OOS) and the bootstrapping method, as described in Section 5. </w:t>
      </w:r>
      <w:r w:rsidR="004D7476" w:rsidRPr="007723F5">
        <w:rPr>
          <w:lang w:val="en-GB"/>
        </w:rPr>
        <w:t xml:space="preserve">One of the measures that represents the </w:t>
      </w:r>
      <w:r w:rsidR="002B559C" w:rsidRPr="007723F5">
        <w:rPr>
          <w:lang w:val="en-GB"/>
        </w:rPr>
        <w:t>disciminative</w:t>
      </w:r>
      <w:r w:rsidR="004D7476" w:rsidRPr="007723F5">
        <w:rPr>
          <w:lang w:val="en-GB"/>
        </w:rPr>
        <w:t xml:space="preserve"> power of a multivariate regression model is the so-called C-stat. This is the coefficient of concordance, a concept that relates to pairs of observations, where a relatively risky score is related to a default, and a relatively non-risky score is related to a non-default. </w:t>
      </w:r>
      <w:r w:rsidR="009C7AF7" w:rsidRPr="007723F5">
        <w:rPr>
          <w:lang w:val="en-GB"/>
        </w:rPr>
        <w:t>A</w:t>
      </w:r>
      <w:r w:rsidR="004D7476" w:rsidRPr="007723F5">
        <w:rPr>
          <w:lang w:val="en-GB"/>
        </w:rPr>
        <w:t xml:space="preserve"> C-stat</w:t>
      </w:r>
      <w:r w:rsidR="009C7AF7" w:rsidRPr="007723F5">
        <w:rPr>
          <w:lang w:val="en-GB"/>
        </w:rPr>
        <w:t xml:space="preserve"> close to 1 indicates perfect predictions, whereas a value close to 0.5 indicates random predictions.</w:t>
      </w:r>
      <w:r w:rsidR="004D7476" w:rsidRPr="007723F5">
        <w:rPr>
          <w:lang w:val="en-GB"/>
        </w:rPr>
        <w:t xml:space="preserve"> </w:t>
      </w:r>
      <w:fldSimple w:instr=" REF _Ref425705044 \h  \* MERGEFORMAT ">
        <w:r w:rsidR="00B46DD6" w:rsidRPr="007723F5">
          <w:t xml:space="preserve">Table </w:t>
        </w:r>
        <w:r w:rsidR="00B46DD6" w:rsidRPr="007723F5">
          <w:rPr>
            <w:noProof/>
          </w:rPr>
          <w:t>1</w:t>
        </w:r>
      </w:fldSimple>
      <w:r w:rsidR="009C7AF7" w:rsidRPr="007723F5">
        <w:rPr>
          <w:lang w:val="en-GB"/>
        </w:rPr>
        <w:t xml:space="preserve"> </w:t>
      </w:r>
      <w:r w:rsidR="002B559C" w:rsidRPr="007723F5">
        <w:rPr>
          <w:lang w:val="en-GB"/>
        </w:rPr>
        <w:t>shows that</w:t>
      </w:r>
      <w:r w:rsidR="00703039" w:rsidRPr="007723F5">
        <w:rPr>
          <w:lang w:val="en-GB"/>
        </w:rPr>
        <w:t xml:space="preserve"> </w:t>
      </w:r>
      <w:r w:rsidR="002B559C" w:rsidRPr="007723F5">
        <w:rPr>
          <w:lang w:val="en-GB"/>
        </w:rPr>
        <w:t>the C-stat of the OOS test set is 83.0%, which is equal to the C-stat of the development set. Moreover, the bootstrapping results show that the C-stat values of the 100 runs vary between 82.7% and 83.2%, with a mean value of 83.0%. Hence, the model is stable and has high predictive</w:t>
      </w:r>
      <w:r w:rsidR="004D7476" w:rsidRPr="007723F5">
        <w:rPr>
          <w:lang w:val="en-GB"/>
        </w:rPr>
        <w:t xml:space="preserve"> power</w:t>
      </w:r>
      <w:r w:rsidR="002B559C" w:rsidRPr="007723F5">
        <w:rPr>
          <w:lang w:val="en-GB"/>
        </w:rPr>
        <w:t>. T</w:t>
      </w:r>
      <w:r w:rsidR="006063E4" w:rsidRPr="007723F5">
        <w:rPr>
          <w:lang w:val="en-GB"/>
        </w:rPr>
        <w:t>hese C-stat</w:t>
      </w:r>
      <w:r w:rsidR="002B559C" w:rsidRPr="007723F5">
        <w:rPr>
          <w:lang w:val="en-GB"/>
        </w:rPr>
        <w:t xml:space="preserve"> </w:t>
      </w:r>
      <w:r w:rsidR="006063E4" w:rsidRPr="007723F5">
        <w:rPr>
          <w:lang w:val="en-GB"/>
        </w:rPr>
        <w:t>values are slightly lower</w:t>
      </w:r>
      <w:r w:rsidR="002B559C" w:rsidRPr="007723F5">
        <w:rPr>
          <w:lang w:val="en-GB"/>
        </w:rPr>
        <w:t xml:space="preserve"> than the ones found by Medema et al (2009), </w:t>
      </w:r>
      <w:r w:rsidR="00F7539B" w:rsidRPr="007723F5">
        <w:rPr>
          <w:lang w:val="en-GB"/>
        </w:rPr>
        <w:t xml:space="preserve">which are about 89%, </w:t>
      </w:r>
      <w:r w:rsidR="002B559C" w:rsidRPr="007723F5">
        <w:rPr>
          <w:lang w:val="en-GB"/>
        </w:rPr>
        <w:t xml:space="preserve">but this can be explained by the longer dataset and the fact that the dataset includes the crisis period and </w:t>
      </w:r>
      <w:r w:rsidR="006063E4" w:rsidRPr="007723F5">
        <w:rPr>
          <w:lang w:val="en-GB"/>
        </w:rPr>
        <w:t>process improvement information.</w:t>
      </w:r>
    </w:p>
    <w:p w:rsidR="00F7539B" w:rsidRPr="007723F5" w:rsidRDefault="00F7539B" w:rsidP="00F7539B">
      <w:pPr>
        <w:spacing w:line="360" w:lineRule="auto"/>
        <w:jc w:val="center"/>
        <w:rPr>
          <w:lang w:val="en-GB"/>
        </w:rPr>
      </w:pPr>
      <w:r w:rsidRPr="007723F5">
        <w:rPr>
          <w:lang w:val="en-GB"/>
        </w:rPr>
        <w:t xml:space="preserve">[INSERT </w:t>
      </w:r>
      <w:fldSimple w:instr=" REF _Ref425705044 \h  \* MERGEFORMAT ">
        <w:r w:rsidR="00B46DD6" w:rsidRPr="007723F5">
          <w:t xml:space="preserve">Table </w:t>
        </w:r>
        <w:r w:rsidR="00B46DD6" w:rsidRPr="007723F5">
          <w:rPr>
            <w:noProof/>
          </w:rPr>
          <w:t>1</w:t>
        </w:r>
      </w:fldSimple>
      <w:r w:rsidRPr="007723F5">
        <w:rPr>
          <w:lang w:val="en-GB"/>
        </w:rPr>
        <w:t xml:space="preserve"> ABOUT HERE]</w:t>
      </w:r>
    </w:p>
    <w:p w:rsidR="00C13DDB" w:rsidRPr="007723F5" w:rsidRDefault="00C13DDB" w:rsidP="00533BBB">
      <w:pPr>
        <w:spacing w:line="360" w:lineRule="auto"/>
        <w:jc w:val="both"/>
        <w:rPr>
          <w:lang w:val="en-GB"/>
        </w:rPr>
      </w:pPr>
    </w:p>
    <w:p w:rsidR="00464DEA" w:rsidRPr="007723F5" w:rsidRDefault="00D45FEB" w:rsidP="0025233C">
      <w:pPr>
        <w:pStyle w:val="1"/>
        <w:numPr>
          <w:ilvl w:val="0"/>
          <w:numId w:val="0"/>
        </w:numPr>
        <w:rPr>
          <w:lang w:val="en-GB"/>
        </w:rPr>
      </w:pPr>
      <w:r w:rsidRPr="007723F5">
        <w:rPr>
          <w:lang w:val="en-GB"/>
        </w:rPr>
        <w:t xml:space="preserve">7 </w:t>
      </w:r>
      <w:r w:rsidR="00DD57E8" w:rsidRPr="007723F5">
        <w:rPr>
          <w:lang w:val="en-GB"/>
        </w:rPr>
        <w:t>Conclusion</w:t>
      </w:r>
      <w:bookmarkEnd w:id="13"/>
      <w:r w:rsidR="00051783" w:rsidRPr="007723F5">
        <w:rPr>
          <w:lang w:val="en-GB"/>
        </w:rPr>
        <w:t>s</w:t>
      </w:r>
      <w:bookmarkEnd w:id="17"/>
      <w:bookmarkEnd w:id="18"/>
    </w:p>
    <w:p w:rsidR="00B16860" w:rsidRPr="007723F5" w:rsidRDefault="00B16860" w:rsidP="00B16860">
      <w:pPr>
        <w:spacing w:line="360" w:lineRule="auto"/>
        <w:jc w:val="both"/>
        <w:rPr>
          <w:lang w:val="en-GB"/>
        </w:rPr>
      </w:pPr>
      <w:r w:rsidRPr="007723F5">
        <w:rPr>
          <w:lang w:val="en-GB"/>
        </w:rPr>
        <w:t>In t</w:t>
      </w:r>
      <w:r w:rsidR="00247C73" w:rsidRPr="007723F5">
        <w:rPr>
          <w:lang w:val="en-GB"/>
        </w:rPr>
        <w:t>his paper</w:t>
      </w:r>
      <w:r w:rsidRPr="007723F5">
        <w:rPr>
          <w:lang w:val="en-GB"/>
        </w:rPr>
        <w:t xml:space="preserve">, the </w:t>
      </w:r>
      <w:r w:rsidR="002A5EFE" w:rsidRPr="007723F5">
        <w:rPr>
          <w:lang w:val="en-GB"/>
        </w:rPr>
        <w:t>impact of the financial crisis on the PD model for Dutch mortgages</w:t>
      </w:r>
      <w:r w:rsidRPr="007723F5">
        <w:rPr>
          <w:lang w:val="en-GB"/>
        </w:rPr>
        <w:t xml:space="preserve"> is investigated, based on a dataset of one of the largest Dutch mortgage providers.</w:t>
      </w:r>
      <w:r w:rsidR="002A5EFE" w:rsidRPr="007723F5">
        <w:rPr>
          <w:lang w:val="en-GB"/>
        </w:rPr>
        <w:t xml:space="preserve"> </w:t>
      </w:r>
      <w:r w:rsidRPr="007723F5">
        <w:rPr>
          <w:lang w:val="en-GB"/>
        </w:rPr>
        <w:t>It is expected that a</w:t>
      </w:r>
      <w:r w:rsidR="002A5EFE" w:rsidRPr="007723F5">
        <w:rPr>
          <w:lang w:val="en-GB"/>
        </w:rPr>
        <w:t xml:space="preserve"> higher number of defaults </w:t>
      </w:r>
      <w:r w:rsidRPr="007723F5">
        <w:rPr>
          <w:lang w:val="en-GB"/>
        </w:rPr>
        <w:t xml:space="preserve">occurred </w:t>
      </w:r>
      <w:r w:rsidR="002A5EFE" w:rsidRPr="007723F5">
        <w:rPr>
          <w:lang w:val="en-GB"/>
        </w:rPr>
        <w:t xml:space="preserve">during the crisis, because </w:t>
      </w:r>
      <w:r w:rsidR="00424301" w:rsidRPr="007723F5">
        <w:rPr>
          <w:lang w:val="en-GB"/>
        </w:rPr>
        <w:t>of</w:t>
      </w:r>
      <w:r w:rsidR="002A5EFE" w:rsidRPr="007723F5">
        <w:rPr>
          <w:lang w:val="en-GB"/>
        </w:rPr>
        <w:t xml:space="preserve"> </w:t>
      </w:r>
      <w:r w:rsidR="00424301" w:rsidRPr="007723F5">
        <w:rPr>
          <w:lang w:val="en-GB"/>
        </w:rPr>
        <w:t>deteriorated</w:t>
      </w:r>
      <w:r w:rsidR="002A5EFE" w:rsidRPr="007723F5">
        <w:rPr>
          <w:lang w:val="en-GB"/>
        </w:rPr>
        <w:t xml:space="preserve"> market factors such as increasing unemployment, declining house prices and tightening borrowing practices</w:t>
      </w:r>
      <w:r w:rsidRPr="007723F5">
        <w:rPr>
          <w:lang w:val="en-GB"/>
        </w:rPr>
        <w:t>, leading to</w:t>
      </w:r>
      <w:r w:rsidR="002A5EFE" w:rsidRPr="007723F5">
        <w:rPr>
          <w:lang w:val="en-GB"/>
        </w:rPr>
        <w:t xml:space="preserve"> more payment delinquencies.</w:t>
      </w:r>
      <w:r w:rsidRPr="007723F5">
        <w:rPr>
          <w:lang w:val="en-GB"/>
        </w:rPr>
        <w:t xml:space="preserve"> However, the crisis did not</w:t>
      </w:r>
      <w:r w:rsidR="00621288" w:rsidRPr="007723F5">
        <w:rPr>
          <w:lang w:val="en-GB"/>
        </w:rPr>
        <w:t xml:space="preserve"> seem to have had the expected worsening</w:t>
      </w:r>
      <w:r w:rsidRPr="007723F5">
        <w:rPr>
          <w:lang w:val="en-GB"/>
        </w:rPr>
        <w:t xml:space="preserve"> impact on the PD model. The most important reason for that is that the </w:t>
      </w:r>
      <w:r w:rsidR="00424301" w:rsidRPr="007723F5">
        <w:rPr>
          <w:lang w:val="en-GB"/>
        </w:rPr>
        <w:t>intensification of the arrears and problem loan management process and further automation of the collection process had</w:t>
      </w:r>
      <w:r w:rsidRPr="007723F5">
        <w:rPr>
          <w:lang w:val="en-GB"/>
        </w:rPr>
        <w:t xml:space="preserve"> a stronger influence on the </w:t>
      </w:r>
      <w:r w:rsidR="00424301" w:rsidRPr="007723F5">
        <w:rPr>
          <w:lang w:val="en-GB"/>
        </w:rPr>
        <w:t>default data</w:t>
      </w:r>
      <w:r w:rsidRPr="007723F5">
        <w:rPr>
          <w:lang w:val="en-GB"/>
        </w:rPr>
        <w:t xml:space="preserve"> than the </w:t>
      </w:r>
      <w:r w:rsidRPr="007723F5">
        <w:rPr>
          <w:lang w:val="en-GB"/>
        </w:rPr>
        <w:lastRenderedPageBreak/>
        <w:t xml:space="preserve">crisis: the improvements in the </w:t>
      </w:r>
      <w:r w:rsidR="00621288" w:rsidRPr="007723F5">
        <w:rPr>
          <w:lang w:val="en-GB"/>
        </w:rPr>
        <w:t>collection</w:t>
      </w:r>
      <w:r w:rsidRPr="007723F5">
        <w:rPr>
          <w:lang w:val="en-GB"/>
        </w:rPr>
        <w:t xml:space="preserve"> processes since 2008 led to a decrease in registered defaults.</w:t>
      </w:r>
    </w:p>
    <w:p w:rsidR="006B3825" w:rsidRPr="007723F5" w:rsidRDefault="006B3825" w:rsidP="006B3825">
      <w:pPr>
        <w:spacing w:line="360" w:lineRule="auto"/>
        <w:jc w:val="both"/>
        <w:rPr>
          <w:lang w:val="en-GB"/>
        </w:rPr>
      </w:pPr>
    </w:p>
    <w:p w:rsidR="008615F1" w:rsidRPr="007723F5" w:rsidRDefault="00295216" w:rsidP="008615F1">
      <w:pPr>
        <w:spacing w:line="360" w:lineRule="auto"/>
        <w:jc w:val="both"/>
        <w:rPr>
          <w:lang w:val="en-GB"/>
        </w:rPr>
      </w:pPr>
      <w:r w:rsidRPr="007723F5">
        <w:rPr>
          <w:lang w:val="en-GB"/>
        </w:rPr>
        <w:t>Logistic regression analysis resulted in a list of internal risk drivers with significant predictive power. I</w:t>
      </w:r>
      <w:r w:rsidR="008615F1" w:rsidRPr="007723F5">
        <w:rPr>
          <w:lang w:val="en-GB"/>
        </w:rPr>
        <w:t>nternal risk drivers</w:t>
      </w:r>
      <w:r w:rsidRPr="007723F5">
        <w:rPr>
          <w:lang w:val="en-GB"/>
        </w:rPr>
        <w:t xml:space="preserve"> </w:t>
      </w:r>
      <w:r w:rsidR="008615F1" w:rsidRPr="007723F5">
        <w:rPr>
          <w:lang w:val="en-GB"/>
        </w:rPr>
        <w:t xml:space="preserve">are </w:t>
      </w:r>
      <w:r w:rsidRPr="007723F5">
        <w:rPr>
          <w:lang w:val="en-GB"/>
        </w:rPr>
        <w:t xml:space="preserve">variables which are </w:t>
      </w:r>
      <w:r w:rsidR="008615F1" w:rsidRPr="007723F5">
        <w:rPr>
          <w:lang w:val="en-GB"/>
        </w:rPr>
        <w:t>related to the characteristics</w:t>
      </w:r>
      <w:r w:rsidR="006B3825" w:rsidRPr="007723F5">
        <w:rPr>
          <w:lang w:val="en-GB"/>
        </w:rPr>
        <w:t xml:space="preserve"> of the </w:t>
      </w:r>
      <w:r w:rsidRPr="007723F5">
        <w:rPr>
          <w:lang w:val="en-GB"/>
        </w:rPr>
        <w:t xml:space="preserve">product and the </w:t>
      </w:r>
      <w:r w:rsidR="006B3825" w:rsidRPr="007723F5">
        <w:rPr>
          <w:lang w:val="en-GB"/>
        </w:rPr>
        <w:t>customer</w:t>
      </w:r>
      <w:r w:rsidRPr="007723F5">
        <w:rPr>
          <w:lang w:val="en-GB"/>
        </w:rPr>
        <w:t xml:space="preserve"> behaviour</w:t>
      </w:r>
      <w:r w:rsidR="008615F1" w:rsidRPr="007723F5">
        <w:rPr>
          <w:lang w:val="en-GB"/>
        </w:rPr>
        <w:t xml:space="preserve">. None of these drivers has a direct link to the crisis. The external drivers that have been investigated are market illiquidity, GDP, unemployment and house price index. These drivers do not distinguish </w:t>
      </w:r>
      <w:r w:rsidRPr="007723F5">
        <w:rPr>
          <w:lang w:val="en-GB"/>
        </w:rPr>
        <w:t>among</w:t>
      </w:r>
      <w:r w:rsidR="008615F1" w:rsidRPr="007723F5">
        <w:rPr>
          <w:lang w:val="en-GB"/>
        </w:rPr>
        <w:t xml:space="preserve"> customers, but change over time</w:t>
      </w:r>
      <w:r w:rsidRPr="007723F5">
        <w:rPr>
          <w:lang w:val="en-GB"/>
        </w:rPr>
        <w:t xml:space="preserve"> in a way correlated to the developments in the economic environment.</w:t>
      </w:r>
      <w:r w:rsidR="008615F1" w:rsidRPr="007723F5">
        <w:rPr>
          <w:lang w:val="en-GB"/>
        </w:rPr>
        <w:t xml:space="preserve"> Univariate analysis </w:t>
      </w:r>
      <w:r w:rsidR="00D55F53" w:rsidRPr="007723F5">
        <w:rPr>
          <w:lang w:val="en-GB"/>
        </w:rPr>
        <w:t xml:space="preserve">revealed </w:t>
      </w:r>
      <w:r w:rsidR="008615F1" w:rsidRPr="007723F5">
        <w:rPr>
          <w:lang w:val="en-GB"/>
        </w:rPr>
        <w:t>that the external</w:t>
      </w:r>
      <w:r w:rsidR="00D55F53" w:rsidRPr="007723F5">
        <w:rPr>
          <w:lang w:val="en-GB"/>
        </w:rPr>
        <w:t xml:space="preserve"> drivers did not have significant predictive power to end up in the </w:t>
      </w:r>
      <w:r w:rsidR="008615F1" w:rsidRPr="007723F5">
        <w:rPr>
          <w:lang w:val="en-GB"/>
        </w:rPr>
        <w:t xml:space="preserve">PD </w:t>
      </w:r>
      <w:r w:rsidR="00D55F53" w:rsidRPr="007723F5">
        <w:rPr>
          <w:lang w:val="en-GB"/>
        </w:rPr>
        <w:t>model</w:t>
      </w:r>
      <w:r w:rsidR="008615F1" w:rsidRPr="007723F5">
        <w:rPr>
          <w:lang w:val="en-GB"/>
        </w:rPr>
        <w:t xml:space="preserve">. </w:t>
      </w:r>
    </w:p>
    <w:p w:rsidR="006B3825" w:rsidRPr="007723F5" w:rsidRDefault="006B3825" w:rsidP="008615F1">
      <w:pPr>
        <w:spacing w:line="360" w:lineRule="auto"/>
        <w:jc w:val="both"/>
        <w:rPr>
          <w:lang w:val="en-GB"/>
        </w:rPr>
      </w:pPr>
    </w:p>
    <w:p w:rsidR="00410D78" w:rsidRPr="007723F5" w:rsidRDefault="00621288" w:rsidP="00D46ACB">
      <w:pPr>
        <w:spacing w:line="360" w:lineRule="auto"/>
        <w:jc w:val="both"/>
        <w:rPr>
          <w:lang w:val="en-GB"/>
        </w:rPr>
      </w:pPr>
      <w:r w:rsidRPr="007723F5">
        <w:rPr>
          <w:lang w:val="en-GB"/>
        </w:rPr>
        <w:t>However</w:t>
      </w:r>
      <w:r w:rsidR="00D55F53" w:rsidRPr="007723F5">
        <w:rPr>
          <w:lang w:val="en-GB"/>
        </w:rPr>
        <w:t>,</w:t>
      </w:r>
      <w:r w:rsidR="008615F1" w:rsidRPr="007723F5">
        <w:rPr>
          <w:lang w:val="en-GB"/>
        </w:rPr>
        <w:t xml:space="preserve"> the</w:t>
      </w:r>
      <w:r w:rsidR="00D55F53" w:rsidRPr="007723F5">
        <w:rPr>
          <w:lang w:val="en-GB"/>
        </w:rPr>
        <w:t xml:space="preserve"> external</w:t>
      </w:r>
      <w:r w:rsidR="008615F1" w:rsidRPr="007723F5">
        <w:rPr>
          <w:lang w:val="en-GB"/>
        </w:rPr>
        <w:t xml:space="preserve"> </w:t>
      </w:r>
      <w:r w:rsidR="00F86397" w:rsidRPr="007723F5">
        <w:rPr>
          <w:lang w:val="en-GB"/>
        </w:rPr>
        <w:t xml:space="preserve">risk </w:t>
      </w:r>
      <w:r w:rsidR="008615F1" w:rsidRPr="007723F5">
        <w:rPr>
          <w:lang w:val="en-GB"/>
        </w:rPr>
        <w:t xml:space="preserve">drivers </w:t>
      </w:r>
      <w:r w:rsidR="00D55F53" w:rsidRPr="007723F5">
        <w:rPr>
          <w:lang w:val="en-GB"/>
        </w:rPr>
        <w:t xml:space="preserve">are still believed to </w:t>
      </w:r>
      <w:r w:rsidR="008615F1" w:rsidRPr="007723F5">
        <w:rPr>
          <w:lang w:val="en-GB"/>
        </w:rPr>
        <w:t>ha</w:t>
      </w:r>
      <w:r w:rsidR="00410D78" w:rsidRPr="007723F5">
        <w:rPr>
          <w:lang w:val="en-GB"/>
        </w:rPr>
        <w:t>ve had</w:t>
      </w:r>
      <w:r w:rsidR="008615F1" w:rsidRPr="007723F5">
        <w:rPr>
          <w:lang w:val="en-GB"/>
        </w:rPr>
        <w:t xml:space="preserve"> an impact on the customer behaviour. </w:t>
      </w:r>
      <w:r w:rsidR="00410D78" w:rsidRPr="007723F5">
        <w:rPr>
          <w:lang w:val="en-GB"/>
        </w:rPr>
        <w:t>From t</w:t>
      </w:r>
      <w:r w:rsidR="008615F1" w:rsidRPr="007723F5">
        <w:rPr>
          <w:lang w:val="en-GB"/>
        </w:rPr>
        <w:t xml:space="preserve">he current dataset, the effect of the internal process </w:t>
      </w:r>
      <w:r w:rsidR="00D55F53" w:rsidRPr="007723F5">
        <w:rPr>
          <w:lang w:val="en-GB"/>
        </w:rPr>
        <w:t xml:space="preserve">improvements </w:t>
      </w:r>
      <w:r w:rsidR="008615F1" w:rsidRPr="007723F5">
        <w:rPr>
          <w:lang w:val="en-GB"/>
        </w:rPr>
        <w:t>cannot be filtered out</w:t>
      </w:r>
      <w:r w:rsidR="00D55F53" w:rsidRPr="007723F5">
        <w:rPr>
          <w:lang w:val="en-GB"/>
        </w:rPr>
        <w:t>, but</w:t>
      </w:r>
      <w:r w:rsidR="00410D78" w:rsidRPr="007723F5">
        <w:rPr>
          <w:lang w:val="en-GB"/>
        </w:rPr>
        <w:t xml:space="preserve"> a new model can be created in which the external drivers are </w:t>
      </w:r>
      <w:r w:rsidR="00D55F53" w:rsidRPr="007723F5">
        <w:rPr>
          <w:lang w:val="en-GB"/>
        </w:rPr>
        <w:t>forced</w:t>
      </w:r>
      <w:r w:rsidR="00410D78" w:rsidRPr="007723F5">
        <w:rPr>
          <w:lang w:val="en-GB"/>
        </w:rPr>
        <w:t xml:space="preserve"> in</w:t>
      </w:r>
      <w:r w:rsidR="00D55F53" w:rsidRPr="007723F5">
        <w:rPr>
          <w:lang w:val="en-GB"/>
        </w:rPr>
        <w:t>to</w:t>
      </w:r>
      <w:r w:rsidR="00410D78" w:rsidRPr="007723F5">
        <w:rPr>
          <w:lang w:val="en-GB"/>
        </w:rPr>
        <w:t xml:space="preserve"> the multivariate regression</w:t>
      </w:r>
      <w:r w:rsidR="00D55F53" w:rsidRPr="007723F5">
        <w:rPr>
          <w:lang w:val="en-GB"/>
        </w:rPr>
        <w:t>, even though they were rejected in the univariate analysis</w:t>
      </w:r>
      <w:r w:rsidR="00410D78" w:rsidRPr="007723F5">
        <w:rPr>
          <w:lang w:val="en-GB"/>
        </w:rPr>
        <w:t xml:space="preserve">. </w:t>
      </w:r>
      <w:r w:rsidR="00D55F53" w:rsidRPr="007723F5">
        <w:rPr>
          <w:lang w:val="en-GB"/>
        </w:rPr>
        <w:t xml:space="preserve">It turns out that </w:t>
      </w:r>
      <w:r w:rsidR="00D46ACB" w:rsidRPr="007723F5">
        <w:rPr>
          <w:lang w:val="en-GB"/>
        </w:rPr>
        <w:t xml:space="preserve">the external variables </w:t>
      </w:r>
      <w:r w:rsidR="00D55F53" w:rsidRPr="007723F5">
        <w:rPr>
          <w:lang w:val="en-GB"/>
        </w:rPr>
        <w:t xml:space="preserve">do </w:t>
      </w:r>
      <w:r w:rsidR="00D46ACB" w:rsidRPr="007723F5">
        <w:rPr>
          <w:lang w:val="en-GB"/>
        </w:rPr>
        <w:t xml:space="preserve">add value to the model. </w:t>
      </w:r>
      <w:r w:rsidR="00775F8C" w:rsidRPr="007723F5">
        <w:rPr>
          <w:lang w:val="en-GB"/>
        </w:rPr>
        <w:t>T</w:t>
      </w:r>
      <w:r w:rsidR="00D46ACB" w:rsidRPr="007723F5">
        <w:rPr>
          <w:lang w:val="en-GB"/>
        </w:rPr>
        <w:t>he discriminative power of the model does not change with respect to the mod</w:t>
      </w:r>
      <w:r w:rsidR="00D55F53" w:rsidRPr="007723F5">
        <w:rPr>
          <w:lang w:val="en-GB"/>
        </w:rPr>
        <w:t xml:space="preserve">el without the external drivers, </w:t>
      </w:r>
      <w:r w:rsidR="00775F8C" w:rsidRPr="007723F5">
        <w:rPr>
          <w:lang w:val="en-GB"/>
        </w:rPr>
        <w:t xml:space="preserve">but </w:t>
      </w:r>
      <w:r w:rsidR="00D46ACB" w:rsidRPr="007723F5">
        <w:rPr>
          <w:lang w:val="en-GB"/>
        </w:rPr>
        <w:t xml:space="preserve">the fit between the model </w:t>
      </w:r>
      <w:r w:rsidR="00D55F53" w:rsidRPr="007723F5">
        <w:rPr>
          <w:lang w:val="en-GB"/>
        </w:rPr>
        <w:t xml:space="preserve">prediction </w:t>
      </w:r>
      <w:r w:rsidR="00D46ACB" w:rsidRPr="007723F5">
        <w:rPr>
          <w:lang w:val="en-GB"/>
        </w:rPr>
        <w:t xml:space="preserve">and </w:t>
      </w:r>
      <w:r w:rsidR="001C64E0" w:rsidRPr="007723F5">
        <w:rPr>
          <w:lang w:val="en-GB"/>
        </w:rPr>
        <w:t>the observed defaults improved</w:t>
      </w:r>
      <w:r w:rsidR="00D46ACB" w:rsidRPr="007723F5">
        <w:rPr>
          <w:lang w:val="en-GB"/>
        </w:rPr>
        <w:t>. Moreover, the predicted PD of</w:t>
      </w:r>
      <w:r w:rsidR="00D55F53" w:rsidRPr="007723F5">
        <w:rPr>
          <w:lang w:val="en-GB"/>
        </w:rPr>
        <w:t xml:space="preserve"> the model that includes</w:t>
      </w:r>
      <w:r w:rsidR="00410D78" w:rsidRPr="007723F5">
        <w:rPr>
          <w:lang w:val="en-GB"/>
        </w:rPr>
        <w:t xml:space="preserve"> external drivers increases faster </w:t>
      </w:r>
      <w:r w:rsidR="00775F8C" w:rsidRPr="007723F5">
        <w:rPr>
          <w:lang w:val="en-GB"/>
        </w:rPr>
        <w:t>as of the start of 2012</w:t>
      </w:r>
      <w:r w:rsidR="00F86397" w:rsidRPr="007723F5">
        <w:rPr>
          <w:lang w:val="en-GB"/>
        </w:rPr>
        <w:t xml:space="preserve"> </w:t>
      </w:r>
      <w:r w:rsidR="00410D78" w:rsidRPr="007723F5">
        <w:rPr>
          <w:lang w:val="en-GB"/>
        </w:rPr>
        <w:t xml:space="preserve">than the PD of the model </w:t>
      </w:r>
      <w:r w:rsidR="00F86397" w:rsidRPr="007723F5">
        <w:rPr>
          <w:lang w:val="en-GB"/>
        </w:rPr>
        <w:t xml:space="preserve">that excludes </w:t>
      </w:r>
      <w:r w:rsidR="00410D78" w:rsidRPr="007723F5">
        <w:rPr>
          <w:lang w:val="en-GB"/>
        </w:rPr>
        <w:t>external drivers.</w:t>
      </w:r>
      <w:r w:rsidR="00D46ACB" w:rsidRPr="007723F5">
        <w:rPr>
          <w:lang w:val="en-GB"/>
        </w:rPr>
        <w:t xml:space="preserve"> </w:t>
      </w:r>
      <w:r w:rsidR="001C64E0" w:rsidRPr="007723F5">
        <w:rPr>
          <w:lang w:val="en-GB"/>
        </w:rPr>
        <w:t>Hence, t</w:t>
      </w:r>
      <w:r w:rsidR="00410D78" w:rsidRPr="007723F5">
        <w:rPr>
          <w:lang w:val="en-GB"/>
        </w:rPr>
        <w:t xml:space="preserve">he new model that includes external </w:t>
      </w:r>
      <w:r w:rsidR="00F86397" w:rsidRPr="007723F5">
        <w:rPr>
          <w:lang w:val="en-GB"/>
        </w:rPr>
        <w:t xml:space="preserve">risk </w:t>
      </w:r>
      <w:r w:rsidR="00410D78" w:rsidRPr="007723F5">
        <w:rPr>
          <w:lang w:val="en-GB"/>
        </w:rPr>
        <w:t xml:space="preserve">drivers is picking up both the </w:t>
      </w:r>
      <w:r w:rsidR="00F86397" w:rsidRPr="007723F5">
        <w:rPr>
          <w:lang w:val="en-GB"/>
        </w:rPr>
        <w:t xml:space="preserve">internal </w:t>
      </w:r>
      <w:r w:rsidR="00410D78" w:rsidRPr="007723F5">
        <w:rPr>
          <w:lang w:val="en-GB"/>
        </w:rPr>
        <w:t xml:space="preserve">process improvement (decrease in PD) and the </w:t>
      </w:r>
      <w:r w:rsidR="00F86397" w:rsidRPr="007723F5">
        <w:rPr>
          <w:lang w:val="en-GB"/>
        </w:rPr>
        <w:t xml:space="preserve">external </w:t>
      </w:r>
      <w:r w:rsidR="006B3825" w:rsidRPr="007723F5">
        <w:rPr>
          <w:lang w:val="en-GB"/>
        </w:rPr>
        <w:t>crisis effect (increase in PD).</w:t>
      </w:r>
    </w:p>
    <w:p w:rsidR="00621288" w:rsidRPr="007723F5" w:rsidRDefault="00621288" w:rsidP="00D46ACB">
      <w:pPr>
        <w:spacing w:line="360" w:lineRule="auto"/>
        <w:jc w:val="both"/>
        <w:rPr>
          <w:lang w:val="en-GB"/>
        </w:rPr>
      </w:pPr>
    </w:p>
    <w:p w:rsidR="00621288" w:rsidRPr="007723F5" w:rsidRDefault="00F7539B" w:rsidP="00D46ACB">
      <w:pPr>
        <w:spacing w:line="360" w:lineRule="auto"/>
        <w:jc w:val="both"/>
        <w:rPr>
          <w:lang w:val="en-GB"/>
        </w:rPr>
      </w:pPr>
      <w:r w:rsidRPr="007723F5">
        <w:rPr>
          <w:lang w:val="en-GB"/>
        </w:rPr>
        <w:t>From the results presented in this paper</w:t>
      </w:r>
      <w:r w:rsidR="00DF45B1" w:rsidRPr="007723F5">
        <w:rPr>
          <w:lang w:val="en-GB"/>
        </w:rPr>
        <w:t xml:space="preserve">, </w:t>
      </w:r>
      <w:r w:rsidRPr="007723F5">
        <w:rPr>
          <w:lang w:val="en-GB"/>
        </w:rPr>
        <w:t xml:space="preserve">it can be concluded that </w:t>
      </w:r>
      <w:r w:rsidR="00DF45B1" w:rsidRPr="007723F5">
        <w:rPr>
          <w:lang w:val="en-GB"/>
        </w:rPr>
        <w:t xml:space="preserve">PD modelling </w:t>
      </w:r>
      <w:r w:rsidRPr="007723F5">
        <w:rPr>
          <w:lang w:val="en-GB"/>
        </w:rPr>
        <w:t xml:space="preserve">based on internal risk drivers </w:t>
      </w:r>
      <w:r w:rsidR="00DF45B1" w:rsidRPr="007723F5">
        <w:rPr>
          <w:lang w:val="en-GB"/>
        </w:rPr>
        <w:t>can be improved by including external risk drivers in the multivariate analysis</w:t>
      </w:r>
      <w:r w:rsidR="0036109E" w:rsidRPr="007723F5">
        <w:rPr>
          <w:lang w:val="en-GB"/>
        </w:rPr>
        <w:t>. These external risk drivers apply uniformly to the whole mortgage portfolio</w:t>
      </w:r>
      <w:r w:rsidR="00DF45B1" w:rsidRPr="007723F5">
        <w:rPr>
          <w:lang w:val="en-GB"/>
        </w:rPr>
        <w:t>,</w:t>
      </w:r>
      <w:r w:rsidR="0036109E" w:rsidRPr="007723F5">
        <w:rPr>
          <w:lang w:val="en-GB"/>
        </w:rPr>
        <w:t xml:space="preserve"> but change over time, yielding</w:t>
      </w:r>
      <w:r w:rsidR="00DF45B1" w:rsidRPr="007723F5">
        <w:rPr>
          <w:lang w:val="en-GB"/>
        </w:rPr>
        <w:t xml:space="preserve"> a better point-in-time (PIT) approximation of the probability of default (PD). </w:t>
      </w:r>
      <w:r w:rsidR="00621288" w:rsidRPr="007723F5">
        <w:rPr>
          <w:lang w:val="en-GB"/>
        </w:rPr>
        <w:t xml:space="preserve">Future research will be based on further </w:t>
      </w:r>
      <w:r w:rsidR="0036109E" w:rsidRPr="007723F5">
        <w:rPr>
          <w:lang w:val="en-GB"/>
        </w:rPr>
        <w:t>enhancement</w:t>
      </w:r>
      <w:r w:rsidR="00621288" w:rsidRPr="007723F5">
        <w:rPr>
          <w:lang w:val="en-GB"/>
        </w:rPr>
        <w:t xml:space="preserve"> of PD models</w:t>
      </w:r>
      <w:r w:rsidR="0036109E" w:rsidRPr="007723F5">
        <w:rPr>
          <w:lang w:val="en-GB"/>
        </w:rPr>
        <w:t>,</w:t>
      </w:r>
      <w:r w:rsidR="00621288" w:rsidRPr="007723F5">
        <w:rPr>
          <w:lang w:val="en-GB"/>
        </w:rPr>
        <w:t xml:space="preserve"> includ</w:t>
      </w:r>
      <w:r w:rsidR="0036109E" w:rsidRPr="007723F5">
        <w:rPr>
          <w:lang w:val="en-GB"/>
        </w:rPr>
        <w:t>ing</w:t>
      </w:r>
      <w:r w:rsidR="00621288" w:rsidRPr="007723F5">
        <w:rPr>
          <w:lang w:val="en-GB"/>
        </w:rPr>
        <w:t xml:space="preserve"> </w:t>
      </w:r>
      <w:r w:rsidRPr="007723F5">
        <w:rPr>
          <w:lang w:val="en-GB"/>
        </w:rPr>
        <w:t xml:space="preserve">more </w:t>
      </w:r>
      <w:r w:rsidR="00621288" w:rsidRPr="007723F5">
        <w:rPr>
          <w:lang w:val="en-GB"/>
        </w:rPr>
        <w:t>external market risk drivers and including more recent observed into-defaults to verify the results.</w:t>
      </w:r>
    </w:p>
    <w:p w:rsidR="00DA798E" w:rsidRPr="007723F5" w:rsidRDefault="00DA798E" w:rsidP="004C53BD">
      <w:pPr>
        <w:autoSpaceDE w:val="0"/>
        <w:autoSpaceDN w:val="0"/>
        <w:adjustRightInd w:val="0"/>
        <w:spacing w:line="360" w:lineRule="auto"/>
        <w:jc w:val="center"/>
        <w:rPr>
          <w:sz w:val="23"/>
          <w:szCs w:val="23"/>
          <w:lang w:val="en-GB"/>
        </w:rPr>
      </w:pPr>
    </w:p>
    <w:p w:rsidR="00DA798E" w:rsidRPr="007723F5" w:rsidRDefault="00DA798E" w:rsidP="004C53BD">
      <w:pPr>
        <w:autoSpaceDE w:val="0"/>
        <w:autoSpaceDN w:val="0"/>
        <w:adjustRightInd w:val="0"/>
        <w:spacing w:line="360" w:lineRule="auto"/>
        <w:jc w:val="center"/>
        <w:rPr>
          <w:b/>
          <w:sz w:val="23"/>
          <w:szCs w:val="23"/>
          <w:lang w:val="en-GB"/>
        </w:rPr>
      </w:pPr>
    </w:p>
    <w:p w:rsidR="00C022CE" w:rsidRPr="007723F5" w:rsidRDefault="004C53BD" w:rsidP="003A723E">
      <w:pPr>
        <w:pStyle w:val="1"/>
        <w:pageBreakBefore/>
        <w:numPr>
          <w:ilvl w:val="0"/>
          <w:numId w:val="0"/>
        </w:numPr>
        <w:rPr>
          <w:lang w:val="en-GB"/>
        </w:rPr>
      </w:pPr>
      <w:r w:rsidRPr="007723F5">
        <w:rPr>
          <w:lang w:val="en-GB"/>
        </w:rPr>
        <w:lastRenderedPageBreak/>
        <w:t>F</w:t>
      </w:r>
      <w:r w:rsidR="003A723E" w:rsidRPr="007723F5">
        <w:rPr>
          <w:lang w:val="en-GB"/>
        </w:rPr>
        <w:t>igures</w:t>
      </w:r>
    </w:p>
    <w:p w:rsidR="00146202" w:rsidRPr="007723F5" w:rsidRDefault="00146202" w:rsidP="00146202">
      <w:pPr>
        <w:keepNext/>
        <w:spacing w:line="360" w:lineRule="auto"/>
      </w:pPr>
    </w:p>
    <w:p w:rsidR="0071629A" w:rsidRPr="007723F5" w:rsidRDefault="00380B4D" w:rsidP="0071629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sidRPr="007723F5">
        <w:rPr>
          <w:noProof/>
          <w:lang w:val="el-GR" w:eastAsia="el-GR"/>
        </w:rPr>
        <w:drawing>
          <wp:inline distT="0" distB="0" distL="0" distR="0">
            <wp:extent cx="5457190" cy="1974850"/>
            <wp:effectExtent l="19050" t="0" r="0" b="0"/>
            <wp:docPr id="15" name="Εικόνα 15" descr="GDP 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P both"/>
                    <pic:cNvPicPr>
                      <a:picLocks noChangeAspect="1" noChangeArrowheads="1"/>
                    </pic:cNvPicPr>
                  </pic:nvPicPr>
                  <pic:blipFill>
                    <a:blip r:embed="rId38"/>
                    <a:srcRect/>
                    <a:stretch>
                      <a:fillRect/>
                    </a:stretch>
                  </pic:blipFill>
                  <pic:spPr bwMode="auto">
                    <a:xfrm>
                      <a:off x="0" y="0"/>
                      <a:ext cx="5457190" cy="1974850"/>
                    </a:xfrm>
                    <a:prstGeom prst="rect">
                      <a:avLst/>
                    </a:prstGeom>
                    <a:noFill/>
                    <a:ln w="9525">
                      <a:noFill/>
                      <a:miter lim="800000"/>
                      <a:headEnd/>
                      <a:tailEnd/>
                    </a:ln>
                  </pic:spPr>
                </pic:pic>
              </a:graphicData>
            </a:graphic>
          </wp:inline>
        </w:drawing>
      </w:r>
    </w:p>
    <w:p w:rsidR="0071629A" w:rsidRPr="007723F5" w:rsidRDefault="0071629A" w:rsidP="0071629A">
      <w:pPr>
        <w:pStyle w:val="ad"/>
        <w:ind w:left="1134" w:right="1089"/>
        <w:jc w:val="center"/>
        <w:rPr>
          <w:lang w:val="en-GB"/>
        </w:rPr>
      </w:pPr>
      <w:bookmarkStart w:id="19" w:name="_Ref349083656"/>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1</w:t>
      </w:r>
      <w:r w:rsidR="00467C98" w:rsidRPr="007723F5">
        <w:rPr>
          <w:noProof/>
        </w:rPr>
        <w:fldChar w:fldCharType="end"/>
      </w:r>
      <w:bookmarkEnd w:id="19"/>
      <w:r w:rsidRPr="007723F5">
        <w:t>: Development over time of (a) GDP in the Netherlands since 1980; (b) annual growth rate of GDP since 2000.</w:t>
      </w:r>
    </w:p>
    <w:p w:rsidR="0071629A" w:rsidRPr="007723F5" w:rsidRDefault="0071629A" w:rsidP="00146202">
      <w:pPr>
        <w:keepNext/>
        <w:spacing w:line="360" w:lineRule="auto"/>
      </w:pPr>
    </w:p>
    <w:p w:rsidR="0071629A" w:rsidRPr="007723F5" w:rsidRDefault="00380B4D" w:rsidP="0071629A">
      <w:pPr>
        <w:pStyle w:val="Web"/>
        <w:keepNext/>
        <w:spacing w:line="360" w:lineRule="auto"/>
        <w:jc w:val="center"/>
        <w:rPr>
          <w:color w:val="auto"/>
        </w:rPr>
      </w:pPr>
      <w:r w:rsidRPr="007723F5">
        <w:rPr>
          <w:rFonts w:ascii="Times New Roman" w:eastAsia="MS Mincho" w:hAnsi="Times New Roman"/>
          <w:noProof/>
          <w:color w:val="auto"/>
          <w:sz w:val="24"/>
          <w:szCs w:val="24"/>
          <w:lang w:val="el-GR" w:eastAsia="el-GR"/>
        </w:rPr>
        <w:drawing>
          <wp:inline distT="0" distB="0" distL="0" distR="0">
            <wp:extent cx="5420360" cy="1858010"/>
            <wp:effectExtent l="19050" t="0" r="8890" b="0"/>
            <wp:docPr id="16" name="Εικόνα 16" descr="unemployment and house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employment and house price"/>
                    <pic:cNvPicPr>
                      <a:picLocks noChangeAspect="1" noChangeArrowheads="1"/>
                    </pic:cNvPicPr>
                  </pic:nvPicPr>
                  <pic:blipFill>
                    <a:blip r:embed="rId39"/>
                    <a:srcRect/>
                    <a:stretch>
                      <a:fillRect/>
                    </a:stretch>
                  </pic:blipFill>
                  <pic:spPr bwMode="auto">
                    <a:xfrm>
                      <a:off x="0" y="0"/>
                      <a:ext cx="5420360" cy="1858010"/>
                    </a:xfrm>
                    <a:prstGeom prst="rect">
                      <a:avLst/>
                    </a:prstGeom>
                    <a:noFill/>
                    <a:ln w="9525">
                      <a:noFill/>
                      <a:miter lim="800000"/>
                      <a:headEnd/>
                      <a:tailEnd/>
                    </a:ln>
                  </pic:spPr>
                </pic:pic>
              </a:graphicData>
            </a:graphic>
          </wp:inline>
        </w:drawing>
      </w:r>
    </w:p>
    <w:p w:rsidR="0071629A" w:rsidRPr="007723F5" w:rsidRDefault="0071629A" w:rsidP="0071629A">
      <w:pPr>
        <w:pStyle w:val="ad"/>
        <w:ind w:left="1134" w:right="1089"/>
        <w:jc w:val="center"/>
        <w:rPr>
          <w:rFonts w:ascii="Times New Roman" w:eastAsia="MS Mincho" w:hAnsi="Times New Roman"/>
          <w:sz w:val="24"/>
          <w:szCs w:val="24"/>
          <w:lang w:val="en-GB" w:eastAsia="ja-JP"/>
        </w:rPr>
      </w:pPr>
      <w:bookmarkStart w:id="20" w:name="_Ref349084720"/>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2</w:t>
      </w:r>
      <w:r w:rsidR="00467C98" w:rsidRPr="007723F5">
        <w:rPr>
          <w:noProof/>
        </w:rPr>
        <w:fldChar w:fldCharType="end"/>
      </w:r>
      <w:bookmarkEnd w:id="20"/>
      <w:r w:rsidRPr="007723F5">
        <w:t xml:space="preserve">: Development over time of (a) unemployment rate in the Netherlands since 2000; (b) </w:t>
      </w:r>
      <w:r w:rsidR="002751F6" w:rsidRPr="007723F5">
        <w:t>average house price since 1980.</w:t>
      </w:r>
    </w:p>
    <w:p w:rsidR="0071629A" w:rsidRPr="007723F5" w:rsidRDefault="0071629A" w:rsidP="00146202">
      <w:pPr>
        <w:keepNext/>
        <w:spacing w:line="360" w:lineRule="auto"/>
      </w:pPr>
    </w:p>
    <w:p w:rsidR="00CE3AEA" w:rsidRPr="007723F5" w:rsidRDefault="00380B4D" w:rsidP="00CE3AEA">
      <w:pPr>
        <w:keepNext/>
        <w:spacing w:line="360" w:lineRule="auto"/>
        <w:jc w:val="center"/>
      </w:pPr>
      <w:r w:rsidRPr="007723F5">
        <w:rPr>
          <w:noProof/>
          <w:szCs w:val="22"/>
          <w:lang w:val="el-GR" w:eastAsia="el-GR"/>
        </w:rPr>
        <w:drawing>
          <wp:inline distT="0" distB="0" distL="0" distR="0">
            <wp:extent cx="3591560" cy="1638300"/>
            <wp:effectExtent l="19050" t="0" r="8890" b="0"/>
            <wp:docPr id="17" name="Picture 32" descr="dutch illiquid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utch illiquidity"/>
                    <pic:cNvPicPr>
                      <a:picLocks noChangeAspect="1" noChangeArrowheads="1"/>
                    </pic:cNvPicPr>
                  </pic:nvPicPr>
                  <pic:blipFill>
                    <a:blip r:embed="rId40"/>
                    <a:srcRect/>
                    <a:stretch>
                      <a:fillRect/>
                    </a:stretch>
                  </pic:blipFill>
                  <pic:spPr bwMode="auto">
                    <a:xfrm>
                      <a:off x="0" y="0"/>
                      <a:ext cx="3591560" cy="1638300"/>
                    </a:xfrm>
                    <a:prstGeom prst="rect">
                      <a:avLst/>
                    </a:prstGeom>
                    <a:noFill/>
                    <a:ln w="9525">
                      <a:noFill/>
                      <a:miter lim="800000"/>
                      <a:headEnd/>
                      <a:tailEnd/>
                    </a:ln>
                  </pic:spPr>
                </pic:pic>
              </a:graphicData>
            </a:graphic>
          </wp:inline>
        </w:drawing>
      </w:r>
    </w:p>
    <w:p w:rsidR="00CE3AEA" w:rsidRPr="007723F5" w:rsidRDefault="00CE3AEA" w:rsidP="00CE3AEA">
      <w:pPr>
        <w:pStyle w:val="ad"/>
        <w:ind w:left="1134" w:right="1089"/>
        <w:jc w:val="center"/>
        <w:rPr>
          <w:noProof/>
          <w:szCs w:val="22"/>
          <w:lang w:val="en-GB" w:eastAsia="en-GB"/>
        </w:rPr>
      </w:pPr>
      <w:bookmarkStart w:id="21" w:name="_Ref379402415"/>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3</w:t>
      </w:r>
      <w:r w:rsidR="00467C98" w:rsidRPr="007723F5">
        <w:rPr>
          <w:noProof/>
        </w:rPr>
        <w:fldChar w:fldCharType="end"/>
      </w:r>
      <w:bookmarkEnd w:id="21"/>
      <w:r w:rsidRPr="007723F5">
        <w:t>: Monthly illiquidity and 12-months moving average in the Dutch stock market (January 2000 - March 2013).</w:t>
      </w:r>
    </w:p>
    <w:p w:rsidR="00CE3AEA" w:rsidRPr="007723F5" w:rsidRDefault="00CE3AEA" w:rsidP="00146202">
      <w:pPr>
        <w:keepNext/>
        <w:spacing w:line="360" w:lineRule="auto"/>
      </w:pPr>
    </w:p>
    <w:p w:rsidR="00146202" w:rsidRPr="007723F5" w:rsidRDefault="00380B4D" w:rsidP="00146202">
      <w:pPr>
        <w:keepNext/>
        <w:spacing w:line="360" w:lineRule="auto"/>
        <w:jc w:val="center"/>
      </w:pPr>
      <w:r w:rsidRPr="007723F5">
        <w:rPr>
          <w:noProof/>
          <w:lang w:val="el-GR" w:eastAsia="el-GR"/>
        </w:rPr>
        <w:drawing>
          <wp:inline distT="0" distB="0" distL="0" distR="0">
            <wp:extent cx="3343275" cy="2165350"/>
            <wp:effectExtent l="19050" t="0" r="9525" b="0"/>
            <wp:docPr id="18" name="Εικόνα 18" descr="L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TV"/>
                    <pic:cNvPicPr>
                      <a:picLocks noChangeAspect="1" noChangeArrowheads="1"/>
                    </pic:cNvPicPr>
                  </pic:nvPicPr>
                  <pic:blipFill>
                    <a:blip r:embed="rId41"/>
                    <a:srcRect/>
                    <a:stretch>
                      <a:fillRect/>
                    </a:stretch>
                  </pic:blipFill>
                  <pic:spPr bwMode="auto">
                    <a:xfrm>
                      <a:off x="0" y="0"/>
                      <a:ext cx="3343275" cy="2165350"/>
                    </a:xfrm>
                    <a:prstGeom prst="rect">
                      <a:avLst/>
                    </a:prstGeom>
                    <a:noFill/>
                    <a:ln w="9525">
                      <a:noFill/>
                      <a:miter lim="800000"/>
                      <a:headEnd/>
                      <a:tailEnd/>
                    </a:ln>
                  </pic:spPr>
                </pic:pic>
              </a:graphicData>
            </a:graphic>
          </wp:inline>
        </w:drawing>
      </w:r>
    </w:p>
    <w:p w:rsidR="00146202" w:rsidRPr="007723F5" w:rsidRDefault="00146202" w:rsidP="00146202">
      <w:pPr>
        <w:pStyle w:val="ad"/>
        <w:ind w:left="1134" w:right="1089"/>
        <w:jc w:val="center"/>
        <w:rPr>
          <w:noProof/>
          <w:szCs w:val="22"/>
          <w:lang w:val="en-GB" w:eastAsia="en-GB"/>
        </w:rPr>
      </w:pPr>
      <w:bookmarkStart w:id="22" w:name="_Ref379402068"/>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4</w:t>
      </w:r>
      <w:r w:rsidR="00467C98" w:rsidRPr="007723F5">
        <w:rPr>
          <w:noProof/>
        </w:rPr>
        <w:fldChar w:fldCharType="end"/>
      </w:r>
      <w:bookmarkEnd w:id="22"/>
      <w:r w:rsidRPr="007723F5">
        <w:t>: Best fit line for the internal driver representing the loan-to-value (LTV) at reporting date.</w:t>
      </w:r>
    </w:p>
    <w:p w:rsidR="004A1CB3" w:rsidRPr="007723F5" w:rsidRDefault="004A1CB3" w:rsidP="0017540B">
      <w:pPr>
        <w:keepNext/>
        <w:spacing w:line="360" w:lineRule="auto"/>
        <w:jc w:val="center"/>
      </w:pPr>
    </w:p>
    <w:p w:rsidR="004A1CB3" w:rsidRPr="007723F5" w:rsidRDefault="00380B4D" w:rsidP="004A1CB3">
      <w:pPr>
        <w:keepNext/>
        <w:spacing w:line="360" w:lineRule="auto"/>
        <w:jc w:val="center"/>
      </w:pPr>
      <w:r w:rsidRPr="007723F5">
        <w:rPr>
          <w:noProof/>
          <w:sz w:val="23"/>
          <w:szCs w:val="23"/>
          <w:lang w:val="el-GR" w:eastAsia="el-GR"/>
        </w:rPr>
        <w:drawing>
          <wp:inline distT="0" distB="0" distL="0" distR="0">
            <wp:extent cx="3482340" cy="2296795"/>
            <wp:effectExtent l="19050" t="0" r="3810" b="0"/>
            <wp:docPr id="19" name="Εικόνα 19" descr="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TI"/>
                    <pic:cNvPicPr>
                      <a:picLocks noChangeAspect="1" noChangeArrowheads="1"/>
                    </pic:cNvPicPr>
                  </pic:nvPicPr>
                  <pic:blipFill>
                    <a:blip r:embed="rId42"/>
                    <a:srcRect/>
                    <a:stretch>
                      <a:fillRect/>
                    </a:stretch>
                  </pic:blipFill>
                  <pic:spPr bwMode="auto">
                    <a:xfrm>
                      <a:off x="0" y="0"/>
                      <a:ext cx="3482340" cy="2296795"/>
                    </a:xfrm>
                    <a:prstGeom prst="rect">
                      <a:avLst/>
                    </a:prstGeom>
                    <a:noFill/>
                    <a:ln w="9525">
                      <a:noFill/>
                      <a:miter lim="800000"/>
                      <a:headEnd/>
                      <a:tailEnd/>
                    </a:ln>
                  </pic:spPr>
                </pic:pic>
              </a:graphicData>
            </a:graphic>
          </wp:inline>
        </w:drawing>
      </w:r>
    </w:p>
    <w:p w:rsidR="004A1CB3" w:rsidRPr="007723F5" w:rsidRDefault="004A1CB3" w:rsidP="004A1CB3">
      <w:pPr>
        <w:pStyle w:val="ad"/>
        <w:ind w:left="1134" w:right="1089"/>
        <w:jc w:val="center"/>
        <w:rPr>
          <w:noProof/>
          <w:szCs w:val="22"/>
          <w:lang w:val="en-GB" w:eastAsia="en-GB"/>
        </w:rPr>
      </w:pPr>
      <w:bookmarkStart w:id="23" w:name="_Ref379402144"/>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5</w:t>
      </w:r>
      <w:r w:rsidR="00467C98" w:rsidRPr="007723F5">
        <w:rPr>
          <w:noProof/>
        </w:rPr>
        <w:fldChar w:fldCharType="end"/>
      </w:r>
      <w:bookmarkEnd w:id="23"/>
      <w:r w:rsidRPr="007723F5">
        <w:t>: Best fit line for the internal risk driver representing the interest-to-income (ITI).</w:t>
      </w:r>
    </w:p>
    <w:p w:rsidR="004A1CB3" w:rsidRPr="007723F5" w:rsidRDefault="004A1CB3" w:rsidP="00883BEC">
      <w:pPr>
        <w:autoSpaceDE w:val="0"/>
        <w:autoSpaceDN w:val="0"/>
        <w:adjustRightInd w:val="0"/>
        <w:spacing w:line="360" w:lineRule="auto"/>
        <w:jc w:val="center"/>
        <w:rPr>
          <w:sz w:val="23"/>
          <w:szCs w:val="23"/>
          <w:lang w:val="en-US"/>
        </w:rPr>
      </w:pPr>
    </w:p>
    <w:p w:rsidR="00F86397" w:rsidRPr="007723F5" w:rsidRDefault="00380B4D" w:rsidP="00F86397">
      <w:pPr>
        <w:keepNext/>
        <w:spacing w:line="360" w:lineRule="auto"/>
        <w:jc w:val="center"/>
      </w:pPr>
      <w:r w:rsidRPr="007723F5">
        <w:rPr>
          <w:noProof/>
          <w:lang w:val="el-GR" w:eastAsia="el-GR"/>
        </w:rPr>
        <w:lastRenderedPageBreak/>
        <w:drawing>
          <wp:inline distT="0" distB="0" distL="0" distR="0">
            <wp:extent cx="3423285" cy="2326005"/>
            <wp:effectExtent l="19050" t="0" r="5715" b="0"/>
            <wp:docPr id="20" name="Εικόνα 20" descr="last delin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st delinquency"/>
                    <pic:cNvPicPr>
                      <a:picLocks noChangeAspect="1" noChangeArrowheads="1"/>
                    </pic:cNvPicPr>
                  </pic:nvPicPr>
                  <pic:blipFill>
                    <a:blip r:embed="rId43"/>
                    <a:srcRect/>
                    <a:stretch>
                      <a:fillRect/>
                    </a:stretch>
                  </pic:blipFill>
                  <pic:spPr bwMode="auto">
                    <a:xfrm>
                      <a:off x="0" y="0"/>
                      <a:ext cx="3423285" cy="2326005"/>
                    </a:xfrm>
                    <a:prstGeom prst="rect">
                      <a:avLst/>
                    </a:prstGeom>
                    <a:noFill/>
                    <a:ln w="9525">
                      <a:noFill/>
                      <a:miter lim="800000"/>
                      <a:headEnd/>
                      <a:tailEnd/>
                    </a:ln>
                  </pic:spPr>
                </pic:pic>
              </a:graphicData>
            </a:graphic>
          </wp:inline>
        </w:drawing>
      </w:r>
    </w:p>
    <w:p w:rsidR="00472340" w:rsidRPr="007723F5" w:rsidRDefault="00F86397" w:rsidP="002D6F21">
      <w:pPr>
        <w:pStyle w:val="ad"/>
        <w:ind w:left="1134" w:right="1089"/>
        <w:jc w:val="center"/>
      </w:pPr>
      <w:bookmarkStart w:id="24" w:name="_Ref379402181"/>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6</w:t>
      </w:r>
      <w:r w:rsidR="00467C98" w:rsidRPr="007723F5">
        <w:rPr>
          <w:noProof/>
        </w:rPr>
        <w:fldChar w:fldCharType="end"/>
      </w:r>
      <w:bookmarkEnd w:id="24"/>
      <w:r w:rsidRPr="007723F5">
        <w:t xml:space="preserve">: Bubble plot for the internal </w:t>
      </w:r>
      <w:r w:rsidR="002D6F21" w:rsidRPr="007723F5">
        <w:t xml:space="preserve">risk </w:t>
      </w:r>
      <w:r w:rsidRPr="007723F5">
        <w:t>driver representing the number of months since last delinquency.</w:t>
      </w:r>
    </w:p>
    <w:p w:rsidR="008C7A22" w:rsidRPr="007723F5" w:rsidRDefault="008C7A22" w:rsidP="00F0525E">
      <w:pPr>
        <w:keepNext/>
        <w:spacing w:line="360" w:lineRule="auto"/>
        <w:jc w:val="center"/>
      </w:pPr>
    </w:p>
    <w:p w:rsidR="0047523F" w:rsidRPr="007723F5" w:rsidRDefault="00380B4D" w:rsidP="0047523F">
      <w:pPr>
        <w:keepNext/>
        <w:spacing w:line="360" w:lineRule="auto"/>
        <w:jc w:val="center"/>
      </w:pPr>
      <w:r w:rsidRPr="007723F5">
        <w:rPr>
          <w:noProof/>
          <w:lang w:val="el-GR" w:eastAsia="el-GR"/>
        </w:rPr>
        <w:drawing>
          <wp:inline distT="0" distB="0" distL="0" distR="0">
            <wp:extent cx="5727700" cy="2172335"/>
            <wp:effectExtent l="19050" t="0" r="6350" b="0"/>
            <wp:docPr id="21" name="Εικόνα 21" descr="illiquidity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lliquidity +GDP"/>
                    <pic:cNvPicPr>
                      <a:picLocks noChangeAspect="1" noChangeArrowheads="1"/>
                    </pic:cNvPicPr>
                  </pic:nvPicPr>
                  <pic:blipFill>
                    <a:blip r:embed="rId44"/>
                    <a:srcRect/>
                    <a:stretch>
                      <a:fillRect/>
                    </a:stretch>
                  </pic:blipFill>
                  <pic:spPr bwMode="auto">
                    <a:xfrm>
                      <a:off x="0" y="0"/>
                      <a:ext cx="5727700" cy="2172335"/>
                    </a:xfrm>
                    <a:prstGeom prst="rect">
                      <a:avLst/>
                    </a:prstGeom>
                    <a:noFill/>
                    <a:ln w="9525">
                      <a:noFill/>
                      <a:miter lim="800000"/>
                      <a:headEnd/>
                      <a:tailEnd/>
                    </a:ln>
                  </pic:spPr>
                </pic:pic>
              </a:graphicData>
            </a:graphic>
          </wp:inline>
        </w:drawing>
      </w:r>
    </w:p>
    <w:p w:rsidR="00472340" w:rsidRPr="007723F5" w:rsidRDefault="0047523F" w:rsidP="0047523F">
      <w:pPr>
        <w:pStyle w:val="ad"/>
        <w:ind w:left="1134" w:right="1089"/>
        <w:jc w:val="center"/>
        <w:rPr>
          <w:noProof/>
          <w:szCs w:val="22"/>
          <w:lang w:val="en-GB" w:eastAsia="en-GB"/>
        </w:rPr>
      </w:pPr>
      <w:bookmarkStart w:id="25" w:name="_Ref379402466"/>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7</w:t>
      </w:r>
      <w:r w:rsidR="00467C98" w:rsidRPr="007723F5">
        <w:rPr>
          <w:noProof/>
        </w:rPr>
        <w:fldChar w:fldCharType="end"/>
      </w:r>
      <w:bookmarkEnd w:id="25"/>
      <w:r w:rsidRPr="007723F5">
        <w:t xml:space="preserve">: Best fit line for the external risk driver representing </w:t>
      </w:r>
      <w:r w:rsidR="00B46DD6" w:rsidRPr="007723F5">
        <w:t xml:space="preserve">(a) </w:t>
      </w:r>
      <w:r w:rsidRPr="007723F5">
        <w:t>the Dutch stock market illiquidity</w:t>
      </w:r>
      <w:r w:rsidR="00B46DD6" w:rsidRPr="007723F5">
        <w:t>; (b) the quarterly changes in the gross domestic product (GDP) of the Netherlands</w:t>
      </w:r>
      <w:r w:rsidRPr="007723F5">
        <w:t>.</w:t>
      </w:r>
    </w:p>
    <w:p w:rsidR="005D6A54" w:rsidRPr="007723F5" w:rsidRDefault="005D6A54" w:rsidP="00E33F29">
      <w:pPr>
        <w:keepNext/>
        <w:spacing w:line="360" w:lineRule="auto"/>
        <w:jc w:val="center"/>
      </w:pPr>
    </w:p>
    <w:p w:rsidR="00146202" w:rsidRPr="007723F5" w:rsidRDefault="00380B4D" w:rsidP="00146202">
      <w:pPr>
        <w:keepNext/>
        <w:spacing w:line="360" w:lineRule="auto"/>
        <w:jc w:val="center"/>
      </w:pPr>
      <w:r w:rsidRPr="007723F5">
        <w:rPr>
          <w:noProof/>
          <w:lang w:val="el-GR" w:eastAsia="el-GR"/>
        </w:rPr>
        <w:drawing>
          <wp:inline distT="0" distB="0" distL="0" distR="0">
            <wp:extent cx="5735320" cy="2340610"/>
            <wp:effectExtent l="19050" t="0" r="0" b="0"/>
            <wp:docPr id="22" name="Εικόνα 22" descr="unemployment + hous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employment + house index"/>
                    <pic:cNvPicPr>
                      <a:picLocks noChangeAspect="1" noChangeArrowheads="1"/>
                    </pic:cNvPicPr>
                  </pic:nvPicPr>
                  <pic:blipFill>
                    <a:blip r:embed="rId45"/>
                    <a:srcRect/>
                    <a:stretch>
                      <a:fillRect/>
                    </a:stretch>
                  </pic:blipFill>
                  <pic:spPr bwMode="auto">
                    <a:xfrm>
                      <a:off x="0" y="0"/>
                      <a:ext cx="5735320" cy="2340610"/>
                    </a:xfrm>
                    <a:prstGeom prst="rect">
                      <a:avLst/>
                    </a:prstGeom>
                    <a:noFill/>
                    <a:ln w="9525">
                      <a:noFill/>
                      <a:miter lim="800000"/>
                      <a:headEnd/>
                      <a:tailEnd/>
                    </a:ln>
                  </pic:spPr>
                </pic:pic>
              </a:graphicData>
            </a:graphic>
          </wp:inline>
        </w:drawing>
      </w:r>
    </w:p>
    <w:p w:rsidR="00472340" w:rsidRPr="007723F5" w:rsidRDefault="00146202" w:rsidP="00146202">
      <w:pPr>
        <w:pStyle w:val="ad"/>
        <w:ind w:left="1134" w:right="1089"/>
        <w:jc w:val="center"/>
        <w:rPr>
          <w:noProof/>
          <w:szCs w:val="22"/>
          <w:lang w:val="en-GB" w:eastAsia="en-GB"/>
        </w:rPr>
      </w:pPr>
      <w:bookmarkStart w:id="26" w:name="_Ref379402585"/>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8</w:t>
      </w:r>
      <w:r w:rsidR="00467C98" w:rsidRPr="007723F5">
        <w:rPr>
          <w:noProof/>
        </w:rPr>
        <w:fldChar w:fldCharType="end"/>
      </w:r>
      <w:bookmarkEnd w:id="26"/>
      <w:r w:rsidRPr="007723F5">
        <w:t>: Best fit line for the external driver representing</w:t>
      </w:r>
      <w:r w:rsidR="00B46DD6" w:rsidRPr="007723F5">
        <w:t xml:space="preserve"> (a)</w:t>
      </w:r>
      <w:r w:rsidRPr="007723F5">
        <w:t xml:space="preserve"> the</w:t>
      </w:r>
      <w:r w:rsidR="003E1FFC" w:rsidRPr="007723F5">
        <w:t xml:space="preserve"> quarterly</w:t>
      </w:r>
      <w:r w:rsidRPr="007723F5">
        <w:t xml:space="preserve"> changes in the unemployment rate of the Netherlands</w:t>
      </w:r>
      <w:r w:rsidR="00B46DD6" w:rsidRPr="007723F5">
        <w:t>; (b) the house price index of the Netherlands</w:t>
      </w:r>
      <w:r w:rsidRPr="007723F5">
        <w:t>.</w:t>
      </w:r>
    </w:p>
    <w:p w:rsidR="005D6A54" w:rsidRPr="007723F5" w:rsidRDefault="005D6A54" w:rsidP="002C049E">
      <w:pPr>
        <w:keepNext/>
        <w:spacing w:line="360" w:lineRule="auto"/>
        <w:jc w:val="center"/>
      </w:pPr>
    </w:p>
    <w:p w:rsidR="00146202" w:rsidRPr="007723F5" w:rsidRDefault="00380B4D" w:rsidP="00146202">
      <w:pPr>
        <w:keepNext/>
        <w:autoSpaceDE w:val="0"/>
        <w:autoSpaceDN w:val="0"/>
        <w:adjustRightInd w:val="0"/>
        <w:spacing w:line="360" w:lineRule="auto"/>
        <w:jc w:val="center"/>
      </w:pPr>
      <w:r w:rsidRPr="007723F5">
        <w:rPr>
          <w:noProof/>
          <w:lang w:val="el-GR" w:eastAsia="el-GR"/>
        </w:rPr>
        <w:drawing>
          <wp:inline distT="0" distB="0" distL="0" distR="0">
            <wp:extent cx="4630420" cy="2275205"/>
            <wp:effectExtent l="19050" t="0" r="0" b="0"/>
            <wp:docPr id="23" name="Εικόνα 23" descr="predicted vs observed 02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dicted vs observed 02122014"/>
                    <pic:cNvPicPr>
                      <a:picLocks noChangeAspect="1" noChangeArrowheads="1"/>
                    </pic:cNvPicPr>
                  </pic:nvPicPr>
                  <pic:blipFill>
                    <a:blip r:embed="rId46" cstate="print"/>
                    <a:srcRect/>
                    <a:stretch>
                      <a:fillRect/>
                    </a:stretch>
                  </pic:blipFill>
                  <pic:spPr bwMode="auto">
                    <a:xfrm>
                      <a:off x="0" y="0"/>
                      <a:ext cx="4630420" cy="2275205"/>
                    </a:xfrm>
                    <a:prstGeom prst="rect">
                      <a:avLst/>
                    </a:prstGeom>
                    <a:noFill/>
                    <a:ln w="9525">
                      <a:noFill/>
                      <a:miter lim="800000"/>
                      <a:headEnd/>
                      <a:tailEnd/>
                    </a:ln>
                  </pic:spPr>
                </pic:pic>
              </a:graphicData>
            </a:graphic>
          </wp:inline>
        </w:drawing>
      </w:r>
    </w:p>
    <w:p w:rsidR="000E1CFB" w:rsidRPr="007723F5" w:rsidRDefault="00146202" w:rsidP="00146202">
      <w:pPr>
        <w:pStyle w:val="ad"/>
        <w:ind w:left="1134" w:right="1089"/>
        <w:jc w:val="center"/>
      </w:pPr>
      <w:bookmarkStart w:id="27" w:name="_Ref379402659"/>
      <w:r w:rsidRPr="007723F5">
        <w:t xml:space="preserve">Figure </w:t>
      </w:r>
      <w:r w:rsidR="00467C98" w:rsidRPr="007723F5">
        <w:fldChar w:fldCharType="begin"/>
      </w:r>
      <w:r w:rsidR="003F1D90" w:rsidRPr="007723F5">
        <w:instrText xml:space="preserve"> SEQ Figure \* ARABIC </w:instrText>
      </w:r>
      <w:r w:rsidR="00467C98" w:rsidRPr="007723F5">
        <w:fldChar w:fldCharType="separate"/>
      </w:r>
      <w:r w:rsidR="00B46DD6" w:rsidRPr="007723F5">
        <w:rPr>
          <w:noProof/>
        </w:rPr>
        <w:t>9</w:t>
      </w:r>
      <w:r w:rsidR="00467C98" w:rsidRPr="007723F5">
        <w:rPr>
          <w:noProof/>
        </w:rPr>
        <w:fldChar w:fldCharType="end"/>
      </w:r>
      <w:bookmarkEnd w:id="27"/>
      <w:r w:rsidRPr="007723F5">
        <w:t>: Development over time of the observed into-defaults, the predicted PDs from the model excluding external risk drivers and the predicted PDs from the model including external risk drivers.</w:t>
      </w:r>
    </w:p>
    <w:p w:rsidR="004F2274" w:rsidRPr="007723F5" w:rsidRDefault="004F2274"/>
    <w:p w:rsidR="004F2274" w:rsidRPr="007723F5" w:rsidRDefault="00703039">
      <w:pPr>
        <w:pStyle w:val="ad"/>
        <w:keepNext/>
        <w:jc w:val="center"/>
      </w:pPr>
      <w:bookmarkStart w:id="28" w:name="_Ref425705044"/>
      <w:r w:rsidRPr="007723F5">
        <w:t xml:space="preserve">Table </w:t>
      </w:r>
      <w:r w:rsidR="00467C98" w:rsidRPr="007723F5">
        <w:fldChar w:fldCharType="begin"/>
      </w:r>
      <w:r w:rsidRPr="007723F5">
        <w:instrText xml:space="preserve"> SEQ Table \* ARABIC </w:instrText>
      </w:r>
      <w:r w:rsidR="00467C98" w:rsidRPr="007723F5">
        <w:fldChar w:fldCharType="separate"/>
      </w:r>
      <w:r w:rsidR="00B46DD6" w:rsidRPr="007723F5">
        <w:rPr>
          <w:noProof/>
        </w:rPr>
        <w:t>1</w:t>
      </w:r>
      <w:r w:rsidR="00467C98" w:rsidRPr="007723F5">
        <w:fldChar w:fldCharType="end"/>
      </w:r>
      <w:bookmarkEnd w:id="28"/>
      <w:r w:rsidRPr="007723F5">
        <w:t>: Model validation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1583"/>
      </w:tblGrid>
      <w:tr w:rsidR="009C7AF7" w:rsidRPr="007723F5" w:rsidTr="009C7AF7">
        <w:trPr>
          <w:trHeight w:val="284"/>
          <w:jc w:val="center"/>
        </w:trPr>
        <w:tc>
          <w:tcPr>
            <w:tcW w:w="4181" w:type="dxa"/>
            <w:shd w:val="clear" w:color="auto" w:fill="99CCFF"/>
          </w:tcPr>
          <w:p w:rsidR="009C7AF7" w:rsidRPr="007723F5" w:rsidRDefault="009C7AF7" w:rsidP="009C7AF7">
            <w:pPr>
              <w:keepNext/>
              <w:spacing w:before="60" w:after="60"/>
              <w:ind w:left="201" w:hanging="161"/>
              <w:jc w:val="center"/>
              <w:rPr>
                <w:rFonts w:eastAsia="Times New Roman"/>
                <w:b/>
                <w:sz w:val="20"/>
                <w:szCs w:val="20"/>
                <w:lang w:val="en-GB" w:eastAsia="en-US"/>
              </w:rPr>
            </w:pPr>
            <w:r w:rsidRPr="007723F5">
              <w:rPr>
                <w:rFonts w:eastAsia="Times New Roman"/>
                <w:b/>
                <w:sz w:val="20"/>
                <w:szCs w:val="20"/>
                <w:lang w:val="en-GB" w:eastAsia="en-US"/>
              </w:rPr>
              <w:t>Validation set</w:t>
            </w:r>
          </w:p>
        </w:tc>
        <w:tc>
          <w:tcPr>
            <w:tcW w:w="1583" w:type="dxa"/>
            <w:shd w:val="clear" w:color="auto" w:fill="99CCFF"/>
          </w:tcPr>
          <w:p w:rsidR="004F2274" w:rsidRPr="007723F5" w:rsidRDefault="009C7AF7">
            <w:pPr>
              <w:keepNext/>
              <w:spacing w:before="60" w:after="60"/>
              <w:ind w:left="201" w:hanging="161"/>
              <w:jc w:val="center"/>
              <w:rPr>
                <w:rFonts w:eastAsia="Times New Roman" w:cs="Arial"/>
                <w:b/>
                <w:bCs/>
                <w:kern w:val="32"/>
                <w:sz w:val="20"/>
                <w:szCs w:val="20"/>
                <w:lang w:val="en-GB" w:eastAsia="en-US"/>
              </w:rPr>
            </w:pPr>
            <w:r w:rsidRPr="007723F5">
              <w:rPr>
                <w:rFonts w:eastAsia="Times New Roman"/>
                <w:b/>
                <w:sz w:val="20"/>
                <w:szCs w:val="20"/>
                <w:lang w:val="en-GB" w:eastAsia="en-US"/>
              </w:rPr>
              <w:t>C-stat</w:t>
            </w:r>
          </w:p>
        </w:tc>
      </w:tr>
      <w:tr w:rsidR="009C7AF7" w:rsidRPr="007723F5" w:rsidTr="009C7AF7">
        <w:trPr>
          <w:trHeight w:val="284"/>
          <w:jc w:val="center"/>
        </w:trPr>
        <w:tc>
          <w:tcPr>
            <w:tcW w:w="4181" w:type="dxa"/>
            <w:shd w:val="clear" w:color="auto" w:fill="auto"/>
          </w:tcPr>
          <w:p w:rsidR="009C7AF7" w:rsidRPr="007723F5" w:rsidRDefault="00703039" w:rsidP="00703039">
            <w:pPr>
              <w:spacing w:before="60"/>
              <w:rPr>
                <w:rFonts w:eastAsia="Times New Roman"/>
                <w:sz w:val="20"/>
                <w:szCs w:val="20"/>
                <w:lang w:val="en-GB" w:eastAsia="en-US"/>
              </w:rPr>
            </w:pPr>
            <w:r w:rsidRPr="007723F5">
              <w:rPr>
                <w:rFonts w:eastAsia="Times New Roman"/>
                <w:sz w:val="20"/>
                <w:szCs w:val="20"/>
                <w:lang w:val="en-GB" w:eastAsia="en-US"/>
              </w:rPr>
              <w:t>Out-of-Sample (OOS)</w:t>
            </w:r>
          </w:p>
        </w:tc>
        <w:tc>
          <w:tcPr>
            <w:tcW w:w="1583" w:type="dxa"/>
            <w:shd w:val="clear" w:color="auto" w:fill="auto"/>
          </w:tcPr>
          <w:p w:rsidR="004F2274" w:rsidRPr="007723F5" w:rsidRDefault="004F2274">
            <w:pPr>
              <w:spacing w:before="60"/>
              <w:jc w:val="center"/>
              <w:rPr>
                <w:rFonts w:eastAsia="Times New Roman"/>
                <w:sz w:val="20"/>
                <w:szCs w:val="20"/>
                <w:lang w:val="en-GB" w:eastAsia="en-US"/>
              </w:rPr>
            </w:pPr>
          </w:p>
        </w:tc>
      </w:tr>
      <w:tr w:rsidR="00703039" w:rsidRPr="007723F5" w:rsidTr="009C7AF7">
        <w:trPr>
          <w:trHeight w:val="284"/>
          <w:jc w:val="center"/>
        </w:trPr>
        <w:tc>
          <w:tcPr>
            <w:tcW w:w="4181" w:type="dxa"/>
            <w:shd w:val="clear" w:color="auto" w:fill="auto"/>
          </w:tcPr>
          <w:p w:rsidR="00703039" w:rsidRPr="007723F5" w:rsidRDefault="00703039" w:rsidP="009C7AF7">
            <w:pPr>
              <w:spacing w:before="60"/>
              <w:rPr>
                <w:rFonts w:eastAsia="Times New Roman"/>
                <w:sz w:val="20"/>
                <w:szCs w:val="20"/>
                <w:lang w:val="en-GB" w:eastAsia="en-US"/>
              </w:rPr>
            </w:pPr>
            <w:r w:rsidRPr="007723F5">
              <w:rPr>
                <w:rFonts w:eastAsia="Times New Roman"/>
                <w:sz w:val="20"/>
                <w:szCs w:val="20"/>
                <w:lang w:val="en-GB" w:eastAsia="en-US"/>
              </w:rPr>
              <w:t xml:space="preserve">   Development sample</w:t>
            </w:r>
          </w:p>
        </w:tc>
        <w:tc>
          <w:tcPr>
            <w:tcW w:w="1583" w:type="dxa"/>
            <w:shd w:val="clear" w:color="auto" w:fill="auto"/>
          </w:tcPr>
          <w:p w:rsidR="00703039" w:rsidRPr="007723F5" w:rsidRDefault="00703039" w:rsidP="009C7AF7">
            <w:pPr>
              <w:spacing w:before="60"/>
              <w:jc w:val="center"/>
              <w:rPr>
                <w:rFonts w:eastAsia="Times New Roman"/>
                <w:sz w:val="20"/>
                <w:szCs w:val="20"/>
                <w:lang w:val="en-GB" w:eastAsia="en-US"/>
              </w:rPr>
            </w:pPr>
            <w:r w:rsidRPr="007723F5">
              <w:rPr>
                <w:rFonts w:eastAsia="Times New Roman"/>
                <w:sz w:val="20"/>
                <w:szCs w:val="20"/>
                <w:lang w:val="en-GB" w:eastAsia="en-US"/>
              </w:rPr>
              <w:t>83.0%</w:t>
            </w:r>
          </w:p>
        </w:tc>
      </w:tr>
      <w:tr w:rsidR="009C7AF7" w:rsidRPr="007723F5" w:rsidTr="009C7AF7">
        <w:trPr>
          <w:trHeight w:val="284"/>
          <w:jc w:val="center"/>
        </w:trPr>
        <w:tc>
          <w:tcPr>
            <w:tcW w:w="4181" w:type="dxa"/>
            <w:shd w:val="clear" w:color="auto" w:fill="auto"/>
          </w:tcPr>
          <w:p w:rsidR="009C7AF7" w:rsidRPr="007723F5" w:rsidRDefault="00703039" w:rsidP="009C7AF7">
            <w:pPr>
              <w:spacing w:before="60"/>
              <w:rPr>
                <w:rFonts w:eastAsia="Times New Roman"/>
                <w:sz w:val="20"/>
                <w:szCs w:val="20"/>
                <w:lang w:val="en-GB" w:eastAsia="en-US"/>
              </w:rPr>
            </w:pPr>
            <w:r w:rsidRPr="007723F5">
              <w:rPr>
                <w:rFonts w:eastAsia="Times New Roman"/>
                <w:sz w:val="20"/>
                <w:szCs w:val="20"/>
                <w:lang w:val="en-GB" w:eastAsia="en-US"/>
              </w:rPr>
              <w:t xml:space="preserve">   </w:t>
            </w:r>
            <w:r w:rsidR="009C7AF7" w:rsidRPr="007723F5">
              <w:rPr>
                <w:rFonts w:eastAsia="Times New Roman"/>
                <w:sz w:val="20"/>
                <w:szCs w:val="20"/>
                <w:lang w:val="en-GB" w:eastAsia="en-US"/>
              </w:rPr>
              <w:t>Test sample</w:t>
            </w:r>
          </w:p>
        </w:tc>
        <w:tc>
          <w:tcPr>
            <w:tcW w:w="1583" w:type="dxa"/>
            <w:shd w:val="clear" w:color="auto" w:fill="auto"/>
          </w:tcPr>
          <w:p w:rsidR="004F2274" w:rsidRPr="007723F5" w:rsidRDefault="009C7AF7">
            <w:pPr>
              <w:spacing w:before="60"/>
              <w:jc w:val="center"/>
              <w:rPr>
                <w:rFonts w:eastAsia="Times New Roman"/>
                <w:sz w:val="20"/>
                <w:szCs w:val="20"/>
                <w:lang w:val="en-GB" w:eastAsia="en-US"/>
              </w:rPr>
            </w:pPr>
            <w:r w:rsidRPr="007723F5">
              <w:rPr>
                <w:rFonts w:eastAsia="Times New Roman"/>
                <w:sz w:val="20"/>
                <w:szCs w:val="20"/>
                <w:lang w:val="en-GB" w:eastAsia="en-US"/>
              </w:rPr>
              <w:t>83.0%</w:t>
            </w:r>
          </w:p>
        </w:tc>
      </w:tr>
      <w:tr w:rsidR="009C7AF7" w:rsidRPr="007723F5" w:rsidTr="009C7AF7">
        <w:trPr>
          <w:trHeight w:val="284"/>
          <w:jc w:val="center"/>
        </w:trPr>
        <w:tc>
          <w:tcPr>
            <w:tcW w:w="4181" w:type="dxa"/>
            <w:shd w:val="clear" w:color="auto" w:fill="auto"/>
          </w:tcPr>
          <w:p w:rsidR="009C7AF7" w:rsidRPr="007723F5" w:rsidRDefault="009C7AF7" w:rsidP="005E596A">
            <w:pPr>
              <w:spacing w:before="60"/>
              <w:rPr>
                <w:rFonts w:eastAsia="Times New Roman"/>
                <w:sz w:val="20"/>
                <w:szCs w:val="20"/>
                <w:lang w:val="en-GB" w:eastAsia="en-US"/>
              </w:rPr>
            </w:pPr>
            <w:r w:rsidRPr="007723F5">
              <w:rPr>
                <w:rFonts w:eastAsia="Times New Roman"/>
                <w:sz w:val="20"/>
                <w:szCs w:val="20"/>
                <w:lang w:val="en-GB" w:eastAsia="en-US"/>
              </w:rPr>
              <w:t>In-sample bootstrapping</w:t>
            </w:r>
          </w:p>
        </w:tc>
        <w:tc>
          <w:tcPr>
            <w:tcW w:w="1583" w:type="dxa"/>
            <w:shd w:val="clear" w:color="auto" w:fill="auto"/>
          </w:tcPr>
          <w:p w:rsidR="004F2274" w:rsidRPr="007723F5" w:rsidRDefault="004F2274">
            <w:pPr>
              <w:spacing w:before="60"/>
              <w:jc w:val="center"/>
              <w:rPr>
                <w:rFonts w:eastAsia="Times New Roman"/>
                <w:sz w:val="20"/>
                <w:szCs w:val="20"/>
                <w:lang w:val="en-GB" w:eastAsia="en-US"/>
              </w:rPr>
            </w:pPr>
          </w:p>
        </w:tc>
      </w:tr>
      <w:tr w:rsidR="009C7AF7" w:rsidRPr="007723F5" w:rsidTr="009C7AF7">
        <w:trPr>
          <w:trHeight w:val="284"/>
          <w:jc w:val="center"/>
        </w:trPr>
        <w:tc>
          <w:tcPr>
            <w:tcW w:w="4181" w:type="dxa"/>
            <w:shd w:val="clear" w:color="auto" w:fill="auto"/>
          </w:tcPr>
          <w:p w:rsidR="009C7AF7" w:rsidRPr="007723F5" w:rsidRDefault="00703039" w:rsidP="00703039">
            <w:pPr>
              <w:spacing w:before="60"/>
              <w:rPr>
                <w:rFonts w:eastAsia="Times New Roman"/>
                <w:sz w:val="20"/>
                <w:szCs w:val="20"/>
                <w:lang w:val="en-GB" w:eastAsia="en-US"/>
              </w:rPr>
            </w:pPr>
            <w:r w:rsidRPr="007723F5">
              <w:rPr>
                <w:rFonts w:eastAsia="Times New Roman"/>
                <w:sz w:val="20"/>
                <w:szCs w:val="20"/>
                <w:lang w:val="en-GB" w:eastAsia="en-US"/>
              </w:rPr>
              <w:t xml:space="preserve">   Mean</w:t>
            </w:r>
          </w:p>
        </w:tc>
        <w:tc>
          <w:tcPr>
            <w:tcW w:w="1583" w:type="dxa"/>
            <w:shd w:val="clear" w:color="auto" w:fill="auto"/>
          </w:tcPr>
          <w:p w:rsidR="004F2274" w:rsidRPr="007723F5" w:rsidRDefault="009C7AF7">
            <w:pPr>
              <w:spacing w:before="60"/>
              <w:jc w:val="center"/>
              <w:rPr>
                <w:rFonts w:eastAsia="Times New Roman"/>
                <w:sz w:val="20"/>
                <w:szCs w:val="20"/>
                <w:lang w:val="en-GB" w:eastAsia="en-US"/>
              </w:rPr>
            </w:pPr>
            <w:r w:rsidRPr="007723F5">
              <w:rPr>
                <w:rFonts w:eastAsia="Times New Roman"/>
                <w:sz w:val="20"/>
                <w:szCs w:val="20"/>
                <w:lang w:val="en-GB" w:eastAsia="en-US"/>
              </w:rPr>
              <w:t>83.0%</w:t>
            </w:r>
          </w:p>
        </w:tc>
      </w:tr>
      <w:tr w:rsidR="009C7AF7" w:rsidRPr="007723F5" w:rsidTr="009C7AF7">
        <w:trPr>
          <w:trHeight w:val="284"/>
          <w:jc w:val="center"/>
        </w:trPr>
        <w:tc>
          <w:tcPr>
            <w:tcW w:w="4181" w:type="dxa"/>
            <w:shd w:val="clear" w:color="auto" w:fill="auto"/>
          </w:tcPr>
          <w:p w:rsidR="009C7AF7" w:rsidRPr="007723F5" w:rsidRDefault="00703039" w:rsidP="00703039">
            <w:pPr>
              <w:spacing w:before="60"/>
              <w:rPr>
                <w:rFonts w:eastAsia="Times New Roman"/>
                <w:sz w:val="20"/>
                <w:szCs w:val="20"/>
                <w:lang w:val="en-GB" w:eastAsia="en-US"/>
              </w:rPr>
            </w:pPr>
            <w:r w:rsidRPr="007723F5">
              <w:rPr>
                <w:rFonts w:eastAsia="Times New Roman"/>
                <w:sz w:val="20"/>
                <w:szCs w:val="20"/>
                <w:lang w:val="en-GB" w:eastAsia="en-US"/>
              </w:rPr>
              <w:t xml:space="preserve">   Minimum</w:t>
            </w:r>
          </w:p>
        </w:tc>
        <w:tc>
          <w:tcPr>
            <w:tcW w:w="1583" w:type="dxa"/>
            <w:shd w:val="clear" w:color="auto" w:fill="auto"/>
          </w:tcPr>
          <w:p w:rsidR="004F2274" w:rsidRPr="007723F5" w:rsidRDefault="009C7AF7">
            <w:pPr>
              <w:spacing w:before="60"/>
              <w:jc w:val="center"/>
              <w:rPr>
                <w:rFonts w:eastAsia="Times New Roman"/>
                <w:sz w:val="20"/>
                <w:szCs w:val="20"/>
                <w:lang w:val="en-GB" w:eastAsia="en-US"/>
              </w:rPr>
            </w:pPr>
            <w:r w:rsidRPr="007723F5">
              <w:rPr>
                <w:rFonts w:eastAsia="Times New Roman"/>
                <w:sz w:val="20"/>
                <w:szCs w:val="20"/>
                <w:lang w:val="en-GB" w:eastAsia="en-US"/>
              </w:rPr>
              <w:t>8</w:t>
            </w:r>
            <w:r w:rsidR="00703039" w:rsidRPr="007723F5">
              <w:rPr>
                <w:rFonts w:eastAsia="Times New Roman"/>
                <w:sz w:val="20"/>
                <w:szCs w:val="20"/>
                <w:lang w:val="en-GB" w:eastAsia="en-US"/>
              </w:rPr>
              <w:t>2</w:t>
            </w:r>
            <w:r w:rsidRPr="007723F5">
              <w:rPr>
                <w:rFonts w:eastAsia="Times New Roman"/>
                <w:sz w:val="20"/>
                <w:szCs w:val="20"/>
                <w:lang w:val="en-GB" w:eastAsia="en-US"/>
              </w:rPr>
              <w:t>.</w:t>
            </w:r>
            <w:r w:rsidR="00703039" w:rsidRPr="007723F5">
              <w:rPr>
                <w:rFonts w:eastAsia="Times New Roman"/>
                <w:sz w:val="20"/>
                <w:szCs w:val="20"/>
                <w:lang w:val="en-GB" w:eastAsia="en-US"/>
              </w:rPr>
              <w:t>7</w:t>
            </w:r>
            <w:r w:rsidRPr="007723F5">
              <w:rPr>
                <w:rFonts w:eastAsia="Times New Roman"/>
                <w:sz w:val="20"/>
                <w:szCs w:val="20"/>
                <w:lang w:val="en-GB" w:eastAsia="en-US"/>
              </w:rPr>
              <w:t>%</w:t>
            </w:r>
          </w:p>
        </w:tc>
      </w:tr>
      <w:tr w:rsidR="009C7AF7" w:rsidRPr="007723F5" w:rsidTr="009C7AF7">
        <w:trPr>
          <w:trHeight w:val="284"/>
          <w:jc w:val="center"/>
        </w:trPr>
        <w:tc>
          <w:tcPr>
            <w:tcW w:w="4181" w:type="dxa"/>
            <w:shd w:val="clear" w:color="auto" w:fill="auto"/>
          </w:tcPr>
          <w:p w:rsidR="009C7AF7" w:rsidRPr="007723F5" w:rsidRDefault="00703039" w:rsidP="005E596A">
            <w:pPr>
              <w:spacing w:before="60"/>
              <w:rPr>
                <w:rFonts w:eastAsia="Times New Roman"/>
                <w:sz w:val="20"/>
                <w:szCs w:val="20"/>
                <w:lang w:val="en-GB" w:eastAsia="en-US"/>
              </w:rPr>
            </w:pPr>
            <w:r w:rsidRPr="007723F5">
              <w:rPr>
                <w:rFonts w:eastAsia="Times New Roman"/>
                <w:sz w:val="20"/>
                <w:szCs w:val="20"/>
                <w:lang w:val="en-GB" w:eastAsia="en-US"/>
              </w:rPr>
              <w:t xml:space="preserve">   Maximum</w:t>
            </w:r>
          </w:p>
        </w:tc>
        <w:tc>
          <w:tcPr>
            <w:tcW w:w="1583" w:type="dxa"/>
            <w:shd w:val="clear" w:color="auto" w:fill="auto"/>
          </w:tcPr>
          <w:p w:rsidR="004F2274" w:rsidRPr="007723F5" w:rsidRDefault="00703039">
            <w:pPr>
              <w:spacing w:before="60"/>
              <w:jc w:val="center"/>
              <w:rPr>
                <w:rFonts w:eastAsia="Times New Roman"/>
                <w:sz w:val="20"/>
                <w:szCs w:val="20"/>
                <w:lang w:val="en-GB" w:eastAsia="en-US"/>
              </w:rPr>
            </w:pPr>
            <w:r w:rsidRPr="007723F5">
              <w:rPr>
                <w:rFonts w:eastAsia="Times New Roman"/>
                <w:sz w:val="20"/>
                <w:szCs w:val="20"/>
                <w:lang w:val="en-GB" w:eastAsia="en-US"/>
              </w:rPr>
              <w:t>83.2%</w:t>
            </w:r>
          </w:p>
        </w:tc>
      </w:tr>
    </w:tbl>
    <w:p w:rsidR="00EE638E" w:rsidRPr="007723F5" w:rsidRDefault="00EE638E" w:rsidP="00EE638E">
      <w:pPr>
        <w:pStyle w:val="ad"/>
        <w:spacing w:before="120" w:after="120" w:line="360" w:lineRule="auto"/>
        <w:jc w:val="center"/>
      </w:pPr>
      <w:r w:rsidRPr="007723F5">
        <w:br w:type="page"/>
      </w:r>
      <w:r w:rsidR="00042FA5" w:rsidRPr="007723F5">
        <w:rPr>
          <w:rFonts w:ascii="Arial" w:eastAsia="MS Mincho" w:hAnsi="Arial" w:cs="Arial"/>
          <w:kern w:val="32"/>
          <w:sz w:val="32"/>
          <w:szCs w:val="32"/>
          <w:lang w:val="en-GB" w:eastAsia="ja-JP"/>
        </w:rPr>
        <w:lastRenderedPageBreak/>
        <w:t>Appendix 1</w:t>
      </w:r>
    </w:p>
    <w:p w:rsidR="00EE638E" w:rsidRPr="007723F5" w:rsidRDefault="00EE638E" w:rsidP="00EE638E">
      <w:pPr>
        <w:rPr>
          <w:lang w:val="en-US" w:eastAsia="en-US"/>
        </w:rPr>
      </w:pPr>
    </w:p>
    <w:p w:rsidR="004F2274" w:rsidRPr="007723F5" w:rsidRDefault="00703039">
      <w:pPr>
        <w:pStyle w:val="ad"/>
        <w:keepNext/>
        <w:jc w:val="center"/>
      </w:pPr>
      <w:bookmarkStart w:id="29" w:name="_Ref431414765"/>
      <w:r w:rsidRPr="007723F5">
        <w:t xml:space="preserve">Table </w:t>
      </w:r>
      <w:r w:rsidR="00467C98" w:rsidRPr="007723F5">
        <w:fldChar w:fldCharType="begin"/>
      </w:r>
      <w:r w:rsidRPr="007723F5">
        <w:instrText xml:space="preserve"> SEQ Table \* ARABIC </w:instrText>
      </w:r>
      <w:r w:rsidR="00467C98" w:rsidRPr="007723F5">
        <w:fldChar w:fldCharType="separate"/>
      </w:r>
      <w:r w:rsidR="00B46DD6" w:rsidRPr="007723F5">
        <w:rPr>
          <w:noProof/>
        </w:rPr>
        <w:t>2</w:t>
      </w:r>
      <w:r w:rsidR="00467C98" w:rsidRPr="007723F5">
        <w:fldChar w:fldCharType="end"/>
      </w:r>
      <w:bookmarkEnd w:id="29"/>
      <w:r w:rsidRPr="007723F5">
        <w:t>: Initial list of possible risk drivers</w:t>
      </w:r>
      <w:r w:rsidR="00CF76A9" w:rsidRPr="007723F5">
        <w:t>, in alphabetical order</w:t>
      </w:r>
      <w:r w:rsidRPr="007723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01"/>
      </w:tblGrid>
      <w:tr w:rsidR="00907778" w:rsidRPr="007723F5" w:rsidTr="00907778">
        <w:trPr>
          <w:trHeight w:val="284"/>
          <w:jc w:val="center"/>
        </w:trPr>
        <w:tc>
          <w:tcPr>
            <w:tcW w:w="1980" w:type="dxa"/>
            <w:shd w:val="clear" w:color="auto" w:fill="99CCFF"/>
          </w:tcPr>
          <w:p w:rsidR="00907778" w:rsidRPr="007723F5" w:rsidRDefault="00907778" w:rsidP="007821E3">
            <w:pPr>
              <w:keepNext/>
              <w:spacing w:before="60" w:after="60"/>
              <w:ind w:left="201" w:hanging="161"/>
              <w:jc w:val="center"/>
              <w:rPr>
                <w:rFonts w:eastAsia="Times New Roman"/>
                <w:b/>
                <w:sz w:val="20"/>
                <w:szCs w:val="20"/>
                <w:lang w:val="en-GB" w:eastAsia="en-US"/>
              </w:rPr>
            </w:pPr>
            <w:bookmarkStart w:id="30" w:name="_Toc371788277"/>
            <w:r w:rsidRPr="007723F5">
              <w:rPr>
                <w:rFonts w:eastAsia="Times New Roman"/>
                <w:b/>
                <w:sz w:val="20"/>
                <w:szCs w:val="20"/>
                <w:lang w:val="en-GB" w:eastAsia="en-US"/>
              </w:rPr>
              <w:t>Category</w:t>
            </w:r>
          </w:p>
        </w:tc>
        <w:tc>
          <w:tcPr>
            <w:tcW w:w="6101" w:type="dxa"/>
            <w:shd w:val="clear" w:color="auto" w:fill="99CCFF"/>
          </w:tcPr>
          <w:p w:rsidR="00907778" w:rsidRPr="007723F5" w:rsidRDefault="00907778" w:rsidP="007821E3">
            <w:pPr>
              <w:keepNext/>
              <w:spacing w:before="60" w:after="60"/>
              <w:ind w:left="201" w:hanging="161"/>
              <w:jc w:val="both"/>
              <w:rPr>
                <w:rFonts w:eastAsia="Times New Roman"/>
                <w:b/>
                <w:sz w:val="20"/>
                <w:szCs w:val="20"/>
                <w:lang w:val="en-GB" w:eastAsia="en-US"/>
              </w:rPr>
            </w:pPr>
            <w:r w:rsidRPr="007723F5">
              <w:rPr>
                <w:rFonts w:eastAsia="Times New Roman"/>
                <w:b/>
                <w:sz w:val="20"/>
                <w:szCs w:val="20"/>
                <w:lang w:val="en-GB" w:eastAsia="en-US"/>
              </w:rPr>
              <w:t>Description</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Age of appraisal</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Reporting date minus appraisal date.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Age of client</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Reporting date minus date of birth. Also age at application is available.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Age of relationship with the bank</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Reporting date minus contract start date.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Collateral type</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Variable indicating collateral type.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Contract length</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The original duration of the contract.</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Current arrears</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The number of periods past due (days/months).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DTI</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Debt-to-income (DTI) at application moment.</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External market indicators</w:t>
            </w:r>
          </w:p>
        </w:tc>
        <w:tc>
          <w:tcPr>
            <w:tcW w:w="6101"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Illiquidity in the Dutch stock market and gross domestic product, unemployment rate and house price index in the Netherlands.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Guarantee</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Government guarantee on any of the loans.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Historical arrears</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The number of times in arrears the last 3/6/12 months, the number of times in default the last 3/6/12 months, the number of months ago that an arrear situation occurred and the number of months ago that a default situation occurred.</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Interest rate feature</w:t>
            </w:r>
          </w:p>
        </w:tc>
        <w:tc>
          <w:tcPr>
            <w:tcW w:w="6101" w:type="dxa"/>
            <w:shd w:val="clear" w:color="auto" w:fill="auto"/>
          </w:tcPr>
          <w:p w:rsidR="00CF76A9" w:rsidRPr="007723F5" w:rsidRDefault="00CF76A9" w:rsidP="00CF76A9">
            <w:pPr>
              <w:keepNext/>
              <w:spacing w:before="60"/>
              <w:jc w:val="both"/>
              <w:rPr>
                <w:rFonts w:eastAsia="Times New Roman"/>
                <w:sz w:val="20"/>
                <w:szCs w:val="20"/>
                <w:lang w:val="en-GB" w:eastAsia="en-US"/>
              </w:rPr>
            </w:pPr>
            <w:r w:rsidRPr="007723F5">
              <w:rPr>
                <w:rFonts w:eastAsia="Times New Roman"/>
                <w:sz w:val="20"/>
                <w:szCs w:val="20"/>
                <w:lang w:val="en-GB" w:eastAsia="en-US"/>
              </w:rPr>
              <w:t xml:space="preserve">The duration of the fixed interest rate is available as a continuous variable and as a nominal variable (more or less than 10 years). </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ITI</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Interest to income (ITI) at application moment. The current interest payments divided by income.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LTV</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Loan-to-value (LTV) at application moment and actual LTV when the customer rating is calculated. The first variant is based on loan and initial cover value, while the second one is based on outstanding and indexed cover value.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Marital status</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Marital status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Number of covers</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The number of collaterals.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Number of products</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The number of loan parts of a client.</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Product type</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An indication of more risky products.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Region</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The region can be indicated based on postal code. Also a variable to indicate risky city is available.</w:t>
            </w:r>
          </w:p>
        </w:tc>
      </w:tr>
    </w:tbl>
    <w:p w:rsidR="005D31E4" w:rsidRPr="007723F5" w:rsidRDefault="005D31E4" w:rsidP="005D31E4">
      <w:pPr>
        <w:spacing w:line="360" w:lineRule="auto"/>
        <w:jc w:val="both"/>
      </w:pPr>
    </w:p>
    <w:p w:rsidR="00907778" w:rsidRPr="007723F5" w:rsidRDefault="00907778" w:rsidP="00C47005">
      <w:pPr>
        <w:rPr>
          <w:lang w:val="en-US" w:eastAsia="en-US"/>
        </w:rPr>
      </w:pPr>
    </w:p>
    <w:p w:rsidR="00C47005" w:rsidRPr="007723F5" w:rsidRDefault="00042FA5" w:rsidP="00C47005">
      <w:r w:rsidRPr="007723F5">
        <w:rPr>
          <w:rFonts w:ascii="Arial" w:hAnsi="Arial" w:cs="Arial"/>
          <w:b/>
          <w:bCs/>
          <w:kern w:val="32"/>
          <w:sz w:val="32"/>
          <w:szCs w:val="32"/>
          <w:lang w:val="en-GB"/>
        </w:rPr>
        <w:t>Appendix 2</w:t>
      </w:r>
    </w:p>
    <w:p w:rsidR="00C47005" w:rsidRPr="007723F5" w:rsidRDefault="00C47005" w:rsidP="00C47005"/>
    <w:p w:rsidR="004F2274" w:rsidRPr="007723F5" w:rsidRDefault="00703039">
      <w:pPr>
        <w:pStyle w:val="ad"/>
        <w:keepNext/>
        <w:jc w:val="center"/>
      </w:pPr>
      <w:bookmarkStart w:id="31" w:name="_Ref431415100"/>
      <w:r w:rsidRPr="007723F5">
        <w:t xml:space="preserve">Table </w:t>
      </w:r>
      <w:r w:rsidR="00467C98" w:rsidRPr="007723F5">
        <w:fldChar w:fldCharType="begin"/>
      </w:r>
      <w:r w:rsidRPr="007723F5">
        <w:instrText xml:space="preserve"> SEQ Table \* ARABIC </w:instrText>
      </w:r>
      <w:r w:rsidR="00467C98" w:rsidRPr="007723F5">
        <w:fldChar w:fldCharType="separate"/>
      </w:r>
      <w:r w:rsidR="00B46DD6" w:rsidRPr="007723F5">
        <w:rPr>
          <w:noProof/>
        </w:rPr>
        <w:t>3</w:t>
      </w:r>
      <w:r w:rsidR="00467C98" w:rsidRPr="007723F5">
        <w:fldChar w:fldCharType="end"/>
      </w:r>
      <w:bookmarkEnd w:id="31"/>
      <w:r w:rsidRPr="007723F5">
        <w:t>: Final risk drivers for multivariate regression</w:t>
      </w:r>
      <w:r w:rsidR="00CF76A9" w:rsidRPr="007723F5">
        <w:t>, in alphabetical order</w:t>
      </w:r>
      <w:r w:rsidRPr="007723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01"/>
      </w:tblGrid>
      <w:tr w:rsidR="00907778" w:rsidRPr="007723F5" w:rsidTr="00907778">
        <w:trPr>
          <w:trHeight w:val="284"/>
          <w:jc w:val="center"/>
        </w:trPr>
        <w:tc>
          <w:tcPr>
            <w:tcW w:w="1980" w:type="dxa"/>
            <w:shd w:val="clear" w:color="auto" w:fill="99CCFF"/>
          </w:tcPr>
          <w:p w:rsidR="00907778" w:rsidRPr="007723F5" w:rsidRDefault="00907778" w:rsidP="007821E3">
            <w:pPr>
              <w:keepNext/>
              <w:spacing w:before="60" w:after="60"/>
              <w:ind w:left="201" w:hanging="161"/>
              <w:jc w:val="center"/>
              <w:rPr>
                <w:rFonts w:eastAsia="Times New Roman"/>
                <w:b/>
                <w:sz w:val="20"/>
                <w:szCs w:val="20"/>
                <w:lang w:val="en-GB" w:eastAsia="en-US"/>
              </w:rPr>
            </w:pPr>
            <w:r w:rsidRPr="007723F5">
              <w:rPr>
                <w:rFonts w:eastAsia="Times New Roman"/>
                <w:b/>
                <w:sz w:val="20"/>
                <w:szCs w:val="20"/>
                <w:lang w:val="en-GB" w:eastAsia="en-US"/>
              </w:rPr>
              <w:t>Category</w:t>
            </w:r>
          </w:p>
        </w:tc>
        <w:tc>
          <w:tcPr>
            <w:tcW w:w="6101" w:type="dxa"/>
            <w:shd w:val="clear" w:color="auto" w:fill="99CCFF"/>
          </w:tcPr>
          <w:p w:rsidR="00907778" w:rsidRPr="007723F5" w:rsidRDefault="00907778" w:rsidP="007821E3">
            <w:pPr>
              <w:keepNext/>
              <w:spacing w:before="60" w:after="60"/>
              <w:ind w:left="201" w:hanging="161"/>
              <w:jc w:val="both"/>
              <w:rPr>
                <w:rFonts w:eastAsia="Times New Roman"/>
                <w:b/>
                <w:sz w:val="20"/>
                <w:szCs w:val="20"/>
                <w:lang w:val="en-GB" w:eastAsia="en-US"/>
              </w:rPr>
            </w:pPr>
            <w:r w:rsidRPr="007723F5">
              <w:rPr>
                <w:rFonts w:eastAsia="Times New Roman"/>
                <w:b/>
                <w:sz w:val="20"/>
                <w:szCs w:val="20"/>
                <w:lang w:val="en-GB" w:eastAsia="en-US"/>
              </w:rPr>
              <w:t>Description</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Collateral type</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Variable indicating collateral type.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DTI</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Debt-to-income (DTI) at application moment.</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External market indicators</w:t>
            </w:r>
          </w:p>
        </w:tc>
        <w:tc>
          <w:tcPr>
            <w:tcW w:w="6101"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Illiquidity in the Dutch stock market and gross domestic product, unemployment rate and house price index in the Netherlands.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Guarantee</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Government guarantee on any of the loans.</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Historical arrears</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 xml:space="preserve">Last delinquency, the number of times in default the last 12 months and </w:t>
            </w:r>
            <w:r w:rsidRPr="007723F5">
              <w:rPr>
                <w:rFonts w:eastAsia="Times New Roman"/>
                <w:sz w:val="20"/>
                <w:szCs w:val="20"/>
                <w:lang w:val="en-GB" w:eastAsia="en-US"/>
              </w:rPr>
              <w:lastRenderedPageBreak/>
              <w:t>the number of months ago that a default situation occurred.</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lastRenderedPageBreak/>
              <w:t>Interest rate feature</w:t>
            </w:r>
          </w:p>
        </w:tc>
        <w:tc>
          <w:tcPr>
            <w:tcW w:w="6101" w:type="dxa"/>
            <w:shd w:val="clear" w:color="auto" w:fill="auto"/>
          </w:tcPr>
          <w:p w:rsidR="00CF76A9" w:rsidRPr="007723F5" w:rsidRDefault="00CF76A9" w:rsidP="00CF76A9">
            <w:pPr>
              <w:keepNext/>
              <w:spacing w:before="60"/>
              <w:jc w:val="both"/>
              <w:rPr>
                <w:rFonts w:eastAsia="Times New Roman"/>
                <w:sz w:val="20"/>
                <w:szCs w:val="20"/>
                <w:lang w:val="en-GB" w:eastAsia="en-US"/>
              </w:rPr>
            </w:pPr>
            <w:r w:rsidRPr="007723F5">
              <w:rPr>
                <w:rFonts w:eastAsia="Times New Roman"/>
                <w:sz w:val="20"/>
                <w:szCs w:val="20"/>
                <w:lang w:val="en-GB" w:eastAsia="en-US"/>
              </w:rPr>
              <w:t xml:space="preserve">The duration of the fixed interest rate is available as a nominal variable (more or less than 10 years). </w:t>
            </w:r>
          </w:p>
        </w:tc>
      </w:tr>
      <w:tr w:rsidR="00CF76A9" w:rsidRPr="007723F5" w:rsidTr="00907778">
        <w:trPr>
          <w:trHeight w:val="284"/>
          <w:jc w:val="center"/>
        </w:trPr>
        <w:tc>
          <w:tcPr>
            <w:tcW w:w="1980" w:type="dxa"/>
            <w:shd w:val="clear" w:color="auto" w:fill="auto"/>
          </w:tcPr>
          <w:p w:rsidR="00CF76A9" w:rsidRPr="007723F5" w:rsidRDefault="006C656D" w:rsidP="00CF76A9">
            <w:pPr>
              <w:spacing w:before="60"/>
              <w:rPr>
                <w:rFonts w:eastAsia="Times New Roman"/>
                <w:sz w:val="20"/>
                <w:szCs w:val="20"/>
                <w:lang w:val="en-GB" w:eastAsia="en-US"/>
              </w:rPr>
            </w:pPr>
            <w:r w:rsidRPr="007723F5">
              <w:rPr>
                <w:rFonts w:eastAsia="Times New Roman"/>
                <w:sz w:val="20"/>
                <w:szCs w:val="20"/>
                <w:lang w:val="en-GB" w:eastAsia="en-US"/>
              </w:rPr>
              <w:t>ITI</w:t>
            </w:r>
          </w:p>
        </w:tc>
        <w:tc>
          <w:tcPr>
            <w:tcW w:w="6101" w:type="dxa"/>
            <w:shd w:val="clear" w:color="auto" w:fill="auto"/>
          </w:tcPr>
          <w:p w:rsidR="00CF76A9" w:rsidRPr="007723F5" w:rsidRDefault="006C656D" w:rsidP="00CF76A9">
            <w:pPr>
              <w:spacing w:before="60"/>
              <w:jc w:val="both"/>
              <w:rPr>
                <w:rFonts w:eastAsia="Times New Roman"/>
                <w:sz w:val="20"/>
                <w:szCs w:val="20"/>
                <w:lang w:val="en-GB" w:eastAsia="en-US"/>
              </w:rPr>
            </w:pPr>
            <w:r w:rsidRPr="007723F5">
              <w:rPr>
                <w:rFonts w:eastAsia="Times New Roman"/>
                <w:sz w:val="20"/>
                <w:szCs w:val="20"/>
                <w:lang w:val="en-GB" w:eastAsia="en-US"/>
              </w:rPr>
              <w:t xml:space="preserve">Interest to income (ITI) at application moment. </w:t>
            </w:r>
            <w:r w:rsidR="00CF76A9" w:rsidRPr="007723F5">
              <w:rPr>
                <w:rFonts w:eastAsia="Times New Roman"/>
                <w:sz w:val="20"/>
                <w:szCs w:val="20"/>
                <w:lang w:val="en-GB" w:eastAsia="en-US"/>
              </w:rPr>
              <w:t>The current interest payments divided by income.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LTV</w:t>
            </w:r>
          </w:p>
        </w:tc>
        <w:tc>
          <w:tcPr>
            <w:tcW w:w="6101" w:type="dxa"/>
            <w:shd w:val="clear" w:color="auto" w:fill="auto"/>
          </w:tcPr>
          <w:p w:rsidR="00CF76A9" w:rsidRPr="007723F5" w:rsidRDefault="00CF76A9" w:rsidP="006C656D">
            <w:pPr>
              <w:spacing w:before="60"/>
              <w:jc w:val="both"/>
              <w:rPr>
                <w:rFonts w:eastAsia="Times New Roman"/>
                <w:sz w:val="20"/>
                <w:szCs w:val="20"/>
                <w:lang w:val="en-GB" w:eastAsia="en-US"/>
              </w:rPr>
            </w:pPr>
            <w:r w:rsidRPr="007723F5">
              <w:rPr>
                <w:rFonts w:eastAsia="Times New Roman"/>
                <w:sz w:val="20"/>
                <w:szCs w:val="20"/>
                <w:lang w:val="en-GB" w:eastAsia="en-US"/>
              </w:rPr>
              <w:t xml:space="preserve">Loan-to-value (LTV) when the customer rating is calculated based on loan and </w:t>
            </w:r>
            <w:r w:rsidR="006C656D" w:rsidRPr="007723F5">
              <w:rPr>
                <w:rFonts w:eastAsia="Times New Roman"/>
                <w:sz w:val="20"/>
                <w:szCs w:val="20"/>
                <w:lang w:val="en-GB" w:eastAsia="en-US"/>
              </w:rPr>
              <w:t>indexed</w:t>
            </w:r>
            <w:r w:rsidRPr="007723F5">
              <w:rPr>
                <w:rFonts w:eastAsia="Times New Roman"/>
                <w:sz w:val="20"/>
                <w:szCs w:val="20"/>
                <w:lang w:val="en-GB" w:eastAsia="en-US"/>
              </w:rPr>
              <w:t xml:space="preserve"> cover value.</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Number of products</w:t>
            </w:r>
          </w:p>
        </w:tc>
        <w:tc>
          <w:tcPr>
            <w:tcW w:w="6101" w:type="dxa"/>
            <w:shd w:val="clear" w:color="auto" w:fill="auto"/>
          </w:tcPr>
          <w:p w:rsidR="00CF76A9" w:rsidRPr="007723F5" w:rsidRDefault="00CF76A9" w:rsidP="00CF76A9">
            <w:pPr>
              <w:spacing w:before="60"/>
              <w:jc w:val="both"/>
              <w:rPr>
                <w:rFonts w:eastAsia="Times New Roman"/>
                <w:sz w:val="20"/>
                <w:szCs w:val="20"/>
                <w:lang w:val="en-GB" w:eastAsia="en-US"/>
              </w:rPr>
            </w:pPr>
            <w:r w:rsidRPr="007723F5">
              <w:rPr>
                <w:rFonts w:eastAsia="Times New Roman"/>
                <w:sz w:val="20"/>
                <w:szCs w:val="20"/>
                <w:lang w:val="en-GB" w:eastAsia="en-US"/>
              </w:rPr>
              <w:t>The number of loan parts of a client.</w:t>
            </w:r>
          </w:p>
        </w:tc>
      </w:tr>
      <w:tr w:rsidR="00CF76A9" w:rsidRPr="007723F5" w:rsidTr="00907778">
        <w:trPr>
          <w:trHeight w:val="284"/>
          <w:jc w:val="center"/>
        </w:trPr>
        <w:tc>
          <w:tcPr>
            <w:tcW w:w="1980" w:type="dxa"/>
            <w:shd w:val="clear" w:color="auto" w:fill="auto"/>
          </w:tcPr>
          <w:p w:rsidR="00CF76A9" w:rsidRPr="007723F5" w:rsidRDefault="00CF76A9" w:rsidP="00CF76A9">
            <w:pPr>
              <w:spacing w:before="60"/>
              <w:rPr>
                <w:rFonts w:eastAsia="Times New Roman"/>
                <w:sz w:val="20"/>
                <w:szCs w:val="20"/>
                <w:lang w:val="en-GB" w:eastAsia="en-US"/>
              </w:rPr>
            </w:pPr>
            <w:r w:rsidRPr="007723F5">
              <w:rPr>
                <w:rFonts w:eastAsia="Times New Roman"/>
                <w:sz w:val="20"/>
                <w:szCs w:val="20"/>
                <w:lang w:val="en-GB" w:eastAsia="en-US"/>
              </w:rPr>
              <w:t>Region</w:t>
            </w:r>
          </w:p>
        </w:tc>
        <w:tc>
          <w:tcPr>
            <w:tcW w:w="6101" w:type="dxa"/>
            <w:shd w:val="clear" w:color="auto" w:fill="auto"/>
          </w:tcPr>
          <w:p w:rsidR="00CF76A9" w:rsidRPr="007723F5" w:rsidRDefault="00CF76A9" w:rsidP="006C656D">
            <w:pPr>
              <w:spacing w:before="60"/>
              <w:jc w:val="both"/>
              <w:rPr>
                <w:rFonts w:eastAsia="Times New Roman"/>
                <w:sz w:val="20"/>
                <w:szCs w:val="20"/>
                <w:lang w:val="en-GB" w:eastAsia="en-US"/>
              </w:rPr>
            </w:pPr>
            <w:r w:rsidRPr="007723F5">
              <w:rPr>
                <w:rFonts w:eastAsia="Times New Roman"/>
                <w:sz w:val="20"/>
                <w:szCs w:val="20"/>
                <w:lang w:val="en-GB" w:eastAsia="en-US"/>
              </w:rPr>
              <w:t xml:space="preserve">The region can be indicated based on postal code. Also </w:t>
            </w:r>
            <w:r w:rsidR="006C656D" w:rsidRPr="007723F5">
              <w:rPr>
                <w:rFonts w:eastAsia="Times New Roman"/>
                <w:sz w:val="20"/>
                <w:szCs w:val="20"/>
                <w:lang w:val="en-GB" w:eastAsia="en-US"/>
              </w:rPr>
              <w:t>a v</w:t>
            </w:r>
            <w:r w:rsidRPr="007723F5">
              <w:rPr>
                <w:rFonts w:eastAsia="Times New Roman"/>
                <w:sz w:val="20"/>
                <w:szCs w:val="20"/>
                <w:lang w:val="en-GB" w:eastAsia="en-US"/>
              </w:rPr>
              <w:t>ariable to indicate risky city is available.</w:t>
            </w:r>
          </w:p>
        </w:tc>
      </w:tr>
    </w:tbl>
    <w:p w:rsidR="00464DEA" w:rsidRPr="007723F5" w:rsidRDefault="00464DEA" w:rsidP="003A723E">
      <w:pPr>
        <w:pStyle w:val="1"/>
        <w:pageBreakBefore/>
        <w:numPr>
          <w:ilvl w:val="0"/>
          <w:numId w:val="0"/>
        </w:numPr>
      </w:pPr>
      <w:r w:rsidRPr="007723F5">
        <w:lastRenderedPageBreak/>
        <w:t>References</w:t>
      </w:r>
      <w:bookmarkEnd w:id="30"/>
    </w:p>
    <w:p w:rsidR="00BA4A61" w:rsidRPr="007723F5" w:rsidRDefault="00BA4A61" w:rsidP="00DB251C">
      <w:pPr>
        <w:pStyle w:val="bibliomixed"/>
        <w:spacing w:before="0" w:beforeAutospacing="0" w:after="0" w:afterAutospacing="0" w:line="360" w:lineRule="auto"/>
        <w:ind w:left="142" w:hanging="142"/>
        <w:jc w:val="both"/>
        <w:rPr>
          <w:sz w:val="24"/>
          <w:szCs w:val="24"/>
          <w:lang w:val="en-GB"/>
        </w:rPr>
      </w:pPr>
      <w:r w:rsidRPr="007723F5">
        <w:rPr>
          <w:sz w:val="24"/>
          <w:szCs w:val="24"/>
          <w:lang w:val="en-GB"/>
        </w:rPr>
        <w:t xml:space="preserve">Agresti, A., Finlay, B. (1997). </w:t>
      </w:r>
      <w:r w:rsidRPr="007723F5">
        <w:rPr>
          <w:i/>
          <w:sz w:val="24"/>
          <w:szCs w:val="24"/>
          <w:lang w:val="en-GB"/>
        </w:rPr>
        <w:t xml:space="preserve">Statistical </w:t>
      </w:r>
      <w:r w:rsidR="00746FBB" w:rsidRPr="007723F5">
        <w:rPr>
          <w:i/>
          <w:sz w:val="24"/>
          <w:szCs w:val="24"/>
          <w:lang w:val="en-GB"/>
        </w:rPr>
        <w:t>m</w:t>
      </w:r>
      <w:r w:rsidRPr="007723F5">
        <w:rPr>
          <w:i/>
          <w:sz w:val="24"/>
          <w:szCs w:val="24"/>
          <w:lang w:val="en-GB"/>
        </w:rPr>
        <w:t xml:space="preserve">ethods for the </w:t>
      </w:r>
      <w:r w:rsidR="00746FBB" w:rsidRPr="007723F5">
        <w:rPr>
          <w:i/>
          <w:sz w:val="24"/>
          <w:szCs w:val="24"/>
          <w:lang w:val="en-GB"/>
        </w:rPr>
        <w:t>s</w:t>
      </w:r>
      <w:r w:rsidRPr="007723F5">
        <w:rPr>
          <w:i/>
          <w:sz w:val="24"/>
          <w:szCs w:val="24"/>
          <w:lang w:val="en-GB"/>
        </w:rPr>
        <w:t xml:space="preserve">ocial </w:t>
      </w:r>
      <w:r w:rsidR="00746FBB" w:rsidRPr="007723F5">
        <w:rPr>
          <w:i/>
          <w:sz w:val="24"/>
          <w:szCs w:val="24"/>
          <w:lang w:val="en-GB"/>
        </w:rPr>
        <w:t>s</w:t>
      </w:r>
      <w:r w:rsidRPr="007723F5">
        <w:rPr>
          <w:i/>
          <w:sz w:val="24"/>
          <w:szCs w:val="24"/>
          <w:lang w:val="en-GB"/>
        </w:rPr>
        <w:t>ciences</w:t>
      </w:r>
      <w:r w:rsidRPr="007723F5">
        <w:rPr>
          <w:sz w:val="24"/>
          <w:szCs w:val="24"/>
          <w:lang w:val="en-GB"/>
        </w:rPr>
        <w:t xml:space="preserve">, </w:t>
      </w:r>
      <w:r w:rsidR="00C54686" w:rsidRPr="007723F5">
        <w:rPr>
          <w:sz w:val="24"/>
          <w:szCs w:val="24"/>
          <w:lang w:val="en-GB"/>
        </w:rPr>
        <w:t xml:space="preserve">New Jersey: </w:t>
      </w:r>
      <w:r w:rsidRPr="007723F5">
        <w:rPr>
          <w:sz w:val="24"/>
          <w:szCs w:val="24"/>
          <w:lang w:val="en-GB"/>
        </w:rPr>
        <w:t>Prentice Hall.</w:t>
      </w:r>
    </w:p>
    <w:p w:rsidR="000132B8" w:rsidRPr="007723F5" w:rsidRDefault="000132B8" w:rsidP="000132B8">
      <w:pPr>
        <w:pStyle w:val="bibliomixed"/>
        <w:spacing w:before="0" w:beforeAutospacing="0" w:after="0" w:afterAutospacing="0" w:line="360" w:lineRule="auto"/>
        <w:ind w:left="142" w:hanging="142"/>
        <w:jc w:val="both"/>
        <w:rPr>
          <w:sz w:val="24"/>
          <w:szCs w:val="24"/>
          <w:lang w:val="en-GB"/>
        </w:rPr>
      </w:pPr>
      <w:r w:rsidRPr="007723F5">
        <w:rPr>
          <w:sz w:val="24"/>
          <w:szCs w:val="24"/>
          <w:lang w:val="en-GB"/>
        </w:rPr>
        <w:t>Altman, E.I. (1968). “Financial ratios, discriminant analysis and the prediction of corporate bankruptcy,” Journal of Finance, Vol. 23, No. 4, pp. 589-609.</w:t>
      </w:r>
    </w:p>
    <w:p w:rsidR="00DB251C" w:rsidRPr="007723F5" w:rsidRDefault="00DB251C" w:rsidP="00DB251C">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rPr>
        <w:t xml:space="preserve">Amihud, Y. (2002). “Illiquidity and stock returns: cross-section and time-series effects,” </w:t>
      </w:r>
      <w:r w:rsidRPr="007723F5">
        <w:rPr>
          <w:rFonts w:eastAsia="SimSun"/>
          <w:i/>
          <w:sz w:val="24"/>
          <w:szCs w:val="24"/>
        </w:rPr>
        <w:t>Journal of Financial Markets</w:t>
      </w:r>
      <w:r w:rsidRPr="007723F5">
        <w:rPr>
          <w:rFonts w:eastAsia="SimSun"/>
          <w:sz w:val="24"/>
          <w:szCs w:val="24"/>
        </w:rPr>
        <w:t xml:space="preserve">, </w:t>
      </w:r>
      <w:r w:rsidRPr="007723F5">
        <w:rPr>
          <w:sz w:val="24"/>
          <w:szCs w:val="24"/>
        </w:rPr>
        <w:t xml:space="preserve">Vol. </w:t>
      </w:r>
      <w:r w:rsidRPr="007723F5">
        <w:rPr>
          <w:rFonts w:eastAsia="SimSun"/>
          <w:sz w:val="24"/>
          <w:szCs w:val="24"/>
        </w:rPr>
        <w:t>5</w:t>
      </w:r>
      <w:r w:rsidRPr="007723F5">
        <w:rPr>
          <w:sz w:val="24"/>
          <w:szCs w:val="24"/>
        </w:rPr>
        <w:t>, pp. 31-</w:t>
      </w:r>
      <w:r w:rsidRPr="007723F5">
        <w:rPr>
          <w:rFonts w:eastAsia="SimSun"/>
          <w:sz w:val="24"/>
          <w:szCs w:val="24"/>
        </w:rPr>
        <w:t>56.</w:t>
      </w:r>
    </w:p>
    <w:p w:rsidR="00DB251C" w:rsidRPr="007723F5" w:rsidRDefault="00DB251C" w:rsidP="00DB251C">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rPr>
        <w:t xml:space="preserve">Amihud, Y., Mendelson, H. (1986). “Asset pricing and the bid–ask spread,” </w:t>
      </w:r>
      <w:r w:rsidRPr="007723F5">
        <w:rPr>
          <w:rFonts w:eastAsia="SimSun"/>
          <w:i/>
          <w:sz w:val="24"/>
          <w:szCs w:val="24"/>
        </w:rPr>
        <w:t xml:space="preserve">Journal of Financial </w:t>
      </w:r>
      <w:r w:rsidRPr="007723F5">
        <w:rPr>
          <w:i/>
          <w:sz w:val="24"/>
          <w:szCs w:val="24"/>
        </w:rPr>
        <w:t>E</w:t>
      </w:r>
      <w:r w:rsidRPr="007723F5">
        <w:rPr>
          <w:rFonts w:eastAsia="SimSun"/>
          <w:i/>
          <w:sz w:val="24"/>
          <w:szCs w:val="24"/>
        </w:rPr>
        <w:t>conomics</w:t>
      </w:r>
      <w:r w:rsidRPr="007723F5">
        <w:rPr>
          <w:rFonts w:eastAsia="SimSun"/>
          <w:sz w:val="24"/>
          <w:szCs w:val="24"/>
        </w:rPr>
        <w:t>, Vol. 17, pp. 223-249.</w:t>
      </w:r>
    </w:p>
    <w:p w:rsidR="0026721A" w:rsidRPr="007723F5" w:rsidRDefault="0026721A" w:rsidP="0026721A">
      <w:pPr>
        <w:pStyle w:val="bibliomixed"/>
        <w:spacing w:before="0" w:beforeAutospacing="0" w:after="0" w:afterAutospacing="0" w:line="360" w:lineRule="auto"/>
        <w:ind w:left="142" w:hanging="142"/>
        <w:jc w:val="both"/>
        <w:rPr>
          <w:bCs/>
          <w:sz w:val="24"/>
          <w:szCs w:val="24"/>
        </w:rPr>
      </w:pPr>
      <w:r w:rsidRPr="007723F5">
        <w:rPr>
          <w:bCs/>
          <w:sz w:val="24"/>
          <w:szCs w:val="24"/>
        </w:rPr>
        <w:t xml:space="preserve">BCBS (1998). </w:t>
      </w:r>
      <w:r w:rsidRPr="007723F5">
        <w:rPr>
          <w:bCs/>
          <w:i/>
          <w:sz w:val="24"/>
          <w:szCs w:val="24"/>
        </w:rPr>
        <w:t>International convergence of capital measurement and capital standards</w:t>
      </w:r>
      <w:r w:rsidRPr="007723F5">
        <w:rPr>
          <w:bCs/>
          <w:sz w:val="24"/>
          <w:szCs w:val="24"/>
        </w:rPr>
        <w:t xml:space="preserve">, Bank for International Settlements, Basel, July 1988, updated to April 1998. </w:t>
      </w:r>
    </w:p>
    <w:p w:rsidR="0026721A" w:rsidRPr="007723F5" w:rsidRDefault="00164C6A" w:rsidP="0026721A">
      <w:pPr>
        <w:pStyle w:val="bibliomixed"/>
        <w:spacing w:before="0" w:beforeAutospacing="0" w:after="0" w:afterAutospacing="0" w:line="360" w:lineRule="auto"/>
        <w:ind w:left="142" w:hanging="142"/>
        <w:jc w:val="both"/>
        <w:rPr>
          <w:bCs/>
          <w:sz w:val="24"/>
          <w:szCs w:val="24"/>
        </w:rPr>
      </w:pPr>
      <w:r w:rsidRPr="007723F5">
        <w:rPr>
          <w:bCs/>
          <w:sz w:val="24"/>
          <w:szCs w:val="24"/>
        </w:rPr>
        <w:t>BCBS (2005</w:t>
      </w:r>
      <w:r w:rsidR="0026721A" w:rsidRPr="007723F5">
        <w:rPr>
          <w:bCs/>
          <w:sz w:val="24"/>
          <w:szCs w:val="24"/>
        </w:rPr>
        <w:t xml:space="preserve">). </w:t>
      </w:r>
      <w:r w:rsidR="0026721A" w:rsidRPr="007723F5">
        <w:rPr>
          <w:bCs/>
          <w:i/>
          <w:sz w:val="24"/>
          <w:szCs w:val="24"/>
        </w:rPr>
        <w:t>International convergence of capital measurement and capital standards; a revised framework</w:t>
      </w:r>
      <w:r w:rsidR="0026721A" w:rsidRPr="007723F5">
        <w:rPr>
          <w:bCs/>
          <w:sz w:val="24"/>
          <w:szCs w:val="24"/>
        </w:rPr>
        <w:t>, Bank for International Settlements, Basel, November 2005.</w:t>
      </w:r>
    </w:p>
    <w:p w:rsidR="0026721A" w:rsidRPr="007723F5" w:rsidRDefault="0026721A" w:rsidP="0026721A">
      <w:pPr>
        <w:pStyle w:val="bibliomixed"/>
        <w:spacing w:before="0" w:beforeAutospacing="0" w:after="0" w:afterAutospacing="0" w:line="360" w:lineRule="auto"/>
        <w:ind w:left="142" w:hanging="142"/>
        <w:jc w:val="both"/>
        <w:rPr>
          <w:bCs/>
          <w:sz w:val="24"/>
          <w:szCs w:val="24"/>
        </w:rPr>
      </w:pPr>
      <w:r w:rsidRPr="007723F5">
        <w:rPr>
          <w:bCs/>
          <w:sz w:val="24"/>
          <w:szCs w:val="24"/>
        </w:rPr>
        <w:t xml:space="preserve">BCBS (2006). </w:t>
      </w:r>
      <w:r w:rsidRPr="007723F5">
        <w:rPr>
          <w:bCs/>
          <w:i/>
          <w:sz w:val="24"/>
          <w:szCs w:val="24"/>
        </w:rPr>
        <w:t>International convergence of capital measurement and capital standards; a revised framework, comprehensive version</w:t>
      </w:r>
      <w:r w:rsidRPr="007723F5">
        <w:rPr>
          <w:bCs/>
          <w:sz w:val="24"/>
          <w:szCs w:val="24"/>
        </w:rPr>
        <w:t>, Bank for International Settlements, Basel, June 2006.</w:t>
      </w:r>
    </w:p>
    <w:p w:rsidR="000132B8" w:rsidRPr="007723F5" w:rsidRDefault="000132B8" w:rsidP="000132B8">
      <w:pPr>
        <w:pStyle w:val="bibliomixed"/>
        <w:spacing w:before="0" w:beforeAutospacing="0" w:after="0" w:afterAutospacing="0" w:line="360" w:lineRule="auto"/>
        <w:ind w:left="142" w:hanging="142"/>
        <w:jc w:val="both"/>
        <w:rPr>
          <w:sz w:val="24"/>
          <w:szCs w:val="24"/>
          <w:lang w:val="en-GB"/>
        </w:rPr>
      </w:pPr>
      <w:r w:rsidRPr="007723F5">
        <w:rPr>
          <w:sz w:val="24"/>
          <w:szCs w:val="24"/>
          <w:lang w:val="en-GB"/>
        </w:rPr>
        <w:t>Beaver, W. (1966). “Financial ratios as predictors of failure,” Empirical Research in Accounting, Selected Studies, pp. 71-111.</w:t>
      </w:r>
    </w:p>
    <w:p w:rsidR="002C2DB0" w:rsidRPr="007723F5" w:rsidRDefault="00CB1067" w:rsidP="00CB1067">
      <w:pPr>
        <w:pStyle w:val="bibliomixed"/>
        <w:spacing w:before="0" w:beforeAutospacing="0" w:after="0" w:afterAutospacing="0" w:line="360" w:lineRule="auto"/>
        <w:ind w:left="142" w:hanging="142"/>
        <w:jc w:val="both"/>
        <w:rPr>
          <w:lang w:val="en-GB"/>
        </w:rPr>
      </w:pPr>
      <w:r w:rsidRPr="007723F5">
        <w:rPr>
          <w:rFonts w:eastAsia="MS Mincho"/>
          <w:sz w:val="24"/>
          <w:szCs w:val="24"/>
          <w:lang w:val="en-GB" w:eastAsia="ja-JP"/>
        </w:rPr>
        <w:t xml:space="preserve">Blum, J.M. </w:t>
      </w:r>
      <w:r w:rsidRPr="007723F5">
        <w:rPr>
          <w:sz w:val="24"/>
          <w:szCs w:val="24"/>
          <w:lang w:val="en-GB"/>
        </w:rPr>
        <w:t>(</w:t>
      </w:r>
      <w:r w:rsidRPr="007723F5">
        <w:rPr>
          <w:rFonts w:eastAsia="MS Mincho"/>
          <w:sz w:val="24"/>
          <w:szCs w:val="24"/>
          <w:lang w:val="en-GB" w:eastAsia="ja-JP"/>
        </w:rPr>
        <w:t>2007</w:t>
      </w:r>
      <w:r w:rsidRPr="007723F5">
        <w:rPr>
          <w:sz w:val="24"/>
          <w:szCs w:val="24"/>
          <w:lang w:val="en-GB"/>
        </w:rPr>
        <w:t>)</w:t>
      </w:r>
      <w:r w:rsidRPr="007723F5">
        <w:rPr>
          <w:rFonts w:eastAsia="MS Mincho"/>
          <w:sz w:val="24"/>
          <w:szCs w:val="24"/>
          <w:lang w:val="en-GB" w:eastAsia="ja-JP"/>
        </w:rPr>
        <w:t xml:space="preserve">. </w:t>
      </w:r>
      <w:r w:rsidRPr="007723F5">
        <w:rPr>
          <w:sz w:val="24"/>
          <w:szCs w:val="24"/>
          <w:lang w:val="en-GB"/>
        </w:rPr>
        <w:t>“</w:t>
      </w:r>
      <w:r w:rsidRPr="007723F5">
        <w:rPr>
          <w:rFonts w:eastAsia="MS Mincho"/>
          <w:sz w:val="24"/>
          <w:szCs w:val="24"/>
          <w:lang w:val="en-GB" w:eastAsia="ja-JP"/>
        </w:rPr>
        <w:t>Why Basel II may ne</w:t>
      </w:r>
      <w:r w:rsidRPr="007723F5">
        <w:rPr>
          <w:sz w:val="24"/>
          <w:szCs w:val="24"/>
          <w:lang w:val="en-GB"/>
        </w:rPr>
        <w:t xml:space="preserve">ed a leverage ratio restriction.” </w:t>
      </w:r>
      <w:r w:rsidRPr="007723F5">
        <w:rPr>
          <w:rFonts w:eastAsia="MS Mincho"/>
          <w:i/>
          <w:sz w:val="24"/>
          <w:szCs w:val="24"/>
          <w:lang w:val="en-GB" w:eastAsia="ja-JP"/>
        </w:rPr>
        <w:t>Journal of</w:t>
      </w:r>
      <w:r w:rsidRPr="007723F5">
        <w:rPr>
          <w:i/>
          <w:sz w:val="24"/>
          <w:szCs w:val="24"/>
          <w:lang w:val="en-GB"/>
        </w:rPr>
        <w:t xml:space="preserve"> </w:t>
      </w:r>
      <w:r w:rsidRPr="007723F5">
        <w:rPr>
          <w:rFonts w:eastAsia="MS Mincho"/>
          <w:i/>
          <w:sz w:val="24"/>
          <w:szCs w:val="24"/>
          <w:lang w:val="en-GB" w:eastAsia="ja-JP"/>
        </w:rPr>
        <w:t>Banking and Finance</w:t>
      </w:r>
      <w:r w:rsidRPr="007723F5">
        <w:rPr>
          <w:sz w:val="24"/>
          <w:szCs w:val="24"/>
          <w:lang w:val="en-GB"/>
        </w:rPr>
        <w:t>,</w:t>
      </w:r>
      <w:r w:rsidRPr="007723F5">
        <w:rPr>
          <w:rFonts w:eastAsia="MS Mincho"/>
          <w:sz w:val="24"/>
          <w:szCs w:val="24"/>
          <w:lang w:val="en-GB" w:eastAsia="ja-JP"/>
        </w:rPr>
        <w:t xml:space="preserve"> </w:t>
      </w:r>
      <w:r w:rsidRPr="007723F5">
        <w:rPr>
          <w:sz w:val="24"/>
          <w:szCs w:val="24"/>
          <w:lang w:val="en-GB"/>
        </w:rPr>
        <w:t xml:space="preserve">Vol. </w:t>
      </w:r>
      <w:r w:rsidRPr="007723F5">
        <w:rPr>
          <w:rFonts w:eastAsia="MS Mincho"/>
          <w:sz w:val="24"/>
          <w:szCs w:val="24"/>
          <w:lang w:val="en-GB" w:eastAsia="ja-JP"/>
        </w:rPr>
        <w:t xml:space="preserve">32, </w:t>
      </w:r>
      <w:r w:rsidRPr="007723F5">
        <w:rPr>
          <w:sz w:val="24"/>
          <w:szCs w:val="24"/>
          <w:lang w:val="en-GB"/>
        </w:rPr>
        <w:t xml:space="preserve">pp. </w:t>
      </w:r>
      <w:r w:rsidRPr="007723F5">
        <w:rPr>
          <w:rFonts w:eastAsia="MS Mincho"/>
          <w:sz w:val="24"/>
          <w:szCs w:val="24"/>
          <w:lang w:val="en-GB" w:eastAsia="ja-JP"/>
        </w:rPr>
        <w:t>1699</w:t>
      </w:r>
      <w:r w:rsidRPr="007723F5">
        <w:rPr>
          <w:sz w:val="24"/>
          <w:szCs w:val="24"/>
          <w:lang w:val="en-GB"/>
        </w:rPr>
        <w:t>-</w:t>
      </w:r>
      <w:r w:rsidRPr="007723F5">
        <w:rPr>
          <w:rFonts w:eastAsia="MS Mincho"/>
          <w:sz w:val="24"/>
          <w:szCs w:val="24"/>
          <w:lang w:val="en-GB" w:eastAsia="ja-JP"/>
        </w:rPr>
        <w:t>1707.</w:t>
      </w:r>
    </w:p>
    <w:p w:rsidR="00CB1067" w:rsidRPr="007723F5" w:rsidRDefault="002C2DB0" w:rsidP="00CB1067">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Buiter, W.H. (2008). “Housing wealth isn’t wealth,” National Bureau of Economic Research, Working Paper NBER 14204.</w:t>
      </w:r>
    </w:p>
    <w:p w:rsidR="002C2DB0" w:rsidRPr="007723F5" w:rsidRDefault="002C2DB0" w:rsidP="002C2DB0">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val="nl-NL" w:eastAsia="zh-CN"/>
        </w:rPr>
        <w:t xml:space="preserve">Burkhard, J., De Giorgi, E. (2006). </w:t>
      </w:r>
      <w:r w:rsidRPr="007723F5">
        <w:rPr>
          <w:rFonts w:eastAsia="SimSun"/>
          <w:sz w:val="24"/>
          <w:szCs w:val="24"/>
          <w:lang w:eastAsia="zh-CN"/>
        </w:rPr>
        <w:t xml:space="preserve">“An intensity based non-parametric default model for residential mortgage portfolios,” </w:t>
      </w:r>
      <w:r w:rsidRPr="007723F5">
        <w:rPr>
          <w:rFonts w:eastAsia="SimSun"/>
          <w:i/>
          <w:sz w:val="24"/>
          <w:szCs w:val="24"/>
          <w:lang w:eastAsia="zh-CN"/>
        </w:rPr>
        <w:t>Journal of Risk</w:t>
      </w:r>
      <w:r w:rsidRPr="007723F5">
        <w:rPr>
          <w:rFonts w:eastAsia="SimSun"/>
          <w:sz w:val="24"/>
          <w:szCs w:val="24"/>
          <w:lang w:eastAsia="zh-CN"/>
        </w:rPr>
        <w:t>, Vol. 8, No. 4, pp. 57-95.</w:t>
      </w:r>
    </w:p>
    <w:p w:rsidR="002C2DB0" w:rsidRPr="007723F5" w:rsidRDefault="002C2DB0" w:rsidP="006659EC">
      <w:pPr>
        <w:pStyle w:val="bibliomixed"/>
        <w:spacing w:before="0" w:beforeAutospacing="0" w:after="0" w:afterAutospacing="0" w:line="360" w:lineRule="auto"/>
        <w:ind w:left="142" w:hanging="142"/>
        <w:jc w:val="both"/>
        <w:rPr>
          <w:lang w:val="en-GB"/>
        </w:rPr>
      </w:pPr>
      <w:r w:rsidRPr="007723F5">
        <w:rPr>
          <w:lang w:val="en-GB"/>
        </w:rPr>
        <w:t xml:space="preserve">Calomiris, C.W., Longhofer, S.D., Miles, W. (2012). “The housing wealth effect: the crucial roles of demographics, wealth distribution and wealth shares, </w:t>
      </w:r>
      <w:r w:rsidRPr="007723F5">
        <w:rPr>
          <w:i/>
          <w:lang w:val="en-GB"/>
        </w:rPr>
        <w:t>National Bureau of Economic Research</w:t>
      </w:r>
      <w:r w:rsidRPr="007723F5">
        <w:rPr>
          <w:lang w:val="en-GB"/>
        </w:rPr>
        <w:t>, Working Paper NBER 17740.</w:t>
      </w:r>
    </w:p>
    <w:p w:rsidR="006659EC" w:rsidRPr="007723F5" w:rsidRDefault="006659EC" w:rsidP="006659EC">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Campbell, J.Y., Cocco, J.F. (2010). “A model of mortgage default”, </w:t>
      </w:r>
      <w:r w:rsidRPr="007723F5">
        <w:rPr>
          <w:rFonts w:eastAsia="SimSun"/>
          <w:i/>
          <w:sz w:val="24"/>
          <w:szCs w:val="24"/>
          <w:lang w:eastAsia="zh-CN"/>
        </w:rPr>
        <w:t>Harvard University</w:t>
      </w:r>
      <w:r w:rsidRPr="007723F5">
        <w:rPr>
          <w:rFonts w:eastAsia="SimSun"/>
          <w:sz w:val="24"/>
          <w:szCs w:val="24"/>
          <w:lang w:eastAsia="zh-CN"/>
        </w:rPr>
        <w:t>, Working Paper.</w:t>
      </w:r>
    </w:p>
    <w:p w:rsidR="006659EC" w:rsidRPr="007723F5" w:rsidRDefault="006659EC" w:rsidP="006659EC">
      <w:pPr>
        <w:pStyle w:val="bibliomixed"/>
        <w:spacing w:before="0" w:beforeAutospacing="0" w:after="0" w:afterAutospacing="0" w:line="360" w:lineRule="auto"/>
        <w:ind w:left="142" w:hanging="142"/>
        <w:jc w:val="both"/>
        <w:rPr>
          <w:sz w:val="24"/>
          <w:szCs w:val="24"/>
        </w:rPr>
      </w:pPr>
      <w:r w:rsidRPr="007723F5">
        <w:rPr>
          <w:sz w:val="24"/>
          <w:szCs w:val="24"/>
        </w:rPr>
        <w:t xml:space="preserve">Campbell, T.S., Dietrich, J.K. (1983). “The determinants of default on insured conventional residential mortgage loans,” </w:t>
      </w:r>
      <w:r w:rsidRPr="007723F5">
        <w:rPr>
          <w:i/>
          <w:sz w:val="24"/>
          <w:szCs w:val="24"/>
        </w:rPr>
        <w:t>Journal of Finance</w:t>
      </w:r>
      <w:r w:rsidRPr="007723F5">
        <w:rPr>
          <w:sz w:val="24"/>
          <w:szCs w:val="24"/>
        </w:rPr>
        <w:t>, Vol. 38, No. 5, pp. 1569-1581.</w:t>
      </w:r>
    </w:p>
    <w:p w:rsidR="00634C9F" w:rsidRPr="007723F5" w:rsidRDefault="00634C9F" w:rsidP="00634C9F">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lang w:eastAsia="zh-CN"/>
        </w:rPr>
        <w:lastRenderedPageBreak/>
        <w:t xml:space="preserve">Darius, R., Radde, S. (2010). “Can global liquidity forecast asset prices?” </w:t>
      </w:r>
      <w:r w:rsidRPr="007723F5">
        <w:rPr>
          <w:rFonts w:eastAsia="SimSun"/>
          <w:i/>
          <w:sz w:val="24"/>
          <w:szCs w:val="24"/>
          <w:lang w:eastAsia="zh-CN"/>
        </w:rPr>
        <w:t>International Monetary Fund</w:t>
      </w:r>
      <w:r w:rsidRPr="007723F5">
        <w:rPr>
          <w:rFonts w:eastAsia="SimSun"/>
          <w:sz w:val="24"/>
          <w:szCs w:val="24"/>
          <w:lang w:eastAsia="zh-CN"/>
        </w:rPr>
        <w:t>, Working paper, No. 10/196.</w:t>
      </w:r>
    </w:p>
    <w:p w:rsidR="006659EC" w:rsidRPr="007723F5" w:rsidRDefault="006659EC" w:rsidP="005F6474">
      <w:pPr>
        <w:pStyle w:val="bibliomixed"/>
        <w:spacing w:before="0" w:beforeAutospacing="0" w:after="0" w:afterAutospacing="0" w:line="360" w:lineRule="auto"/>
        <w:ind w:left="142" w:hanging="142"/>
        <w:jc w:val="both"/>
        <w:rPr>
          <w:rFonts w:eastAsia="SimSun"/>
          <w:sz w:val="24"/>
          <w:szCs w:val="24"/>
          <w:lang w:val="en-GB" w:eastAsia="zh-CN"/>
        </w:rPr>
      </w:pPr>
      <w:r w:rsidRPr="007723F5">
        <w:rPr>
          <w:rFonts w:eastAsia="SimSun"/>
          <w:sz w:val="24"/>
          <w:szCs w:val="24"/>
          <w:lang w:val="en-GB" w:eastAsia="zh-CN"/>
        </w:rPr>
        <w:t xml:space="preserve">DeVaney, S.A., Lytton, R.H. (1995). “Household insolvency: a review of household debt repayment, delinquency, and bankruptcy,” </w:t>
      </w:r>
      <w:r w:rsidRPr="007723F5">
        <w:rPr>
          <w:rFonts w:eastAsia="SimSun"/>
          <w:i/>
          <w:sz w:val="24"/>
          <w:szCs w:val="24"/>
          <w:lang w:val="en-GB" w:eastAsia="zh-CN"/>
        </w:rPr>
        <w:t>Financial Services Review</w:t>
      </w:r>
      <w:r w:rsidRPr="007723F5">
        <w:rPr>
          <w:rFonts w:eastAsia="SimSun"/>
          <w:sz w:val="24"/>
          <w:szCs w:val="24"/>
          <w:lang w:val="en-GB" w:eastAsia="zh-CN"/>
        </w:rPr>
        <w:t>, Vol. 4, No. 2, pp. 137-156</w:t>
      </w:r>
    </w:p>
    <w:p w:rsidR="005F6474" w:rsidRPr="007723F5" w:rsidRDefault="005F6474" w:rsidP="005F6474">
      <w:pPr>
        <w:pStyle w:val="bibliomixed"/>
        <w:spacing w:before="0" w:beforeAutospacing="0" w:after="0" w:afterAutospacing="0" w:line="360" w:lineRule="auto"/>
        <w:ind w:left="142" w:hanging="142"/>
        <w:jc w:val="both"/>
        <w:rPr>
          <w:sz w:val="24"/>
          <w:szCs w:val="24"/>
          <w:lang w:val="en-GB"/>
        </w:rPr>
      </w:pPr>
      <w:r w:rsidRPr="007723F5">
        <w:rPr>
          <w:rFonts w:eastAsia="MS Mincho"/>
          <w:sz w:val="24"/>
          <w:szCs w:val="24"/>
          <w:lang w:val="en-GB" w:eastAsia="ja-JP"/>
        </w:rPr>
        <w:t>Duffie, D</w:t>
      </w:r>
      <w:r w:rsidRPr="007723F5">
        <w:rPr>
          <w:sz w:val="24"/>
          <w:szCs w:val="24"/>
          <w:lang w:val="en-GB"/>
        </w:rPr>
        <w:t>.</w:t>
      </w:r>
      <w:r w:rsidRPr="007723F5">
        <w:rPr>
          <w:rFonts w:eastAsia="MS Mincho"/>
          <w:sz w:val="24"/>
          <w:szCs w:val="24"/>
          <w:lang w:val="en-GB" w:eastAsia="ja-JP"/>
        </w:rPr>
        <w:t xml:space="preserve"> </w:t>
      </w:r>
      <w:r w:rsidRPr="007723F5">
        <w:rPr>
          <w:sz w:val="24"/>
          <w:szCs w:val="24"/>
          <w:lang w:val="en-GB"/>
        </w:rPr>
        <w:t>(</w:t>
      </w:r>
      <w:r w:rsidRPr="007723F5">
        <w:rPr>
          <w:rFonts w:eastAsia="MS Mincho"/>
          <w:sz w:val="24"/>
          <w:szCs w:val="24"/>
          <w:lang w:val="en-GB" w:eastAsia="ja-JP"/>
        </w:rPr>
        <w:t>1999</w:t>
      </w:r>
      <w:r w:rsidRPr="007723F5">
        <w:rPr>
          <w:sz w:val="24"/>
          <w:szCs w:val="24"/>
          <w:lang w:val="en-GB"/>
        </w:rPr>
        <w:t>).</w:t>
      </w:r>
      <w:r w:rsidRPr="007723F5">
        <w:rPr>
          <w:rFonts w:eastAsia="MS Mincho"/>
          <w:sz w:val="24"/>
          <w:szCs w:val="24"/>
          <w:lang w:val="en-GB" w:eastAsia="ja-JP"/>
        </w:rPr>
        <w:t xml:space="preserve"> “</w:t>
      </w:r>
      <w:r w:rsidR="00746FBB" w:rsidRPr="007723F5">
        <w:rPr>
          <w:rFonts w:eastAsia="MS Mincho"/>
          <w:sz w:val="24"/>
          <w:szCs w:val="24"/>
          <w:lang w:val="en-GB" w:eastAsia="ja-JP"/>
        </w:rPr>
        <w:t>Credit swap v</w:t>
      </w:r>
      <w:r w:rsidRPr="007723F5">
        <w:rPr>
          <w:rFonts w:eastAsia="MS Mincho"/>
          <w:sz w:val="24"/>
          <w:szCs w:val="24"/>
          <w:lang w:val="en-GB" w:eastAsia="ja-JP"/>
        </w:rPr>
        <w:t xml:space="preserve">aluation,” </w:t>
      </w:r>
      <w:r w:rsidRPr="007723F5">
        <w:rPr>
          <w:rFonts w:eastAsia="MS Mincho"/>
          <w:i/>
          <w:sz w:val="24"/>
          <w:szCs w:val="24"/>
          <w:lang w:val="en-GB" w:eastAsia="ja-JP"/>
        </w:rPr>
        <w:t>Financial Analyst Journal</w:t>
      </w:r>
      <w:r w:rsidRPr="007723F5">
        <w:rPr>
          <w:rFonts w:eastAsia="MS Mincho"/>
          <w:sz w:val="24"/>
          <w:szCs w:val="24"/>
          <w:lang w:val="en-GB" w:eastAsia="ja-JP"/>
        </w:rPr>
        <w:t>,</w:t>
      </w:r>
      <w:r w:rsidRPr="007723F5">
        <w:rPr>
          <w:sz w:val="24"/>
          <w:szCs w:val="24"/>
          <w:lang w:val="en-GB"/>
        </w:rPr>
        <w:t xml:space="preserve"> </w:t>
      </w:r>
      <w:r w:rsidRPr="007723F5">
        <w:rPr>
          <w:rFonts w:eastAsia="MS Mincho"/>
          <w:sz w:val="24"/>
          <w:szCs w:val="24"/>
          <w:lang w:val="en-GB" w:eastAsia="ja-JP"/>
        </w:rPr>
        <w:t>Vol. 55, No. 1, pp. 73</w:t>
      </w:r>
      <w:r w:rsidRPr="007723F5">
        <w:rPr>
          <w:sz w:val="24"/>
          <w:szCs w:val="24"/>
          <w:lang w:val="en-GB"/>
        </w:rPr>
        <w:t>-</w:t>
      </w:r>
      <w:r w:rsidRPr="007723F5">
        <w:rPr>
          <w:rFonts w:eastAsia="MS Mincho"/>
          <w:sz w:val="24"/>
          <w:szCs w:val="24"/>
          <w:lang w:val="en-GB" w:eastAsia="ja-JP"/>
        </w:rPr>
        <w:t>87.</w:t>
      </w:r>
    </w:p>
    <w:p w:rsidR="0074548F" w:rsidRPr="007723F5" w:rsidRDefault="0026721A" w:rsidP="0074548F">
      <w:pPr>
        <w:pStyle w:val="bibliomixed"/>
        <w:spacing w:before="0" w:beforeAutospacing="0" w:after="0" w:afterAutospacing="0" w:line="360" w:lineRule="auto"/>
        <w:ind w:left="142" w:hanging="142"/>
        <w:jc w:val="both"/>
        <w:rPr>
          <w:rFonts w:eastAsia="MS Mincho"/>
          <w:sz w:val="24"/>
          <w:szCs w:val="24"/>
          <w:lang w:val="en-GB" w:eastAsia="ja-JP"/>
        </w:rPr>
      </w:pPr>
      <w:r w:rsidRPr="007723F5">
        <w:rPr>
          <w:sz w:val="24"/>
          <w:szCs w:val="24"/>
          <w:lang w:val="en-GB"/>
        </w:rPr>
        <w:t>Duffie, D., Singleton, K.J.</w:t>
      </w:r>
      <w:r w:rsidRPr="007723F5">
        <w:rPr>
          <w:rFonts w:eastAsia="MS Mincho"/>
          <w:sz w:val="24"/>
          <w:szCs w:val="24"/>
          <w:lang w:val="en-GB" w:eastAsia="ja-JP"/>
        </w:rPr>
        <w:t xml:space="preserve"> </w:t>
      </w:r>
      <w:r w:rsidRPr="007723F5">
        <w:rPr>
          <w:sz w:val="24"/>
          <w:szCs w:val="24"/>
          <w:lang w:val="en-GB"/>
        </w:rPr>
        <w:t>(</w:t>
      </w:r>
      <w:r w:rsidRPr="007723F5">
        <w:rPr>
          <w:rFonts w:eastAsia="MS Mincho"/>
          <w:sz w:val="24"/>
          <w:szCs w:val="24"/>
          <w:lang w:val="en-GB" w:eastAsia="ja-JP"/>
        </w:rPr>
        <w:t>2003</w:t>
      </w:r>
      <w:r w:rsidRPr="007723F5">
        <w:rPr>
          <w:sz w:val="24"/>
          <w:szCs w:val="24"/>
          <w:lang w:val="en-GB"/>
        </w:rPr>
        <w:t>)</w:t>
      </w:r>
      <w:r w:rsidRPr="007723F5">
        <w:rPr>
          <w:rFonts w:eastAsia="MS Mincho"/>
          <w:sz w:val="24"/>
          <w:szCs w:val="24"/>
          <w:lang w:val="en-GB" w:eastAsia="ja-JP"/>
        </w:rPr>
        <w:t xml:space="preserve">. </w:t>
      </w:r>
      <w:r w:rsidRPr="007723F5">
        <w:rPr>
          <w:rFonts w:eastAsia="MS Mincho"/>
          <w:i/>
          <w:sz w:val="24"/>
          <w:szCs w:val="24"/>
          <w:lang w:val="en-GB" w:eastAsia="ja-JP"/>
        </w:rPr>
        <w:t>Credit Risk: Pri</w:t>
      </w:r>
      <w:r w:rsidRPr="007723F5">
        <w:rPr>
          <w:i/>
          <w:sz w:val="24"/>
          <w:szCs w:val="24"/>
          <w:lang w:val="en-GB"/>
        </w:rPr>
        <w:t>cing Measurement and Management</w:t>
      </w:r>
      <w:r w:rsidRPr="007723F5">
        <w:rPr>
          <w:sz w:val="24"/>
          <w:szCs w:val="24"/>
          <w:lang w:val="en-GB"/>
        </w:rPr>
        <w:t xml:space="preserve">, </w:t>
      </w:r>
      <w:r w:rsidRPr="007723F5">
        <w:rPr>
          <w:rFonts w:eastAsia="MS Mincho"/>
          <w:sz w:val="24"/>
          <w:szCs w:val="24"/>
          <w:lang w:val="en-GB" w:eastAsia="ja-JP"/>
        </w:rPr>
        <w:t>Princeton University Press, Princeton, NJ.</w:t>
      </w:r>
    </w:p>
    <w:p w:rsidR="00AC4A38" w:rsidRPr="007723F5" w:rsidRDefault="00AC4A38" w:rsidP="00AC4A38">
      <w:pPr>
        <w:pStyle w:val="bibliomixed"/>
        <w:spacing w:before="0" w:beforeAutospacing="0" w:after="0" w:afterAutospacing="0" w:line="360" w:lineRule="auto"/>
        <w:ind w:left="142" w:hanging="142"/>
        <w:jc w:val="both"/>
        <w:rPr>
          <w:sz w:val="24"/>
          <w:szCs w:val="24"/>
          <w:lang w:val="en-GB"/>
        </w:rPr>
      </w:pPr>
      <w:r w:rsidRPr="007723F5">
        <w:rPr>
          <w:sz w:val="24"/>
          <w:szCs w:val="24"/>
          <w:lang w:val="en-GB"/>
        </w:rPr>
        <w:t>FSA (2006). “</w:t>
      </w:r>
      <w:r w:rsidRPr="007723F5">
        <w:rPr>
          <w:rFonts w:eastAsia="MS Mincho"/>
          <w:sz w:val="24"/>
          <w:szCs w:val="24"/>
          <w:lang w:val="en-GB" w:eastAsia="ja-JP"/>
        </w:rPr>
        <w:t xml:space="preserve">Use of long run </w:t>
      </w:r>
      <w:r w:rsidRPr="007723F5">
        <w:rPr>
          <w:sz w:val="24"/>
          <w:szCs w:val="24"/>
          <w:lang w:val="en-GB"/>
        </w:rPr>
        <w:t>p</w:t>
      </w:r>
      <w:r w:rsidRPr="007723F5">
        <w:rPr>
          <w:rFonts w:eastAsia="MS Mincho"/>
          <w:sz w:val="24"/>
          <w:szCs w:val="24"/>
          <w:lang w:val="en-GB" w:eastAsia="ja-JP"/>
        </w:rPr>
        <w:t xml:space="preserve">robabilities of </w:t>
      </w:r>
      <w:r w:rsidRPr="007723F5">
        <w:rPr>
          <w:sz w:val="24"/>
          <w:szCs w:val="24"/>
          <w:lang w:val="en-GB"/>
        </w:rPr>
        <w:t>d</w:t>
      </w:r>
      <w:r w:rsidRPr="007723F5">
        <w:rPr>
          <w:rFonts w:eastAsia="MS Mincho"/>
          <w:sz w:val="24"/>
          <w:szCs w:val="24"/>
          <w:lang w:val="en-GB" w:eastAsia="ja-JP"/>
        </w:rPr>
        <w:t>efault, counter-cyclical scaling factors, and</w:t>
      </w:r>
      <w:r w:rsidRPr="007723F5">
        <w:rPr>
          <w:sz w:val="24"/>
          <w:szCs w:val="24"/>
          <w:lang w:val="en-GB"/>
        </w:rPr>
        <w:t xml:space="preserve"> </w:t>
      </w:r>
      <w:r w:rsidRPr="007723F5">
        <w:rPr>
          <w:rFonts w:eastAsia="MS Mincho"/>
          <w:sz w:val="24"/>
          <w:szCs w:val="24"/>
          <w:lang w:val="en-GB" w:eastAsia="ja-JP"/>
        </w:rPr>
        <w:t>the interaction of these with economic cycle stress testing</w:t>
      </w:r>
      <w:r w:rsidRPr="007723F5">
        <w:rPr>
          <w:sz w:val="24"/>
          <w:szCs w:val="24"/>
          <w:lang w:val="en-GB"/>
        </w:rPr>
        <w:t xml:space="preserve">,” </w:t>
      </w:r>
      <w:r w:rsidRPr="007723F5">
        <w:rPr>
          <w:rFonts w:eastAsia="MS Mincho"/>
          <w:i/>
          <w:sz w:val="24"/>
          <w:szCs w:val="24"/>
          <w:lang w:val="en-GB" w:eastAsia="ja-JP"/>
        </w:rPr>
        <w:t>Credit Risk Standing Group</w:t>
      </w:r>
      <w:r w:rsidRPr="007723F5">
        <w:rPr>
          <w:rFonts w:eastAsia="MS Mincho"/>
          <w:sz w:val="24"/>
          <w:szCs w:val="24"/>
          <w:lang w:val="en-GB" w:eastAsia="ja-JP"/>
        </w:rPr>
        <w:t xml:space="preserve">, </w:t>
      </w:r>
      <w:r w:rsidRPr="007723F5">
        <w:rPr>
          <w:sz w:val="24"/>
          <w:szCs w:val="24"/>
          <w:lang w:val="en-GB"/>
        </w:rPr>
        <w:t>Financial Services Authority Memorandum, pp. 1-6.</w:t>
      </w:r>
    </w:p>
    <w:p w:rsidR="00331D29" w:rsidRPr="007723F5" w:rsidRDefault="00331D29" w:rsidP="00AC4A38">
      <w:pPr>
        <w:pStyle w:val="bibliomixed"/>
        <w:spacing w:before="0" w:beforeAutospacing="0" w:after="0" w:afterAutospacing="0" w:line="360" w:lineRule="auto"/>
        <w:ind w:left="142" w:hanging="142"/>
        <w:jc w:val="both"/>
        <w:rPr>
          <w:sz w:val="24"/>
          <w:szCs w:val="24"/>
          <w:lang w:val="en-GB"/>
        </w:rPr>
      </w:pPr>
      <w:r w:rsidRPr="007723F5">
        <w:rPr>
          <w:sz w:val="24"/>
          <w:szCs w:val="24"/>
          <w:lang w:val="en-GB"/>
        </w:rPr>
        <w:t xml:space="preserve">Galariotis, E and Giouvris, E (2015), </w:t>
      </w:r>
      <w:r w:rsidR="00907778" w:rsidRPr="007723F5">
        <w:rPr>
          <w:sz w:val="24"/>
          <w:szCs w:val="24"/>
          <w:lang w:val="en-GB"/>
        </w:rPr>
        <w:t>“</w:t>
      </w:r>
      <w:r w:rsidRPr="007723F5">
        <w:rPr>
          <w:rFonts w:eastAsia="MS Mincho"/>
          <w:sz w:val="24"/>
          <w:szCs w:val="24"/>
          <w:lang w:val="en-GB" w:eastAsia="ja-JP"/>
        </w:rPr>
        <w:t xml:space="preserve">On the stock market liquidity and the business cycle: </w:t>
      </w:r>
      <w:r w:rsidR="00907778" w:rsidRPr="007723F5">
        <w:rPr>
          <w:rFonts w:eastAsia="MS Mincho"/>
          <w:sz w:val="24"/>
          <w:szCs w:val="24"/>
          <w:lang w:val="en-GB" w:eastAsia="ja-JP"/>
        </w:rPr>
        <w:t>a</w:t>
      </w:r>
      <w:r w:rsidRPr="007723F5">
        <w:rPr>
          <w:rFonts w:eastAsia="MS Mincho"/>
          <w:sz w:val="24"/>
          <w:szCs w:val="24"/>
          <w:lang w:val="en-GB" w:eastAsia="ja-JP"/>
        </w:rPr>
        <w:t xml:space="preserve"> multi country approach</w:t>
      </w:r>
      <w:r w:rsidR="00907778" w:rsidRPr="007723F5">
        <w:rPr>
          <w:rFonts w:eastAsia="MS Mincho"/>
          <w:sz w:val="24"/>
          <w:szCs w:val="24"/>
          <w:lang w:val="en-GB" w:eastAsia="ja-JP"/>
        </w:rPr>
        <w:t>,”</w:t>
      </w:r>
      <w:r w:rsidR="00E35E05" w:rsidRPr="007723F5">
        <w:rPr>
          <w:rFonts w:eastAsia="MS Mincho"/>
          <w:sz w:val="24"/>
          <w:szCs w:val="24"/>
          <w:lang w:val="en-GB" w:eastAsia="ja-JP"/>
        </w:rPr>
        <w:t xml:space="preserve"> </w:t>
      </w:r>
      <w:r w:rsidR="00E35E05" w:rsidRPr="007723F5">
        <w:rPr>
          <w:rFonts w:eastAsia="MS Mincho"/>
          <w:i/>
          <w:sz w:val="24"/>
          <w:szCs w:val="24"/>
          <w:lang w:val="en-GB" w:eastAsia="ja-JP"/>
        </w:rPr>
        <w:t xml:space="preserve">International Review of Financial Analysis, </w:t>
      </w:r>
      <w:r w:rsidR="00E35E05" w:rsidRPr="007723F5">
        <w:rPr>
          <w:rFonts w:eastAsia="MS Mincho"/>
          <w:sz w:val="24"/>
          <w:szCs w:val="24"/>
          <w:lang w:val="en-GB" w:eastAsia="ja-JP"/>
        </w:rPr>
        <w:t>Vol</w:t>
      </w:r>
      <w:r w:rsidR="00907778" w:rsidRPr="007723F5">
        <w:rPr>
          <w:rFonts w:eastAsia="MS Mincho"/>
          <w:sz w:val="24"/>
          <w:szCs w:val="24"/>
          <w:lang w:val="en-GB" w:eastAsia="ja-JP"/>
        </w:rPr>
        <w:t>.</w:t>
      </w:r>
      <w:r w:rsidR="00E35E05" w:rsidRPr="007723F5">
        <w:rPr>
          <w:rFonts w:eastAsia="MS Mincho"/>
          <w:sz w:val="24"/>
          <w:szCs w:val="24"/>
          <w:lang w:val="en-GB" w:eastAsia="ja-JP"/>
        </w:rPr>
        <w:t xml:space="preserve"> 38, pp. 44-69</w:t>
      </w:r>
      <w:r w:rsidR="00907778" w:rsidRPr="007723F5">
        <w:rPr>
          <w:rFonts w:eastAsia="MS Mincho"/>
          <w:sz w:val="24"/>
          <w:szCs w:val="24"/>
          <w:lang w:val="en-GB" w:eastAsia="ja-JP"/>
        </w:rPr>
        <w:t>.</w:t>
      </w:r>
    </w:p>
    <w:p w:rsidR="002C2DB0" w:rsidRPr="007723F5" w:rsidRDefault="002C2DB0" w:rsidP="001D329B">
      <w:pPr>
        <w:pStyle w:val="bibliomixed"/>
        <w:spacing w:before="0" w:beforeAutospacing="0" w:after="0" w:afterAutospacing="0" w:line="360" w:lineRule="auto"/>
        <w:ind w:left="142" w:hanging="142"/>
        <w:jc w:val="both"/>
        <w:rPr>
          <w:rFonts w:eastAsia="MS Mincho"/>
          <w:sz w:val="24"/>
          <w:szCs w:val="24"/>
          <w:lang w:val="en-GB" w:eastAsia="ja-JP"/>
        </w:rPr>
      </w:pPr>
      <w:r w:rsidRPr="007723F5">
        <w:rPr>
          <w:rFonts w:eastAsia="MS Mincho"/>
          <w:sz w:val="24"/>
          <w:szCs w:val="24"/>
          <w:lang w:val="en-GB" w:eastAsia="ja-JP"/>
        </w:rPr>
        <w:t xml:space="preserve">Glaeser, E.L., Shapiro, J.M. (2002). “The benefits of the home mortgage interest deduction,” </w:t>
      </w:r>
      <w:r w:rsidRPr="007723F5">
        <w:rPr>
          <w:rFonts w:eastAsia="MS Mincho"/>
          <w:i/>
          <w:sz w:val="24"/>
          <w:szCs w:val="24"/>
          <w:lang w:val="en-GB" w:eastAsia="ja-JP"/>
        </w:rPr>
        <w:t>National Bureau of Economic Research</w:t>
      </w:r>
      <w:r w:rsidRPr="007723F5">
        <w:rPr>
          <w:rFonts w:eastAsia="MS Mincho"/>
          <w:sz w:val="24"/>
          <w:szCs w:val="24"/>
          <w:lang w:val="en-GB" w:eastAsia="ja-JP"/>
        </w:rPr>
        <w:t>, Working Paper NBER 9284.</w:t>
      </w:r>
    </w:p>
    <w:p w:rsidR="001D329B" w:rsidRPr="007723F5" w:rsidRDefault="001D329B" w:rsidP="001D329B">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Gordy, M., Howells, B. (2006), “Procyclicality in Basel II: can we treat the disease without killing the patient?” </w:t>
      </w:r>
      <w:r w:rsidRPr="007723F5">
        <w:rPr>
          <w:rFonts w:eastAsia="SimSun"/>
          <w:i/>
          <w:sz w:val="24"/>
          <w:szCs w:val="24"/>
          <w:lang w:eastAsia="zh-CN"/>
        </w:rPr>
        <w:t>Journal of Financial Intermediation</w:t>
      </w:r>
      <w:r w:rsidRPr="007723F5">
        <w:rPr>
          <w:rFonts w:eastAsia="SimSun"/>
          <w:sz w:val="24"/>
          <w:szCs w:val="24"/>
          <w:lang w:eastAsia="zh-CN"/>
        </w:rPr>
        <w:t>, Vol. 15, pp. 395-417.</w:t>
      </w:r>
    </w:p>
    <w:p w:rsidR="00090F6D" w:rsidRPr="007723F5" w:rsidRDefault="00090F6D" w:rsidP="00090F6D">
      <w:pPr>
        <w:pStyle w:val="bibliomixed"/>
        <w:spacing w:before="0" w:beforeAutospacing="0" w:after="0" w:afterAutospacing="0" w:line="360" w:lineRule="auto"/>
        <w:ind w:left="142" w:hanging="142"/>
        <w:jc w:val="both"/>
        <w:rPr>
          <w:rFonts w:eastAsia="SimSun"/>
          <w:sz w:val="24"/>
          <w:szCs w:val="24"/>
          <w:lang w:val="en-GB" w:eastAsia="zh-CN"/>
        </w:rPr>
      </w:pPr>
      <w:r w:rsidRPr="007723F5">
        <w:rPr>
          <w:rFonts w:eastAsia="SimSun"/>
          <w:sz w:val="24"/>
          <w:szCs w:val="24"/>
          <w:lang w:val="en-GB" w:eastAsia="zh-CN"/>
        </w:rPr>
        <w:t xml:space="preserve">Harrell, F.E. (2001). </w:t>
      </w:r>
      <w:r w:rsidRPr="007723F5">
        <w:rPr>
          <w:rFonts w:eastAsia="SimSun"/>
          <w:i/>
          <w:sz w:val="24"/>
          <w:szCs w:val="24"/>
          <w:lang w:val="en-GB" w:eastAsia="zh-CN"/>
        </w:rPr>
        <w:t>Regression modeling strategies: with applications to linear models, logistic regression, and survival analysis</w:t>
      </w:r>
      <w:r w:rsidRPr="007723F5">
        <w:rPr>
          <w:rFonts w:eastAsia="SimSun"/>
          <w:sz w:val="24"/>
          <w:szCs w:val="24"/>
          <w:lang w:val="en-GB" w:eastAsia="zh-CN"/>
        </w:rPr>
        <w:t xml:space="preserve">, New York: Springer-Verlag. </w:t>
      </w:r>
    </w:p>
    <w:p w:rsidR="00C54686" w:rsidRPr="007723F5" w:rsidRDefault="0026721A" w:rsidP="00C54686">
      <w:pPr>
        <w:pStyle w:val="bibliomixed"/>
        <w:spacing w:before="0" w:beforeAutospacing="0" w:after="0" w:afterAutospacing="0" w:line="360" w:lineRule="auto"/>
        <w:ind w:left="142" w:hanging="142"/>
        <w:jc w:val="both"/>
        <w:rPr>
          <w:rFonts w:eastAsia="MS Mincho"/>
          <w:sz w:val="24"/>
          <w:szCs w:val="24"/>
          <w:lang w:val="en-GB" w:eastAsia="ja-JP"/>
        </w:rPr>
      </w:pPr>
      <w:r w:rsidRPr="007723F5">
        <w:rPr>
          <w:rFonts w:eastAsia="MS Mincho"/>
          <w:sz w:val="24"/>
          <w:szCs w:val="24"/>
          <w:lang w:val="it-IT" w:eastAsia="ja-JP"/>
        </w:rPr>
        <w:t xml:space="preserve">Hastie, T., Tibshirani, R., Friedman, J. </w:t>
      </w:r>
      <w:r w:rsidRPr="007723F5">
        <w:rPr>
          <w:sz w:val="24"/>
          <w:szCs w:val="24"/>
          <w:lang w:val="it-IT"/>
        </w:rPr>
        <w:t>(</w:t>
      </w:r>
      <w:r w:rsidRPr="007723F5">
        <w:rPr>
          <w:rFonts w:eastAsia="MS Mincho"/>
          <w:sz w:val="24"/>
          <w:szCs w:val="24"/>
          <w:lang w:val="it-IT" w:eastAsia="ja-JP"/>
        </w:rPr>
        <w:t>2001</w:t>
      </w:r>
      <w:r w:rsidRPr="007723F5">
        <w:rPr>
          <w:sz w:val="24"/>
          <w:szCs w:val="24"/>
          <w:lang w:val="it-IT"/>
        </w:rPr>
        <w:t>)</w:t>
      </w:r>
      <w:r w:rsidRPr="007723F5">
        <w:rPr>
          <w:rFonts w:eastAsia="MS Mincho"/>
          <w:sz w:val="24"/>
          <w:szCs w:val="24"/>
          <w:lang w:val="it-IT" w:eastAsia="ja-JP"/>
        </w:rPr>
        <w:t xml:space="preserve">. </w:t>
      </w:r>
      <w:r w:rsidRPr="007723F5">
        <w:rPr>
          <w:rFonts w:eastAsia="MS Mincho"/>
          <w:i/>
          <w:sz w:val="24"/>
          <w:szCs w:val="24"/>
          <w:lang w:val="en-GB" w:eastAsia="ja-JP"/>
        </w:rPr>
        <w:t xml:space="preserve">The </w:t>
      </w:r>
      <w:r w:rsidR="00746FBB" w:rsidRPr="007723F5">
        <w:rPr>
          <w:rFonts w:eastAsia="MS Mincho"/>
          <w:i/>
          <w:sz w:val="24"/>
          <w:szCs w:val="24"/>
          <w:lang w:val="en-GB" w:eastAsia="ja-JP"/>
        </w:rPr>
        <w:t>e</w:t>
      </w:r>
      <w:r w:rsidRPr="007723F5">
        <w:rPr>
          <w:rFonts w:eastAsia="MS Mincho"/>
          <w:i/>
          <w:sz w:val="24"/>
          <w:szCs w:val="24"/>
          <w:lang w:val="en-GB" w:eastAsia="ja-JP"/>
        </w:rPr>
        <w:t xml:space="preserve">lements of </w:t>
      </w:r>
      <w:r w:rsidR="00746FBB" w:rsidRPr="007723F5">
        <w:rPr>
          <w:rFonts w:eastAsia="MS Mincho"/>
          <w:i/>
          <w:sz w:val="24"/>
          <w:szCs w:val="24"/>
          <w:lang w:val="en-GB" w:eastAsia="ja-JP"/>
        </w:rPr>
        <w:t>s</w:t>
      </w:r>
      <w:r w:rsidRPr="007723F5">
        <w:rPr>
          <w:rFonts w:eastAsia="MS Mincho"/>
          <w:i/>
          <w:sz w:val="24"/>
          <w:szCs w:val="24"/>
          <w:lang w:val="en-GB" w:eastAsia="ja-JP"/>
        </w:rPr>
        <w:t xml:space="preserve">tatistical </w:t>
      </w:r>
      <w:r w:rsidR="00746FBB" w:rsidRPr="007723F5">
        <w:rPr>
          <w:rFonts w:eastAsia="MS Mincho"/>
          <w:i/>
          <w:sz w:val="24"/>
          <w:szCs w:val="24"/>
          <w:lang w:val="en-GB" w:eastAsia="ja-JP"/>
        </w:rPr>
        <w:t>l</w:t>
      </w:r>
      <w:r w:rsidRPr="007723F5">
        <w:rPr>
          <w:rFonts w:eastAsia="MS Mincho"/>
          <w:i/>
          <w:sz w:val="24"/>
          <w:szCs w:val="24"/>
          <w:lang w:val="en-GB" w:eastAsia="ja-JP"/>
        </w:rPr>
        <w:t>earning:</w:t>
      </w:r>
      <w:r w:rsidRPr="007723F5">
        <w:rPr>
          <w:i/>
          <w:sz w:val="24"/>
          <w:szCs w:val="24"/>
          <w:lang w:val="en-GB"/>
        </w:rPr>
        <w:t xml:space="preserve"> </w:t>
      </w:r>
      <w:r w:rsidR="00746FBB" w:rsidRPr="007723F5">
        <w:rPr>
          <w:i/>
          <w:sz w:val="24"/>
          <w:szCs w:val="24"/>
          <w:lang w:val="en-GB"/>
        </w:rPr>
        <w:t>d</w:t>
      </w:r>
      <w:r w:rsidRPr="007723F5">
        <w:rPr>
          <w:rFonts w:eastAsia="MS Mincho"/>
          <w:i/>
          <w:sz w:val="24"/>
          <w:szCs w:val="24"/>
          <w:lang w:val="en-GB" w:eastAsia="ja-JP"/>
        </w:rPr>
        <w:t xml:space="preserve">ata </w:t>
      </w:r>
      <w:r w:rsidR="00746FBB" w:rsidRPr="007723F5">
        <w:rPr>
          <w:rFonts w:eastAsia="MS Mincho"/>
          <w:i/>
          <w:sz w:val="24"/>
          <w:szCs w:val="24"/>
          <w:lang w:val="en-GB" w:eastAsia="ja-JP"/>
        </w:rPr>
        <w:t>m</w:t>
      </w:r>
      <w:r w:rsidRPr="007723F5">
        <w:rPr>
          <w:rFonts w:eastAsia="MS Mincho"/>
          <w:i/>
          <w:sz w:val="24"/>
          <w:szCs w:val="24"/>
          <w:lang w:val="en-GB" w:eastAsia="ja-JP"/>
        </w:rPr>
        <w:t>i</w:t>
      </w:r>
      <w:r w:rsidRPr="007723F5">
        <w:rPr>
          <w:i/>
          <w:sz w:val="24"/>
          <w:szCs w:val="24"/>
          <w:lang w:val="en-GB"/>
        </w:rPr>
        <w:t xml:space="preserve">ning, </w:t>
      </w:r>
      <w:r w:rsidR="00746FBB" w:rsidRPr="007723F5">
        <w:rPr>
          <w:i/>
          <w:sz w:val="24"/>
          <w:szCs w:val="24"/>
          <w:lang w:val="en-GB"/>
        </w:rPr>
        <w:t>i</w:t>
      </w:r>
      <w:r w:rsidRPr="007723F5">
        <w:rPr>
          <w:i/>
          <w:sz w:val="24"/>
          <w:szCs w:val="24"/>
          <w:lang w:val="en-GB"/>
        </w:rPr>
        <w:t xml:space="preserve">nference, and </w:t>
      </w:r>
      <w:r w:rsidR="00746FBB" w:rsidRPr="007723F5">
        <w:rPr>
          <w:i/>
          <w:sz w:val="24"/>
          <w:szCs w:val="24"/>
          <w:lang w:val="en-GB"/>
        </w:rPr>
        <w:t>p</w:t>
      </w:r>
      <w:r w:rsidRPr="007723F5">
        <w:rPr>
          <w:i/>
          <w:sz w:val="24"/>
          <w:szCs w:val="24"/>
          <w:lang w:val="en-GB"/>
        </w:rPr>
        <w:t>rediction</w:t>
      </w:r>
      <w:r w:rsidRPr="007723F5">
        <w:rPr>
          <w:sz w:val="24"/>
          <w:szCs w:val="24"/>
          <w:lang w:val="en-GB"/>
        </w:rPr>
        <w:t>,</w:t>
      </w:r>
      <w:r w:rsidRPr="007723F5">
        <w:rPr>
          <w:rFonts w:eastAsia="MS Mincho"/>
          <w:sz w:val="24"/>
          <w:szCs w:val="24"/>
          <w:lang w:val="en-GB" w:eastAsia="ja-JP"/>
        </w:rPr>
        <w:t xml:space="preserve"> Springer, New York.</w:t>
      </w:r>
      <w:r w:rsidR="00C54686" w:rsidRPr="007723F5">
        <w:rPr>
          <w:rFonts w:eastAsia="MS Mincho"/>
          <w:sz w:val="24"/>
          <w:szCs w:val="24"/>
          <w:lang w:val="en-GB" w:eastAsia="ja-JP"/>
        </w:rPr>
        <w:t xml:space="preserve"> </w:t>
      </w:r>
    </w:p>
    <w:p w:rsidR="00C33EC4" w:rsidRPr="007723F5" w:rsidRDefault="00C33EC4" w:rsidP="00C33EC4">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IMF (2013). “Rating through-the-cycle: what does the concept imply for rating stability and accuracy?” </w:t>
      </w:r>
      <w:r w:rsidRPr="007723F5">
        <w:rPr>
          <w:rFonts w:eastAsia="SimSun"/>
          <w:i/>
          <w:sz w:val="24"/>
          <w:szCs w:val="24"/>
          <w:lang w:eastAsia="zh-CN"/>
        </w:rPr>
        <w:t>International Monetary Fund</w:t>
      </w:r>
      <w:r w:rsidRPr="007723F5">
        <w:rPr>
          <w:rFonts w:eastAsia="SimSun"/>
          <w:sz w:val="24"/>
          <w:szCs w:val="24"/>
          <w:lang w:eastAsia="zh-CN"/>
        </w:rPr>
        <w:t>, Working paper, No.</w:t>
      </w:r>
      <w:r w:rsidR="007A2879" w:rsidRPr="007723F5">
        <w:rPr>
          <w:rFonts w:eastAsia="SimSun"/>
          <w:sz w:val="24"/>
          <w:szCs w:val="24"/>
          <w:lang w:eastAsia="zh-CN"/>
        </w:rPr>
        <w:t xml:space="preserve"> </w:t>
      </w:r>
      <w:r w:rsidRPr="007723F5">
        <w:rPr>
          <w:rFonts w:eastAsia="SimSun"/>
          <w:sz w:val="24"/>
          <w:szCs w:val="24"/>
          <w:lang w:eastAsia="zh-CN"/>
        </w:rPr>
        <w:t>13/64.</w:t>
      </w:r>
    </w:p>
    <w:p w:rsidR="002C2DB0" w:rsidRPr="007723F5" w:rsidRDefault="002C2DB0" w:rsidP="002C2DB0">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Ingram, F., Frazier, E. (1982). “Alternative multivariate tests in limited dependent variable models: an empirical assessment,” </w:t>
      </w:r>
      <w:r w:rsidRPr="007723F5">
        <w:rPr>
          <w:rFonts w:eastAsia="SimSun"/>
          <w:i/>
          <w:sz w:val="24"/>
          <w:szCs w:val="24"/>
          <w:lang w:eastAsia="zh-CN"/>
        </w:rPr>
        <w:t>Journal of Financial and Quantitative Analysis</w:t>
      </w:r>
      <w:r w:rsidRPr="007723F5">
        <w:rPr>
          <w:rFonts w:eastAsia="SimSun"/>
          <w:sz w:val="24"/>
          <w:szCs w:val="24"/>
          <w:lang w:eastAsia="zh-CN"/>
        </w:rPr>
        <w:t>, Vol. 17, No. 2, pp. 227-240.</w:t>
      </w:r>
    </w:p>
    <w:p w:rsidR="006659EC" w:rsidRPr="007723F5" w:rsidRDefault="006659EC" w:rsidP="006659EC">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val="de-DE" w:eastAsia="zh-CN"/>
        </w:rPr>
        <w:t xml:space="preserve">Jackson, J.R., Kaserman, D.L. (1980). </w:t>
      </w:r>
      <w:r w:rsidRPr="007723F5">
        <w:rPr>
          <w:rFonts w:eastAsia="SimSun"/>
          <w:sz w:val="24"/>
          <w:szCs w:val="24"/>
          <w:lang w:eastAsia="zh-CN"/>
        </w:rPr>
        <w:t xml:space="preserve">“Default risk on home mortgage loans: a test of competing hypotheses,” </w:t>
      </w:r>
      <w:r w:rsidRPr="007723F5">
        <w:rPr>
          <w:rFonts w:eastAsia="SimSun"/>
          <w:i/>
          <w:sz w:val="24"/>
          <w:szCs w:val="24"/>
          <w:lang w:eastAsia="zh-CN"/>
        </w:rPr>
        <w:t>Journal of Risk and Insurance</w:t>
      </w:r>
      <w:r w:rsidRPr="007723F5">
        <w:rPr>
          <w:rFonts w:eastAsia="SimSun"/>
          <w:sz w:val="24"/>
          <w:szCs w:val="24"/>
          <w:lang w:eastAsia="zh-CN"/>
        </w:rPr>
        <w:t>, Vol. 47, No. 4, pp. 678-690.</w:t>
      </w:r>
    </w:p>
    <w:p w:rsidR="00C70ABE" w:rsidRPr="007723F5" w:rsidRDefault="00C70ABE" w:rsidP="00500599">
      <w:pPr>
        <w:pStyle w:val="bibliomixed"/>
        <w:spacing w:before="0" w:beforeAutospacing="0" w:after="0" w:afterAutospacing="0" w:line="360" w:lineRule="auto"/>
        <w:ind w:left="142" w:hanging="142"/>
        <w:jc w:val="both"/>
        <w:rPr>
          <w:rFonts w:eastAsia="MS Mincho"/>
          <w:sz w:val="24"/>
          <w:szCs w:val="24"/>
          <w:lang w:val="en-GB" w:eastAsia="ja-JP"/>
        </w:rPr>
      </w:pPr>
      <w:r w:rsidRPr="007723F5">
        <w:rPr>
          <w:rFonts w:eastAsia="MS Mincho"/>
          <w:sz w:val="24"/>
          <w:szCs w:val="24"/>
          <w:lang w:val="en-GB" w:eastAsia="ja-JP"/>
        </w:rPr>
        <w:t xml:space="preserve">Kranendonk, H., Verbruggen, J. (2008). “Are houses overvalued in the Netherlands?” </w:t>
      </w:r>
      <w:r w:rsidRPr="007723F5">
        <w:rPr>
          <w:rFonts w:eastAsia="MS Mincho"/>
          <w:i/>
          <w:sz w:val="24"/>
          <w:szCs w:val="24"/>
          <w:lang w:val="en-GB" w:eastAsia="ja-JP"/>
        </w:rPr>
        <w:t>Centraal Plan Bureau</w:t>
      </w:r>
      <w:r w:rsidRPr="007723F5">
        <w:rPr>
          <w:rFonts w:eastAsia="MS Mincho"/>
          <w:sz w:val="24"/>
          <w:szCs w:val="24"/>
          <w:lang w:val="en-GB" w:eastAsia="ja-JP"/>
        </w:rPr>
        <w:t>, Memorandum CPB 200.</w:t>
      </w:r>
    </w:p>
    <w:p w:rsidR="00500599" w:rsidRPr="007723F5" w:rsidRDefault="00500599" w:rsidP="00500599">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rPr>
        <w:t xml:space="preserve">Kyle, A. (1985). “Continuous auctions and insider trading,” </w:t>
      </w:r>
      <w:r w:rsidRPr="007723F5">
        <w:rPr>
          <w:rFonts w:eastAsia="SimSun"/>
          <w:i/>
          <w:sz w:val="24"/>
          <w:szCs w:val="24"/>
        </w:rPr>
        <w:t>Econometrica</w:t>
      </w:r>
      <w:r w:rsidRPr="007723F5">
        <w:rPr>
          <w:rFonts w:eastAsia="SimSun"/>
          <w:sz w:val="24"/>
          <w:szCs w:val="24"/>
        </w:rPr>
        <w:t>, Vol. 53, pp. 1315-1335.</w:t>
      </w:r>
    </w:p>
    <w:p w:rsidR="00C70ABE" w:rsidRPr="007723F5" w:rsidRDefault="00C70ABE" w:rsidP="007E0771">
      <w:pPr>
        <w:pStyle w:val="bibliomixed"/>
        <w:spacing w:before="0" w:beforeAutospacing="0" w:after="0" w:afterAutospacing="0" w:line="360" w:lineRule="auto"/>
        <w:ind w:left="142" w:hanging="142"/>
        <w:jc w:val="both"/>
        <w:rPr>
          <w:i/>
          <w:sz w:val="24"/>
          <w:szCs w:val="24"/>
          <w:lang w:val="en-GB"/>
        </w:rPr>
      </w:pPr>
      <w:r w:rsidRPr="007723F5">
        <w:rPr>
          <w:sz w:val="24"/>
          <w:szCs w:val="24"/>
          <w:lang w:val="en-GB"/>
        </w:rPr>
        <w:lastRenderedPageBreak/>
        <w:t>Medema, L., Koning, R.H</w:t>
      </w:r>
      <w:r w:rsidR="00F32D87" w:rsidRPr="007723F5">
        <w:rPr>
          <w:sz w:val="24"/>
          <w:szCs w:val="24"/>
          <w:lang w:val="en-GB"/>
        </w:rPr>
        <w:t>.</w:t>
      </w:r>
      <w:r w:rsidRPr="007723F5">
        <w:rPr>
          <w:sz w:val="24"/>
          <w:szCs w:val="24"/>
          <w:lang w:val="en-GB"/>
        </w:rPr>
        <w:t xml:space="preserve">, Lensik, R. (2009) “A practical approach to validating a PD model” </w:t>
      </w:r>
      <w:r w:rsidRPr="007723F5">
        <w:rPr>
          <w:i/>
          <w:sz w:val="24"/>
          <w:szCs w:val="24"/>
          <w:lang w:val="en-GB"/>
        </w:rPr>
        <w:t>Journal of Banking and Finance, Vol. 33, pp. 701-708</w:t>
      </w:r>
    </w:p>
    <w:p w:rsidR="005F6474" w:rsidRPr="007723F5" w:rsidRDefault="005F6474" w:rsidP="007E0771">
      <w:pPr>
        <w:pStyle w:val="bibliomixed"/>
        <w:spacing w:before="0" w:beforeAutospacing="0" w:after="0" w:afterAutospacing="0" w:line="360" w:lineRule="auto"/>
        <w:ind w:left="142" w:hanging="142"/>
        <w:jc w:val="both"/>
        <w:rPr>
          <w:sz w:val="24"/>
          <w:szCs w:val="24"/>
          <w:lang w:val="en-GB"/>
        </w:rPr>
      </w:pPr>
      <w:r w:rsidRPr="007723F5">
        <w:rPr>
          <w:sz w:val="24"/>
          <w:szCs w:val="24"/>
          <w:lang w:val="en-GB"/>
        </w:rPr>
        <w:t>Merton, R.C. (1974), “On the pricing of corporate debt: the r</w:t>
      </w:r>
      <w:r w:rsidR="009A6257" w:rsidRPr="007723F5">
        <w:rPr>
          <w:sz w:val="24"/>
          <w:szCs w:val="24"/>
          <w:lang w:val="en-GB"/>
        </w:rPr>
        <w:t>isk structure of interest rates,</w:t>
      </w:r>
      <w:r w:rsidRPr="007723F5">
        <w:rPr>
          <w:sz w:val="24"/>
          <w:szCs w:val="24"/>
          <w:lang w:val="en-GB"/>
        </w:rPr>
        <w:t xml:space="preserve">” </w:t>
      </w:r>
      <w:r w:rsidRPr="007723F5">
        <w:rPr>
          <w:i/>
          <w:sz w:val="24"/>
          <w:szCs w:val="24"/>
          <w:lang w:val="en-GB"/>
        </w:rPr>
        <w:t>Journal of Finance</w:t>
      </w:r>
      <w:r w:rsidRPr="007723F5">
        <w:rPr>
          <w:sz w:val="24"/>
          <w:szCs w:val="24"/>
          <w:lang w:val="en-GB"/>
        </w:rPr>
        <w:t>, Vol. 29, No. 2, pp. 449-470.</w:t>
      </w:r>
    </w:p>
    <w:p w:rsidR="002C2DB0" w:rsidRPr="007723F5" w:rsidRDefault="007E0771" w:rsidP="002C2DB0">
      <w:pPr>
        <w:pStyle w:val="bibliomixed"/>
        <w:spacing w:before="0" w:beforeAutospacing="0" w:after="0" w:afterAutospacing="0" w:line="360" w:lineRule="auto"/>
        <w:ind w:left="142" w:hanging="142"/>
        <w:jc w:val="both"/>
        <w:rPr>
          <w:rFonts w:eastAsia="SimSun"/>
          <w:sz w:val="24"/>
          <w:szCs w:val="24"/>
          <w:lang w:eastAsia="zh-CN"/>
        </w:rPr>
      </w:pPr>
      <w:r w:rsidRPr="007723F5">
        <w:rPr>
          <w:sz w:val="24"/>
          <w:szCs w:val="24"/>
          <w:lang w:val="en-GB"/>
        </w:rPr>
        <w:t>Moody’s Investor</w:t>
      </w:r>
      <w:r w:rsidR="009A6257" w:rsidRPr="007723F5">
        <w:rPr>
          <w:sz w:val="24"/>
          <w:szCs w:val="24"/>
          <w:lang w:val="en-GB"/>
        </w:rPr>
        <w:t>s</w:t>
      </w:r>
      <w:r w:rsidRPr="007723F5">
        <w:rPr>
          <w:sz w:val="24"/>
          <w:szCs w:val="24"/>
          <w:lang w:val="en-GB"/>
        </w:rPr>
        <w:t xml:space="preserve"> Service (1999). </w:t>
      </w:r>
      <w:r w:rsidRPr="007723F5">
        <w:rPr>
          <w:i/>
          <w:sz w:val="24"/>
          <w:szCs w:val="24"/>
          <w:lang w:val="en-GB"/>
        </w:rPr>
        <w:t>The evolving meaning of Moody’s bond ratings; product of the symbols and definitions standing committee</w:t>
      </w:r>
      <w:r w:rsidRPr="007723F5">
        <w:rPr>
          <w:sz w:val="24"/>
          <w:szCs w:val="24"/>
          <w:lang w:val="en-GB"/>
        </w:rPr>
        <w:t xml:space="preserve">, </w:t>
      </w:r>
      <w:r w:rsidR="0026721A" w:rsidRPr="007723F5">
        <w:rPr>
          <w:sz w:val="24"/>
          <w:szCs w:val="24"/>
          <w:lang w:val="en-GB"/>
        </w:rPr>
        <w:t>Moody’s: New York</w:t>
      </w:r>
      <w:r w:rsidRPr="007723F5">
        <w:rPr>
          <w:sz w:val="24"/>
          <w:szCs w:val="24"/>
          <w:lang w:val="en-GB"/>
        </w:rPr>
        <w:t>.</w:t>
      </w:r>
      <w:r w:rsidR="002C2DB0" w:rsidRPr="007723F5">
        <w:rPr>
          <w:rFonts w:eastAsia="SimSun"/>
          <w:sz w:val="24"/>
          <w:szCs w:val="24"/>
          <w:lang w:eastAsia="zh-CN"/>
        </w:rPr>
        <w:t xml:space="preserve"> </w:t>
      </w:r>
    </w:p>
    <w:p w:rsidR="00F32D87" w:rsidRPr="007723F5" w:rsidRDefault="002C2DB0" w:rsidP="00500599">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Morton, G. (1975). “A discriminant function analysis of residential mortgage delinquency and </w:t>
      </w:r>
      <w:r w:rsidRPr="007723F5">
        <w:rPr>
          <w:sz w:val="24"/>
          <w:szCs w:val="24"/>
          <w:lang w:eastAsia="zh-CN"/>
        </w:rPr>
        <w:t>f</w:t>
      </w:r>
      <w:r w:rsidRPr="007723F5">
        <w:rPr>
          <w:rFonts w:eastAsia="SimSun"/>
          <w:sz w:val="24"/>
          <w:szCs w:val="24"/>
          <w:lang w:eastAsia="zh-CN"/>
        </w:rPr>
        <w:t>oreclosure</w:t>
      </w:r>
      <w:r w:rsidRPr="007723F5">
        <w:rPr>
          <w:sz w:val="24"/>
          <w:szCs w:val="24"/>
          <w:lang w:eastAsia="zh-CN"/>
        </w:rPr>
        <w:t>,</w:t>
      </w:r>
      <w:r w:rsidRPr="007723F5">
        <w:rPr>
          <w:rFonts w:eastAsia="SimSun"/>
          <w:sz w:val="24"/>
          <w:szCs w:val="24"/>
          <w:lang w:eastAsia="zh-CN"/>
        </w:rPr>
        <w:t xml:space="preserve">” </w:t>
      </w:r>
      <w:r w:rsidRPr="007723F5">
        <w:rPr>
          <w:i/>
          <w:sz w:val="24"/>
          <w:szCs w:val="24"/>
          <w:lang w:eastAsia="zh-CN"/>
        </w:rPr>
        <w:t>AREUEA Journal</w:t>
      </w:r>
      <w:r w:rsidRPr="007723F5">
        <w:rPr>
          <w:sz w:val="24"/>
          <w:szCs w:val="24"/>
          <w:lang w:eastAsia="zh-CN"/>
        </w:rPr>
        <w:t xml:space="preserve">, Vol. </w:t>
      </w:r>
      <w:r w:rsidRPr="007723F5">
        <w:rPr>
          <w:rFonts w:eastAsia="SimSun"/>
          <w:sz w:val="24"/>
          <w:szCs w:val="24"/>
          <w:lang w:eastAsia="zh-CN"/>
        </w:rPr>
        <w:t>3, pp. 73-90.</w:t>
      </w:r>
    </w:p>
    <w:p w:rsidR="00500599" w:rsidRPr="007723F5" w:rsidRDefault="00500599" w:rsidP="00500599">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lang w:val="en-GB"/>
        </w:rPr>
        <w:t>Naes, R., Skjeltorp, J.A., Odegaard, B.A. (2011). “</w:t>
      </w:r>
      <w:r w:rsidRPr="007723F5">
        <w:rPr>
          <w:rFonts w:eastAsia="SimSun"/>
          <w:sz w:val="24"/>
          <w:szCs w:val="24"/>
        </w:rPr>
        <w:t xml:space="preserve">Stock market liquidity and the business cycle,” </w:t>
      </w:r>
      <w:r w:rsidRPr="007723F5">
        <w:rPr>
          <w:rFonts w:eastAsia="SimSun"/>
          <w:i/>
          <w:sz w:val="24"/>
          <w:szCs w:val="24"/>
        </w:rPr>
        <w:t>Journal of Finance</w:t>
      </w:r>
      <w:r w:rsidRPr="007723F5">
        <w:rPr>
          <w:rFonts w:eastAsia="SimSun"/>
          <w:sz w:val="24"/>
          <w:szCs w:val="24"/>
        </w:rPr>
        <w:t xml:space="preserve">, </w:t>
      </w:r>
      <w:r w:rsidRPr="007723F5">
        <w:rPr>
          <w:sz w:val="24"/>
          <w:szCs w:val="24"/>
        </w:rPr>
        <w:t xml:space="preserve">Vol. </w:t>
      </w:r>
      <w:r w:rsidRPr="007723F5">
        <w:rPr>
          <w:rFonts w:eastAsia="SimSun"/>
          <w:sz w:val="24"/>
          <w:szCs w:val="24"/>
        </w:rPr>
        <w:t>66</w:t>
      </w:r>
      <w:r w:rsidRPr="007723F5">
        <w:rPr>
          <w:sz w:val="24"/>
          <w:szCs w:val="24"/>
        </w:rPr>
        <w:t xml:space="preserve">, No. </w:t>
      </w:r>
      <w:r w:rsidRPr="007723F5">
        <w:rPr>
          <w:rFonts w:eastAsia="SimSun"/>
          <w:sz w:val="24"/>
          <w:szCs w:val="24"/>
        </w:rPr>
        <w:t xml:space="preserve">1, </w:t>
      </w:r>
      <w:r w:rsidRPr="007723F5">
        <w:rPr>
          <w:sz w:val="24"/>
          <w:szCs w:val="24"/>
        </w:rPr>
        <w:t xml:space="preserve">pp. </w:t>
      </w:r>
      <w:r w:rsidRPr="007723F5">
        <w:rPr>
          <w:rFonts w:eastAsia="SimSun"/>
          <w:sz w:val="24"/>
          <w:szCs w:val="24"/>
        </w:rPr>
        <w:t>139-176.</w:t>
      </w:r>
    </w:p>
    <w:p w:rsidR="00500599" w:rsidRPr="007723F5" w:rsidRDefault="00500599" w:rsidP="00500599">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rPr>
        <w:t xml:space="preserve">Roll, R. (1984). “A simple implicit measure of the effective bid-ask spread in an efficient market,” </w:t>
      </w:r>
      <w:r w:rsidRPr="007723F5">
        <w:rPr>
          <w:rFonts w:eastAsia="SimSun"/>
          <w:i/>
          <w:sz w:val="24"/>
          <w:szCs w:val="24"/>
        </w:rPr>
        <w:t>Journal of Finance</w:t>
      </w:r>
      <w:r w:rsidRPr="007723F5">
        <w:rPr>
          <w:rFonts w:eastAsia="SimSun"/>
          <w:sz w:val="24"/>
          <w:szCs w:val="24"/>
        </w:rPr>
        <w:t>, Vol. 39, No. 4, pp. 1127-1139.</w:t>
      </w:r>
    </w:p>
    <w:p w:rsidR="00EF3271" w:rsidRPr="007723F5" w:rsidRDefault="00EF3271" w:rsidP="00EF3271">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Sharpe, W.F. (1963). “A simplified model for portfolio analysis”, </w:t>
      </w:r>
      <w:r w:rsidRPr="007723F5">
        <w:rPr>
          <w:rFonts w:eastAsia="SimSun"/>
          <w:i/>
          <w:sz w:val="24"/>
          <w:szCs w:val="24"/>
          <w:lang w:eastAsia="zh-CN"/>
        </w:rPr>
        <w:t>Management Science</w:t>
      </w:r>
      <w:r w:rsidRPr="007723F5">
        <w:rPr>
          <w:rFonts w:eastAsia="SimSun"/>
          <w:sz w:val="24"/>
          <w:szCs w:val="24"/>
          <w:lang w:eastAsia="zh-CN"/>
        </w:rPr>
        <w:t>, Vol. 9, No. 2, pp. 277-293.</w:t>
      </w:r>
    </w:p>
    <w:p w:rsidR="00500599" w:rsidRPr="007723F5" w:rsidRDefault="00500599" w:rsidP="00500599">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rPr>
        <w:t xml:space="preserve">Silber, W.L. (1975). “Thinness in capital markets: the case of the Tel Aviv Stock Exchange,” </w:t>
      </w:r>
      <w:r w:rsidRPr="007723F5">
        <w:rPr>
          <w:rFonts w:eastAsia="SimSun"/>
          <w:i/>
          <w:sz w:val="24"/>
          <w:szCs w:val="24"/>
        </w:rPr>
        <w:t>Journal of Financial and Quantitative Analysis</w:t>
      </w:r>
      <w:r w:rsidRPr="007723F5">
        <w:rPr>
          <w:sz w:val="24"/>
          <w:szCs w:val="24"/>
        </w:rPr>
        <w:t>, Vol.</w:t>
      </w:r>
      <w:r w:rsidRPr="007723F5">
        <w:rPr>
          <w:rFonts w:eastAsia="SimSun"/>
          <w:sz w:val="24"/>
          <w:szCs w:val="24"/>
        </w:rPr>
        <w:t xml:space="preserve"> 10, </w:t>
      </w:r>
      <w:r w:rsidRPr="007723F5">
        <w:rPr>
          <w:sz w:val="24"/>
          <w:szCs w:val="24"/>
        </w:rPr>
        <w:t xml:space="preserve">pp. </w:t>
      </w:r>
      <w:r w:rsidRPr="007723F5">
        <w:rPr>
          <w:rFonts w:eastAsia="SimSun"/>
          <w:sz w:val="24"/>
          <w:szCs w:val="24"/>
        </w:rPr>
        <w:t>129</w:t>
      </w:r>
      <w:r w:rsidRPr="007723F5">
        <w:rPr>
          <w:sz w:val="24"/>
          <w:szCs w:val="24"/>
        </w:rPr>
        <w:t>-</w:t>
      </w:r>
      <w:r w:rsidRPr="007723F5">
        <w:rPr>
          <w:rFonts w:eastAsia="SimSun"/>
          <w:sz w:val="24"/>
          <w:szCs w:val="24"/>
        </w:rPr>
        <w:t>142.</w:t>
      </w:r>
    </w:p>
    <w:p w:rsidR="002C2DB0" w:rsidRPr="007723F5" w:rsidRDefault="002E6299" w:rsidP="002C2DB0">
      <w:pPr>
        <w:pStyle w:val="bibliomixed"/>
        <w:spacing w:before="0" w:beforeAutospacing="0" w:after="0" w:afterAutospacing="0" w:line="360" w:lineRule="auto"/>
        <w:ind w:left="142" w:hanging="142"/>
        <w:jc w:val="both"/>
        <w:rPr>
          <w:rFonts w:eastAsia="SimSun"/>
          <w:sz w:val="24"/>
          <w:szCs w:val="24"/>
          <w:lang w:eastAsia="zh-CN"/>
        </w:rPr>
      </w:pPr>
      <w:r w:rsidRPr="007723F5">
        <w:rPr>
          <w:sz w:val="24"/>
          <w:szCs w:val="24"/>
          <w:lang w:val="en-GB"/>
        </w:rPr>
        <w:t>S</w:t>
      </w:r>
      <w:r w:rsidR="00EE1B41" w:rsidRPr="007723F5">
        <w:rPr>
          <w:sz w:val="24"/>
          <w:szCs w:val="24"/>
          <w:lang w:val="en-GB"/>
        </w:rPr>
        <w:t>&amp;P</w:t>
      </w:r>
      <w:r w:rsidRPr="007723F5">
        <w:rPr>
          <w:sz w:val="24"/>
          <w:szCs w:val="24"/>
          <w:lang w:val="en-GB"/>
        </w:rPr>
        <w:t xml:space="preserve"> (2002). </w:t>
      </w:r>
      <w:r w:rsidRPr="007723F5">
        <w:rPr>
          <w:i/>
          <w:sz w:val="24"/>
          <w:szCs w:val="24"/>
          <w:lang w:val="en-GB"/>
        </w:rPr>
        <w:t>Corporate rating criteria; factoring cyclicality into corporate ratings</w:t>
      </w:r>
      <w:r w:rsidRPr="007723F5">
        <w:rPr>
          <w:sz w:val="24"/>
          <w:szCs w:val="24"/>
          <w:lang w:val="en-GB"/>
        </w:rPr>
        <w:t xml:space="preserve">, </w:t>
      </w:r>
      <w:r w:rsidR="00EE1B41" w:rsidRPr="007723F5">
        <w:rPr>
          <w:sz w:val="24"/>
          <w:szCs w:val="24"/>
          <w:lang w:val="en-GB"/>
        </w:rPr>
        <w:t xml:space="preserve">Standard and Poor’s, </w:t>
      </w:r>
      <w:r w:rsidRPr="007723F5">
        <w:rPr>
          <w:sz w:val="24"/>
          <w:szCs w:val="24"/>
          <w:lang w:val="en-GB"/>
        </w:rPr>
        <w:t>McGraw-Hill: New York.</w:t>
      </w:r>
      <w:r w:rsidR="002C2DB0" w:rsidRPr="007723F5">
        <w:rPr>
          <w:rFonts w:eastAsia="SimSun"/>
          <w:sz w:val="24"/>
          <w:szCs w:val="24"/>
          <w:lang w:eastAsia="zh-CN"/>
        </w:rPr>
        <w:t xml:space="preserve"> </w:t>
      </w:r>
    </w:p>
    <w:p w:rsidR="002E6299" w:rsidRPr="007723F5" w:rsidRDefault="002C2DB0" w:rsidP="002C2DB0">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Stansell, S., Millar, J. (1976). “An empirical study of mortgage payment to income ratios in a variable rate mortgage program,” </w:t>
      </w:r>
      <w:r w:rsidRPr="007723F5">
        <w:rPr>
          <w:rFonts w:eastAsia="SimSun"/>
          <w:i/>
          <w:sz w:val="24"/>
          <w:szCs w:val="24"/>
          <w:lang w:eastAsia="zh-CN"/>
        </w:rPr>
        <w:t>Journal of Finance</w:t>
      </w:r>
      <w:r w:rsidRPr="007723F5">
        <w:rPr>
          <w:rFonts w:eastAsia="SimSun"/>
          <w:sz w:val="24"/>
          <w:szCs w:val="24"/>
          <w:lang w:eastAsia="zh-CN"/>
        </w:rPr>
        <w:t>, Vol. 31, No. 2, pp. 415-425.</w:t>
      </w:r>
    </w:p>
    <w:p w:rsidR="00302AF5" w:rsidRPr="007723F5" w:rsidRDefault="00302AF5" w:rsidP="00302AF5">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Taylor, J. (2003). “Risk grading philosophy: through-the-cycle versus point-in-time,” </w:t>
      </w:r>
      <w:r w:rsidRPr="007723F5">
        <w:rPr>
          <w:rFonts w:eastAsia="SimSun"/>
          <w:i/>
          <w:sz w:val="24"/>
          <w:szCs w:val="24"/>
          <w:lang w:eastAsia="zh-CN"/>
        </w:rPr>
        <w:t>RMA Journal</w:t>
      </w:r>
      <w:r w:rsidRPr="007723F5">
        <w:rPr>
          <w:rFonts w:eastAsia="SimSun"/>
          <w:sz w:val="24"/>
          <w:szCs w:val="24"/>
          <w:lang w:eastAsia="zh-CN"/>
        </w:rPr>
        <w:t>, pp. 32-39.</w:t>
      </w:r>
    </w:p>
    <w:p w:rsidR="0032151D" w:rsidRPr="007723F5" w:rsidRDefault="0032151D" w:rsidP="0032151D">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Treacy, W.F., Carey, M.S. (1998). “Credit risk rating at large US banks,” </w:t>
      </w:r>
      <w:r w:rsidRPr="007723F5">
        <w:rPr>
          <w:rFonts w:eastAsia="SimSun"/>
          <w:i/>
          <w:sz w:val="24"/>
          <w:szCs w:val="24"/>
          <w:lang w:eastAsia="zh-CN"/>
        </w:rPr>
        <w:t>Federal Reserve Bulletin</w:t>
      </w:r>
      <w:r w:rsidRPr="007723F5">
        <w:rPr>
          <w:rFonts w:eastAsia="SimSun"/>
          <w:sz w:val="24"/>
          <w:szCs w:val="24"/>
          <w:lang w:eastAsia="zh-CN"/>
        </w:rPr>
        <w:t>, Vol. 84, No. 11, pp. 897-921.</w:t>
      </w:r>
    </w:p>
    <w:p w:rsidR="002C2DB0" w:rsidRPr="007723F5" w:rsidRDefault="002C2DB0" w:rsidP="002C2DB0">
      <w:pPr>
        <w:pStyle w:val="bibliomixed"/>
        <w:spacing w:before="0" w:beforeAutospacing="0" w:after="0" w:afterAutospacing="0" w:line="360" w:lineRule="auto"/>
        <w:ind w:left="142" w:hanging="142"/>
        <w:jc w:val="both"/>
        <w:rPr>
          <w:sz w:val="24"/>
          <w:szCs w:val="24"/>
        </w:rPr>
      </w:pPr>
      <w:r w:rsidRPr="007723F5">
        <w:rPr>
          <w:sz w:val="24"/>
          <w:szCs w:val="24"/>
        </w:rPr>
        <w:t xml:space="preserve">Vandell, K., Thibodeau, T. (1985). “Estimation of mortgage defaults using disaggregate loan history data”, </w:t>
      </w:r>
      <w:r w:rsidRPr="007723F5">
        <w:rPr>
          <w:i/>
          <w:sz w:val="24"/>
          <w:szCs w:val="24"/>
        </w:rPr>
        <w:t>AREUEA Journal</w:t>
      </w:r>
      <w:r w:rsidRPr="007723F5">
        <w:rPr>
          <w:sz w:val="24"/>
          <w:szCs w:val="24"/>
        </w:rPr>
        <w:t>, Vol. 15, No. 3, pp. 292-317.</w:t>
      </w:r>
    </w:p>
    <w:p w:rsidR="002C2DB0" w:rsidRPr="007723F5" w:rsidRDefault="002C2DB0" w:rsidP="002C2DB0">
      <w:pPr>
        <w:pStyle w:val="bibliomixed"/>
        <w:spacing w:before="0" w:beforeAutospacing="0" w:after="0" w:afterAutospacing="0" w:line="360" w:lineRule="auto"/>
        <w:ind w:left="142" w:hanging="142"/>
        <w:jc w:val="both"/>
        <w:rPr>
          <w:rFonts w:eastAsia="SimSun"/>
          <w:sz w:val="24"/>
          <w:szCs w:val="24"/>
          <w:lang w:eastAsia="zh-CN"/>
        </w:rPr>
      </w:pPr>
      <w:r w:rsidRPr="007723F5">
        <w:rPr>
          <w:rFonts w:eastAsia="SimSun"/>
          <w:sz w:val="24"/>
          <w:szCs w:val="24"/>
          <w:lang w:eastAsia="zh-CN"/>
        </w:rPr>
        <w:t xml:space="preserve">Vandell, K. (1978). “Default risk under alternative mortgage instruments,” </w:t>
      </w:r>
      <w:r w:rsidRPr="007723F5">
        <w:rPr>
          <w:rFonts w:eastAsia="SimSun"/>
          <w:i/>
          <w:sz w:val="24"/>
          <w:szCs w:val="24"/>
          <w:lang w:eastAsia="zh-CN"/>
        </w:rPr>
        <w:t>Journal of Finance</w:t>
      </w:r>
      <w:r w:rsidRPr="007723F5">
        <w:rPr>
          <w:rFonts w:eastAsia="SimSun"/>
          <w:sz w:val="24"/>
          <w:szCs w:val="24"/>
          <w:lang w:eastAsia="zh-CN"/>
        </w:rPr>
        <w:t>, Vol. 33, No. 5, pp. 1279-1296.</w:t>
      </w:r>
    </w:p>
    <w:p w:rsidR="007D07DA" w:rsidRPr="007723F5" w:rsidRDefault="002C2DB0" w:rsidP="00F32D87">
      <w:pPr>
        <w:pStyle w:val="bibliomixed"/>
        <w:spacing w:before="0" w:beforeAutospacing="0" w:after="0" w:afterAutospacing="0" w:line="360" w:lineRule="auto"/>
        <w:ind w:left="142" w:hanging="142"/>
        <w:jc w:val="both"/>
        <w:rPr>
          <w:rFonts w:eastAsia="SimSun"/>
          <w:sz w:val="24"/>
          <w:szCs w:val="24"/>
        </w:rPr>
      </w:pPr>
      <w:r w:rsidRPr="007723F5">
        <w:rPr>
          <w:rFonts w:eastAsia="SimSun"/>
          <w:sz w:val="24"/>
          <w:szCs w:val="24"/>
          <w:lang w:eastAsia="zh-CN"/>
        </w:rPr>
        <w:t xml:space="preserve">Webb, B. (1982). “Borrower risk under alternative mortgage instruments,” </w:t>
      </w:r>
      <w:r w:rsidRPr="007723F5">
        <w:rPr>
          <w:rFonts w:eastAsia="SimSun"/>
          <w:i/>
          <w:sz w:val="24"/>
          <w:szCs w:val="24"/>
          <w:lang w:eastAsia="zh-CN"/>
        </w:rPr>
        <w:t>Journal of Finance</w:t>
      </w:r>
      <w:r w:rsidRPr="007723F5">
        <w:rPr>
          <w:rFonts w:eastAsia="SimSun"/>
          <w:sz w:val="24"/>
          <w:szCs w:val="24"/>
          <w:lang w:eastAsia="zh-CN"/>
        </w:rPr>
        <w:t>, Vol. 37</w:t>
      </w:r>
      <w:r w:rsidRPr="007723F5">
        <w:rPr>
          <w:sz w:val="24"/>
          <w:szCs w:val="24"/>
          <w:lang w:eastAsia="zh-CN"/>
        </w:rPr>
        <w:t xml:space="preserve">, No. </w:t>
      </w:r>
      <w:r w:rsidRPr="007723F5">
        <w:rPr>
          <w:rFonts w:eastAsia="SimSun"/>
          <w:sz w:val="24"/>
          <w:szCs w:val="24"/>
          <w:lang w:eastAsia="zh-CN"/>
        </w:rPr>
        <w:t>1, pp. 169-183.</w:t>
      </w:r>
    </w:p>
    <w:p w:rsidR="00295020" w:rsidRPr="007723F5" w:rsidRDefault="00295020" w:rsidP="00500599">
      <w:pPr>
        <w:pStyle w:val="bibliomixed"/>
        <w:spacing w:before="0" w:beforeAutospacing="0" w:after="0" w:afterAutospacing="0" w:line="360" w:lineRule="auto"/>
        <w:ind w:firstLine="0"/>
        <w:jc w:val="both"/>
        <w:rPr>
          <w:rFonts w:eastAsia="SimSun"/>
          <w:sz w:val="24"/>
          <w:szCs w:val="24"/>
        </w:rPr>
      </w:pPr>
    </w:p>
    <w:sectPr w:rsidR="00295020" w:rsidRPr="007723F5" w:rsidSect="00EB115D">
      <w:footerReference w:type="even" r:id="rId47"/>
      <w:footerReference w:type="first" r:id="rId48"/>
      <w:pgSz w:w="11907" w:h="16840" w:code="9"/>
      <w:pgMar w:top="1440" w:right="1440" w:bottom="1440" w:left="1440" w:header="709"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D6" w:rsidRDefault="00B84DD6" w:rsidP="00EC50A4">
      <w:r>
        <w:separator/>
      </w:r>
    </w:p>
  </w:endnote>
  <w:endnote w:type="continuationSeparator" w:id="1">
    <w:p w:rsidR="00B84DD6" w:rsidRDefault="00B84DD6" w:rsidP="00EC5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skervlle2 BT">
    <w:altName w:val="Baskervlle2 B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2126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467C98">
    <w:pPr>
      <w:pStyle w:val="a6"/>
      <w:jc w:val="center"/>
    </w:pPr>
    <w:r>
      <w:fldChar w:fldCharType="begin"/>
    </w:r>
    <w:r w:rsidR="00212613">
      <w:instrText xml:space="preserve"> PAGE   \* MERGEFORMAT </w:instrText>
    </w:r>
    <w:r>
      <w:fldChar w:fldCharType="separate"/>
    </w:r>
    <w:r w:rsidR="007723F5">
      <w:rPr>
        <w:noProof/>
      </w:rPr>
      <w:t>30</w:t>
    </w:r>
    <w:r>
      <w:rPr>
        <w:noProof/>
      </w:rPr>
      <w:fldChar w:fldCharType="end"/>
    </w:r>
  </w:p>
  <w:p w:rsidR="00212613" w:rsidRDefault="0021261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21261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467C98" w:rsidP="00E04A80">
    <w:pPr>
      <w:pStyle w:val="a6"/>
      <w:framePr w:wrap="around" w:vAnchor="text" w:hAnchor="margin" w:xAlign="right" w:y="1"/>
      <w:rPr>
        <w:rStyle w:val="a7"/>
      </w:rPr>
    </w:pPr>
    <w:r>
      <w:rPr>
        <w:rStyle w:val="a7"/>
      </w:rPr>
      <w:fldChar w:fldCharType="begin"/>
    </w:r>
    <w:r w:rsidR="00212613">
      <w:rPr>
        <w:rStyle w:val="a7"/>
      </w:rPr>
      <w:instrText xml:space="preserve">PAGE  </w:instrText>
    </w:r>
    <w:r>
      <w:rPr>
        <w:rStyle w:val="a7"/>
      </w:rPr>
      <w:fldChar w:fldCharType="separate"/>
    </w:r>
    <w:r w:rsidR="00212613">
      <w:rPr>
        <w:rStyle w:val="a7"/>
        <w:noProof/>
      </w:rPr>
      <w:t>21</w:t>
    </w:r>
    <w:r>
      <w:rPr>
        <w:rStyle w:val="a7"/>
      </w:rPr>
      <w:fldChar w:fldCharType="end"/>
    </w:r>
  </w:p>
  <w:p w:rsidR="00212613" w:rsidRDefault="0021261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467C98">
    <w:pPr>
      <w:pStyle w:val="a6"/>
      <w:jc w:val="center"/>
    </w:pPr>
    <w:r>
      <w:fldChar w:fldCharType="begin"/>
    </w:r>
    <w:r w:rsidR="00212613">
      <w:instrText xml:space="preserve"> PAGE   \* MERGEFORMAT </w:instrText>
    </w:r>
    <w:r>
      <w:fldChar w:fldCharType="separate"/>
    </w:r>
    <w:r w:rsidR="007723F5">
      <w:rPr>
        <w:noProof/>
      </w:rPr>
      <w:t>3</w:t>
    </w:r>
    <w:r>
      <w:rPr>
        <w:noProof/>
      </w:rPr>
      <w:fldChar w:fldCharType="end"/>
    </w:r>
  </w:p>
  <w:p w:rsidR="00212613" w:rsidRDefault="00212613" w:rsidP="00BF4BB9">
    <w:pPr>
      <w:pStyle w:val="a6"/>
      <w:ind w:right="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D6" w:rsidRDefault="00B84DD6" w:rsidP="00EC50A4">
      <w:r>
        <w:separator/>
      </w:r>
    </w:p>
  </w:footnote>
  <w:footnote w:type="continuationSeparator" w:id="1">
    <w:p w:rsidR="00B84DD6" w:rsidRDefault="00B84DD6" w:rsidP="00EC50A4">
      <w:r>
        <w:continuationSeparator/>
      </w:r>
    </w:p>
  </w:footnote>
  <w:footnote w:id="2">
    <w:p w:rsidR="00212613" w:rsidRDefault="00212613" w:rsidP="00290FF1">
      <w:pPr>
        <w:pStyle w:val="ae"/>
        <w:spacing w:after="0"/>
        <w:jc w:val="both"/>
      </w:pPr>
      <w:r>
        <w:rPr>
          <w:rStyle w:val="af"/>
        </w:rPr>
        <w:footnoteRef/>
      </w:r>
      <w:r>
        <w:t xml:space="preserve"> The authors are very grateful to ING Netherlands for making the data available for the research in this paper. The results presented in this paper are not meant to provide any specificities of the ING mortgage portfolio, but serve to prove the thesis of this paper that the impact of the crisis on the PD model for Dutch mortgages is observed via the external market risk drivers. </w:t>
      </w:r>
    </w:p>
  </w:footnote>
  <w:footnote w:id="3">
    <w:p w:rsidR="00212613" w:rsidRDefault="00212613" w:rsidP="00290FF1">
      <w:pPr>
        <w:pStyle w:val="ae"/>
        <w:spacing w:after="0"/>
        <w:jc w:val="both"/>
      </w:pPr>
      <w:r>
        <w:rPr>
          <w:rStyle w:val="af"/>
        </w:rPr>
        <w:footnoteRef/>
      </w:r>
      <w:r>
        <w:t xml:space="preserve"> This is one more category than the minimum prescribed by Basel II (BCBS (2006, </w:t>
      </w:r>
      <w:r>
        <w:rPr>
          <w:rFonts w:ascii="Arial" w:hAnsi="Arial" w:cs="Arial"/>
        </w:rPr>
        <w:t>§</w:t>
      </w:r>
      <w:r>
        <w:t>402)), namely aggregate information.</w:t>
      </w:r>
    </w:p>
  </w:footnote>
  <w:footnote w:id="4">
    <w:p w:rsidR="00212613" w:rsidRDefault="00212613" w:rsidP="00273122">
      <w:pPr>
        <w:pStyle w:val="ae"/>
        <w:spacing w:after="0"/>
      </w:pPr>
      <w:r>
        <w:rPr>
          <w:rStyle w:val="af"/>
        </w:rPr>
        <w:footnoteRef/>
      </w:r>
      <w:r>
        <w:t xml:space="preserve"> See website of the World Bank: data.worldbank.org</w:t>
      </w:r>
    </w:p>
  </w:footnote>
  <w:footnote w:id="5">
    <w:p w:rsidR="00212613" w:rsidRDefault="00212613" w:rsidP="00273122">
      <w:pPr>
        <w:pStyle w:val="ae"/>
        <w:spacing w:after="0"/>
      </w:pPr>
      <w:r>
        <w:rPr>
          <w:rStyle w:val="af"/>
        </w:rPr>
        <w:footnoteRef/>
      </w:r>
      <w:r>
        <w:t xml:space="preserve"> See website of the Dutch Central Bureau of Statistics (CBS): www.cbs.nl</w:t>
      </w:r>
    </w:p>
  </w:footnote>
  <w:footnote w:id="6">
    <w:p w:rsidR="00212613" w:rsidRDefault="00212613" w:rsidP="00273122">
      <w:pPr>
        <w:pStyle w:val="ae"/>
        <w:spacing w:after="0"/>
        <w:jc w:val="both"/>
      </w:pPr>
      <w:r>
        <w:rPr>
          <w:rStyle w:val="af"/>
        </w:rPr>
        <w:footnoteRef/>
      </w:r>
      <w:r>
        <w:t xml:space="preserve"> Datastream </w:t>
      </w:r>
      <w:r w:rsidRPr="005801D1">
        <w:t>is a global financial and macroeconomic database</w:t>
      </w:r>
      <w:r>
        <w:t xml:space="preserve"> by Thomson Reuters</w:t>
      </w:r>
      <w:r w:rsidRPr="005801D1">
        <w:t xml:space="preserve"> covering equities, stock market indices, currencies, company fundamentals, fixed income securities and key economic indicators for 175 countries and 60 markets</w:t>
      </w:r>
      <w:r>
        <w:t>.</w:t>
      </w:r>
    </w:p>
  </w:footnote>
  <w:footnote w:id="7">
    <w:p w:rsidR="00212613" w:rsidRDefault="00212613" w:rsidP="001809BA">
      <w:pPr>
        <w:pStyle w:val="ae"/>
        <w:spacing w:after="0" w:line="240" w:lineRule="auto"/>
        <w:jc w:val="both"/>
      </w:pPr>
      <w:r>
        <w:rPr>
          <w:rStyle w:val="af"/>
        </w:rPr>
        <w:footnoteRef/>
      </w:r>
      <w:r>
        <w:t xml:space="preserve"> In </w:t>
      </w:r>
      <w:r w:rsidR="00467C98">
        <w:fldChar w:fldCharType="begin"/>
      </w:r>
      <w:r>
        <w:instrText xml:space="preserve"> REF _Ref379402068 \h </w:instrText>
      </w:r>
      <w:r w:rsidR="00467C98">
        <w:fldChar w:fldCharType="separate"/>
      </w:r>
      <w:r>
        <w:t xml:space="preserve">Figure </w:t>
      </w:r>
      <w:r>
        <w:rPr>
          <w:noProof/>
        </w:rPr>
        <w:t>4</w:t>
      </w:r>
      <w:r w:rsidR="00467C98">
        <w:fldChar w:fldCharType="end"/>
      </w:r>
      <w:r>
        <w:t xml:space="preserve">, the constant </w:t>
      </w:r>
      <w:r w:rsidRPr="00AA1257">
        <w:rPr>
          <w:i/>
        </w:rPr>
        <w:t>c</w:t>
      </w:r>
      <w:r>
        <w:t xml:space="preserve"> represents the calibration level, the value of which is not relevant for the research purpose in this paper. The calibration level represents the long-term average PD.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2126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21261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Default="002126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5EA"/>
      </v:shape>
    </w:pict>
  </w:numPicBullet>
  <w:abstractNum w:abstractNumId="0">
    <w:nsid w:val="FFFFFF83"/>
    <w:multiLevelType w:val="singleLevel"/>
    <w:tmpl w:val="A8CE98E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44246C92"/>
    <w:lvl w:ilvl="0">
      <w:start w:val="1"/>
      <w:numFmt w:val="bullet"/>
      <w:pStyle w:val="a"/>
      <w:lvlText w:val=""/>
      <w:lvlJc w:val="left"/>
      <w:pPr>
        <w:tabs>
          <w:tab w:val="num" w:pos="360"/>
        </w:tabs>
        <w:ind w:left="360" w:hanging="360"/>
      </w:pPr>
      <w:rPr>
        <w:rFonts w:ascii="Symbol" w:hAnsi="Symbol" w:hint="default"/>
      </w:rPr>
    </w:lvl>
  </w:abstractNum>
  <w:abstractNum w:abstractNumId="2">
    <w:nsid w:val="02F51273"/>
    <w:multiLevelType w:val="hybridMultilevel"/>
    <w:tmpl w:val="F1AE329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A314AC"/>
    <w:multiLevelType w:val="hybridMultilevel"/>
    <w:tmpl w:val="6DBA13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1E4428"/>
    <w:multiLevelType w:val="singleLevel"/>
    <w:tmpl w:val="AFEC9C4C"/>
    <w:lvl w:ilvl="0">
      <w:start w:val="4"/>
      <w:numFmt w:val="decimal"/>
      <w:lvlText w:val="%1."/>
      <w:legacy w:legacy="1" w:legacySpace="0" w:legacyIndent="360"/>
      <w:lvlJc w:val="left"/>
      <w:rPr>
        <w:rFonts w:ascii="Times New Roman" w:hAnsi="Times New Roman" w:cs="Times New Roman" w:hint="default"/>
      </w:rPr>
    </w:lvl>
  </w:abstractNum>
  <w:abstractNum w:abstractNumId="5">
    <w:nsid w:val="08BB1C20"/>
    <w:multiLevelType w:val="hybridMultilevel"/>
    <w:tmpl w:val="761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9437C"/>
    <w:multiLevelType w:val="hybridMultilevel"/>
    <w:tmpl w:val="4538E6E8"/>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46D5EEA"/>
    <w:multiLevelType w:val="hybridMultilevel"/>
    <w:tmpl w:val="FF4ED9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BCF0CEE"/>
    <w:multiLevelType w:val="hybridMultilevel"/>
    <w:tmpl w:val="88CC6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716333"/>
    <w:multiLevelType w:val="hybridMultilevel"/>
    <w:tmpl w:val="E50A72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82E3A18"/>
    <w:multiLevelType w:val="hybridMultilevel"/>
    <w:tmpl w:val="AF04C1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AFE7B10"/>
    <w:multiLevelType w:val="hybridMultilevel"/>
    <w:tmpl w:val="B366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466488"/>
    <w:multiLevelType w:val="hybridMultilevel"/>
    <w:tmpl w:val="06D44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C00C9"/>
    <w:multiLevelType w:val="hybridMultilevel"/>
    <w:tmpl w:val="CC962FAA"/>
    <w:lvl w:ilvl="0" w:tplc="EF82EEB6">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FC3133E"/>
    <w:multiLevelType w:val="hybridMultilevel"/>
    <w:tmpl w:val="D714D80E"/>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111278C"/>
    <w:multiLevelType w:val="hybridMultilevel"/>
    <w:tmpl w:val="24367DD2"/>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1387C86"/>
    <w:multiLevelType w:val="hybridMultilevel"/>
    <w:tmpl w:val="C370558C"/>
    <w:lvl w:ilvl="0" w:tplc="0A9C4C8A">
      <w:start w:val="1"/>
      <w:numFmt w:val="bullet"/>
      <w:lvlText w:val=""/>
      <w:lvlJc w:val="left"/>
      <w:pPr>
        <w:tabs>
          <w:tab w:val="num" w:pos="720"/>
        </w:tabs>
        <w:ind w:left="720" w:hanging="360"/>
      </w:pPr>
      <w:rPr>
        <w:rFonts w:ascii="Symbol" w:hAnsi="Symbol" w:hint="default"/>
      </w:rPr>
    </w:lvl>
    <w:lvl w:ilvl="1" w:tplc="89D4F216"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29B2E20"/>
    <w:multiLevelType w:val="hybridMultilevel"/>
    <w:tmpl w:val="A1548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736349"/>
    <w:multiLevelType w:val="hybridMultilevel"/>
    <w:tmpl w:val="4984A4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96B07DF"/>
    <w:multiLevelType w:val="hybridMultilevel"/>
    <w:tmpl w:val="4DAAE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D3964A8"/>
    <w:multiLevelType w:val="singleLevel"/>
    <w:tmpl w:val="AFEC9C4C"/>
    <w:lvl w:ilvl="0">
      <w:start w:val="3"/>
      <w:numFmt w:val="decimal"/>
      <w:lvlText w:val="%1."/>
      <w:legacy w:legacy="1" w:legacySpace="0" w:legacyIndent="360"/>
      <w:lvlJc w:val="left"/>
      <w:rPr>
        <w:rFonts w:ascii="Times New Roman" w:hAnsi="Times New Roman" w:cs="Times New Roman" w:hint="default"/>
      </w:rPr>
    </w:lvl>
  </w:abstractNum>
  <w:abstractNum w:abstractNumId="21">
    <w:nsid w:val="3F7A72A8"/>
    <w:multiLevelType w:val="hybridMultilevel"/>
    <w:tmpl w:val="CD54CC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11220F5"/>
    <w:multiLevelType w:val="hybridMultilevel"/>
    <w:tmpl w:val="21D8BD1E"/>
    <w:lvl w:ilvl="0" w:tplc="52D2C362">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2185E1A"/>
    <w:multiLevelType w:val="hybridMultilevel"/>
    <w:tmpl w:val="AD96C8DE"/>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8547A13"/>
    <w:multiLevelType w:val="hybridMultilevel"/>
    <w:tmpl w:val="D5C0A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BD743AF"/>
    <w:multiLevelType w:val="multilevel"/>
    <w:tmpl w:val="609EE894"/>
    <w:lvl w:ilvl="0">
      <w:start w:val="2"/>
      <w:numFmt w:val="decimal"/>
      <w:lvlText w:val="%1."/>
      <w:legacy w:legacy="1" w:legacySpace="0" w:legacyIndent="360"/>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FB64C68"/>
    <w:multiLevelType w:val="hybridMultilevel"/>
    <w:tmpl w:val="EB4095AC"/>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B5C3455"/>
    <w:multiLevelType w:val="hybridMultilevel"/>
    <w:tmpl w:val="10D4ED6C"/>
    <w:lvl w:ilvl="0" w:tplc="F71C9A38">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B7C67E0"/>
    <w:multiLevelType w:val="hybridMultilevel"/>
    <w:tmpl w:val="AE5EDEA0"/>
    <w:lvl w:ilvl="0" w:tplc="403C9BD4">
      <w:start w:val="1"/>
      <w:numFmt w:val="bullet"/>
      <w:lvlText w:val=""/>
      <w:lvlJc w:val="left"/>
      <w:pPr>
        <w:tabs>
          <w:tab w:val="num" w:pos="360"/>
        </w:tabs>
        <w:ind w:left="360" w:hanging="360"/>
      </w:pPr>
      <w:rPr>
        <w:rFonts w:ascii="Symbol" w:hAnsi="Symbol" w:hint="default"/>
      </w:rPr>
    </w:lvl>
    <w:lvl w:ilvl="1" w:tplc="897253BA" w:tentative="1">
      <w:start w:val="1"/>
      <w:numFmt w:val="bullet"/>
      <w:lvlText w:val="o"/>
      <w:lvlJc w:val="left"/>
      <w:pPr>
        <w:tabs>
          <w:tab w:val="num" w:pos="1080"/>
        </w:tabs>
        <w:ind w:left="1080" w:hanging="360"/>
      </w:pPr>
      <w:rPr>
        <w:rFonts w:ascii="Courier New" w:hAnsi="Courier New" w:cs="Courier New" w:hint="default"/>
      </w:rPr>
    </w:lvl>
    <w:lvl w:ilvl="2" w:tplc="8DD237EA" w:tentative="1">
      <w:start w:val="1"/>
      <w:numFmt w:val="bullet"/>
      <w:lvlText w:val=""/>
      <w:lvlJc w:val="left"/>
      <w:pPr>
        <w:tabs>
          <w:tab w:val="num" w:pos="1800"/>
        </w:tabs>
        <w:ind w:left="1800" w:hanging="360"/>
      </w:pPr>
      <w:rPr>
        <w:rFonts w:ascii="Wingdings" w:hAnsi="Wingdings" w:hint="default"/>
      </w:rPr>
    </w:lvl>
    <w:lvl w:ilvl="3" w:tplc="69788812" w:tentative="1">
      <w:start w:val="1"/>
      <w:numFmt w:val="bullet"/>
      <w:lvlText w:val=""/>
      <w:lvlJc w:val="left"/>
      <w:pPr>
        <w:tabs>
          <w:tab w:val="num" w:pos="2520"/>
        </w:tabs>
        <w:ind w:left="2520" w:hanging="360"/>
      </w:pPr>
      <w:rPr>
        <w:rFonts w:ascii="Symbol" w:hAnsi="Symbol" w:hint="default"/>
      </w:rPr>
    </w:lvl>
    <w:lvl w:ilvl="4" w:tplc="B55651CE" w:tentative="1">
      <w:start w:val="1"/>
      <w:numFmt w:val="bullet"/>
      <w:lvlText w:val="o"/>
      <w:lvlJc w:val="left"/>
      <w:pPr>
        <w:tabs>
          <w:tab w:val="num" w:pos="3240"/>
        </w:tabs>
        <w:ind w:left="3240" w:hanging="360"/>
      </w:pPr>
      <w:rPr>
        <w:rFonts w:ascii="Courier New" w:hAnsi="Courier New" w:cs="Courier New" w:hint="default"/>
      </w:rPr>
    </w:lvl>
    <w:lvl w:ilvl="5" w:tplc="B7641DE4" w:tentative="1">
      <w:start w:val="1"/>
      <w:numFmt w:val="bullet"/>
      <w:lvlText w:val=""/>
      <w:lvlJc w:val="left"/>
      <w:pPr>
        <w:tabs>
          <w:tab w:val="num" w:pos="3960"/>
        </w:tabs>
        <w:ind w:left="3960" w:hanging="360"/>
      </w:pPr>
      <w:rPr>
        <w:rFonts w:ascii="Wingdings" w:hAnsi="Wingdings" w:hint="default"/>
      </w:rPr>
    </w:lvl>
    <w:lvl w:ilvl="6" w:tplc="1F7AF78E" w:tentative="1">
      <w:start w:val="1"/>
      <w:numFmt w:val="bullet"/>
      <w:lvlText w:val=""/>
      <w:lvlJc w:val="left"/>
      <w:pPr>
        <w:tabs>
          <w:tab w:val="num" w:pos="4680"/>
        </w:tabs>
        <w:ind w:left="4680" w:hanging="360"/>
      </w:pPr>
      <w:rPr>
        <w:rFonts w:ascii="Symbol" w:hAnsi="Symbol" w:hint="default"/>
      </w:rPr>
    </w:lvl>
    <w:lvl w:ilvl="7" w:tplc="8918EAB2" w:tentative="1">
      <w:start w:val="1"/>
      <w:numFmt w:val="bullet"/>
      <w:lvlText w:val="o"/>
      <w:lvlJc w:val="left"/>
      <w:pPr>
        <w:tabs>
          <w:tab w:val="num" w:pos="5400"/>
        </w:tabs>
        <w:ind w:left="5400" w:hanging="360"/>
      </w:pPr>
      <w:rPr>
        <w:rFonts w:ascii="Courier New" w:hAnsi="Courier New" w:cs="Courier New" w:hint="default"/>
      </w:rPr>
    </w:lvl>
    <w:lvl w:ilvl="8" w:tplc="385CB0D8" w:tentative="1">
      <w:start w:val="1"/>
      <w:numFmt w:val="bullet"/>
      <w:lvlText w:val=""/>
      <w:lvlJc w:val="left"/>
      <w:pPr>
        <w:tabs>
          <w:tab w:val="num" w:pos="6120"/>
        </w:tabs>
        <w:ind w:left="6120" w:hanging="360"/>
      </w:pPr>
      <w:rPr>
        <w:rFonts w:ascii="Wingdings" w:hAnsi="Wingdings" w:hint="default"/>
      </w:rPr>
    </w:lvl>
  </w:abstractNum>
  <w:abstractNum w:abstractNumId="29">
    <w:nsid w:val="5EE83CAA"/>
    <w:multiLevelType w:val="hybridMultilevel"/>
    <w:tmpl w:val="3080FC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1774DE1"/>
    <w:multiLevelType w:val="hybridMultilevel"/>
    <w:tmpl w:val="1286E186"/>
    <w:lvl w:ilvl="0" w:tplc="04130003">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5DE4085"/>
    <w:multiLevelType w:val="hybridMultilevel"/>
    <w:tmpl w:val="77C8CBD0"/>
    <w:lvl w:ilvl="0" w:tplc="7E3A069C">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7F906B7"/>
    <w:multiLevelType w:val="hybridMultilevel"/>
    <w:tmpl w:val="70422908"/>
    <w:lvl w:ilvl="0" w:tplc="2DC0AD9A">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3">
    <w:nsid w:val="68901A45"/>
    <w:multiLevelType w:val="hybridMultilevel"/>
    <w:tmpl w:val="8870B0E2"/>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BF034DC"/>
    <w:multiLevelType w:val="singleLevel"/>
    <w:tmpl w:val="2B0E351C"/>
    <w:lvl w:ilvl="0">
      <w:start w:val="1"/>
      <w:numFmt w:val="bullet"/>
      <w:pStyle w:val="Bulletindent1"/>
      <w:lvlText w:val=""/>
      <w:lvlJc w:val="left"/>
      <w:pPr>
        <w:tabs>
          <w:tab w:val="num" w:pos="360"/>
        </w:tabs>
        <w:ind w:left="360" w:hanging="360"/>
      </w:pPr>
      <w:rPr>
        <w:rFonts w:ascii="Symbol" w:hAnsi="Symbol" w:hint="default"/>
        <w:sz w:val="18"/>
      </w:rPr>
    </w:lvl>
  </w:abstractNum>
  <w:abstractNum w:abstractNumId="35">
    <w:nsid w:val="6C2A42E3"/>
    <w:multiLevelType w:val="singleLevel"/>
    <w:tmpl w:val="AFEC9C4C"/>
    <w:lvl w:ilvl="0">
      <w:start w:val="1"/>
      <w:numFmt w:val="decimal"/>
      <w:lvlText w:val="%1."/>
      <w:legacy w:legacy="1" w:legacySpace="0" w:legacyIndent="360"/>
      <w:lvlJc w:val="left"/>
      <w:rPr>
        <w:rFonts w:ascii="Times New Roman" w:hAnsi="Times New Roman" w:cs="Times New Roman" w:hint="default"/>
      </w:rPr>
    </w:lvl>
  </w:abstractNum>
  <w:abstractNum w:abstractNumId="36">
    <w:nsid w:val="77513D60"/>
    <w:multiLevelType w:val="multilevel"/>
    <w:tmpl w:val="9162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569DC"/>
    <w:multiLevelType w:val="hybridMultilevel"/>
    <w:tmpl w:val="EB547724"/>
    <w:lvl w:ilvl="0" w:tplc="A310464E">
      <w:start w:val="1"/>
      <w:numFmt w:val="bullet"/>
      <w:lvlText w:val=""/>
      <w:lvlJc w:val="left"/>
      <w:pPr>
        <w:tabs>
          <w:tab w:val="num" w:pos="720"/>
        </w:tabs>
        <w:ind w:left="720" w:hanging="360"/>
      </w:pPr>
      <w:rPr>
        <w:rFonts w:ascii="Symbol" w:hAnsi="Symbol" w:hint="default"/>
      </w:rPr>
    </w:lvl>
    <w:lvl w:ilvl="1" w:tplc="A446B052">
      <w:start w:val="1"/>
      <w:numFmt w:val="bullet"/>
      <w:lvlText w:val="o"/>
      <w:lvlJc w:val="left"/>
      <w:pPr>
        <w:tabs>
          <w:tab w:val="num" w:pos="1440"/>
        </w:tabs>
        <w:ind w:left="1440" w:hanging="360"/>
      </w:pPr>
      <w:rPr>
        <w:rFonts w:ascii="Courier New" w:hAnsi="Courier New" w:cs="Courier New" w:hint="default"/>
      </w:rPr>
    </w:lvl>
    <w:lvl w:ilvl="2" w:tplc="DDEC5888" w:tentative="1">
      <w:start w:val="1"/>
      <w:numFmt w:val="bullet"/>
      <w:lvlText w:val=""/>
      <w:lvlJc w:val="left"/>
      <w:pPr>
        <w:tabs>
          <w:tab w:val="num" w:pos="2160"/>
        </w:tabs>
        <w:ind w:left="2160" w:hanging="360"/>
      </w:pPr>
      <w:rPr>
        <w:rFonts w:ascii="Wingdings" w:hAnsi="Wingdings" w:hint="default"/>
      </w:rPr>
    </w:lvl>
    <w:lvl w:ilvl="3" w:tplc="CBE49870" w:tentative="1">
      <w:start w:val="1"/>
      <w:numFmt w:val="bullet"/>
      <w:lvlText w:val=""/>
      <w:lvlJc w:val="left"/>
      <w:pPr>
        <w:tabs>
          <w:tab w:val="num" w:pos="2880"/>
        </w:tabs>
        <w:ind w:left="2880" w:hanging="360"/>
      </w:pPr>
      <w:rPr>
        <w:rFonts w:ascii="Symbol" w:hAnsi="Symbol" w:hint="default"/>
      </w:rPr>
    </w:lvl>
    <w:lvl w:ilvl="4" w:tplc="91A03A90" w:tentative="1">
      <w:start w:val="1"/>
      <w:numFmt w:val="bullet"/>
      <w:lvlText w:val="o"/>
      <w:lvlJc w:val="left"/>
      <w:pPr>
        <w:tabs>
          <w:tab w:val="num" w:pos="3600"/>
        </w:tabs>
        <w:ind w:left="3600" w:hanging="360"/>
      </w:pPr>
      <w:rPr>
        <w:rFonts w:ascii="Courier New" w:hAnsi="Courier New" w:cs="Courier New" w:hint="default"/>
      </w:rPr>
    </w:lvl>
    <w:lvl w:ilvl="5" w:tplc="0BA41248" w:tentative="1">
      <w:start w:val="1"/>
      <w:numFmt w:val="bullet"/>
      <w:lvlText w:val=""/>
      <w:lvlJc w:val="left"/>
      <w:pPr>
        <w:tabs>
          <w:tab w:val="num" w:pos="4320"/>
        </w:tabs>
        <w:ind w:left="4320" w:hanging="360"/>
      </w:pPr>
      <w:rPr>
        <w:rFonts w:ascii="Wingdings" w:hAnsi="Wingdings" w:hint="default"/>
      </w:rPr>
    </w:lvl>
    <w:lvl w:ilvl="6" w:tplc="A274C5FC" w:tentative="1">
      <w:start w:val="1"/>
      <w:numFmt w:val="bullet"/>
      <w:lvlText w:val=""/>
      <w:lvlJc w:val="left"/>
      <w:pPr>
        <w:tabs>
          <w:tab w:val="num" w:pos="5040"/>
        </w:tabs>
        <w:ind w:left="5040" w:hanging="360"/>
      </w:pPr>
      <w:rPr>
        <w:rFonts w:ascii="Symbol" w:hAnsi="Symbol" w:hint="default"/>
      </w:rPr>
    </w:lvl>
    <w:lvl w:ilvl="7" w:tplc="DCD8DC3C" w:tentative="1">
      <w:start w:val="1"/>
      <w:numFmt w:val="bullet"/>
      <w:lvlText w:val="o"/>
      <w:lvlJc w:val="left"/>
      <w:pPr>
        <w:tabs>
          <w:tab w:val="num" w:pos="5760"/>
        </w:tabs>
        <w:ind w:left="5760" w:hanging="360"/>
      </w:pPr>
      <w:rPr>
        <w:rFonts w:ascii="Courier New" w:hAnsi="Courier New" w:cs="Courier New" w:hint="default"/>
      </w:rPr>
    </w:lvl>
    <w:lvl w:ilvl="8" w:tplc="AE20A5E0" w:tentative="1">
      <w:start w:val="1"/>
      <w:numFmt w:val="bullet"/>
      <w:lvlText w:val=""/>
      <w:lvlJc w:val="left"/>
      <w:pPr>
        <w:tabs>
          <w:tab w:val="num" w:pos="6480"/>
        </w:tabs>
        <w:ind w:left="6480" w:hanging="360"/>
      </w:pPr>
      <w:rPr>
        <w:rFonts w:ascii="Wingdings" w:hAnsi="Wingdings" w:hint="default"/>
      </w:rPr>
    </w:lvl>
  </w:abstractNum>
  <w:abstractNum w:abstractNumId="38">
    <w:nsid w:val="794774E1"/>
    <w:multiLevelType w:val="multilevel"/>
    <w:tmpl w:val="5174213E"/>
    <w:lvl w:ilvl="0">
      <w:start w:val="1"/>
      <w:numFmt w:val="decimal"/>
      <w:pStyle w:val="1"/>
      <w:lvlText w:val="%1"/>
      <w:lvlJc w:val="left"/>
      <w:pPr>
        <w:tabs>
          <w:tab w:val="num" w:pos="432"/>
        </w:tabs>
        <w:ind w:left="432" w:hanging="432"/>
      </w:pPr>
      <w:rPr>
        <w:rFonts w:hint="default"/>
        <w:color w:val="auto"/>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nsid w:val="7BE42336"/>
    <w:multiLevelType w:val="hybridMultilevel"/>
    <w:tmpl w:val="2D30DF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E0B4B9E"/>
    <w:multiLevelType w:val="hybridMultilevel"/>
    <w:tmpl w:val="45786A1A"/>
    <w:lvl w:ilvl="0" w:tplc="2C366A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FE137C1"/>
    <w:multiLevelType w:val="hybridMultilevel"/>
    <w:tmpl w:val="C2107A92"/>
    <w:lvl w:ilvl="0" w:tplc="8D600F56">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8"/>
  </w:num>
  <w:num w:numId="2">
    <w:abstractNumId w:val="37"/>
  </w:num>
  <w:num w:numId="3">
    <w:abstractNumId w:val="24"/>
  </w:num>
  <w:num w:numId="4">
    <w:abstractNumId w:val="22"/>
  </w:num>
  <w:num w:numId="5">
    <w:abstractNumId w:val="1"/>
  </w:num>
  <w:num w:numId="6">
    <w:abstractNumId w:val="0"/>
  </w:num>
  <w:num w:numId="7">
    <w:abstractNumId w:val="5"/>
  </w:num>
  <w:num w:numId="8">
    <w:abstractNumId w:val="40"/>
  </w:num>
  <w:num w:numId="9">
    <w:abstractNumId w:val="36"/>
  </w:num>
  <w:num w:numId="10">
    <w:abstractNumId w:val="33"/>
  </w:num>
  <w:num w:numId="11">
    <w:abstractNumId w:val="34"/>
  </w:num>
  <w:num w:numId="12">
    <w:abstractNumId w:val="35"/>
  </w:num>
  <w:num w:numId="13">
    <w:abstractNumId w:val="25"/>
  </w:num>
  <w:num w:numId="14">
    <w:abstractNumId w:val="20"/>
  </w:num>
  <w:num w:numId="15">
    <w:abstractNumId w:val="4"/>
  </w:num>
  <w:num w:numId="16">
    <w:abstractNumId w:val="11"/>
  </w:num>
  <w:num w:numId="17">
    <w:abstractNumId w:val="17"/>
  </w:num>
  <w:num w:numId="18">
    <w:abstractNumId w:val="28"/>
  </w:num>
  <w:num w:numId="19">
    <w:abstractNumId w:val="6"/>
  </w:num>
  <w:num w:numId="20">
    <w:abstractNumId w:val="16"/>
  </w:num>
  <w:num w:numId="21">
    <w:abstractNumId w:val="39"/>
  </w:num>
  <w:num w:numId="22">
    <w:abstractNumId w:val="12"/>
  </w:num>
  <w:num w:numId="23">
    <w:abstractNumId w:val="19"/>
  </w:num>
  <w:num w:numId="24">
    <w:abstractNumId w:val="14"/>
  </w:num>
  <w:num w:numId="25">
    <w:abstractNumId w:val="30"/>
  </w:num>
  <w:num w:numId="26">
    <w:abstractNumId w:val="26"/>
  </w:num>
  <w:num w:numId="27">
    <w:abstractNumId w:val="23"/>
  </w:num>
  <w:num w:numId="28">
    <w:abstractNumId w:val="32"/>
  </w:num>
  <w:num w:numId="29">
    <w:abstractNumId w:val="8"/>
  </w:num>
  <w:num w:numId="30">
    <w:abstractNumId w:val="9"/>
  </w:num>
  <w:num w:numId="31">
    <w:abstractNumId w:val="7"/>
  </w:num>
  <w:num w:numId="32">
    <w:abstractNumId w:val="2"/>
  </w:num>
  <w:num w:numId="33">
    <w:abstractNumId w:val="10"/>
  </w:num>
  <w:num w:numId="34">
    <w:abstractNumId w:val="27"/>
  </w:num>
  <w:num w:numId="35">
    <w:abstractNumId w:val="41"/>
  </w:num>
  <w:num w:numId="36">
    <w:abstractNumId w:val="31"/>
  </w:num>
  <w:num w:numId="37">
    <w:abstractNumId w:val="13"/>
  </w:num>
  <w:num w:numId="38">
    <w:abstractNumId w:val="21"/>
  </w:num>
  <w:num w:numId="39">
    <w:abstractNumId w:val="15"/>
  </w:num>
  <w:num w:numId="40">
    <w:abstractNumId w:val="18"/>
  </w:num>
  <w:num w:numId="41">
    <w:abstractNumId w:val="3"/>
  </w:num>
  <w:num w:numId="42">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0004"/>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569D4"/>
    <w:rsid w:val="000001C0"/>
    <w:rsid w:val="00002B3F"/>
    <w:rsid w:val="00003BC7"/>
    <w:rsid w:val="00004BD0"/>
    <w:rsid w:val="00005157"/>
    <w:rsid w:val="00006AEC"/>
    <w:rsid w:val="00007C5E"/>
    <w:rsid w:val="00007CB6"/>
    <w:rsid w:val="000109C4"/>
    <w:rsid w:val="00012E7D"/>
    <w:rsid w:val="000132B8"/>
    <w:rsid w:val="000148F1"/>
    <w:rsid w:val="0001491C"/>
    <w:rsid w:val="00014F94"/>
    <w:rsid w:val="0001513E"/>
    <w:rsid w:val="0002158D"/>
    <w:rsid w:val="00021976"/>
    <w:rsid w:val="000219F3"/>
    <w:rsid w:val="00022E59"/>
    <w:rsid w:val="00023D71"/>
    <w:rsid w:val="000248AE"/>
    <w:rsid w:val="000251DC"/>
    <w:rsid w:val="00025828"/>
    <w:rsid w:val="00026E48"/>
    <w:rsid w:val="00032830"/>
    <w:rsid w:val="000335FF"/>
    <w:rsid w:val="000336D7"/>
    <w:rsid w:val="00035296"/>
    <w:rsid w:val="00036655"/>
    <w:rsid w:val="000377EA"/>
    <w:rsid w:val="00037C51"/>
    <w:rsid w:val="00040947"/>
    <w:rsid w:val="000415DE"/>
    <w:rsid w:val="00041E88"/>
    <w:rsid w:val="00042433"/>
    <w:rsid w:val="00042FA5"/>
    <w:rsid w:val="00043C86"/>
    <w:rsid w:val="00046CEC"/>
    <w:rsid w:val="00047778"/>
    <w:rsid w:val="00051783"/>
    <w:rsid w:val="00053250"/>
    <w:rsid w:val="000532F8"/>
    <w:rsid w:val="00053D61"/>
    <w:rsid w:val="0005400C"/>
    <w:rsid w:val="0005529F"/>
    <w:rsid w:val="000577B5"/>
    <w:rsid w:val="00062333"/>
    <w:rsid w:val="00064450"/>
    <w:rsid w:val="00064EA9"/>
    <w:rsid w:val="000658AD"/>
    <w:rsid w:val="00065D83"/>
    <w:rsid w:val="00070135"/>
    <w:rsid w:val="00070B2E"/>
    <w:rsid w:val="00070FBE"/>
    <w:rsid w:val="00071ADB"/>
    <w:rsid w:val="000734DD"/>
    <w:rsid w:val="00075616"/>
    <w:rsid w:val="00075CAB"/>
    <w:rsid w:val="00081373"/>
    <w:rsid w:val="00081CFD"/>
    <w:rsid w:val="00081F78"/>
    <w:rsid w:val="000842FF"/>
    <w:rsid w:val="00090F6D"/>
    <w:rsid w:val="00091D2A"/>
    <w:rsid w:val="00092961"/>
    <w:rsid w:val="00095303"/>
    <w:rsid w:val="000961DB"/>
    <w:rsid w:val="000A023C"/>
    <w:rsid w:val="000A0277"/>
    <w:rsid w:val="000A08BE"/>
    <w:rsid w:val="000A1FB8"/>
    <w:rsid w:val="000A46EE"/>
    <w:rsid w:val="000A55C8"/>
    <w:rsid w:val="000A7447"/>
    <w:rsid w:val="000B27B4"/>
    <w:rsid w:val="000B2E3C"/>
    <w:rsid w:val="000B2EE7"/>
    <w:rsid w:val="000B30EC"/>
    <w:rsid w:val="000B64FA"/>
    <w:rsid w:val="000B68BB"/>
    <w:rsid w:val="000C04E6"/>
    <w:rsid w:val="000C19CF"/>
    <w:rsid w:val="000C1FF1"/>
    <w:rsid w:val="000C2826"/>
    <w:rsid w:val="000C3DEF"/>
    <w:rsid w:val="000C4C4B"/>
    <w:rsid w:val="000C64B8"/>
    <w:rsid w:val="000C6C38"/>
    <w:rsid w:val="000C7A86"/>
    <w:rsid w:val="000D04B5"/>
    <w:rsid w:val="000D0784"/>
    <w:rsid w:val="000D383E"/>
    <w:rsid w:val="000D57BF"/>
    <w:rsid w:val="000D6406"/>
    <w:rsid w:val="000D6F39"/>
    <w:rsid w:val="000E09B4"/>
    <w:rsid w:val="000E1AAE"/>
    <w:rsid w:val="000E1CFB"/>
    <w:rsid w:val="000E374E"/>
    <w:rsid w:val="000E3CEA"/>
    <w:rsid w:val="000E3D93"/>
    <w:rsid w:val="000E3F63"/>
    <w:rsid w:val="000E53B7"/>
    <w:rsid w:val="000E5614"/>
    <w:rsid w:val="000E6E49"/>
    <w:rsid w:val="000F067B"/>
    <w:rsid w:val="000F0C99"/>
    <w:rsid w:val="000F1228"/>
    <w:rsid w:val="000F460F"/>
    <w:rsid w:val="000F47F6"/>
    <w:rsid w:val="000F5D75"/>
    <w:rsid w:val="000F64DA"/>
    <w:rsid w:val="00100B6F"/>
    <w:rsid w:val="00101599"/>
    <w:rsid w:val="001022E9"/>
    <w:rsid w:val="001025A5"/>
    <w:rsid w:val="001043E8"/>
    <w:rsid w:val="0010460B"/>
    <w:rsid w:val="00106258"/>
    <w:rsid w:val="001062E4"/>
    <w:rsid w:val="001103F2"/>
    <w:rsid w:val="0011058D"/>
    <w:rsid w:val="00110853"/>
    <w:rsid w:val="00111664"/>
    <w:rsid w:val="00112791"/>
    <w:rsid w:val="00112A99"/>
    <w:rsid w:val="00113B2E"/>
    <w:rsid w:val="001144E2"/>
    <w:rsid w:val="00114E2B"/>
    <w:rsid w:val="0011508B"/>
    <w:rsid w:val="00115489"/>
    <w:rsid w:val="00115771"/>
    <w:rsid w:val="0011591B"/>
    <w:rsid w:val="001210AB"/>
    <w:rsid w:val="00121C79"/>
    <w:rsid w:val="0012221A"/>
    <w:rsid w:val="001233EB"/>
    <w:rsid w:val="0012345C"/>
    <w:rsid w:val="00123607"/>
    <w:rsid w:val="00125733"/>
    <w:rsid w:val="00126849"/>
    <w:rsid w:val="0012776D"/>
    <w:rsid w:val="00127BAB"/>
    <w:rsid w:val="00132FAB"/>
    <w:rsid w:val="00134D48"/>
    <w:rsid w:val="001365E6"/>
    <w:rsid w:val="00136C79"/>
    <w:rsid w:val="00136FB8"/>
    <w:rsid w:val="0013798B"/>
    <w:rsid w:val="0014095F"/>
    <w:rsid w:val="00142226"/>
    <w:rsid w:val="00142363"/>
    <w:rsid w:val="00143C0B"/>
    <w:rsid w:val="001442B4"/>
    <w:rsid w:val="00144315"/>
    <w:rsid w:val="001454A3"/>
    <w:rsid w:val="0014601B"/>
    <w:rsid w:val="00146202"/>
    <w:rsid w:val="001466B7"/>
    <w:rsid w:val="001479ED"/>
    <w:rsid w:val="00151E05"/>
    <w:rsid w:val="001545B9"/>
    <w:rsid w:val="0015654B"/>
    <w:rsid w:val="00157473"/>
    <w:rsid w:val="001576C7"/>
    <w:rsid w:val="00157B17"/>
    <w:rsid w:val="00162758"/>
    <w:rsid w:val="00164B7D"/>
    <w:rsid w:val="00164C6A"/>
    <w:rsid w:val="001667BD"/>
    <w:rsid w:val="001702D4"/>
    <w:rsid w:val="00171BD0"/>
    <w:rsid w:val="00174A6D"/>
    <w:rsid w:val="001751A5"/>
    <w:rsid w:val="001751EA"/>
    <w:rsid w:val="001752DF"/>
    <w:rsid w:val="0017540B"/>
    <w:rsid w:val="00175493"/>
    <w:rsid w:val="00177A75"/>
    <w:rsid w:val="00180079"/>
    <w:rsid w:val="00180435"/>
    <w:rsid w:val="001809BA"/>
    <w:rsid w:val="00180F4D"/>
    <w:rsid w:val="00181C19"/>
    <w:rsid w:val="0018255D"/>
    <w:rsid w:val="00182FF8"/>
    <w:rsid w:val="001842AD"/>
    <w:rsid w:val="00185E79"/>
    <w:rsid w:val="0018710A"/>
    <w:rsid w:val="00190068"/>
    <w:rsid w:val="00194F47"/>
    <w:rsid w:val="00196F6D"/>
    <w:rsid w:val="00197002"/>
    <w:rsid w:val="00197D32"/>
    <w:rsid w:val="001A0161"/>
    <w:rsid w:val="001A10C9"/>
    <w:rsid w:val="001A19BE"/>
    <w:rsid w:val="001A2C39"/>
    <w:rsid w:val="001A355C"/>
    <w:rsid w:val="001A3E62"/>
    <w:rsid w:val="001A447D"/>
    <w:rsid w:val="001A5A32"/>
    <w:rsid w:val="001A72F0"/>
    <w:rsid w:val="001B0FC4"/>
    <w:rsid w:val="001B27DA"/>
    <w:rsid w:val="001B45A1"/>
    <w:rsid w:val="001B7D47"/>
    <w:rsid w:val="001C071D"/>
    <w:rsid w:val="001C13B6"/>
    <w:rsid w:val="001C4166"/>
    <w:rsid w:val="001C426D"/>
    <w:rsid w:val="001C64E0"/>
    <w:rsid w:val="001C7367"/>
    <w:rsid w:val="001C7798"/>
    <w:rsid w:val="001D0EA5"/>
    <w:rsid w:val="001D329B"/>
    <w:rsid w:val="001D4C00"/>
    <w:rsid w:val="001D739E"/>
    <w:rsid w:val="001D7996"/>
    <w:rsid w:val="001E0466"/>
    <w:rsid w:val="001E0A5D"/>
    <w:rsid w:val="001E4233"/>
    <w:rsid w:val="001E48FD"/>
    <w:rsid w:val="001E5A93"/>
    <w:rsid w:val="001E7242"/>
    <w:rsid w:val="001E72CF"/>
    <w:rsid w:val="001E72E8"/>
    <w:rsid w:val="001F03EC"/>
    <w:rsid w:val="001F2467"/>
    <w:rsid w:val="001F2C14"/>
    <w:rsid w:val="001F2DAA"/>
    <w:rsid w:val="001F4B28"/>
    <w:rsid w:val="001F526B"/>
    <w:rsid w:val="001F5986"/>
    <w:rsid w:val="001F6482"/>
    <w:rsid w:val="001F71E5"/>
    <w:rsid w:val="00200789"/>
    <w:rsid w:val="00200B5A"/>
    <w:rsid w:val="002046D9"/>
    <w:rsid w:val="00206B5F"/>
    <w:rsid w:val="00210D97"/>
    <w:rsid w:val="0021130A"/>
    <w:rsid w:val="00211536"/>
    <w:rsid w:val="00211ADE"/>
    <w:rsid w:val="00212613"/>
    <w:rsid w:val="00215762"/>
    <w:rsid w:val="00215D48"/>
    <w:rsid w:val="0021685F"/>
    <w:rsid w:val="00217005"/>
    <w:rsid w:val="002170B7"/>
    <w:rsid w:val="002204D0"/>
    <w:rsid w:val="00221CB7"/>
    <w:rsid w:val="00222116"/>
    <w:rsid w:val="00222566"/>
    <w:rsid w:val="00223181"/>
    <w:rsid w:val="00224DE7"/>
    <w:rsid w:val="00226461"/>
    <w:rsid w:val="00227960"/>
    <w:rsid w:val="0023058F"/>
    <w:rsid w:val="002335AD"/>
    <w:rsid w:val="00234A82"/>
    <w:rsid w:val="0023538C"/>
    <w:rsid w:val="002354FF"/>
    <w:rsid w:val="00240F97"/>
    <w:rsid w:val="00241A09"/>
    <w:rsid w:val="00243ACC"/>
    <w:rsid w:val="002457B2"/>
    <w:rsid w:val="00245DDF"/>
    <w:rsid w:val="00246547"/>
    <w:rsid w:val="00246F48"/>
    <w:rsid w:val="00247C73"/>
    <w:rsid w:val="0025233C"/>
    <w:rsid w:val="002527F9"/>
    <w:rsid w:val="00252A24"/>
    <w:rsid w:val="00253FDA"/>
    <w:rsid w:val="002577C1"/>
    <w:rsid w:val="00257C7E"/>
    <w:rsid w:val="0026095F"/>
    <w:rsid w:val="0026166C"/>
    <w:rsid w:val="002630A9"/>
    <w:rsid w:val="0026721A"/>
    <w:rsid w:val="002676B0"/>
    <w:rsid w:val="00272CEE"/>
    <w:rsid w:val="00272F13"/>
    <w:rsid w:val="00273122"/>
    <w:rsid w:val="00273D05"/>
    <w:rsid w:val="002751F6"/>
    <w:rsid w:val="002758C0"/>
    <w:rsid w:val="0027680B"/>
    <w:rsid w:val="00276C96"/>
    <w:rsid w:val="00277758"/>
    <w:rsid w:val="00280667"/>
    <w:rsid w:val="00281D4A"/>
    <w:rsid w:val="00282442"/>
    <w:rsid w:val="002824B3"/>
    <w:rsid w:val="00282934"/>
    <w:rsid w:val="00283031"/>
    <w:rsid w:val="002831B0"/>
    <w:rsid w:val="002856B1"/>
    <w:rsid w:val="00287A57"/>
    <w:rsid w:val="00290365"/>
    <w:rsid w:val="00290FF1"/>
    <w:rsid w:val="00291025"/>
    <w:rsid w:val="0029236A"/>
    <w:rsid w:val="002937A6"/>
    <w:rsid w:val="00295020"/>
    <w:rsid w:val="00295216"/>
    <w:rsid w:val="002A0780"/>
    <w:rsid w:val="002A0950"/>
    <w:rsid w:val="002A1492"/>
    <w:rsid w:val="002A1A2F"/>
    <w:rsid w:val="002A526A"/>
    <w:rsid w:val="002A54FC"/>
    <w:rsid w:val="002A5EFE"/>
    <w:rsid w:val="002A6B49"/>
    <w:rsid w:val="002A70DF"/>
    <w:rsid w:val="002B1F85"/>
    <w:rsid w:val="002B401D"/>
    <w:rsid w:val="002B4F3D"/>
    <w:rsid w:val="002B559C"/>
    <w:rsid w:val="002B591F"/>
    <w:rsid w:val="002B6317"/>
    <w:rsid w:val="002C049E"/>
    <w:rsid w:val="002C0C41"/>
    <w:rsid w:val="002C2C88"/>
    <w:rsid w:val="002C2DB0"/>
    <w:rsid w:val="002C4B29"/>
    <w:rsid w:val="002C671F"/>
    <w:rsid w:val="002C6C1A"/>
    <w:rsid w:val="002C7E54"/>
    <w:rsid w:val="002C7EE6"/>
    <w:rsid w:val="002D0221"/>
    <w:rsid w:val="002D0938"/>
    <w:rsid w:val="002D1438"/>
    <w:rsid w:val="002D2AD1"/>
    <w:rsid w:val="002D4641"/>
    <w:rsid w:val="002D6F21"/>
    <w:rsid w:val="002D7A76"/>
    <w:rsid w:val="002E0298"/>
    <w:rsid w:val="002E19E3"/>
    <w:rsid w:val="002E2A9D"/>
    <w:rsid w:val="002E2DFD"/>
    <w:rsid w:val="002E3DDE"/>
    <w:rsid w:val="002E427D"/>
    <w:rsid w:val="002E44EC"/>
    <w:rsid w:val="002E51E9"/>
    <w:rsid w:val="002E56C4"/>
    <w:rsid w:val="002E6299"/>
    <w:rsid w:val="002F0F72"/>
    <w:rsid w:val="002F2B9E"/>
    <w:rsid w:val="002F3F11"/>
    <w:rsid w:val="002F3F4E"/>
    <w:rsid w:val="002F40C6"/>
    <w:rsid w:val="002F5A7E"/>
    <w:rsid w:val="002F6188"/>
    <w:rsid w:val="002F748E"/>
    <w:rsid w:val="00301F38"/>
    <w:rsid w:val="003026C6"/>
    <w:rsid w:val="00302AF5"/>
    <w:rsid w:val="003033F6"/>
    <w:rsid w:val="00303EF8"/>
    <w:rsid w:val="00304349"/>
    <w:rsid w:val="0030565D"/>
    <w:rsid w:val="00310388"/>
    <w:rsid w:val="003151B9"/>
    <w:rsid w:val="003164A2"/>
    <w:rsid w:val="00320F38"/>
    <w:rsid w:val="0032151D"/>
    <w:rsid w:val="0032601E"/>
    <w:rsid w:val="003261CF"/>
    <w:rsid w:val="00326835"/>
    <w:rsid w:val="00326DC7"/>
    <w:rsid w:val="00327DB2"/>
    <w:rsid w:val="00331D29"/>
    <w:rsid w:val="00333A85"/>
    <w:rsid w:val="00336058"/>
    <w:rsid w:val="003372C9"/>
    <w:rsid w:val="00337922"/>
    <w:rsid w:val="00337E18"/>
    <w:rsid w:val="00340303"/>
    <w:rsid w:val="00341B59"/>
    <w:rsid w:val="00347EA9"/>
    <w:rsid w:val="00351641"/>
    <w:rsid w:val="00351C86"/>
    <w:rsid w:val="00352FEE"/>
    <w:rsid w:val="003533DC"/>
    <w:rsid w:val="0035395B"/>
    <w:rsid w:val="0035714C"/>
    <w:rsid w:val="0036109E"/>
    <w:rsid w:val="003619E7"/>
    <w:rsid w:val="00363083"/>
    <w:rsid w:val="00364303"/>
    <w:rsid w:val="00364B02"/>
    <w:rsid w:val="00366B50"/>
    <w:rsid w:val="00367103"/>
    <w:rsid w:val="00367E9A"/>
    <w:rsid w:val="00370F08"/>
    <w:rsid w:val="0037156E"/>
    <w:rsid w:val="003728DC"/>
    <w:rsid w:val="00373DD3"/>
    <w:rsid w:val="00374749"/>
    <w:rsid w:val="00376443"/>
    <w:rsid w:val="003768F3"/>
    <w:rsid w:val="003802DC"/>
    <w:rsid w:val="00380B4D"/>
    <w:rsid w:val="00382393"/>
    <w:rsid w:val="00382395"/>
    <w:rsid w:val="00384209"/>
    <w:rsid w:val="00385899"/>
    <w:rsid w:val="00385D20"/>
    <w:rsid w:val="00385E4F"/>
    <w:rsid w:val="00385EC4"/>
    <w:rsid w:val="00387136"/>
    <w:rsid w:val="00387D79"/>
    <w:rsid w:val="00390ED8"/>
    <w:rsid w:val="003921F5"/>
    <w:rsid w:val="00393776"/>
    <w:rsid w:val="003937B8"/>
    <w:rsid w:val="00393B9C"/>
    <w:rsid w:val="003942FA"/>
    <w:rsid w:val="003949BF"/>
    <w:rsid w:val="0039565A"/>
    <w:rsid w:val="0039699B"/>
    <w:rsid w:val="00397738"/>
    <w:rsid w:val="003A2298"/>
    <w:rsid w:val="003A723E"/>
    <w:rsid w:val="003B129F"/>
    <w:rsid w:val="003B19FA"/>
    <w:rsid w:val="003B1D9B"/>
    <w:rsid w:val="003B327D"/>
    <w:rsid w:val="003B32FD"/>
    <w:rsid w:val="003B3E80"/>
    <w:rsid w:val="003B5E4E"/>
    <w:rsid w:val="003B7650"/>
    <w:rsid w:val="003B7BB2"/>
    <w:rsid w:val="003C194B"/>
    <w:rsid w:val="003C434C"/>
    <w:rsid w:val="003C4C9B"/>
    <w:rsid w:val="003C5774"/>
    <w:rsid w:val="003C5B38"/>
    <w:rsid w:val="003C62A0"/>
    <w:rsid w:val="003C6CB0"/>
    <w:rsid w:val="003C72AE"/>
    <w:rsid w:val="003D126B"/>
    <w:rsid w:val="003D3ED6"/>
    <w:rsid w:val="003D400F"/>
    <w:rsid w:val="003D5ECD"/>
    <w:rsid w:val="003D6F42"/>
    <w:rsid w:val="003D7C2D"/>
    <w:rsid w:val="003D7FD8"/>
    <w:rsid w:val="003E0ACA"/>
    <w:rsid w:val="003E1FFC"/>
    <w:rsid w:val="003E36BB"/>
    <w:rsid w:val="003E3AA9"/>
    <w:rsid w:val="003E4BAE"/>
    <w:rsid w:val="003E4F2A"/>
    <w:rsid w:val="003E51C7"/>
    <w:rsid w:val="003E605F"/>
    <w:rsid w:val="003E6510"/>
    <w:rsid w:val="003E6A49"/>
    <w:rsid w:val="003E6E3A"/>
    <w:rsid w:val="003F0E3A"/>
    <w:rsid w:val="003F1381"/>
    <w:rsid w:val="003F1D90"/>
    <w:rsid w:val="003F2D7A"/>
    <w:rsid w:val="003F4D8F"/>
    <w:rsid w:val="003F53A1"/>
    <w:rsid w:val="003F5C29"/>
    <w:rsid w:val="003F6B76"/>
    <w:rsid w:val="004000EE"/>
    <w:rsid w:val="00401CD0"/>
    <w:rsid w:val="00402710"/>
    <w:rsid w:val="0040287C"/>
    <w:rsid w:val="00403226"/>
    <w:rsid w:val="00403495"/>
    <w:rsid w:val="00410D78"/>
    <w:rsid w:val="0041130C"/>
    <w:rsid w:val="004127B4"/>
    <w:rsid w:val="004139C3"/>
    <w:rsid w:val="00413AAC"/>
    <w:rsid w:val="00415103"/>
    <w:rsid w:val="00420F54"/>
    <w:rsid w:val="004227AE"/>
    <w:rsid w:val="00423CA7"/>
    <w:rsid w:val="00424301"/>
    <w:rsid w:val="004269E4"/>
    <w:rsid w:val="00426FAE"/>
    <w:rsid w:val="00427BB8"/>
    <w:rsid w:val="00430B22"/>
    <w:rsid w:val="00431542"/>
    <w:rsid w:val="00431885"/>
    <w:rsid w:val="004319E5"/>
    <w:rsid w:val="00432322"/>
    <w:rsid w:val="00433EE2"/>
    <w:rsid w:val="0043486C"/>
    <w:rsid w:val="004362FA"/>
    <w:rsid w:val="00436D02"/>
    <w:rsid w:val="00437FC0"/>
    <w:rsid w:val="0044006D"/>
    <w:rsid w:val="00441F42"/>
    <w:rsid w:val="004423C6"/>
    <w:rsid w:val="00442A05"/>
    <w:rsid w:val="0044304E"/>
    <w:rsid w:val="00444806"/>
    <w:rsid w:val="00447AFD"/>
    <w:rsid w:val="004515CD"/>
    <w:rsid w:val="0045289D"/>
    <w:rsid w:val="00452F44"/>
    <w:rsid w:val="00453195"/>
    <w:rsid w:val="004549F6"/>
    <w:rsid w:val="00455127"/>
    <w:rsid w:val="004562E2"/>
    <w:rsid w:val="0045686B"/>
    <w:rsid w:val="00456E88"/>
    <w:rsid w:val="0046166F"/>
    <w:rsid w:val="00461D15"/>
    <w:rsid w:val="00461F4B"/>
    <w:rsid w:val="00463314"/>
    <w:rsid w:val="00464DEA"/>
    <w:rsid w:val="00465633"/>
    <w:rsid w:val="00467C98"/>
    <w:rsid w:val="004722A6"/>
    <w:rsid w:val="00472340"/>
    <w:rsid w:val="004727A3"/>
    <w:rsid w:val="0047438D"/>
    <w:rsid w:val="004745BA"/>
    <w:rsid w:val="00474ED4"/>
    <w:rsid w:val="0047523F"/>
    <w:rsid w:val="00477340"/>
    <w:rsid w:val="0047795C"/>
    <w:rsid w:val="004805B9"/>
    <w:rsid w:val="004815F1"/>
    <w:rsid w:val="00483E81"/>
    <w:rsid w:val="00487CD0"/>
    <w:rsid w:val="004908CF"/>
    <w:rsid w:val="004922BF"/>
    <w:rsid w:val="00492C1A"/>
    <w:rsid w:val="004931A5"/>
    <w:rsid w:val="0049699C"/>
    <w:rsid w:val="00497245"/>
    <w:rsid w:val="004A04D4"/>
    <w:rsid w:val="004A0ACA"/>
    <w:rsid w:val="004A1137"/>
    <w:rsid w:val="004A1A6B"/>
    <w:rsid w:val="004A1CB3"/>
    <w:rsid w:val="004A3B68"/>
    <w:rsid w:val="004A51F4"/>
    <w:rsid w:val="004A67BB"/>
    <w:rsid w:val="004A7AE8"/>
    <w:rsid w:val="004B0890"/>
    <w:rsid w:val="004B0A21"/>
    <w:rsid w:val="004B1AE3"/>
    <w:rsid w:val="004B2DC7"/>
    <w:rsid w:val="004B4C88"/>
    <w:rsid w:val="004B5539"/>
    <w:rsid w:val="004B6F18"/>
    <w:rsid w:val="004B7C71"/>
    <w:rsid w:val="004C01D3"/>
    <w:rsid w:val="004C5325"/>
    <w:rsid w:val="004C53BD"/>
    <w:rsid w:val="004C7360"/>
    <w:rsid w:val="004C75F6"/>
    <w:rsid w:val="004D0BC6"/>
    <w:rsid w:val="004D0F56"/>
    <w:rsid w:val="004D15A1"/>
    <w:rsid w:val="004D15FC"/>
    <w:rsid w:val="004D1E7F"/>
    <w:rsid w:val="004D4E4A"/>
    <w:rsid w:val="004D5FCC"/>
    <w:rsid w:val="004D7476"/>
    <w:rsid w:val="004D76A7"/>
    <w:rsid w:val="004E1D13"/>
    <w:rsid w:val="004E4BBD"/>
    <w:rsid w:val="004E680F"/>
    <w:rsid w:val="004F03ED"/>
    <w:rsid w:val="004F0BE3"/>
    <w:rsid w:val="004F0EA9"/>
    <w:rsid w:val="004F1A05"/>
    <w:rsid w:val="004F2274"/>
    <w:rsid w:val="004F3AA3"/>
    <w:rsid w:val="004F471C"/>
    <w:rsid w:val="004F5CFA"/>
    <w:rsid w:val="004F7B36"/>
    <w:rsid w:val="00500271"/>
    <w:rsid w:val="00500599"/>
    <w:rsid w:val="0050132B"/>
    <w:rsid w:val="00501436"/>
    <w:rsid w:val="00503929"/>
    <w:rsid w:val="00503CFA"/>
    <w:rsid w:val="00506AEE"/>
    <w:rsid w:val="005077EA"/>
    <w:rsid w:val="00510772"/>
    <w:rsid w:val="0051169A"/>
    <w:rsid w:val="0051255E"/>
    <w:rsid w:val="00515859"/>
    <w:rsid w:val="00517652"/>
    <w:rsid w:val="0051784B"/>
    <w:rsid w:val="00522EDD"/>
    <w:rsid w:val="00523479"/>
    <w:rsid w:val="00523F52"/>
    <w:rsid w:val="005272A8"/>
    <w:rsid w:val="005273D6"/>
    <w:rsid w:val="005306EF"/>
    <w:rsid w:val="00530D7D"/>
    <w:rsid w:val="00533990"/>
    <w:rsid w:val="00533BBB"/>
    <w:rsid w:val="00534786"/>
    <w:rsid w:val="00535083"/>
    <w:rsid w:val="00536118"/>
    <w:rsid w:val="00541276"/>
    <w:rsid w:val="005428B3"/>
    <w:rsid w:val="00542B9F"/>
    <w:rsid w:val="005432C0"/>
    <w:rsid w:val="0054356A"/>
    <w:rsid w:val="00543C05"/>
    <w:rsid w:val="00543C20"/>
    <w:rsid w:val="0054635D"/>
    <w:rsid w:val="005504D2"/>
    <w:rsid w:val="005519F8"/>
    <w:rsid w:val="005528EA"/>
    <w:rsid w:val="00554570"/>
    <w:rsid w:val="00554DE4"/>
    <w:rsid w:val="00555728"/>
    <w:rsid w:val="005568BB"/>
    <w:rsid w:val="00556B5B"/>
    <w:rsid w:val="0056048A"/>
    <w:rsid w:val="00561D2D"/>
    <w:rsid w:val="00561D8B"/>
    <w:rsid w:val="005642D4"/>
    <w:rsid w:val="00564EE0"/>
    <w:rsid w:val="00565ED2"/>
    <w:rsid w:val="00566CE7"/>
    <w:rsid w:val="0056723B"/>
    <w:rsid w:val="00567FB9"/>
    <w:rsid w:val="00570A78"/>
    <w:rsid w:val="00570ECA"/>
    <w:rsid w:val="00571172"/>
    <w:rsid w:val="00571BBD"/>
    <w:rsid w:val="00571C30"/>
    <w:rsid w:val="00572237"/>
    <w:rsid w:val="0057482A"/>
    <w:rsid w:val="00574A86"/>
    <w:rsid w:val="00575F49"/>
    <w:rsid w:val="005766A9"/>
    <w:rsid w:val="0057692D"/>
    <w:rsid w:val="00577FE6"/>
    <w:rsid w:val="005801D1"/>
    <w:rsid w:val="005802E2"/>
    <w:rsid w:val="00580318"/>
    <w:rsid w:val="00584018"/>
    <w:rsid w:val="00584A85"/>
    <w:rsid w:val="00586276"/>
    <w:rsid w:val="00586CD6"/>
    <w:rsid w:val="00586F4A"/>
    <w:rsid w:val="00590506"/>
    <w:rsid w:val="00592E1B"/>
    <w:rsid w:val="00594AA6"/>
    <w:rsid w:val="005A0A1E"/>
    <w:rsid w:val="005A0D14"/>
    <w:rsid w:val="005A17FB"/>
    <w:rsid w:val="005A2C39"/>
    <w:rsid w:val="005A4965"/>
    <w:rsid w:val="005A4D72"/>
    <w:rsid w:val="005A5171"/>
    <w:rsid w:val="005A71A8"/>
    <w:rsid w:val="005A776B"/>
    <w:rsid w:val="005A7B87"/>
    <w:rsid w:val="005B06DE"/>
    <w:rsid w:val="005B2188"/>
    <w:rsid w:val="005B2FC3"/>
    <w:rsid w:val="005B3C7F"/>
    <w:rsid w:val="005B3F36"/>
    <w:rsid w:val="005B4294"/>
    <w:rsid w:val="005B7752"/>
    <w:rsid w:val="005B7C63"/>
    <w:rsid w:val="005B7F74"/>
    <w:rsid w:val="005C1A10"/>
    <w:rsid w:val="005C1DFF"/>
    <w:rsid w:val="005C2B1E"/>
    <w:rsid w:val="005C4031"/>
    <w:rsid w:val="005C4A05"/>
    <w:rsid w:val="005D02C5"/>
    <w:rsid w:val="005D060C"/>
    <w:rsid w:val="005D24B9"/>
    <w:rsid w:val="005D31E4"/>
    <w:rsid w:val="005D49A6"/>
    <w:rsid w:val="005D4F38"/>
    <w:rsid w:val="005D6920"/>
    <w:rsid w:val="005D6A54"/>
    <w:rsid w:val="005D7EAE"/>
    <w:rsid w:val="005E0DFC"/>
    <w:rsid w:val="005E1974"/>
    <w:rsid w:val="005E2CB6"/>
    <w:rsid w:val="005E3519"/>
    <w:rsid w:val="005E53D2"/>
    <w:rsid w:val="005E596A"/>
    <w:rsid w:val="005E5EA2"/>
    <w:rsid w:val="005E6470"/>
    <w:rsid w:val="005E70FF"/>
    <w:rsid w:val="005F1C86"/>
    <w:rsid w:val="005F30D2"/>
    <w:rsid w:val="005F3C08"/>
    <w:rsid w:val="005F3CC8"/>
    <w:rsid w:val="005F6474"/>
    <w:rsid w:val="00600BD3"/>
    <w:rsid w:val="00601FE7"/>
    <w:rsid w:val="006026F5"/>
    <w:rsid w:val="00603E14"/>
    <w:rsid w:val="00605124"/>
    <w:rsid w:val="006063E4"/>
    <w:rsid w:val="00610453"/>
    <w:rsid w:val="0061229D"/>
    <w:rsid w:val="006122A7"/>
    <w:rsid w:val="0061286D"/>
    <w:rsid w:val="00612954"/>
    <w:rsid w:val="00612CBD"/>
    <w:rsid w:val="006131C2"/>
    <w:rsid w:val="006137F1"/>
    <w:rsid w:val="00613BB5"/>
    <w:rsid w:val="00615706"/>
    <w:rsid w:val="0061723A"/>
    <w:rsid w:val="00620EAD"/>
    <w:rsid w:val="00621288"/>
    <w:rsid w:val="006219F3"/>
    <w:rsid w:val="00621A8D"/>
    <w:rsid w:val="0063055D"/>
    <w:rsid w:val="00630D11"/>
    <w:rsid w:val="0063137D"/>
    <w:rsid w:val="00631E01"/>
    <w:rsid w:val="00634C9F"/>
    <w:rsid w:val="00634EF6"/>
    <w:rsid w:val="00634F7D"/>
    <w:rsid w:val="006362CC"/>
    <w:rsid w:val="006368FF"/>
    <w:rsid w:val="00636959"/>
    <w:rsid w:val="00637217"/>
    <w:rsid w:val="00637964"/>
    <w:rsid w:val="00640885"/>
    <w:rsid w:val="00640BAE"/>
    <w:rsid w:val="006415DB"/>
    <w:rsid w:val="006439DA"/>
    <w:rsid w:val="006460DC"/>
    <w:rsid w:val="006468E5"/>
    <w:rsid w:val="00646911"/>
    <w:rsid w:val="00646B0C"/>
    <w:rsid w:val="00646D3E"/>
    <w:rsid w:val="006473C2"/>
    <w:rsid w:val="0065039A"/>
    <w:rsid w:val="00650BD8"/>
    <w:rsid w:val="006512B6"/>
    <w:rsid w:val="006528B2"/>
    <w:rsid w:val="0065336E"/>
    <w:rsid w:val="00653EB7"/>
    <w:rsid w:val="00653F5D"/>
    <w:rsid w:val="00654E10"/>
    <w:rsid w:val="00656F9D"/>
    <w:rsid w:val="00660ED1"/>
    <w:rsid w:val="006615BE"/>
    <w:rsid w:val="00661BCC"/>
    <w:rsid w:val="00662292"/>
    <w:rsid w:val="0066361B"/>
    <w:rsid w:val="00663933"/>
    <w:rsid w:val="006640B4"/>
    <w:rsid w:val="00664391"/>
    <w:rsid w:val="0066458D"/>
    <w:rsid w:val="006659EC"/>
    <w:rsid w:val="00665BDB"/>
    <w:rsid w:val="00665F75"/>
    <w:rsid w:val="00671244"/>
    <w:rsid w:val="00671303"/>
    <w:rsid w:val="00671C05"/>
    <w:rsid w:val="006729E7"/>
    <w:rsid w:val="006746E1"/>
    <w:rsid w:val="0067554C"/>
    <w:rsid w:val="00675BD0"/>
    <w:rsid w:val="0068105E"/>
    <w:rsid w:val="00683348"/>
    <w:rsid w:val="00686A33"/>
    <w:rsid w:val="00687564"/>
    <w:rsid w:val="006877B2"/>
    <w:rsid w:val="00687E0A"/>
    <w:rsid w:val="006904FB"/>
    <w:rsid w:val="006922E3"/>
    <w:rsid w:val="00695DE3"/>
    <w:rsid w:val="006967BB"/>
    <w:rsid w:val="006978B9"/>
    <w:rsid w:val="006A16C6"/>
    <w:rsid w:val="006A16D0"/>
    <w:rsid w:val="006A1E87"/>
    <w:rsid w:val="006A4F63"/>
    <w:rsid w:val="006A5202"/>
    <w:rsid w:val="006A7FAB"/>
    <w:rsid w:val="006B0143"/>
    <w:rsid w:val="006B01B6"/>
    <w:rsid w:val="006B30A6"/>
    <w:rsid w:val="006B31EF"/>
    <w:rsid w:val="006B3825"/>
    <w:rsid w:val="006B49FD"/>
    <w:rsid w:val="006B64C7"/>
    <w:rsid w:val="006B76EE"/>
    <w:rsid w:val="006B7B17"/>
    <w:rsid w:val="006C04ED"/>
    <w:rsid w:val="006C1D64"/>
    <w:rsid w:val="006C3B3E"/>
    <w:rsid w:val="006C545F"/>
    <w:rsid w:val="006C554B"/>
    <w:rsid w:val="006C5B04"/>
    <w:rsid w:val="006C656D"/>
    <w:rsid w:val="006C7843"/>
    <w:rsid w:val="006D2787"/>
    <w:rsid w:val="006D2C98"/>
    <w:rsid w:val="006D318F"/>
    <w:rsid w:val="006D61D4"/>
    <w:rsid w:val="006D7899"/>
    <w:rsid w:val="006E249A"/>
    <w:rsid w:val="006E4895"/>
    <w:rsid w:val="006E5415"/>
    <w:rsid w:val="006E6E7B"/>
    <w:rsid w:val="006E735E"/>
    <w:rsid w:val="006E7E54"/>
    <w:rsid w:val="006F07B7"/>
    <w:rsid w:val="006F1724"/>
    <w:rsid w:val="006F6474"/>
    <w:rsid w:val="00701467"/>
    <w:rsid w:val="00702876"/>
    <w:rsid w:val="00703039"/>
    <w:rsid w:val="00703AFC"/>
    <w:rsid w:val="00704233"/>
    <w:rsid w:val="00705347"/>
    <w:rsid w:val="00705B36"/>
    <w:rsid w:val="00706B11"/>
    <w:rsid w:val="0071027C"/>
    <w:rsid w:val="007102E6"/>
    <w:rsid w:val="007126B9"/>
    <w:rsid w:val="00712AE2"/>
    <w:rsid w:val="00715713"/>
    <w:rsid w:val="0071597C"/>
    <w:rsid w:val="007160DE"/>
    <w:rsid w:val="0071629A"/>
    <w:rsid w:val="007208E2"/>
    <w:rsid w:val="00727031"/>
    <w:rsid w:val="00731341"/>
    <w:rsid w:val="0073334C"/>
    <w:rsid w:val="00733938"/>
    <w:rsid w:val="0073559B"/>
    <w:rsid w:val="00735E9E"/>
    <w:rsid w:val="007361DC"/>
    <w:rsid w:val="00736319"/>
    <w:rsid w:val="007418C8"/>
    <w:rsid w:val="00741DC8"/>
    <w:rsid w:val="00742040"/>
    <w:rsid w:val="00742840"/>
    <w:rsid w:val="00743836"/>
    <w:rsid w:val="0074468F"/>
    <w:rsid w:val="0074548F"/>
    <w:rsid w:val="00746930"/>
    <w:rsid w:val="00746FBB"/>
    <w:rsid w:val="00747582"/>
    <w:rsid w:val="0075001F"/>
    <w:rsid w:val="0075040C"/>
    <w:rsid w:val="00750AE8"/>
    <w:rsid w:val="0075120E"/>
    <w:rsid w:val="00751D65"/>
    <w:rsid w:val="00752833"/>
    <w:rsid w:val="00753A1A"/>
    <w:rsid w:val="00756E80"/>
    <w:rsid w:val="00757ADE"/>
    <w:rsid w:val="00757B4E"/>
    <w:rsid w:val="0076033A"/>
    <w:rsid w:val="00760800"/>
    <w:rsid w:val="00760B23"/>
    <w:rsid w:val="00760F2F"/>
    <w:rsid w:val="007617B6"/>
    <w:rsid w:val="00762746"/>
    <w:rsid w:val="00764EBD"/>
    <w:rsid w:val="007671E8"/>
    <w:rsid w:val="00767368"/>
    <w:rsid w:val="007701FB"/>
    <w:rsid w:val="0077045A"/>
    <w:rsid w:val="00771D6D"/>
    <w:rsid w:val="0077208E"/>
    <w:rsid w:val="007723F5"/>
    <w:rsid w:val="00772F57"/>
    <w:rsid w:val="00773749"/>
    <w:rsid w:val="007747F2"/>
    <w:rsid w:val="0077583A"/>
    <w:rsid w:val="00775D92"/>
    <w:rsid w:val="00775F8C"/>
    <w:rsid w:val="00776AFB"/>
    <w:rsid w:val="007821E3"/>
    <w:rsid w:val="00782F4B"/>
    <w:rsid w:val="00783453"/>
    <w:rsid w:val="00785280"/>
    <w:rsid w:val="00785863"/>
    <w:rsid w:val="00787538"/>
    <w:rsid w:val="0079183A"/>
    <w:rsid w:val="0079294C"/>
    <w:rsid w:val="00793F00"/>
    <w:rsid w:val="0079409F"/>
    <w:rsid w:val="00795062"/>
    <w:rsid w:val="00797E15"/>
    <w:rsid w:val="007A1815"/>
    <w:rsid w:val="007A2879"/>
    <w:rsid w:val="007A443D"/>
    <w:rsid w:val="007A4A30"/>
    <w:rsid w:val="007A4FB8"/>
    <w:rsid w:val="007A5A78"/>
    <w:rsid w:val="007A5AD5"/>
    <w:rsid w:val="007A7996"/>
    <w:rsid w:val="007A7ABC"/>
    <w:rsid w:val="007B231C"/>
    <w:rsid w:val="007B350A"/>
    <w:rsid w:val="007B46F2"/>
    <w:rsid w:val="007B5FF1"/>
    <w:rsid w:val="007B6A56"/>
    <w:rsid w:val="007B782D"/>
    <w:rsid w:val="007B7E9A"/>
    <w:rsid w:val="007C1769"/>
    <w:rsid w:val="007C3AE1"/>
    <w:rsid w:val="007C401C"/>
    <w:rsid w:val="007C43F5"/>
    <w:rsid w:val="007C4D3F"/>
    <w:rsid w:val="007C5AC8"/>
    <w:rsid w:val="007D07DA"/>
    <w:rsid w:val="007D0C73"/>
    <w:rsid w:val="007D22C7"/>
    <w:rsid w:val="007D3289"/>
    <w:rsid w:val="007D36DB"/>
    <w:rsid w:val="007D5278"/>
    <w:rsid w:val="007D559E"/>
    <w:rsid w:val="007D5AC6"/>
    <w:rsid w:val="007D6E32"/>
    <w:rsid w:val="007E0771"/>
    <w:rsid w:val="007E0B0B"/>
    <w:rsid w:val="007E3C74"/>
    <w:rsid w:val="007E3D95"/>
    <w:rsid w:val="007E63B1"/>
    <w:rsid w:val="007E7045"/>
    <w:rsid w:val="007E7C45"/>
    <w:rsid w:val="007E7EA7"/>
    <w:rsid w:val="007F0550"/>
    <w:rsid w:val="007F0682"/>
    <w:rsid w:val="007F149C"/>
    <w:rsid w:val="007F1C6F"/>
    <w:rsid w:val="007F1CBE"/>
    <w:rsid w:val="007F33BC"/>
    <w:rsid w:val="007F6D2E"/>
    <w:rsid w:val="00801583"/>
    <w:rsid w:val="0080330D"/>
    <w:rsid w:val="00803980"/>
    <w:rsid w:val="00805E4C"/>
    <w:rsid w:val="008062EB"/>
    <w:rsid w:val="0080689B"/>
    <w:rsid w:val="0081267C"/>
    <w:rsid w:val="00815472"/>
    <w:rsid w:val="0082124C"/>
    <w:rsid w:val="00821507"/>
    <w:rsid w:val="0082463E"/>
    <w:rsid w:val="00826ED5"/>
    <w:rsid w:val="00827777"/>
    <w:rsid w:val="00827D08"/>
    <w:rsid w:val="008301C2"/>
    <w:rsid w:val="00830CB6"/>
    <w:rsid w:val="00832353"/>
    <w:rsid w:val="00832BE7"/>
    <w:rsid w:val="00833180"/>
    <w:rsid w:val="00834D38"/>
    <w:rsid w:val="008379BE"/>
    <w:rsid w:val="00840894"/>
    <w:rsid w:val="00840C6C"/>
    <w:rsid w:val="008412C0"/>
    <w:rsid w:val="00843EA5"/>
    <w:rsid w:val="0084509C"/>
    <w:rsid w:val="00845F8A"/>
    <w:rsid w:val="00846C18"/>
    <w:rsid w:val="00846E68"/>
    <w:rsid w:val="008471D2"/>
    <w:rsid w:val="008472C9"/>
    <w:rsid w:val="00847F36"/>
    <w:rsid w:val="00850186"/>
    <w:rsid w:val="008510D5"/>
    <w:rsid w:val="00851190"/>
    <w:rsid w:val="008522DF"/>
    <w:rsid w:val="00852842"/>
    <w:rsid w:val="008573A2"/>
    <w:rsid w:val="00857927"/>
    <w:rsid w:val="008615F1"/>
    <w:rsid w:val="008628B3"/>
    <w:rsid w:val="008728B4"/>
    <w:rsid w:val="00872AA6"/>
    <w:rsid w:val="0087381E"/>
    <w:rsid w:val="00873E79"/>
    <w:rsid w:val="00873F8B"/>
    <w:rsid w:val="00874451"/>
    <w:rsid w:val="008761B9"/>
    <w:rsid w:val="008805AC"/>
    <w:rsid w:val="0088074E"/>
    <w:rsid w:val="00880B4A"/>
    <w:rsid w:val="00883B64"/>
    <w:rsid w:val="00883BEC"/>
    <w:rsid w:val="0088451D"/>
    <w:rsid w:val="00885404"/>
    <w:rsid w:val="00887FA2"/>
    <w:rsid w:val="00891456"/>
    <w:rsid w:val="0089208F"/>
    <w:rsid w:val="00892100"/>
    <w:rsid w:val="00892DDC"/>
    <w:rsid w:val="00892F1D"/>
    <w:rsid w:val="00893216"/>
    <w:rsid w:val="008951C8"/>
    <w:rsid w:val="0089544E"/>
    <w:rsid w:val="0089771D"/>
    <w:rsid w:val="008A1557"/>
    <w:rsid w:val="008A4551"/>
    <w:rsid w:val="008A49AC"/>
    <w:rsid w:val="008A6513"/>
    <w:rsid w:val="008A6925"/>
    <w:rsid w:val="008A7625"/>
    <w:rsid w:val="008A7732"/>
    <w:rsid w:val="008B024E"/>
    <w:rsid w:val="008B0BD4"/>
    <w:rsid w:val="008B19BE"/>
    <w:rsid w:val="008B1C7B"/>
    <w:rsid w:val="008B1E65"/>
    <w:rsid w:val="008B385F"/>
    <w:rsid w:val="008B4315"/>
    <w:rsid w:val="008B487F"/>
    <w:rsid w:val="008B4D40"/>
    <w:rsid w:val="008B4FBF"/>
    <w:rsid w:val="008B4FEA"/>
    <w:rsid w:val="008B5717"/>
    <w:rsid w:val="008C0118"/>
    <w:rsid w:val="008C0358"/>
    <w:rsid w:val="008C0375"/>
    <w:rsid w:val="008C03B1"/>
    <w:rsid w:val="008C1476"/>
    <w:rsid w:val="008C272A"/>
    <w:rsid w:val="008C3BCE"/>
    <w:rsid w:val="008C428F"/>
    <w:rsid w:val="008C6A8D"/>
    <w:rsid w:val="008C7693"/>
    <w:rsid w:val="008C7A22"/>
    <w:rsid w:val="008D049F"/>
    <w:rsid w:val="008D291A"/>
    <w:rsid w:val="008D2EAA"/>
    <w:rsid w:val="008D31E2"/>
    <w:rsid w:val="008D56DF"/>
    <w:rsid w:val="008D64D5"/>
    <w:rsid w:val="008D6D53"/>
    <w:rsid w:val="008E11E2"/>
    <w:rsid w:val="008E1578"/>
    <w:rsid w:val="008E1BAF"/>
    <w:rsid w:val="008E2034"/>
    <w:rsid w:val="008E458B"/>
    <w:rsid w:val="008F1039"/>
    <w:rsid w:val="008F22AC"/>
    <w:rsid w:val="008F3687"/>
    <w:rsid w:val="008F37D1"/>
    <w:rsid w:val="008F50A5"/>
    <w:rsid w:val="00900052"/>
    <w:rsid w:val="00900F44"/>
    <w:rsid w:val="00902917"/>
    <w:rsid w:val="00903082"/>
    <w:rsid w:val="00903147"/>
    <w:rsid w:val="009044BF"/>
    <w:rsid w:val="00905DAA"/>
    <w:rsid w:val="009061C8"/>
    <w:rsid w:val="00906DC5"/>
    <w:rsid w:val="00907778"/>
    <w:rsid w:val="00910B48"/>
    <w:rsid w:val="00910B8F"/>
    <w:rsid w:val="009139C9"/>
    <w:rsid w:val="009153ED"/>
    <w:rsid w:val="00915756"/>
    <w:rsid w:val="00916D73"/>
    <w:rsid w:val="00917052"/>
    <w:rsid w:val="00920596"/>
    <w:rsid w:val="009222C4"/>
    <w:rsid w:val="00922448"/>
    <w:rsid w:val="009225E0"/>
    <w:rsid w:val="0092518C"/>
    <w:rsid w:val="0092563A"/>
    <w:rsid w:val="009266D4"/>
    <w:rsid w:val="00927624"/>
    <w:rsid w:val="00935DCA"/>
    <w:rsid w:val="009435BF"/>
    <w:rsid w:val="0094373D"/>
    <w:rsid w:val="0094492B"/>
    <w:rsid w:val="00946DD7"/>
    <w:rsid w:val="0094791D"/>
    <w:rsid w:val="009504D9"/>
    <w:rsid w:val="00950520"/>
    <w:rsid w:val="00950EE8"/>
    <w:rsid w:val="00950F73"/>
    <w:rsid w:val="009513AE"/>
    <w:rsid w:val="00952856"/>
    <w:rsid w:val="009552F8"/>
    <w:rsid w:val="00962788"/>
    <w:rsid w:val="009649B9"/>
    <w:rsid w:val="0096557D"/>
    <w:rsid w:val="00965F13"/>
    <w:rsid w:val="00970731"/>
    <w:rsid w:val="00971024"/>
    <w:rsid w:val="00972D19"/>
    <w:rsid w:val="00974741"/>
    <w:rsid w:val="00974823"/>
    <w:rsid w:val="00974CB7"/>
    <w:rsid w:val="0097517C"/>
    <w:rsid w:val="00976055"/>
    <w:rsid w:val="00977A00"/>
    <w:rsid w:val="00980237"/>
    <w:rsid w:val="00983017"/>
    <w:rsid w:val="00984EB2"/>
    <w:rsid w:val="009901A3"/>
    <w:rsid w:val="00990700"/>
    <w:rsid w:val="00990A71"/>
    <w:rsid w:val="00991543"/>
    <w:rsid w:val="00992114"/>
    <w:rsid w:val="00992316"/>
    <w:rsid w:val="00992559"/>
    <w:rsid w:val="00992774"/>
    <w:rsid w:val="00994010"/>
    <w:rsid w:val="00994203"/>
    <w:rsid w:val="0099420D"/>
    <w:rsid w:val="0099534D"/>
    <w:rsid w:val="00996B82"/>
    <w:rsid w:val="00996BAE"/>
    <w:rsid w:val="00997FA0"/>
    <w:rsid w:val="009A02EC"/>
    <w:rsid w:val="009A122D"/>
    <w:rsid w:val="009A2304"/>
    <w:rsid w:val="009A4737"/>
    <w:rsid w:val="009A581D"/>
    <w:rsid w:val="009A6257"/>
    <w:rsid w:val="009A666B"/>
    <w:rsid w:val="009A6A2D"/>
    <w:rsid w:val="009A767F"/>
    <w:rsid w:val="009B1176"/>
    <w:rsid w:val="009B1537"/>
    <w:rsid w:val="009B3975"/>
    <w:rsid w:val="009B4571"/>
    <w:rsid w:val="009B6F59"/>
    <w:rsid w:val="009B7366"/>
    <w:rsid w:val="009C2878"/>
    <w:rsid w:val="009C3497"/>
    <w:rsid w:val="009C7AF7"/>
    <w:rsid w:val="009D0E69"/>
    <w:rsid w:val="009D1D29"/>
    <w:rsid w:val="009D1F3B"/>
    <w:rsid w:val="009D1F6C"/>
    <w:rsid w:val="009D229B"/>
    <w:rsid w:val="009D3373"/>
    <w:rsid w:val="009D5120"/>
    <w:rsid w:val="009D704B"/>
    <w:rsid w:val="009D796F"/>
    <w:rsid w:val="009D7D31"/>
    <w:rsid w:val="009E2AAA"/>
    <w:rsid w:val="009F0A93"/>
    <w:rsid w:val="009F2D9C"/>
    <w:rsid w:val="009F30CD"/>
    <w:rsid w:val="009F402D"/>
    <w:rsid w:val="009F70E3"/>
    <w:rsid w:val="00A00AFB"/>
    <w:rsid w:val="00A01AEF"/>
    <w:rsid w:val="00A0253D"/>
    <w:rsid w:val="00A02CE0"/>
    <w:rsid w:val="00A11E58"/>
    <w:rsid w:val="00A12348"/>
    <w:rsid w:val="00A1247E"/>
    <w:rsid w:val="00A13296"/>
    <w:rsid w:val="00A15F4D"/>
    <w:rsid w:val="00A16D43"/>
    <w:rsid w:val="00A16DF4"/>
    <w:rsid w:val="00A21C29"/>
    <w:rsid w:val="00A23D75"/>
    <w:rsid w:val="00A24633"/>
    <w:rsid w:val="00A26C52"/>
    <w:rsid w:val="00A271F2"/>
    <w:rsid w:val="00A34BDD"/>
    <w:rsid w:val="00A34BFA"/>
    <w:rsid w:val="00A363A0"/>
    <w:rsid w:val="00A37514"/>
    <w:rsid w:val="00A41A79"/>
    <w:rsid w:val="00A420AB"/>
    <w:rsid w:val="00A42570"/>
    <w:rsid w:val="00A428A5"/>
    <w:rsid w:val="00A434B7"/>
    <w:rsid w:val="00A479F7"/>
    <w:rsid w:val="00A50B33"/>
    <w:rsid w:val="00A51F79"/>
    <w:rsid w:val="00A55252"/>
    <w:rsid w:val="00A568BE"/>
    <w:rsid w:val="00A5709E"/>
    <w:rsid w:val="00A60983"/>
    <w:rsid w:val="00A62DA3"/>
    <w:rsid w:val="00A64F85"/>
    <w:rsid w:val="00A65340"/>
    <w:rsid w:val="00A661D6"/>
    <w:rsid w:val="00A66CA6"/>
    <w:rsid w:val="00A711C6"/>
    <w:rsid w:val="00A71F62"/>
    <w:rsid w:val="00A72993"/>
    <w:rsid w:val="00A72B79"/>
    <w:rsid w:val="00A738F5"/>
    <w:rsid w:val="00A7459A"/>
    <w:rsid w:val="00A74B6F"/>
    <w:rsid w:val="00A75643"/>
    <w:rsid w:val="00A75D00"/>
    <w:rsid w:val="00A75F87"/>
    <w:rsid w:val="00A76567"/>
    <w:rsid w:val="00A76E7A"/>
    <w:rsid w:val="00A77166"/>
    <w:rsid w:val="00A77D90"/>
    <w:rsid w:val="00A80DB9"/>
    <w:rsid w:val="00A81624"/>
    <w:rsid w:val="00A817EC"/>
    <w:rsid w:val="00A82BE2"/>
    <w:rsid w:val="00A84D79"/>
    <w:rsid w:val="00A85A3D"/>
    <w:rsid w:val="00A86FB3"/>
    <w:rsid w:val="00A90754"/>
    <w:rsid w:val="00A92657"/>
    <w:rsid w:val="00A93167"/>
    <w:rsid w:val="00A93958"/>
    <w:rsid w:val="00A93C8F"/>
    <w:rsid w:val="00A9457B"/>
    <w:rsid w:val="00A94E2B"/>
    <w:rsid w:val="00AA07CB"/>
    <w:rsid w:val="00AA1257"/>
    <w:rsid w:val="00AA1E62"/>
    <w:rsid w:val="00AA368B"/>
    <w:rsid w:val="00AA3997"/>
    <w:rsid w:val="00AA4315"/>
    <w:rsid w:val="00AA6D51"/>
    <w:rsid w:val="00AB01A0"/>
    <w:rsid w:val="00AB06C9"/>
    <w:rsid w:val="00AB09E3"/>
    <w:rsid w:val="00AB0DE2"/>
    <w:rsid w:val="00AB1D1E"/>
    <w:rsid w:val="00AB29E1"/>
    <w:rsid w:val="00AB442E"/>
    <w:rsid w:val="00AB49C4"/>
    <w:rsid w:val="00AB77ED"/>
    <w:rsid w:val="00AC0F01"/>
    <w:rsid w:val="00AC1A75"/>
    <w:rsid w:val="00AC3D1D"/>
    <w:rsid w:val="00AC4A38"/>
    <w:rsid w:val="00AC5614"/>
    <w:rsid w:val="00AC57FB"/>
    <w:rsid w:val="00AC5F6F"/>
    <w:rsid w:val="00AC680E"/>
    <w:rsid w:val="00AC79B2"/>
    <w:rsid w:val="00AD00CB"/>
    <w:rsid w:val="00AD02C4"/>
    <w:rsid w:val="00AD0D3C"/>
    <w:rsid w:val="00AD0DF7"/>
    <w:rsid w:val="00AD2737"/>
    <w:rsid w:val="00AD2763"/>
    <w:rsid w:val="00AD3D6A"/>
    <w:rsid w:val="00AD4A53"/>
    <w:rsid w:val="00AD59A3"/>
    <w:rsid w:val="00AD5D9A"/>
    <w:rsid w:val="00AD5F11"/>
    <w:rsid w:val="00AD6871"/>
    <w:rsid w:val="00AD6D88"/>
    <w:rsid w:val="00AE0581"/>
    <w:rsid w:val="00AE1E3E"/>
    <w:rsid w:val="00AE1E76"/>
    <w:rsid w:val="00AE3B5A"/>
    <w:rsid w:val="00AE669A"/>
    <w:rsid w:val="00AE6BAC"/>
    <w:rsid w:val="00AF0DCD"/>
    <w:rsid w:val="00AF17C5"/>
    <w:rsid w:val="00AF22EE"/>
    <w:rsid w:val="00AF396B"/>
    <w:rsid w:val="00AF51CF"/>
    <w:rsid w:val="00AF5A7B"/>
    <w:rsid w:val="00AF5D6C"/>
    <w:rsid w:val="00AF6618"/>
    <w:rsid w:val="00AF663E"/>
    <w:rsid w:val="00AF7D8E"/>
    <w:rsid w:val="00B01E1F"/>
    <w:rsid w:val="00B03C5A"/>
    <w:rsid w:val="00B03DEA"/>
    <w:rsid w:val="00B04889"/>
    <w:rsid w:val="00B10098"/>
    <w:rsid w:val="00B1133A"/>
    <w:rsid w:val="00B11493"/>
    <w:rsid w:val="00B11F5D"/>
    <w:rsid w:val="00B12283"/>
    <w:rsid w:val="00B13095"/>
    <w:rsid w:val="00B137EA"/>
    <w:rsid w:val="00B13890"/>
    <w:rsid w:val="00B13C07"/>
    <w:rsid w:val="00B16860"/>
    <w:rsid w:val="00B20AD6"/>
    <w:rsid w:val="00B23A75"/>
    <w:rsid w:val="00B246B0"/>
    <w:rsid w:val="00B2551F"/>
    <w:rsid w:val="00B26FC0"/>
    <w:rsid w:val="00B27271"/>
    <w:rsid w:val="00B34436"/>
    <w:rsid w:val="00B35A13"/>
    <w:rsid w:val="00B4136B"/>
    <w:rsid w:val="00B41DD8"/>
    <w:rsid w:val="00B4435A"/>
    <w:rsid w:val="00B44DD2"/>
    <w:rsid w:val="00B45415"/>
    <w:rsid w:val="00B46DD6"/>
    <w:rsid w:val="00B471CE"/>
    <w:rsid w:val="00B50EE6"/>
    <w:rsid w:val="00B51D22"/>
    <w:rsid w:val="00B52717"/>
    <w:rsid w:val="00B53048"/>
    <w:rsid w:val="00B5346B"/>
    <w:rsid w:val="00B549B5"/>
    <w:rsid w:val="00B61BAE"/>
    <w:rsid w:val="00B62C87"/>
    <w:rsid w:val="00B6300F"/>
    <w:rsid w:val="00B64441"/>
    <w:rsid w:val="00B64A51"/>
    <w:rsid w:val="00B655EC"/>
    <w:rsid w:val="00B65F14"/>
    <w:rsid w:val="00B701C4"/>
    <w:rsid w:val="00B708B9"/>
    <w:rsid w:val="00B71915"/>
    <w:rsid w:val="00B7230E"/>
    <w:rsid w:val="00B72418"/>
    <w:rsid w:val="00B735AF"/>
    <w:rsid w:val="00B74C3C"/>
    <w:rsid w:val="00B7736C"/>
    <w:rsid w:val="00B804F6"/>
    <w:rsid w:val="00B8170D"/>
    <w:rsid w:val="00B83EA1"/>
    <w:rsid w:val="00B84DD6"/>
    <w:rsid w:val="00B868BD"/>
    <w:rsid w:val="00B87027"/>
    <w:rsid w:val="00B874AC"/>
    <w:rsid w:val="00B87E0C"/>
    <w:rsid w:val="00B90F7C"/>
    <w:rsid w:val="00B912FD"/>
    <w:rsid w:val="00B91B2E"/>
    <w:rsid w:val="00B91C85"/>
    <w:rsid w:val="00B9207C"/>
    <w:rsid w:val="00B93470"/>
    <w:rsid w:val="00B94235"/>
    <w:rsid w:val="00B96A09"/>
    <w:rsid w:val="00B96ACC"/>
    <w:rsid w:val="00BA1B33"/>
    <w:rsid w:val="00BA366E"/>
    <w:rsid w:val="00BA4019"/>
    <w:rsid w:val="00BA4A61"/>
    <w:rsid w:val="00BA4BB3"/>
    <w:rsid w:val="00BA515E"/>
    <w:rsid w:val="00BB1414"/>
    <w:rsid w:val="00BB227B"/>
    <w:rsid w:val="00BB3396"/>
    <w:rsid w:val="00BB3592"/>
    <w:rsid w:val="00BB35FF"/>
    <w:rsid w:val="00BB5930"/>
    <w:rsid w:val="00BB5A12"/>
    <w:rsid w:val="00BB5EF5"/>
    <w:rsid w:val="00BB669B"/>
    <w:rsid w:val="00BB72F7"/>
    <w:rsid w:val="00BB7701"/>
    <w:rsid w:val="00BC12AF"/>
    <w:rsid w:val="00BC2878"/>
    <w:rsid w:val="00BC2F25"/>
    <w:rsid w:val="00BC388A"/>
    <w:rsid w:val="00BC3C39"/>
    <w:rsid w:val="00BC5A75"/>
    <w:rsid w:val="00BC77C3"/>
    <w:rsid w:val="00BD1020"/>
    <w:rsid w:val="00BD141E"/>
    <w:rsid w:val="00BD2C9E"/>
    <w:rsid w:val="00BD353F"/>
    <w:rsid w:val="00BD4A85"/>
    <w:rsid w:val="00BD5356"/>
    <w:rsid w:val="00BD6404"/>
    <w:rsid w:val="00BD728A"/>
    <w:rsid w:val="00BD7B6D"/>
    <w:rsid w:val="00BE0682"/>
    <w:rsid w:val="00BE07D1"/>
    <w:rsid w:val="00BE5E46"/>
    <w:rsid w:val="00BE798A"/>
    <w:rsid w:val="00BF1603"/>
    <w:rsid w:val="00BF1EB2"/>
    <w:rsid w:val="00BF2EE3"/>
    <w:rsid w:val="00BF34AD"/>
    <w:rsid w:val="00BF4545"/>
    <w:rsid w:val="00BF4BB9"/>
    <w:rsid w:val="00BF6595"/>
    <w:rsid w:val="00BF6607"/>
    <w:rsid w:val="00C022CE"/>
    <w:rsid w:val="00C0270B"/>
    <w:rsid w:val="00C0335A"/>
    <w:rsid w:val="00C040E9"/>
    <w:rsid w:val="00C05A08"/>
    <w:rsid w:val="00C06870"/>
    <w:rsid w:val="00C06A59"/>
    <w:rsid w:val="00C06B29"/>
    <w:rsid w:val="00C07251"/>
    <w:rsid w:val="00C10D45"/>
    <w:rsid w:val="00C1394D"/>
    <w:rsid w:val="00C13DDB"/>
    <w:rsid w:val="00C14AB6"/>
    <w:rsid w:val="00C15BE7"/>
    <w:rsid w:val="00C15EF7"/>
    <w:rsid w:val="00C2038D"/>
    <w:rsid w:val="00C20D38"/>
    <w:rsid w:val="00C23871"/>
    <w:rsid w:val="00C239BF"/>
    <w:rsid w:val="00C250F2"/>
    <w:rsid w:val="00C25629"/>
    <w:rsid w:val="00C25D6E"/>
    <w:rsid w:val="00C25FF4"/>
    <w:rsid w:val="00C265F1"/>
    <w:rsid w:val="00C26E86"/>
    <w:rsid w:val="00C302C9"/>
    <w:rsid w:val="00C307F4"/>
    <w:rsid w:val="00C31176"/>
    <w:rsid w:val="00C3235A"/>
    <w:rsid w:val="00C33BFA"/>
    <w:rsid w:val="00C33EC4"/>
    <w:rsid w:val="00C40742"/>
    <w:rsid w:val="00C40D04"/>
    <w:rsid w:val="00C42690"/>
    <w:rsid w:val="00C446CA"/>
    <w:rsid w:val="00C458DD"/>
    <w:rsid w:val="00C45C8D"/>
    <w:rsid w:val="00C46395"/>
    <w:rsid w:val="00C47005"/>
    <w:rsid w:val="00C4740B"/>
    <w:rsid w:val="00C47A68"/>
    <w:rsid w:val="00C47BCD"/>
    <w:rsid w:val="00C50DEC"/>
    <w:rsid w:val="00C52F81"/>
    <w:rsid w:val="00C54686"/>
    <w:rsid w:val="00C56279"/>
    <w:rsid w:val="00C601BA"/>
    <w:rsid w:val="00C61C9F"/>
    <w:rsid w:val="00C62305"/>
    <w:rsid w:val="00C63B8B"/>
    <w:rsid w:val="00C63F76"/>
    <w:rsid w:val="00C6600D"/>
    <w:rsid w:val="00C666F5"/>
    <w:rsid w:val="00C6786B"/>
    <w:rsid w:val="00C70ABE"/>
    <w:rsid w:val="00C732CD"/>
    <w:rsid w:val="00C73AF5"/>
    <w:rsid w:val="00C748ED"/>
    <w:rsid w:val="00C80A97"/>
    <w:rsid w:val="00C82232"/>
    <w:rsid w:val="00C83545"/>
    <w:rsid w:val="00C83E86"/>
    <w:rsid w:val="00C84415"/>
    <w:rsid w:val="00C846F0"/>
    <w:rsid w:val="00C85981"/>
    <w:rsid w:val="00C871D9"/>
    <w:rsid w:val="00C87D27"/>
    <w:rsid w:val="00C90A0D"/>
    <w:rsid w:val="00C91231"/>
    <w:rsid w:val="00C93A40"/>
    <w:rsid w:val="00C93E4F"/>
    <w:rsid w:val="00C9506C"/>
    <w:rsid w:val="00C96B83"/>
    <w:rsid w:val="00CA044D"/>
    <w:rsid w:val="00CA281E"/>
    <w:rsid w:val="00CA2DE7"/>
    <w:rsid w:val="00CA385A"/>
    <w:rsid w:val="00CA3867"/>
    <w:rsid w:val="00CA5D6D"/>
    <w:rsid w:val="00CA6875"/>
    <w:rsid w:val="00CA68AC"/>
    <w:rsid w:val="00CB002F"/>
    <w:rsid w:val="00CB02F0"/>
    <w:rsid w:val="00CB1067"/>
    <w:rsid w:val="00CB11C7"/>
    <w:rsid w:val="00CB24A9"/>
    <w:rsid w:val="00CB37D4"/>
    <w:rsid w:val="00CB3C21"/>
    <w:rsid w:val="00CB4312"/>
    <w:rsid w:val="00CB4D1E"/>
    <w:rsid w:val="00CB6219"/>
    <w:rsid w:val="00CB7050"/>
    <w:rsid w:val="00CB76F6"/>
    <w:rsid w:val="00CC2146"/>
    <w:rsid w:val="00CC2865"/>
    <w:rsid w:val="00CC3CF5"/>
    <w:rsid w:val="00CC6082"/>
    <w:rsid w:val="00CC6520"/>
    <w:rsid w:val="00CC74B7"/>
    <w:rsid w:val="00CC7A3E"/>
    <w:rsid w:val="00CD0F8B"/>
    <w:rsid w:val="00CD542C"/>
    <w:rsid w:val="00CD6043"/>
    <w:rsid w:val="00CD6CDA"/>
    <w:rsid w:val="00CD71E4"/>
    <w:rsid w:val="00CE0C51"/>
    <w:rsid w:val="00CE198B"/>
    <w:rsid w:val="00CE3AEA"/>
    <w:rsid w:val="00CE4BF7"/>
    <w:rsid w:val="00CE5498"/>
    <w:rsid w:val="00CE5E0C"/>
    <w:rsid w:val="00CE798D"/>
    <w:rsid w:val="00CF012A"/>
    <w:rsid w:val="00CF1186"/>
    <w:rsid w:val="00CF2038"/>
    <w:rsid w:val="00CF436A"/>
    <w:rsid w:val="00CF4538"/>
    <w:rsid w:val="00CF59C6"/>
    <w:rsid w:val="00CF5DF8"/>
    <w:rsid w:val="00CF623F"/>
    <w:rsid w:val="00CF7280"/>
    <w:rsid w:val="00CF7435"/>
    <w:rsid w:val="00CF76A9"/>
    <w:rsid w:val="00CF7915"/>
    <w:rsid w:val="00CF7DEE"/>
    <w:rsid w:val="00D001A3"/>
    <w:rsid w:val="00D01D4F"/>
    <w:rsid w:val="00D02B90"/>
    <w:rsid w:val="00D042FB"/>
    <w:rsid w:val="00D04749"/>
    <w:rsid w:val="00D079C3"/>
    <w:rsid w:val="00D07B1F"/>
    <w:rsid w:val="00D107E8"/>
    <w:rsid w:val="00D10F00"/>
    <w:rsid w:val="00D11BFA"/>
    <w:rsid w:val="00D135A1"/>
    <w:rsid w:val="00D13656"/>
    <w:rsid w:val="00D1591B"/>
    <w:rsid w:val="00D160C9"/>
    <w:rsid w:val="00D16C85"/>
    <w:rsid w:val="00D17FC4"/>
    <w:rsid w:val="00D21415"/>
    <w:rsid w:val="00D23FBD"/>
    <w:rsid w:val="00D27793"/>
    <w:rsid w:val="00D30667"/>
    <w:rsid w:val="00D313F4"/>
    <w:rsid w:val="00D31AFB"/>
    <w:rsid w:val="00D3235A"/>
    <w:rsid w:val="00D33F1E"/>
    <w:rsid w:val="00D361CE"/>
    <w:rsid w:val="00D3645D"/>
    <w:rsid w:val="00D372CB"/>
    <w:rsid w:val="00D37B2F"/>
    <w:rsid w:val="00D458CA"/>
    <w:rsid w:val="00D45FEB"/>
    <w:rsid w:val="00D46A17"/>
    <w:rsid w:val="00D46ABB"/>
    <w:rsid w:val="00D46ACB"/>
    <w:rsid w:val="00D50B8E"/>
    <w:rsid w:val="00D512B2"/>
    <w:rsid w:val="00D5259D"/>
    <w:rsid w:val="00D5283B"/>
    <w:rsid w:val="00D541B3"/>
    <w:rsid w:val="00D54841"/>
    <w:rsid w:val="00D55F53"/>
    <w:rsid w:val="00D569D4"/>
    <w:rsid w:val="00D61C40"/>
    <w:rsid w:val="00D63D94"/>
    <w:rsid w:val="00D64F9F"/>
    <w:rsid w:val="00D6637F"/>
    <w:rsid w:val="00D66848"/>
    <w:rsid w:val="00D66905"/>
    <w:rsid w:val="00D7028A"/>
    <w:rsid w:val="00D707D1"/>
    <w:rsid w:val="00D70F87"/>
    <w:rsid w:val="00D72F30"/>
    <w:rsid w:val="00D73E3F"/>
    <w:rsid w:val="00D743E3"/>
    <w:rsid w:val="00D7617C"/>
    <w:rsid w:val="00D803D5"/>
    <w:rsid w:val="00D806E3"/>
    <w:rsid w:val="00D81A44"/>
    <w:rsid w:val="00D82B05"/>
    <w:rsid w:val="00D82F3A"/>
    <w:rsid w:val="00D8416A"/>
    <w:rsid w:val="00D84249"/>
    <w:rsid w:val="00D909F6"/>
    <w:rsid w:val="00D90ABD"/>
    <w:rsid w:val="00D918DD"/>
    <w:rsid w:val="00D926CB"/>
    <w:rsid w:val="00D92B9F"/>
    <w:rsid w:val="00D93445"/>
    <w:rsid w:val="00D93ABE"/>
    <w:rsid w:val="00D9411E"/>
    <w:rsid w:val="00D94B01"/>
    <w:rsid w:val="00D952BC"/>
    <w:rsid w:val="00DA0824"/>
    <w:rsid w:val="00DA504B"/>
    <w:rsid w:val="00DA6CCA"/>
    <w:rsid w:val="00DA7198"/>
    <w:rsid w:val="00DA76A6"/>
    <w:rsid w:val="00DA798E"/>
    <w:rsid w:val="00DA7BF3"/>
    <w:rsid w:val="00DB0869"/>
    <w:rsid w:val="00DB1021"/>
    <w:rsid w:val="00DB1A96"/>
    <w:rsid w:val="00DB251C"/>
    <w:rsid w:val="00DB27FB"/>
    <w:rsid w:val="00DB3759"/>
    <w:rsid w:val="00DB3C5E"/>
    <w:rsid w:val="00DB3F9F"/>
    <w:rsid w:val="00DB43D2"/>
    <w:rsid w:val="00DB4E35"/>
    <w:rsid w:val="00DB6136"/>
    <w:rsid w:val="00DB6643"/>
    <w:rsid w:val="00DB7E65"/>
    <w:rsid w:val="00DC0442"/>
    <w:rsid w:val="00DC1096"/>
    <w:rsid w:val="00DC17A2"/>
    <w:rsid w:val="00DC3DF4"/>
    <w:rsid w:val="00DC4DEE"/>
    <w:rsid w:val="00DD2131"/>
    <w:rsid w:val="00DD2310"/>
    <w:rsid w:val="00DD42E7"/>
    <w:rsid w:val="00DD5585"/>
    <w:rsid w:val="00DD57E8"/>
    <w:rsid w:val="00DD6CEE"/>
    <w:rsid w:val="00DE066D"/>
    <w:rsid w:val="00DE0C9C"/>
    <w:rsid w:val="00DE328B"/>
    <w:rsid w:val="00DE46DB"/>
    <w:rsid w:val="00DE52D1"/>
    <w:rsid w:val="00DE560D"/>
    <w:rsid w:val="00DE6E06"/>
    <w:rsid w:val="00DE7B50"/>
    <w:rsid w:val="00DF0406"/>
    <w:rsid w:val="00DF1803"/>
    <w:rsid w:val="00DF37DC"/>
    <w:rsid w:val="00DF4469"/>
    <w:rsid w:val="00DF45B1"/>
    <w:rsid w:val="00DF5446"/>
    <w:rsid w:val="00DF7377"/>
    <w:rsid w:val="00DF7A67"/>
    <w:rsid w:val="00E02514"/>
    <w:rsid w:val="00E047BD"/>
    <w:rsid w:val="00E04A80"/>
    <w:rsid w:val="00E04FFE"/>
    <w:rsid w:val="00E05F81"/>
    <w:rsid w:val="00E06443"/>
    <w:rsid w:val="00E06797"/>
    <w:rsid w:val="00E0705D"/>
    <w:rsid w:val="00E07183"/>
    <w:rsid w:val="00E07509"/>
    <w:rsid w:val="00E10BA5"/>
    <w:rsid w:val="00E11933"/>
    <w:rsid w:val="00E11CEB"/>
    <w:rsid w:val="00E12398"/>
    <w:rsid w:val="00E1443E"/>
    <w:rsid w:val="00E14479"/>
    <w:rsid w:val="00E145FB"/>
    <w:rsid w:val="00E14989"/>
    <w:rsid w:val="00E15381"/>
    <w:rsid w:val="00E153A2"/>
    <w:rsid w:val="00E15B84"/>
    <w:rsid w:val="00E16CEF"/>
    <w:rsid w:val="00E175E1"/>
    <w:rsid w:val="00E216FE"/>
    <w:rsid w:val="00E23921"/>
    <w:rsid w:val="00E25598"/>
    <w:rsid w:val="00E2590D"/>
    <w:rsid w:val="00E2780F"/>
    <w:rsid w:val="00E27B09"/>
    <w:rsid w:val="00E3160C"/>
    <w:rsid w:val="00E32ABC"/>
    <w:rsid w:val="00E333A0"/>
    <w:rsid w:val="00E336BC"/>
    <w:rsid w:val="00E338BA"/>
    <w:rsid w:val="00E33F29"/>
    <w:rsid w:val="00E34183"/>
    <w:rsid w:val="00E350E2"/>
    <w:rsid w:val="00E352AE"/>
    <w:rsid w:val="00E35E05"/>
    <w:rsid w:val="00E361E9"/>
    <w:rsid w:val="00E36254"/>
    <w:rsid w:val="00E43E20"/>
    <w:rsid w:val="00E44C4B"/>
    <w:rsid w:val="00E451A8"/>
    <w:rsid w:val="00E5056D"/>
    <w:rsid w:val="00E5123D"/>
    <w:rsid w:val="00E512B7"/>
    <w:rsid w:val="00E5131D"/>
    <w:rsid w:val="00E56042"/>
    <w:rsid w:val="00E5689F"/>
    <w:rsid w:val="00E56D0E"/>
    <w:rsid w:val="00E56FC2"/>
    <w:rsid w:val="00E57F67"/>
    <w:rsid w:val="00E61420"/>
    <w:rsid w:val="00E618BE"/>
    <w:rsid w:val="00E62368"/>
    <w:rsid w:val="00E641F5"/>
    <w:rsid w:val="00E6490C"/>
    <w:rsid w:val="00E649BE"/>
    <w:rsid w:val="00E64F49"/>
    <w:rsid w:val="00E65D10"/>
    <w:rsid w:val="00E664F7"/>
    <w:rsid w:val="00E66B58"/>
    <w:rsid w:val="00E675D4"/>
    <w:rsid w:val="00E70113"/>
    <w:rsid w:val="00E70B9F"/>
    <w:rsid w:val="00E72665"/>
    <w:rsid w:val="00E72C54"/>
    <w:rsid w:val="00E73987"/>
    <w:rsid w:val="00E74DB5"/>
    <w:rsid w:val="00E81ACE"/>
    <w:rsid w:val="00E81C97"/>
    <w:rsid w:val="00E84827"/>
    <w:rsid w:val="00E84D34"/>
    <w:rsid w:val="00E8511C"/>
    <w:rsid w:val="00E86252"/>
    <w:rsid w:val="00E91BC0"/>
    <w:rsid w:val="00E937D6"/>
    <w:rsid w:val="00E962C9"/>
    <w:rsid w:val="00E9737C"/>
    <w:rsid w:val="00E978D5"/>
    <w:rsid w:val="00EA0E0F"/>
    <w:rsid w:val="00EA0E92"/>
    <w:rsid w:val="00EA1482"/>
    <w:rsid w:val="00EA16BA"/>
    <w:rsid w:val="00EA1C47"/>
    <w:rsid w:val="00EA5EC8"/>
    <w:rsid w:val="00EA63ED"/>
    <w:rsid w:val="00EA693E"/>
    <w:rsid w:val="00EA6A92"/>
    <w:rsid w:val="00EA6DAB"/>
    <w:rsid w:val="00EA7171"/>
    <w:rsid w:val="00EA7FB4"/>
    <w:rsid w:val="00EB0578"/>
    <w:rsid w:val="00EB1061"/>
    <w:rsid w:val="00EB115D"/>
    <w:rsid w:val="00EB6AD7"/>
    <w:rsid w:val="00EB7352"/>
    <w:rsid w:val="00EB78D2"/>
    <w:rsid w:val="00EC0AAC"/>
    <w:rsid w:val="00EC0B2E"/>
    <w:rsid w:val="00EC4B50"/>
    <w:rsid w:val="00EC50A4"/>
    <w:rsid w:val="00EC63A6"/>
    <w:rsid w:val="00EC66BE"/>
    <w:rsid w:val="00EC6740"/>
    <w:rsid w:val="00EC793C"/>
    <w:rsid w:val="00EC7AEB"/>
    <w:rsid w:val="00EC7C2F"/>
    <w:rsid w:val="00ED0193"/>
    <w:rsid w:val="00ED17F1"/>
    <w:rsid w:val="00ED207E"/>
    <w:rsid w:val="00ED34FC"/>
    <w:rsid w:val="00ED3BC0"/>
    <w:rsid w:val="00ED497B"/>
    <w:rsid w:val="00ED5DD8"/>
    <w:rsid w:val="00ED782D"/>
    <w:rsid w:val="00ED7BED"/>
    <w:rsid w:val="00EE04F8"/>
    <w:rsid w:val="00EE13AE"/>
    <w:rsid w:val="00EE172C"/>
    <w:rsid w:val="00EE1B41"/>
    <w:rsid w:val="00EE2098"/>
    <w:rsid w:val="00EE25EA"/>
    <w:rsid w:val="00EE2C49"/>
    <w:rsid w:val="00EE638E"/>
    <w:rsid w:val="00EE74C5"/>
    <w:rsid w:val="00EF0F51"/>
    <w:rsid w:val="00EF15D1"/>
    <w:rsid w:val="00EF2247"/>
    <w:rsid w:val="00EF3271"/>
    <w:rsid w:val="00EF3DFA"/>
    <w:rsid w:val="00EF4285"/>
    <w:rsid w:val="00EF6BCE"/>
    <w:rsid w:val="00F0203A"/>
    <w:rsid w:val="00F03439"/>
    <w:rsid w:val="00F038DE"/>
    <w:rsid w:val="00F05239"/>
    <w:rsid w:val="00F0525E"/>
    <w:rsid w:val="00F0565A"/>
    <w:rsid w:val="00F06DCD"/>
    <w:rsid w:val="00F06FB8"/>
    <w:rsid w:val="00F07B31"/>
    <w:rsid w:val="00F129B0"/>
    <w:rsid w:val="00F132B3"/>
    <w:rsid w:val="00F14993"/>
    <w:rsid w:val="00F15CD8"/>
    <w:rsid w:val="00F2179C"/>
    <w:rsid w:val="00F24956"/>
    <w:rsid w:val="00F3040C"/>
    <w:rsid w:val="00F324C8"/>
    <w:rsid w:val="00F32D87"/>
    <w:rsid w:val="00F33E3C"/>
    <w:rsid w:val="00F36372"/>
    <w:rsid w:val="00F363E5"/>
    <w:rsid w:val="00F44B35"/>
    <w:rsid w:val="00F45B1E"/>
    <w:rsid w:val="00F46D21"/>
    <w:rsid w:val="00F47E4D"/>
    <w:rsid w:val="00F47E9D"/>
    <w:rsid w:val="00F52668"/>
    <w:rsid w:val="00F56D50"/>
    <w:rsid w:val="00F5797E"/>
    <w:rsid w:val="00F579AF"/>
    <w:rsid w:val="00F60C58"/>
    <w:rsid w:val="00F65880"/>
    <w:rsid w:val="00F65F88"/>
    <w:rsid w:val="00F700BE"/>
    <w:rsid w:val="00F70B26"/>
    <w:rsid w:val="00F71254"/>
    <w:rsid w:val="00F72A72"/>
    <w:rsid w:val="00F72E3F"/>
    <w:rsid w:val="00F747B9"/>
    <w:rsid w:val="00F74C9F"/>
    <w:rsid w:val="00F7539B"/>
    <w:rsid w:val="00F762A6"/>
    <w:rsid w:val="00F76EEE"/>
    <w:rsid w:val="00F77709"/>
    <w:rsid w:val="00F804B2"/>
    <w:rsid w:val="00F812A7"/>
    <w:rsid w:val="00F8260E"/>
    <w:rsid w:val="00F82990"/>
    <w:rsid w:val="00F83DFC"/>
    <w:rsid w:val="00F84258"/>
    <w:rsid w:val="00F85540"/>
    <w:rsid w:val="00F86397"/>
    <w:rsid w:val="00F87DA3"/>
    <w:rsid w:val="00F92921"/>
    <w:rsid w:val="00F968AF"/>
    <w:rsid w:val="00F9732F"/>
    <w:rsid w:val="00F97967"/>
    <w:rsid w:val="00FA0471"/>
    <w:rsid w:val="00FA09DF"/>
    <w:rsid w:val="00FA14CA"/>
    <w:rsid w:val="00FA3205"/>
    <w:rsid w:val="00FA37E2"/>
    <w:rsid w:val="00FA5498"/>
    <w:rsid w:val="00FA7084"/>
    <w:rsid w:val="00FA7D43"/>
    <w:rsid w:val="00FB116A"/>
    <w:rsid w:val="00FB3E5D"/>
    <w:rsid w:val="00FB41E0"/>
    <w:rsid w:val="00FB4721"/>
    <w:rsid w:val="00FB4AD8"/>
    <w:rsid w:val="00FB5E2B"/>
    <w:rsid w:val="00FB75CE"/>
    <w:rsid w:val="00FC0E64"/>
    <w:rsid w:val="00FC188C"/>
    <w:rsid w:val="00FC1C0A"/>
    <w:rsid w:val="00FC1C8E"/>
    <w:rsid w:val="00FC2B0D"/>
    <w:rsid w:val="00FC4CB8"/>
    <w:rsid w:val="00FC5D40"/>
    <w:rsid w:val="00FC5D92"/>
    <w:rsid w:val="00FC7009"/>
    <w:rsid w:val="00FC74AA"/>
    <w:rsid w:val="00FD04F5"/>
    <w:rsid w:val="00FD0792"/>
    <w:rsid w:val="00FD2B27"/>
    <w:rsid w:val="00FD3A9C"/>
    <w:rsid w:val="00FD483B"/>
    <w:rsid w:val="00FD4FF0"/>
    <w:rsid w:val="00FD55FF"/>
    <w:rsid w:val="00FD56FB"/>
    <w:rsid w:val="00FD5818"/>
    <w:rsid w:val="00FD77FF"/>
    <w:rsid w:val="00FE02CF"/>
    <w:rsid w:val="00FE135D"/>
    <w:rsid w:val="00FE60B8"/>
    <w:rsid w:val="00FE779E"/>
    <w:rsid w:val="00FF00BC"/>
    <w:rsid w:val="00FF0318"/>
    <w:rsid w:val="00FF0573"/>
    <w:rsid w:val="00FF0D4B"/>
    <w:rsid w:val="00FF13A6"/>
    <w:rsid w:val="00FF18BA"/>
    <w:rsid w:val="00FF2BCE"/>
    <w:rsid w:val="00FF467A"/>
    <w:rsid w:val="00FF60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2DA3"/>
    <w:rPr>
      <w:rFonts w:ascii="Times New Roman" w:eastAsia="MS Mincho" w:hAnsi="Times New Roman"/>
      <w:sz w:val="24"/>
      <w:szCs w:val="24"/>
      <w:lang w:val="en-AU" w:eastAsia="ja-JP"/>
    </w:rPr>
  </w:style>
  <w:style w:type="paragraph" w:styleId="1">
    <w:name w:val="heading 1"/>
    <w:aliases w:val="Manual_Heading 1"/>
    <w:basedOn w:val="a0"/>
    <w:next w:val="a0"/>
    <w:link w:val="1Char"/>
    <w:qFormat/>
    <w:rsid w:val="00D569D4"/>
    <w:pPr>
      <w:keepNext/>
      <w:numPr>
        <w:numId w:val="1"/>
      </w:numPr>
      <w:spacing w:before="240" w:after="240" w:line="360" w:lineRule="auto"/>
      <w:outlineLvl w:val="0"/>
    </w:pPr>
    <w:rPr>
      <w:rFonts w:ascii="Arial" w:hAnsi="Arial" w:cs="Arial"/>
      <w:b/>
      <w:bCs/>
      <w:kern w:val="32"/>
      <w:sz w:val="32"/>
      <w:szCs w:val="32"/>
    </w:rPr>
  </w:style>
  <w:style w:type="paragraph" w:styleId="20">
    <w:name w:val="heading 2"/>
    <w:aliases w:val="Manual_Heading 2"/>
    <w:basedOn w:val="a0"/>
    <w:next w:val="a0"/>
    <w:link w:val="2Char"/>
    <w:qFormat/>
    <w:rsid w:val="00D569D4"/>
    <w:pPr>
      <w:keepNext/>
      <w:numPr>
        <w:ilvl w:val="1"/>
        <w:numId w:val="1"/>
      </w:numPr>
      <w:spacing w:before="240" w:after="60"/>
      <w:outlineLvl w:val="1"/>
    </w:pPr>
    <w:rPr>
      <w:rFonts w:ascii="Arial" w:hAnsi="Arial"/>
      <w:b/>
      <w:bCs/>
      <w:i/>
      <w:iCs/>
      <w:sz w:val="28"/>
      <w:szCs w:val="28"/>
    </w:rPr>
  </w:style>
  <w:style w:type="paragraph" w:styleId="3">
    <w:name w:val="heading 3"/>
    <w:aliases w:val="Manual_Heading 3"/>
    <w:basedOn w:val="a0"/>
    <w:next w:val="a0"/>
    <w:link w:val="3Char"/>
    <w:qFormat/>
    <w:rsid w:val="00D569D4"/>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Char"/>
    <w:qFormat/>
    <w:rsid w:val="00D569D4"/>
    <w:pPr>
      <w:keepNext/>
      <w:numPr>
        <w:ilvl w:val="3"/>
        <w:numId w:val="1"/>
      </w:numPr>
      <w:spacing w:before="240" w:after="60"/>
      <w:outlineLvl w:val="3"/>
    </w:pPr>
    <w:rPr>
      <w:rFonts w:ascii="Calibri" w:hAnsi="Calibri"/>
      <w:b/>
      <w:bCs/>
      <w:sz w:val="28"/>
      <w:szCs w:val="28"/>
    </w:rPr>
  </w:style>
  <w:style w:type="paragraph" w:styleId="5">
    <w:name w:val="heading 5"/>
    <w:basedOn w:val="a0"/>
    <w:next w:val="a0"/>
    <w:link w:val="5Char"/>
    <w:qFormat/>
    <w:rsid w:val="00D569D4"/>
    <w:pPr>
      <w:numPr>
        <w:ilvl w:val="4"/>
        <w:numId w:val="1"/>
      </w:numPr>
      <w:spacing w:before="240" w:after="60"/>
      <w:outlineLvl w:val="4"/>
    </w:pPr>
    <w:rPr>
      <w:rFonts w:ascii="Calibri" w:hAnsi="Calibri"/>
      <w:b/>
      <w:bCs/>
      <w:i/>
      <w:iCs/>
      <w:sz w:val="26"/>
      <w:szCs w:val="26"/>
    </w:rPr>
  </w:style>
  <w:style w:type="paragraph" w:styleId="6">
    <w:name w:val="heading 6"/>
    <w:basedOn w:val="a0"/>
    <w:next w:val="a0"/>
    <w:link w:val="6Char"/>
    <w:qFormat/>
    <w:rsid w:val="00D569D4"/>
    <w:pPr>
      <w:numPr>
        <w:ilvl w:val="5"/>
        <w:numId w:val="1"/>
      </w:numPr>
      <w:spacing w:before="240" w:after="60"/>
      <w:outlineLvl w:val="5"/>
    </w:pPr>
    <w:rPr>
      <w:rFonts w:ascii="Calibri" w:hAnsi="Calibri"/>
      <w:b/>
      <w:bCs/>
      <w:sz w:val="22"/>
      <w:szCs w:val="22"/>
    </w:rPr>
  </w:style>
  <w:style w:type="paragraph" w:styleId="7">
    <w:name w:val="heading 7"/>
    <w:basedOn w:val="a0"/>
    <w:next w:val="a0"/>
    <w:link w:val="7Char"/>
    <w:qFormat/>
    <w:rsid w:val="00D569D4"/>
    <w:pPr>
      <w:numPr>
        <w:ilvl w:val="6"/>
        <w:numId w:val="1"/>
      </w:numPr>
      <w:spacing w:before="240" w:after="60"/>
      <w:outlineLvl w:val="6"/>
    </w:pPr>
    <w:rPr>
      <w:rFonts w:ascii="Calibri" w:hAnsi="Calibri"/>
    </w:rPr>
  </w:style>
  <w:style w:type="paragraph" w:styleId="8">
    <w:name w:val="heading 8"/>
    <w:aliases w:val="Heading 8 (Start Appendices)"/>
    <w:basedOn w:val="a0"/>
    <w:next w:val="a0"/>
    <w:link w:val="8Char"/>
    <w:qFormat/>
    <w:rsid w:val="00D569D4"/>
    <w:pPr>
      <w:numPr>
        <w:ilvl w:val="7"/>
        <w:numId w:val="1"/>
      </w:numPr>
      <w:spacing w:before="240" w:after="60"/>
      <w:outlineLvl w:val="7"/>
    </w:pPr>
    <w:rPr>
      <w:rFonts w:ascii="Calibri" w:hAnsi="Calibri"/>
      <w:i/>
      <w:iCs/>
    </w:rPr>
  </w:style>
  <w:style w:type="paragraph" w:styleId="9">
    <w:name w:val="heading 9"/>
    <w:aliases w:val="Appendix"/>
    <w:basedOn w:val="a0"/>
    <w:next w:val="a0"/>
    <w:link w:val="9Char"/>
    <w:qFormat/>
    <w:rsid w:val="00D569D4"/>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Manual_Heading 1 Char"/>
    <w:link w:val="1"/>
    <w:rsid w:val="00D569D4"/>
    <w:rPr>
      <w:rFonts w:ascii="Arial" w:eastAsia="MS Mincho" w:hAnsi="Arial" w:cs="Arial"/>
      <w:b/>
      <w:bCs/>
      <w:kern w:val="32"/>
      <w:sz w:val="32"/>
      <w:szCs w:val="32"/>
      <w:lang w:val="en-AU" w:eastAsia="ja-JP" w:bidi="ar-SA"/>
    </w:rPr>
  </w:style>
  <w:style w:type="character" w:customStyle="1" w:styleId="2Char">
    <w:name w:val="Επικεφαλίδα 2 Char"/>
    <w:aliases w:val="Manual_Heading 2 Char"/>
    <w:link w:val="20"/>
    <w:rsid w:val="00D569D4"/>
    <w:rPr>
      <w:rFonts w:ascii="Arial" w:eastAsia="MS Mincho" w:hAnsi="Arial"/>
      <w:b/>
      <w:bCs/>
      <w:i/>
      <w:iCs/>
      <w:sz w:val="28"/>
      <w:szCs w:val="28"/>
      <w:lang w:val="en-AU" w:eastAsia="ja-JP" w:bidi="ar-SA"/>
    </w:rPr>
  </w:style>
  <w:style w:type="character" w:customStyle="1" w:styleId="3Char">
    <w:name w:val="Επικεφαλίδα 3 Char"/>
    <w:aliases w:val="Manual_Heading 3 Char"/>
    <w:link w:val="3"/>
    <w:rsid w:val="00D569D4"/>
    <w:rPr>
      <w:rFonts w:ascii="Arial" w:eastAsia="MS Mincho" w:hAnsi="Arial"/>
      <w:b/>
      <w:bCs/>
      <w:sz w:val="26"/>
      <w:szCs w:val="26"/>
      <w:lang w:val="en-AU" w:eastAsia="ja-JP" w:bidi="ar-SA"/>
    </w:rPr>
  </w:style>
  <w:style w:type="character" w:customStyle="1" w:styleId="4Char">
    <w:name w:val="Επικεφαλίδα 4 Char"/>
    <w:link w:val="4"/>
    <w:rsid w:val="00D569D4"/>
    <w:rPr>
      <w:rFonts w:eastAsia="MS Mincho"/>
      <w:b/>
      <w:bCs/>
      <w:sz w:val="28"/>
      <w:szCs w:val="28"/>
      <w:lang w:val="en-AU" w:eastAsia="ja-JP" w:bidi="ar-SA"/>
    </w:rPr>
  </w:style>
  <w:style w:type="character" w:customStyle="1" w:styleId="5Char">
    <w:name w:val="Επικεφαλίδα 5 Char"/>
    <w:link w:val="5"/>
    <w:rsid w:val="00D569D4"/>
    <w:rPr>
      <w:rFonts w:eastAsia="MS Mincho"/>
      <w:b/>
      <w:bCs/>
      <w:i/>
      <w:iCs/>
      <w:sz w:val="26"/>
      <w:szCs w:val="26"/>
      <w:lang w:val="en-AU" w:eastAsia="ja-JP" w:bidi="ar-SA"/>
    </w:rPr>
  </w:style>
  <w:style w:type="character" w:customStyle="1" w:styleId="6Char">
    <w:name w:val="Επικεφαλίδα 6 Char"/>
    <w:link w:val="6"/>
    <w:rsid w:val="00D569D4"/>
    <w:rPr>
      <w:rFonts w:eastAsia="MS Mincho"/>
      <w:b/>
      <w:bCs/>
      <w:sz w:val="22"/>
      <w:szCs w:val="22"/>
      <w:lang w:val="en-AU" w:eastAsia="ja-JP" w:bidi="ar-SA"/>
    </w:rPr>
  </w:style>
  <w:style w:type="character" w:customStyle="1" w:styleId="7Char">
    <w:name w:val="Επικεφαλίδα 7 Char"/>
    <w:link w:val="7"/>
    <w:rsid w:val="00D569D4"/>
    <w:rPr>
      <w:rFonts w:eastAsia="MS Mincho"/>
      <w:sz w:val="24"/>
      <w:szCs w:val="24"/>
      <w:lang w:val="en-AU" w:eastAsia="ja-JP" w:bidi="ar-SA"/>
    </w:rPr>
  </w:style>
  <w:style w:type="character" w:customStyle="1" w:styleId="8Char">
    <w:name w:val="Επικεφαλίδα 8 Char"/>
    <w:aliases w:val="Heading 8 (Start Appendices) Char"/>
    <w:link w:val="8"/>
    <w:rsid w:val="00D569D4"/>
    <w:rPr>
      <w:rFonts w:eastAsia="MS Mincho"/>
      <w:i/>
      <w:iCs/>
      <w:sz w:val="24"/>
      <w:szCs w:val="24"/>
      <w:lang w:val="en-AU" w:eastAsia="ja-JP" w:bidi="ar-SA"/>
    </w:rPr>
  </w:style>
  <w:style w:type="character" w:customStyle="1" w:styleId="9Char">
    <w:name w:val="Επικεφαλίδα 9 Char"/>
    <w:aliases w:val="Appendix Char"/>
    <w:link w:val="9"/>
    <w:rsid w:val="00D569D4"/>
    <w:rPr>
      <w:rFonts w:ascii="Arial" w:eastAsia="MS Mincho" w:hAnsi="Arial"/>
      <w:sz w:val="22"/>
      <w:szCs w:val="22"/>
      <w:lang w:val="en-AU" w:eastAsia="ja-JP" w:bidi="ar-SA"/>
    </w:rPr>
  </w:style>
  <w:style w:type="paragraph" w:styleId="a4">
    <w:name w:val="Body Text Indent"/>
    <w:basedOn w:val="a0"/>
    <w:link w:val="Char"/>
    <w:rsid w:val="00D569D4"/>
    <w:pPr>
      <w:ind w:left="360"/>
    </w:pPr>
    <w:rPr>
      <w:i/>
      <w:iCs/>
    </w:rPr>
  </w:style>
  <w:style w:type="character" w:customStyle="1" w:styleId="Char">
    <w:name w:val="Σώμα κείμενου με εσοχή Char"/>
    <w:link w:val="a4"/>
    <w:rsid w:val="00D569D4"/>
    <w:rPr>
      <w:rFonts w:ascii="Times New Roman" w:eastAsia="MS Mincho" w:hAnsi="Times New Roman" w:cs="Times New Roman"/>
      <w:i/>
      <w:iCs/>
      <w:sz w:val="24"/>
      <w:szCs w:val="24"/>
      <w:lang w:val="en-AU" w:eastAsia="ja-JP"/>
    </w:rPr>
  </w:style>
  <w:style w:type="paragraph" w:styleId="a5">
    <w:name w:val="header"/>
    <w:basedOn w:val="a0"/>
    <w:link w:val="Char0"/>
    <w:rsid w:val="00D569D4"/>
    <w:pPr>
      <w:tabs>
        <w:tab w:val="center" w:pos="4153"/>
        <w:tab w:val="right" w:pos="8306"/>
      </w:tabs>
    </w:pPr>
  </w:style>
  <w:style w:type="character" w:customStyle="1" w:styleId="Char0">
    <w:name w:val="Κεφαλίδα Char"/>
    <w:link w:val="a5"/>
    <w:rsid w:val="00D569D4"/>
    <w:rPr>
      <w:rFonts w:ascii="Times New Roman" w:eastAsia="MS Mincho" w:hAnsi="Times New Roman" w:cs="Times New Roman"/>
      <w:sz w:val="24"/>
      <w:szCs w:val="24"/>
      <w:lang w:val="en-AU" w:eastAsia="ja-JP"/>
    </w:rPr>
  </w:style>
  <w:style w:type="paragraph" w:styleId="a6">
    <w:name w:val="footer"/>
    <w:basedOn w:val="a0"/>
    <w:link w:val="Char1"/>
    <w:uiPriority w:val="99"/>
    <w:rsid w:val="00D569D4"/>
    <w:pPr>
      <w:tabs>
        <w:tab w:val="center" w:pos="4153"/>
        <w:tab w:val="right" w:pos="8306"/>
      </w:tabs>
    </w:pPr>
  </w:style>
  <w:style w:type="character" w:customStyle="1" w:styleId="Char1">
    <w:name w:val="Υποσέλιδο Char"/>
    <w:link w:val="a6"/>
    <w:uiPriority w:val="99"/>
    <w:rsid w:val="00D569D4"/>
    <w:rPr>
      <w:rFonts w:ascii="Times New Roman" w:eastAsia="MS Mincho" w:hAnsi="Times New Roman" w:cs="Times New Roman"/>
      <w:sz w:val="24"/>
      <w:szCs w:val="24"/>
      <w:lang w:val="en-AU" w:eastAsia="ja-JP"/>
    </w:rPr>
  </w:style>
  <w:style w:type="character" w:styleId="a7">
    <w:name w:val="page number"/>
    <w:basedOn w:val="a1"/>
    <w:rsid w:val="00D569D4"/>
  </w:style>
  <w:style w:type="paragraph" w:customStyle="1" w:styleId="Title1">
    <w:name w:val="Title 1"/>
    <w:basedOn w:val="1"/>
    <w:rsid w:val="00D569D4"/>
    <w:pPr>
      <w:numPr>
        <w:numId w:val="0"/>
      </w:numPr>
      <w:jc w:val="center"/>
    </w:pPr>
    <w:rPr>
      <w:smallCaps/>
      <w:sz w:val="96"/>
      <w:szCs w:val="96"/>
    </w:rPr>
  </w:style>
  <w:style w:type="paragraph" w:customStyle="1" w:styleId="Title2">
    <w:name w:val="Title 2"/>
    <w:basedOn w:val="Title1"/>
    <w:rsid w:val="00D569D4"/>
    <w:rPr>
      <w:shadow/>
      <w:sz w:val="52"/>
    </w:rPr>
  </w:style>
  <w:style w:type="paragraph" w:customStyle="1" w:styleId="Title3">
    <w:name w:val="Title 3"/>
    <w:basedOn w:val="Title1"/>
    <w:rsid w:val="00D569D4"/>
    <w:pPr>
      <w:jc w:val="left"/>
    </w:pPr>
    <w:rPr>
      <w:sz w:val="40"/>
    </w:rPr>
  </w:style>
  <w:style w:type="paragraph" w:styleId="a8">
    <w:name w:val="Body Text"/>
    <w:basedOn w:val="a0"/>
    <w:link w:val="Char2"/>
    <w:rsid w:val="00D569D4"/>
    <w:rPr>
      <w:i/>
      <w:iCs/>
    </w:rPr>
  </w:style>
  <w:style w:type="character" w:customStyle="1" w:styleId="Char2">
    <w:name w:val="Σώμα κειμένου Char"/>
    <w:link w:val="a8"/>
    <w:rsid w:val="00D569D4"/>
    <w:rPr>
      <w:rFonts w:ascii="Times New Roman" w:eastAsia="MS Mincho" w:hAnsi="Times New Roman" w:cs="Times New Roman"/>
      <w:i/>
      <w:iCs/>
      <w:sz w:val="24"/>
      <w:szCs w:val="24"/>
      <w:lang w:val="en-AU" w:eastAsia="ja-JP"/>
    </w:rPr>
  </w:style>
  <w:style w:type="paragraph" w:styleId="10">
    <w:name w:val="toc 1"/>
    <w:basedOn w:val="a0"/>
    <w:next w:val="a0"/>
    <w:autoRedefine/>
    <w:uiPriority w:val="39"/>
    <w:rsid w:val="00D569D4"/>
    <w:pPr>
      <w:spacing w:before="120" w:after="120"/>
    </w:pPr>
    <w:rPr>
      <w:b/>
      <w:bCs/>
      <w:caps/>
    </w:rPr>
  </w:style>
  <w:style w:type="paragraph" w:styleId="21">
    <w:name w:val="toc 2"/>
    <w:basedOn w:val="a0"/>
    <w:next w:val="a0"/>
    <w:autoRedefine/>
    <w:uiPriority w:val="39"/>
    <w:rsid w:val="00D569D4"/>
    <w:pPr>
      <w:ind w:left="240"/>
    </w:pPr>
    <w:rPr>
      <w:smallCaps/>
    </w:rPr>
  </w:style>
  <w:style w:type="paragraph" w:styleId="30">
    <w:name w:val="toc 3"/>
    <w:basedOn w:val="a0"/>
    <w:next w:val="a0"/>
    <w:autoRedefine/>
    <w:uiPriority w:val="39"/>
    <w:rsid w:val="00D569D4"/>
    <w:pPr>
      <w:ind w:left="480"/>
    </w:pPr>
    <w:rPr>
      <w:i/>
      <w:iCs/>
    </w:rPr>
  </w:style>
  <w:style w:type="paragraph" w:styleId="40">
    <w:name w:val="toc 4"/>
    <w:basedOn w:val="a0"/>
    <w:next w:val="a0"/>
    <w:autoRedefine/>
    <w:uiPriority w:val="39"/>
    <w:rsid w:val="00D569D4"/>
    <w:pPr>
      <w:ind w:left="720"/>
    </w:pPr>
    <w:rPr>
      <w:szCs w:val="21"/>
    </w:rPr>
  </w:style>
  <w:style w:type="paragraph" w:styleId="50">
    <w:name w:val="toc 5"/>
    <w:basedOn w:val="a0"/>
    <w:next w:val="a0"/>
    <w:autoRedefine/>
    <w:semiHidden/>
    <w:rsid w:val="00D569D4"/>
    <w:pPr>
      <w:ind w:left="960"/>
    </w:pPr>
    <w:rPr>
      <w:szCs w:val="21"/>
    </w:rPr>
  </w:style>
  <w:style w:type="paragraph" w:styleId="60">
    <w:name w:val="toc 6"/>
    <w:basedOn w:val="a0"/>
    <w:next w:val="a0"/>
    <w:autoRedefine/>
    <w:semiHidden/>
    <w:rsid w:val="00D569D4"/>
    <w:pPr>
      <w:ind w:left="1200"/>
    </w:pPr>
    <w:rPr>
      <w:szCs w:val="21"/>
    </w:rPr>
  </w:style>
  <w:style w:type="paragraph" w:styleId="70">
    <w:name w:val="toc 7"/>
    <w:basedOn w:val="a0"/>
    <w:next w:val="a0"/>
    <w:autoRedefine/>
    <w:semiHidden/>
    <w:rsid w:val="00D569D4"/>
    <w:pPr>
      <w:ind w:left="1440"/>
    </w:pPr>
    <w:rPr>
      <w:szCs w:val="21"/>
    </w:rPr>
  </w:style>
  <w:style w:type="paragraph" w:styleId="80">
    <w:name w:val="toc 8"/>
    <w:basedOn w:val="a0"/>
    <w:next w:val="a0"/>
    <w:autoRedefine/>
    <w:semiHidden/>
    <w:rsid w:val="00D569D4"/>
    <w:pPr>
      <w:ind w:left="1680"/>
    </w:pPr>
    <w:rPr>
      <w:szCs w:val="21"/>
    </w:rPr>
  </w:style>
  <w:style w:type="paragraph" w:styleId="90">
    <w:name w:val="toc 9"/>
    <w:basedOn w:val="a0"/>
    <w:next w:val="a0"/>
    <w:autoRedefine/>
    <w:semiHidden/>
    <w:rsid w:val="00D569D4"/>
    <w:pPr>
      <w:ind w:left="1920"/>
    </w:pPr>
    <w:rPr>
      <w:szCs w:val="21"/>
    </w:rPr>
  </w:style>
  <w:style w:type="character" w:styleId="-">
    <w:name w:val="Hyperlink"/>
    <w:uiPriority w:val="99"/>
    <w:rsid w:val="00D569D4"/>
    <w:rPr>
      <w:color w:val="0000FF"/>
      <w:u w:val="single"/>
    </w:rPr>
  </w:style>
  <w:style w:type="paragraph" w:customStyle="1" w:styleId="46BB8CDA7AD04FB8A925DA5B3F1E796A">
    <w:name w:val="46BB8CDA7AD04FB8A925DA5B3F1E796A"/>
    <w:rsid w:val="00D569D4"/>
    <w:pPr>
      <w:spacing w:after="200" w:line="276" w:lineRule="auto"/>
    </w:pPr>
    <w:rPr>
      <w:rFonts w:eastAsia="Times New Roman"/>
      <w:sz w:val="22"/>
      <w:szCs w:val="22"/>
      <w:lang w:val="en-US" w:eastAsia="en-US"/>
    </w:rPr>
  </w:style>
  <w:style w:type="paragraph" w:styleId="a9">
    <w:name w:val="No Spacing"/>
    <w:link w:val="Char3"/>
    <w:uiPriority w:val="1"/>
    <w:qFormat/>
    <w:rsid w:val="00D569D4"/>
    <w:rPr>
      <w:rFonts w:eastAsia="Times New Roman"/>
      <w:sz w:val="22"/>
      <w:szCs w:val="22"/>
      <w:lang w:val="en-US" w:eastAsia="en-US"/>
    </w:rPr>
  </w:style>
  <w:style w:type="character" w:customStyle="1" w:styleId="Char3">
    <w:name w:val="Χωρίς διάστιχο Char"/>
    <w:link w:val="a9"/>
    <w:uiPriority w:val="1"/>
    <w:rsid w:val="00D569D4"/>
    <w:rPr>
      <w:rFonts w:eastAsia="Times New Roman"/>
      <w:sz w:val="22"/>
      <w:szCs w:val="22"/>
      <w:lang w:val="en-US" w:eastAsia="en-US" w:bidi="ar-SA"/>
    </w:rPr>
  </w:style>
  <w:style w:type="paragraph" w:styleId="aa">
    <w:name w:val="Balloon Text"/>
    <w:basedOn w:val="a0"/>
    <w:link w:val="Char4"/>
    <w:rsid w:val="00D569D4"/>
    <w:rPr>
      <w:rFonts w:ascii="Tahoma" w:hAnsi="Tahoma"/>
      <w:sz w:val="16"/>
      <w:szCs w:val="16"/>
    </w:rPr>
  </w:style>
  <w:style w:type="character" w:customStyle="1" w:styleId="Char4">
    <w:name w:val="Κείμενο πλαισίου Char"/>
    <w:link w:val="aa"/>
    <w:rsid w:val="00D569D4"/>
    <w:rPr>
      <w:rFonts w:ascii="Tahoma" w:eastAsia="MS Mincho" w:hAnsi="Tahoma" w:cs="Tahoma"/>
      <w:sz w:val="16"/>
      <w:szCs w:val="16"/>
      <w:lang w:val="en-AU" w:eastAsia="ja-JP"/>
    </w:rPr>
  </w:style>
  <w:style w:type="paragraph" w:styleId="Web">
    <w:name w:val="Normal (Web)"/>
    <w:basedOn w:val="a0"/>
    <w:uiPriority w:val="99"/>
    <w:rsid w:val="00D569D4"/>
    <w:pPr>
      <w:spacing w:before="60" w:after="105"/>
      <w:ind w:left="60" w:right="60"/>
    </w:pPr>
    <w:rPr>
      <w:rFonts w:ascii="Verdana" w:eastAsia="Times New Roman" w:hAnsi="Verdana"/>
      <w:color w:val="000000"/>
      <w:sz w:val="16"/>
      <w:szCs w:val="16"/>
      <w:lang w:eastAsia="en-US"/>
    </w:rPr>
  </w:style>
  <w:style w:type="character" w:styleId="ab">
    <w:name w:val="Emphasis"/>
    <w:uiPriority w:val="20"/>
    <w:qFormat/>
    <w:rsid w:val="00D569D4"/>
    <w:rPr>
      <w:i/>
      <w:iCs/>
    </w:rPr>
  </w:style>
  <w:style w:type="paragraph" w:customStyle="1" w:styleId="ecmsonormal">
    <w:name w:val="ec_msonormal"/>
    <w:basedOn w:val="a0"/>
    <w:rsid w:val="00D569D4"/>
    <w:pPr>
      <w:spacing w:before="100" w:beforeAutospacing="1" w:after="100" w:afterAutospacing="1"/>
    </w:pPr>
    <w:rPr>
      <w:rFonts w:eastAsia="SimSun"/>
      <w:lang w:eastAsia="zh-CN"/>
    </w:rPr>
  </w:style>
  <w:style w:type="table" w:styleId="ac">
    <w:name w:val="Table Grid"/>
    <w:basedOn w:val="a2"/>
    <w:rsid w:val="00D569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aliases w:val="Caption - Table,Caption Char1, Char3 Char, Char3,Char3 Char,Char3"/>
    <w:basedOn w:val="a0"/>
    <w:next w:val="a0"/>
    <w:link w:val="Char5"/>
    <w:qFormat/>
    <w:rsid w:val="00E04A80"/>
    <w:pPr>
      <w:spacing w:after="200" w:line="276" w:lineRule="auto"/>
    </w:pPr>
    <w:rPr>
      <w:rFonts w:ascii="Calibri" w:eastAsia="Calibri" w:hAnsi="Calibri"/>
      <w:b/>
      <w:bCs/>
      <w:sz w:val="20"/>
      <w:szCs w:val="20"/>
      <w:lang w:val="en-US" w:eastAsia="en-US"/>
    </w:rPr>
  </w:style>
  <w:style w:type="paragraph" w:customStyle="1" w:styleId="NormalTimes">
    <w:name w:val="Normal Times"/>
    <w:basedOn w:val="a0"/>
    <w:rsid w:val="00E04A80"/>
    <w:pPr>
      <w:spacing w:after="200"/>
    </w:pPr>
    <w:rPr>
      <w:rFonts w:eastAsia="Calibri"/>
      <w:sz w:val="22"/>
      <w:szCs w:val="22"/>
    </w:rPr>
  </w:style>
  <w:style w:type="paragraph" w:styleId="ae">
    <w:name w:val="footnote text"/>
    <w:aliases w:val="Footnote Text Char,Footnote Text Char1,Tekst przypisu,ft"/>
    <w:basedOn w:val="a0"/>
    <w:link w:val="Char6"/>
    <w:semiHidden/>
    <w:rsid w:val="00E04A80"/>
    <w:pPr>
      <w:spacing w:after="200" w:line="276" w:lineRule="auto"/>
    </w:pPr>
    <w:rPr>
      <w:rFonts w:ascii="Calibri" w:eastAsia="Calibri" w:hAnsi="Calibri"/>
      <w:sz w:val="20"/>
      <w:szCs w:val="20"/>
      <w:lang w:val="en-US" w:eastAsia="en-US"/>
    </w:rPr>
  </w:style>
  <w:style w:type="character" w:styleId="af">
    <w:name w:val="footnote reference"/>
    <w:aliases w:val="Odwołanie przypisu,fr,ftref,Ref,de nota al pie"/>
    <w:semiHidden/>
    <w:rsid w:val="00E04A80"/>
    <w:rPr>
      <w:vertAlign w:val="superscript"/>
    </w:rPr>
  </w:style>
  <w:style w:type="table" w:styleId="81">
    <w:name w:val="Table Grid 8"/>
    <w:basedOn w:val="a2"/>
    <w:rsid w:val="00E04A80"/>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0">
    <w:name w:val="Strong"/>
    <w:uiPriority w:val="22"/>
    <w:qFormat/>
    <w:rsid w:val="00180F4D"/>
    <w:rPr>
      <w:b/>
      <w:bCs/>
    </w:rPr>
  </w:style>
  <w:style w:type="character" w:customStyle="1" w:styleId="followcategorypopup">
    <w:name w:val="followcategorypopup"/>
    <w:basedOn w:val="a1"/>
    <w:rsid w:val="008379BE"/>
  </w:style>
  <w:style w:type="paragraph" w:customStyle="1" w:styleId="Quote1">
    <w:name w:val="Quote1"/>
    <w:basedOn w:val="a0"/>
    <w:rsid w:val="00830CB6"/>
    <w:pPr>
      <w:ind w:left="720" w:right="1446"/>
    </w:pPr>
    <w:rPr>
      <w:rFonts w:eastAsia="Times New Roman"/>
      <w:szCs w:val="20"/>
      <w:lang w:val="en-GB" w:eastAsia="en-US"/>
    </w:rPr>
  </w:style>
  <w:style w:type="character" w:customStyle="1" w:styleId="italic">
    <w:name w:val="italic"/>
    <w:basedOn w:val="a1"/>
    <w:rsid w:val="00441F42"/>
  </w:style>
  <w:style w:type="paragraph" w:customStyle="1" w:styleId="Normal1">
    <w:name w:val="Normal1"/>
    <w:basedOn w:val="a0"/>
    <w:rsid w:val="00FC2B0D"/>
    <w:pPr>
      <w:ind w:firstLine="490"/>
    </w:pPr>
    <w:rPr>
      <w:rFonts w:eastAsia="Times New Roman"/>
      <w:lang w:val="en-US" w:eastAsia="en-US"/>
    </w:rPr>
  </w:style>
  <w:style w:type="paragraph" w:customStyle="1" w:styleId="noindent">
    <w:name w:val="noindent"/>
    <w:basedOn w:val="a0"/>
    <w:rsid w:val="00FC2B0D"/>
    <w:rPr>
      <w:rFonts w:eastAsia="Times New Roman"/>
      <w:lang w:val="en-US" w:eastAsia="en-US"/>
    </w:rPr>
  </w:style>
  <w:style w:type="character" w:customStyle="1" w:styleId="run-head1">
    <w:name w:val="run-head1"/>
    <w:rsid w:val="00FC2B0D"/>
    <w:rPr>
      <w:color w:val="808080"/>
    </w:rPr>
  </w:style>
  <w:style w:type="paragraph" w:customStyle="1" w:styleId="Default">
    <w:name w:val="Default"/>
    <w:rsid w:val="00920596"/>
    <w:pPr>
      <w:autoSpaceDE w:val="0"/>
      <w:autoSpaceDN w:val="0"/>
      <w:adjustRightInd w:val="0"/>
    </w:pPr>
    <w:rPr>
      <w:rFonts w:ascii="DINPro-Regular" w:hAnsi="DINPro-Regular" w:cs="DINPro-Regular"/>
      <w:color w:val="000000"/>
      <w:sz w:val="24"/>
      <w:szCs w:val="24"/>
      <w:lang w:val="en-US" w:eastAsia="en-US"/>
    </w:rPr>
  </w:style>
  <w:style w:type="character" w:customStyle="1" w:styleId="A10">
    <w:name w:val="A1"/>
    <w:uiPriority w:val="99"/>
    <w:rsid w:val="000415DE"/>
    <w:rPr>
      <w:rFonts w:cs="Baskervlle2 BT"/>
      <w:color w:val="000000"/>
      <w:sz w:val="20"/>
      <w:szCs w:val="20"/>
    </w:rPr>
  </w:style>
  <w:style w:type="paragraph" w:customStyle="1" w:styleId="bibliomixed">
    <w:name w:val="bibliomixed"/>
    <w:basedOn w:val="a0"/>
    <w:rsid w:val="00AA07CB"/>
    <w:pPr>
      <w:spacing w:before="100" w:beforeAutospacing="1" w:after="100" w:afterAutospacing="1"/>
      <w:ind w:hanging="240"/>
    </w:pPr>
    <w:rPr>
      <w:rFonts w:eastAsia="Times New Roman"/>
      <w:sz w:val="22"/>
      <w:szCs w:val="22"/>
      <w:lang w:val="en-US" w:eastAsia="en-US"/>
    </w:rPr>
  </w:style>
  <w:style w:type="character" w:customStyle="1" w:styleId="Char5">
    <w:name w:val="Λεζάντα Char"/>
    <w:aliases w:val="Caption - Table Char,Caption Char1 Char, Char3 Char Char, Char3 Char1,Char3 Char Char,Char3 Char1"/>
    <w:link w:val="ad"/>
    <w:rsid w:val="00272F13"/>
    <w:rPr>
      <w:rFonts w:ascii="Calibri" w:eastAsia="Calibri" w:hAnsi="Calibri"/>
      <w:b/>
      <w:bCs/>
      <w:lang w:val="en-US" w:eastAsia="en-US" w:bidi="ar-SA"/>
    </w:rPr>
  </w:style>
  <w:style w:type="character" w:customStyle="1" w:styleId="Char6">
    <w:name w:val="Κείμενο υποσημείωσης Char"/>
    <w:aliases w:val="Footnote Text Char Char,Footnote Text Char1 Char,Tekst przypisu Char,ft Char"/>
    <w:link w:val="ae"/>
    <w:semiHidden/>
    <w:locked/>
    <w:rsid w:val="00833180"/>
    <w:rPr>
      <w:rFonts w:ascii="Calibri" w:eastAsia="Calibri" w:hAnsi="Calibri"/>
      <w:lang w:val="en-US" w:eastAsia="en-US" w:bidi="ar-SA"/>
    </w:rPr>
  </w:style>
  <w:style w:type="character" w:customStyle="1" w:styleId="JustifiedChar">
    <w:name w:val="Justified Char"/>
    <w:link w:val="Justified"/>
    <w:rsid w:val="00E336BC"/>
    <w:rPr>
      <w:sz w:val="24"/>
      <w:lang w:val="en-GB" w:eastAsia="en-US" w:bidi="ar-SA"/>
    </w:rPr>
  </w:style>
  <w:style w:type="paragraph" w:customStyle="1" w:styleId="Justified">
    <w:name w:val="Justified"/>
    <w:basedOn w:val="a0"/>
    <w:link w:val="JustifiedChar"/>
    <w:rsid w:val="00E336BC"/>
    <w:pPr>
      <w:jc w:val="both"/>
    </w:pPr>
    <w:rPr>
      <w:rFonts w:ascii="Calibri" w:eastAsia="Calibri" w:hAnsi="Calibri"/>
      <w:szCs w:val="20"/>
      <w:lang w:val="en-GB" w:eastAsia="en-US"/>
    </w:rPr>
  </w:style>
  <w:style w:type="paragraph" w:customStyle="1" w:styleId="bulletpoints">
    <w:name w:val="bullet points"/>
    <w:basedOn w:val="a0"/>
    <w:link w:val="bulletpointsChar"/>
    <w:rsid w:val="00EF2247"/>
    <w:pPr>
      <w:jc w:val="both"/>
    </w:pPr>
    <w:rPr>
      <w:rFonts w:ascii="Calibri" w:eastAsia="Calibri" w:hAnsi="Calibri"/>
      <w:szCs w:val="20"/>
      <w:lang w:val="en-GB" w:eastAsia="en-US"/>
    </w:rPr>
  </w:style>
  <w:style w:type="character" w:customStyle="1" w:styleId="bulletpointsChar">
    <w:name w:val="bullet points Char"/>
    <w:link w:val="bulletpoints"/>
    <w:rsid w:val="00EF2247"/>
    <w:rPr>
      <w:sz w:val="24"/>
      <w:lang w:val="en-GB" w:eastAsia="en-US" w:bidi="ar-SA"/>
    </w:rPr>
  </w:style>
  <w:style w:type="character" w:customStyle="1" w:styleId="mw-cite-backlink">
    <w:name w:val="mw-cite-backlink"/>
    <w:basedOn w:val="a1"/>
    <w:rsid w:val="00AD2737"/>
  </w:style>
  <w:style w:type="character" w:customStyle="1" w:styleId="reference-text">
    <w:name w:val="reference-text"/>
    <w:basedOn w:val="a1"/>
    <w:rsid w:val="00AD2737"/>
  </w:style>
  <w:style w:type="paragraph" w:styleId="af1">
    <w:name w:val="List"/>
    <w:basedOn w:val="a0"/>
    <w:rsid w:val="005E53D2"/>
    <w:pPr>
      <w:ind w:left="283" w:hanging="283"/>
    </w:pPr>
  </w:style>
  <w:style w:type="paragraph" w:styleId="22">
    <w:name w:val="List 2"/>
    <w:basedOn w:val="a0"/>
    <w:rsid w:val="005E53D2"/>
    <w:pPr>
      <w:ind w:left="566" w:hanging="283"/>
    </w:pPr>
  </w:style>
  <w:style w:type="paragraph" w:styleId="a">
    <w:name w:val="List Bullet"/>
    <w:basedOn w:val="a0"/>
    <w:rsid w:val="005E53D2"/>
    <w:pPr>
      <w:numPr>
        <w:numId w:val="5"/>
      </w:numPr>
    </w:pPr>
  </w:style>
  <w:style w:type="paragraph" w:styleId="2">
    <w:name w:val="List Bullet 2"/>
    <w:basedOn w:val="a0"/>
    <w:rsid w:val="005E53D2"/>
    <w:pPr>
      <w:numPr>
        <w:numId w:val="6"/>
      </w:numPr>
    </w:pPr>
  </w:style>
  <w:style w:type="paragraph" w:customStyle="1" w:styleId="InsideAddress">
    <w:name w:val="Inside Address"/>
    <w:basedOn w:val="a0"/>
    <w:rsid w:val="005E53D2"/>
  </w:style>
  <w:style w:type="paragraph" w:styleId="af2">
    <w:name w:val="Title"/>
    <w:basedOn w:val="a0"/>
    <w:qFormat/>
    <w:rsid w:val="005E53D2"/>
    <w:pPr>
      <w:spacing w:before="240" w:after="60"/>
      <w:jc w:val="center"/>
      <w:outlineLvl w:val="0"/>
    </w:pPr>
    <w:rPr>
      <w:rFonts w:ascii="Arial" w:hAnsi="Arial" w:cs="Arial"/>
      <w:b/>
      <w:bCs/>
      <w:kern w:val="28"/>
      <w:sz w:val="32"/>
      <w:szCs w:val="32"/>
    </w:rPr>
  </w:style>
  <w:style w:type="paragraph" w:customStyle="1" w:styleId="ReferenceLine">
    <w:name w:val="Reference Line"/>
    <w:basedOn w:val="a8"/>
    <w:rsid w:val="005E53D2"/>
  </w:style>
  <w:style w:type="paragraph" w:styleId="23">
    <w:name w:val="Body Text First Indent 2"/>
    <w:basedOn w:val="a4"/>
    <w:rsid w:val="005E53D2"/>
    <w:pPr>
      <w:spacing w:after="120"/>
      <w:ind w:left="283" w:firstLine="210"/>
    </w:pPr>
    <w:rPr>
      <w:i w:val="0"/>
      <w:iCs w:val="0"/>
    </w:rPr>
  </w:style>
  <w:style w:type="paragraph" w:customStyle="1" w:styleId="NoSpellingName">
    <w:name w:val="NoSpellingName"/>
    <w:basedOn w:val="a0"/>
    <w:rsid w:val="003B1D9B"/>
    <w:pPr>
      <w:spacing w:line="280" w:lineRule="atLeast"/>
    </w:pPr>
    <w:rPr>
      <w:rFonts w:eastAsia="Times New Roman"/>
      <w:noProof/>
      <w:lang w:val="en-GB" w:eastAsia="en-US"/>
    </w:rPr>
  </w:style>
  <w:style w:type="paragraph" w:customStyle="1" w:styleId="Bulletindent1">
    <w:name w:val="Bullet indent 1"/>
    <w:basedOn w:val="a0"/>
    <w:rsid w:val="00040947"/>
    <w:pPr>
      <w:numPr>
        <w:numId w:val="11"/>
      </w:numPr>
      <w:outlineLvl w:val="0"/>
    </w:pPr>
    <w:rPr>
      <w:rFonts w:eastAsia="Times New Roman"/>
      <w:sz w:val="22"/>
      <w:lang w:val="en-GB" w:eastAsia="en-US"/>
    </w:rPr>
  </w:style>
  <w:style w:type="character" w:styleId="-0">
    <w:name w:val="FollowedHyperlink"/>
    <w:rsid w:val="008C0358"/>
    <w:rPr>
      <w:color w:val="800080"/>
      <w:u w:val="single"/>
    </w:rPr>
  </w:style>
  <w:style w:type="paragraph" w:customStyle="1" w:styleId="authormarginfixauthor">
    <w:name w:val="author margin_fix_author"/>
    <w:basedOn w:val="a0"/>
    <w:rsid w:val="00B71915"/>
    <w:pPr>
      <w:spacing w:before="100" w:beforeAutospacing="1" w:after="100" w:afterAutospacing="1"/>
    </w:pPr>
    <w:rPr>
      <w:rFonts w:eastAsia="SimSun"/>
      <w:lang w:val="en-US" w:eastAsia="zh-CN"/>
    </w:rPr>
  </w:style>
  <w:style w:type="paragraph" w:customStyle="1" w:styleId="source">
    <w:name w:val="source"/>
    <w:basedOn w:val="a0"/>
    <w:rsid w:val="00B71915"/>
    <w:pPr>
      <w:spacing w:before="100" w:beforeAutospacing="1" w:after="100" w:afterAutospacing="1"/>
    </w:pPr>
    <w:rPr>
      <w:rFonts w:eastAsia="SimSun"/>
      <w:lang w:val="en-US" w:eastAsia="zh-CN"/>
    </w:rPr>
  </w:style>
  <w:style w:type="character" w:customStyle="1" w:styleId="mandelbrotrefrag">
    <w:name w:val="mandelbrot_refrag"/>
    <w:rsid w:val="00523479"/>
  </w:style>
  <w:style w:type="paragraph" w:customStyle="1" w:styleId="inserted">
    <w:name w:val="inserted"/>
    <w:basedOn w:val="a0"/>
    <w:rsid w:val="008510D5"/>
    <w:pPr>
      <w:spacing w:before="100" w:beforeAutospacing="1" w:after="100" w:afterAutospacing="1"/>
    </w:pPr>
    <w:rPr>
      <w:rFonts w:eastAsia="Times New Roman"/>
      <w:lang w:val="nl-NL" w:eastAsia="nl-NL"/>
    </w:rPr>
  </w:style>
  <w:style w:type="character" w:customStyle="1" w:styleId="apple-converted-space">
    <w:name w:val="apple-converted-space"/>
    <w:basedOn w:val="a1"/>
    <w:rsid w:val="00D5259D"/>
  </w:style>
  <w:style w:type="paragraph" w:customStyle="1" w:styleId="CoverTitle">
    <w:name w:val="CoverTitle"/>
    <w:basedOn w:val="Default"/>
    <w:next w:val="Default"/>
    <w:rsid w:val="006B01B6"/>
    <w:rPr>
      <w:rFonts w:ascii="Arial" w:eastAsia="Times New Roman" w:hAnsi="Arial" w:cs="Times New Roman"/>
      <w:color w:val="auto"/>
      <w:lang w:val="nl-NL" w:eastAsia="nl-NL"/>
    </w:rPr>
  </w:style>
  <w:style w:type="character" w:customStyle="1" w:styleId="citetitle">
    <w:name w:val="citetitle"/>
    <w:basedOn w:val="a1"/>
    <w:rsid w:val="00D27793"/>
  </w:style>
  <w:style w:type="character" w:styleId="af3">
    <w:name w:val="annotation reference"/>
    <w:uiPriority w:val="99"/>
    <w:semiHidden/>
    <w:unhideWhenUsed/>
    <w:rsid w:val="00A92657"/>
    <w:rPr>
      <w:sz w:val="16"/>
      <w:szCs w:val="16"/>
    </w:rPr>
  </w:style>
  <w:style w:type="paragraph" w:styleId="af4">
    <w:name w:val="annotation text"/>
    <w:basedOn w:val="a0"/>
    <w:link w:val="Char7"/>
    <w:uiPriority w:val="99"/>
    <w:semiHidden/>
    <w:unhideWhenUsed/>
    <w:rsid w:val="00A92657"/>
    <w:rPr>
      <w:sz w:val="20"/>
      <w:szCs w:val="20"/>
    </w:rPr>
  </w:style>
  <w:style w:type="character" w:customStyle="1" w:styleId="Char7">
    <w:name w:val="Κείμενο σχολίου Char"/>
    <w:link w:val="af4"/>
    <w:uiPriority w:val="99"/>
    <w:semiHidden/>
    <w:rsid w:val="00A92657"/>
    <w:rPr>
      <w:rFonts w:ascii="Times New Roman" w:eastAsia="MS Mincho" w:hAnsi="Times New Roman"/>
      <w:lang w:val="en-AU" w:eastAsia="ja-JP"/>
    </w:rPr>
  </w:style>
  <w:style w:type="paragraph" w:styleId="af5">
    <w:name w:val="annotation subject"/>
    <w:basedOn w:val="af4"/>
    <w:next w:val="af4"/>
    <w:link w:val="Char8"/>
    <w:uiPriority w:val="99"/>
    <w:semiHidden/>
    <w:unhideWhenUsed/>
    <w:rsid w:val="00A92657"/>
    <w:rPr>
      <w:b/>
      <w:bCs/>
    </w:rPr>
  </w:style>
  <w:style w:type="character" w:customStyle="1" w:styleId="Char8">
    <w:name w:val="Θέμα σχολίου Char"/>
    <w:link w:val="af5"/>
    <w:uiPriority w:val="99"/>
    <w:semiHidden/>
    <w:rsid w:val="00A92657"/>
    <w:rPr>
      <w:rFonts w:ascii="Times New Roman" w:eastAsia="MS Mincho" w:hAnsi="Times New Roman"/>
      <w:b/>
      <w:bCs/>
      <w:lang w:val="en-AU" w:eastAsia="ja-JP"/>
    </w:rPr>
  </w:style>
  <w:style w:type="character" w:customStyle="1" w:styleId="citation">
    <w:name w:val="citation"/>
    <w:rsid w:val="00EF3271"/>
  </w:style>
</w:styles>
</file>

<file path=word/webSettings.xml><?xml version="1.0" encoding="utf-8"?>
<w:webSettings xmlns:r="http://schemas.openxmlformats.org/officeDocument/2006/relationships" xmlns:w="http://schemas.openxmlformats.org/wordprocessingml/2006/main">
  <w:divs>
    <w:div w:id="119417927">
      <w:bodyDiv w:val="1"/>
      <w:marLeft w:val="0"/>
      <w:marRight w:val="0"/>
      <w:marTop w:val="0"/>
      <w:marBottom w:val="0"/>
      <w:divBdr>
        <w:top w:val="none" w:sz="0" w:space="0" w:color="auto"/>
        <w:left w:val="none" w:sz="0" w:space="0" w:color="auto"/>
        <w:bottom w:val="none" w:sz="0" w:space="0" w:color="auto"/>
        <w:right w:val="none" w:sz="0" w:space="0" w:color="auto"/>
      </w:divBdr>
      <w:divsChild>
        <w:div w:id="969481839">
          <w:marLeft w:val="0"/>
          <w:marRight w:val="0"/>
          <w:marTop w:val="0"/>
          <w:marBottom w:val="0"/>
          <w:divBdr>
            <w:top w:val="none" w:sz="0" w:space="0" w:color="auto"/>
            <w:left w:val="none" w:sz="0" w:space="0" w:color="auto"/>
            <w:bottom w:val="none" w:sz="0" w:space="0" w:color="auto"/>
            <w:right w:val="none" w:sz="0" w:space="0" w:color="auto"/>
          </w:divBdr>
          <w:divsChild>
            <w:div w:id="213003068">
              <w:marLeft w:val="0"/>
              <w:marRight w:val="0"/>
              <w:marTop w:val="0"/>
              <w:marBottom w:val="0"/>
              <w:divBdr>
                <w:top w:val="none" w:sz="0" w:space="0" w:color="auto"/>
                <w:left w:val="none" w:sz="0" w:space="0" w:color="auto"/>
                <w:bottom w:val="none" w:sz="0" w:space="0" w:color="auto"/>
                <w:right w:val="none" w:sz="0" w:space="0" w:color="auto"/>
              </w:divBdr>
              <w:divsChild>
                <w:div w:id="670331208">
                  <w:marLeft w:val="0"/>
                  <w:marRight w:val="0"/>
                  <w:marTop w:val="0"/>
                  <w:marBottom w:val="0"/>
                  <w:divBdr>
                    <w:top w:val="none" w:sz="0" w:space="0" w:color="auto"/>
                    <w:left w:val="none" w:sz="0" w:space="0" w:color="auto"/>
                    <w:bottom w:val="none" w:sz="0" w:space="0" w:color="auto"/>
                    <w:right w:val="none" w:sz="0" w:space="0" w:color="auto"/>
                  </w:divBdr>
                  <w:divsChild>
                    <w:div w:id="1837912027">
                      <w:marLeft w:val="0"/>
                      <w:marRight w:val="0"/>
                      <w:marTop w:val="0"/>
                      <w:marBottom w:val="0"/>
                      <w:divBdr>
                        <w:top w:val="none" w:sz="0" w:space="0" w:color="auto"/>
                        <w:left w:val="none" w:sz="0" w:space="0" w:color="auto"/>
                        <w:bottom w:val="none" w:sz="0" w:space="0" w:color="auto"/>
                        <w:right w:val="none" w:sz="0" w:space="0" w:color="auto"/>
                      </w:divBdr>
                      <w:divsChild>
                        <w:div w:id="2135714703">
                          <w:marLeft w:val="0"/>
                          <w:marRight w:val="0"/>
                          <w:marTop w:val="0"/>
                          <w:marBottom w:val="300"/>
                          <w:divBdr>
                            <w:top w:val="none" w:sz="0" w:space="0" w:color="auto"/>
                            <w:left w:val="none" w:sz="0" w:space="0" w:color="auto"/>
                            <w:bottom w:val="none" w:sz="0" w:space="0" w:color="auto"/>
                            <w:right w:val="none" w:sz="0" w:space="0" w:color="auto"/>
                          </w:divBdr>
                          <w:divsChild>
                            <w:div w:id="9101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302">
      <w:bodyDiv w:val="1"/>
      <w:marLeft w:val="0"/>
      <w:marRight w:val="0"/>
      <w:marTop w:val="0"/>
      <w:marBottom w:val="0"/>
      <w:divBdr>
        <w:top w:val="none" w:sz="0" w:space="0" w:color="auto"/>
        <w:left w:val="none" w:sz="0" w:space="0" w:color="auto"/>
        <w:bottom w:val="none" w:sz="0" w:space="0" w:color="auto"/>
        <w:right w:val="none" w:sz="0" w:space="0" w:color="auto"/>
      </w:divBdr>
      <w:divsChild>
        <w:div w:id="314381654">
          <w:marLeft w:val="0"/>
          <w:marRight w:val="0"/>
          <w:marTop w:val="0"/>
          <w:marBottom w:val="0"/>
          <w:divBdr>
            <w:top w:val="none" w:sz="0" w:space="0" w:color="auto"/>
            <w:left w:val="none" w:sz="0" w:space="0" w:color="auto"/>
            <w:bottom w:val="none" w:sz="0" w:space="0" w:color="auto"/>
            <w:right w:val="none" w:sz="0" w:space="0" w:color="auto"/>
          </w:divBdr>
          <w:divsChild>
            <w:div w:id="286548662">
              <w:marLeft w:val="0"/>
              <w:marRight w:val="0"/>
              <w:marTop w:val="0"/>
              <w:marBottom w:val="0"/>
              <w:divBdr>
                <w:top w:val="none" w:sz="0" w:space="0" w:color="auto"/>
                <w:left w:val="none" w:sz="0" w:space="0" w:color="auto"/>
                <w:bottom w:val="none" w:sz="0" w:space="0" w:color="auto"/>
                <w:right w:val="none" w:sz="0" w:space="0" w:color="auto"/>
              </w:divBdr>
              <w:divsChild>
                <w:div w:id="10626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37">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928538019">
              <w:marLeft w:val="0"/>
              <w:marRight w:val="0"/>
              <w:marTop w:val="0"/>
              <w:marBottom w:val="0"/>
              <w:divBdr>
                <w:top w:val="none" w:sz="0" w:space="0" w:color="auto"/>
                <w:left w:val="none" w:sz="0" w:space="0" w:color="auto"/>
                <w:bottom w:val="none" w:sz="0" w:space="0" w:color="auto"/>
                <w:right w:val="none" w:sz="0" w:space="0" w:color="auto"/>
              </w:divBdr>
              <w:divsChild>
                <w:div w:id="916671333">
                  <w:marLeft w:val="0"/>
                  <w:marRight w:val="0"/>
                  <w:marTop w:val="0"/>
                  <w:marBottom w:val="0"/>
                  <w:divBdr>
                    <w:top w:val="none" w:sz="0" w:space="0" w:color="auto"/>
                    <w:left w:val="none" w:sz="0" w:space="0" w:color="auto"/>
                    <w:bottom w:val="none" w:sz="0" w:space="0" w:color="auto"/>
                    <w:right w:val="none" w:sz="0" w:space="0" w:color="auto"/>
                  </w:divBdr>
                  <w:divsChild>
                    <w:div w:id="1406414072">
                      <w:marLeft w:val="0"/>
                      <w:marRight w:val="0"/>
                      <w:marTop w:val="0"/>
                      <w:marBottom w:val="0"/>
                      <w:divBdr>
                        <w:top w:val="none" w:sz="0" w:space="0" w:color="auto"/>
                        <w:left w:val="none" w:sz="0" w:space="0" w:color="auto"/>
                        <w:bottom w:val="none" w:sz="0" w:space="0" w:color="auto"/>
                        <w:right w:val="none" w:sz="0" w:space="0" w:color="auto"/>
                      </w:divBdr>
                      <w:divsChild>
                        <w:div w:id="617874177">
                          <w:marLeft w:val="0"/>
                          <w:marRight w:val="0"/>
                          <w:marTop w:val="0"/>
                          <w:marBottom w:val="300"/>
                          <w:divBdr>
                            <w:top w:val="none" w:sz="0" w:space="0" w:color="auto"/>
                            <w:left w:val="none" w:sz="0" w:space="0" w:color="auto"/>
                            <w:bottom w:val="none" w:sz="0" w:space="0" w:color="auto"/>
                            <w:right w:val="none" w:sz="0" w:space="0" w:color="auto"/>
                          </w:divBdr>
                          <w:divsChild>
                            <w:div w:id="3109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7482">
      <w:bodyDiv w:val="1"/>
      <w:marLeft w:val="0"/>
      <w:marRight w:val="0"/>
      <w:marTop w:val="0"/>
      <w:marBottom w:val="0"/>
      <w:divBdr>
        <w:top w:val="none" w:sz="0" w:space="0" w:color="auto"/>
        <w:left w:val="none" w:sz="0" w:space="0" w:color="auto"/>
        <w:bottom w:val="none" w:sz="0" w:space="0" w:color="auto"/>
        <w:right w:val="none" w:sz="0" w:space="0" w:color="auto"/>
      </w:divBdr>
      <w:divsChild>
        <w:div w:id="1040744110">
          <w:marLeft w:val="0"/>
          <w:marRight w:val="0"/>
          <w:marTop w:val="0"/>
          <w:marBottom w:val="0"/>
          <w:divBdr>
            <w:top w:val="none" w:sz="0" w:space="0" w:color="auto"/>
            <w:left w:val="none" w:sz="0" w:space="0" w:color="auto"/>
            <w:bottom w:val="none" w:sz="0" w:space="0" w:color="auto"/>
            <w:right w:val="none" w:sz="0" w:space="0" w:color="auto"/>
          </w:divBdr>
          <w:divsChild>
            <w:div w:id="1369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2447">
      <w:bodyDiv w:val="1"/>
      <w:marLeft w:val="0"/>
      <w:marRight w:val="0"/>
      <w:marTop w:val="0"/>
      <w:marBottom w:val="0"/>
      <w:divBdr>
        <w:top w:val="none" w:sz="0" w:space="0" w:color="auto"/>
        <w:left w:val="none" w:sz="0" w:space="0" w:color="auto"/>
        <w:bottom w:val="none" w:sz="0" w:space="0" w:color="auto"/>
        <w:right w:val="none" w:sz="0" w:space="0" w:color="auto"/>
      </w:divBdr>
      <w:divsChild>
        <w:div w:id="2136361125">
          <w:marLeft w:val="0"/>
          <w:marRight w:val="0"/>
          <w:marTop w:val="0"/>
          <w:marBottom w:val="0"/>
          <w:divBdr>
            <w:top w:val="none" w:sz="0" w:space="0" w:color="auto"/>
            <w:left w:val="none" w:sz="0" w:space="0" w:color="auto"/>
            <w:bottom w:val="none" w:sz="0" w:space="0" w:color="auto"/>
            <w:right w:val="none" w:sz="0" w:space="0" w:color="auto"/>
          </w:divBdr>
          <w:divsChild>
            <w:div w:id="704672736">
              <w:marLeft w:val="0"/>
              <w:marRight w:val="0"/>
              <w:marTop w:val="0"/>
              <w:marBottom w:val="0"/>
              <w:divBdr>
                <w:top w:val="none" w:sz="0" w:space="0" w:color="auto"/>
                <w:left w:val="none" w:sz="0" w:space="0" w:color="auto"/>
                <w:bottom w:val="none" w:sz="0" w:space="0" w:color="auto"/>
                <w:right w:val="none" w:sz="0" w:space="0" w:color="auto"/>
              </w:divBdr>
              <w:divsChild>
                <w:div w:id="159010425">
                  <w:marLeft w:val="0"/>
                  <w:marRight w:val="0"/>
                  <w:marTop w:val="0"/>
                  <w:marBottom w:val="251"/>
                  <w:divBdr>
                    <w:top w:val="none" w:sz="0" w:space="0" w:color="auto"/>
                    <w:left w:val="none" w:sz="0" w:space="0" w:color="auto"/>
                    <w:bottom w:val="none" w:sz="0" w:space="0" w:color="auto"/>
                    <w:right w:val="none" w:sz="0" w:space="0" w:color="auto"/>
                  </w:divBdr>
                  <w:divsChild>
                    <w:div w:id="18428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0450">
              <w:marLeft w:val="0"/>
              <w:marRight w:val="0"/>
              <w:marTop w:val="0"/>
              <w:marBottom w:val="0"/>
              <w:divBdr>
                <w:top w:val="none" w:sz="0" w:space="0" w:color="auto"/>
                <w:left w:val="none" w:sz="0" w:space="0" w:color="auto"/>
                <w:bottom w:val="none" w:sz="0" w:space="0" w:color="auto"/>
                <w:right w:val="none" w:sz="0" w:space="0" w:color="auto"/>
              </w:divBdr>
              <w:divsChild>
                <w:div w:id="1724595873">
                  <w:marLeft w:val="0"/>
                  <w:marRight w:val="0"/>
                  <w:marTop w:val="0"/>
                  <w:marBottom w:val="0"/>
                  <w:divBdr>
                    <w:top w:val="none" w:sz="0" w:space="0" w:color="auto"/>
                    <w:left w:val="none" w:sz="0" w:space="0" w:color="auto"/>
                    <w:bottom w:val="none" w:sz="0" w:space="0" w:color="auto"/>
                    <w:right w:val="none" w:sz="0" w:space="0" w:color="auto"/>
                  </w:divBdr>
                  <w:divsChild>
                    <w:div w:id="353767674">
                      <w:marLeft w:val="167"/>
                      <w:marRight w:val="151"/>
                      <w:marTop w:val="167"/>
                      <w:marBottom w:val="0"/>
                      <w:divBdr>
                        <w:top w:val="none" w:sz="0" w:space="0" w:color="auto"/>
                        <w:left w:val="none" w:sz="0" w:space="0" w:color="auto"/>
                        <w:bottom w:val="none" w:sz="0" w:space="0" w:color="auto"/>
                        <w:right w:val="none" w:sz="0" w:space="0" w:color="auto"/>
                      </w:divBdr>
                    </w:div>
                    <w:div w:id="1798528159">
                      <w:marLeft w:val="0"/>
                      <w:marRight w:val="0"/>
                      <w:marTop w:val="0"/>
                      <w:marBottom w:val="0"/>
                      <w:divBdr>
                        <w:top w:val="none" w:sz="0" w:space="0" w:color="auto"/>
                        <w:left w:val="none" w:sz="0" w:space="0" w:color="auto"/>
                        <w:bottom w:val="none" w:sz="0" w:space="0" w:color="auto"/>
                        <w:right w:val="none" w:sz="0" w:space="0" w:color="auto"/>
                      </w:divBdr>
                      <w:divsChild>
                        <w:div w:id="270473557">
                          <w:marLeft w:val="0"/>
                          <w:marRight w:val="0"/>
                          <w:marTop w:val="0"/>
                          <w:marBottom w:val="0"/>
                          <w:divBdr>
                            <w:top w:val="none" w:sz="0" w:space="0" w:color="auto"/>
                            <w:left w:val="none" w:sz="0" w:space="0" w:color="auto"/>
                            <w:bottom w:val="none" w:sz="0" w:space="0" w:color="auto"/>
                            <w:right w:val="none" w:sz="0" w:space="0" w:color="auto"/>
                          </w:divBdr>
                          <w:divsChild>
                            <w:div w:id="13585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8180">
      <w:bodyDiv w:val="1"/>
      <w:marLeft w:val="0"/>
      <w:marRight w:val="0"/>
      <w:marTop w:val="0"/>
      <w:marBottom w:val="0"/>
      <w:divBdr>
        <w:top w:val="none" w:sz="0" w:space="0" w:color="auto"/>
        <w:left w:val="none" w:sz="0" w:space="0" w:color="auto"/>
        <w:bottom w:val="none" w:sz="0" w:space="0" w:color="auto"/>
        <w:right w:val="none" w:sz="0" w:space="0" w:color="auto"/>
      </w:divBdr>
      <w:divsChild>
        <w:div w:id="75245925">
          <w:marLeft w:val="0"/>
          <w:marRight w:val="0"/>
          <w:marTop w:val="0"/>
          <w:marBottom w:val="0"/>
          <w:divBdr>
            <w:top w:val="none" w:sz="0" w:space="0" w:color="auto"/>
            <w:left w:val="none" w:sz="0" w:space="0" w:color="auto"/>
            <w:bottom w:val="none" w:sz="0" w:space="0" w:color="auto"/>
            <w:right w:val="none" w:sz="0" w:space="0" w:color="auto"/>
          </w:divBdr>
          <w:divsChild>
            <w:div w:id="241571164">
              <w:marLeft w:val="0"/>
              <w:marRight w:val="0"/>
              <w:marTop w:val="0"/>
              <w:marBottom w:val="0"/>
              <w:divBdr>
                <w:top w:val="none" w:sz="0" w:space="0" w:color="auto"/>
                <w:left w:val="none" w:sz="0" w:space="0" w:color="auto"/>
                <w:bottom w:val="none" w:sz="0" w:space="0" w:color="auto"/>
                <w:right w:val="none" w:sz="0" w:space="0" w:color="auto"/>
              </w:divBdr>
              <w:divsChild>
                <w:div w:id="958102393">
                  <w:marLeft w:val="0"/>
                  <w:marRight w:val="0"/>
                  <w:marTop w:val="0"/>
                  <w:marBottom w:val="0"/>
                  <w:divBdr>
                    <w:top w:val="none" w:sz="0" w:space="0" w:color="auto"/>
                    <w:left w:val="none" w:sz="0" w:space="0" w:color="auto"/>
                    <w:bottom w:val="none" w:sz="0" w:space="0" w:color="auto"/>
                    <w:right w:val="none" w:sz="0" w:space="0" w:color="auto"/>
                  </w:divBdr>
                  <w:divsChild>
                    <w:div w:id="1723216818">
                      <w:marLeft w:val="0"/>
                      <w:marRight w:val="0"/>
                      <w:marTop w:val="0"/>
                      <w:marBottom w:val="0"/>
                      <w:divBdr>
                        <w:top w:val="none" w:sz="0" w:space="0" w:color="auto"/>
                        <w:left w:val="none" w:sz="0" w:space="0" w:color="auto"/>
                        <w:bottom w:val="none" w:sz="0" w:space="0" w:color="auto"/>
                        <w:right w:val="none" w:sz="0" w:space="0" w:color="auto"/>
                      </w:divBdr>
                      <w:divsChild>
                        <w:div w:id="1308703607">
                          <w:marLeft w:val="0"/>
                          <w:marRight w:val="0"/>
                          <w:marTop w:val="0"/>
                          <w:marBottom w:val="300"/>
                          <w:divBdr>
                            <w:top w:val="none" w:sz="0" w:space="0" w:color="auto"/>
                            <w:left w:val="none" w:sz="0" w:space="0" w:color="auto"/>
                            <w:bottom w:val="none" w:sz="0" w:space="0" w:color="auto"/>
                            <w:right w:val="none" w:sz="0" w:space="0" w:color="auto"/>
                          </w:divBdr>
                          <w:divsChild>
                            <w:div w:id="5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9580">
      <w:bodyDiv w:val="1"/>
      <w:marLeft w:val="0"/>
      <w:marRight w:val="0"/>
      <w:marTop w:val="0"/>
      <w:marBottom w:val="0"/>
      <w:divBdr>
        <w:top w:val="none" w:sz="0" w:space="0" w:color="auto"/>
        <w:left w:val="none" w:sz="0" w:space="0" w:color="auto"/>
        <w:bottom w:val="none" w:sz="0" w:space="0" w:color="auto"/>
        <w:right w:val="none" w:sz="0" w:space="0" w:color="auto"/>
      </w:divBdr>
      <w:divsChild>
        <w:div w:id="253124855">
          <w:marLeft w:val="0"/>
          <w:marRight w:val="0"/>
          <w:marTop w:val="0"/>
          <w:marBottom w:val="0"/>
          <w:divBdr>
            <w:top w:val="none" w:sz="0" w:space="0" w:color="auto"/>
            <w:left w:val="none" w:sz="0" w:space="0" w:color="auto"/>
            <w:bottom w:val="none" w:sz="0" w:space="0" w:color="auto"/>
            <w:right w:val="none" w:sz="0" w:space="0" w:color="auto"/>
          </w:divBdr>
          <w:divsChild>
            <w:div w:id="990642336">
              <w:marLeft w:val="0"/>
              <w:marRight w:val="0"/>
              <w:marTop w:val="0"/>
              <w:marBottom w:val="0"/>
              <w:divBdr>
                <w:top w:val="none" w:sz="0" w:space="0" w:color="auto"/>
                <w:left w:val="none" w:sz="0" w:space="0" w:color="auto"/>
                <w:bottom w:val="none" w:sz="0" w:space="0" w:color="auto"/>
                <w:right w:val="none" w:sz="0" w:space="0" w:color="auto"/>
              </w:divBdr>
              <w:divsChild>
                <w:div w:id="1742483611">
                  <w:marLeft w:val="0"/>
                  <w:marRight w:val="0"/>
                  <w:marTop w:val="0"/>
                  <w:marBottom w:val="0"/>
                  <w:divBdr>
                    <w:top w:val="none" w:sz="0" w:space="0" w:color="auto"/>
                    <w:left w:val="none" w:sz="0" w:space="0" w:color="auto"/>
                    <w:bottom w:val="none" w:sz="0" w:space="0" w:color="auto"/>
                    <w:right w:val="none" w:sz="0" w:space="0" w:color="auto"/>
                  </w:divBdr>
                  <w:divsChild>
                    <w:div w:id="59258496">
                      <w:marLeft w:val="0"/>
                      <w:marRight w:val="0"/>
                      <w:marTop w:val="0"/>
                      <w:marBottom w:val="0"/>
                      <w:divBdr>
                        <w:top w:val="none" w:sz="0" w:space="0" w:color="auto"/>
                        <w:left w:val="none" w:sz="0" w:space="0" w:color="auto"/>
                        <w:bottom w:val="none" w:sz="0" w:space="0" w:color="auto"/>
                        <w:right w:val="none" w:sz="0" w:space="0" w:color="auto"/>
                      </w:divBdr>
                      <w:divsChild>
                        <w:div w:id="609969850">
                          <w:marLeft w:val="0"/>
                          <w:marRight w:val="0"/>
                          <w:marTop w:val="0"/>
                          <w:marBottom w:val="300"/>
                          <w:divBdr>
                            <w:top w:val="none" w:sz="0" w:space="0" w:color="auto"/>
                            <w:left w:val="none" w:sz="0" w:space="0" w:color="auto"/>
                            <w:bottom w:val="none" w:sz="0" w:space="0" w:color="auto"/>
                            <w:right w:val="none" w:sz="0" w:space="0" w:color="auto"/>
                          </w:divBdr>
                          <w:divsChild>
                            <w:div w:id="20259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51914">
      <w:bodyDiv w:val="1"/>
      <w:marLeft w:val="0"/>
      <w:marRight w:val="0"/>
      <w:marTop w:val="0"/>
      <w:marBottom w:val="0"/>
      <w:divBdr>
        <w:top w:val="none" w:sz="0" w:space="0" w:color="auto"/>
        <w:left w:val="none" w:sz="0" w:space="0" w:color="auto"/>
        <w:bottom w:val="none" w:sz="0" w:space="0" w:color="auto"/>
        <w:right w:val="none" w:sz="0" w:space="0" w:color="auto"/>
      </w:divBdr>
      <w:divsChild>
        <w:div w:id="719748205">
          <w:marLeft w:val="0"/>
          <w:marRight w:val="0"/>
          <w:marTop w:val="0"/>
          <w:marBottom w:val="0"/>
          <w:divBdr>
            <w:top w:val="none" w:sz="0" w:space="0" w:color="auto"/>
            <w:left w:val="none" w:sz="0" w:space="0" w:color="auto"/>
            <w:bottom w:val="none" w:sz="0" w:space="0" w:color="auto"/>
            <w:right w:val="none" w:sz="0" w:space="0" w:color="auto"/>
          </w:divBdr>
          <w:divsChild>
            <w:div w:id="1524978648">
              <w:marLeft w:val="0"/>
              <w:marRight w:val="0"/>
              <w:marTop w:val="0"/>
              <w:marBottom w:val="0"/>
              <w:divBdr>
                <w:top w:val="none" w:sz="0" w:space="0" w:color="auto"/>
                <w:left w:val="none" w:sz="0" w:space="0" w:color="auto"/>
                <w:bottom w:val="none" w:sz="0" w:space="0" w:color="auto"/>
                <w:right w:val="none" w:sz="0" w:space="0" w:color="auto"/>
              </w:divBdr>
              <w:divsChild>
                <w:div w:id="13435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38165">
      <w:bodyDiv w:val="1"/>
      <w:marLeft w:val="0"/>
      <w:marRight w:val="0"/>
      <w:marTop w:val="0"/>
      <w:marBottom w:val="0"/>
      <w:divBdr>
        <w:top w:val="none" w:sz="0" w:space="0" w:color="auto"/>
        <w:left w:val="none" w:sz="0" w:space="0" w:color="auto"/>
        <w:bottom w:val="none" w:sz="0" w:space="0" w:color="auto"/>
        <w:right w:val="none" w:sz="0" w:space="0" w:color="auto"/>
      </w:divBdr>
      <w:divsChild>
        <w:div w:id="1604611053">
          <w:marLeft w:val="0"/>
          <w:marRight w:val="0"/>
          <w:marTop w:val="100"/>
          <w:marBottom w:val="100"/>
          <w:divBdr>
            <w:top w:val="none" w:sz="0" w:space="0" w:color="auto"/>
            <w:left w:val="none" w:sz="0" w:space="0" w:color="auto"/>
            <w:bottom w:val="none" w:sz="0" w:space="0" w:color="auto"/>
            <w:right w:val="none" w:sz="0" w:space="0" w:color="auto"/>
          </w:divBdr>
          <w:divsChild>
            <w:div w:id="1738935099">
              <w:marLeft w:val="0"/>
              <w:marRight w:val="0"/>
              <w:marTop w:val="0"/>
              <w:marBottom w:val="0"/>
              <w:divBdr>
                <w:top w:val="none" w:sz="0" w:space="0" w:color="auto"/>
                <w:left w:val="none" w:sz="0" w:space="0" w:color="auto"/>
                <w:bottom w:val="none" w:sz="0" w:space="0" w:color="auto"/>
                <w:right w:val="none" w:sz="0" w:space="0" w:color="auto"/>
              </w:divBdr>
              <w:divsChild>
                <w:div w:id="745958467">
                  <w:marLeft w:val="0"/>
                  <w:marRight w:val="0"/>
                  <w:marTop w:val="0"/>
                  <w:marBottom w:val="0"/>
                  <w:divBdr>
                    <w:top w:val="none" w:sz="0" w:space="0" w:color="auto"/>
                    <w:left w:val="none" w:sz="0" w:space="0" w:color="auto"/>
                    <w:bottom w:val="none" w:sz="0" w:space="0" w:color="auto"/>
                    <w:right w:val="none" w:sz="0" w:space="0" w:color="auto"/>
                  </w:divBdr>
                  <w:divsChild>
                    <w:div w:id="9089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19382">
      <w:bodyDiv w:val="1"/>
      <w:marLeft w:val="0"/>
      <w:marRight w:val="0"/>
      <w:marTop w:val="0"/>
      <w:marBottom w:val="0"/>
      <w:divBdr>
        <w:top w:val="none" w:sz="0" w:space="0" w:color="auto"/>
        <w:left w:val="none" w:sz="0" w:space="0" w:color="auto"/>
        <w:bottom w:val="none" w:sz="0" w:space="0" w:color="auto"/>
        <w:right w:val="none" w:sz="0" w:space="0" w:color="auto"/>
      </w:divBdr>
      <w:divsChild>
        <w:div w:id="551967467">
          <w:marLeft w:val="0"/>
          <w:marRight w:val="0"/>
          <w:marTop w:val="0"/>
          <w:marBottom w:val="0"/>
          <w:divBdr>
            <w:top w:val="none" w:sz="0" w:space="0" w:color="auto"/>
            <w:left w:val="none" w:sz="0" w:space="0" w:color="auto"/>
            <w:bottom w:val="none" w:sz="0" w:space="0" w:color="auto"/>
            <w:right w:val="none" w:sz="0" w:space="0" w:color="auto"/>
          </w:divBdr>
          <w:divsChild>
            <w:div w:id="20934601">
              <w:marLeft w:val="0"/>
              <w:marRight w:val="0"/>
              <w:marTop w:val="0"/>
              <w:marBottom w:val="0"/>
              <w:divBdr>
                <w:top w:val="none" w:sz="0" w:space="0" w:color="auto"/>
                <w:left w:val="none" w:sz="0" w:space="0" w:color="auto"/>
                <w:bottom w:val="none" w:sz="0" w:space="0" w:color="auto"/>
                <w:right w:val="none" w:sz="0" w:space="0" w:color="auto"/>
              </w:divBdr>
              <w:divsChild>
                <w:div w:id="1086922324">
                  <w:marLeft w:val="0"/>
                  <w:marRight w:val="0"/>
                  <w:marTop w:val="0"/>
                  <w:marBottom w:val="0"/>
                  <w:divBdr>
                    <w:top w:val="none" w:sz="0" w:space="0" w:color="auto"/>
                    <w:left w:val="none" w:sz="0" w:space="0" w:color="auto"/>
                    <w:bottom w:val="none" w:sz="0" w:space="0" w:color="auto"/>
                    <w:right w:val="none" w:sz="0" w:space="0" w:color="auto"/>
                  </w:divBdr>
                  <w:divsChild>
                    <w:div w:id="1387725852">
                      <w:marLeft w:val="0"/>
                      <w:marRight w:val="0"/>
                      <w:marTop w:val="0"/>
                      <w:marBottom w:val="0"/>
                      <w:divBdr>
                        <w:top w:val="none" w:sz="0" w:space="0" w:color="auto"/>
                        <w:left w:val="none" w:sz="0" w:space="0" w:color="auto"/>
                        <w:bottom w:val="none" w:sz="0" w:space="0" w:color="auto"/>
                        <w:right w:val="none" w:sz="0" w:space="0" w:color="auto"/>
                      </w:divBdr>
                      <w:divsChild>
                        <w:div w:id="632520318">
                          <w:marLeft w:val="0"/>
                          <w:marRight w:val="0"/>
                          <w:marTop w:val="0"/>
                          <w:marBottom w:val="300"/>
                          <w:divBdr>
                            <w:top w:val="none" w:sz="0" w:space="0" w:color="auto"/>
                            <w:left w:val="none" w:sz="0" w:space="0" w:color="auto"/>
                            <w:bottom w:val="none" w:sz="0" w:space="0" w:color="auto"/>
                            <w:right w:val="none" w:sz="0" w:space="0" w:color="auto"/>
                          </w:divBdr>
                          <w:divsChild>
                            <w:div w:id="19832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9547">
      <w:bodyDiv w:val="1"/>
      <w:marLeft w:val="0"/>
      <w:marRight w:val="0"/>
      <w:marTop w:val="0"/>
      <w:marBottom w:val="0"/>
      <w:divBdr>
        <w:top w:val="none" w:sz="0" w:space="0" w:color="auto"/>
        <w:left w:val="none" w:sz="0" w:space="0" w:color="auto"/>
        <w:bottom w:val="none" w:sz="0" w:space="0" w:color="auto"/>
        <w:right w:val="none" w:sz="0" w:space="0" w:color="auto"/>
      </w:divBdr>
      <w:divsChild>
        <w:div w:id="444546319">
          <w:marLeft w:val="0"/>
          <w:marRight w:val="0"/>
          <w:marTop w:val="0"/>
          <w:marBottom w:val="0"/>
          <w:divBdr>
            <w:top w:val="none" w:sz="0" w:space="0" w:color="auto"/>
            <w:left w:val="none" w:sz="0" w:space="0" w:color="auto"/>
            <w:bottom w:val="none" w:sz="0" w:space="0" w:color="auto"/>
            <w:right w:val="none" w:sz="0" w:space="0" w:color="auto"/>
          </w:divBdr>
          <w:divsChild>
            <w:div w:id="1374496338">
              <w:marLeft w:val="0"/>
              <w:marRight w:val="0"/>
              <w:marTop w:val="0"/>
              <w:marBottom w:val="0"/>
              <w:divBdr>
                <w:top w:val="none" w:sz="0" w:space="0" w:color="auto"/>
                <w:left w:val="none" w:sz="0" w:space="0" w:color="auto"/>
                <w:bottom w:val="none" w:sz="0" w:space="0" w:color="auto"/>
                <w:right w:val="none" w:sz="0" w:space="0" w:color="auto"/>
              </w:divBdr>
              <w:divsChild>
                <w:div w:id="2119986446">
                  <w:marLeft w:val="0"/>
                  <w:marRight w:val="0"/>
                  <w:marTop w:val="0"/>
                  <w:marBottom w:val="0"/>
                  <w:divBdr>
                    <w:top w:val="none" w:sz="0" w:space="0" w:color="auto"/>
                    <w:left w:val="none" w:sz="0" w:space="0" w:color="auto"/>
                    <w:bottom w:val="none" w:sz="0" w:space="0" w:color="auto"/>
                    <w:right w:val="none" w:sz="0" w:space="0" w:color="auto"/>
                  </w:divBdr>
                  <w:divsChild>
                    <w:div w:id="1810056380">
                      <w:marLeft w:val="0"/>
                      <w:marRight w:val="0"/>
                      <w:marTop w:val="0"/>
                      <w:marBottom w:val="0"/>
                      <w:divBdr>
                        <w:top w:val="none" w:sz="0" w:space="0" w:color="auto"/>
                        <w:left w:val="none" w:sz="0" w:space="0" w:color="auto"/>
                        <w:bottom w:val="none" w:sz="0" w:space="0" w:color="auto"/>
                        <w:right w:val="none" w:sz="0" w:space="0" w:color="auto"/>
                      </w:divBdr>
                      <w:divsChild>
                        <w:div w:id="743143332">
                          <w:marLeft w:val="0"/>
                          <w:marRight w:val="0"/>
                          <w:marTop w:val="0"/>
                          <w:marBottom w:val="0"/>
                          <w:divBdr>
                            <w:top w:val="none" w:sz="0" w:space="0" w:color="auto"/>
                            <w:left w:val="none" w:sz="0" w:space="0" w:color="auto"/>
                            <w:bottom w:val="none" w:sz="0" w:space="0" w:color="auto"/>
                            <w:right w:val="none" w:sz="0" w:space="0" w:color="auto"/>
                          </w:divBdr>
                          <w:divsChild>
                            <w:div w:id="1899902364">
                              <w:marLeft w:val="0"/>
                              <w:marRight w:val="0"/>
                              <w:marTop w:val="0"/>
                              <w:marBottom w:val="0"/>
                              <w:divBdr>
                                <w:top w:val="none" w:sz="0" w:space="0" w:color="auto"/>
                                <w:left w:val="none" w:sz="0" w:space="0" w:color="auto"/>
                                <w:bottom w:val="none" w:sz="0" w:space="0" w:color="auto"/>
                                <w:right w:val="none" w:sz="0" w:space="0" w:color="auto"/>
                              </w:divBdr>
                              <w:divsChild>
                                <w:div w:id="1058212481">
                                  <w:marLeft w:val="0"/>
                                  <w:marRight w:val="0"/>
                                  <w:marTop w:val="0"/>
                                  <w:marBottom w:val="0"/>
                                  <w:divBdr>
                                    <w:top w:val="none" w:sz="0" w:space="0" w:color="auto"/>
                                    <w:left w:val="none" w:sz="0" w:space="0" w:color="auto"/>
                                    <w:bottom w:val="none" w:sz="0" w:space="0" w:color="auto"/>
                                    <w:right w:val="none" w:sz="0" w:space="0" w:color="auto"/>
                                  </w:divBdr>
                                  <w:divsChild>
                                    <w:div w:id="1614553679">
                                      <w:marLeft w:val="0"/>
                                      <w:marRight w:val="0"/>
                                      <w:marTop w:val="0"/>
                                      <w:marBottom w:val="0"/>
                                      <w:divBdr>
                                        <w:top w:val="none" w:sz="0" w:space="0" w:color="auto"/>
                                        <w:left w:val="none" w:sz="0" w:space="0" w:color="auto"/>
                                        <w:bottom w:val="none" w:sz="0" w:space="0" w:color="auto"/>
                                        <w:right w:val="none" w:sz="0" w:space="0" w:color="auto"/>
                                      </w:divBdr>
                                      <w:divsChild>
                                        <w:div w:id="2034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587">
      <w:bodyDiv w:val="1"/>
      <w:marLeft w:val="0"/>
      <w:marRight w:val="0"/>
      <w:marTop w:val="0"/>
      <w:marBottom w:val="0"/>
      <w:divBdr>
        <w:top w:val="none" w:sz="0" w:space="0" w:color="auto"/>
        <w:left w:val="none" w:sz="0" w:space="0" w:color="auto"/>
        <w:bottom w:val="none" w:sz="0" w:space="0" w:color="auto"/>
        <w:right w:val="none" w:sz="0" w:space="0" w:color="auto"/>
      </w:divBdr>
      <w:divsChild>
        <w:div w:id="286392637">
          <w:marLeft w:val="0"/>
          <w:marRight w:val="0"/>
          <w:marTop w:val="0"/>
          <w:marBottom w:val="0"/>
          <w:divBdr>
            <w:top w:val="none" w:sz="0" w:space="0" w:color="auto"/>
            <w:left w:val="none" w:sz="0" w:space="0" w:color="auto"/>
            <w:bottom w:val="none" w:sz="0" w:space="0" w:color="auto"/>
            <w:right w:val="none" w:sz="0" w:space="0" w:color="auto"/>
          </w:divBdr>
          <w:divsChild>
            <w:div w:id="1153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7222">
      <w:bodyDiv w:val="1"/>
      <w:marLeft w:val="0"/>
      <w:marRight w:val="0"/>
      <w:marTop w:val="0"/>
      <w:marBottom w:val="0"/>
      <w:divBdr>
        <w:top w:val="none" w:sz="0" w:space="0" w:color="auto"/>
        <w:left w:val="none" w:sz="0" w:space="0" w:color="auto"/>
        <w:bottom w:val="none" w:sz="0" w:space="0" w:color="auto"/>
        <w:right w:val="none" w:sz="0" w:space="0" w:color="auto"/>
      </w:divBdr>
    </w:div>
    <w:div w:id="318734110">
      <w:bodyDiv w:val="1"/>
      <w:marLeft w:val="0"/>
      <w:marRight w:val="0"/>
      <w:marTop w:val="0"/>
      <w:marBottom w:val="0"/>
      <w:divBdr>
        <w:top w:val="none" w:sz="0" w:space="0" w:color="auto"/>
        <w:left w:val="none" w:sz="0" w:space="0" w:color="auto"/>
        <w:bottom w:val="none" w:sz="0" w:space="0" w:color="auto"/>
        <w:right w:val="none" w:sz="0" w:space="0" w:color="auto"/>
      </w:divBdr>
    </w:div>
    <w:div w:id="361369441">
      <w:bodyDiv w:val="1"/>
      <w:marLeft w:val="2847"/>
      <w:marRight w:val="837"/>
      <w:marTop w:val="0"/>
      <w:marBottom w:val="0"/>
      <w:divBdr>
        <w:top w:val="none" w:sz="0" w:space="0" w:color="auto"/>
        <w:left w:val="none" w:sz="0" w:space="0" w:color="auto"/>
        <w:bottom w:val="none" w:sz="0" w:space="0" w:color="auto"/>
        <w:right w:val="none" w:sz="0" w:space="0" w:color="auto"/>
      </w:divBdr>
      <w:divsChild>
        <w:div w:id="1331106304">
          <w:marLeft w:val="0"/>
          <w:marRight w:val="0"/>
          <w:marTop w:val="0"/>
          <w:marBottom w:val="0"/>
          <w:divBdr>
            <w:top w:val="none" w:sz="0" w:space="0" w:color="auto"/>
            <w:left w:val="none" w:sz="0" w:space="0" w:color="auto"/>
            <w:bottom w:val="none" w:sz="0" w:space="0" w:color="auto"/>
            <w:right w:val="none" w:sz="0" w:space="0" w:color="auto"/>
          </w:divBdr>
        </w:div>
      </w:divsChild>
    </w:div>
    <w:div w:id="462160508">
      <w:bodyDiv w:val="1"/>
      <w:marLeft w:val="0"/>
      <w:marRight w:val="0"/>
      <w:marTop w:val="0"/>
      <w:marBottom w:val="0"/>
      <w:divBdr>
        <w:top w:val="none" w:sz="0" w:space="0" w:color="auto"/>
        <w:left w:val="none" w:sz="0" w:space="0" w:color="auto"/>
        <w:bottom w:val="none" w:sz="0" w:space="0" w:color="auto"/>
        <w:right w:val="none" w:sz="0" w:space="0" w:color="auto"/>
      </w:divBdr>
      <w:divsChild>
        <w:div w:id="516774075">
          <w:marLeft w:val="0"/>
          <w:marRight w:val="0"/>
          <w:marTop w:val="167"/>
          <w:marBottom w:val="167"/>
          <w:divBdr>
            <w:top w:val="single" w:sz="6" w:space="0" w:color="969696"/>
            <w:left w:val="single" w:sz="6" w:space="0" w:color="969696"/>
            <w:bottom w:val="single" w:sz="6" w:space="0" w:color="969696"/>
            <w:right w:val="single" w:sz="6" w:space="0" w:color="969696"/>
          </w:divBdr>
          <w:divsChild>
            <w:div w:id="1730881433">
              <w:marLeft w:val="0"/>
              <w:marRight w:val="0"/>
              <w:marTop w:val="0"/>
              <w:marBottom w:val="0"/>
              <w:divBdr>
                <w:top w:val="none" w:sz="0" w:space="0" w:color="auto"/>
                <w:left w:val="none" w:sz="0" w:space="0" w:color="auto"/>
                <w:bottom w:val="none" w:sz="0" w:space="0" w:color="auto"/>
                <w:right w:val="none" w:sz="0" w:space="0" w:color="auto"/>
              </w:divBdr>
              <w:divsChild>
                <w:div w:id="1429160060">
                  <w:marLeft w:val="502"/>
                  <w:marRight w:val="0"/>
                  <w:marTop w:val="0"/>
                  <w:marBottom w:val="0"/>
                  <w:divBdr>
                    <w:top w:val="none" w:sz="0" w:space="0" w:color="auto"/>
                    <w:left w:val="none" w:sz="0" w:space="0" w:color="auto"/>
                    <w:bottom w:val="none" w:sz="0" w:space="0" w:color="auto"/>
                    <w:right w:val="none" w:sz="0" w:space="0" w:color="auto"/>
                  </w:divBdr>
                  <w:divsChild>
                    <w:div w:id="113722248">
                      <w:marLeft w:val="0"/>
                      <w:marRight w:val="0"/>
                      <w:marTop w:val="0"/>
                      <w:marBottom w:val="167"/>
                      <w:divBdr>
                        <w:top w:val="none" w:sz="0" w:space="0" w:color="auto"/>
                        <w:left w:val="none" w:sz="0" w:space="0" w:color="auto"/>
                        <w:bottom w:val="none" w:sz="0" w:space="0" w:color="auto"/>
                        <w:right w:val="none" w:sz="0" w:space="0" w:color="auto"/>
                      </w:divBdr>
                      <w:divsChild>
                        <w:div w:id="1658726443">
                          <w:marLeft w:val="0"/>
                          <w:marRight w:val="0"/>
                          <w:marTop w:val="0"/>
                          <w:marBottom w:val="0"/>
                          <w:divBdr>
                            <w:top w:val="none" w:sz="0" w:space="0" w:color="auto"/>
                            <w:left w:val="none" w:sz="0" w:space="0" w:color="auto"/>
                            <w:bottom w:val="none" w:sz="0" w:space="0" w:color="auto"/>
                            <w:right w:val="none" w:sz="0" w:space="0" w:color="auto"/>
                          </w:divBdr>
                          <w:divsChild>
                            <w:div w:id="3190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86239">
      <w:bodyDiv w:val="1"/>
      <w:marLeft w:val="0"/>
      <w:marRight w:val="0"/>
      <w:marTop w:val="0"/>
      <w:marBottom w:val="0"/>
      <w:divBdr>
        <w:top w:val="none" w:sz="0" w:space="0" w:color="auto"/>
        <w:left w:val="none" w:sz="0" w:space="0" w:color="auto"/>
        <w:bottom w:val="none" w:sz="0" w:space="0" w:color="auto"/>
        <w:right w:val="none" w:sz="0" w:space="0" w:color="auto"/>
      </w:divBdr>
    </w:div>
    <w:div w:id="475995371">
      <w:bodyDiv w:val="1"/>
      <w:marLeft w:val="0"/>
      <w:marRight w:val="0"/>
      <w:marTop w:val="0"/>
      <w:marBottom w:val="0"/>
      <w:divBdr>
        <w:top w:val="none" w:sz="0" w:space="0" w:color="auto"/>
        <w:left w:val="none" w:sz="0" w:space="0" w:color="auto"/>
        <w:bottom w:val="none" w:sz="0" w:space="0" w:color="auto"/>
        <w:right w:val="none" w:sz="0" w:space="0" w:color="auto"/>
      </w:divBdr>
      <w:divsChild>
        <w:div w:id="239755348">
          <w:marLeft w:val="0"/>
          <w:marRight w:val="0"/>
          <w:marTop w:val="0"/>
          <w:marBottom w:val="0"/>
          <w:divBdr>
            <w:top w:val="none" w:sz="0" w:space="0" w:color="auto"/>
            <w:left w:val="none" w:sz="0" w:space="0" w:color="auto"/>
            <w:bottom w:val="none" w:sz="0" w:space="0" w:color="auto"/>
            <w:right w:val="none" w:sz="0" w:space="0" w:color="auto"/>
          </w:divBdr>
          <w:divsChild>
            <w:div w:id="1099637646">
              <w:marLeft w:val="0"/>
              <w:marRight w:val="0"/>
              <w:marTop w:val="0"/>
              <w:marBottom w:val="0"/>
              <w:divBdr>
                <w:top w:val="none" w:sz="0" w:space="0" w:color="auto"/>
                <w:left w:val="none" w:sz="0" w:space="0" w:color="auto"/>
                <w:bottom w:val="none" w:sz="0" w:space="0" w:color="auto"/>
                <w:right w:val="none" w:sz="0" w:space="0" w:color="auto"/>
              </w:divBdr>
              <w:divsChild>
                <w:div w:id="11655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87095">
      <w:bodyDiv w:val="1"/>
      <w:marLeft w:val="0"/>
      <w:marRight w:val="0"/>
      <w:marTop w:val="0"/>
      <w:marBottom w:val="0"/>
      <w:divBdr>
        <w:top w:val="none" w:sz="0" w:space="0" w:color="auto"/>
        <w:left w:val="none" w:sz="0" w:space="0" w:color="auto"/>
        <w:bottom w:val="none" w:sz="0" w:space="0" w:color="auto"/>
        <w:right w:val="none" w:sz="0" w:space="0" w:color="auto"/>
      </w:divBdr>
      <w:divsChild>
        <w:div w:id="1558473800">
          <w:marLeft w:val="0"/>
          <w:marRight w:val="0"/>
          <w:marTop w:val="100"/>
          <w:marBottom w:val="100"/>
          <w:divBdr>
            <w:top w:val="none" w:sz="0" w:space="0" w:color="auto"/>
            <w:left w:val="none" w:sz="0" w:space="0" w:color="auto"/>
            <w:bottom w:val="none" w:sz="0" w:space="0" w:color="auto"/>
            <w:right w:val="none" w:sz="0" w:space="0" w:color="auto"/>
          </w:divBdr>
          <w:divsChild>
            <w:div w:id="1000473215">
              <w:marLeft w:val="0"/>
              <w:marRight w:val="0"/>
              <w:marTop w:val="0"/>
              <w:marBottom w:val="0"/>
              <w:divBdr>
                <w:top w:val="none" w:sz="0" w:space="0" w:color="auto"/>
                <w:left w:val="none" w:sz="0" w:space="0" w:color="auto"/>
                <w:bottom w:val="none" w:sz="0" w:space="0" w:color="auto"/>
                <w:right w:val="none" w:sz="0" w:space="0" w:color="auto"/>
              </w:divBdr>
              <w:divsChild>
                <w:div w:id="26805600">
                  <w:marLeft w:val="0"/>
                  <w:marRight w:val="0"/>
                  <w:marTop w:val="0"/>
                  <w:marBottom w:val="0"/>
                  <w:divBdr>
                    <w:top w:val="none" w:sz="0" w:space="0" w:color="auto"/>
                    <w:left w:val="none" w:sz="0" w:space="0" w:color="auto"/>
                    <w:bottom w:val="none" w:sz="0" w:space="0" w:color="auto"/>
                    <w:right w:val="none" w:sz="0" w:space="0" w:color="auto"/>
                  </w:divBdr>
                  <w:divsChild>
                    <w:div w:id="10097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86016">
      <w:bodyDiv w:val="1"/>
      <w:marLeft w:val="0"/>
      <w:marRight w:val="0"/>
      <w:marTop w:val="0"/>
      <w:marBottom w:val="0"/>
      <w:divBdr>
        <w:top w:val="none" w:sz="0" w:space="0" w:color="auto"/>
        <w:left w:val="none" w:sz="0" w:space="0" w:color="auto"/>
        <w:bottom w:val="none" w:sz="0" w:space="0" w:color="auto"/>
        <w:right w:val="none" w:sz="0" w:space="0" w:color="auto"/>
      </w:divBdr>
      <w:divsChild>
        <w:div w:id="1796872008">
          <w:marLeft w:val="0"/>
          <w:marRight w:val="0"/>
          <w:marTop w:val="167"/>
          <w:marBottom w:val="167"/>
          <w:divBdr>
            <w:top w:val="single" w:sz="6" w:space="0" w:color="969696"/>
            <w:left w:val="single" w:sz="6" w:space="0" w:color="969696"/>
            <w:bottom w:val="single" w:sz="6" w:space="0" w:color="969696"/>
            <w:right w:val="single" w:sz="6" w:space="0" w:color="969696"/>
          </w:divBdr>
          <w:divsChild>
            <w:div w:id="680664763">
              <w:marLeft w:val="0"/>
              <w:marRight w:val="0"/>
              <w:marTop w:val="0"/>
              <w:marBottom w:val="0"/>
              <w:divBdr>
                <w:top w:val="none" w:sz="0" w:space="0" w:color="auto"/>
                <w:left w:val="none" w:sz="0" w:space="0" w:color="auto"/>
                <w:bottom w:val="none" w:sz="0" w:space="0" w:color="auto"/>
                <w:right w:val="none" w:sz="0" w:space="0" w:color="auto"/>
              </w:divBdr>
              <w:divsChild>
                <w:div w:id="819077780">
                  <w:marLeft w:val="502"/>
                  <w:marRight w:val="0"/>
                  <w:marTop w:val="0"/>
                  <w:marBottom w:val="0"/>
                  <w:divBdr>
                    <w:top w:val="none" w:sz="0" w:space="0" w:color="auto"/>
                    <w:left w:val="none" w:sz="0" w:space="0" w:color="auto"/>
                    <w:bottom w:val="none" w:sz="0" w:space="0" w:color="auto"/>
                    <w:right w:val="none" w:sz="0" w:space="0" w:color="auto"/>
                  </w:divBdr>
                  <w:divsChild>
                    <w:div w:id="1878927090">
                      <w:marLeft w:val="0"/>
                      <w:marRight w:val="0"/>
                      <w:marTop w:val="0"/>
                      <w:marBottom w:val="167"/>
                      <w:divBdr>
                        <w:top w:val="none" w:sz="0" w:space="0" w:color="auto"/>
                        <w:left w:val="none" w:sz="0" w:space="0" w:color="auto"/>
                        <w:bottom w:val="none" w:sz="0" w:space="0" w:color="auto"/>
                        <w:right w:val="none" w:sz="0" w:space="0" w:color="auto"/>
                      </w:divBdr>
                      <w:divsChild>
                        <w:div w:id="1509326072">
                          <w:marLeft w:val="0"/>
                          <w:marRight w:val="0"/>
                          <w:marTop w:val="0"/>
                          <w:marBottom w:val="0"/>
                          <w:divBdr>
                            <w:top w:val="none" w:sz="0" w:space="0" w:color="auto"/>
                            <w:left w:val="none" w:sz="0" w:space="0" w:color="auto"/>
                            <w:bottom w:val="none" w:sz="0" w:space="0" w:color="auto"/>
                            <w:right w:val="none" w:sz="0" w:space="0" w:color="auto"/>
                          </w:divBdr>
                          <w:divsChild>
                            <w:div w:id="18883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143059">
      <w:bodyDiv w:val="1"/>
      <w:marLeft w:val="0"/>
      <w:marRight w:val="0"/>
      <w:marTop w:val="0"/>
      <w:marBottom w:val="0"/>
      <w:divBdr>
        <w:top w:val="none" w:sz="0" w:space="0" w:color="auto"/>
        <w:left w:val="none" w:sz="0" w:space="0" w:color="auto"/>
        <w:bottom w:val="none" w:sz="0" w:space="0" w:color="auto"/>
        <w:right w:val="none" w:sz="0" w:space="0" w:color="auto"/>
      </w:divBdr>
    </w:div>
    <w:div w:id="672151367">
      <w:bodyDiv w:val="1"/>
      <w:marLeft w:val="0"/>
      <w:marRight w:val="0"/>
      <w:marTop w:val="0"/>
      <w:marBottom w:val="0"/>
      <w:divBdr>
        <w:top w:val="none" w:sz="0" w:space="0" w:color="auto"/>
        <w:left w:val="none" w:sz="0" w:space="0" w:color="auto"/>
        <w:bottom w:val="none" w:sz="0" w:space="0" w:color="auto"/>
        <w:right w:val="none" w:sz="0" w:space="0" w:color="auto"/>
      </w:divBdr>
      <w:divsChild>
        <w:div w:id="51739384">
          <w:marLeft w:val="0"/>
          <w:marRight w:val="0"/>
          <w:marTop w:val="0"/>
          <w:marBottom w:val="0"/>
          <w:divBdr>
            <w:top w:val="none" w:sz="0" w:space="0" w:color="auto"/>
            <w:left w:val="none" w:sz="0" w:space="0" w:color="auto"/>
            <w:bottom w:val="none" w:sz="0" w:space="0" w:color="auto"/>
            <w:right w:val="none" w:sz="0" w:space="0" w:color="auto"/>
          </w:divBdr>
          <w:divsChild>
            <w:div w:id="1755741429">
              <w:marLeft w:val="0"/>
              <w:marRight w:val="0"/>
              <w:marTop w:val="0"/>
              <w:marBottom w:val="0"/>
              <w:divBdr>
                <w:top w:val="none" w:sz="0" w:space="0" w:color="auto"/>
                <w:left w:val="none" w:sz="0" w:space="0" w:color="auto"/>
                <w:bottom w:val="none" w:sz="0" w:space="0" w:color="auto"/>
                <w:right w:val="none" w:sz="0" w:space="0" w:color="auto"/>
              </w:divBdr>
              <w:divsChild>
                <w:div w:id="489710715">
                  <w:marLeft w:val="0"/>
                  <w:marRight w:val="0"/>
                  <w:marTop w:val="0"/>
                  <w:marBottom w:val="0"/>
                  <w:divBdr>
                    <w:top w:val="none" w:sz="0" w:space="0" w:color="auto"/>
                    <w:left w:val="none" w:sz="0" w:space="0" w:color="auto"/>
                    <w:bottom w:val="none" w:sz="0" w:space="0" w:color="auto"/>
                    <w:right w:val="none" w:sz="0" w:space="0" w:color="auto"/>
                  </w:divBdr>
                  <w:divsChild>
                    <w:div w:id="6618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064">
      <w:bodyDiv w:val="1"/>
      <w:marLeft w:val="0"/>
      <w:marRight w:val="0"/>
      <w:marTop w:val="0"/>
      <w:marBottom w:val="0"/>
      <w:divBdr>
        <w:top w:val="none" w:sz="0" w:space="0" w:color="auto"/>
        <w:left w:val="none" w:sz="0" w:space="0" w:color="auto"/>
        <w:bottom w:val="none" w:sz="0" w:space="0" w:color="auto"/>
        <w:right w:val="none" w:sz="0" w:space="0" w:color="auto"/>
      </w:divBdr>
      <w:divsChild>
        <w:div w:id="780803989">
          <w:marLeft w:val="0"/>
          <w:marRight w:val="0"/>
          <w:marTop w:val="0"/>
          <w:marBottom w:val="0"/>
          <w:divBdr>
            <w:top w:val="none" w:sz="0" w:space="0" w:color="auto"/>
            <w:left w:val="none" w:sz="0" w:space="0" w:color="auto"/>
            <w:bottom w:val="none" w:sz="0" w:space="0" w:color="auto"/>
            <w:right w:val="none" w:sz="0" w:space="0" w:color="auto"/>
          </w:divBdr>
          <w:divsChild>
            <w:div w:id="884214819">
              <w:marLeft w:val="0"/>
              <w:marRight w:val="0"/>
              <w:marTop w:val="0"/>
              <w:marBottom w:val="0"/>
              <w:divBdr>
                <w:top w:val="none" w:sz="0" w:space="0" w:color="auto"/>
                <w:left w:val="none" w:sz="0" w:space="0" w:color="auto"/>
                <w:bottom w:val="none" w:sz="0" w:space="0" w:color="auto"/>
                <w:right w:val="none" w:sz="0" w:space="0" w:color="auto"/>
              </w:divBdr>
              <w:divsChild>
                <w:div w:id="5594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3185">
      <w:bodyDiv w:val="1"/>
      <w:marLeft w:val="0"/>
      <w:marRight w:val="0"/>
      <w:marTop w:val="0"/>
      <w:marBottom w:val="0"/>
      <w:divBdr>
        <w:top w:val="none" w:sz="0" w:space="0" w:color="auto"/>
        <w:left w:val="none" w:sz="0" w:space="0" w:color="auto"/>
        <w:bottom w:val="none" w:sz="0" w:space="0" w:color="auto"/>
        <w:right w:val="none" w:sz="0" w:space="0" w:color="auto"/>
      </w:divBdr>
      <w:divsChild>
        <w:div w:id="1372068527">
          <w:marLeft w:val="0"/>
          <w:marRight w:val="0"/>
          <w:marTop w:val="100"/>
          <w:marBottom w:val="100"/>
          <w:divBdr>
            <w:top w:val="none" w:sz="0" w:space="0" w:color="auto"/>
            <w:left w:val="none" w:sz="0" w:space="0" w:color="auto"/>
            <w:bottom w:val="none" w:sz="0" w:space="0" w:color="auto"/>
            <w:right w:val="none" w:sz="0" w:space="0" w:color="auto"/>
          </w:divBdr>
          <w:divsChild>
            <w:div w:id="468400951">
              <w:marLeft w:val="0"/>
              <w:marRight w:val="0"/>
              <w:marTop w:val="0"/>
              <w:marBottom w:val="0"/>
              <w:divBdr>
                <w:top w:val="none" w:sz="0" w:space="0" w:color="auto"/>
                <w:left w:val="none" w:sz="0" w:space="0" w:color="auto"/>
                <w:bottom w:val="none" w:sz="0" w:space="0" w:color="auto"/>
                <w:right w:val="none" w:sz="0" w:space="0" w:color="auto"/>
              </w:divBdr>
              <w:divsChild>
                <w:div w:id="1453137392">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5912">
      <w:bodyDiv w:val="1"/>
      <w:marLeft w:val="0"/>
      <w:marRight w:val="0"/>
      <w:marTop w:val="0"/>
      <w:marBottom w:val="0"/>
      <w:divBdr>
        <w:top w:val="none" w:sz="0" w:space="0" w:color="auto"/>
        <w:left w:val="none" w:sz="0" w:space="0" w:color="auto"/>
        <w:bottom w:val="none" w:sz="0" w:space="0" w:color="auto"/>
        <w:right w:val="none" w:sz="0" w:space="0" w:color="auto"/>
      </w:divBdr>
      <w:divsChild>
        <w:div w:id="1354529715">
          <w:marLeft w:val="0"/>
          <w:marRight w:val="0"/>
          <w:marTop w:val="100"/>
          <w:marBottom w:val="100"/>
          <w:divBdr>
            <w:top w:val="none" w:sz="0" w:space="0" w:color="auto"/>
            <w:left w:val="none" w:sz="0" w:space="0" w:color="auto"/>
            <w:bottom w:val="none" w:sz="0" w:space="0" w:color="auto"/>
            <w:right w:val="none" w:sz="0" w:space="0" w:color="auto"/>
          </w:divBdr>
          <w:divsChild>
            <w:div w:id="1073313956">
              <w:marLeft w:val="0"/>
              <w:marRight w:val="0"/>
              <w:marTop w:val="0"/>
              <w:marBottom w:val="0"/>
              <w:divBdr>
                <w:top w:val="none" w:sz="0" w:space="0" w:color="auto"/>
                <w:left w:val="none" w:sz="0" w:space="0" w:color="auto"/>
                <w:bottom w:val="none" w:sz="0" w:space="0" w:color="auto"/>
                <w:right w:val="none" w:sz="0" w:space="0" w:color="auto"/>
              </w:divBdr>
              <w:divsChild>
                <w:div w:id="997809153">
                  <w:marLeft w:val="0"/>
                  <w:marRight w:val="0"/>
                  <w:marTop w:val="0"/>
                  <w:marBottom w:val="0"/>
                  <w:divBdr>
                    <w:top w:val="none" w:sz="0" w:space="0" w:color="auto"/>
                    <w:left w:val="none" w:sz="0" w:space="0" w:color="auto"/>
                    <w:bottom w:val="none" w:sz="0" w:space="0" w:color="auto"/>
                    <w:right w:val="none" w:sz="0" w:space="0" w:color="auto"/>
                  </w:divBdr>
                  <w:divsChild>
                    <w:div w:id="10367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61142">
      <w:bodyDiv w:val="1"/>
      <w:marLeft w:val="0"/>
      <w:marRight w:val="0"/>
      <w:marTop w:val="0"/>
      <w:marBottom w:val="0"/>
      <w:divBdr>
        <w:top w:val="none" w:sz="0" w:space="0" w:color="auto"/>
        <w:left w:val="none" w:sz="0" w:space="0" w:color="auto"/>
        <w:bottom w:val="none" w:sz="0" w:space="0" w:color="auto"/>
        <w:right w:val="none" w:sz="0" w:space="0" w:color="auto"/>
      </w:divBdr>
      <w:divsChild>
        <w:div w:id="1761175981">
          <w:marLeft w:val="0"/>
          <w:marRight w:val="0"/>
          <w:marTop w:val="0"/>
          <w:marBottom w:val="0"/>
          <w:divBdr>
            <w:top w:val="none" w:sz="0" w:space="0" w:color="auto"/>
            <w:left w:val="none" w:sz="0" w:space="0" w:color="auto"/>
            <w:bottom w:val="none" w:sz="0" w:space="0" w:color="auto"/>
            <w:right w:val="none" w:sz="0" w:space="0" w:color="auto"/>
          </w:divBdr>
          <w:divsChild>
            <w:div w:id="1232471980">
              <w:marLeft w:val="0"/>
              <w:marRight w:val="0"/>
              <w:marTop w:val="0"/>
              <w:marBottom w:val="0"/>
              <w:divBdr>
                <w:top w:val="none" w:sz="0" w:space="0" w:color="auto"/>
                <w:left w:val="none" w:sz="0" w:space="0" w:color="auto"/>
                <w:bottom w:val="none" w:sz="0" w:space="0" w:color="auto"/>
                <w:right w:val="none" w:sz="0" w:space="0" w:color="auto"/>
              </w:divBdr>
              <w:divsChild>
                <w:div w:id="1814365817">
                  <w:marLeft w:val="0"/>
                  <w:marRight w:val="0"/>
                  <w:marTop w:val="0"/>
                  <w:marBottom w:val="0"/>
                  <w:divBdr>
                    <w:top w:val="none" w:sz="0" w:space="0" w:color="auto"/>
                    <w:left w:val="none" w:sz="0" w:space="0" w:color="auto"/>
                    <w:bottom w:val="none" w:sz="0" w:space="0" w:color="auto"/>
                    <w:right w:val="none" w:sz="0" w:space="0" w:color="auto"/>
                  </w:divBdr>
                  <w:divsChild>
                    <w:div w:id="792747811">
                      <w:marLeft w:val="0"/>
                      <w:marRight w:val="0"/>
                      <w:marTop w:val="0"/>
                      <w:marBottom w:val="0"/>
                      <w:divBdr>
                        <w:top w:val="none" w:sz="0" w:space="0" w:color="auto"/>
                        <w:left w:val="none" w:sz="0" w:space="0" w:color="auto"/>
                        <w:bottom w:val="none" w:sz="0" w:space="0" w:color="auto"/>
                        <w:right w:val="none" w:sz="0" w:space="0" w:color="auto"/>
                      </w:divBdr>
                      <w:divsChild>
                        <w:div w:id="265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61073">
      <w:bodyDiv w:val="1"/>
      <w:marLeft w:val="0"/>
      <w:marRight w:val="0"/>
      <w:marTop w:val="0"/>
      <w:marBottom w:val="0"/>
      <w:divBdr>
        <w:top w:val="none" w:sz="0" w:space="0" w:color="auto"/>
        <w:left w:val="none" w:sz="0" w:space="0" w:color="auto"/>
        <w:bottom w:val="none" w:sz="0" w:space="0" w:color="auto"/>
        <w:right w:val="none" w:sz="0" w:space="0" w:color="auto"/>
      </w:divBdr>
      <w:divsChild>
        <w:div w:id="961182086">
          <w:marLeft w:val="0"/>
          <w:marRight w:val="0"/>
          <w:marTop w:val="100"/>
          <w:marBottom w:val="100"/>
          <w:divBdr>
            <w:top w:val="none" w:sz="0" w:space="0" w:color="auto"/>
            <w:left w:val="none" w:sz="0" w:space="0" w:color="auto"/>
            <w:bottom w:val="none" w:sz="0" w:space="0" w:color="auto"/>
            <w:right w:val="none" w:sz="0" w:space="0" w:color="auto"/>
          </w:divBdr>
          <w:divsChild>
            <w:div w:id="1757969268">
              <w:marLeft w:val="0"/>
              <w:marRight w:val="0"/>
              <w:marTop w:val="0"/>
              <w:marBottom w:val="0"/>
              <w:divBdr>
                <w:top w:val="none" w:sz="0" w:space="0" w:color="auto"/>
                <w:left w:val="none" w:sz="0" w:space="0" w:color="auto"/>
                <w:bottom w:val="none" w:sz="0" w:space="0" w:color="auto"/>
                <w:right w:val="none" w:sz="0" w:space="0" w:color="auto"/>
              </w:divBdr>
              <w:divsChild>
                <w:div w:id="532111893">
                  <w:marLeft w:val="0"/>
                  <w:marRight w:val="0"/>
                  <w:marTop w:val="0"/>
                  <w:marBottom w:val="0"/>
                  <w:divBdr>
                    <w:top w:val="none" w:sz="0" w:space="0" w:color="auto"/>
                    <w:left w:val="none" w:sz="0" w:space="0" w:color="auto"/>
                    <w:bottom w:val="none" w:sz="0" w:space="0" w:color="auto"/>
                    <w:right w:val="none" w:sz="0" w:space="0" w:color="auto"/>
                  </w:divBdr>
                  <w:divsChild>
                    <w:div w:id="506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2220">
      <w:bodyDiv w:val="1"/>
      <w:marLeft w:val="2847"/>
      <w:marRight w:val="837"/>
      <w:marTop w:val="0"/>
      <w:marBottom w:val="0"/>
      <w:divBdr>
        <w:top w:val="none" w:sz="0" w:space="0" w:color="auto"/>
        <w:left w:val="none" w:sz="0" w:space="0" w:color="auto"/>
        <w:bottom w:val="none" w:sz="0" w:space="0" w:color="auto"/>
        <w:right w:val="none" w:sz="0" w:space="0" w:color="auto"/>
      </w:divBdr>
      <w:divsChild>
        <w:div w:id="1044720641">
          <w:marLeft w:val="0"/>
          <w:marRight w:val="0"/>
          <w:marTop w:val="0"/>
          <w:marBottom w:val="0"/>
          <w:divBdr>
            <w:top w:val="none" w:sz="0" w:space="0" w:color="auto"/>
            <w:left w:val="none" w:sz="0" w:space="0" w:color="auto"/>
            <w:bottom w:val="none" w:sz="0" w:space="0" w:color="auto"/>
            <w:right w:val="none" w:sz="0" w:space="0" w:color="auto"/>
          </w:divBdr>
        </w:div>
      </w:divsChild>
    </w:div>
    <w:div w:id="885602294">
      <w:bodyDiv w:val="1"/>
      <w:marLeft w:val="0"/>
      <w:marRight w:val="0"/>
      <w:marTop w:val="0"/>
      <w:marBottom w:val="0"/>
      <w:divBdr>
        <w:top w:val="none" w:sz="0" w:space="0" w:color="auto"/>
        <w:left w:val="none" w:sz="0" w:space="0" w:color="auto"/>
        <w:bottom w:val="none" w:sz="0" w:space="0" w:color="auto"/>
        <w:right w:val="none" w:sz="0" w:space="0" w:color="auto"/>
      </w:divBdr>
      <w:divsChild>
        <w:div w:id="455485908">
          <w:marLeft w:val="0"/>
          <w:marRight w:val="0"/>
          <w:marTop w:val="0"/>
          <w:marBottom w:val="0"/>
          <w:divBdr>
            <w:top w:val="none" w:sz="0" w:space="0" w:color="auto"/>
            <w:left w:val="none" w:sz="0" w:space="0" w:color="auto"/>
            <w:bottom w:val="none" w:sz="0" w:space="0" w:color="auto"/>
            <w:right w:val="none" w:sz="0" w:space="0" w:color="auto"/>
          </w:divBdr>
          <w:divsChild>
            <w:div w:id="1149829754">
              <w:marLeft w:val="0"/>
              <w:marRight w:val="0"/>
              <w:marTop w:val="0"/>
              <w:marBottom w:val="0"/>
              <w:divBdr>
                <w:top w:val="none" w:sz="0" w:space="0" w:color="auto"/>
                <w:left w:val="none" w:sz="0" w:space="0" w:color="auto"/>
                <w:bottom w:val="none" w:sz="0" w:space="0" w:color="auto"/>
                <w:right w:val="none" w:sz="0" w:space="0" w:color="auto"/>
              </w:divBdr>
              <w:divsChild>
                <w:div w:id="292365470">
                  <w:marLeft w:val="0"/>
                  <w:marRight w:val="0"/>
                  <w:marTop w:val="0"/>
                  <w:marBottom w:val="0"/>
                  <w:divBdr>
                    <w:top w:val="none" w:sz="0" w:space="0" w:color="auto"/>
                    <w:left w:val="none" w:sz="0" w:space="0" w:color="auto"/>
                    <w:bottom w:val="none" w:sz="0" w:space="0" w:color="auto"/>
                    <w:right w:val="none" w:sz="0" w:space="0" w:color="auto"/>
                  </w:divBdr>
                  <w:divsChild>
                    <w:div w:id="1815872356">
                      <w:marLeft w:val="0"/>
                      <w:marRight w:val="0"/>
                      <w:marTop w:val="0"/>
                      <w:marBottom w:val="0"/>
                      <w:divBdr>
                        <w:top w:val="none" w:sz="0" w:space="0" w:color="auto"/>
                        <w:left w:val="none" w:sz="0" w:space="0" w:color="auto"/>
                        <w:bottom w:val="none" w:sz="0" w:space="0" w:color="auto"/>
                        <w:right w:val="none" w:sz="0" w:space="0" w:color="auto"/>
                      </w:divBdr>
                      <w:divsChild>
                        <w:div w:id="1257128073">
                          <w:marLeft w:val="0"/>
                          <w:marRight w:val="0"/>
                          <w:marTop w:val="0"/>
                          <w:marBottom w:val="300"/>
                          <w:divBdr>
                            <w:top w:val="none" w:sz="0" w:space="0" w:color="auto"/>
                            <w:left w:val="none" w:sz="0" w:space="0" w:color="auto"/>
                            <w:bottom w:val="none" w:sz="0" w:space="0" w:color="auto"/>
                            <w:right w:val="none" w:sz="0" w:space="0" w:color="auto"/>
                          </w:divBdr>
                          <w:divsChild>
                            <w:div w:id="9685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03097">
      <w:bodyDiv w:val="1"/>
      <w:marLeft w:val="0"/>
      <w:marRight w:val="0"/>
      <w:marTop w:val="0"/>
      <w:marBottom w:val="0"/>
      <w:divBdr>
        <w:top w:val="none" w:sz="0" w:space="0" w:color="auto"/>
        <w:left w:val="none" w:sz="0" w:space="0" w:color="auto"/>
        <w:bottom w:val="none" w:sz="0" w:space="0" w:color="auto"/>
        <w:right w:val="none" w:sz="0" w:space="0" w:color="auto"/>
      </w:divBdr>
      <w:divsChild>
        <w:div w:id="306980354">
          <w:marLeft w:val="0"/>
          <w:marRight w:val="0"/>
          <w:marTop w:val="0"/>
          <w:marBottom w:val="0"/>
          <w:divBdr>
            <w:top w:val="none" w:sz="0" w:space="0" w:color="auto"/>
            <w:left w:val="none" w:sz="0" w:space="0" w:color="auto"/>
            <w:bottom w:val="none" w:sz="0" w:space="0" w:color="auto"/>
            <w:right w:val="none" w:sz="0" w:space="0" w:color="auto"/>
          </w:divBdr>
          <w:divsChild>
            <w:div w:id="673726702">
              <w:marLeft w:val="0"/>
              <w:marRight w:val="0"/>
              <w:marTop w:val="0"/>
              <w:marBottom w:val="0"/>
              <w:divBdr>
                <w:top w:val="none" w:sz="0" w:space="0" w:color="auto"/>
                <w:left w:val="none" w:sz="0" w:space="0" w:color="auto"/>
                <w:bottom w:val="none" w:sz="0" w:space="0" w:color="auto"/>
                <w:right w:val="none" w:sz="0" w:space="0" w:color="auto"/>
              </w:divBdr>
              <w:divsChild>
                <w:div w:id="1345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2597">
      <w:bodyDiv w:val="1"/>
      <w:marLeft w:val="0"/>
      <w:marRight w:val="0"/>
      <w:marTop w:val="0"/>
      <w:marBottom w:val="0"/>
      <w:divBdr>
        <w:top w:val="none" w:sz="0" w:space="0" w:color="auto"/>
        <w:left w:val="none" w:sz="0" w:space="0" w:color="auto"/>
        <w:bottom w:val="none" w:sz="0" w:space="0" w:color="auto"/>
        <w:right w:val="none" w:sz="0" w:space="0" w:color="auto"/>
      </w:divBdr>
    </w:div>
    <w:div w:id="998270452">
      <w:bodyDiv w:val="1"/>
      <w:marLeft w:val="2847"/>
      <w:marRight w:val="837"/>
      <w:marTop w:val="0"/>
      <w:marBottom w:val="0"/>
      <w:divBdr>
        <w:top w:val="none" w:sz="0" w:space="0" w:color="auto"/>
        <w:left w:val="none" w:sz="0" w:space="0" w:color="auto"/>
        <w:bottom w:val="none" w:sz="0" w:space="0" w:color="auto"/>
        <w:right w:val="none" w:sz="0" w:space="0" w:color="auto"/>
      </w:divBdr>
      <w:divsChild>
        <w:div w:id="1175924387">
          <w:marLeft w:val="0"/>
          <w:marRight w:val="0"/>
          <w:marTop w:val="0"/>
          <w:marBottom w:val="0"/>
          <w:divBdr>
            <w:top w:val="none" w:sz="0" w:space="0" w:color="auto"/>
            <w:left w:val="none" w:sz="0" w:space="0" w:color="auto"/>
            <w:bottom w:val="none" w:sz="0" w:space="0" w:color="auto"/>
            <w:right w:val="none" w:sz="0" w:space="0" w:color="auto"/>
          </w:divBdr>
        </w:div>
      </w:divsChild>
    </w:div>
    <w:div w:id="1003512624">
      <w:bodyDiv w:val="1"/>
      <w:marLeft w:val="2847"/>
      <w:marRight w:val="837"/>
      <w:marTop w:val="0"/>
      <w:marBottom w:val="0"/>
      <w:divBdr>
        <w:top w:val="none" w:sz="0" w:space="0" w:color="auto"/>
        <w:left w:val="none" w:sz="0" w:space="0" w:color="auto"/>
        <w:bottom w:val="none" w:sz="0" w:space="0" w:color="auto"/>
        <w:right w:val="none" w:sz="0" w:space="0" w:color="auto"/>
      </w:divBdr>
      <w:divsChild>
        <w:div w:id="235819415">
          <w:marLeft w:val="0"/>
          <w:marRight w:val="0"/>
          <w:marTop w:val="0"/>
          <w:marBottom w:val="0"/>
          <w:divBdr>
            <w:top w:val="none" w:sz="0" w:space="0" w:color="auto"/>
            <w:left w:val="none" w:sz="0" w:space="0" w:color="auto"/>
            <w:bottom w:val="none" w:sz="0" w:space="0" w:color="auto"/>
            <w:right w:val="none" w:sz="0" w:space="0" w:color="auto"/>
          </w:divBdr>
        </w:div>
      </w:divsChild>
    </w:div>
    <w:div w:id="1069576673">
      <w:bodyDiv w:val="1"/>
      <w:marLeft w:val="0"/>
      <w:marRight w:val="0"/>
      <w:marTop w:val="0"/>
      <w:marBottom w:val="0"/>
      <w:divBdr>
        <w:top w:val="none" w:sz="0" w:space="0" w:color="auto"/>
        <w:left w:val="none" w:sz="0" w:space="0" w:color="auto"/>
        <w:bottom w:val="none" w:sz="0" w:space="0" w:color="auto"/>
        <w:right w:val="none" w:sz="0" w:space="0" w:color="auto"/>
      </w:divBdr>
      <w:divsChild>
        <w:div w:id="1742563444">
          <w:marLeft w:val="0"/>
          <w:marRight w:val="0"/>
          <w:marTop w:val="100"/>
          <w:marBottom w:val="100"/>
          <w:divBdr>
            <w:top w:val="none" w:sz="0" w:space="0" w:color="auto"/>
            <w:left w:val="none" w:sz="0" w:space="0" w:color="auto"/>
            <w:bottom w:val="none" w:sz="0" w:space="0" w:color="auto"/>
            <w:right w:val="none" w:sz="0" w:space="0" w:color="auto"/>
          </w:divBdr>
          <w:divsChild>
            <w:div w:id="429937129">
              <w:marLeft w:val="0"/>
              <w:marRight w:val="0"/>
              <w:marTop w:val="0"/>
              <w:marBottom w:val="0"/>
              <w:divBdr>
                <w:top w:val="none" w:sz="0" w:space="0" w:color="auto"/>
                <w:left w:val="none" w:sz="0" w:space="0" w:color="auto"/>
                <w:bottom w:val="none" w:sz="0" w:space="0" w:color="auto"/>
                <w:right w:val="none" w:sz="0" w:space="0" w:color="auto"/>
              </w:divBdr>
              <w:divsChild>
                <w:div w:id="981344399">
                  <w:marLeft w:val="0"/>
                  <w:marRight w:val="0"/>
                  <w:marTop w:val="0"/>
                  <w:marBottom w:val="0"/>
                  <w:divBdr>
                    <w:top w:val="none" w:sz="0" w:space="0" w:color="auto"/>
                    <w:left w:val="none" w:sz="0" w:space="0" w:color="auto"/>
                    <w:bottom w:val="none" w:sz="0" w:space="0" w:color="auto"/>
                    <w:right w:val="none" w:sz="0" w:space="0" w:color="auto"/>
                  </w:divBdr>
                  <w:divsChild>
                    <w:div w:id="1396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8068">
      <w:bodyDiv w:val="1"/>
      <w:marLeft w:val="0"/>
      <w:marRight w:val="0"/>
      <w:marTop w:val="0"/>
      <w:marBottom w:val="0"/>
      <w:divBdr>
        <w:top w:val="none" w:sz="0" w:space="0" w:color="auto"/>
        <w:left w:val="none" w:sz="0" w:space="0" w:color="auto"/>
        <w:bottom w:val="none" w:sz="0" w:space="0" w:color="auto"/>
        <w:right w:val="none" w:sz="0" w:space="0" w:color="auto"/>
      </w:divBdr>
      <w:divsChild>
        <w:div w:id="1388801310">
          <w:marLeft w:val="0"/>
          <w:marRight w:val="0"/>
          <w:marTop w:val="0"/>
          <w:marBottom w:val="0"/>
          <w:divBdr>
            <w:top w:val="none" w:sz="0" w:space="0" w:color="auto"/>
            <w:left w:val="none" w:sz="0" w:space="0" w:color="auto"/>
            <w:bottom w:val="none" w:sz="0" w:space="0" w:color="auto"/>
            <w:right w:val="none" w:sz="0" w:space="0" w:color="auto"/>
          </w:divBdr>
          <w:divsChild>
            <w:div w:id="161047384">
              <w:marLeft w:val="0"/>
              <w:marRight w:val="0"/>
              <w:marTop w:val="0"/>
              <w:marBottom w:val="0"/>
              <w:divBdr>
                <w:top w:val="none" w:sz="0" w:space="0" w:color="auto"/>
                <w:left w:val="none" w:sz="0" w:space="0" w:color="auto"/>
                <w:bottom w:val="none" w:sz="0" w:space="0" w:color="auto"/>
                <w:right w:val="none" w:sz="0" w:space="0" w:color="auto"/>
              </w:divBdr>
            </w:div>
            <w:div w:id="585454460">
              <w:marLeft w:val="0"/>
              <w:marRight w:val="0"/>
              <w:marTop w:val="0"/>
              <w:marBottom w:val="0"/>
              <w:divBdr>
                <w:top w:val="none" w:sz="0" w:space="0" w:color="auto"/>
                <w:left w:val="none" w:sz="0" w:space="0" w:color="auto"/>
                <w:bottom w:val="none" w:sz="0" w:space="0" w:color="auto"/>
                <w:right w:val="none" w:sz="0" w:space="0" w:color="auto"/>
              </w:divBdr>
            </w:div>
            <w:div w:id="801534750">
              <w:marLeft w:val="0"/>
              <w:marRight w:val="0"/>
              <w:marTop w:val="0"/>
              <w:marBottom w:val="0"/>
              <w:divBdr>
                <w:top w:val="none" w:sz="0" w:space="0" w:color="auto"/>
                <w:left w:val="none" w:sz="0" w:space="0" w:color="auto"/>
                <w:bottom w:val="none" w:sz="0" w:space="0" w:color="auto"/>
                <w:right w:val="none" w:sz="0" w:space="0" w:color="auto"/>
              </w:divBdr>
            </w:div>
            <w:div w:id="1312831667">
              <w:marLeft w:val="0"/>
              <w:marRight w:val="0"/>
              <w:marTop w:val="0"/>
              <w:marBottom w:val="0"/>
              <w:divBdr>
                <w:top w:val="none" w:sz="0" w:space="0" w:color="auto"/>
                <w:left w:val="none" w:sz="0" w:space="0" w:color="auto"/>
                <w:bottom w:val="none" w:sz="0" w:space="0" w:color="auto"/>
                <w:right w:val="none" w:sz="0" w:space="0" w:color="auto"/>
              </w:divBdr>
            </w:div>
            <w:div w:id="1378238859">
              <w:marLeft w:val="0"/>
              <w:marRight w:val="0"/>
              <w:marTop w:val="0"/>
              <w:marBottom w:val="0"/>
              <w:divBdr>
                <w:top w:val="none" w:sz="0" w:space="0" w:color="auto"/>
                <w:left w:val="none" w:sz="0" w:space="0" w:color="auto"/>
                <w:bottom w:val="none" w:sz="0" w:space="0" w:color="auto"/>
                <w:right w:val="none" w:sz="0" w:space="0" w:color="auto"/>
              </w:divBdr>
            </w:div>
            <w:div w:id="1406149557">
              <w:marLeft w:val="0"/>
              <w:marRight w:val="0"/>
              <w:marTop w:val="0"/>
              <w:marBottom w:val="0"/>
              <w:divBdr>
                <w:top w:val="none" w:sz="0" w:space="0" w:color="auto"/>
                <w:left w:val="none" w:sz="0" w:space="0" w:color="auto"/>
                <w:bottom w:val="none" w:sz="0" w:space="0" w:color="auto"/>
                <w:right w:val="none" w:sz="0" w:space="0" w:color="auto"/>
              </w:divBdr>
            </w:div>
            <w:div w:id="1419134153">
              <w:marLeft w:val="0"/>
              <w:marRight w:val="0"/>
              <w:marTop w:val="0"/>
              <w:marBottom w:val="0"/>
              <w:divBdr>
                <w:top w:val="none" w:sz="0" w:space="0" w:color="auto"/>
                <w:left w:val="none" w:sz="0" w:space="0" w:color="auto"/>
                <w:bottom w:val="none" w:sz="0" w:space="0" w:color="auto"/>
                <w:right w:val="none" w:sz="0" w:space="0" w:color="auto"/>
              </w:divBdr>
            </w:div>
            <w:div w:id="1583568711">
              <w:marLeft w:val="0"/>
              <w:marRight w:val="0"/>
              <w:marTop w:val="0"/>
              <w:marBottom w:val="0"/>
              <w:divBdr>
                <w:top w:val="none" w:sz="0" w:space="0" w:color="auto"/>
                <w:left w:val="none" w:sz="0" w:space="0" w:color="auto"/>
                <w:bottom w:val="none" w:sz="0" w:space="0" w:color="auto"/>
                <w:right w:val="none" w:sz="0" w:space="0" w:color="auto"/>
              </w:divBdr>
            </w:div>
            <w:div w:id="1827934131">
              <w:marLeft w:val="0"/>
              <w:marRight w:val="0"/>
              <w:marTop w:val="0"/>
              <w:marBottom w:val="0"/>
              <w:divBdr>
                <w:top w:val="none" w:sz="0" w:space="0" w:color="auto"/>
                <w:left w:val="none" w:sz="0" w:space="0" w:color="auto"/>
                <w:bottom w:val="none" w:sz="0" w:space="0" w:color="auto"/>
                <w:right w:val="none" w:sz="0" w:space="0" w:color="auto"/>
              </w:divBdr>
            </w:div>
            <w:div w:id="1974023539">
              <w:marLeft w:val="0"/>
              <w:marRight w:val="0"/>
              <w:marTop w:val="0"/>
              <w:marBottom w:val="0"/>
              <w:divBdr>
                <w:top w:val="none" w:sz="0" w:space="0" w:color="auto"/>
                <w:left w:val="none" w:sz="0" w:space="0" w:color="auto"/>
                <w:bottom w:val="none" w:sz="0" w:space="0" w:color="auto"/>
                <w:right w:val="none" w:sz="0" w:space="0" w:color="auto"/>
              </w:divBdr>
            </w:div>
            <w:div w:id="2086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3013">
      <w:bodyDiv w:val="1"/>
      <w:marLeft w:val="0"/>
      <w:marRight w:val="0"/>
      <w:marTop w:val="0"/>
      <w:marBottom w:val="0"/>
      <w:divBdr>
        <w:top w:val="none" w:sz="0" w:space="0" w:color="auto"/>
        <w:left w:val="none" w:sz="0" w:space="0" w:color="auto"/>
        <w:bottom w:val="none" w:sz="0" w:space="0" w:color="auto"/>
        <w:right w:val="none" w:sz="0" w:space="0" w:color="auto"/>
      </w:divBdr>
    </w:div>
    <w:div w:id="1170952718">
      <w:bodyDiv w:val="1"/>
      <w:marLeft w:val="0"/>
      <w:marRight w:val="0"/>
      <w:marTop w:val="0"/>
      <w:marBottom w:val="0"/>
      <w:divBdr>
        <w:top w:val="none" w:sz="0" w:space="0" w:color="auto"/>
        <w:left w:val="none" w:sz="0" w:space="0" w:color="auto"/>
        <w:bottom w:val="none" w:sz="0" w:space="0" w:color="auto"/>
        <w:right w:val="none" w:sz="0" w:space="0" w:color="auto"/>
      </w:divBdr>
    </w:div>
    <w:div w:id="1221861819">
      <w:bodyDiv w:val="1"/>
      <w:marLeft w:val="0"/>
      <w:marRight w:val="0"/>
      <w:marTop w:val="0"/>
      <w:marBottom w:val="0"/>
      <w:divBdr>
        <w:top w:val="none" w:sz="0" w:space="0" w:color="auto"/>
        <w:left w:val="none" w:sz="0" w:space="0" w:color="auto"/>
        <w:bottom w:val="none" w:sz="0" w:space="0" w:color="auto"/>
        <w:right w:val="none" w:sz="0" w:space="0" w:color="auto"/>
      </w:divBdr>
      <w:divsChild>
        <w:div w:id="2017225240">
          <w:marLeft w:val="0"/>
          <w:marRight w:val="0"/>
          <w:marTop w:val="0"/>
          <w:marBottom w:val="0"/>
          <w:divBdr>
            <w:top w:val="none" w:sz="0" w:space="0" w:color="auto"/>
            <w:left w:val="none" w:sz="0" w:space="0" w:color="auto"/>
            <w:bottom w:val="none" w:sz="0" w:space="0" w:color="auto"/>
            <w:right w:val="none" w:sz="0" w:space="0" w:color="auto"/>
          </w:divBdr>
          <w:divsChild>
            <w:div w:id="581447820">
              <w:marLeft w:val="0"/>
              <w:marRight w:val="0"/>
              <w:marTop w:val="0"/>
              <w:marBottom w:val="0"/>
              <w:divBdr>
                <w:top w:val="none" w:sz="0" w:space="0" w:color="auto"/>
                <w:left w:val="none" w:sz="0" w:space="0" w:color="auto"/>
                <w:bottom w:val="none" w:sz="0" w:space="0" w:color="auto"/>
                <w:right w:val="none" w:sz="0" w:space="0" w:color="auto"/>
              </w:divBdr>
              <w:divsChild>
                <w:div w:id="1405296263">
                  <w:marLeft w:val="0"/>
                  <w:marRight w:val="0"/>
                  <w:marTop w:val="0"/>
                  <w:marBottom w:val="0"/>
                  <w:divBdr>
                    <w:top w:val="none" w:sz="0" w:space="0" w:color="auto"/>
                    <w:left w:val="none" w:sz="0" w:space="0" w:color="auto"/>
                    <w:bottom w:val="none" w:sz="0" w:space="0" w:color="auto"/>
                    <w:right w:val="none" w:sz="0" w:space="0" w:color="auto"/>
                  </w:divBdr>
                  <w:divsChild>
                    <w:div w:id="1769353872">
                      <w:marLeft w:val="0"/>
                      <w:marRight w:val="0"/>
                      <w:marTop w:val="0"/>
                      <w:marBottom w:val="0"/>
                      <w:divBdr>
                        <w:top w:val="none" w:sz="0" w:space="0" w:color="auto"/>
                        <w:left w:val="none" w:sz="0" w:space="0" w:color="auto"/>
                        <w:bottom w:val="none" w:sz="0" w:space="0" w:color="auto"/>
                        <w:right w:val="none" w:sz="0" w:space="0" w:color="auto"/>
                      </w:divBdr>
                      <w:divsChild>
                        <w:div w:id="20824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58036">
      <w:bodyDiv w:val="1"/>
      <w:marLeft w:val="2847"/>
      <w:marRight w:val="837"/>
      <w:marTop w:val="0"/>
      <w:marBottom w:val="0"/>
      <w:divBdr>
        <w:top w:val="none" w:sz="0" w:space="0" w:color="auto"/>
        <w:left w:val="none" w:sz="0" w:space="0" w:color="auto"/>
        <w:bottom w:val="none" w:sz="0" w:space="0" w:color="auto"/>
        <w:right w:val="none" w:sz="0" w:space="0" w:color="auto"/>
      </w:divBdr>
      <w:divsChild>
        <w:div w:id="1571189917">
          <w:marLeft w:val="0"/>
          <w:marRight w:val="0"/>
          <w:marTop w:val="0"/>
          <w:marBottom w:val="0"/>
          <w:divBdr>
            <w:top w:val="none" w:sz="0" w:space="0" w:color="auto"/>
            <w:left w:val="none" w:sz="0" w:space="0" w:color="auto"/>
            <w:bottom w:val="none" w:sz="0" w:space="0" w:color="auto"/>
            <w:right w:val="none" w:sz="0" w:space="0" w:color="auto"/>
          </w:divBdr>
          <w:divsChild>
            <w:div w:id="1971016619">
              <w:marLeft w:val="0"/>
              <w:marRight w:val="0"/>
              <w:marTop w:val="0"/>
              <w:marBottom w:val="0"/>
              <w:divBdr>
                <w:top w:val="none" w:sz="0" w:space="0" w:color="auto"/>
                <w:left w:val="none" w:sz="0" w:space="0" w:color="auto"/>
                <w:bottom w:val="none" w:sz="0" w:space="0" w:color="auto"/>
                <w:right w:val="none" w:sz="0" w:space="0" w:color="auto"/>
              </w:divBdr>
              <w:divsChild>
                <w:div w:id="1679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464">
      <w:bodyDiv w:val="1"/>
      <w:marLeft w:val="0"/>
      <w:marRight w:val="0"/>
      <w:marTop w:val="0"/>
      <w:marBottom w:val="0"/>
      <w:divBdr>
        <w:top w:val="none" w:sz="0" w:space="0" w:color="auto"/>
        <w:left w:val="none" w:sz="0" w:space="0" w:color="auto"/>
        <w:bottom w:val="none" w:sz="0" w:space="0" w:color="auto"/>
        <w:right w:val="none" w:sz="0" w:space="0" w:color="auto"/>
      </w:divBdr>
      <w:divsChild>
        <w:div w:id="171652055">
          <w:marLeft w:val="0"/>
          <w:marRight w:val="0"/>
          <w:marTop w:val="100"/>
          <w:marBottom w:val="100"/>
          <w:divBdr>
            <w:top w:val="none" w:sz="0" w:space="0" w:color="auto"/>
            <w:left w:val="none" w:sz="0" w:space="0" w:color="auto"/>
            <w:bottom w:val="none" w:sz="0" w:space="0" w:color="auto"/>
            <w:right w:val="none" w:sz="0" w:space="0" w:color="auto"/>
          </w:divBdr>
          <w:divsChild>
            <w:div w:id="1216359114">
              <w:marLeft w:val="0"/>
              <w:marRight w:val="0"/>
              <w:marTop w:val="0"/>
              <w:marBottom w:val="0"/>
              <w:divBdr>
                <w:top w:val="none" w:sz="0" w:space="0" w:color="auto"/>
                <w:left w:val="none" w:sz="0" w:space="0" w:color="auto"/>
                <w:bottom w:val="none" w:sz="0" w:space="0" w:color="auto"/>
                <w:right w:val="none" w:sz="0" w:space="0" w:color="auto"/>
              </w:divBdr>
              <w:divsChild>
                <w:div w:id="1894540520">
                  <w:marLeft w:val="0"/>
                  <w:marRight w:val="0"/>
                  <w:marTop w:val="0"/>
                  <w:marBottom w:val="0"/>
                  <w:divBdr>
                    <w:top w:val="none" w:sz="0" w:space="0" w:color="auto"/>
                    <w:left w:val="none" w:sz="0" w:space="0" w:color="auto"/>
                    <w:bottom w:val="none" w:sz="0" w:space="0" w:color="auto"/>
                    <w:right w:val="none" w:sz="0" w:space="0" w:color="auto"/>
                  </w:divBdr>
                  <w:divsChild>
                    <w:div w:id="2040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29236">
      <w:bodyDiv w:val="1"/>
      <w:marLeft w:val="0"/>
      <w:marRight w:val="0"/>
      <w:marTop w:val="0"/>
      <w:marBottom w:val="0"/>
      <w:divBdr>
        <w:top w:val="none" w:sz="0" w:space="0" w:color="auto"/>
        <w:left w:val="none" w:sz="0" w:space="0" w:color="auto"/>
        <w:bottom w:val="none" w:sz="0" w:space="0" w:color="auto"/>
        <w:right w:val="none" w:sz="0" w:space="0" w:color="auto"/>
      </w:divBdr>
      <w:divsChild>
        <w:div w:id="192302865">
          <w:marLeft w:val="0"/>
          <w:marRight w:val="0"/>
          <w:marTop w:val="100"/>
          <w:marBottom w:val="100"/>
          <w:divBdr>
            <w:top w:val="none" w:sz="0" w:space="0" w:color="auto"/>
            <w:left w:val="none" w:sz="0" w:space="0" w:color="auto"/>
            <w:bottom w:val="none" w:sz="0" w:space="0" w:color="auto"/>
            <w:right w:val="none" w:sz="0" w:space="0" w:color="auto"/>
          </w:divBdr>
          <w:divsChild>
            <w:div w:id="755321841">
              <w:marLeft w:val="0"/>
              <w:marRight w:val="0"/>
              <w:marTop w:val="0"/>
              <w:marBottom w:val="0"/>
              <w:divBdr>
                <w:top w:val="none" w:sz="0" w:space="0" w:color="auto"/>
                <w:left w:val="none" w:sz="0" w:space="0" w:color="auto"/>
                <w:bottom w:val="none" w:sz="0" w:space="0" w:color="auto"/>
                <w:right w:val="none" w:sz="0" w:space="0" w:color="auto"/>
              </w:divBdr>
              <w:divsChild>
                <w:div w:id="1226646288">
                  <w:marLeft w:val="0"/>
                  <w:marRight w:val="0"/>
                  <w:marTop w:val="0"/>
                  <w:marBottom w:val="0"/>
                  <w:divBdr>
                    <w:top w:val="none" w:sz="0" w:space="0" w:color="auto"/>
                    <w:left w:val="none" w:sz="0" w:space="0" w:color="auto"/>
                    <w:bottom w:val="none" w:sz="0" w:space="0" w:color="auto"/>
                    <w:right w:val="none" w:sz="0" w:space="0" w:color="auto"/>
                  </w:divBdr>
                  <w:divsChild>
                    <w:div w:id="6724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1448">
      <w:bodyDiv w:val="1"/>
      <w:marLeft w:val="0"/>
      <w:marRight w:val="0"/>
      <w:marTop w:val="0"/>
      <w:marBottom w:val="0"/>
      <w:divBdr>
        <w:top w:val="none" w:sz="0" w:space="0" w:color="auto"/>
        <w:left w:val="none" w:sz="0" w:space="0" w:color="auto"/>
        <w:bottom w:val="none" w:sz="0" w:space="0" w:color="auto"/>
        <w:right w:val="none" w:sz="0" w:space="0" w:color="auto"/>
      </w:divBdr>
      <w:divsChild>
        <w:div w:id="1048381032">
          <w:marLeft w:val="4050"/>
          <w:marRight w:val="4050"/>
          <w:marTop w:val="0"/>
          <w:marBottom w:val="0"/>
          <w:divBdr>
            <w:top w:val="none" w:sz="0" w:space="0" w:color="auto"/>
            <w:left w:val="none" w:sz="0" w:space="0" w:color="auto"/>
            <w:bottom w:val="none" w:sz="0" w:space="0" w:color="auto"/>
            <w:right w:val="none" w:sz="0" w:space="0" w:color="auto"/>
          </w:divBdr>
          <w:divsChild>
            <w:div w:id="255600324">
              <w:marLeft w:val="-15"/>
              <w:marRight w:val="-15"/>
              <w:marTop w:val="75"/>
              <w:marBottom w:val="0"/>
              <w:divBdr>
                <w:top w:val="none" w:sz="0" w:space="0" w:color="auto"/>
                <w:left w:val="none" w:sz="0" w:space="0" w:color="auto"/>
                <w:bottom w:val="none" w:sz="0" w:space="0" w:color="auto"/>
                <w:right w:val="none" w:sz="0" w:space="0" w:color="auto"/>
              </w:divBdr>
            </w:div>
          </w:divsChild>
        </w:div>
      </w:divsChild>
    </w:div>
    <w:div w:id="1440757970">
      <w:bodyDiv w:val="1"/>
      <w:marLeft w:val="0"/>
      <w:marRight w:val="0"/>
      <w:marTop w:val="0"/>
      <w:marBottom w:val="0"/>
      <w:divBdr>
        <w:top w:val="none" w:sz="0" w:space="0" w:color="auto"/>
        <w:left w:val="none" w:sz="0" w:space="0" w:color="auto"/>
        <w:bottom w:val="none" w:sz="0" w:space="0" w:color="auto"/>
        <w:right w:val="none" w:sz="0" w:space="0" w:color="auto"/>
      </w:divBdr>
      <w:divsChild>
        <w:div w:id="2028827421">
          <w:marLeft w:val="0"/>
          <w:marRight w:val="0"/>
          <w:marTop w:val="100"/>
          <w:marBottom w:val="100"/>
          <w:divBdr>
            <w:top w:val="none" w:sz="0" w:space="0" w:color="auto"/>
            <w:left w:val="none" w:sz="0" w:space="0" w:color="auto"/>
            <w:bottom w:val="none" w:sz="0" w:space="0" w:color="auto"/>
            <w:right w:val="none" w:sz="0" w:space="0" w:color="auto"/>
          </w:divBdr>
          <w:divsChild>
            <w:div w:id="1672023661">
              <w:marLeft w:val="0"/>
              <w:marRight w:val="0"/>
              <w:marTop w:val="0"/>
              <w:marBottom w:val="0"/>
              <w:divBdr>
                <w:top w:val="none" w:sz="0" w:space="0" w:color="auto"/>
                <w:left w:val="none" w:sz="0" w:space="0" w:color="auto"/>
                <w:bottom w:val="none" w:sz="0" w:space="0" w:color="auto"/>
                <w:right w:val="none" w:sz="0" w:space="0" w:color="auto"/>
              </w:divBdr>
              <w:divsChild>
                <w:div w:id="1210386535">
                  <w:marLeft w:val="0"/>
                  <w:marRight w:val="0"/>
                  <w:marTop w:val="0"/>
                  <w:marBottom w:val="0"/>
                  <w:divBdr>
                    <w:top w:val="none" w:sz="0" w:space="0" w:color="auto"/>
                    <w:left w:val="none" w:sz="0" w:space="0" w:color="auto"/>
                    <w:bottom w:val="none" w:sz="0" w:space="0" w:color="auto"/>
                    <w:right w:val="none" w:sz="0" w:space="0" w:color="auto"/>
                  </w:divBdr>
                  <w:divsChild>
                    <w:div w:id="19643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7497">
      <w:bodyDiv w:val="1"/>
      <w:marLeft w:val="2847"/>
      <w:marRight w:val="837"/>
      <w:marTop w:val="0"/>
      <w:marBottom w:val="0"/>
      <w:divBdr>
        <w:top w:val="none" w:sz="0" w:space="0" w:color="auto"/>
        <w:left w:val="none" w:sz="0" w:space="0" w:color="auto"/>
        <w:bottom w:val="none" w:sz="0" w:space="0" w:color="auto"/>
        <w:right w:val="none" w:sz="0" w:space="0" w:color="auto"/>
      </w:divBdr>
      <w:divsChild>
        <w:div w:id="1622036665">
          <w:marLeft w:val="0"/>
          <w:marRight w:val="0"/>
          <w:marTop w:val="0"/>
          <w:marBottom w:val="0"/>
          <w:divBdr>
            <w:top w:val="none" w:sz="0" w:space="0" w:color="auto"/>
            <w:left w:val="none" w:sz="0" w:space="0" w:color="auto"/>
            <w:bottom w:val="none" w:sz="0" w:space="0" w:color="auto"/>
            <w:right w:val="none" w:sz="0" w:space="0" w:color="auto"/>
          </w:divBdr>
        </w:div>
      </w:divsChild>
    </w:div>
    <w:div w:id="1624847718">
      <w:bodyDiv w:val="1"/>
      <w:marLeft w:val="0"/>
      <w:marRight w:val="0"/>
      <w:marTop w:val="0"/>
      <w:marBottom w:val="0"/>
      <w:divBdr>
        <w:top w:val="none" w:sz="0" w:space="0" w:color="auto"/>
        <w:left w:val="none" w:sz="0" w:space="0" w:color="auto"/>
        <w:bottom w:val="none" w:sz="0" w:space="0" w:color="auto"/>
        <w:right w:val="none" w:sz="0" w:space="0" w:color="auto"/>
      </w:divBdr>
    </w:div>
    <w:div w:id="1629047676">
      <w:bodyDiv w:val="1"/>
      <w:marLeft w:val="0"/>
      <w:marRight w:val="0"/>
      <w:marTop w:val="0"/>
      <w:marBottom w:val="0"/>
      <w:divBdr>
        <w:top w:val="none" w:sz="0" w:space="0" w:color="auto"/>
        <w:left w:val="none" w:sz="0" w:space="0" w:color="auto"/>
        <w:bottom w:val="none" w:sz="0" w:space="0" w:color="auto"/>
        <w:right w:val="none" w:sz="0" w:space="0" w:color="auto"/>
      </w:divBdr>
      <w:divsChild>
        <w:div w:id="1257641531">
          <w:marLeft w:val="0"/>
          <w:marRight w:val="0"/>
          <w:marTop w:val="0"/>
          <w:marBottom w:val="0"/>
          <w:divBdr>
            <w:top w:val="none" w:sz="0" w:space="0" w:color="auto"/>
            <w:left w:val="none" w:sz="0" w:space="0" w:color="auto"/>
            <w:bottom w:val="none" w:sz="0" w:space="0" w:color="auto"/>
            <w:right w:val="none" w:sz="0" w:space="0" w:color="auto"/>
          </w:divBdr>
          <w:divsChild>
            <w:div w:id="1856730609">
              <w:marLeft w:val="0"/>
              <w:marRight w:val="0"/>
              <w:marTop w:val="0"/>
              <w:marBottom w:val="0"/>
              <w:divBdr>
                <w:top w:val="none" w:sz="0" w:space="0" w:color="auto"/>
                <w:left w:val="none" w:sz="0" w:space="0" w:color="auto"/>
                <w:bottom w:val="none" w:sz="0" w:space="0" w:color="auto"/>
                <w:right w:val="none" w:sz="0" w:space="0" w:color="auto"/>
              </w:divBdr>
              <w:divsChild>
                <w:div w:id="1847668505">
                  <w:marLeft w:val="0"/>
                  <w:marRight w:val="0"/>
                  <w:marTop w:val="0"/>
                  <w:marBottom w:val="0"/>
                  <w:divBdr>
                    <w:top w:val="none" w:sz="0" w:space="0" w:color="auto"/>
                    <w:left w:val="none" w:sz="0" w:space="0" w:color="auto"/>
                    <w:bottom w:val="none" w:sz="0" w:space="0" w:color="auto"/>
                    <w:right w:val="none" w:sz="0" w:space="0" w:color="auto"/>
                  </w:divBdr>
                  <w:divsChild>
                    <w:div w:id="1717049165">
                      <w:marLeft w:val="0"/>
                      <w:marRight w:val="0"/>
                      <w:marTop w:val="0"/>
                      <w:marBottom w:val="0"/>
                      <w:divBdr>
                        <w:top w:val="none" w:sz="0" w:space="0" w:color="auto"/>
                        <w:left w:val="none" w:sz="0" w:space="0" w:color="auto"/>
                        <w:bottom w:val="none" w:sz="0" w:space="0" w:color="auto"/>
                        <w:right w:val="none" w:sz="0" w:space="0" w:color="auto"/>
                      </w:divBdr>
                      <w:divsChild>
                        <w:div w:id="753088929">
                          <w:marLeft w:val="0"/>
                          <w:marRight w:val="0"/>
                          <w:marTop w:val="0"/>
                          <w:marBottom w:val="300"/>
                          <w:divBdr>
                            <w:top w:val="none" w:sz="0" w:space="0" w:color="auto"/>
                            <w:left w:val="none" w:sz="0" w:space="0" w:color="auto"/>
                            <w:bottom w:val="none" w:sz="0" w:space="0" w:color="auto"/>
                            <w:right w:val="none" w:sz="0" w:space="0" w:color="auto"/>
                          </w:divBdr>
                          <w:divsChild>
                            <w:div w:id="7235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20337">
      <w:bodyDiv w:val="1"/>
      <w:marLeft w:val="2847"/>
      <w:marRight w:val="837"/>
      <w:marTop w:val="0"/>
      <w:marBottom w:val="0"/>
      <w:divBdr>
        <w:top w:val="none" w:sz="0" w:space="0" w:color="auto"/>
        <w:left w:val="none" w:sz="0" w:space="0" w:color="auto"/>
        <w:bottom w:val="none" w:sz="0" w:space="0" w:color="auto"/>
        <w:right w:val="none" w:sz="0" w:space="0" w:color="auto"/>
      </w:divBdr>
      <w:divsChild>
        <w:div w:id="365522504">
          <w:marLeft w:val="0"/>
          <w:marRight w:val="0"/>
          <w:marTop w:val="0"/>
          <w:marBottom w:val="0"/>
          <w:divBdr>
            <w:top w:val="none" w:sz="0" w:space="0" w:color="auto"/>
            <w:left w:val="none" w:sz="0" w:space="0" w:color="auto"/>
            <w:bottom w:val="none" w:sz="0" w:space="0" w:color="auto"/>
            <w:right w:val="none" w:sz="0" w:space="0" w:color="auto"/>
          </w:divBdr>
        </w:div>
      </w:divsChild>
    </w:div>
    <w:div w:id="1653486724">
      <w:bodyDiv w:val="1"/>
      <w:marLeft w:val="0"/>
      <w:marRight w:val="0"/>
      <w:marTop w:val="0"/>
      <w:marBottom w:val="0"/>
      <w:divBdr>
        <w:top w:val="none" w:sz="0" w:space="0" w:color="auto"/>
        <w:left w:val="none" w:sz="0" w:space="0" w:color="auto"/>
        <w:bottom w:val="none" w:sz="0" w:space="0" w:color="auto"/>
        <w:right w:val="none" w:sz="0" w:space="0" w:color="auto"/>
      </w:divBdr>
      <w:divsChild>
        <w:div w:id="904339774">
          <w:marLeft w:val="0"/>
          <w:marRight w:val="0"/>
          <w:marTop w:val="0"/>
          <w:marBottom w:val="0"/>
          <w:divBdr>
            <w:top w:val="none" w:sz="0" w:space="0" w:color="auto"/>
            <w:left w:val="none" w:sz="0" w:space="0" w:color="auto"/>
            <w:bottom w:val="none" w:sz="0" w:space="0" w:color="auto"/>
            <w:right w:val="none" w:sz="0" w:space="0" w:color="auto"/>
          </w:divBdr>
          <w:divsChild>
            <w:div w:id="9254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0525">
      <w:bodyDiv w:val="1"/>
      <w:marLeft w:val="0"/>
      <w:marRight w:val="0"/>
      <w:marTop w:val="0"/>
      <w:marBottom w:val="0"/>
      <w:divBdr>
        <w:top w:val="none" w:sz="0" w:space="0" w:color="auto"/>
        <w:left w:val="none" w:sz="0" w:space="0" w:color="auto"/>
        <w:bottom w:val="none" w:sz="0" w:space="0" w:color="auto"/>
        <w:right w:val="none" w:sz="0" w:space="0" w:color="auto"/>
      </w:divBdr>
      <w:divsChild>
        <w:div w:id="772827696">
          <w:marLeft w:val="0"/>
          <w:marRight w:val="0"/>
          <w:marTop w:val="0"/>
          <w:marBottom w:val="0"/>
          <w:divBdr>
            <w:top w:val="none" w:sz="0" w:space="0" w:color="auto"/>
            <w:left w:val="none" w:sz="0" w:space="0" w:color="auto"/>
            <w:bottom w:val="none" w:sz="0" w:space="0" w:color="auto"/>
            <w:right w:val="none" w:sz="0" w:space="0" w:color="auto"/>
          </w:divBdr>
          <w:divsChild>
            <w:div w:id="2099985083">
              <w:marLeft w:val="0"/>
              <w:marRight w:val="0"/>
              <w:marTop w:val="0"/>
              <w:marBottom w:val="0"/>
              <w:divBdr>
                <w:top w:val="none" w:sz="0" w:space="0" w:color="auto"/>
                <w:left w:val="none" w:sz="0" w:space="0" w:color="auto"/>
                <w:bottom w:val="none" w:sz="0" w:space="0" w:color="auto"/>
                <w:right w:val="none" w:sz="0" w:space="0" w:color="auto"/>
              </w:divBdr>
              <w:divsChild>
                <w:div w:id="1948855302">
                  <w:marLeft w:val="0"/>
                  <w:marRight w:val="0"/>
                  <w:marTop w:val="0"/>
                  <w:marBottom w:val="0"/>
                  <w:divBdr>
                    <w:top w:val="none" w:sz="0" w:space="0" w:color="auto"/>
                    <w:left w:val="none" w:sz="0" w:space="0" w:color="auto"/>
                    <w:bottom w:val="none" w:sz="0" w:space="0" w:color="auto"/>
                    <w:right w:val="none" w:sz="0" w:space="0" w:color="auto"/>
                  </w:divBdr>
                  <w:divsChild>
                    <w:div w:id="1119645960">
                      <w:marLeft w:val="0"/>
                      <w:marRight w:val="0"/>
                      <w:marTop w:val="0"/>
                      <w:marBottom w:val="0"/>
                      <w:divBdr>
                        <w:top w:val="none" w:sz="0" w:space="0" w:color="auto"/>
                        <w:left w:val="none" w:sz="0" w:space="0" w:color="auto"/>
                        <w:bottom w:val="none" w:sz="0" w:space="0" w:color="auto"/>
                        <w:right w:val="none" w:sz="0" w:space="0" w:color="auto"/>
                      </w:divBdr>
                      <w:divsChild>
                        <w:div w:id="597830521">
                          <w:marLeft w:val="0"/>
                          <w:marRight w:val="0"/>
                          <w:marTop w:val="0"/>
                          <w:marBottom w:val="0"/>
                          <w:divBdr>
                            <w:top w:val="none" w:sz="0" w:space="0" w:color="auto"/>
                            <w:left w:val="none" w:sz="0" w:space="0" w:color="auto"/>
                            <w:bottom w:val="none" w:sz="0" w:space="0" w:color="auto"/>
                            <w:right w:val="none" w:sz="0" w:space="0" w:color="auto"/>
                          </w:divBdr>
                          <w:divsChild>
                            <w:div w:id="1863131740">
                              <w:marLeft w:val="0"/>
                              <w:marRight w:val="0"/>
                              <w:marTop w:val="0"/>
                              <w:marBottom w:val="150"/>
                              <w:divBdr>
                                <w:top w:val="none" w:sz="0" w:space="0" w:color="auto"/>
                                <w:left w:val="none" w:sz="0" w:space="0" w:color="auto"/>
                                <w:bottom w:val="none" w:sz="0" w:space="0" w:color="auto"/>
                                <w:right w:val="none" w:sz="0" w:space="0" w:color="auto"/>
                              </w:divBdr>
                              <w:divsChild>
                                <w:div w:id="344327998">
                                  <w:marLeft w:val="0"/>
                                  <w:marRight w:val="0"/>
                                  <w:marTop w:val="0"/>
                                  <w:marBottom w:val="0"/>
                                  <w:divBdr>
                                    <w:top w:val="single" w:sz="2" w:space="11" w:color="CCCCCC"/>
                                    <w:left w:val="single" w:sz="6" w:space="11" w:color="CCCCCC"/>
                                    <w:bottom w:val="single" w:sz="2" w:space="8" w:color="CCCCCC"/>
                                    <w:right w:val="single" w:sz="6" w:space="11" w:color="CCCCCC"/>
                                  </w:divBdr>
                                  <w:divsChild>
                                    <w:div w:id="457069311">
                                      <w:marLeft w:val="0"/>
                                      <w:marRight w:val="0"/>
                                      <w:marTop w:val="0"/>
                                      <w:marBottom w:val="150"/>
                                      <w:divBdr>
                                        <w:top w:val="none" w:sz="0" w:space="0" w:color="auto"/>
                                        <w:left w:val="none" w:sz="0" w:space="0" w:color="auto"/>
                                        <w:bottom w:val="none" w:sz="0" w:space="0" w:color="auto"/>
                                        <w:right w:val="none" w:sz="0" w:space="0" w:color="auto"/>
                                      </w:divBdr>
                                    </w:div>
                                    <w:div w:id="459540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038746">
      <w:bodyDiv w:val="1"/>
      <w:marLeft w:val="0"/>
      <w:marRight w:val="0"/>
      <w:marTop w:val="0"/>
      <w:marBottom w:val="0"/>
      <w:divBdr>
        <w:top w:val="none" w:sz="0" w:space="0" w:color="auto"/>
        <w:left w:val="none" w:sz="0" w:space="0" w:color="auto"/>
        <w:bottom w:val="none" w:sz="0" w:space="0" w:color="auto"/>
        <w:right w:val="none" w:sz="0" w:space="0" w:color="auto"/>
      </w:divBdr>
      <w:divsChild>
        <w:div w:id="1674261333">
          <w:marLeft w:val="0"/>
          <w:marRight w:val="0"/>
          <w:marTop w:val="100"/>
          <w:marBottom w:val="100"/>
          <w:divBdr>
            <w:top w:val="none" w:sz="0" w:space="0" w:color="auto"/>
            <w:left w:val="none" w:sz="0" w:space="0" w:color="auto"/>
            <w:bottom w:val="none" w:sz="0" w:space="0" w:color="auto"/>
            <w:right w:val="none" w:sz="0" w:space="0" w:color="auto"/>
          </w:divBdr>
          <w:divsChild>
            <w:div w:id="1987735372">
              <w:marLeft w:val="0"/>
              <w:marRight w:val="0"/>
              <w:marTop w:val="0"/>
              <w:marBottom w:val="0"/>
              <w:divBdr>
                <w:top w:val="none" w:sz="0" w:space="0" w:color="auto"/>
                <w:left w:val="none" w:sz="0" w:space="0" w:color="auto"/>
                <w:bottom w:val="none" w:sz="0" w:space="0" w:color="auto"/>
                <w:right w:val="none" w:sz="0" w:space="0" w:color="auto"/>
              </w:divBdr>
              <w:divsChild>
                <w:div w:id="1816675169">
                  <w:marLeft w:val="0"/>
                  <w:marRight w:val="0"/>
                  <w:marTop w:val="0"/>
                  <w:marBottom w:val="0"/>
                  <w:divBdr>
                    <w:top w:val="none" w:sz="0" w:space="0" w:color="auto"/>
                    <w:left w:val="none" w:sz="0" w:space="0" w:color="auto"/>
                    <w:bottom w:val="none" w:sz="0" w:space="0" w:color="auto"/>
                    <w:right w:val="none" w:sz="0" w:space="0" w:color="auto"/>
                  </w:divBdr>
                  <w:divsChild>
                    <w:div w:id="1240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3386">
      <w:bodyDiv w:val="1"/>
      <w:marLeft w:val="0"/>
      <w:marRight w:val="0"/>
      <w:marTop w:val="0"/>
      <w:marBottom w:val="0"/>
      <w:divBdr>
        <w:top w:val="none" w:sz="0" w:space="0" w:color="auto"/>
        <w:left w:val="none" w:sz="0" w:space="0" w:color="auto"/>
        <w:bottom w:val="none" w:sz="0" w:space="0" w:color="auto"/>
        <w:right w:val="none" w:sz="0" w:space="0" w:color="auto"/>
      </w:divBdr>
      <w:divsChild>
        <w:div w:id="1465734483">
          <w:marLeft w:val="0"/>
          <w:marRight w:val="0"/>
          <w:marTop w:val="100"/>
          <w:marBottom w:val="100"/>
          <w:divBdr>
            <w:top w:val="none" w:sz="0" w:space="0" w:color="auto"/>
            <w:left w:val="none" w:sz="0" w:space="0" w:color="auto"/>
            <w:bottom w:val="none" w:sz="0" w:space="0" w:color="auto"/>
            <w:right w:val="none" w:sz="0" w:space="0" w:color="auto"/>
          </w:divBdr>
          <w:divsChild>
            <w:div w:id="114107460">
              <w:marLeft w:val="0"/>
              <w:marRight w:val="0"/>
              <w:marTop w:val="0"/>
              <w:marBottom w:val="0"/>
              <w:divBdr>
                <w:top w:val="none" w:sz="0" w:space="0" w:color="auto"/>
                <w:left w:val="none" w:sz="0" w:space="0" w:color="auto"/>
                <w:bottom w:val="none" w:sz="0" w:space="0" w:color="auto"/>
                <w:right w:val="none" w:sz="0" w:space="0" w:color="auto"/>
              </w:divBdr>
              <w:divsChild>
                <w:div w:id="1166480906">
                  <w:marLeft w:val="0"/>
                  <w:marRight w:val="0"/>
                  <w:marTop w:val="0"/>
                  <w:marBottom w:val="0"/>
                  <w:divBdr>
                    <w:top w:val="none" w:sz="0" w:space="0" w:color="auto"/>
                    <w:left w:val="none" w:sz="0" w:space="0" w:color="auto"/>
                    <w:bottom w:val="none" w:sz="0" w:space="0" w:color="auto"/>
                    <w:right w:val="none" w:sz="0" w:space="0" w:color="auto"/>
                  </w:divBdr>
                  <w:divsChild>
                    <w:div w:id="8827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0833">
      <w:bodyDiv w:val="1"/>
      <w:marLeft w:val="0"/>
      <w:marRight w:val="0"/>
      <w:marTop w:val="0"/>
      <w:marBottom w:val="0"/>
      <w:divBdr>
        <w:top w:val="none" w:sz="0" w:space="0" w:color="auto"/>
        <w:left w:val="none" w:sz="0" w:space="0" w:color="auto"/>
        <w:bottom w:val="none" w:sz="0" w:space="0" w:color="auto"/>
        <w:right w:val="none" w:sz="0" w:space="0" w:color="auto"/>
      </w:divBdr>
    </w:div>
    <w:div w:id="1731608829">
      <w:bodyDiv w:val="1"/>
      <w:marLeft w:val="0"/>
      <w:marRight w:val="0"/>
      <w:marTop w:val="0"/>
      <w:marBottom w:val="0"/>
      <w:divBdr>
        <w:top w:val="none" w:sz="0" w:space="0" w:color="auto"/>
        <w:left w:val="none" w:sz="0" w:space="0" w:color="auto"/>
        <w:bottom w:val="none" w:sz="0" w:space="0" w:color="auto"/>
        <w:right w:val="none" w:sz="0" w:space="0" w:color="auto"/>
      </w:divBdr>
    </w:div>
    <w:div w:id="1791896825">
      <w:bodyDiv w:val="1"/>
      <w:marLeft w:val="0"/>
      <w:marRight w:val="0"/>
      <w:marTop w:val="0"/>
      <w:marBottom w:val="0"/>
      <w:divBdr>
        <w:top w:val="none" w:sz="0" w:space="0" w:color="auto"/>
        <w:left w:val="none" w:sz="0" w:space="0" w:color="auto"/>
        <w:bottom w:val="none" w:sz="0" w:space="0" w:color="auto"/>
        <w:right w:val="none" w:sz="0" w:space="0" w:color="auto"/>
      </w:divBdr>
      <w:divsChild>
        <w:div w:id="231157806">
          <w:marLeft w:val="0"/>
          <w:marRight w:val="0"/>
          <w:marTop w:val="0"/>
          <w:marBottom w:val="0"/>
          <w:divBdr>
            <w:top w:val="none" w:sz="0" w:space="0" w:color="auto"/>
            <w:left w:val="none" w:sz="0" w:space="0" w:color="auto"/>
            <w:bottom w:val="none" w:sz="0" w:space="0" w:color="auto"/>
            <w:right w:val="none" w:sz="0" w:space="0" w:color="auto"/>
          </w:divBdr>
          <w:divsChild>
            <w:div w:id="976646576">
              <w:marLeft w:val="0"/>
              <w:marRight w:val="0"/>
              <w:marTop w:val="0"/>
              <w:marBottom w:val="0"/>
              <w:divBdr>
                <w:top w:val="none" w:sz="0" w:space="0" w:color="auto"/>
                <w:left w:val="none" w:sz="0" w:space="0" w:color="auto"/>
                <w:bottom w:val="none" w:sz="0" w:space="0" w:color="auto"/>
                <w:right w:val="none" w:sz="0" w:space="0" w:color="auto"/>
              </w:divBdr>
              <w:divsChild>
                <w:div w:id="664894638">
                  <w:marLeft w:val="0"/>
                  <w:marRight w:val="0"/>
                  <w:marTop w:val="0"/>
                  <w:marBottom w:val="0"/>
                  <w:divBdr>
                    <w:top w:val="none" w:sz="0" w:space="0" w:color="auto"/>
                    <w:left w:val="none" w:sz="0" w:space="0" w:color="auto"/>
                    <w:bottom w:val="none" w:sz="0" w:space="0" w:color="auto"/>
                    <w:right w:val="none" w:sz="0" w:space="0" w:color="auto"/>
                  </w:divBdr>
                  <w:divsChild>
                    <w:div w:id="1320578834">
                      <w:marLeft w:val="0"/>
                      <w:marRight w:val="0"/>
                      <w:marTop w:val="0"/>
                      <w:marBottom w:val="0"/>
                      <w:divBdr>
                        <w:top w:val="none" w:sz="0" w:space="0" w:color="auto"/>
                        <w:left w:val="none" w:sz="0" w:space="0" w:color="auto"/>
                        <w:bottom w:val="none" w:sz="0" w:space="0" w:color="auto"/>
                        <w:right w:val="none" w:sz="0" w:space="0" w:color="auto"/>
                      </w:divBdr>
                      <w:divsChild>
                        <w:div w:id="2035642771">
                          <w:marLeft w:val="0"/>
                          <w:marRight w:val="0"/>
                          <w:marTop w:val="0"/>
                          <w:marBottom w:val="0"/>
                          <w:divBdr>
                            <w:top w:val="none" w:sz="0" w:space="0" w:color="auto"/>
                            <w:left w:val="none" w:sz="0" w:space="0" w:color="auto"/>
                            <w:bottom w:val="none" w:sz="0" w:space="0" w:color="auto"/>
                            <w:right w:val="none" w:sz="0" w:space="0" w:color="auto"/>
                          </w:divBdr>
                          <w:divsChild>
                            <w:div w:id="533932472">
                              <w:marLeft w:val="0"/>
                              <w:marRight w:val="0"/>
                              <w:marTop w:val="0"/>
                              <w:marBottom w:val="0"/>
                              <w:divBdr>
                                <w:top w:val="none" w:sz="0" w:space="0" w:color="auto"/>
                                <w:left w:val="none" w:sz="0" w:space="0" w:color="auto"/>
                                <w:bottom w:val="none" w:sz="0" w:space="0" w:color="auto"/>
                                <w:right w:val="none" w:sz="0" w:space="0" w:color="auto"/>
                              </w:divBdr>
                              <w:divsChild>
                                <w:div w:id="26487541">
                                  <w:marLeft w:val="0"/>
                                  <w:marRight w:val="0"/>
                                  <w:marTop w:val="0"/>
                                  <w:marBottom w:val="0"/>
                                  <w:divBdr>
                                    <w:top w:val="none" w:sz="0" w:space="0" w:color="auto"/>
                                    <w:left w:val="none" w:sz="0" w:space="0" w:color="auto"/>
                                    <w:bottom w:val="none" w:sz="0" w:space="0" w:color="auto"/>
                                    <w:right w:val="none" w:sz="0" w:space="0" w:color="auto"/>
                                  </w:divBdr>
                                  <w:divsChild>
                                    <w:div w:id="116798494">
                                      <w:marLeft w:val="0"/>
                                      <w:marRight w:val="0"/>
                                      <w:marTop w:val="0"/>
                                      <w:marBottom w:val="0"/>
                                      <w:divBdr>
                                        <w:top w:val="none" w:sz="0" w:space="0" w:color="auto"/>
                                        <w:left w:val="none" w:sz="0" w:space="0" w:color="auto"/>
                                        <w:bottom w:val="none" w:sz="0" w:space="0" w:color="auto"/>
                                        <w:right w:val="none" w:sz="0" w:space="0" w:color="auto"/>
                                      </w:divBdr>
                                    </w:div>
                                    <w:div w:id="202641530">
                                      <w:marLeft w:val="0"/>
                                      <w:marRight w:val="0"/>
                                      <w:marTop w:val="0"/>
                                      <w:marBottom w:val="0"/>
                                      <w:divBdr>
                                        <w:top w:val="none" w:sz="0" w:space="0" w:color="auto"/>
                                        <w:left w:val="none" w:sz="0" w:space="0" w:color="auto"/>
                                        <w:bottom w:val="none" w:sz="0" w:space="0" w:color="auto"/>
                                        <w:right w:val="none" w:sz="0" w:space="0" w:color="auto"/>
                                      </w:divBdr>
                                    </w:div>
                                    <w:div w:id="648629627">
                                      <w:marLeft w:val="0"/>
                                      <w:marRight w:val="0"/>
                                      <w:marTop w:val="0"/>
                                      <w:marBottom w:val="0"/>
                                      <w:divBdr>
                                        <w:top w:val="none" w:sz="0" w:space="0" w:color="auto"/>
                                        <w:left w:val="none" w:sz="0" w:space="0" w:color="auto"/>
                                        <w:bottom w:val="none" w:sz="0" w:space="0" w:color="auto"/>
                                        <w:right w:val="none" w:sz="0" w:space="0" w:color="auto"/>
                                      </w:divBdr>
                                    </w:div>
                                    <w:div w:id="940720893">
                                      <w:marLeft w:val="0"/>
                                      <w:marRight w:val="0"/>
                                      <w:marTop w:val="0"/>
                                      <w:marBottom w:val="0"/>
                                      <w:divBdr>
                                        <w:top w:val="none" w:sz="0" w:space="0" w:color="auto"/>
                                        <w:left w:val="none" w:sz="0" w:space="0" w:color="auto"/>
                                        <w:bottom w:val="none" w:sz="0" w:space="0" w:color="auto"/>
                                        <w:right w:val="none" w:sz="0" w:space="0" w:color="auto"/>
                                      </w:divBdr>
                                    </w:div>
                                    <w:div w:id="9863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99830">
      <w:bodyDiv w:val="1"/>
      <w:marLeft w:val="0"/>
      <w:marRight w:val="0"/>
      <w:marTop w:val="0"/>
      <w:marBottom w:val="0"/>
      <w:divBdr>
        <w:top w:val="none" w:sz="0" w:space="0" w:color="auto"/>
        <w:left w:val="none" w:sz="0" w:space="0" w:color="auto"/>
        <w:bottom w:val="none" w:sz="0" w:space="0" w:color="auto"/>
        <w:right w:val="none" w:sz="0" w:space="0" w:color="auto"/>
      </w:divBdr>
      <w:divsChild>
        <w:div w:id="620460327">
          <w:marLeft w:val="469"/>
          <w:marRight w:val="469"/>
          <w:marTop w:val="251"/>
          <w:marBottom w:val="0"/>
          <w:divBdr>
            <w:top w:val="none" w:sz="0" w:space="0" w:color="auto"/>
            <w:left w:val="none" w:sz="0" w:space="0" w:color="auto"/>
            <w:bottom w:val="none" w:sz="0" w:space="0" w:color="auto"/>
            <w:right w:val="none" w:sz="0" w:space="0" w:color="auto"/>
          </w:divBdr>
        </w:div>
      </w:divsChild>
    </w:div>
    <w:div w:id="1872375917">
      <w:bodyDiv w:val="1"/>
      <w:marLeft w:val="0"/>
      <w:marRight w:val="0"/>
      <w:marTop w:val="0"/>
      <w:marBottom w:val="0"/>
      <w:divBdr>
        <w:top w:val="none" w:sz="0" w:space="0" w:color="auto"/>
        <w:left w:val="none" w:sz="0" w:space="0" w:color="auto"/>
        <w:bottom w:val="none" w:sz="0" w:space="0" w:color="auto"/>
        <w:right w:val="none" w:sz="0" w:space="0" w:color="auto"/>
      </w:divBdr>
      <w:divsChild>
        <w:div w:id="552499285">
          <w:marLeft w:val="0"/>
          <w:marRight w:val="0"/>
          <w:marTop w:val="0"/>
          <w:marBottom w:val="0"/>
          <w:divBdr>
            <w:top w:val="none" w:sz="0" w:space="0" w:color="auto"/>
            <w:left w:val="none" w:sz="0" w:space="0" w:color="auto"/>
            <w:bottom w:val="none" w:sz="0" w:space="0" w:color="auto"/>
            <w:right w:val="none" w:sz="0" w:space="0" w:color="auto"/>
          </w:divBdr>
          <w:divsChild>
            <w:div w:id="2106916888">
              <w:marLeft w:val="234"/>
              <w:marRight w:val="218"/>
              <w:marTop w:val="33"/>
              <w:marBottom w:val="0"/>
              <w:divBdr>
                <w:top w:val="none" w:sz="0" w:space="0" w:color="auto"/>
                <w:left w:val="none" w:sz="0" w:space="0" w:color="auto"/>
                <w:bottom w:val="none" w:sz="0" w:space="0" w:color="auto"/>
                <w:right w:val="none" w:sz="0" w:space="0" w:color="auto"/>
              </w:divBdr>
              <w:divsChild>
                <w:div w:id="757403812">
                  <w:marLeft w:val="33"/>
                  <w:marRight w:val="0"/>
                  <w:marTop w:val="0"/>
                  <w:marBottom w:val="0"/>
                  <w:divBdr>
                    <w:top w:val="none" w:sz="0" w:space="0" w:color="auto"/>
                    <w:left w:val="none" w:sz="0" w:space="0" w:color="auto"/>
                    <w:bottom w:val="none" w:sz="0" w:space="0" w:color="auto"/>
                    <w:right w:val="none" w:sz="0" w:space="0" w:color="auto"/>
                  </w:divBdr>
                  <w:divsChild>
                    <w:div w:id="413665538">
                      <w:marLeft w:val="285"/>
                      <w:marRight w:val="2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8262">
      <w:bodyDiv w:val="1"/>
      <w:marLeft w:val="0"/>
      <w:marRight w:val="0"/>
      <w:marTop w:val="0"/>
      <w:marBottom w:val="0"/>
      <w:divBdr>
        <w:top w:val="none" w:sz="0" w:space="0" w:color="auto"/>
        <w:left w:val="none" w:sz="0" w:space="0" w:color="auto"/>
        <w:bottom w:val="none" w:sz="0" w:space="0" w:color="auto"/>
        <w:right w:val="none" w:sz="0" w:space="0" w:color="auto"/>
      </w:divBdr>
      <w:divsChild>
        <w:div w:id="652299930">
          <w:marLeft w:val="0"/>
          <w:marRight w:val="0"/>
          <w:marTop w:val="0"/>
          <w:marBottom w:val="0"/>
          <w:divBdr>
            <w:top w:val="none" w:sz="0" w:space="0" w:color="auto"/>
            <w:left w:val="none" w:sz="0" w:space="0" w:color="auto"/>
            <w:bottom w:val="none" w:sz="0" w:space="0" w:color="auto"/>
            <w:right w:val="none" w:sz="0" w:space="0" w:color="auto"/>
          </w:divBdr>
          <w:divsChild>
            <w:div w:id="210383656">
              <w:marLeft w:val="0"/>
              <w:marRight w:val="0"/>
              <w:marTop w:val="0"/>
              <w:marBottom w:val="0"/>
              <w:divBdr>
                <w:top w:val="none" w:sz="0" w:space="0" w:color="auto"/>
                <w:left w:val="none" w:sz="0" w:space="0" w:color="auto"/>
                <w:bottom w:val="none" w:sz="0" w:space="0" w:color="auto"/>
                <w:right w:val="none" w:sz="0" w:space="0" w:color="auto"/>
              </w:divBdr>
              <w:divsChild>
                <w:div w:id="175272571">
                  <w:marLeft w:val="0"/>
                  <w:marRight w:val="0"/>
                  <w:marTop w:val="0"/>
                  <w:marBottom w:val="0"/>
                  <w:divBdr>
                    <w:top w:val="none" w:sz="0" w:space="0" w:color="auto"/>
                    <w:left w:val="none" w:sz="0" w:space="0" w:color="auto"/>
                    <w:bottom w:val="none" w:sz="0" w:space="0" w:color="auto"/>
                    <w:right w:val="none" w:sz="0" w:space="0" w:color="auto"/>
                  </w:divBdr>
                  <w:divsChild>
                    <w:div w:id="1384792416">
                      <w:marLeft w:val="0"/>
                      <w:marRight w:val="0"/>
                      <w:marTop w:val="0"/>
                      <w:marBottom w:val="0"/>
                      <w:divBdr>
                        <w:top w:val="none" w:sz="0" w:space="0" w:color="auto"/>
                        <w:left w:val="none" w:sz="0" w:space="0" w:color="auto"/>
                        <w:bottom w:val="none" w:sz="0" w:space="0" w:color="auto"/>
                        <w:right w:val="none" w:sz="0" w:space="0" w:color="auto"/>
                      </w:divBdr>
                      <w:divsChild>
                        <w:div w:id="18445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4803">
      <w:bodyDiv w:val="1"/>
      <w:marLeft w:val="0"/>
      <w:marRight w:val="0"/>
      <w:marTop w:val="0"/>
      <w:marBottom w:val="0"/>
      <w:divBdr>
        <w:top w:val="none" w:sz="0" w:space="0" w:color="auto"/>
        <w:left w:val="none" w:sz="0" w:space="0" w:color="auto"/>
        <w:bottom w:val="none" w:sz="0" w:space="0" w:color="auto"/>
        <w:right w:val="none" w:sz="0" w:space="0" w:color="auto"/>
      </w:divBdr>
    </w:div>
    <w:div w:id="2030794854">
      <w:bodyDiv w:val="1"/>
      <w:marLeft w:val="0"/>
      <w:marRight w:val="0"/>
      <w:marTop w:val="0"/>
      <w:marBottom w:val="0"/>
      <w:divBdr>
        <w:top w:val="none" w:sz="0" w:space="0" w:color="auto"/>
        <w:left w:val="none" w:sz="0" w:space="0" w:color="auto"/>
        <w:bottom w:val="none" w:sz="0" w:space="0" w:color="auto"/>
        <w:right w:val="none" w:sz="0" w:space="0" w:color="auto"/>
      </w:divBdr>
      <w:divsChild>
        <w:div w:id="177698661">
          <w:marLeft w:val="0"/>
          <w:marRight w:val="0"/>
          <w:marTop w:val="100"/>
          <w:marBottom w:val="100"/>
          <w:divBdr>
            <w:top w:val="none" w:sz="0" w:space="0" w:color="auto"/>
            <w:left w:val="none" w:sz="0" w:space="0" w:color="auto"/>
            <w:bottom w:val="none" w:sz="0" w:space="0" w:color="auto"/>
            <w:right w:val="none" w:sz="0" w:space="0" w:color="auto"/>
          </w:divBdr>
          <w:divsChild>
            <w:div w:id="1614508807">
              <w:marLeft w:val="0"/>
              <w:marRight w:val="0"/>
              <w:marTop w:val="0"/>
              <w:marBottom w:val="0"/>
              <w:divBdr>
                <w:top w:val="none" w:sz="0" w:space="0" w:color="auto"/>
                <w:left w:val="none" w:sz="0" w:space="0" w:color="auto"/>
                <w:bottom w:val="none" w:sz="0" w:space="0" w:color="auto"/>
                <w:right w:val="none" w:sz="0" w:space="0" w:color="auto"/>
              </w:divBdr>
              <w:divsChild>
                <w:div w:id="157354180">
                  <w:marLeft w:val="0"/>
                  <w:marRight w:val="0"/>
                  <w:marTop w:val="0"/>
                  <w:marBottom w:val="0"/>
                  <w:divBdr>
                    <w:top w:val="none" w:sz="0" w:space="0" w:color="auto"/>
                    <w:left w:val="none" w:sz="0" w:space="0" w:color="auto"/>
                    <w:bottom w:val="none" w:sz="0" w:space="0" w:color="auto"/>
                    <w:right w:val="none" w:sz="0" w:space="0" w:color="auto"/>
                  </w:divBdr>
                  <w:divsChild>
                    <w:div w:id="2069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5270">
      <w:bodyDiv w:val="1"/>
      <w:marLeft w:val="0"/>
      <w:marRight w:val="0"/>
      <w:marTop w:val="0"/>
      <w:marBottom w:val="0"/>
      <w:divBdr>
        <w:top w:val="none" w:sz="0" w:space="0" w:color="auto"/>
        <w:left w:val="none" w:sz="0" w:space="0" w:color="auto"/>
        <w:bottom w:val="none" w:sz="0" w:space="0" w:color="auto"/>
        <w:right w:val="none" w:sz="0" w:space="0" w:color="auto"/>
      </w:divBdr>
      <w:divsChild>
        <w:div w:id="1466967529">
          <w:marLeft w:val="0"/>
          <w:marRight w:val="0"/>
          <w:marTop w:val="100"/>
          <w:marBottom w:val="100"/>
          <w:divBdr>
            <w:top w:val="none" w:sz="0" w:space="0" w:color="auto"/>
            <w:left w:val="none" w:sz="0" w:space="0" w:color="auto"/>
            <w:bottom w:val="none" w:sz="0" w:space="0" w:color="auto"/>
            <w:right w:val="none" w:sz="0" w:space="0" w:color="auto"/>
          </w:divBdr>
          <w:divsChild>
            <w:div w:id="1771774283">
              <w:marLeft w:val="0"/>
              <w:marRight w:val="0"/>
              <w:marTop w:val="0"/>
              <w:marBottom w:val="0"/>
              <w:divBdr>
                <w:top w:val="none" w:sz="0" w:space="0" w:color="auto"/>
                <w:left w:val="none" w:sz="0" w:space="0" w:color="auto"/>
                <w:bottom w:val="none" w:sz="0" w:space="0" w:color="auto"/>
                <w:right w:val="none" w:sz="0" w:space="0" w:color="auto"/>
              </w:divBdr>
              <w:divsChild>
                <w:div w:id="980814631">
                  <w:marLeft w:val="0"/>
                  <w:marRight w:val="0"/>
                  <w:marTop w:val="0"/>
                  <w:marBottom w:val="0"/>
                  <w:divBdr>
                    <w:top w:val="none" w:sz="0" w:space="0" w:color="auto"/>
                    <w:left w:val="none" w:sz="0" w:space="0" w:color="auto"/>
                    <w:bottom w:val="none" w:sz="0" w:space="0" w:color="auto"/>
                    <w:right w:val="none" w:sz="0" w:space="0" w:color="auto"/>
                  </w:divBdr>
                  <w:divsChild>
                    <w:div w:id="7694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82723">
      <w:bodyDiv w:val="1"/>
      <w:marLeft w:val="0"/>
      <w:marRight w:val="0"/>
      <w:marTop w:val="0"/>
      <w:marBottom w:val="0"/>
      <w:divBdr>
        <w:top w:val="none" w:sz="0" w:space="0" w:color="auto"/>
        <w:left w:val="none" w:sz="0" w:space="0" w:color="auto"/>
        <w:bottom w:val="none" w:sz="0" w:space="0" w:color="auto"/>
        <w:right w:val="none" w:sz="0" w:space="0" w:color="auto"/>
      </w:divBdr>
      <w:divsChild>
        <w:div w:id="680473366">
          <w:marLeft w:val="0"/>
          <w:marRight w:val="0"/>
          <w:marTop w:val="0"/>
          <w:marBottom w:val="0"/>
          <w:divBdr>
            <w:top w:val="none" w:sz="0" w:space="0" w:color="auto"/>
            <w:left w:val="none" w:sz="0" w:space="0" w:color="auto"/>
            <w:bottom w:val="none" w:sz="0" w:space="0" w:color="auto"/>
            <w:right w:val="none" w:sz="0" w:space="0" w:color="auto"/>
          </w:divBdr>
          <w:divsChild>
            <w:div w:id="8914745">
              <w:marLeft w:val="0"/>
              <w:marRight w:val="0"/>
              <w:marTop w:val="0"/>
              <w:marBottom w:val="0"/>
              <w:divBdr>
                <w:top w:val="none" w:sz="0" w:space="0" w:color="auto"/>
                <w:left w:val="none" w:sz="0" w:space="0" w:color="auto"/>
                <w:bottom w:val="none" w:sz="0" w:space="0" w:color="auto"/>
                <w:right w:val="none" w:sz="0" w:space="0" w:color="auto"/>
              </w:divBdr>
              <w:divsChild>
                <w:div w:id="734549765">
                  <w:marLeft w:val="0"/>
                  <w:marRight w:val="0"/>
                  <w:marTop w:val="0"/>
                  <w:marBottom w:val="0"/>
                  <w:divBdr>
                    <w:top w:val="none" w:sz="0" w:space="0" w:color="auto"/>
                    <w:left w:val="none" w:sz="0" w:space="0" w:color="auto"/>
                    <w:bottom w:val="none" w:sz="0" w:space="0" w:color="auto"/>
                    <w:right w:val="none" w:sz="0" w:space="0" w:color="auto"/>
                  </w:divBdr>
                  <w:divsChild>
                    <w:div w:id="1217085679">
                      <w:marLeft w:val="0"/>
                      <w:marRight w:val="0"/>
                      <w:marTop w:val="0"/>
                      <w:marBottom w:val="0"/>
                      <w:divBdr>
                        <w:top w:val="none" w:sz="0" w:space="0" w:color="auto"/>
                        <w:left w:val="none" w:sz="0" w:space="0" w:color="auto"/>
                        <w:bottom w:val="none" w:sz="0" w:space="0" w:color="auto"/>
                        <w:right w:val="none" w:sz="0" w:space="0" w:color="auto"/>
                      </w:divBdr>
                      <w:divsChild>
                        <w:div w:id="223874961">
                          <w:marLeft w:val="0"/>
                          <w:marRight w:val="0"/>
                          <w:marTop w:val="0"/>
                          <w:marBottom w:val="0"/>
                          <w:divBdr>
                            <w:top w:val="none" w:sz="0" w:space="0" w:color="auto"/>
                            <w:left w:val="none" w:sz="0" w:space="0" w:color="auto"/>
                            <w:bottom w:val="none" w:sz="0" w:space="0" w:color="auto"/>
                            <w:right w:val="none" w:sz="0" w:space="0" w:color="auto"/>
                          </w:divBdr>
                          <w:divsChild>
                            <w:div w:id="1063334696">
                              <w:marLeft w:val="0"/>
                              <w:marRight w:val="0"/>
                              <w:marTop w:val="0"/>
                              <w:marBottom w:val="150"/>
                              <w:divBdr>
                                <w:top w:val="none" w:sz="0" w:space="0" w:color="auto"/>
                                <w:left w:val="none" w:sz="0" w:space="0" w:color="auto"/>
                                <w:bottom w:val="none" w:sz="0" w:space="0" w:color="auto"/>
                                <w:right w:val="none" w:sz="0" w:space="0" w:color="auto"/>
                              </w:divBdr>
                              <w:divsChild>
                                <w:div w:id="783038102">
                                  <w:marLeft w:val="0"/>
                                  <w:marRight w:val="0"/>
                                  <w:marTop w:val="0"/>
                                  <w:marBottom w:val="0"/>
                                  <w:divBdr>
                                    <w:top w:val="single" w:sz="2" w:space="11" w:color="CCCCCC"/>
                                    <w:left w:val="single" w:sz="6" w:space="11" w:color="CCCCCC"/>
                                    <w:bottom w:val="single" w:sz="2" w:space="8" w:color="CCCCCC"/>
                                    <w:right w:val="single" w:sz="6" w:space="11" w:color="CCCCCC"/>
                                  </w:divBdr>
                                  <w:divsChild>
                                    <w:div w:id="13968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32853">
      <w:bodyDiv w:val="1"/>
      <w:marLeft w:val="0"/>
      <w:marRight w:val="0"/>
      <w:marTop w:val="0"/>
      <w:marBottom w:val="0"/>
      <w:divBdr>
        <w:top w:val="none" w:sz="0" w:space="0" w:color="auto"/>
        <w:left w:val="none" w:sz="0" w:space="0" w:color="auto"/>
        <w:bottom w:val="none" w:sz="0" w:space="0" w:color="auto"/>
        <w:right w:val="none" w:sz="0" w:space="0" w:color="auto"/>
      </w:divBdr>
      <w:divsChild>
        <w:div w:id="1277756843">
          <w:marLeft w:val="0"/>
          <w:marRight w:val="0"/>
          <w:marTop w:val="0"/>
          <w:marBottom w:val="0"/>
          <w:divBdr>
            <w:top w:val="none" w:sz="0" w:space="0" w:color="auto"/>
            <w:left w:val="none" w:sz="0" w:space="0" w:color="auto"/>
            <w:bottom w:val="none" w:sz="0" w:space="0" w:color="auto"/>
            <w:right w:val="none" w:sz="0" w:space="0" w:color="auto"/>
          </w:divBdr>
          <w:divsChild>
            <w:div w:id="282734257">
              <w:marLeft w:val="0"/>
              <w:marRight w:val="0"/>
              <w:marTop w:val="0"/>
              <w:marBottom w:val="0"/>
              <w:divBdr>
                <w:top w:val="none" w:sz="0" w:space="0" w:color="auto"/>
                <w:left w:val="none" w:sz="0" w:space="0" w:color="auto"/>
                <w:bottom w:val="none" w:sz="0" w:space="0" w:color="auto"/>
                <w:right w:val="none" w:sz="0" w:space="0" w:color="auto"/>
              </w:divBdr>
              <w:divsChild>
                <w:div w:id="237714997">
                  <w:marLeft w:val="0"/>
                  <w:marRight w:val="0"/>
                  <w:marTop w:val="0"/>
                  <w:marBottom w:val="0"/>
                  <w:divBdr>
                    <w:top w:val="none" w:sz="0" w:space="0" w:color="auto"/>
                    <w:left w:val="none" w:sz="0" w:space="0" w:color="auto"/>
                    <w:bottom w:val="none" w:sz="0" w:space="0" w:color="auto"/>
                    <w:right w:val="none" w:sz="0" w:space="0" w:color="auto"/>
                  </w:divBdr>
                  <w:divsChild>
                    <w:div w:id="529032309">
                      <w:marLeft w:val="0"/>
                      <w:marRight w:val="0"/>
                      <w:marTop w:val="0"/>
                      <w:marBottom w:val="0"/>
                      <w:divBdr>
                        <w:top w:val="none" w:sz="0" w:space="0" w:color="auto"/>
                        <w:left w:val="none" w:sz="0" w:space="0" w:color="auto"/>
                        <w:bottom w:val="none" w:sz="0" w:space="0" w:color="auto"/>
                        <w:right w:val="none" w:sz="0" w:space="0" w:color="auto"/>
                      </w:divBdr>
                      <w:divsChild>
                        <w:div w:id="1015496742">
                          <w:marLeft w:val="0"/>
                          <w:marRight w:val="0"/>
                          <w:marTop w:val="0"/>
                          <w:marBottom w:val="300"/>
                          <w:divBdr>
                            <w:top w:val="none" w:sz="0" w:space="0" w:color="auto"/>
                            <w:left w:val="none" w:sz="0" w:space="0" w:color="auto"/>
                            <w:bottom w:val="none" w:sz="0" w:space="0" w:color="auto"/>
                            <w:right w:val="none" w:sz="0" w:space="0" w:color="auto"/>
                          </w:divBdr>
                          <w:divsChild>
                            <w:div w:id="10380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2656">
      <w:bodyDiv w:val="1"/>
      <w:marLeft w:val="0"/>
      <w:marRight w:val="0"/>
      <w:marTop w:val="0"/>
      <w:marBottom w:val="0"/>
      <w:divBdr>
        <w:top w:val="none" w:sz="0" w:space="0" w:color="auto"/>
        <w:left w:val="none" w:sz="0" w:space="0" w:color="auto"/>
        <w:bottom w:val="none" w:sz="0" w:space="0" w:color="auto"/>
        <w:right w:val="none" w:sz="0" w:space="0" w:color="auto"/>
      </w:divBdr>
    </w:div>
    <w:div w:id="2136830300">
      <w:bodyDiv w:val="1"/>
      <w:marLeft w:val="0"/>
      <w:marRight w:val="0"/>
      <w:marTop w:val="0"/>
      <w:marBottom w:val="0"/>
      <w:divBdr>
        <w:top w:val="none" w:sz="0" w:space="0" w:color="auto"/>
        <w:left w:val="none" w:sz="0" w:space="0" w:color="auto"/>
        <w:bottom w:val="none" w:sz="0" w:space="0" w:color="auto"/>
        <w:right w:val="none" w:sz="0" w:space="0" w:color="auto"/>
      </w:divBdr>
      <w:divsChild>
        <w:div w:id="62871151">
          <w:marLeft w:val="0"/>
          <w:marRight w:val="0"/>
          <w:marTop w:val="0"/>
          <w:marBottom w:val="0"/>
          <w:divBdr>
            <w:top w:val="none" w:sz="0" w:space="0" w:color="auto"/>
            <w:left w:val="none" w:sz="0" w:space="0" w:color="auto"/>
            <w:bottom w:val="none" w:sz="0" w:space="0" w:color="auto"/>
            <w:right w:val="none" w:sz="0" w:space="0" w:color="auto"/>
          </w:divBdr>
          <w:divsChild>
            <w:div w:id="1413620992">
              <w:marLeft w:val="0"/>
              <w:marRight w:val="0"/>
              <w:marTop w:val="0"/>
              <w:marBottom w:val="0"/>
              <w:divBdr>
                <w:top w:val="none" w:sz="0" w:space="0" w:color="auto"/>
                <w:left w:val="none" w:sz="0" w:space="0" w:color="auto"/>
                <w:bottom w:val="none" w:sz="0" w:space="0" w:color="auto"/>
                <w:right w:val="none" w:sz="0" w:space="0" w:color="auto"/>
              </w:divBdr>
              <w:divsChild>
                <w:div w:id="720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6.wmf"/><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9.wmf"/><Relationship Id="rId42" Type="http://schemas.openxmlformats.org/officeDocument/2006/relationships/image" Target="media/image15.jpeg"/><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11.jpe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image" Target="media/image8.wmf"/><Relationship Id="rId37" Type="http://schemas.openxmlformats.org/officeDocument/2006/relationships/oleObject" Target="embeddings/oleObject13.bin"/><Relationship Id="rId40" Type="http://schemas.openxmlformats.org/officeDocument/2006/relationships/image" Target="media/image13.emf"/><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en.wikipedia.org/wiki/Capital_(economics)"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10.bin"/><Relationship Id="rId44"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Bank" TargetMode="External"/><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6.jpeg"/><Relationship Id="rId48" Type="http://schemas.openxmlformats.org/officeDocument/2006/relationships/footer" Target="footer5.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13875-FDE7-40D7-8EF2-827C8A5B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9883</Words>
  <Characters>53370</Characters>
  <Application>Microsoft Office Word</Application>
  <DocSecurity>0</DocSecurity>
  <Lines>444</Lines>
  <Paragraphs>126</Paragraphs>
  <ScaleCrop>false</ScaleCrop>
  <HeadingPairs>
    <vt:vector size="2" baseType="variant">
      <vt:variant>
        <vt:lpstr>Title</vt:lpstr>
      </vt:variant>
      <vt:variant>
        <vt:i4>1</vt:i4>
      </vt:variant>
    </vt:vector>
  </HeadingPairs>
  <TitlesOfParts>
    <vt:vector size="1" baseType="lpstr">
      <vt:lpstr/>
    </vt:vector>
  </TitlesOfParts>
  <Company>ING</Company>
  <LinksUpToDate>false</LinksUpToDate>
  <CharactersWithSpaces>63127</CharactersWithSpaces>
  <SharedDoc>false</SharedDoc>
  <HLinks>
    <vt:vector size="12" baseType="variant">
      <vt:variant>
        <vt:i4>1441916</vt:i4>
      </vt:variant>
      <vt:variant>
        <vt:i4>3</vt:i4>
      </vt:variant>
      <vt:variant>
        <vt:i4>0</vt:i4>
      </vt:variant>
      <vt:variant>
        <vt:i4>5</vt:i4>
      </vt:variant>
      <vt:variant>
        <vt:lpwstr>http://en.wikipedia.org/wiki/Capital_(economics)</vt:lpwstr>
      </vt:variant>
      <vt:variant>
        <vt:lpwstr/>
      </vt:variant>
      <vt:variant>
        <vt:i4>1245268</vt:i4>
      </vt:variant>
      <vt:variant>
        <vt:i4>0</vt:i4>
      </vt:variant>
      <vt:variant>
        <vt:i4>0</vt:i4>
      </vt:variant>
      <vt:variant>
        <vt:i4>5</vt:i4>
      </vt:variant>
      <vt:variant>
        <vt:lpwstr>http://en.wikipedia.org/wiki/Bank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danbradster</dc:creator>
  <cp:lastModifiedBy>Hp</cp:lastModifiedBy>
  <cp:revision>3</cp:revision>
  <cp:lastPrinted>2014-06-22T14:44:00Z</cp:lastPrinted>
  <dcterms:created xsi:type="dcterms:W3CDTF">2016-04-13T11:09:00Z</dcterms:created>
  <dcterms:modified xsi:type="dcterms:W3CDTF">2016-04-13T11:11:00Z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