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CECAA" w14:textId="77777777" w:rsidR="00215EA8" w:rsidRDefault="00215EA8" w:rsidP="00215EA8">
      <w:pPr>
        <w:jc w:val="center"/>
        <w:rPr>
          <w:b/>
        </w:rPr>
      </w:pPr>
    </w:p>
    <w:p w14:paraId="5ADFEA6E" w14:textId="77E94F90" w:rsidR="0017758C" w:rsidRPr="00E50BE3" w:rsidRDefault="0017758C" w:rsidP="0017758C">
      <w:pPr>
        <w:jc w:val="center"/>
        <w:rPr>
          <w:b/>
          <w:sz w:val="28"/>
          <w:szCs w:val="28"/>
        </w:rPr>
      </w:pPr>
      <w:r w:rsidRPr="00E50BE3">
        <w:rPr>
          <w:b/>
          <w:sz w:val="28"/>
          <w:szCs w:val="28"/>
        </w:rPr>
        <w:t xml:space="preserve">Have Canada, Japan </w:t>
      </w:r>
      <w:r w:rsidR="00E50BE3" w:rsidRPr="00E50BE3">
        <w:rPr>
          <w:b/>
          <w:sz w:val="28"/>
          <w:szCs w:val="28"/>
        </w:rPr>
        <w:t>and</w:t>
      </w:r>
      <w:r w:rsidRPr="00E50BE3">
        <w:rPr>
          <w:b/>
          <w:sz w:val="28"/>
          <w:szCs w:val="28"/>
        </w:rPr>
        <w:t xml:space="preserve"> Switzerland Adopted IFRS?</w:t>
      </w:r>
    </w:p>
    <w:p w14:paraId="5B317266" w14:textId="1B3D910B" w:rsidR="0017758C" w:rsidRPr="00E50BE3" w:rsidRDefault="0017758C" w:rsidP="0017758C">
      <w:pPr>
        <w:jc w:val="center"/>
      </w:pPr>
      <w:r w:rsidRPr="00E50BE3">
        <w:t>Christopher W. Nobes</w:t>
      </w:r>
      <w:r w:rsidR="003B3FBF">
        <w:t>,</w:t>
      </w:r>
      <w:r w:rsidR="003B3FBF" w:rsidRPr="003B3FBF">
        <w:t xml:space="preserve"> </w:t>
      </w:r>
      <w:r w:rsidR="003B3FBF" w:rsidRPr="003B3FBF">
        <w:rPr>
          <w:i/>
        </w:rPr>
        <w:t>Royal Holloway (University of London) and University of Sydney</w:t>
      </w:r>
      <w:r w:rsidR="003B3FBF">
        <w:t xml:space="preserve"> </w:t>
      </w:r>
    </w:p>
    <w:p w14:paraId="12FE973D" w14:textId="23F210D0" w:rsidR="0017758C" w:rsidRPr="003B3FBF" w:rsidRDefault="00DB555D" w:rsidP="00EC27B0">
      <w:pPr>
        <w:rPr>
          <w:i/>
        </w:rPr>
      </w:pPr>
      <w:r>
        <w:t xml:space="preserve">   </w:t>
      </w:r>
      <w:r w:rsidR="0017758C" w:rsidRPr="00E50BE3">
        <w:t>Stephen A. Zeff</w:t>
      </w:r>
      <w:r w:rsidR="003B3FBF">
        <w:t xml:space="preserve">, </w:t>
      </w:r>
      <w:r w:rsidR="003B3FBF">
        <w:rPr>
          <w:i/>
        </w:rPr>
        <w:t>Rice University, Texas</w:t>
      </w:r>
      <w:r w:rsidR="000E7231">
        <w:rPr>
          <w:i/>
        </w:rPr>
        <w:t xml:space="preserve"> </w:t>
      </w:r>
      <w:bookmarkStart w:id="0" w:name="_GoBack"/>
      <w:bookmarkEnd w:id="0"/>
    </w:p>
    <w:p w14:paraId="37865296" w14:textId="77777777" w:rsidR="0017758C" w:rsidRDefault="0017758C" w:rsidP="0017758C">
      <w:pPr>
        <w:pStyle w:val="ListParagraph"/>
        <w:ind w:left="1080"/>
      </w:pPr>
    </w:p>
    <w:p w14:paraId="371B200E" w14:textId="77777777" w:rsidR="0017758C" w:rsidRDefault="0017758C" w:rsidP="00353A3F">
      <w:r w:rsidRPr="00353A3F">
        <w:rPr>
          <w:b/>
        </w:rPr>
        <w:t>Correspondence</w:t>
      </w:r>
      <w:r>
        <w:t xml:space="preserve">: C.W. Nobes, School of Management, Royal Holloway, Egham, TW20 0EX, UK; Tel +44 1784 414120; email: </w:t>
      </w:r>
      <w:hyperlink r:id="rId7" w:history="1">
        <w:r w:rsidRPr="000F01B6">
          <w:rPr>
            <w:rStyle w:val="Hyperlink"/>
          </w:rPr>
          <w:t>chris.nobes@rhul.ac.uk</w:t>
        </w:r>
      </w:hyperlink>
    </w:p>
    <w:p w14:paraId="26A99194" w14:textId="77777777" w:rsidR="0017758C" w:rsidRDefault="0017758C" w:rsidP="0015096D">
      <w:pPr>
        <w:rPr>
          <w:b/>
        </w:rPr>
      </w:pPr>
    </w:p>
    <w:p w14:paraId="5242A219" w14:textId="77777777" w:rsidR="0015096D" w:rsidRDefault="003B3FBF" w:rsidP="0015096D">
      <w:pPr>
        <w:rPr>
          <w:b/>
          <w:sz w:val="22"/>
        </w:rPr>
      </w:pPr>
      <w:r>
        <w:rPr>
          <w:b/>
        </w:rPr>
        <w:t>[</w:t>
      </w:r>
      <w:r w:rsidR="0015096D">
        <w:rPr>
          <w:b/>
        </w:rPr>
        <w:t>Summary at a glance</w:t>
      </w:r>
    </w:p>
    <w:p w14:paraId="61516FEC" w14:textId="4C9E4DBC" w:rsidR="0087436B" w:rsidRDefault="0087436B" w:rsidP="0087436B">
      <w:r>
        <w:t xml:space="preserve">We examine three types of problem which constrain the success of IFRS in those countries which purport to have adopted </w:t>
      </w:r>
      <w:r w:rsidR="0017758C">
        <w:t>them</w:t>
      </w:r>
      <w:r>
        <w:t xml:space="preserve">. First, difficulties can arise when countries adopt IFRS in ways other than passing a law to require the use of IFRS as issued by the IASB. We use Australia and Pakistan as examples. We then </w:t>
      </w:r>
      <w:r w:rsidR="00B3550D">
        <w:t>consider cases of</w:t>
      </w:r>
      <w:r>
        <w:t xml:space="preserve"> restricted scope of </w:t>
      </w:r>
      <w:r w:rsidR="00D503EC">
        <w:t xml:space="preserve">mandatory </w:t>
      </w:r>
      <w:r>
        <w:t>application of IFRS</w:t>
      </w:r>
      <w:r w:rsidR="00B3550D">
        <w:t>.</w:t>
      </w:r>
      <w:r>
        <w:t xml:space="preserve"> We use Canada as an example, and contrast it with extensive voluntary application in Japan and Switzerland. A third constraint is that many companies and auditors do not affirm compliance with IFRS even when they could</w:t>
      </w:r>
      <w:r w:rsidR="00D503EC">
        <w:t xml:space="preserve"> do so</w:t>
      </w:r>
      <w:r>
        <w:t>. We use the EU and South Korea as examples, contrasted with several countries including Australia.</w:t>
      </w:r>
      <w:r w:rsidR="003B3FBF">
        <w:t>]</w:t>
      </w:r>
    </w:p>
    <w:p w14:paraId="0C3F9E95" w14:textId="77777777" w:rsidR="0015096D" w:rsidRDefault="0015096D" w:rsidP="0015096D">
      <w:pPr>
        <w:rPr>
          <w:b/>
        </w:rPr>
      </w:pPr>
      <w:r>
        <w:rPr>
          <w:b/>
        </w:rPr>
        <w:t>Abstract</w:t>
      </w:r>
    </w:p>
    <w:p w14:paraId="7FB3788A" w14:textId="77777777" w:rsidR="0087436B" w:rsidRDefault="0087436B" w:rsidP="0087436B">
      <w:pPr>
        <w:rPr>
          <w:sz w:val="22"/>
        </w:rPr>
      </w:pPr>
      <w:r>
        <w:t xml:space="preserve">Although many countries have passed laws to require the use of ‘IFRS as issued by the IASB’ for certain types of financial reporting, that is not the typical approach to adoption of IFRS in major developed countries. This paper uses Australia and Pakistan as examples of minor and major adjustments to the content of IFRS. Then it uses Canada as an example of restricted scope of </w:t>
      </w:r>
      <w:r w:rsidR="0017758C">
        <w:t xml:space="preserve">mandatory </w:t>
      </w:r>
      <w:r>
        <w:t>application of IFRS. This is compared to extensive voluntary adoption in Switzerland and increasing voluntary adoption in Japan.</w:t>
      </w:r>
      <w:r w:rsidRPr="003B6595">
        <w:t xml:space="preserve"> </w:t>
      </w:r>
      <w:r w:rsidR="0017758C">
        <w:t>The paper ask</w:t>
      </w:r>
      <w:r>
        <w:t>s what ‘adoption’ means in the context of Canada, Japan and Switzerland. Fina</w:t>
      </w:r>
      <w:r w:rsidR="00B3550D">
        <w:t xml:space="preserve">lly, the paper looks at how </w:t>
      </w:r>
      <w:r>
        <w:t xml:space="preserve">companies in many countries limit the potential value of international comparability by not affirming compliance with ‘IFRS as issued by the IASB’ even when they achieve it. </w:t>
      </w:r>
    </w:p>
    <w:p w14:paraId="2324521A" w14:textId="77777777" w:rsidR="003B6595" w:rsidRPr="003B6595" w:rsidRDefault="003B6595" w:rsidP="0015096D">
      <w:pPr>
        <w:rPr>
          <w:sz w:val="22"/>
        </w:rPr>
      </w:pPr>
    </w:p>
    <w:p w14:paraId="436E6E9C" w14:textId="77777777" w:rsidR="0015096D" w:rsidRDefault="0015096D" w:rsidP="0015096D">
      <w:pPr>
        <w:rPr>
          <w:b/>
        </w:rPr>
      </w:pPr>
      <w:r>
        <w:rPr>
          <w:b/>
        </w:rPr>
        <w:t>Key words</w:t>
      </w:r>
    </w:p>
    <w:p w14:paraId="7E96353A" w14:textId="77777777" w:rsidR="0015096D" w:rsidRDefault="0015096D" w:rsidP="0015096D">
      <w:r>
        <w:t>IFRS; jurisdictions; adoption; Canada; Japan</w:t>
      </w:r>
    </w:p>
    <w:p w14:paraId="6384FB1D" w14:textId="77777777" w:rsidR="0015096D" w:rsidRDefault="0015096D" w:rsidP="0015096D">
      <w:r w:rsidRPr="0015096D">
        <w:rPr>
          <w:b/>
        </w:rPr>
        <w:t>JEL Code</w:t>
      </w:r>
      <w:r>
        <w:t>: M41</w:t>
      </w:r>
    </w:p>
    <w:p w14:paraId="14C622CF" w14:textId="57185052" w:rsidR="00215EA8" w:rsidRPr="003D605A" w:rsidRDefault="00215EA8" w:rsidP="003D605A">
      <w:pPr>
        <w:pStyle w:val="ListParagraph"/>
        <w:ind w:left="1080"/>
      </w:pPr>
      <w:r w:rsidRPr="00263FA5">
        <w:lastRenderedPageBreak/>
        <w:br w:type="page"/>
      </w:r>
    </w:p>
    <w:p w14:paraId="103208CA" w14:textId="77777777" w:rsidR="00215EA8" w:rsidRDefault="00215EA8" w:rsidP="00215EA8">
      <w:pPr>
        <w:spacing w:after="120" w:line="360" w:lineRule="auto"/>
        <w:rPr>
          <w:b/>
          <w:sz w:val="28"/>
          <w:szCs w:val="28"/>
        </w:rPr>
      </w:pPr>
      <w:r w:rsidRPr="008C302B">
        <w:rPr>
          <w:b/>
          <w:sz w:val="28"/>
          <w:szCs w:val="28"/>
        </w:rPr>
        <w:lastRenderedPageBreak/>
        <w:t>Introduction</w:t>
      </w:r>
    </w:p>
    <w:p w14:paraId="6A87D997" w14:textId="77777777" w:rsidR="00215EA8" w:rsidRPr="009E7E84" w:rsidRDefault="00215EA8" w:rsidP="00215EA8">
      <w:pPr>
        <w:spacing w:after="60" w:line="360" w:lineRule="auto"/>
      </w:pPr>
      <w:r>
        <w:t>In an earlier issue of this journal</w:t>
      </w:r>
      <w:r w:rsidR="0087436B">
        <w:t>, we</w:t>
      </w:r>
      <w:r>
        <w:t xml:space="preserve"> asked: Has Australia adopted </w:t>
      </w:r>
      <w:r w:rsidR="00983A2C">
        <w:t>International Financial Reporting Standards (</w:t>
      </w:r>
      <w:r>
        <w:t>IFRS</w:t>
      </w:r>
      <w:r w:rsidR="00983A2C">
        <w:t>)</w:t>
      </w:r>
      <w:r w:rsidR="003337C5" w:rsidRPr="003337C5">
        <w:t xml:space="preserve"> </w:t>
      </w:r>
      <w:r w:rsidR="003337C5">
        <w:t>(Zeff and Nobes, 2010)</w:t>
      </w:r>
      <w:r>
        <w:t>?  This was in response to Thomson (2009)</w:t>
      </w:r>
      <w:r w:rsidR="00335D4C">
        <w:t>,</w:t>
      </w:r>
      <w:r>
        <w:t xml:space="preserve"> who had stated that “Australia definitely adopts IFRS”.  </w:t>
      </w:r>
      <w:r w:rsidR="0087436B">
        <w:t>We</w:t>
      </w:r>
      <w:r>
        <w:t xml:space="preserve"> suggested a more cautious and nuanced answer</w:t>
      </w:r>
      <w:r w:rsidR="0087436B">
        <w:t xml:space="preserve">, by </w:t>
      </w:r>
      <w:r>
        <w:t>set</w:t>
      </w:r>
      <w:r w:rsidR="0087436B">
        <w:t>ting</w:t>
      </w:r>
      <w:r>
        <w:t xml:space="preserve"> out a continuum of national approaches to IFRS adoption, which run from (a) legal imposition of IFRS (as issued by the IASB) for all reporting, to (z) making a translated version of an out-of-date version of IFRS voluntarily available for some companies.  All such “adoptions” tend to be included in vague and incautious statements such as: </w:t>
      </w:r>
    </w:p>
    <w:p w14:paraId="78B35623" w14:textId="77777777" w:rsidR="00215EA8" w:rsidRDefault="00215EA8" w:rsidP="00215EA8">
      <w:pPr>
        <w:spacing w:after="60" w:line="360" w:lineRule="auto"/>
        <w:ind w:left="720"/>
      </w:pPr>
      <w:r>
        <w:t>The global rollout of International Financial Reporting Standards is gaining momentum, with more than 100 countries now using IFRS and all of the world’s major countries anticipated to be on board within the next few years (BDO, 2012).</w:t>
      </w:r>
    </w:p>
    <w:p w14:paraId="12FC6638" w14:textId="77777777" w:rsidR="00215EA8" w:rsidRPr="00156518" w:rsidRDefault="00215EA8" w:rsidP="00215EA8">
      <w:pPr>
        <w:spacing w:after="60" w:line="360" w:lineRule="auto"/>
        <w:ind w:left="720"/>
      </w:pPr>
    </w:p>
    <w:p w14:paraId="77EA1C3A" w14:textId="7018FA0A" w:rsidR="00215EA8" w:rsidRDefault="0087436B" w:rsidP="00215EA8">
      <w:pPr>
        <w:spacing w:after="120" w:line="360" w:lineRule="auto"/>
        <w:ind w:firstLine="720"/>
      </w:pPr>
      <w:r>
        <w:t>Of course, the most o</w:t>
      </w:r>
      <w:r w:rsidR="00B3550D">
        <w:t>bvious limitation to the scope</w:t>
      </w:r>
      <w:r>
        <w:t xml:space="preserve"> of </w:t>
      </w:r>
      <w:r w:rsidR="00B60639">
        <w:t xml:space="preserve">mandatory use of </w:t>
      </w:r>
      <w:r>
        <w:t>IFRS is that “all the major countries” do not include the world’s three largest economies: the United States, China and Japan.</w:t>
      </w:r>
      <w:r w:rsidR="000241F7">
        <w:t xml:space="preserve"> Nevertheless</w:t>
      </w:r>
      <w:r>
        <w:t>, s</w:t>
      </w:r>
      <w:r w:rsidR="00215EA8">
        <w:t xml:space="preserve">ince </w:t>
      </w:r>
      <w:r>
        <w:t xml:space="preserve">our </w:t>
      </w:r>
      <w:r w:rsidR="00215EA8">
        <w:t>2010</w:t>
      </w:r>
      <w:r>
        <w:t xml:space="preserve"> paper</w:t>
      </w:r>
      <w:r w:rsidR="00215EA8">
        <w:t>, there has been a great increase in adoptions of IFRS, such that a majority of countries</w:t>
      </w:r>
      <w:r w:rsidR="00013560">
        <w:rPr>
          <w:rStyle w:val="FootnoteReference"/>
        </w:rPr>
        <w:footnoteReference w:id="1"/>
      </w:r>
      <w:r w:rsidR="00215EA8">
        <w:t xml:space="preserve"> in the world require IFRS (or some form of it), at least for consolidated reporting by listed companies.  This makes the warning about vague claims even more relevant, because the population of adopters is now much larger and still shows great variety.  </w:t>
      </w:r>
    </w:p>
    <w:p w14:paraId="6B49CB83" w14:textId="77777777" w:rsidR="00215EA8" w:rsidRDefault="00215EA8" w:rsidP="00215EA8">
      <w:pPr>
        <w:spacing w:after="120" w:line="360" w:lineRule="auto"/>
        <w:ind w:firstLine="720"/>
      </w:pPr>
      <w:r>
        <w:t xml:space="preserve">The IASB’s website used to be one source of vague statements about IFRS adoptions, but </w:t>
      </w:r>
      <w:r w:rsidR="00B60639">
        <w:t xml:space="preserve">it </w:t>
      </w:r>
      <w:r>
        <w:t xml:space="preserve">has been converted to </w:t>
      </w:r>
      <w:r w:rsidR="000241F7">
        <w:t xml:space="preserve">contain </w:t>
      </w:r>
      <w:r>
        <w:t>much greater precision.  The IASB now publishes detailed and helpful country-by-country analyses of adoptions (</w:t>
      </w:r>
      <w:r w:rsidR="002765BD">
        <w:t>IFRS Foundation, 2015a</w:t>
      </w:r>
      <w:r>
        <w:t>).  These profiles do not extend to information about the numbers of companies using IFRS in particular countries, which we have investigated from national sources.</w:t>
      </w:r>
    </w:p>
    <w:p w14:paraId="091156E8" w14:textId="77777777" w:rsidR="00EC198F" w:rsidRDefault="00215EA8" w:rsidP="00215EA8">
      <w:pPr>
        <w:spacing w:after="120" w:line="360" w:lineRule="auto"/>
        <w:ind w:firstLine="720"/>
      </w:pPr>
      <w:r>
        <w:lastRenderedPageBreak/>
        <w:t xml:space="preserve">In this paper, we </w:t>
      </w:r>
      <w:r w:rsidR="00983A2C">
        <w:t xml:space="preserve">distinguish between three ways in which adoptions (or alleged adoptions) of IFRS </w:t>
      </w:r>
      <w:r w:rsidR="005F108E">
        <w:t>can fail to maximise the pote</w:t>
      </w:r>
      <w:r w:rsidR="00EC198F">
        <w:t xml:space="preserve">ntial benefits of international </w:t>
      </w:r>
      <w:r w:rsidR="005F108E">
        <w:t xml:space="preserve">comparability which IFRS might bring. </w:t>
      </w:r>
      <w:r w:rsidR="00EC198F">
        <w:t>First, some countries adjust the content of IFRS, sometimes slightly and sometimes in a major way. Secondly, some countries exempt certain companies from the requirement to use IFRS. Thirdly, some countries do not require companies or auditors to affirm compliance with IFRS. In this paper, we restrict our scope to the consolidated statements of listed companies. Outside of that scope, the complications and the international varie</w:t>
      </w:r>
      <w:r w:rsidR="00B3550D">
        <w:t>ty are even larger</w:t>
      </w:r>
      <w:r w:rsidR="00EC198F">
        <w:t>.</w:t>
      </w:r>
    </w:p>
    <w:p w14:paraId="793FAE90" w14:textId="77777777" w:rsidR="00215EA8" w:rsidRDefault="00EC198F" w:rsidP="00215EA8">
      <w:pPr>
        <w:spacing w:after="120" w:line="360" w:lineRule="auto"/>
        <w:ind w:firstLine="720"/>
      </w:pPr>
      <w:r>
        <w:t xml:space="preserve">In more detail, we </w:t>
      </w:r>
      <w:r w:rsidR="00215EA8">
        <w:t xml:space="preserve">do the following: (i) </w:t>
      </w:r>
      <w:r w:rsidR="007C5852">
        <w:t>discuss</w:t>
      </w:r>
      <w:r w:rsidR="00215EA8">
        <w:t xml:space="preserve"> the increasing use of the approach of which Zeff and Nobes (2010) approved, i.e. adopting I</w:t>
      </w:r>
      <w:r w:rsidR="00FE25F2">
        <w:t>FRS as issued by the IASB</w:t>
      </w:r>
      <w:r w:rsidR="00215EA8">
        <w:t xml:space="preserve">, </w:t>
      </w:r>
      <w:r w:rsidR="007C5852">
        <w:t xml:space="preserve">(ii) use Australia as an example of problems arising from not doing this, </w:t>
      </w:r>
      <w:r w:rsidR="00215EA8">
        <w:t xml:space="preserve">(iii) note cases of adoption which do not really deserve the name, </w:t>
      </w:r>
      <w:r w:rsidR="00FF45B9">
        <w:t xml:space="preserve">(iv) analyse the less-than-full scope of adoption in </w:t>
      </w:r>
      <w:r w:rsidR="0002444B">
        <w:t>Canada,</w:t>
      </w:r>
      <w:r w:rsidR="00215EA8">
        <w:t xml:space="preserve"> (v) </w:t>
      </w:r>
      <w:r w:rsidR="007C5852">
        <w:t>examine</w:t>
      </w:r>
      <w:r w:rsidR="00215EA8">
        <w:t xml:space="preserve"> </w:t>
      </w:r>
      <w:r w:rsidR="00944943">
        <w:t>extensive</w:t>
      </w:r>
      <w:r w:rsidR="00215EA8">
        <w:t xml:space="preserve"> voluntary adoption by companies in Japan and Switzerland</w:t>
      </w:r>
      <w:r w:rsidR="00983A2C">
        <w:t xml:space="preserve">, </w:t>
      </w:r>
      <w:r>
        <w:t xml:space="preserve">and </w:t>
      </w:r>
      <w:r w:rsidR="00983A2C">
        <w:t>(vi)</w:t>
      </w:r>
      <w:r>
        <w:t xml:space="preserve"> discuss the lack of affirmations of compliance with IFRS by most EU and </w:t>
      </w:r>
      <w:r w:rsidR="003B66D1">
        <w:t xml:space="preserve">South </w:t>
      </w:r>
      <w:r>
        <w:t xml:space="preserve">Korean companies </w:t>
      </w:r>
      <w:r w:rsidR="00EB6268">
        <w:t xml:space="preserve">and their auditors </w:t>
      </w:r>
      <w:r>
        <w:t>even though they are probably complying</w:t>
      </w:r>
      <w:r w:rsidR="00215EA8">
        <w:t xml:space="preserve">. </w:t>
      </w:r>
      <w:r w:rsidR="002B4FAE">
        <w:t>We then set out policy implications arising from all this.</w:t>
      </w:r>
    </w:p>
    <w:p w14:paraId="1B18B191" w14:textId="34643F49" w:rsidR="007C5852" w:rsidRDefault="007C5852" w:rsidP="007C5852">
      <w:pPr>
        <w:spacing w:after="120" w:line="360" w:lineRule="auto"/>
        <w:rPr>
          <w:b/>
          <w:sz w:val="28"/>
          <w:szCs w:val="28"/>
        </w:rPr>
      </w:pPr>
      <w:r>
        <w:rPr>
          <w:b/>
          <w:sz w:val="28"/>
          <w:szCs w:val="28"/>
        </w:rPr>
        <w:t xml:space="preserve">Adopting </w:t>
      </w:r>
      <w:r w:rsidR="00281F53">
        <w:rPr>
          <w:b/>
          <w:sz w:val="28"/>
          <w:szCs w:val="28"/>
        </w:rPr>
        <w:t xml:space="preserve">IFRS as </w:t>
      </w:r>
      <w:r w:rsidR="00E50BE3">
        <w:rPr>
          <w:b/>
          <w:sz w:val="28"/>
          <w:szCs w:val="28"/>
        </w:rPr>
        <w:t>I</w:t>
      </w:r>
      <w:r w:rsidR="00281F53">
        <w:rPr>
          <w:b/>
          <w:sz w:val="28"/>
          <w:szCs w:val="28"/>
        </w:rPr>
        <w:t>ssued by the IASB</w:t>
      </w:r>
    </w:p>
    <w:p w14:paraId="1D60C6D8" w14:textId="77777777" w:rsidR="000241F7" w:rsidRDefault="007C5852" w:rsidP="000241F7">
      <w:pPr>
        <w:spacing w:line="360" w:lineRule="auto"/>
      </w:pPr>
      <w:r>
        <w:t xml:space="preserve">The most straight-forward approach to adopting IFRS </w:t>
      </w:r>
      <w:r w:rsidR="00944943">
        <w:t>is for</w:t>
      </w:r>
      <w:r>
        <w:t xml:space="preserve"> a </w:t>
      </w:r>
      <w:r w:rsidR="002B66ED">
        <w:t>country</w:t>
      </w:r>
      <w:r>
        <w:t xml:space="preserve"> </w:t>
      </w:r>
      <w:r w:rsidR="00944943">
        <w:t>to pass a</w:t>
      </w:r>
      <w:r>
        <w:t xml:space="preserve"> law requir</w:t>
      </w:r>
      <w:r w:rsidR="00944943">
        <w:t>ing</w:t>
      </w:r>
      <w:r>
        <w:t xml:space="preserve"> the use of ‘IFRS as issued by the IASB’ for reporting by certain companies for certain purposes, e.g. for </w:t>
      </w:r>
      <w:r w:rsidR="00B60639">
        <w:t xml:space="preserve">the </w:t>
      </w:r>
      <w:r>
        <w:t xml:space="preserve">consolidated statements of listed companies.  Zeff and Nobes (2010) noted that this approach is used by Israel and South Africa. </w:t>
      </w:r>
      <w:r w:rsidR="00084329">
        <w:t>IFRS (2015b, p.16) reports that th</w:t>
      </w:r>
      <w:r w:rsidR="003337C5">
        <w:t>e</w:t>
      </w:r>
      <w:r w:rsidR="00084329">
        <w:t xml:space="preserve"> approach is </w:t>
      </w:r>
      <w:r w:rsidR="000241F7">
        <w:t xml:space="preserve">now </w:t>
      </w:r>
      <w:r w:rsidR="00084329">
        <w:t>used by 65 countries</w:t>
      </w:r>
      <w:r w:rsidR="007B354D">
        <w:t>, which is half of the countries recorded as adopting IFRS</w:t>
      </w:r>
      <w:r w:rsidR="00084329">
        <w:t xml:space="preserve">. </w:t>
      </w:r>
      <w:r>
        <w:t xml:space="preserve">It is </w:t>
      </w:r>
      <w:r w:rsidR="00084329">
        <w:t>particularly</w:t>
      </w:r>
      <w:r>
        <w:t xml:space="preserve"> widespread in Africa (e.g. Nigeria), the Caribbean (e.g. Jamaica) and the Arab world (e.g. Bahrain).</w:t>
      </w:r>
      <w:r w:rsidR="002765BD">
        <w:rPr>
          <w:rStyle w:val="FootnoteReference"/>
        </w:rPr>
        <w:footnoteReference w:id="2"/>
      </w:r>
      <w:r>
        <w:t xml:space="preserve"> </w:t>
      </w:r>
      <w:r w:rsidR="00B913C2">
        <w:t>Nobes (1998) suggested that colonial influence explains why</w:t>
      </w:r>
      <w:r w:rsidR="000724E5">
        <w:t xml:space="preserve"> certain developing countries adopt IFRS</w:t>
      </w:r>
      <w:r w:rsidR="000241F7">
        <w:t xml:space="preserve"> and others do not</w:t>
      </w:r>
      <w:r w:rsidR="000724E5">
        <w:t xml:space="preserve">. Elad (2015) applies this </w:t>
      </w:r>
      <w:r w:rsidR="003337C5">
        <w:t xml:space="preserve">idea </w:t>
      </w:r>
      <w:r w:rsidR="000724E5">
        <w:t xml:space="preserve">to Africa, finding adoption of IFRS in UK-influenced countries but not in French-influenced countries. We add the point that the adoption of </w:t>
      </w:r>
      <w:r w:rsidR="000724E5">
        <w:lastRenderedPageBreak/>
        <w:t xml:space="preserve">IFRS in these </w:t>
      </w:r>
      <w:r w:rsidR="00B60639">
        <w:t xml:space="preserve">former </w:t>
      </w:r>
      <w:r w:rsidR="000724E5">
        <w:t xml:space="preserve">countries is generally done </w:t>
      </w:r>
      <w:r w:rsidR="00FE25F2">
        <w:t>without national interventions into the content of IFRS</w:t>
      </w:r>
      <w:r w:rsidR="000724E5">
        <w:t xml:space="preserve">. </w:t>
      </w:r>
    </w:p>
    <w:p w14:paraId="24B904AB" w14:textId="1E896FE7" w:rsidR="007C5852" w:rsidRDefault="000B66C9" w:rsidP="000241F7">
      <w:pPr>
        <w:spacing w:line="360" w:lineRule="auto"/>
        <w:ind w:firstLine="720"/>
      </w:pPr>
      <w:r>
        <w:t>The fact that 65 countries have taken th</w:t>
      </w:r>
      <w:r w:rsidR="00B60639">
        <w:t>e straight-forward</w:t>
      </w:r>
      <w:r>
        <w:t xml:space="preserve"> approach</w:t>
      </w:r>
      <w:r w:rsidR="007C5852">
        <w:t xml:space="preserve"> shows that </w:t>
      </w:r>
      <w:r>
        <w:t>it</w:t>
      </w:r>
      <w:r w:rsidR="007C5852">
        <w:t xml:space="preserve"> can work. It does not involve </w:t>
      </w:r>
      <w:r w:rsidR="008F29A7">
        <w:t>ceding</w:t>
      </w:r>
      <w:r w:rsidR="007C5852">
        <w:t xml:space="preserve"> sovereignty to the IASB: the </w:t>
      </w:r>
      <w:r w:rsidR="002B66ED">
        <w:t>country</w:t>
      </w:r>
      <w:r w:rsidR="007C5852">
        <w:t xml:space="preserve"> decide</w:t>
      </w:r>
      <w:r w:rsidR="000724E5">
        <w:t>s</w:t>
      </w:r>
      <w:r w:rsidR="007C5852">
        <w:t xml:space="preserve"> to pass a law requiring IFRS, and the </w:t>
      </w:r>
      <w:r w:rsidR="002B66ED">
        <w:t>country</w:t>
      </w:r>
      <w:r w:rsidR="007C5852">
        <w:t xml:space="preserve"> c</w:t>
      </w:r>
      <w:r w:rsidR="00B60639">
        <w:t>ould</w:t>
      </w:r>
      <w:r w:rsidR="007C5852">
        <w:t xml:space="preserve"> later change its mind.</w:t>
      </w:r>
      <w:r>
        <w:t xml:space="preserve"> Nevertheless, for a variety of cultural and political reasons, some countries feel un</w:t>
      </w:r>
      <w:r w:rsidR="00B3550D">
        <w:t xml:space="preserve">able to take this simple route. We look at two such countries in </w:t>
      </w:r>
      <w:r>
        <w:t>the next two sections.</w:t>
      </w:r>
    </w:p>
    <w:p w14:paraId="68F4D070" w14:textId="43A922CD" w:rsidR="00215EA8" w:rsidRDefault="007C5852" w:rsidP="00215EA8">
      <w:pPr>
        <w:spacing w:after="120" w:line="360" w:lineRule="auto"/>
        <w:rPr>
          <w:b/>
          <w:sz w:val="28"/>
          <w:szCs w:val="28"/>
        </w:rPr>
      </w:pPr>
      <w:r>
        <w:rPr>
          <w:b/>
          <w:sz w:val="28"/>
          <w:szCs w:val="28"/>
        </w:rPr>
        <w:t>N</w:t>
      </w:r>
      <w:r w:rsidR="00281F53">
        <w:rPr>
          <w:b/>
          <w:sz w:val="28"/>
          <w:szCs w:val="28"/>
        </w:rPr>
        <w:t xml:space="preserve">ational </w:t>
      </w:r>
      <w:r w:rsidR="00E50BE3">
        <w:rPr>
          <w:b/>
          <w:sz w:val="28"/>
          <w:szCs w:val="28"/>
        </w:rPr>
        <w:t>I</w:t>
      </w:r>
      <w:r w:rsidR="00281F53">
        <w:rPr>
          <w:b/>
          <w:sz w:val="28"/>
          <w:szCs w:val="28"/>
        </w:rPr>
        <w:t>nterventions</w:t>
      </w:r>
      <w:r w:rsidR="00FE25F2">
        <w:rPr>
          <w:b/>
          <w:sz w:val="28"/>
          <w:szCs w:val="28"/>
        </w:rPr>
        <w:t xml:space="preserve"> into the </w:t>
      </w:r>
      <w:r w:rsidR="00E50BE3">
        <w:rPr>
          <w:b/>
          <w:sz w:val="28"/>
          <w:szCs w:val="28"/>
        </w:rPr>
        <w:t>C</w:t>
      </w:r>
      <w:r w:rsidR="00FE25F2">
        <w:rPr>
          <w:b/>
          <w:sz w:val="28"/>
          <w:szCs w:val="28"/>
        </w:rPr>
        <w:t>ontent of IFRS</w:t>
      </w:r>
      <w:r>
        <w:rPr>
          <w:b/>
          <w:sz w:val="28"/>
          <w:szCs w:val="28"/>
        </w:rPr>
        <w:t xml:space="preserve">: The Example of </w:t>
      </w:r>
      <w:r w:rsidR="00215EA8" w:rsidRPr="008C302B">
        <w:rPr>
          <w:b/>
          <w:sz w:val="28"/>
          <w:szCs w:val="28"/>
        </w:rPr>
        <w:t>Australia</w:t>
      </w:r>
    </w:p>
    <w:p w14:paraId="12ED3AFF" w14:textId="4F9DD24B" w:rsidR="000F6C2E" w:rsidRDefault="00215EA8" w:rsidP="007154CA">
      <w:pPr>
        <w:spacing w:after="120" w:line="360" w:lineRule="auto"/>
      </w:pPr>
      <w:r>
        <w:t xml:space="preserve">The </w:t>
      </w:r>
      <w:r w:rsidR="00281F53">
        <w:t>most widely discussed version of national (or supranational) intervention is EU endorsement, which affects 33 countries.</w:t>
      </w:r>
      <w:r w:rsidR="00FE25F2">
        <w:rPr>
          <w:rStyle w:val="FootnoteReference"/>
        </w:rPr>
        <w:footnoteReference w:id="3"/>
      </w:r>
      <w:r w:rsidR="00281F53">
        <w:t xml:space="preserve"> </w:t>
      </w:r>
      <w:r w:rsidR="00FE25F2">
        <w:t xml:space="preserve">This was discussed in some detail by Zeff and Nobes (2010). However, the </w:t>
      </w:r>
      <w:r w:rsidR="000B66C9">
        <w:t>most complex</w:t>
      </w:r>
      <w:r>
        <w:t xml:space="preserve"> adoption process of which we are aware</w:t>
      </w:r>
      <w:r w:rsidR="000B66C9">
        <w:t xml:space="preserve"> is that used in Australia, as follows</w:t>
      </w:r>
      <w:r>
        <w:t>.  The Australian Accounting Standards Board (AASB), which is a government agency, operates standard-by-standard adoption.  This includes: (i) changing the designation of standards (e.g. IAS 1 becomes AASB 101), (ii) inserting paragraphs relating to not-for-profit entities, (iii) adding explanations about the Australian legal context (e.g. clarifying that the fair presentation ‘override’ in IAS 1 (para. 19) does not apply)</w:t>
      </w:r>
      <w:r w:rsidR="000F6C2E">
        <w:t>, and (iv) deleting paragraph</w:t>
      </w:r>
      <w:r w:rsidR="00A152A1">
        <w:t>s on such issues as the scope of application of a standard and which old documents a standard is replacing</w:t>
      </w:r>
      <w:r>
        <w:t>.</w:t>
      </w:r>
      <w:r w:rsidR="000F6C2E">
        <w:rPr>
          <w:rStyle w:val="FootnoteReference"/>
        </w:rPr>
        <w:footnoteReference w:id="4"/>
      </w:r>
      <w:r>
        <w:t xml:space="preserve">  </w:t>
      </w:r>
      <w:r w:rsidR="000F6C2E">
        <w:t xml:space="preserve">Surprisingly, the IFRS Foundation </w:t>
      </w:r>
      <w:r w:rsidR="00092EC8">
        <w:t>described</w:t>
      </w:r>
      <w:r w:rsidR="000F6C2E">
        <w:t xml:space="preserve"> even this as </w:t>
      </w:r>
      <w:r w:rsidR="00092EC8">
        <w:t>‘word for word’ adoption</w:t>
      </w:r>
      <w:r w:rsidR="000F6C2E">
        <w:t>, which surely cannot be a fair presentation.</w:t>
      </w:r>
      <w:r w:rsidR="00092EC8">
        <w:rPr>
          <w:rStyle w:val="FootnoteReference"/>
        </w:rPr>
        <w:footnoteReference w:id="5"/>
      </w:r>
      <w:r w:rsidR="000F6C2E">
        <w:t xml:space="preserve"> </w:t>
      </w:r>
    </w:p>
    <w:p w14:paraId="31FD081A" w14:textId="77777777" w:rsidR="00C520EA" w:rsidRDefault="000F6C2E">
      <w:pPr>
        <w:spacing w:after="120" w:line="360" w:lineRule="auto"/>
        <w:ind w:firstLine="720"/>
      </w:pPr>
      <w:r>
        <w:t>However, d</w:t>
      </w:r>
      <w:r w:rsidR="00215EA8">
        <w:t xml:space="preserve">espite </w:t>
      </w:r>
      <w:r>
        <w:t xml:space="preserve">all </w:t>
      </w:r>
      <w:r w:rsidR="00274F3C">
        <w:t>that</w:t>
      </w:r>
      <w:r w:rsidR="00215EA8">
        <w:t xml:space="preserve">, </w:t>
      </w:r>
      <w:r w:rsidR="0002444B">
        <w:t>the AASB</w:t>
      </w:r>
      <w:r w:rsidR="00274F3C">
        <w:t xml:space="preserve"> </w:t>
      </w:r>
      <w:r w:rsidR="00215EA8">
        <w:t>intend</w:t>
      </w:r>
      <w:r w:rsidR="00274F3C">
        <w:t>s</w:t>
      </w:r>
      <w:r w:rsidR="00215EA8">
        <w:t xml:space="preserve"> that companies should comply with IFRS as issued by the IASB.  Companies assert such compliance and auditors opine on it.</w:t>
      </w:r>
      <w:r w:rsidR="00274F3C">
        <w:t xml:space="preserve"> However, complications </w:t>
      </w:r>
      <w:r w:rsidR="00215EA8">
        <w:t xml:space="preserve">always arise from any process other than </w:t>
      </w:r>
      <w:r w:rsidR="00BE4700">
        <w:t xml:space="preserve">the </w:t>
      </w:r>
      <w:r w:rsidR="00215EA8">
        <w:t>simple imposition of IFRS.  A recent Australian</w:t>
      </w:r>
      <w:r w:rsidR="004C0F68">
        <w:t xml:space="preserve"> case</w:t>
      </w:r>
      <w:r w:rsidR="00215EA8">
        <w:t xml:space="preserve"> </w:t>
      </w:r>
      <w:r w:rsidR="00D026B2">
        <w:t xml:space="preserve">of this </w:t>
      </w:r>
      <w:r w:rsidR="00215EA8">
        <w:t xml:space="preserve">relates to the conceptual framework. </w:t>
      </w:r>
    </w:p>
    <w:p w14:paraId="532CA184" w14:textId="77777777" w:rsidR="00985CBC" w:rsidRDefault="00215EA8" w:rsidP="009E62DF">
      <w:pPr>
        <w:spacing w:after="120" w:line="360" w:lineRule="auto"/>
        <w:ind w:firstLine="720"/>
      </w:pPr>
      <w:r>
        <w:t xml:space="preserve">The IASB’s </w:t>
      </w:r>
      <w:r w:rsidR="008F29A7">
        <w:t xml:space="preserve">framework </w:t>
      </w:r>
      <w:r>
        <w:t xml:space="preserve">was amended in 2010 when revised chapters on ‘Objective’ and ‘Qualitative Characteristics’ (QCs) were published (IASB, 2010). Examples </w:t>
      </w:r>
      <w:r>
        <w:lastRenderedPageBreak/>
        <w:t xml:space="preserve">of changes to the QCs were the removal of ‘prudence’ and ‘substance over form’, and the replacement of ‘reliability’ with ‘faithful representation’.  </w:t>
      </w:r>
      <w:r w:rsidR="0002444B">
        <w:t>T</w:t>
      </w:r>
      <w:r>
        <w:t xml:space="preserve">hese </w:t>
      </w:r>
      <w:r w:rsidR="002F5C4C">
        <w:t xml:space="preserve">changes </w:t>
      </w:r>
      <w:r>
        <w:t>were highly controversial, especially in Europe.</w:t>
      </w:r>
      <w:r w:rsidR="002F5C4C">
        <w:rPr>
          <w:rStyle w:val="FootnoteReference"/>
        </w:rPr>
        <w:footnoteReference w:id="6"/>
      </w:r>
      <w:r>
        <w:t xml:space="preserve">  In 2015, the IASB issued an exposure draft (ED) of a full revised version of the framework, including some changes to the above two chapters, such as re-inserting prudence and substance over form</w:t>
      </w:r>
      <w:r w:rsidR="003162D8">
        <w:t xml:space="preserve"> (IASB, 2015a)</w:t>
      </w:r>
      <w:r>
        <w:t>.</w:t>
      </w:r>
    </w:p>
    <w:p w14:paraId="723D1726" w14:textId="77777777" w:rsidR="00215EA8" w:rsidRDefault="00215EA8" w:rsidP="007154CA">
      <w:pPr>
        <w:spacing w:after="120" w:line="360" w:lineRule="auto"/>
      </w:pPr>
      <w:r>
        <w:tab/>
        <w:t xml:space="preserve">In principle, the IASB should be using </w:t>
      </w:r>
      <w:r w:rsidR="00537254">
        <w:t xml:space="preserve">the 2010 </w:t>
      </w:r>
      <w:r w:rsidR="00D026B2">
        <w:t>version</w:t>
      </w:r>
      <w:r>
        <w:t xml:space="preserve"> when setting standards even though the recent ED proposes </w:t>
      </w:r>
      <w:r w:rsidR="00ED564E">
        <w:t xml:space="preserve">further </w:t>
      </w:r>
      <w:r w:rsidR="008F29A7">
        <w:t>amendments</w:t>
      </w:r>
      <w:r>
        <w:t xml:space="preserve">.  </w:t>
      </w:r>
      <w:r w:rsidR="00537254">
        <w:t>However, that is not the position for</w:t>
      </w:r>
      <w:r>
        <w:t xml:space="preserve"> preparers and auditors</w:t>
      </w:r>
      <w:r w:rsidR="00700760">
        <w:t>,</w:t>
      </w:r>
      <w:r w:rsidR="00537254">
        <w:t xml:space="preserve"> for whom</w:t>
      </w:r>
      <w:r>
        <w:t xml:space="preserve"> the framework </w:t>
      </w:r>
      <w:r w:rsidR="00537254">
        <w:t>is</w:t>
      </w:r>
      <w:r>
        <w:t xml:space="preserve"> directly relevant </w:t>
      </w:r>
      <w:r w:rsidR="00286A73">
        <w:t xml:space="preserve">when applying IASs 1 and 8 </w:t>
      </w:r>
      <w:r>
        <w:t xml:space="preserve">under </w:t>
      </w:r>
      <w:r w:rsidR="00286A73">
        <w:t xml:space="preserve">such </w:t>
      </w:r>
      <w:r>
        <w:t>circumstances as choosing accounting policies in the absence of a specific requirement in IFRS.</w:t>
      </w:r>
      <w:r w:rsidR="002F5C4C">
        <w:rPr>
          <w:rStyle w:val="FootnoteReference"/>
        </w:rPr>
        <w:footnoteReference w:id="7"/>
      </w:r>
      <w:r>
        <w:t xml:space="preserve">  The IASB’s versions of these standards contain footnotes explaining that the </w:t>
      </w:r>
      <w:r w:rsidR="00286A73">
        <w:t xml:space="preserve">original </w:t>
      </w:r>
      <w:r>
        <w:t xml:space="preserve">framework has been ‘replaced’ by that of 2010.  However, these footnotes did not go through the IASB’s due process.  They seem to be editorial insertions which have no authority.  For example, the footnotes are not to be found in the EU-endorsed versions of the standards.  </w:t>
      </w:r>
      <w:r w:rsidR="0059737B">
        <w:t>P</w:t>
      </w:r>
      <w:r>
        <w:t xml:space="preserve">reparers or auditors should </w:t>
      </w:r>
      <w:r w:rsidR="008F29A7">
        <w:t xml:space="preserve">therefore </w:t>
      </w:r>
      <w:r>
        <w:t xml:space="preserve">still be using the 1989 framework until IASs 1 and 8 are amended, which </w:t>
      </w:r>
      <w:r w:rsidR="00D026B2">
        <w:t>a further</w:t>
      </w:r>
      <w:r>
        <w:t xml:space="preserve"> ED </w:t>
      </w:r>
      <w:r w:rsidR="00D026B2">
        <w:t xml:space="preserve">(IASB, </w:t>
      </w:r>
      <w:r>
        <w:t>2015</w:t>
      </w:r>
      <w:r w:rsidR="003162D8">
        <w:t>b</w:t>
      </w:r>
      <w:r w:rsidR="00D026B2">
        <w:t>)</w:t>
      </w:r>
      <w:r>
        <w:t xml:space="preserve"> proposes should be done.</w:t>
      </w:r>
      <w:r w:rsidR="0059737B">
        <w:rPr>
          <w:rStyle w:val="FootnoteReference"/>
        </w:rPr>
        <w:footnoteReference w:id="8"/>
      </w:r>
      <w:r>
        <w:t xml:space="preserve"> </w:t>
      </w:r>
    </w:p>
    <w:p w14:paraId="2CADF09C" w14:textId="74995505" w:rsidR="00215EA8" w:rsidRDefault="00215EA8" w:rsidP="00215EA8">
      <w:pPr>
        <w:spacing w:after="120" w:line="360" w:lineRule="auto"/>
      </w:pPr>
      <w:r>
        <w:tab/>
        <w:t xml:space="preserve">Meanwhile, in Australia, the 2010 revision </w:t>
      </w:r>
      <w:r w:rsidR="006A4B63">
        <w:t>of</w:t>
      </w:r>
      <w:r>
        <w:t xml:space="preserve"> the framework was not officially acted on by the AASB until 2013 when </w:t>
      </w:r>
      <w:r w:rsidR="00537254">
        <w:t>th</w:t>
      </w:r>
      <w:r w:rsidR="00700760">
        <w:t>e revision</w:t>
      </w:r>
      <w:r>
        <w:t xml:space="preserve"> ‘superseded’ the old framework, with permission to apply </w:t>
      </w:r>
      <w:r w:rsidR="00ED564E">
        <w:t>it</w:t>
      </w:r>
      <w:r>
        <w:t xml:space="preserve"> retro</w:t>
      </w:r>
      <w:r w:rsidR="003218AC">
        <w:t>actively</w:t>
      </w:r>
      <w:r>
        <w:t xml:space="preserve"> back to 2005.</w:t>
      </w:r>
      <w:r>
        <w:rPr>
          <w:rStyle w:val="FootnoteReference"/>
        </w:rPr>
        <w:footnoteReference w:id="9"/>
      </w:r>
      <w:r>
        <w:t xml:space="preserve"> This means that from 2014 onwards</w:t>
      </w:r>
      <w:r>
        <w:rPr>
          <w:rStyle w:val="FootnoteReference"/>
        </w:rPr>
        <w:footnoteReference w:id="10"/>
      </w:r>
      <w:r>
        <w:t xml:space="preserve"> Australian preparers and users should </w:t>
      </w:r>
      <w:r w:rsidR="00EB4B4D">
        <w:t>not couch their arguments in terms of</w:t>
      </w:r>
      <w:r>
        <w:t xml:space="preserve"> prudence</w:t>
      </w:r>
      <w:r w:rsidR="00EB4B4D">
        <w:t xml:space="preserve"> or</w:t>
      </w:r>
      <w:r>
        <w:t xml:space="preserve"> reliability when applying </w:t>
      </w:r>
      <w:r w:rsidR="00286A73">
        <w:t>the Australian versions of IASs 1 and 8.</w:t>
      </w:r>
      <w:r w:rsidR="00286A73">
        <w:rPr>
          <w:rStyle w:val="FootnoteReference"/>
        </w:rPr>
        <w:footnoteReference w:id="11"/>
      </w:r>
      <w:r>
        <w:t xml:space="preserve">  Furthermore, for periods before 2014, which might still be subject to litigation for example, there is apparently a choice </w:t>
      </w:r>
      <w:r w:rsidR="00864DB3">
        <w:t>of which</w:t>
      </w:r>
      <w:r>
        <w:t xml:space="preserve"> QCs </w:t>
      </w:r>
      <w:r w:rsidR="00864DB3">
        <w:t>to apply</w:t>
      </w:r>
      <w:r>
        <w:t>.  Given the controversy in Europe, the AASB’s statement that it “would not expect [this] to cause entities to change their accounting policies” (BC 20 of AASB CF 2013-1) seems cavalier.</w:t>
      </w:r>
    </w:p>
    <w:p w14:paraId="27F4686A" w14:textId="77777777" w:rsidR="0002444B" w:rsidRDefault="0002444B" w:rsidP="0002444B">
      <w:pPr>
        <w:spacing w:after="120" w:line="480" w:lineRule="auto"/>
        <w:rPr>
          <w:b/>
          <w:sz w:val="28"/>
          <w:szCs w:val="28"/>
        </w:rPr>
      </w:pPr>
      <w:r w:rsidRPr="00FF364C">
        <w:rPr>
          <w:b/>
          <w:sz w:val="28"/>
          <w:szCs w:val="28"/>
        </w:rPr>
        <w:lastRenderedPageBreak/>
        <w:t>Not Really Adoption</w:t>
      </w:r>
    </w:p>
    <w:p w14:paraId="665678E1" w14:textId="77777777" w:rsidR="0002444B" w:rsidRDefault="00ED30C8" w:rsidP="0002444B">
      <w:pPr>
        <w:spacing w:line="360" w:lineRule="auto"/>
      </w:pPr>
      <w:r>
        <w:t xml:space="preserve">Zeff and Nobes (2010) </w:t>
      </w:r>
      <w:r w:rsidR="0002444B">
        <w:t xml:space="preserve">discussed China and Venezuela as examples of </w:t>
      </w:r>
      <w:r w:rsidR="002B66ED">
        <w:t>countrie</w:t>
      </w:r>
      <w:r w:rsidR="0002444B">
        <w:t xml:space="preserve">s which use IFRS as a starting point for </w:t>
      </w:r>
      <w:r w:rsidR="00700760">
        <w:t xml:space="preserve">drafting </w:t>
      </w:r>
      <w:r w:rsidR="0002444B">
        <w:t>national standards but then diverge significantly.  Some of these are counted by the IFRS Foundation and by others as ‘adoptions’ of IFRS.</w:t>
      </w:r>
    </w:p>
    <w:p w14:paraId="1E684FCB" w14:textId="77777777" w:rsidR="00B2797E" w:rsidRDefault="00ED30C8" w:rsidP="0002444B">
      <w:pPr>
        <w:spacing w:line="360" w:lineRule="auto"/>
      </w:pPr>
      <w:r>
        <w:tab/>
        <w:t>Since that</w:t>
      </w:r>
      <w:r w:rsidR="0002444B">
        <w:t xml:space="preserve"> earlier paper, Pakistan’s ‘adoption’ can be added to </w:t>
      </w:r>
      <w:r w:rsidR="008F29A7">
        <w:t>our</w:t>
      </w:r>
      <w:r w:rsidR="0002444B">
        <w:t xml:space="preserve"> list.  </w:t>
      </w:r>
      <w:r w:rsidR="00700760">
        <w:t xml:space="preserve">According to the IFRS Foundation (2015a), </w:t>
      </w:r>
      <w:r w:rsidR="0002444B">
        <w:t>Pakistan has not adopted IFRS 1 (</w:t>
      </w:r>
      <w:r w:rsidR="0002444B">
        <w:rPr>
          <w:i/>
        </w:rPr>
        <w:t>First-time Adoption of IFRS</w:t>
      </w:r>
      <w:r w:rsidR="0002444B">
        <w:t xml:space="preserve">), and this may lead to long-lasting differences from IFRS in Pakistani financial statements.  </w:t>
      </w:r>
      <w:r w:rsidR="0002444B" w:rsidRPr="00B2797E">
        <w:t>It has also not adopted two IFRIC statements.</w:t>
      </w:r>
      <w:r w:rsidR="0002444B" w:rsidRPr="00B2797E">
        <w:rPr>
          <w:rStyle w:val="FootnoteReference"/>
        </w:rPr>
        <w:footnoteReference w:id="12"/>
      </w:r>
      <w:r w:rsidR="0002444B" w:rsidRPr="00B2797E">
        <w:t xml:space="preserve"> </w:t>
      </w:r>
      <w:r w:rsidR="00B2797E">
        <w:t>For financial institutions, Pakistan has also not adopted several vital standards: IAS 39 (</w:t>
      </w:r>
      <w:r w:rsidR="00B2797E">
        <w:rPr>
          <w:i/>
        </w:rPr>
        <w:t>Financial Instruments: Recognition and Measurement</w:t>
      </w:r>
      <w:r w:rsidR="00B2797E">
        <w:t>), IAS 40 (</w:t>
      </w:r>
      <w:r w:rsidR="00B2797E">
        <w:rPr>
          <w:i/>
        </w:rPr>
        <w:t>Investment Property</w:t>
      </w:r>
      <w:r w:rsidR="00B2797E">
        <w:t>) and IFRS 7 (</w:t>
      </w:r>
      <w:r w:rsidR="00B2797E">
        <w:rPr>
          <w:i/>
        </w:rPr>
        <w:t>Financial Instruments: Disclosures</w:t>
      </w:r>
      <w:r w:rsidR="00B2797E">
        <w:t xml:space="preserve">). We do not believe that this should be considered to be </w:t>
      </w:r>
      <w:r w:rsidR="003B66D1">
        <w:t xml:space="preserve">an </w:t>
      </w:r>
      <w:r w:rsidR="00B2797E">
        <w:t xml:space="preserve">adoption of IFRS. </w:t>
      </w:r>
    </w:p>
    <w:p w14:paraId="22C9E27C" w14:textId="77777777" w:rsidR="00C520EA" w:rsidRDefault="008F4110">
      <w:pPr>
        <w:spacing w:line="360" w:lineRule="auto"/>
        <w:ind w:firstLine="720"/>
      </w:pPr>
      <w:r>
        <w:t>The</w:t>
      </w:r>
      <w:r w:rsidR="00CC5FEC">
        <w:t xml:space="preserve"> drivers of such national tinkering with IFRS, as also seen in the EU, include lobbying by large companies to </w:t>
      </w:r>
      <w:r w:rsidR="00ED564E">
        <w:t>avoid some of the costs of implementi</w:t>
      </w:r>
      <w:r w:rsidR="003B66D1">
        <w:t xml:space="preserve">ng </w:t>
      </w:r>
      <w:r w:rsidR="00ED564E">
        <w:t>IFRS and some unwelcome effects on financial statements</w:t>
      </w:r>
      <w:r w:rsidR="00CC5FEC">
        <w:t>. Financial institutions have the closest connection to regulators</w:t>
      </w:r>
      <w:r>
        <w:t xml:space="preserve"> </w:t>
      </w:r>
      <w:r w:rsidR="00CC5FEC">
        <w:t>and governments, so are the most successful at this</w:t>
      </w:r>
      <w:r w:rsidR="00ED564E">
        <w:t xml:space="preserve"> (e.g. Whittington, 2005)</w:t>
      </w:r>
      <w:r w:rsidR="00CC5FEC">
        <w:t>.</w:t>
      </w:r>
      <w:r w:rsidR="00B2797E">
        <w:t xml:space="preserve"> </w:t>
      </w:r>
    </w:p>
    <w:p w14:paraId="36026A51" w14:textId="77777777" w:rsidR="00215EA8" w:rsidRPr="008C302B" w:rsidRDefault="00215EA8" w:rsidP="00215EA8">
      <w:pPr>
        <w:spacing w:after="120" w:line="480" w:lineRule="auto"/>
        <w:rPr>
          <w:b/>
          <w:sz w:val="28"/>
          <w:szCs w:val="28"/>
        </w:rPr>
      </w:pPr>
      <w:r>
        <w:rPr>
          <w:b/>
          <w:sz w:val="28"/>
          <w:szCs w:val="28"/>
        </w:rPr>
        <w:t xml:space="preserve">Less-than-full </w:t>
      </w:r>
      <w:r w:rsidR="0002444B">
        <w:rPr>
          <w:b/>
          <w:sz w:val="28"/>
          <w:szCs w:val="28"/>
        </w:rPr>
        <w:t xml:space="preserve">Scope of </w:t>
      </w:r>
      <w:r>
        <w:rPr>
          <w:b/>
          <w:sz w:val="28"/>
          <w:szCs w:val="28"/>
        </w:rPr>
        <w:t>Adoption: The Example of Canada</w:t>
      </w:r>
    </w:p>
    <w:p w14:paraId="15B572E8" w14:textId="77777777" w:rsidR="00AF0E72" w:rsidRDefault="006F35CD" w:rsidP="009E62DF">
      <w:pPr>
        <w:spacing w:after="0" w:line="360" w:lineRule="auto"/>
      </w:pPr>
      <w:r>
        <w:t xml:space="preserve">We have used Australia and Pakistan as examples of </w:t>
      </w:r>
      <w:r w:rsidR="002B66ED">
        <w:t>countrie</w:t>
      </w:r>
      <w:r>
        <w:t>s where the national version</w:t>
      </w:r>
      <w:r w:rsidR="00EB4B4D">
        <w:t>s</w:t>
      </w:r>
      <w:r>
        <w:t xml:space="preserve"> of IFRS ha</w:t>
      </w:r>
      <w:r w:rsidR="00EB4B4D">
        <w:t>ve</w:t>
      </w:r>
      <w:r>
        <w:t xml:space="preserve"> content </w:t>
      </w:r>
      <w:r w:rsidR="003B66D1">
        <w:t>that</w:t>
      </w:r>
      <w:r>
        <w:t xml:space="preserve"> differs from ‘IFRS as issued by the IASB’</w:t>
      </w:r>
      <w:r w:rsidR="00AF0E72">
        <w:t xml:space="preserve">. In some other </w:t>
      </w:r>
      <w:r w:rsidR="002B66ED">
        <w:t>countrie</w:t>
      </w:r>
      <w:r w:rsidR="00AF0E72">
        <w:t xml:space="preserve">s, the problem is instead a limited scope of application among companies. </w:t>
      </w:r>
      <w:r>
        <w:t>To illustrate this, we use</w:t>
      </w:r>
      <w:r w:rsidR="00AF0E72">
        <w:t xml:space="preserve"> the example of Canada.</w:t>
      </w:r>
    </w:p>
    <w:p w14:paraId="6D05DAB6" w14:textId="77777777" w:rsidR="00AF0E72" w:rsidRDefault="00AF0E72" w:rsidP="009E62DF">
      <w:pPr>
        <w:spacing w:after="0" w:line="360" w:lineRule="auto"/>
      </w:pPr>
    </w:p>
    <w:p w14:paraId="14A46D4F" w14:textId="22106CD4" w:rsidR="00C520EA" w:rsidRDefault="009E62DF">
      <w:pPr>
        <w:spacing w:after="0" w:line="360" w:lineRule="auto"/>
        <w:ind w:firstLine="720"/>
      </w:pPr>
      <w:r>
        <w:t xml:space="preserve">Zeff and Nobes (2010) recorded the process used by Canada for its adoption of IFRS from 2011. Canada’s Accounting Standards Board (AcSB) is in charge of the process, which now includes inserting IFRS as issued by the IASB into the </w:t>
      </w:r>
      <w:r>
        <w:rPr>
          <w:i/>
        </w:rPr>
        <w:t xml:space="preserve">Handbook </w:t>
      </w:r>
      <w:r>
        <w:t xml:space="preserve">of Chartered </w:t>
      </w:r>
      <w:r>
        <w:lastRenderedPageBreak/>
        <w:t>Professional Accountants Canada</w:t>
      </w:r>
      <w:r w:rsidR="000F3C4B">
        <w:t xml:space="preserve"> (CPA Canada)</w:t>
      </w:r>
      <w:r>
        <w:t xml:space="preserve">, and this includes a French translation which is prepared in Canada and </w:t>
      </w:r>
      <w:r w:rsidR="000203D3">
        <w:t xml:space="preserve">is </w:t>
      </w:r>
      <w:r>
        <w:t>then</w:t>
      </w:r>
      <w:r w:rsidR="006639C9">
        <w:t xml:space="preserve"> </w:t>
      </w:r>
      <w:r>
        <w:t xml:space="preserve">reviewed </w:t>
      </w:r>
      <w:r w:rsidR="008F29A7">
        <w:t xml:space="preserve">by the IFRS Foundation </w:t>
      </w:r>
      <w:r>
        <w:t xml:space="preserve">and published by </w:t>
      </w:r>
      <w:r w:rsidR="008F29A7">
        <w:t>it</w:t>
      </w:r>
      <w:r>
        <w:t xml:space="preserve">. For public companies, the securities regulators of the provinces and territories require IFRS, with exceptions as noted below. Early application of new and amended IFRS is allowed in Canada when permitted by the relevant standard, from the day on which IFRS is inserted into the </w:t>
      </w:r>
      <w:r>
        <w:rPr>
          <w:i/>
        </w:rPr>
        <w:t>Handbook</w:t>
      </w:r>
      <w:r>
        <w:t xml:space="preserve">, which is generally slightly later than its issue date from the IASB. Canadian companies assert compliance with IFRS, and their auditors give an opinion on IFRS. </w:t>
      </w:r>
    </w:p>
    <w:p w14:paraId="0302267A" w14:textId="087B6325" w:rsidR="009E62DF" w:rsidRDefault="009E62DF" w:rsidP="009E62DF">
      <w:pPr>
        <w:spacing w:after="0" w:line="360" w:lineRule="auto"/>
        <w:ind w:firstLine="720"/>
      </w:pPr>
      <w:r>
        <w:t xml:space="preserve">Well before Canada decided to adopt IFRS, the Canadian Securities Administrators (CSA) had acquiesced to requests by many Canadian companies registered with the </w:t>
      </w:r>
      <w:r w:rsidR="005A0F5F">
        <w:t xml:space="preserve">US </w:t>
      </w:r>
      <w:r>
        <w:t xml:space="preserve">Securities and Exchange Commission (SEC) that very much wanted to use US GAAP instead of Canadian GAAP. These companies argued that the US capital market was central to their operations and that Canadian GAAP would not be well understood by investors in the United States. After the AcSB made its policy decision in 2006 to begin a transition towards requiring Canadian public companies </w:t>
      </w:r>
      <w:r w:rsidR="00680501">
        <w:t>to use</w:t>
      </w:r>
      <w:r>
        <w:t xml:space="preserve"> IFRS by 2011, the CSA issued a concept paper in 2008 with the tentative conclusion to phase out US GAAP for Canadian companies that were SEC registrants. </w:t>
      </w:r>
      <w:r w:rsidR="00680501">
        <w:t>However,</w:t>
      </w:r>
      <w:r>
        <w:t xml:space="preserve"> after receiving comments, the CSA decided that it would instead propose retaining the US GAAP option for </w:t>
      </w:r>
      <w:r w:rsidR="006A4B63">
        <w:t>SEC registrants</w:t>
      </w:r>
      <w:r>
        <w:t xml:space="preserve">. Evidently, many companies already using US GAAP </w:t>
      </w:r>
      <w:r w:rsidR="005A0F5F">
        <w:t xml:space="preserve">had </w:t>
      </w:r>
      <w:r>
        <w:t>strongly objected</w:t>
      </w:r>
      <w:r w:rsidR="00680501">
        <w:t xml:space="preserve"> to any change</w:t>
      </w:r>
      <w:r>
        <w:t xml:space="preserve">, arguing that their major competitors for capital were US companies and that therefore it was necessary for them to continue reporting </w:t>
      </w:r>
      <w:r w:rsidR="000203D3">
        <w:t>under</w:t>
      </w:r>
      <w:r>
        <w:t xml:space="preserve"> US GAAP. Some of these companies were among the largest in Canada, and in the end, although there were those </w:t>
      </w:r>
      <w:r w:rsidR="005A0F5F">
        <w:t>that</w:t>
      </w:r>
      <w:r>
        <w:t xml:space="preserve"> favoured eliminating the option to use US GAAP, at least some in the CSA may have recogni</w:t>
      </w:r>
      <w:r w:rsidR="000203D3">
        <w:t>s</w:t>
      </w:r>
      <w:r>
        <w:t>ed that it was up against powerful entrenched interests, and it did not want the changeover to IFRS to founder by taking on this battle.</w:t>
      </w:r>
    </w:p>
    <w:p w14:paraId="048AC155" w14:textId="77777777" w:rsidR="008F4110" w:rsidRDefault="009E62DF" w:rsidP="009E62DF">
      <w:pPr>
        <w:spacing w:after="0" w:line="360" w:lineRule="auto"/>
      </w:pPr>
      <w:r>
        <w:tab/>
      </w:r>
      <w:r w:rsidR="00086CD2">
        <w:t>For 2014 reports</w:t>
      </w:r>
      <w:r>
        <w:t>, approximately 128 Canadian companies use</w:t>
      </w:r>
      <w:r w:rsidR="00086CD2">
        <w:t>d</w:t>
      </w:r>
      <w:r>
        <w:t xml:space="preserve"> US GAAP.</w:t>
      </w:r>
      <w:r>
        <w:rPr>
          <w:rStyle w:val="FootnoteReference"/>
        </w:rPr>
        <w:t xml:space="preserve"> </w:t>
      </w:r>
      <w:r>
        <w:t xml:space="preserve">Of this number, some 110 </w:t>
      </w:r>
      <w:r w:rsidR="00B83DD4">
        <w:t>we</w:t>
      </w:r>
      <w:r>
        <w:t>re registered with the SEC and may use US GAAP</w:t>
      </w:r>
      <w:r w:rsidR="009E7E84">
        <w:t xml:space="preserve"> instead of IFRS</w:t>
      </w:r>
      <w:r>
        <w:t xml:space="preserve"> by unfettered choice. </w:t>
      </w:r>
      <w:r w:rsidR="009E7E84">
        <w:t xml:space="preserve">No time limit has been put on this exemption. </w:t>
      </w:r>
      <w:r>
        <w:t xml:space="preserve">The other 18 companies </w:t>
      </w:r>
      <w:r w:rsidR="00B83DD4">
        <w:t>we</w:t>
      </w:r>
      <w:r>
        <w:t xml:space="preserve">re rate-regulated entities that </w:t>
      </w:r>
      <w:r w:rsidR="00B83DD4">
        <w:t>were not registered with the SEC</w:t>
      </w:r>
      <w:r>
        <w:t>.</w:t>
      </w:r>
      <w:r>
        <w:rPr>
          <w:rStyle w:val="FootnoteReference"/>
        </w:rPr>
        <w:footnoteReference w:id="13"/>
      </w:r>
      <w:r>
        <w:t xml:space="preserve"> </w:t>
      </w:r>
      <w:r w:rsidR="00B83DD4">
        <w:t xml:space="preserve">In June </w:t>
      </w:r>
      <w:r w:rsidR="00B83DD4">
        <w:lastRenderedPageBreak/>
        <w:t>2015, the list of such companies had grown to 23.</w:t>
      </w:r>
      <w:r w:rsidR="00B83DD4">
        <w:rPr>
          <w:rStyle w:val="FootnoteReference"/>
        </w:rPr>
        <w:footnoteReference w:id="14"/>
      </w:r>
      <w:r w:rsidR="00B83DD4" w:rsidRPr="00B83DD4">
        <w:t xml:space="preserve"> </w:t>
      </w:r>
      <w:r w:rsidR="00B83DD4">
        <w:t>They have been granted a</w:t>
      </w:r>
      <w:r w:rsidR="007866CB">
        <w:t xml:space="preserve">n </w:t>
      </w:r>
      <w:r w:rsidR="00B83DD4">
        <w:t>exemption from using IFRS</w:t>
      </w:r>
      <w:r w:rsidR="007866CB">
        <w:t xml:space="preserve">, which </w:t>
      </w:r>
      <w:r w:rsidR="00EB4B4D">
        <w:t xml:space="preserve">was expected to be removed when the IASB published its standard on </w:t>
      </w:r>
      <w:r w:rsidR="007866CB">
        <w:t>rate regulation</w:t>
      </w:r>
      <w:r w:rsidR="00EB4B4D">
        <w:t xml:space="preserve"> (IFRS 14 of 2014)</w:t>
      </w:r>
      <w:r w:rsidR="007866CB">
        <w:t xml:space="preserve">. </w:t>
      </w:r>
      <w:r w:rsidR="00B96072">
        <w:t xml:space="preserve">Indeed, IFRS Foundation (2015b, p. 12) states that the exemption has ceased. </w:t>
      </w:r>
      <w:r w:rsidR="007866CB">
        <w:t>However,</w:t>
      </w:r>
      <w:r w:rsidR="00EB4B4D">
        <w:t xml:space="preserve"> the </w:t>
      </w:r>
      <w:r w:rsidR="009C0121">
        <w:t>securities commissions are agreeing</w:t>
      </w:r>
      <w:r w:rsidR="007866CB">
        <w:t xml:space="preserve"> company-by-company</w:t>
      </w:r>
      <w:r w:rsidR="009C0121">
        <w:t xml:space="preserve"> extension</w:t>
      </w:r>
      <w:r w:rsidR="006A4B63">
        <w:t>s</w:t>
      </w:r>
      <w:r w:rsidR="009C0121">
        <w:t xml:space="preserve"> of</w:t>
      </w:r>
      <w:r w:rsidR="00335D4C">
        <w:t xml:space="preserve"> the</w:t>
      </w:r>
      <w:r w:rsidR="009C0121">
        <w:t xml:space="preserve"> </w:t>
      </w:r>
      <w:r w:rsidR="00EB4B4D">
        <w:t>exemption</w:t>
      </w:r>
      <w:r w:rsidR="009C0121">
        <w:t xml:space="preserve"> until 2019</w:t>
      </w:r>
      <w:r w:rsidR="00CF4F61">
        <w:t xml:space="preserve"> because they do not believe that IFRS 14</w:t>
      </w:r>
      <w:r w:rsidR="00FA60FE">
        <w:t>, which is no more than an ‘interim solution’,</w:t>
      </w:r>
      <w:r w:rsidR="00CF4F61">
        <w:t xml:space="preserve"> fully addresses the needs of such companies</w:t>
      </w:r>
      <w:r w:rsidR="00EB4B4D">
        <w:t>.</w:t>
      </w:r>
      <w:r w:rsidR="007866CB">
        <w:rPr>
          <w:rStyle w:val="FootnoteReference"/>
        </w:rPr>
        <w:footnoteReference w:id="15"/>
      </w:r>
      <w:r w:rsidR="00EB4B4D">
        <w:t xml:space="preserve"> </w:t>
      </w:r>
      <w:r w:rsidR="008F4110">
        <w:t>For these companies, at least, a desire to be comparable with US co</w:t>
      </w:r>
      <w:r w:rsidR="00FA60FE">
        <w:t>mpanies</w:t>
      </w:r>
      <w:r w:rsidR="008F4110">
        <w:t xml:space="preserve"> is not the main reason for wanting to avoid IFRS; rather</w:t>
      </w:r>
      <w:r w:rsidR="00A75397">
        <w:t xml:space="preserve"> it is</w:t>
      </w:r>
      <w:r w:rsidR="008F4110">
        <w:t xml:space="preserve"> </w:t>
      </w:r>
      <w:r w:rsidR="00BD71E4">
        <w:t xml:space="preserve">presumably </w:t>
      </w:r>
      <w:r w:rsidR="008F4110">
        <w:t xml:space="preserve">a desire to continue to show stronger financial statements than </w:t>
      </w:r>
      <w:r w:rsidR="006A4B63">
        <w:t xml:space="preserve">would be produced </w:t>
      </w:r>
      <w:r w:rsidR="008F4110">
        <w:t>under IFRS.</w:t>
      </w:r>
    </w:p>
    <w:p w14:paraId="5A279765" w14:textId="77777777" w:rsidR="00C520EA" w:rsidRDefault="009E62DF">
      <w:pPr>
        <w:spacing w:after="0" w:line="360" w:lineRule="auto"/>
        <w:ind w:firstLine="720"/>
      </w:pPr>
      <w:r>
        <w:t xml:space="preserve">Of the </w:t>
      </w:r>
      <w:r w:rsidR="00680501">
        <w:t xml:space="preserve">Canadian </w:t>
      </w:r>
      <w:r>
        <w:t xml:space="preserve">companies currently using US GAAP, 53 are listed on the Toronto Stock Exchange (TSX), of which 12 are major companies that form part of S&amp;P/TSX 60 index, the large-cap segment of the Canadian equity market. So, 20% of the </w:t>
      </w:r>
      <w:r w:rsidR="00CF4F61">
        <w:t xml:space="preserve">members of the </w:t>
      </w:r>
      <w:r>
        <w:t xml:space="preserve">index do not currently use IFRS. These include the iconic railway companies, Canadian National and Canadian Pacific. </w:t>
      </w:r>
    </w:p>
    <w:p w14:paraId="3BE7F365" w14:textId="77777777" w:rsidR="009E62DF" w:rsidRDefault="00680501" w:rsidP="009E62DF">
      <w:pPr>
        <w:spacing w:after="0" w:line="360" w:lineRule="auto"/>
        <w:ind w:firstLine="720"/>
      </w:pPr>
      <w:r>
        <w:t xml:space="preserve">However, not all </w:t>
      </w:r>
      <w:r w:rsidR="00104145">
        <w:t xml:space="preserve">Canadian </w:t>
      </w:r>
      <w:r w:rsidR="009E62DF">
        <w:t>SEC-registered companies use US GAAP</w:t>
      </w:r>
      <w:r>
        <w:t>. The 110 (mentioned above) do</w:t>
      </w:r>
      <w:r w:rsidR="00A75397">
        <w:t>,</w:t>
      </w:r>
      <w:r>
        <w:t xml:space="preserve"> but</w:t>
      </w:r>
      <w:r w:rsidR="00104145">
        <w:t xml:space="preserve"> another</w:t>
      </w:r>
      <w:r w:rsidR="009E62DF">
        <w:t xml:space="preserve"> 208 use IFRS</w:t>
      </w:r>
      <w:r w:rsidR="00104145">
        <w:t xml:space="preserve"> instead</w:t>
      </w:r>
      <w:r w:rsidR="009E62DF">
        <w:t>.</w:t>
      </w:r>
      <w:r w:rsidR="009E62DF">
        <w:rPr>
          <w:rStyle w:val="FootnoteReference"/>
        </w:rPr>
        <w:footnoteReference w:id="16"/>
      </w:r>
      <w:r w:rsidR="009E62DF">
        <w:t xml:space="preserve"> Any Canadian company that is an SEC registrant, may, at its option, switch from one GAAP to the other. Also, a Canadian company using IFRS that is not currently an SEC registrant may adopt US GAAP if it </w:t>
      </w:r>
      <w:r w:rsidR="00104145">
        <w:t xml:space="preserve">newly </w:t>
      </w:r>
      <w:r w:rsidR="009E62DF">
        <w:t>registers with the SEC.</w:t>
      </w:r>
    </w:p>
    <w:p w14:paraId="4C7141F5" w14:textId="77777777" w:rsidR="009E62DF" w:rsidRDefault="009E62DF" w:rsidP="009E62DF">
      <w:pPr>
        <w:spacing w:after="0" w:line="360" w:lineRule="auto"/>
      </w:pPr>
      <w:r>
        <w:tab/>
        <w:t>These figures need to be placed in context of the 4,394 companies that were issuers of securities across all Canadian jurisdictions as of 31 December, 2014.</w:t>
      </w:r>
      <w:r>
        <w:rPr>
          <w:rStyle w:val="FootnoteReference"/>
        </w:rPr>
        <w:footnoteReference w:id="17"/>
      </w:r>
      <w:r>
        <w:t xml:space="preserve"> On that </w:t>
      </w:r>
      <w:r>
        <w:lastRenderedPageBreak/>
        <w:t>date, the TSX had 1,515 listed companies.</w:t>
      </w:r>
      <w:r>
        <w:rPr>
          <w:rStyle w:val="FootnoteReference"/>
        </w:rPr>
        <w:footnoteReference w:id="18"/>
      </w:r>
      <w:r>
        <w:t xml:space="preserve"> Hence, the 53 TSX-listed companies using US GAAP represent </w:t>
      </w:r>
      <w:r w:rsidR="00104145">
        <w:t xml:space="preserve">only </w:t>
      </w:r>
      <w:r>
        <w:t>3.5% of th</w:t>
      </w:r>
      <w:r w:rsidR="006639C9">
        <w:t>is</w:t>
      </w:r>
      <w:r>
        <w:t xml:space="preserve"> numbe</w:t>
      </w:r>
      <w:r w:rsidR="006639C9">
        <w:t>r</w:t>
      </w:r>
      <w:r>
        <w:t>.</w:t>
      </w:r>
    </w:p>
    <w:p w14:paraId="2FFC2CCC" w14:textId="77777777" w:rsidR="009E62DF" w:rsidRDefault="009E62DF" w:rsidP="00215EA8">
      <w:pPr>
        <w:spacing w:after="0" w:line="360" w:lineRule="auto"/>
      </w:pPr>
    </w:p>
    <w:p w14:paraId="784F4AF3" w14:textId="77777777" w:rsidR="00215EA8" w:rsidRPr="003564CD" w:rsidRDefault="00215EA8" w:rsidP="00215EA8">
      <w:pPr>
        <w:spacing w:after="120" w:line="480" w:lineRule="auto"/>
        <w:rPr>
          <w:b/>
          <w:sz w:val="28"/>
          <w:szCs w:val="28"/>
        </w:rPr>
      </w:pPr>
      <w:r>
        <w:rPr>
          <w:b/>
          <w:sz w:val="28"/>
          <w:szCs w:val="28"/>
        </w:rPr>
        <w:t>Major</w:t>
      </w:r>
      <w:r w:rsidRPr="003564CD">
        <w:rPr>
          <w:b/>
          <w:sz w:val="28"/>
          <w:szCs w:val="28"/>
        </w:rPr>
        <w:t xml:space="preserve"> Voluntary Adoptions</w:t>
      </w:r>
    </w:p>
    <w:p w14:paraId="14FB3900" w14:textId="77777777" w:rsidR="00215EA8" w:rsidRDefault="00215EA8" w:rsidP="00215EA8">
      <w:pPr>
        <w:spacing w:after="120" w:line="360" w:lineRule="auto"/>
        <w:rPr>
          <w:b/>
        </w:rPr>
      </w:pPr>
      <w:r w:rsidRPr="008C302B">
        <w:rPr>
          <w:b/>
        </w:rPr>
        <w:t>Switzerland</w:t>
      </w:r>
    </w:p>
    <w:p w14:paraId="04C67E0F" w14:textId="1B49351B" w:rsidR="00215EA8" w:rsidRDefault="00215EA8" w:rsidP="00215EA8">
      <w:pPr>
        <w:spacing w:line="360" w:lineRule="auto"/>
      </w:pPr>
      <w:r>
        <w:t xml:space="preserve">Use of IFRS has been common among large Swiss companies since the 1990s, but IFRS has never become compulsory.  </w:t>
      </w:r>
      <w:r w:rsidR="000C38FC">
        <w:t xml:space="preserve">According to the website of the </w:t>
      </w:r>
      <w:r>
        <w:t xml:space="preserve">SIX Swiss Exchange, companies </w:t>
      </w:r>
      <w:r w:rsidR="000203D3">
        <w:t xml:space="preserve">on its ‘Main Standard’ </w:t>
      </w:r>
      <w:r>
        <w:t xml:space="preserve">are required to use </w:t>
      </w:r>
      <w:r w:rsidR="00104145">
        <w:t xml:space="preserve">either </w:t>
      </w:r>
      <w:r>
        <w:t xml:space="preserve">IFRS </w:t>
      </w:r>
      <w:r w:rsidR="0030755D">
        <w:t xml:space="preserve">as issued by the IASB </w:t>
      </w:r>
      <w:r>
        <w:t xml:space="preserve">or US GAAP (SIX, 2015).  In 2015, the Main Standard has 130 companies, of which 91% use IFRS, 8% use US GAAP and 2% use </w:t>
      </w:r>
      <w:r w:rsidR="0007413E">
        <w:t>domestic rules, referred to as ‘</w:t>
      </w:r>
      <w:r>
        <w:t>Swiss GAAP FER</w:t>
      </w:r>
      <w:r w:rsidR="0007413E">
        <w:t>’</w:t>
      </w:r>
      <w:r>
        <w:t xml:space="preserve"> (IFRS Foundation, 2015</w:t>
      </w:r>
      <w:r w:rsidR="00084329">
        <w:t>c</w:t>
      </w:r>
      <w:r>
        <w:t>).</w:t>
      </w:r>
      <w:r w:rsidR="002765BD">
        <w:rPr>
          <w:rStyle w:val="FootnoteReference"/>
        </w:rPr>
        <w:footnoteReference w:id="19"/>
      </w:r>
      <w:r>
        <w:t xml:space="preserve">  </w:t>
      </w:r>
      <w:r w:rsidR="000C38FC">
        <w:t>Although t</w:t>
      </w:r>
      <w:r>
        <w:t xml:space="preserve">his use of Swiss GAAP FER is contrary to the </w:t>
      </w:r>
      <w:r w:rsidR="000C38FC">
        <w:t xml:space="preserve">published </w:t>
      </w:r>
      <w:r>
        <w:t xml:space="preserve">rules of the Exchange, there is </w:t>
      </w:r>
      <w:r w:rsidR="0030755D">
        <w:t xml:space="preserve">nevertheless </w:t>
      </w:r>
      <w:r>
        <w:t xml:space="preserve">an exception for companies which operate primarily in Switzerland (iasplus, 2015).  The ‘Swiss Market Index’ of 20 of the largest companies comprises over 90% of the market capitalisation in Switzerland.  Most constituents of the index </w:t>
      </w:r>
      <w:r w:rsidR="00864DB3">
        <w:t xml:space="preserve">(13 of them, 65%) </w:t>
      </w:r>
      <w:r>
        <w:t>use IFRS, but six use US GAAP. One of its constituents, the Swatch Group, now uses Swiss GAAP FER, having changed from IFRS in 2013.</w:t>
      </w:r>
    </w:p>
    <w:p w14:paraId="4DDEBCBF" w14:textId="62871137" w:rsidR="0030755D" w:rsidRDefault="00104145" w:rsidP="0030755D">
      <w:pPr>
        <w:spacing w:line="360" w:lineRule="auto"/>
        <w:ind w:firstLine="720"/>
      </w:pPr>
      <w:r>
        <w:t xml:space="preserve">A much different </w:t>
      </w:r>
      <w:r w:rsidR="000C38FC">
        <w:t>position</w:t>
      </w:r>
      <w:r>
        <w:t xml:space="preserve"> applies on the</w:t>
      </w:r>
      <w:r w:rsidR="0030755D">
        <w:t xml:space="preserve"> </w:t>
      </w:r>
      <w:r w:rsidR="0007413E">
        <w:t>‘</w:t>
      </w:r>
      <w:r w:rsidR="0030755D">
        <w:t>Domestic Standard</w:t>
      </w:r>
      <w:r w:rsidR="0007413E">
        <w:t>’</w:t>
      </w:r>
      <w:r w:rsidR="0030755D">
        <w:t xml:space="preserve"> </w:t>
      </w:r>
      <w:r w:rsidR="0007413E">
        <w:t xml:space="preserve">of the </w:t>
      </w:r>
      <w:r w:rsidR="00BD71E4">
        <w:t xml:space="preserve">Swiss </w:t>
      </w:r>
      <w:r w:rsidR="0007413E">
        <w:t>Exchange</w:t>
      </w:r>
      <w:r>
        <w:t>, which</w:t>
      </w:r>
      <w:r w:rsidR="0007413E">
        <w:t xml:space="preserve"> has 79 companies. They are allowed to choose IFRS, US GAAP or domestic rules. </w:t>
      </w:r>
      <w:r>
        <w:t>However, o</w:t>
      </w:r>
      <w:r w:rsidR="0007413E">
        <w:t>nly 9% choose IFRS, and</w:t>
      </w:r>
      <w:r w:rsidR="0030755D">
        <w:t xml:space="preserve"> </w:t>
      </w:r>
      <w:r w:rsidR="0007413E">
        <w:t xml:space="preserve">the </w:t>
      </w:r>
      <w:r w:rsidR="0030755D">
        <w:t>trend over the last few y</w:t>
      </w:r>
      <w:r w:rsidR="0007413E">
        <w:t xml:space="preserve">ears </w:t>
      </w:r>
      <w:r w:rsidR="0030755D">
        <w:t xml:space="preserve">has been </w:t>
      </w:r>
      <w:r w:rsidR="0030755D">
        <w:rPr>
          <w:i/>
        </w:rPr>
        <w:t>away</w:t>
      </w:r>
      <w:r w:rsidR="0007413E">
        <w:t xml:space="preserve"> from IFRS, with some companies moving</w:t>
      </w:r>
      <w:r w:rsidR="0030755D">
        <w:t xml:space="preserve"> from t</w:t>
      </w:r>
      <w:r w:rsidR="0007413E">
        <w:t xml:space="preserve">he Main Standard </w:t>
      </w:r>
      <w:r w:rsidR="0030755D">
        <w:t>in order to abandon IFRS (Deloitte, 2013, p. 66).</w:t>
      </w:r>
    </w:p>
    <w:p w14:paraId="74FBC72C" w14:textId="7174B020" w:rsidR="00215EA8" w:rsidRDefault="00215EA8" w:rsidP="00215EA8">
      <w:pPr>
        <w:spacing w:line="360" w:lineRule="auto"/>
      </w:pPr>
      <w:r>
        <w:tab/>
        <w:t xml:space="preserve">Taking all listed companies together, including 16 investment companies and </w:t>
      </w:r>
      <w:r w:rsidR="00A75397">
        <w:t>eight</w:t>
      </w:r>
      <w:r>
        <w:t xml:space="preserve"> real estate companies</w:t>
      </w:r>
      <w:r w:rsidR="00104145">
        <w:t>,</w:t>
      </w:r>
      <w:r>
        <w:t xml:space="preserve"> which are not included above but mainly use IFRS, 63% of Swiss listed companies use IFRS.  However, the percentage is declining, partly to avoid complexity and long annual reports (Deloitte, 2014, p.42).</w:t>
      </w:r>
      <w:r w:rsidR="00951026">
        <w:t xml:space="preserve"> An implication for researchers </w:t>
      </w:r>
      <w:r w:rsidR="00951026">
        <w:lastRenderedPageBreak/>
        <w:t xml:space="preserve">is that they should not include Switzerland in the list of countries that have mandatorily adopted IFRS, as some researchers have </w:t>
      </w:r>
      <w:r w:rsidR="00E517D8">
        <w:t>been doing</w:t>
      </w:r>
      <w:r w:rsidR="00951026">
        <w:t xml:space="preserve"> (for recent example</w:t>
      </w:r>
      <w:r w:rsidR="00E517D8">
        <w:t>s</w:t>
      </w:r>
      <w:r w:rsidR="00951026">
        <w:t xml:space="preserve">, see </w:t>
      </w:r>
      <w:r w:rsidR="00E517D8">
        <w:t xml:space="preserve">Daske et al., 2008, Table 6; Ahmed et al., 2013, Table 2; Christensen et al., 2013, Table 1; and </w:t>
      </w:r>
      <w:r w:rsidR="00951026">
        <w:t xml:space="preserve">Chen et al., 2015, </w:t>
      </w:r>
      <w:r w:rsidR="00E517D8">
        <w:t>Table 2</w:t>
      </w:r>
      <w:r w:rsidR="00951026">
        <w:t>). If Swiss companies are included in samples, researchers should be careful to exclude non-IFRS companies. Of course, th</w:t>
      </w:r>
      <w:r w:rsidR="00BD71E4">
        <w:t>is latter point also applies to</w:t>
      </w:r>
      <w:r w:rsidR="00951026">
        <w:t xml:space="preserve"> Canad</w:t>
      </w:r>
      <w:r w:rsidR="00BD71E4">
        <w:t>ian samples</w:t>
      </w:r>
      <w:r w:rsidR="00951026">
        <w:t>.</w:t>
      </w:r>
    </w:p>
    <w:p w14:paraId="7A14D060" w14:textId="77777777" w:rsidR="00215EA8" w:rsidRDefault="00215EA8" w:rsidP="00215EA8">
      <w:pPr>
        <w:spacing w:line="360" w:lineRule="auto"/>
      </w:pPr>
      <w:r>
        <w:rPr>
          <w:b/>
        </w:rPr>
        <w:t>J</w:t>
      </w:r>
      <w:r w:rsidRPr="008C302B">
        <w:rPr>
          <w:b/>
        </w:rPr>
        <w:t>apan</w:t>
      </w:r>
    </w:p>
    <w:p w14:paraId="0B8AFA93" w14:textId="78C8527B" w:rsidR="00215EA8" w:rsidRDefault="00215EA8" w:rsidP="00215EA8">
      <w:pPr>
        <w:spacing w:line="360" w:lineRule="auto"/>
      </w:pPr>
      <w:r>
        <w:t>Like the pre-2011 position in Canada,</w:t>
      </w:r>
      <w:r w:rsidR="006A4B63">
        <w:t xml:space="preserve"> </w:t>
      </w:r>
      <w:r>
        <w:t>Japanese companies</w:t>
      </w:r>
      <w:r w:rsidR="006C5ADC">
        <w:t xml:space="preserve"> that are publicly traded </w:t>
      </w:r>
      <w:r>
        <w:t>in the US have long been allowed by the Japanese authorities to use US GAAP for consolidated statements in their filings with the Financial Services Agency (FSA). From 2010, certain Japanese companies have been allowed to use IFRS for their consolidated reporting.  The original conditions set out by the FSA’s Business Accounting Council in 2009 were</w:t>
      </w:r>
      <w:r w:rsidR="000C38FC">
        <w:t xml:space="preserve"> that the company</w:t>
      </w:r>
      <w:r>
        <w:t xml:space="preserve">: (i) was listed in Japan, (ii) had staff skilled in IFRS, and (iii) was subject to foreign securities regulation or had a large foreign subsidiary (capital of at least ¥2 billion). However, the scope was expanded in 2010 to include the consolidated statements of a Japanese subsidiary whose parent meets the above criteria.  Then, in 2013, the first and last conditions above were removed, leaving only the rather vague second condition (BAC, 2013). As in Australia and the EU, there is a formal process of scrutinizing IFRS: the standards have to be ‘designated’ by the FSA, but </w:t>
      </w:r>
      <w:r w:rsidR="00BD71E4">
        <w:t xml:space="preserve">so far </w:t>
      </w:r>
      <w:r>
        <w:t>there ha</w:t>
      </w:r>
      <w:r w:rsidR="000C38FC">
        <w:t>s</w:t>
      </w:r>
      <w:r>
        <w:t xml:space="preserve"> been no case of non-designation.</w:t>
      </w:r>
    </w:p>
    <w:p w14:paraId="6DBB8B14" w14:textId="77777777" w:rsidR="00BD71E4" w:rsidRDefault="00215EA8" w:rsidP="00215EA8">
      <w:pPr>
        <w:spacing w:line="360" w:lineRule="auto"/>
      </w:pPr>
      <w:r>
        <w:tab/>
        <w:t>Companies were fairly slow to take up the permission to use IFRS.  Nihon Dempa Kogyo did so for the year ended 31 March 2010, then H</w:t>
      </w:r>
      <w:r w:rsidR="006C5ADC">
        <w:t>OYA</w:t>
      </w:r>
      <w:r>
        <w:t xml:space="preserve"> and Sumitomo for 2011, then Nippon Sheet Glass, Japan Tobacco, Anritsu and Chugai Pharmaceutical for 2012. </w:t>
      </w:r>
      <w:r w:rsidR="00013560">
        <w:t>Most of t</w:t>
      </w:r>
      <w:r>
        <w:t xml:space="preserve">hese are major companies in the Nikkei index.  After that, many companies have adopted IFRS or have announced plans to do so: 75 </w:t>
      </w:r>
      <w:r w:rsidR="0007413E">
        <w:t xml:space="preserve">companies </w:t>
      </w:r>
      <w:r>
        <w:t>by March 2015, as reported by the FSA (2015)</w:t>
      </w:r>
      <w:r w:rsidR="00084329">
        <w:t xml:space="preserve">, </w:t>
      </w:r>
      <w:r>
        <w:t>amount</w:t>
      </w:r>
      <w:r w:rsidR="00084329">
        <w:t>ing</w:t>
      </w:r>
      <w:r>
        <w:t xml:space="preserve"> to 18.5% of Japanese market capitalisation.</w:t>
      </w:r>
      <w:r w:rsidR="00084329">
        <w:t xml:space="preserve"> </w:t>
      </w:r>
      <w:r w:rsidR="00CF4F61">
        <w:t>The number of a</w:t>
      </w:r>
      <w:r w:rsidR="00084329">
        <w:t>doption</w:t>
      </w:r>
      <w:r w:rsidR="00CF4F61">
        <w:t>s</w:t>
      </w:r>
      <w:r w:rsidR="00084329">
        <w:t xml:space="preserve"> has increased even since then.</w:t>
      </w:r>
      <w:r w:rsidR="00084329">
        <w:rPr>
          <w:rStyle w:val="FootnoteReference"/>
        </w:rPr>
        <w:footnoteReference w:id="20"/>
      </w:r>
      <w:r>
        <w:t xml:space="preserve"> </w:t>
      </w:r>
    </w:p>
    <w:p w14:paraId="4ED36883" w14:textId="77777777" w:rsidR="00215EA8" w:rsidRDefault="00215EA8" w:rsidP="009E7E84">
      <w:pPr>
        <w:spacing w:line="360" w:lineRule="auto"/>
        <w:ind w:firstLine="720"/>
      </w:pPr>
      <w:r>
        <w:lastRenderedPageBreak/>
        <w:t xml:space="preserve">The FSA suggested that the main reasons for IFRS adoption by a company were (i) to simplify accounting in a group with many foreign subsidiaries, and (ii) to improve international comparability. It is clear that the FSA approves of this gradual adoption of IFRS. </w:t>
      </w:r>
      <w:r w:rsidR="008044F2">
        <w:t>A recent acceleration in the number of adopting companies may be traceable to</w:t>
      </w:r>
      <w:r>
        <w:t xml:space="preserve"> political support of unusual explicitness in </w:t>
      </w:r>
      <w:r w:rsidR="008044F2">
        <w:t>favour of IFRS adoption</w:t>
      </w:r>
      <w:r>
        <w:t xml:space="preserve">. </w:t>
      </w:r>
      <w:r w:rsidR="008044F2">
        <w:t>I</w:t>
      </w:r>
      <w:r>
        <w:t>n June 2013, Japan’s governing Liberal Democratic Party called for the use of IFRS to increase to about 300 companies by the end of 2016 (FEI, 2013).</w:t>
      </w:r>
      <w:r w:rsidR="00343770">
        <w:t xml:space="preserve"> Then, in 2015, the</w:t>
      </w:r>
      <w:r w:rsidR="00537254">
        <w:t xml:space="preserve"> government’s</w:t>
      </w:r>
      <w:r w:rsidR="00343770">
        <w:t xml:space="preserve"> ‘Japan Revitalisation Plan’ further encouraged the use of IFRS (Deloitte, 2015).</w:t>
      </w:r>
    </w:p>
    <w:p w14:paraId="1F5D594F" w14:textId="77777777" w:rsidR="00167AAB" w:rsidRDefault="00167AAB" w:rsidP="00215EA8">
      <w:pPr>
        <w:spacing w:line="360" w:lineRule="auto"/>
      </w:pPr>
      <w:r>
        <w:tab/>
        <w:t>A completely separate matter relating to Japan is that</w:t>
      </w:r>
      <w:r w:rsidR="00DB1D30">
        <w:t>,</w:t>
      </w:r>
      <w:r>
        <w:t xml:space="preserve"> in 2015, </w:t>
      </w:r>
      <w:r w:rsidR="00DB1D30">
        <w:t>the Accounting Standards Board of Japan</w:t>
      </w:r>
      <w:r w:rsidR="00104145">
        <w:t xml:space="preserve"> (ASBJ)</w:t>
      </w:r>
      <w:r w:rsidR="00DB1D30">
        <w:t xml:space="preserve"> issued the first two ‘Modified International Standards’ (JMIS) which adjust IFRS </w:t>
      </w:r>
      <w:r w:rsidR="00B83E93">
        <w:t xml:space="preserve">for two matters on which the Japanese think that IFRS is wrong: failure to amortise </w:t>
      </w:r>
      <w:r w:rsidR="00DB1D30">
        <w:t xml:space="preserve">goodwill and </w:t>
      </w:r>
      <w:r w:rsidR="00B83E93">
        <w:t xml:space="preserve">failure to re-classify all </w:t>
      </w:r>
      <w:r w:rsidR="000C38FC">
        <w:t xml:space="preserve">elements of </w:t>
      </w:r>
      <w:r w:rsidR="00DB1D30">
        <w:t>other comprehensive income</w:t>
      </w:r>
      <w:r w:rsidR="0077712D">
        <w:t xml:space="preserve"> eventually</w:t>
      </w:r>
      <w:r w:rsidR="00B83E93">
        <w:t xml:space="preserve"> into profit or loss</w:t>
      </w:r>
      <w:r w:rsidR="00DB1D30">
        <w:t xml:space="preserve">. These modified standards are available for 2016 onwards. At present all other parts of JMIS are the same as IFRS as issued by the IASB. </w:t>
      </w:r>
      <w:r w:rsidR="00104145">
        <w:t>The result is that</w:t>
      </w:r>
      <w:r w:rsidR="00DB1D30">
        <w:t xml:space="preserve"> most companies can choose between Japanese GAAP, IFRS and JMIS; and some companies are still allowed to use US GAAP.</w:t>
      </w:r>
      <w:r w:rsidR="00104145">
        <w:t xml:space="preserve"> The addition of the possibility of JMIS suggests that the ASBJ</w:t>
      </w:r>
      <w:r w:rsidR="00B83E93">
        <w:t xml:space="preserve"> has lost sight of a key objective</w:t>
      </w:r>
      <w:r w:rsidR="00BD71E4">
        <w:t>, because</w:t>
      </w:r>
      <w:r w:rsidR="00B83E93">
        <w:t xml:space="preserve"> companies choosing JMIS will not even be properly comparable with other Japanese companies let alone with foreign companies.</w:t>
      </w:r>
    </w:p>
    <w:p w14:paraId="5B37FEDE" w14:textId="77777777" w:rsidR="00C520EA" w:rsidRDefault="00092EC8">
      <w:pPr>
        <w:spacing w:after="120" w:line="480" w:lineRule="auto"/>
        <w:rPr>
          <w:b/>
          <w:sz w:val="28"/>
          <w:szCs w:val="28"/>
        </w:rPr>
      </w:pPr>
      <w:r>
        <w:rPr>
          <w:b/>
          <w:sz w:val="28"/>
          <w:szCs w:val="28"/>
        </w:rPr>
        <w:t>Misleading Affirmations</w:t>
      </w:r>
    </w:p>
    <w:p w14:paraId="0E397C51" w14:textId="38113A63" w:rsidR="000F2FBE" w:rsidRDefault="009A6374" w:rsidP="00215EA8">
      <w:pPr>
        <w:spacing w:line="360" w:lineRule="auto"/>
      </w:pPr>
      <w:r>
        <w:t>In earlier years, researchers had complained that some companies and their auditors were erroneously claiming compliance with international standards (e.g.</w:t>
      </w:r>
      <w:r w:rsidR="00F374F7">
        <w:t xml:space="preserve"> Street et al., 1999</w:t>
      </w:r>
      <w:r>
        <w:t>). However, enti</w:t>
      </w:r>
      <w:r w:rsidR="00A57B4C">
        <w:t>rely the reverse issue was investigat</w:t>
      </w:r>
      <w:r w:rsidR="000F2FBE">
        <w:t xml:space="preserve">ed </w:t>
      </w:r>
      <w:r w:rsidR="00A57B4C">
        <w:t>by N</w:t>
      </w:r>
      <w:r w:rsidR="001104DE">
        <w:t>obes and Zeff (2009): very few</w:t>
      </w:r>
      <w:r>
        <w:t xml:space="preserve"> </w:t>
      </w:r>
      <w:r w:rsidR="00A57B4C">
        <w:t xml:space="preserve">EU </w:t>
      </w:r>
      <w:r>
        <w:t>companies (</w:t>
      </w:r>
      <w:r w:rsidR="000C38FC">
        <w:t>or</w:t>
      </w:r>
      <w:r>
        <w:t xml:space="preserve"> their auditors) aff</w:t>
      </w:r>
      <w:r w:rsidR="00A57B4C">
        <w:t>irm</w:t>
      </w:r>
      <w:r>
        <w:t xml:space="preserve"> compliance with </w:t>
      </w:r>
      <w:r w:rsidR="00A57B4C">
        <w:t>‘</w:t>
      </w:r>
      <w:r>
        <w:t>IFRS as issued by the IASB’</w:t>
      </w:r>
      <w:r w:rsidR="000F2FBE">
        <w:t xml:space="preserve"> even when compliance</w:t>
      </w:r>
      <w:r w:rsidR="00A57B4C">
        <w:t xml:space="preserve"> i</w:t>
      </w:r>
      <w:r>
        <w:t>s probably being achieved.</w:t>
      </w:r>
      <w:r w:rsidR="00A57B4C">
        <w:rPr>
          <w:rStyle w:val="FootnoteReference"/>
        </w:rPr>
        <w:footnoteReference w:id="21"/>
      </w:r>
    </w:p>
    <w:p w14:paraId="4E62F7F5" w14:textId="77777777" w:rsidR="007C6B6D" w:rsidRDefault="007C6B6D" w:rsidP="00215EA8">
      <w:pPr>
        <w:spacing w:line="360" w:lineRule="auto"/>
      </w:pPr>
      <w:r>
        <w:lastRenderedPageBreak/>
        <w:tab/>
        <w:t>For the first few years of IFRS in Australia and New Zealand, a similar position obtained: companies and auditors affirmed compliance with nat</w:t>
      </w:r>
      <w:r w:rsidR="0099289A">
        <w:t xml:space="preserve">ional standards </w:t>
      </w:r>
      <w:r w:rsidR="00BD71E4">
        <w:t xml:space="preserve">only, </w:t>
      </w:r>
      <w:r w:rsidR="0099289A">
        <w:t>even though the companies</w:t>
      </w:r>
      <w:r>
        <w:t xml:space="preserve"> were also complying with IFRS as issued by the IASB.</w:t>
      </w:r>
      <w:r w:rsidR="00926F90">
        <w:t xml:space="preserve"> However, in 2007, the audit regulators in these two countries introduced requirements for dual audit confirmations: IFRS as well as national versions of IFRS (Fisher and Perry, 2007).</w:t>
      </w:r>
    </w:p>
    <w:p w14:paraId="45CF4540" w14:textId="77777777" w:rsidR="0099289A" w:rsidRDefault="004B7EEB" w:rsidP="00215EA8">
      <w:pPr>
        <w:spacing w:line="360" w:lineRule="auto"/>
      </w:pPr>
      <w:r>
        <w:tab/>
        <w:t xml:space="preserve">More recently, a similar problem has arisen in South Korea, which adopted IFRS for 2011 onwards. </w:t>
      </w:r>
      <w:r w:rsidR="0077712D">
        <w:t xml:space="preserve">South </w:t>
      </w:r>
      <w:r>
        <w:t>Korean companies and auditors report on compliance with</w:t>
      </w:r>
      <w:r w:rsidR="00DE0558">
        <w:t xml:space="preserve"> ‘Korean IFRS’</w:t>
      </w:r>
      <w:r w:rsidR="0099289A">
        <w:t xml:space="preserve"> (K-IFRS)</w:t>
      </w:r>
      <w:r w:rsidR="00DE0558">
        <w:t xml:space="preserve">. </w:t>
      </w:r>
      <w:r w:rsidR="0077712D">
        <w:t xml:space="preserve">South </w:t>
      </w:r>
      <w:r w:rsidR="00DE0558">
        <w:t>Korean law requires auditors to do this.</w:t>
      </w:r>
      <w:r w:rsidR="00DE0558">
        <w:rPr>
          <w:rStyle w:val="FootnoteReference"/>
        </w:rPr>
        <w:footnoteReference w:id="22"/>
      </w:r>
      <w:r w:rsidR="00DE0558">
        <w:t xml:space="preserve"> However, </w:t>
      </w:r>
      <w:r w:rsidR="0099289A">
        <w:t xml:space="preserve">K-IFRS is a </w:t>
      </w:r>
      <w:r w:rsidR="007C6B6D">
        <w:t>translation of IFRS as approved by the IFRS Foundation, plus a few extra disclosure requirements. Consequently,</w:t>
      </w:r>
      <w:r w:rsidR="0099289A">
        <w:t xml:space="preserve"> companies complying with K-IFRS are automatically complying with IFRS as issued by the IASB.</w:t>
      </w:r>
    </w:p>
    <w:p w14:paraId="3BA07A86" w14:textId="77777777" w:rsidR="004B7EEB" w:rsidRDefault="0099289A" w:rsidP="00215EA8">
      <w:pPr>
        <w:spacing w:line="360" w:lineRule="auto"/>
      </w:pPr>
      <w:r>
        <w:tab/>
        <w:t xml:space="preserve">Not only do </w:t>
      </w:r>
      <w:r w:rsidR="0077712D">
        <w:t xml:space="preserve">South </w:t>
      </w:r>
      <w:r>
        <w:t xml:space="preserve">Korean companies and auditors choose not to add affirmations about IFRS, some companies </w:t>
      </w:r>
      <w:r w:rsidR="00CA3361">
        <w:t xml:space="preserve">and auditors </w:t>
      </w:r>
      <w:r>
        <w:t>ma</w:t>
      </w:r>
      <w:r w:rsidR="00CA3361">
        <w:t>ke statements which suggest</w:t>
      </w:r>
      <w:r>
        <w:t xml:space="preserve"> non</w:t>
      </w:r>
      <w:r w:rsidR="00336D24">
        <w:t>-compliance. For example, in its</w:t>
      </w:r>
      <w:r>
        <w:t xml:space="preserve"> 2013</w:t>
      </w:r>
      <w:r w:rsidR="00336D24">
        <w:t xml:space="preserve"> report, the Hyundai Motor Company state</w:t>
      </w:r>
      <w:r w:rsidR="0077712D">
        <w:t>d</w:t>
      </w:r>
      <w:r w:rsidR="00336D24">
        <w:t xml:space="preserve">: </w:t>
      </w:r>
      <w:r>
        <w:t xml:space="preserve"> </w:t>
      </w:r>
      <w:r w:rsidR="007C6B6D">
        <w:t xml:space="preserve"> </w:t>
      </w:r>
    </w:p>
    <w:p w14:paraId="16892B18" w14:textId="77777777" w:rsidR="00C520EA" w:rsidRDefault="00336D24">
      <w:pPr>
        <w:spacing w:line="240" w:lineRule="auto"/>
        <w:ind w:left="720"/>
        <w:rPr>
          <w:szCs w:val="24"/>
          <w:lang w:val="en-AU"/>
        </w:rPr>
      </w:pPr>
      <w:r>
        <w:rPr>
          <w:szCs w:val="24"/>
          <w:lang w:val="en-AU"/>
        </w:rPr>
        <w:t>The Company...prepares its consolidated financial statements in conformity with Korean statutory requirements and Korean International Financial Reporting Standards ('K-IFRS') in Korean language (Hangul). Accordingly, these consolidated financial statements are intended for use by those who are informed about K-IFRS and Korean practices.</w:t>
      </w:r>
    </w:p>
    <w:p w14:paraId="2746E4FA" w14:textId="77777777" w:rsidR="00CA3361" w:rsidRDefault="00CA3361" w:rsidP="00CA3361">
      <w:pPr>
        <w:spacing w:line="360" w:lineRule="auto"/>
        <w:rPr>
          <w:szCs w:val="24"/>
          <w:lang w:val="en-AU"/>
        </w:rPr>
      </w:pPr>
      <w:r>
        <w:rPr>
          <w:szCs w:val="24"/>
          <w:lang w:val="en-AU"/>
        </w:rPr>
        <w:t>The auditors (Deloitte) affirm compliance with K-IFRS and then state:</w:t>
      </w:r>
    </w:p>
    <w:p w14:paraId="65CB1991" w14:textId="77777777" w:rsidR="00C520EA" w:rsidRDefault="00CA3361">
      <w:pPr>
        <w:spacing w:line="240" w:lineRule="auto"/>
        <w:ind w:left="720"/>
        <w:rPr>
          <w:szCs w:val="24"/>
          <w:lang w:val="en-AU"/>
        </w:rPr>
      </w:pPr>
      <w:r>
        <w:rPr>
          <w:szCs w:val="24"/>
          <w:lang w:val="en-AU"/>
        </w:rPr>
        <w:t>The accompanying consolidated financial statements are not intended to present the financial position, results of operations, changes in equity and cash flows in accordance with accounting principles and practices generally accepted in countries other than the Republic of Korea.</w:t>
      </w:r>
    </w:p>
    <w:p w14:paraId="3BA0CC35" w14:textId="1039F3CB" w:rsidR="00CA3361" w:rsidRDefault="0017758C" w:rsidP="00CA3361">
      <w:pPr>
        <w:spacing w:line="360" w:lineRule="auto"/>
      </w:pPr>
      <w:r>
        <w:t>T</w:t>
      </w:r>
      <w:r w:rsidR="00CA3361">
        <w:t xml:space="preserve">hese dire warnings </w:t>
      </w:r>
      <w:r>
        <w:t xml:space="preserve">are perhaps intended to deter any litigation by foreign users. However, the warnings </w:t>
      </w:r>
      <w:r w:rsidR="00CA3361">
        <w:t>relate only to some extra disclosure and presentation requirements, none of which are incompatible with IFRS. It appears that Korean companies</w:t>
      </w:r>
      <w:r w:rsidR="000F2FBE">
        <w:t>, like most EU companies,</w:t>
      </w:r>
      <w:r w:rsidR="00CA3361">
        <w:t xml:space="preserve"> are compromising one of the main benefits of adopting IFRS: making foreign investors </w:t>
      </w:r>
      <w:r w:rsidR="000F2FBE">
        <w:t>feel comfortable with the financial reporting.</w:t>
      </w:r>
      <w:r>
        <w:t xml:space="preserve"> </w:t>
      </w:r>
    </w:p>
    <w:p w14:paraId="22C6E2C0" w14:textId="77777777" w:rsidR="00215EA8" w:rsidRDefault="00215EA8" w:rsidP="00215EA8">
      <w:pPr>
        <w:spacing w:after="120" w:line="360" w:lineRule="auto"/>
        <w:rPr>
          <w:b/>
          <w:sz w:val="28"/>
          <w:szCs w:val="28"/>
        </w:rPr>
      </w:pPr>
      <w:r w:rsidRPr="00F17508">
        <w:rPr>
          <w:b/>
          <w:sz w:val="28"/>
          <w:szCs w:val="28"/>
        </w:rPr>
        <w:lastRenderedPageBreak/>
        <w:t>Conclusion</w:t>
      </w:r>
    </w:p>
    <w:p w14:paraId="42F59CE4" w14:textId="77777777" w:rsidR="00703ADE" w:rsidRDefault="00281F53" w:rsidP="009E62DF">
      <w:pPr>
        <w:spacing w:after="120" w:line="360" w:lineRule="auto"/>
      </w:pPr>
      <w:r>
        <w:t>In a</w:t>
      </w:r>
      <w:r w:rsidR="00ED30C8">
        <w:t xml:space="preserve">n earlier paper </w:t>
      </w:r>
      <w:r>
        <w:t xml:space="preserve">(Zeff and Nobes, 2010), we </w:t>
      </w:r>
      <w:r w:rsidR="00703ADE">
        <w:t xml:space="preserve">argued in favour of </w:t>
      </w:r>
      <w:r w:rsidR="002B66ED">
        <w:t>countrie</w:t>
      </w:r>
      <w:r w:rsidR="00703ADE">
        <w:t xml:space="preserve">s’ adopting </w:t>
      </w:r>
      <w:r w:rsidR="00CB67A7">
        <w:t xml:space="preserve">IFRS </w:t>
      </w:r>
      <w:r w:rsidR="00703ADE">
        <w:t xml:space="preserve">by legally requiring the use of ‘IFRS as issued by the IASB’ for certain purposes, most obviously for consolidated reporting by listed companies.  This </w:t>
      </w:r>
      <w:r>
        <w:t xml:space="preserve">approach </w:t>
      </w:r>
      <w:r w:rsidR="00703ADE">
        <w:t>is not popular among countries with large stock markets but is now common in British-influenced countries in Africa and the Caribbean and in the Arab world.</w:t>
      </w:r>
    </w:p>
    <w:p w14:paraId="6390B90F" w14:textId="77777777" w:rsidR="00703ADE" w:rsidRDefault="00703ADE" w:rsidP="009E62DF">
      <w:pPr>
        <w:spacing w:after="120" w:line="360" w:lineRule="auto"/>
      </w:pPr>
      <w:r>
        <w:tab/>
        <w:t xml:space="preserve">In this paper, we examine various examples of problems which arise when </w:t>
      </w:r>
      <w:r w:rsidR="002B66ED">
        <w:t>countrie</w:t>
      </w:r>
      <w:r>
        <w:t xml:space="preserve">s adopt IFRS </w:t>
      </w:r>
      <w:r w:rsidR="00FE25F2">
        <w:t>but add national interventions</w:t>
      </w:r>
      <w:r>
        <w:t>.  An example from Australia concerns the conceptual framework.  The IASB revised parts of its framework in 2010, although some of the changes</w:t>
      </w:r>
      <w:r w:rsidRPr="00703ADE">
        <w:t xml:space="preserve"> </w:t>
      </w:r>
      <w:r>
        <w:t xml:space="preserve">are now to be reversed. This might affect its own standard-setting work, but the Board did not revise IASs 1 and 8 which </w:t>
      </w:r>
      <w:r w:rsidR="00043AEE">
        <w:t xml:space="preserve">in 2015 </w:t>
      </w:r>
      <w:r>
        <w:t xml:space="preserve">still refer to the 1989 framework.  By contrast, the Australian Board adopted the 2010 framework in 2013, including requiring its use by preparers and auditors when applying the Australian versions of IASs 1 and 8. </w:t>
      </w:r>
    </w:p>
    <w:p w14:paraId="4218534F" w14:textId="77777777" w:rsidR="00703ADE" w:rsidRDefault="00703ADE" w:rsidP="009E62DF">
      <w:pPr>
        <w:spacing w:after="120" w:line="360" w:lineRule="auto"/>
      </w:pPr>
      <w:r>
        <w:tab/>
        <w:t>Much more serious questions of content relate to some other adoptions.  We discuss the example of Pakistan, where so much IFRS content is not included, especially for financial institutions, that ‘adoption of IFRS’ seems an inappropriate term.  This is a major impediment to international comparability.</w:t>
      </w:r>
    </w:p>
    <w:p w14:paraId="3A40D5E4" w14:textId="1A4A5DFB" w:rsidR="00703ADE" w:rsidRDefault="00703ADE" w:rsidP="009E62DF">
      <w:pPr>
        <w:spacing w:after="120" w:line="360" w:lineRule="auto"/>
      </w:pPr>
      <w:r>
        <w:tab/>
        <w:t xml:space="preserve">For some countries, it is not </w:t>
      </w:r>
      <w:r w:rsidR="00C62C2F">
        <w:t>changes to</w:t>
      </w:r>
      <w:r>
        <w:t xml:space="preserve"> the content of IFRS which </w:t>
      </w:r>
      <w:r w:rsidR="00C62C2F">
        <w:t>are</w:t>
      </w:r>
      <w:r>
        <w:t xml:space="preserve"> the problem but gaps in </w:t>
      </w:r>
      <w:r w:rsidR="00B913C2">
        <w:t>the scope of application.  The imposition</w:t>
      </w:r>
      <w:r>
        <w:t xml:space="preserve"> of IFRS in Canada has </w:t>
      </w:r>
      <w:r w:rsidR="00084329">
        <w:t>two</w:t>
      </w:r>
      <w:r>
        <w:t xml:space="preserve"> </w:t>
      </w:r>
      <w:r w:rsidR="00084329">
        <w:t>important</w:t>
      </w:r>
      <w:r>
        <w:t xml:space="preserve"> </w:t>
      </w:r>
      <w:r w:rsidR="00DB555D">
        <w:t xml:space="preserve">types of </w:t>
      </w:r>
      <w:r>
        <w:t>exception</w:t>
      </w:r>
      <w:r w:rsidR="00FA0789">
        <w:t>,</w:t>
      </w:r>
      <w:r>
        <w:t xml:space="preserve"> </w:t>
      </w:r>
      <w:r w:rsidR="00B913C2">
        <w:t xml:space="preserve">such that </w:t>
      </w:r>
      <w:r w:rsidR="00BC136E">
        <w:t>many</w:t>
      </w:r>
      <w:r w:rsidR="00B913C2">
        <w:t xml:space="preserve"> major</w:t>
      </w:r>
      <w:r>
        <w:t xml:space="preserve"> companies (amounting to 20% of the main stock market index) use US GAAP instead.  This means that their reporting is not properly comparable with other Canadian companies or with other IFRS reporters around the world.</w:t>
      </w:r>
      <w:r w:rsidR="00C62C2F">
        <w:t xml:space="preserve"> In some cases, the use of US GAAP is not even designed to improve comparability with US reporters because the Canadian companies concerned are not listed in the US.</w:t>
      </w:r>
    </w:p>
    <w:p w14:paraId="645A5DA6" w14:textId="1EFF3E37" w:rsidR="00703ADE" w:rsidRDefault="00703ADE" w:rsidP="009E62DF">
      <w:pPr>
        <w:spacing w:after="120" w:line="360" w:lineRule="auto"/>
      </w:pPr>
      <w:r>
        <w:tab/>
        <w:t xml:space="preserve">By contrast, some countries which are not considered to be IFRS adopters </w:t>
      </w:r>
      <w:r w:rsidR="00B913C2">
        <w:t xml:space="preserve">have witnessed extensive </w:t>
      </w:r>
      <w:r>
        <w:t xml:space="preserve">voluntary adoptions of ‘IFRS as issued by the IASB’ by companies.  We examine the well-established example of Switzerland and the new but increasingly substantial example of Japan.  In Switzerland, 63% of listed companies choose IFRS.  In </w:t>
      </w:r>
      <w:r>
        <w:lastRenderedPageBreak/>
        <w:t xml:space="preserve">terms of the key stock market index, some </w:t>
      </w:r>
      <w:r w:rsidR="00CB67A7">
        <w:t xml:space="preserve">Swiss </w:t>
      </w:r>
      <w:r>
        <w:t>companies use US GAAP</w:t>
      </w:r>
      <w:r w:rsidR="00B913C2">
        <w:t xml:space="preserve"> but 65% use IFRS</w:t>
      </w:r>
      <w:r w:rsidR="00CB67A7">
        <w:t>. This is a high level of voluntary adoption</w:t>
      </w:r>
      <w:r w:rsidR="001F75C8">
        <w:t xml:space="preserve">, </w:t>
      </w:r>
      <w:r w:rsidR="00CB67A7">
        <w:t>and can be compared to</w:t>
      </w:r>
      <w:r>
        <w:t xml:space="preserve"> the 80% in Canada</w:t>
      </w:r>
      <w:r w:rsidR="00227BE7">
        <w:t>, a country</w:t>
      </w:r>
      <w:r w:rsidR="00CB67A7">
        <w:t xml:space="preserve"> which is </w:t>
      </w:r>
      <w:r w:rsidR="00DB555D">
        <w:t xml:space="preserve">generally </w:t>
      </w:r>
      <w:r w:rsidR="00CB67A7">
        <w:t>re</w:t>
      </w:r>
      <w:r w:rsidR="00DB555D">
        <w:t>port</w:t>
      </w:r>
      <w:r w:rsidR="00CB67A7">
        <w:t xml:space="preserve">ed as having </w:t>
      </w:r>
      <w:r w:rsidR="00C62C2F">
        <w:t xml:space="preserve">introduced </w:t>
      </w:r>
      <w:r w:rsidR="00CB67A7">
        <w:t>mandatory adoption</w:t>
      </w:r>
      <w:r>
        <w:t xml:space="preserve">.  In Japan, use of IFRS </w:t>
      </w:r>
      <w:r w:rsidR="00D8279C">
        <w:t>has been</w:t>
      </w:r>
      <w:r>
        <w:t xml:space="preserve"> rapidly growing since it became allowed in 2010.  This amounted to 18.5% of market capitalisation </w:t>
      </w:r>
      <w:r w:rsidR="00D8279C">
        <w:t>by</w:t>
      </w:r>
      <w:r>
        <w:t xml:space="preserve"> March 2015 and has grown since.</w:t>
      </w:r>
    </w:p>
    <w:p w14:paraId="79C790A1" w14:textId="66FC64A7" w:rsidR="00703ADE" w:rsidRDefault="00703ADE" w:rsidP="009E62DF">
      <w:pPr>
        <w:spacing w:after="120" w:line="360" w:lineRule="auto"/>
      </w:pPr>
      <w:r>
        <w:tab/>
        <w:t xml:space="preserve">We conclude that national gaps in IFRS content and scope are </w:t>
      </w:r>
      <w:r w:rsidR="00DB555D">
        <w:t xml:space="preserve">probably </w:t>
      </w:r>
      <w:r>
        <w:t>hamperi</w:t>
      </w:r>
      <w:r w:rsidR="00B913C2">
        <w:t xml:space="preserve">ng the success of IFRS </w:t>
      </w:r>
      <w:r>
        <w:t xml:space="preserve">in achieving international comparability.  However, in some countries which have </w:t>
      </w:r>
      <w:r w:rsidRPr="009E7E84">
        <w:rPr>
          <w:i/>
        </w:rPr>
        <w:t>not</w:t>
      </w:r>
      <w:r>
        <w:t xml:space="preserve"> adopted IFRS, there is no problem with content and </w:t>
      </w:r>
      <w:r w:rsidR="00D8279C">
        <w:t xml:space="preserve">the </w:t>
      </w:r>
      <w:r>
        <w:t>scope</w:t>
      </w:r>
      <w:r w:rsidR="00D8279C" w:rsidRPr="00D8279C">
        <w:t xml:space="preserve"> </w:t>
      </w:r>
      <w:r w:rsidR="00D8279C">
        <w:t>of voluntary use</w:t>
      </w:r>
      <w:r>
        <w:t xml:space="preserve"> is substantial.</w:t>
      </w:r>
      <w:r w:rsidR="000F2FBE">
        <w:t xml:space="preserve"> Then there is the self-inflicted damage caused by not affirming compliance with IFRS even when compliance has been achieved. This is a problem in the EU and in South Korea</w:t>
      </w:r>
      <w:r w:rsidR="00DB555D">
        <w:t>, but i</w:t>
      </w:r>
      <w:r w:rsidR="000F2FBE">
        <w:t>t is not now a problem in Australia and New Zealand</w:t>
      </w:r>
      <w:r w:rsidR="00E45158">
        <w:t>. There is, of course, no such problem in count</w:t>
      </w:r>
      <w:r w:rsidR="00FE25F2">
        <w:t xml:space="preserve">ries </w:t>
      </w:r>
      <w:r w:rsidR="00476E66">
        <w:t xml:space="preserve">such as South Africa </w:t>
      </w:r>
      <w:r w:rsidR="00F72CBF">
        <w:t>that</w:t>
      </w:r>
      <w:r w:rsidR="00FE25F2">
        <w:t xml:space="preserve"> have </w:t>
      </w:r>
      <w:r w:rsidR="00C62C2F">
        <w:t xml:space="preserve">mandatorily </w:t>
      </w:r>
      <w:r w:rsidR="00FE25F2">
        <w:t>adopted IFRS as issued by the IASB</w:t>
      </w:r>
      <w:r w:rsidR="00E45158">
        <w:t xml:space="preserve"> (see above) nor for voluntary adopters such as those in Japan or Switzerland.</w:t>
      </w:r>
    </w:p>
    <w:p w14:paraId="78045CD5" w14:textId="77777777" w:rsidR="00951026" w:rsidRDefault="00CC5FEC" w:rsidP="005C0853">
      <w:pPr>
        <w:spacing w:after="120" w:line="360" w:lineRule="auto"/>
      </w:pPr>
      <w:r>
        <w:tab/>
      </w:r>
      <w:r w:rsidR="005C0853">
        <w:t>Three</w:t>
      </w:r>
      <w:r>
        <w:t xml:space="preserve"> policy implication</w:t>
      </w:r>
      <w:r w:rsidR="00C62C2F">
        <w:t>s</w:t>
      </w:r>
      <w:r w:rsidR="005C0853">
        <w:t xml:space="preserve"> arise. First, we continue to believe that the best approach to IFRS adoption is</w:t>
      </w:r>
      <w:r w:rsidR="00C62C2F">
        <w:t xml:space="preserve"> </w:t>
      </w:r>
      <w:r w:rsidR="005C0853">
        <w:t>for a country to impose IFRS as adopted by the IASB</w:t>
      </w:r>
      <w:r w:rsidR="00043AEE">
        <w:t xml:space="preserve"> (which could include translations approved by the IFRS Foundation)</w:t>
      </w:r>
      <w:r w:rsidR="005C0853">
        <w:t>. This avoids any differences in implementation date and content.</w:t>
      </w:r>
      <w:r w:rsidR="00043AEE">
        <w:rPr>
          <w:rStyle w:val="FootnoteReference"/>
        </w:rPr>
        <w:footnoteReference w:id="23"/>
      </w:r>
      <w:r w:rsidR="005C0853">
        <w:t xml:space="preserve"> It therefore improves international comparability. Secondly, the scope of application should at least extend to the consolidated reporting of all listed companies in the country. </w:t>
      </w:r>
      <w:r w:rsidR="004F7EA0">
        <w:t>This improves both national and international comparability. For companies that</w:t>
      </w:r>
      <w:r w:rsidR="00A1300B">
        <w:t xml:space="preserve"> do not use IFRS and that</w:t>
      </w:r>
      <w:r w:rsidR="004F7EA0">
        <w:t xml:space="preserve"> are listed on foreign exchanges, reconciliations to the foreign GAAP can be used to achieve comparability in the foreign context. Thirdly, if IFRS has really been adopted, whether directly or via national endorsement, regulators should require companies and auditors to affirm compliance with IFRS. Otherwise, the central purpose of international standards is compromised because foreign investors cannot be confident about what they are reading.</w:t>
      </w:r>
      <w:r w:rsidR="00BE64ED">
        <w:t xml:space="preserve"> </w:t>
      </w:r>
    </w:p>
    <w:p w14:paraId="46C164FA" w14:textId="4F523CE6" w:rsidR="00FA0789" w:rsidRDefault="00BE64ED" w:rsidP="003D605A">
      <w:pPr>
        <w:spacing w:after="120" w:line="360" w:lineRule="auto"/>
        <w:ind w:firstLine="720"/>
      </w:pPr>
      <w:r>
        <w:lastRenderedPageBreak/>
        <w:t>An implication for researchers is that they should be alert to the great variety of ‘adoptions’</w:t>
      </w:r>
      <w:r w:rsidR="00951026">
        <w:t xml:space="preserve"> of IFRS. They should be aware that in some </w:t>
      </w:r>
      <w:r w:rsidR="00043AEE">
        <w:t xml:space="preserve">adopting </w:t>
      </w:r>
      <w:r w:rsidR="00A961B3">
        <w:t>countries the content of ‘IFRS’</w:t>
      </w:r>
      <w:r w:rsidR="00043AEE">
        <w:t xml:space="preserve"> has been changed, and in others</w:t>
      </w:r>
      <w:r w:rsidR="00A961B3">
        <w:t xml:space="preserve"> several companies do not use IFRS. In some countries where IFRS is common, it is not mandatory. These caveats are also of r</w:t>
      </w:r>
      <w:r w:rsidR="003D605A">
        <w:t>elevance for financial analysts.</w:t>
      </w:r>
    </w:p>
    <w:p w14:paraId="1C4E0BBA" w14:textId="77777777" w:rsidR="00353A3F" w:rsidRDefault="00353A3F" w:rsidP="00353A3F">
      <w:pPr>
        <w:rPr>
          <w:b/>
        </w:rPr>
      </w:pPr>
    </w:p>
    <w:p w14:paraId="7924A620" w14:textId="77777777" w:rsidR="00353A3F" w:rsidRDefault="00353A3F" w:rsidP="00353A3F">
      <w:pPr>
        <w:rPr>
          <w:b/>
        </w:rPr>
      </w:pPr>
    </w:p>
    <w:p w14:paraId="1808EF25" w14:textId="77777777" w:rsidR="00353A3F" w:rsidRDefault="00353A3F" w:rsidP="00353A3F">
      <w:r w:rsidRPr="00353A3F">
        <w:rPr>
          <w:b/>
        </w:rPr>
        <w:t>Acknowledgements</w:t>
      </w:r>
    </w:p>
    <w:p w14:paraId="78D6F5D0" w14:textId="29CB2BEB" w:rsidR="00353A3F" w:rsidRDefault="00353A3F" w:rsidP="00353A3F">
      <w:r>
        <w:t xml:space="preserve"> The authors are grateful for advice from Paul Brunner (PwC, Sydney), Paul Pacter (IASB), Rebecca Villmann (Director of Accounting Standards, CPA Canada), John Carchrae, Paul Cherry, Patricia O’Malley, Chungwoo Suh (IASB), staff of the Ontario Securities Commission, and two reviewers of this journal.</w:t>
      </w:r>
    </w:p>
    <w:p w14:paraId="32C8758C" w14:textId="77777777" w:rsidR="003D605A" w:rsidRDefault="003D605A" w:rsidP="003D605A">
      <w:pPr>
        <w:spacing w:after="120" w:line="360" w:lineRule="auto"/>
        <w:ind w:firstLine="720"/>
      </w:pPr>
    </w:p>
    <w:p w14:paraId="192B4088" w14:textId="77777777" w:rsidR="003D605A" w:rsidRPr="003D605A" w:rsidRDefault="003D605A" w:rsidP="003D605A">
      <w:pPr>
        <w:spacing w:after="120" w:line="360" w:lineRule="auto"/>
        <w:ind w:firstLine="720"/>
      </w:pPr>
    </w:p>
    <w:p w14:paraId="5E2409A2" w14:textId="2B576119" w:rsidR="00C03BE4" w:rsidRPr="003D605A" w:rsidRDefault="00215EA8" w:rsidP="003D605A">
      <w:pPr>
        <w:spacing w:after="120" w:line="480" w:lineRule="auto"/>
        <w:rPr>
          <w:b/>
        </w:rPr>
      </w:pPr>
      <w:r w:rsidRPr="00F17508">
        <w:rPr>
          <w:b/>
        </w:rPr>
        <w:t>References</w:t>
      </w:r>
    </w:p>
    <w:p w14:paraId="27928217" w14:textId="256C3E26" w:rsidR="00C03BE4" w:rsidRDefault="00C03BE4" w:rsidP="00215EA8">
      <w:pPr>
        <w:spacing w:after="120" w:line="360" w:lineRule="auto"/>
      </w:pPr>
      <w:r>
        <w:t xml:space="preserve">Ahmed, A., Neel, M. and Wang, D. 2013, ‘Does mandatory adoption of IFRS improve accounting quality? Preliminary evidence’, </w:t>
      </w:r>
      <w:r w:rsidRPr="003D605A">
        <w:rPr>
          <w:i/>
        </w:rPr>
        <w:t>Contemporary Accounting Research</w:t>
      </w:r>
      <w:r>
        <w:t>, 30 (4): 1344-72.</w:t>
      </w:r>
    </w:p>
    <w:p w14:paraId="643B019A" w14:textId="77777777" w:rsidR="00215EA8" w:rsidRDefault="00FA0789" w:rsidP="00215EA8">
      <w:pPr>
        <w:spacing w:after="120" w:line="360" w:lineRule="auto"/>
      </w:pPr>
      <w:r>
        <w:t>BAC 2013,</w:t>
      </w:r>
      <w:r w:rsidR="00215EA8">
        <w:t xml:space="preserve"> </w:t>
      </w:r>
      <w:r w:rsidR="00215EA8" w:rsidRPr="00D13626">
        <w:rPr>
          <w:i/>
        </w:rPr>
        <w:t>The Present Policy on the Application of International Financial Reporting Standards</w:t>
      </w:r>
      <w:r w:rsidR="00215EA8">
        <w:t>, Business Accounting Council, Tokyo                 (</w:t>
      </w:r>
      <w:hyperlink r:id="rId8" w:history="1">
        <w:r w:rsidR="00215EA8" w:rsidRPr="00B336B7">
          <w:rPr>
            <w:rStyle w:val="Hyperlink"/>
          </w:rPr>
          <w:t>http://www.fsa.go.jp/en/news/2013/20130621-1/01.pdf</w:t>
        </w:r>
      </w:hyperlink>
      <w:r w:rsidR="00215EA8">
        <w:t>; accessed 26 May 2015).</w:t>
      </w:r>
    </w:p>
    <w:p w14:paraId="46B94DC8" w14:textId="77777777" w:rsidR="00215EA8" w:rsidRDefault="00FA0789" w:rsidP="00215EA8">
      <w:pPr>
        <w:spacing w:after="60" w:line="360" w:lineRule="auto"/>
        <w:ind w:left="360" w:hanging="360"/>
        <w:rPr>
          <w:lang w:val="nb-NO"/>
        </w:rPr>
      </w:pPr>
      <w:r>
        <w:t>BDO 2012,</w:t>
      </w:r>
      <w:r w:rsidR="00215EA8">
        <w:t xml:space="preserve"> </w:t>
      </w:r>
      <w:r w:rsidR="00215EA8">
        <w:rPr>
          <w:i/>
        </w:rPr>
        <w:t>How IFRS Can Add Value to Your I</w:t>
      </w:r>
      <w:r w:rsidR="00215EA8" w:rsidRPr="00EA09A7">
        <w:rPr>
          <w:i/>
        </w:rPr>
        <w:t>nformation</w:t>
      </w:r>
      <w:r w:rsidR="00215EA8">
        <w:t>. BDO, Toronto</w:t>
      </w:r>
      <w:r w:rsidR="00215EA8" w:rsidRPr="000F0496">
        <w:rPr>
          <w:lang w:val="nb-NO"/>
        </w:rPr>
        <w:t xml:space="preserve"> </w:t>
      </w:r>
      <w:r w:rsidR="00215EA8">
        <w:rPr>
          <w:lang w:val="nb-NO"/>
        </w:rPr>
        <w:t>(</w:t>
      </w:r>
      <w:hyperlink r:id="rId9" w:history="1">
        <w:r w:rsidR="00215EA8" w:rsidRPr="000F0496">
          <w:rPr>
            <w:rStyle w:val="Hyperlink"/>
            <w:lang w:val="nb-NO"/>
          </w:rPr>
          <w:t>www.bdo.ca/library/publications/aboriginal/articles/how_IFRS_can_add_value.cfm</w:t>
        </w:r>
      </w:hyperlink>
      <w:r w:rsidR="00215EA8">
        <w:rPr>
          <w:lang w:val="nb-NO"/>
        </w:rPr>
        <w:t>; accessed 21 January 2013).</w:t>
      </w:r>
    </w:p>
    <w:p w14:paraId="4DE9CD85" w14:textId="77777777" w:rsidR="00A961B3" w:rsidRDefault="00FA0789" w:rsidP="00215EA8">
      <w:pPr>
        <w:spacing w:after="120" w:line="360" w:lineRule="auto"/>
      </w:pPr>
      <w:r>
        <w:t>Bompas, G. 2013,</w:t>
      </w:r>
      <w:r w:rsidR="00215EA8">
        <w:t xml:space="preserve"> </w:t>
      </w:r>
      <w:r w:rsidR="00215EA8" w:rsidRPr="009F61D3">
        <w:rPr>
          <w:i/>
        </w:rPr>
        <w:t>International Financial Reporting Standards (Issues Arising in Relation to the Companies Act 2006)</w:t>
      </w:r>
      <w:r w:rsidR="00215EA8">
        <w:t>, Local Authority Pension Fund Forum (</w:t>
      </w:r>
      <w:hyperlink r:id="rId10" w:history="1">
        <w:r w:rsidR="00215EA8" w:rsidRPr="001D2EC5">
          <w:rPr>
            <w:rStyle w:val="Hyperlink"/>
          </w:rPr>
          <w:t>http://www.lapfforum.org/press/ifrs-opinion</w:t>
        </w:r>
      </w:hyperlink>
      <w:r w:rsidR="00215EA8">
        <w:t>; accessed 28 May 2015).</w:t>
      </w:r>
    </w:p>
    <w:p w14:paraId="1D7E3552" w14:textId="77777777" w:rsidR="00A961B3" w:rsidRDefault="00A961B3" w:rsidP="00215EA8">
      <w:pPr>
        <w:spacing w:after="120" w:line="360" w:lineRule="auto"/>
      </w:pPr>
      <w:r>
        <w:t xml:space="preserve">Chen, L., Ng, J. and Tsang, A. 2015, ‘The effect of mandatory IFRS adoption on international cross-listings’, </w:t>
      </w:r>
      <w:r w:rsidRPr="009E7E84">
        <w:rPr>
          <w:i/>
        </w:rPr>
        <w:t>Accounting Review</w:t>
      </w:r>
      <w:r>
        <w:t>, 90 (4): 1395-435.</w:t>
      </w:r>
    </w:p>
    <w:p w14:paraId="1F3C418B" w14:textId="5E91A6E6" w:rsidR="00370A20" w:rsidRDefault="00370A20" w:rsidP="00215EA8">
      <w:pPr>
        <w:spacing w:after="120" w:line="360" w:lineRule="auto"/>
      </w:pPr>
      <w:r>
        <w:lastRenderedPageBreak/>
        <w:t xml:space="preserve">Christensen, N., Hail, L. and Leuz, C. 2013, ‘Mandatory IFRS reporting and changes in enforcement’, </w:t>
      </w:r>
      <w:r w:rsidRPr="003D605A">
        <w:rPr>
          <w:i/>
        </w:rPr>
        <w:t>Journal of Accounting and Economics</w:t>
      </w:r>
      <w:r w:rsidR="00C03BE4">
        <w:t>, 56 (2/</w:t>
      </w:r>
      <w:r>
        <w:t>3): 147-77.</w:t>
      </w:r>
    </w:p>
    <w:p w14:paraId="21ED09A9" w14:textId="20CAF3B3" w:rsidR="00066FD6" w:rsidRDefault="00066FD6" w:rsidP="00215EA8">
      <w:pPr>
        <w:spacing w:after="120" w:line="360" w:lineRule="auto"/>
      </w:pPr>
      <w:r>
        <w:t xml:space="preserve">Daske, H., Hail, L., Leuz, C. and Verdi, R. 2008, ‘Mandatory IFRS reporting around the world: Early evidence on the economic consequences’, </w:t>
      </w:r>
      <w:r w:rsidRPr="003D605A">
        <w:rPr>
          <w:i/>
        </w:rPr>
        <w:t>Journal of Accounting Research</w:t>
      </w:r>
      <w:r>
        <w:t>, 46 (5): 1085-1142.</w:t>
      </w:r>
    </w:p>
    <w:p w14:paraId="0DD041A4" w14:textId="77777777" w:rsidR="00215EA8" w:rsidRPr="001C1D30" w:rsidRDefault="00167AAB" w:rsidP="00215EA8">
      <w:pPr>
        <w:spacing w:after="120" w:line="360" w:lineRule="auto"/>
      </w:pPr>
      <w:r>
        <w:t>D</w:t>
      </w:r>
      <w:r w:rsidR="00FA0789">
        <w:t>eloitte 2013,</w:t>
      </w:r>
      <w:r w:rsidR="00215EA8">
        <w:t xml:space="preserve"> </w:t>
      </w:r>
      <w:r w:rsidR="00215EA8">
        <w:rPr>
          <w:i/>
        </w:rPr>
        <w:t>IFRS Survey 2013: Focus</w:t>
      </w:r>
      <w:r w:rsidR="00215EA8" w:rsidRPr="00976338">
        <w:rPr>
          <w:i/>
        </w:rPr>
        <w:t xml:space="preserve"> on </w:t>
      </w:r>
      <w:r w:rsidR="00215EA8">
        <w:rPr>
          <w:i/>
        </w:rPr>
        <w:t>Financial Reporting by Swiss Listed Companie</w:t>
      </w:r>
      <w:r w:rsidR="00215EA8" w:rsidRPr="00976338">
        <w:rPr>
          <w:i/>
        </w:rPr>
        <w:t>s</w:t>
      </w:r>
      <w:r w:rsidR="00215EA8">
        <w:t>, Deloitte, Zurich.</w:t>
      </w:r>
    </w:p>
    <w:p w14:paraId="0972E28F" w14:textId="77777777" w:rsidR="00215EA8" w:rsidRDefault="00FA0789" w:rsidP="00215EA8">
      <w:pPr>
        <w:spacing w:after="120" w:line="360" w:lineRule="auto"/>
      </w:pPr>
      <w:r>
        <w:t xml:space="preserve">Deloitte </w:t>
      </w:r>
      <w:r w:rsidR="00215EA8">
        <w:t>20</w:t>
      </w:r>
      <w:r>
        <w:t>14,</w:t>
      </w:r>
      <w:r w:rsidR="00215EA8">
        <w:t xml:space="preserve"> </w:t>
      </w:r>
      <w:r w:rsidR="00215EA8" w:rsidRPr="00F17508">
        <w:rPr>
          <w:i/>
        </w:rPr>
        <w:t>Financial Reporting by Listed Companies: Spotlight on Swiss Trends</w:t>
      </w:r>
      <w:r w:rsidR="00215EA8">
        <w:t>, Deloitte, Zurich.</w:t>
      </w:r>
    </w:p>
    <w:p w14:paraId="176A4159" w14:textId="77777777" w:rsidR="00343770" w:rsidRDefault="00343770" w:rsidP="00215EA8">
      <w:pPr>
        <w:spacing w:after="120" w:line="360" w:lineRule="auto"/>
      </w:pPr>
      <w:r>
        <w:t xml:space="preserve">Deloitte, 2015, </w:t>
      </w:r>
      <w:r w:rsidR="00A961B3">
        <w:t>‘</w:t>
      </w:r>
      <w:r>
        <w:t>Japanese government wants to push the use of IFRSs in Japan’ iasplus, 1.7.2015 (</w:t>
      </w:r>
      <w:hyperlink r:id="rId11" w:history="1">
        <w:r w:rsidRPr="002E15C5">
          <w:rPr>
            <w:rStyle w:val="Hyperlink"/>
          </w:rPr>
          <w:t>http://www.iasplus.com/en/news/2015/07/ifrs-japan</w:t>
        </w:r>
      </w:hyperlink>
      <w:r>
        <w:t>; accessed 12 August 2015).</w:t>
      </w:r>
    </w:p>
    <w:p w14:paraId="6259AC0D" w14:textId="77777777" w:rsidR="000724E5" w:rsidRDefault="00FA0789" w:rsidP="009E62DF">
      <w:pPr>
        <w:pStyle w:val="ReferencesFurtherreading"/>
        <w:rPr>
          <w:rFonts w:asciiTheme="minorHAnsi" w:hAnsiTheme="minorHAnsi"/>
          <w:sz w:val="24"/>
          <w:szCs w:val="24"/>
        </w:rPr>
      </w:pPr>
      <w:r>
        <w:rPr>
          <w:rFonts w:asciiTheme="minorHAnsi" w:hAnsiTheme="minorHAnsi"/>
          <w:sz w:val="24"/>
          <w:szCs w:val="24"/>
        </w:rPr>
        <w:t>Elad, C. 2015, ‘The Development of Accounting in the Franc Zone C</w:t>
      </w:r>
      <w:r w:rsidR="000724E5" w:rsidRPr="00B83DD4">
        <w:rPr>
          <w:rFonts w:asciiTheme="minorHAnsi" w:hAnsiTheme="minorHAnsi"/>
          <w:sz w:val="24"/>
          <w:szCs w:val="24"/>
        </w:rPr>
        <w:t xml:space="preserve">ountries of Africa’, </w:t>
      </w:r>
      <w:r w:rsidR="000724E5" w:rsidRPr="00B83DD4">
        <w:rPr>
          <w:rFonts w:asciiTheme="minorHAnsi" w:hAnsiTheme="minorHAnsi"/>
          <w:i/>
          <w:sz w:val="24"/>
          <w:szCs w:val="24"/>
        </w:rPr>
        <w:t>International Journal of Accounting</w:t>
      </w:r>
      <w:r w:rsidR="001F1EDC">
        <w:rPr>
          <w:rFonts w:asciiTheme="minorHAnsi" w:hAnsiTheme="minorHAnsi"/>
          <w:sz w:val="24"/>
          <w:szCs w:val="24"/>
        </w:rPr>
        <w:t xml:space="preserve">, 50 (1): </w:t>
      </w:r>
      <w:r w:rsidR="000724E5" w:rsidRPr="00B83DD4">
        <w:rPr>
          <w:rFonts w:asciiTheme="minorHAnsi" w:hAnsiTheme="minorHAnsi"/>
          <w:sz w:val="24"/>
          <w:szCs w:val="24"/>
        </w:rPr>
        <w:t>75-100.</w:t>
      </w:r>
    </w:p>
    <w:p w14:paraId="252A5BD2" w14:textId="77777777" w:rsidR="00932792" w:rsidRPr="00B83DD4" w:rsidRDefault="00932792" w:rsidP="009E62DF">
      <w:pPr>
        <w:pStyle w:val="ReferencesFurtherreading"/>
        <w:rPr>
          <w:rFonts w:asciiTheme="minorHAnsi" w:hAnsiTheme="minorHAnsi"/>
          <w:sz w:val="24"/>
          <w:szCs w:val="24"/>
        </w:rPr>
      </w:pPr>
      <w:r>
        <w:rPr>
          <w:rFonts w:asciiTheme="minorHAnsi" w:hAnsiTheme="minorHAnsi"/>
          <w:sz w:val="24"/>
          <w:szCs w:val="24"/>
        </w:rPr>
        <w:t xml:space="preserve">Evans, L., Baskerville, R. and Nara, K. 2015, ‘Colliding worlds: issues relating to language translation in accounting and some lessons from other disciplines’, </w:t>
      </w:r>
      <w:r w:rsidRPr="009E7E84">
        <w:rPr>
          <w:rFonts w:asciiTheme="minorHAnsi" w:hAnsiTheme="minorHAnsi"/>
          <w:i/>
          <w:sz w:val="24"/>
          <w:szCs w:val="24"/>
        </w:rPr>
        <w:t>Abacus</w:t>
      </w:r>
      <w:r>
        <w:rPr>
          <w:rFonts w:asciiTheme="minorHAnsi" w:hAnsiTheme="minorHAnsi"/>
          <w:sz w:val="24"/>
          <w:szCs w:val="24"/>
        </w:rPr>
        <w:t xml:space="preserve">, 51 (1): 1-36. </w:t>
      </w:r>
    </w:p>
    <w:p w14:paraId="65114CBF" w14:textId="77777777" w:rsidR="00215EA8" w:rsidRDefault="00FA0789" w:rsidP="00215EA8">
      <w:pPr>
        <w:spacing w:after="120" w:line="360" w:lineRule="auto"/>
      </w:pPr>
      <w:r>
        <w:t>FEI 2013,</w:t>
      </w:r>
      <w:r w:rsidR="00215EA8">
        <w:t xml:space="preserve"> </w:t>
      </w:r>
      <w:r w:rsidR="00215EA8" w:rsidRPr="00E43823">
        <w:rPr>
          <w:i/>
        </w:rPr>
        <w:t>Japan Going Its Own Way</w:t>
      </w:r>
      <w:r w:rsidR="00215EA8">
        <w:t>?</w:t>
      </w:r>
      <w:r>
        <w:t>, Financial Executives International, Morristown, NJ</w:t>
      </w:r>
      <w:r w:rsidR="00215EA8">
        <w:t xml:space="preserve"> (</w:t>
      </w:r>
      <w:r>
        <w:t xml:space="preserve">available at: </w:t>
      </w:r>
      <w:r w:rsidRPr="00FA0789">
        <w:t>http://www.financialexecutives.org/KenticoCMS/FEI_Blogs/Financial-Reporting-Blog/June-2013/Japan-May-Go-its-Own-Way.aspx#axzz3dEPFVMmA</w:t>
      </w:r>
      <w:r w:rsidR="00215EA8">
        <w:t>; accessed 28 May 2015).</w:t>
      </w:r>
    </w:p>
    <w:p w14:paraId="63BA23D6" w14:textId="77777777" w:rsidR="00926F90" w:rsidRDefault="00926F90" w:rsidP="00215EA8">
      <w:pPr>
        <w:spacing w:after="120" w:line="360" w:lineRule="auto"/>
      </w:pPr>
      <w:r>
        <w:t>Fisher, F. and Perry, J. 2007</w:t>
      </w:r>
      <w:r w:rsidR="00A961B3">
        <w:t>,</w:t>
      </w:r>
      <w:r>
        <w:t xml:space="preserve"> ‘Compliance with IFRS: guidance amended’, </w:t>
      </w:r>
      <w:r w:rsidR="00F14156" w:rsidRPr="00F14156">
        <w:rPr>
          <w:i/>
        </w:rPr>
        <w:t>Chartered Accountants Journal</w:t>
      </w:r>
      <w:r>
        <w:t>, 86 (6): 28-9.</w:t>
      </w:r>
    </w:p>
    <w:p w14:paraId="76FDAA85" w14:textId="77777777" w:rsidR="00215EA8" w:rsidRDefault="00FA0789" w:rsidP="00215EA8">
      <w:pPr>
        <w:spacing w:after="120" w:line="360" w:lineRule="auto"/>
      </w:pPr>
      <w:r>
        <w:t>FSA 2015,</w:t>
      </w:r>
      <w:r w:rsidR="00215EA8">
        <w:t xml:space="preserve"> </w:t>
      </w:r>
      <w:r w:rsidR="00215EA8" w:rsidRPr="00D13626">
        <w:rPr>
          <w:i/>
        </w:rPr>
        <w:t>IFRS Adoption Report</w:t>
      </w:r>
      <w:r>
        <w:t xml:space="preserve">, Financial Services Agency, Tokyo </w:t>
      </w:r>
      <w:r w:rsidR="00215EA8">
        <w:t>(</w:t>
      </w:r>
      <w:hyperlink r:id="rId12" w:history="1">
        <w:r w:rsidR="00215EA8" w:rsidRPr="003B64F1">
          <w:rPr>
            <w:rStyle w:val="Hyperlink"/>
          </w:rPr>
          <w:t>http://www.fsa.go.jp/en/news/2015/20150430-4/01.pdf</w:t>
        </w:r>
      </w:hyperlink>
      <w:r w:rsidR="00215EA8">
        <w:t>; accessed on 26 May 2015).</w:t>
      </w:r>
    </w:p>
    <w:p w14:paraId="7C83B217" w14:textId="77777777" w:rsidR="00215EA8" w:rsidRDefault="00FA0789" w:rsidP="00215EA8">
      <w:pPr>
        <w:spacing w:after="120" w:line="360" w:lineRule="auto"/>
      </w:pPr>
      <w:r>
        <w:t>iasplus 2015,</w:t>
      </w:r>
      <w:r w:rsidR="00215EA8">
        <w:t xml:space="preserve"> </w:t>
      </w:r>
      <w:r w:rsidR="00215EA8" w:rsidRPr="00E43823">
        <w:rPr>
          <w:i/>
        </w:rPr>
        <w:t>Financial Reporting in Switzerland</w:t>
      </w:r>
      <w:r>
        <w:rPr>
          <w:i/>
        </w:rPr>
        <w:t xml:space="preserve">, </w:t>
      </w:r>
      <w:r w:rsidRPr="00FA0789">
        <w:t>Deloitte, Zurich</w:t>
      </w:r>
      <w:r w:rsidR="00215EA8">
        <w:t xml:space="preserve"> (</w:t>
      </w:r>
      <w:hyperlink r:id="rId13" w:history="1">
        <w:r w:rsidR="00215EA8" w:rsidRPr="00433357">
          <w:rPr>
            <w:rStyle w:val="Hyperlink"/>
          </w:rPr>
          <w:t>http://www.iasplus.com/en/jurisdictions/europe/switzerland</w:t>
        </w:r>
      </w:hyperlink>
      <w:r w:rsidR="00215EA8">
        <w:t>; accessed 28 May 2015).</w:t>
      </w:r>
    </w:p>
    <w:p w14:paraId="63540D45" w14:textId="77777777" w:rsidR="00215EA8" w:rsidRDefault="00FA0789" w:rsidP="00215EA8">
      <w:pPr>
        <w:spacing w:after="120" w:line="360" w:lineRule="auto"/>
      </w:pPr>
      <w:r>
        <w:lastRenderedPageBreak/>
        <w:t>IASB 2010,</w:t>
      </w:r>
      <w:r w:rsidR="00215EA8">
        <w:t xml:space="preserve"> </w:t>
      </w:r>
      <w:r w:rsidR="00215EA8" w:rsidRPr="007154CA">
        <w:rPr>
          <w:i/>
        </w:rPr>
        <w:t>The Conceptual Framework for Financial Reporting</w:t>
      </w:r>
      <w:r w:rsidR="00215EA8">
        <w:t>, International Accounting Standards Board, London.</w:t>
      </w:r>
    </w:p>
    <w:p w14:paraId="2A8E0615" w14:textId="77777777" w:rsidR="00D026B2" w:rsidRDefault="00D026B2" w:rsidP="00215EA8">
      <w:pPr>
        <w:spacing w:after="120" w:line="360" w:lineRule="auto"/>
      </w:pPr>
      <w:r>
        <w:t>IASB 2015a,</w:t>
      </w:r>
      <w:r w:rsidRPr="00D026B2">
        <w:rPr>
          <w:i/>
        </w:rPr>
        <w:t xml:space="preserve"> </w:t>
      </w:r>
      <w:r w:rsidRPr="007154CA">
        <w:rPr>
          <w:i/>
        </w:rPr>
        <w:t>The Conceptual Framework for Financial Reporting</w:t>
      </w:r>
      <w:r>
        <w:rPr>
          <w:i/>
        </w:rPr>
        <w:t xml:space="preserve"> (ED/2015/3)</w:t>
      </w:r>
      <w:r>
        <w:t>, International Accounting Standards Board, London.</w:t>
      </w:r>
    </w:p>
    <w:p w14:paraId="258C0A54" w14:textId="77777777" w:rsidR="00D026B2" w:rsidRDefault="00D026B2" w:rsidP="00215EA8">
      <w:pPr>
        <w:spacing w:after="120" w:line="360" w:lineRule="auto"/>
      </w:pPr>
      <w:r>
        <w:t>IASB 2015b,</w:t>
      </w:r>
      <w:r w:rsidR="003162D8" w:rsidRPr="003162D8">
        <w:rPr>
          <w:i/>
        </w:rPr>
        <w:t xml:space="preserve"> </w:t>
      </w:r>
      <w:r w:rsidR="003162D8">
        <w:rPr>
          <w:i/>
        </w:rPr>
        <w:t>Updating References to t</w:t>
      </w:r>
      <w:r w:rsidR="003162D8" w:rsidRPr="007154CA">
        <w:rPr>
          <w:i/>
        </w:rPr>
        <w:t>he Conceptual Framework for Financial Reporting</w:t>
      </w:r>
      <w:r w:rsidR="003162D8">
        <w:rPr>
          <w:i/>
        </w:rPr>
        <w:t xml:space="preserve"> (ED/2015/4)</w:t>
      </w:r>
      <w:r w:rsidR="003162D8">
        <w:t>, International Accounting Standards Board, London.</w:t>
      </w:r>
    </w:p>
    <w:p w14:paraId="087502EC" w14:textId="77777777" w:rsidR="002765BD" w:rsidRDefault="00FA0789" w:rsidP="00215EA8">
      <w:pPr>
        <w:spacing w:after="120" w:line="360" w:lineRule="auto"/>
      </w:pPr>
      <w:r>
        <w:t>IFRS Foundation 2015a,</w:t>
      </w:r>
      <w:r w:rsidR="002765BD">
        <w:t xml:space="preserve"> </w:t>
      </w:r>
      <w:r w:rsidR="002765BD" w:rsidRPr="00B83DD4">
        <w:rPr>
          <w:i/>
        </w:rPr>
        <w:t>Jurisdiction Profiles</w:t>
      </w:r>
      <w:r w:rsidR="002765BD">
        <w:t xml:space="preserve">, IFRS Foundation, London (available at: </w:t>
      </w:r>
      <w:hyperlink r:id="rId14" w:history="1">
        <w:r w:rsidR="002765BD" w:rsidRPr="00ED4C14">
          <w:rPr>
            <w:rStyle w:val="Hyperlink"/>
          </w:rPr>
          <w:t>http://www.ifrs.org/use-around-the-world/pages/jurisdiction-profiles.aspx</w:t>
        </w:r>
      </w:hyperlink>
      <w:r w:rsidR="002765BD">
        <w:t xml:space="preserve">; accessed 26 May 2015). </w:t>
      </w:r>
    </w:p>
    <w:p w14:paraId="0BFDD960" w14:textId="77777777" w:rsidR="00EB3ADB" w:rsidRDefault="00926F90" w:rsidP="00215EA8">
      <w:pPr>
        <w:spacing w:after="120" w:line="360" w:lineRule="auto"/>
      </w:pPr>
      <w:r>
        <w:t>I</w:t>
      </w:r>
      <w:r w:rsidR="00EB3ADB">
        <w:t>FRS Foundation 2015b</w:t>
      </w:r>
      <w:r w:rsidR="00FA0789">
        <w:t>,</w:t>
      </w:r>
      <w:r w:rsidR="00EB3ADB">
        <w:t xml:space="preserve"> </w:t>
      </w:r>
      <w:r w:rsidR="005F2CDB" w:rsidRPr="005F2CDB">
        <w:rPr>
          <w:i/>
        </w:rPr>
        <w:t>Financial Reporting Standards for the World Economy</w:t>
      </w:r>
      <w:r w:rsidR="00EB3ADB">
        <w:t>, IFRS Foundation, London (</w:t>
      </w:r>
      <w:r w:rsidR="00B96072">
        <w:t xml:space="preserve">published in June 2015; </w:t>
      </w:r>
      <w:r w:rsidR="00EB3ADB">
        <w:t xml:space="preserve">available at: </w:t>
      </w:r>
      <w:hyperlink r:id="rId15" w:history="1">
        <w:r w:rsidR="00EB3ADB" w:rsidRPr="0072668C">
          <w:rPr>
            <w:rStyle w:val="Hyperlink"/>
          </w:rPr>
          <w:t>http://www.ifrs.org/Use-around-the-world/Documents/Financial-Reporting-Standards-World-Economy-June-2015.pdf</w:t>
        </w:r>
      </w:hyperlink>
      <w:r w:rsidR="00EB3ADB">
        <w:t>; accessed on 16 June 2015).</w:t>
      </w:r>
    </w:p>
    <w:p w14:paraId="2488EFD9" w14:textId="77777777" w:rsidR="00215EA8" w:rsidRDefault="00FA0789" w:rsidP="00215EA8">
      <w:pPr>
        <w:spacing w:after="120" w:line="360" w:lineRule="auto"/>
      </w:pPr>
      <w:r>
        <w:t xml:space="preserve">IFRS Foundation </w:t>
      </w:r>
      <w:r w:rsidR="00215EA8">
        <w:t>2015</w:t>
      </w:r>
      <w:r w:rsidR="00EB3ADB">
        <w:t>c</w:t>
      </w:r>
      <w:r>
        <w:t>,</w:t>
      </w:r>
      <w:r w:rsidR="00215EA8">
        <w:t xml:space="preserve"> </w:t>
      </w:r>
      <w:r w:rsidR="00215EA8" w:rsidRPr="003564CD">
        <w:rPr>
          <w:i/>
        </w:rPr>
        <w:t>IFRS Application around the World: Jurisdiction Profile: Switzerland</w:t>
      </w:r>
      <w:r w:rsidR="001F1EDC">
        <w:rPr>
          <w:i/>
        </w:rPr>
        <w:t>,</w:t>
      </w:r>
      <w:r w:rsidR="00215EA8" w:rsidRPr="003564CD">
        <w:rPr>
          <w:i/>
        </w:rPr>
        <w:t xml:space="preserve"> </w:t>
      </w:r>
      <w:r w:rsidR="001F1EDC">
        <w:t xml:space="preserve">IFRS Foundation, London </w:t>
      </w:r>
      <w:r w:rsidR="00215EA8">
        <w:t>(</w:t>
      </w:r>
      <w:hyperlink r:id="rId16" w:history="1">
        <w:r w:rsidR="00215EA8" w:rsidRPr="003F3D21">
          <w:rPr>
            <w:rStyle w:val="Hyperlink"/>
          </w:rPr>
          <w:t>http://www.ifrs.org/Use-around-the-world/Documents/Jurisdiction-profiles/Switzerland-IFRS-Profile.pdf</w:t>
        </w:r>
      </w:hyperlink>
      <w:r w:rsidR="00215EA8">
        <w:t>; accessed 26 May 2015).</w:t>
      </w:r>
    </w:p>
    <w:p w14:paraId="3466259C" w14:textId="77777777" w:rsidR="0059737B" w:rsidRDefault="00FA0789" w:rsidP="00215EA8">
      <w:pPr>
        <w:spacing w:after="120" w:line="360" w:lineRule="auto"/>
      </w:pPr>
      <w:r>
        <w:t>Moore, M. 2013,</w:t>
      </w:r>
      <w:r w:rsidR="0059737B">
        <w:t xml:space="preserve"> </w:t>
      </w:r>
      <w:r w:rsidR="0068396E" w:rsidRPr="009E62DF">
        <w:rPr>
          <w:i/>
        </w:rPr>
        <w:t>International Ac</w:t>
      </w:r>
      <w:r w:rsidR="0059737B" w:rsidRPr="0059737B">
        <w:rPr>
          <w:i/>
        </w:rPr>
        <w:t>counting Standards and the True</w:t>
      </w:r>
      <w:r w:rsidR="0068396E" w:rsidRPr="009E62DF">
        <w:rPr>
          <w:i/>
        </w:rPr>
        <w:t xml:space="preserve"> and Fair View</w:t>
      </w:r>
      <w:r w:rsidR="0059737B">
        <w:t>, Financial Reporting Council, London (</w:t>
      </w:r>
      <w:hyperlink r:id="rId17" w:history="1">
        <w:r w:rsidR="0059737B" w:rsidRPr="0081075B">
          <w:rPr>
            <w:rStyle w:val="Hyperlink"/>
          </w:rPr>
          <w:t>https://www.frc.org.uk/Our-Work/Publications/FRC-Board/Martin-Moore-QC-Opinion-3-October-2013.pdf</w:t>
        </w:r>
      </w:hyperlink>
      <w:r w:rsidR="0059737B">
        <w:t>; accessed 29 May 2015).</w:t>
      </w:r>
    </w:p>
    <w:p w14:paraId="4DBD99FA" w14:textId="77777777" w:rsidR="000724E5" w:rsidRDefault="00FA0789" w:rsidP="009E62DF">
      <w:pPr>
        <w:pStyle w:val="ReferencesFurtherreading"/>
        <w:rPr>
          <w:rFonts w:asciiTheme="minorHAnsi" w:hAnsiTheme="minorHAnsi"/>
          <w:sz w:val="24"/>
          <w:szCs w:val="24"/>
        </w:rPr>
      </w:pPr>
      <w:r>
        <w:rPr>
          <w:rFonts w:asciiTheme="minorHAnsi" w:hAnsiTheme="minorHAnsi"/>
          <w:sz w:val="24"/>
          <w:szCs w:val="24"/>
        </w:rPr>
        <w:t>Nobes, C.W. 1998,</w:t>
      </w:r>
      <w:r w:rsidR="000724E5" w:rsidRPr="00B83DD4">
        <w:rPr>
          <w:rFonts w:asciiTheme="minorHAnsi" w:hAnsiTheme="minorHAnsi"/>
          <w:sz w:val="24"/>
          <w:szCs w:val="24"/>
        </w:rPr>
        <w:t xml:space="preserve"> </w:t>
      </w:r>
      <w:r w:rsidR="001F1EDC">
        <w:rPr>
          <w:rFonts w:asciiTheme="minorHAnsi" w:hAnsiTheme="minorHAnsi"/>
          <w:sz w:val="24"/>
          <w:szCs w:val="24"/>
        </w:rPr>
        <w:t>‘Towards a General Model of the Reasons for I</w:t>
      </w:r>
      <w:r w:rsidR="000724E5" w:rsidRPr="00B83DD4">
        <w:rPr>
          <w:rFonts w:asciiTheme="minorHAnsi" w:hAnsiTheme="minorHAnsi"/>
          <w:sz w:val="24"/>
          <w:szCs w:val="24"/>
        </w:rPr>
        <w:t>nter</w:t>
      </w:r>
      <w:r w:rsidR="001F1EDC">
        <w:rPr>
          <w:rFonts w:asciiTheme="minorHAnsi" w:hAnsiTheme="minorHAnsi"/>
          <w:sz w:val="24"/>
          <w:szCs w:val="24"/>
        </w:rPr>
        <w:t>national Differences in Fi</w:t>
      </w:r>
      <w:r w:rsidR="00D8279C" w:rsidRPr="00B83DD4">
        <w:rPr>
          <w:rFonts w:asciiTheme="minorHAnsi" w:hAnsiTheme="minorHAnsi"/>
          <w:sz w:val="24"/>
          <w:szCs w:val="24"/>
        </w:rPr>
        <w:t>nancial</w:t>
      </w:r>
      <w:r w:rsidR="001F1EDC">
        <w:rPr>
          <w:rFonts w:asciiTheme="minorHAnsi" w:hAnsiTheme="minorHAnsi"/>
          <w:sz w:val="24"/>
          <w:szCs w:val="24"/>
        </w:rPr>
        <w:t xml:space="preserve"> R</w:t>
      </w:r>
      <w:r w:rsidR="000724E5" w:rsidRPr="00B83DD4">
        <w:rPr>
          <w:rFonts w:asciiTheme="minorHAnsi" w:hAnsiTheme="minorHAnsi"/>
          <w:sz w:val="24"/>
          <w:szCs w:val="24"/>
        </w:rPr>
        <w:t xml:space="preserve">eporting’, </w:t>
      </w:r>
      <w:r w:rsidR="000724E5" w:rsidRPr="00B83DD4">
        <w:rPr>
          <w:rFonts w:asciiTheme="minorHAnsi" w:hAnsiTheme="minorHAnsi"/>
          <w:i/>
          <w:sz w:val="24"/>
          <w:szCs w:val="24"/>
        </w:rPr>
        <w:t>Abacus</w:t>
      </w:r>
      <w:r w:rsidR="001F1EDC">
        <w:rPr>
          <w:rFonts w:asciiTheme="minorHAnsi" w:hAnsiTheme="minorHAnsi"/>
          <w:sz w:val="24"/>
          <w:szCs w:val="24"/>
        </w:rPr>
        <w:t xml:space="preserve">, 34 (2): </w:t>
      </w:r>
      <w:r w:rsidR="000724E5" w:rsidRPr="00B83DD4">
        <w:rPr>
          <w:rFonts w:asciiTheme="minorHAnsi" w:hAnsiTheme="minorHAnsi"/>
          <w:sz w:val="24"/>
          <w:szCs w:val="24"/>
        </w:rPr>
        <w:t>162-87.</w:t>
      </w:r>
    </w:p>
    <w:p w14:paraId="7DC8F085" w14:textId="77777777" w:rsidR="00C520EA" w:rsidRDefault="00DE0558">
      <w:pPr>
        <w:spacing w:line="360" w:lineRule="auto"/>
        <w:ind w:left="540" w:hanging="540"/>
        <w:rPr>
          <w:rFonts w:ascii="Times New Roman" w:hAnsi="Times New Roman"/>
          <w:i/>
        </w:rPr>
      </w:pPr>
      <w:r>
        <w:rPr>
          <w:szCs w:val="24"/>
        </w:rPr>
        <w:t>Nobes, C.W. and Zeff, S.A. 2008,</w:t>
      </w:r>
      <w:r w:rsidRPr="00DE0558">
        <w:rPr>
          <w:rFonts w:ascii="Times New Roman" w:hAnsi="Times New Roman"/>
        </w:rPr>
        <w:t xml:space="preserve"> </w:t>
      </w:r>
      <w:r>
        <w:rPr>
          <w:rFonts w:ascii="Times New Roman" w:hAnsi="Times New Roman"/>
        </w:rPr>
        <w:t>‘Auditor a</w:t>
      </w:r>
      <w:r w:rsidRPr="009B1520">
        <w:rPr>
          <w:rFonts w:ascii="Times New Roman" w:hAnsi="Times New Roman"/>
        </w:rPr>
        <w:t>ffirm</w:t>
      </w:r>
      <w:r>
        <w:rPr>
          <w:rFonts w:ascii="Times New Roman" w:hAnsi="Times New Roman"/>
        </w:rPr>
        <w:t>ations of c</w:t>
      </w:r>
      <w:r w:rsidRPr="009B1520">
        <w:rPr>
          <w:rFonts w:ascii="Times New Roman" w:hAnsi="Times New Roman"/>
        </w:rPr>
        <w:t xml:space="preserve">ompliance with </w:t>
      </w:r>
      <w:smartTag w:uri="urn:schemas-microsoft-com:office:smarttags" w:element="stockticker">
        <w:r w:rsidRPr="009B1520">
          <w:rPr>
            <w:rFonts w:ascii="Times New Roman" w:hAnsi="Times New Roman"/>
          </w:rPr>
          <w:t>IFRS</w:t>
        </w:r>
      </w:smartTag>
      <w:r>
        <w:rPr>
          <w:rFonts w:ascii="Times New Roman" w:hAnsi="Times New Roman"/>
        </w:rPr>
        <w:t xml:space="preserve"> around the world: an exploratory s</w:t>
      </w:r>
      <w:r w:rsidRPr="009B1520">
        <w:rPr>
          <w:rFonts w:ascii="Times New Roman" w:hAnsi="Times New Roman"/>
        </w:rPr>
        <w:t>tudy’</w:t>
      </w:r>
      <w:r>
        <w:rPr>
          <w:rFonts w:ascii="Times New Roman" w:hAnsi="Times New Roman"/>
        </w:rPr>
        <w:t>,</w:t>
      </w:r>
      <w:r w:rsidRPr="00DE0558">
        <w:rPr>
          <w:rFonts w:ascii="Times New Roman" w:hAnsi="Times New Roman"/>
          <w:i/>
        </w:rPr>
        <w:t xml:space="preserve"> </w:t>
      </w:r>
      <w:r w:rsidRPr="009B1520">
        <w:rPr>
          <w:rFonts w:ascii="Times New Roman" w:hAnsi="Times New Roman"/>
          <w:i/>
        </w:rPr>
        <w:t>Accounting Perspectives</w:t>
      </w:r>
      <w:r>
        <w:rPr>
          <w:rFonts w:ascii="Times New Roman" w:hAnsi="Times New Roman"/>
        </w:rPr>
        <w:t>, 7 (4): 279-92.</w:t>
      </w:r>
    </w:p>
    <w:p w14:paraId="20C02351" w14:textId="77777777" w:rsidR="00215EA8" w:rsidRDefault="00FA0789" w:rsidP="00215EA8">
      <w:pPr>
        <w:spacing w:after="120" w:line="360" w:lineRule="auto"/>
      </w:pPr>
      <w:r>
        <w:t>PwC 2013,</w:t>
      </w:r>
      <w:r w:rsidR="00215EA8">
        <w:t xml:space="preserve"> ‘IFRS: EU to put conditions on IASB funding’, </w:t>
      </w:r>
      <w:r w:rsidR="00215EA8" w:rsidRPr="007154CA">
        <w:rPr>
          <w:i/>
        </w:rPr>
        <w:t>World Watch</w:t>
      </w:r>
      <w:r w:rsidR="00215EA8">
        <w:t>, November (</w:t>
      </w:r>
      <w:hyperlink r:id="rId18" w:history="1">
        <w:r w:rsidR="00215EA8" w:rsidRPr="001D2EC5">
          <w:rPr>
            <w:rStyle w:val="Hyperlink"/>
          </w:rPr>
          <w:t>http://www.pwc.com/gx/en/audit-services/corporate-reporting/publications/world-watch/articles/eu-conditions-iasb-funding.jhtml</w:t>
        </w:r>
      </w:hyperlink>
      <w:r w:rsidR="00215EA8">
        <w:t>; accessed on 28 May 2015).</w:t>
      </w:r>
    </w:p>
    <w:p w14:paraId="06179DCA" w14:textId="77777777" w:rsidR="00215EA8" w:rsidRDefault="00215EA8" w:rsidP="00215EA8">
      <w:pPr>
        <w:spacing w:after="120" w:line="360" w:lineRule="auto"/>
      </w:pPr>
      <w:r>
        <w:lastRenderedPageBreak/>
        <w:t xml:space="preserve">SIX (2015) </w:t>
      </w:r>
      <w:r w:rsidRPr="00F17508">
        <w:rPr>
          <w:i/>
        </w:rPr>
        <w:t>Requirements for Financial Reporting</w:t>
      </w:r>
      <w:r>
        <w:t xml:space="preserve"> (</w:t>
      </w:r>
      <w:hyperlink r:id="rId19" w:history="1">
        <w:r w:rsidRPr="003F3D21">
          <w:rPr>
            <w:rStyle w:val="Hyperlink"/>
          </w:rPr>
          <w:t>https://www.six-exchange-regulation.com/obligations/financial_reporting/faqs/requirements_en.html</w:t>
        </w:r>
      </w:hyperlink>
      <w:r>
        <w:t>; accessed 26 May 2015).</w:t>
      </w:r>
    </w:p>
    <w:p w14:paraId="530D0D2C" w14:textId="77777777" w:rsidR="00167AAB" w:rsidRDefault="00167AAB" w:rsidP="00215EA8">
      <w:pPr>
        <w:spacing w:line="360" w:lineRule="auto"/>
        <w:ind w:left="360" w:hanging="360"/>
      </w:pPr>
      <w:r>
        <w:t xml:space="preserve">Street, D., Gray, S. and Bryant, S. 1999, ‘Acceptance and observance of international accounting standards: an empirical study of companies claiming to comply with IASs’, </w:t>
      </w:r>
      <w:r w:rsidR="00F14156" w:rsidRPr="00F14156">
        <w:rPr>
          <w:i/>
        </w:rPr>
        <w:t>International Journal of Accounting</w:t>
      </w:r>
      <w:r>
        <w:t>, 34 (1): 11-48.</w:t>
      </w:r>
    </w:p>
    <w:p w14:paraId="36BF3311" w14:textId="77777777" w:rsidR="00215EA8" w:rsidRDefault="00FA0789" w:rsidP="00215EA8">
      <w:pPr>
        <w:spacing w:line="360" w:lineRule="auto"/>
        <w:ind w:left="360" w:hanging="360"/>
      </w:pPr>
      <w:r>
        <w:t>Thomson, A. 2009,</w:t>
      </w:r>
      <w:r w:rsidR="001F1EDC">
        <w:t xml:space="preserve"> ‘Comment: Australia’s Adoption of IFRSs – A C</w:t>
      </w:r>
      <w:r w:rsidR="00215EA8" w:rsidRPr="00057831">
        <w:t xml:space="preserve">larification from the AASB’, </w:t>
      </w:r>
      <w:r w:rsidR="00215EA8" w:rsidRPr="00057831">
        <w:rPr>
          <w:i/>
        </w:rPr>
        <w:t>Australian Accounting Review</w:t>
      </w:r>
      <w:r w:rsidR="001F1EDC">
        <w:t xml:space="preserve">, 19 (2): </w:t>
      </w:r>
      <w:r w:rsidR="00215EA8" w:rsidRPr="00057831">
        <w:t>153.</w:t>
      </w:r>
    </w:p>
    <w:p w14:paraId="6016E419" w14:textId="77777777" w:rsidR="00ED564E" w:rsidRDefault="00ED564E" w:rsidP="00215EA8">
      <w:pPr>
        <w:spacing w:line="360" w:lineRule="auto"/>
        <w:ind w:left="360" w:hanging="360"/>
      </w:pPr>
      <w:r>
        <w:t xml:space="preserve">Whittington, G. 2005, ‘The adoption of international accounting standards in the European Union’, </w:t>
      </w:r>
      <w:r w:rsidRPr="00ED564E">
        <w:rPr>
          <w:i/>
        </w:rPr>
        <w:t>European Accounting R</w:t>
      </w:r>
      <w:r w:rsidR="00F14156" w:rsidRPr="00F14156">
        <w:rPr>
          <w:i/>
        </w:rPr>
        <w:t>eview</w:t>
      </w:r>
      <w:r>
        <w:t xml:space="preserve">, 20 (2): 127-53. </w:t>
      </w:r>
    </w:p>
    <w:p w14:paraId="69397383" w14:textId="1B2C7BCF" w:rsidR="00215EA8" w:rsidRPr="006E0D08" w:rsidRDefault="00FA0789" w:rsidP="00215EA8">
      <w:pPr>
        <w:spacing w:after="60" w:line="360" w:lineRule="auto"/>
        <w:ind w:left="360" w:hanging="360"/>
      </w:pPr>
      <w:r>
        <w:t>Zeff, S.A. and Nobes, C.W. 2010,</w:t>
      </w:r>
      <w:r w:rsidR="00215EA8">
        <w:t xml:space="preserve"> ‘</w:t>
      </w:r>
      <w:r w:rsidR="00215EA8" w:rsidRPr="009B1520">
        <w:t>Has Australia</w:t>
      </w:r>
      <w:r w:rsidR="001F1EDC">
        <w:t xml:space="preserve"> (or Any Other J</w:t>
      </w:r>
      <w:r w:rsidR="00215EA8">
        <w:t xml:space="preserve">urisdiction) </w:t>
      </w:r>
      <w:r w:rsidR="00454373">
        <w:t>“</w:t>
      </w:r>
      <w:r w:rsidR="001F1EDC">
        <w:t>A</w:t>
      </w:r>
      <w:r w:rsidR="00215EA8" w:rsidRPr="009B1520">
        <w:t>dopted</w:t>
      </w:r>
      <w:r w:rsidR="00454373">
        <w:t>”</w:t>
      </w:r>
      <w:r w:rsidR="00215EA8" w:rsidRPr="009B1520">
        <w:t xml:space="preserve"> IFRS</w:t>
      </w:r>
      <w:r w:rsidR="00215EA8">
        <w:t>?’,</w:t>
      </w:r>
      <w:r w:rsidR="00215EA8" w:rsidRPr="00760478">
        <w:rPr>
          <w:i/>
        </w:rPr>
        <w:t xml:space="preserve"> </w:t>
      </w:r>
      <w:r w:rsidR="00215EA8" w:rsidRPr="009B1520">
        <w:rPr>
          <w:i/>
        </w:rPr>
        <w:t>Austral</w:t>
      </w:r>
      <w:r w:rsidR="00215EA8">
        <w:rPr>
          <w:i/>
        </w:rPr>
        <w:t>ian Accounting R</w:t>
      </w:r>
      <w:r w:rsidR="00215EA8" w:rsidRPr="009B1520">
        <w:rPr>
          <w:i/>
        </w:rPr>
        <w:t>eview</w:t>
      </w:r>
      <w:r w:rsidR="00215EA8">
        <w:t>,</w:t>
      </w:r>
      <w:r w:rsidR="00215EA8" w:rsidRPr="009B1520">
        <w:t xml:space="preserve"> 20</w:t>
      </w:r>
      <w:r w:rsidR="000C710F">
        <w:t xml:space="preserve"> </w:t>
      </w:r>
      <w:r w:rsidR="00215EA8">
        <w:t>(</w:t>
      </w:r>
      <w:r w:rsidR="00215EA8" w:rsidRPr="009B1520">
        <w:t>2</w:t>
      </w:r>
      <w:r w:rsidR="001F1EDC">
        <w:t>):</w:t>
      </w:r>
      <w:r w:rsidR="00215EA8">
        <w:t xml:space="preserve"> 178-184.</w:t>
      </w:r>
    </w:p>
    <w:p w14:paraId="5C116006" w14:textId="77777777" w:rsidR="00910644" w:rsidRDefault="00910644"/>
    <w:sectPr w:rsidR="00910644" w:rsidSect="00C520EA">
      <w:footerReference w:type="default" r:id="rId20"/>
      <w:pgSz w:w="11906" w:h="16838" w:code="9"/>
      <w:pgMar w:top="1440" w:right="180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7E6E9" w14:textId="77777777" w:rsidR="00DA2927" w:rsidRDefault="00DA2927" w:rsidP="00215EA8">
      <w:pPr>
        <w:spacing w:after="0" w:line="240" w:lineRule="auto"/>
      </w:pPr>
      <w:r>
        <w:separator/>
      </w:r>
    </w:p>
  </w:endnote>
  <w:endnote w:type="continuationSeparator" w:id="0">
    <w:p w14:paraId="04970346" w14:textId="77777777" w:rsidR="00DA2927" w:rsidRDefault="00DA2927" w:rsidP="0021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15125"/>
      <w:docPartObj>
        <w:docPartGallery w:val="Page Numbers (Bottom of Page)"/>
        <w:docPartUnique/>
      </w:docPartObj>
    </w:sdtPr>
    <w:sdtEndPr/>
    <w:sdtContent>
      <w:p w14:paraId="3653B845" w14:textId="77777777" w:rsidR="00C520EA" w:rsidRDefault="00B56A53">
        <w:pPr>
          <w:pStyle w:val="Footer"/>
          <w:jc w:val="center"/>
        </w:pPr>
        <w:r>
          <w:fldChar w:fldCharType="begin"/>
        </w:r>
        <w:r w:rsidR="001909FD">
          <w:instrText xml:space="preserve"> PAGE   \* MERGEFORMAT </w:instrText>
        </w:r>
        <w:r>
          <w:fldChar w:fldCharType="separate"/>
        </w:r>
        <w:r w:rsidR="00677B01">
          <w:rPr>
            <w:noProof/>
          </w:rPr>
          <w:t>19</w:t>
        </w:r>
        <w:r>
          <w:rPr>
            <w:noProof/>
          </w:rPr>
          <w:fldChar w:fldCharType="end"/>
        </w:r>
      </w:p>
    </w:sdtContent>
  </w:sdt>
  <w:p w14:paraId="44D0F3ED" w14:textId="77777777" w:rsidR="00C520EA" w:rsidRDefault="00C52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80D37" w14:textId="77777777" w:rsidR="00DA2927" w:rsidRDefault="00DA2927" w:rsidP="00215EA8">
      <w:pPr>
        <w:spacing w:after="0" w:line="240" w:lineRule="auto"/>
      </w:pPr>
      <w:r>
        <w:separator/>
      </w:r>
    </w:p>
  </w:footnote>
  <w:footnote w:type="continuationSeparator" w:id="0">
    <w:p w14:paraId="45A1E87E" w14:textId="77777777" w:rsidR="00DA2927" w:rsidRDefault="00DA2927" w:rsidP="00215EA8">
      <w:pPr>
        <w:spacing w:after="0" w:line="240" w:lineRule="auto"/>
      </w:pPr>
      <w:r>
        <w:continuationSeparator/>
      </w:r>
    </w:p>
  </w:footnote>
  <w:footnote w:id="1">
    <w:p w14:paraId="18F7EF5C" w14:textId="77777777" w:rsidR="00013560" w:rsidRPr="00013560" w:rsidRDefault="00013560">
      <w:pPr>
        <w:pStyle w:val="FootnoteText"/>
        <w:rPr>
          <w:lang w:val="en-AU"/>
        </w:rPr>
      </w:pPr>
      <w:r>
        <w:rPr>
          <w:rStyle w:val="FootnoteReference"/>
        </w:rPr>
        <w:footnoteRef/>
      </w:r>
      <w:r>
        <w:t xml:space="preserve"> </w:t>
      </w:r>
      <w:r>
        <w:rPr>
          <w:lang w:val="en-AU"/>
        </w:rPr>
        <w:t>For economy, we use the word ‘</w:t>
      </w:r>
      <w:r w:rsidR="00476E66">
        <w:rPr>
          <w:lang w:val="en-AU"/>
        </w:rPr>
        <w:t>country</w:t>
      </w:r>
      <w:r>
        <w:rPr>
          <w:lang w:val="en-AU"/>
        </w:rPr>
        <w:t xml:space="preserve">’ </w:t>
      </w:r>
      <w:r w:rsidR="00476E66">
        <w:rPr>
          <w:lang w:val="en-AU"/>
        </w:rPr>
        <w:t xml:space="preserve">or its plural </w:t>
      </w:r>
      <w:r>
        <w:rPr>
          <w:lang w:val="en-AU"/>
        </w:rPr>
        <w:t xml:space="preserve">throughout, rather than ‘jurisdiction’. </w:t>
      </w:r>
      <w:r w:rsidR="00476E66">
        <w:rPr>
          <w:lang w:val="en-AU"/>
        </w:rPr>
        <w:t>In some contexts, ‘jurisdictions’ would be technically correct, e.g. when including Hong Kong.</w:t>
      </w:r>
    </w:p>
  </w:footnote>
  <w:footnote w:id="2">
    <w:p w14:paraId="7AA65CC8" w14:textId="77777777" w:rsidR="00C520EA" w:rsidRPr="00B83DD4" w:rsidRDefault="00C520EA">
      <w:pPr>
        <w:pStyle w:val="FootnoteText"/>
        <w:rPr>
          <w:lang w:val="en-GB"/>
        </w:rPr>
      </w:pPr>
      <w:r>
        <w:rPr>
          <w:rStyle w:val="FootnoteReference"/>
        </w:rPr>
        <w:footnoteRef/>
      </w:r>
      <w:r>
        <w:t xml:space="preserve"> In addition to the three countries mentioned in this sentence, IFRS Foundation (2015a) records the same position for others. For example, just looking at countries starting with the first two letters of the alphabet, these include Anguilla, Antigua and Barbuda, Azerbaijan, Bahamas, Barbados and Botswana.</w:t>
      </w:r>
    </w:p>
  </w:footnote>
  <w:footnote w:id="3">
    <w:p w14:paraId="5B4265FB" w14:textId="77777777" w:rsidR="00C520EA" w:rsidRPr="00FE25F2" w:rsidRDefault="00C520EA">
      <w:pPr>
        <w:pStyle w:val="FootnoteText"/>
        <w:rPr>
          <w:lang w:val="en-AU"/>
        </w:rPr>
      </w:pPr>
      <w:r>
        <w:rPr>
          <w:rStyle w:val="FootnoteReference"/>
        </w:rPr>
        <w:footnoteRef/>
      </w:r>
      <w:r>
        <w:t xml:space="preserve"> </w:t>
      </w:r>
      <w:r>
        <w:rPr>
          <w:lang w:val="en-AU"/>
        </w:rPr>
        <w:t>Including the EU</w:t>
      </w:r>
      <w:r w:rsidR="00D026B2">
        <w:rPr>
          <w:lang w:val="en-AU"/>
        </w:rPr>
        <w:t xml:space="preserve">, </w:t>
      </w:r>
      <w:r>
        <w:rPr>
          <w:lang w:val="en-AU"/>
        </w:rPr>
        <w:t>the wider European Economic Area</w:t>
      </w:r>
      <w:r w:rsidR="00D026B2">
        <w:rPr>
          <w:lang w:val="en-AU"/>
        </w:rPr>
        <w:t xml:space="preserve"> and accession countries</w:t>
      </w:r>
      <w:r>
        <w:rPr>
          <w:lang w:val="en-AU"/>
        </w:rPr>
        <w:t>.</w:t>
      </w:r>
    </w:p>
  </w:footnote>
  <w:footnote w:id="4">
    <w:p w14:paraId="1D4F3BCE" w14:textId="77777777" w:rsidR="00C520EA" w:rsidRPr="000F6C2E" w:rsidRDefault="00C520EA">
      <w:pPr>
        <w:pStyle w:val="FootnoteText"/>
        <w:rPr>
          <w:lang w:val="en-AU"/>
        </w:rPr>
      </w:pPr>
      <w:r>
        <w:rPr>
          <w:rStyle w:val="FootnoteReference"/>
        </w:rPr>
        <w:footnoteRef/>
      </w:r>
      <w:r>
        <w:t xml:space="preserve"> For example, paragraph 2 of IAS 1</w:t>
      </w:r>
      <w:r w:rsidR="00A152A1">
        <w:t xml:space="preserve"> and paragraph 2 of IAS 7</w:t>
      </w:r>
      <w:r>
        <w:t>.</w:t>
      </w:r>
    </w:p>
  </w:footnote>
  <w:footnote w:id="5">
    <w:p w14:paraId="03B61DB7" w14:textId="77777777" w:rsidR="00C520EA" w:rsidRPr="00092EC8" w:rsidRDefault="00C520EA">
      <w:pPr>
        <w:pStyle w:val="FootnoteText"/>
        <w:rPr>
          <w:lang w:val="en-AU"/>
        </w:rPr>
      </w:pPr>
      <w:r>
        <w:rPr>
          <w:rStyle w:val="FootnoteReference"/>
        </w:rPr>
        <w:footnoteRef/>
      </w:r>
      <w:r>
        <w:t xml:space="preserve"> </w:t>
      </w:r>
      <w:r>
        <w:rPr>
          <w:lang w:val="en-AU"/>
        </w:rPr>
        <w:t>This was the description on page 4 of IFRS Foundation (2015b)</w:t>
      </w:r>
      <w:r w:rsidR="00D026B2">
        <w:rPr>
          <w:lang w:val="en-AU"/>
        </w:rPr>
        <w:t xml:space="preserve"> as issued in June 2015</w:t>
      </w:r>
      <w:r>
        <w:rPr>
          <w:lang w:val="en-AU"/>
        </w:rPr>
        <w:t>, although this has since been changed after a discussion between us and staff at the Foundation.</w:t>
      </w:r>
    </w:p>
  </w:footnote>
  <w:footnote w:id="6">
    <w:p w14:paraId="7C9E9AB7" w14:textId="77777777" w:rsidR="00C520EA" w:rsidRPr="009E62DF" w:rsidRDefault="00C520EA">
      <w:pPr>
        <w:pStyle w:val="FootnoteText"/>
        <w:rPr>
          <w:lang w:val="en-GB"/>
        </w:rPr>
      </w:pPr>
      <w:r>
        <w:rPr>
          <w:rStyle w:val="FootnoteReference"/>
        </w:rPr>
        <w:footnoteRef/>
      </w:r>
      <w:r>
        <w:t xml:space="preserve"> They led to a threat from members of the European Parliament to propose the removal of EU funding of the IASB (PwC, 2013).  Further, a group of UK investors obtained counsel’s opinion that IFRS might be illegal in the EU, partly because of the removal of prudence (Bompas, 2013).</w:t>
      </w:r>
    </w:p>
  </w:footnote>
  <w:footnote w:id="7">
    <w:p w14:paraId="6BA2693F" w14:textId="77777777" w:rsidR="00C520EA" w:rsidRPr="009E62DF" w:rsidRDefault="00C520EA">
      <w:pPr>
        <w:pStyle w:val="FootnoteText"/>
        <w:rPr>
          <w:lang w:val="en-GB"/>
        </w:rPr>
      </w:pPr>
      <w:r>
        <w:rPr>
          <w:rStyle w:val="FootnoteReference"/>
        </w:rPr>
        <w:footnoteRef/>
      </w:r>
      <w:r>
        <w:t xml:space="preserve"> IAS 1, paras. 15, 20, 23, 24 and 28; and IAS 8, paras. 6 and 11.</w:t>
      </w:r>
    </w:p>
  </w:footnote>
  <w:footnote w:id="8">
    <w:p w14:paraId="50AC7F03" w14:textId="7BAE4C68" w:rsidR="00C520EA" w:rsidRPr="009E62DF" w:rsidRDefault="00C520EA">
      <w:pPr>
        <w:pStyle w:val="FootnoteText"/>
        <w:rPr>
          <w:lang w:val="en-GB"/>
        </w:rPr>
      </w:pPr>
      <w:r>
        <w:rPr>
          <w:rStyle w:val="FootnoteReference"/>
        </w:rPr>
        <w:footnoteRef/>
      </w:r>
      <w:r>
        <w:t xml:space="preserve"> </w:t>
      </w:r>
      <w:r>
        <w:rPr>
          <w:lang w:val="en-GB"/>
        </w:rPr>
        <w:t>Th</w:t>
      </w:r>
      <w:r w:rsidR="00700760">
        <w:rPr>
          <w:lang w:val="en-GB"/>
        </w:rPr>
        <w:t>e</w:t>
      </w:r>
      <w:r>
        <w:rPr>
          <w:lang w:val="en-GB"/>
        </w:rPr>
        <w:t xml:space="preserve"> point</w:t>
      </w:r>
      <w:r w:rsidR="00700760">
        <w:rPr>
          <w:lang w:val="en-GB"/>
        </w:rPr>
        <w:t xml:space="preserve"> in the first half of this sentence</w:t>
      </w:r>
      <w:r>
        <w:rPr>
          <w:lang w:val="en-GB"/>
        </w:rPr>
        <w:t xml:space="preserve"> is confirmed by legal opinion in Moore (2013).</w:t>
      </w:r>
    </w:p>
  </w:footnote>
  <w:footnote w:id="9">
    <w:p w14:paraId="049169F0" w14:textId="77777777" w:rsidR="00C520EA" w:rsidRDefault="00C520EA" w:rsidP="00215EA8">
      <w:pPr>
        <w:pStyle w:val="FootnoteText"/>
      </w:pPr>
      <w:r>
        <w:rPr>
          <w:rStyle w:val="FootnoteReference"/>
        </w:rPr>
        <w:footnoteRef/>
      </w:r>
      <w:r>
        <w:t xml:space="preserve"> Preface to AASB CF 2013-1, December 2013.</w:t>
      </w:r>
    </w:p>
  </w:footnote>
  <w:footnote w:id="10">
    <w:p w14:paraId="5999D97A" w14:textId="77777777" w:rsidR="00C520EA" w:rsidRDefault="00C520EA" w:rsidP="00215EA8">
      <w:pPr>
        <w:pStyle w:val="FootnoteText"/>
      </w:pPr>
      <w:r>
        <w:rPr>
          <w:rStyle w:val="FootnoteReference"/>
        </w:rPr>
        <w:footnoteRef/>
      </w:r>
      <w:r>
        <w:t xml:space="preserve"> Accounting periods ending on or after 20 December 2013.  For most Australian companies, this means years ended 30 June 2014 or later.</w:t>
      </w:r>
    </w:p>
  </w:footnote>
  <w:footnote w:id="11">
    <w:p w14:paraId="7E390D7C" w14:textId="77777777" w:rsidR="00C520EA" w:rsidRPr="009E62DF" w:rsidRDefault="00C520EA">
      <w:pPr>
        <w:pStyle w:val="FootnoteText"/>
        <w:rPr>
          <w:lang w:val="en-GB"/>
        </w:rPr>
      </w:pPr>
      <w:r>
        <w:rPr>
          <w:rStyle w:val="FootnoteReference"/>
        </w:rPr>
        <w:footnoteRef/>
      </w:r>
      <w:r>
        <w:t xml:space="preserve"> </w:t>
      </w:r>
      <w:r>
        <w:rPr>
          <w:lang w:val="en-GB"/>
        </w:rPr>
        <w:t xml:space="preserve">That is, AASB </w:t>
      </w:r>
      <w:r>
        <w:t>101 and AASB 108.</w:t>
      </w:r>
      <w:r>
        <w:rPr>
          <w:lang w:val="en-GB"/>
        </w:rPr>
        <w:t xml:space="preserve"> </w:t>
      </w:r>
    </w:p>
  </w:footnote>
  <w:footnote w:id="12">
    <w:p w14:paraId="6DC74B06" w14:textId="77777777" w:rsidR="00C520EA" w:rsidRDefault="00C520EA" w:rsidP="0002444B">
      <w:pPr>
        <w:pStyle w:val="FootnoteText"/>
      </w:pPr>
      <w:r>
        <w:rPr>
          <w:rStyle w:val="FootnoteReference"/>
        </w:rPr>
        <w:footnoteRef/>
      </w:r>
      <w:r>
        <w:t xml:space="preserve"> IFRIC 4 (</w:t>
      </w:r>
      <w:r>
        <w:rPr>
          <w:i/>
        </w:rPr>
        <w:t>Determining Whether an Arrangement Contains a Lease</w:t>
      </w:r>
      <w:r>
        <w:t>) and IFRIC 12 (</w:t>
      </w:r>
      <w:r>
        <w:rPr>
          <w:i/>
        </w:rPr>
        <w:t>Service Concession Arrangements</w:t>
      </w:r>
      <w:r>
        <w:t>).</w:t>
      </w:r>
    </w:p>
  </w:footnote>
  <w:footnote w:id="13">
    <w:p w14:paraId="1196247C" w14:textId="77777777" w:rsidR="00C520EA" w:rsidRDefault="00C520EA" w:rsidP="009E62DF">
      <w:pPr>
        <w:pStyle w:val="FootnoteText"/>
        <w:rPr>
          <w:lang w:val="en-GB"/>
        </w:rPr>
      </w:pPr>
      <w:r>
        <w:rPr>
          <w:rStyle w:val="FootnoteReference"/>
        </w:rPr>
        <w:footnoteRef/>
      </w:r>
      <w:r>
        <w:t xml:space="preserve"> The list of rate-regulated companies was supplied by the Ontario Securities Commission on 19 February 2015.</w:t>
      </w:r>
    </w:p>
  </w:footnote>
  <w:footnote w:id="14">
    <w:p w14:paraId="480273E6" w14:textId="77777777" w:rsidR="00C520EA" w:rsidRDefault="00C520EA" w:rsidP="00B83DD4">
      <w:pPr>
        <w:pStyle w:val="FootnoteText"/>
      </w:pPr>
      <w:r>
        <w:rPr>
          <w:rStyle w:val="FootnoteReference"/>
        </w:rPr>
        <w:footnoteRef/>
      </w:r>
      <w:r>
        <w:t xml:space="preserve"> </w:t>
      </w:r>
      <w:r>
        <w:rPr>
          <w:lang w:val="en-GB"/>
        </w:rPr>
        <w:t>List from the</w:t>
      </w:r>
      <w:r w:rsidRPr="00B83DD4">
        <w:t xml:space="preserve"> </w:t>
      </w:r>
      <w:r>
        <w:t>Ontario Securities Commission on 11 June 2015.</w:t>
      </w:r>
    </w:p>
    <w:p w14:paraId="21252A01" w14:textId="77777777" w:rsidR="00C520EA" w:rsidRPr="00B83DD4" w:rsidRDefault="00C520EA">
      <w:pPr>
        <w:pStyle w:val="FootnoteText"/>
        <w:rPr>
          <w:lang w:val="en-GB"/>
        </w:rPr>
      </w:pPr>
      <w:r>
        <w:rPr>
          <w:lang w:val="en-GB"/>
        </w:rPr>
        <w:t xml:space="preserve"> </w:t>
      </w:r>
    </w:p>
  </w:footnote>
  <w:footnote w:id="15">
    <w:p w14:paraId="29C92DF9" w14:textId="77777777" w:rsidR="00C520EA" w:rsidRPr="007866CB" w:rsidRDefault="00C520EA">
      <w:pPr>
        <w:pStyle w:val="FootnoteText"/>
        <w:rPr>
          <w:lang w:val="en-GB"/>
        </w:rPr>
      </w:pPr>
      <w:r>
        <w:rPr>
          <w:rStyle w:val="FootnoteReference"/>
        </w:rPr>
        <w:footnoteRef/>
      </w:r>
      <w:r>
        <w:t xml:space="preserve"> </w:t>
      </w:r>
      <w:r>
        <w:rPr>
          <w:lang w:val="en-GB"/>
        </w:rPr>
        <w:t>For an example of such an exemption, see</w:t>
      </w:r>
      <w:r w:rsidRPr="007866CB">
        <w:t xml:space="preserve"> </w:t>
      </w:r>
      <w:hyperlink r:id="rId1" w:history="1">
        <w:r w:rsidRPr="005F2CDB">
          <w:rPr>
            <w:rStyle w:val="Hyperlink"/>
            <w:rFonts w:cs="Arial"/>
          </w:rPr>
          <w:t>https://www.osc.gov.on.ca/en/SecuritiesLaw_ord_20140206_213_fortis.htm</w:t>
        </w:r>
      </w:hyperlink>
      <w:r>
        <w:t>. A letter to us</w:t>
      </w:r>
      <w:r>
        <w:rPr>
          <w:lang w:val="en-GB"/>
        </w:rPr>
        <w:t xml:space="preserve"> from Mark Pinch of the Ontario Securities Commission (dated 12 June 2015) states that such exemptions remain necessary because IFRS 14 is not mandatory and does not apply to companies which had already adopted IFRS.</w:t>
      </w:r>
    </w:p>
  </w:footnote>
  <w:footnote w:id="16">
    <w:p w14:paraId="25F5797B" w14:textId="77777777" w:rsidR="00C520EA" w:rsidRDefault="00C520EA" w:rsidP="009E62DF">
      <w:pPr>
        <w:pStyle w:val="FootnoteText"/>
      </w:pPr>
      <w:r>
        <w:rPr>
          <w:rStyle w:val="FootnoteReference"/>
        </w:rPr>
        <w:footnoteRef/>
      </w:r>
      <w:r>
        <w:t xml:space="preserve"> ‘Foreign Companies Registered and Reporting with the U.S. Securities and Exchange Commission, December 31, 2013’, at: </w:t>
      </w:r>
      <w:hyperlink r:id="rId2" w:history="1">
        <w:r>
          <w:rPr>
            <w:rStyle w:val="Hyperlink"/>
          </w:rPr>
          <w:t>https://www.sec.gov/divisions/corpfin/internatl/foreigngeographic2013.pdf</w:t>
        </w:r>
      </w:hyperlink>
      <w:r>
        <w:t>. This SEC listing shows 318 Canadian companies. Hence, the number using IFRS is 208 (that is, 318 – 110).</w:t>
      </w:r>
    </w:p>
  </w:footnote>
  <w:footnote w:id="17">
    <w:p w14:paraId="55423D39" w14:textId="77777777" w:rsidR="00C520EA" w:rsidRDefault="00C520EA" w:rsidP="009E62DF">
      <w:pPr>
        <w:pStyle w:val="FootnoteText"/>
      </w:pPr>
      <w:r>
        <w:rPr>
          <w:rStyle w:val="FootnoteReference"/>
        </w:rPr>
        <w:footnoteRef/>
      </w:r>
      <w:r>
        <w:t xml:space="preserve"> Canadian Securities Administrators, </w:t>
      </w:r>
      <w:r>
        <w:rPr>
          <w:i/>
        </w:rPr>
        <w:t>2014 Enforcement Report</w:t>
      </w:r>
      <w:r>
        <w:t>, p. 4. The number of 4,394 excludes issuers whose provincial regulator has suspended trading because of non-compliance with statutory requirements, such as a failure to submit audited financial statements.</w:t>
      </w:r>
    </w:p>
  </w:footnote>
  <w:footnote w:id="18">
    <w:p w14:paraId="69338FDE" w14:textId="77777777" w:rsidR="00C520EA" w:rsidRDefault="00C520EA" w:rsidP="009E62DF">
      <w:pPr>
        <w:pStyle w:val="FootnoteText"/>
      </w:pPr>
      <w:r>
        <w:rPr>
          <w:rStyle w:val="FootnoteReference"/>
        </w:rPr>
        <w:footnoteRef/>
      </w:r>
      <w:r>
        <w:t xml:space="preserve"> </w:t>
      </w:r>
      <w:r>
        <w:rPr>
          <w:i/>
        </w:rPr>
        <w:t>The Mig Report</w:t>
      </w:r>
      <w:r>
        <w:t xml:space="preserve">, Market Intelligence Group, TMX (TSX/TSXV), December 2014, at: </w:t>
      </w:r>
      <w:hyperlink r:id="rId3" w:history="1">
        <w:r>
          <w:rPr>
            <w:rStyle w:val="Hyperlink"/>
          </w:rPr>
          <w:t>http://www.tsx.com/resource/en/1080/mig-report-dec.pdf</w:t>
        </w:r>
      </w:hyperlink>
      <w:r>
        <w:t xml:space="preserve">. </w:t>
      </w:r>
    </w:p>
  </w:footnote>
  <w:footnote w:id="19">
    <w:p w14:paraId="7A232185" w14:textId="77777777" w:rsidR="00C520EA" w:rsidRPr="00B83DD4" w:rsidRDefault="00C520EA">
      <w:pPr>
        <w:pStyle w:val="FootnoteText"/>
        <w:rPr>
          <w:lang w:val="en-GB"/>
        </w:rPr>
      </w:pPr>
      <w:r>
        <w:rPr>
          <w:rStyle w:val="FootnoteReference"/>
        </w:rPr>
        <w:footnoteRef/>
      </w:r>
      <w:r>
        <w:t xml:space="preserve"> </w:t>
      </w:r>
      <w:r>
        <w:rPr>
          <w:lang w:val="en-GB"/>
        </w:rPr>
        <w:t>These percentages are taken from the source referred to. They do not sum to 100%, presumably due to rounding.</w:t>
      </w:r>
    </w:p>
  </w:footnote>
  <w:footnote w:id="20">
    <w:p w14:paraId="30C9DE68" w14:textId="77777777" w:rsidR="00C520EA" w:rsidRPr="00084329" w:rsidRDefault="00C520EA">
      <w:pPr>
        <w:pStyle w:val="FootnoteText"/>
        <w:rPr>
          <w:lang w:val="en-GB"/>
        </w:rPr>
      </w:pPr>
      <w:r>
        <w:rPr>
          <w:rStyle w:val="FootnoteReference"/>
        </w:rPr>
        <w:footnoteRef/>
      </w:r>
      <w:r>
        <w:t xml:space="preserve"> IFRS (2015b, p. 10) suggests 85 companies by May 2015, covering 20% of market capitalisation.</w:t>
      </w:r>
    </w:p>
  </w:footnote>
  <w:footnote w:id="21">
    <w:p w14:paraId="4B66159F" w14:textId="77777777" w:rsidR="00C520EA" w:rsidRPr="00A57B4C" w:rsidRDefault="00C520EA">
      <w:pPr>
        <w:pStyle w:val="FootnoteText"/>
        <w:rPr>
          <w:lang w:val="en-AU"/>
        </w:rPr>
      </w:pPr>
      <w:r>
        <w:rPr>
          <w:rStyle w:val="FootnoteReference"/>
        </w:rPr>
        <w:footnoteRef/>
      </w:r>
      <w:r>
        <w:t>Nobes and Zeff surveyed 205 large listed companies f</w:t>
      </w:r>
      <w:r w:rsidR="00BD71E4">
        <w:t>ro</w:t>
      </w:r>
      <w:r>
        <w:t xml:space="preserve">m Germany, France, Spain and the UK, and found only 22 affirmations of IFRS (p.286). The affirmations relate instead to ‘IFRS as adopted by the EU’. However, fewer than 30 companies in the whole of the EU use the EU ‘carve out’ from IAS 39 (IFRS Foundation 2015b, p.12), and most new IFRS content is endorsed in the EU before its mandatory IASB application date. </w:t>
      </w:r>
    </w:p>
  </w:footnote>
  <w:footnote w:id="22">
    <w:p w14:paraId="2658466F" w14:textId="77777777" w:rsidR="00C520EA" w:rsidRPr="00DE0558" w:rsidRDefault="00C520EA">
      <w:pPr>
        <w:pStyle w:val="FootnoteText"/>
        <w:rPr>
          <w:lang w:val="en-AU"/>
        </w:rPr>
      </w:pPr>
      <w:r>
        <w:rPr>
          <w:rStyle w:val="FootnoteReference"/>
        </w:rPr>
        <w:footnoteRef/>
      </w:r>
      <w:r>
        <w:t xml:space="preserve"> </w:t>
      </w:r>
      <w:r>
        <w:rPr>
          <w:lang w:val="en-AU"/>
        </w:rPr>
        <w:t>The Act on External Audit of Stock Corporations.</w:t>
      </w:r>
    </w:p>
  </w:footnote>
  <w:footnote w:id="23">
    <w:p w14:paraId="2392E9B7" w14:textId="77777777" w:rsidR="00043AEE" w:rsidRPr="009E7E84" w:rsidRDefault="00043AEE">
      <w:pPr>
        <w:pStyle w:val="FootnoteText"/>
        <w:rPr>
          <w:lang w:val="en-AU"/>
        </w:rPr>
      </w:pPr>
      <w:r>
        <w:rPr>
          <w:rStyle w:val="FootnoteReference"/>
        </w:rPr>
        <w:footnoteRef/>
      </w:r>
      <w:r>
        <w:t xml:space="preserve"> </w:t>
      </w:r>
      <w:r>
        <w:rPr>
          <w:lang w:val="en-AU"/>
        </w:rPr>
        <w:t>We are aware of, and have contribute</w:t>
      </w:r>
      <w:r w:rsidR="009E7E84">
        <w:rPr>
          <w:lang w:val="en-AU"/>
        </w:rPr>
        <w:t>d</w:t>
      </w:r>
      <w:r>
        <w:rPr>
          <w:lang w:val="en-AU"/>
        </w:rPr>
        <w:t xml:space="preserve"> to, the literature that suggests that IFRS cannot be translated without causing differences in meaning (e.g. </w:t>
      </w:r>
      <w:r w:rsidR="009E7E84">
        <w:rPr>
          <w:lang w:val="en-AU"/>
        </w:rPr>
        <w:t>Evans et al.,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A8"/>
    <w:rsid w:val="00013560"/>
    <w:rsid w:val="000203D3"/>
    <w:rsid w:val="000241F7"/>
    <w:rsid w:val="0002444B"/>
    <w:rsid w:val="00042B0C"/>
    <w:rsid w:val="00043AEE"/>
    <w:rsid w:val="00051CD0"/>
    <w:rsid w:val="00066FD6"/>
    <w:rsid w:val="000724E5"/>
    <w:rsid w:val="0007413E"/>
    <w:rsid w:val="000763AA"/>
    <w:rsid w:val="00084329"/>
    <w:rsid w:val="00086CD2"/>
    <w:rsid w:val="00092EC8"/>
    <w:rsid w:val="000B66C9"/>
    <w:rsid w:val="000C38FC"/>
    <w:rsid w:val="000C41F3"/>
    <w:rsid w:val="000C710F"/>
    <w:rsid w:val="000E7231"/>
    <w:rsid w:val="000F2FBE"/>
    <w:rsid w:val="000F3C4B"/>
    <w:rsid w:val="000F6C2E"/>
    <w:rsid w:val="00104145"/>
    <w:rsid w:val="001104DE"/>
    <w:rsid w:val="00115C41"/>
    <w:rsid w:val="0015096D"/>
    <w:rsid w:val="00167AAB"/>
    <w:rsid w:val="0017758C"/>
    <w:rsid w:val="001909FD"/>
    <w:rsid w:val="001D2484"/>
    <w:rsid w:val="001F1EDC"/>
    <w:rsid w:val="001F75C8"/>
    <w:rsid w:val="00215EA8"/>
    <w:rsid w:val="00226314"/>
    <w:rsid w:val="00227BE7"/>
    <w:rsid w:val="00272E3A"/>
    <w:rsid w:val="00274F3C"/>
    <w:rsid w:val="002765BD"/>
    <w:rsid w:val="00280D4B"/>
    <w:rsid w:val="00281F53"/>
    <w:rsid w:val="00286A73"/>
    <w:rsid w:val="002B4FAE"/>
    <w:rsid w:val="002B66ED"/>
    <w:rsid w:val="002F5C4C"/>
    <w:rsid w:val="0030755D"/>
    <w:rsid w:val="003162D8"/>
    <w:rsid w:val="003218AC"/>
    <w:rsid w:val="003337C5"/>
    <w:rsid w:val="00335D4C"/>
    <w:rsid w:val="00336512"/>
    <w:rsid w:val="00336D24"/>
    <w:rsid w:val="00343770"/>
    <w:rsid w:val="00353A3F"/>
    <w:rsid w:val="00360196"/>
    <w:rsid w:val="00370A20"/>
    <w:rsid w:val="003B3FBF"/>
    <w:rsid w:val="003B6595"/>
    <w:rsid w:val="003B66D1"/>
    <w:rsid w:val="003D605A"/>
    <w:rsid w:val="00400771"/>
    <w:rsid w:val="00404D32"/>
    <w:rsid w:val="0040650C"/>
    <w:rsid w:val="00423134"/>
    <w:rsid w:val="00454373"/>
    <w:rsid w:val="00476E66"/>
    <w:rsid w:val="004B7EEB"/>
    <w:rsid w:val="004C0F68"/>
    <w:rsid w:val="004F7EA0"/>
    <w:rsid w:val="0053720F"/>
    <w:rsid w:val="00537254"/>
    <w:rsid w:val="0059737B"/>
    <w:rsid w:val="005A0F5F"/>
    <w:rsid w:val="005A2701"/>
    <w:rsid w:val="005C0853"/>
    <w:rsid w:val="005C11F7"/>
    <w:rsid w:val="005F108E"/>
    <w:rsid w:val="005F2CDB"/>
    <w:rsid w:val="006017E4"/>
    <w:rsid w:val="00643694"/>
    <w:rsid w:val="00647F76"/>
    <w:rsid w:val="006639C9"/>
    <w:rsid w:val="006743E2"/>
    <w:rsid w:val="00677B01"/>
    <w:rsid w:val="00680501"/>
    <w:rsid w:val="0068396E"/>
    <w:rsid w:val="006959D3"/>
    <w:rsid w:val="006A4B63"/>
    <w:rsid w:val="006C5ADC"/>
    <w:rsid w:val="006D2C71"/>
    <w:rsid w:val="006F35CD"/>
    <w:rsid w:val="00700760"/>
    <w:rsid w:val="00703ADE"/>
    <w:rsid w:val="007072BD"/>
    <w:rsid w:val="007154CA"/>
    <w:rsid w:val="00720ABC"/>
    <w:rsid w:val="0077712D"/>
    <w:rsid w:val="007866CB"/>
    <w:rsid w:val="007B354D"/>
    <w:rsid w:val="007C5852"/>
    <w:rsid w:val="007C6B6D"/>
    <w:rsid w:val="007C6F0B"/>
    <w:rsid w:val="007C7A84"/>
    <w:rsid w:val="007F2184"/>
    <w:rsid w:val="00800BEE"/>
    <w:rsid w:val="00802FCC"/>
    <w:rsid w:val="008044F2"/>
    <w:rsid w:val="0083391E"/>
    <w:rsid w:val="00864DB3"/>
    <w:rsid w:val="0087436B"/>
    <w:rsid w:val="008E5438"/>
    <w:rsid w:val="008F29A7"/>
    <w:rsid w:val="008F4110"/>
    <w:rsid w:val="00901E7E"/>
    <w:rsid w:val="00910644"/>
    <w:rsid w:val="009139C0"/>
    <w:rsid w:val="00926F90"/>
    <w:rsid w:val="00932792"/>
    <w:rsid w:val="00944943"/>
    <w:rsid w:val="00951026"/>
    <w:rsid w:val="009612D1"/>
    <w:rsid w:val="00970210"/>
    <w:rsid w:val="00983A2C"/>
    <w:rsid w:val="00985CBC"/>
    <w:rsid w:val="0099289A"/>
    <w:rsid w:val="009A6374"/>
    <w:rsid w:val="009C0121"/>
    <w:rsid w:val="009D0233"/>
    <w:rsid w:val="009E3056"/>
    <w:rsid w:val="009E62DF"/>
    <w:rsid w:val="009E7E84"/>
    <w:rsid w:val="009F3B46"/>
    <w:rsid w:val="00A0266D"/>
    <w:rsid w:val="00A1300B"/>
    <w:rsid w:val="00A14F57"/>
    <w:rsid w:val="00A152A1"/>
    <w:rsid w:val="00A31B25"/>
    <w:rsid w:val="00A57B4C"/>
    <w:rsid w:val="00A600DC"/>
    <w:rsid w:val="00A73EAC"/>
    <w:rsid w:val="00A75397"/>
    <w:rsid w:val="00A961B3"/>
    <w:rsid w:val="00A97B7A"/>
    <w:rsid w:val="00AD3AE7"/>
    <w:rsid w:val="00AE69A3"/>
    <w:rsid w:val="00AF0E72"/>
    <w:rsid w:val="00B06FF1"/>
    <w:rsid w:val="00B2797E"/>
    <w:rsid w:val="00B3148C"/>
    <w:rsid w:val="00B3550D"/>
    <w:rsid w:val="00B376B6"/>
    <w:rsid w:val="00B56A53"/>
    <w:rsid w:val="00B60639"/>
    <w:rsid w:val="00B83DD4"/>
    <w:rsid w:val="00B83E93"/>
    <w:rsid w:val="00B913C2"/>
    <w:rsid w:val="00B96072"/>
    <w:rsid w:val="00BC136E"/>
    <w:rsid w:val="00BD3ABE"/>
    <w:rsid w:val="00BD71E4"/>
    <w:rsid w:val="00BE4700"/>
    <w:rsid w:val="00BE64ED"/>
    <w:rsid w:val="00C03BE4"/>
    <w:rsid w:val="00C36E67"/>
    <w:rsid w:val="00C520EA"/>
    <w:rsid w:val="00C62C2F"/>
    <w:rsid w:val="00C723B5"/>
    <w:rsid w:val="00C74451"/>
    <w:rsid w:val="00CA3361"/>
    <w:rsid w:val="00CB67A7"/>
    <w:rsid w:val="00CC5FEC"/>
    <w:rsid w:val="00CD22A9"/>
    <w:rsid w:val="00CF1390"/>
    <w:rsid w:val="00CF4F61"/>
    <w:rsid w:val="00D026B2"/>
    <w:rsid w:val="00D47C0B"/>
    <w:rsid w:val="00D503EC"/>
    <w:rsid w:val="00D8279C"/>
    <w:rsid w:val="00D87C61"/>
    <w:rsid w:val="00DA2927"/>
    <w:rsid w:val="00DB1D30"/>
    <w:rsid w:val="00DB555D"/>
    <w:rsid w:val="00DE0558"/>
    <w:rsid w:val="00DF3FE4"/>
    <w:rsid w:val="00E45158"/>
    <w:rsid w:val="00E50BE3"/>
    <w:rsid w:val="00E517D8"/>
    <w:rsid w:val="00E568DD"/>
    <w:rsid w:val="00E85858"/>
    <w:rsid w:val="00EB3ADB"/>
    <w:rsid w:val="00EB4B4D"/>
    <w:rsid w:val="00EB6268"/>
    <w:rsid w:val="00EC198F"/>
    <w:rsid w:val="00EC27B0"/>
    <w:rsid w:val="00ED30C8"/>
    <w:rsid w:val="00ED564E"/>
    <w:rsid w:val="00F14156"/>
    <w:rsid w:val="00F1771D"/>
    <w:rsid w:val="00F374F7"/>
    <w:rsid w:val="00F50FBC"/>
    <w:rsid w:val="00F72CBF"/>
    <w:rsid w:val="00F84EEB"/>
    <w:rsid w:val="00FA0789"/>
    <w:rsid w:val="00FA60FE"/>
    <w:rsid w:val="00FE25F2"/>
    <w:rsid w:val="00FF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3D0BD34"/>
  <w15:docId w15:val="{B3B8F743-F2F4-4E21-B2BE-A224B349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A8"/>
    <w:pPr>
      <w:spacing w:after="200" w:line="276" w:lineRule="auto"/>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EA8"/>
    <w:rPr>
      <w:color w:val="0563C1" w:themeColor="hyperlink"/>
      <w:u w:val="single"/>
    </w:rPr>
  </w:style>
  <w:style w:type="paragraph" w:styleId="FootnoteText">
    <w:name w:val="footnote text"/>
    <w:basedOn w:val="Normal"/>
    <w:link w:val="FootnoteTextChar"/>
    <w:uiPriority w:val="99"/>
    <w:semiHidden/>
    <w:unhideWhenUsed/>
    <w:rsid w:val="00215EA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15EA8"/>
    <w:rPr>
      <w:sz w:val="20"/>
      <w:szCs w:val="20"/>
    </w:rPr>
  </w:style>
  <w:style w:type="character" w:styleId="FootnoteReference">
    <w:name w:val="footnote reference"/>
    <w:basedOn w:val="DefaultParagraphFont"/>
    <w:uiPriority w:val="99"/>
    <w:semiHidden/>
    <w:unhideWhenUsed/>
    <w:rsid w:val="00215EA8"/>
    <w:rPr>
      <w:vertAlign w:val="superscript"/>
    </w:rPr>
  </w:style>
  <w:style w:type="paragraph" w:styleId="Footer">
    <w:name w:val="footer"/>
    <w:basedOn w:val="Normal"/>
    <w:link w:val="FooterChar"/>
    <w:uiPriority w:val="99"/>
    <w:unhideWhenUsed/>
    <w:rsid w:val="00215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EA8"/>
    <w:rPr>
      <w:sz w:val="24"/>
      <w:lang w:val="en-GB"/>
    </w:rPr>
  </w:style>
  <w:style w:type="paragraph" w:styleId="ListParagraph">
    <w:name w:val="List Paragraph"/>
    <w:basedOn w:val="Normal"/>
    <w:uiPriority w:val="34"/>
    <w:qFormat/>
    <w:rsid w:val="00215EA8"/>
    <w:pPr>
      <w:ind w:left="720"/>
      <w:contextualSpacing/>
    </w:pPr>
  </w:style>
  <w:style w:type="paragraph" w:styleId="BalloonText">
    <w:name w:val="Balloon Text"/>
    <w:basedOn w:val="Normal"/>
    <w:link w:val="BalloonTextChar"/>
    <w:uiPriority w:val="99"/>
    <w:semiHidden/>
    <w:unhideWhenUsed/>
    <w:rsid w:val="00215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EA8"/>
    <w:rPr>
      <w:rFonts w:ascii="Segoe UI" w:hAnsi="Segoe UI" w:cs="Segoe UI"/>
      <w:sz w:val="18"/>
      <w:szCs w:val="18"/>
      <w:lang w:val="en-GB"/>
    </w:rPr>
  </w:style>
  <w:style w:type="paragraph" w:customStyle="1" w:styleId="ReferencesFurtherreading">
    <w:name w:val="References/Further reading"/>
    <w:basedOn w:val="Normal"/>
    <w:uiPriority w:val="99"/>
    <w:rsid w:val="000724E5"/>
    <w:pPr>
      <w:spacing w:after="0" w:line="480" w:lineRule="auto"/>
      <w:ind w:left="397" w:hanging="397"/>
    </w:pPr>
    <w:rPr>
      <w:rFonts w:ascii="Times New Roman" w:eastAsia="Times New Roman" w:hAnsi="Times New Roman" w:cs="Times New Roman"/>
      <w:sz w:val="22"/>
      <w:szCs w:val="20"/>
      <w:lang w:val="en-US"/>
    </w:rPr>
  </w:style>
  <w:style w:type="character" w:styleId="CommentReference">
    <w:name w:val="annotation reference"/>
    <w:basedOn w:val="DefaultParagraphFont"/>
    <w:uiPriority w:val="99"/>
    <w:semiHidden/>
    <w:unhideWhenUsed/>
    <w:rsid w:val="000F3C4B"/>
    <w:rPr>
      <w:sz w:val="16"/>
      <w:szCs w:val="16"/>
    </w:rPr>
  </w:style>
  <w:style w:type="paragraph" w:styleId="CommentText">
    <w:name w:val="annotation text"/>
    <w:basedOn w:val="Normal"/>
    <w:link w:val="CommentTextChar"/>
    <w:uiPriority w:val="99"/>
    <w:semiHidden/>
    <w:unhideWhenUsed/>
    <w:rsid w:val="000F3C4B"/>
    <w:pPr>
      <w:spacing w:line="240" w:lineRule="auto"/>
    </w:pPr>
    <w:rPr>
      <w:sz w:val="20"/>
      <w:szCs w:val="20"/>
    </w:rPr>
  </w:style>
  <w:style w:type="character" w:customStyle="1" w:styleId="CommentTextChar">
    <w:name w:val="Comment Text Char"/>
    <w:basedOn w:val="DefaultParagraphFont"/>
    <w:link w:val="CommentText"/>
    <w:uiPriority w:val="99"/>
    <w:semiHidden/>
    <w:rsid w:val="000F3C4B"/>
    <w:rPr>
      <w:sz w:val="20"/>
      <w:szCs w:val="20"/>
      <w:lang w:val="en-GB"/>
    </w:rPr>
  </w:style>
  <w:style w:type="paragraph" w:styleId="CommentSubject">
    <w:name w:val="annotation subject"/>
    <w:basedOn w:val="CommentText"/>
    <w:next w:val="CommentText"/>
    <w:link w:val="CommentSubjectChar"/>
    <w:uiPriority w:val="99"/>
    <w:semiHidden/>
    <w:unhideWhenUsed/>
    <w:rsid w:val="000F3C4B"/>
    <w:rPr>
      <w:b/>
      <w:bCs/>
    </w:rPr>
  </w:style>
  <w:style w:type="character" w:customStyle="1" w:styleId="CommentSubjectChar">
    <w:name w:val="Comment Subject Char"/>
    <w:basedOn w:val="CommentTextChar"/>
    <w:link w:val="CommentSubject"/>
    <w:uiPriority w:val="99"/>
    <w:semiHidden/>
    <w:rsid w:val="000F3C4B"/>
    <w:rPr>
      <w:b/>
      <w:bCs/>
      <w:sz w:val="20"/>
      <w:szCs w:val="20"/>
      <w:lang w:val="en-GB"/>
    </w:rPr>
  </w:style>
  <w:style w:type="character" w:styleId="FollowedHyperlink">
    <w:name w:val="FollowedHyperlink"/>
    <w:basedOn w:val="DefaultParagraphFont"/>
    <w:uiPriority w:val="99"/>
    <w:semiHidden/>
    <w:unhideWhenUsed/>
    <w:rsid w:val="002765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06141">
      <w:bodyDiv w:val="1"/>
      <w:marLeft w:val="0"/>
      <w:marRight w:val="0"/>
      <w:marTop w:val="0"/>
      <w:marBottom w:val="0"/>
      <w:divBdr>
        <w:top w:val="none" w:sz="0" w:space="0" w:color="auto"/>
        <w:left w:val="none" w:sz="0" w:space="0" w:color="auto"/>
        <w:bottom w:val="none" w:sz="0" w:space="0" w:color="auto"/>
        <w:right w:val="none" w:sz="0" w:space="0" w:color="auto"/>
      </w:divBdr>
    </w:div>
    <w:div w:id="1454443808">
      <w:bodyDiv w:val="1"/>
      <w:marLeft w:val="0"/>
      <w:marRight w:val="0"/>
      <w:marTop w:val="0"/>
      <w:marBottom w:val="0"/>
      <w:divBdr>
        <w:top w:val="none" w:sz="0" w:space="0" w:color="auto"/>
        <w:left w:val="none" w:sz="0" w:space="0" w:color="auto"/>
        <w:bottom w:val="none" w:sz="0" w:space="0" w:color="auto"/>
        <w:right w:val="none" w:sz="0" w:space="0" w:color="auto"/>
      </w:divBdr>
    </w:div>
    <w:div w:id="19335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go.jp/en/news/2013/20130621-1/01.pdf" TargetMode="External"/><Relationship Id="rId13" Type="http://schemas.openxmlformats.org/officeDocument/2006/relationships/hyperlink" Target="http://www.iasplus.com/en/jurisdictions/europe/switzerland" TargetMode="External"/><Relationship Id="rId18" Type="http://schemas.openxmlformats.org/officeDocument/2006/relationships/hyperlink" Target="http://www.pwc.com/gx/en/audit-services/corporate-reporting/publications/world-watch/articles/eu-conditions-iasb-funding.j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hris.nobes@rhul.ac.uk" TargetMode="External"/><Relationship Id="rId12" Type="http://schemas.openxmlformats.org/officeDocument/2006/relationships/hyperlink" Target="http://www.fsa.go.jp/en/news/2015/20150430-4/01.pdf" TargetMode="External"/><Relationship Id="rId17" Type="http://schemas.openxmlformats.org/officeDocument/2006/relationships/hyperlink" Target="https://www.frc.org.uk/Our-Work/Publications/FRC-Board/Martin-Moore-QC-Opinion-3-October-2013.pdf" TargetMode="External"/><Relationship Id="rId2" Type="http://schemas.openxmlformats.org/officeDocument/2006/relationships/styles" Target="styles.xml"/><Relationship Id="rId16" Type="http://schemas.openxmlformats.org/officeDocument/2006/relationships/hyperlink" Target="http://www.ifrs.org/Use-around-the-world/Documents/Jurisdiction-profiles/Switzerland-IFRS-Profil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asplus.com/en/news/2015/07/ifrs-japan" TargetMode="External"/><Relationship Id="rId5" Type="http://schemas.openxmlformats.org/officeDocument/2006/relationships/footnotes" Target="footnotes.xml"/><Relationship Id="rId15" Type="http://schemas.openxmlformats.org/officeDocument/2006/relationships/hyperlink" Target="http://www.ifrs.org/Use-around-the-world/Documents/Financial-Reporting-Standards-World-Economy-June-2015.pdf" TargetMode="External"/><Relationship Id="rId10" Type="http://schemas.openxmlformats.org/officeDocument/2006/relationships/hyperlink" Target="http://www.lapfforum.org/press/ifrs-opinion" TargetMode="External"/><Relationship Id="rId19" Type="http://schemas.openxmlformats.org/officeDocument/2006/relationships/hyperlink" Target="https://www.six-exchange-regulation.com/obligations/financial_reporting/faqs/requirements_en.html" TargetMode="External"/><Relationship Id="rId4" Type="http://schemas.openxmlformats.org/officeDocument/2006/relationships/webSettings" Target="webSettings.xml"/><Relationship Id="rId9" Type="http://schemas.openxmlformats.org/officeDocument/2006/relationships/hyperlink" Target="http://www.bdo.ca/library/publications/aboriginal/articles/how_IFRS_can_add_value.cfm" TargetMode="External"/><Relationship Id="rId14" Type="http://schemas.openxmlformats.org/officeDocument/2006/relationships/hyperlink" Target="http://www.ifrs.org/use-around-the-world/pages/jurisdiction-profiles.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sx.com/resource/en/1080/mig-report-dec.pdf" TargetMode="External"/><Relationship Id="rId2" Type="http://schemas.openxmlformats.org/officeDocument/2006/relationships/hyperlink" Target="https://www.sec.gov/divisions/corpfin/internatl/foreigngeographic2013.pdf" TargetMode="External"/><Relationship Id="rId1" Type="http://schemas.openxmlformats.org/officeDocument/2006/relationships/hyperlink" Target="https://www.osc.gov.on.ca/en/SecuritiesLaw_ord_20140206_213_fort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FB05-DC16-4A67-B0A9-61FD2B70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5356</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Nobes, Chris</cp:lastModifiedBy>
  <cp:revision>3</cp:revision>
  <dcterms:created xsi:type="dcterms:W3CDTF">2015-10-19T09:54:00Z</dcterms:created>
  <dcterms:modified xsi:type="dcterms:W3CDTF">2015-10-19T09:55:00Z</dcterms:modified>
</cp:coreProperties>
</file>