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62" w:rsidRPr="008B2AE7" w:rsidRDefault="004A527C">
      <w:pPr>
        <w:ind w:left="720" w:hanging="720"/>
        <w:jc w:val="center"/>
        <w:rPr>
          <w:rFonts w:cstheme="minorHAnsi"/>
          <w:b/>
        </w:rPr>
      </w:pPr>
      <w:bookmarkStart w:id="0" w:name="_GoBack"/>
      <w:bookmarkEnd w:id="0"/>
      <w:r w:rsidRPr="008B2AE7">
        <w:rPr>
          <w:rFonts w:cstheme="minorHAnsi"/>
          <w:b/>
        </w:rPr>
        <w:t xml:space="preserve">Estimating weight of acute stroke patients when dosing for </w:t>
      </w:r>
      <w:r w:rsidR="004F7CA7">
        <w:rPr>
          <w:rFonts w:cstheme="minorHAnsi"/>
          <w:b/>
        </w:rPr>
        <w:t>thrombolysis</w:t>
      </w:r>
    </w:p>
    <w:p w:rsidR="007F2D62" w:rsidRPr="008B2AE7" w:rsidRDefault="007F2D62">
      <w:pPr>
        <w:tabs>
          <w:tab w:val="left" w:pos="2740"/>
        </w:tabs>
        <w:jc w:val="center"/>
        <w:rPr>
          <w:rFonts w:cstheme="minorHAnsi"/>
          <w:b/>
        </w:rPr>
      </w:pPr>
    </w:p>
    <w:p w:rsidR="007F2D62" w:rsidRPr="008B2AE7" w:rsidRDefault="004A527C">
      <w:pPr>
        <w:tabs>
          <w:tab w:val="left" w:pos="2740"/>
        </w:tabs>
        <w:jc w:val="center"/>
        <w:rPr>
          <w:rFonts w:cstheme="minorHAnsi"/>
        </w:rPr>
      </w:pPr>
      <w:r w:rsidRPr="008B2AE7">
        <w:rPr>
          <w:rFonts w:cstheme="minorHAnsi"/>
        </w:rPr>
        <w:t>Tom Barrow BSc, Muhammad S Khan MSc, Omid Halse MRCP, Paul Bentley PhD,</w:t>
      </w:r>
    </w:p>
    <w:p w:rsidR="007F2D62" w:rsidRPr="008B2AE7" w:rsidRDefault="004A527C">
      <w:pPr>
        <w:tabs>
          <w:tab w:val="left" w:pos="2740"/>
        </w:tabs>
        <w:jc w:val="center"/>
        <w:rPr>
          <w:rFonts w:cstheme="minorHAnsi"/>
        </w:rPr>
      </w:pPr>
      <w:r w:rsidRPr="008B2AE7">
        <w:rPr>
          <w:rFonts w:cstheme="minorHAnsi"/>
        </w:rPr>
        <w:t>Pankaj Sharma MD PhD</w:t>
      </w:r>
      <w:r w:rsidR="00EB77EE">
        <w:rPr>
          <w:rFonts w:cstheme="minorHAnsi"/>
        </w:rPr>
        <w:t xml:space="preserve"> FRCP</w:t>
      </w:r>
    </w:p>
    <w:p w:rsidR="007F2D62" w:rsidRPr="008B2AE7" w:rsidRDefault="007F2D62">
      <w:pPr>
        <w:tabs>
          <w:tab w:val="left" w:pos="2740"/>
        </w:tabs>
        <w:jc w:val="center"/>
        <w:rPr>
          <w:rFonts w:cstheme="minorHAnsi"/>
        </w:rPr>
      </w:pPr>
    </w:p>
    <w:p w:rsidR="007F2D62" w:rsidRPr="008B2AE7" w:rsidRDefault="004A527C">
      <w:pPr>
        <w:tabs>
          <w:tab w:val="left" w:pos="2740"/>
        </w:tabs>
        <w:rPr>
          <w:rFonts w:cstheme="minorHAnsi"/>
        </w:rPr>
      </w:pPr>
      <w:r w:rsidRPr="008B2AE7">
        <w:rPr>
          <w:rFonts w:cstheme="minorHAnsi"/>
        </w:rPr>
        <w:t>Institute of Cardiovascular Research Royal Holloway University of London (ICR2UL) &amp; Ashford &amp; St Peters Hospital; and, Imperial College Cerebrovascular Research Unit (ICCRU)</w:t>
      </w:r>
    </w:p>
    <w:p w:rsidR="007F2D62" w:rsidRPr="008B2AE7" w:rsidRDefault="007F2D62">
      <w:pPr>
        <w:tabs>
          <w:tab w:val="left" w:pos="2740"/>
        </w:tabs>
        <w:rPr>
          <w:rFonts w:cstheme="minorHAnsi"/>
        </w:rPr>
      </w:pPr>
    </w:p>
    <w:p w:rsidR="00B532EE" w:rsidRDefault="004A527C">
      <w:pPr>
        <w:tabs>
          <w:tab w:val="left" w:pos="2740"/>
        </w:tabs>
        <w:rPr>
          <w:rFonts w:cstheme="minorHAnsi"/>
          <w:b/>
        </w:rPr>
      </w:pPr>
      <w:r w:rsidRPr="008B2AE7">
        <w:rPr>
          <w:rFonts w:cstheme="minorHAnsi"/>
          <w:b/>
        </w:rPr>
        <w:t>Correspondence:</w:t>
      </w:r>
    </w:p>
    <w:p w:rsidR="00B532EE" w:rsidRDefault="00B532EE">
      <w:pPr>
        <w:tabs>
          <w:tab w:val="left" w:pos="2740"/>
        </w:tabs>
        <w:rPr>
          <w:rFonts w:cstheme="minorHAnsi"/>
        </w:rPr>
      </w:pPr>
      <w:r>
        <w:rPr>
          <w:rFonts w:cstheme="minorHAnsi"/>
        </w:rPr>
        <w:t xml:space="preserve">Professor </w:t>
      </w:r>
      <w:r w:rsidRPr="00B532EE">
        <w:rPr>
          <w:rFonts w:cstheme="minorHAnsi"/>
        </w:rPr>
        <w:t>Pank</w:t>
      </w:r>
      <w:r>
        <w:rPr>
          <w:rFonts w:cstheme="minorHAnsi"/>
        </w:rPr>
        <w:t>aj Sharma</w:t>
      </w:r>
    </w:p>
    <w:p w:rsidR="00B532EE" w:rsidRDefault="00B532EE">
      <w:pPr>
        <w:tabs>
          <w:tab w:val="left" w:pos="2740"/>
        </w:tabs>
        <w:rPr>
          <w:rFonts w:cstheme="minorHAnsi"/>
        </w:rPr>
      </w:pPr>
      <w:r>
        <w:rPr>
          <w:rFonts w:cstheme="minorHAnsi"/>
        </w:rPr>
        <w:t>Institute of Cardiovascular Research Royal Holloway, University of London (ICR2UL)</w:t>
      </w:r>
    </w:p>
    <w:p w:rsidR="00B532EE" w:rsidRDefault="00B532EE">
      <w:pPr>
        <w:tabs>
          <w:tab w:val="left" w:pos="2740"/>
        </w:tabs>
        <w:rPr>
          <w:rFonts w:cstheme="minorHAnsi"/>
        </w:rPr>
      </w:pPr>
      <w:r>
        <w:rPr>
          <w:rFonts w:cstheme="minorHAnsi"/>
        </w:rPr>
        <w:t>Royal Holloway College</w:t>
      </w:r>
    </w:p>
    <w:p w:rsidR="00B532EE" w:rsidRDefault="00B532EE">
      <w:pPr>
        <w:tabs>
          <w:tab w:val="left" w:pos="2740"/>
        </w:tabs>
        <w:rPr>
          <w:rFonts w:cstheme="minorHAnsi"/>
        </w:rPr>
      </w:pPr>
      <w:r>
        <w:rPr>
          <w:rFonts w:cstheme="minorHAnsi"/>
        </w:rPr>
        <w:t>Egham Hill</w:t>
      </w:r>
    </w:p>
    <w:p w:rsidR="00B532EE" w:rsidRDefault="00B532EE">
      <w:pPr>
        <w:tabs>
          <w:tab w:val="left" w:pos="2740"/>
        </w:tabs>
        <w:rPr>
          <w:rFonts w:cstheme="minorHAnsi"/>
        </w:rPr>
      </w:pPr>
      <w:r>
        <w:rPr>
          <w:rFonts w:cstheme="minorHAnsi"/>
        </w:rPr>
        <w:t>London TW20 0EX</w:t>
      </w:r>
    </w:p>
    <w:p w:rsidR="00B532EE" w:rsidRDefault="00B532EE">
      <w:pPr>
        <w:tabs>
          <w:tab w:val="left" w:pos="2740"/>
        </w:tabs>
        <w:rPr>
          <w:rFonts w:eastAsiaTheme="minorEastAsia"/>
          <w:noProof/>
          <w:lang w:eastAsia="en-GB"/>
        </w:rPr>
      </w:pPr>
      <w:r>
        <w:rPr>
          <w:rFonts w:cstheme="minorHAnsi"/>
        </w:rPr>
        <w:t xml:space="preserve">Tel: </w:t>
      </w:r>
      <w:r>
        <w:rPr>
          <w:rFonts w:eastAsiaTheme="minorEastAsia"/>
          <w:noProof/>
          <w:lang w:eastAsia="en-GB"/>
        </w:rPr>
        <w:t>+44 (0) 17 8444 3807</w:t>
      </w:r>
    </w:p>
    <w:p w:rsidR="00B532EE" w:rsidRPr="00B532EE" w:rsidRDefault="00B532EE">
      <w:pPr>
        <w:tabs>
          <w:tab w:val="left" w:pos="2740"/>
        </w:tabs>
        <w:rPr>
          <w:rFonts w:cstheme="minorHAnsi"/>
          <w:i/>
        </w:rPr>
      </w:pPr>
      <w:r w:rsidRPr="00B532EE">
        <w:rPr>
          <w:rFonts w:eastAsiaTheme="minorEastAsia"/>
          <w:i/>
          <w:noProof/>
          <w:lang w:eastAsia="en-GB"/>
        </w:rPr>
        <w:t>No Fax number</w:t>
      </w:r>
    </w:p>
    <w:p w:rsidR="007F2D62" w:rsidRPr="008B2AE7" w:rsidRDefault="004A527C">
      <w:pPr>
        <w:tabs>
          <w:tab w:val="left" w:pos="2740"/>
        </w:tabs>
        <w:rPr>
          <w:rFonts w:cstheme="minorHAnsi"/>
        </w:rPr>
      </w:pPr>
      <w:r w:rsidRPr="008B2AE7">
        <w:rPr>
          <w:rFonts w:cstheme="minorHAnsi"/>
        </w:rPr>
        <w:t xml:space="preserve"> </w:t>
      </w:r>
      <w:hyperlink r:id="rId6" w:history="1">
        <w:r w:rsidRPr="008B2AE7">
          <w:rPr>
            <w:rStyle w:val="Hyperlink"/>
            <w:rFonts w:cstheme="minorHAnsi"/>
          </w:rPr>
          <w:t>pankaj.sharma@rhul.ac.uk</w:t>
        </w:r>
      </w:hyperlink>
    </w:p>
    <w:p w:rsidR="007F2D62" w:rsidRDefault="004A527C">
      <w:pPr>
        <w:tabs>
          <w:tab w:val="left" w:pos="2740"/>
        </w:tabs>
        <w:rPr>
          <w:rFonts w:cstheme="minorHAnsi"/>
        </w:rPr>
      </w:pPr>
      <w:r w:rsidRPr="008B2AE7">
        <w:rPr>
          <w:rFonts w:cstheme="minorHAnsi"/>
          <w:b/>
        </w:rPr>
        <w:t>Keywords:</w:t>
      </w:r>
      <w:r w:rsidRPr="008B2AE7">
        <w:rPr>
          <w:rFonts w:cstheme="minorHAnsi"/>
        </w:rPr>
        <w:t xml:space="preserve"> weight, stroke, thrombolysis, prediction, dosing, rtPA</w:t>
      </w:r>
    </w:p>
    <w:p w:rsidR="00B532EE" w:rsidRPr="008B2AE7" w:rsidRDefault="00B532EE">
      <w:pPr>
        <w:tabs>
          <w:tab w:val="left" w:pos="2740"/>
        </w:tabs>
        <w:rPr>
          <w:rFonts w:cstheme="minorHAnsi"/>
        </w:rPr>
      </w:pPr>
      <w:r w:rsidRPr="00B532EE">
        <w:rPr>
          <w:rFonts w:cstheme="minorHAnsi"/>
          <w:b/>
        </w:rPr>
        <w:t>Cover title:</w:t>
      </w:r>
      <w:r>
        <w:rPr>
          <w:rFonts w:cstheme="minorHAnsi"/>
        </w:rPr>
        <w:t xml:space="preserve"> Estimating thrombolysis dose by weight</w:t>
      </w:r>
    </w:p>
    <w:p w:rsidR="00013625" w:rsidRPr="00013625" w:rsidRDefault="00013625" w:rsidP="001D442E">
      <w:pPr>
        <w:rPr>
          <w:rFonts w:cstheme="minorHAnsi"/>
          <w:b/>
        </w:rPr>
      </w:pPr>
      <w:r w:rsidRPr="00013625">
        <w:rPr>
          <w:rFonts w:cstheme="minorHAnsi"/>
          <w:b/>
        </w:rPr>
        <w:t>COI statement:</w:t>
      </w:r>
    </w:p>
    <w:p w:rsidR="001D442E" w:rsidRDefault="001D442E" w:rsidP="001D442E">
      <w:pPr>
        <w:rPr>
          <w:rFonts w:cstheme="minorHAnsi"/>
        </w:rPr>
      </w:pPr>
      <w:r>
        <w:rPr>
          <w:rFonts w:cstheme="minorHAnsi"/>
        </w:rPr>
        <w:t xml:space="preserve">The </w:t>
      </w:r>
      <w:r w:rsidR="00013625">
        <w:rPr>
          <w:rFonts w:cstheme="minorHAnsi"/>
        </w:rPr>
        <w:t>authors declare not conflict of interest.</w:t>
      </w:r>
    </w:p>
    <w:p w:rsidR="00A24FEB" w:rsidRPr="00A24FEB" w:rsidRDefault="00A24FEB" w:rsidP="001D442E">
      <w:pPr>
        <w:rPr>
          <w:rFonts w:cstheme="minorHAnsi"/>
          <w:b/>
        </w:rPr>
      </w:pPr>
      <w:r w:rsidRPr="00A24FEB">
        <w:rPr>
          <w:rFonts w:cstheme="minorHAnsi"/>
          <w:b/>
        </w:rPr>
        <w:t>Author contribution</w:t>
      </w:r>
    </w:p>
    <w:p w:rsidR="00A24FEB" w:rsidRDefault="00A24FEB" w:rsidP="001D442E">
      <w:pPr>
        <w:rPr>
          <w:rFonts w:cstheme="minorHAnsi"/>
        </w:rPr>
      </w:pPr>
      <w:r>
        <w:rPr>
          <w:rFonts w:cstheme="minorHAnsi"/>
        </w:rPr>
        <w:t>PS devised the idea</w:t>
      </w:r>
      <w:r w:rsidR="00C53983">
        <w:rPr>
          <w:rFonts w:cstheme="minorHAnsi"/>
        </w:rPr>
        <w:t xml:space="preserve"> and supervised the project</w:t>
      </w:r>
      <w:r>
        <w:rPr>
          <w:rFonts w:cstheme="minorHAnsi"/>
        </w:rPr>
        <w:t>. TB undertook the data collection. MSK undertook the analysis. PB &amp; OH advised and supervised on the clinical aspects. All authors contributed to the final version of the manuscript.</w:t>
      </w:r>
    </w:p>
    <w:p w:rsidR="00C44EFE" w:rsidRPr="00C44EFE" w:rsidRDefault="00C44EFE">
      <w:pPr>
        <w:rPr>
          <w:rFonts w:cstheme="minorHAnsi"/>
          <w:b/>
        </w:rPr>
      </w:pPr>
      <w:r w:rsidRPr="00C44EFE">
        <w:rPr>
          <w:rFonts w:cstheme="minorHAnsi"/>
          <w:b/>
        </w:rPr>
        <w:t>Acknowledgement:</w:t>
      </w:r>
    </w:p>
    <w:p w:rsidR="00C44EFE" w:rsidRDefault="00C44EFE">
      <w:pPr>
        <w:rPr>
          <w:rFonts w:cstheme="minorHAnsi"/>
        </w:rPr>
      </w:pPr>
      <w:r>
        <w:rPr>
          <w:rFonts w:cstheme="minorHAnsi"/>
        </w:rPr>
        <w:t>PS is a former</w:t>
      </w:r>
      <w:r w:rsidR="00F837FE">
        <w:rPr>
          <w:rFonts w:cstheme="minorHAnsi"/>
        </w:rPr>
        <w:t xml:space="preserve"> </w:t>
      </w:r>
      <w:r>
        <w:rPr>
          <w:rFonts w:cstheme="minorHAnsi"/>
        </w:rPr>
        <w:t>UK Dept of Health Senior Fellow.</w:t>
      </w:r>
    </w:p>
    <w:p w:rsidR="00955A42" w:rsidRPr="00955A42" w:rsidRDefault="00955A42">
      <w:pPr>
        <w:rPr>
          <w:rFonts w:cstheme="minorHAnsi"/>
          <w:b/>
        </w:rPr>
      </w:pPr>
      <w:r w:rsidRPr="00955A42">
        <w:rPr>
          <w:rFonts w:cstheme="minorHAnsi"/>
          <w:b/>
        </w:rPr>
        <w:t xml:space="preserve">Word Count: </w:t>
      </w:r>
      <w:r>
        <w:rPr>
          <w:rFonts w:cstheme="minorHAnsi"/>
          <w:b/>
        </w:rPr>
        <w:t>2</w:t>
      </w:r>
      <w:r w:rsidR="00BD5056">
        <w:rPr>
          <w:rFonts w:cstheme="minorHAnsi"/>
          <w:b/>
        </w:rPr>
        <w:t>1</w:t>
      </w:r>
      <w:r w:rsidR="001166AE">
        <w:rPr>
          <w:rFonts w:cstheme="minorHAnsi"/>
          <w:b/>
        </w:rPr>
        <w:t>56</w:t>
      </w:r>
    </w:p>
    <w:p w:rsidR="00F837FE" w:rsidRDefault="00F837FE">
      <w:pPr>
        <w:rPr>
          <w:rFonts w:cstheme="minorHAnsi"/>
        </w:rPr>
      </w:pPr>
      <w:r>
        <w:rPr>
          <w:rFonts w:cstheme="minorHAnsi"/>
        </w:rPr>
        <w:br w:type="page"/>
      </w:r>
    </w:p>
    <w:p w:rsidR="007F2D62" w:rsidRPr="008B2AE7" w:rsidRDefault="004A527C">
      <w:pPr>
        <w:spacing w:after="0" w:line="360" w:lineRule="auto"/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lastRenderedPageBreak/>
        <w:t>Abstract</w:t>
      </w:r>
    </w:p>
    <w:p w:rsidR="007F2D62" w:rsidRPr="008B2AE7" w:rsidRDefault="007F2D62">
      <w:pPr>
        <w:spacing w:after="0" w:line="360" w:lineRule="auto"/>
        <w:jc w:val="both"/>
        <w:rPr>
          <w:rFonts w:cstheme="minorHAnsi"/>
          <w:b/>
        </w:rPr>
      </w:pPr>
    </w:p>
    <w:p w:rsidR="007F2D62" w:rsidRPr="008B2AE7" w:rsidRDefault="004A44D7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Background and Purpose</w:t>
      </w:r>
    </w:p>
    <w:p w:rsidR="007F2D62" w:rsidRPr="008B2AE7" w:rsidRDefault="004A527C">
      <w:pPr>
        <w:spacing w:after="0" w:line="36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Estimating patient weight forms an important part of emergency ischaemic stroke management guiding the dose of </w:t>
      </w:r>
      <w:r w:rsidR="0079150F">
        <w:rPr>
          <w:rFonts w:cstheme="minorHAnsi"/>
        </w:rPr>
        <w:t>alteplase</w:t>
      </w:r>
      <w:r w:rsidRPr="008B2AE7">
        <w:rPr>
          <w:rFonts w:cstheme="minorHAnsi"/>
        </w:rPr>
        <w:t xml:space="preserve"> (rtPA). Weighing stroke patients can be logistically challenging and time consuming potentially delaying treatment times. </w:t>
      </w:r>
      <w:r w:rsidR="00F837FE">
        <w:rPr>
          <w:rFonts w:cstheme="minorHAnsi"/>
        </w:rPr>
        <w:t>We</w:t>
      </w:r>
      <w:r w:rsidRPr="008B2AE7">
        <w:rPr>
          <w:rFonts w:cstheme="minorHAnsi"/>
        </w:rPr>
        <w:t xml:space="preserve"> aimed to assess the reliability of approximating weight to determine rtPA dose and whether potential inaccurate dosing affected patient outcomes.</w:t>
      </w:r>
    </w:p>
    <w:p w:rsidR="007F2D62" w:rsidRPr="008B2AE7" w:rsidRDefault="007F2D62">
      <w:pPr>
        <w:spacing w:after="0" w:line="360" w:lineRule="auto"/>
        <w:jc w:val="both"/>
        <w:rPr>
          <w:rFonts w:cstheme="minorHAnsi"/>
        </w:rPr>
      </w:pPr>
    </w:p>
    <w:p w:rsidR="007F2D62" w:rsidRPr="008B2AE7" w:rsidRDefault="004A527C">
      <w:pPr>
        <w:spacing w:after="0" w:line="360" w:lineRule="auto"/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t>Methods</w:t>
      </w:r>
    </w:p>
    <w:p w:rsidR="007F2D62" w:rsidRPr="008B2AE7" w:rsidRDefault="004A527C">
      <w:pPr>
        <w:spacing w:after="0" w:line="360" w:lineRule="auto"/>
        <w:jc w:val="both"/>
        <w:rPr>
          <w:rFonts w:cstheme="minorHAnsi"/>
          <w:b/>
        </w:rPr>
      </w:pPr>
      <w:r w:rsidRPr="008B2AE7">
        <w:rPr>
          <w:rFonts w:cstheme="minorHAnsi"/>
        </w:rPr>
        <w:t xml:space="preserve">242 consecutive patients were studied at a </w:t>
      </w:r>
      <w:r w:rsidR="0079150F">
        <w:rPr>
          <w:rFonts w:cstheme="minorHAnsi"/>
        </w:rPr>
        <w:t xml:space="preserve">large tertiary </w:t>
      </w:r>
      <w:r w:rsidRPr="008B2AE7">
        <w:rPr>
          <w:rFonts w:cstheme="minorHAnsi"/>
        </w:rPr>
        <w:t>stroke centre. Estimated and actual measured weight, alteplase dose and pre and post mRS/NIHSS outcome were recorded for each patient.</w:t>
      </w:r>
      <w:r w:rsidRPr="008B2AE7">
        <w:rPr>
          <w:rFonts w:cstheme="minorHAnsi"/>
          <w:b/>
        </w:rPr>
        <w:t xml:space="preserve">  </w:t>
      </w:r>
    </w:p>
    <w:p w:rsidR="007F2D62" w:rsidRPr="008B2AE7" w:rsidRDefault="007F2D62">
      <w:pPr>
        <w:spacing w:after="0" w:line="360" w:lineRule="auto"/>
        <w:jc w:val="both"/>
        <w:rPr>
          <w:rFonts w:cstheme="minorHAnsi"/>
          <w:b/>
        </w:rPr>
      </w:pPr>
    </w:p>
    <w:p w:rsidR="007F2D62" w:rsidRPr="008B2AE7" w:rsidRDefault="004A527C">
      <w:pPr>
        <w:spacing w:after="0" w:line="360" w:lineRule="auto"/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t>Results</w:t>
      </w:r>
    </w:p>
    <w:p w:rsidR="007F2D62" w:rsidRPr="008B2AE7" w:rsidRDefault="004A527C">
      <w:pPr>
        <w:spacing w:after="0" w:line="36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Clinicians significantly under estimated weights by 1.13kg (range -43 – </w:t>
      </w:r>
      <w:r w:rsidR="0031119A" w:rsidRPr="008B2AE7">
        <w:rPr>
          <w:rFonts w:cstheme="minorHAnsi"/>
        </w:rPr>
        <w:t>+18kg</w:t>
      </w:r>
      <w:r w:rsidRPr="008B2AE7">
        <w:rPr>
          <w:rFonts w:cstheme="minorHAnsi"/>
        </w:rPr>
        <w:t>, SD 7.14, p&lt;0.05). The difference between estimated and actual weight proved to be greatest in th</w:t>
      </w:r>
      <w:r w:rsidR="00EE53C5" w:rsidRPr="008B2AE7">
        <w:rPr>
          <w:rFonts w:cstheme="minorHAnsi"/>
        </w:rPr>
        <w:t>e heaviest third of patients (-</w:t>
      </w:r>
      <w:r w:rsidRPr="008B2AE7">
        <w:rPr>
          <w:rFonts w:cstheme="minorHAnsi"/>
        </w:rPr>
        <w:t xml:space="preserve">4.51kg, SD 8.35, p&lt;0.001) resulting in 19.7% of patients receiving a deviation of at least 10% from the </w:t>
      </w:r>
      <w:r w:rsidR="008329B7">
        <w:rPr>
          <w:rFonts w:cstheme="minorHAnsi"/>
        </w:rPr>
        <w:t>recommended</w:t>
      </w:r>
      <w:r w:rsidR="008329B7" w:rsidRPr="008B2AE7">
        <w:rPr>
          <w:rFonts w:cstheme="minorHAnsi"/>
        </w:rPr>
        <w:t xml:space="preserve"> </w:t>
      </w:r>
      <w:r w:rsidRPr="008B2AE7">
        <w:rPr>
          <w:rFonts w:cstheme="minorHAnsi"/>
        </w:rPr>
        <w:t>rtPA dose. On average, the heaviest third of patients received an under-dose of 0.04mg/kg</w:t>
      </w:r>
      <w:r w:rsidR="00EE53C5" w:rsidRPr="008B2AE7">
        <w:rPr>
          <w:rFonts w:cstheme="minorHAnsi"/>
        </w:rPr>
        <w:t xml:space="preserve"> and were found to have a greater baseline NIHSS on admission (p&lt;0.001)</w:t>
      </w:r>
      <w:r w:rsidRPr="008B2AE7">
        <w:rPr>
          <w:rFonts w:cstheme="minorHAnsi"/>
        </w:rPr>
        <w:t>. NIHSS improvement by day seven or upon discharge was significantly reduced in patients weighing &gt;78kg (NIHSS score difference of 4.0 points, p&lt;0.05)</w:t>
      </w:r>
      <w:r w:rsidR="00EE53C5" w:rsidRPr="008B2AE7">
        <w:rPr>
          <w:rFonts w:cstheme="minorHAnsi"/>
        </w:rPr>
        <w:t xml:space="preserve"> when compared to lighter individuals</w:t>
      </w:r>
      <w:r w:rsidRPr="008B2AE7">
        <w:rPr>
          <w:rFonts w:cstheme="minorHAnsi"/>
        </w:rPr>
        <w:t xml:space="preserve">. </w:t>
      </w:r>
    </w:p>
    <w:p w:rsidR="007F2D62" w:rsidRPr="008B2AE7" w:rsidRDefault="007F2D62">
      <w:pPr>
        <w:spacing w:after="0" w:line="360" w:lineRule="auto"/>
        <w:jc w:val="both"/>
        <w:rPr>
          <w:rFonts w:cstheme="minorHAnsi"/>
          <w:b/>
        </w:rPr>
      </w:pPr>
    </w:p>
    <w:p w:rsidR="007F2D62" w:rsidRPr="008B2AE7" w:rsidRDefault="004A527C">
      <w:pPr>
        <w:spacing w:after="0" w:line="360" w:lineRule="auto"/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t>Conclusions</w:t>
      </w:r>
    </w:p>
    <w:p w:rsidR="007F2D62" w:rsidRPr="008B2AE7" w:rsidRDefault="004A527C">
      <w:pPr>
        <w:spacing w:after="0" w:line="36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Clinicians are poor at approximating the weights of stroke patients in the acute setting, especially when patients lie at the extremes of weight. Beds </w:t>
      </w:r>
      <w:r w:rsidRPr="008B2AE7">
        <w:rPr>
          <w:rFonts w:eastAsia="MS Mincho" w:cstheme="minorHAnsi"/>
          <w:lang w:val="en-US"/>
        </w:rPr>
        <w:t>capable of weighing patients should be mandated in emergency rooms for acute stroke patients.</w:t>
      </w:r>
    </w:p>
    <w:p w:rsidR="007F2D62" w:rsidRPr="008B2AE7" w:rsidRDefault="007F2D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</w:p>
    <w:p w:rsidR="007F2D62" w:rsidRPr="008B2AE7" w:rsidRDefault="004A527C">
      <w:pPr>
        <w:jc w:val="both"/>
        <w:rPr>
          <w:rFonts w:eastAsiaTheme="majorEastAsia" w:cstheme="minorHAnsi"/>
          <w:b/>
          <w:bCs/>
          <w:color w:val="4F81BD"/>
        </w:rPr>
      </w:pPr>
      <w:r w:rsidRPr="008B2AE7">
        <w:rPr>
          <w:rFonts w:cstheme="minorHAnsi"/>
        </w:rPr>
        <w:br w:type="page"/>
      </w:r>
    </w:p>
    <w:p w:rsidR="007F2D62" w:rsidRPr="008B2AE7" w:rsidRDefault="004A527C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AE7">
        <w:rPr>
          <w:rFonts w:asciiTheme="minorHAnsi" w:hAnsiTheme="minorHAnsi" w:cstheme="minorHAnsi"/>
          <w:color w:val="auto"/>
          <w:sz w:val="22"/>
          <w:szCs w:val="22"/>
        </w:rPr>
        <w:lastRenderedPageBreak/>
        <w:t>Introduction</w:t>
      </w:r>
    </w:p>
    <w:p w:rsidR="007F2D62" w:rsidRPr="008B2AE7" w:rsidRDefault="007F2D62">
      <w:pPr>
        <w:jc w:val="both"/>
        <w:rPr>
          <w:rFonts w:cstheme="minorHAnsi"/>
        </w:rPr>
      </w:pPr>
    </w:p>
    <w:p w:rsidR="007F2D62" w:rsidRPr="008B2AE7" w:rsidRDefault="0079150F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>Alteplase</w:t>
      </w:r>
      <w:r w:rsidR="004A527C" w:rsidRPr="008B2AE7">
        <w:rPr>
          <w:rFonts w:cstheme="minorHAnsi"/>
        </w:rPr>
        <w:t xml:space="preserve"> (rtPA) has a narrow therapeutic window of 4.5 h</w:t>
      </w:r>
      <w:r w:rsidR="00A55E95">
        <w:rPr>
          <w:rFonts w:cstheme="minorHAnsi"/>
        </w:rPr>
        <w:t>ours following symptom onset</w:t>
      </w:r>
      <w:r w:rsidR="004A527C" w:rsidRPr="008B2AE7">
        <w:rPr>
          <w:rFonts w:cstheme="minorHAnsi"/>
        </w:rPr>
        <w:t xml:space="preserve"> with fewer symptomatic intra-cerebral haemorrhages (ICH) and reduced mortality the sooner it is </w:t>
      </w:r>
      <w:r w:rsidR="00A55E95">
        <w:rPr>
          <w:rFonts w:cstheme="minorHAnsi"/>
        </w:rPr>
        <w:t>administered</w:t>
      </w:r>
      <w:r w:rsidR="004A527C" w:rsidRPr="008B2AE7">
        <w:rPr>
          <w:rFonts w:cstheme="minorHAnsi"/>
        </w:rPr>
        <w:t xml:space="preserve">. The </w:t>
      </w:r>
      <w:r w:rsidR="008329B7">
        <w:rPr>
          <w:rFonts w:cstheme="minorHAnsi"/>
        </w:rPr>
        <w:t>recommended</w:t>
      </w:r>
      <w:r w:rsidR="008329B7" w:rsidRPr="008B2AE7">
        <w:rPr>
          <w:rFonts w:cstheme="minorHAnsi"/>
        </w:rPr>
        <w:t xml:space="preserve"> </w:t>
      </w:r>
      <w:r w:rsidR="004A527C" w:rsidRPr="008B2AE7">
        <w:rPr>
          <w:rFonts w:cstheme="minorHAnsi"/>
        </w:rPr>
        <w:t xml:space="preserve">dose of 0.9mg/kg </w:t>
      </w:r>
      <w:r w:rsidR="00985343">
        <w:rPr>
          <w:rFonts w:cstheme="minorHAnsi"/>
        </w:rPr>
        <w:t xml:space="preserve">is </w:t>
      </w:r>
      <w:r w:rsidR="004A527C" w:rsidRPr="008B2AE7">
        <w:rPr>
          <w:rFonts w:cstheme="minorHAnsi"/>
        </w:rPr>
        <w:t xml:space="preserve">limited to a maximum dose of 90mg in patients weighing ≥100kg. </w:t>
      </w:r>
      <w:r w:rsidR="00985343">
        <w:rPr>
          <w:rFonts w:cstheme="minorHAnsi"/>
        </w:rPr>
        <w:t>With necessity</w:t>
      </w:r>
      <w:r w:rsidR="004A527C" w:rsidRPr="008B2AE7">
        <w:rPr>
          <w:rFonts w:cstheme="minorHAnsi"/>
        </w:rPr>
        <w:t xml:space="preserve"> of time </w:t>
      </w:r>
      <w:r w:rsidR="007D28D5">
        <w:rPr>
          <w:rFonts w:cstheme="minorHAnsi"/>
        </w:rPr>
        <w:t xml:space="preserve">when dealing with acute stroke patients </w:t>
      </w:r>
      <w:r w:rsidR="004A527C" w:rsidRPr="008B2AE7">
        <w:rPr>
          <w:rFonts w:cstheme="minorHAnsi"/>
        </w:rPr>
        <w:t xml:space="preserve">and </w:t>
      </w:r>
      <w:r w:rsidR="00985343">
        <w:rPr>
          <w:rFonts w:cstheme="minorHAnsi"/>
        </w:rPr>
        <w:t>logistics</w:t>
      </w:r>
      <w:r w:rsidR="007D28D5">
        <w:rPr>
          <w:rFonts w:cstheme="minorHAnsi"/>
        </w:rPr>
        <w:t xml:space="preserve"> in the emergency room department</w:t>
      </w:r>
      <w:r w:rsidR="004A527C" w:rsidRPr="008B2AE7">
        <w:rPr>
          <w:rFonts w:cstheme="minorHAnsi"/>
        </w:rPr>
        <w:t xml:space="preserve"> clinicians commonly estimate patients' </w:t>
      </w:r>
      <w:r w:rsidR="00985343">
        <w:rPr>
          <w:rFonts w:cstheme="minorHAnsi"/>
        </w:rPr>
        <w:t>weight to determine rtPA dose</w:t>
      </w:r>
      <w:r w:rsidR="004A527C" w:rsidRPr="008B2AE7">
        <w:rPr>
          <w:rFonts w:cstheme="minorHAnsi"/>
        </w:rPr>
        <w:t xml:space="preserve">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>We aimed to compare the reliability of estimating the weight of stroke patients in a</w:t>
      </w:r>
      <w:r w:rsidR="008329B7">
        <w:rPr>
          <w:rFonts w:cstheme="minorHAnsi"/>
        </w:rPr>
        <w:t xml:space="preserve">n </w:t>
      </w:r>
      <w:r w:rsidRPr="008B2AE7">
        <w:rPr>
          <w:rFonts w:cstheme="minorHAnsi"/>
        </w:rPr>
        <w:t xml:space="preserve">acute setting with </w:t>
      </w:r>
      <w:r w:rsidR="00DC2706">
        <w:rPr>
          <w:rFonts w:cstheme="minorHAnsi"/>
        </w:rPr>
        <w:t xml:space="preserve">actual </w:t>
      </w:r>
      <w:r w:rsidRPr="008B2AE7">
        <w:rPr>
          <w:rFonts w:cstheme="minorHAnsi"/>
        </w:rPr>
        <w:t xml:space="preserve">measured weight 24 hours later. We </w:t>
      </w:r>
      <w:r w:rsidR="00985343">
        <w:rPr>
          <w:rFonts w:cstheme="minorHAnsi"/>
        </w:rPr>
        <w:t>calculated</w:t>
      </w:r>
      <w:r w:rsidRPr="008B2AE7">
        <w:rPr>
          <w:rFonts w:cstheme="minorHAnsi"/>
        </w:rPr>
        <w:t xml:space="preserve"> the difference in administered rtPA dose as a consequence of the difference in estimated and actual weight. Finally, we determine</w:t>
      </w:r>
      <w:r w:rsidR="00985343">
        <w:rPr>
          <w:rFonts w:cstheme="minorHAnsi"/>
        </w:rPr>
        <w:t>d</w:t>
      </w:r>
      <w:r w:rsidRPr="008B2AE7">
        <w:rPr>
          <w:rFonts w:cstheme="minorHAnsi"/>
        </w:rPr>
        <w:t xml:space="preserve"> if identified dosing errors </w:t>
      </w:r>
      <w:r w:rsidR="00985343">
        <w:rPr>
          <w:rFonts w:cstheme="minorHAnsi"/>
        </w:rPr>
        <w:t>caused</w:t>
      </w:r>
      <w:r w:rsidRPr="008B2AE7">
        <w:rPr>
          <w:rFonts w:cstheme="minorHAnsi"/>
        </w:rPr>
        <w:t xml:space="preserve"> difference</w:t>
      </w:r>
      <w:r w:rsidR="00985343">
        <w:rPr>
          <w:rFonts w:cstheme="minorHAnsi"/>
        </w:rPr>
        <w:t>s</w:t>
      </w:r>
      <w:r w:rsidRPr="008B2AE7">
        <w:rPr>
          <w:rFonts w:cstheme="minorHAnsi"/>
        </w:rPr>
        <w:t xml:space="preserve"> in clinical outcome. This is the largest such stud</w:t>
      </w:r>
      <w:r w:rsidR="0064187B">
        <w:rPr>
          <w:rFonts w:cstheme="minorHAnsi"/>
        </w:rPr>
        <w:t>y</w:t>
      </w:r>
      <w:r w:rsidRPr="008B2AE7">
        <w:rPr>
          <w:rFonts w:cstheme="minorHAnsi"/>
        </w:rPr>
        <w:t xml:space="preserve"> conducted to-date and the only study to analyse both mRS (modified Rankin Scale) and NIHSS (National Institute of Health Stroke Scale) outcome measures.</w:t>
      </w:r>
    </w:p>
    <w:p w:rsidR="007F2D62" w:rsidRPr="008B2AE7" w:rsidRDefault="004A527C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2AE7">
        <w:rPr>
          <w:rFonts w:asciiTheme="minorHAnsi" w:hAnsiTheme="minorHAnsi" w:cstheme="minorHAnsi"/>
          <w:color w:val="auto"/>
          <w:sz w:val="22"/>
          <w:szCs w:val="22"/>
        </w:rPr>
        <w:t>Methods</w:t>
      </w:r>
    </w:p>
    <w:p w:rsidR="007F2D62" w:rsidRPr="008B2AE7" w:rsidRDefault="007F2D62">
      <w:pPr>
        <w:jc w:val="both"/>
        <w:rPr>
          <w:rFonts w:cstheme="minorHAnsi"/>
        </w:rPr>
      </w:pPr>
    </w:p>
    <w:p w:rsidR="007F2D62" w:rsidRPr="008B2AE7" w:rsidRDefault="004A527C">
      <w:pPr>
        <w:jc w:val="both"/>
        <w:rPr>
          <w:b/>
        </w:rPr>
      </w:pPr>
      <w:r w:rsidRPr="008B2AE7">
        <w:rPr>
          <w:b/>
        </w:rPr>
        <w:t>Data extraction</w:t>
      </w:r>
    </w:p>
    <w:p w:rsidR="00BD5056" w:rsidRPr="00BD5056" w:rsidRDefault="008B2AE7" w:rsidP="00BD5056">
      <w:pPr>
        <w:spacing w:after="0" w:line="480" w:lineRule="auto"/>
        <w:jc w:val="both"/>
        <w:rPr>
          <w:rFonts w:cstheme="minorHAnsi"/>
          <w:u w:val="single"/>
        </w:rPr>
      </w:pPr>
      <w:r w:rsidRPr="008B2AE7">
        <w:rPr>
          <w:rFonts w:cstheme="minorHAnsi"/>
        </w:rPr>
        <w:t xml:space="preserve">Data from </w:t>
      </w:r>
      <w:r w:rsidR="004A527C" w:rsidRPr="008B2AE7">
        <w:rPr>
          <w:rFonts w:cstheme="minorHAnsi"/>
        </w:rPr>
        <w:t>242 stroke patients from a</w:t>
      </w:r>
      <w:r w:rsidR="00EB6CD0">
        <w:rPr>
          <w:rFonts w:cstheme="minorHAnsi"/>
        </w:rPr>
        <w:t xml:space="preserve"> tertiary London stroke </w:t>
      </w:r>
      <w:r w:rsidR="0013084C">
        <w:rPr>
          <w:rFonts w:cstheme="minorHAnsi"/>
        </w:rPr>
        <w:t>centre (Imperial College London, Hammersmith Hospitals, Charing Cross Hospital and St Mary’s Hospital)</w:t>
      </w:r>
      <w:r w:rsidR="0013084C" w:rsidRPr="008B2AE7">
        <w:rPr>
          <w:rFonts w:cstheme="minorHAnsi"/>
        </w:rPr>
        <w:t xml:space="preserve"> </w:t>
      </w:r>
      <w:r w:rsidR="004A527C" w:rsidRPr="008B2AE7">
        <w:rPr>
          <w:rFonts w:cstheme="minorHAnsi"/>
        </w:rPr>
        <w:t xml:space="preserve">were analysed. </w:t>
      </w:r>
      <w:r w:rsidR="00CB5791">
        <w:rPr>
          <w:rFonts w:cstheme="minorHAnsi"/>
        </w:rPr>
        <w:t>Stroke specialist nurses and attending physicians</w:t>
      </w:r>
      <w:r w:rsidR="004A527C" w:rsidRPr="008B2AE7">
        <w:rPr>
          <w:rFonts w:cstheme="minorHAnsi"/>
        </w:rPr>
        <w:t xml:space="preserve"> estimated weight on acute presentation </w:t>
      </w:r>
      <w:r w:rsidR="00EB6CD0">
        <w:rPr>
          <w:rFonts w:cstheme="minorHAnsi"/>
        </w:rPr>
        <w:t>which</w:t>
      </w:r>
      <w:r w:rsidR="004A527C" w:rsidRPr="008B2AE7">
        <w:rPr>
          <w:rFonts w:cstheme="minorHAnsi"/>
        </w:rPr>
        <w:t xml:space="preserve"> determine</w:t>
      </w:r>
      <w:r w:rsidR="00EB6CD0">
        <w:rPr>
          <w:rFonts w:cstheme="minorHAnsi"/>
        </w:rPr>
        <w:t>d</w:t>
      </w:r>
      <w:r w:rsidR="004A527C" w:rsidRPr="008B2AE7">
        <w:rPr>
          <w:rFonts w:cstheme="minorHAnsi"/>
        </w:rPr>
        <w:t xml:space="preserve"> rtPA dose. The following day</w:t>
      </w:r>
      <w:r w:rsidR="00BD5056">
        <w:rPr>
          <w:rFonts w:cstheme="minorHAnsi"/>
        </w:rPr>
        <w:t>,</w:t>
      </w:r>
      <w:r w:rsidR="004A527C" w:rsidRPr="008B2AE7">
        <w:rPr>
          <w:rFonts w:cstheme="minorHAnsi"/>
        </w:rPr>
        <w:t xml:space="preserve"> </w:t>
      </w:r>
      <w:r w:rsidR="00BD5056">
        <w:rPr>
          <w:rFonts w:cstheme="minorHAnsi"/>
        </w:rPr>
        <w:t xml:space="preserve">the </w:t>
      </w:r>
      <w:r w:rsidR="004A527C" w:rsidRPr="008B2AE7">
        <w:rPr>
          <w:rFonts w:cstheme="minorHAnsi"/>
        </w:rPr>
        <w:t xml:space="preserve">weight of patients was </w:t>
      </w:r>
      <w:r w:rsidR="00BD5056" w:rsidRPr="008B2AE7">
        <w:rPr>
          <w:rFonts w:cstheme="minorHAnsi"/>
        </w:rPr>
        <w:t>formal</w:t>
      </w:r>
      <w:r w:rsidR="00BD5056">
        <w:rPr>
          <w:rFonts w:cstheme="minorHAnsi"/>
        </w:rPr>
        <w:t>ly</w:t>
      </w:r>
      <w:r w:rsidR="00BD5056" w:rsidRPr="008B2AE7">
        <w:rPr>
          <w:rFonts w:cstheme="minorHAnsi"/>
        </w:rPr>
        <w:t xml:space="preserve"> </w:t>
      </w:r>
      <w:r w:rsidR="004A527C" w:rsidRPr="008B2AE7">
        <w:rPr>
          <w:rFonts w:cstheme="minorHAnsi"/>
        </w:rPr>
        <w:t xml:space="preserve">measured using clinical ward scales and a weight estimation error calculated. Difference in alteplase dose (mg) </w:t>
      </w:r>
      <w:r w:rsidR="00EB6CD0">
        <w:rPr>
          <w:rFonts w:cstheme="minorHAnsi"/>
        </w:rPr>
        <w:t>between</w:t>
      </w:r>
      <w:r w:rsidR="004A527C" w:rsidRPr="008B2AE7">
        <w:rPr>
          <w:rFonts w:cstheme="minorHAnsi"/>
        </w:rPr>
        <w:t xml:space="preserve"> estimated weight </w:t>
      </w:r>
      <w:r w:rsidR="00EB6CD0">
        <w:rPr>
          <w:rFonts w:cstheme="minorHAnsi"/>
        </w:rPr>
        <w:t>and</w:t>
      </w:r>
      <w:r w:rsidR="004A527C" w:rsidRPr="008B2AE7">
        <w:rPr>
          <w:rFonts w:cstheme="minorHAnsi"/>
        </w:rPr>
        <w:t xml:space="preserve"> actual weight was calculated using the accepted dose of 0.9mg/kg. Outcome measures recorded </w:t>
      </w:r>
      <w:r w:rsidR="008D55B2">
        <w:rPr>
          <w:rFonts w:cstheme="minorHAnsi"/>
        </w:rPr>
        <w:t>were</w:t>
      </w:r>
      <w:r w:rsidR="004A527C" w:rsidRPr="008B2AE7">
        <w:rPr>
          <w:rFonts w:cstheme="minorHAnsi"/>
        </w:rPr>
        <w:t xml:space="preserve"> NIHSS </w:t>
      </w:r>
      <w:r w:rsidR="008D55B2">
        <w:rPr>
          <w:rFonts w:cstheme="minorHAnsi"/>
        </w:rPr>
        <w:t>(</w:t>
      </w:r>
      <w:r w:rsidR="004A527C" w:rsidRPr="008B2AE7">
        <w:rPr>
          <w:rFonts w:cstheme="minorHAnsi"/>
        </w:rPr>
        <w:t xml:space="preserve">recorded pre-rtPA administration and 2, 24 and 72 hours </w:t>
      </w:r>
      <w:r w:rsidR="008D55B2">
        <w:rPr>
          <w:rFonts w:cstheme="minorHAnsi"/>
        </w:rPr>
        <w:t>and</w:t>
      </w:r>
      <w:r w:rsidRPr="008B2AE7">
        <w:rPr>
          <w:rFonts w:cstheme="minorHAnsi"/>
        </w:rPr>
        <w:t xml:space="preserve"> at 7 days or upon discharge</w:t>
      </w:r>
      <w:r w:rsidR="008D55B2">
        <w:rPr>
          <w:rFonts w:cstheme="minorHAnsi"/>
        </w:rPr>
        <w:t>) and</w:t>
      </w:r>
      <w:r w:rsidR="004A527C" w:rsidRPr="008B2AE7">
        <w:rPr>
          <w:rFonts w:cstheme="minorHAnsi"/>
        </w:rPr>
        <w:t xml:space="preserve"> mRS score </w:t>
      </w:r>
      <w:r w:rsidR="008D55B2">
        <w:rPr>
          <w:rFonts w:cstheme="minorHAnsi"/>
        </w:rPr>
        <w:t>(</w:t>
      </w:r>
      <w:r w:rsidR="004A527C" w:rsidRPr="008B2AE7">
        <w:rPr>
          <w:rFonts w:cstheme="minorHAnsi"/>
        </w:rPr>
        <w:t>recorded pre-morbidly and 7 days/discharge</w:t>
      </w:r>
      <w:r w:rsidR="008D55B2">
        <w:rPr>
          <w:rFonts w:cstheme="minorHAnsi"/>
        </w:rPr>
        <w:t>)</w:t>
      </w:r>
      <w:r w:rsidR="004A527C" w:rsidRPr="008B2AE7">
        <w:rPr>
          <w:rFonts w:cstheme="minorHAnsi"/>
        </w:rPr>
        <w:t>. Improvement was calculated by subtracting score</w:t>
      </w:r>
      <w:r w:rsidR="008D55B2">
        <w:rPr>
          <w:rFonts w:cstheme="minorHAnsi"/>
        </w:rPr>
        <w:t>s</w:t>
      </w:r>
      <w:r w:rsidR="004A527C" w:rsidRPr="008B2AE7">
        <w:rPr>
          <w:rFonts w:cstheme="minorHAnsi"/>
        </w:rPr>
        <w:t xml:space="preserve"> at 7 days/discharge from admission</w:t>
      </w:r>
      <w:r w:rsidR="008D55B2" w:rsidRPr="008D55B2">
        <w:rPr>
          <w:rFonts w:cstheme="minorHAnsi"/>
        </w:rPr>
        <w:t xml:space="preserve"> </w:t>
      </w:r>
      <w:r w:rsidR="008D55B2" w:rsidRPr="008B2AE7">
        <w:rPr>
          <w:rFonts w:cstheme="minorHAnsi"/>
        </w:rPr>
        <w:t>score</w:t>
      </w:r>
      <w:r w:rsidR="008D55B2">
        <w:rPr>
          <w:rFonts w:cstheme="minorHAnsi"/>
        </w:rPr>
        <w:t>s</w:t>
      </w:r>
      <w:r w:rsidR="004A527C" w:rsidRPr="008B2AE7">
        <w:rPr>
          <w:rFonts w:cstheme="minorHAnsi"/>
        </w:rPr>
        <w:t>.</w:t>
      </w:r>
      <w:r w:rsidR="00BD5056">
        <w:rPr>
          <w:b/>
        </w:rPr>
        <w:br w:type="page"/>
      </w:r>
    </w:p>
    <w:p w:rsidR="007F2D62" w:rsidRPr="008B2AE7" w:rsidRDefault="004A527C">
      <w:pPr>
        <w:jc w:val="both"/>
        <w:rPr>
          <w:b/>
        </w:rPr>
      </w:pPr>
      <w:r w:rsidRPr="008B2AE7">
        <w:rPr>
          <w:b/>
        </w:rPr>
        <w:lastRenderedPageBreak/>
        <w:t>Statistical analyses</w:t>
      </w:r>
    </w:p>
    <w:p w:rsidR="007F2D62" w:rsidRDefault="008D55B2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="004A527C" w:rsidRPr="008B2AE7">
        <w:rPr>
          <w:rFonts w:cstheme="minorHAnsi"/>
        </w:rPr>
        <w:t xml:space="preserve">ata was </w:t>
      </w:r>
      <w:r w:rsidRPr="008B2AE7">
        <w:rPr>
          <w:rFonts w:cstheme="minorHAnsi"/>
        </w:rPr>
        <w:t>analys</w:t>
      </w:r>
      <w:r w:rsidR="00BD5056">
        <w:rPr>
          <w:rFonts w:cstheme="minorHAnsi"/>
        </w:rPr>
        <w:t>ed</w:t>
      </w:r>
      <w:r w:rsidRPr="008B2AE7">
        <w:rPr>
          <w:rFonts w:cstheme="minorHAnsi"/>
        </w:rPr>
        <w:t xml:space="preserve"> </w:t>
      </w:r>
      <w:r w:rsidR="004A527C" w:rsidRPr="008B2AE7">
        <w:rPr>
          <w:rFonts w:cstheme="minorHAnsi"/>
        </w:rPr>
        <w:t xml:space="preserve">using SPSS </w:t>
      </w:r>
      <w:r w:rsidR="004A527C" w:rsidRPr="008B2AE7">
        <w:rPr>
          <w:rFonts w:cstheme="minorHAnsi"/>
          <w:i/>
        </w:rPr>
        <w:t>v</w:t>
      </w:r>
      <w:r w:rsidR="004A527C" w:rsidRPr="008B2AE7">
        <w:rPr>
          <w:rFonts w:cstheme="minorHAnsi"/>
        </w:rPr>
        <w:t>21. A paired t-test between estimated weight and measured weight determine</w:t>
      </w:r>
      <w:r w:rsidR="007B32A5">
        <w:rPr>
          <w:rFonts w:cstheme="minorHAnsi"/>
        </w:rPr>
        <w:t>d</w:t>
      </w:r>
      <w:r w:rsidR="004A527C" w:rsidRPr="008B2AE7">
        <w:rPr>
          <w:rFonts w:cstheme="minorHAnsi"/>
        </w:rPr>
        <w:t xml:space="preserve"> difference between these variables. Thereafter, univariate analysis to identify variables associated with the weight estimation error variable was undertaken. </w:t>
      </w:r>
      <w:r w:rsidR="0064187B">
        <w:rPr>
          <w:rFonts w:cstheme="minorHAnsi"/>
        </w:rPr>
        <w:t>Variables</w:t>
      </w:r>
      <w:r w:rsidR="004A527C" w:rsidRPr="008B2AE7">
        <w:rPr>
          <w:rFonts w:cstheme="minorHAnsi"/>
        </w:rPr>
        <w:t xml:space="preserve"> </w:t>
      </w:r>
      <w:r w:rsidR="0064187B">
        <w:rPr>
          <w:rFonts w:cstheme="minorHAnsi"/>
        </w:rPr>
        <w:t>found</w:t>
      </w:r>
      <w:r w:rsidR="004A527C" w:rsidRPr="008B2AE7">
        <w:rPr>
          <w:rFonts w:cstheme="minorHAnsi"/>
        </w:rPr>
        <w:t xml:space="preserve"> to be significant were included in a multivariable regression analysis alongside variables determined </w:t>
      </w:r>
      <w:r>
        <w:rPr>
          <w:rFonts w:cstheme="minorHAnsi"/>
        </w:rPr>
        <w:t>to be biologically significant (</w:t>
      </w:r>
      <w:r w:rsidR="004A527C" w:rsidRPr="008B2AE7">
        <w:rPr>
          <w:rFonts w:cstheme="minorHAnsi"/>
        </w:rPr>
        <w:t>age, gender, pre-tPA NIHSS and comorbidities</w:t>
      </w:r>
      <w:r>
        <w:rPr>
          <w:rFonts w:cstheme="minorHAnsi"/>
        </w:rPr>
        <w:t>)</w:t>
      </w:r>
      <w:r w:rsidR="004A527C" w:rsidRPr="008B2AE7">
        <w:rPr>
          <w:rFonts w:cstheme="minorHAnsi"/>
        </w:rPr>
        <w:t>.</w:t>
      </w:r>
      <w:r w:rsidR="007B32A5">
        <w:rPr>
          <w:rFonts w:cstheme="minorHAnsi"/>
        </w:rPr>
        <w:t xml:space="preserve"> T</w:t>
      </w:r>
      <w:r w:rsidR="004A527C" w:rsidRPr="008B2AE7">
        <w:rPr>
          <w:rFonts w:cstheme="minorHAnsi"/>
        </w:rPr>
        <w:t xml:space="preserve">he population was divided into tertiles based on measured weight and compared to one another for the weight estimation error using ANOVA. </w:t>
      </w:r>
    </w:p>
    <w:p w:rsidR="008B2AE7" w:rsidRPr="008B2AE7" w:rsidRDefault="008B2AE7">
      <w:pPr>
        <w:spacing w:after="0" w:line="480" w:lineRule="auto"/>
        <w:jc w:val="both"/>
        <w:rPr>
          <w:rFonts w:cstheme="minorHAnsi"/>
        </w:rPr>
      </w:pPr>
    </w:p>
    <w:p w:rsidR="007F2D62" w:rsidRPr="008B2AE7" w:rsidRDefault="004A527C">
      <w:pPr>
        <w:spacing w:after="0" w:line="480" w:lineRule="auto"/>
        <w:jc w:val="both"/>
        <w:rPr>
          <w:rFonts w:cstheme="minorHAnsi"/>
        </w:rPr>
      </w:pPr>
      <w:r w:rsidRPr="008B2AE7">
        <w:rPr>
          <w:rFonts w:cstheme="minorHAnsi"/>
        </w:rPr>
        <w:t>A deviation of ±10% dose from 0.9mg/kg was used as a range for acceptable dosing of rtPA</w:t>
      </w:r>
      <w:r w:rsidR="00B77D73" w:rsidRPr="00B77D73">
        <w:rPr>
          <w:rFonts w:cstheme="minorHAnsi"/>
          <w:position w:val="6"/>
          <w:vertAlign w:val="superscript"/>
        </w:rPr>
        <w:t>1-3</w:t>
      </w:r>
      <w:r w:rsidRPr="00B77D73">
        <w:rPr>
          <w:rFonts w:cstheme="minorHAnsi"/>
          <w:vertAlign w:val="superscript"/>
        </w:rPr>
        <w:t xml:space="preserve"> </w:t>
      </w:r>
      <w:r w:rsidRPr="008B2AE7">
        <w:rPr>
          <w:rFonts w:cstheme="minorHAnsi"/>
        </w:rPr>
        <w:t xml:space="preserve">Frequencies were then obtained for patients receiving an acceptable dose of 0.81-0.99mg/kg, overdose &gt;0.99mg or under-dose &lt;0.81mg/kg. To investigate whether mis-dosing had an effect on functional outcome we categorised the mRS at 7 days/discharge into two separate dichotomous variables. mRS was divided into favourable outcome </w:t>
      </w:r>
      <w:r w:rsidR="001042A4">
        <w:rPr>
          <w:rFonts w:cstheme="minorHAnsi"/>
        </w:rPr>
        <w:t xml:space="preserve">(0-1) </w:t>
      </w:r>
      <w:r w:rsidRPr="008B2AE7">
        <w:rPr>
          <w:rFonts w:cstheme="minorHAnsi"/>
        </w:rPr>
        <w:t>and un</w:t>
      </w:r>
      <w:r w:rsidR="001042A4">
        <w:rPr>
          <w:rFonts w:cstheme="minorHAnsi"/>
        </w:rPr>
        <w:t>favourable outcome (</w:t>
      </w:r>
      <w:r w:rsidRPr="008B2AE7">
        <w:rPr>
          <w:rFonts w:cstheme="minorHAnsi"/>
        </w:rPr>
        <w:t>2-6</w:t>
      </w:r>
      <w:r w:rsidR="001042A4">
        <w:rPr>
          <w:rFonts w:cstheme="minorHAnsi"/>
        </w:rPr>
        <w:t>)</w:t>
      </w:r>
      <w:r w:rsidRPr="008B2AE7">
        <w:rPr>
          <w:rFonts w:cstheme="minorHAnsi"/>
        </w:rPr>
        <w:t xml:space="preserve">, as well as independent outcome </w:t>
      </w:r>
      <w:r w:rsidR="001042A4">
        <w:rPr>
          <w:rFonts w:cstheme="minorHAnsi"/>
        </w:rPr>
        <w:t>(0-2) and dependent outcome (</w:t>
      </w:r>
      <w:r w:rsidRPr="008B2AE7">
        <w:rPr>
          <w:rFonts w:cstheme="minorHAnsi"/>
        </w:rPr>
        <w:t>3-6</w:t>
      </w:r>
      <w:r w:rsidR="001042A4">
        <w:rPr>
          <w:rFonts w:cstheme="minorHAnsi"/>
        </w:rPr>
        <w:t>)</w:t>
      </w:r>
      <w:r w:rsidR="00B77D73" w:rsidRPr="00B77D73">
        <w:rPr>
          <w:rFonts w:cstheme="minorHAnsi"/>
          <w:vertAlign w:val="superscript"/>
        </w:rPr>
        <w:t>1-2</w:t>
      </w:r>
      <w:r w:rsidR="00B77D73">
        <w:rPr>
          <w:rFonts w:cstheme="minorHAnsi"/>
        </w:rPr>
        <w:t>.</w:t>
      </w:r>
      <w:r w:rsidRPr="008B2AE7">
        <w:rPr>
          <w:rFonts w:cstheme="minorHAnsi"/>
        </w:rPr>
        <w:t xml:space="preserve"> </w:t>
      </w:r>
      <w:r w:rsidR="00A37752">
        <w:rPr>
          <w:rFonts w:cstheme="minorHAnsi"/>
        </w:rPr>
        <w:t>A</w:t>
      </w:r>
      <w:r w:rsidRPr="008B2AE7">
        <w:rPr>
          <w:rFonts w:cstheme="minorHAnsi"/>
        </w:rPr>
        <w:t xml:space="preserve"> </w:t>
      </w:r>
      <w:r w:rsidR="001B04DA" w:rsidRPr="008B2AE7">
        <w:rPr>
          <w:rFonts w:cstheme="minorHAnsi"/>
        </w:rPr>
        <w:t xml:space="preserve">binary logistic regression </w:t>
      </w:r>
      <w:r w:rsidRPr="008B2AE7">
        <w:rPr>
          <w:rFonts w:cstheme="minorHAnsi"/>
        </w:rPr>
        <w:t xml:space="preserve">was </w:t>
      </w:r>
      <w:r w:rsidR="00A37752">
        <w:rPr>
          <w:rFonts w:cstheme="minorHAnsi"/>
        </w:rPr>
        <w:t xml:space="preserve">then </w:t>
      </w:r>
      <w:r w:rsidRPr="008B2AE7">
        <w:rPr>
          <w:rFonts w:cstheme="minorHAnsi"/>
        </w:rPr>
        <w:t>performed to ascertain any significant relationship between dosing and outcome</w:t>
      </w:r>
      <w:r w:rsidR="001B04DA" w:rsidRPr="008B2AE7">
        <w:rPr>
          <w:rFonts w:cstheme="minorHAnsi"/>
        </w:rPr>
        <w:t xml:space="preserve">. </w:t>
      </w:r>
      <w:r w:rsidRPr="008B2AE7">
        <w:rPr>
          <w:rFonts w:cstheme="minorHAnsi"/>
        </w:rPr>
        <w:t>Dose of alteplase (mg) was calculated for both estimated weight and measured</w:t>
      </w:r>
      <w:r w:rsidR="00A37752">
        <w:rPr>
          <w:rFonts w:cstheme="minorHAnsi"/>
        </w:rPr>
        <w:t xml:space="preserve"> weight for each tertile group and </w:t>
      </w:r>
      <w:r w:rsidRPr="008B2AE7">
        <w:rPr>
          <w:rFonts w:cstheme="minorHAnsi"/>
        </w:rPr>
        <w:t>compared with a paired t-test.</w:t>
      </w:r>
      <w:r w:rsidR="007B32A5">
        <w:rPr>
          <w:rFonts w:cstheme="minorHAnsi"/>
        </w:rPr>
        <w:t xml:space="preserve"> </w:t>
      </w:r>
      <w:r w:rsidRPr="008B2AE7">
        <w:rPr>
          <w:rFonts w:cstheme="minorHAnsi"/>
        </w:rPr>
        <w:t>Tertiles of measured weight were compared against one another for NIHSS improvement to determine any change in the magnitude of recovery between groups.</w:t>
      </w:r>
      <w:r w:rsidR="00DE56A8" w:rsidRPr="008B2AE7">
        <w:rPr>
          <w:rFonts w:cstheme="minorHAnsi"/>
        </w:rPr>
        <w:t xml:space="preserve"> Dose deviation from the optimum dose was calculated.</w:t>
      </w:r>
      <w:r w:rsidRPr="008B2AE7">
        <w:rPr>
          <w:rFonts w:cstheme="minorHAnsi"/>
        </w:rPr>
        <w:t xml:space="preserve"> </w:t>
      </w:r>
    </w:p>
    <w:p w:rsidR="007F2D62" w:rsidRPr="008B2AE7" w:rsidRDefault="007F2D62">
      <w:pPr>
        <w:jc w:val="both"/>
        <w:rPr>
          <w:b/>
        </w:rPr>
      </w:pPr>
    </w:p>
    <w:p w:rsidR="007F2D62" w:rsidRPr="008B2AE7" w:rsidRDefault="004A527C">
      <w:pPr>
        <w:jc w:val="both"/>
        <w:rPr>
          <w:b/>
        </w:rPr>
      </w:pPr>
      <w:r w:rsidRPr="008B2AE7">
        <w:rPr>
          <w:b/>
        </w:rPr>
        <w:t>Results</w:t>
      </w:r>
    </w:p>
    <w:p w:rsidR="007F2D62" w:rsidRPr="008B2AE7" w:rsidRDefault="007F2D62">
      <w:pPr>
        <w:jc w:val="both"/>
        <w:rPr>
          <w:rFonts w:cstheme="minorHAnsi"/>
        </w:rPr>
      </w:pP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Demographic details of the study population are </w:t>
      </w:r>
      <w:r w:rsidR="00BD5056">
        <w:rPr>
          <w:rFonts w:cstheme="minorHAnsi"/>
        </w:rPr>
        <w:t xml:space="preserve">presented </w:t>
      </w:r>
      <w:r w:rsidRPr="008B2AE7">
        <w:rPr>
          <w:rFonts w:cstheme="minorHAnsi"/>
        </w:rPr>
        <w:t xml:space="preserve">in Table 1.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t xml:space="preserve">Clinicians underestimated </w:t>
      </w:r>
      <w:r w:rsidR="00F615E3" w:rsidRPr="008B2AE7">
        <w:t xml:space="preserve">mean difference </w:t>
      </w:r>
      <w:r w:rsidRPr="008B2AE7">
        <w:t>weight by 1.13kg (p&lt;0.05) between estimated (</w:t>
      </w:r>
      <w:r w:rsidR="005416D7">
        <w:rPr>
          <w:rFonts w:eastAsia="Times New Roman"/>
          <w:color w:val="000000"/>
        </w:rPr>
        <w:t xml:space="preserve">71.41 SD </w:t>
      </w:r>
      <w:r w:rsidRPr="008B2AE7">
        <w:rPr>
          <w:rFonts w:eastAsia="Times New Roman"/>
          <w:color w:val="000000"/>
        </w:rPr>
        <w:t xml:space="preserve">14.20) </w:t>
      </w:r>
      <w:r w:rsidRPr="008B2AE7">
        <w:t>and actual measured weight (</w:t>
      </w:r>
      <w:r w:rsidR="005416D7">
        <w:rPr>
          <w:rFonts w:eastAsia="Times New Roman"/>
          <w:color w:val="000000"/>
        </w:rPr>
        <w:t>72.54 SD 16.17)</w:t>
      </w:r>
      <w:r w:rsidRPr="008B2AE7">
        <w:rPr>
          <w:rFonts w:eastAsia="Times New Roman"/>
          <w:color w:val="000000"/>
        </w:rPr>
        <w:t>.</w:t>
      </w:r>
      <w:r w:rsidRPr="008B2AE7">
        <w:t xml:space="preserve"> </w:t>
      </w:r>
      <w:r w:rsidR="00F615E3">
        <w:t>R</w:t>
      </w:r>
      <w:r w:rsidRPr="008B2AE7">
        <w:t xml:space="preserve">esults were </w:t>
      </w:r>
      <w:r w:rsidR="00F615E3">
        <w:t>not altered following adjustment</w:t>
      </w:r>
      <w:r w:rsidRPr="008B2AE7">
        <w:t xml:space="preserve"> </w:t>
      </w:r>
      <w:r w:rsidRPr="008B2AE7">
        <w:lastRenderedPageBreak/>
        <w:t xml:space="preserve">for </w:t>
      </w:r>
      <w:r w:rsidR="0068463F">
        <w:t xml:space="preserve">covariables of </w:t>
      </w:r>
      <w:r w:rsidRPr="008B2AE7">
        <w:t xml:space="preserve">age, gender, pre-rtPA NIHSS, oral anticoagulants and co-morbidities using univariate and multivariate analysis.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To determine whether extremes of weight affected </w:t>
      </w:r>
      <w:r w:rsidR="0068463F" w:rsidRPr="008B2AE7">
        <w:rPr>
          <w:rFonts w:cstheme="minorHAnsi"/>
        </w:rPr>
        <w:t xml:space="preserve">weight </w:t>
      </w:r>
      <w:r w:rsidRPr="008B2AE7">
        <w:rPr>
          <w:rFonts w:cstheme="minorHAnsi"/>
        </w:rPr>
        <w:t>estimation, measured weight was divided into tertiles</w:t>
      </w:r>
      <w:r w:rsidR="009E2551">
        <w:rPr>
          <w:rFonts w:cstheme="minorHAnsi"/>
        </w:rPr>
        <w:t xml:space="preserve">. Tertile 1 represents the lightest </w:t>
      </w:r>
      <w:r w:rsidR="001C1CD8">
        <w:rPr>
          <w:rFonts w:cstheme="minorHAnsi"/>
        </w:rPr>
        <w:t>81 patients weighing between 37-64.5</w:t>
      </w:r>
      <w:r w:rsidR="009E2551">
        <w:rPr>
          <w:rFonts w:cstheme="minorHAnsi"/>
        </w:rPr>
        <w:t>kg,</w:t>
      </w:r>
      <w:r w:rsidR="001C1CD8">
        <w:rPr>
          <w:rFonts w:cstheme="minorHAnsi"/>
        </w:rPr>
        <w:t xml:space="preserve"> tertile 2</w:t>
      </w:r>
      <w:r w:rsidR="007B32A5">
        <w:rPr>
          <w:rFonts w:cstheme="minorHAnsi"/>
        </w:rPr>
        <w:t>,</w:t>
      </w:r>
      <w:r w:rsidR="001C1CD8">
        <w:rPr>
          <w:rFonts w:cstheme="minorHAnsi"/>
        </w:rPr>
        <w:t xml:space="preserve"> 80</w:t>
      </w:r>
      <w:r w:rsidR="009E2551">
        <w:rPr>
          <w:rFonts w:cstheme="minorHAnsi"/>
        </w:rPr>
        <w:t xml:space="preserve"> patients</w:t>
      </w:r>
      <w:r w:rsidR="008547FE">
        <w:rPr>
          <w:rFonts w:cstheme="minorHAnsi"/>
        </w:rPr>
        <w:t xml:space="preserve"> weighing</w:t>
      </w:r>
      <w:r w:rsidR="00373EBF">
        <w:rPr>
          <w:rFonts w:cstheme="minorHAnsi"/>
        </w:rPr>
        <w:t xml:space="preserve"> 64.6</w:t>
      </w:r>
      <w:r w:rsidR="001C1CD8">
        <w:rPr>
          <w:rFonts w:cstheme="minorHAnsi"/>
        </w:rPr>
        <w:t>-77.8</w:t>
      </w:r>
      <w:r w:rsidR="009E2551">
        <w:rPr>
          <w:rFonts w:cstheme="minorHAnsi"/>
        </w:rPr>
        <w:t>kg</w:t>
      </w:r>
      <w:r w:rsidR="007B32A5">
        <w:rPr>
          <w:rFonts w:cstheme="minorHAnsi"/>
        </w:rPr>
        <w:t>,</w:t>
      </w:r>
      <w:r w:rsidR="009E2551">
        <w:rPr>
          <w:rFonts w:cstheme="minorHAnsi"/>
        </w:rPr>
        <w:t xml:space="preserve"> and tertile</w:t>
      </w:r>
      <w:r w:rsidR="001C1CD8">
        <w:rPr>
          <w:rFonts w:cstheme="minorHAnsi"/>
        </w:rPr>
        <w:t xml:space="preserve"> 3</w:t>
      </w:r>
      <w:r w:rsidR="007B32A5">
        <w:rPr>
          <w:rFonts w:cstheme="minorHAnsi"/>
        </w:rPr>
        <w:t>,</w:t>
      </w:r>
      <w:r w:rsidR="001C1CD8">
        <w:rPr>
          <w:rFonts w:cstheme="minorHAnsi"/>
        </w:rPr>
        <w:t xml:space="preserve"> </w:t>
      </w:r>
      <w:r w:rsidR="00373EBF">
        <w:rPr>
          <w:rFonts w:cstheme="minorHAnsi"/>
        </w:rPr>
        <w:t>81 patients weighing from 77.9</w:t>
      </w:r>
      <w:r w:rsidR="009E2551">
        <w:rPr>
          <w:rFonts w:cstheme="minorHAnsi"/>
        </w:rPr>
        <w:t xml:space="preserve">-120kg. </w:t>
      </w:r>
      <w:r w:rsidRPr="008B2AE7">
        <w:rPr>
          <w:rFonts w:cstheme="minorHAnsi"/>
        </w:rPr>
        <w:t xml:space="preserve">  Table </w:t>
      </w:r>
      <w:r w:rsidR="00955A42">
        <w:rPr>
          <w:rFonts w:cstheme="minorHAnsi"/>
        </w:rPr>
        <w:t>2</w:t>
      </w:r>
      <w:r w:rsidRPr="008B2AE7">
        <w:rPr>
          <w:rFonts w:cstheme="minorHAnsi"/>
        </w:rPr>
        <w:t xml:space="preserve"> </w:t>
      </w:r>
      <w:r w:rsidR="00BD5056">
        <w:rPr>
          <w:rFonts w:cstheme="minorHAnsi"/>
        </w:rPr>
        <w:t>illustrates</w:t>
      </w:r>
      <w:r w:rsidRPr="008B2AE7">
        <w:rPr>
          <w:rFonts w:cstheme="minorHAnsi"/>
        </w:rPr>
        <w:t xml:space="preserve"> that the estimated weight error for individuals in the 3</w:t>
      </w:r>
      <w:r w:rsidRPr="008B2AE7">
        <w:rPr>
          <w:rFonts w:cstheme="minorHAnsi"/>
          <w:vertAlign w:val="superscript"/>
        </w:rPr>
        <w:t>rd</w:t>
      </w:r>
      <w:r w:rsidR="0068463F">
        <w:rPr>
          <w:rFonts w:cstheme="minorHAnsi"/>
        </w:rPr>
        <w:t xml:space="preserve"> (</w:t>
      </w:r>
      <w:r w:rsidRPr="008B2AE7">
        <w:rPr>
          <w:rFonts w:cstheme="minorHAnsi"/>
        </w:rPr>
        <w:t>heaviest</w:t>
      </w:r>
      <w:r w:rsidR="0068463F">
        <w:rPr>
          <w:rFonts w:cstheme="minorHAnsi"/>
        </w:rPr>
        <w:t>)</w:t>
      </w:r>
      <w:r w:rsidRPr="008B2AE7">
        <w:rPr>
          <w:rFonts w:cstheme="minorHAnsi"/>
        </w:rPr>
        <w:t xml:space="preserve"> </w:t>
      </w:r>
      <w:r w:rsidR="0068463F">
        <w:rPr>
          <w:rFonts w:cstheme="minorHAnsi"/>
        </w:rPr>
        <w:t>tertile</w:t>
      </w:r>
      <w:r w:rsidRPr="008B2AE7">
        <w:rPr>
          <w:rFonts w:cstheme="minorHAnsi"/>
        </w:rPr>
        <w:t xml:space="preserve"> was significantly different from the lower tertiles (p&lt;0.001). This association remain</w:t>
      </w:r>
      <w:r w:rsidR="0068463F">
        <w:rPr>
          <w:rFonts w:cstheme="minorHAnsi"/>
        </w:rPr>
        <w:t>ed</w:t>
      </w:r>
      <w:r w:rsidRPr="008B2AE7">
        <w:rPr>
          <w:rFonts w:cstheme="minorHAnsi"/>
        </w:rPr>
        <w:t xml:space="preserve"> significant after </w:t>
      </w:r>
      <w:r w:rsidR="0068463F">
        <w:rPr>
          <w:rFonts w:cstheme="minorHAnsi"/>
        </w:rPr>
        <w:t>r</w:t>
      </w:r>
      <w:r w:rsidR="0068463F" w:rsidRPr="008B2AE7">
        <w:rPr>
          <w:rFonts w:cstheme="minorHAnsi"/>
        </w:rPr>
        <w:t>emoving pati</w:t>
      </w:r>
      <w:r w:rsidR="0068463F">
        <w:rPr>
          <w:rFonts w:cstheme="minorHAnsi"/>
        </w:rPr>
        <w:t xml:space="preserve">ents with estimated weights greater than </w:t>
      </w:r>
      <w:r w:rsidR="0068463F" w:rsidRPr="008B2AE7">
        <w:rPr>
          <w:rFonts w:cstheme="minorHAnsi"/>
        </w:rPr>
        <w:t xml:space="preserve">100kg </w:t>
      </w:r>
      <w:r w:rsidR="0068463F">
        <w:rPr>
          <w:rFonts w:cstheme="minorHAnsi"/>
        </w:rPr>
        <w:t xml:space="preserve">and following </w:t>
      </w:r>
      <w:r w:rsidRPr="008B2AE7">
        <w:rPr>
          <w:rFonts w:cstheme="minorHAnsi"/>
        </w:rPr>
        <w:t>adjust</w:t>
      </w:r>
      <w:r w:rsidR="0068463F">
        <w:rPr>
          <w:rFonts w:cstheme="minorHAnsi"/>
        </w:rPr>
        <w:t>ment</w:t>
      </w:r>
      <w:r w:rsidRPr="008B2AE7">
        <w:rPr>
          <w:rFonts w:cstheme="minorHAnsi"/>
        </w:rPr>
        <w:t xml:space="preserve"> for </w:t>
      </w:r>
      <w:r w:rsidR="0068463F">
        <w:rPr>
          <w:rFonts w:cstheme="minorHAnsi"/>
        </w:rPr>
        <w:t>covariables</w:t>
      </w:r>
      <w:r w:rsidRPr="008B2AE7">
        <w:rPr>
          <w:rFonts w:cstheme="minorHAnsi"/>
        </w:rPr>
        <w:t xml:space="preserve">. </w:t>
      </w:r>
      <w:r w:rsidRPr="007A34B3">
        <w:rPr>
          <w:rFonts w:cstheme="minorHAnsi"/>
        </w:rPr>
        <w:t>The</w:t>
      </w:r>
      <w:r w:rsidR="00FB1D36" w:rsidRPr="005B6840">
        <w:rPr>
          <w:rFonts w:cstheme="minorHAnsi"/>
        </w:rPr>
        <w:t xml:space="preserve"> difference in</w:t>
      </w:r>
      <w:r w:rsidR="005F403C" w:rsidRPr="005F403C">
        <w:rPr>
          <w:rFonts w:cstheme="minorHAnsi"/>
        </w:rPr>
        <w:t xml:space="preserve"> mean</w:t>
      </w:r>
      <w:r w:rsidR="00FB1D36" w:rsidRPr="005B6840">
        <w:rPr>
          <w:rFonts w:cstheme="minorHAnsi"/>
        </w:rPr>
        <w:t xml:space="preserve"> weight estimation error between tertile 1 and 2 was 2.4kg (p=0.026).</w:t>
      </w:r>
      <w:r w:rsidRPr="007A34B3">
        <w:rPr>
          <w:rFonts w:cstheme="minorHAnsi"/>
        </w:rPr>
        <w:t xml:space="preserve"> </w:t>
      </w:r>
      <w:r w:rsidRPr="00D91A36">
        <w:rPr>
          <w:rFonts w:cstheme="minorHAnsi"/>
        </w:rPr>
        <w:t>Similarly</w:t>
      </w:r>
      <w:r w:rsidRPr="008B2AE7">
        <w:rPr>
          <w:rFonts w:cstheme="minorHAnsi"/>
        </w:rPr>
        <w:t xml:space="preserve"> the</w:t>
      </w:r>
      <w:r w:rsidR="00FB1D36">
        <w:rPr>
          <w:rFonts w:cstheme="minorHAnsi"/>
        </w:rPr>
        <w:t xml:space="preserve"> difference in </w:t>
      </w:r>
      <w:r w:rsidR="005F403C">
        <w:rPr>
          <w:rFonts w:cstheme="minorHAnsi"/>
        </w:rPr>
        <w:t xml:space="preserve">mean </w:t>
      </w:r>
      <w:r w:rsidRPr="008B2AE7">
        <w:rPr>
          <w:rFonts w:cstheme="minorHAnsi"/>
        </w:rPr>
        <w:t>weight estimation error</w:t>
      </w:r>
      <w:r w:rsidR="00FB1D36">
        <w:rPr>
          <w:rFonts w:cstheme="minorHAnsi"/>
        </w:rPr>
        <w:t xml:space="preserve"> between tertile 1 and 3</w:t>
      </w:r>
      <w:r w:rsidRPr="008B2AE7">
        <w:rPr>
          <w:rFonts w:cstheme="minorHAnsi"/>
        </w:rPr>
        <w:t xml:space="preserve"> was 7.3kg (p&lt;0.001). To show that the margin of weight estimation error was greater at the extremes of weight, percentage error was calculated for each tertile and plotted </w:t>
      </w:r>
      <w:r w:rsidR="00391406">
        <w:rPr>
          <w:rFonts w:cstheme="minorHAnsi"/>
        </w:rPr>
        <w:t>(</w:t>
      </w:r>
      <w:r w:rsidR="00BD5056">
        <w:rPr>
          <w:rFonts w:cstheme="minorHAnsi"/>
        </w:rPr>
        <w:t>Supplementa</w:t>
      </w:r>
      <w:r w:rsidR="006C4CCA">
        <w:rPr>
          <w:rFonts w:cstheme="minorHAnsi"/>
        </w:rPr>
        <w:t>l</w:t>
      </w:r>
      <w:r w:rsidR="00BD5056">
        <w:rPr>
          <w:rFonts w:cstheme="minorHAnsi"/>
        </w:rPr>
        <w:t xml:space="preserve"> </w:t>
      </w:r>
      <w:r w:rsidRPr="008B2AE7">
        <w:rPr>
          <w:rFonts w:cstheme="minorHAnsi"/>
        </w:rPr>
        <w:t>Figure 1</w:t>
      </w:r>
      <w:r w:rsidR="00391406">
        <w:rPr>
          <w:rFonts w:cstheme="minorHAnsi"/>
        </w:rPr>
        <w:t>)</w:t>
      </w:r>
      <w:r w:rsidRPr="008B2AE7">
        <w:rPr>
          <w:rFonts w:cstheme="minorHAnsi"/>
        </w:rPr>
        <w:t>.</w:t>
      </w:r>
    </w:p>
    <w:p w:rsidR="007F2D62" w:rsidRPr="008B2AE7" w:rsidRDefault="007F2D62">
      <w:pPr>
        <w:spacing w:line="480" w:lineRule="auto"/>
        <w:jc w:val="both"/>
        <w:rPr>
          <w:b/>
          <w:lang w:val="en-US"/>
        </w:rPr>
      </w:pPr>
    </w:p>
    <w:p w:rsidR="007F2D62" w:rsidRPr="008B2AE7" w:rsidRDefault="004A527C">
      <w:pPr>
        <w:spacing w:line="480" w:lineRule="auto"/>
        <w:jc w:val="both"/>
        <w:rPr>
          <w:b/>
        </w:rPr>
      </w:pPr>
      <w:r w:rsidRPr="008B2AE7">
        <w:rPr>
          <w:b/>
          <w:lang w:val="en-US"/>
        </w:rPr>
        <w:t>Effect of estimation error on dose</w:t>
      </w:r>
    </w:p>
    <w:p w:rsidR="007F2D62" w:rsidRPr="008B2AE7" w:rsidRDefault="004A527C">
      <w:pPr>
        <w:spacing w:line="480" w:lineRule="auto"/>
        <w:jc w:val="both"/>
        <w:rPr>
          <w:b/>
        </w:rPr>
      </w:pPr>
      <w:r w:rsidRPr="008B2AE7">
        <w:rPr>
          <w:rFonts w:cstheme="minorHAnsi"/>
        </w:rPr>
        <w:t xml:space="preserve">Using the range 0.81-0.99mg/kg as an acceptable dose, patients were divided into three groups: under-dose, acceptable dose and overdose. The majority of patients (80.3%) received a dose within the acceptable range. Consistent with underestimation of weight, more patients </w:t>
      </w:r>
      <w:r w:rsidR="00E755F4" w:rsidRPr="008B2AE7">
        <w:rPr>
          <w:rFonts w:cstheme="minorHAnsi"/>
        </w:rPr>
        <w:t xml:space="preserve">were </w:t>
      </w:r>
      <w:r w:rsidRPr="008B2AE7">
        <w:rPr>
          <w:rFonts w:cstheme="minorHAnsi"/>
        </w:rPr>
        <w:t>in the under-dosed category than the overdosed categor</w:t>
      </w:r>
      <w:r w:rsidR="000709A0">
        <w:rPr>
          <w:rFonts w:cstheme="minorHAnsi"/>
        </w:rPr>
        <w:t>y, 11.5% and 8.1% respectively</w:t>
      </w:r>
      <w:r w:rsidRPr="008B2AE7">
        <w:rPr>
          <w:rFonts w:cstheme="minorHAnsi"/>
        </w:rPr>
        <w:t>.</w:t>
      </w:r>
    </w:p>
    <w:p w:rsidR="007F2D62" w:rsidRPr="008B2AE7" w:rsidRDefault="004A527C">
      <w:pPr>
        <w:spacing w:after="0" w:line="480" w:lineRule="auto"/>
        <w:jc w:val="both"/>
        <w:rPr>
          <w:rFonts w:cstheme="minorHAnsi"/>
        </w:rPr>
      </w:pPr>
      <w:r w:rsidRPr="008B2AE7">
        <w:rPr>
          <w:rFonts w:eastAsia="MS Mincho" w:cstheme="minorHAnsi"/>
          <w:lang w:val="en-US"/>
        </w:rPr>
        <w:t>A paired t-test was performed for each tertile of measured weight,</w:t>
      </w:r>
      <w:r w:rsidR="00BD5056">
        <w:rPr>
          <w:rFonts w:eastAsia="MS Mincho" w:cstheme="minorHAnsi"/>
          <w:lang w:val="en-US"/>
        </w:rPr>
        <w:t xml:space="preserve"> comparing the estimated weight-</w:t>
      </w:r>
      <w:r w:rsidRPr="008B2AE7">
        <w:rPr>
          <w:rFonts w:eastAsia="MS Mincho" w:cstheme="minorHAnsi"/>
          <w:lang w:val="en-US"/>
        </w:rPr>
        <w:t>bas</w:t>
      </w:r>
      <w:r w:rsidR="00BD5056">
        <w:rPr>
          <w:rFonts w:eastAsia="MS Mincho" w:cstheme="minorHAnsi"/>
          <w:lang w:val="en-US"/>
        </w:rPr>
        <w:t>ed dose and the measured weight-</w:t>
      </w:r>
      <w:r w:rsidRPr="008B2AE7">
        <w:rPr>
          <w:rFonts w:eastAsia="MS Mincho" w:cstheme="minorHAnsi"/>
          <w:lang w:val="en-US"/>
        </w:rPr>
        <w:t xml:space="preserve">based dose (Table </w:t>
      </w:r>
      <w:r w:rsidR="00955A42">
        <w:rPr>
          <w:rFonts w:eastAsia="MS Mincho" w:cstheme="minorHAnsi"/>
          <w:lang w:val="en-US"/>
        </w:rPr>
        <w:t>3</w:t>
      </w:r>
      <w:r w:rsidRPr="008B2AE7">
        <w:rPr>
          <w:rFonts w:eastAsia="MS Mincho" w:cstheme="minorHAnsi"/>
          <w:lang w:val="en-US"/>
        </w:rPr>
        <w:t xml:space="preserve">). In the lowest and highest tertiles this difference proved to be significant (p&lt;0.05). Patients in tertile </w:t>
      </w:r>
      <w:r w:rsidR="00BE1379">
        <w:rPr>
          <w:rFonts w:eastAsia="MS Mincho" w:cstheme="minorHAnsi"/>
          <w:lang w:val="en-US"/>
        </w:rPr>
        <w:t>3</w:t>
      </w:r>
      <w:r w:rsidRPr="008B2AE7">
        <w:rPr>
          <w:rFonts w:eastAsia="MS Mincho" w:cstheme="minorHAnsi"/>
          <w:lang w:val="en-US"/>
        </w:rPr>
        <w:t xml:space="preserve"> received an average dose of 77.6mg where they should have received 80.0mg, a deficit of 3.0%. By contrast, tertile </w:t>
      </w:r>
      <w:r w:rsidR="00BE1379">
        <w:rPr>
          <w:rFonts w:eastAsia="MS Mincho" w:cstheme="minorHAnsi"/>
          <w:lang w:val="en-US"/>
        </w:rPr>
        <w:t>1</w:t>
      </w:r>
      <w:r w:rsidRPr="008B2AE7">
        <w:rPr>
          <w:rFonts w:eastAsia="MS Mincho" w:cstheme="minorHAnsi"/>
          <w:lang w:val="en-US"/>
        </w:rPr>
        <w:t xml:space="preserve"> received 51.54mg where they should have received 50.33mg, resulting in an overdose of 2.42%.</w:t>
      </w:r>
      <w:r w:rsidR="007D4C35">
        <w:rPr>
          <w:rFonts w:eastAsia="MS Mincho" w:cstheme="minorHAnsi"/>
          <w:lang w:val="en-US"/>
        </w:rPr>
        <w:t xml:space="preserve"> </w:t>
      </w:r>
      <w:r w:rsidR="007D4C35">
        <w:rPr>
          <w:rFonts w:cstheme="minorHAnsi"/>
        </w:rPr>
        <w:t>Using</w:t>
      </w:r>
      <w:r w:rsidRPr="008B2AE7">
        <w:rPr>
          <w:rFonts w:cstheme="minorHAnsi"/>
        </w:rPr>
        <w:t xml:space="preserve"> a</w:t>
      </w:r>
      <w:r w:rsidR="007D4C35">
        <w:rPr>
          <w:rFonts w:cstheme="minorHAnsi"/>
        </w:rPr>
        <w:t xml:space="preserve"> dose</w:t>
      </w:r>
      <w:r w:rsidRPr="008B2AE7">
        <w:rPr>
          <w:rFonts w:cstheme="minorHAnsi"/>
        </w:rPr>
        <w:t xml:space="preserve"> error</w:t>
      </w:r>
      <w:r w:rsidR="00BE1379">
        <w:rPr>
          <w:rFonts w:cstheme="minorHAnsi"/>
        </w:rPr>
        <w:t xml:space="preserve"> margin</w:t>
      </w:r>
      <w:r w:rsidRPr="008B2AE7">
        <w:rPr>
          <w:rFonts w:cstheme="minorHAnsi"/>
        </w:rPr>
        <w:t xml:space="preserve"> of ±10%</w:t>
      </w:r>
      <w:r w:rsidR="007D4C35">
        <w:rPr>
          <w:rFonts w:cstheme="minorHAnsi"/>
        </w:rPr>
        <w:t>,</w:t>
      </w:r>
      <w:r w:rsidRPr="008B2AE7">
        <w:rPr>
          <w:rFonts w:cstheme="minorHAnsi"/>
        </w:rPr>
        <w:t xml:space="preserve"> 7.1% </w:t>
      </w:r>
      <w:r w:rsidR="007D4C35">
        <w:rPr>
          <w:rFonts w:cstheme="minorHAnsi"/>
        </w:rPr>
        <w:t xml:space="preserve">of patients </w:t>
      </w:r>
      <w:r w:rsidRPr="008B2AE7">
        <w:rPr>
          <w:rFonts w:cstheme="minorHAnsi"/>
        </w:rPr>
        <w:t>rece</w:t>
      </w:r>
      <w:r w:rsidR="007D4C35">
        <w:rPr>
          <w:rFonts w:cstheme="minorHAnsi"/>
        </w:rPr>
        <w:t>ived an inaccurate dose (p=</w:t>
      </w:r>
      <w:r w:rsidR="00E755F4">
        <w:rPr>
          <w:rFonts w:cstheme="minorHAnsi"/>
        </w:rPr>
        <w:t>0.0</w:t>
      </w:r>
      <w:r w:rsidR="007D4C35">
        <w:rPr>
          <w:rFonts w:cstheme="minorHAnsi"/>
        </w:rPr>
        <w:t>1</w:t>
      </w:r>
      <w:r w:rsidRPr="008B2AE7">
        <w:rPr>
          <w:rFonts w:cstheme="minorHAnsi"/>
        </w:rPr>
        <w:t>).</w:t>
      </w:r>
    </w:p>
    <w:p w:rsidR="007F2D62" w:rsidRPr="008B2AE7" w:rsidRDefault="007F2D62">
      <w:pPr>
        <w:spacing w:after="0" w:line="480" w:lineRule="auto"/>
        <w:jc w:val="both"/>
        <w:rPr>
          <w:rFonts w:cstheme="minorHAnsi"/>
        </w:rPr>
      </w:pPr>
    </w:p>
    <w:p w:rsidR="007F2D62" w:rsidRPr="008B2AE7" w:rsidRDefault="004A527C">
      <w:pPr>
        <w:spacing w:after="0" w:line="480" w:lineRule="auto"/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lastRenderedPageBreak/>
        <w:t xml:space="preserve">Effect of estimation error on </w:t>
      </w:r>
      <w:r w:rsidR="00E755F4">
        <w:rPr>
          <w:rFonts w:cstheme="minorHAnsi"/>
          <w:b/>
        </w:rPr>
        <w:t xml:space="preserve">clinical </w:t>
      </w:r>
      <w:r w:rsidRPr="008B2AE7">
        <w:rPr>
          <w:rFonts w:cstheme="minorHAnsi"/>
          <w:b/>
        </w:rPr>
        <w:t>outcome</w:t>
      </w:r>
    </w:p>
    <w:p w:rsidR="007F2D62" w:rsidRPr="008B2AE7" w:rsidRDefault="00E755F4">
      <w:pPr>
        <w:spacing w:line="480" w:lineRule="auto"/>
        <w:jc w:val="both"/>
        <w:rPr>
          <w:rFonts w:cstheme="minorHAnsi"/>
        </w:rPr>
      </w:pPr>
      <w:r>
        <w:rPr>
          <w:rFonts w:cstheme="minorHAnsi"/>
        </w:rPr>
        <w:t xml:space="preserve">We divided mRS at 7 days/discharge </w:t>
      </w:r>
      <w:r w:rsidR="004A527C" w:rsidRPr="008B2AE7">
        <w:rPr>
          <w:rFonts w:cstheme="minorHAnsi"/>
        </w:rPr>
        <w:t xml:space="preserve">into favourable/unfavourable outcome and independent/dependent outcome. 58.1% of patients achieved a favourable outcome defined as mRS between 0-1. With an independent outcome, mRS between 0-2, this value increases to 70.0%. </w:t>
      </w:r>
    </w:p>
    <w:p w:rsidR="007F2D62" w:rsidRPr="008B2AE7" w:rsidRDefault="004A527C">
      <w:pPr>
        <w:spacing w:before="240" w:line="480" w:lineRule="auto"/>
        <w:jc w:val="both"/>
        <w:rPr>
          <w:rFonts w:cstheme="minorHAnsi"/>
        </w:rPr>
      </w:pPr>
      <w:r w:rsidRPr="008B2AE7">
        <w:rPr>
          <w:rFonts w:cstheme="minorHAnsi"/>
        </w:rPr>
        <w:t>Dosing groups defined as under-dosed, acceptable dose and overdosed were th</w:t>
      </w:r>
      <w:r w:rsidR="001B04DA" w:rsidRPr="008B2AE7">
        <w:rPr>
          <w:rFonts w:cstheme="minorHAnsi"/>
        </w:rPr>
        <w:t>e</w:t>
      </w:r>
      <w:r w:rsidRPr="008B2AE7">
        <w:rPr>
          <w:rFonts w:cstheme="minorHAnsi"/>
        </w:rPr>
        <w:t xml:space="preserve">n </w:t>
      </w:r>
      <w:r w:rsidR="001B04DA" w:rsidRPr="008B2AE7">
        <w:rPr>
          <w:rFonts w:cstheme="minorHAnsi"/>
        </w:rPr>
        <w:t xml:space="preserve">analysed </w:t>
      </w:r>
      <w:r w:rsidRPr="008B2AE7">
        <w:rPr>
          <w:rFonts w:cstheme="minorHAnsi"/>
        </w:rPr>
        <w:t>to determine their effect on the mRS outcomes; favourable/unfavourable and independent/dependent. Dosing errors proved to have no effect on mRS measured outcome.</w:t>
      </w:r>
      <w:r w:rsidR="004B0E95">
        <w:rPr>
          <w:rFonts w:cstheme="minorHAnsi"/>
        </w:rPr>
        <w:t xml:space="preserve"> Dosing groups were also compared to intracerebral haemorrhage rates (ICH) but </w:t>
      </w:r>
      <w:r w:rsidR="008531E1">
        <w:rPr>
          <w:rFonts w:cstheme="minorHAnsi"/>
        </w:rPr>
        <w:t>also had</w:t>
      </w:r>
      <w:r w:rsidR="003C526F">
        <w:rPr>
          <w:rFonts w:cstheme="minorHAnsi"/>
        </w:rPr>
        <w:t xml:space="preserve"> no effect (p=0.66</w:t>
      </w:r>
      <w:r w:rsidR="004B0E95">
        <w:rPr>
          <w:rFonts w:cstheme="minorHAnsi"/>
        </w:rPr>
        <w:t>)</w:t>
      </w:r>
    </w:p>
    <w:p w:rsidR="004B0E95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>The NIHSS score improved from 9.9 to 4.4 between admission and 7 days/discharge on average (Table 1).  Improvement in NIHSS was calculated to analyse the magnitude of recovery seen in different patient groups. Dose deviation from the optimum dose of 0.9mg/kg was also calculated.</w:t>
      </w:r>
      <w:r w:rsidR="00DE56A8" w:rsidRPr="008B2AE7">
        <w:rPr>
          <w:rFonts w:cstheme="minorHAnsi"/>
        </w:rPr>
        <w:t xml:space="preserve"> A correlation was observed between measured weight and pre-tPA </w:t>
      </w:r>
      <w:r w:rsidR="00E755F4">
        <w:rPr>
          <w:rFonts w:cstheme="minorHAnsi"/>
        </w:rPr>
        <w:t xml:space="preserve">adjusted </w:t>
      </w:r>
      <w:r w:rsidR="00DE56A8" w:rsidRPr="008B2AE7">
        <w:rPr>
          <w:rFonts w:cstheme="minorHAnsi"/>
        </w:rPr>
        <w:t xml:space="preserve">NIHSS score, </w:t>
      </w:r>
      <w:r w:rsidR="00E755F4">
        <w:rPr>
          <w:rFonts w:cstheme="minorHAnsi"/>
        </w:rPr>
        <w:t>implying</w:t>
      </w:r>
      <w:r w:rsidR="00DE56A8" w:rsidRPr="008B2AE7">
        <w:rPr>
          <w:rFonts w:cstheme="minorHAnsi"/>
        </w:rPr>
        <w:t xml:space="preserve"> that heavier patients hav</w:t>
      </w:r>
      <w:r w:rsidR="00E755F4">
        <w:rPr>
          <w:rFonts w:cstheme="minorHAnsi"/>
        </w:rPr>
        <w:t>e more severe strokes (p&lt;0.001)</w:t>
      </w:r>
      <w:r w:rsidRPr="008B2AE7">
        <w:rPr>
          <w:rFonts w:cstheme="minorHAnsi"/>
        </w:rPr>
        <w:t xml:space="preserve">. Tertile 3 </w:t>
      </w:r>
      <w:r w:rsidR="0027663B">
        <w:rPr>
          <w:rFonts w:cstheme="minorHAnsi"/>
        </w:rPr>
        <w:t>(</w:t>
      </w:r>
      <w:r w:rsidRPr="008B2AE7">
        <w:rPr>
          <w:rFonts w:cstheme="minorHAnsi"/>
        </w:rPr>
        <w:t>heaviest</w:t>
      </w:r>
      <w:r w:rsidR="0027663B">
        <w:rPr>
          <w:rFonts w:cstheme="minorHAnsi"/>
        </w:rPr>
        <w:t>)</w:t>
      </w:r>
      <w:r w:rsidRPr="008B2AE7">
        <w:rPr>
          <w:rFonts w:cstheme="minorHAnsi"/>
        </w:rPr>
        <w:t xml:space="preserve"> group </w:t>
      </w:r>
      <w:r w:rsidR="0027663B">
        <w:rPr>
          <w:rFonts w:cstheme="minorHAnsi"/>
        </w:rPr>
        <w:t>had</w:t>
      </w:r>
      <w:r w:rsidRPr="008B2AE7">
        <w:rPr>
          <w:rFonts w:cstheme="minorHAnsi"/>
        </w:rPr>
        <w:t xml:space="preserve"> the largest </w:t>
      </w:r>
      <w:r w:rsidR="008A5A0A">
        <w:rPr>
          <w:rFonts w:cstheme="minorHAnsi"/>
        </w:rPr>
        <w:t xml:space="preserve">mean </w:t>
      </w:r>
      <w:r w:rsidRPr="008B2AE7">
        <w:rPr>
          <w:rFonts w:cstheme="minorHAnsi"/>
        </w:rPr>
        <w:t xml:space="preserve">deviation in dose of -0.04mg/kg and the smallest improvement in NIHSS of 4.00. Patients in tertile 2 </w:t>
      </w:r>
      <w:r w:rsidR="0027663B">
        <w:rPr>
          <w:rFonts w:cstheme="minorHAnsi"/>
        </w:rPr>
        <w:t>(</w:t>
      </w:r>
      <w:r w:rsidRPr="008B2AE7">
        <w:rPr>
          <w:rFonts w:cstheme="minorHAnsi"/>
        </w:rPr>
        <w:t>average</w:t>
      </w:r>
      <w:r w:rsidR="0027663B">
        <w:rPr>
          <w:rFonts w:cstheme="minorHAnsi"/>
        </w:rPr>
        <w:t>)</w:t>
      </w:r>
      <w:r w:rsidRPr="008B2AE7">
        <w:rPr>
          <w:rFonts w:cstheme="minorHAnsi"/>
        </w:rPr>
        <w:t xml:space="preserve"> were accurately dosed</w:t>
      </w:r>
      <w:r w:rsidR="008A5A0A">
        <w:rPr>
          <w:rFonts w:cstheme="minorHAnsi"/>
        </w:rPr>
        <w:t xml:space="preserve"> with a mean deviation of -0.02mg/kg</w:t>
      </w:r>
      <w:r w:rsidRPr="008B2AE7">
        <w:rPr>
          <w:rFonts w:cstheme="minorHAnsi"/>
        </w:rPr>
        <w:t xml:space="preserve">. This group saw the greatest improvement in NIHSS with 5.30 points on average. Finally, tertile 1 </w:t>
      </w:r>
      <w:r w:rsidR="0027663B">
        <w:rPr>
          <w:rFonts w:cstheme="minorHAnsi"/>
        </w:rPr>
        <w:t>(</w:t>
      </w:r>
      <w:r w:rsidRPr="008B2AE7">
        <w:rPr>
          <w:rFonts w:cstheme="minorHAnsi"/>
        </w:rPr>
        <w:t>lightest</w:t>
      </w:r>
      <w:r w:rsidR="0027663B">
        <w:rPr>
          <w:rFonts w:cstheme="minorHAnsi"/>
        </w:rPr>
        <w:t>)</w:t>
      </w:r>
      <w:r w:rsidRPr="008B2AE7">
        <w:rPr>
          <w:rFonts w:cstheme="minorHAnsi"/>
        </w:rPr>
        <w:t xml:space="preserve"> patients who received an overdose of 0.03mg/kg had an improvement of 4.51.</w:t>
      </w:r>
      <w:r w:rsidR="00E755F4">
        <w:rPr>
          <w:rFonts w:cstheme="minorHAnsi"/>
        </w:rPr>
        <w:t xml:space="preserve"> Following</w:t>
      </w:r>
      <w:r w:rsidRPr="008B2AE7">
        <w:rPr>
          <w:rFonts w:cstheme="minorHAnsi"/>
        </w:rPr>
        <w:t xml:space="preserve"> adjust</w:t>
      </w:r>
      <w:r w:rsidR="00E755F4">
        <w:rPr>
          <w:rFonts w:cstheme="minorHAnsi"/>
        </w:rPr>
        <w:t>ment</w:t>
      </w:r>
      <w:r w:rsidRPr="008B2AE7">
        <w:rPr>
          <w:rFonts w:cstheme="minorHAnsi"/>
        </w:rPr>
        <w:t xml:space="preserve"> for age and comorbidities using multiple linear regression, </w:t>
      </w:r>
      <w:r w:rsidR="00E755F4">
        <w:rPr>
          <w:rFonts w:cstheme="minorHAnsi"/>
        </w:rPr>
        <w:t>p</w:t>
      </w:r>
      <w:r w:rsidRPr="008B2AE7">
        <w:rPr>
          <w:rFonts w:cstheme="minorHAnsi"/>
        </w:rPr>
        <w:t xml:space="preserve">atients from tertile 1 had a greater improvement in NIHSS score of 1.8 when compared to tertile 3 (p=0.048). </w:t>
      </w:r>
      <w:r w:rsidR="004B0E95">
        <w:rPr>
          <w:rFonts w:cstheme="minorHAnsi"/>
        </w:rPr>
        <w:t xml:space="preserve"> </w:t>
      </w:r>
    </w:p>
    <w:p w:rsidR="007F2D62" w:rsidRPr="008B2AE7" w:rsidRDefault="004A527C">
      <w:pPr>
        <w:jc w:val="both"/>
        <w:rPr>
          <w:rFonts w:cstheme="minorHAnsi"/>
          <w:b/>
        </w:rPr>
      </w:pPr>
      <w:r w:rsidRPr="008B2AE7">
        <w:rPr>
          <w:rFonts w:cstheme="minorHAnsi"/>
          <w:b/>
        </w:rPr>
        <w:t>Discussion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t>Our</w:t>
      </w:r>
      <w:r w:rsidRPr="008B2AE7">
        <w:rPr>
          <w:rFonts w:cstheme="minorHAnsi"/>
        </w:rPr>
        <w:t xml:space="preserve"> analysis suggests that clinicians tend to significantly underestimate a patients' weight and this is largely accounted for by the underestimation of patients in the heaviest tertile weighing between 7</w:t>
      </w:r>
      <w:r w:rsidR="00A42EB1">
        <w:rPr>
          <w:rFonts w:cstheme="minorHAnsi"/>
        </w:rPr>
        <w:t>7.9</w:t>
      </w:r>
      <w:r w:rsidRPr="008B2AE7">
        <w:rPr>
          <w:rFonts w:cstheme="minorHAnsi"/>
        </w:rPr>
        <w:t xml:space="preserve"> and 120kg, although clinicians also tended to overestimate individuals who are in the lightest tertile.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lastRenderedPageBreak/>
        <w:t xml:space="preserve">As a </w:t>
      </w:r>
      <w:r w:rsidR="00E755F4">
        <w:rPr>
          <w:rFonts w:cstheme="minorHAnsi"/>
        </w:rPr>
        <w:t>consequence</w:t>
      </w:r>
      <w:r w:rsidRPr="008B2AE7">
        <w:rPr>
          <w:rFonts w:cstheme="minorHAnsi"/>
        </w:rPr>
        <w:t xml:space="preserve"> of estimation errors, incorrect dosing could negative</w:t>
      </w:r>
      <w:r w:rsidR="00E755F4">
        <w:rPr>
          <w:rFonts w:cstheme="minorHAnsi"/>
        </w:rPr>
        <w:t>ly</w:t>
      </w:r>
      <w:r w:rsidRPr="008B2AE7">
        <w:rPr>
          <w:rFonts w:cstheme="minorHAnsi"/>
        </w:rPr>
        <w:t xml:space="preserve"> impact on patient outcome</w:t>
      </w:r>
      <w:r w:rsidR="00E755F4">
        <w:rPr>
          <w:rFonts w:cstheme="minorHAnsi"/>
        </w:rPr>
        <w:t xml:space="preserve"> (increased ICH or ineffective thrombolysis)</w:t>
      </w:r>
      <w:r w:rsidRPr="008B2AE7">
        <w:rPr>
          <w:rFonts w:cstheme="minorHAnsi"/>
        </w:rPr>
        <w:t xml:space="preserve">. The majority of those in our study receiving an inaccurate dose were under-dosed.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>Those in tertile 2 were most appropriately dosed and saw the greatest improvement in NIHSS score. Conversely</w:t>
      </w:r>
      <w:r w:rsidR="00CC24C6">
        <w:rPr>
          <w:rFonts w:cstheme="minorHAnsi"/>
        </w:rPr>
        <w:t>,</w:t>
      </w:r>
      <w:r w:rsidRPr="008B2AE7">
        <w:rPr>
          <w:rFonts w:cstheme="minorHAnsi"/>
        </w:rPr>
        <w:t xml:space="preserve"> those receiving the largest deviation in dose had a comparatively reduced improvement in NIHSS score by day 7/discharge.</w:t>
      </w:r>
      <w:r w:rsidR="00B45F7B" w:rsidRPr="008B2AE7">
        <w:rPr>
          <w:rFonts w:cstheme="minorHAnsi"/>
        </w:rPr>
        <w:t xml:space="preserve"> Heavier patients were also noted to have more severe baseline NIHSS scores, and therefore have a greater potential benefi</w:t>
      </w:r>
      <w:r w:rsidR="00CE0B24">
        <w:rPr>
          <w:rFonts w:cstheme="minorHAnsi"/>
        </w:rPr>
        <w:t>t from appropriate thrombolysis, a</w:t>
      </w:r>
      <w:r w:rsidRPr="008B2AE7">
        <w:rPr>
          <w:rFonts w:cstheme="minorHAnsi"/>
        </w:rPr>
        <w:t>lthough may der</w:t>
      </w:r>
      <w:r w:rsidR="00CE0B24">
        <w:rPr>
          <w:rFonts w:cstheme="minorHAnsi"/>
        </w:rPr>
        <w:t>ive less benefit from rtPA</w:t>
      </w:r>
      <w:r w:rsidR="00B77D73" w:rsidRPr="00B77D73">
        <w:rPr>
          <w:rFonts w:cstheme="minorHAnsi"/>
          <w:vertAlign w:val="superscript"/>
        </w:rPr>
        <w:t>4</w:t>
      </w:r>
      <w:r w:rsidR="00F25098">
        <w:rPr>
          <w:rFonts w:cstheme="minorHAnsi"/>
        </w:rPr>
        <w:t xml:space="preserve"> </w:t>
      </w:r>
      <w:r w:rsidR="00CE0B24">
        <w:rPr>
          <w:rFonts w:cstheme="minorHAnsi"/>
        </w:rPr>
        <w:t>but</w:t>
      </w:r>
      <w:r w:rsidRPr="008B2AE7">
        <w:rPr>
          <w:rFonts w:cstheme="minorHAnsi"/>
        </w:rPr>
        <w:t xml:space="preserve"> this does not explain the reduced improvement in NIHSS score for tertile 3, which represents one-third of our population.</w:t>
      </w:r>
      <w:r w:rsidR="00B45F7B" w:rsidRPr="008B2AE7">
        <w:rPr>
          <w:rFonts w:cstheme="minorHAnsi"/>
        </w:rPr>
        <w:t xml:space="preserve"> </w:t>
      </w:r>
    </w:p>
    <w:p w:rsidR="007F2D62" w:rsidRDefault="00CC24C6">
      <w:pPr>
        <w:spacing w:line="480" w:lineRule="auto"/>
        <w:jc w:val="both"/>
        <w:rPr>
          <w:rFonts w:eastAsia="MS Mincho" w:cstheme="minorHAnsi"/>
          <w:lang w:val="en-US"/>
        </w:rPr>
      </w:pPr>
      <w:r>
        <w:rPr>
          <w:rFonts w:cstheme="minorHAnsi"/>
        </w:rPr>
        <w:t>Other investigators have also demonstrated</w:t>
      </w:r>
      <w:r w:rsidR="004A527C" w:rsidRPr="008B2AE7">
        <w:rPr>
          <w:rFonts w:cstheme="minorHAnsi"/>
        </w:rPr>
        <w:t xml:space="preserve"> a large variation in the accuracy of weight estimations with clinicians possibly better at estimating weights closer to their ow</w:t>
      </w:r>
      <w:r w:rsidR="00B77D73">
        <w:rPr>
          <w:rFonts w:cstheme="minorHAnsi"/>
        </w:rPr>
        <w:t>n</w:t>
      </w:r>
      <w:r w:rsidR="00B77D73" w:rsidRPr="00B77D73">
        <w:rPr>
          <w:rFonts w:cstheme="minorHAnsi"/>
          <w:vertAlign w:val="superscript"/>
        </w:rPr>
        <w:t>5</w:t>
      </w:r>
      <w:r w:rsidR="004A527C" w:rsidRPr="008B2AE7">
        <w:rPr>
          <w:rFonts w:cstheme="minorHAnsi"/>
        </w:rPr>
        <w:t xml:space="preserve">. The error rate for our study population was 19.7%, which falls between two </w:t>
      </w:r>
      <w:r w:rsidR="00E755F4">
        <w:rPr>
          <w:rFonts w:cstheme="minorHAnsi"/>
        </w:rPr>
        <w:t>previous studies of 38.2%</w:t>
      </w:r>
      <w:r w:rsidR="00B77D73" w:rsidRPr="00B77D73">
        <w:rPr>
          <w:rFonts w:cstheme="minorHAnsi"/>
          <w:vertAlign w:val="superscript"/>
        </w:rPr>
        <w:t>1</w:t>
      </w:r>
      <w:r w:rsidR="00F25098">
        <w:rPr>
          <w:rFonts w:cstheme="minorHAnsi"/>
        </w:rPr>
        <w:t xml:space="preserve"> </w:t>
      </w:r>
      <w:r w:rsidR="00E755F4">
        <w:rPr>
          <w:rFonts w:cstheme="minorHAnsi"/>
        </w:rPr>
        <w:t>and 14.9%</w:t>
      </w:r>
      <w:r w:rsidR="00B77D73" w:rsidRPr="00B77D73">
        <w:rPr>
          <w:rFonts w:cstheme="minorHAnsi"/>
          <w:position w:val="6"/>
          <w:vertAlign w:val="superscript"/>
        </w:rPr>
        <w:t>2</w:t>
      </w:r>
      <w:r w:rsidR="00F25098">
        <w:rPr>
          <w:rFonts w:cstheme="minorHAnsi"/>
        </w:rPr>
        <w:t>.</w:t>
      </w:r>
      <w:r w:rsidR="00CE0B24">
        <w:rPr>
          <w:rFonts w:cstheme="minorHAnsi"/>
        </w:rPr>
        <w:t xml:space="preserve"> </w:t>
      </w:r>
      <w:r w:rsidR="00E755F4">
        <w:rPr>
          <w:rFonts w:cstheme="minorHAnsi"/>
        </w:rPr>
        <w:t>E</w:t>
      </w:r>
      <w:r w:rsidR="004A527C" w:rsidRPr="008B2AE7">
        <w:rPr>
          <w:rFonts w:cstheme="minorHAnsi"/>
        </w:rPr>
        <w:t xml:space="preserve">stimating weight to determine rtPA dose </w:t>
      </w:r>
      <w:r w:rsidR="004A527C" w:rsidRPr="008B2AE7">
        <w:rPr>
          <w:rFonts w:eastAsia="MS Mincho" w:cstheme="minorHAnsi"/>
          <w:lang w:val="en-US"/>
        </w:rPr>
        <w:t xml:space="preserve">is certainly </w:t>
      </w:r>
      <w:r>
        <w:rPr>
          <w:rFonts w:eastAsia="MS Mincho" w:cstheme="minorHAnsi"/>
          <w:lang w:val="en-US"/>
        </w:rPr>
        <w:t xml:space="preserve">more </w:t>
      </w:r>
      <w:r w:rsidR="00E755F4">
        <w:rPr>
          <w:rFonts w:eastAsia="MS Mincho" w:cstheme="minorHAnsi"/>
          <w:lang w:val="en-US"/>
        </w:rPr>
        <w:t>widely</w:t>
      </w:r>
      <w:r w:rsidR="004A527C" w:rsidRPr="008B2AE7">
        <w:rPr>
          <w:rFonts w:eastAsia="MS Mincho" w:cstheme="minorHAnsi"/>
          <w:lang w:val="en-US"/>
        </w:rPr>
        <w:t xml:space="preserve"> practiced</w:t>
      </w:r>
      <w:r w:rsidR="00E755F4">
        <w:rPr>
          <w:rFonts w:eastAsia="MS Mincho" w:cstheme="minorHAnsi"/>
          <w:lang w:val="en-US"/>
        </w:rPr>
        <w:t xml:space="preserve"> compared to </w:t>
      </w:r>
      <w:r w:rsidR="004A527C" w:rsidRPr="008B2AE7">
        <w:rPr>
          <w:rFonts w:eastAsia="MS Mincho" w:cstheme="minorHAnsi"/>
          <w:lang w:val="en-US"/>
        </w:rPr>
        <w:t>anthropometric measurements</w:t>
      </w:r>
      <w:r w:rsidR="00B77D73" w:rsidRPr="00B77D73">
        <w:rPr>
          <w:rFonts w:eastAsia="MS Mincho" w:cstheme="minorHAnsi"/>
          <w:vertAlign w:val="superscript"/>
          <w:lang w:val="en-US"/>
        </w:rPr>
        <w:t>1</w:t>
      </w:r>
      <w:r w:rsidR="00E755F4">
        <w:rPr>
          <w:rFonts w:eastAsia="MS Mincho" w:cstheme="minorHAnsi"/>
          <w:lang w:val="en-US"/>
        </w:rPr>
        <w:t xml:space="preserve"> which can take</w:t>
      </w:r>
      <w:r w:rsidR="004A527C" w:rsidRPr="008B2AE7">
        <w:rPr>
          <w:rFonts w:eastAsia="MS Mincho" w:cstheme="minorHAnsi"/>
          <w:lang w:val="en-US"/>
        </w:rPr>
        <w:t xml:space="preserve"> as long as </w:t>
      </w:r>
      <w:r>
        <w:rPr>
          <w:rFonts w:eastAsia="MS Mincho" w:cstheme="minorHAnsi"/>
          <w:lang w:val="en-US"/>
        </w:rPr>
        <w:t xml:space="preserve">formally </w:t>
      </w:r>
      <w:r w:rsidR="004A527C" w:rsidRPr="008B2AE7">
        <w:rPr>
          <w:rFonts w:eastAsia="MS Mincho" w:cstheme="minorHAnsi"/>
          <w:lang w:val="en-US"/>
        </w:rPr>
        <w:t xml:space="preserve">weighing patients. </w:t>
      </w:r>
    </w:p>
    <w:p w:rsidR="007F2D62" w:rsidRPr="008B2AE7" w:rsidRDefault="004A527C">
      <w:pPr>
        <w:spacing w:line="480" w:lineRule="auto"/>
        <w:jc w:val="both"/>
        <w:rPr>
          <w:rFonts w:cstheme="minorHAnsi"/>
        </w:rPr>
      </w:pPr>
      <w:r w:rsidRPr="008B2AE7">
        <w:rPr>
          <w:rFonts w:cstheme="minorHAnsi"/>
        </w:rPr>
        <w:t xml:space="preserve">While our study is one of the largest conducted on weight estimation in the acute stroke setting to-date and the only study to </w:t>
      </w:r>
      <w:r w:rsidR="00CE0B24">
        <w:rPr>
          <w:rFonts w:cstheme="minorHAnsi"/>
        </w:rPr>
        <w:t>include</w:t>
      </w:r>
      <w:r w:rsidRPr="008B2AE7">
        <w:rPr>
          <w:rFonts w:cstheme="minorHAnsi"/>
        </w:rPr>
        <w:t xml:space="preserve"> NIHSS outcomes </w:t>
      </w:r>
      <w:r w:rsidR="00CE0B24">
        <w:rPr>
          <w:rFonts w:cstheme="minorHAnsi"/>
        </w:rPr>
        <w:t>in addition</w:t>
      </w:r>
      <w:r w:rsidRPr="008B2AE7">
        <w:rPr>
          <w:rFonts w:cstheme="minorHAnsi"/>
        </w:rPr>
        <w:t xml:space="preserve"> to mRS</w:t>
      </w:r>
      <w:r w:rsidR="00B77D73" w:rsidRPr="00B77D73">
        <w:rPr>
          <w:rFonts w:cstheme="minorHAnsi"/>
          <w:position w:val="6"/>
          <w:vertAlign w:val="superscript"/>
        </w:rPr>
        <w:t>1-3</w:t>
      </w:r>
      <w:r w:rsidR="00CE0B24">
        <w:rPr>
          <w:rFonts w:cstheme="minorHAnsi"/>
        </w:rPr>
        <w:t>,</w:t>
      </w:r>
      <w:r w:rsidRPr="008B2AE7">
        <w:rPr>
          <w:rFonts w:cstheme="minorHAnsi"/>
        </w:rPr>
        <w:t xml:space="preserve"> a number of limitations need to be considered. This was a retrospective study and subject to that bias. However, the data analysed was from an extensive database of all consecutive acute stroke patients admitted </w:t>
      </w:r>
      <w:r w:rsidR="00B65C95">
        <w:rPr>
          <w:rFonts w:cstheme="minorHAnsi"/>
        </w:rPr>
        <w:t>no matter what time of day</w:t>
      </w:r>
      <w:r w:rsidRPr="008B2AE7">
        <w:rPr>
          <w:rFonts w:cstheme="minorHAnsi"/>
        </w:rPr>
        <w:t xml:space="preserve">. We therefore believe that all patients have been captured. </w:t>
      </w:r>
      <w:r w:rsidR="00CE0B24">
        <w:rPr>
          <w:rFonts w:cstheme="minorHAnsi"/>
        </w:rPr>
        <w:t>W</w:t>
      </w:r>
      <w:r w:rsidRPr="008B2AE7">
        <w:rPr>
          <w:rFonts w:cstheme="minorHAnsi"/>
        </w:rPr>
        <w:t>hile weight was measured within 24 hours it may differ slightly from admission weight due to the effects of dehydration.</w:t>
      </w:r>
      <w:r w:rsidR="00EA33B4">
        <w:rPr>
          <w:rFonts w:cstheme="minorHAnsi"/>
        </w:rPr>
        <w:t xml:space="preserve"> Although weight estimation is necessary to determine tPA dose for the majority of patients, individuals weighing over 100kg </w:t>
      </w:r>
      <w:r w:rsidR="00041FBC">
        <w:rPr>
          <w:rFonts w:cstheme="minorHAnsi"/>
        </w:rPr>
        <w:t xml:space="preserve">receive </w:t>
      </w:r>
      <w:r w:rsidR="00EA33B4">
        <w:rPr>
          <w:rFonts w:cstheme="minorHAnsi"/>
        </w:rPr>
        <w:t>the maximum dose and therefore weight estimation has no bearing on these individuals</w:t>
      </w:r>
      <w:r w:rsidR="00E755F4">
        <w:rPr>
          <w:rFonts w:cstheme="minorHAnsi"/>
        </w:rPr>
        <w:t xml:space="preserve"> (and our results were preserved when these 17 patients were excluded)</w:t>
      </w:r>
      <w:r w:rsidR="00EA33B4">
        <w:rPr>
          <w:rFonts w:cstheme="minorHAnsi"/>
        </w:rPr>
        <w:t>.</w:t>
      </w:r>
      <w:r w:rsidRPr="008B2AE7">
        <w:rPr>
          <w:rFonts w:cstheme="minorHAnsi"/>
        </w:rPr>
        <w:t xml:space="preserve"> The study was conducted </w:t>
      </w:r>
      <w:r w:rsidR="00C429C5">
        <w:rPr>
          <w:rFonts w:cstheme="minorHAnsi"/>
        </w:rPr>
        <w:t>a single city,</w:t>
      </w:r>
      <w:r w:rsidRPr="008B2AE7">
        <w:rPr>
          <w:rFonts w:cstheme="minorHAnsi"/>
        </w:rPr>
        <w:t xml:space="preserve"> London, UK. However, this </w:t>
      </w:r>
      <w:r w:rsidR="00C429C5">
        <w:rPr>
          <w:rFonts w:cstheme="minorHAnsi"/>
        </w:rPr>
        <w:t>capital city houses</w:t>
      </w:r>
      <w:r w:rsidRPr="008B2AE7">
        <w:rPr>
          <w:rFonts w:cstheme="minorHAnsi"/>
        </w:rPr>
        <w:t xml:space="preserve"> </w:t>
      </w:r>
      <w:r w:rsidR="00C429C5">
        <w:rPr>
          <w:rFonts w:cstheme="minorHAnsi"/>
        </w:rPr>
        <w:t>some</w:t>
      </w:r>
      <w:r w:rsidR="00C429C5" w:rsidRPr="008B2AE7">
        <w:rPr>
          <w:rFonts w:cstheme="minorHAnsi"/>
        </w:rPr>
        <w:t xml:space="preserve"> </w:t>
      </w:r>
      <w:r w:rsidRPr="008B2AE7">
        <w:rPr>
          <w:rFonts w:cstheme="minorHAnsi"/>
        </w:rPr>
        <w:t xml:space="preserve">of the largest acute stroke units in the country admitting </w:t>
      </w:r>
      <w:r w:rsidR="005C0D5B">
        <w:rPr>
          <w:rFonts w:cstheme="minorHAnsi"/>
        </w:rPr>
        <w:t>nearly</w:t>
      </w:r>
      <w:r w:rsidR="005C0D5B" w:rsidRPr="008B2AE7">
        <w:rPr>
          <w:rFonts w:cstheme="minorHAnsi"/>
        </w:rPr>
        <w:t xml:space="preserve"> </w:t>
      </w:r>
      <w:r w:rsidR="005C0D5B">
        <w:rPr>
          <w:rFonts w:cstheme="minorHAnsi"/>
        </w:rPr>
        <w:t>20</w:t>
      </w:r>
      <w:r w:rsidR="00CE0B24">
        <w:rPr>
          <w:rFonts w:cstheme="minorHAnsi"/>
        </w:rPr>
        <w:t>00 stroke patients per year.</w:t>
      </w:r>
      <w:r w:rsidRPr="008B2AE7">
        <w:rPr>
          <w:rFonts w:cstheme="minorHAnsi"/>
        </w:rPr>
        <w:t xml:space="preserve"> Thus, we believe our data and </w:t>
      </w:r>
      <w:r w:rsidRPr="008B2AE7">
        <w:rPr>
          <w:rFonts w:cstheme="minorHAnsi"/>
        </w:rPr>
        <w:lastRenderedPageBreak/>
        <w:t xml:space="preserve">results are likely to be representative of most stroke units. </w:t>
      </w:r>
      <w:r w:rsidR="004A7D3B">
        <w:rPr>
          <w:rFonts w:cstheme="minorHAnsi"/>
        </w:rPr>
        <w:t xml:space="preserve">Finally, we would argue that those with the heaviest weight have the worst outcomes because of dosing errors, but it is possible that their outcomes </w:t>
      </w:r>
      <w:r w:rsidR="003C1869">
        <w:rPr>
          <w:rFonts w:cstheme="minorHAnsi"/>
        </w:rPr>
        <w:t>were</w:t>
      </w:r>
      <w:r w:rsidR="004A7D3B">
        <w:rPr>
          <w:rFonts w:cstheme="minorHAnsi"/>
        </w:rPr>
        <w:t xml:space="preserve"> worse because of associated co-morbidity, although this was not the case in </w:t>
      </w:r>
      <w:r w:rsidR="003C1869">
        <w:rPr>
          <w:rFonts w:cstheme="minorHAnsi"/>
        </w:rPr>
        <w:t>a</w:t>
      </w:r>
      <w:r w:rsidR="00CE0B24">
        <w:rPr>
          <w:rFonts w:cstheme="minorHAnsi"/>
        </w:rPr>
        <w:t>nother</w:t>
      </w:r>
      <w:r w:rsidR="003C1869">
        <w:rPr>
          <w:rFonts w:cstheme="minorHAnsi"/>
        </w:rPr>
        <w:t xml:space="preserve"> large</w:t>
      </w:r>
      <w:r w:rsidR="004A7D3B">
        <w:rPr>
          <w:rFonts w:cstheme="minorHAnsi"/>
        </w:rPr>
        <w:t xml:space="preserve"> study</w:t>
      </w:r>
      <w:r w:rsidR="003C1869">
        <w:rPr>
          <w:rFonts w:cstheme="minorHAnsi"/>
        </w:rPr>
        <w:t xml:space="preserve"> addressing this issue</w:t>
      </w:r>
      <w:r w:rsidR="00B77D73" w:rsidRPr="00B77D73">
        <w:rPr>
          <w:rFonts w:cstheme="minorHAnsi"/>
          <w:position w:val="6"/>
          <w:vertAlign w:val="superscript"/>
        </w:rPr>
        <w:t>6</w:t>
      </w:r>
      <w:r w:rsidR="00085ED6">
        <w:rPr>
          <w:rFonts w:cstheme="minorHAnsi"/>
        </w:rPr>
        <w:t>.</w:t>
      </w:r>
      <w:r w:rsidR="004A7D3B">
        <w:rPr>
          <w:rFonts w:cstheme="minorHAnsi"/>
        </w:rPr>
        <w:t xml:space="preserve"> </w:t>
      </w:r>
      <w:r w:rsidR="001166AE">
        <w:rPr>
          <w:rFonts w:cstheme="minorHAnsi"/>
        </w:rPr>
        <w:t>Notwithstanding this evidence, being overweight could be associated with bad outcome and under-dosing may be a contributing factor to that outcome.</w:t>
      </w:r>
    </w:p>
    <w:p w:rsidR="003E156C" w:rsidRDefault="00E755F4" w:rsidP="007931B3">
      <w:pPr>
        <w:spacing w:after="0" w:line="480" w:lineRule="auto"/>
        <w:jc w:val="both"/>
        <w:rPr>
          <w:rFonts w:eastAsia="MS Mincho" w:cstheme="minorHAnsi"/>
          <w:lang w:val="en-US"/>
        </w:rPr>
      </w:pPr>
      <w:r>
        <w:rPr>
          <w:rFonts w:cstheme="minorHAnsi"/>
        </w:rPr>
        <w:t>We conclude</w:t>
      </w:r>
      <w:r w:rsidR="004A527C" w:rsidRPr="008B2AE7">
        <w:rPr>
          <w:rFonts w:cstheme="minorHAnsi"/>
        </w:rPr>
        <w:t xml:space="preserve"> clinicians are poor at approximating the weights of stroke patients in the acute setting, especially at the extremes of weight. These heaviest patients, around 1 in 3 of all thrombolysed</w:t>
      </w:r>
      <w:r w:rsidR="00CE0B24">
        <w:rPr>
          <w:rFonts w:cstheme="minorHAnsi"/>
        </w:rPr>
        <w:t xml:space="preserve"> </w:t>
      </w:r>
      <w:r w:rsidR="004A527C" w:rsidRPr="008B2AE7">
        <w:rPr>
          <w:rFonts w:cstheme="minorHAnsi"/>
        </w:rPr>
        <w:t>patients, tend to be under-dosed which</w:t>
      </w:r>
      <w:r w:rsidR="00B45F7B" w:rsidRPr="008B2AE7">
        <w:rPr>
          <w:rFonts w:cstheme="minorHAnsi"/>
        </w:rPr>
        <w:t xml:space="preserve"> may</w:t>
      </w:r>
      <w:r w:rsidR="004A527C" w:rsidRPr="008B2AE7">
        <w:rPr>
          <w:rFonts w:cstheme="minorHAnsi"/>
        </w:rPr>
        <w:t xml:space="preserve"> lead to poorer outcomes. Our results</w:t>
      </w:r>
      <w:r w:rsidR="004A527C" w:rsidRPr="008B2AE7">
        <w:rPr>
          <w:rFonts w:eastAsia="MS Mincho" w:cstheme="minorHAnsi"/>
          <w:lang w:val="en-US"/>
        </w:rPr>
        <w:t xml:space="preserve"> argue in favour of</w:t>
      </w:r>
      <w:r w:rsidR="00CE0B24">
        <w:rPr>
          <w:rFonts w:eastAsia="MS Mincho" w:cstheme="minorHAnsi"/>
          <w:lang w:val="en-US"/>
        </w:rPr>
        <w:t xml:space="preserve"> beds </w:t>
      </w:r>
      <w:r w:rsidR="00CE0B24" w:rsidRPr="008B2AE7">
        <w:rPr>
          <w:rFonts w:eastAsia="MS Mincho" w:cstheme="minorHAnsi"/>
          <w:lang w:val="en-US"/>
        </w:rPr>
        <w:t>capable of weighing patients in emergency rooms for acute stroke patients who are unable to report their own weight.</w:t>
      </w:r>
    </w:p>
    <w:p w:rsidR="003E156C" w:rsidRDefault="003E156C">
      <w:pPr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br w:type="page"/>
      </w:r>
    </w:p>
    <w:p w:rsidR="00026CDE" w:rsidRDefault="00026CDE" w:rsidP="00026CDE">
      <w:pPr>
        <w:spacing w:after="0" w:line="480" w:lineRule="auto"/>
        <w:jc w:val="both"/>
        <w:rPr>
          <w:rFonts w:cstheme="minorHAnsi"/>
          <w:b/>
        </w:rPr>
      </w:pPr>
    </w:p>
    <w:p w:rsidR="00026CDE" w:rsidRDefault="00026CDE" w:rsidP="00026CDE">
      <w:pPr>
        <w:spacing w:after="0" w:line="48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Disclosures</w:t>
      </w:r>
    </w:p>
    <w:p w:rsidR="00026CDE" w:rsidRPr="00026CDE" w:rsidRDefault="00026CDE" w:rsidP="00026CDE">
      <w:pPr>
        <w:spacing w:after="0" w:line="480" w:lineRule="auto"/>
        <w:jc w:val="both"/>
        <w:rPr>
          <w:rFonts w:cstheme="minorHAnsi"/>
        </w:rPr>
      </w:pPr>
      <w:r w:rsidRPr="00026CDE">
        <w:rPr>
          <w:rFonts w:cstheme="minorHAnsi"/>
        </w:rPr>
        <w:t>None</w:t>
      </w:r>
    </w:p>
    <w:p w:rsidR="00026CDE" w:rsidRDefault="00026CDE" w:rsidP="00026CDE">
      <w:pPr>
        <w:spacing w:after="0" w:line="480" w:lineRule="auto"/>
        <w:jc w:val="both"/>
        <w:rPr>
          <w:rFonts w:cstheme="minorHAnsi"/>
          <w:b/>
        </w:rPr>
      </w:pPr>
    </w:p>
    <w:p w:rsidR="00026CDE" w:rsidRDefault="00026CDE" w:rsidP="00026CDE">
      <w:pPr>
        <w:spacing w:after="0" w:line="480" w:lineRule="auto"/>
        <w:jc w:val="both"/>
        <w:rPr>
          <w:rFonts w:cstheme="minorHAnsi"/>
          <w:b/>
        </w:rPr>
      </w:pPr>
    </w:p>
    <w:p w:rsidR="00026CDE" w:rsidRPr="00F25098" w:rsidRDefault="00026CDE" w:rsidP="00026CDE">
      <w:pPr>
        <w:spacing w:after="0" w:line="480" w:lineRule="auto"/>
        <w:jc w:val="both"/>
        <w:rPr>
          <w:rFonts w:cstheme="minorHAnsi"/>
          <w:b/>
        </w:rPr>
      </w:pPr>
      <w:r w:rsidRPr="00085ED6">
        <w:rPr>
          <w:rFonts w:cstheme="minorHAnsi"/>
          <w:b/>
        </w:rPr>
        <w:t>References</w:t>
      </w:r>
    </w:p>
    <w:p w:rsidR="00752D99" w:rsidRPr="00752D99" w:rsidRDefault="00026CDE" w:rsidP="00752D99">
      <w:pPr>
        <w:pStyle w:val="EndNoteBibliography"/>
        <w:spacing w:after="0"/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EN.REFLIST </w:instrText>
      </w:r>
      <w:r>
        <w:rPr>
          <w:rFonts w:cstheme="minorHAnsi"/>
        </w:rPr>
        <w:fldChar w:fldCharType="separate"/>
      </w:r>
      <w:r w:rsidR="00752D99" w:rsidRPr="00752D99">
        <w:t>1.</w:t>
      </w:r>
      <w:r w:rsidR="00752D99" w:rsidRPr="00752D99">
        <w:tab/>
        <w:t>Breuer L, Nowe T, Huttner HB, Blinzler C, Kollmar R, Schellinger PD, et al. Weight approximation in stroke before thrombolysis: the WAIST-Study: a prospective observational "dose-finding" study. Stroke. 2010;41(12):2867-71.</w:t>
      </w:r>
    </w:p>
    <w:p w:rsidR="00752D99" w:rsidRPr="00752D99" w:rsidRDefault="00752D99" w:rsidP="00752D99">
      <w:pPr>
        <w:pStyle w:val="EndNoteBibliography"/>
        <w:spacing w:after="0"/>
      </w:pPr>
      <w:r w:rsidRPr="00752D99">
        <w:t>2.</w:t>
      </w:r>
      <w:r w:rsidRPr="00752D99">
        <w:tab/>
        <w:t>Messé SR, Kasner SE, Cucchiara BL, Demchuk A, Tanne D, Ouyang B, et al. Dosing errors did not have a major impact on outcome in the NINDS t-PA stroke study. J Stroke Cerebrovasc Dis. 2011;20(3):236-40.</w:t>
      </w:r>
    </w:p>
    <w:p w:rsidR="00752D99" w:rsidRPr="00752D99" w:rsidRDefault="00752D99" w:rsidP="00752D99">
      <w:pPr>
        <w:pStyle w:val="EndNoteBibliography"/>
        <w:spacing w:after="0"/>
      </w:pPr>
      <w:r w:rsidRPr="00752D99">
        <w:t>3.</w:t>
      </w:r>
      <w:r w:rsidRPr="00752D99">
        <w:tab/>
        <w:t>Sahlas DJ, Gould L, Swartz RH, Mohammed N, McNicoll-Whiteman R, Naufal F, et al. Tissue plasminogen activator overdose in acute ischemic stroke patients linked to poorer functional outcomes. J Stroke Cerebrovasc Dis. 2014;23(1):155-9.</w:t>
      </w:r>
    </w:p>
    <w:p w:rsidR="00752D99" w:rsidRPr="00752D99" w:rsidRDefault="00752D99" w:rsidP="00752D99">
      <w:pPr>
        <w:pStyle w:val="EndNoteBibliography"/>
        <w:spacing w:after="0"/>
      </w:pPr>
      <w:r w:rsidRPr="00752D99">
        <w:t>4.</w:t>
      </w:r>
      <w:r w:rsidRPr="00752D99">
        <w:tab/>
        <w:t>Lou M, Selim M. Does body weight influence the response to intravenous tissue plasminogen activator in stroke patients? Cerebrovasc Dis. 2009;27(1):84-90.</w:t>
      </w:r>
    </w:p>
    <w:p w:rsidR="00752D99" w:rsidRPr="00752D99" w:rsidRDefault="00752D99" w:rsidP="00752D99">
      <w:pPr>
        <w:pStyle w:val="EndNoteBibliography"/>
        <w:spacing w:after="0"/>
      </w:pPr>
      <w:r w:rsidRPr="00752D99">
        <w:t>5.</w:t>
      </w:r>
      <w:r w:rsidRPr="00752D99">
        <w:tab/>
        <w:t>Coe TR, Halkes M, Houghton K, Jefferson D. The accuracy of visual estimation of weight and height in pre-operative supine patients. Anaesthesia. 1999;54(6):582-6.</w:t>
      </w:r>
    </w:p>
    <w:p w:rsidR="00752D99" w:rsidRPr="00752D99" w:rsidRDefault="00752D99" w:rsidP="00752D99">
      <w:pPr>
        <w:pStyle w:val="EndNoteBibliography"/>
      </w:pPr>
      <w:r w:rsidRPr="00752D99">
        <w:t>6.</w:t>
      </w:r>
      <w:r w:rsidRPr="00752D99">
        <w:tab/>
        <w:t>Doehner W, Schenkel J, Anker SD, Springer J, Audebert HJ. Overweight and obesity are associated with improved survival, functional outcome, and stroke recurrence after acute stroke or transient ischaemic attack: observations from the TEMPiS trial. European heart journal. 2013;34(4):268-77.</w:t>
      </w:r>
    </w:p>
    <w:p w:rsidR="00026CDE" w:rsidRDefault="00026CDE" w:rsidP="00026CDE">
      <w:pPr>
        <w:rPr>
          <w:rFonts w:eastAsia="MS Mincho" w:cstheme="minorHAnsi"/>
          <w:lang w:val="en-US"/>
        </w:rPr>
      </w:pPr>
      <w:r>
        <w:rPr>
          <w:rFonts w:cstheme="minorHAnsi"/>
        </w:rPr>
        <w:fldChar w:fldCharType="end"/>
      </w:r>
    </w:p>
    <w:p w:rsidR="00026CDE" w:rsidRDefault="00026CDE">
      <w:pPr>
        <w:rPr>
          <w:rFonts w:eastAsia="MS Mincho" w:cstheme="minorHAnsi"/>
          <w:lang w:val="en-US"/>
        </w:rPr>
      </w:pPr>
      <w:r>
        <w:rPr>
          <w:rFonts w:eastAsia="MS Mincho" w:cstheme="minorHAnsi"/>
          <w:lang w:val="en-US"/>
        </w:rPr>
        <w:br w:type="page"/>
      </w:r>
    </w:p>
    <w:p w:rsidR="003E156C" w:rsidRDefault="003E156C" w:rsidP="007931B3">
      <w:pPr>
        <w:spacing w:after="0" w:line="480" w:lineRule="auto"/>
        <w:jc w:val="both"/>
        <w:rPr>
          <w:rFonts w:eastAsia="MS Mincho" w:cstheme="minorHAnsi"/>
          <w:lang w:val="en-US"/>
        </w:rPr>
      </w:pPr>
    </w:p>
    <w:tbl>
      <w:tblPr>
        <w:tblW w:w="6308" w:type="dxa"/>
        <w:tblInd w:w="93" w:type="dxa"/>
        <w:tblLook w:val="04A0" w:firstRow="1" w:lastRow="0" w:firstColumn="1" w:lastColumn="0" w:noHBand="0" w:noVBand="1"/>
      </w:tblPr>
      <w:tblGrid>
        <w:gridCol w:w="4760"/>
        <w:gridCol w:w="1548"/>
      </w:tblGrid>
      <w:tr w:rsidR="003E156C" w:rsidTr="003E156C">
        <w:trPr>
          <w:trHeight w:val="324"/>
        </w:trPr>
        <w:tc>
          <w:tcPr>
            <w:tcW w:w="6308" w:type="dxa"/>
            <w:gridSpan w:val="2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Table 1: Descriptive statistics for stroke patients (n=242)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3E156C" w:rsidTr="003E156C">
        <w:trPr>
          <w:trHeight w:val="291"/>
        </w:trPr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Variables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n(%)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Age, mean (SD)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71.2 (16.3)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Gender, male (%)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123 (50.8)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Thrombectomy (%)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 (2.9)</w:t>
            </w:r>
          </w:p>
        </w:tc>
      </w:tr>
      <w:tr w:rsidR="003E156C" w:rsidTr="003E156C">
        <w:trPr>
          <w:trHeight w:val="29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Risk Factors, yes (%)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Hypertension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143 (59.1)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Diabetes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 (19)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Hyperlipidaema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 (28.9)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Current smoker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29 (12)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smoker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 (17.8)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Previous ischaemic stroke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54 (22.3)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Atrial fibrillation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35 (14.5)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Congestive cardiac failure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 (5.4)</w:t>
            </w:r>
          </w:p>
        </w:tc>
      </w:tr>
      <w:tr w:rsidR="003E156C" w:rsidTr="003E156C">
        <w:trPr>
          <w:trHeight w:val="29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Medications, yes (%)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Aspirin/dipyridamol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58 (24)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Clopidogrel/other antiplatelet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28 (11.6)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Anticoagulants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 (4.1)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Antihypertensive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 (19.8)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Observations on admission, mean (SD)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Systolic Blood pressure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Β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153.1 (27.5)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Diastolic Blood pressure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Β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80.9 (16.9)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Glucose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Γ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7.4 (2.8)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NIHSS score, mean (SD)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pre-tPA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Δ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9.9 (6.8)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After 2 hours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Ε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7.4 (6.9)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 24 hours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Ζ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6.2 (6.6)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 72 hours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Η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5.4 (6.5)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At 7 days/discharge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Θ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4.4 (6)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mRS score, frequency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Pre-morbid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Ι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192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 day/discharge</w:t>
            </w:r>
            <w:r>
              <w:rPr>
                <w:rFonts w:eastAsia="Times New Roman" w:cs="Times New Roman"/>
                <w:b/>
                <w:bCs/>
                <w:color w:val="000000"/>
                <w:vertAlign w:val="superscript"/>
              </w:rPr>
              <w:t>Κ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66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20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34</w:t>
            </w:r>
          </w:p>
        </w:tc>
      </w:tr>
      <w:tr w:rsidR="003E156C" w:rsidTr="003E156C">
        <w:trPr>
          <w:trHeight w:val="271"/>
        </w:trPr>
        <w:tc>
          <w:tcPr>
            <w:tcW w:w="4760" w:type="dxa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548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</w:t>
            </w:r>
          </w:p>
        </w:tc>
      </w:tr>
      <w:tr w:rsidR="003E156C" w:rsidTr="003E156C">
        <w:trPr>
          <w:trHeight w:val="291"/>
        </w:trPr>
        <w:tc>
          <w:tcPr>
            <w:tcW w:w="4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</w:t>
            </w:r>
          </w:p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Intracerebral Haemorrhage (ICH)</w:t>
            </w:r>
            <w:r>
              <w:rPr>
                <w:rFonts w:eastAsia="Times New Roman" w:cs="Times New Roman"/>
                <w:color w:val="000000"/>
                <w:vertAlign w:val="superscript"/>
              </w:rPr>
              <w:t>L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17 (0.07)</w:t>
            </w:r>
          </w:p>
        </w:tc>
      </w:tr>
      <w:tr w:rsidR="003E156C" w:rsidTr="003E156C">
        <w:trPr>
          <w:trHeight w:val="271"/>
        </w:trPr>
        <w:tc>
          <w:tcPr>
            <w:tcW w:w="6308" w:type="dxa"/>
            <w:gridSpan w:val="2"/>
            <w:noWrap/>
            <w:vAlign w:val="center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 n=241, Γ n=236, Δ n=238, Ε n=235, Ζ n=234, Η n=197, Θ n=204, </w:t>
            </w:r>
          </w:p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Ι n=240, Κ n=216 L n=234</w:t>
            </w:r>
          </w:p>
        </w:tc>
      </w:tr>
    </w:tbl>
    <w:p w:rsidR="003E156C" w:rsidRDefault="003E156C" w:rsidP="003E156C">
      <w:pPr>
        <w:jc w:val="both"/>
        <w:rPr>
          <w:rFonts w:eastAsia="MS Mincho" w:cs="Times New Roman"/>
          <w:lang w:val="en-US"/>
        </w:rPr>
      </w:pPr>
    </w:p>
    <w:p w:rsidR="003E156C" w:rsidRDefault="003E156C" w:rsidP="003E156C">
      <w:pPr>
        <w:jc w:val="both"/>
        <w:rPr>
          <w:rFonts w:eastAsia="MS Mincho" w:cs="Times New Roman"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  <w:r>
        <w:rPr>
          <w:rFonts w:eastAsia="MS Mincho" w:cs="Times New Roman"/>
          <w:b/>
          <w:lang w:val="en-US"/>
        </w:rPr>
        <w:t>Table 2: Comparison of weight estimation error for tertiles of measured weight using ANOVA (n=242)</w:t>
      </w: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</w:p>
    <w:tbl>
      <w:tblPr>
        <w:tblW w:w="8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2266"/>
        <w:gridCol w:w="2266"/>
        <w:gridCol w:w="2266"/>
      </w:tblGrid>
      <w:tr w:rsidR="003E156C" w:rsidTr="003E156C">
        <w:trPr>
          <w:trHeight w:val="300"/>
        </w:trPr>
        <w:tc>
          <w:tcPr>
            <w:tcW w:w="8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Tukey's Honest Significant Difference &amp; </w:t>
            </w:r>
            <w:r>
              <w:rPr>
                <w:rFonts w:cstheme="minorHAnsi"/>
              </w:rPr>
              <w:t>Lowest Significant Difference analysis</w:t>
            </w:r>
          </w:p>
        </w:tc>
      </w:tr>
      <w:tr w:rsidR="003E156C" w:rsidTr="003E156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Measured Weight (kg)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1</w:t>
            </w:r>
          </w:p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2</w:t>
            </w:r>
          </w:p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3</w:t>
            </w:r>
          </w:p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1 (37-64.5)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bottom"/>
            <w:hideMark/>
          </w:tcPr>
          <w:p w:rsidR="003E156C" w:rsidRPr="00026CDE" w:rsidRDefault="003E156C">
            <w:pPr>
              <w:rPr>
                <w:rFonts w:eastAsia="Times New Roman" w:cs="Times New Roman"/>
                <w:bCs/>
                <w:color w:val="FFFFFF" w:themeColor="background1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1.56 (0.307)</w:t>
            </w: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5.86 (&lt;0.001)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2 (64.6-77.8)</w:t>
            </w: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-1.56 (0.307)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4.30 (&lt;0.001)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3 (77.9-120)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-5.86 (&lt;0.001)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-4.30 (&lt;0.001)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3E156C" w:rsidTr="003E156C">
        <w:trPr>
          <w:trHeight w:val="300"/>
        </w:trPr>
        <w:tc>
          <w:tcPr>
            <w:tcW w:w="8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Least Significant Difference</w:t>
            </w:r>
          </w:p>
        </w:tc>
      </w:tr>
      <w:tr w:rsidR="003E156C" w:rsidTr="003E156C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Measured Weight (kg)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1</w:t>
            </w:r>
          </w:p>
          <w:p w:rsidR="003E156C" w:rsidRDefault="003E156C">
            <w:pPr>
              <w:spacing w:after="0" w:line="240" w:lineRule="auto"/>
              <w:ind w:left="-108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2</w:t>
            </w:r>
          </w:p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Tertile 3</w:t>
            </w:r>
          </w:p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mean diff (p value)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1 (37-64.5)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1.56 (0.143)</w:t>
            </w: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5.86 (&lt;0.001)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2 (64.6-77.8)</w:t>
            </w: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-1.56 (0.143)</w:t>
            </w:r>
          </w:p>
        </w:tc>
        <w:tc>
          <w:tcPr>
            <w:tcW w:w="2267" w:type="dxa"/>
            <w:shd w:val="clear" w:color="auto" w:fill="FFFFFF" w:themeFill="background1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267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4.30 (&lt;0.001)</w:t>
            </w:r>
          </w:p>
        </w:tc>
      </w:tr>
      <w:tr w:rsidR="003E156C" w:rsidTr="00026CDE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3 (77.9-120)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-5.86 (&lt;0.001)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-4.30 (&lt;0.001)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E156C" w:rsidRDefault="003E156C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lang w:val="en-US"/>
        </w:rPr>
      </w:pPr>
    </w:p>
    <w:p w:rsidR="003E156C" w:rsidRDefault="003E156C" w:rsidP="003E156C">
      <w:pPr>
        <w:spacing w:after="0" w:line="240" w:lineRule="auto"/>
        <w:ind w:left="-142"/>
        <w:jc w:val="both"/>
        <w:rPr>
          <w:rFonts w:eastAsia="MS Mincho" w:cs="Times New Roman"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b/>
          <w:lang w:val="en-US"/>
        </w:rPr>
      </w:pPr>
      <w:r>
        <w:rPr>
          <w:rFonts w:eastAsia="MS Mincho" w:cs="Times New Roman"/>
          <w:b/>
          <w:lang w:val="en-US"/>
        </w:rPr>
        <w:t>Table 3: Paired t-test between theoretical dose based on measured weight compared to dose based on estimated weight for tertiles of measured weight (n=242)</w:t>
      </w:r>
    </w:p>
    <w:p w:rsidR="003E156C" w:rsidRDefault="003E156C" w:rsidP="003E156C">
      <w:pPr>
        <w:spacing w:after="0" w:line="240" w:lineRule="auto"/>
        <w:jc w:val="both"/>
        <w:rPr>
          <w:rFonts w:eastAsia="MS Mincho" w:cs="Times New Roman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840"/>
        <w:gridCol w:w="2080"/>
        <w:gridCol w:w="2000"/>
        <w:gridCol w:w="2100"/>
      </w:tblGrid>
      <w:tr w:rsidR="003E156C" w:rsidTr="003E156C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Measured weight (kg)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Dose based on estimate (mg)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Dose based on measured (mg)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 value</w:t>
            </w:r>
          </w:p>
        </w:tc>
      </w:tr>
      <w:tr w:rsidR="003E156C" w:rsidTr="003E156C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1 (37-64.5)</w:t>
            </w:r>
          </w:p>
        </w:tc>
        <w:tc>
          <w:tcPr>
            <w:tcW w:w="208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51.54</w:t>
            </w:r>
          </w:p>
        </w:tc>
        <w:tc>
          <w:tcPr>
            <w:tcW w:w="200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50.33</w:t>
            </w:r>
          </w:p>
        </w:tc>
        <w:tc>
          <w:tcPr>
            <w:tcW w:w="210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0.041</w:t>
            </w:r>
          </w:p>
        </w:tc>
      </w:tr>
      <w:tr w:rsidR="003E156C" w:rsidTr="003E156C">
        <w:trPr>
          <w:trHeight w:val="300"/>
        </w:trPr>
        <w:tc>
          <w:tcPr>
            <w:tcW w:w="284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2 (64.6-77.8)</w:t>
            </w:r>
          </w:p>
        </w:tc>
        <w:tc>
          <w:tcPr>
            <w:tcW w:w="208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63.64</w:t>
            </w:r>
          </w:p>
        </w:tc>
        <w:tc>
          <w:tcPr>
            <w:tcW w:w="200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63.83</w:t>
            </w:r>
          </w:p>
        </w:tc>
        <w:tc>
          <w:tcPr>
            <w:tcW w:w="2100" w:type="dxa"/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0.745</w:t>
            </w:r>
          </w:p>
        </w:tc>
      </w:tr>
      <w:tr w:rsidR="003E156C" w:rsidTr="003E156C">
        <w:trPr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Tertile 3 (77.9-120)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77.62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80.03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E156C" w:rsidRDefault="003E156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0.001</w:t>
            </w:r>
          </w:p>
        </w:tc>
      </w:tr>
    </w:tbl>
    <w:p w:rsidR="003E156C" w:rsidRDefault="003E156C" w:rsidP="003E156C">
      <w:pPr>
        <w:spacing w:after="0" w:line="240" w:lineRule="auto"/>
        <w:jc w:val="both"/>
        <w:rPr>
          <w:rFonts w:eastAsiaTheme="majorEastAsia" w:cstheme="majorBidi"/>
          <w:i/>
          <w:iCs/>
          <w:color w:val="4F81BD"/>
          <w:spacing w:val="15"/>
        </w:rPr>
      </w:pPr>
    </w:p>
    <w:p w:rsidR="003E156C" w:rsidRDefault="003E156C" w:rsidP="003E156C">
      <w:pPr>
        <w:spacing w:after="0" w:line="240" w:lineRule="auto"/>
        <w:jc w:val="both"/>
        <w:rPr>
          <w:rFonts w:eastAsiaTheme="majorEastAsia" w:cstheme="majorBidi"/>
          <w:i/>
          <w:iCs/>
          <w:color w:val="4F81BD"/>
          <w:spacing w:val="15"/>
        </w:rPr>
      </w:pPr>
    </w:p>
    <w:p w:rsidR="00085ED6" w:rsidRPr="008B2AE7" w:rsidRDefault="00085ED6" w:rsidP="00FD1BD8">
      <w:pPr>
        <w:spacing w:after="0" w:line="480" w:lineRule="auto"/>
        <w:jc w:val="both"/>
        <w:rPr>
          <w:rFonts w:cstheme="minorHAnsi"/>
        </w:rPr>
      </w:pPr>
    </w:p>
    <w:sectPr w:rsidR="00085ED6" w:rsidRPr="008B2AE7" w:rsidSect="005B6840">
      <w:footerReference w:type="even" r:id="rId7"/>
      <w:footerReference w:type="default" r:id="rId8"/>
      <w:type w:val="continuous"/>
      <w:pgSz w:w="11906" w:h="16838"/>
      <w:pgMar w:top="993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FE" w:rsidRDefault="00AF6DFE">
      <w:pPr>
        <w:spacing w:after="0" w:line="240" w:lineRule="auto"/>
      </w:pPr>
      <w:r>
        <w:separator/>
      </w:r>
    </w:p>
  </w:endnote>
  <w:endnote w:type="continuationSeparator" w:id="0">
    <w:p w:rsidR="00AF6DFE" w:rsidRDefault="00AF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73" w:rsidRDefault="00B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D73" w:rsidRDefault="00B77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73" w:rsidRDefault="00B7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4B7">
      <w:rPr>
        <w:rStyle w:val="PageNumber"/>
        <w:noProof/>
      </w:rPr>
      <w:t>4</w:t>
    </w:r>
    <w:r>
      <w:rPr>
        <w:rStyle w:val="PageNumber"/>
      </w:rPr>
      <w:fldChar w:fldCharType="end"/>
    </w:r>
  </w:p>
  <w:p w:rsidR="00B77D73" w:rsidRDefault="00B77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FE" w:rsidRDefault="00AF6DFE">
      <w:pPr>
        <w:spacing w:after="0" w:line="240" w:lineRule="auto"/>
      </w:pPr>
      <w:r>
        <w:separator/>
      </w:r>
    </w:p>
  </w:footnote>
  <w:footnote w:type="continuationSeparator" w:id="0">
    <w:p w:rsidR="00AF6DFE" w:rsidRDefault="00AF6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F2D62"/>
    <w:rsid w:val="00013625"/>
    <w:rsid w:val="00026CDE"/>
    <w:rsid w:val="00041FBC"/>
    <w:rsid w:val="000619D9"/>
    <w:rsid w:val="000709A0"/>
    <w:rsid w:val="000823D5"/>
    <w:rsid w:val="00085ED6"/>
    <w:rsid w:val="000F0019"/>
    <w:rsid w:val="001042A4"/>
    <w:rsid w:val="001166AE"/>
    <w:rsid w:val="0013084C"/>
    <w:rsid w:val="00154A63"/>
    <w:rsid w:val="00171AF3"/>
    <w:rsid w:val="001B04DA"/>
    <w:rsid w:val="001C1CD8"/>
    <w:rsid w:val="001D442E"/>
    <w:rsid w:val="00230989"/>
    <w:rsid w:val="00251EA3"/>
    <w:rsid w:val="0027663B"/>
    <w:rsid w:val="002B30DC"/>
    <w:rsid w:val="002B58E0"/>
    <w:rsid w:val="002E240C"/>
    <w:rsid w:val="0031119A"/>
    <w:rsid w:val="003658BE"/>
    <w:rsid w:val="00365A94"/>
    <w:rsid w:val="00373EBF"/>
    <w:rsid w:val="00391406"/>
    <w:rsid w:val="003C1869"/>
    <w:rsid w:val="003C526F"/>
    <w:rsid w:val="003E156C"/>
    <w:rsid w:val="00492C1C"/>
    <w:rsid w:val="004A44D7"/>
    <w:rsid w:val="004A527C"/>
    <w:rsid w:val="004A7D3B"/>
    <w:rsid w:val="004B0E95"/>
    <w:rsid w:val="004C69D1"/>
    <w:rsid w:val="004E0D7F"/>
    <w:rsid w:val="004F7CA7"/>
    <w:rsid w:val="00505D37"/>
    <w:rsid w:val="005416D7"/>
    <w:rsid w:val="00577D58"/>
    <w:rsid w:val="00595572"/>
    <w:rsid w:val="005B6840"/>
    <w:rsid w:val="005C0D5B"/>
    <w:rsid w:val="005F403C"/>
    <w:rsid w:val="00625AC6"/>
    <w:rsid w:val="00640709"/>
    <w:rsid w:val="0064187B"/>
    <w:rsid w:val="006426DC"/>
    <w:rsid w:val="0068463F"/>
    <w:rsid w:val="006C4CCA"/>
    <w:rsid w:val="007117C3"/>
    <w:rsid w:val="0074615F"/>
    <w:rsid w:val="00752D99"/>
    <w:rsid w:val="00764AAE"/>
    <w:rsid w:val="00766C8C"/>
    <w:rsid w:val="0079150F"/>
    <w:rsid w:val="007931B3"/>
    <w:rsid w:val="00794B5A"/>
    <w:rsid w:val="007A34B3"/>
    <w:rsid w:val="007B32A5"/>
    <w:rsid w:val="007D28D5"/>
    <w:rsid w:val="007D3024"/>
    <w:rsid w:val="007D4C35"/>
    <w:rsid w:val="007F2D62"/>
    <w:rsid w:val="008306EB"/>
    <w:rsid w:val="008329B7"/>
    <w:rsid w:val="0083547B"/>
    <w:rsid w:val="008531E1"/>
    <w:rsid w:val="008547FE"/>
    <w:rsid w:val="008851F8"/>
    <w:rsid w:val="008900AF"/>
    <w:rsid w:val="008A5A0A"/>
    <w:rsid w:val="008B2AE7"/>
    <w:rsid w:val="008B4DEE"/>
    <w:rsid w:val="008D55B2"/>
    <w:rsid w:val="008F0BDE"/>
    <w:rsid w:val="009029EC"/>
    <w:rsid w:val="00921EE2"/>
    <w:rsid w:val="00937241"/>
    <w:rsid w:val="00955A42"/>
    <w:rsid w:val="009670ED"/>
    <w:rsid w:val="00985343"/>
    <w:rsid w:val="0099220A"/>
    <w:rsid w:val="009C0A50"/>
    <w:rsid w:val="009E2551"/>
    <w:rsid w:val="00A15F40"/>
    <w:rsid w:val="00A21B4A"/>
    <w:rsid w:val="00A24FEB"/>
    <w:rsid w:val="00A37752"/>
    <w:rsid w:val="00A42EB1"/>
    <w:rsid w:val="00A55E95"/>
    <w:rsid w:val="00A76C15"/>
    <w:rsid w:val="00AB4654"/>
    <w:rsid w:val="00AF1BC3"/>
    <w:rsid w:val="00AF6DFE"/>
    <w:rsid w:val="00B45F7B"/>
    <w:rsid w:val="00B532EE"/>
    <w:rsid w:val="00B65C95"/>
    <w:rsid w:val="00B7353B"/>
    <w:rsid w:val="00B778D5"/>
    <w:rsid w:val="00B77D73"/>
    <w:rsid w:val="00B97266"/>
    <w:rsid w:val="00BD5056"/>
    <w:rsid w:val="00BD64B7"/>
    <w:rsid w:val="00BE1379"/>
    <w:rsid w:val="00BF7740"/>
    <w:rsid w:val="00C429C5"/>
    <w:rsid w:val="00C44EFE"/>
    <w:rsid w:val="00C53983"/>
    <w:rsid w:val="00C53D85"/>
    <w:rsid w:val="00C56CAE"/>
    <w:rsid w:val="00C842D6"/>
    <w:rsid w:val="00CB5791"/>
    <w:rsid w:val="00CC24C6"/>
    <w:rsid w:val="00CE0B24"/>
    <w:rsid w:val="00CF758E"/>
    <w:rsid w:val="00D12101"/>
    <w:rsid w:val="00D6517F"/>
    <w:rsid w:val="00D91A36"/>
    <w:rsid w:val="00DA6264"/>
    <w:rsid w:val="00DC2706"/>
    <w:rsid w:val="00DE02E5"/>
    <w:rsid w:val="00DE56A8"/>
    <w:rsid w:val="00E0264A"/>
    <w:rsid w:val="00E55244"/>
    <w:rsid w:val="00E755F4"/>
    <w:rsid w:val="00EA33B4"/>
    <w:rsid w:val="00EA6E8A"/>
    <w:rsid w:val="00EB6CD0"/>
    <w:rsid w:val="00EB77EE"/>
    <w:rsid w:val="00EE53C5"/>
    <w:rsid w:val="00EF7A82"/>
    <w:rsid w:val="00F25098"/>
    <w:rsid w:val="00F34ADB"/>
    <w:rsid w:val="00F461A5"/>
    <w:rsid w:val="00F615E3"/>
    <w:rsid w:val="00F80FDA"/>
    <w:rsid w:val="00F837FE"/>
    <w:rsid w:val="00FA5CD8"/>
    <w:rsid w:val="00FB1D36"/>
    <w:rsid w:val="00FB5F98"/>
    <w:rsid w:val="00FD1BD8"/>
    <w:rsid w:val="00FE1C6C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F9695-2F6F-490A-841F-814470D5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styleId="PageNumber">
    <w:name w:val="page number"/>
    <w:basedOn w:val="DefaultParagraphFont"/>
    <w:uiPriority w:val="99"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778D5"/>
  </w:style>
  <w:style w:type="character" w:customStyle="1" w:styleId="apple-converted-space">
    <w:name w:val="apple-converted-space"/>
    <w:basedOn w:val="DefaultParagraphFont"/>
    <w:rsid w:val="004A7D3B"/>
  </w:style>
  <w:style w:type="paragraph" w:customStyle="1" w:styleId="EndNoteBibliographyTitle">
    <w:name w:val="EndNote Bibliography Title"/>
    <w:basedOn w:val="Normal"/>
    <w:link w:val="EndNoteBibliographyTitleChar"/>
    <w:rsid w:val="00085ED6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85ED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85ED6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85ED6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kaj.sharma@rh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Barrow, Tom</dc:creator>
  <cp:lastModifiedBy>Sargeant, Kate</cp:lastModifiedBy>
  <cp:revision>2</cp:revision>
  <cp:lastPrinted>2015-07-01T17:13:00Z</cp:lastPrinted>
  <dcterms:created xsi:type="dcterms:W3CDTF">2015-10-08T08:51:00Z</dcterms:created>
  <dcterms:modified xsi:type="dcterms:W3CDTF">2015-10-08T08:51:00Z</dcterms:modified>
</cp:coreProperties>
</file>