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B0" w:rsidRPr="00222E7C" w:rsidRDefault="00B26CB0" w:rsidP="00FA3873">
      <w:pPr>
        <w:rPr>
          <w:rFonts w:ascii="Times New Roman" w:hAnsi="Times New Roman" w:cs="Times New Roman"/>
          <w:sz w:val="24"/>
          <w:szCs w:val="24"/>
        </w:rPr>
      </w:pPr>
    </w:p>
    <w:p w:rsidR="00B26CB0" w:rsidRDefault="00B26CB0" w:rsidP="000941ED">
      <w:pPr>
        <w:jc w:val="center"/>
        <w:rPr>
          <w:rFonts w:ascii="Times New Roman" w:hAnsi="Times New Roman" w:cs="Times New Roman"/>
          <w:b/>
          <w:sz w:val="24"/>
          <w:szCs w:val="24"/>
        </w:rPr>
      </w:pPr>
    </w:p>
    <w:p w:rsidR="00B26CB0" w:rsidRDefault="00B26CB0" w:rsidP="000941ED">
      <w:pPr>
        <w:jc w:val="center"/>
        <w:rPr>
          <w:rFonts w:ascii="Times New Roman" w:hAnsi="Times New Roman" w:cs="Times New Roman"/>
          <w:b/>
          <w:sz w:val="24"/>
          <w:szCs w:val="24"/>
        </w:rPr>
      </w:pPr>
    </w:p>
    <w:p w:rsidR="00B26CB0" w:rsidRDefault="00B26CB0" w:rsidP="000941ED">
      <w:pPr>
        <w:jc w:val="center"/>
        <w:rPr>
          <w:rFonts w:ascii="Times New Roman" w:hAnsi="Times New Roman" w:cs="Times New Roman"/>
          <w:b/>
          <w:sz w:val="24"/>
          <w:szCs w:val="24"/>
        </w:rPr>
      </w:pPr>
    </w:p>
    <w:p w:rsidR="00B26CB0" w:rsidRDefault="00B26CB0" w:rsidP="000941ED">
      <w:pPr>
        <w:jc w:val="center"/>
        <w:rPr>
          <w:rFonts w:ascii="Times New Roman" w:hAnsi="Times New Roman" w:cs="Times New Roman"/>
          <w:b/>
          <w:sz w:val="24"/>
          <w:szCs w:val="24"/>
        </w:rPr>
      </w:pPr>
    </w:p>
    <w:p w:rsidR="00B26CB0" w:rsidRDefault="00B26CB0" w:rsidP="000941ED">
      <w:pPr>
        <w:jc w:val="center"/>
        <w:rPr>
          <w:rFonts w:ascii="Times New Roman" w:hAnsi="Times New Roman" w:cs="Times New Roman"/>
          <w:b/>
          <w:sz w:val="24"/>
          <w:szCs w:val="24"/>
        </w:rPr>
      </w:pPr>
    </w:p>
    <w:p w:rsidR="00B26CB0" w:rsidRDefault="00B26CB0" w:rsidP="000941ED">
      <w:pPr>
        <w:jc w:val="center"/>
        <w:rPr>
          <w:rFonts w:ascii="Times New Roman" w:hAnsi="Times New Roman" w:cs="Times New Roman"/>
          <w:b/>
          <w:sz w:val="24"/>
          <w:szCs w:val="24"/>
        </w:rPr>
      </w:pPr>
    </w:p>
    <w:p w:rsidR="00B26CB0" w:rsidRDefault="00B26CB0" w:rsidP="000941ED">
      <w:pPr>
        <w:jc w:val="center"/>
        <w:rPr>
          <w:rFonts w:ascii="Times New Roman" w:hAnsi="Times New Roman" w:cs="Times New Roman"/>
          <w:b/>
          <w:sz w:val="24"/>
          <w:szCs w:val="24"/>
        </w:rPr>
      </w:pPr>
    </w:p>
    <w:p w:rsidR="00B26CB0" w:rsidRPr="000941ED" w:rsidRDefault="00B26CB0" w:rsidP="000941ED">
      <w:pPr>
        <w:jc w:val="center"/>
        <w:rPr>
          <w:rFonts w:ascii="Times New Roman" w:hAnsi="Times New Roman" w:cs="Times New Roman"/>
          <w:b/>
          <w:sz w:val="24"/>
          <w:szCs w:val="24"/>
        </w:rPr>
      </w:pPr>
      <w:r w:rsidRPr="000941ED">
        <w:rPr>
          <w:rFonts w:ascii="Times New Roman" w:hAnsi="Times New Roman" w:cs="Times New Roman"/>
          <w:b/>
          <w:sz w:val="24"/>
          <w:szCs w:val="24"/>
        </w:rPr>
        <w:t>Fu</w:t>
      </w:r>
      <w:r>
        <w:rPr>
          <w:rFonts w:ascii="Times New Roman" w:hAnsi="Times New Roman" w:cs="Times New Roman"/>
          <w:b/>
          <w:sz w:val="24"/>
          <w:szCs w:val="24"/>
        </w:rPr>
        <w:t xml:space="preserve">ture-directed thinking in first </w:t>
      </w:r>
      <w:r w:rsidRPr="000941ED">
        <w:rPr>
          <w:rFonts w:ascii="Times New Roman" w:hAnsi="Times New Roman" w:cs="Times New Roman"/>
          <w:b/>
          <w:sz w:val="24"/>
          <w:szCs w:val="24"/>
        </w:rPr>
        <w:t>episode psychosis</w:t>
      </w:r>
    </w:p>
    <w:p w:rsidR="00B26CB0" w:rsidRDefault="00B26CB0" w:rsidP="00FA3873">
      <w:pPr>
        <w:jc w:val="center"/>
        <w:rPr>
          <w:rFonts w:ascii="Times New Roman" w:hAnsi="Times New Roman" w:cs="Times New Roman"/>
          <w:b/>
          <w:sz w:val="24"/>
          <w:szCs w:val="24"/>
        </w:rPr>
      </w:pPr>
    </w:p>
    <w:p w:rsidR="00B26CB0" w:rsidRDefault="00B26CB0">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B26CB0" w:rsidRPr="00222E7C" w:rsidRDefault="00B26CB0" w:rsidP="00FA3873">
      <w:pPr>
        <w:jc w:val="center"/>
        <w:rPr>
          <w:rFonts w:ascii="Times New Roman" w:hAnsi="Times New Roman" w:cs="Times New Roman"/>
          <w:b/>
          <w:sz w:val="24"/>
          <w:szCs w:val="24"/>
        </w:rPr>
      </w:pPr>
      <w:r w:rsidRPr="00222E7C">
        <w:rPr>
          <w:rFonts w:ascii="Times New Roman" w:hAnsi="Times New Roman" w:cs="Times New Roman"/>
          <w:b/>
          <w:sz w:val="24"/>
          <w:szCs w:val="24"/>
        </w:rPr>
        <w:lastRenderedPageBreak/>
        <w:t>Abstract</w:t>
      </w:r>
    </w:p>
    <w:p w:rsidR="00B26CB0" w:rsidRPr="00222E7C" w:rsidRDefault="00B26CB0" w:rsidP="00FA3873">
      <w:pPr>
        <w:rPr>
          <w:rFonts w:ascii="Times New Roman" w:hAnsi="Times New Roman" w:cs="Times New Roman"/>
          <w:sz w:val="24"/>
          <w:szCs w:val="24"/>
        </w:rPr>
      </w:pPr>
      <w:r w:rsidRPr="00222E7C">
        <w:rPr>
          <w:rFonts w:ascii="Times New Roman" w:hAnsi="Times New Roman" w:cs="Times New Roman"/>
          <w:i/>
          <w:sz w:val="24"/>
          <w:szCs w:val="24"/>
        </w:rPr>
        <w:t>Objectives.</w:t>
      </w:r>
      <w:r w:rsidRPr="00222E7C">
        <w:rPr>
          <w:rFonts w:ascii="Times New Roman" w:hAnsi="Times New Roman" w:cs="Times New Roman"/>
          <w:sz w:val="24"/>
          <w:szCs w:val="24"/>
        </w:rPr>
        <w:t xml:space="preserve"> This study employed the Future Thinking Task (MacLeod et al., 2005) to investigate whether future-directed thinking in first episode psychosis is significantly different from that of matched controls</w:t>
      </w:r>
      <w:r>
        <w:rPr>
          <w:rFonts w:ascii="Times New Roman" w:hAnsi="Times New Roman" w:cs="Times New Roman"/>
          <w:sz w:val="24"/>
          <w:szCs w:val="24"/>
        </w:rPr>
        <w:t>, and to identify its correlates in this patient group.</w:t>
      </w:r>
    </w:p>
    <w:p w:rsidR="00B26CB0" w:rsidRPr="00222E7C" w:rsidRDefault="00B26CB0" w:rsidP="00FA3873">
      <w:pPr>
        <w:rPr>
          <w:rFonts w:ascii="Times New Roman" w:hAnsi="Times New Roman" w:cs="Times New Roman"/>
          <w:sz w:val="24"/>
          <w:szCs w:val="24"/>
        </w:rPr>
      </w:pPr>
      <w:r w:rsidRPr="00222E7C">
        <w:rPr>
          <w:rFonts w:ascii="Times New Roman" w:hAnsi="Times New Roman" w:cs="Times New Roman"/>
          <w:i/>
          <w:sz w:val="24"/>
          <w:szCs w:val="24"/>
        </w:rPr>
        <w:t xml:space="preserve">Design. </w:t>
      </w:r>
      <w:r w:rsidRPr="00222E7C">
        <w:rPr>
          <w:rFonts w:ascii="Times New Roman" w:hAnsi="Times New Roman" w:cs="Times New Roman"/>
          <w:sz w:val="24"/>
          <w:szCs w:val="24"/>
        </w:rPr>
        <w:t>Cross-sectional, mixed model, case-control design.</w:t>
      </w:r>
    </w:p>
    <w:p w:rsidR="00B26CB0" w:rsidRPr="00222E7C" w:rsidRDefault="00B26CB0" w:rsidP="00FA3873">
      <w:pPr>
        <w:rPr>
          <w:rFonts w:ascii="Times New Roman" w:hAnsi="Times New Roman" w:cs="Times New Roman"/>
          <w:sz w:val="24"/>
          <w:szCs w:val="24"/>
        </w:rPr>
      </w:pPr>
      <w:r w:rsidRPr="00222E7C">
        <w:rPr>
          <w:rFonts w:ascii="Times New Roman" w:hAnsi="Times New Roman" w:cs="Times New Roman"/>
          <w:i/>
          <w:sz w:val="24"/>
          <w:szCs w:val="24"/>
        </w:rPr>
        <w:t xml:space="preserve">Method. </w:t>
      </w:r>
      <w:r w:rsidRPr="00222E7C">
        <w:rPr>
          <w:rFonts w:ascii="Times New Roman" w:hAnsi="Times New Roman" w:cs="Times New Roman"/>
          <w:sz w:val="24"/>
          <w:szCs w:val="24"/>
        </w:rPr>
        <w:t>Participants were 30 patients with first episode psychosis and 27 matched controls. The Future Thinking Task was used to assess future-directed thinking in both groups. Anxiety and depression were also measured as well as self-report measures of hopelessness, suicidal ideation and a measure of negative symptoms.</w:t>
      </w:r>
    </w:p>
    <w:p w:rsidR="00B26CB0" w:rsidRPr="00222E7C" w:rsidRDefault="00B26CB0" w:rsidP="00FA3873">
      <w:pPr>
        <w:rPr>
          <w:rFonts w:ascii="Times New Roman" w:hAnsi="Times New Roman" w:cs="Times New Roman"/>
          <w:sz w:val="24"/>
          <w:szCs w:val="24"/>
        </w:rPr>
      </w:pPr>
      <w:r w:rsidRPr="00222E7C">
        <w:rPr>
          <w:rFonts w:ascii="Times New Roman" w:hAnsi="Times New Roman" w:cs="Times New Roman"/>
          <w:i/>
          <w:sz w:val="24"/>
          <w:szCs w:val="24"/>
        </w:rPr>
        <w:t>Results.</w:t>
      </w:r>
      <w:r>
        <w:t xml:space="preserve"> </w:t>
      </w:r>
      <w:r w:rsidRPr="00222E7C">
        <w:rPr>
          <w:rFonts w:ascii="Times New Roman" w:hAnsi="Times New Roman" w:cs="Times New Roman"/>
          <w:sz w:val="24"/>
          <w:szCs w:val="24"/>
        </w:rPr>
        <w:t>Individuals with psychosis were impaired in future-directed thinking in both positive and negative domains, particularly with respect to the coming year.</w:t>
      </w:r>
      <w:r>
        <w:rPr>
          <w:rFonts w:ascii="Times New Roman" w:hAnsi="Times New Roman" w:cs="Times New Roman"/>
          <w:sz w:val="24"/>
          <w:szCs w:val="24"/>
        </w:rPr>
        <w:t xml:space="preserve"> Increased s</w:t>
      </w:r>
      <w:r w:rsidRPr="00222E7C">
        <w:rPr>
          <w:rFonts w:ascii="Times New Roman" w:hAnsi="Times New Roman" w:cs="Times New Roman"/>
          <w:sz w:val="24"/>
          <w:szCs w:val="24"/>
        </w:rPr>
        <w:t>elf-reported hopelessness was associated with</w:t>
      </w:r>
      <w:r>
        <w:rPr>
          <w:rFonts w:ascii="Times New Roman" w:hAnsi="Times New Roman" w:cs="Times New Roman"/>
          <w:sz w:val="24"/>
          <w:szCs w:val="24"/>
        </w:rPr>
        <w:t xml:space="preserve"> reduced positive future </w:t>
      </w:r>
      <w:r w:rsidRPr="00222E7C">
        <w:rPr>
          <w:rFonts w:ascii="Times New Roman" w:hAnsi="Times New Roman" w:cs="Times New Roman"/>
          <w:sz w:val="24"/>
          <w:szCs w:val="24"/>
        </w:rPr>
        <w:t xml:space="preserve">thinking and </w:t>
      </w:r>
      <w:r>
        <w:rPr>
          <w:rFonts w:ascii="Times New Roman" w:hAnsi="Times New Roman" w:cs="Times New Roman"/>
          <w:sz w:val="24"/>
          <w:szCs w:val="24"/>
        </w:rPr>
        <w:t xml:space="preserve">increased negative future </w:t>
      </w:r>
      <w:r w:rsidRPr="00222E7C">
        <w:rPr>
          <w:rFonts w:ascii="Times New Roman" w:hAnsi="Times New Roman" w:cs="Times New Roman"/>
          <w:sz w:val="24"/>
          <w:szCs w:val="24"/>
        </w:rPr>
        <w:t>thinking</w:t>
      </w:r>
      <w:r>
        <w:rPr>
          <w:rFonts w:ascii="Times New Roman" w:hAnsi="Times New Roman" w:cs="Times New Roman"/>
          <w:sz w:val="24"/>
          <w:szCs w:val="24"/>
        </w:rPr>
        <w:t>. Increased p</w:t>
      </w:r>
      <w:r w:rsidRPr="00222E7C">
        <w:rPr>
          <w:rFonts w:ascii="Times New Roman" w:hAnsi="Times New Roman" w:cs="Times New Roman"/>
          <w:sz w:val="24"/>
          <w:szCs w:val="24"/>
        </w:rPr>
        <w:t xml:space="preserve">ositive future thinking was also associated with </w:t>
      </w:r>
      <w:r>
        <w:rPr>
          <w:rFonts w:ascii="Times New Roman" w:hAnsi="Times New Roman" w:cs="Times New Roman"/>
          <w:sz w:val="24"/>
          <w:szCs w:val="24"/>
        </w:rPr>
        <w:t xml:space="preserve">reduced severity of </w:t>
      </w:r>
      <w:r w:rsidRPr="00222E7C">
        <w:rPr>
          <w:rFonts w:ascii="Times New Roman" w:hAnsi="Times New Roman" w:cs="Times New Roman"/>
          <w:sz w:val="24"/>
          <w:szCs w:val="24"/>
        </w:rPr>
        <w:t>negative symptoms, whilst negative future thinking was associated with suicide ideation.</w:t>
      </w:r>
    </w:p>
    <w:p w:rsidR="00B26CB0" w:rsidRPr="00222E7C" w:rsidRDefault="00B26CB0" w:rsidP="00FA3873">
      <w:pPr>
        <w:rPr>
          <w:rFonts w:ascii="Times New Roman" w:hAnsi="Times New Roman" w:cs="Times New Roman"/>
          <w:sz w:val="24"/>
          <w:szCs w:val="24"/>
        </w:rPr>
      </w:pPr>
      <w:r w:rsidRPr="00222E7C">
        <w:rPr>
          <w:rFonts w:ascii="Times New Roman" w:hAnsi="Times New Roman" w:cs="Times New Roman"/>
          <w:i/>
          <w:sz w:val="24"/>
          <w:szCs w:val="24"/>
        </w:rPr>
        <w:t>Conclusions.</w:t>
      </w:r>
      <w:r w:rsidRPr="00222E7C">
        <w:rPr>
          <w:rFonts w:ascii="Times New Roman" w:hAnsi="Times New Roman" w:cs="Times New Roman"/>
          <w:sz w:val="24"/>
          <w:szCs w:val="24"/>
        </w:rPr>
        <w:t xml:space="preserve"> Individuals with first episode psychosis show a reduction in positive future thinking in line with that seen in other clinical groups, but this is accompanied by an unexpected reduction in negative future thinking.</w:t>
      </w:r>
      <w:r>
        <w:rPr>
          <w:rFonts w:ascii="Times New Roman" w:hAnsi="Times New Roman" w:cs="Times New Roman"/>
          <w:sz w:val="24"/>
          <w:szCs w:val="24"/>
        </w:rPr>
        <w:t xml:space="preserve"> </w:t>
      </w:r>
      <w:r w:rsidRPr="00222E7C">
        <w:rPr>
          <w:rFonts w:ascii="Times New Roman" w:hAnsi="Times New Roman" w:cs="Times New Roman"/>
          <w:sz w:val="24"/>
          <w:szCs w:val="24"/>
        </w:rPr>
        <w:t>The findings suggest a general disengagement with the future in this group that may affect recovery and functioning.</w:t>
      </w:r>
    </w:p>
    <w:p w:rsidR="00B26CB0" w:rsidRPr="00222E7C" w:rsidRDefault="00B26CB0" w:rsidP="00FA3873">
      <w:pPr>
        <w:rPr>
          <w:rFonts w:ascii="Times New Roman" w:hAnsi="Times New Roman" w:cs="Times New Roman"/>
          <w:sz w:val="24"/>
          <w:szCs w:val="24"/>
        </w:rPr>
      </w:pPr>
    </w:p>
    <w:p w:rsidR="00B26CB0" w:rsidRPr="00222E7C" w:rsidRDefault="00B26CB0" w:rsidP="00FA3873">
      <w:pPr>
        <w:jc w:val="center"/>
        <w:rPr>
          <w:rFonts w:ascii="Times New Roman" w:hAnsi="Times New Roman" w:cs="Times New Roman"/>
          <w:b/>
          <w:sz w:val="24"/>
          <w:szCs w:val="24"/>
        </w:rPr>
      </w:pPr>
      <w:r w:rsidRPr="00222E7C">
        <w:rPr>
          <w:rFonts w:ascii="Times New Roman" w:hAnsi="Times New Roman" w:cs="Times New Roman"/>
          <w:b/>
          <w:sz w:val="24"/>
          <w:szCs w:val="24"/>
        </w:rPr>
        <w:t>Practitioner points</w:t>
      </w:r>
    </w:p>
    <w:p w:rsidR="00B26CB0" w:rsidRPr="00222E7C" w:rsidRDefault="00B26CB0" w:rsidP="00FA3873">
      <w:pPr>
        <w:pStyle w:val="ListParagraph"/>
        <w:numPr>
          <w:ilvl w:val="0"/>
          <w:numId w:val="22"/>
        </w:numPr>
        <w:rPr>
          <w:lang w:val="en-GB"/>
        </w:rPr>
      </w:pPr>
      <w:r w:rsidRPr="00222E7C">
        <w:rPr>
          <w:lang w:val="en-GB"/>
        </w:rPr>
        <w:t>Individuals with first episode psychosis may benefit from interventions to help them engage with their future, in particular in the mid-range, up to 1 year.</w:t>
      </w:r>
    </w:p>
    <w:p w:rsidR="00B26CB0" w:rsidRPr="00222E7C" w:rsidRDefault="00B26CB0" w:rsidP="00FA3873">
      <w:pPr>
        <w:pStyle w:val="ListParagraph"/>
        <w:numPr>
          <w:ilvl w:val="0"/>
          <w:numId w:val="22"/>
        </w:numPr>
        <w:rPr>
          <w:lang w:val="en-GB"/>
        </w:rPr>
      </w:pPr>
      <w:r w:rsidRPr="00222E7C">
        <w:rPr>
          <w:lang w:val="en-GB"/>
        </w:rPr>
        <w:t>The Future Thinking Task may be a helpful addition to the assessment of suicide risk in those with first episode psychosis.</w:t>
      </w:r>
    </w:p>
    <w:p w:rsidR="00B26CB0" w:rsidRPr="00222E7C" w:rsidRDefault="00B26CB0" w:rsidP="00FA3873">
      <w:pPr>
        <w:pStyle w:val="ListParagraph"/>
        <w:numPr>
          <w:ilvl w:val="0"/>
          <w:numId w:val="22"/>
        </w:numPr>
        <w:rPr>
          <w:lang w:val="en-GB"/>
        </w:rPr>
      </w:pPr>
      <w:r w:rsidRPr="00222E7C">
        <w:rPr>
          <w:lang w:val="en-GB"/>
        </w:rPr>
        <w:lastRenderedPageBreak/>
        <w:t>Decreased positive future thinking was associated with increased severity of negative symptoms, indicating a potential new treatment angle for this resistant aspect of psychosis.</w:t>
      </w:r>
    </w:p>
    <w:p w:rsidR="00B26CB0" w:rsidRPr="00222E7C" w:rsidRDefault="00B26CB0" w:rsidP="00FA3873">
      <w:pPr>
        <w:pStyle w:val="ListParagraph"/>
        <w:numPr>
          <w:ilvl w:val="0"/>
          <w:numId w:val="22"/>
        </w:numPr>
        <w:rPr>
          <w:lang w:val="en-GB"/>
        </w:rPr>
      </w:pPr>
      <w:r w:rsidRPr="00222E7C">
        <w:rPr>
          <w:lang w:val="en-GB"/>
        </w:rPr>
        <w:t>The cross-sectional design of this study does not allow for conclusions about the causal relationship between psychosis and future-directed thinking.</w:t>
      </w:r>
    </w:p>
    <w:p w:rsidR="00B26CB0" w:rsidRPr="00222E7C" w:rsidRDefault="00B26CB0" w:rsidP="00FA3873">
      <w:pPr>
        <w:pStyle w:val="ListParagraph"/>
        <w:numPr>
          <w:ilvl w:val="0"/>
          <w:numId w:val="22"/>
        </w:numPr>
        <w:rPr>
          <w:lang w:val="en-GB"/>
        </w:rPr>
      </w:pPr>
      <w:r w:rsidRPr="00222E7C">
        <w:rPr>
          <w:lang w:val="en-GB"/>
        </w:rPr>
        <w:t xml:space="preserve">This study investigated </w:t>
      </w:r>
      <w:r>
        <w:rPr>
          <w:lang w:val="en-GB"/>
        </w:rPr>
        <w:t xml:space="preserve">future-directed thinking in </w:t>
      </w:r>
      <w:r w:rsidRPr="00222E7C">
        <w:rPr>
          <w:lang w:val="en-GB"/>
        </w:rPr>
        <w:t>individuals with a</w:t>
      </w:r>
      <w:r>
        <w:rPr>
          <w:lang w:val="en-GB"/>
        </w:rPr>
        <w:t xml:space="preserve"> range of psychotic illnesses employing</w:t>
      </w:r>
      <w:r w:rsidRPr="00222E7C">
        <w:rPr>
          <w:lang w:val="en-GB"/>
        </w:rPr>
        <w:t xml:space="preserve"> a trans-diagnostic approach, therefore</w:t>
      </w:r>
      <w:r>
        <w:rPr>
          <w:lang w:val="en-GB"/>
        </w:rPr>
        <w:t xml:space="preserve"> conclusions cannot be drawn about</w:t>
      </w:r>
      <w:r w:rsidRPr="00222E7C">
        <w:rPr>
          <w:lang w:val="en-GB"/>
        </w:rPr>
        <w:t xml:space="preserve"> the nature of future-directed thinking in individual psychoti</w:t>
      </w:r>
      <w:r>
        <w:rPr>
          <w:lang w:val="en-GB"/>
        </w:rPr>
        <w:t>c disorders.</w:t>
      </w:r>
    </w:p>
    <w:p w:rsidR="00B26CB0" w:rsidRPr="00222E7C" w:rsidRDefault="00B26CB0" w:rsidP="00FA3873">
      <w:pPr>
        <w:rPr>
          <w:rFonts w:ascii="Times New Roman" w:hAnsi="Times New Roman" w:cs="Times New Roman"/>
          <w:b/>
          <w:sz w:val="24"/>
          <w:szCs w:val="24"/>
        </w:rPr>
      </w:pPr>
      <w:r w:rsidRPr="00222E7C">
        <w:rPr>
          <w:rFonts w:ascii="Times New Roman" w:hAnsi="Times New Roman" w:cs="Times New Roman"/>
          <w:b/>
          <w:sz w:val="24"/>
          <w:szCs w:val="24"/>
        </w:rPr>
        <w:br w:type="page"/>
      </w:r>
    </w:p>
    <w:p w:rsidR="00B26CB0" w:rsidRPr="00DB43A8" w:rsidRDefault="00B26CB0" w:rsidP="00DB43A8">
      <w:pPr>
        <w:ind w:firstLine="720"/>
        <w:jc w:val="center"/>
        <w:rPr>
          <w:rFonts w:ascii="Times New Roman" w:hAnsi="Times New Roman" w:cs="Times New Roman"/>
          <w:b/>
          <w:sz w:val="24"/>
          <w:szCs w:val="24"/>
        </w:rPr>
      </w:pPr>
      <w:r w:rsidRPr="000941ED">
        <w:rPr>
          <w:rFonts w:ascii="Times New Roman" w:hAnsi="Times New Roman" w:cs="Times New Roman"/>
          <w:b/>
          <w:sz w:val="24"/>
          <w:szCs w:val="24"/>
        </w:rPr>
        <w:lastRenderedPageBreak/>
        <w:t>Introduction</w:t>
      </w:r>
    </w:p>
    <w:p w:rsidR="00B26CB0" w:rsidRPr="00222E7C" w:rsidRDefault="00B26CB0" w:rsidP="00FA3873">
      <w:pPr>
        <w:ind w:firstLine="720"/>
        <w:rPr>
          <w:rFonts w:ascii="Times New Roman" w:hAnsi="Times New Roman" w:cs="Times New Roman"/>
          <w:sz w:val="24"/>
          <w:szCs w:val="24"/>
        </w:rPr>
      </w:pPr>
      <w:r w:rsidRPr="00222E7C">
        <w:rPr>
          <w:rFonts w:ascii="Times New Roman" w:hAnsi="Times New Roman" w:cs="Times New Roman"/>
          <w:sz w:val="24"/>
          <w:szCs w:val="24"/>
        </w:rPr>
        <w:t xml:space="preserve">Psychosis encompasses a constellation of symptoms that have far-reaching social, psychological, physical and functional consequences for sufferers. The impact of psychosis is exacerbated by the typical age of onset, which tends to be in </w:t>
      </w:r>
      <w:r>
        <w:rPr>
          <w:rFonts w:ascii="Times New Roman" w:hAnsi="Times New Roman" w:cs="Times New Roman"/>
          <w:sz w:val="24"/>
          <w:szCs w:val="24"/>
        </w:rPr>
        <w:t xml:space="preserve">late adolescence or </w:t>
      </w:r>
      <w:r w:rsidRPr="00222E7C">
        <w:rPr>
          <w:rFonts w:ascii="Times New Roman" w:hAnsi="Times New Roman" w:cs="Times New Roman"/>
          <w:sz w:val="24"/>
          <w:szCs w:val="24"/>
        </w:rPr>
        <w:t xml:space="preserve">the early twenties, a time when the individual is beginning to establish themselves and gain independence. </w:t>
      </w:r>
    </w:p>
    <w:p w:rsidR="00B26CB0" w:rsidRPr="00222E7C" w:rsidRDefault="00B26CB0" w:rsidP="00FA3873">
      <w:pPr>
        <w:ind w:firstLine="720"/>
        <w:rPr>
          <w:rFonts w:ascii="Times New Roman" w:hAnsi="Times New Roman" w:cs="Times New Roman"/>
          <w:sz w:val="24"/>
          <w:szCs w:val="24"/>
        </w:rPr>
      </w:pPr>
      <w:r w:rsidRPr="00222E7C">
        <w:rPr>
          <w:rFonts w:ascii="Times New Roman" w:hAnsi="Times New Roman" w:cs="Times New Roman"/>
          <w:sz w:val="24"/>
          <w:szCs w:val="24"/>
        </w:rPr>
        <w:t xml:space="preserve">One of the most significant clinical concerns in the management of psychosis is the risk of suicide. Annual rates of death by suicide in individuals with schizophrenia have been estimated at 0.4-0.8% </w:t>
      </w:r>
      <w:r>
        <w:rPr>
          <w:rFonts w:ascii="Times New Roman" w:hAnsi="Times New Roman" w:cs="Times New Roman"/>
          <w:noProof/>
          <w:sz w:val="24"/>
          <w:szCs w:val="24"/>
        </w:rPr>
        <w:t>(Alphs et al., 2004)</w:t>
      </w:r>
      <w:r w:rsidRPr="00222E7C">
        <w:rPr>
          <w:rFonts w:ascii="Times New Roman" w:hAnsi="Times New Roman" w:cs="Times New Roman"/>
          <w:sz w:val="24"/>
          <w:szCs w:val="24"/>
        </w:rPr>
        <w:t xml:space="preserve">, whilst rates in the general population of the UK are approximately 0.02% per year </w:t>
      </w:r>
      <w:r>
        <w:rPr>
          <w:rFonts w:ascii="Times New Roman" w:hAnsi="Times New Roman" w:cs="Times New Roman"/>
          <w:noProof/>
          <w:sz w:val="24"/>
          <w:szCs w:val="24"/>
        </w:rPr>
        <w:t>(Office for National Statistics, 2012)</w:t>
      </w:r>
      <w:r w:rsidRPr="00222E7C">
        <w:rPr>
          <w:rFonts w:ascii="Times New Roman" w:hAnsi="Times New Roman" w:cs="Times New Roman"/>
          <w:sz w:val="24"/>
          <w:szCs w:val="24"/>
        </w:rPr>
        <w:t xml:space="preserve">: the Standardized Mortality Ratio for death by suicide in schizophrenia has been reported to be 12.9 </w:t>
      </w:r>
      <w:r>
        <w:rPr>
          <w:rFonts w:ascii="Times New Roman" w:hAnsi="Times New Roman" w:cs="Times New Roman"/>
          <w:noProof/>
          <w:sz w:val="24"/>
          <w:szCs w:val="24"/>
        </w:rPr>
        <w:t>(Challis, Nielssen, Harris, &amp; Large, 2013)</w:t>
      </w:r>
      <w:r w:rsidRPr="00222E7C">
        <w:rPr>
          <w:rFonts w:ascii="Times New Roman" w:hAnsi="Times New Roman" w:cs="Times New Roman"/>
          <w:sz w:val="24"/>
          <w:szCs w:val="24"/>
        </w:rPr>
        <w:t>.</w:t>
      </w:r>
      <w:r>
        <w:rPr>
          <w:rFonts w:ascii="Times New Roman" w:hAnsi="Times New Roman" w:cs="Times New Roman"/>
          <w:sz w:val="24"/>
          <w:szCs w:val="24"/>
        </w:rPr>
        <w:t xml:space="preserve"> </w:t>
      </w:r>
      <w:r w:rsidRPr="00222E7C">
        <w:rPr>
          <w:rFonts w:ascii="Times New Roman" w:hAnsi="Times New Roman" w:cs="Times New Roman"/>
          <w:sz w:val="24"/>
          <w:szCs w:val="24"/>
        </w:rPr>
        <w:t>Alongside the post-discharge period, the period</w:t>
      </w:r>
      <w:r>
        <w:rPr>
          <w:rFonts w:ascii="Times New Roman" w:hAnsi="Times New Roman" w:cs="Times New Roman"/>
          <w:sz w:val="24"/>
          <w:szCs w:val="24"/>
        </w:rPr>
        <w:t xml:space="preserve"> of </w:t>
      </w:r>
      <w:r w:rsidRPr="00222E7C">
        <w:rPr>
          <w:rFonts w:ascii="Times New Roman" w:hAnsi="Times New Roman" w:cs="Times New Roman"/>
          <w:sz w:val="24"/>
          <w:szCs w:val="24"/>
        </w:rPr>
        <w:t xml:space="preserve">highest risk is in the early stages of </w:t>
      </w:r>
      <w:r>
        <w:rPr>
          <w:rFonts w:ascii="Times New Roman" w:hAnsi="Times New Roman" w:cs="Times New Roman"/>
          <w:sz w:val="24"/>
          <w:szCs w:val="24"/>
        </w:rPr>
        <w:t xml:space="preserve">psychosis </w:t>
      </w:r>
      <w:r w:rsidRPr="00222E7C">
        <w:rPr>
          <w:rFonts w:ascii="Times New Roman" w:hAnsi="Times New Roman" w:cs="Times New Roman"/>
          <w:sz w:val="24"/>
          <w:szCs w:val="24"/>
        </w:rPr>
        <w:t>soon after diagnosi</w:t>
      </w:r>
      <w:r>
        <w:rPr>
          <w:rFonts w:ascii="Times New Roman" w:hAnsi="Times New Roman" w:cs="Times New Roman"/>
          <w:sz w:val="24"/>
          <w:szCs w:val="24"/>
        </w:rPr>
        <w:t xml:space="preserve">s </w:t>
      </w:r>
      <w:r>
        <w:rPr>
          <w:rFonts w:ascii="Times New Roman" w:hAnsi="Times New Roman" w:cs="Times New Roman"/>
          <w:noProof/>
          <w:sz w:val="24"/>
          <w:szCs w:val="24"/>
        </w:rPr>
        <w:t>(e.g., Pompili et al., 2011)</w:t>
      </w:r>
      <w:r>
        <w:rPr>
          <w:rFonts w:ascii="Times New Roman" w:hAnsi="Times New Roman" w:cs="Times New Roman"/>
          <w:sz w:val="24"/>
          <w:szCs w:val="24"/>
        </w:rPr>
        <w:t>, emphasising the importance of understanding this critical period in developing timely and effective early interventions for first episode psychosis.</w:t>
      </w:r>
    </w:p>
    <w:p w:rsidR="00B26CB0" w:rsidRPr="00222E7C" w:rsidRDefault="00B26CB0" w:rsidP="00FA3873">
      <w:pPr>
        <w:rPr>
          <w:rFonts w:ascii="Times New Roman" w:hAnsi="Times New Roman" w:cs="Times New Roman"/>
          <w:sz w:val="24"/>
          <w:szCs w:val="24"/>
        </w:rPr>
      </w:pPr>
      <w:r w:rsidRPr="00222E7C">
        <w:rPr>
          <w:rFonts w:ascii="Times New Roman" w:hAnsi="Times New Roman" w:cs="Times New Roman"/>
          <w:sz w:val="24"/>
          <w:szCs w:val="24"/>
        </w:rPr>
        <w:tab/>
        <w:t>Hopelessness about the future is a significant risk factor for suicidal behaviour in psychosis</w:t>
      </w:r>
      <w:r w:rsidRPr="00222E7C">
        <w:rPr>
          <w:rFonts w:ascii="Times New Roman" w:hAnsi="Times New Roman" w:cs="Times New Roman"/>
          <w:noProof/>
          <w:sz w:val="24"/>
          <w:szCs w:val="24"/>
        </w:rPr>
        <w:t xml:space="preserve"> </w:t>
      </w:r>
      <w:r>
        <w:rPr>
          <w:rFonts w:ascii="Times New Roman" w:hAnsi="Times New Roman" w:cs="Times New Roman"/>
          <w:noProof/>
          <w:sz w:val="24"/>
          <w:szCs w:val="24"/>
        </w:rPr>
        <w:t>(e.g., Hawton, Sutton, Haw, Sinclair, &amp; Deeks, 2005)</w:t>
      </w:r>
      <w:r w:rsidRPr="00222E7C">
        <w:rPr>
          <w:rFonts w:ascii="Times New Roman" w:hAnsi="Times New Roman" w:cs="Times New Roman"/>
          <w:sz w:val="24"/>
          <w:szCs w:val="24"/>
        </w:rPr>
        <w:t xml:space="preserve"> as it is in almost all individuals who attempt or complete suicide, regardless of psychiatric diagnosis (if present).</w:t>
      </w:r>
      <w:r>
        <w:rPr>
          <w:rFonts w:ascii="Times New Roman" w:hAnsi="Times New Roman" w:cs="Times New Roman"/>
          <w:sz w:val="24"/>
          <w:szCs w:val="24"/>
        </w:rPr>
        <w:t xml:space="preserve"> </w:t>
      </w:r>
      <w:r w:rsidRPr="00222E7C">
        <w:rPr>
          <w:rFonts w:ascii="Times New Roman" w:hAnsi="Times New Roman" w:cs="Times New Roman"/>
          <w:sz w:val="24"/>
          <w:szCs w:val="24"/>
        </w:rPr>
        <w:t xml:space="preserve">Moreover, a stronger relationship is found between measures of hopelessness and suicide behaviour than between measures of depression and suicide behaviour in both the general population </w:t>
      </w:r>
      <w:r>
        <w:rPr>
          <w:rFonts w:ascii="Times New Roman" w:hAnsi="Times New Roman" w:cs="Times New Roman"/>
          <w:noProof/>
          <w:sz w:val="24"/>
          <w:szCs w:val="24"/>
        </w:rPr>
        <w:t>(Beck, Kovacs, &amp; Weissman, 1975)</w:t>
      </w:r>
      <w:r w:rsidRPr="00222E7C">
        <w:rPr>
          <w:rFonts w:ascii="Times New Roman" w:hAnsi="Times New Roman" w:cs="Times New Roman"/>
          <w:noProof/>
          <w:sz w:val="24"/>
          <w:szCs w:val="24"/>
        </w:rPr>
        <w:t xml:space="preserve"> and in individuals with psychosis </w:t>
      </w:r>
      <w:r>
        <w:rPr>
          <w:rFonts w:ascii="Times New Roman" w:hAnsi="Times New Roman" w:cs="Times New Roman"/>
          <w:noProof/>
          <w:sz w:val="24"/>
          <w:szCs w:val="24"/>
        </w:rPr>
        <w:t>(Drake &amp; Cotton, 1986)</w:t>
      </w:r>
      <w:r w:rsidRPr="00222E7C">
        <w:rPr>
          <w:rFonts w:ascii="Times New Roman" w:hAnsi="Times New Roman" w:cs="Times New Roman"/>
          <w:sz w:val="24"/>
          <w:szCs w:val="24"/>
        </w:rPr>
        <w:t xml:space="preserve">. </w:t>
      </w:r>
    </w:p>
    <w:p w:rsidR="00B26CB0" w:rsidRPr="00222E7C" w:rsidRDefault="00B26CB0" w:rsidP="00FA3873">
      <w:pPr>
        <w:ind w:firstLine="720"/>
        <w:rPr>
          <w:rFonts w:ascii="Times New Roman" w:hAnsi="Times New Roman" w:cs="Times New Roman"/>
          <w:sz w:val="24"/>
          <w:szCs w:val="24"/>
        </w:rPr>
      </w:pPr>
      <w:r w:rsidRPr="00222E7C">
        <w:rPr>
          <w:rFonts w:ascii="Times New Roman" w:hAnsi="Times New Roman" w:cs="Times New Roman"/>
          <w:sz w:val="24"/>
          <w:szCs w:val="24"/>
        </w:rPr>
        <w:t xml:space="preserve"> The Beck Hopelessness Scale</w:t>
      </w:r>
      <w:r>
        <w:rPr>
          <w:rFonts w:ascii="Times New Roman" w:hAnsi="Times New Roman" w:cs="Times New Roman"/>
          <w:sz w:val="24"/>
          <w:szCs w:val="24"/>
        </w:rPr>
        <w:t xml:space="preserve"> </w:t>
      </w:r>
      <w:r>
        <w:rPr>
          <w:rFonts w:ascii="Times New Roman" w:hAnsi="Times New Roman" w:cs="Times New Roman"/>
          <w:noProof/>
          <w:sz w:val="24"/>
          <w:szCs w:val="24"/>
        </w:rPr>
        <w:t>(BHS; Beck, Weissman, Lester, &amp; Trexler, 1974)</w:t>
      </w:r>
      <w:r w:rsidRPr="00222E7C">
        <w:rPr>
          <w:rFonts w:ascii="Times New Roman" w:hAnsi="Times New Roman" w:cs="Times New Roman"/>
          <w:sz w:val="24"/>
          <w:szCs w:val="24"/>
        </w:rPr>
        <w:t xml:space="preserve"> is the most commonly used measure of hopelessness</w:t>
      </w:r>
      <w:r>
        <w:rPr>
          <w:rFonts w:ascii="Times New Roman" w:hAnsi="Times New Roman" w:cs="Times New Roman"/>
          <w:sz w:val="24"/>
          <w:szCs w:val="24"/>
        </w:rPr>
        <w:t>,</w:t>
      </w:r>
      <w:r w:rsidRPr="00222E7C">
        <w:rPr>
          <w:rFonts w:ascii="Times New Roman" w:hAnsi="Times New Roman" w:cs="Times New Roman"/>
          <w:sz w:val="24"/>
          <w:szCs w:val="24"/>
        </w:rPr>
        <w:t xml:space="preserve"> but is a global self-report scale that may tap into</w:t>
      </w:r>
      <w:r>
        <w:rPr>
          <w:rFonts w:ascii="Times New Roman" w:hAnsi="Times New Roman" w:cs="Times New Roman"/>
          <w:sz w:val="24"/>
          <w:szCs w:val="24"/>
        </w:rPr>
        <w:t xml:space="preserve"> many</w:t>
      </w:r>
      <w:r w:rsidRPr="00222E7C">
        <w:rPr>
          <w:rFonts w:ascii="Times New Roman" w:hAnsi="Times New Roman" w:cs="Times New Roman"/>
          <w:sz w:val="24"/>
          <w:szCs w:val="24"/>
        </w:rPr>
        <w:t xml:space="preserve"> different aspects of how people think about the future</w:t>
      </w:r>
      <w:r>
        <w:rPr>
          <w:rFonts w:ascii="Times New Roman" w:hAnsi="Times New Roman" w:cs="Times New Roman"/>
          <w:sz w:val="24"/>
          <w:szCs w:val="24"/>
        </w:rPr>
        <w:t xml:space="preserve">, reducing its specificity </w:t>
      </w:r>
      <w:r>
        <w:rPr>
          <w:rFonts w:ascii="Times New Roman" w:hAnsi="Times New Roman" w:cs="Times New Roman"/>
          <w:sz w:val="24"/>
          <w:szCs w:val="24"/>
        </w:rPr>
        <w:lastRenderedPageBreak/>
        <w:t>as an indicator of suicide risk</w:t>
      </w:r>
      <w:r w:rsidRPr="00222E7C">
        <w:rPr>
          <w:rFonts w:ascii="Times New Roman" w:hAnsi="Times New Roman" w:cs="Times New Roman"/>
          <w:sz w:val="24"/>
          <w:szCs w:val="24"/>
        </w:rPr>
        <w:t>.</w:t>
      </w:r>
      <w:r>
        <w:rPr>
          <w:rFonts w:ascii="Times New Roman" w:hAnsi="Times New Roman" w:cs="Times New Roman"/>
          <w:sz w:val="24"/>
          <w:szCs w:val="24"/>
        </w:rPr>
        <w:t xml:space="preserve"> </w:t>
      </w:r>
      <w:r w:rsidRPr="00222E7C">
        <w:rPr>
          <w:rFonts w:ascii="Times New Roman" w:hAnsi="Times New Roman" w:cs="Times New Roman"/>
          <w:sz w:val="24"/>
          <w:szCs w:val="24"/>
        </w:rPr>
        <w:t>Attempts have been made to deconstruct the concept of hopelessness into components</w:t>
      </w:r>
      <w:r>
        <w:rPr>
          <w:rFonts w:ascii="Times New Roman" w:hAnsi="Times New Roman" w:cs="Times New Roman"/>
          <w:sz w:val="24"/>
          <w:szCs w:val="24"/>
        </w:rPr>
        <w:t xml:space="preserve"> (and therefore increase its specificity as a risk indicator)</w:t>
      </w:r>
      <w:r w:rsidRPr="00222E7C">
        <w:rPr>
          <w:rFonts w:ascii="Times New Roman" w:hAnsi="Times New Roman" w:cs="Times New Roman"/>
          <w:sz w:val="24"/>
          <w:szCs w:val="24"/>
        </w:rPr>
        <w:t xml:space="preserve"> via the application of factor analysis to data collected using the BHS</w:t>
      </w:r>
      <w:r>
        <w:rPr>
          <w:rFonts w:ascii="Times New Roman" w:hAnsi="Times New Roman" w:cs="Times New Roman"/>
          <w:sz w:val="24"/>
          <w:szCs w:val="24"/>
        </w:rPr>
        <w:t>. However,</w:t>
      </w:r>
      <w:r w:rsidRPr="00222E7C">
        <w:rPr>
          <w:rFonts w:ascii="Times New Roman" w:hAnsi="Times New Roman" w:cs="Times New Roman"/>
          <w:sz w:val="24"/>
          <w:szCs w:val="24"/>
        </w:rPr>
        <w:t xml:space="preserve"> studies are rarely consistent in the number or content of factors defined </w:t>
      </w:r>
      <w:r>
        <w:rPr>
          <w:rFonts w:ascii="Times New Roman" w:hAnsi="Times New Roman" w:cs="Times New Roman"/>
          <w:noProof/>
          <w:sz w:val="24"/>
          <w:szCs w:val="24"/>
        </w:rPr>
        <w:t>(Aish, Wasserman, &amp; Renberg, 2001; Beck et al., 1974; Dyce, 1996; Nissim et al., 2010), suggesting that this approach is problematic</w:t>
      </w:r>
      <w:r w:rsidRPr="00222E7C">
        <w:rPr>
          <w:rFonts w:ascii="Times New Roman" w:hAnsi="Times New Roman" w:cs="Times New Roman"/>
          <w:sz w:val="24"/>
          <w:szCs w:val="24"/>
        </w:rPr>
        <w:t>.</w:t>
      </w:r>
      <w:r>
        <w:rPr>
          <w:rFonts w:ascii="Times New Roman" w:hAnsi="Times New Roman" w:cs="Times New Roman"/>
          <w:sz w:val="24"/>
          <w:szCs w:val="24"/>
        </w:rPr>
        <w:t xml:space="preserve"> </w:t>
      </w:r>
      <w:r w:rsidRPr="00222E7C">
        <w:rPr>
          <w:rFonts w:ascii="Times New Roman" w:hAnsi="Times New Roman" w:cs="Times New Roman"/>
          <w:sz w:val="24"/>
          <w:szCs w:val="24"/>
        </w:rPr>
        <w:t>A</w:t>
      </w:r>
      <w:r>
        <w:rPr>
          <w:rFonts w:ascii="Times New Roman" w:hAnsi="Times New Roman" w:cs="Times New Roman"/>
          <w:sz w:val="24"/>
          <w:szCs w:val="24"/>
        </w:rPr>
        <w:t>n alternative</w:t>
      </w:r>
      <w:r w:rsidRPr="00222E7C">
        <w:rPr>
          <w:rFonts w:ascii="Times New Roman" w:hAnsi="Times New Roman" w:cs="Times New Roman"/>
          <w:sz w:val="24"/>
          <w:szCs w:val="24"/>
        </w:rPr>
        <w:t xml:space="preserve"> approach </w:t>
      </w:r>
      <w:r>
        <w:rPr>
          <w:rFonts w:ascii="Times New Roman" w:hAnsi="Times New Roman" w:cs="Times New Roman"/>
          <w:sz w:val="24"/>
          <w:szCs w:val="24"/>
        </w:rPr>
        <w:t xml:space="preserve">is </w:t>
      </w:r>
      <w:r w:rsidRPr="00222E7C">
        <w:rPr>
          <w:rFonts w:ascii="Times New Roman" w:hAnsi="Times New Roman" w:cs="Times New Roman"/>
          <w:sz w:val="24"/>
          <w:szCs w:val="24"/>
        </w:rPr>
        <w:t>to</w:t>
      </w:r>
      <w:r>
        <w:rPr>
          <w:rFonts w:ascii="Times New Roman" w:hAnsi="Times New Roman" w:cs="Times New Roman"/>
          <w:sz w:val="24"/>
          <w:szCs w:val="24"/>
        </w:rPr>
        <w:t xml:space="preserve"> characterise</w:t>
      </w:r>
      <w:r w:rsidRPr="00222E7C">
        <w:rPr>
          <w:rFonts w:ascii="Times New Roman" w:hAnsi="Times New Roman" w:cs="Times New Roman"/>
          <w:sz w:val="24"/>
          <w:szCs w:val="24"/>
        </w:rPr>
        <w:t xml:space="preserve"> how suicidal people think about the future </w:t>
      </w:r>
      <w:r>
        <w:rPr>
          <w:rFonts w:ascii="Times New Roman" w:hAnsi="Times New Roman" w:cs="Times New Roman"/>
          <w:sz w:val="24"/>
          <w:szCs w:val="24"/>
        </w:rPr>
        <w:t xml:space="preserve">by </w:t>
      </w:r>
      <w:r w:rsidRPr="00222E7C">
        <w:rPr>
          <w:rFonts w:ascii="Times New Roman" w:hAnsi="Times New Roman" w:cs="Times New Roman"/>
          <w:sz w:val="24"/>
          <w:szCs w:val="24"/>
        </w:rPr>
        <w:t>examin</w:t>
      </w:r>
      <w:r>
        <w:rPr>
          <w:rFonts w:ascii="Times New Roman" w:hAnsi="Times New Roman" w:cs="Times New Roman"/>
          <w:sz w:val="24"/>
          <w:szCs w:val="24"/>
        </w:rPr>
        <w:t>ing</w:t>
      </w:r>
      <w:r w:rsidRPr="00222E7C">
        <w:rPr>
          <w:rFonts w:ascii="Times New Roman" w:hAnsi="Times New Roman" w:cs="Times New Roman"/>
          <w:sz w:val="24"/>
          <w:szCs w:val="24"/>
        </w:rPr>
        <w:t xml:space="preserve"> the number and content of their future thoughts in comparison to the general population. </w:t>
      </w:r>
      <w:r w:rsidRPr="00222E7C">
        <w:rPr>
          <w:rFonts w:ascii="Times New Roman" w:hAnsi="Times New Roman" w:cs="Times New Roman"/>
          <w:noProof/>
          <w:sz w:val="24"/>
          <w:szCs w:val="24"/>
        </w:rPr>
        <w:t>Future-directed thinking has been investigated</w:t>
      </w:r>
      <w:r w:rsidRPr="00222E7C">
        <w:rPr>
          <w:rFonts w:ascii="Times New Roman" w:hAnsi="Times New Roman" w:cs="Times New Roman"/>
          <w:sz w:val="24"/>
          <w:szCs w:val="24"/>
        </w:rPr>
        <w:t xml:space="preserve"> using the </w:t>
      </w:r>
      <w:bookmarkStart w:id="0" w:name="_Toc389703260"/>
      <w:r w:rsidRPr="00222E7C">
        <w:rPr>
          <w:rFonts w:ascii="Times New Roman" w:hAnsi="Times New Roman" w:cs="Times New Roman"/>
          <w:sz w:val="24"/>
          <w:szCs w:val="24"/>
        </w:rPr>
        <w:t>Future Thinking Task</w:t>
      </w:r>
      <w:r>
        <w:rPr>
          <w:rFonts w:ascii="Times New Roman" w:hAnsi="Times New Roman" w:cs="Times New Roman"/>
          <w:sz w:val="24"/>
          <w:szCs w:val="24"/>
        </w:rPr>
        <w:t xml:space="preserve"> </w:t>
      </w:r>
      <w:r>
        <w:rPr>
          <w:rFonts w:ascii="Times New Roman" w:hAnsi="Times New Roman" w:cs="Times New Roman"/>
          <w:noProof/>
          <w:sz w:val="24"/>
          <w:szCs w:val="24"/>
        </w:rPr>
        <w:t>(FTT; MacLeod, Rose, &amp; Williams, 1993)</w:t>
      </w:r>
      <w:r w:rsidRPr="00222E7C">
        <w:rPr>
          <w:rFonts w:ascii="Times New Roman" w:hAnsi="Times New Roman" w:cs="Times New Roman"/>
          <w:noProof/>
          <w:sz w:val="24"/>
          <w:szCs w:val="24"/>
        </w:rPr>
        <w:t>, a</w:t>
      </w:r>
      <w:r w:rsidRPr="00222E7C">
        <w:rPr>
          <w:rFonts w:ascii="Times New Roman" w:hAnsi="Times New Roman" w:cs="Times New Roman"/>
          <w:sz w:val="24"/>
          <w:szCs w:val="24"/>
        </w:rPr>
        <w:t xml:space="preserve"> modified verbal fluency task in which participants are asked to generate events in the short-, medium- and long-term future that they are looking forward to (giving a measure of positive future thinking, PFT) and not looking forward to (giving a measure of negative future thinking, NFT). Studies have consistently shown that hopelessness correlates negatively with PFT but has no association with NFT </w:t>
      </w:r>
      <w:r>
        <w:rPr>
          <w:rFonts w:ascii="Times New Roman" w:hAnsi="Times New Roman" w:cs="Times New Roman"/>
          <w:noProof/>
          <w:sz w:val="24"/>
          <w:szCs w:val="24"/>
        </w:rPr>
        <w:t>(e.g., MacLeod, Pankhania, Lee, &amp; Mitchell, 1997)</w:t>
      </w:r>
      <w:r w:rsidRPr="00222E7C">
        <w:rPr>
          <w:rFonts w:ascii="Times New Roman" w:hAnsi="Times New Roman" w:cs="Times New Roman"/>
          <w:sz w:val="24"/>
          <w:szCs w:val="24"/>
        </w:rPr>
        <w:t xml:space="preserve">, and that those at </w:t>
      </w:r>
      <w:r>
        <w:rPr>
          <w:rFonts w:ascii="Times New Roman" w:hAnsi="Times New Roman" w:cs="Times New Roman"/>
          <w:sz w:val="24"/>
          <w:szCs w:val="24"/>
        </w:rPr>
        <w:t xml:space="preserve">risk of </w:t>
      </w:r>
      <w:r w:rsidRPr="00222E7C">
        <w:rPr>
          <w:rFonts w:ascii="Times New Roman" w:hAnsi="Times New Roman" w:cs="Times New Roman"/>
          <w:sz w:val="24"/>
          <w:szCs w:val="24"/>
        </w:rPr>
        <w:t>suicid</w:t>
      </w:r>
      <w:r>
        <w:rPr>
          <w:rFonts w:ascii="Times New Roman" w:hAnsi="Times New Roman" w:cs="Times New Roman"/>
          <w:sz w:val="24"/>
          <w:szCs w:val="24"/>
        </w:rPr>
        <w:t>e</w:t>
      </w:r>
      <w:r w:rsidRPr="00222E7C">
        <w:rPr>
          <w:rFonts w:ascii="Times New Roman" w:hAnsi="Times New Roman" w:cs="Times New Roman"/>
          <w:sz w:val="24"/>
          <w:szCs w:val="24"/>
        </w:rPr>
        <w:t xml:space="preserve"> have reduced PFT in the absence of increased NFT </w:t>
      </w:r>
      <w:r>
        <w:rPr>
          <w:rFonts w:ascii="Times New Roman" w:hAnsi="Times New Roman" w:cs="Times New Roman"/>
          <w:noProof/>
          <w:sz w:val="24"/>
          <w:szCs w:val="24"/>
        </w:rPr>
        <w:t>(e.g., MacLeod et al., 1998)</w:t>
      </w:r>
      <w:r w:rsidRPr="00222E7C">
        <w:rPr>
          <w:rFonts w:ascii="Times New Roman" w:hAnsi="Times New Roman" w:cs="Times New Roman"/>
          <w:sz w:val="24"/>
          <w:szCs w:val="24"/>
        </w:rPr>
        <w:t>. These</w:t>
      </w:r>
      <w:r>
        <w:rPr>
          <w:rFonts w:ascii="Times New Roman" w:hAnsi="Times New Roman" w:cs="Times New Roman"/>
          <w:sz w:val="24"/>
          <w:szCs w:val="24"/>
        </w:rPr>
        <w:t xml:space="preserve"> studies provide evidence that</w:t>
      </w:r>
      <w:r w:rsidRPr="00222E7C">
        <w:rPr>
          <w:rFonts w:ascii="Times New Roman" w:hAnsi="Times New Roman" w:cs="Times New Roman"/>
          <w:sz w:val="24"/>
          <w:szCs w:val="24"/>
        </w:rPr>
        <w:t xml:space="preserve"> difficulty in imagining good things in the future is functionally distinct from the tendency to imagine bad thin</w:t>
      </w:r>
      <w:r>
        <w:rPr>
          <w:rFonts w:ascii="Times New Roman" w:hAnsi="Times New Roman" w:cs="Times New Roman"/>
          <w:sz w:val="24"/>
          <w:szCs w:val="24"/>
        </w:rPr>
        <w:t xml:space="preserve">gs in the future, and </w:t>
      </w:r>
      <w:r w:rsidRPr="00222E7C">
        <w:rPr>
          <w:rFonts w:ascii="Times New Roman" w:hAnsi="Times New Roman" w:cs="Times New Roman"/>
          <w:sz w:val="24"/>
          <w:szCs w:val="24"/>
        </w:rPr>
        <w:t>may be the element of future-</w:t>
      </w:r>
      <w:r>
        <w:rPr>
          <w:rFonts w:ascii="Times New Roman" w:hAnsi="Times New Roman" w:cs="Times New Roman"/>
          <w:sz w:val="24"/>
          <w:szCs w:val="24"/>
        </w:rPr>
        <w:t xml:space="preserve">directed </w:t>
      </w:r>
      <w:r w:rsidRPr="00222E7C">
        <w:rPr>
          <w:rFonts w:ascii="Times New Roman" w:hAnsi="Times New Roman" w:cs="Times New Roman"/>
          <w:sz w:val="24"/>
          <w:szCs w:val="24"/>
        </w:rPr>
        <w:t>thinking</w:t>
      </w:r>
      <w:r>
        <w:rPr>
          <w:rFonts w:ascii="Times New Roman" w:hAnsi="Times New Roman" w:cs="Times New Roman"/>
          <w:sz w:val="24"/>
          <w:szCs w:val="24"/>
        </w:rPr>
        <w:t xml:space="preserve"> that most strongly indicates suicide risk</w:t>
      </w:r>
      <w:r w:rsidRPr="00222E7C">
        <w:rPr>
          <w:rFonts w:ascii="Times New Roman" w:hAnsi="Times New Roman" w:cs="Times New Roman"/>
          <w:sz w:val="24"/>
          <w:szCs w:val="24"/>
        </w:rPr>
        <w:t>.</w:t>
      </w:r>
    </w:p>
    <w:p w:rsidR="00B26CB0" w:rsidRDefault="00B26CB0" w:rsidP="00FA3873">
      <w:pPr>
        <w:rPr>
          <w:rFonts w:ascii="Times New Roman" w:hAnsi="Times New Roman" w:cs="Times New Roman"/>
          <w:sz w:val="24"/>
          <w:szCs w:val="24"/>
        </w:rPr>
      </w:pPr>
      <w:r w:rsidRPr="00222E7C">
        <w:rPr>
          <w:rFonts w:ascii="Times New Roman" w:hAnsi="Times New Roman" w:cs="Times New Roman"/>
          <w:sz w:val="24"/>
          <w:szCs w:val="24"/>
        </w:rPr>
        <w:tab/>
      </w:r>
      <w:r>
        <w:rPr>
          <w:rFonts w:ascii="Times New Roman" w:hAnsi="Times New Roman" w:cs="Times New Roman"/>
          <w:sz w:val="24"/>
          <w:szCs w:val="24"/>
        </w:rPr>
        <w:t>F</w:t>
      </w:r>
      <w:r w:rsidRPr="00222E7C">
        <w:rPr>
          <w:rFonts w:ascii="Times New Roman" w:hAnsi="Times New Roman" w:cs="Times New Roman"/>
          <w:sz w:val="24"/>
          <w:szCs w:val="24"/>
        </w:rPr>
        <w:t xml:space="preserve">ew studies have investigated the ability of individuals with psychosis to think about the future, and no published studies to date have employed the FTT in a psychosis sample. However, </w:t>
      </w:r>
      <w:r>
        <w:rPr>
          <w:rFonts w:ascii="Times New Roman" w:hAnsi="Times New Roman" w:cs="Times New Roman"/>
          <w:sz w:val="24"/>
          <w:szCs w:val="24"/>
        </w:rPr>
        <w:t xml:space="preserve">a series of </w:t>
      </w:r>
      <w:r w:rsidRPr="00222E7C">
        <w:rPr>
          <w:rFonts w:ascii="Times New Roman" w:hAnsi="Times New Roman" w:cs="Times New Roman"/>
          <w:sz w:val="24"/>
          <w:szCs w:val="24"/>
        </w:rPr>
        <w:t xml:space="preserve">studies </w:t>
      </w:r>
      <w:r>
        <w:rPr>
          <w:rFonts w:ascii="Times New Roman" w:hAnsi="Times New Roman" w:cs="Times New Roman"/>
          <w:sz w:val="24"/>
          <w:szCs w:val="24"/>
        </w:rPr>
        <w:t xml:space="preserve">of individuals with schizophrenia </w:t>
      </w:r>
      <w:r w:rsidRPr="00222E7C">
        <w:rPr>
          <w:rFonts w:ascii="Times New Roman" w:hAnsi="Times New Roman" w:cs="Times New Roman"/>
          <w:sz w:val="24"/>
          <w:szCs w:val="24"/>
        </w:rPr>
        <w:t xml:space="preserve">may be relevant to the concept of future-directed thinking in this sample. </w:t>
      </w:r>
      <w:proofErr w:type="spellStart"/>
      <w:r w:rsidRPr="00222E7C">
        <w:rPr>
          <w:rFonts w:ascii="Times New Roman" w:hAnsi="Times New Roman" w:cs="Times New Roman"/>
          <w:sz w:val="24"/>
          <w:szCs w:val="24"/>
        </w:rPr>
        <w:t>D’Argembeau</w:t>
      </w:r>
      <w:proofErr w:type="spellEnd"/>
      <w:r w:rsidRPr="00222E7C">
        <w:rPr>
          <w:rFonts w:ascii="Times New Roman" w:hAnsi="Times New Roman" w:cs="Times New Roman"/>
          <w:sz w:val="24"/>
          <w:szCs w:val="24"/>
        </w:rPr>
        <w:t xml:space="preserve">, </w:t>
      </w:r>
      <w:proofErr w:type="spellStart"/>
      <w:r w:rsidRPr="00222E7C">
        <w:rPr>
          <w:rFonts w:ascii="Times New Roman" w:hAnsi="Times New Roman" w:cs="Times New Roman"/>
          <w:sz w:val="24"/>
          <w:szCs w:val="24"/>
        </w:rPr>
        <w:t>Raffard</w:t>
      </w:r>
      <w:proofErr w:type="spellEnd"/>
      <w:r w:rsidRPr="00222E7C">
        <w:rPr>
          <w:rFonts w:ascii="Times New Roman" w:hAnsi="Times New Roman" w:cs="Times New Roman"/>
          <w:sz w:val="24"/>
          <w:szCs w:val="24"/>
        </w:rPr>
        <w:t xml:space="preserve">, &amp; Van der Linden </w:t>
      </w:r>
      <w:r>
        <w:rPr>
          <w:rFonts w:ascii="Times New Roman" w:hAnsi="Times New Roman" w:cs="Times New Roman"/>
          <w:noProof/>
          <w:sz w:val="24"/>
          <w:szCs w:val="24"/>
        </w:rPr>
        <w:t>(2008)</w:t>
      </w:r>
      <w:r w:rsidRPr="00222E7C">
        <w:rPr>
          <w:rFonts w:ascii="Times New Roman" w:hAnsi="Times New Roman" w:cs="Times New Roman"/>
          <w:noProof/>
          <w:sz w:val="24"/>
          <w:szCs w:val="24"/>
        </w:rPr>
        <w:t xml:space="preserve"> </w:t>
      </w:r>
      <w:r w:rsidRPr="00222E7C">
        <w:rPr>
          <w:rFonts w:ascii="Times New Roman" w:hAnsi="Times New Roman" w:cs="Times New Roman"/>
          <w:sz w:val="24"/>
          <w:szCs w:val="24"/>
        </w:rPr>
        <w:t xml:space="preserve">asked participants to generate detail about future events that </w:t>
      </w:r>
      <w:r>
        <w:rPr>
          <w:rFonts w:ascii="Times New Roman" w:hAnsi="Times New Roman" w:cs="Times New Roman"/>
          <w:sz w:val="24"/>
          <w:szCs w:val="24"/>
        </w:rPr>
        <w:t>might reasonably happen to them</w:t>
      </w:r>
      <w:r w:rsidRPr="00222E7C">
        <w:rPr>
          <w:rFonts w:ascii="Times New Roman" w:hAnsi="Times New Roman" w:cs="Times New Roman"/>
          <w:sz w:val="24"/>
          <w:szCs w:val="24"/>
        </w:rPr>
        <w:t xml:space="preserve"> in response to cues about everyday situations or feelings. Patients were impaired in generating specific events in comparison with controls</w:t>
      </w:r>
      <w:r>
        <w:rPr>
          <w:rFonts w:ascii="Times New Roman" w:hAnsi="Times New Roman" w:cs="Times New Roman"/>
          <w:sz w:val="24"/>
          <w:szCs w:val="24"/>
        </w:rPr>
        <w:t xml:space="preserve">, and in a subsequent study employing </w:t>
      </w:r>
      <w:r>
        <w:rPr>
          <w:rFonts w:ascii="Times New Roman" w:hAnsi="Times New Roman" w:cs="Times New Roman"/>
          <w:sz w:val="24"/>
          <w:szCs w:val="24"/>
        </w:rPr>
        <w:lastRenderedPageBreak/>
        <w:t xml:space="preserve">a similar protocol </w:t>
      </w:r>
      <w:r>
        <w:rPr>
          <w:rFonts w:ascii="Times New Roman" w:hAnsi="Times New Roman" w:cs="Times New Roman"/>
          <w:noProof/>
          <w:sz w:val="24"/>
          <w:szCs w:val="24"/>
        </w:rPr>
        <w:t>(Raffard, D'Argembeau, Bayard, Boulenger, &amp; Van der Linden, 2010)</w:t>
      </w:r>
      <w:r>
        <w:rPr>
          <w:rFonts w:ascii="Times New Roman" w:hAnsi="Times New Roman" w:cs="Times New Roman"/>
          <w:sz w:val="24"/>
          <w:szCs w:val="24"/>
        </w:rPr>
        <w:t xml:space="preserve">, </w:t>
      </w:r>
      <w:r w:rsidRPr="00222E7C">
        <w:rPr>
          <w:rFonts w:ascii="Times New Roman" w:hAnsi="Times New Roman" w:cs="Times New Roman"/>
          <w:sz w:val="24"/>
          <w:szCs w:val="24"/>
        </w:rPr>
        <w:t xml:space="preserve">produced fewer details about their scenes than controls. </w:t>
      </w:r>
      <w:r>
        <w:rPr>
          <w:rFonts w:ascii="Times New Roman" w:hAnsi="Times New Roman" w:cs="Times New Roman"/>
          <w:sz w:val="24"/>
          <w:szCs w:val="24"/>
        </w:rPr>
        <w:t xml:space="preserve">In a closely related study </w:t>
      </w:r>
      <w:r>
        <w:rPr>
          <w:rFonts w:ascii="Times New Roman" w:hAnsi="Times New Roman" w:cs="Times New Roman"/>
          <w:noProof/>
          <w:sz w:val="24"/>
          <w:szCs w:val="24"/>
        </w:rPr>
        <w:t>(Raffard, Esposito, Boulenger, &amp; Van der Linden, 2013)</w:t>
      </w:r>
      <w:r>
        <w:rPr>
          <w:rFonts w:ascii="Times New Roman" w:hAnsi="Times New Roman" w:cs="Times New Roman"/>
          <w:sz w:val="24"/>
          <w:szCs w:val="24"/>
        </w:rPr>
        <w:t>, the same group distinguished between responses to positive and negative events. Patients generated fewer details than controls about future events of both valences, but showed reduced specificity regarding positive events in particular</w:t>
      </w:r>
      <w:r w:rsidRPr="00222E7C">
        <w:rPr>
          <w:rFonts w:ascii="Times New Roman" w:hAnsi="Times New Roman" w:cs="Times New Roman"/>
          <w:sz w:val="24"/>
          <w:szCs w:val="24"/>
        </w:rPr>
        <w:t xml:space="preserve">. Finally, in the study most closely related to the FTT </w:t>
      </w:r>
      <w:r>
        <w:rPr>
          <w:rFonts w:ascii="Times New Roman" w:hAnsi="Times New Roman" w:cs="Times New Roman"/>
          <w:noProof/>
          <w:sz w:val="24"/>
          <w:szCs w:val="24"/>
        </w:rPr>
        <w:t>(de Oliveira, Cuervo-Lombard, Salame, &amp; Danion, 2009)</w:t>
      </w:r>
      <w:r w:rsidRPr="00222E7C">
        <w:rPr>
          <w:rFonts w:ascii="Times New Roman" w:hAnsi="Times New Roman" w:cs="Times New Roman"/>
          <w:sz w:val="24"/>
          <w:szCs w:val="24"/>
        </w:rPr>
        <w:t xml:space="preserve"> participants were asked to describe three plans they had for each of four time periods: the next week, month, 1 year and 5-10 years. For each plan they were asked to imagine a</w:t>
      </w:r>
      <w:r>
        <w:rPr>
          <w:rFonts w:ascii="Times New Roman" w:hAnsi="Times New Roman" w:cs="Times New Roman"/>
          <w:sz w:val="24"/>
          <w:szCs w:val="24"/>
        </w:rPr>
        <w:t xml:space="preserve"> connected</w:t>
      </w:r>
      <w:r w:rsidRPr="00222E7C">
        <w:rPr>
          <w:rFonts w:ascii="Times New Roman" w:hAnsi="Times New Roman" w:cs="Times New Roman"/>
          <w:sz w:val="24"/>
          <w:szCs w:val="24"/>
        </w:rPr>
        <w:t xml:space="preserve"> specific future event. Patients showed</w:t>
      </w:r>
      <w:r>
        <w:rPr>
          <w:rFonts w:ascii="Times New Roman" w:hAnsi="Times New Roman" w:cs="Times New Roman"/>
          <w:sz w:val="24"/>
          <w:szCs w:val="24"/>
        </w:rPr>
        <w:t xml:space="preserve"> impairment in their </w:t>
      </w:r>
      <w:r w:rsidRPr="00222E7C">
        <w:rPr>
          <w:rFonts w:ascii="Times New Roman" w:hAnsi="Times New Roman" w:cs="Times New Roman"/>
          <w:sz w:val="24"/>
          <w:szCs w:val="24"/>
        </w:rPr>
        <w:t>ability to generate future plans, and future events connected with their plans were rated as less specific.</w:t>
      </w:r>
    </w:p>
    <w:p w:rsidR="00B26CB0" w:rsidRDefault="00B26CB0" w:rsidP="008765EC">
      <w:pPr>
        <w:ind w:firstLine="720"/>
        <w:rPr>
          <w:rFonts w:ascii="Times New Roman" w:hAnsi="Times New Roman" w:cs="Times New Roman"/>
          <w:sz w:val="24"/>
          <w:szCs w:val="24"/>
        </w:rPr>
      </w:pPr>
      <w:r w:rsidRPr="00222E7C">
        <w:rPr>
          <w:rFonts w:ascii="Times New Roman" w:hAnsi="Times New Roman" w:cs="Times New Roman"/>
          <w:sz w:val="24"/>
          <w:szCs w:val="24"/>
        </w:rPr>
        <w:t xml:space="preserve">The studies described above suggest that future-directed thinking in psychosis is impaired in </w:t>
      </w:r>
      <w:r>
        <w:rPr>
          <w:rFonts w:ascii="Times New Roman" w:hAnsi="Times New Roman" w:cs="Times New Roman"/>
          <w:sz w:val="24"/>
          <w:szCs w:val="24"/>
        </w:rPr>
        <w:t xml:space="preserve">both </w:t>
      </w:r>
      <w:r w:rsidRPr="00222E7C">
        <w:rPr>
          <w:rFonts w:ascii="Times New Roman" w:hAnsi="Times New Roman" w:cs="Times New Roman"/>
          <w:sz w:val="24"/>
          <w:szCs w:val="24"/>
        </w:rPr>
        <w:t>the number</w:t>
      </w:r>
      <w:r>
        <w:rPr>
          <w:rFonts w:ascii="Times New Roman" w:hAnsi="Times New Roman" w:cs="Times New Roman"/>
          <w:sz w:val="24"/>
          <w:szCs w:val="24"/>
        </w:rPr>
        <w:t xml:space="preserve"> and detail</w:t>
      </w:r>
      <w:r w:rsidRPr="00222E7C">
        <w:rPr>
          <w:rFonts w:ascii="Times New Roman" w:hAnsi="Times New Roman" w:cs="Times New Roman"/>
          <w:sz w:val="24"/>
          <w:szCs w:val="24"/>
        </w:rPr>
        <w:t xml:space="preserve"> of events that can be generated</w:t>
      </w:r>
      <w:r>
        <w:rPr>
          <w:rFonts w:ascii="Times New Roman" w:hAnsi="Times New Roman" w:cs="Times New Roman"/>
          <w:sz w:val="24"/>
          <w:szCs w:val="24"/>
        </w:rPr>
        <w:t>. Furthermore, this effect may be particularly marked for positive events</w:t>
      </w:r>
      <w:r w:rsidRPr="00222E7C">
        <w:rPr>
          <w:rFonts w:ascii="Times New Roman" w:hAnsi="Times New Roman" w:cs="Times New Roman"/>
          <w:sz w:val="24"/>
          <w:szCs w:val="24"/>
        </w:rPr>
        <w:t>. However, these studies focused mainly on specificity</w:t>
      </w:r>
      <w:r>
        <w:rPr>
          <w:rFonts w:ascii="Times New Roman" w:hAnsi="Times New Roman" w:cs="Times New Roman"/>
          <w:sz w:val="24"/>
          <w:szCs w:val="24"/>
        </w:rPr>
        <w:t xml:space="preserve"> </w:t>
      </w:r>
      <w:r w:rsidRPr="00222E7C">
        <w:rPr>
          <w:rFonts w:ascii="Times New Roman" w:hAnsi="Times New Roman" w:cs="Times New Roman"/>
          <w:sz w:val="24"/>
          <w:szCs w:val="24"/>
        </w:rPr>
        <w:t xml:space="preserve">of future thoughts and only the </w:t>
      </w:r>
      <w:proofErr w:type="spellStart"/>
      <w:r w:rsidRPr="00222E7C">
        <w:rPr>
          <w:rFonts w:ascii="Times New Roman" w:hAnsi="Times New Roman" w:cs="Times New Roman"/>
          <w:sz w:val="24"/>
          <w:szCs w:val="24"/>
        </w:rPr>
        <w:t>Raffard</w:t>
      </w:r>
      <w:proofErr w:type="spellEnd"/>
      <w:r w:rsidRPr="00222E7C">
        <w:rPr>
          <w:rFonts w:ascii="Times New Roman" w:hAnsi="Times New Roman" w:cs="Times New Roman"/>
          <w:sz w:val="24"/>
          <w:szCs w:val="24"/>
        </w:rPr>
        <w:t xml:space="preserve"> et al. </w:t>
      </w:r>
      <w:r>
        <w:rPr>
          <w:rFonts w:ascii="Times New Roman" w:hAnsi="Times New Roman" w:cs="Times New Roman"/>
          <w:noProof/>
          <w:sz w:val="24"/>
          <w:szCs w:val="24"/>
        </w:rPr>
        <w:t>(2013)</w:t>
      </w:r>
      <w:r>
        <w:rPr>
          <w:rFonts w:ascii="Times New Roman" w:hAnsi="Times New Roman" w:cs="Times New Roman"/>
          <w:sz w:val="24"/>
          <w:szCs w:val="24"/>
        </w:rPr>
        <w:t xml:space="preserve"> </w:t>
      </w:r>
      <w:r w:rsidRPr="00222E7C">
        <w:rPr>
          <w:rFonts w:ascii="Times New Roman" w:hAnsi="Times New Roman" w:cs="Times New Roman"/>
          <w:sz w:val="24"/>
          <w:szCs w:val="24"/>
        </w:rPr>
        <w:t xml:space="preserve">study drew a distinction between </w:t>
      </w:r>
      <w:r>
        <w:rPr>
          <w:rFonts w:ascii="Times New Roman" w:hAnsi="Times New Roman" w:cs="Times New Roman"/>
          <w:sz w:val="24"/>
          <w:szCs w:val="24"/>
        </w:rPr>
        <w:t>the generation of</w:t>
      </w:r>
      <w:r w:rsidRPr="00222E7C">
        <w:rPr>
          <w:rFonts w:ascii="Times New Roman" w:hAnsi="Times New Roman" w:cs="Times New Roman"/>
          <w:sz w:val="24"/>
          <w:szCs w:val="24"/>
        </w:rPr>
        <w:t xml:space="preserve"> positive and negative scenarios. In addition, reported illness duration was long (between 9 and 14 years), therefore </w:t>
      </w:r>
      <w:r>
        <w:rPr>
          <w:rFonts w:ascii="Times New Roman" w:hAnsi="Times New Roman" w:cs="Times New Roman"/>
          <w:sz w:val="24"/>
          <w:szCs w:val="24"/>
        </w:rPr>
        <w:t>it is difficult to isolate the</w:t>
      </w:r>
      <w:r w:rsidRPr="00222E7C">
        <w:rPr>
          <w:rFonts w:ascii="Times New Roman" w:hAnsi="Times New Roman" w:cs="Times New Roman"/>
          <w:sz w:val="24"/>
          <w:szCs w:val="24"/>
        </w:rPr>
        <w:t xml:space="preserve"> effects of psychosis from </w:t>
      </w:r>
      <w:r>
        <w:rPr>
          <w:rFonts w:ascii="Times New Roman" w:hAnsi="Times New Roman" w:cs="Times New Roman"/>
          <w:sz w:val="24"/>
          <w:szCs w:val="24"/>
        </w:rPr>
        <w:t xml:space="preserve">the </w:t>
      </w:r>
      <w:r w:rsidRPr="00222E7C">
        <w:rPr>
          <w:rFonts w:ascii="Times New Roman" w:hAnsi="Times New Roman" w:cs="Times New Roman"/>
          <w:sz w:val="24"/>
          <w:szCs w:val="24"/>
        </w:rPr>
        <w:t>effects of hav</w:t>
      </w:r>
      <w:r>
        <w:rPr>
          <w:rFonts w:ascii="Times New Roman" w:hAnsi="Times New Roman" w:cs="Times New Roman"/>
          <w:sz w:val="24"/>
          <w:szCs w:val="24"/>
        </w:rPr>
        <w:t>ing a long-</w:t>
      </w:r>
      <w:r w:rsidRPr="00222E7C">
        <w:rPr>
          <w:rFonts w:ascii="Times New Roman" w:hAnsi="Times New Roman" w:cs="Times New Roman"/>
          <w:sz w:val="24"/>
          <w:szCs w:val="24"/>
        </w:rPr>
        <w:t>term condition.</w:t>
      </w:r>
    </w:p>
    <w:p w:rsidR="00B26CB0" w:rsidRDefault="00B26CB0" w:rsidP="004D4C8B">
      <w:pPr>
        <w:ind w:firstLine="720"/>
        <w:rPr>
          <w:rFonts w:ascii="Times New Roman" w:hAnsi="Times New Roman" w:cs="Times New Roman"/>
          <w:sz w:val="24"/>
          <w:szCs w:val="24"/>
        </w:rPr>
      </w:pPr>
      <w:r>
        <w:rPr>
          <w:rFonts w:ascii="Times New Roman" w:hAnsi="Times New Roman" w:cs="Times New Roman"/>
          <w:sz w:val="24"/>
          <w:szCs w:val="24"/>
        </w:rPr>
        <w:t xml:space="preserve">The work of Corcoran and colleagues is also relevant to this discussion. In their 2006 study </w:t>
      </w:r>
      <w:r>
        <w:rPr>
          <w:rFonts w:ascii="Times New Roman" w:hAnsi="Times New Roman" w:cs="Times New Roman"/>
          <w:noProof/>
          <w:sz w:val="24"/>
          <w:szCs w:val="24"/>
        </w:rPr>
        <w:t>(Corcoran et al., 2006)</w:t>
      </w:r>
      <w:r>
        <w:rPr>
          <w:rFonts w:ascii="Times New Roman" w:hAnsi="Times New Roman" w:cs="Times New Roman"/>
          <w:sz w:val="24"/>
          <w:szCs w:val="24"/>
        </w:rPr>
        <w:t xml:space="preserve"> participants with either depression or paranoid delusions were asked to rate the likelihood of pre-determined positive, neutral and threatening events. They observed that the presence of depression predicted reduced positive expectancies, and persecutory delusions were shown to predict both reduced positive expectancies and increased likelihood ratings of threatening events. These results were replicated in their 2010 study </w:t>
      </w:r>
      <w:r>
        <w:rPr>
          <w:rFonts w:ascii="Times New Roman" w:hAnsi="Times New Roman" w:cs="Times New Roman"/>
          <w:noProof/>
          <w:sz w:val="24"/>
          <w:szCs w:val="24"/>
        </w:rPr>
        <w:t>(Bennett &amp; Corcoran, 2010)</w:t>
      </w:r>
      <w:r>
        <w:rPr>
          <w:rFonts w:ascii="Times New Roman" w:hAnsi="Times New Roman" w:cs="Times New Roman"/>
          <w:sz w:val="24"/>
          <w:szCs w:val="24"/>
        </w:rPr>
        <w:t xml:space="preserve"> of participants without a psychiatric diagnosis.</w:t>
      </w:r>
    </w:p>
    <w:p w:rsidR="00B26CB0" w:rsidRDefault="00B26CB0" w:rsidP="004D4C8B">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These results are consistent with the findings of MacLeod and colleagues (1997) in that they suggest that individuals with first episode psychosis, who commonly experience paranoid delusions, would have reduced positive expectancies compared with the general population. However, in contrast to the work of </w:t>
      </w:r>
      <w:proofErr w:type="spellStart"/>
      <w:r>
        <w:rPr>
          <w:rFonts w:ascii="Times New Roman" w:hAnsi="Times New Roman" w:cs="Times New Roman"/>
          <w:sz w:val="24"/>
          <w:szCs w:val="24"/>
        </w:rPr>
        <w:t>Raffard</w:t>
      </w:r>
      <w:proofErr w:type="spellEnd"/>
      <w:r>
        <w:rPr>
          <w:rFonts w:ascii="Times New Roman" w:hAnsi="Times New Roman" w:cs="Times New Roman"/>
          <w:sz w:val="24"/>
          <w:szCs w:val="24"/>
        </w:rPr>
        <w:t xml:space="preserve"> and colleagues (2013) they also indicate that more threatening events would be predicted by those with first episode psychosis. Given this ambiguity, and the fact that the work of Corcoran and colleagues did not directly compare the future expectancies of those with paranoid delusions to those without, there is scope to investigate this subject further.</w:t>
      </w:r>
    </w:p>
    <w:p w:rsidR="00B26CB0" w:rsidRDefault="00B26CB0" w:rsidP="004B6AE7">
      <w:pPr>
        <w:ind w:firstLine="720"/>
        <w:rPr>
          <w:rFonts w:ascii="Times New Roman" w:hAnsi="Times New Roman" w:cs="Times New Roman"/>
          <w:sz w:val="24"/>
          <w:szCs w:val="24"/>
        </w:rPr>
      </w:pPr>
      <w:r>
        <w:rPr>
          <w:rFonts w:ascii="Times New Roman" w:hAnsi="Times New Roman" w:cs="Times New Roman"/>
          <w:sz w:val="24"/>
          <w:szCs w:val="24"/>
        </w:rPr>
        <w:t>The current study sought to clarify,</w:t>
      </w:r>
      <w:r w:rsidRPr="00222E7C">
        <w:rPr>
          <w:rFonts w:ascii="Times New Roman" w:hAnsi="Times New Roman" w:cs="Times New Roman"/>
          <w:sz w:val="24"/>
          <w:szCs w:val="24"/>
        </w:rPr>
        <w:t xml:space="preserve"> </w:t>
      </w:r>
      <w:r>
        <w:rPr>
          <w:rFonts w:ascii="Times New Roman" w:hAnsi="Times New Roman" w:cs="Times New Roman"/>
          <w:sz w:val="24"/>
          <w:szCs w:val="24"/>
        </w:rPr>
        <w:t>using the FTT, whether</w:t>
      </w:r>
      <w:r w:rsidRPr="00222E7C">
        <w:rPr>
          <w:rFonts w:ascii="Times New Roman" w:hAnsi="Times New Roman" w:cs="Times New Roman"/>
          <w:sz w:val="24"/>
          <w:szCs w:val="24"/>
        </w:rPr>
        <w:t xml:space="preserve"> a group of patients </w:t>
      </w:r>
      <w:r>
        <w:rPr>
          <w:rFonts w:ascii="Times New Roman" w:hAnsi="Times New Roman" w:cs="Times New Roman"/>
          <w:sz w:val="24"/>
          <w:szCs w:val="24"/>
        </w:rPr>
        <w:t xml:space="preserve">with first episode psychosis </w:t>
      </w:r>
      <w:r w:rsidRPr="00222E7C">
        <w:rPr>
          <w:rFonts w:ascii="Times New Roman" w:hAnsi="Times New Roman" w:cs="Times New Roman"/>
          <w:sz w:val="24"/>
          <w:szCs w:val="24"/>
        </w:rPr>
        <w:t>would show</w:t>
      </w:r>
      <w:r>
        <w:rPr>
          <w:rFonts w:ascii="Times New Roman" w:hAnsi="Times New Roman" w:cs="Times New Roman"/>
          <w:sz w:val="24"/>
          <w:szCs w:val="24"/>
        </w:rPr>
        <w:t>: 1. T</w:t>
      </w:r>
      <w:r w:rsidRPr="00222E7C">
        <w:rPr>
          <w:rFonts w:ascii="Times New Roman" w:hAnsi="Times New Roman" w:cs="Times New Roman"/>
          <w:sz w:val="24"/>
          <w:szCs w:val="24"/>
        </w:rPr>
        <w:t xml:space="preserve">he characteristic pattern </w:t>
      </w:r>
      <w:r>
        <w:rPr>
          <w:rFonts w:ascii="Times New Roman" w:hAnsi="Times New Roman" w:cs="Times New Roman"/>
          <w:sz w:val="24"/>
          <w:szCs w:val="24"/>
        </w:rPr>
        <w:t xml:space="preserve">of </w:t>
      </w:r>
      <w:r w:rsidRPr="00222E7C">
        <w:rPr>
          <w:rFonts w:ascii="Times New Roman" w:hAnsi="Times New Roman" w:cs="Times New Roman"/>
          <w:sz w:val="24"/>
          <w:szCs w:val="24"/>
        </w:rPr>
        <w:t>r</w:t>
      </w:r>
      <w:r>
        <w:rPr>
          <w:rFonts w:ascii="Times New Roman" w:hAnsi="Times New Roman" w:cs="Times New Roman"/>
          <w:sz w:val="24"/>
          <w:szCs w:val="24"/>
        </w:rPr>
        <w:t>educed PFT alongside intact NFT</w:t>
      </w:r>
      <w:r w:rsidRPr="00222E7C">
        <w:rPr>
          <w:rFonts w:ascii="Times New Roman" w:hAnsi="Times New Roman" w:cs="Times New Roman"/>
          <w:sz w:val="24"/>
          <w:szCs w:val="24"/>
        </w:rPr>
        <w:t xml:space="preserve"> found in those </w:t>
      </w:r>
      <w:r>
        <w:rPr>
          <w:rFonts w:ascii="Times New Roman" w:hAnsi="Times New Roman" w:cs="Times New Roman"/>
          <w:sz w:val="24"/>
          <w:szCs w:val="24"/>
        </w:rPr>
        <w:t xml:space="preserve">with </w:t>
      </w:r>
      <w:r w:rsidRPr="00222E7C">
        <w:rPr>
          <w:rFonts w:ascii="Times New Roman" w:hAnsi="Times New Roman" w:cs="Times New Roman"/>
          <w:sz w:val="24"/>
          <w:szCs w:val="24"/>
        </w:rPr>
        <w:t>high depression and hopelessness</w:t>
      </w:r>
      <w:r>
        <w:rPr>
          <w:rFonts w:ascii="Times New Roman" w:hAnsi="Times New Roman" w:cs="Times New Roman"/>
          <w:sz w:val="24"/>
          <w:szCs w:val="24"/>
        </w:rPr>
        <w:t>, as predicted by the work of MacLeod and colleagues; 2. G</w:t>
      </w:r>
      <w:r w:rsidRPr="00222E7C">
        <w:rPr>
          <w:rFonts w:ascii="Times New Roman" w:hAnsi="Times New Roman" w:cs="Times New Roman"/>
          <w:sz w:val="24"/>
          <w:szCs w:val="24"/>
        </w:rPr>
        <w:t>enerally impaired thinking about the future</w:t>
      </w:r>
      <w:r>
        <w:rPr>
          <w:rFonts w:ascii="Times New Roman" w:hAnsi="Times New Roman" w:cs="Times New Roman"/>
          <w:sz w:val="24"/>
          <w:szCs w:val="24"/>
        </w:rPr>
        <w:t xml:space="preserve">, both positive and negative, as suggested by the work of </w:t>
      </w:r>
      <w:proofErr w:type="spellStart"/>
      <w:r>
        <w:rPr>
          <w:rFonts w:ascii="Times New Roman" w:hAnsi="Times New Roman" w:cs="Times New Roman"/>
          <w:sz w:val="24"/>
          <w:szCs w:val="24"/>
        </w:rPr>
        <w:t>Raffard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Oliviera</w:t>
      </w:r>
      <w:proofErr w:type="spellEnd"/>
      <w:r>
        <w:rPr>
          <w:rFonts w:ascii="Times New Roman" w:hAnsi="Times New Roman" w:cs="Times New Roman"/>
          <w:sz w:val="24"/>
          <w:szCs w:val="24"/>
        </w:rPr>
        <w:t xml:space="preserve"> and colleagues; or 3. Reduced PFT and increased NFT predicted by the work of Corcoran and colleagues. This study extended the existing work on future-directed thinking in psychosis by examining patients’ own idiographic anticipation for the future, and widening the category of negative events from threatening events to include all events not looked forward to.</w:t>
      </w:r>
    </w:p>
    <w:p w:rsidR="00B26CB0" w:rsidRPr="00222E7C" w:rsidRDefault="00B26CB0" w:rsidP="00FA3873">
      <w:pPr>
        <w:ind w:firstLine="720"/>
        <w:rPr>
          <w:rFonts w:ascii="Times New Roman" w:hAnsi="Times New Roman" w:cs="Times New Roman"/>
          <w:sz w:val="24"/>
          <w:szCs w:val="24"/>
        </w:rPr>
      </w:pPr>
      <w:r w:rsidRPr="00222E7C">
        <w:rPr>
          <w:rFonts w:ascii="Times New Roman" w:hAnsi="Times New Roman" w:cs="Times New Roman"/>
          <w:sz w:val="24"/>
          <w:szCs w:val="24"/>
        </w:rPr>
        <w:t>As a second aim, the study also examined the link between future-directed thinking and three other variables: self-reported hopelessness, suicide ideation and negative symptoms.</w:t>
      </w:r>
      <w:r>
        <w:rPr>
          <w:rFonts w:ascii="Times New Roman" w:hAnsi="Times New Roman" w:cs="Times New Roman"/>
          <w:sz w:val="24"/>
          <w:szCs w:val="24"/>
        </w:rPr>
        <w:t xml:space="preserve"> </w:t>
      </w:r>
      <w:r w:rsidRPr="00222E7C">
        <w:rPr>
          <w:rFonts w:ascii="Times New Roman" w:hAnsi="Times New Roman" w:cs="Times New Roman"/>
          <w:sz w:val="24"/>
          <w:szCs w:val="24"/>
        </w:rPr>
        <w:t>The rationale for examining self-reported hopelessness and suicide</w:t>
      </w:r>
      <w:r>
        <w:rPr>
          <w:rFonts w:ascii="Times New Roman" w:hAnsi="Times New Roman" w:cs="Times New Roman"/>
          <w:sz w:val="24"/>
          <w:szCs w:val="24"/>
        </w:rPr>
        <w:t xml:space="preserve"> ideation has already been outlin</w:t>
      </w:r>
      <w:r w:rsidRPr="00222E7C">
        <w:rPr>
          <w:rFonts w:ascii="Times New Roman" w:hAnsi="Times New Roman" w:cs="Times New Roman"/>
          <w:sz w:val="24"/>
          <w:szCs w:val="24"/>
        </w:rPr>
        <w:t>ed.</w:t>
      </w:r>
      <w:r>
        <w:rPr>
          <w:rFonts w:ascii="Times New Roman" w:hAnsi="Times New Roman" w:cs="Times New Roman"/>
          <w:sz w:val="24"/>
          <w:szCs w:val="24"/>
        </w:rPr>
        <w:t xml:space="preserve"> </w:t>
      </w:r>
      <w:r w:rsidRPr="00222E7C">
        <w:rPr>
          <w:rFonts w:ascii="Times New Roman" w:hAnsi="Times New Roman" w:cs="Times New Roman"/>
          <w:sz w:val="24"/>
          <w:szCs w:val="24"/>
        </w:rPr>
        <w:t xml:space="preserve">Negative symptoms </w:t>
      </w:r>
      <w:r>
        <w:rPr>
          <w:rFonts w:ascii="Times New Roman" w:hAnsi="Times New Roman" w:cs="Times New Roman"/>
          <w:sz w:val="24"/>
          <w:szCs w:val="24"/>
        </w:rPr>
        <w:t xml:space="preserve">of psychosis </w:t>
      </w:r>
      <w:r w:rsidRPr="00222E7C">
        <w:rPr>
          <w:rFonts w:ascii="Times New Roman" w:hAnsi="Times New Roman" w:cs="Times New Roman"/>
          <w:sz w:val="24"/>
          <w:szCs w:val="24"/>
        </w:rPr>
        <w:t xml:space="preserve">are associated with significant functional impairment </w:t>
      </w:r>
      <w:r>
        <w:rPr>
          <w:rFonts w:ascii="Times New Roman" w:hAnsi="Times New Roman" w:cs="Times New Roman"/>
          <w:noProof/>
          <w:sz w:val="24"/>
          <w:szCs w:val="24"/>
        </w:rPr>
        <w:t>(Breier, Schreiber, Dyer, &amp; Pickar, 1991)</w:t>
      </w:r>
      <w:r w:rsidRPr="00222E7C">
        <w:rPr>
          <w:rFonts w:ascii="Times New Roman" w:hAnsi="Times New Roman" w:cs="Times New Roman"/>
          <w:sz w:val="24"/>
          <w:szCs w:val="24"/>
        </w:rPr>
        <w:t xml:space="preserve">, reduced functional outcome </w:t>
      </w:r>
      <w:r>
        <w:rPr>
          <w:rFonts w:ascii="Times New Roman" w:hAnsi="Times New Roman" w:cs="Times New Roman"/>
          <w:sz w:val="24"/>
          <w:szCs w:val="24"/>
        </w:rPr>
        <w:t xml:space="preserve">up to 10 </w:t>
      </w:r>
      <w:r w:rsidRPr="00222E7C">
        <w:rPr>
          <w:rFonts w:ascii="Times New Roman" w:hAnsi="Times New Roman" w:cs="Times New Roman"/>
          <w:sz w:val="24"/>
          <w:szCs w:val="24"/>
        </w:rPr>
        <w:t>year</w:t>
      </w:r>
      <w:r>
        <w:rPr>
          <w:rFonts w:ascii="Times New Roman" w:hAnsi="Times New Roman" w:cs="Times New Roman"/>
          <w:sz w:val="24"/>
          <w:szCs w:val="24"/>
        </w:rPr>
        <w:t>s later</w:t>
      </w:r>
      <w:r w:rsidRPr="00222E7C">
        <w:rPr>
          <w:rFonts w:ascii="Times New Roman" w:hAnsi="Times New Roman" w:cs="Times New Roman"/>
          <w:sz w:val="24"/>
          <w:szCs w:val="24"/>
        </w:rPr>
        <w:t xml:space="preserve"> </w:t>
      </w:r>
      <w:r>
        <w:rPr>
          <w:rFonts w:ascii="Times New Roman" w:hAnsi="Times New Roman" w:cs="Times New Roman"/>
          <w:noProof/>
          <w:sz w:val="24"/>
          <w:szCs w:val="24"/>
        </w:rPr>
        <w:t>(C. White et al., 2009),</w:t>
      </w:r>
      <w:r w:rsidRPr="00222E7C">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222E7C">
        <w:rPr>
          <w:rFonts w:ascii="Times New Roman" w:hAnsi="Times New Roman" w:cs="Times New Roman"/>
          <w:sz w:val="24"/>
          <w:szCs w:val="24"/>
        </w:rPr>
        <w:t xml:space="preserve">are often resistant to treatment </w:t>
      </w:r>
      <w:r>
        <w:rPr>
          <w:rFonts w:ascii="Times New Roman" w:hAnsi="Times New Roman" w:cs="Times New Roman"/>
          <w:noProof/>
          <w:sz w:val="24"/>
          <w:szCs w:val="24"/>
        </w:rPr>
        <w:t>(Buchanan, 2007)</w:t>
      </w:r>
      <w:r w:rsidRPr="00222E7C">
        <w:rPr>
          <w:rFonts w:ascii="Times New Roman" w:hAnsi="Times New Roman" w:cs="Times New Roman"/>
          <w:sz w:val="24"/>
          <w:szCs w:val="24"/>
        </w:rPr>
        <w:t xml:space="preserve">. </w:t>
      </w:r>
      <w:r>
        <w:rPr>
          <w:rFonts w:ascii="Times New Roman" w:hAnsi="Times New Roman" w:cs="Times New Roman"/>
          <w:noProof/>
          <w:sz w:val="24"/>
          <w:szCs w:val="24"/>
        </w:rPr>
        <w:t>Ferguson, Conway, Endersby, and MacLeod (2009)</w:t>
      </w:r>
      <w:r w:rsidRPr="00222E7C">
        <w:rPr>
          <w:rFonts w:ascii="Times New Roman" w:hAnsi="Times New Roman" w:cs="Times New Roman"/>
          <w:sz w:val="24"/>
          <w:szCs w:val="24"/>
        </w:rPr>
        <w:t xml:space="preserve"> found that </w:t>
      </w:r>
      <w:r>
        <w:rPr>
          <w:rFonts w:ascii="Times New Roman" w:hAnsi="Times New Roman" w:cs="Times New Roman"/>
          <w:sz w:val="24"/>
          <w:szCs w:val="24"/>
        </w:rPr>
        <w:t xml:space="preserve">in a group of detained patients with chronic psychotic illnesses </w:t>
      </w:r>
      <w:r w:rsidRPr="00222E7C">
        <w:rPr>
          <w:rFonts w:ascii="Times New Roman" w:hAnsi="Times New Roman" w:cs="Times New Roman"/>
          <w:sz w:val="24"/>
          <w:szCs w:val="24"/>
        </w:rPr>
        <w:t>negative symptoms and</w:t>
      </w:r>
      <w:r>
        <w:rPr>
          <w:rFonts w:ascii="Times New Roman" w:hAnsi="Times New Roman" w:cs="Times New Roman"/>
          <w:sz w:val="24"/>
          <w:szCs w:val="24"/>
        </w:rPr>
        <w:t xml:space="preserve"> PFT</w:t>
      </w:r>
      <w:r w:rsidRPr="00222E7C">
        <w:rPr>
          <w:rFonts w:ascii="Times New Roman" w:hAnsi="Times New Roman" w:cs="Times New Roman"/>
          <w:sz w:val="24"/>
          <w:szCs w:val="24"/>
        </w:rPr>
        <w:t xml:space="preserve"> improved </w:t>
      </w:r>
      <w:r>
        <w:rPr>
          <w:rFonts w:ascii="Times New Roman" w:hAnsi="Times New Roman" w:cs="Times New Roman"/>
          <w:sz w:val="24"/>
          <w:szCs w:val="24"/>
        </w:rPr>
        <w:t xml:space="preserve">concurrently </w:t>
      </w:r>
      <w:r>
        <w:rPr>
          <w:rFonts w:ascii="Times New Roman" w:hAnsi="Times New Roman" w:cs="Times New Roman"/>
          <w:sz w:val="24"/>
          <w:szCs w:val="24"/>
        </w:rPr>
        <w:lastRenderedPageBreak/>
        <w:t xml:space="preserve">following </w:t>
      </w:r>
      <w:r w:rsidRPr="00222E7C">
        <w:rPr>
          <w:rFonts w:ascii="Times New Roman" w:hAnsi="Times New Roman" w:cs="Times New Roman"/>
          <w:sz w:val="24"/>
          <w:szCs w:val="24"/>
        </w:rPr>
        <w:t>a goa</w:t>
      </w:r>
      <w:r>
        <w:rPr>
          <w:rFonts w:ascii="Times New Roman" w:hAnsi="Times New Roman" w:cs="Times New Roman"/>
          <w:sz w:val="24"/>
          <w:szCs w:val="24"/>
        </w:rPr>
        <w:t>ls and plans training programme, but t</w:t>
      </w:r>
      <w:r w:rsidRPr="00222E7C">
        <w:rPr>
          <w:rFonts w:ascii="Times New Roman" w:hAnsi="Times New Roman" w:cs="Times New Roman"/>
          <w:sz w:val="24"/>
          <w:szCs w:val="24"/>
        </w:rPr>
        <w:t xml:space="preserve">here is a need to investigate these links in the early course of psychotic illness. </w:t>
      </w:r>
    </w:p>
    <w:bookmarkEnd w:id="0"/>
    <w:p w:rsidR="00B26CB0" w:rsidRPr="00222E7C" w:rsidRDefault="00B26CB0" w:rsidP="00FA3873">
      <w:pPr>
        <w:ind w:firstLine="720"/>
        <w:rPr>
          <w:rFonts w:ascii="Times New Roman" w:hAnsi="Times New Roman" w:cs="Times New Roman"/>
          <w:sz w:val="24"/>
          <w:szCs w:val="24"/>
        </w:rPr>
      </w:pPr>
      <w:r>
        <w:rPr>
          <w:rFonts w:ascii="Times New Roman" w:hAnsi="Times New Roman" w:cs="Times New Roman"/>
          <w:sz w:val="24"/>
          <w:szCs w:val="24"/>
        </w:rPr>
        <w:t>T</w:t>
      </w:r>
      <w:r w:rsidRPr="00222E7C">
        <w:rPr>
          <w:rFonts w:ascii="Times New Roman" w:hAnsi="Times New Roman" w:cs="Times New Roman"/>
          <w:sz w:val="24"/>
          <w:szCs w:val="24"/>
        </w:rPr>
        <w:t>his was the first use of the FTT in individuals with psychosis</w:t>
      </w:r>
      <w:r>
        <w:rPr>
          <w:rFonts w:ascii="Times New Roman" w:hAnsi="Times New Roman" w:cs="Times New Roman"/>
          <w:sz w:val="24"/>
          <w:szCs w:val="24"/>
        </w:rPr>
        <w:t>, therefore</w:t>
      </w:r>
      <w:r w:rsidRPr="00222E7C">
        <w:rPr>
          <w:rFonts w:ascii="Times New Roman" w:hAnsi="Times New Roman" w:cs="Times New Roman"/>
          <w:sz w:val="24"/>
          <w:szCs w:val="24"/>
        </w:rPr>
        <w:t xml:space="preserve"> predictions about the direction of expected effects were tentative. However, based on the findings of previous work it was hypothesised that individuals with first episode psychosis would show a reduced ability to think about</w:t>
      </w:r>
      <w:r>
        <w:rPr>
          <w:rFonts w:ascii="Times New Roman" w:hAnsi="Times New Roman" w:cs="Times New Roman"/>
          <w:sz w:val="24"/>
          <w:szCs w:val="24"/>
        </w:rPr>
        <w:t xml:space="preserve"> positive events in the future</w:t>
      </w:r>
      <w:r w:rsidRPr="00222E7C">
        <w:rPr>
          <w:rFonts w:ascii="Times New Roman" w:hAnsi="Times New Roman" w:cs="Times New Roman"/>
          <w:sz w:val="24"/>
          <w:szCs w:val="24"/>
        </w:rPr>
        <w:t xml:space="preserve"> compared with a matched control group.</w:t>
      </w:r>
      <w:r>
        <w:rPr>
          <w:rFonts w:ascii="Times New Roman" w:hAnsi="Times New Roman" w:cs="Times New Roman"/>
          <w:sz w:val="24"/>
          <w:szCs w:val="24"/>
        </w:rPr>
        <w:t xml:space="preserve"> Previous findings for negative expectancies are contradictory, therefore no hypothesis could be made with regard to NFT in the patient group.</w:t>
      </w:r>
      <w:r w:rsidRPr="00222E7C">
        <w:rPr>
          <w:rFonts w:ascii="Times New Roman" w:hAnsi="Times New Roman" w:cs="Times New Roman"/>
          <w:sz w:val="24"/>
          <w:szCs w:val="24"/>
        </w:rPr>
        <w:t xml:space="preserve"> Within the patient group it was predicted that reduced</w:t>
      </w:r>
      <w:r>
        <w:rPr>
          <w:rFonts w:ascii="Times New Roman" w:hAnsi="Times New Roman" w:cs="Times New Roman"/>
          <w:sz w:val="24"/>
          <w:szCs w:val="24"/>
        </w:rPr>
        <w:t xml:space="preserve"> PFT </w:t>
      </w:r>
      <w:r w:rsidRPr="00222E7C">
        <w:rPr>
          <w:rFonts w:ascii="Times New Roman" w:hAnsi="Times New Roman" w:cs="Times New Roman"/>
          <w:sz w:val="24"/>
          <w:szCs w:val="24"/>
        </w:rPr>
        <w:t>would be correlated with hopelessness, suicide ideation and negative symptoms but that</w:t>
      </w:r>
      <w:r>
        <w:rPr>
          <w:rFonts w:ascii="Times New Roman" w:hAnsi="Times New Roman" w:cs="Times New Roman"/>
          <w:sz w:val="24"/>
          <w:szCs w:val="24"/>
        </w:rPr>
        <w:t xml:space="preserve"> there would be</w:t>
      </w:r>
      <w:r w:rsidRPr="00222E7C">
        <w:rPr>
          <w:rFonts w:ascii="Times New Roman" w:hAnsi="Times New Roman" w:cs="Times New Roman"/>
          <w:sz w:val="24"/>
          <w:szCs w:val="24"/>
        </w:rPr>
        <w:t xml:space="preserve"> </w:t>
      </w:r>
      <w:r>
        <w:rPr>
          <w:rFonts w:ascii="Times New Roman" w:hAnsi="Times New Roman" w:cs="Times New Roman"/>
          <w:sz w:val="24"/>
          <w:szCs w:val="24"/>
        </w:rPr>
        <w:t xml:space="preserve">no </w:t>
      </w:r>
      <w:r w:rsidRPr="00222E7C">
        <w:rPr>
          <w:rFonts w:ascii="Times New Roman" w:hAnsi="Times New Roman" w:cs="Times New Roman"/>
          <w:sz w:val="24"/>
          <w:szCs w:val="24"/>
        </w:rPr>
        <w:t xml:space="preserve">correlations between these variables and </w:t>
      </w:r>
      <w:r>
        <w:rPr>
          <w:rFonts w:ascii="Times New Roman" w:hAnsi="Times New Roman" w:cs="Times New Roman"/>
          <w:sz w:val="24"/>
          <w:szCs w:val="24"/>
        </w:rPr>
        <w:t>NFT</w:t>
      </w:r>
      <w:r w:rsidRPr="00222E7C">
        <w:rPr>
          <w:rFonts w:ascii="Times New Roman" w:hAnsi="Times New Roman" w:cs="Times New Roman"/>
          <w:sz w:val="24"/>
          <w:szCs w:val="24"/>
        </w:rPr>
        <w:t>.</w:t>
      </w:r>
    </w:p>
    <w:p w:rsidR="00B26CB0" w:rsidRPr="00222E7C" w:rsidRDefault="00B26CB0" w:rsidP="00FA3873">
      <w:pPr>
        <w:rPr>
          <w:rFonts w:ascii="Times New Roman" w:hAnsi="Times New Roman" w:cs="Times New Roman"/>
          <w:sz w:val="24"/>
          <w:szCs w:val="24"/>
        </w:rPr>
      </w:pPr>
    </w:p>
    <w:p w:rsidR="00B26CB0" w:rsidRPr="00222E7C" w:rsidRDefault="00B26CB0" w:rsidP="00FA3873">
      <w:pPr>
        <w:jc w:val="center"/>
        <w:rPr>
          <w:rFonts w:ascii="Times New Roman" w:hAnsi="Times New Roman" w:cs="Times New Roman"/>
          <w:b/>
          <w:sz w:val="24"/>
          <w:szCs w:val="24"/>
        </w:rPr>
      </w:pPr>
      <w:r w:rsidRPr="00222E7C">
        <w:rPr>
          <w:rFonts w:ascii="Times New Roman" w:hAnsi="Times New Roman" w:cs="Times New Roman"/>
          <w:b/>
          <w:sz w:val="24"/>
          <w:szCs w:val="24"/>
        </w:rPr>
        <w:t>Method</w:t>
      </w:r>
    </w:p>
    <w:p w:rsidR="00B26CB0" w:rsidRPr="00222E7C" w:rsidRDefault="00B26CB0" w:rsidP="00FA3873">
      <w:pPr>
        <w:rPr>
          <w:rFonts w:ascii="Times New Roman" w:hAnsi="Times New Roman" w:cs="Times New Roman"/>
          <w:b/>
          <w:sz w:val="24"/>
          <w:szCs w:val="24"/>
        </w:rPr>
      </w:pPr>
      <w:r w:rsidRPr="00222E7C">
        <w:rPr>
          <w:rFonts w:ascii="Times New Roman" w:hAnsi="Times New Roman" w:cs="Times New Roman"/>
          <w:b/>
          <w:sz w:val="24"/>
          <w:szCs w:val="24"/>
        </w:rPr>
        <w:t>Participants</w:t>
      </w:r>
    </w:p>
    <w:p w:rsidR="00B26CB0" w:rsidRPr="00222E7C" w:rsidRDefault="00B26CB0" w:rsidP="00FA3873">
      <w:pPr>
        <w:ind w:firstLine="720"/>
        <w:rPr>
          <w:rFonts w:ascii="Times New Roman" w:hAnsi="Times New Roman" w:cs="Times New Roman"/>
          <w:sz w:val="24"/>
          <w:szCs w:val="24"/>
        </w:rPr>
      </w:pPr>
      <w:r w:rsidRPr="00222E7C">
        <w:rPr>
          <w:rFonts w:ascii="Times New Roman" w:hAnsi="Times New Roman" w:cs="Times New Roman"/>
          <w:sz w:val="24"/>
          <w:szCs w:val="24"/>
        </w:rPr>
        <w:t xml:space="preserve">Fifty-seven participants were recruited from two groups: 30 individuals within 12 months of their first episode of psychosis, and 27 matched controls with no history of psychosis. Psychosis was defined by the presence of positive symptoms such as delusions, hallucinations, thought disorder as indicated by disorganized speech, and grossly disorganized or catatonic behaviour, as outlined in DSM-IV-TR </w:t>
      </w:r>
      <w:r>
        <w:rPr>
          <w:rFonts w:ascii="Times New Roman" w:hAnsi="Times New Roman" w:cs="Times New Roman"/>
          <w:noProof/>
          <w:sz w:val="24"/>
          <w:szCs w:val="24"/>
        </w:rPr>
        <w:t>(American Psychiatric Association, 2000)</w:t>
      </w:r>
      <w:r w:rsidRPr="00222E7C">
        <w:rPr>
          <w:rFonts w:ascii="Times New Roman" w:hAnsi="Times New Roman" w:cs="Times New Roman"/>
          <w:sz w:val="24"/>
          <w:szCs w:val="24"/>
        </w:rPr>
        <w:t xml:space="preserve">. Symptoms were not required to be present at the time of testing, but a decision had been made by the treating team (including a psychiatric assessment) that clinically significant symptoms of psychosis had been present in the previous 12 months. Individuals </w:t>
      </w:r>
      <w:r>
        <w:rPr>
          <w:rFonts w:ascii="Times New Roman" w:hAnsi="Times New Roman" w:cs="Times New Roman"/>
          <w:sz w:val="24"/>
          <w:szCs w:val="24"/>
        </w:rPr>
        <w:t xml:space="preserve">were excluded </w:t>
      </w:r>
      <w:r w:rsidRPr="00222E7C">
        <w:rPr>
          <w:rFonts w:ascii="Times New Roman" w:hAnsi="Times New Roman" w:cs="Times New Roman"/>
          <w:sz w:val="24"/>
          <w:szCs w:val="24"/>
        </w:rPr>
        <w:t xml:space="preserve">whose psychosis had a confirmed organic cause or first onset more than 12 months before testing. In the control group, individuals were recruited who had no personal history of psychotic disorder. All participants were required to have adequate understanding of English to comprehend the study information and communicate their </w:t>
      </w:r>
      <w:r w:rsidRPr="00222E7C">
        <w:rPr>
          <w:rFonts w:ascii="Times New Roman" w:hAnsi="Times New Roman" w:cs="Times New Roman"/>
          <w:sz w:val="24"/>
          <w:szCs w:val="24"/>
        </w:rPr>
        <w:lastRenderedPageBreak/>
        <w:t>responses. Exclusion criteria were the presence of a learning disability, and intoxication with drugs or alcohol at the time of testing.</w:t>
      </w:r>
    </w:p>
    <w:p w:rsidR="00B26CB0" w:rsidRPr="00222E7C" w:rsidRDefault="00B26CB0" w:rsidP="00FA3873">
      <w:pPr>
        <w:rPr>
          <w:rFonts w:ascii="Times New Roman" w:hAnsi="Times New Roman" w:cs="Times New Roman"/>
          <w:sz w:val="24"/>
          <w:szCs w:val="24"/>
        </w:rPr>
      </w:pPr>
      <w:r w:rsidRPr="00222E7C">
        <w:rPr>
          <w:rFonts w:ascii="Times New Roman" w:hAnsi="Times New Roman" w:cs="Times New Roman"/>
          <w:sz w:val="24"/>
          <w:szCs w:val="24"/>
        </w:rPr>
        <w:tab/>
        <w:t xml:space="preserve">Patient participants were recruited from five </w:t>
      </w:r>
      <w:r>
        <w:rPr>
          <w:rFonts w:ascii="Times New Roman" w:hAnsi="Times New Roman" w:cs="Times New Roman"/>
          <w:sz w:val="24"/>
          <w:szCs w:val="24"/>
        </w:rPr>
        <w:t xml:space="preserve">specialist </w:t>
      </w:r>
      <w:r w:rsidRPr="00222E7C">
        <w:rPr>
          <w:rFonts w:ascii="Times New Roman" w:hAnsi="Times New Roman" w:cs="Times New Roman"/>
          <w:sz w:val="24"/>
          <w:szCs w:val="24"/>
        </w:rPr>
        <w:t>Early Intervention services in the London and Cambridgeshire regions. The final patient sample consisted of</w:t>
      </w:r>
      <w:r>
        <w:rPr>
          <w:rFonts w:ascii="Times New Roman" w:hAnsi="Times New Roman" w:cs="Times New Roman"/>
          <w:sz w:val="24"/>
          <w:szCs w:val="24"/>
        </w:rPr>
        <w:t xml:space="preserve"> </w:t>
      </w:r>
      <w:r w:rsidRPr="00222E7C">
        <w:rPr>
          <w:rFonts w:ascii="Times New Roman" w:hAnsi="Times New Roman" w:cs="Times New Roman"/>
          <w:sz w:val="24"/>
          <w:szCs w:val="24"/>
        </w:rPr>
        <w:t>21 males and 9 females, with a mean age of 26 years (range = 19-35 years, SD = 4.7). Mean time since referral to the team was 6.1 months (SD = 3.26), with a range from 2 to 12 months.</w:t>
      </w:r>
      <w:r>
        <w:rPr>
          <w:rFonts w:ascii="Times New Roman" w:hAnsi="Times New Roman" w:cs="Times New Roman"/>
          <w:sz w:val="24"/>
          <w:szCs w:val="24"/>
        </w:rPr>
        <w:t xml:space="preserve"> All patients were living in the community.</w:t>
      </w:r>
      <w:r w:rsidRPr="00222E7C">
        <w:t xml:space="preserve"> </w:t>
      </w:r>
      <w:r w:rsidRPr="00222E7C">
        <w:rPr>
          <w:rFonts w:ascii="Times New Roman" w:hAnsi="Times New Roman" w:cs="Times New Roman"/>
          <w:sz w:val="24"/>
          <w:szCs w:val="24"/>
        </w:rPr>
        <w:t>Control participant</w:t>
      </w:r>
      <w:r w:rsidRPr="00561E0B">
        <w:rPr>
          <w:rFonts w:ascii="Times New Roman" w:hAnsi="Times New Roman" w:cs="Times New Roman"/>
          <w:sz w:val="24"/>
          <w:szCs w:val="24"/>
        </w:rPr>
        <w:t xml:space="preserve">s were recruited from the London region </w:t>
      </w:r>
      <w:r w:rsidRPr="00B422F5">
        <w:rPr>
          <w:rFonts w:ascii="Times New Roman" w:hAnsi="Times New Roman" w:cs="Times New Roman"/>
          <w:sz w:val="24"/>
          <w:szCs w:val="24"/>
        </w:rPr>
        <w:t xml:space="preserve">via poster, leaflet and online classified advertising, </w:t>
      </w:r>
      <w:r w:rsidRPr="00222E7C">
        <w:rPr>
          <w:rFonts w:ascii="Times New Roman" w:hAnsi="Times New Roman" w:cs="Times New Roman"/>
          <w:sz w:val="24"/>
          <w:szCs w:val="24"/>
        </w:rPr>
        <w:t>and were matched to the patient group on age and gender. The final control sample consisted of 20 males and 7 females, with a mean age of 27 years (range = 19-33 years, SD = 4.1).</w:t>
      </w:r>
    </w:p>
    <w:p w:rsidR="00B26CB0" w:rsidRPr="00222E7C" w:rsidRDefault="00B26CB0" w:rsidP="00FA3873">
      <w:pPr>
        <w:rPr>
          <w:rFonts w:ascii="Times New Roman" w:hAnsi="Times New Roman" w:cs="Times New Roman"/>
          <w:sz w:val="24"/>
          <w:szCs w:val="24"/>
        </w:rPr>
      </w:pPr>
    </w:p>
    <w:p w:rsidR="00B26CB0" w:rsidRPr="00222E7C" w:rsidRDefault="00B26CB0" w:rsidP="00FA3873">
      <w:pPr>
        <w:rPr>
          <w:rFonts w:ascii="Times New Roman" w:hAnsi="Times New Roman" w:cs="Times New Roman"/>
          <w:b/>
          <w:sz w:val="24"/>
          <w:szCs w:val="24"/>
        </w:rPr>
      </w:pPr>
      <w:r w:rsidRPr="00222E7C">
        <w:rPr>
          <w:rFonts w:ascii="Times New Roman" w:hAnsi="Times New Roman" w:cs="Times New Roman"/>
          <w:b/>
          <w:sz w:val="24"/>
          <w:szCs w:val="24"/>
        </w:rPr>
        <w:t>Materials</w:t>
      </w:r>
    </w:p>
    <w:p w:rsidR="00B26CB0" w:rsidRPr="00222E7C" w:rsidRDefault="00B26CB0" w:rsidP="00FA3873">
      <w:pPr>
        <w:ind w:firstLine="720"/>
        <w:rPr>
          <w:rFonts w:ascii="Times New Roman" w:hAnsi="Times New Roman" w:cs="Times New Roman"/>
          <w:sz w:val="24"/>
          <w:szCs w:val="24"/>
        </w:rPr>
      </w:pPr>
      <w:r w:rsidRPr="00222E7C">
        <w:rPr>
          <w:rFonts w:ascii="Times New Roman" w:hAnsi="Times New Roman" w:cs="Times New Roman"/>
          <w:i/>
          <w:sz w:val="24"/>
          <w:szCs w:val="24"/>
        </w:rPr>
        <w:t xml:space="preserve">Assessment of affective and negative symptoms. </w:t>
      </w:r>
      <w:r w:rsidRPr="00222E7C">
        <w:rPr>
          <w:rFonts w:ascii="Times New Roman" w:hAnsi="Times New Roman" w:cs="Times New Roman"/>
          <w:sz w:val="24"/>
          <w:szCs w:val="24"/>
        </w:rPr>
        <w:t xml:space="preserve">Participants were asked to complete the General Anxiety Disorder </w:t>
      </w:r>
      <w:r w:rsidRPr="00B422F5">
        <w:rPr>
          <w:rFonts w:ascii="Times New Roman" w:hAnsi="Times New Roman" w:cs="Times New Roman"/>
          <w:sz w:val="24"/>
          <w:szCs w:val="24"/>
        </w:rPr>
        <w:t xml:space="preserve">questionnaire </w:t>
      </w:r>
      <w:r>
        <w:rPr>
          <w:rFonts w:ascii="Times New Roman" w:hAnsi="Times New Roman" w:cs="Times New Roman"/>
          <w:noProof/>
          <w:sz w:val="24"/>
          <w:szCs w:val="24"/>
        </w:rPr>
        <w:t>(GAD-7; Spitzer, Kroenke, Williams, &amp; Lowe, 2006)</w:t>
      </w:r>
      <w:r w:rsidRPr="00B422F5">
        <w:rPr>
          <w:rFonts w:ascii="Times New Roman" w:hAnsi="Times New Roman" w:cs="Times New Roman"/>
          <w:noProof/>
          <w:sz w:val="24"/>
          <w:szCs w:val="24"/>
        </w:rPr>
        <w:t xml:space="preserve">, a seven-item questionnaire </w:t>
      </w:r>
      <w:r w:rsidRPr="00B422F5">
        <w:rPr>
          <w:rFonts w:ascii="Times New Roman" w:hAnsi="Times New Roman" w:cs="Times New Roman"/>
          <w:sz w:val="24"/>
          <w:szCs w:val="24"/>
        </w:rPr>
        <w:t>in which participants are asked to rate the frequen</w:t>
      </w:r>
      <w:r>
        <w:rPr>
          <w:rFonts w:ascii="Times New Roman" w:hAnsi="Times New Roman" w:cs="Times New Roman"/>
          <w:sz w:val="24"/>
          <w:szCs w:val="24"/>
        </w:rPr>
        <w:t xml:space="preserve">cy of their experience of </w:t>
      </w:r>
      <w:r w:rsidRPr="00B422F5">
        <w:rPr>
          <w:rFonts w:ascii="Times New Roman" w:hAnsi="Times New Roman" w:cs="Times New Roman"/>
          <w:sz w:val="24"/>
          <w:szCs w:val="24"/>
        </w:rPr>
        <w:t xml:space="preserve">common anxiety symptoms over the past week. </w:t>
      </w:r>
      <w:r>
        <w:rPr>
          <w:rFonts w:ascii="Times New Roman" w:hAnsi="Times New Roman" w:cs="Times New Roman"/>
          <w:sz w:val="24"/>
          <w:szCs w:val="24"/>
        </w:rPr>
        <w:t>The maximum score is</w:t>
      </w:r>
      <w:r w:rsidRPr="00B422F5">
        <w:rPr>
          <w:rFonts w:ascii="Times New Roman" w:hAnsi="Times New Roman" w:cs="Times New Roman"/>
          <w:sz w:val="24"/>
          <w:szCs w:val="24"/>
        </w:rPr>
        <w:t xml:space="preserve"> 21. Participants were interviewed to assess levels of depression using the Calgary Depression Scale for Schizophrenia</w:t>
      </w:r>
      <w:r>
        <w:rPr>
          <w:rFonts w:ascii="Times New Roman" w:hAnsi="Times New Roman" w:cs="Times New Roman"/>
          <w:sz w:val="24"/>
          <w:szCs w:val="24"/>
        </w:rPr>
        <w:t xml:space="preserve"> </w:t>
      </w:r>
      <w:r>
        <w:rPr>
          <w:rFonts w:ascii="Times New Roman" w:hAnsi="Times New Roman" w:cs="Times New Roman"/>
          <w:noProof/>
          <w:sz w:val="24"/>
          <w:szCs w:val="24"/>
        </w:rPr>
        <w:t>(CDSS; Addington, Addington, &amp; Maticka-Tyndale, 1993)</w:t>
      </w:r>
      <w:r w:rsidRPr="00B422F5">
        <w:rPr>
          <w:rFonts w:ascii="Times New Roman" w:hAnsi="Times New Roman" w:cs="Times New Roman"/>
          <w:noProof/>
          <w:sz w:val="24"/>
          <w:szCs w:val="24"/>
        </w:rPr>
        <w:t xml:space="preserve">, </w:t>
      </w:r>
      <w:r w:rsidRPr="00B422F5">
        <w:rPr>
          <w:rFonts w:ascii="Times New Roman" w:hAnsi="Times New Roman" w:cs="Times New Roman"/>
          <w:sz w:val="24"/>
          <w:szCs w:val="24"/>
        </w:rPr>
        <w:t>a nine-item scale</w:t>
      </w:r>
      <w:r>
        <w:rPr>
          <w:rFonts w:ascii="Times New Roman" w:hAnsi="Times New Roman" w:cs="Times New Roman"/>
          <w:sz w:val="24"/>
          <w:szCs w:val="24"/>
        </w:rPr>
        <w:t xml:space="preserve"> with a maximum score of 27</w:t>
      </w:r>
      <w:r w:rsidRPr="00B422F5">
        <w:rPr>
          <w:rFonts w:ascii="Times New Roman" w:hAnsi="Times New Roman" w:cs="Times New Roman"/>
          <w:sz w:val="24"/>
          <w:szCs w:val="24"/>
        </w:rPr>
        <w:t>, administered via a semi-structured interview</w:t>
      </w:r>
      <w:r w:rsidRPr="003321AD">
        <w:rPr>
          <w:rFonts w:ascii="Times New Roman" w:hAnsi="Times New Roman" w:cs="Times New Roman"/>
          <w:sz w:val="24"/>
          <w:szCs w:val="24"/>
        </w:rPr>
        <w:t>. The Beck Hopelessness Scale</w:t>
      </w:r>
      <w:r>
        <w:rPr>
          <w:rFonts w:ascii="Times New Roman" w:hAnsi="Times New Roman" w:cs="Times New Roman"/>
          <w:sz w:val="24"/>
          <w:szCs w:val="24"/>
        </w:rPr>
        <w:t xml:space="preserve"> </w:t>
      </w:r>
      <w:r>
        <w:rPr>
          <w:rFonts w:ascii="Times New Roman" w:hAnsi="Times New Roman" w:cs="Times New Roman"/>
          <w:noProof/>
          <w:sz w:val="24"/>
          <w:szCs w:val="24"/>
        </w:rPr>
        <w:t>(BHS; Beck et al., 1974)</w:t>
      </w:r>
      <w:r w:rsidRPr="003321AD">
        <w:rPr>
          <w:rFonts w:ascii="Times New Roman" w:hAnsi="Times New Roman" w:cs="Times New Roman"/>
          <w:sz w:val="24"/>
          <w:szCs w:val="24"/>
        </w:rPr>
        <w:t xml:space="preserve"> was used to assess levels of self-reported hopelessness. This is a 20 item (true or false) self-report scale measuring expectancies about one’s future</w:t>
      </w:r>
      <w:r>
        <w:rPr>
          <w:rFonts w:ascii="Times New Roman" w:hAnsi="Times New Roman" w:cs="Times New Roman"/>
          <w:sz w:val="24"/>
          <w:szCs w:val="24"/>
        </w:rPr>
        <w:t xml:space="preserve">, with a maximum score </w:t>
      </w:r>
      <w:r w:rsidRPr="003321AD">
        <w:rPr>
          <w:rFonts w:ascii="Times New Roman" w:hAnsi="Times New Roman" w:cs="Times New Roman"/>
          <w:sz w:val="24"/>
          <w:szCs w:val="24"/>
        </w:rPr>
        <w:t xml:space="preserve">of 20. In the patient group, the Beck Scale for Suicide Ideation </w:t>
      </w:r>
      <w:r>
        <w:rPr>
          <w:rFonts w:ascii="Times New Roman" w:hAnsi="Times New Roman" w:cs="Times New Roman"/>
          <w:noProof/>
          <w:sz w:val="24"/>
          <w:szCs w:val="24"/>
        </w:rPr>
        <w:t>(SSI; Beck, Kovacs, &amp; Weissman, 1979)</w:t>
      </w:r>
      <w:r w:rsidRPr="003321AD">
        <w:rPr>
          <w:rFonts w:ascii="Times New Roman" w:hAnsi="Times New Roman" w:cs="Times New Roman"/>
          <w:sz w:val="24"/>
          <w:szCs w:val="24"/>
        </w:rPr>
        <w:t xml:space="preserve"> was used to assess suicide risk</w:t>
      </w:r>
      <w:r w:rsidRPr="003321AD">
        <w:rPr>
          <w:rFonts w:ascii="Times New Roman" w:hAnsi="Times New Roman" w:cs="Times New Roman"/>
          <w:i/>
          <w:sz w:val="24"/>
          <w:szCs w:val="24"/>
        </w:rPr>
        <w:t>.</w:t>
      </w:r>
      <w:r w:rsidRPr="003321AD">
        <w:rPr>
          <w:rFonts w:ascii="Times New Roman" w:hAnsi="Times New Roman" w:cs="Times New Roman"/>
          <w:sz w:val="24"/>
          <w:szCs w:val="24"/>
        </w:rPr>
        <w:t xml:space="preserve"> This is a 21-item self-report clinical research instrument</w:t>
      </w:r>
      <w:r>
        <w:rPr>
          <w:rFonts w:ascii="Times New Roman" w:hAnsi="Times New Roman" w:cs="Times New Roman"/>
          <w:sz w:val="24"/>
          <w:szCs w:val="24"/>
        </w:rPr>
        <w:t xml:space="preserve"> with a </w:t>
      </w:r>
      <w:r w:rsidRPr="003321AD">
        <w:rPr>
          <w:rFonts w:ascii="Times New Roman" w:hAnsi="Times New Roman" w:cs="Times New Roman"/>
          <w:sz w:val="24"/>
          <w:szCs w:val="24"/>
        </w:rPr>
        <w:t xml:space="preserve">maximum </w:t>
      </w:r>
      <w:r>
        <w:rPr>
          <w:rFonts w:ascii="Times New Roman" w:hAnsi="Times New Roman" w:cs="Times New Roman"/>
          <w:sz w:val="24"/>
          <w:szCs w:val="24"/>
        </w:rPr>
        <w:t xml:space="preserve">score </w:t>
      </w:r>
      <w:r w:rsidRPr="003321AD">
        <w:rPr>
          <w:rFonts w:ascii="Times New Roman" w:hAnsi="Times New Roman" w:cs="Times New Roman"/>
          <w:sz w:val="24"/>
          <w:szCs w:val="24"/>
        </w:rPr>
        <w:t>of 42.</w:t>
      </w:r>
      <w:r w:rsidRPr="003321AD">
        <w:rPr>
          <w:rFonts w:ascii="Times New Roman" w:hAnsi="Times New Roman" w:cs="Times New Roman"/>
          <w:i/>
          <w:sz w:val="24"/>
          <w:szCs w:val="24"/>
        </w:rPr>
        <w:t xml:space="preserve"> </w:t>
      </w:r>
      <w:r w:rsidRPr="003321AD">
        <w:rPr>
          <w:rFonts w:ascii="Times New Roman" w:hAnsi="Times New Roman" w:cs="Times New Roman"/>
          <w:sz w:val="24"/>
          <w:szCs w:val="24"/>
        </w:rPr>
        <w:t>Patient participants were</w:t>
      </w:r>
      <w:r>
        <w:rPr>
          <w:rFonts w:ascii="Times New Roman" w:hAnsi="Times New Roman" w:cs="Times New Roman"/>
          <w:sz w:val="24"/>
          <w:szCs w:val="24"/>
        </w:rPr>
        <w:t xml:space="preserve"> also</w:t>
      </w:r>
      <w:r w:rsidRPr="003321AD">
        <w:rPr>
          <w:rFonts w:ascii="Times New Roman" w:hAnsi="Times New Roman" w:cs="Times New Roman"/>
          <w:sz w:val="24"/>
          <w:szCs w:val="24"/>
        </w:rPr>
        <w:t xml:space="preserve"> interviewed to determine the presence and severity of negative </w:t>
      </w:r>
      <w:r w:rsidRPr="003321AD">
        <w:rPr>
          <w:rFonts w:ascii="Times New Roman" w:hAnsi="Times New Roman" w:cs="Times New Roman"/>
          <w:sz w:val="24"/>
          <w:szCs w:val="24"/>
        </w:rPr>
        <w:lastRenderedPageBreak/>
        <w:t xml:space="preserve">symptoms of psychosis using the Scale for the Assessment of Negative Symptoms </w:t>
      </w:r>
      <w:r>
        <w:rPr>
          <w:rFonts w:ascii="Times New Roman" w:hAnsi="Times New Roman" w:cs="Times New Roman"/>
          <w:noProof/>
          <w:sz w:val="24"/>
          <w:szCs w:val="24"/>
        </w:rPr>
        <w:t>(SANS; Andreasen, 1981)</w:t>
      </w:r>
      <w:r w:rsidRPr="003321AD">
        <w:rPr>
          <w:rFonts w:ascii="Times New Roman" w:hAnsi="Times New Roman" w:cs="Times New Roman"/>
          <w:sz w:val="24"/>
          <w:szCs w:val="24"/>
        </w:rPr>
        <w:t>. The SANS is administered via a semi-structured interview, and covers a period of one month. Ratings are made on 25 items based on participant responses and clinician observations. The maximum score is 125.</w:t>
      </w:r>
    </w:p>
    <w:p w:rsidR="00B26CB0" w:rsidRPr="00222E7C" w:rsidRDefault="00B26CB0" w:rsidP="00FA3873">
      <w:pPr>
        <w:ind w:firstLine="720"/>
        <w:rPr>
          <w:rFonts w:ascii="Times New Roman" w:hAnsi="Times New Roman" w:cs="Times New Roman"/>
          <w:i/>
          <w:sz w:val="24"/>
          <w:szCs w:val="24"/>
        </w:rPr>
      </w:pPr>
      <w:r w:rsidRPr="00222E7C">
        <w:rPr>
          <w:rFonts w:ascii="Times New Roman" w:hAnsi="Times New Roman" w:cs="Times New Roman"/>
          <w:i/>
          <w:sz w:val="24"/>
          <w:szCs w:val="24"/>
        </w:rPr>
        <w:t xml:space="preserve">Verbal fluency control task. </w:t>
      </w:r>
      <w:r w:rsidRPr="00222E7C">
        <w:rPr>
          <w:rFonts w:ascii="Times New Roman" w:hAnsi="Times New Roman" w:cs="Times New Roman"/>
          <w:sz w:val="24"/>
          <w:szCs w:val="24"/>
        </w:rPr>
        <w:t xml:space="preserve">Verbal fluency was assessed using the FAS test </w:t>
      </w:r>
      <w:r>
        <w:rPr>
          <w:rFonts w:ascii="Times New Roman" w:hAnsi="Times New Roman" w:cs="Times New Roman"/>
          <w:noProof/>
          <w:sz w:val="24"/>
          <w:szCs w:val="24"/>
        </w:rPr>
        <w:t>(Lezak, Howieson, &amp; Loring, 2004)</w:t>
      </w:r>
      <w:r w:rsidRPr="00222E7C">
        <w:rPr>
          <w:rFonts w:ascii="Times New Roman" w:hAnsi="Times New Roman" w:cs="Times New Roman"/>
          <w:sz w:val="24"/>
          <w:szCs w:val="24"/>
        </w:rPr>
        <w:t xml:space="preserve">. In this task participants </w:t>
      </w:r>
      <w:r>
        <w:rPr>
          <w:rFonts w:ascii="Times New Roman" w:hAnsi="Times New Roman" w:cs="Times New Roman"/>
          <w:sz w:val="24"/>
          <w:szCs w:val="24"/>
        </w:rPr>
        <w:t>a</w:t>
      </w:r>
      <w:r w:rsidRPr="00222E7C">
        <w:rPr>
          <w:rFonts w:ascii="Times New Roman" w:hAnsi="Times New Roman" w:cs="Times New Roman"/>
          <w:sz w:val="24"/>
          <w:szCs w:val="24"/>
        </w:rPr>
        <w:t xml:space="preserve">re asked to generate as many words as possible beginning with a given letter – F, A or S – in three separate, one-minute trials. Proper nouns </w:t>
      </w:r>
      <w:r>
        <w:rPr>
          <w:rFonts w:ascii="Times New Roman" w:hAnsi="Times New Roman" w:cs="Times New Roman"/>
          <w:sz w:val="24"/>
          <w:szCs w:val="24"/>
        </w:rPr>
        <w:t>a</w:t>
      </w:r>
      <w:r w:rsidRPr="00222E7C">
        <w:rPr>
          <w:rFonts w:ascii="Times New Roman" w:hAnsi="Times New Roman" w:cs="Times New Roman"/>
          <w:sz w:val="24"/>
          <w:szCs w:val="24"/>
        </w:rPr>
        <w:t>re not permitted, and multiple words involving the same stem word score only once. The outcome measure was the total number of words generated across all three trials.</w:t>
      </w:r>
    </w:p>
    <w:p w:rsidR="00B26CB0" w:rsidRDefault="00B26CB0" w:rsidP="00FA3873">
      <w:pPr>
        <w:rPr>
          <w:rFonts w:ascii="Times New Roman" w:hAnsi="Times New Roman" w:cs="Times New Roman"/>
          <w:sz w:val="24"/>
          <w:szCs w:val="24"/>
        </w:rPr>
      </w:pPr>
      <w:r w:rsidRPr="00222E7C">
        <w:rPr>
          <w:rFonts w:ascii="Times New Roman" w:hAnsi="Times New Roman" w:cs="Times New Roman"/>
          <w:i/>
          <w:sz w:val="24"/>
          <w:szCs w:val="24"/>
        </w:rPr>
        <w:tab/>
        <w:t xml:space="preserve">Assessment of future-directed thinking. </w:t>
      </w:r>
      <w:r w:rsidRPr="00222E7C">
        <w:rPr>
          <w:rFonts w:ascii="Times New Roman" w:hAnsi="Times New Roman" w:cs="Times New Roman"/>
          <w:sz w:val="24"/>
          <w:szCs w:val="24"/>
        </w:rPr>
        <w:t xml:space="preserve">The future thinking task </w:t>
      </w:r>
      <w:r>
        <w:rPr>
          <w:rFonts w:ascii="Times New Roman" w:hAnsi="Times New Roman" w:cs="Times New Roman"/>
          <w:noProof/>
          <w:sz w:val="24"/>
          <w:szCs w:val="24"/>
        </w:rPr>
        <w:t>(FTT; MacLeod et al., 2005)</w:t>
      </w:r>
      <w:r w:rsidRPr="00222E7C">
        <w:rPr>
          <w:rFonts w:ascii="Times New Roman" w:hAnsi="Times New Roman" w:cs="Times New Roman"/>
          <w:sz w:val="24"/>
          <w:szCs w:val="24"/>
        </w:rPr>
        <w:t xml:space="preserve"> is an adapted fluency task in which participants are asked to generate events that they anticipate will happen to them in the future in each of three different time periods: the next week, the next year, and the next</w:t>
      </w:r>
      <w:r>
        <w:rPr>
          <w:rFonts w:ascii="Times New Roman" w:hAnsi="Times New Roman" w:cs="Times New Roman"/>
          <w:sz w:val="24"/>
          <w:szCs w:val="24"/>
        </w:rPr>
        <w:t xml:space="preserve"> 5-10</w:t>
      </w:r>
      <w:r w:rsidRPr="00222E7C">
        <w:rPr>
          <w:rFonts w:ascii="Times New Roman" w:hAnsi="Times New Roman" w:cs="Times New Roman"/>
          <w:sz w:val="24"/>
          <w:szCs w:val="24"/>
        </w:rPr>
        <w:t xml:space="preserve"> years. Two trials are administered for each time period, one in which participants are asked to generate positive events (events they are looking forward to), and one in which they are to generate negative events (events they are not looking forward to), therefore there are six trials in total. Each trial lasts for one minute and the participant is encouraged to keep trying to generate events throughout. Each response was written down by the researcher. Following each trial participants were presented with their responses one at a time and asked to rate the likelihood of each event (likelihood rating) and how they would feel if it occur</w:t>
      </w:r>
      <w:r>
        <w:rPr>
          <w:rFonts w:ascii="Times New Roman" w:hAnsi="Times New Roman" w:cs="Times New Roman"/>
          <w:sz w:val="24"/>
          <w:szCs w:val="24"/>
        </w:rPr>
        <w:t>red</w:t>
      </w:r>
      <w:r w:rsidRPr="00222E7C">
        <w:rPr>
          <w:rFonts w:ascii="Times New Roman" w:hAnsi="Times New Roman" w:cs="Times New Roman"/>
          <w:sz w:val="24"/>
          <w:szCs w:val="24"/>
        </w:rPr>
        <w:t xml:space="preserve"> (affect rating), both on a seven-point Likert scale. The likelihood rating scale was anchored by 1 = </w:t>
      </w:r>
      <w:r w:rsidRPr="00D30496">
        <w:rPr>
          <w:rFonts w:ascii="Times New Roman" w:hAnsi="Times New Roman" w:cs="Times New Roman"/>
          <w:i/>
          <w:sz w:val="24"/>
          <w:szCs w:val="24"/>
        </w:rPr>
        <w:t>not at all likely</w:t>
      </w:r>
      <w:r w:rsidRPr="00222E7C">
        <w:rPr>
          <w:rFonts w:ascii="Times New Roman" w:hAnsi="Times New Roman" w:cs="Times New Roman"/>
          <w:sz w:val="24"/>
          <w:szCs w:val="24"/>
        </w:rPr>
        <w:t xml:space="preserve"> to 7 = </w:t>
      </w:r>
      <w:r w:rsidRPr="00D30496">
        <w:rPr>
          <w:rFonts w:ascii="Times New Roman" w:hAnsi="Times New Roman" w:cs="Times New Roman"/>
          <w:i/>
          <w:sz w:val="24"/>
          <w:szCs w:val="24"/>
        </w:rPr>
        <w:t>extremely likely</w:t>
      </w:r>
      <w:r w:rsidRPr="00222E7C">
        <w:rPr>
          <w:rFonts w:ascii="Times New Roman" w:hAnsi="Times New Roman" w:cs="Times New Roman"/>
          <w:sz w:val="24"/>
          <w:szCs w:val="24"/>
        </w:rPr>
        <w:t xml:space="preserve">. The affect rating scale was anchored by -3 = </w:t>
      </w:r>
      <w:r w:rsidRPr="00D30496">
        <w:rPr>
          <w:rFonts w:ascii="Times New Roman" w:hAnsi="Times New Roman" w:cs="Times New Roman"/>
          <w:i/>
          <w:sz w:val="24"/>
          <w:szCs w:val="24"/>
        </w:rPr>
        <w:t>very unhappy</w:t>
      </w:r>
      <w:r w:rsidRPr="00222E7C">
        <w:rPr>
          <w:rFonts w:ascii="Times New Roman" w:hAnsi="Times New Roman" w:cs="Times New Roman"/>
          <w:sz w:val="24"/>
          <w:szCs w:val="24"/>
        </w:rPr>
        <w:t xml:space="preserve"> to +3 = </w:t>
      </w:r>
      <w:r w:rsidRPr="00D30496">
        <w:rPr>
          <w:rFonts w:ascii="Times New Roman" w:hAnsi="Times New Roman" w:cs="Times New Roman"/>
          <w:i/>
          <w:sz w:val="24"/>
          <w:szCs w:val="24"/>
        </w:rPr>
        <w:t>very happy</w:t>
      </w:r>
      <w:r w:rsidRPr="00222E7C">
        <w:rPr>
          <w:rFonts w:ascii="Times New Roman" w:hAnsi="Times New Roman" w:cs="Times New Roman"/>
          <w:sz w:val="24"/>
          <w:szCs w:val="24"/>
        </w:rPr>
        <w:t>.</w:t>
      </w:r>
      <w:r>
        <w:rPr>
          <w:rFonts w:ascii="Times New Roman" w:hAnsi="Times New Roman" w:cs="Times New Roman"/>
          <w:sz w:val="24"/>
          <w:szCs w:val="24"/>
        </w:rPr>
        <w:t xml:space="preserve"> </w:t>
      </w:r>
      <w:r w:rsidRPr="00222E7C">
        <w:rPr>
          <w:rFonts w:ascii="Times New Roman" w:hAnsi="Times New Roman" w:cs="Times New Roman"/>
          <w:sz w:val="24"/>
          <w:szCs w:val="24"/>
        </w:rPr>
        <w:t xml:space="preserve">Following MacLeod et al. </w:t>
      </w:r>
      <w:r w:rsidRPr="00222E7C">
        <w:rPr>
          <w:rFonts w:ascii="Times New Roman" w:hAnsi="Times New Roman" w:cs="Times New Roman"/>
          <w:noProof/>
          <w:sz w:val="24"/>
          <w:szCs w:val="24"/>
        </w:rPr>
        <w:t>(2005)</w:t>
      </w:r>
      <w:r w:rsidRPr="00222E7C">
        <w:rPr>
          <w:rFonts w:ascii="Times New Roman" w:hAnsi="Times New Roman" w:cs="Times New Roman"/>
          <w:sz w:val="24"/>
          <w:szCs w:val="24"/>
        </w:rPr>
        <w:t xml:space="preserve"> a composite score was calculated for each trial in the FTT by multiplying the mean likelihood and affect ratings by the number of events generated. Thus, for a person who generated five things that they were looking forward to in the next week, gave a mean </w:t>
      </w:r>
      <w:r w:rsidRPr="00222E7C">
        <w:rPr>
          <w:rFonts w:ascii="Times New Roman" w:hAnsi="Times New Roman" w:cs="Times New Roman"/>
          <w:sz w:val="24"/>
          <w:szCs w:val="24"/>
        </w:rPr>
        <w:lastRenderedPageBreak/>
        <w:t>likelihood rating for those items of 6, and gave a mean affect rating for those items of +2.5, the composite PFT score for 1 week would be 75 (5 x 6 x 2.5). To facilitate the comparison of scores between positively- and negatively-valenced trials, affect and composite scores for the negatively-valenced trials were multiplied by -1.</w:t>
      </w:r>
      <w:r w:rsidRPr="00222E7C">
        <w:rPr>
          <w:rFonts w:ascii="Times New Roman" w:hAnsi="Times New Roman" w:cs="Times New Roman"/>
          <w:i/>
          <w:sz w:val="24"/>
          <w:szCs w:val="24"/>
        </w:rPr>
        <w:t xml:space="preserve"> </w:t>
      </w:r>
      <w:r w:rsidRPr="00222E7C">
        <w:rPr>
          <w:rFonts w:ascii="Times New Roman" w:hAnsi="Times New Roman" w:cs="Times New Roman"/>
          <w:sz w:val="24"/>
          <w:szCs w:val="24"/>
        </w:rPr>
        <w:t>Outcome measures were</w:t>
      </w:r>
      <w:r>
        <w:rPr>
          <w:rFonts w:ascii="Times New Roman" w:hAnsi="Times New Roman" w:cs="Times New Roman"/>
          <w:sz w:val="24"/>
          <w:szCs w:val="24"/>
        </w:rPr>
        <w:t>:</w:t>
      </w:r>
      <w:r w:rsidRPr="00222E7C">
        <w:rPr>
          <w:rFonts w:ascii="Times New Roman" w:hAnsi="Times New Roman" w:cs="Times New Roman"/>
          <w:sz w:val="24"/>
          <w:szCs w:val="24"/>
        </w:rPr>
        <w:t xml:space="preserve"> number of events generated (FTT-number), mean likelihood rating per trial (FTT-likelihood), mean affect rating per trial (FTT-affect), and composite score (FTT-composite).</w:t>
      </w:r>
    </w:p>
    <w:p w:rsidR="00B26CB0" w:rsidRPr="00222E7C" w:rsidRDefault="00B26CB0" w:rsidP="00FA3873">
      <w:pPr>
        <w:rPr>
          <w:rFonts w:ascii="Times New Roman" w:hAnsi="Times New Roman" w:cs="Times New Roman"/>
          <w:sz w:val="24"/>
          <w:szCs w:val="24"/>
        </w:rPr>
      </w:pPr>
    </w:p>
    <w:p w:rsidR="00B26CB0" w:rsidRPr="00222E7C" w:rsidRDefault="00B26CB0" w:rsidP="00FA3873">
      <w:pPr>
        <w:rPr>
          <w:rFonts w:ascii="Times New Roman" w:hAnsi="Times New Roman" w:cs="Times New Roman"/>
          <w:b/>
          <w:sz w:val="24"/>
          <w:szCs w:val="24"/>
        </w:rPr>
      </w:pPr>
      <w:r w:rsidRPr="00222E7C">
        <w:rPr>
          <w:rFonts w:ascii="Times New Roman" w:hAnsi="Times New Roman" w:cs="Times New Roman"/>
          <w:b/>
          <w:sz w:val="24"/>
          <w:szCs w:val="24"/>
        </w:rPr>
        <w:t xml:space="preserve">Procedure </w:t>
      </w:r>
    </w:p>
    <w:p w:rsidR="00B26CB0" w:rsidRPr="00222E7C" w:rsidRDefault="00B26CB0" w:rsidP="00FA3873">
      <w:pPr>
        <w:ind w:firstLine="720"/>
        <w:rPr>
          <w:rFonts w:ascii="Times New Roman" w:eastAsia="Times New Roman" w:hAnsi="Times New Roman" w:cs="Times New Roman"/>
          <w:sz w:val="24"/>
          <w:szCs w:val="24"/>
          <w:lang w:bidi="en-US"/>
        </w:rPr>
      </w:pPr>
      <w:r w:rsidRPr="00222E7C">
        <w:rPr>
          <w:rFonts w:ascii="Times New Roman" w:eastAsia="Times New Roman" w:hAnsi="Times New Roman" w:cs="Times New Roman"/>
          <w:sz w:val="24"/>
          <w:szCs w:val="24"/>
          <w:lang w:bidi="en-US"/>
        </w:rPr>
        <w:t>Data were collected between December 2013 and April 2014. Research sessions were conducted at their early intervention team’s base for patient participants, and at a university site</w:t>
      </w:r>
      <w:r>
        <w:rPr>
          <w:rFonts w:ascii="Times New Roman" w:eastAsia="Times New Roman" w:hAnsi="Times New Roman" w:cs="Times New Roman"/>
          <w:sz w:val="24"/>
          <w:szCs w:val="24"/>
          <w:lang w:bidi="en-US"/>
        </w:rPr>
        <w:t xml:space="preserve"> </w:t>
      </w:r>
      <w:r w:rsidRPr="00222E7C">
        <w:rPr>
          <w:rFonts w:ascii="Times New Roman" w:eastAsia="Times New Roman" w:hAnsi="Times New Roman" w:cs="Times New Roman"/>
          <w:sz w:val="24"/>
          <w:szCs w:val="24"/>
          <w:lang w:bidi="en-US"/>
        </w:rPr>
        <w:t xml:space="preserve">for control participants. Demographic details were collected first, including age, gender, ethnicity, first </w:t>
      </w:r>
      <w:r w:rsidRPr="008A6E62">
        <w:rPr>
          <w:rFonts w:ascii="Times New Roman" w:eastAsia="Times New Roman" w:hAnsi="Times New Roman" w:cs="Times New Roman"/>
          <w:sz w:val="24"/>
          <w:szCs w:val="24"/>
          <w:lang w:bidi="en-US"/>
        </w:rPr>
        <w:t>language, education level and employment status. Education level was coded into one of nine categories depending on the highest qualifica</w:t>
      </w:r>
      <w:r w:rsidRPr="00D30496">
        <w:rPr>
          <w:rFonts w:ascii="Times New Roman" w:eastAsia="Times New Roman" w:hAnsi="Times New Roman" w:cs="Times New Roman"/>
          <w:sz w:val="24"/>
          <w:szCs w:val="24"/>
          <w:lang w:bidi="en-US"/>
        </w:rPr>
        <w:t>t</w:t>
      </w:r>
      <w:r w:rsidRPr="008A6E62">
        <w:rPr>
          <w:rFonts w:ascii="Times New Roman" w:eastAsia="Times New Roman" w:hAnsi="Times New Roman" w:cs="Times New Roman"/>
          <w:sz w:val="24"/>
          <w:szCs w:val="24"/>
          <w:lang w:bidi="en-US"/>
        </w:rPr>
        <w:t>io</w:t>
      </w:r>
      <w:r w:rsidRPr="00D15968">
        <w:rPr>
          <w:rFonts w:ascii="Times New Roman" w:eastAsia="Times New Roman" w:hAnsi="Times New Roman" w:cs="Times New Roman"/>
          <w:sz w:val="24"/>
          <w:szCs w:val="24"/>
          <w:lang w:bidi="en-US"/>
        </w:rPr>
        <w:t>n obtained by the participan</w:t>
      </w:r>
      <w:r w:rsidRPr="00545B56">
        <w:rPr>
          <w:rFonts w:ascii="Times New Roman" w:eastAsia="Times New Roman" w:hAnsi="Times New Roman" w:cs="Times New Roman"/>
          <w:sz w:val="24"/>
          <w:szCs w:val="24"/>
          <w:lang w:bidi="en-US"/>
        </w:rPr>
        <w:t xml:space="preserve">t. </w:t>
      </w:r>
      <w:r w:rsidRPr="00D30496">
        <w:rPr>
          <w:rFonts w:ascii="Times New Roman" w:hAnsi="Times New Roman" w:cs="Times New Roman"/>
          <w:sz w:val="24"/>
          <w:szCs w:val="24"/>
        </w:rPr>
        <w:t xml:space="preserve">The categories ranged from 0 = </w:t>
      </w:r>
      <w:r w:rsidRPr="00D30496">
        <w:rPr>
          <w:rFonts w:ascii="Times New Roman" w:hAnsi="Times New Roman" w:cs="Times New Roman"/>
          <w:i/>
          <w:sz w:val="24"/>
          <w:szCs w:val="24"/>
        </w:rPr>
        <w:t>Entry level or no qualifications</w:t>
      </w:r>
      <w:r w:rsidRPr="00D30496">
        <w:rPr>
          <w:rFonts w:ascii="Times New Roman" w:hAnsi="Times New Roman" w:cs="Times New Roman"/>
          <w:sz w:val="24"/>
          <w:szCs w:val="24"/>
        </w:rPr>
        <w:t xml:space="preserve">, to 8 = </w:t>
      </w:r>
      <w:r w:rsidRPr="00D30496">
        <w:rPr>
          <w:rFonts w:ascii="Times New Roman" w:hAnsi="Times New Roman" w:cs="Times New Roman"/>
          <w:i/>
          <w:sz w:val="24"/>
          <w:szCs w:val="24"/>
        </w:rPr>
        <w:t>doctorate, NVQ level 5 or equivalent</w:t>
      </w:r>
      <w:r>
        <w:rPr>
          <w:rFonts w:ascii="Times New Roman" w:hAnsi="Times New Roman" w:cs="Times New Roman"/>
          <w:i/>
          <w:sz w:val="24"/>
          <w:szCs w:val="24"/>
        </w:rPr>
        <w:t xml:space="preserve"> </w:t>
      </w:r>
      <w:r>
        <w:rPr>
          <w:rFonts w:ascii="Times New Roman" w:hAnsi="Times New Roman" w:cs="Times New Roman"/>
          <w:noProof/>
          <w:sz w:val="24"/>
          <w:szCs w:val="24"/>
        </w:rPr>
        <w:t>(Office of Qualifications and Examinations Regulation, 2012)</w:t>
      </w:r>
      <w:r w:rsidRPr="008A6E62">
        <w:rPr>
          <w:rFonts w:ascii="Times New Roman" w:eastAsia="Times New Roman" w:hAnsi="Times New Roman" w:cs="Times New Roman"/>
          <w:sz w:val="24"/>
          <w:szCs w:val="24"/>
          <w:lang w:bidi="en-US"/>
        </w:rPr>
        <w:t>. Time since referral to early intervention services was recorded for patients. Testing began with administration of the FAS</w:t>
      </w:r>
      <w:r w:rsidRPr="00222E7C">
        <w:rPr>
          <w:rFonts w:ascii="Times New Roman" w:eastAsia="Times New Roman" w:hAnsi="Times New Roman" w:cs="Times New Roman"/>
          <w:sz w:val="24"/>
          <w:szCs w:val="24"/>
          <w:lang w:bidi="en-US"/>
        </w:rPr>
        <w:t xml:space="preserve"> test, to orient participants to the nature of fluency tasks, followed by the FTT. The order of presentation of positive and negative conditions was counterbalanced across participants. Participants were then interviewed about symptoms of depression (both groups) and negative symptoms (patient group only) to facilitate scoring of the CDSS and SANS</w:t>
      </w:r>
      <w:r>
        <w:rPr>
          <w:rFonts w:ascii="Times New Roman" w:eastAsia="Times New Roman" w:hAnsi="Times New Roman" w:cs="Times New Roman"/>
          <w:sz w:val="24"/>
          <w:szCs w:val="24"/>
          <w:lang w:bidi="en-US"/>
        </w:rPr>
        <w:t>, then completed the</w:t>
      </w:r>
      <w:r w:rsidRPr="00222E7C">
        <w:rPr>
          <w:rFonts w:ascii="Times New Roman" w:eastAsia="Times New Roman" w:hAnsi="Times New Roman" w:cs="Times New Roman"/>
          <w:sz w:val="24"/>
          <w:szCs w:val="24"/>
          <w:lang w:bidi="en-US"/>
        </w:rPr>
        <w:t xml:space="preserve"> GAD-7 and BHS. Patients additionally completed the SSI. The procedure lasted for 45-60 minutes in total</w:t>
      </w:r>
      <w:r>
        <w:rPr>
          <w:rFonts w:ascii="Times New Roman" w:eastAsia="Times New Roman" w:hAnsi="Times New Roman" w:cs="Times New Roman"/>
          <w:sz w:val="24"/>
          <w:szCs w:val="24"/>
          <w:lang w:bidi="en-US"/>
        </w:rPr>
        <w:t>, and all participants attended for the full duration of testing</w:t>
      </w:r>
      <w:r w:rsidRPr="00222E7C">
        <w:rPr>
          <w:rFonts w:ascii="Times New Roman" w:eastAsia="Times New Roman" w:hAnsi="Times New Roman" w:cs="Times New Roman"/>
          <w:sz w:val="24"/>
          <w:szCs w:val="24"/>
          <w:lang w:bidi="en-US"/>
        </w:rPr>
        <w:t>.</w:t>
      </w:r>
    </w:p>
    <w:p w:rsidR="00B26CB0" w:rsidRPr="00222E7C" w:rsidRDefault="00B26CB0" w:rsidP="00FA3873">
      <w:pPr>
        <w:rPr>
          <w:rFonts w:ascii="Times New Roman" w:eastAsia="Times New Roman" w:hAnsi="Times New Roman" w:cs="Times New Roman"/>
          <w:sz w:val="24"/>
          <w:szCs w:val="24"/>
          <w:lang w:bidi="en-US"/>
        </w:rPr>
      </w:pPr>
    </w:p>
    <w:p w:rsidR="00B26CB0" w:rsidRPr="00222E7C" w:rsidRDefault="00B26CB0" w:rsidP="00FA3873">
      <w:pPr>
        <w:jc w:val="center"/>
        <w:rPr>
          <w:rFonts w:ascii="Times New Roman" w:hAnsi="Times New Roman" w:cs="Times New Roman"/>
          <w:b/>
          <w:sz w:val="24"/>
          <w:szCs w:val="24"/>
        </w:rPr>
      </w:pPr>
      <w:r w:rsidRPr="00222E7C">
        <w:rPr>
          <w:rFonts w:ascii="Times New Roman" w:hAnsi="Times New Roman" w:cs="Times New Roman"/>
          <w:b/>
          <w:sz w:val="24"/>
          <w:szCs w:val="24"/>
        </w:rPr>
        <w:t>Results</w:t>
      </w:r>
    </w:p>
    <w:p w:rsidR="00B26CB0" w:rsidRPr="00222E7C" w:rsidRDefault="00B26CB0" w:rsidP="00FA3873">
      <w:pPr>
        <w:rPr>
          <w:rFonts w:ascii="Times New Roman" w:hAnsi="Times New Roman" w:cs="Times New Roman"/>
          <w:b/>
          <w:sz w:val="24"/>
          <w:szCs w:val="24"/>
        </w:rPr>
      </w:pPr>
      <w:r w:rsidRPr="00222E7C">
        <w:rPr>
          <w:rFonts w:ascii="Times New Roman" w:hAnsi="Times New Roman" w:cs="Times New Roman"/>
          <w:b/>
          <w:sz w:val="24"/>
          <w:szCs w:val="24"/>
        </w:rPr>
        <w:lastRenderedPageBreak/>
        <w:t>Demographic and clinical features</w:t>
      </w:r>
    </w:p>
    <w:p w:rsidR="00B26CB0" w:rsidRPr="00222E7C" w:rsidRDefault="00B26CB0" w:rsidP="00FA3873">
      <w:pPr>
        <w:ind w:firstLine="720"/>
        <w:rPr>
          <w:rFonts w:ascii="Times New Roman" w:hAnsi="Times New Roman" w:cs="Times New Roman"/>
          <w:i/>
          <w:sz w:val="24"/>
          <w:szCs w:val="24"/>
        </w:rPr>
      </w:pPr>
      <w:r w:rsidRPr="00222E7C">
        <w:rPr>
          <w:rFonts w:ascii="Times New Roman" w:hAnsi="Times New Roman" w:cs="Times New Roman"/>
          <w:sz w:val="24"/>
          <w:szCs w:val="24"/>
        </w:rPr>
        <w:t>The mean and standard deviations of demographic variables for each group</w:t>
      </w:r>
      <w:r>
        <w:rPr>
          <w:rFonts w:ascii="Times New Roman" w:hAnsi="Times New Roman" w:cs="Times New Roman"/>
          <w:sz w:val="24"/>
          <w:szCs w:val="24"/>
        </w:rPr>
        <w:t xml:space="preserve"> and test statistics for group differences</w:t>
      </w:r>
      <w:r w:rsidRPr="00222E7C">
        <w:rPr>
          <w:rFonts w:ascii="Times New Roman" w:hAnsi="Times New Roman" w:cs="Times New Roman"/>
          <w:sz w:val="24"/>
          <w:szCs w:val="24"/>
        </w:rPr>
        <w:t xml:space="preserve"> are shown in Table 1.</w:t>
      </w:r>
      <w:r>
        <w:rPr>
          <w:rFonts w:ascii="Times New Roman" w:hAnsi="Times New Roman" w:cs="Times New Roman"/>
          <w:sz w:val="24"/>
          <w:szCs w:val="24"/>
        </w:rPr>
        <w:t xml:space="preserve"> </w:t>
      </w:r>
      <w:r w:rsidRPr="00222E7C">
        <w:rPr>
          <w:rFonts w:ascii="Times New Roman" w:hAnsi="Times New Roman" w:cs="Times New Roman"/>
          <w:sz w:val="24"/>
          <w:szCs w:val="24"/>
        </w:rPr>
        <w:t>The groups did not differ significantly in age, gender, ethnicity, or first language. Patients had significantly lower scores than controls on verb</w:t>
      </w:r>
      <w:r w:rsidRPr="00103030">
        <w:rPr>
          <w:rFonts w:ascii="Times New Roman" w:hAnsi="Times New Roman" w:cs="Times New Roman"/>
          <w:sz w:val="24"/>
          <w:szCs w:val="24"/>
        </w:rPr>
        <w:t>al fluency and</w:t>
      </w:r>
      <w:r w:rsidRPr="00D30496">
        <w:rPr>
          <w:rFonts w:ascii="Times New Roman" w:hAnsi="Times New Roman" w:cs="Times New Roman"/>
          <w:sz w:val="24"/>
          <w:szCs w:val="24"/>
        </w:rPr>
        <w:t xml:space="preserve"> </w:t>
      </w:r>
      <w:r w:rsidRPr="00523176">
        <w:rPr>
          <w:rFonts w:ascii="Times New Roman" w:hAnsi="Times New Roman" w:cs="Times New Roman"/>
          <w:sz w:val="24"/>
          <w:szCs w:val="24"/>
        </w:rPr>
        <w:t xml:space="preserve">education level. </w:t>
      </w:r>
      <w:r>
        <w:rPr>
          <w:rFonts w:ascii="Times New Roman" w:hAnsi="Times New Roman" w:cs="Times New Roman"/>
          <w:sz w:val="24"/>
          <w:szCs w:val="24"/>
        </w:rPr>
        <w:t>T</w:t>
      </w:r>
      <w:r w:rsidRPr="00222E7C">
        <w:rPr>
          <w:rFonts w:ascii="Times New Roman" w:hAnsi="Times New Roman" w:cs="Times New Roman"/>
          <w:sz w:val="24"/>
          <w:szCs w:val="24"/>
        </w:rPr>
        <w:t>he group difference in employment approached significance, with fewer patients employ</w:t>
      </w:r>
      <w:r>
        <w:rPr>
          <w:rFonts w:ascii="Times New Roman" w:hAnsi="Times New Roman" w:cs="Times New Roman"/>
          <w:sz w:val="24"/>
          <w:szCs w:val="24"/>
        </w:rPr>
        <w:t>ed</w:t>
      </w:r>
      <w:r w:rsidRPr="00222E7C">
        <w:rPr>
          <w:rFonts w:ascii="Times New Roman" w:hAnsi="Times New Roman" w:cs="Times New Roman"/>
          <w:sz w:val="24"/>
          <w:szCs w:val="24"/>
        </w:rPr>
        <w:t xml:space="preserve"> than controls.</w:t>
      </w:r>
      <w:r>
        <w:rPr>
          <w:rFonts w:ascii="Times New Roman" w:hAnsi="Times New Roman" w:cs="Times New Roman"/>
          <w:sz w:val="24"/>
          <w:szCs w:val="24"/>
        </w:rPr>
        <w:t xml:space="preserve"> </w:t>
      </w:r>
      <w:r w:rsidRPr="00222E7C">
        <w:rPr>
          <w:rFonts w:ascii="Times New Roman" w:hAnsi="Times New Roman" w:cs="Times New Roman"/>
          <w:sz w:val="24"/>
          <w:szCs w:val="24"/>
        </w:rPr>
        <w:t>Patients scored higher than controls on the CDSS and GAD-7 as well as BHS</w:t>
      </w:r>
      <w:r>
        <w:rPr>
          <w:rFonts w:ascii="Times New Roman" w:hAnsi="Times New Roman" w:cs="Times New Roman"/>
          <w:sz w:val="24"/>
          <w:szCs w:val="24"/>
        </w:rPr>
        <w:t>.</w:t>
      </w:r>
      <w:r w:rsidRPr="00222E7C">
        <w:rPr>
          <w:rFonts w:ascii="Times New Roman" w:hAnsi="Times New Roman" w:cs="Times New Roman"/>
          <w:sz w:val="24"/>
          <w:szCs w:val="24"/>
        </w:rPr>
        <w:t xml:space="preserve"> Means and standard deviations for these measures are shown in Table 1 along with the scores for the SSI and SANS in the patient group.</w:t>
      </w:r>
      <w:r>
        <w:rPr>
          <w:rFonts w:ascii="Times New Roman" w:hAnsi="Times New Roman" w:cs="Times New Roman"/>
          <w:sz w:val="24"/>
          <w:szCs w:val="24"/>
        </w:rPr>
        <w:t xml:space="preserve"> </w:t>
      </w:r>
    </w:p>
    <w:p w:rsidR="00B26CB0" w:rsidRDefault="00B26CB0" w:rsidP="00FA3873">
      <w:pPr>
        <w:jc w:val="center"/>
        <w:rPr>
          <w:rFonts w:ascii="Times New Roman" w:hAnsi="Times New Roman" w:cs="Times New Roman"/>
          <w:sz w:val="24"/>
          <w:szCs w:val="24"/>
        </w:rPr>
      </w:pPr>
      <w:r w:rsidRPr="00222E7C">
        <w:rPr>
          <w:rFonts w:ascii="Times New Roman" w:hAnsi="Times New Roman" w:cs="Times New Roman"/>
          <w:sz w:val="24"/>
          <w:szCs w:val="24"/>
        </w:rPr>
        <w:t>Table 1 about here.</w:t>
      </w:r>
    </w:p>
    <w:p w:rsidR="00B26CB0" w:rsidRPr="00222E7C" w:rsidRDefault="00B26CB0" w:rsidP="00FA3873">
      <w:pPr>
        <w:jc w:val="center"/>
        <w:rPr>
          <w:rFonts w:ascii="Times New Roman" w:hAnsi="Times New Roman" w:cs="Times New Roman"/>
          <w:sz w:val="24"/>
          <w:szCs w:val="24"/>
        </w:rPr>
      </w:pPr>
    </w:p>
    <w:p w:rsidR="00B26CB0" w:rsidRPr="00222E7C" w:rsidRDefault="00B26CB0" w:rsidP="00FA3873">
      <w:pPr>
        <w:rPr>
          <w:rFonts w:ascii="Times New Roman" w:hAnsi="Times New Roman" w:cs="Times New Roman"/>
          <w:b/>
          <w:sz w:val="24"/>
          <w:szCs w:val="24"/>
        </w:rPr>
      </w:pPr>
      <w:r w:rsidRPr="00222E7C">
        <w:rPr>
          <w:rFonts w:ascii="Times New Roman" w:hAnsi="Times New Roman" w:cs="Times New Roman"/>
          <w:b/>
          <w:sz w:val="24"/>
          <w:szCs w:val="24"/>
        </w:rPr>
        <w:t>Group differences in FTT scores</w:t>
      </w:r>
    </w:p>
    <w:p w:rsidR="00B26CB0" w:rsidRPr="00222E7C" w:rsidRDefault="00B26CB0" w:rsidP="00FA3873">
      <w:pPr>
        <w:ind w:firstLine="720"/>
        <w:rPr>
          <w:rFonts w:ascii="Times New Roman" w:hAnsi="Times New Roman" w:cs="Times New Roman"/>
          <w:sz w:val="24"/>
          <w:szCs w:val="24"/>
        </w:rPr>
      </w:pPr>
      <w:r w:rsidRPr="00222E7C">
        <w:rPr>
          <w:rFonts w:ascii="Times New Roman" w:hAnsi="Times New Roman" w:cs="Times New Roman"/>
          <w:sz w:val="24"/>
          <w:szCs w:val="24"/>
        </w:rPr>
        <w:t xml:space="preserve">The means and standard deviations of FTT scores for group, period and valence are shown in Table 2. Only effects involving group are reported due to the number of effects and </w:t>
      </w:r>
      <w:r>
        <w:rPr>
          <w:rFonts w:ascii="Times New Roman" w:hAnsi="Times New Roman" w:cs="Times New Roman"/>
          <w:sz w:val="24"/>
          <w:szCs w:val="24"/>
        </w:rPr>
        <w:t>because</w:t>
      </w:r>
      <w:r w:rsidRPr="00222E7C">
        <w:rPr>
          <w:rFonts w:ascii="Times New Roman" w:hAnsi="Times New Roman" w:cs="Times New Roman"/>
          <w:sz w:val="24"/>
          <w:szCs w:val="24"/>
        </w:rPr>
        <w:t xml:space="preserve"> the questions of interest in the present study all relate to group</w:t>
      </w:r>
      <w:r>
        <w:rPr>
          <w:rFonts w:ascii="Times New Roman" w:hAnsi="Times New Roman" w:cs="Times New Roman"/>
          <w:sz w:val="24"/>
          <w:szCs w:val="24"/>
        </w:rPr>
        <w:t xml:space="preserve"> </w:t>
      </w:r>
    </w:p>
    <w:p w:rsidR="00B26CB0" w:rsidRPr="00222E7C" w:rsidRDefault="00B26CB0" w:rsidP="00FA3873">
      <w:pPr>
        <w:jc w:val="center"/>
        <w:rPr>
          <w:rFonts w:ascii="Times New Roman" w:hAnsi="Times New Roman" w:cs="Times New Roman"/>
          <w:sz w:val="24"/>
          <w:szCs w:val="24"/>
        </w:rPr>
      </w:pPr>
      <w:r w:rsidRPr="00222E7C">
        <w:rPr>
          <w:rFonts w:ascii="Times New Roman" w:hAnsi="Times New Roman" w:cs="Times New Roman"/>
          <w:sz w:val="24"/>
          <w:szCs w:val="24"/>
        </w:rPr>
        <w:t>Table 2 about here.</w:t>
      </w:r>
    </w:p>
    <w:p w:rsidR="00B26CB0" w:rsidRPr="00222E7C" w:rsidRDefault="00B26CB0" w:rsidP="00FA3873">
      <w:pPr>
        <w:ind w:firstLine="720"/>
        <w:rPr>
          <w:rFonts w:ascii="Times New Roman" w:hAnsi="Times New Roman" w:cs="Times New Roman"/>
          <w:sz w:val="24"/>
          <w:szCs w:val="24"/>
        </w:rPr>
      </w:pPr>
      <w:r w:rsidRPr="00222E7C">
        <w:rPr>
          <w:rFonts w:ascii="Times New Roman" w:hAnsi="Times New Roman" w:cs="Times New Roman"/>
          <w:i/>
          <w:sz w:val="24"/>
          <w:szCs w:val="24"/>
        </w:rPr>
        <w:t>Composite</w:t>
      </w:r>
      <w:r w:rsidRPr="00222E7C">
        <w:rPr>
          <w:rFonts w:ascii="Times New Roman" w:hAnsi="Times New Roman" w:cs="Times New Roman"/>
          <w:sz w:val="24"/>
          <w:szCs w:val="24"/>
        </w:rPr>
        <w:t>.</w:t>
      </w:r>
      <w:r>
        <w:rPr>
          <w:rFonts w:ascii="Times New Roman" w:hAnsi="Times New Roman" w:cs="Times New Roman"/>
          <w:sz w:val="24"/>
          <w:szCs w:val="24"/>
        </w:rPr>
        <w:t xml:space="preserve"> </w:t>
      </w:r>
      <w:r w:rsidRPr="00222E7C">
        <w:rPr>
          <w:rFonts w:ascii="Times New Roman" w:hAnsi="Times New Roman" w:cs="Times New Roman"/>
          <w:sz w:val="24"/>
          <w:szCs w:val="24"/>
        </w:rPr>
        <w:t>A Group (patient, control) × Period (week, year, 5-10 years) × Valence (positive, negative) mixed-model ANOVA on FTT-composite revealed a significant main effect of group (</w:t>
      </w:r>
      <w:r w:rsidRPr="00222E7C">
        <w:rPr>
          <w:rFonts w:ascii="Times New Roman" w:hAnsi="Times New Roman" w:cs="Times New Roman"/>
          <w:i/>
          <w:sz w:val="24"/>
          <w:szCs w:val="24"/>
        </w:rPr>
        <w:t>F</w:t>
      </w:r>
      <w:r w:rsidRPr="00222E7C">
        <w:rPr>
          <w:rFonts w:ascii="Times New Roman" w:hAnsi="Times New Roman" w:cs="Times New Roman"/>
          <w:sz w:val="24"/>
          <w:szCs w:val="24"/>
        </w:rPr>
        <w:t xml:space="preserve">(1,55) = 7.43, </w:t>
      </w:r>
      <w:r w:rsidRPr="00222E7C">
        <w:rPr>
          <w:rFonts w:ascii="Times New Roman" w:hAnsi="Times New Roman" w:cs="Times New Roman"/>
          <w:i/>
          <w:sz w:val="24"/>
          <w:szCs w:val="24"/>
        </w:rPr>
        <w:t>p</w:t>
      </w:r>
      <w:r w:rsidRPr="00222E7C">
        <w:rPr>
          <w:rFonts w:ascii="Times New Roman" w:hAnsi="Times New Roman" w:cs="Times New Roman"/>
          <w:sz w:val="24"/>
          <w:szCs w:val="24"/>
        </w:rPr>
        <w:t xml:space="preserve"> = .009), reflecting the fact that patients (</w:t>
      </w:r>
      <w:r w:rsidRPr="00222E7C">
        <w:rPr>
          <w:rFonts w:ascii="Times New Roman" w:hAnsi="Times New Roman" w:cs="Times New Roman"/>
          <w:i/>
          <w:sz w:val="24"/>
          <w:szCs w:val="24"/>
        </w:rPr>
        <w:t>M</w:t>
      </w:r>
      <w:r w:rsidRPr="00222E7C">
        <w:rPr>
          <w:rFonts w:ascii="Times New Roman" w:hAnsi="Times New Roman" w:cs="Times New Roman"/>
          <w:sz w:val="24"/>
          <w:szCs w:val="24"/>
        </w:rPr>
        <w:t xml:space="preserve"> = 44.74, </w:t>
      </w:r>
      <w:r w:rsidRPr="00222E7C">
        <w:rPr>
          <w:rFonts w:ascii="Times New Roman" w:hAnsi="Times New Roman" w:cs="Times New Roman"/>
          <w:i/>
          <w:sz w:val="24"/>
          <w:szCs w:val="24"/>
        </w:rPr>
        <w:t>SD </w:t>
      </w:r>
      <w:r w:rsidRPr="00222E7C">
        <w:rPr>
          <w:rFonts w:ascii="Times New Roman" w:hAnsi="Times New Roman" w:cs="Times New Roman"/>
          <w:sz w:val="24"/>
          <w:szCs w:val="24"/>
        </w:rPr>
        <w:t>= 20.24) had lower scores overall than controls (</w:t>
      </w:r>
      <w:r w:rsidRPr="00222E7C">
        <w:rPr>
          <w:rFonts w:ascii="Times New Roman" w:hAnsi="Times New Roman" w:cs="Times New Roman"/>
          <w:i/>
          <w:sz w:val="24"/>
          <w:szCs w:val="24"/>
        </w:rPr>
        <w:t>M</w:t>
      </w:r>
      <w:r w:rsidRPr="00222E7C">
        <w:rPr>
          <w:rFonts w:ascii="Times New Roman" w:hAnsi="Times New Roman" w:cs="Times New Roman"/>
          <w:sz w:val="24"/>
          <w:szCs w:val="24"/>
        </w:rPr>
        <w:t xml:space="preserve"> = 61.60, </w:t>
      </w:r>
      <w:r w:rsidRPr="00222E7C">
        <w:rPr>
          <w:rFonts w:ascii="Times New Roman" w:hAnsi="Times New Roman" w:cs="Times New Roman"/>
          <w:i/>
          <w:sz w:val="24"/>
          <w:szCs w:val="24"/>
        </w:rPr>
        <w:t>SD </w:t>
      </w:r>
      <w:r w:rsidRPr="00222E7C">
        <w:rPr>
          <w:rFonts w:ascii="Times New Roman" w:hAnsi="Times New Roman" w:cs="Times New Roman"/>
          <w:sz w:val="24"/>
          <w:szCs w:val="24"/>
        </w:rPr>
        <w:t>= 25.92).</w:t>
      </w:r>
      <w:r>
        <w:rPr>
          <w:rFonts w:ascii="Times New Roman" w:hAnsi="Times New Roman" w:cs="Times New Roman"/>
          <w:sz w:val="24"/>
          <w:szCs w:val="24"/>
        </w:rPr>
        <w:t xml:space="preserve"> </w:t>
      </w:r>
      <w:r w:rsidRPr="00222E7C">
        <w:rPr>
          <w:rFonts w:ascii="Times New Roman" w:hAnsi="Times New Roman" w:cs="Times New Roman"/>
          <w:sz w:val="24"/>
          <w:szCs w:val="24"/>
        </w:rPr>
        <w:t>There was also a significant Group × Period interaction (</w:t>
      </w:r>
      <w:r w:rsidRPr="00222E7C">
        <w:rPr>
          <w:rFonts w:ascii="Times New Roman" w:hAnsi="Times New Roman" w:cs="Times New Roman"/>
          <w:i/>
          <w:sz w:val="24"/>
          <w:szCs w:val="24"/>
        </w:rPr>
        <w:t>F</w:t>
      </w:r>
      <w:r w:rsidRPr="00222E7C">
        <w:rPr>
          <w:rFonts w:ascii="Times New Roman" w:hAnsi="Times New Roman" w:cs="Times New Roman"/>
          <w:sz w:val="24"/>
          <w:szCs w:val="24"/>
        </w:rPr>
        <w:t xml:space="preserve">(2,110) = 3.39, </w:t>
      </w:r>
      <w:r w:rsidRPr="00222E7C">
        <w:rPr>
          <w:rFonts w:ascii="Times New Roman" w:hAnsi="Times New Roman" w:cs="Times New Roman"/>
          <w:i/>
          <w:sz w:val="24"/>
          <w:szCs w:val="24"/>
        </w:rPr>
        <w:t>p</w:t>
      </w:r>
      <w:r w:rsidRPr="00222E7C">
        <w:rPr>
          <w:rFonts w:ascii="Times New Roman" w:hAnsi="Times New Roman" w:cs="Times New Roman"/>
          <w:sz w:val="24"/>
          <w:szCs w:val="24"/>
        </w:rPr>
        <w:t> = .037).</w:t>
      </w:r>
      <w:r>
        <w:rPr>
          <w:rFonts w:ascii="Times New Roman" w:hAnsi="Times New Roman" w:cs="Times New Roman"/>
          <w:sz w:val="24"/>
          <w:szCs w:val="24"/>
        </w:rPr>
        <w:t xml:space="preserve"> T</w:t>
      </w:r>
      <w:r w:rsidRPr="00222E7C">
        <w:rPr>
          <w:rFonts w:ascii="Times New Roman" w:hAnsi="Times New Roman" w:cs="Times New Roman"/>
          <w:sz w:val="24"/>
          <w:szCs w:val="24"/>
        </w:rPr>
        <w:t>here was no Group x Valence interaction (F(1,55) = 2.55, p = .116) n</w:t>
      </w:r>
      <w:r>
        <w:rPr>
          <w:rFonts w:ascii="Times New Roman" w:hAnsi="Times New Roman" w:cs="Times New Roman"/>
          <w:sz w:val="24"/>
          <w:szCs w:val="24"/>
        </w:rPr>
        <w:t>o</w:t>
      </w:r>
      <w:r w:rsidRPr="00222E7C">
        <w:rPr>
          <w:rFonts w:ascii="Times New Roman" w:hAnsi="Times New Roman" w:cs="Times New Roman"/>
          <w:sz w:val="24"/>
          <w:szCs w:val="24"/>
        </w:rPr>
        <w:t>r was there a Group x Valence x Period interaction (</w:t>
      </w:r>
      <w:r w:rsidRPr="00222E7C">
        <w:rPr>
          <w:rFonts w:ascii="Times New Roman" w:hAnsi="Times New Roman" w:cs="Times New Roman"/>
          <w:i/>
          <w:sz w:val="24"/>
          <w:szCs w:val="24"/>
        </w:rPr>
        <w:t>F</w:t>
      </w:r>
      <w:r w:rsidRPr="00222E7C">
        <w:rPr>
          <w:rFonts w:ascii="Times New Roman" w:hAnsi="Times New Roman" w:cs="Times New Roman"/>
          <w:sz w:val="24"/>
          <w:szCs w:val="24"/>
        </w:rPr>
        <w:t xml:space="preserve">(2,110) = 2.05, </w:t>
      </w:r>
      <w:r w:rsidRPr="00222E7C">
        <w:rPr>
          <w:rFonts w:ascii="Times New Roman" w:hAnsi="Times New Roman" w:cs="Times New Roman"/>
          <w:i/>
          <w:sz w:val="24"/>
          <w:szCs w:val="24"/>
        </w:rPr>
        <w:t>p</w:t>
      </w:r>
      <w:r w:rsidRPr="00222E7C">
        <w:rPr>
          <w:rFonts w:ascii="Times New Roman" w:hAnsi="Times New Roman" w:cs="Times New Roman"/>
          <w:sz w:val="24"/>
          <w:szCs w:val="24"/>
        </w:rPr>
        <w:t xml:space="preserve"> = .134).</w:t>
      </w:r>
    </w:p>
    <w:p w:rsidR="00B26CB0" w:rsidRDefault="00B26CB0" w:rsidP="00FA3873">
      <w:pPr>
        <w:ind w:firstLine="720"/>
        <w:rPr>
          <w:rFonts w:ascii="Times New Roman" w:hAnsi="Times New Roman" w:cs="Times New Roman"/>
          <w:sz w:val="24"/>
          <w:szCs w:val="24"/>
        </w:rPr>
      </w:pPr>
      <w:r w:rsidRPr="00222E7C">
        <w:rPr>
          <w:rFonts w:ascii="Times New Roman" w:hAnsi="Times New Roman" w:cs="Times New Roman"/>
          <w:sz w:val="24"/>
          <w:szCs w:val="24"/>
        </w:rPr>
        <w:t>Post hoc</w:t>
      </w:r>
      <w:r w:rsidRPr="00222E7C">
        <w:rPr>
          <w:rFonts w:ascii="Times New Roman" w:hAnsi="Times New Roman" w:cs="Times New Roman"/>
          <w:i/>
          <w:sz w:val="24"/>
          <w:szCs w:val="24"/>
        </w:rPr>
        <w:t xml:space="preserve"> t</w:t>
      </w:r>
      <w:r w:rsidRPr="00222E7C">
        <w:rPr>
          <w:rFonts w:ascii="Times New Roman" w:hAnsi="Times New Roman" w:cs="Times New Roman"/>
          <w:sz w:val="24"/>
          <w:szCs w:val="24"/>
        </w:rPr>
        <w:t xml:space="preserve">-tests revealed that the source of the Group x Period interaction was variation in the size of group differences across time periods: Figure 1 shows the data visually. Patients were statistically similar to controls in their scores for 1 week trials </w:t>
      </w:r>
      <w:r w:rsidRPr="00222E7C">
        <w:rPr>
          <w:rFonts w:ascii="Times New Roman" w:hAnsi="Times New Roman" w:cs="Times New Roman"/>
          <w:sz w:val="24"/>
          <w:szCs w:val="24"/>
        </w:rPr>
        <w:lastRenderedPageBreak/>
        <w:t>(</w:t>
      </w:r>
      <w:r w:rsidRPr="00222E7C">
        <w:rPr>
          <w:rFonts w:ascii="Times New Roman" w:hAnsi="Times New Roman" w:cs="Times New Roman"/>
          <w:i/>
          <w:sz w:val="24"/>
          <w:szCs w:val="24"/>
        </w:rPr>
        <w:t>t</w:t>
      </w:r>
      <w:r w:rsidRPr="00222E7C">
        <w:rPr>
          <w:rFonts w:ascii="Times New Roman" w:hAnsi="Times New Roman" w:cs="Times New Roman"/>
          <w:sz w:val="24"/>
          <w:szCs w:val="24"/>
        </w:rPr>
        <w:t xml:space="preserve">(55) = 1.41, </w:t>
      </w:r>
      <w:r w:rsidRPr="00222E7C">
        <w:rPr>
          <w:rFonts w:ascii="Times New Roman" w:hAnsi="Times New Roman" w:cs="Times New Roman"/>
          <w:i/>
          <w:sz w:val="24"/>
          <w:szCs w:val="24"/>
        </w:rPr>
        <w:t>p</w:t>
      </w:r>
      <w:r w:rsidRPr="00222E7C">
        <w:rPr>
          <w:rFonts w:ascii="Times New Roman" w:hAnsi="Times New Roman" w:cs="Times New Roman"/>
          <w:sz w:val="24"/>
          <w:szCs w:val="24"/>
        </w:rPr>
        <w:t> = .164), but significantly lower than controls in their scores for 1 year trials (</w:t>
      </w:r>
      <w:r w:rsidRPr="00222E7C">
        <w:rPr>
          <w:rFonts w:ascii="Times New Roman" w:hAnsi="Times New Roman" w:cs="Times New Roman"/>
          <w:i/>
          <w:sz w:val="24"/>
          <w:szCs w:val="24"/>
        </w:rPr>
        <w:t>t</w:t>
      </w:r>
      <w:r w:rsidRPr="00222E7C">
        <w:rPr>
          <w:rFonts w:ascii="Times New Roman" w:hAnsi="Times New Roman" w:cs="Times New Roman"/>
          <w:sz w:val="24"/>
          <w:szCs w:val="24"/>
        </w:rPr>
        <w:t xml:space="preserve">(55) = 3.70, </w:t>
      </w:r>
      <w:r w:rsidRPr="00222E7C">
        <w:rPr>
          <w:rFonts w:ascii="Times New Roman" w:hAnsi="Times New Roman" w:cs="Times New Roman"/>
          <w:i/>
          <w:sz w:val="24"/>
          <w:szCs w:val="24"/>
        </w:rPr>
        <w:t>p</w:t>
      </w:r>
      <w:r w:rsidRPr="00222E7C">
        <w:rPr>
          <w:rFonts w:ascii="Times New Roman" w:hAnsi="Times New Roman" w:cs="Times New Roman"/>
          <w:sz w:val="24"/>
          <w:szCs w:val="24"/>
        </w:rPr>
        <w:t> &lt; .001) and 5-10 year trials (</w:t>
      </w:r>
      <w:r w:rsidRPr="00222E7C">
        <w:rPr>
          <w:rFonts w:ascii="Times New Roman" w:hAnsi="Times New Roman" w:cs="Times New Roman"/>
          <w:i/>
          <w:sz w:val="24"/>
          <w:szCs w:val="24"/>
        </w:rPr>
        <w:t>t(</w:t>
      </w:r>
      <w:r w:rsidRPr="00222E7C">
        <w:rPr>
          <w:rFonts w:ascii="Times New Roman" w:hAnsi="Times New Roman" w:cs="Times New Roman"/>
          <w:sz w:val="24"/>
          <w:szCs w:val="24"/>
        </w:rPr>
        <w:t xml:space="preserve">55) = 2.15, </w:t>
      </w:r>
      <w:r w:rsidRPr="00222E7C">
        <w:rPr>
          <w:rFonts w:ascii="Times New Roman" w:hAnsi="Times New Roman" w:cs="Times New Roman"/>
          <w:i/>
          <w:sz w:val="24"/>
          <w:szCs w:val="24"/>
        </w:rPr>
        <w:t>p</w:t>
      </w:r>
      <w:r w:rsidRPr="00222E7C">
        <w:rPr>
          <w:rFonts w:ascii="Times New Roman" w:hAnsi="Times New Roman" w:cs="Times New Roman"/>
          <w:sz w:val="24"/>
          <w:szCs w:val="24"/>
        </w:rPr>
        <w:t> = .036).</w:t>
      </w:r>
      <w:r>
        <w:rPr>
          <w:rFonts w:ascii="Times New Roman" w:hAnsi="Times New Roman" w:cs="Times New Roman"/>
          <w:sz w:val="24"/>
          <w:szCs w:val="24"/>
        </w:rPr>
        <w:t xml:space="preserve"> Because t</w:t>
      </w:r>
      <w:r w:rsidRPr="00222E7C">
        <w:rPr>
          <w:rFonts w:ascii="Times New Roman" w:hAnsi="Times New Roman" w:cs="Times New Roman"/>
          <w:sz w:val="24"/>
          <w:szCs w:val="24"/>
        </w:rPr>
        <w:t>he groups differed on verbal fluency</w:t>
      </w:r>
      <w:r>
        <w:rPr>
          <w:rFonts w:ascii="Times New Roman" w:hAnsi="Times New Roman" w:cs="Times New Roman"/>
          <w:sz w:val="24"/>
          <w:szCs w:val="24"/>
        </w:rPr>
        <w:t xml:space="preserve"> and educational level</w:t>
      </w:r>
      <w:r w:rsidRPr="00222E7C">
        <w:rPr>
          <w:rFonts w:ascii="Times New Roman" w:hAnsi="Times New Roman" w:cs="Times New Roman"/>
          <w:sz w:val="24"/>
          <w:szCs w:val="24"/>
        </w:rPr>
        <w:t xml:space="preserve">, </w:t>
      </w:r>
      <w:r>
        <w:rPr>
          <w:rFonts w:ascii="Times New Roman" w:hAnsi="Times New Roman" w:cs="Times New Roman"/>
          <w:sz w:val="24"/>
          <w:szCs w:val="24"/>
        </w:rPr>
        <w:t xml:space="preserve">correlations were carried out between these variables and FTT scores. Educational level did not correlate with PFT or NFT, either within groups separately or across the whole sample (all </w:t>
      </w:r>
      <w:r w:rsidRPr="00D30496">
        <w:rPr>
          <w:rFonts w:ascii="Times New Roman" w:hAnsi="Times New Roman" w:cs="Times New Roman"/>
          <w:i/>
          <w:sz w:val="24"/>
          <w:szCs w:val="24"/>
        </w:rPr>
        <w:t>p</w:t>
      </w:r>
      <w:r>
        <w:rPr>
          <w:rFonts w:ascii="Times New Roman" w:hAnsi="Times New Roman" w:cs="Times New Roman"/>
          <w:sz w:val="24"/>
          <w:szCs w:val="24"/>
        </w:rPr>
        <w:t>’s &gt; .30) but verbal fluency correlated with PFT in the within-group correlations and with PFT and NFT across the whole sample (</w:t>
      </w:r>
      <w:r w:rsidRPr="00D30496">
        <w:rPr>
          <w:rFonts w:ascii="Times New Roman" w:hAnsi="Times New Roman" w:cs="Times New Roman"/>
          <w:i/>
          <w:sz w:val="24"/>
          <w:szCs w:val="24"/>
        </w:rPr>
        <w:t>p</w:t>
      </w:r>
      <w:r>
        <w:rPr>
          <w:rFonts w:ascii="Times New Roman" w:hAnsi="Times New Roman" w:cs="Times New Roman"/>
          <w:sz w:val="24"/>
          <w:szCs w:val="24"/>
        </w:rPr>
        <w:t xml:space="preserve"> &lt; .001 and </w:t>
      </w:r>
      <w:r w:rsidRPr="00D30496">
        <w:rPr>
          <w:rFonts w:ascii="Times New Roman" w:hAnsi="Times New Roman" w:cs="Times New Roman"/>
          <w:i/>
          <w:sz w:val="24"/>
          <w:szCs w:val="24"/>
        </w:rPr>
        <w:t>p</w:t>
      </w:r>
      <w:r>
        <w:rPr>
          <w:rFonts w:ascii="Times New Roman" w:hAnsi="Times New Roman" w:cs="Times New Roman"/>
          <w:sz w:val="24"/>
          <w:szCs w:val="24"/>
        </w:rPr>
        <w:t xml:space="preserve"> = .025, respectively). Therefore, groups were compared again with FAS as a</w:t>
      </w:r>
      <w:r w:rsidRPr="00222E7C">
        <w:rPr>
          <w:rFonts w:ascii="Times New Roman" w:hAnsi="Times New Roman" w:cs="Times New Roman"/>
          <w:sz w:val="24"/>
          <w:szCs w:val="24"/>
        </w:rPr>
        <w:t xml:space="preserve"> covariate</w:t>
      </w:r>
      <w:r>
        <w:rPr>
          <w:rFonts w:ascii="Times New Roman" w:hAnsi="Times New Roman" w:cs="Times New Roman"/>
          <w:sz w:val="24"/>
          <w:szCs w:val="24"/>
        </w:rPr>
        <w:t>. The</w:t>
      </w:r>
      <w:r w:rsidRPr="00222E7C">
        <w:rPr>
          <w:rFonts w:ascii="Times New Roman" w:hAnsi="Times New Roman" w:cs="Times New Roman"/>
          <w:sz w:val="24"/>
          <w:szCs w:val="24"/>
        </w:rPr>
        <w:t xml:space="preserve"> difference in scores for 1 year remained significant (</w:t>
      </w:r>
      <w:r w:rsidRPr="00222E7C">
        <w:rPr>
          <w:rFonts w:ascii="Times New Roman" w:hAnsi="Times New Roman" w:cs="Times New Roman"/>
          <w:i/>
          <w:sz w:val="24"/>
          <w:szCs w:val="24"/>
        </w:rPr>
        <w:t xml:space="preserve">p </w:t>
      </w:r>
      <w:r w:rsidRPr="00222E7C">
        <w:rPr>
          <w:rFonts w:ascii="Times New Roman" w:hAnsi="Times New Roman" w:cs="Times New Roman"/>
          <w:sz w:val="24"/>
          <w:szCs w:val="24"/>
        </w:rPr>
        <w:t>= .014) but became non-significant (</w:t>
      </w:r>
      <w:r w:rsidRPr="00222E7C">
        <w:rPr>
          <w:rFonts w:ascii="Times New Roman" w:hAnsi="Times New Roman" w:cs="Times New Roman"/>
          <w:i/>
          <w:sz w:val="24"/>
          <w:szCs w:val="24"/>
        </w:rPr>
        <w:t>p</w:t>
      </w:r>
      <w:r>
        <w:rPr>
          <w:rFonts w:ascii="Times New Roman" w:hAnsi="Times New Roman" w:cs="Times New Roman"/>
          <w:sz w:val="24"/>
          <w:szCs w:val="24"/>
        </w:rPr>
        <w:t> </w:t>
      </w:r>
      <w:r w:rsidRPr="00222E7C">
        <w:rPr>
          <w:rFonts w:ascii="Times New Roman" w:hAnsi="Times New Roman" w:cs="Times New Roman"/>
          <w:sz w:val="24"/>
          <w:szCs w:val="24"/>
        </w:rPr>
        <w:t>=</w:t>
      </w:r>
      <w:r>
        <w:rPr>
          <w:rFonts w:ascii="Times New Roman" w:hAnsi="Times New Roman" w:cs="Times New Roman"/>
          <w:sz w:val="24"/>
          <w:szCs w:val="24"/>
        </w:rPr>
        <w:t> </w:t>
      </w:r>
      <w:r w:rsidRPr="00222E7C">
        <w:rPr>
          <w:rFonts w:ascii="Times New Roman" w:hAnsi="Times New Roman" w:cs="Times New Roman"/>
          <w:sz w:val="24"/>
          <w:szCs w:val="24"/>
        </w:rPr>
        <w:t xml:space="preserve">.327) </w:t>
      </w:r>
      <w:r>
        <w:rPr>
          <w:rFonts w:ascii="Times New Roman" w:hAnsi="Times New Roman" w:cs="Times New Roman"/>
          <w:sz w:val="24"/>
          <w:szCs w:val="24"/>
        </w:rPr>
        <w:t xml:space="preserve">for </w:t>
      </w:r>
      <w:r w:rsidRPr="00222E7C">
        <w:rPr>
          <w:rFonts w:ascii="Times New Roman" w:hAnsi="Times New Roman" w:cs="Times New Roman"/>
          <w:sz w:val="24"/>
          <w:szCs w:val="24"/>
        </w:rPr>
        <w:t>5-10 years</w:t>
      </w:r>
      <w:r>
        <w:rPr>
          <w:rFonts w:ascii="Times New Roman" w:hAnsi="Times New Roman" w:cs="Times New Roman"/>
          <w:sz w:val="24"/>
          <w:szCs w:val="24"/>
        </w:rPr>
        <w:t>,</w:t>
      </w:r>
      <w:r w:rsidRPr="00222E7C">
        <w:rPr>
          <w:rFonts w:ascii="Times New Roman" w:hAnsi="Times New Roman" w:cs="Times New Roman"/>
          <w:sz w:val="24"/>
          <w:szCs w:val="24"/>
        </w:rPr>
        <w:t xml:space="preserve"> and</w:t>
      </w:r>
      <w:r>
        <w:rPr>
          <w:rFonts w:ascii="Times New Roman" w:hAnsi="Times New Roman" w:cs="Times New Roman"/>
          <w:sz w:val="24"/>
          <w:szCs w:val="24"/>
        </w:rPr>
        <w:t xml:space="preserve"> for</w:t>
      </w:r>
      <w:r w:rsidRPr="00222E7C">
        <w:rPr>
          <w:rFonts w:ascii="Times New Roman" w:hAnsi="Times New Roman" w:cs="Times New Roman"/>
          <w:sz w:val="24"/>
          <w:szCs w:val="24"/>
        </w:rPr>
        <w:t xml:space="preserve"> 1 week </w:t>
      </w:r>
      <w:r>
        <w:rPr>
          <w:rFonts w:ascii="Times New Roman" w:hAnsi="Times New Roman" w:cs="Times New Roman"/>
          <w:sz w:val="24"/>
          <w:szCs w:val="24"/>
        </w:rPr>
        <w:t xml:space="preserve">the effect </w:t>
      </w:r>
      <w:r w:rsidRPr="00222E7C">
        <w:rPr>
          <w:rFonts w:ascii="Times New Roman" w:hAnsi="Times New Roman" w:cs="Times New Roman"/>
          <w:sz w:val="24"/>
          <w:szCs w:val="24"/>
        </w:rPr>
        <w:t>remained non-significant (</w:t>
      </w:r>
      <w:r w:rsidRPr="00222E7C">
        <w:rPr>
          <w:rFonts w:ascii="Times New Roman" w:hAnsi="Times New Roman" w:cs="Times New Roman"/>
          <w:i/>
          <w:sz w:val="24"/>
          <w:szCs w:val="24"/>
        </w:rPr>
        <w:t>p</w:t>
      </w:r>
      <w:r w:rsidRPr="00222E7C">
        <w:rPr>
          <w:rFonts w:ascii="Times New Roman" w:hAnsi="Times New Roman" w:cs="Times New Roman"/>
          <w:sz w:val="24"/>
          <w:szCs w:val="24"/>
        </w:rPr>
        <w:t xml:space="preserve"> = .995).</w:t>
      </w:r>
      <w:r>
        <w:rPr>
          <w:rFonts w:ascii="Times New Roman" w:hAnsi="Times New Roman" w:cs="Times New Roman"/>
          <w:sz w:val="24"/>
          <w:szCs w:val="24"/>
        </w:rPr>
        <w:t xml:space="preserve"> </w:t>
      </w:r>
      <w:r w:rsidRPr="00222E7C">
        <w:rPr>
          <w:rFonts w:ascii="Times New Roman" w:hAnsi="Times New Roman" w:cs="Times New Roman"/>
          <w:noProof/>
          <w:sz w:val="24"/>
          <w:szCs w:val="24"/>
        </w:rPr>
        <w:t xml:space="preserve">Miller and Chapman </w:t>
      </w:r>
      <w:r>
        <w:rPr>
          <w:rFonts w:ascii="Times New Roman" w:hAnsi="Times New Roman" w:cs="Times New Roman"/>
          <w:noProof/>
          <w:sz w:val="24"/>
          <w:szCs w:val="24"/>
        </w:rPr>
        <w:t>(2001)</w:t>
      </w:r>
      <w:r w:rsidRPr="00222E7C">
        <w:rPr>
          <w:rFonts w:ascii="Times New Roman" w:hAnsi="Times New Roman" w:cs="Times New Roman"/>
          <w:sz w:val="24"/>
          <w:szCs w:val="24"/>
        </w:rPr>
        <w:t xml:space="preserve"> caution against the use of covariance to control for variables on which groups differ as this may eliminate genuine group differences. However,</w:t>
      </w:r>
      <w:r>
        <w:rPr>
          <w:rFonts w:ascii="Times New Roman" w:hAnsi="Times New Roman" w:cs="Times New Roman"/>
          <w:sz w:val="24"/>
          <w:szCs w:val="24"/>
        </w:rPr>
        <w:t xml:space="preserve"> since</w:t>
      </w:r>
      <w:r w:rsidRPr="00222E7C">
        <w:rPr>
          <w:rFonts w:ascii="Times New Roman" w:hAnsi="Times New Roman" w:cs="Times New Roman"/>
          <w:sz w:val="24"/>
          <w:szCs w:val="24"/>
        </w:rPr>
        <w:t xml:space="preserve"> the result</w:t>
      </w:r>
      <w:r>
        <w:rPr>
          <w:rFonts w:ascii="Times New Roman" w:hAnsi="Times New Roman" w:cs="Times New Roman"/>
          <w:sz w:val="24"/>
          <w:szCs w:val="24"/>
        </w:rPr>
        <w:t xml:space="preserve"> for 1 year was</w:t>
      </w:r>
      <w:r w:rsidRPr="00222E7C">
        <w:rPr>
          <w:rFonts w:ascii="Times New Roman" w:hAnsi="Times New Roman" w:cs="Times New Roman"/>
          <w:sz w:val="24"/>
          <w:szCs w:val="24"/>
        </w:rPr>
        <w:t xml:space="preserve"> maintained after covariance </w:t>
      </w:r>
      <w:r>
        <w:rPr>
          <w:rFonts w:ascii="Times New Roman" w:hAnsi="Times New Roman" w:cs="Times New Roman"/>
          <w:sz w:val="24"/>
          <w:szCs w:val="24"/>
        </w:rPr>
        <w:t>it</w:t>
      </w:r>
      <w:r w:rsidRPr="00222E7C">
        <w:rPr>
          <w:rFonts w:ascii="Times New Roman" w:hAnsi="Times New Roman" w:cs="Times New Roman"/>
          <w:sz w:val="24"/>
          <w:szCs w:val="24"/>
        </w:rPr>
        <w:t xml:space="preserve"> can reasonably be expected to represent </w:t>
      </w:r>
      <w:r>
        <w:rPr>
          <w:rFonts w:ascii="Times New Roman" w:hAnsi="Times New Roman" w:cs="Times New Roman"/>
          <w:sz w:val="24"/>
          <w:szCs w:val="24"/>
        </w:rPr>
        <w:t xml:space="preserve">a </w:t>
      </w:r>
      <w:r w:rsidRPr="00222E7C">
        <w:rPr>
          <w:rFonts w:ascii="Times New Roman" w:hAnsi="Times New Roman" w:cs="Times New Roman"/>
          <w:sz w:val="24"/>
          <w:szCs w:val="24"/>
        </w:rPr>
        <w:t>real effect.</w:t>
      </w:r>
    </w:p>
    <w:p w:rsidR="00B26CB0" w:rsidRPr="00222E7C" w:rsidRDefault="00B26CB0" w:rsidP="00D30496">
      <w:pPr>
        <w:ind w:firstLine="720"/>
        <w:jc w:val="center"/>
        <w:rPr>
          <w:rFonts w:ascii="Times New Roman" w:hAnsi="Times New Roman" w:cs="Times New Roman"/>
          <w:sz w:val="24"/>
          <w:szCs w:val="24"/>
        </w:rPr>
      </w:pPr>
      <w:r>
        <w:rPr>
          <w:rFonts w:ascii="Times New Roman" w:hAnsi="Times New Roman" w:cs="Times New Roman"/>
          <w:sz w:val="24"/>
          <w:szCs w:val="24"/>
        </w:rPr>
        <w:t>Figure 1 about here.</w:t>
      </w:r>
    </w:p>
    <w:p w:rsidR="00B26CB0" w:rsidRDefault="00B26CB0" w:rsidP="00FA3873">
      <w:pPr>
        <w:ind w:firstLine="720"/>
        <w:rPr>
          <w:rFonts w:ascii="Times New Roman" w:hAnsi="Times New Roman" w:cs="Times New Roman"/>
          <w:sz w:val="24"/>
          <w:szCs w:val="24"/>
        </w:rPr>
      </w:pPr>
      <w:r w:rsidRPr="00222E7C">
        <w:rPr>
          <w:rFonts w:ascii="Times New Roman" w:hAnsi="Times New Roman" w:cs="Times New Roman"/>
          <w:i/>
          <w:sz w:val="24"/>
          <w:szCs w:val="24"/>
        </w:rPr>
        <w:t>Individual components</w:t>
      </w:r>
      <w:r w:rsidRPr="00222E7C">
        <w:rPr>
          <w:rFonts w:ascii="Times New Roman" w:hAnsi="Times New Roman" w:cs="Times New Roman"/>
          <w:sz w:val="24"/>
          <w:szCs w:val="24"/>
        </w:rPr>
        <w:t>.</w:t>
      </w:r>
      <w:r>
        <w:rPr>
          <w:rFonts w:ascii="Times New Roman" w:hAnsi="Times New Roman" w:cs="Times New Roman"/>
          <w:sz w:val="24"/>
          <w:szCs w:val="24"/>
        </w:rPr>
        <w:t xml:space="preserve"> </w:t>
      </w:r>
      <w:r w:rsidRPr="00222E7C">
        <w:rPr>
          <w:rFonts w:ascii="Times New Roman" w:hAnsi="Times New Roman" w:cs="Times New Roman"/>
          <w:sz w:val="24"/>
          <w:szCs w:val="24"/>
        </w:rPr>
        <w:t xml:space="preserve">To </w:t>
      </w:r>
      <w:r>
        <w:rPr>
          <w:rFonts w:ascii="Times New Roman" w:hAnsi="Times New Roman" w:cs="Times New Roman"/>
          <w:sz w:val="24"/>
          <w:szCs w:val="24"/>
        </w:rPr>
        <w:t>investigate</w:t>
      </w:r>
      <w:r w:rsidRPr="00222E7C">
        <w:rPr>
          <w:rFonts w:ascii="Times New Roman" w:hAnsi="Times New Roman" w:cs="Times New Roman"/>
          <w:sz w:val="24"/>
          <w:szCs w:val="24"/>
        </w:rPr>
        <w:t xml:space="preserve"> whether the predicted effect was found when only the number of items generated was analysed, the same</w:t>
      </w:r>
      <w:r w:rsidRPr="00222E7C">
        <w:rPr>
          <w:rFonts w:ascii="Times New Roman" w:hAnsi="Times New Roman" w:cs="Times New Roman"/>
          <w:i/>
          <w:sz w:val="24"/>
          <w:szCs w:val="24"/>
        </w:rPr>
        <w:t xml:space="preserve"> </w:t>
      </w:r>
      <w:r w:rsidRPr="00222E7C">
        <w:rPr>
          <w:rFonts w:ascii="Times New Roman" w:hAnsi="Times New Roman" w:cs="Times New Roman"/>
          <w:sz w:val="24"/>
          <w:szCs w:val="24"/>
        </w:rPr>
        <w:t>Group × Period × Valence ANOVA was conducted on FTT-number.</w:t>
      </w:r>
      <w:r>
        <w:rPr>
          <w:rFonts w:ascii="Times New Roman" w:hAnsi="Times New Roman" w:cs="Times New Roman"/>
          <w:sz w:val="24"/>
          <w:szCs w:val="24"/>
        </w:rPr>
        <w:t xml:space="preserve"> </w:t>
      </w:r>
      <w:r w:rsidRPr="00222E7C">
        <w:rPr>
          <w:rFonts w:ascii="Times New Roman" w:hAnsi="Times New Roman" w:cs="Times New Roman"/>
          <w:sz w:val="24"/>
          <w:szCs w:val="24"/>
        </w:rPr>
        <w:t>There was a significant main effect of group (</w:t>
      </w:r>
      <w:r w:rsidRPr="00222E7C">
        <w:rPr>
          <w:rFonts w:ascii="Times New Roman" w:hAnsi="Times New Roman" w:cs="Times New Roman"/>
          <w:i/>
          <w:sz w:val="24"/>
          <w:szCs w:val="24"/>
        </w:rPr>
        <w:t>F</w:t>
      </w:r>
      <w:r w:rsidRPr="00222E7C">
        <w:rPr>
          <w:rFonts w:ascii="Times New Roman" w:hAnsi="Times New Roman" w:cs="Times New Roman"/>
          <w:sz w:val="24"/>
          <w:szCs w:val="24"/>
        </w:rPr>
        <w:t xml:space="preserve">(1,55) = 17.67, </w:t>
      </w:r>
      <w:r w:rsidRPr="00222E7C">
        <w:rPr>
          <w:rFonts w:ascii="Times New Roman" w:hAnsi="Times New Roman" w:cs="Times New Roman"/>
          <w:i/>
          <w:sz w:val="24"/>
          <w:szCs w:val="24"/>
        </w:rPr>
        <w:t>p</w:t>
      </w:r>
      <w:r w:rsidRPr="00222E7C">
        <w:rPr>
          <w:rFonts w:ascii="Times New Roman" w:hAnsi="Times New Roman" w:cs="Times New Roman"/>
          <w:sz w:val="24"/>
          <w:szCs w:val="24"/>
        </w:rPr>
        <w:t> &lt; .001), reflecting the fact that patients (</w:t>
      </w:r>
      <w:r w:rsidRPr="00222E7C">
        <w:rPr>
          <w:rFonts w:ascii="Times New Roman" w:hAnsi="Times New Roman" w:cs="Times New Roman"/>
          <w:i/>
          <w:sz w:val="24"/>
          <w:szCs w:val="24"/>
        </w:rPr>
        <w:t>M</w:t>
      </w:r>
      <w:r w:rsidRPr="00222E7C">
        <w:rPr>
          <w:rFonts w:ascii="Times New Roman" w:hAnsi="Times New Roman" w:cs="Times New Roman"/>
          <w:sz w:val="24"/>
          <w:szCs w:val="24"/>
        </w:rPr>
        <w:t xml:space="preserve"> = 4.22, </w:t>
      </w:r>
      <w:r w:rsidRPr="00222E7C">
        <w:rPr>
          <w:rFonts w:ascii="Times New Roman" w:hAnsi="Times New Roman" w:cs="Times New Roman"/>
          <w:i/>
          <w:sz w:val="24"/>
          <w:szCs w:val="24"/>
        </w:rPr>
        <w:t>SD</w:t>
      </w:r>
      <w:r w:rsidRPr="00222E7C">
        <w:rPr>
          <w:rFonts w:ascii="Times New Roman" w:hAnsi="Times New Roman" w:cs="Times New Roman"/>
          <w:sz w:val="24"/>
          <w:szCs w:val="24"/>
        </w:rPr>
        <w:t> = 1.45) generated fewer items overall than controls (</w:t>
      </w:r>
      <w:r w:rsidRPr="00222E7C">
        <w:rPr>
          <w:rFonts w:ascii="Times New Roman" w:hAnsi="Times New Roman" w:cs="Times New Roman"/>
          <w:i/>
          <w:sz w:val="24"/>
          <w:szCs w:val="24"/>
        </w:rPr>
        <w:t>M</w:t>
      </w:r>
      <w:r w:rsidRPr="00222E7C">
        <w:rPr>
          <w:rFonts w:ascii="Times New Roman" w:hAnsi="Times New Roman" w:cs="Times New Roman"/>
          <w:sz w:val="24"/>
          <w:szCs w:val="24"/>
        </w:rPr>
        <w:t xml:space="preserve"> = 5.96, </w:t>
      </w:r>
      <w:r w:rsidRPr="00222E7C">
        <w:rPr>
          <w:rFonts w:ascii="Times New Roman" w:hAnsi="Times New Roman" w:cs="Times New Roman"/>
          <w:i/>
          <w:sz w:val="24"/>
          <w:szCs w:val="24"/>
        </w:rPr>
        <w:t>SD</w:t>
      </w:r>
      <w:r w:rsidRPr="00222E7C">
        <w:rPr>
          <w:rFonts w:ascii="Times New Roman" w:hAnsi="Times New Roman" w:cs="Times New Roman"/>
          <w:sz w:val="24"/>
          <w:szCs w:val="24"/>
        </w:rPr>
        <w:t> = 1.67).</w:t>
      </w:r>
      <w:r>
        <w:rPr>
          <w:rFonts w:ascii="Times New Roman" w:hAnsi="Times New Roman" w:cs="Times New Roman"/>
          <w:sz w:val="24"/>
          <w:szCs w:val="24"/>
        </w:rPr>
        <w:t xml:space="preserve"> </w:t>
      </w:r>
      <w:r w:rsidRPr="00222E7C">
        <w:rPr>
          <w:rFonts w:ascii="Times New Roman" w:hAnsi="Times New Roman" w:cs="Times New Roman"/>
          <w:sz w:val="24"/>
          <w:szCs w:val="24"/>
        </w:rPr>
        <w:t>There were no significant effects for the Group x Valence (</w:t>
      </w:r>
      <w:r w:rsidRPr="00222E7C">
        <w:rPr>
          <w:rFonts w:ascii="Times New Roman" w:hAnsi="Times New Roman" w:cs="Times New Roman"/>
          <w:i/>
          <w:sz w:val="24"/>
          <w:szCs w:val="24"/>
        </w:rPr>
        <w:t>F</w:t>
      </w:r>
      <w:r w:rsidRPr="00222E7C">
        <w:rPr>
          <w:rFonts w:ascii="Times New Roman" w:hAnsi="Times New Roman" w:cs="Times New Roman"/>
          <w:sz w:val="24"/>
          <w:szCs w:val="24"/>
        </w:rPr>
        <w:t xml:space="preserve">(1,55) = 1.20, </w:t>
      </w:r>
      <w:r w:rsidRPr="00222E7C">
        <w:rPr>
          <w:rFonts w:ascii="Times New Roman" w:hAnsi="Times New Roman" w:cs="Times New Roman"/>
          <w:i/>
          <w:sz w:val="24"/>
          <w:szCs w:val="24"/>
        </w:rPr>
        <w:t>p</w:t>
      </w:r>
      <w:r w:rsidRPr="00222E7C">
        <w:rPr>
          <w:rFonts w:ascii="Times New Roman" w:hAnsi="Times New Roman" w:cs="Times New Roman"/>
          <w:sz w:val="24"/>
          <w:szCs w:val="24"/>
        </w:rPr>
        <w:t xml:space="preserve"> = .278), Group x Period (</w:t>
      </w:r>
      <w:r w:rsidRPr="00222E7C">
        <w:rPr>
          <w:rFonts w:ascii="Times New Roman" w:hAnsi="Times New Roman" w:cs="Times New Roman"/>
          <w:i/>
          <w:sz w:val="24"/>
          <w:szCs w:val="24"/>
        </w:rPr>
        <w:t>F</w:t>
      </w:r>
      <w:r w:rsidRPr="00222E7C">
        <w:rPr>
          <w:rFonts w:ascii="Times New Roman" w:hAnsi="Times New Roman" w:cs="Times New Roman"/>
          <w:sz w:val="24"/>
          <w:szCs w:val="24"/>
        </w:rPr>
        <w:t xml:space="preserve"> &lt; 1) or Group x Valence x Period (F &lt; 1) interactions. The main effect of group for FTT-number remained significant after covarying FAS (</w:t>
      </w:r>
      <w:r w:rsidRPr="00222E7C">
        <w:rPr>
          <w:rFonts w:ascii="Times New Roman" w:hAnsi="Times New Roman" w:cs="Times New Roman"/>
          <w:i/>
          <w:sz w:val="24"/>
          <w:szCs w:val="24"/>
        </w:rPr>
        <w:t>p</w:t>
      </w:r>
      <w:r w:rsidRPr="00222E7C">
        <w:rPr>
          <w:rFonts w:ascii="Times New Roman" w:hAnsi="Times New Roman" w:cs="Times New Roman"/>
          <w:sz w:val="24"/>
          <w:szCs w:val="24"/>
        </w:rPr>
        <w:t xml:space="preserve"> = .005). Analysing FTT-likelihood and FTT-affect separately produced no significant main effects or interactions involving group (all </w:t>
      </w:r>
      <w:r w:rsidRPr="00222E7C">
        <w:rPr>
          <w:rFonts w:ascii="Times New Roman" w:hAnsi="Times New Roman" w:cs="Times New Roman"/>
          <w:i/>
          <w:sz w:val="24"/>
          <w:szCs w:val="24"/>
        </w:rPr>
        <w:t>F</w:t>
      </w:r>
      <w:r w:rsidRPr="00222E7C">
        <w:rPr>
          <w:rFonts w:ascii="Times New Roman" w:hAnsi="Times New Roman" w:cs="Times New Roman"/>
          <w:sz w:val="24"/>
          <w:szCs w:val="24"/>
        </w:rPr>
        <w:t xml:space="preserve">’s &lt; 2.1, all </w:t>
      </w:r>
      <w:r w:rsidRPr="00222E7C">
        <w:rPr>
          <w:rFonts w:ascii="Times New Roman" w:hAnsi="Times New Roman" w:cs="Times New Roman"/>
          <w:i/>
          <w:sz w:val="24"/>
          <w:szCs w:val="24"/>
        </w:rPr>
        <w:t>p</w:t>
      </w:r>
      <w:r w:rsidRPr="00222E7C">
        <w:rPr>
          <w:rFonts w:ascii="Times New Roman" w:hAnsi="Times New Roman" w:cs="Times New Roman"/>
          <w:sz w:val="24"/>
          <w:szCs w:val="24"/>
        </w:rPr>
        <w:t>’s</w:t>
      </w:r>
      <w:r>
        <w:rPr>
          <w:rFonts w:ascii="Times New Roman" w:hAnsi="Times New Roman" w:cs="Times New Roman"/>
          <w:sz w:val="24"/>
          <w:szCs w:val="24"/>
        </w:rPr>
        <w:t> </w:t>
      </w:r>
      <w:r w:rsidRPr="00222E7C">
        <w:rPr>
          <w:rFonts w:ascii="Times New Roman" w:hAnsi="Times New Roman" w:cs="Times New Roman"/>
          <w:sz w:val="24"/>
          <w:szCs w:val="24"/>
        </w:rPr>
        <w:t>&gt;</w:t>
      </w:r>
      <w:r>
        <w:rPr>
          <w:rFonts w:ascii="Times New Roman" w:hAnsi="Times New Roman" w:cs="Times New Roman"/>
          <w:sz w:val="24"/>
          <w:szCs w:val="24"/>
        </w:rPr>
        <w:t> </w:t>
      </w:r>
      <w:r w:rsidRPr="00222E7C">
        <w:rPr>
          <w:rFonts w:ascii="Times New Roman" w:hAnsi="Times New Roman" w:cs="Times New Roman"/>
          <w:sz w:val="24"/>
          <w:szCs w:val="24"/>
        </w:rPr>
        <w:t>.13).</w:t>
      </w:r>
      <w:r>
        <w:rPr>
          <w:rFonts w:ascii="Times New Roman" w:hAnsi="Times New Roman" w:cs="Times New Roman"/>
          <w:sz w:val="24"/>
          <w:szCs w:val="24"/>
        </w:rPr>
        <w:t xml:space="preserve"> </w:t>
      </w:r>
    </w:p>
    <w:p w:rsidR="00B26CB0" w:rsidRPr="00222E7C" w:rsidRDefault="00B26CB0" w:rsidP="00FA3873">
      <w:pPr>
        <w:rPr>
          <w:rFonts w:ascii="Times New Roman" w:hAnsi="Times New Roman" w:cs="Times New Roman"/>
          <w:sz w:val="24"/>
          <w:szCs w:val="24"/>
        </w:rPr>
      </w:pPr>
    </w:p>
    <w:p w:rsidR="00B26CB0" w:rsidRPr="00222E7C" w:rsidRDefault="00B26CB0" w:rsidP="00FA3873">
      <w:pPr>
        <w:rPr>
          <w:rFonts w:ascii="Times New Roman" w:hAnsi="Times New Roman" w:cs="Times New Roman"/>
          <w:sz w:val="24"/>
          <w:szCs w:val="24"/>
        </w:rPr>
      </w:pPr>
      <w:r w:rsidRPr="00222E7C">
        <w:rPr>
          <w:rFonts w:ascii="Times New Roman" w:eastAsia="Times New Roman" w:hAnsi="Times New Roman" w:cs="Times New Roman"/>
          <w:b/>
          <w:sz w:val="24"/>
          <w:szCs w:val="24"/>
          <w:lang w:bidi="en-US"/>
        </w:rPr>
        <w:lastRenderedPageBreak/>
        <w:t>Correlations between variables</w:t>
      </w:r>
    </w:p>
    <w:p w:rsidR="00B26CB0" w:rsidRDefault="00B26CB0" w:rsidP="00FA3873">
      <w:pPr>
        <w:ind w:firstLine="720"/>
        <w:rPr>
          <w:rFonts w:ascii="Times New Roman" w:eastAsia="Times New Roman" w:hAnsi="Times New Roman" w:cs="Times New Roman"/>
          <w:sz w:val="24"/>
          <w:szCs w:val="24"/>
          <w:lang w:bidi="en-US"/>
        </w:rPr>
      </w:pPr>
      <w:r w:rsidRPr="00222E7C">
        <w:rPr>
          <w:rFonts w:ascii="Times New Roman" w:eastAsia="Times New Roman" w:hAnsi="Times New Roman" w:cs="Times New Roman"/>
          <w:sz w:val="24"/>
          <w:szCs w:val="24"/>
          <w:lang w:bidi="en-US"/>
        </w:rPr>
        <w:t>Bivariate correlations were carried out in the patient group between FTT-composite scores for each valence and CDSS, GAD-7, BHS, SANS and SSI.</w:t>
      </w:r>
      <w:r>
        <w:rPr>
          <w:rFonts w:ascii="Times New Roman" w:eastAsia="Times New Roman" w:hAnsi="Times New Roman" w:cs="Times New Roman"/>
          <w:sz w:val="24"/>
          <w:szCs w:val="24"/>
          <w:lang w:bidi="en-US"/>
        </w:rPr>
        <w:t xml:space="preserve"> </w:t>
      </w:r>
      <w:r w:rsidRPr="00222E7C">
        <w:rPr>
          <w:rFonts w:ascii="Times New Roman" w:eastAsia="Times New Roman" w:hAnsi="Times New Roman" w:cs="Times New Roman"/>
          <w:sz w:val="24"/>
          <w:szCs w:val="24"/>
          <w:lang w:bidi="en-US"/>
        </w:rPr>
        <w:t xml:space="preserve">The results are shown in Table </w:t>
      </w:r>
      <w:r>
        <w:rPr>
          <w:rFonts w:ascii="Times New Roman" w:eastAsia="Times New Roman" w:hAnsi="Times New Roman" w:cs="Times New Roman"/>
          <w:sz w:val="24"/>
          <w:szCs w:val="24"/>
          <w:lang w:bidi="en-US"/>
        </w:rPr>
        <w:t>3</w:t>
      </w:r>
      <w:r w:rsidRPr="00222E7C">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 </w:t>
      </w:r>
      <w:r w:rsidRPr="00222E7C">
        <w:rPr>
          <w:rFonts w:ascii="Times New Roman" w:eastAsia="Times New Roman" w:hAnsi="Times New Roman" w:cs="Times New Roman"/>
          <w:sz w:val="24"/>
          <w:szCs w:val="24"/>
          <w:lang w:bidi="en-US"/>
        </w:rPr>
        <w:t>Higher PFT was significantly associated with lower levels of self-reported hopelessness and decreased severity of negative symptoms.</w:t>
      </w:r>
      <w:r>
        <w:rPr>
          <w:rFonts w:ascii="Times New Roman" w:eastAsia="Times New Roman" w:hAnsi="Times New Roman" w:cs="Times New Roman"/>
          <w:sz w:val="24"/>
          <w:szCs w:val="24"/>
          <w:lang w:bidi="en-US"/>
        </w:rPr>
        <w:t xml:space="preserve"> </w:t>
      </w:r>
      <w:r w:rsidRPr="00222E7C">
        <w:rPr>
          <w:rFonts w:ascii="Times New Roman" w:eastAsia="Times New Roman" w:hAnsi="Times New Roman" w:cs="Times New Roman"/>
          <w:sz w:val="24"/>
          <w:szCs w:val="24"/>
          <w:lang w:bidi="en-US"/>
        </w:rPr>
        <w:t>Higher NFT was significantly related to higher BHS and SSI scores.</w:t>
      </w:r>
      <w:r>
        <w:rPr>
          <w:rFonts w:ascii="Times New Roman" w:eastAsia="Times New Roman" w:hAnsi="Times New Roman" w:cs="Times New Roman"/>
          <w:sz w:val="24"/>
          <w:szCs w:val="24"/>
          <w:lang w:bidi="en-US"/>
        </w:rPr>
        <w:t xml:space="preserve"> </w:t>
      </w:r>
      <w:r w:rsidRPr="00222E7C">
        <w:rPr>
          <w:rFonts w:ascii="Times New Roman" w:eastAsia="Times New Roman" w:hAnsi="Times New Roman" w:cs="Times New Roman"/>
          <w:sz w:val="24"/>
          <w:szCs w:val="24"/>
          <w:lang w:bidi="en-US"/>
        </w:rPr>
        <w:t xml:space="preserve">Neither PFT </w:t>
      </w:r>
      <w:r>
        <w:rPr>
          <w:rFonts w:ascii="Times New Roman" w:eastAsia="Times New Roman" w:hAnsi="Times New Roman" w:cs="Times New Roman"/>
          <w:sz w:val="24"/>
          <w:szCs w:val="24"/>
          <w:lang w:bidi="en-US"/>
        </w:rPr>
        <w:t>n</w:t>
      </w:r>
      <w:r w:rsidRPr="00222E7C">
        <w:rPr>
          <w:rFonts w:ascii="Times New Roman" w:eastAsia="Times New Roman" w:hAnsi="Times New Roman" w:cs="Times New Roman"/>
          <w:sz w:val="24"/>
          <w:szCs w:val="24"/>
          <w:lang w:bidi="en-US"/>
        </w:rPr>
        <w:t>or NFT correlated significantly with measures of anxiety and depression.</w:t>
      </w:r>
    </w:p>
    <w:p w:rsidR="00B26CB0" w:rsidRPr="00222E7C" w:rsidRDefault="00B26CB0" w:rsidP="00FA3873">
      <w:pPr>
        <w:ind w:firstLine="720"/>
        <w:rPr>
          <w:rFonts w:ascii="Times New Roman" w:eastAsia="Times New Roman" w:hAnsi="Times New Roman" w:cs="Times New Roman"/>
          <w:sz w:val="24"/>
          <w:szCs w:val="24"/>
          <w:lang w:bidi="en-US"/>
        </w:rPr>
      </w:pPr>
    </w:p>
    <w:p w:rsidR="00B26CB0" w:rsidRPr="00222E7C" w:rsidRDefault="00B26CB0" w:rsidP="00FA3873">
      <w:pPr>
        <w:jc w:val="center"/>
        <w:rPr>
          <w:rFonts w:ascii="Times New Roman" w:hAnsi="Times New Roman" w:cs="Times New Roman"/>
          <w:b/>
          <w:sz w:val="24"/>
          <w:szCs w:val="24"/>
        </w:rPr>
      </w:pPr>
      <w:r w:rsidRPr="00222E7C">
        <w:rPr>
          <w:rFonts w:ascii="Times New Roman" w:hAnsi="Times New Roman" w:cs="Times New Roman"/>
          <w:b/>
          <w:sz w:val="24"/>
          <w:szCs w:val="24"/>
        </w:rPr>
        <w:t>Discussion</w:t>
      </w:r>
    </w:p>
    <w:p w:rsidR="00B26CB0" w:rsidRPr="00222E7C" w:rsidRDefault="00B26CB0" w:rsidP="00FA3873">
      <w:pPr>
        <w:ind w:firstLine="720"/>
        <w:rPr>
          <w:rFonts w:ascii="Times New Roman" w:hAnsi="Times New Roman" w:cs="Times New Roman"/>
          <w:sz w:val="24"/>
          <w:szCs w:val="24"/>
        </w:rPr>
      </w:pPr>
      <w:r w:rsidRPr="00222E7C">
        <w:rPr>
          <w:rFonts w:ascii="Times New Roman" w:hAnsi="Times New Roman" w:cs="Times New Roman"/>
          <w:sz w:val="24"/>
          <w:szCs w:val="24"/>
        </w:rPr>
        <w:t xml:space="preserve">This study </w:t>
      </w:r>
      <w:r>
        <w:rPr>
          <w:rFonts w:ascii="Times New Roman" w:hAnsi="Times New Roman" w:cs="Times New Roman"/>
          <w:sz w:val="24"/>
          <w:szCs w:val="24"/>
        </w:rPr>
        <w:t>compared</w:t>
      </w:r>
      <w:r w:rsidRPr="00222E7C">
        <w:rPr>
          <w:rFonts w:ascii="Times New Roman" w:hAnsi="Times New Roman" w:cs="Times New Roman"/>
          <w:sz w:val="24"/>
          <w:szCs w:val="24"/>
        </w:rPr>
        <w:t xml:space="preserve"> the future-directed thinking of individuals </w:t>
      </w:r>
      <w:r>
        <w:rPr>
          <w:rFonts w:ascii="Times New Roman" w:hAnsi="Times New Roman" w:cs="Times New Roman"/>
          <w:sz w:val="24"/>
          <w:szCs w:val="24"/>
        </w:rPr>
        <w:t xml:space="preserve">with first episode </w:t>
      </w:r>
      <w:r w:rsidRPr="00222E7C">
        <w:rPr>
          <w:rFonts w:ascii="Times New Roman" w:hAnsi="Times New Roman" w:cs="Times New Roman"/>
          <w:sz w:val="24"/>
          <w:szCs w:val="24"/>
        </w:rPr>
        <w:t>psychosis with that of matched controls</w:t>
      </w:r>
      <w:r>
        <w:rPr>
          <w:rFonts w:ascii="Times New Roman" w:hAnsi="Times New Roman" w:cs="Times New Roman"/>
          <w:sz w:val="24"/>
          <w:szCs w:val="24"/>
        </w:rPr>
        <w:t>. As predicted p</w:t>
      </w:r>
      <w:r w:rsidRPr="00222E7C">
        <w:rPr>
          <w:rFonts w:ascii="Times New Roman" w:hAnsi="Times New Roman" w:cs="Times New Roman"/>
          <w:sz w:val="24"/>
          <w:szCs w:val="24"/>
        </w:rPr>
        <w:t xml:space="preserve">atients exhibited reduced </w:t>
      </w:r>
      <w:r>
        <w:rPr>
          <w:rFonts w:ascii="Times New Roman" w:hAnsi="Times New Roman" w:cs="Times New Roman"/>
          <w:sz w:val="24"/>
          <w:szCs w:val="24"/>
        </w:rPr>
        <w:t xml:space="preserve">PFT, but against prediction also showed a reduction in NFT. </w:t>
      </w:r>
      <w:r w:rsidRPr="00222E7C">
        <w:rPr>
          <w:rFonts w:ascii="Times New Roman" w:hAnsi="Times New Roman" w:cs="Times New Roman"/>
          <w:sz w:val="24"/>
          <w:szCs w:val="24"/>
        </w:rPr>
        <w:t xml:space="preserve">A general reduction in future-directed thinking was observed for events in the medium- (next year) and long-term (next 5-10 years), and the reduction shown for the next year was maintained after controlling for verbal fluency. </w:t>
      </w:r>
      <w:r>
        <w:rPr>
          <w:rFonts w:ascii="Times New Roman" w:hAnsi="Times New Roman" w:cs="Times New Roman"/>
          <w:sz w:val="24"/>
          <w:szCs w:val="24"/>
        </w:rPr>
        <w:t>T</w:t>
      </w:r>
      <w:r w:rsidRPr="00222E7C">
        <w:rPr>
          <w:rFonts w:ascii="Times New Roman" w:hAnsi="Times New Roman" w:cs="Times New Roman"/>
          <w:sz w:val="24"/>
          <w:szCs w:val="24"/>
        </w:rPr>
        <w:t xml:space="preserve">he </w:t>
      </w:r>
      <w:r>
        <w:rPr>
          <w:rFonts w:ascii="Times New Roman" w:hAnsi="Times New Roman" w:cs="Times New Roman"/>
          <w:sz w:val="24"/>
          <w:szCs w:val="24"/>
        </w:rPr>
        <w:t xml:space="preserve">simple measure of </w:t>
      </w:r>
      <w:r w:rsidRPr="00222E7C">
        <w:rPr>
          <w:rFonts w:ascii="Times New Roman" w:hAnsi="Times New Roman" w:cs="Times New Roman"/>
          <w:sz w:val="24"/>
          <w:szCs w:val="24"/>
        </w:rPr>
        <w:t>number of events generated followed a similar pattern, with the patient group generating fewer events overall (but without pronounced effects for particular time periods), an effect which also survived covarying for verbal fluency</w:t>
      </w:r>
      <w:r>
        <w:rPr>
          <w:rFonts w:ascii="Times New Roman" w:hAnsi="Times New Roman" w:cs="Times New Roman"/>
          <w:sz w:val="24"/>
          <w:szCs w:val="24"/>
        </w:rPr>
        <w:t xml:space="preserve">. </w:t>
      </w:r>
      <w:r w:rsidRPr="00222E7C">
        <w:rPr>
          <w:rFonts w:ascii="Times New Roman" w:hAnsi="Times New Roman" w:cs="Times New Roman"/>
          <w:sz w:val="24"/>
          <w:szCs w:val="24"/>
        </w:rPr>
        <w:t>There were</w:t>
      </w:r>
      <w:r>
        <w:rPr>
          <w:rFonts w:ascii="Times New Roman" w:hAnsi="Times New Roman" w:cs="Times New Roman"/>
          <w:sz w:val="24"/>
          <w:szCs w:val="24"/>
        </w:rPr>
        <w:t xml:space="preserve"> </w:t>
      </w:r>
      <w:r w:rsidRPr="00222E7C">
        <w:rPr>
          <w:rFonts w:ascii="Times New Roman" w:hAnsi="Times New Roman" w:cs="Times New Roman"/>
          <w:sz w:val="24"/>
          <w:szCs w:val="24"/>
        </w:rPr>
        <w:t xml:space="preserve">no differences between the groups in anticipated likelihood and </w:t>
      </w:r>
      <w:r>
        <w:rPr>
          <w:rFonts w:ascii="Times New Roman" w:hAnsi="Times New Roman" w:cs="Times New Roman"/>
          <w:sz w:val="24"/>
          <w:szCs w:val="24"/>
        </w:rPr>
        <w:t xml:space="preserve">anticipated </w:t>
      </w:r>
      <w:r w:rsidRPr="00222E7C">
        <w:rPr>
          <w:rFonts w:ascii="Times New Roman" w:hAnsi="Times New Roman" w:cs="Times New Roman"/>
          <w:sz w:val="24"/>
          <w:szCs w:val="24"/>
        </w:rPr>
        <w:t>affect.</w:t>
      </w:r>
      <w:r>
        <w:rPr>
          <w:rFonts w:ascii="Times New Roman" w:hAnsi="Times New Roman" w:cs="Times New Roman"/>
          <w:sz w:val="24"/>
          <w:szCs w:val="24"/>
        </w:rPr>
        <w:t xml:space="preserve"> As predicted,</w:t>
      </w:r>
      <w:r w:rsidRPr="00222E7C">
        <w:rPr>
          <w:rFonts w:ascii="Times New Roman" w:hAnsi="Times New Roman" w:cs="Times New Roman"/>
          <w:sz w:val="24"/>
          <w:szCs w:val="24"/>
        </w:rPr>
        <w:t xml:space="preserve"> reduced PFT correlated with high levels of self-reported hopelessness and negative symptoms, but unexpectedly did not correlate with suicide ideation. NFT was not expected to show significant correlation with these variables but correlate</w:t>
      </w:r>
      <w:r>
        <w:rPr>
          <w:rFonts w:ascii="Times New Roman" w:hAnsi="Times New Roman" w:cs="Times New Roman"/>
          <w:sz w:val="24"/>
          <w:szCs w:val="24"/>
        </w:rPr>
        <w:t>d</w:t>
      </w:r>
      <w:r w:rsidRPr="00222E7C">
        <w:rPr>
          <w:rFonts w:ascii="Times New Roman" w:hAnsi="Times New Roman" w:cs="Times New Roman"/>
          <w:sz w:val="24"/>
          <w:szCs w:val="24"/>
        </w:rPr>
        <w:t xml:space="preserve"> with both hopelessness and suicide ideation.</w:t>
      </w:r>
    </w:p>
    <w:p w:rsidR="00B26CB0" w:rsidRPr="00222E7C" w:rsidRDefault="00B26CB0" w:rsidP="00FA3873">
      <w:pPr>
        <w:ind w:firstLine="720"/>
        <w:rPr>
          <w:rFonts w:ascii="Times New Roman" w:hAnsi="Times New Roman" w:cs="Times New Roman"/>
          <w:sz w:val="24"/>
          <w:szCs w:val="24"/>
        </w:rPr>
      </w:pPr>
      <w:r>
        <w:rPr>
          <w:rFonts w:ascii="Times New Roman" w:hAnsi="Times New Roman" w:cs="Times New Roman"/>
          <w:sz w:val="24"/>
          <w:szCs w:val="24"/>
        </w:rPr>
        <w:t>T</w:t>
      </w:r>
      <w:r w:rsidRPr="00222E7C">
        <w:rPr>
          <w:rFonts w:ascii="Times New Roman" w:hAnsi="Times New Roman" w:cs="Times New Roman"/>
          <w:sz w:val="24"/>
          <w:szCs w:val="24"/>
        </w:rPr>
        <w:t xml:space="preserve">he </w:t>
      </w:r>
      <w:r>
        <w:rPr>
          <w:rFonts w:ascii="Times New Roman" w:hAnsi="Times New Roman" w:cs="Times New Roman"/>
          <w:sz w:val="24"/>
          <w:szCs w:val="24"/>
        </w:rPr>
        <w:t xml:space="preserve">observed </w:t>
      </w:r>
      <w:r w:rsidRPr="00222E7C">
        <w:rPr>
          <w:rFonts w:ascii="Times New Roman" w:hAnsi="Times New Roman" w:cs="Times New Roman"/>
          <w:sz w:val="24"/>
          <w:szCs w:val="24"/>
        </w:rPr>
        <w:t>global impairment in future-directed thinking</w:t>
      </w:r>
      <w:r>
        <w:rPr>
          <w:rFonts w:ascii="Times New Roman" w:hAnsi="Times New Roman" w:cs="Times New Roman"/>
          <w:sz w:val="24"/>
          <w:szCs w:val="24"/>
        </w:rPr>
        <w:t xml:space="preserve"> is consistent with three previous studies that have found </w:t>
      </w:r>
      <w:r w:rsidRPr="00222E7C">
        <w:rPr>
          <w:rFonts w:ascii="Times New Roman" w:hAnsi="Times New Roman" w:cs="Times New Roman"/>
          <w:sz w:val="24"/>
          <w:szCs w:val="24"/>
        </w:rPr>
        <w:t>reductions in the quality and specificity of future events</w:t>
      </w:r>
      <w:r>
        <w:rPr>
          <w:rFonts w:ascii="Times New Roman" w:hAnsi="Times New Roman" w:cs="Times New Roman"/>
          <w:sz w:val="24"/>
          <w:szCs w:val="24"/>
        </w:rPr>
        <w:t xml:space="preserve"> generated by participants diagnosed with schizophrenia, compared to controls </w:t>
      </w:r>
      <w:r>
        <w:rPr>
          <w:rFonts w:ascii="Times New Roman" w:hAnsi="Times New Roman" w:cs="Times New Roman"/>
          <w:noProof/>
          <w:sz w:val="24"/>
          <w:szCs w:val="24"/>
        </w:rPr>
        <w:t xml:space="preserve">(D'Argembeau </w:t>
      </w:r>
      <w:r>
        <w:rPr>
          <w:rFonts w:ascii="Times New Roman" w:hAnsi="Times New Roman" w:cs="Times New Roman"/>
          <w:noProof/>
          <w:sz w:val="24"/>
          <w:szCs w:val="24"/>
        </w:rPr>
        <w:lastRenderedPageBreak/>
        <w:t>et al., 2008; de Oliveira et al., 2009; Raffard et al., 2010)</w:t>
      </w:r>
      <w:r w:rsidRPr="00222E7C">
        <w:rPr>
          <w:rFonts w:ascii="Times New Roman" w:hAnsi="Times New Roman" w:cs="Times New Roman"/>
          <w:sz w:val="24"/>
          <w:szCs w:val="24"/>
        </w:rPr>
        <w:t xml:space="preserve">. </w:t>
      </w:r>
      <w:r>
        <w:rPr>
          <w:rFonts w:ascii="Times New Roman" w:hAnsi="Times New Roman" w:cs="Times New Roman"/>
          <w:sz w:val="24"/>
          <w:szCs w:val="24"/>
        </w:rPr>
        <w:t xml:space="preserve">However, the current results are different from those of Corcoran and colleagues </w:t>
      </w:r>
      <w:r>
        <w:rPr>
          <w:rFonts w:ascii="Times New Roman" w:hAnsi="Times New Roman" w:cs="Times New Roman"/>
          <w:noProof/>
          <w:sz w:val="24"/>
          <w:szCs w:val="24"/>
        </w:rPr>
        <w:t>(Bennett &amp; Corcoran, 2010; Corcoran et al., 2006)</w:t>
      </w:r>
      <w:r>
        <w:rPr>
          <w:rFonts w:ascii="Times New Roman" w:hAnsi="Times New Roman" w:cs="Times New Roman"/>
          <w:sz w:val="24"/>
          <w:szCs w:val="24"/>
        </w:rPr>
        <w:t>, who showed a relationship between increased negative expectancies and the presence of paranoid delusions. In the present study we measured the</w:t>
      </w:r>
      <w:r w:rsidRPr="00C92254">
        <w:rPr>
          <w:rFonts w:ascii="Times New Roman" w:hAnsi="Times New Roman" w:cs="Times New Roman"/>
          <w:sz w:val="24"/>
          <w:szCs w:val="24"/>
        </w:rPr>
        <w:t xml:space="preserve"> accessibility of</w:t>
      </w:r>
      <w:r>
        <w:rPr>
          <w:rFonts w:ascii="Times New Roman" w:hAnsi="Times New Roman" w:cs="Times New Roman"/>
          <w:sz w:val="24"/>
          <w:szCs w:val="24"/>
        </w:rPr>
        <w:t xml:space="preserve"> negative expectancies as measured by the ease with which negative future events could be brought to mind, whereas in the studies by Corcoran and colleagues participants were presented with hypothetical threatening future events and asked to rate their likelihood. This latter method may give insight into how an expectation of threatening events, once fixated upon, may lead to paranoia, but not how easily these thoughts occur in the first instance, which is more likely to be detected by the FTT. Moreover, our study aimed to capture information about the broader experience of psychosis, both active and remitted, and its relationship to hopelessness. Therefore our patient sample may not have included people with significant current paranoia, which was the factor found to be related to increased expectancies of threat events </w:t>
      </w:r>
      <w:r>
        <w:rPr>
          <w:rFonts w:ascii="Times New Roman" w:hAnsi="Times New Roman" w:cs="Times New Roman"/>
          <w:noProof/>
          <w:sz w:val="24"/>
          <w:szCs w:val="24"/>
        </w:rPr>
        <w:t>(Bennett &amp; Corcoran, 2010; Corcoran et al., 2006)</w:t>
      </w:r>
      <w:r>
        <w:rPr>
          <w:rFonts w:ascii="Times New Roman" w:hAnsi="Times New Roman" w:cs="Times New Roman"/>
          <w:sz w:val="24"/>
          <w:szCs w:val="24"/>
        </w:rPr>
        <w:t>.</w:t>
      </w:r>
    </w:p>
    <w:p w:rsidR="00B26CB0" w:rsidRPr="00222E7C" w:rsidRDefault="00B26CB0" w:rsidP="00FA3873">
      <w:pPr>
        <w:ind w:firstLine="720"/>
        <w:rPr>
          <w:rFonts w:ascii="Times New Roman" w:hAnsi="Times New Roman" w:cs="Times New Roman"/>
          <w:i/>
          <w:sz w:val="24"/>
          <w:szCs w:val="24"/>
        </w:rPr>
      </w:pPr>
      <w:r w:rsidRPr="00222E7C">
        <w:rPr>
          <w:rFonts w:ascii="Times New Roman" w:hAnsi="Times New Roman" w:cs="Times New Roman"/>
          <w:sz w:val="24"/>
          <w:szCs w:val="24"/>
        </w:rPr>
        <w:t xml:space="preserve">One explanation </w:t>
      </w:r>
      <w:r>
        <w:rPr>
          <w:rFonts w:ascii="Times New Roman" w:hAnsi="Times New Roman" w:cs="Times New Roman"/>
          <w:sz w:val="24"/>
          <w:szCs w:val="24"/>
        </w:rPr>
        <w:t xml:space="preserve">for generally reduced future-directed thinking in patients with early psychosis </w:t>
      </w:r>
      <w:r w:rsidRPr="00222E7C">
        <w:rPr>
          <w:rFonts w:ascii="Times New Roman" w:hAnsi="Times New Roman" w:cs="Times New Roman"/>
          <w:sz w:val="24"/>
          <w:szCs w:val="24"/>
        </w:rPr>
        <w:t xml:space="preserve">is that the potential experience of positive symptoms such as auditory hallucinations during the task may have distracted some patients. </w:t>
      </w:r>
      <w:r>
        <w:rPr>
          <w:rFonts w:ascii="Times New Roman" w:hAnsi="Times New Roman" w:cs="Times New Roman"/>
          <w:sz w:val="24"/>
          <w:szCs w:val="24"/>
        </w:rPr>
        <w:t xml:space="preserve">A measure of </w:t>
      </w:r>
      <w:r w:rsidRPr="00222E7C">
        <w:rPr>
          <w:rFonts w:ascii="Times New Roman" w:hAnsi="Times New Roman" w:cs="Times New Roman"/>
          <w:sz w:val="24"/>
          <w:szCs w:val="24"/>
        </w:rPr>
        <w:t xml:space="preserve">positive symptoms </w:t>
      </w:r>
      <w:r>
        <w:rPr>
          <w:rFonts w:ascii="Times New Roman" w:hAnsi="Times New Roman" w:cs="Times New Roman"/>
          <w:sz w:val="24"/>
          <w:szCs w:val="24"/>
        </w:rPr>
        <w:t>was not included in our protocol, in order to minimise the burden of the research on patients given that our research questions did not necessitate this. However</w:t>
      </w:r>
      <w:r w:rsidRPr="00222E7C">
        <w:rPr>
          <w:rFonts w:ascii="Times New Roman" w:hAnsi="Times New Roman" w:cs="Times New Roman"/>
          <w:sz w:val="24"/>
          <w:szCs w:val="24"/>
        </w:rPr>
        <w:t xml:space="preserve">, this is something that future work might consider in order to explore their relationship with future-directed thinking. </w:t>
      </w:r>
    </w:p>
    <w:p w:rsidR="00B26CB0" w:rsidRPr="00222E7C" w:rsidRDefault="00B26CB0" w:rsidP="00FA3873">
      <w:pPr>
        <w:rPr>
          <w:rFonts w:ascii="Times New Roman" w:hAnsi="Times New Roman" w:cs="Times New Roman"/>
          <w:sz w:val="24"/>
          <w:szCs w:val="24"/>
        </w:rPr>
      </w:pPr>
      <w:r w:rsidRPr="00222E7C">
        <w:rPr>
          <w:rFonts w:ascii="Times New Roman" w:hAnsi="Times New Roman" w:cs="Times New Roman"/>
          <w:sz w:val="24"/>
          <w:szCs w:val="24"/>
        </w:rPr>
        <w:tab/>
        <w:t>The work of Birchwood and others on beliefs about illness offers a</w:t>
      </w:r>
      <w:r>
        <w:rPr>
          <w:rFonts w:ascii="Times New Roman" w:hAnsi="Times New Roman" w:cs="Times New Roman"/>
          <w:sz w:val="24"/>
          <w:szCs w:val="24"/>
        </w:rPr>
        <w:t>n alternative</w:t>
      </w:r>
      <w:r w:rsidRPr="00222E7C">
        <w:rPr>
          <w:rFonts w:ascii="Times New Roman" w:hAnsi="Times New Roman" w:cs="Times New Roman"/>
          <w:sz w:val="24"/>
          <w:szCs w:val="24"/>
        </w:rPr>
        <w:t xml:space="preserve"> explanation for reduced future-directed thinking in psychosis. Studies using the Personal Beliefs about Illness Questionnaire </w:t>
      </w:r>
      <w:r>
        <w:rPr>
          <w:rFonts w:ascii="Times New Roman" w:hAnsi="Times New Roman" w:cs="Times New Roman"/>
          <w:noProof/>
          <w:sz w:val="24"/>
          <w:szCs w:val="24"/>
        </w:rPr>
        <w:t>(Birchwood, Jackson, Brunet, Holden, &amp; Barton, 2012)</w:t>
      </w:r>
      <w:r w:rsidRPr="00222E7C">
        <w:rPr>
          <w:rFonts w:ascii="Times New Roman" w:hAnsi="Times New Roman" w:cs="Times New Roman"/>
          <w:sz w:val="24"/>
          <w:szCs w:val="24"/>
        </w:rPr>
        <w:t xml:space="preserve"> show that individuals with psychosis experience an expectation that they will occupy lower </w:t>
      </w:r>
      <w:r w:rsidRPr="00222E7C">
        <w:rPr>
          <w:rFonts w:ascii="Times New Roman" w:hAnsi="Times New Roman" w:cs="Times New Roman"/>
          <w:sz w:val="24"/>
          <w:szCs w:val="24"/>
        </w:rPr>
        <w:lastRenderedPageBreak/>
        <w:t xml:space="preserve">status roles in the future </w:t>
      </w:r>
      <w:r>
        <w:rPr>
          <w:rFonts w:ascii="Times New Roman" w:hAnsi="Times New Roman" w:cs="Times New Roman"/>
          <w:noProof/>
          <w:sz w:val="24"/>
          <w:szCs w:val="24"/>
        </w:rPr>
        <w:t>(Iqbal, Birchwood, Chadwick, &amp; Trower, 2000)</w:t>
      </w:r>
      <w:r w:rsidRPr="00222E7C">
        <w:rPr>
          <w:rFonts w:ascii="Times New Roman" w:hAnsi="Times New Roman" w:cs="Times New Roman"/>
          <w:sz w:val="24"/>
          <w:szCs w:val="24"/>
        </w:rPr>
        <w:t xml:space="preserve">. Such beliefs about what it means to have psychosis could result in individuals feeling </w:t>
      </w:r>
      <w:r>
        <w:rPr>
          <w:rFonts w:ascii="Times New Roman" w:hAnsi="Times New Roman" w:cs="Times New Roman"/>
          <w:sz w:val="24"/>
          <w:szCs w:val="24"/>
        </w:rPr>
        <w:t>that their illness may limit their future</w:t>
      </w:r>
      <w:r w:rsidRPr="00222E7C">
        <w:rPr>
          <w:rFonts w:ascii="Times New Roman" w:hAnsi="Times New Roman" w:cs="Times New Roman"/>
          <w:sz w:val="24"/>
          <w:szCs w:val="24"/>
        </w:rPr>
        <w:t xml:space="preserve">. </w:t>
      </w:r>
      <w:r>
        <w:rPr>
          <w:rFonts w:ascii="Times New Roman" w:hAnsi="Times New Roman" w:cs="Times New Roman"/>
          <w:sz w:val="24"/>
          <w:szCs w:val="24"/>
        </w:rPr>
        <w:t xml:space="preserve">The work of White and colleagues </w:t>
      </w:r>
      <w:r>
        <w:rPr>
          <w:rFonts w:ascii="Times New Roman" w:hAnsi="Times New Roman" w:cs="Times New Roman"/>
          <w:noProof/>
          <w:sz w:val="24"/>
          <w:szCs w:val="24"/>
        </w:rPr>
        <w:t>(2007)</w:t>
      </w:r>
      <w:r>
        <w:rPr>
          <w:rFonts w:ascii="Times New Roman" w:hAnsi="Times New Roman" w:cs="Times New Roman"/>
          <w:sz w:val="24"/>
          <w:szCs w:val="24"/>
        </w:rPr>
        <w:t xml:space="preserve"> is c</w:t>
      </w:r>
      <w:r w:rsidRPr="00222E7C">
        <w:rPr>
          <w:rFonts w:ascii="Times New Roman" w:hAnsi="Times New Roman" w:cs="Times New Roman"/>
          <w:sz w:val="24"/>
          <w:szCs w:val="24"/>
        </w:rPr>
        <w:t>onsistent with this hypothesis</w:t>
      </w:r>
      <w:r>
        <w:rPr>
          <w:rFonts w:ascii="Times New Roman" w:hAnsi="Times New Roman" w:cs="Times New Roman"/>
          <w:sz w:val="24"/>
          <w:szCs w:val="24"/>
        </w:rPr>
        <w:t xml:space="preserve">, showing </w:t>
      </w:r>
      <w:r w:rsidRPr="00222E7C">
        <w:rPr>
          <w:rFonts w:ascii="Times New Roman" w:hAnsi="Times New Roman" w:cs="Times New Roman"/>
          <w:sz w:val="24"/>
          <w:szCs w:val="24"/>
        </w:rPr>
        <w:t xml:space="preserve">an association between negative beliefs about illness and hopelessness in schizophrenia. Alternatively, </w:t>
      </w:r>
      <w:r>
        <w:rPr>
          <w:rFonts w:ascii="Times New Roman" w:hAnsi="Times New Roman" w:cs="Times New Roman"/>
          <w:sz w:val="24"/>
          <w:szCs w:val="24"/>
        </w:rPr>
        <w:t>individuals may deliberately</w:t>
      </w:r>
      <w:r w:rsidRPr="00222E7C">
        <w:rPr>
          <w:rFonts w:ascii="Times New Roman" w:hAnsi="Times New Roman" w:cs="Times New Roman"/>
          <w:sz w:val="24"/>
          <w:szCs w:val="24"/>
        </w:rPr>
        <w:t xml:space="preserve"> avoid negative thoughts about what their illness might entail, for example relapse or loss of employment</w:t>
      </w:r>
      <w:r>
        <w:rPr>
          <w:rFonts w:ascii="Times New Roman" w:hAnsi="Times New Roman" w:cs="Times New Roman"/>
          <w:sz w:val="24"/>
          <w:szCs w:val="24"/>
        </w:rPr>
        <w:t xml:space="preserve">, resulting in the </w:t>
      </w:r>
      <w:r w:rsidRPr="00222E7C">
        <w:rPr>
          <w:rFonts w:ascii="Times New Roman" w:hAnsi="Times New Roman" w:cs="Times New Roman"/>
          <w:sz w:val="24"/>
          <w:szCs w:val="24"/>
        </w:rPr>
        <w:t xml:space="preserve">unwanted side effect of reducing PFT as well as NFT. </w:t>
      </w:r>
    </w:p>
    <w:p w:rsidR="00B26CB0" w:rsidRDefault="00B26CB0" w:rsidP="00FA3873">
      <w:pPr>
        <w:ind w:firstLine="720"/>
        <w:rPr>
          <w:rFonts w:ascii="Times New Roman" w:hAnsi="Times New Roman" w:cs="Times New Roman"/>
          <w:sz w:val="24"/>
          <w:szCs w:val="24"/>
        </w:rPr>
      </w:pPr>
      <w:r w:rsidRPr="00222E7C">
        <w:rPr>
          <w:rFonts w:ascii="Times New Roman" w:hAnsi="Times New Roman" w:cs="Times New Roman"/>
          <w:sz w:val="24"/>
          <w:szCs w:val="24"/>
        </w:rPr>
        <w:t>The deficit in future</w:t>
      </w:r>
      <w:r>
        <w:rPr>
          <w:rFonts w:ascii="Times New Roman" w:hAnsi="Times New Roman" w:cs="Times New Roman"/>
          <w:sz w:val="24"/>
          <w:szCs w:val="24"/>
        </w:rPr>
        <w:t>-directed</w:t>
      </w:r>
      <w:r w:rsidRPr="00222E7C">
        <w:rPr>
          <w:rFonts w:ascii="Times New Roman" w:hAnsi="Times New Roman" w:cs="Times New Roman"/>
          <w:sz w:val="24"/>
          <w:szCs w:val="24"/>
        </w:rPr>
        <w:t xml:space="preserve"> thinking persisted after controlling for verbal fluency</w:t>
      </w:r>
      <w:r>
        <w:rPr>
          <w:rFonts w:ascii="Times New Roman" w:hAnsi="Times New Roman" w:cs="Times New Roman"/>
          <w:sz w:val="24"/>
          <w:szCs w:val="24"/>
        </w:rPr>
        <w:t>, though a number of other cognitive factors may underlie the results</w:t>
      </w:r>
      <w:r w:rsidRPr="00222E7C">
        <w:rPr>
          <w:rFonts w:ascii="Times New Roman" w:hAnsi="Times New Roman" w:cs="Times New Roman"/>
          <w:sz w:val="24"/>
          <w:szCs w:val="24"/>
        </w:rPr>
        <w:t xml:space="preserve">. </w:t>
      </w:r>
      <w:r>
        <w:rPr>
          <w:rFonts w:ascii="Times New Roman" w:hAnsi="Times New Roman" w:cs="Times New Roman"/>
          <w:sz w:val="24"/>
          <w:szCs w:val="24"/>
        </w:rPr>
        <w:t xml:space="preserve">A number of elements are required to think about future episodic events, including the ability to construct mental representations of scenes and events not directly connected to the external world, and the ability to think about the self in time </w:t>
      </w:r>
      <w:r>
        <w:rPr>
          <w:rFonts w:ascii="Times New Roman" w:hAnsi="Times New Roman" w:cs="Times New Roman"/>
          <w:noProof/>
          <w:sz w:val="24"/>
          <w:szCs w:val="24"/>
        </w:rPr>
        <w:t>(Rendell et al., 2012)</w:t>
      </w:r>
      <w:r>
        <w:rPr>
          <w:rFonts w:ascii="Times New Roman" w:hAnsi="Times New Roman" w:cs="Times New Roman"/>
          <w:sz w:val="24"/>
          <w:szCs w:val="24"/>
        </w:rPr>
        <w:t xml:space="preserve">. The former has been shown to be impaired in schizophrenia </w:t>
      </w:r>
      <w:r>
        <w:rPr>
          <w:rFonts w:ascii="Times New Roman" w:hAnsi="Times New Roman" w:cs="Times New Roman"/>
          <w:noProof/>
          <w:sz w:val="24"/>
          <w:szCs w:val="24"/>
        </w:rPr>
        <w:t>(Raffard et al., 2010)</w:t>
      </w:r>
      <w:r>
        <w:rPr>
          <w:rFonts w:ascii="Times New Roman" w:hAnsi="Times New Roman" w:cs="Times New Roman"/>
          <w:sz w:val="24"/>
          <w:szCs w:val="24"/>
        </w:rPr>
        <w:t xml:space="preserve">, and both sense of self </w:t>
      </w:r>
      <w:r>
        <w:rPr>
          <w:rFonts w:ascii="Times New Roman" w:hAnsi="Times New Roman" w:cs="Times New Roman"/>
          <w:noProof/>
          <w:sz w:val="24"/>
          <w:szCs w:val="24"/>
        </w:rPr>
        <w:t>(Moe &amp; Docherty, 2014)</w:t>
      </w:r>
      <w:r>
        <w:rPr>
          <w:rFonts w:ascii="Times New Roman" w:hAnsi="Times New Roman" w:cs="Times New Roman"/>
          <w:sz w:val="24"/>
          <w:szCs w:val="24"/>
        </w:rPr>
        <w:t xml:space="preserve"> and perception of time </w:t>
      </w:r>
      <w:r>
        <w:rPr>
          <w:rFonts w:ascii="Times New Roman" w:hAnsi="Times New Roman" w:cs="Times New Roman"/>
          <w:noProof/>
          <w:sz w:val="24"/>
          <w:szCs w:val="24"/>
        </w:rPr>
        <w:t>(Sass &amp; Pienkos, 2013)</w:t>
      </w:r>
      <w:r>
        <w:rPr>
          <w:rFonts w:ascii="Times New Roman" w:hAnsi="Times New Roman" w:cs="Times New Roman"/>
          <w:sz w:val="24"/>
          <w:szCs w:val="24"/>
        </w:rPr>
        <w:t xml:space="preserve"> have also been shown to be disrupted. Semantic (Irish, Addis, Hodges &amp; </w:t>
      </w:r>
      <w:proofErr w:type="spellStart"/>
      <w:r>
        <w:rPr>
          <w:rFonts w:ascii="Times New Roman" w:hAnsi="Times New Roman" w:cs="Times New Roman"/>
          <w:sz w:val="24"/>
          <w:szCs w:val="24"/>
        </w:rPr>
        <w:t>Piguet</w:t>
      </w:r>
      <w:proofErr w:type="spellEnd"/>
      <w:r>
        <w:rPr>
          <w:rFonts w:ascii="Times New Roman" w:hAnsi="Times New Roman" w:cs="Times New Roman"/>
          <w:sz w:val="24"/>
          <w:szCs w:val="24"/>
        </w:rPr>
        <w:t xml:space="preserve">, 2012) and autobiographical </w:t>
      </w:r>
      <w:r>
        <w:rPr>
          <w:rFonts w:ascii="Times New Roman" w:hAnsi="Times New Roman" w:cs="Times New Roman"/>
          <w:noProof/>
          <w:sz w:val="24"/>
          <w:szCs w:val="24"/>
        </w:rPr>
        <w:t>(Schacter, Addis, &amp; Buckner, 2007)</w:t>
      </w:r>
      <w:r>
        <w:rPr>
          <w:rFonts w:ascii="Times New Roman" w:hAnsi="Times New Roman" w:cs="Times New Roman"/>
          <w:sz w:val="24"/>
          <w:szCs w:val="24"/>
        </w:rPr>
        <w:t xml:space="preserve"> memory have also been associated with difficulties in imagining future events, via the proposed constructive episodic simulation hypothesis of future-directed thinking (</w:t>
      </w:r>
      <w:proofErr w:type="spellStart"/>
      <w:r>
        <w:rPr>
          <w:rFonts w:ascii="Times New Roman" w:hAnsi="Times New Roman" w:cs="Times New Roman"/>
          <w:sz w:val="24"/>
          <w:szCs w:val="24"/>
        </w:rPr>
        <w:t>Schacter</w:t>
      </w:r>
      <w:proofErr w:type="spellEnd"/>
      <w:r>
        <w:rPr>
          <w:rFonts w:ascii="Times New Roman" w:hAnsi="Times New Roman" w:cs="Times New Roman"/>
          <w:sz w:val="24"/>
          <w:szCs w:val="24"/>
        </w:rPr>
        <w:t xml:space="preserve"> &amp; Addis, 2007). It has been shown</w:t>
      </w:r>
      <w:r w:rsidRPr="00222E7C">
        <w:rPr>
          <w:rFonts w:ascii="Times New Roman" w:hAnsi="Times New Roman" w:cs="Times New Roman"/>
          <w:sz w:val="24"/>
          <w:szCs w:val="24"/>
        </w:rPr>
        <w:t xml:space="preserve"> that people with psychosis have impaired and over-general autobiographical memory in the absence of mood disturbance </w:t>
      </w:r>
      <w:r>
        <w:rPr>
          <w:rFonts w:ascii="Times New Roman" w:hAnsi="Times New Roman" w:cs="Times New Roman"/>
          <w:noProof/>
          <w:sz w:val="24"/>
          <w:szCs w:val="24"/>
        </w:rPr>
        <w:t>(e.g., de Oliveira et al., 2009)</w:t>
      </w:r>
      <w:r w:rsidRPr="00222E7C">
        <w:rPr>
          <w:rFonts w:ascii="Times New Roman" w:hAnsi="Times New Roman" w:cs="Times New Roman"/>
          <w:sz w:val="24"/>
          <w:szCs w:val="24"/>
        </w:rPr>
        <w:t>, and this is indeed associated with</w:t>
      </w:r>
      <w:r>
        <w:rPr>
          <w:rFonts w:ascii="Times New Roman" w:hAnsi="Times New Roman" w:cs="Times New Roman"/>
          <w:sz w:val="24"/>
          <w:szCs w:val="24"/>
        </w:rPr>
        <w:t xml:space="preserve"> impairments in the generation of</w:t>
      </w:r>
      <w:r w:rsidRPr="00222E7C">
        <w:rPr>
          <w:rFonts w:ascii="Times New Roman" w:hAnsi="Times New Roman" w:cs="Times New Roman"/>
          <w:sz w:val="24"/>
          <w:szCs w:val="24"/>
        </w:rPr>
        <w:t xml:space="preserve"> </w:t>
      </w:r>
      <w:r>
        <w:rPr>
          <w:rFonts w:ascii="Times New Roman" w:hAnsi="Times New Roman" w:cs="Times New Roman"/>
          <w:sz w:val="24"/>
          <w:szCs w:val="24"/>
        </w:rPr>
        <w:t xml:space="preserve">future </w:t>
      </w:r>
      <w:r w:rsidRPr="00222E7C">
        <w:rPr>
          <w:rFonts w:ascii="Times New Roman" w:hAnsi="Times New Roman" w:cs="Times New Roman"/>
          <w:sz w:val="24"/>
          <w:szCs w:val="24"/>
        </w:rPr>
        <w:t xml:space="preserve">events </w:t>
      </w:r>
      <w:r>
        <w:rPr>
          <w:rFonts w:ascii="Times New Roman" w:hAnsi="Times New Roman" w:cs="Times New Roman"/>
          <w:noProof/>
          <w:sz w:val="24"/>
          <w:szCs w:val="24"/>
        </w:rPr>
        <w:t>(D'Argembeau et al., 2008)</w:t>
      </w:r>
      <w:r>
        <w:rPr>
          <w:rFonts w:ascii="Times New Roman" w:hAnsi="Times New Roman" w:cs="Times New Roman"/>
          <w:sz w:val="24"/>
          <w:szCs w:val="24"/>
        </w:rPr>
        <w:t xml:space="preserve">. Functional magnetic resonance imaging studies also show strong evidence of overlap between memory and future thinking, although there is also evidence of distinctiveness </w:t>
      </w:r>
      <w:r>
        <w:rPr>
          <w:rFonts w:ascii="Times New Roman" w:hAnsi="Times New Roman" w:cs="Times New Roman"/>
          <w:noProof/>
          <w:sz w:val="24"/>
          <w:szCs w:val="24"/>
        </w:rPr>
        <w:t>(Gilmore, Nelson, &amp; McDermott, 2014)</w:t>
      </w:r>
      <w:r w:rsidR="006A5CE3">
        <w:rPr>
          <w:rFonts w:ascii="Times New Roman" w:hAnsi="Times New Roman" w:cs="Times New Roman"/>
          <w:sz w:val="24"/>
          <w:szCs w:val="24"/>
        </w:rPr>
        <w:t>. Therefore</w:t>
      </w:r>
      <w:bookmarkStart w:id="1" w:name="_GoBack"/>
      <w:bookmarkEnd w:id="1"/>
      <w:r>
        <w:rPr>
          <w:rFonts w:ascii="Times New Roman" w:hAnsi="Times New Roman" w:cs="Times New Roman"/>
          <w:sz w:val="24"/>
          <w:szCs w:val="24"/>
        </w:rPr>
        <w:t xml:space="preserve"> there is evidence that difficulties with episodic memory, semantic memory, or both </w:t>
      </w:r>
      <w:r>
        <w:rPr>
          <w:rFonts w:ascii="Times New Roman" w:hAnsi="Times New Roman" w:cs="Times New Roman"/>
          <w:sz w:val="24"/>
          <w:szCs w:val="24"/>
        </w:rPr>
        <w:lastRenderedPageBreak/>
        <w:t xml:space="preserve">may partly underlie the difficulties with future-directed thinking observed in the current study. </w:t>
      </w:r>
    </w:p>
    <w:p w:rsidR="00B26CB0" w:rsidRPr="00222E7C" w:rsidRDefault="00B26CB0" w:rsidP="00FA3873">
      <w:pPr>
        <w:ind w:firstLine="720"/>
        <w:rPr>
          <w:rFonts w:ascii="Times New Roman" w:hAnsi="Times New Roman" w:cs="Times New Roman"/>
          <w:sz w:val="24"/>
          <w:szCs w:val="24"/>
        </w:rPr>
      </w:pPr>
      <w:r w:rsidRPr="00222E7C">
        <w:rPr>
          <w:rFonts w:ascii="Times New Roman" w:hAnsi="Times New Roman" w:cs="Times New Roman"/>
          <w:sz w:val="24"/>
          <w:szCs w:val="24"/>
        </w:rPr>
        <w:t>The group difference in future-directed thinking was clearest for the period of the next year, which may be a consequence of the timing of psychosis onset in late adolescence and the early twenties. The onset of psychosis is highly disruptive</w:t>
      </w:r>
      <w:r>
        <w:rPr>
          <w:rFonts w:ascii="Times New Roman" w:hAnsi="Times New Roman" w:cs="Times New Roman"/>
          <w:sz w:val="24"/>
          <w:szCs w:val="24"/>
        </w:rPr>
        <w:t xml:space="preserve"> for suffers: p</w:t>
      </w:r>
      <w:r w:rsidRPr="00222E7C">
        <w:rPr>
          <w:rFonts w:ascii="Times New Roman" w:hAnsi="Times New Roman" w:cs="Times New Roman"/>
          <w:sz w:val="24"/>
          <w:szCs w:val="24"/>
        </w:rPr>
        <w:t xml:space="preserve">atients may feel that the next 12 months is an uncertain time in their recovery and may wish to avoid </w:t>
      </w:r>
      <w:r>
        <w:rPr>
          <w:rFonts w:ascii="Times New Roman" w:hAnsi="Times New Roman" w:cs="Times New Roman"/>
          <w:sz w:val="24"/>
          <w:szCs w:val="24"/>
        </w:rPr>
        <w:t>plann</w:t>
      </w:r>
      <w:r w:rsidRPr="00222E7C">
        <w:rPr>
          <w:rFonts w:ascii="Times New Roman" w:hAnsi="Times New Roman" w:cs="Times New Roman"/>
          <w:sz w:val="24"/>
          <w:szCs w:val="24"/>
        </w:rPr>
        <w:t xml:space="preserve">ing for this period. By contrast, patients may feel they can reasonably expect recovery and a return to typical activities within </w:t>
      </w:r>
      <w:r>
        <w:rPr>
          <w:rFonts w:ascii="Times New Roman" w:hAnsi="Times New Roman" w:cs="Times New Roman"/>
          <w:sz w:val="24"/>
          <w:szCs w:val="24"/>
        </w:rPr>
        <w:t>5-10 years</w:t>
      </w:r>
      <w:r w:rsidRPr="00222E7C">
        <w:rPr>
          <w:rFonts w:ascii="Times New Roman" w:hAnsi="Times New Roman" w:cs="Times New Roman"/>
          <w:sz w:val="24"/>
          <w:szCs w:val="24"/>
        </w:rPr>
        <w:t xml:space="preserve">, </w:t>
      </w:r>
      <w:r>
        <w:rPr>
          <w:rFonts w:ascii="Times New Roman" w:hAnsi="Times New Roman" w:cs="Times New Roman"/>
          <w:sz w:val="24"/>
          <w:szCs w:val="24"/>
        </w:rPr>
        <w:t>whilst</w:t>
      </w:r>
      <w:r w:rsidRPr="00222E7C">
        <w:rPr>
          <w:rFonts w:ascii="Times New Roman" w:hAnsi="Times New Roman" w:cs="Times New Roman"/>
          <w:sz w:val="24"/>
          <w:szCs w:val="24"/>
        </w:rPr>
        <w:t xml:space="preserve"> the period of the next week may be concerned with more trivial matters, less affected by longer-term illness outcome.</w:t>
      </w:r>
      <w:r>
        <w:rPr>
          <w:rFonts w:ascii="Times New Roman" w:hAnsi="Times New Roman" w:cs="Times New Roman"/>
          <w:sz w:val="24"/>
          <w:szCs w:val="24"/>
        </w:rPr>
        <w:t xml:space="preserve"> Replication of these </w:t>
      </w:r>
      <w:r>
        <w:rPr>
          <w:rFonts w:ascii="Times New Roman" w:hAnsi="Times New Roman" w:cs="Times New Roman"/>
          <w:i/>
          <w:sz w:val="24"/>
          <w:szCs w:val="24"/>
        </w:rPr>
        <w:t xml:space="preserve">post </w:t>
      </w:r>
      <w:r w:rsidRPr="007B7A79">
        <w:rPr>
          <w:rFonts w:ascii="Times New Roman" w:hAnsi="Times New Roman" w:cs="Times New Roman"/>
          <w:i/>
          <w:sz w:val="24"/>
          <w:szCs w:val="24"/>
        </w:rPr>
        <w:t>hoc</w:t>
      </w:r>
      <w:r w:rsidRPr="007B7A79" w:rsidDel="007B7A79">
        <w:rPr>
          <w:rFonts w:ascii="Times New Roman" w:hAnsi="Times New Roman" w:cs="Times New Roman"/>
          <w:sz w:val="24"/>
          <w:szCs w:val="24"/>
        </w:rPr>
        <w:t xml:space="preserve"> </w:t>
      </w:r>
      <w:r>
        <w:rPr>
          <w:rFonts w:ascii="Times New Roman" w:hAnsi="Times New Roman" w:cs="Times New Roman"/>
          <w:sz w:val="24"/>
          <w:szCs w:val="24"/>
        </w:rPr>
        <w:t>analyses would lend support to these explanations.</w:t>
      </w:r>
    </w:p>
    <w:p w:rsidR="00B26CB0" w:rsidRPr="00222E7C" w:rsidRDefault="00B26CB0" w:rsidP="00FA3873">
      <w:pPr>
        <w:rPr>
          <w:rFonts w:ascii="Times New Roman" w:hAnsi="Times New Roman" w:cs="Times New Roman"/>
          <w:sz w:val="24"/>
          <w:szCs w:val="24"/>
        </w:rPr>
      </w:pPr>
      <w:r w:rsidRPr="00222E7C">
        <w:rPr>
          <w:rFonts w:ascii="Times New Roman" w:hAnsi="Times New Roman" w:cs="Times New Roman"/>
          <w:sz w:val="24"/>
          <w:szCs w:val="24"/>
        </w:rPr>
        <w:tab/>
      </w:r>
      <w:r>
        <w:rPr>
          <w:rFonts w:ascii="Times New Roman" w:hAnsi="Times New Roman" w:cs="Times New Roman"/>
          <w:sz w:val="24"/>
          <w:szCs w:val="24"/>
        </w:rPr>
        <w:t>Consistent</w:t>
      </w:r>
      <w:r w:rsidRPr="00222E7C">
        <w:rPr>
          <w:rFonts w:ascii="Times New Roman" w:hAnsi="Times New Roman" w:cs="Times New Roman"/>
          <w:sz w:val="24"/>
          <w:szCs w:val="24"/>
        </w:rPr>
        <w:t xml:space="preserve"> with previous findings </w:t>
      </w:r>
      <w:r>
        <w:rPr>
          <w:rFonts w:ascii="Times New Roman" w:hAnsi="Times New Roman" w:cs="Times New Roman"/>
          <w:noProof/>
          <w:sz w:val="24"/>
          <w:szCs w:val="24"/>
        </w:rPr>
        <w:t>(e.g., MacLeod et al., 2005)</w:t>
      </w:r>
      <w:r>
        <w:rPr>
          <w:rFonts w:ascii="Times New Roman" w:hAnsi="Times New Roman" w:cs="Times New Roman"/>
          <w:sz w:val="24"/>
          <w:szCs w:val="24"/>
        </w:rPr>
        <w:t xml:space="preserve">, </w:t>
      </w:r>
      <w:r w:rsidRPr="00222E7C">
        <w:rPr>
          <w:rFonts w:ascii="Times New Roman" w:hAnsi="Times New Roman" w:cs="Times New Roman"/>
          <w:sz w:val="24"/>
          <w:szCs w:val="24"/>
        </w:rPr>
        <w:t>as PFT decreased self-reported hopelessness increased. However, increased self-reported hopelessness has rarely been found to be associated with NFT</w:t>
      </w:r>
      <w:r>
        <w:rPr>
          <w:rFonts w:ascii="Times New Roman" w:hAnsi="Times New Roman" w:cs="Times New Roman"/>
          <w:sz w:val="24"/>
          <w:szCs w:val="24"/>
        </w:rPr>
        <w:t xml:space="preserve"> (</w:t>
      </w:r>
      <w:r w:rsidRPr="00222E7C">
        <w:rPr>
          <w:rFonts w:ascii="Times New Roman" w:hAnsi="Times New Roman" w:cs="Times New Roman"/>
          <w:sz w:val="24"/>
          <w:szCs w:val="24"/>
        </w:rPr>
        <w:t>one exception being MacLeod et al. 2005</w:t>
      </w:r>
      <w:r>
        <w:rPr>
          <w:rFonts w:ascii="Times New Roman" w:hAnsi="Times New Roman" w:cs="Times New Roman"/>
          <w:sz w:val="24"/>
          <w:szCs w:val="24"/>
        </w:rPr>
        <w:t>, though</w:t>
      </w:r>
      <w:r w:rsidRPr="00222E7C">
        <w:rPr>
          <w:rFonts w:ascii="Times New Roman" w:hAnsi="Times New Roman" w:cs="Times New Roman"/>
          <w:sz w:val="24"/>
          <w:szCs w:val="24"/>
        </w:rPr>
        <w:t xml:space="preserve"> the correlation was small and </w:t>
      </w:r>
      <w:r>
        <w:rPr>
          <w:rFonts w:ascii="Times New Roman" w:hAnsi="Times New Roman" w:cs="Times New Roman"/>
          <w:sz w:val="24"/>
          <w:szCs w:val="24"/>
        </w:rPr>
        <w:t xml:space="preserve">seen in the context </w:t>
      </w:r>
      <w:r w:rsidRPr="00222E7C">
        <w:rPr>
          <w:rFonts w:ascii="Times New Roman" w:hAnsi="Times New Roman" w:cs="Times New Roman"/>
          <w:sz w:val="24"/>
          <w:szCs w:val="24"/>
        </w:rPr>
        <w:t xml:space="preserve">of </w:t>
      </w:r>
      <w:r>
        <w:rPr>
          <w:rFonts w:ascii="Times New Roman" w:hAnsi="Times New Roman" w:cs="Times New Roman"/>
          <w:sz w:val="24"/>
          <w:szCs w:val="24"/>
        </w:rPr>
        <w:t>a</w:t>
      </w:r>
      <w:r w:rsidRPr="00222E7C">
        <w:rPr>
          <w:rFonts w:ascii="Times New Roman" w:hAnsi="Times New Roman" w:cs="Times New Roman"/>
          <w:sz w:val="24"/>
          <w:szCs w:val="24"/>
        </w:rPr>
        <w:t xml:space="preserve"> very large sample</w:t>
      </w:r>
      <w:r>
        <w:rPr>
          <w:rFonts w:ascii="Times New Roman" w:hAnsi="Times New Roman" w:cs="Times New Roman"/>
          <w:sz w:val="24"/>
          <w:szCs w:val="24"/>
        </w:rPr>
        <w:t>)</w:t>
      </w:r>
      <w:r w:rsidRPr="00222E7C">
        <w:rPr>
          <w:rFonts w:ascii="Times New Roman" w:hAnsi="Times New Roman" w:cs="Times New Roman"/>
          <w:sz w:val="24"/>
          <w:szCs w:val="24"/>
        </w:rPr>
        <w:t>.</w:t>
      </w:r>
      <w:r>
        <w:rPr>
          <w:rFonts w:ascii="Times New Roman" w:hAnsi="Times New Roman" w:cs="Times New Roman"/>
          <w:sz w:val="24"/>
          <w:szCs w:val="24"/>
        </w:rPr>
        <w:t xml:space="preserve"> </w:t>
      </w:r>
      <w:r w:rsidRPr="00222E7C">
        <w:rPr>
          <w:rFonts w:ascii="Times New Roman" w:hAnsi="Times New Roman" w:cs="Times New Roman"/>
          <w:sz w:val="24"/>
          <w:szCs w:val="24"/>
        </w:rPr>
        <w:t>In the present study there was a moderate correlation between NFT and hopelessness</w:t>
      </w:r>
      <w:r>
        <w:rPr>
          <w:rFonts w:ascii="Times New Roman" w:hAnsi="Times New Roman" w:cs="Times New Roman"/>
          <w:sz w:val="24"/>
          <w:szCs w:val="24"/>
        </w:rPr>
        <w:t>, which</w:t>
      </w:r>
      <w:r w:rsidRPr="00222E7C">
        <w:rPr>
          <w:rFonts w:ascii="Times New Roman" w:hAnsi="Times New Roman" w:cs="Times New Roman"/>
          <w:sz w:val="24"/>
          <w:szCs w:val="24"/>
        </w:rPr>
        <w:t xml:space="preserve"> may reflect a characteristic unique to individuals with psychosis. One</w:t>
      </w:r>
      <w:r>
        <w:rPr>
          <w:rFonts w:ascii="Times New Roman" w:hAnsi="Times New Roman" w:cs="Times New Roman"/>
          <w:sz w:val="24"/>
          <w:szCs w:val="24"/>
        </w:rPr>
        <w:t xml:space="preserve"> point of</w:t>
      </w:r>
      <w:r w:rsidRPr="00222E7C">
        <w:rPr>
          <w:rFonts w:ascii="Times New Roman" w:hAnsi="Times New Roman" w:cs="Times New Roman"/>
          <w:sz w:val="24"/>
          <w:szCs w:val="24"/>
        </w:rPr>
        <w:t xml:space="preserve"> note is that although the groups</w:t>
      </w:r>
      <w:r>
        <w:rPr>
          <w:rFonts w:ascii="Times New Roman" w:hAnsi="Times New Roman" w:cs="Times New Roman"/>
          <w:sz w:val="24"/>
          <w:szCs w:val="24"/>
        </w:rPr>
        <w:t xml:space="preserve"> </w:t>
      </w:r>
      <w:r w:rsidRPr="00222E7C">
        <w:rPr>
          <w:rFonts w:ascii="Times New Roman" w:hAnsi="Times New Roman" w:cs="Times New Roman"/>
          <w:sz w:val="24"/>
          <w:szCs w:val="24"/>
        </w:rPr>
        <w:t>differ</w:t>
      </w:r>
      <w:r>
        <w:rPr>
          <w:rFonts w:ascii="Times New Roman" w:hAnsi="Times New Roman" w:cs="Times New Roman"/>
          <w:sz w:val="24"/>
          <w:szCs w:val="24"/>
        </w:rPr>
        <w:t>ed</w:t>
      </w:r>
      <w:r w:rsidRPr="00222E7C">
        <w:rPr>
          <w:rFonts w:ascii="Times New Roman" w:hAnsi="Times New Roman" w:cs="Times New Roman"/>
          <w:sz w:val="24"/>
          <w:szCs w:val="24"/>
        </w:rPr>
        <w:t xml:space="preserve"> in levels of self-reported hopelessness, the BHS scores of the patient gro</w:t>
      </w:r>
      <w:r>
        <w:rPr>
          <w:rFonts w:ascii="Times New Roman" w:hAnsi="Times New Roman" w:cs="Times New Roman"/>
          <w:sz w:val="24"/>
          <w:szCs w:val="24"/>
        </w:rPr>
        <w:t>up were</w:t>
      </w:r>
      <w:r w:rsidRPr="00222E7C">
        <w:rPr>
          <w:rFonts w:ascii="Times New Roman" w:hAnsi="Times New Roman" w:cs="Times New Roman"/>
          <w:sz w:val="24"/>
          <w:szCs w:val="24"/>
        </w:rPr>
        <w:t xml:space="preserve"> well within the 4-8 </w:t>
      </w:r>
      <w:r>
        <w:rPr>
          <w:rFonts w:ascii="Times New Roman" w:hAnsi="Times New Roman" w:cs="Times New Roman"/>
          <w:sz w:val="24"/>
          <w:szCs w:val="24"/>
        </w:rPr>
        <w:t xml:space="preserve">‘mild’ </w:t>
      </w:r>
      <w:r w:rsidRPr="00222E7C">
        <w:rPr>
          <w:rFonts w:ascii="Times New Roman" w:hAnsi="Times New Roman" w:cs="Times New Roman"/>
          <w:sz w:val="24"/>
          <w:szCs w:val="24"/>
        </w:rPr>
        <w:t xml:space="preserve">range </w:t>
      </w:r>
      <w:r>
        <w:rPr>
          <w:rFonts w:ascii="Times New Roman" w:hAnsi="Times New Roman" w:cs="Times New Roman"/>
          <w:noProof/>
          <w:sz w:val="24"/>
          <w:szCs w:val="24"/>
        </w:rPr>
        <w:t>(Beck &amp; Steer, 1978)</w:t>
      </w:r>
      <w:r w:rsidRPr="00222E7C">
        <w:rPr>
          <w:rFonts w:ascii="Times New Roman" w:hAnsi="Times New Roman" w:cs="Times New Roman"/>
          <w:sz w:val="24"/>
          <w:szCs w:val="24"/>
        </w:rPr>
        <w:t xml:space="preserve">. The fact that the patient group were clearly impaired in their ability to think about specific future personal events at the same time as showing only mild self-reported hopelessness illustrates the value of having measures of </w:t>
      </w:r>
      <w:r>
        <w:rPr>
          <w:rFonts w:ascii="Times New Roman" w:hAnsi="Times New Roman" w:cs="Times New Roman"/>
          <w:sz w:val="24"/>
          <w:szCs w:val="24"/>
        </w:rPr>
        <w:t xml:space="preserve">future-directed thinking </w:t>
      </w:r>
      <w:r w:rsidRPr="00222E7C">
        <w:rPr>
          <w:rFonts w:ascii="Times New Roman" w:hAnsi="Times New Roman" w:cs="Times New Roman"/>
          <w:sz w:val="24"/>
          <w:szCs w:val="24"/>
        </w:rPr>
        <w:t>other than global self-report.</w:t>
      </w:r>
    </w:p>
    <w:p w:rsidR="00B26CB0" w:rsidRPr="00222E7C" w:rsidRDefault="00B26CB0" w:rsidP="00FA3873">
      <w:pPr>
        <w:ind w:firstLine="720"/>
        <w:rPr>
          <w:rFonts w:ascii="Times New Roman" w:hAnsi="Times New Roman" w:cs="Times New Roman"/>
          <w:sz w:val="24"/>
          <w:szCs w:val="24"/>
        </w:rPr>
      </w:pPr>
      <w:r>
        <w:rPr>
          <w:rFonts w:ascii="Times New Roman" w:hAnsi="Times New Roman" w:cs="Times New Roman"/>
          <w:sz w:val="24"/>
          <w:szCs w:val="24"/>
        </w:rPr>
        <w:t>As predicted,</w:t>
      </w:r>
      <w:r w:rsidRPr="00222E7C">
        <w:rPr>
          <w:rFonts w:ascii="Times New Roman" w:hAnsi="Times New Roman" w:cs="Times New Roman"/>
          <w:sz w:val="24"/>
          <w:szCs w:val="24"/>
        </w:rPr>
        <w:t xml:space="preserve"> a reduction in PFT w</w:t>
      </w:r>
      <w:r>
        <w:rPr>
          <w:rFonts w:ascii="Times New Roman" w:hAnsi="Times New Roman" w:cs="Times New Roman"/>
          <w:sz w:val="24"/>
          <w:szCs w:val="24"/>
        </w:rPr>
        <w:t>as</w:t>
      </w:r>
      <w:r w:rsidRPr="00222E7C">
        <w:rPr>
          <w:rFonts w:ascii="Times New Roman" w:hAnsi="Times New Roman" w:cs="Times New Roman"/>
          <w:sz w:val="24"/>
          <w:szCs w:val="24"/>
        </w:rPr>
        <w:t xml:space="preserve"> associated with increased severity of negative symptoms, </w:t>
      </w:r>
      <w:r>
        <w:rPr>
          <w:rFonts w:ascii="Times New Roman" w:hAnsi="Times New Roman" w:cs="Times New Roman"/>
          <w:sz w:val="24"/>
          <w:szCs w:val="24"/>
        </w:rPr>
        <w:t>and negative symptoms did not correlate significantly with NFT. Both results are</w:t>
      </w:r>
      <w:r w:rsidRPr="00222E7C">
        <w:rPr>
          <w:rFonts w:ascii="Times New Roman" w:hAnsi="Times New Roman" w:cs="Times New Roman"/>
          <w:sz w:val="24"/>
          <w:szCs w:val="24"/>
        </w:rPr>
        <w:t xml:space="preserve"> consistent with the findings of </w:t>
      </w:r>
      <w:r>
        <w:rPr>
          <w:rFonts w:ascii="Times New Roman" w:hAnsi="Times New Roman" w:cs="Times New Roman"/>
          <w:noProof/>
          <w:sz w:val="24"/>
          <w:szCs w:val="24"/>
        </w:rPr>
        <w:t>Ferguson et al. (2009)</w:t>
      </w:r>
      <w:r>
        <w:rPr>
          <w:rFonts w:ascii="Times New Roman" w:hAnsi="Times New Roman" w:cs="Times New Roman"/>
          <w:sz w:val="24"/>
          <w:szCs w:val="24"/>
        </w:rPr>
        <w:t>, and indicate a possible focus for further work to develop clinical interventions for negative symptoms by improving PFT</w:t>
      </w:r>
      <w:r w:rsidRPr="00222E7C">
        <w:rPr>
          <w:rFonts w:ascii="Times New Roman" w:hAnsi="Times New Roman" w:cs="Times New Roman"/>
          <w:sz w:val="24"/>
          <w:szCs w:val="24"/>
        </w:rPr>
        <w:t>.</w:t>
      </w:r>
      <w:r>
        <w:rPr>
          <w:rFonts w:ascii="Times New Roman" w:hAnsi="Times New Roman" w:cs="Times New Roman"/>
          <w:sz w:val="24"/>
          <w:szCs w:val="24"/>
        </w:rPr>
        <w:t xml:space="preserve"> </w:t>
      </w:r>
      <w:r w:rsidRPr="00222E7C">
        <w:rPr>
          <w:rFonts w:ascii="Times New Roman" w:hAnsi="Times New Roman" w:cs="Times New Roman"/>
          <w:sz w:val="24"/>
          <w:szCs w:val="24"/>
        </w:rPr>
        <w:t xml:space="preserve">The </w:t>
      </w:r>
      <w:r w:rsidRPr="00222E7C">
        <w:rPr>
          <w:rFonts w:ascii="Times New Roman" w:hAnsi="Times New Roman" w:cs="Times New Roman"/>
          <w:sz w:val="24"/>
          <w:szCs w:val="24"/>
        </w:rPr>
        <w:lastRenderedPageBreak/>
        <w:t>observed association of increased NFT with suicidal ideation</w:t>
      </w:r>
      <w:r>
        <w:rPr>
          <w:rFonts w:ascii="Times New Roman" w:hAnsi="Times New Roman" w:cs="Times New Roman"/>
          <w:sz w:val="24"/>
          <w:szCs w:val="24"/>
        </w:rPr>
        <w:t>, however,</w:t>
      </w:r>
      <w:r w:rsidRPr="00222E7C">
        <w:rPr>
          <w:rFonts w:ascii="Times New Roman" w:hAnsi="Times New Roman" w:cs="Times New Roman"/>
          <w:sz w:val="24"/>
          <w:szCs w:val="24"/>
        </w:rPr>
        <w:t xml:space="preserve"> was contrary to</w:t>
      </w:r>
      <w:r>
        <w:rPr>
          <w:rFonts w:ascii="Times New Roman" w:hAnsi="Times New Roman" w:cs="Times New Roman"/>
          <w:sz w:val="24"/>
          <w:szCs w:val="24"/>
        </w:rPr>
        <w:t xml:space="preserve"> our</w:t>
      </w:r>
      <w:r w:rsidRPr="00222E7C">
        <w:rPr>
          <w:rFonts w:ascii="Times New Roman" w:hAnsi="Times New Roman" w:cs="Times New Roman"/>
          <w:sz w:val="24"/>
          <w:szCs w:val="24"/>
        </w:rPr>
        <w:t xml:space="preserve"> expect</w:t>
      </w:r>
      <w:r>
        <w:rPr>
          <w:rFonts w:ascii="Times New Roman" w:hAnsi="Times New Roman" w:cs="Times New Roman"/>
          <w:sz w:val="24"/>
          <w:szCs w:val="24"/>
        </w:rPr>
        <w:t>ations and inconsistent with previous findings</w:t>
      </w:r>
      <w:r w:rsidRPr="00222E7C">
        <w:rPr>
          <w:rFonts w:ascii="Times New Roman" w:hAnsi="Times New Roman" w:cs="Times New Roman"/>
          <w:sz w:val="24"/>
          <w:szCs w:val="24"/>
        </w:rPr>
        <w:t xml:space="preserve"> </w:t>
      </w:r>
      <w:r>
        <w:rPr>
          <w:rFonts w:ascii="Times New Roman" w:hAnsi="Times New Roman" w:cs="Times New Roman"/>
          <w:noProof/>
          <w:sz w:val="24"/>
          <w:szCs w:val="24"/>
        </w:rPr>
        <w:t>(MacLeod et al., 1993; O'Connor, Fraser, Whyte, Machale, &amp; Masterton, 2008)</w:t>
      </w:r>
      <w:r w:rsidRPr="00222E7C">
        <w:rPr>
          <w:rFonts w:ascii="Times New Roman" w:hAnsi="Times New Roman" w:cs="Times New Roman"/>
          <w:sz w:val="24"/>
          <w:szCs w:val="24"/>
        </w:rPr>
        <w:t>. One possible explanation is that studies in the literature have predominantly focused on individuals who have made a suicide attempt very recently, whereas in the current study only 28% of the patients reported a history of suicide attempt</w:t>
      </w:r>
      <w:r>
        <w:rPr>
          <w:rFonts w:ascii="Times New Roman" w:hAnsi="Times New Roman" w:cs="Times New Roman"/>
          <w:sz w:val="24"/>
          <w:szCs w:val="24"/>
        </w:rPr>
        <w:t>s, and these were not in the very recent past</w:t>
      </w:r>
      <w:r w:rsidRPr="00222E7C">
        <w:rPr>
          <w:rFonts w:ascii="Times New Roman" w:hAnsi="Times New Roman" w:cs="Times New Roman"/>
          <w:sz w:val="24"/>
          <w:szCs w:val="24"/>
        </w:rPr>
        <w:t>. The detection of associations between suicide risk and future-directed thinking was therefore reliant on the assumed increased risk of suicide in this population, rather than the presence of active risk as evidenced by a recent attempt. Future studies may wish to address this by using a sample of psychosis patients with 100% history of suicide attempts, preferably in the recent past.</w:t>
      </w:r>
    </w:p>
    <w:p w:rsidR="00B26CB0" w:rsidRPr="00222E7C" w:rsidRDefault="00B26CB0" w:rsidP="00FA3873">
      <w:pPr>
        <w:ind w:firstLine="720"/>
        <w:rPr>
          <w:rFonts w:ascii="Times New Roman" w:hAnsi="Times New Roman" w:cs="Times New Roman"/>
          <w:i/>
          <w:sz w:val="24"/>
          <w:szCs w:val="24"/>
        </w:rPr>
      </w:pPr>
      <w:r w:rsidRPr="00222E7C">
        <w:rPr>
          <w:rFonts w:ascii="Times New Roman" w:hAnsi="Times New Roman" w:cs="Times New Roman"/>
          <w:sz w:val="24"/>
          <w:szCs w:val="24"/>
        </w:rPr>
        <w:t>A strength of this study is in the application of a</w:t>
      </w:r>
      <w:r>
        <w:rPr>
          <w:rFonts w:ascii="Times New Roman" w:hAnsi="Times New Roman" w:cs="Times New Roman"/>
          <w:sz w:val="24"/>
          <w:szCs w:val="24"/>
        </w:rPr>
        <w:t xml:space="preserve"> well-</w:t>
      </w:r>
      <w:r w:rsidRPr="00222E7C">
        <w:rPr>
          <w:rFonts w:ascii="Times New Roman" w:hAnsi="Times New Roman" w:cs="Times New Roman"/>
          <w:sz w:val="24"/>
          <w:szCs w:val="24"/>
        </w:rPr>
        <w:t>established measure of future-directed thinking in individuals with psychosis</w:t>
      </w:r>
      <w:r>
        <w:rPr>
          <w:rFonts w:ascii="Times New Roman" w:hAnsi="Times New Roman" w:cs="Times New Roman"/>
          <w:sz w:val="24"/>
          <w:szCs w:val="24"/>
        </w:rPr>
        <w:t>,</w:t>
      </w:r>
      <w:r w:rsidRPr="00222E7C">
        <w:rPr>
          <w:rFonts w:ascii="Times New Roman" w:hAnsi="Times New Roman" w:cs="Times New Roman"/>
          <w:sz w:val="24"/>
          <w:szCs w:val="24"/>
        </w:rPr>
        <w:t xml:space="preserve"> in comparison with a group of matched controls.</w:t>
      </w:r>
      <w:r>
        <w:rPr>
          <w:rFonts w:ascii="Times New Roman" w:hAnsi="Times New Roman" w:cs="Times New Roman"/>
          <w:sz w:val="24"/>
          <w:szCs w:val="24"/>
        </w:rPr>
        <w:t xml:space="preserve"> </w:t>
      </w:r>
      <w:r w:rsidRPr="00222E7C">
        <w:rPr>
          <w:rFonts w:ascii="Times New Roman" w:hAnsi="Times New Roman" w:cs="Times New Roman"/>
          <w:sz w:val="24"/>
          <w:szCs w:val="24"/>
        </w:rPr>
        <w:t>Th</w:t>
      </w:r>
      <w:r>
        <w:rPr>
          <w:rFonts w:ascii="Times New Roman" w:hAnsi="Times New Roman" w:cs="Times New Roman"/>
          <w:sz w:val="24"/>
          <w:szCs w:val="24"/>
        </w:rPr>
        <w:t>e cultural diversity of the participants increased</w:t>
      </w:r>
      <w:r w:rsidRPr="00222E7C">
        <w:rPr>
          <w:rFonts w:ascii="Times New Roman" w:hAnsi="Times New Roman" w:cs="Times New Roman"/>
          <w:sz w:val="24"/>
          <w:szCs w:val="24"/>
        </w:rPr>
        <w:t xml:space="preserve"> the generalizability of the study</w:t>
      </w:r>
      <w:r>
        <w:rPr>
          <w:rFonts w:ascii="Times New Roman" w:hAnsi="Times New Roman" w:cs="Times New Roman"/>
          <w:sz w:val="24"/>
          <w:szCs w:val="24"/>
        </w:rPr>
        <w:t>, whilst t</w:t>
      </w:r>
      <w:r w:rsidRPr="00222E7C">
        <w:rPr>
          <w:rFonts w:ascii="Times New Roman" w:hAnsi="Times New Roman" w:cs="Times New Roman"/>
          <w:sz w:val="24"/>
          <w:szCs w:val="24"/>
        </w:rPr>
        <w:t xml:space="preserve">he use of a first episode psychosis sample reduced the potential effects of illness chronicity in what some have argued may be a degenerative disorder </w:t>
      </w:r>
      <w:r>
        <w:rPr>
          <w:rFonts w:ascii="Times New Roman" w:hAnsi="Times New Roman" w:cs="Times New Roman"/>
          <w:noProof/>
          <w:sz w:val="24"/>
          <w:szCs w:val="24"/>
        </w:rPr>
        <w:t>(Rund, 2009)</w:t>
      </w:r>
      <w:r w:rsidRPr="00222E7C">
        <w:rPr>
          <w:rFonts w:ascii="Times New Roman" w:hAnsi="Times New Roman" w:cs="Times New Roman"/>
          <w:sz w:val="24"/>
          <w:szCs w:val="24"/>
        </w:rPr>
        <w:t xml:space="preserve">. Identification of these effects in the early stages of the illness provides a target for early intervention and therefore a way to reduce the </w:t>
      </w:r>
      <w:r>
        <w:rPr>
          <w:rFonts w:ascii="Times New Roman" w:hAnsi="Times New Roman" w:cs="Times New Roman"/>
          <w:sz w:val="24"/>
          <w:szCs w:val="24"/>
        </w:rPr>
        <w:t xml:space="preserve">long-term </w:t>
      </w:r>
      <w:r w:rsidRPr="00222E7C">
        <w:rPr>
          <w:rFonts w:ascii="Times New Roman" w:hAnsi="Times New Roman" w:cs="Times New Roman"/>
          <w:sz w:val="24"/>
          <w:szCs w:val="24"/>
        </w:rPr>
        <w:t xml:space="preserve">impact of psychosis. Due to the comprehensive assessment process </w:t>
      </w:r>
      <w:r>
        <w:rPr>
          <w:rFonts w:ascii="Times New Roman" w:hAnsi="Times New Roman" w:cs="Times New Roman"/>
          <w:sz w:val="24"/>
          <w:szCs w:val="24"/>
        </w:rPr>
        <w:t xml:space="preserve">and recovery-focussed approach </w:t>
      </w:r>
      <w:r w:rsidRPr="00222E7C">
        <w:rPr>
          <w:rFonts w:ascii="Times New Roman" w:hAnsi="Times New Roman" w:cs="Times New Roman"/>
          <w:sz w:val="24"/>
          <w:szCs w:val="24"/>
        </w:rPr>
        <w:t>associated with early intervention</w:t>
      </w:r>
      <w:r>
        <w:rPr>
          <w:rFonts w:ascii="Times New Roman" w:hAnsi="Times New Roman" w:cs="Times New Roman"/>
          <w:sz w:val="24"/>
          <w:szCs w:val="24"/>
        </w:rPr>
        <w:t xml:space="preserve"> services</w:t>
      </w:r>
      <w:r w:rsidRPr="00222E7C">
        <w:rPr>
          <w:rFonts w:ascii="Times New Roman" w:hAnsi="Times New Roman" w:cs="Times New Roman"/>
          <w:sz w:val="24"/>
          <w:szCs w:val="24"/>
        </w:rPr>
        <w:t xml:space="preserve">, patients’ final diagnoses were not known at the time of testing, allowing for the trans-diagnostic investigation of future-directed thinking in </w:t>
      </w:r>
      <w:r>
        <w:rPr>
          <w:rFonts w:ascii="Times New Roman" w:hAnsi="Times New Roman" w:cs="Times New Roman"/>
          <w:sz w:val="24"/>
          <w:szCs w:val="24"/>
        </w:rPr>
        <w:t xml:space="preserve">all </w:t>
      </w:r>
      <w:r w:rsidRPr="00222E7C">
        <w:rPr>
          <w:rFonts w:ascii="Times New Roman" w:hAnsi="Times New Roman" w:cs="Times New Roman"/>
          <w:sz w:val="24"/>
          <w:szCs w:val="24"/>
        </w:rPr>
        <w:t>psychos</w:t>
      </w:r>
      <w:r>
        <w:rPr>
          <w:rFonts w:ascii="Times New Roman" w:hAnsi="Times New Roman" w:cs="Times New Roman"/>
          <w:sz w:val="24"/>
          <w:szCs w:val="24"/>
        </w:rPr>
        <w:t>e</w:t>
      </w:r>
      <w:r w:rsidRPr="00222E7C">
        <w:rPr>
          <w:rFonts w:ascii="Times New Roman" w:hAnsi="Times New Roman" w:cs="Times New Roman"/>
          <w:sz w:val="24"/>
          <w:szCs w:val="24"/>
        </w:rPr>
        <w:t>s. However, capacity for future-directed thinking may vary with specific diagnosis, weaken</w:t>
      </w:r>
      <w:r>
        <w:rPr>
          <w:rFonts w:ascii="Times New Roman" w:hAnsi="Times New Roman" w:cs="Times New Roman"/>
          <w:sz w:val="24"/>
          <w:szCs w:val="24"/>
        </w:rPr>
        <w:t>ing</w:t>
      </w:r>
      <w:r w:rsidRPr="00222E7C">
        <w:rPr>
          <w:rFonts w:ascii="Times New Roman" w:hAnsi="Times New Roman" w:cs="Times New Roman"/>
          <w:sz w:val="24"/>
          <w:szCs w:val="24"/>
        </w:rPr>
        <w:t xml:space="preserve"> the effects sought. Future studies may wish to gather information about final diagnosis in order to investigate future-directed thinking in different psychotic disorders.</w:t>
      </w:r>
    </w:p>
    <w:p w:rsidR="00B26CB0" w:rsidRPr="00222E7C" w:rsidRDefault="00B26CB0" w:rsidP="00FA3873">
      <w:pPr>
        <w:ind w:firstLine="720"/>
        <w:rPr>
          <w:rFonts w:ascii="Times New Roman" w:hAnsi="Times New Roman" w:cs="Times New Roman"/>
          <w:sz w:val="24"/>
          <w:szCs w:val="24"/>
        </w:rPr>
      </w:pPr>
      <w:r w:rsidRPr="00222E7C">
        <w:rPr>
          <w:rFonts w:ascii="Times New Roman" w:hAnsi="Times New Roman" w:cs="Times New Roman"/>
          <w:sz w:val="24"/>
          <w:szCs w:val="24"/>
        </w:rPr>
        <w:t>This study has shown that individuals with psychosis have a significant deficit in future-directed thinking</w:t>
      </w:r>
      <w:r>
        <w:rPr>
          <w:rFonts w:ascii="Times New Roman" w:hAnsi="Times New Roman" w:cs="Times New Roman"/>
          <w:sz w:val="24"/>
          <w:szCs w:val="24"/>
        </w:rPr>
        <w:t xml:space="preserve">, </w:t>
      </w:r>
      <w:r w:rsidRPr="00222E7C">
        <w:rPr>
          <w:rFonts w:ascii="Times New Roman" w:hAnsi="Times New Roman" w:cs="Times New Roman"/>
          <w:sz w:val="24"/>
          <w:szCs w:val="24"/>
        </w:rPr>
        <w:t>both positive and negative</w:t>
      </w:r>
      <w:r>
        <w:rPr>
          <w:rFonts w:ascii="Times New Roman" w:hAnsi="Times New Roman" w:cs="Times New Roman"/>
          <w:sz w:val="24"/>
          <w:szCs w:val="24"/>
        </w:rPr>
        <w:t xml:space="preserve">, primarily in the number of events </w:t>
      </w:r>
      <w:r>
        <w:rPr>
          <w:rFonts w:ascii="Times New Roman" w:hAnsi="Times New Roman" w:cs="Times New Roman"/>
          <w:sz w:val="24"/>
          <w:szCs w:val="24"/>
        </w:rPr>
        <w:lastRenderedPageBreak/>
        <w:t xml:space="preserve">generated. This </w:t>
      </w:r>
      <w:r w:rsidRPr="00222E7C">
        <w:rPr>
          <w:rFonts w:ascii="Times New Roman" w:hAnsi="Times New Roman" w:cs="Times New Roman"/>
          <w:sz w:val="24"/>
          <w:szCs w:val="24"/>
        </w:rPr>
        <w:t>is particularly pronounced for the medium- and long-term future, and is associated with suicide risk and severity of negative symptoms.</w:t>
      </w:r>
      <w:r>
        <w:rPr>
          <w:rFonts w:ascii="Times New Roman" w:hAnsi="Times New Roman" w:cs="Times New Roman"/>
          <w:sz w:val="24"/>
          <w:szCs w:val="24"/>
        </w:rPr>
        <w:t xml:space="preserve"> A </w:t>
      </w:r>
      <w:r w:rsidRPr="00222E7C">
        <w:rPr>
          <w:rFonts w:ascii="Times New Roman" w:hAnsi="Times New Roman" w:cs="Times New Roman"/>
          <w:sz w:val="24"/>
          <w:szCs w:val="24"/>
        </w:rPr>
        <w:t>particular need for interventions to improve mid-range planning</w:t>
      </w:r>
      <w:r>
        <w:rPr>
          <w:rFonts w:ascii="Times New Roman" w:hAnsi="Times New Roman" w:cs="Times New Roman"/>
          <w:sz w:val="24"/>
          <w:szCs w:val="24"/>
        </w:rPr>
        <w:t xml:space="preserve"> was indicated as well as a potential addition to the assessment of suicide risk in early psychosis using the FTT</w:t>
      </w:r>
      <w:r w:rsidRPr="00222E7C">
        <w:rPr>
          <w:rFonts w:ascii="Times New Roman" w:hAnsi="Times New Roman" w:cs="Times New Roman"/>
          <w:sz w:val="24"/>
          <w:szCs w:val="24"/>
        </w:rPr>
        <w:t xml:space="preserve">. </w:t>
      </w:r>
      <w:r>
        <w:rPr>
          <w:rFonts w:ascii="Times New Roman" w:hAnsi="Times New Roman" w:cs="Times New Roman"/>
          <w:sz w:val="24"/>
          <w:szCs w:val="24"/>
        </w:rPr>
        <w:t xml:space="preserve">Impaired PFT was also identified as a target worthy of further study in the treatment of negative symptoms of psychosis. Reduced </w:t>
      </w:r>
      <w:r w:rsidRPr="00222E7C">
        <w:rPr>
          <w:rFonts w:ascii="Times New Roman" w:hAnsi="Times New Roman" w:cs="Times New Roman"/>
          <w:sz w:val="24"/>
          <w:szCs w:val="24"/>
        </w:rPr>
        <w:t>NFT may</w:t>
      </w:r>
      <w:r>
        <w:rPr>
          <w:rFonts w:ascii="Times New Roman" w:hAnsi="Times New Roman" w:cs="Times New Roman"/>
          <w:sz w:val="24"/>
          <w:szCs w:val="24"/>
        </w:rPr>
        <w:t xml:space="preserve"> contribute to</w:t>
      </w:r>
      <w:r w:rsidRPr="00222E7C">
        <w:rPr>
          <w:rFonts w:ascii="Times New Roman" w:hAnsi="Times New Roman" w:cs="Times New Roman"/>
          <w:sz w:val="24"/>
          <w:szCs w:val="24"/>
        </w:rPr>
        <w:t xml:space="preserve"> inability to foresee difficulties or negative </w:t>
      </w:r>
      <w:r>
        <w:rPr>
          <w:rFonts w:ascii="Times New Roman" w:hAnsi="Times New Roman" w:cs="Times New Roman"/>
          <w:sz w:val="24"/>
          <w:szCs w:val="24"/>
        </w:rPr>
        <w:t xml:space="preserve">consequences </w:t>
      </w:r>
      <w:r w:rsidRPr="00222E7C">
        <w:rPr>
          <w:rFonts w:ascii="Times New Roman" w:hAnsi="Times New Roman" w:cs="Times New Roman"/>
          <w:sz w:val="24"/>
          <w:szCs w:val="24"/>
        </w:rPr>
        <w:t xml:space="preserve">in the future, which in turn could impact on functional outcome </w:t>
      </w:r>
      <w:r>
        <w:rPr>
          <w:rFonts w:ascii="Times New Roman" w:hAnsi="Times New Roman" w:cs="Times New Roman"/>
          <w:noProof/>
          <w:sz w:val="24"/>
          <w:szCs w:val="24"/>
        </w:rPr>
        <w:t>(Eack &amp; Keshavan, 2008)</w:t>
      </w:r>
      <w:r w:rsidRPr="00222E7C">
        <w:rPr>
          <w:rFonts w:ascii="Times New Roman" w:hAnsi="Times New Roman" w:cs="Times New Roman"/>
          <w:sz w:val="24"/>
          <w:szCs w:val="24"/>
        </w:rPr>
        <w:t xml:space="preserve">. </w:t>
      </w:r>
      <w:r>
        <w:rPr>
          <w:rFonts w:ascii="Times New Roman" w:hAnsi="Times New Roman" w:cs="Times New Roman"/>
          <w:sz w:val="24"/>
          <w:szCs w:val="24"/>
        </w:rPr>
        <w:t>Thus i</w:t>
      </w:r>
      <w:r w:rsidRPr="00222E7C">
        <w:rPr>
          <w:rFonts w:ascii="Times New Roman" w:hAnsi="Times New Roman" w:cs="Times New Roman"/>
          <w:sz w:val="24"/>
          <w:szCs w:val="24"/>
        </w:rPr>
        <w:t xml:space="preserve">t is possible that individuals with psychosis may benefit from interventions to improve </w:t>
      </w:r>
      <w:r>
        <w:rPr>
          <w:rFonts w:ascii="Times New Roman" w:hAnsi="Times New Roman" w:cs="Times New Roman"/>
          <w:sz w:val="24"/>
          <w:szCs w:val="24"/>
        </w:rPr>
        <w:t>both PFT and N</w:t>
      </w:r>
      <w:r w:rsidRPr="00222E7C">
        <w:rPr>
          <w:rFonts w:ascii="Times New Roman" w:hAnsi="Times New Roman" w:cs="Times New Roman"/>
          <w:sz w:val="24"/>
          <w:szCs w:val="24"/>
        </w:rPr>
        <w:t>FT, perhaps through efforts to improve engagement with the future as a whole.</w:t>
      </w:r>
    </w:p>
    <w:p w:rsidR="00B26CB0" w:rsidRPr="00222E7C" w:rsidRDefault="00B26CB0" w:rsidP="00FA3873">
      <w:pPr>
        <w:rPr>
          <w:rFonts w:ascii="Times New Roman" w:hAnsi="Times New Roman" w:cs="Times New Roman"/>
          <w:b/>
          <w:sz w:val="24"/>
          <w:szCs w:val="24"/>
        </w:rPr>
      </w:pPr>
      <w:r w:rsidRPr="00222E7C">
        <w:rPr>
          <w:rFonts w:ascii="Times New Roman" w:hAnsi="Times New Roman" w:cs="Times New Roman"/>
          <w:sz w:val="24"/>
          <w:szCs w:val="24"/>
        </w:rPr>
        <w:br w:type="page"/>
      </w:r>
      <w:bookmarkStart w:id="2" w:name="_Ref387353934"/>
      <w:bookmarkStart w:id="3" w:name="_Toc395564196"/>
      <w:r w:rsidRPr="00222E7C">
        <w:rPr>
          <w:rFonts w:ascii="Times New Roman" w:hAnsi="Times New Roman" w:cs="Times New Roman"/>
          <w:b/>
          <w:sz w:val="24"/>
          <w:szCs w:val="24"/>
        </w:rPr>
        <w:lastRenderedPageBreak/>
        <w:t>Table</w:t>
      </w:r>
      <w:bookmarkEnd w:id="2"/>
      <w:r w:rsidRPr="00222E7C">
        <w:rPr>
          <w:rFonts w:ascii="Times New Roman" w:hAnsi="Times New Roman" w:cs="Times New Roman"/>
          <w:b/>
          <w:sz w:val="24"/>
          <w:szCs w:val="24"/>
        </w:rPr>
        <w:t xml:space="preserve"> 1. Demographic and clinical summary of participants in each group.</w:t>
      </w:r>
      <w:bookmarkEnd w:id="3"/>
    </w:p>
    <w:tbl>
      <w:tblPr>
        <w:tblW w:w="9722" w:type="dxa"/>
        <w:tblInd w:w="93" w:type="dxa"/>
        <w:tblLayout w:type="fixed"/>
        <w:tblLook w:val="04A0" w:firstRow="1" w:lastRow="0" w:firstColumn="1" w:lastColumn="0" w:noHBand="0" w:noVBand="1"/>
      </w:tblPr>
      <w:tblGrid>
        <w:gridCol w:w="15"/>
        <w:gridCol w:w="4500"/>
        <w:gridCol w:w="1301"/>
        <w:gridCol w:w="1302"/>
        <w:gridCol w:w="1447"/>
        <w:gridCol w:w="1157"/>
      </w:tblGrid>
      <w:tr w:rsidR="00B26CB0" w:rsidRPr="00222E7C" w:rsidTr="00D30496">
        <w:trPr>
          <w:trHeight w:val="255"/>
        </w:trPr>
        <w:tc>
          <w:tcPr>
            <w:tcW w:w="4515" w:type="dxa"/>
            <w:gridSpan w:val="2"/>
            <w:tcBorders>
              <w:top w:val="single" w:sz="4" w:space="0" w:color="auto"/>
              <w:left w:val="nil"/>
              <w:bottom w:val="single" w:sz="4" w:space="0" w:color="auto"/>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Variable</w:t>
            </w:r>
          </w:p>
        </w:tc>
        <w:tc>
          <w:tcPr>
            <w:tcW w:w="1301" w:type="dxa"/>
            <w:tcBorders>
              <w:top w:val="single" w:sz="4" w:space="0" w:color="auto"/>
              <w:left w:val="nil"/>
              <w:bottom w:val="single" w:sz="4" w:space="0" w:color="auto"/>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Patients</w:t>
            </w:r>
          </w:p>
        </w:tc>
        <w:tc>
          <w:tcPr>
            <w:tcW w:w="1302" w:type="dxa"/>
            <w:tcBorders>
              <w:top w:val="single" w:sz="4" w:space="0" w:color="auto"/>
              <w:left w:val="nil"/>
              <w:bottom w:val="single" w:sz="4" w:space="0" w:color="auto"/>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Controls</w:t>
            </w:r>
          </w:p>
        </w:tc>
        <w:tc>
          <w:tcPr>
            <w:tcW w:w="1447" w:type="dxa"/>
            <w:tcBorders>
              <w:top w:val="single" w:sz="4" w:space="0" w:color="auto"/>
              <w:left w:val="nil"/>
              <w:bottom w:val="single" w:sz="4" w:space="0" w:color="auto"/>
              <w:right w:val="nil"/>
            </w:tcBorders>
          </w:tcPr>
          <w:p w:rsidR="00B26CB0" w:rsidRPr="00C6659F" w:rsidRDefault="00B26CB0" w:rsidP="00FA3873">
            <w:pPr>
              <w:rPr>
                <w:rFonts w:cs="Arial"/>
                <w:sz w:val="24"/>
                <w:szCs w:val="24"/>
              </w:rPr>
            </w:pPr>
            <w:r w:rsidRPr="00C6659F">
              <w:rPr>
                <w:rFonts w:cs="Arial"/>
                <w:sz w:val="24"/>
                <w:szCs w:val="24"/>
              </w:rPr>
              <w:t>Test statistic</w:t>
            </w:r>
          </w:p>
        </w:tc>
        <w:tc>
          <w:tcPr>
            <w:tcW w:w="1157" w:type="dxa"/>
            <w:tcBorders>
              <w:top w:val="single" w:sz="4" w:space="0" w:color="auto"/>
              <w:left w:val="nil"/>
              <w:bottom w:val="single" w:sz="4" w:space="0" w:color="auto"/>
              <w:right w:val="nil"/>
            </w:tcBorders>
          </w:tcPr>
          <w:p w:rsidR="00B26CB0" w:rsidRPr="00C6659F" w:rsidRDefault="00B26CB0" w:rsidP="00FA3873">
            <w:pPr>
              <w:rPr>
                <w:rFonts w:cs="Arial"/>
                <w:i/>
                <w:sz w:val="24"/>
                <w:szCs w:val="24"/>
              </w:rPr>
            </w:pPr>
            <w:r w:rsidRPr="00C6659F">
              <w:rPr>
                <w:rFonts w:cs="Arial"/>
                <w:i/>
                <w:sz w:val="24"/>
                <w:szCs w:val="24"/>
              </w:rPr>
              <w:t>p</w:t>
            </w:r>
          </w:p>
        </w:tc>
      </w:tr>
      <w:tr w:rsidR="00B26CB0" w:rsidRPr="00222E7C" w:rsidTr="00D30496">
        <w:trPr>
          <w:trHeight w:val="300"/>
        </w:trPr>
        <w:tc>
          <w:tcPr>
            <w:tcW w:w="4515" w:type="dxa"/>
            <w:gridSpan w:val="2"/>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Age, mean (SD)</w:t>
            </w:r>
          </w:p>
        </w:tc>
        <w:tc>
          <w:tcPr>
            <w:tcW w:w="1301"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26.6 (4.7)</w:t>
            </w:r>
          </w:p>
        </w:tc>
        <w:tc>
          <w:tcPr>
            <w:tcW w:w="1302"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27.3 (4.1)</w:t>
            </w:r>
          </w:p>
        </w:tc>
        <w:tc>
          <w:tcPr>
            <w:tcW w:w="1447" w:type="dxa"/>
            <w:tcBorders>
              <w:top w:val="nil"/>
              <w:left w:val="nil"/>
              <w:bottom w:val="nil"/>
              <w:right w:val="nil"/>
            </w:tcBorders>
          </w:tcPr>
          <w:p w:rsidR="00B26CB0" w:rsidRPr="00D73B72" w:rsidRDefault="00B26CB0" w:rsidP="00FA3873">
            <w:pPr>
              <w:rPr>
                <w:rFonts w:cs="Arial"/>
                <w:sz w:val="24"/>
                <w:szCs w:val="24"/>
              </w:rPr>
            </w:pPr>
            <w:r>
              <w:rPr>
                <w:rFonts w:cs="Arial"/>
                <w:i/>
                <w:sz w:val="24"/>
                <w:szCs w:val="24"/>
              </w:rPr>
              <w:t>t</w:t>
            </w:r>
            <w:r w:rsidRPr="00A52687">
              <w:rPr>
                <w:rFonts w:cs="Arial"/>
                <w:sz w:val="24"/>
                <w:szCs w:val="24"/>
              </w:rPr>
              <w:t>(</w:t>
            </w:r>
            <w:r>
              <w:rPr>
                <w:rFonts w:cs="Arial"/>
                <w:sz w:val="24"/>
                <w:szCs w:val="24"/>
              </w:rPr>
              <w:t>55) = 0.66</w:t>
            </w:r>
          </w:p>
        </w:tc>
        <w:tc>
          <w:tcPr>
            <w:tcW w:w="1157" w:type="dxa"/>
            <w:tcBorders>
              <w:top w:val="nil"/>
              <w:left w:val="nil"/>
              <w:bottom w:val="nil"/>
              <w:right w:val="nil"/>
            </w:tcBorders>
          </w:tcPr>
          <w:p w:rsidR="00B26CB0" w:rsidRPr="00B36644" w:rsidRDefault="00B26CB0" w:rsidP="00FA3873">
            <w:pPr>
              <w:rPr>
                <w:rFonts w:cs="Arial"/>
                <w:sz w:val="24"/>
                <w:szCs w:val="24"/>
              </w:rPr>
            </w:pPr>
            <w:r>
              <w:rPr>
                <w:rFonts w:cs="Arial"/>
                <w:sz w:val="24"/>
                <w:szCs w:val="24"/>
              </w:rPr>
              <w:t>.515</w:t>
            </w:r>
          </w:p>
        </w:tc>
      </w:tr>
      <w:tr w:rsidR="00B26CB0" w:rsidRPr="00222E7C" w:rsidTr="00D30496">
        <w:trPr>
          <w:trHeight w:val="300"/>
        </w:trPr>
        <w:tc>
          <w:tcPr>
            <w:tcW w:w="4515" w:type="dxa"/>
            <w:gridSpan w:val="2"/>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Age range</w:t>
            </w:r>
          </w:p>
        </w:tc>
        <w:tc>
          <w:tcPr>
            <w:tcW w:w="1301"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19-35</w:t>
            </w:r>
          </w:p>
        </w:tc>
        <w:tc>
          <w:tcPr>
            <w:tcW w:w="1302"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19-33</w:t>
            </w:r>
          </w:p>
        </w:tc>
        <w:tc>
          <w:tcPr>
            <w:tcW w:w="144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w:t>
            </w:r>
          </w:p>
        </w:tc>
        <w:tc>
          <w:tcPr>
            <w:tcW w:w="115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w:t>
            </w:r>
          </w:p>
        </w:tc>
      </w:tr>
      <w:tr w:rsidR="00B26CB0" w:rsidRPr="00222E7C" w:rsidTr="00D30496">
        <w:trPr>
          <w:trHeight w:val="300"/>
        </w:trPr>
        <w:tc>
          <w:tcPr>
            <w:tcW w:w="4515" w:type="dxa"/>
            <w:gridSpan w:val="2"/>
            <w:tcBorders>
              <w:top w:val="nil"/>
              <w:left w:val="nil"/>
              <w:bottom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Gender, n (%) male</w:t>
            </w:r>
          </w:p>
        </w:tc>
        <w:tc>
          <w:tcPr>
            <w:tcW w:w="1301" w:type="dxa"/>
            <w:tcBorders>
              <w:top w:val="nil"/>
              <w:left w:val="nil"/>
              <w:bottom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21 (70)</w:t>
            </w:r>
          </w:p>
        </w:tc>
        <w:tc>
          <w:tcPr>
            <w:tcW w:w="1302" w:type="dxa"/>
            <w:tcBorders>
              <w:top w:val="nil"/>
              <w:left w:val="nil"/>
              <w:bottom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20 (74)</w:t>
            </w:r>
          </w:p>
        </w:tc>
        <w:tc>
          <w:tcPr>
            <w:tcW w:w="1447" w:type="dxa"/>
            <w:tcBorders>
              <w:top w:val="nil"/>
              <w:left w:val="nil"/>
              <w:bottom w:val="nil"/>
              <w:right w:val="nil"/>
            </w:tcBorders>
          </w:tcPr>
          <w:p w:rsidR="00B26CB0" w:rsidRPr="00D73B72" w:rsidRDefault="00B26CB0" w:rsidP="00FA3873">
            <w:pPr>
              <w:rPr>
                <w:rFonts w:cs="Arial"/>
                <w:sz w:val="24"/>
                <w:szCs w:val="24"/>
              </w:rPr>
            </w:pPr>
            <w:r>
              <w:rPr>
                <w:rFonts w:cs="Arial"/>
                <w:sz w:val="24"/>
                <w:szCs w:val="24"/>
              </w:rPr>
              <w:t>*</w:t>
            </w:r>
          </w:p>
        </w:tc>
        <w:tc>
          <w:tcPr>
            <w:tcW w:w="115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.776</w:t>
            </w:r>
          </w:p>
        </w:tc>
      </w:tr>
      <w:tr w:rsidR="00B26CB0" w:rsidRPr="00D30496" w:rsidTr="00D30496">
        <w:trPr>
          <w:trHeight w:val="300"/>
        </w:trPr>
        <w:tc>
          <w:tcPr>
            <w:tcW w:w="4515" w:type="dxa"/>
            <w:gridSpan w:val="2"/>
            <w:tcBorders>
              <w:top w:val="nil"/>
              <w:left w:val="nil"/>
              <w:bottom w:val="nil"/>
              <w:right w:val="nil"/>
            </w:tcBorders>
            <w:shd w:val="clear" w:color="auto" w:fill="auto"/>
            <w:noWrap/>
            <w:vAlign w:val="bottom"/>
            <w:hideMark/>
          </w:tcPr>
          <w:p w:rsidR="00B26CB0" w:rsidRPr="00D30496" w:rsidRDefault="00B26CB0" w:rsidP="00FA3873">
            <w:pPr>
              <w:rPr>
                <w:rFonts w:ascii="Calibri" w:hAnsi="Calibri"/>
                <w:color w:val="000000"/>
                <w:sz w:val="24"/>
                <w:szCs w:val="24"/>
                <w:lang w:eastAsia="en-GB"/>
              </w:rPr>
            </w:pPr>
            <w:r w:rsidRPr="00D30496">
              <w:rPr>
                <w:rFonts w:ascii="Calibri" w:hAnsi="Calibri"/>
                <w:color w:val="000000"/>
                <w:sz w:val="24"/>
                <w:szCs w:val="24"/>
                <w:lang w:eastAsia="en-GB"/>
              </w:rPr>
              <w:t>Educational level, median (range)</w:t>
            </w:r>
          </w:p>
        </w:tc>
        <w:tc>
          <w:tcPr>
            <w:tcW w:w="1301" w:type="dxa"/>
            <w:tcBorders>
              <w:top w:val="nil"/>
              <w:left w:val="nil"/>
              <w:bottom w:val="nil"/>
              <w:right w:val="nil"/>
            </w:tcBorders>
            <w:shd w:val="clear" w:color="auto" w:fill="auto"/>
            <w:noWrap/>
            <w:vAlign w:val="bottom"/>
            <w:hideMark/>
          </w:tcPr>
          <w:p w:rsidR="00B26CB0" w:rsidRPr="00D30496" w:rsidRDefault="00B26CB0" w:rsidP="00561E0B">
            <w:pPr>
              <w:rPr>
                <w:rFonts w:ascii="Calibri" w:hAnsi="Calibri"/>
                <w:color w:val="000000"/>
                <w:sz w:val="24"/>
                <w:szCs w:val="24"/>
                <w:lang w:eastAsia="en-GB"/>
              </w:rPr>
            </w:pPr>
            <w:r w:rsidRPr="00D30496">
              <w:rPr>
                <w:rFonts w:ascii="Calibri" w:hAnsi="Calibri"/>
                <w:color w:val="000000"/>
                <w:sz w:val="24"/>
                <w:szCs w:val="24"/>
                <w:lang w:eastAsia="en-GB"/>
              </w:rPr>
              <w:t>3 (1-8)</w:t>
            </w:r>
          </w:p>
        </w:tc>
        <w:tc>
          <w:tcPr>
            <w:tcW w:w="1302" w:type="dxa"/>
            <w:tcBorders>
              <w:top w:val="nil"/>
              <w:left w:val="nil"/>
              <w:bottom w:val="nil"/>
              <w:right w:val="nil"/>
            </w:tcBorders>
            <w:shd w:val="clear" w:color="auto" w:fill="auto"/>
            <w:noWrap/>
            <w:vAlign w:val="bottom"/>
            <w:hideMark/>
          </w:tcPr>
          <w:p w:rsidR="00B26CB0" w:rsidRPr="00D30496" w:rsidRDefault="00B26CB0" w:rsidP="00561E0B">
            <w:pPr>
              <w:rPr>
                <w:rFonts w:ascii="Calibri" w:hAnsi="Calibri"/>
                <w:color w:val="000000"/>
                <w:sz w:val="24"/>
                <w:szCs w:val="24"/>
                <w:lang w:eastAsia="en-GB"/>
              </w:rPr>
            </w:pPr>
            <w:r w:rsidRPr="00D30496">
              <w:rPr>
                <w:rFonts w:ascii="Calibri" w:hAnsi="Calibri"/>
                <w:color w:val="000000"/>
                <w:sz w:val="24"/>
                <w:szCs w:val="24"/>
                <w:lang w:eastAsia="en-GB"/>
              </w:rPr>
              <w:t>6 (0-6)</w:t>
            </w:r>
          </w:p>
        </w:tc>
        <w:tc>
          <w:tcPr>
            <w:tcW w:w="1447" w:type="dxa"/>
            <w:tcBorders>
              <w:top w:val="nil"/>
              <w:left w:val="nil"/>
              <w:bottom w:val="nil"/>
              <w:right w:val="nil"/>
            </w:tcBorders>
          </w:tcPr>
          <w:p w:rsidR="00B26CB0" w:rsidRPr="00D30496" w:rsidRDefault="00B26CB0" w:rsidP="00561E0B">
            <w:pPr>
              <w:rPr>
                <w:rFonts w:ascii="Calibri" w:hAnsi="Calibri"/>
                <w:color w:val="000000"/>
                <w:sz w:val="24"/>
                <w:szCs w:val="24"/>
                <w:lang w:eastAsia="en-GB"/>
              </w:rPr>
            </w:pPr>
            <w:r w:rsidRPr="00D30496">
              <w:rPr>
                <w:rFonts w:ascii="Calibri" w:hAnsi="Calibri"/>
                <w:i/>
                <w:color w:val="000000"/>
                <w:sz w:val="24"/>
                <w:szCs w:val="24"/>
                <w:lang w:eastAsia="en-GB"/>
              </w:rPr>
              <w:t>z</w:t>
            </w:r>
            <w:r w:rsidRPr="00D30496">
              <w:rPr>
                <w:rFonts w:ascii="Calibri" w:hAnsi="Calibri"/>
                <w:color w:val="000000"/>
                <w:sz w:val="24"/>
                <w:szCs w:val="24"/>
                <w:lang w:eastAsia="en-GB"/>
              </w:rPr>
              <w:t xml:space="preserve"> = -3.20</w:t>
            </w:r>
          </w:p>
        </w:tc>
        <w:tc>
          <w:tcPr>
            <w:tcW w:w="1157" w:type="dxa"/>
            <w:tcBorders>
              <w:top w:val="nil"/>
              <w:left w:val="nil"/>
              <w:bottom w:val="nil"/>
              <w:right w:val="nil"/>
            </w:tcBorders>
          </w:tcPr>
          <w:p w:rsidR="00B26CB0" w:rsidRPr="00D30496" w:rsidRDefault="00B26CB0" w:rsidP="00561E0B">
            <w:pPr>
              <w:rPr>
                <w:rFonts w:ascii="Calibri" w:hAnsi="Calibri"/>
                <w:color w:val="000000"/>
                <w:sz w:val="24"/>
                <w:szCs w:val="24"/>
                <w:lang w:eastAsia="en-GB"/>
              </w:rPr>
            </w:pPr>
            <w:r w:rsidRPr="00D30496">
              <w:rPr>
                <w:rFonts w:ascii="Calibri" w:hAnsi="Calibri"/>
                <w:color w:val="000000"/>
                <w:sz w:val="24"/>
                <w:szCs w:val="24"/>
                <w:lang w:eastAsia="en-GB"/>
              </w:rPr>
              <w:t>.001</w:t>
            </w:r>
          </w:p>
        </w:tc>
      </w:tr>
      <w:tr w:rsidR="00B26CB0" w:rsidRPr="00222E7C" w:rsidTr="00D30496">
        <w:trPr>
          <w:trHeight w:val="300"/>
        </w:trPr>
        <w:tc>
          <w:tcPr>
            <w:tcW w:w="4515" w:type="dxa"/>
            <w:gridSpan w:val="2"/>
            <w:tcBorders>
              <w:top w:val="nil"/>
              <w:left w:val="nil"/>
              <w:bottom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Employment, n (%) employed</w:t>
            </w:r>
          </w:p>
        </w:tc>
        <w:tc>
          <w:tcPr>
            <w:tcW w:w="1301" w:type="dxa"/>
            <w:tcBorders>
              <w:top w:val="nil"/>
              <w:left w:val="nil"/>
              <w:bottom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9 (30)</w:t>
            </w:r>
          </w:p>
        </w:tc>
        <w:tc>
          <w:tcPr>
            <w:tcW w:w="1302" w:type="dxa"/>
            <w:tcBorders>
              <w:top w:val="nil"/>
              <w:left w:val="nil"/>
              <w:bottom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15 (56)</w:t>
            </w:r>
          </w:p>
        </w:tc>
        <w:tc>
          <w:tcPr>
            <w:tcW w:w="144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χ</w:t>
            </w:r>
            <w:r>
              <w:rPr>
                <w:rFonts w:cs="Arial"/>
                <w:sz w:val="24"/>
                <w:szCs w:val="24"/>
                <w:vertAlign w:val="superscript"/>
              </w:rPr>
              <w:t xml:space="preserve">2 </w:t>
            </w:r>
            <w:r w:rsidRPr="00C6659F">
              <w:rPr>
                <w:rFonts w:cs="Arial"/>
                <w:sz w:val="24"/>
                <w:szCs w:val="24"/>
              </w:rPr>
              <w:t xml:space="preserve">= </w:t>
            </w:r>
            <w:r w:rsidRPr="00D73B72">
              <w:rPr>
                <w:rFonts w:cs="Arial"/>
                <w:sz w:val="24"/>
                <w:szCs w:val="24"/>
              </w:rPr>
              <w:t>3</w:t>
            </w:r>
            <w:r>
              <w:rPr>
                <w:rFonts w:cs="Arial"/>
                <w:sz w:val="24"/>
                <w:szCs w:val="24"/>
              </w:rPr>
              <w:t>.80</w:t>
            </w:r>
          </w:p>
        </w:tc>
        <w:tc>
          <w:tcPr>
            <w:tcW w:w="115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.051</w:t>
            </w:r>
          </w:p>
        </w:tc>
      </w:tr>
      <w:tr w:rsidR="00B26CB0" w:rsidRPr="00222E7C" w:rsidTr="00D30496">
        <w:trPr>
          <w:trHeight w:val="300"/>
        </w:trPr>
        <w:tc>
          <w:tcPr>
            <w:tcW w:w="4515" w:type="dxa"/>
            <w:gridSpan w:val="2"/>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Ethnic group, n (%)</w:t>
            </w:r>
          </w:p>
        </w:tc>
        <w:tc>
          <w:tcPr>
            <w:tcW w:w="1301"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p>
        </w:tc>
        <w:tc>
          <w:tcPr>
            <w:tcW w:w="1302"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p>
        </w:tc>
        <w:tc>
          <w:tcPr>
            <w:tcW w:w="1447" w:type="dxa"/>
            <w:tcBorders>
              <w:top w:val="nil"/>
              <w:left w:val="nil"/>
              <w:bottom w:val="nil"/>
              <w:right w:val="nil"/>
            </w:tcBorders>
          </w:tcPr>
          <w:p w:rsidR="00B26CB0" w:rsidRPr="00D73B72" w:rsidRDefault="00B26CB0" w:rsidP="00FA3873">
            <w:pPr>
              <w:rPr>
                <w:rFonts w:cs="Arial"/>
                <w:sz w:val="24"/>
                <w:szCs w:val="24"/>
              </w:rPr>
            </w:pPr>
            <w:r>
              <w:rPr>
                <w:rFonts w:cs="Arial"/>
                <w:sz w:val="24"/>
                <w:szCs w:val="24"/>
              </w:rPr>
              <w:t>*</w:t>
            </w:r>
          </w:p>
        </w:tc>
        <w:tc>
          <w:tcPr>
            <w:tcW w:w="115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.412</w:t>
            </w:r>
          </w:p>
        </w:tc>
      </w:tr>
      <w:tr w:rsidR="00B26CB0" w:rsidRPr="00222E7C" w:rsidTr="00D30496">
        <w:trPr>
          <w:trHeight w:val="300"/>
        </w:trPr>
        <w:tc>
          <w:tcPr>
            <w:tcW w:w="4515" w:type="dxa"/>
            <w:gridSpan w:val="2"/>
            <w:tcBorders>
              <w:top w:val="nil"/>
              <w:left w:val="nil"/>
              <w:bottom w:val="nil"/>
              <w:right w:val="nil"/>
            </w:tcBorders>
            <w:shd w:val="clear" w:color="auto" w:fill="auto"/>
            <w:noWrap/>
            <w:vAlign w:val="bottom"/>
            <w:hideMark/>
          </w:tcPr>
          <w:p w:rsidR="00B26CB0" w:rsidRPr="00C54BE2" w:rsidRDefault="00B26CB0" w:rsidP="00FA3873">
            <w:pPr>
              <w:ind w:left="177"/>
              <w:rPr>
                <w:rFonts w:cs="Arial"/>
                <w:sz w:val="24"/>
                <w:szCs w:val="24"/>
              </w:rPr>
            </w:pPr>
            <w:r w:rsidRPr="00C54BE2">
              <w:rPr>
                <w:rFonts w:cs="Arial"/>
                <w:sz w:val="24"/>
                <w:szCs w:val="24"/>
              </w:rPr>
              <w:t>White</w:t>
            </w:r>
          </w:p>
        </w:tc>
        <w:tc>
          <w:tcPr>
            <w:tcW w:w="1301"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19 (63)</w:t>
            </w:r>
          </w:p>
        </w:tc>
        <w:tc>
          <w:tcPr>
            <w:tcW w:w="1302"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19 (70)</w:t>
            </w:r>
          </w:p>
        </w:tc>
        <w:tc>
          <w:tcPr>
            <w:tcW w:w="144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w:t>
            </w:r>
          </w:p>
        </w:tc>
        <w:tc>
          <w:tcPr>
            <w:tcW w:w="115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w:t>
            </w:r>
          </w:p>
        </w:tc>
      </w:tr>
      <w:tr w:rsidR="00B26CB0" w:rsidRPr="00222E7C" w:rsidTr="00D30496">
        <w:trPr>
          <w:trHeight w:val="300"/>
        </w:trPr>
        <w:tc>
          <w:tcPr>
            <w:tcW w:w="4515" w:type="dxa"/>
            <w:gridSpan w:val="2"/>
            <w:tcBorders>
              <w:top w:val="nil"/>
              <w:left w:val="nil"/>
              <w:bottom w:val="nil"/>
              <w:right w:val="nil"/>
            </w:tcBorders>
            <w:shd w:val="clear" w:color="auto" w:fill="auto"/>
            <w:noWrap/>
            <w:vAlign w:val="bottom"/>
            <w:hideMark/>
          </w:tcPr>
          <w:p w:rsidR="00B26CB0" w:rsidRPr="00C54BE2" w:rsidRDefault="00B26CB0" w:rsidP="00FA3873">
            <w:pPr>
              <w:ind w:left="177"/>
              <w:rPr>
                <w:rFonts w:cs="Arial"/>
                <w:sz w:val="24"/>
                <w:szCs w:val="24"/>
              </w:rPr>
            </w:pPr>
            <w:r w:rsidRPr="00C54BE2">
              <w:rPr>
                <w:rFonts w:cs="Arial"/>
                <w:sz w:val="24"/>
                <w:szCs w:val="24"/>
              </w:rPr>
              <w:t>Mixed / Multiple ethnic groups</w:t>
            </w:r>
          </w:p>
        </w:tc>
        <w:tc>
          <w:tcPr>
            <w:tcW w:w="1301"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2 (7)</w:t>
            </w:r>
          </w:p>
        </w:tc>
        <w:tc>
          <w:tcPr>
            <w:tcW w:w="1302"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0 (0)</w:t>
            </w:r>
          </w:p>
        </w:tc>
        <w:tc>
          <w:tcPr>
            <w:tcW w:w="144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w:t>
            </w:r>
          </w:p>
        </w:tc>
        <w:tc>
          <w:tcPr>
            <w:tcW w:w="115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w:t>
            </w:r>
          </w:p>
        </w:tc>
      </w:tr>
      <w:tr w:rsidR="00B26CB0" w:rsidRPr="00222E7C" w:rsidTr="00D30496">
        <w:trPr>
          <w:trHeight w:val="300"/>
        </w:trPr>
        <w:tc>
          <w:tcPr>
            <w:tcW w:w="4515" w:type="dxa"/>
            <w:gridSpan w:val="2"/>
            <w:tcBorders>
              <w:top w:val="nil"/>
              <w:left w:val="nil"/>
              <w:bottom w:val="nil"/>
              <w:right w:val="nil"/>
            </w:tcBorders>
            <w:shd w:val="clear" w:color="auto" w:fill="auto"/>
            <w:noWrap/>
            <w:vAlign w:val="bottom"/>
            <w:hideMark/>
          </w:tcPr>
          <w:p w:rsidR="00B26CB0" w:rsidRPr="00C54BE2" w:rsidRDefault="00B26CB0" w:rsidP="00FA3873">
            <w:pPr>
              <w:ind w:left="177"/>
              <w:rPr>
                <w:rFonts w:cs="Arial"/>
                <w:sz w:val="24"/>
                <w:szCs w:val="24"/>
              </w:rPr>
            </w:pPr>
            <w:r w:rsidRPr="00C54BE2">
              <w:rPr>
                <w:rFonts w:cs="Arial"/>
                <w:sz w:val="24"/>
                <w:szCs w:val="24"/>
              </w:rPr>
              <w:t>Asian / Asian British</w:t>
            </w:r>
          </w:p>
        </w:tc>
        <w:tc>
          <w:tcPr>
            <w:tcW w:w="1301"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5 (17)</w:t>
            </w:r>
          </w:p>
        </w:tc>
        <w:tc>
          <w:tcPr>
            <w:tcW w:w="1302"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2 (7)</w:t>
            </w:r>
          </w:p>
        </w:tc>
        <w:tc>
          <w:tcPr>
            <w:tcW w:w="144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w:t>
            </w:r>
          </w:p>
        </w:tc>
        <w:tc>
          <w:tcPr>
            <w:tcW w:w="115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w:t>
            </w:r>
          </w:p>
        </w:tc>
      </w:tr>
      <w:tr w:rsidR="00B26CB0" w:rsidRPr="00222E7C" w:rsidTr="00D30496">
        <w:trPr>
          <w:trHeight w:val="300"/>
        </w:trPr>
        <w:tc>
          <w:tcPr>
            <w:tcW w:w="4515" w:type="dxa"/>
            <w:gridSpan w:val="2"/>
            <w:tcBorders>
              <w:top w:val="nil"/>
              <w:left w:val="nil"/>
              <w:bottom w:val="nil"/>
              <w:right w:val="nil"/>
            </w:tcBorders>
            <w:shd w:val="clear" w:color="auto" w:fill="auto"/>
            <w:noWrap/>
            <w:vAlign w:val="bottom"/>
            <w:hideMark/>
          </w:tcPr>
          <w:p w:rsidR="00B26CB0" w:rsidRPr="00C54BE2" w:rsidRDefault="00B26CB0" w:rsidP="00FA3873">
            <w:pPr>
              <w:ind w:left="177"/>
              <w:rPr>
                <w:rFonts w:cs="Arial"/>
                <w:sz w:val="24"/>
                <w:szCs w:val="24"/>
              </w:rPr>
            </w:pPr>
            <w:r w:rsidRPr="00C54BE2">
              <w:rPr>
                <w:rFonts w:cs="Arial"/>
                <w:sz w:val="24"/>
                <w:szCs w:val="24"/>
              </w:rPr>
              <w:t>Black / African / Caribbean / Black British</w:t>
            </w:r>
          </w:p>
        </w:tc>
        <w:tc>
          <w:tcPr>
            <w:tcW w:w="1301"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4 (13)</w:t>
            </w:r>
          </w:p>
        </w:tc>
        <w:tc>
          <w:tcPr>
            <w:tcW w:w="1302"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6 (22)</w:t>
            </w:r>
          </w:p>
        </w:tc>
        <w:tc>
          <w:tcPr>
            <w:tcW w:w="144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w:t>
            </w:r>
          </w:p>
        </w:tc>
        <w:tc>
          <w:tcPr>
            <w:tcW w:w="115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w:t>
            </w:r>
          </w:p>
        </w:tc>
      </w:tr>
      <w:tr w:rsidR="00B26CB0" w:rsidRPr="00222E7C" w:rsidTr="00D30496">
        <w:trPr>
          <w:trHeight w:val="300"/>
        </w:trPr>
        <w:tc>
          <w:tcPr>
            <w:tcW w:w="4515" w:type="dxa"/>
            <w:gridSpan w:val="2"/>
            <w:tcBorders>
              <w:top w:val="nil"/>
              <w:left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First language, n (%) English</w:t>
            </w:r>
          </w:p>
        </w:tc>
        <w:tc>
          <w:tcPr>
            <w:tcW w:w="1301" w:type="dxa"/>
            <w:tcBorders>
              <w:top w:val="nil"/>
              <w:left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22 (73)</w:t>
            </w:r>
          </w:p>
        </w:tc>
        <w:tc>
          <w:tcPr>
            <w:tcW w:w="1302" w:type="dxa"/>
            <w:tcBorders>
              <w:top w:val="nil"/>
              <w:left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17 (63)</w:t>
            </w:r>
          </w:p>
        </w:tc>
        <w:tc>
          <w:tcPr>
            <w:tcW w:w="1447" w:type="dxa"/>
            <w:tcBorders>
              <w:top w:val="nil"/>
              <w:left w:val="nil"/>
              <w:right w:val="nil"/>
            </w:tcBorders>
          </w:tcPr>
          <w:p w:rsidR="00B26CB0" w:rsidRPr="00D73B72" w:rsidRDefault="00B26CB0" w:rsidP="00FA3873">
            <w:pPr>
              <w:rPr>
                <w:rFonts w:cs="Arial"/>
                <w:sz w:val="24"/>
                <w:szCs w:val="24"/>
              </w:rPr>
            </w:pPr>
            <w:r>
              <w:rPr>
                <w:rFonts w:cs="Arial"/>
                <w:sz w:val="24"/>
                <w:szCs w:val="24"/>
              </w:rPr>
              <w:t>*</w:t>
            </w:r>
          </w:p>
        </w:tc>
        <w:tc>
          <w:tcPr>
            <w:tcW w:w="1157" w:type="dxa"/>
            <w:tcBorders>
              <w:top w:val="nil"/>
              <w:left w:val="nil"/>
              <w:right w:val="nil"/>
            </w:tcBorders>
          </w:tcPr>
          <w:p w:rsidR="00B26CB0" w:rsidRPr="00C54BE2" w:rsidRDefault="00B26CB0" w:rsidP="00FA3873">
            <w:pPr>
              <w:rPr>
                <w:rFonts w:cs="Arial"/>
                <w:sz w:val="24"/>
                <w:szCs w:val="24"/>
              </w:rPr>
            </w:pPr>
            <w:r>
              <w:rPr>
                <w:rFonts w:cs="Arial"/>
                <w:sz w:val="24"/>
                <w:szCs w:val="24"/>
              </w:rPr>
              <w:t>.569</w:t>
            </w:r>
          </w:p>
        </w:tc>
      </w:tr>
      <w:tr w:rsidR="00B26CB0" w:rsidRPr="00222E7C" w:rsidTr="00D30496">
        <w:trPr>
          <w:trHeight w:val="498"/>
        </w:trPr>
        <w:tc>
          <w:tcPr>
            <w:tcW w:w="4515" w:type="dxa"/>
            <w:gridSpan w:val="2"/>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Verbal fluency total score (FAS) , mean (SD)</w:t>
            </w:r>
          </w:p>
        </w:tc>
        <w:tc>
          <w:tcPr>
            <w:tcW w:w="1301"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25.4 (9.6)</w:t>
            </w:r>
          </w:p>
        </w:tc>
        <w:tc>
          <w:tcPr>
            <w:tcW w:w="1302" w:type="dxa"/>
            <w:tcBorders>
              <w:top w:val="nil"/>
              <w:left w:val="nil"/>
              <w:bottom w:val="nil"/>
              <w:right w:val="nil"/>
            </w:tcBorders>
            <w:shd w:val="clear" w:color="auto" w:fill="auto"/>
            <w:noWrap/>
            <w:vAlign w:val="bottom"/>
            <w:hideMark/>
          </w:tcPr>
          <w:p w:rsidR="00B26CB0" w:rsidRPr="00C54BE2" w:rsidRDefault="00B26CB0" w:rsidP="00FA3873">
            <w:pPr>
              <w:rPr>
                <w:rFonts w:cs="Arial"/>
                <w:sz w:val="24"/>
                <w:szCs w:val="24"/>
              </w:rPr>
            </w:pPr>
            <w:r w:rsidRPr="00C54BE2">
              <w:rPr>
                <w:rFonts w:cs="Arial"/>
                <w:sz w:val="24"/>
                <w:szCs w:val="24"/>
              </w:rPr>
              <w:t>34.2 (11.9)</w:t>
            </w:r>
          </w:p>
        </w:tc>
        <w:tc>
          <w:tcPr>
            <w:tcW w:w="1447" w:type="dxa"/>
            <w:tcBorders>
              <w:top w:val="nil"/>
              <w:left w:val="nil"/>
              <w:bottom w:val="nil"/>
              <w:right w:val="nil"/>
            </w:tcBorders>
          </w:tcPr>
          <w:p w:rsidR="00B26CB0" w:rsidRPr="00D73B72" w:rsidRDefault="00B26CB0" w:rsidP="00FA3873">
            <w:pPr>
              <w:rPr>
                <w:rFonts w:cs="Arial"/>
                <w:sz w:val="24"/>
                <w:szCs w:val="24"/>
              </w:rPr>
            </w:pPr>
            <w:r w:rsidRPr="00C6659F">
              <w:rPr>
                <w:rFonts w:cs="Arial"/>
                <w:i/>
                <w:sz w:val="24"/>
                <w:szCs w:val="24"/>
              </w:rPr>
              <w:t>t</w:t>
            </w:r>
            <w:r>
              <w:rPr>
                <w:rFonts w:cs="Arial"/>
                <w:sz w:val="24"/>
                <w:szCs w:val="24"/>
              </w:rPr>
              <w:t>(55) = 3.08</w:t>
            </w:r>
          </w:p>
        </w:tc>
        <w:tc>
          <w:tcPr>
            <w:tcW w:w="115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 xml:space="preserve"> .003</w:t>
            </w:r>
          </w:p>
        </w:tc>
      </w:tr>
      <w:tr w:rsidR="00B26CB0" w:rsidRPr="00222E7C" w:rsidTr="00D30496">
        <w:trPr>
          <w:gridBefore w:val="1"/>
          <w:wBefore w:w="15" w:type="dxa"/>
          <w:trHeight w:val="300"/>
        </w:trPr>
        <w:tc>
          <w:tcPr>
            <w:tcW w:w="4500" w:type="dxa"/>
            <w:tcBorders>
              <w:top w:val="nil"/>
              <w:left w:val="nil"/>
              <w:bottom w:val="nil"/>
              <w:right w:val="nil"/>
            </w:tcBorders>
            <w:shd w:val="clear" w:color="auto" w:fill="auto"/>
            <w:noWrap/>
            <w:vAlign w:val="bottom"/>
          </w:tcPr>
          <w:p w:rsidR="00B26CB0" w:rsidRPr="00C54BE2" w:rsidRDefault="00B26CB0" w:rsidP="00FA3873">
            <w:pPr>
              <w:ind w:left="-18"/>
              <w:rPr>
                <w:rFonts w:cs="Arial"/>
                <w:sz w:val="24"/>
                <w:szCs w:val="24"/>
              </w:rPr>
            </w:pPr>
            <w:r w:rsidRPr="00C54BE2">
              <w:rPr>
                <w:rFonts w:cs="Arial"/>
                <w:sz w:val="24"/>
                <w:szCs w:val="24"/>
              </w:rPr>
              <w:t>CDSS, mean (SD)</w:t>
            </w:r>
          </w:p>
        </w:tc>
        <w:tc>
          <w:tcPr>
            <w:tcW w:w="1301" w:type="dxa"/>
            <w:tcBorders>
              <w:top w:val="nil"/>
              <w:left w:val="nil"/>
              <w:bottom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5.03 (4.02)</w:t>
            </w:r>
          </w:p>
        </w:tc>
        <w:tc>
          <w:tcPr>
            <w:tcW w:w="1302" w:type="dxa"/>
            <w:tcBorders>
              <w:top w:val="nil"/>
              <w:left w:val="nil"/>
              <w:bottom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1.80 (1.95)</w:t>
            </w:r>
          </w:p>
        </w:tc>
        <w:tc>
          <w:tcPr>
            <w:tcW w:w="1447" w:type="dxa"/>
            <w:tcBorders>
              <w:top w:val="nil"/>
              <w:left w:val="nil"/>
              <w:bottom w:val="nil"/>
              <w:right w:val="nil"/>
            </w:tcBorders>
          </w:tcPr>
          <w:p w:rsidR="00B26CB0" w:rsidRPr="00C54BE2" w:rsidRDefault="00B26CB0" w:rsidP="00FA3873">
            <w:pPr>
              <w:rPr>
                <w:rFonts w:cs="Arial"/>
                <w:sz w:val="24"/>
                <w:szCs w:val="24"/>
              </w:rPr>
            </w:pPr>
            <w:r w:rsidRPr="00C6659F">
              <w:rPr>
                <w:rFonts w:cs="Arial"/>
                <w:i/>
                <w:sz w:val="24"/>
                <w:szCs w:val="24"/>
              </w:rPr>
              <w:t>t</w:t>
            </w:r>
            <w:r>
              <w:rPr>
                <w:rFonts w:cs="Arial"/>
                <w:sz w:val="24"/>
                <w:szCs w:val="24"/>
              </w:rPr>
              <w:t>(43) = 3.93</w:t>
            </w:r>
          </w:p>
        </w:tc>
        <w:tc>
          <w:tcPr>
            <w:tcW w:w="115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&lt;.001</w:t>
            </w:r>
          </w:p>
        </w:tc>
      </w:tr>
      <w:tr w:rsidR="00B26CB0" w:rsidRPr="00222E7C" w:rsidTr="00D30496">
        <w:trPr>
          <w:gridBefore w:val="1"/>
          <w:wBefore w:w="15" w:type="dxa"/>
          <w:trHeight w:val="300"/>
        </w:trPr>
        <w:tc>
          <w:tcPr>
            <w:tcW w:w="4500" w:type="dxa"/>
            <w:tcBorders>
              <w:top w:val="nil"/>
              <w:left w:val="nil"/>
              <w:bottom w:val="nil"/>
              <w:right w:val="nil"/>
            </w:tcBorders>
            <w:shd w:val="clear" w:color="auto" w:fill="auto"/>
            <w:noWrap/>
            <w:vAlign w:val="bottom"/>
          </w:tcPr>
          <w:p w:rsidR="00B26CB0" w:rsidRPr="00C54BE2" w:rsidRDefault="00B26CB0" w:rsidP="00FA3873">
            <w:pPr>
              <w:ind w:left="-18"/>
              <w:rPr>
                <w:rFonts w:cs="Arial"/>
                <w:sz w:val="24"/>
                <w:szCs w:val="24"/>
              </w:rPr>
            </w:pPr>
            <w:r w:rsidRPr="00C54BE2">
              <w:rPr>
                <w:rFonts w:cs="Arial"/>
                <w:sz w:val="24"/>
                <w:szCs w:val="24"/>
              </w:rPr>
              <w:t>GAD-7</w:t>
            </w:r>
          </w:p>
        </w:tc>
        <w:tc>
          <w:tcPr>
            <w:tcW w:w="1301" w:type="dxa"/>
            <w:tcBorders>
              <w:top w:val="nil"/>
              <w:left w:val="nil"/>
              <w:bottom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8.70 (7.26)</w:t>
            </w:r>
          </w:p>
        </w:tc>
        <w:tc>
          <w:tcPr>
            <w:tcW w:w="1302" w:type="dxa"/>
            <w:tcBorders>
              <w:top w:val="nil"/>
              <w:left w:val="nil"/>
              <w:bottom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4.78 (3.90)</w:t>
            </w:r>
          </w:p>
        </w:tc>
        <w:tc>
          <w:tcPr>
            <w:tcW w:w="1447" w:type="dxa"/>
            <w:tcBorders>
              <w:top w:val="nil"/>
              <w:left w:val="nil"/>
              <w:bottom w:val="nil"/>
              <w:right w:val="nil"/>
            </w:tcBorders>
          </w:tcPr>
          <w:p w:rsidR="00B26CB0" w:rsidRPr="00C54BE2" w:rsidRDefault="00B26CB0" w:rsidP="00D73B72">
            <w:pPr>
              <w:rPr>
                <w:rFonts w:cs="Arial"/>
                <w:sz w:val="24"/>
                <w:szCs w:val="24"/>
              </w:rPr>
            </w:pPr>
            <w:r>
              <w:rPr>
                <w:rFonts w:cs="Arial"/>
                <w:i/>
                <w:sz w:val="24"/>
                <w:szCs w:val="24"/>
              </w:rPr>
              <w:t>t</w:t>
            </w:r>
            <w:r w:rsidRPr="00C6659F">
              <w:rPr>
                <w:rFonts w:cs="Arial"/>
                <w:sz w:val="24"/>
                <w:szCs w:val="24"/>
              </w:rPr>
              <w:t>(</w:t>
            </w:r>
            <w:r>
              <w:rPr>
                <w:rFonts w:cs="Arial"/>
                <w:sz w:val="24"/>
                <w:szCs w:val="24"/>
              </w:rPr>
              <w:t>45) = 2.58</w:t>
            </w:r>
          </w:p>
        </w:tc>
        <w:tc>
          <w:tcPr>
            <w:tcW w:w="115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.010</w:t>
            </w:r>
          </w:p>
        </w:tc>
      </w:tr>
      <w:tr w:rsidR="00B26CB0" w:rsidRPr="00222E7C" w:rsidTr="00D30496">
        <w:trPr>
          <w:gridBefore w:val="1"/>
          <w:wBefore w:w="15" w:type="dxa"/>
          <w:trHeight w:val="300"/>
        </w:trPr>
        <w:tc>
          <w:tcPr>
            <w:tcW w:w="4500" w:type="dxa"/>
            <w:tcBorders>
              <w:top w:val="nil"/>
              <w:left w:val="nil"/>
              <w:bottom w:val="nil"/>
              <w:right w:val="nil"/>
            </w:tcBorders>
            <w:shd w:val="clear" w:color="auto" w:fill="auto"/>
            <w:noWrap/>
            <w:vAlign w:val="bottom"/>
          </w:tcPr>
          <w:p w:rsidR="00B26CB0" w:rsidRPr="00C54BE2" w:rsidRDefault="00B26CB0" w:rsidP="00FA3873">
            <w:pPr>
              <w:ind w:left="-18"/>
              <w:rPr>
                <w:rFonts w:cs="Arial"/>
                <w:sz w:val="24"/>
                <w:szCs w:val="24"/>
              </w:rPr>
            </w:pPr>
            <w:r w:rsidRPr="00C54BE2">
              <w:rPr>
                <w:rFonts w:cs="Arial"/>
                <w:sz w:val="24"/>
                <w:szCs w:val="24"/>
              </w:rPr>
              <w:t>BHS</w:t>
            </w:r>
          </w:p>
        </w:tc>
        <w:tc>
          <w:tcPr>
            <w:tcW w:w="1301" w:type="dxa"/>
            <w:tcBorders>
              <w:top w:val="nil"/>
              <w:left w:val="nil"/>
              <w:bottom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6.87 (5.95)</w:t>
            </w:r>
          </w:p>
        </w:tc>
        <w:tc>
          <w:tcPr>
            <w:tcW w:w="1302" w:type="dxa"/>
            <w:tcBorders>
              <w:top w:val="nil"/>
              <w:left w:val="nil"/>
              <w:bottom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3.22 (2.87)</w:t>
            </w:r>
          </w:p>
        </w:tc>
        <w:tc>
          <w:tcPr>
            <w:tcW w:w="1447" w:type="dxa"/>
            <w:tcBorders>
              <w:top w:val="nil"/>
              <w:left w:val="nil"/>
              <w:bottom w:val="nil"/>
              <w:right w:val="nil"/>
            </w:tcBorders>
          </w:tcPr>
          <w:p w:rsidR="00B26CB0" w:rsidRPr="00C54BE2" w:rsidRDefault="00B26CB0" w:rsidP="00FA3873">
            <w:pPr>
              <w:rPr>
                <w:rFonts w:cs="Arial"/>
                <w:sz w:val="24"/>
                <w:szCs w:val="24"/>
              </w:rPr>
            </w:pPr>
            <w:r>
              <w:rPr>
                <w:rFonts w:cs="Arial"/>
                <w:i/>
                <w:sz w:val="24"/>
                <w:szCs w:val="24"/>
              </w:rPr>
              <w:t>t</w:t>
            </w:r>
            <w:r w:rsidRPr="00A52687">
              <w:rPr>
                <w:rFonts w:cs="Arial"/>
                <w:sz w:val="24"/>
                <w:szCs w:val="24"/>
              </w:rPr>
              <w:t>(</w:t>
            </w:r>
            <w:r>
              <w:rPr>
                <w:rFonts w:cs="Arial"/>
                <w:sz w:val="24"/>
                <w:szCs w:val="24"/>
              </w:rPr>
              <w:t>43) = 2.46</w:t>
            </w:r>
          </w:p>
        </w:tc>
        <w:tc>
          <w:tcPr>
            <w:tcW w:w="1157" w:type="dxa"/>
            <w:tcBorders>
              <w:top w:val="nil"/>
              <w:left w:val="nil"/>
              <w:bottom w:val="nil"/>
              <w:right w:val="nil"/>
            </w:tcBorders>
          </w:tcPr>
          <w:p w:rsidR="00B26CB0" w:rsidRPr="00C54BE2" w:rsidRDefault="00B26CB0" w:rsidP="00FA3873">
            <w:pPr>
              <w:rPr>
                <w:rFonts w:cs="Arial"/>
                <w:sz w:val="24"/>
                <w:szCs w:val="24"/>
              </w:rPr>
            </w:pPr>
            <w:r>
              <w:rPr>
                <w:rFonts w:cs="Arial"/>
                <w:sz w:val="24"/>
                <w:szCs w:val="24"/>
              </w:rPr>
              <w:t>.017</w:t>
            </w:r>
          </w:p>
        </w:tc>
      </w:tr>
      <w:tr w:rsidR="00B26CB0" w:rsidRPr="00222E7C" w:rsidTr="00D30496">
        <w:trPr>
          <w:gridBefore w:val="1"/>
          <w:wBefore w:w="15" w:type="dxa"/>
          <w:trHeight w:val="300"/>
        </w:trPr>
        <w:tc>
          <w:tcPr>
            <w:tcW w:w="4500" w:type="dxa"/>
            <w:tcBorders>
              <w:top w:val="nil"/>
              <w:left w:val="nil"/>
              <w:bottom w:val="nil"/>
              <w:right w:val="nil"/>
            </w:tcBorders>
            <w:shd w:val="clear" w:color="auto" w:fill="auto"/>
            <w:noWrap/>
            <w:vAlign w:val="bottom"/>
          </w:tcPr>
          <w:p w:rsidR="00B26CB0" w:rsidRPr="00C54BE2" w:rsidRDefault="00B26CB0" w:rsidP="00FA3873">
            <w:pPr>
              <w:ind w:left="-18"/>
              <w:rPr>
                <w:rFonts w:cs="Arial"/>
                <w:sz w:val="24"/>
                <w:szCs w:val="24"/>
              </w:rPr>
            </w:pPr>
            <w:r w:rsidRPr="00C54BE2">
              <w:rPr>
                <w:rFonts w:cs="Arial"/>
                <w:sz w:val="24"/>
                <w:szCs w:val="24"/>
              </w:rPr>
              <w:t>SSI</w:t>
            </w:r>
          </w:p>
        </w:tc>
        <w:tc>
          <w:tcPr>
            <w:tcW w:w="1301" w:type="dxa"/>
            <w:tcBorders>
              <w:top w:val="nil"/>
              <w:left w:val="nil"/>
              <w:bottom w:val="nil"/>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2.83 (5.34)</w:t>
            </w:r>
          </w:p>
        </w:tc>
        <w:tc>
          <w:tcPr>
            <w:tcW w:w="1302" w:type="dxa"/>
            <w:tcBorders>
              <w:top w:val="nil"/>
              <w:left w:val="nil"/>
              <w:bottom w:val="nil"/>
              <w:right w:val="nil"/>
            </w:tcBorders>
            <w:shd w:val="clear" w:color="auto" w:fill="auto"/>
            <w:noWrap/>
            <w:vAlign w:val="bottom"/>
          </w:tcPr>
          <w:p w:rsidR="00B26CB0" w:rsidRPr="00C54BE2" w:rsidRDefault="00B26CB0" w:rsidP="00FA3873">
            <w:pPr>
              <w:jc w:val="center"/>
              <w:rPr>
                <w:rFonts w:cs="Arial"/>
                <w:sz w:val="24"/>
                <w:szCs w:val="24"/>
              </w:rPr>
            </w:pPr>
            <w:r w:rsidRPr="00C54BE2">
              <w:rPr>
                <w:rFonts w:cs="Arial"/>
                <w:sz w:val="24"/>
                <w:szCs w:val="24"/>
              </w:rPr>
              <w:t>-</w:t>
            </w:r>
          </w:p>
        </w:tc>
        <w:tc>
          <w:tcPr>
            <w:tcW w:w="1447" w:type="dxa"/>
            <w:tcBorders>
              <w:top w:val="nil"/>
              <w:left w:val="nil"/>
              <w:bottom w:val="nil"/>
              <w:right w:val="nil"/>
            </w:tcBorders>
          </w:tcPr>
          <w:p w:rsidR="00B26CB0" w:rsidRPr="00C54BE2" w:rsidRDefault="00B26CB0" w:rsidP="00C6659F">
            <w:pPr>
              <w:rPr>
                <w:rFonts w:cs="Arial"/>
                <w:sz w:val="24"/>
                <w:szCs w:val="24"/>
              </w:rPr>
            </w:pPr>
            <w:r>
              <w:rPr>
                <w:rFonts w:cs="Arial"/>
                <w:sz w:val="24"/>
                <w:szCs w:val="24"/>
              </w:rPr>
              <w:t>-</w:t>
            </w:r>
          </w:p>
        </w:tc>
        <w:tc>
          <w:tcPr>
            <w:tcW w:w="1157" w:type="dxa"/>
            <w:tcBorders>
              <w:top w:val="nil"/>
              <w:left w:val="nil"/>
              <w:bottom w:val="nil"/>
              <w:right w:val="nil"/>
            </w:tcBorders>
          </w:tcPr>
          <w:p w:rsidR="00B26CB0" w:rsidRPr="00C54BE2" w:rsidRDefault="00B26CB0" w:rsidP="00C6659F">
            <w:pPr>
              <w:rPr>
                <w:rFonts w:cs="Arial"/>
                <w:sz w:val="24"/>
                <w:szCs w:val="24"/>
              </w:rPr>
            </w:pPr>
            <w:r>
              <w:rPr>
                <w:rFonts w:cs="Arial"/>
                <w:sz w:val="24"/>
                <w:szCs w:val="24"/>
              </w:rPr>
              <w:t>-</w:t>
            </w:r>
          </w:p>
        </w:tc>
      </w:tr>
      <w:tr w:rsidR="00B26CB0" w:rsidRPr="00222E7C" w:rsidTr="00D30496">
        <w:trPr>
          <w:gridBefore w:val="1"/>
          <w:wBefore w:w="15" w:type="dxa"/>
          <w:trHeight w:val="300"/>
        </w:trPr>
        <w:tc>
          <w:tcPr>
            <w:tcW w:w="4500" w:type="dxa"/>
            <w:tcBorders>
              <w:top w:val="nil"/>
              <w:left w:val="nil"/>
              <w:bottom w:val="single" w:sz="4" w:space="0" w:color="auto"/>
              <w:right w:val="nil"/>
            </w:tcBorders>
            <w:shd w:val="clear" w:color="auto" w:fill="auto"/>
            <w:noWrap/>
            <w:vAlign w:val="bottom"/>
          </w:tcPr>
          <w:p w:rsidR="00B26CB0" w:rsidRPr="00C54BE2" w:rsidRDefault="00B26CB0" w:rsidP="00FA3873">
            <w:pPr>
              <w:ind w:left="-18"/>
              <w:rPr>
                <w:rFonts w:cs="Arial"/>
                <w:sz w:val="24"/>
                <w:szCs w:val="24"/>
              </w:rPr>
            </w:pPr>
            <w:r w:rsidRPr="00C54BE2">
              <w:rPr>
                <w:rFonts w:cs="Arial"/>
                <w:sz w:val="24"/>
                <w:szCs w:val="24"/>
              </w:rPr>
              <w:t>SANS</w:t>
            </w:r>
          </w:p>
        </w:tc>
        <w:tc>
          <w:tcPr>
            <w:tcW w:w="1301" w:type="dxa"/>
            <w:tcBorders>
              <w:top w:val="nil"/>
              <w:left w:val="nil"/>
              <w:bottom w:val="single" w:sz="4" w:space="0" w:color="auto"/>
              <w:right w:val="nil"/>
            </w:tcBorders>
            <w:shd w:val="clear" w:color="auto" w:fill="auto"/>
            <w:noWrap/>
            <w:vAlign w:val="bottom"/>
          </w:tcPr>
          <w:p w:rsidR="00B26CB0" w:rsidRPr="00C54BE2" w:rsidRDefault="00B26CB0" w:rsidP="00FA3873">
            <w:pPr>
              <w:rPr>
                <w:rFonts w:cs="Arial"/>
                <w:sz w:val="24"/>
                <w:szCs w:val="24"/>
              </w:rPr>
            </w:pPr>
            <w:r w:rsidRPr="00C54BE2">
              <w:rPr>
                <w:rFonts w:cs="Arial"/>
                <w:sz w:val="24"/>
                <w:szCs w:val="24"/>
              </w:rPr>
              <w:t>(8.62)</w:t>
            </w:r>
          </w:p>
        </w:tc>
        <w:tc>
          <w:tcPr>
            <w:tcW w:w="1302" w:type="dxa"/>
            <w:tcBorders>
              <w:top w:val="nil"/>
              <w:left w:val="nil"/>
              <w:bottom w:val="single" w:sz="4" w:space="0" w:color="auto"/>
              <w:right w:val="nil"/>
            </w:tcBorders>
            <w:shd w:val="clear" w:color="auto" w:fill="auto"/>
            <w:noWrap/>
            <w:vAlign w:val="bottom"/>
          </w:tcPr>
          <w:p w:rsidR="00B26CB0" w:rsidRPr="00C54BE2" w:rsidRDefault="00B26CB0" w:rsidP="00FA3873">
            <w:pPr>
              <w:jc w:val="center"/>
              <w:rPr>
                <w:rFonts w:cs="Arial"/>
                <w:sz w:val="24"/>
                <w:szCs w:val="24"/>
              </w:rPr>
            </w:pPr>
            <w:r w:rsidRPr="00C54BE2">
              <w:rPr>
                <w:rFonts w:cs="Arial"/>
                <w:sz w:val="24"/>
                <w:szCs w:val="24"/>
              </w:rPr>
              <w:t>-</w:t>
            </w:r>
          </w:p>
        </w:tc>
        <w:tc>
          <w:tcPr>
            <w:tcW w:w="1447" w:type="dxa"/>
            <w:tcBorders>
              <w:top w:val="nil"/>
              <w:left w:val="nil"/>
              <w:bottom w:val="single" w:sz="4" w:space="0" w:color="auto"/>
              <w:right w:val="nil"/>
            </w:tcBorders>
          </w:tcPr>
          <w:p w:rsidR="00B26CB0" w:rsidRPr="00C54BE2" w:rsidRDefault="00B26CB0" w:rsidP="00C6659F">
            <w:pPr>
              <w:rPr>
                <w:rFonts w:cs="Arial"/>
                <w:sz w:val="24"/>
                <w:szCs w:val="24"/>
              </w:rPr>
            </w:pPr>
            <w:r>
              <w:rPr>
                <w:rFonts w:cs="Arial"/>
                <w:sz w:val="24"/>
                <w:szCs w:val="24"/>
              </w:rPr>
              <w:t>-</w:t>
            </w:r>
          </w:p>
        </w:tc>
        <w:tc>
          <w:tcPr>
            <w:tcW w:w="1157" w:type="dxa"/>
            <w:tcBorders>
              <w:top w:val="nil"/>
              <w:left w:val="nil"/>
              <w:bottom w:val="single" w:sz="4" w:space="0" w:color="auto"/>
              <w:right w:val="nil"/>
            </w:tcBorders>
          </w:tcPr>
          <w:p w:rsidR="00B26CB0" w:rsidRPr="00C54BE2" w:rsidRDefault="00B26CB0" w:rsidP="00C6659F">
            <w:pPr>
              <w:rPr>
                <w:rFonts w:cs="Arial"/>
                <w:sz w:val="24"/>
                <w:szCs w:val="24"/>
              </w:rPr>
            </w:pPr>
            <w:r>
              <w:rPr>
                <w:rFonts w:cs="Arial"/>
                <w:sz w:val="24"/>
                <w:szCs w:val="24"/>
              </w:rPr>
              <w:t>-</w:t>
            </w:r>
          </w:p>
        </w:tc>
      </w:tr>
    </w:tbl>
    <w:p w:rsidR="00B26CB0" w:rsidRDefault="00B26CB0" w:rsidP="00FA3873">
      <w:pPr>
        <w:pStyle w:val="TableLabel"/>
        <w:rPr>
          <w:rFonts w:cs="Arial"/>
          <w:b w:val="0"/>
          <w:sz w:val="24"/>
          <w:szCs w:val="24"/>
        </w:rPr>
      </w:pPr>
      <w:r w:rsidRPr="00C54BE2">
        <w:rPr>
          <w:rFonts w:cs="Arial"/>
          <w:b w:val="0"/>
          <w:sz w:val="24"/>
          <w:szCs w:val="24"/>
        </w:rPr>
        <w:t>Note</w:t>
      </w:r>
      <w:r>
        <w:rPr>
          <w:rFonts w:cs="Arial"/>
          <w:b w:val="0"/>
          <w:sz w:val="24"/>
          <w:szCs w:val="24"/>
        </w:rPr>
        <w:t>.</w:t>
      </w:r>
      <w:r w:rsidRPr="00C54BE2">
        <w:rPr>
          <w:rFonts w:cs="Arial"/>
          <w:b w:val="0"/>
          <w:sz w:val="24"/>
          <w:szCs w:val="24"/>
        </w:rPr>
        <w:t xml:space="preserve"> CDSS = Calgary Depression Scale for Schizophrenia; GAD-7 = Generalised Anxiety Disorder Questionnaire; BHS = Beck Hopelessness Scale; SSI = Beck Scale for Suicide Ideation; SANS = Scale for the Assessment of Negative Symptoms.</w:t>
      </w:r>
    </w:p>
    <w:p w:rsidR="00B26CB0" w:rsidRPr="00C54BE2" w:rsidRDefault="00B26CB0" w:rsidP="00FA3873">
      <w:pPr>
        <w:pStyle w:val="TableLabel"/>
        <w:rPr>
          <w:rFonts w:cs="Arial"/>
          <w:b w:val="0"/>
          <w:sz w:val="24"/>
          <w:szCs w:val="24"/>
        </w:rPr>
      </w:pPr>
      <w:r>
        <w:rPr>
          <w:rFonts w:cs="Arial"/>
          <w:b w:val="0"/>
          <w:sz w:val="24"/>
          <w:szCs w:val="24"/>
        </w:rPr>
        <w:t>* = Fisher’s Exact Test.</w:t>
      </w:r>
    </w:p>
    <w:p w:rsidR="00B26CB0" w:rsidRPr="00222E7C" w:rsidRDefault="00B26CB0" w:rsidP="00FA3873">
      <w:pPr>
        <w:rPr>
          <w:rFonts w:ascii="Times New Roman" w:hAnsi="Times New Roman" w:cs="Times New Roman"/>
          <w:sz w:val="24"/>
          <w:szCs w:val="24"/>
        </w:rPr>
      </w:pPr>
      <w:r w:rsidRPr="00222E7C">
        <w:rPr>
          <w:rFonts w:ascii="Times New Roman" w:hAnsi="Times New Roman" w:cs="Times New Roman"/>
          <w:sz w:val="24"/>
          <w:szCs w:val="24"/>
        </w:rPr>
        <w:br w:type="page"/>
      </w:r>
    </w:p>
    <w:p w:rsidR="00B26CB0" w:rsidRPr="00222E7C" w:rsidRDefault="00B26CB0" w:rsidP="00FA3873">
      <w:pPr>
        <w:rPr>
          <w:rFonts w:ascii="Times New Roman" w:hAnsi="Times New Roman" w:cs="Times New Roman"/>
          <w:b/>
          <w:sz w:val="24"/>
          <w:szCs w:val="24"/>
        </w:rPr>
      </w:pPr>
      <w:r w:rsidRPr="00222E7C">
        <w:rPr>
          <w:rFonts w:ascii="Times New Roman" w:hAnsi="Times New Roman" w:cs="Times New Roman"/>
          <w:b/>
          <w:sz w:val="24"/>
          <w:szCs w:val="24"/>
        </w:rPr>
        <w:lastRenderedPageBreak/>
        <w:t>Table 2. Means (and st</w:t>
      </w:r>
      <w:r>
        <w:rPr>
          <w:rFonts w:ascii="Times New Roman" w:hAnsi="Times New Roman" w:cs="Times New Roman"/>
          <w:b/>
          <w:sz w:val="24"/>
          <w:szCs w:val="24"/>
        </w:rPr>
        <w:t>andard deviations) of FTT scores</w:t>
      </w:r>
      <w:r w:rsidRPr="00222E7C">
        <w:rPr>
          <w:rFonts w:ascii="Times New Roman" w:hAnsi="Times New Roman" w:cs="Times New Roman"/>
          <w:b/>
          <w:sz w:val="24"/>
          <w:szCs w:val="24"/>
        </w:rPr>
        <w:t xml:space="preserve"> by group, period and valence.</w:t>
      </w:r>
    </w:p>
    <w:tbl>
      <w:tblPr>
        <w:tblW w:w="8655" w:type="dxa"/>
        <w:tblInd w:w="93" w:type="dxa"/>
        <w:tblLayout w:type="fixed"/>
        <w:tblLook w:val="04A0" w:firstRow="1" w:lastRow="0" w:firstColumn="1" w:lastColumn="0" w:noHBand="0" w:noVBand="1"/>
      </w:tblPr>
      <w:tblGrid>
        <w:gridCol w:w="1725"/>
        <w:gridCol w:w="1732"/>
        <w:gridCol w:w="1733"/>
        <w:gridCol w:w="1732"/>
        <w:gridCol w:w="1733"/>
      </w:tblGrid>
      <w:tr w:rsidR="00B26CB0" w:rsidRPr="00C54BE2" w:rsidTr="00FA3873">
        <w:trPr>
          <w:trHeight w:val="300"/>
        </w:trPr>
        <w:tc>
          <w:tcPr>
            <w:tcW w:w="1725" w:type="dxa"/>
            <w:tcBorders>
              <w:top w:val="single" w:sz="4" w:space="0" w:color="auto"/>
              <w:left w:val="nil"/>
              <w:bottom w:val="nil"/>
              <w:right w:val="nil"/>
            </w:tcBorders>
            <w:shd w:val="clear" w:color="auto" w:fill="auto"/>
            <w:noWrap/>
            <w:vAlign w:val="bottom"/>
            <w:hideMark/>
          </w:tcPr>
          <w:p w:rsidR="00B26CB0" w:rsidRPr="00C54BE2" w:rsidRDefault="00B26CB0" w:rsidP="00FA3873">
            <w:pPr>
              <w:rPr>
                <w:rFonts w:cs="Arial"/>
                <w:color w:val="000000"/>
                <w:sz w:val="24"/>
                <w:szCs w:val="24"/>
                <w:lang w:eastAsia="en-GB"/>
              </w:rPr>
            </w:pPr>
          </w:p>
        </w:tc>
        <w:tc>
          <w:tcPr>
            <w:tcW w:w="3465" w:type="dxa"/>
            <w:gridSpan w:val="2"/>
            <w:tcBorders>
              <w:top w:val="single" w:sz="4" w:space="0" w:color="auto"/>
              <w:left w:val="nil"/>
              <w:bottom w:val="single" w:sz="4" w:space="0" w:color="auto"/>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Positive condition</w:t>
            </w:r>
          </w:p>
        </w:tc>
        <w:tc>
          <w:tcPr>
            <w:tcW w:w="3465" w:type="dxa"/>
            <w:gridSpan w:val="2"/>
            <w:tcBorders>
              <w:top w:val="single" w:sz="4" w:space="0" w:color="auto"/>
              <w:left w:val="nil"/>
              <w:bottom w:val="single" w:sz="4" w:space="0" w:color="auto"/>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Negative condition</w:t>
            </w:r>
          </w:p>
        </w:tc>
      </w:tr>
      <w:tr w:rsidR="00B26CB0" w:rsidRPr="00C54BE2" w:rsidTr="00FA3873">
        <w:trPr>
          <w:trHeight w:val="300"/>
        </w:trPr>
        <w:tc>
          <w:tcPr>
            <w:tcW w:w="1725" w:type="dxa"/>
            <w:tcBorders>
              <w:top w:val="nil"/>
              <w:left w:val="nil"/>
              <w:bottom w:val="single" w:sz="4" w:space="0" w:color="auto"/>
              <w:right w:val="nil"/>
            </w:tcBorders>
            <w:shd w:val="clear" w:color="auto" w:fill="auto"/>
            <w:noWrap/>
            <w:vAlign w:val="bottom"/>
            <w:hideMark/>
          </w:tcPr>
          <w:p w:rsidR="00B26CB0" w:rsidRPr="00C54BE2" w:rsidRDefault="00B26CB0" w:rsidP="00FA3873">
            <w:pPr>
              <w:rPr>
                <w:rFonts w:cs="Arial"/>
                <w:color w:val="000000"/>
                <w:sz w:val="24"/>
                <w:szCs w:val="24"/>
                <w:lang w:eastAsia="en-GB"/>
              </w:rPr>
            </w:pPr>
            <w:r w:rsidRPr="00C54BE2">
              <w:rPr>
                <w:rFonts w:cs="Arial"/>
                <w:color w:val="000000"/>
                <w:sz w:val="24"/>
                <w:szCs w:val="24"/>
                <w:lang w:eastAsia="en-GB"/>
              </w:rPr>
              <w:t>Time period</w:t>
            </w:r>
          </w:p>
        </w:tc>
        <w:tc>
          <w:tcPr>
            <w:tcW w:w="1732" w:type="dxa"/>
            <w:tcBorders>
              <w:top w:val="single" w:sz="4" w:space="0" w:color="auto"/>
              <w:left w:val="nil"/>
              <w:bottom w:val="single" w:sz="4" w:space="0" w:color="auto"/>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Patients</w:t>
            </w:r>
          </w:p>
        </w:tc>
        <w:tc>
          <w:tcPr>
            <w:tcW w:w="1733" w:type="dxa"/>
            <w:tcBorders>
              <w:top w:val="single" w:sz="4" w:space="0" w:color="auto"/>
              <w:left w:val="nil"/>
              <w:bottom w:val="single" w:sz="4" w:space="0" w:color="auto"/>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Controls</w:t>
            </w:r>
          </w:p>
        </w:tc>
        <w:tc>
          <w:tcPr>
            <w:tcW w:w="1732" w:type="dxa"/>
            <w:tcBorders>
              <w:top w:val="single" w:sz="4" w:space="0" w:color="auto"/>
              <w:left w:val="nil"/>
              <w:bottom w:val="single" w:sz="4" w:space="0" w:color="auto"/>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Patients</w:t>
            </w:r>
          </w:p>
        </w:tc>
        <w:tc>
          <w:tcPr>
            <w:tcW w:w="1733" w:type="dxa"/>
            <w:tcBorders>
              <w:top w:val="single" w:sz="4" w:space="0" w:color="auto"/>
              <w:left w:val="nil"/>
              <w:bottom w:val="single" w:sz="4" w:space="0" w:color="auto"/>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Controls</w:t>
            </w:r>
          </w:p>
        </w:tc>
      </w:tr>
      <w:tr w:rsidR="00B26CB0" w:rsidRPr="00C54BE2" w:rsidTr="00FA3873">
        <w:trPr>
          <w:trHeight w:val="300"/>
        </w:trPr>
        <w:tc>
          <w:tcPr>
            <w:tcW w:w="1725" w:type="dxa"/>
            <w:tcBorders>
              <w:left w:val="nil"/>
              <w:right w:val="nil"/>
            </w:tcBorders>
            <w:shd w:val="clear" w:color="auto" w:fill="auto"/>
            <w:noWrap/>
            <w:vAlign w:val="bottom"/>
          </w:tcPr>
          <w:p w:rsidR="00B26CB0" w:rsidRPr="00C54BE2" w:rsidRDefault="00B26CB0" w:rsidP="00FA3873">
            <w:pPr>
              <w:rPr>
                <w:rFonts w:cs="Arial"/>
                <w:color w:val="000000"/>
                <w:sz w:val="24"/>
                <w:szCs w:val="24"/>
                <w:lang w:eastAsia="en-GB"/>
              </w:rPr>
            </w:pPr>
            <w:r w:rsidRPr="00C54BE2">
              <w:rPr>
                <w:rFonts w:cs="Arial"/>
                <w:color w:val="000000"/>
                <w:sz w:val="24"/>
                <w:szCs w:val="24"/>
                <w:lang w:eastAsia="en-GB"/>
              </w:rPr>
              <w:t>FTT-composite</w:t>
            </w:r>
          </w:p>
        </w:tc>
        <w:tc>
          <w:tcPr>
            <w:tcW w:w="1732" w:type="dxa"/>
            <w:tcBorders>
              <w:left w:val="nil"/>
              <w:right w:val="nil"/>
            </w:tcBorders>
            <w:shd w:val="clear" w:color="auto" w:fill="auto"/>
            <w:noWrap/>
            <w:vAlign w:val="bottom"/>
          </w:tcPr>
          <w:p w:rsidR="00B26CB0" w:rsidRPr="00C54BE2" w:rsidRDefault="00B26CB0" w:rsidP="00FA3873">
            <w:pPr>
              <w:jc w:val="center"/>
              <w:rPr>
                <w:rFonts w:cs="Arial"/>
                <w:color w:val="000000"/>
                <w:sz w:val="24"/>
                <w:szCs w:val="24"/>
              </w:rPr>
            </w:pPr>
          </w:p>
        </w:tc>
        <w:tc>
          <w:tcPr>
            <w:tcW w:w="1733" w:type="dxa"/>
            <w:tcBorders>
              <w:left w:val="nil"/>
              <w:right w:val="nil"/>
            </w:tcBorders>
            <w:shd w:val="clear" w:color="auto" w:fill="auto"/>
            <w:noWrap/>
            <w:vAlign w:val="bottom"/>
          </w:tcPr>
          <w:p w:rsidR="00B26CB0" w:rsidRPr="00C54BE2" w:rsidRDefault="00B26CB0" w:rsidP="00FA3873">
            <w:pPr>
              <w:jc w:val="center"/>
              <w:rPr>
                <w:rFonts w:cs="Arial"/>
                <w:color w:val="000000"/>
                <w:sz w:val="24"/>
                <w:szCs w:val="24"/>
              </w:rPr>
            </w:pPr>
          </w:p>
        </w:tc>
        <w:tc>
          <w:tcPr>
            <w:tcW w:w="1732" w:type="dxa"/>
            <w:tcBorders>
              <w:left w:val="nil"/>
              <w:right w:val="nil"/>
            </w:tcBorders>
            <w:shd w:val="clear" w:color="auto" w:fill="auto"/>
            <w:noWrap/>
            <w:vAlign w:val="bottom"/>
          </w:tcPr>
          <w:p w:rsidR="00B26CB0" w:rsidRPr="00C54BE2" w:rsidRDefault="00B26CB0" w:rsidP="00FA3873">
            <w:pPr>
              <w:jc w:val="center"/>
              <w:rPr>
                <w:rFonts w:cs="Arial"/>
                <w:color w:val="000000"/>
                <w:sz w:val="24"/>
                <w:szCs w:val="24"/>
              </w:rPr>
            </w:pPr>
          </w:p>
        </w:tc>
        <w:tc>
          <w:tcPr>
            <w:tcW w:w="1733" w:type="dxa"/>
            <w:tcBorders>
              <w:left w:val="nil"/>
              <w:right w:val="nil"/>
            </w:tcBorders>
            <w:shd w:val="clear" w:color="auto" w:fill="auto"/>
            <w:noWrap/>
            <w:vAlign w:val="bottom"/>
          </w:tcPr>
          <w:p w:rsidR="00B26CB0" w:rsidRPr="00C54BE2" w:rsidRDefault="00B26CB0" w:rsidP="00FA3873">
            <w:pPr>
              <w:jc w:val="center"/>
              <w:rPr>
                <w:rFonts w:cs="Arial"/>
                <w:color w:val="000000"/>
                <w:sz w:val="24"/>
                <w:szCs w:val="24"/>
              </w:rPr>
            </w:pPr>
          </w:p>
        </w:tc>
      </w:tr>
      <w:tr w:rsidR="00B26CB0" w:rsidRPr="00C54BE2" w:rsidTr="00FA3873">
        <w:trPr>
          <w:trHeight w:val="300"/>
        </w:trPr>
        <w:tc>
          <w:tcPr>
            <w:tcW w:w="1725" w:type="dxa"/>
            <w:tcBorders>
              <w:left w:val="nil"/>
              <w:right w:val="nil"/>
            </w:tcBorders>
            <w:shd w:val="clear" w:color="auto" w:fill="auto"/>
            <w:noWrap/>
            <w:vAlign w:val="bottom"/>
          </w:tcPr>
          <w:p w:rsidR="00B26CB0" w:rsidRPr="00C54BE2" w:rsidRDefault="00B26CB0" w:rsidP="00FA3873">
            <w:pPr>
              <w:ind w:left="177"/>
              <w:rPr>
                <w:rFonts w:cs="Arial"/>
                <w:color w:val="000000"/>
                <w:sz w:val="24"/>
                <w:szCs w:val="24"/>
                <w:lang w:eastAsia="en-GB"/>
              </w:rPr>
            </w:pPr>
            <w:r w:rsidRPr="00C54BE2">
              <w:rPr>
                <w:rFonts w:cs="Arial"/>
                <w:color w:val="000000"/>
                <w:sz w:val="24"/>
                <w:szCs w:val="24"/>
                <w:lang w:eastAsia="en-GB"/>
              </w:rPr>
              <w:t>1 week</w:t>
            </w:r>
          </w:p>
        </w:tc>
        <w:tc>
          <w:tcPr>
            <w:tcW w:w="1732"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67.24 (40.82)</w:t>
            </w:r>
          </w:p>
        </w:tc>
        <w:tc>
          <w:tcPr>
            <w:tcW w:w="1733"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84.46 (49.18)</w:t>
            </w:r>
          </w:p>
        </w:tc>
        <w:tc>
          <w:tcPr>
            <w:tcW w:w="1732"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23.41 (17.10)</w:t>
            </w:r>
          </w:p>
        </w:tc>
        <w:tc>
          <w:tcPr>
            <w:tcW w:w="1733"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25.76 (16.29)</w:t>
            </w:r>
          </w:p>
        </w:tc>
      </w:tr>
      <w:tr w:rsidR="00B26CB0" w:rsidRPr="00C54BE2" w:rsidTr="00FA3873">
        <w:trPr>
          <w:trHeight w:val="300"/>
        </w:trPr>
        <w:tc>
          <w:tcPr>
            <w:tcW w:w="1725" w:type="dxa"/>
            <w:tcBorders>
              <w:left w:val="nil"/>
              <w:right w:val="nil"/>
            </w:tcBorders>
            <w:shd w:val="clear" w:color="auto" w:fill="auto"/>
            <w:noWrap/>
            <w:vAlign w:val="bottom"/>
          </w:tcPr>
          <w:p w:rsidR="00B26CB0" w:rsidRPr="00C54BE2" w:rsidRDefault="00B26CB0" w:rsidP="00FA3873">
            <w:pPr>
              <w:ind w:left="177"/>
              <w:rPr>
                <w:rFonts w:cs="Arial"/>
                <w:color w:val="000000"/>
                <w:sz w:val="24"/>
                <w:szCs w:val="24"/>
                <w:lang w:eastAsia="en-GB"/>
              </w:rPr>
            </w:pPr>
            <w:r w:rsidRPr="00C54BE2">
              <w:rPr>
                <w:rFonts w:cs="Arial"/>
                <w:color w:val="000000"/>
                <w:sz w:val="24"/>
                <w:szCs w:val="24"/>
                <w:lang w:eastAsia="en-GB"/>
              </w:rPr>
              <w:t>1 year</w:t>
            </w:r>
          </w:p>
        </w:tc>
        <w:tc>
          <w:tcPr>
            <w:tcW w:w="1732"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60.29 (35.31)</w:t>
            </w:r>
          </w:p>
        </w:tc>
        <w:tc>
          <w:tcPr>
            <w:tcW w:w="1733"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99.05 (58.82)</w:t>
            </w:r>
          </w:p>
        </w:tc>
        <w:tc>
          <w:tcPr>
            <w:tcW w:w="1732"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22.74 (17.29)</w:t>
            </w:r>
          </w:p>
        </w:tc>
        <w:tc>
          <w:tcPr>
            <w:tcW w:w="1733"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32.94 (18.74)</w:t>
            </w:r>
          </w:p>
        </w:tc>
      </w:tr>
      <w:tr w:rsidR="00B26CB0" w:rsidRPr="00C54BE2" w:rsidTr="00FA3873">
        <w:trPr>
          <w:trHeight w:val="300"/>
        </w:trPr>
        <w:tc>
          <w:tcPr>
            <w:tcW w:w="1725" w:type="dxa"/>
            <w:tcBorders>
              <w:left w:val="nil"/>
              <w:right w:val="nil"/>
            </w:tcBorders>
            <w:shd w:val="clear" w:color="auto" w:fill="auto"/>
            <w:noWrap/>
            <w:vAlign w:val="bottom"/>
          </w:tcPr>
          <w:p w:rsidR="00B26CB0" w:rsidRPr="00C54BE2" w:rsidRDefault="00B26CB0" w:rsidP="00FA3873">
            <w:pPr>
              <w:ind w:left="177"/>
              <w:rPr>
                <w:rFonts w:cs="Arial"/>
                <w:color w:val="000000"/>
                <w:sz w:val="24"/>
                <w:szCs w:val="24"/>
                <w:lang w:eastAsia="en-GB"/>
              </w:rPr>
            </w:pPr>
            <w:r w:rsidRPr="00C54BE2">
              <w:rPr>
                <w:rFonts w:cs="Arial"/>
                <w:color w:val="000000"/>
                <w:sz w:val="24"/>
                <w:szCs w:val="24"/>
                <w:lang w:eastAsia="en-GB"/>
              </w:rPr>
              <w:t>5-10 years</w:t>
            </w:r>
          </w:p>
        </w:tc>
        <w:tc>
          <w:tcPr>
            <w:tcW w:w="1732"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69.14 (39.26)</w:t>
            </w:r>
          </w:p>
        </w:tc>
        <w:tc>
          <w:tcPr>
            <w:tcW w:w="1733"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86.45 (44.39)</w:t>
            </w:r>
          </w:p>
        </w:tc>
        <w:tc>
          <w:tcPr>
            <w:tcW w:w="1732"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25.62 (19.95)</w:t>
            </w:r>
          </w:p>
        </w:tc>
        <w:tc>
          <w:tcPr>
            <w:tcW w:w="1733"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36.74 (22.80)</w:t>
            </w:r>
          </w:p>
        </w:tc>
      </w:tr>
      <w:tr w:rsidR="00B26CB0" w:rsidRPr="00C54BE2" w:rsidTr="00FA3873">
        <w:trPr>
          <w:trHeight w:val="300"/>
        </w:trPr>
        <w:tc>
          <w:tcPr>
            <w:tcW w:w="1725" w:type="dxa"/>
            <w:tcBorders>
              <w:left w:val="nil"/>
              <w:right w:val="nil"/>
            </w:tcBorders>
            <w:shd w:val="clear" w:color="auto" w:fill="auto"/>
            <w:noWrap/>
            <w:vAlign w:val="bottom"/>
          </w:tcPr>
          <w:p w:rsidR="00B26CB0" w:rsidRPr="00C54BE2" w:rsidRDefault="00B26CB0" w:rsidP="00FA3873">
            <w:pPr>
              <w:ind w:left="177"/>
              <w:rPr>
                <w:rFonts w:cs="Arial"/>
                <w:color w:val="000000"/>
                <w:sz w:val="24"/>
                <w:szCs w:val="24"/>
                <w:lang w:eastAsia="en-GB"/>
              </w:rPr>
            </w:pPr>
            <w:r w:rsidRPr="00C54BE2">
              <w:rPr>
                <w:rFonts w:cs="Arial"/>
                <w:color w:val="000000"/>
                <w:sz w:val="24"/>
                <w:szCs w:val="24"/>
                <w:lang w:eastAsia="en-GB"/>
              </w:rPr>
              <w:t>All trials</w:t>
            </w:r>
          </w:p>
        </w:tc>
        <w:tc>
          <w:tcPr>
            <w:tcW w:w="1732"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65.56 (33.62)</w:t>
            </w:r>
          </w:p>
        </w:tc>
        <w:tc>
          <w:tcPr>
            <w:tcW w:w="1733"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90.75 (46.64)</w:t>
            </w:r>
          </w:p>
        </w:tc>
        <w:tc>
          <w:tcPr>
            <w:tcW w:w="1732"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23.92 (14.60)</w:t>
            </w:r>
          </w:p>
        </w:tc>
        <w:tc>
          <w:tcPr>
            <w:tcW w:w="1733" w:type="dxa"/>
            <w:tcBorders>
              <w:left w:val="nil"/>
              <w:right w:val="nil"/>
            </w:tcBorders>
            <w:shd w:val="clear" w:color="auto" w:fill="auto"/>
            <w:noWrap/>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31.46 (14.30)</w:t>
            </w:r>
          </w:p>
        </w:tc>
      </w:tr>
      <w:tr w:rsidR="00B26CB0" w:rsidRPr="00C54BE2" w:rsidTr="00FA3873">
        <w:trPr>
          <w:trHeight w:val="300"/>
        </w:trPr>
        <w:tc>
          <w:tcPr>
            <w:tcW w:w="1725" w:type="dxa"/>
            <w:tcBorders>
              <w:left w:val="nil"/>
              <w:bottom w:val="nil"/>
              <w:right w:val="nil"/>
            </w:tcBorders>
            <w:shd w:val="clear" w:color="auto" w:fill="auto"/>
            <w:noWrap/>
            <w:vAlign w:val="bottom"/>
          </w:tcPr>
          <w:p w:rsidR="00B26CB0" w:rsidRPr="00C54BE2" w:rsidRDefault="00B26CB0" w:rsidP="00FA3873">
            <w:pPr>
              <w:rPr>
                <w:rFonts w:cs="Arial"/>
                <w:color w:val="000000"/>
                <w:sz w:val="24"/>
                <w:szCs w:val="24"/>
                <w:lang w:eastAsia="en-GB"/>
              </w:rPr>
            </w:pPr>
            <w:r w:rsidRPr="00C54BE2">
              <w:rPr>
                <w:rFonts w:cs="Arial"/>
                <w:color w:val="000000"/>
                <w:sz w:val="24"/>
                <w:szCs w:val="24"/>
                <w:lang w:eastAsia="en-GB"/>
              </w:rPr>
              <w:t>FTT-number</w:t>
            </w:r>
          </w:p>
        </w:tc>
        <w:tc>
          <w:tcPr>
            <w:tcW w:w="1732" w:type="dxa"/>
            <w:tcBorders>
              <w:left w:val="nil"/>
              <w:bottom w:val="nil"/>
              <w:right w:val="nil"/>
            </w:tcBorders>
            <w:shd w:val="clear" w:color="auto" w:fill="auto"/>
            <w:noWrap/>
            <w:vAlign w:val="bottom"/>
          </w:tcPr>
          <w:p w:rsidR="00B26CB0" w:rsidRPr="00C54BE2" w:rsidRDefault="00B26CB0" w:rsidP="00FA3873">
            <w:pPr>
              <w:jc w:val="center"/>
              <w:rPr>
                <w:rFonts w:cs="Arial"/>
                <w:color w:val="000000"/>
                <w:sz w:val="24"/>
                <w:szCs w:val="24"/>
                <w:lang w:eastAsia="en-GB"/>
              </w:rPr>
            </w:pPr>
          </w:p>
        </w:tc>
        <w:tc>
          <w:tcPr>
            <w:tcW w:w="1733" w:type="dxa"/>
            <w:tcBorders>
              <w:left w:val="nil"/>
              <w:bottom w:val="nil"/>
              <w:right w:val="nil"/>
            </w:tcBorders>
            <w:shd w:val="clear" w:color="auto" w:fill="auto"/>
            <w:noWrap/>
            <w:vAlign w:val="bottom"/>
          </w:tcPr>
          <w:p w:rsidR="00B26CB0" w:rsidRPr="00C54BE2" w:rsidRDefault="00B26CB0" w:rsidP="00FA3873">
            <w:pPr>
              <w:jc w:val="center"/>
              <w:rPr>
                <w:rFonts w:cs="Arial"/>
                <w:color w:val="000000"/>
                <w:sz w:val="24"/>
                <w:szCs w:val="24"/>
                <w:lang w:eastAsia="en-GB"/>
              </w:rPr>
            </w:pPr>
          </w:p>
        </w:tc>
        <w:tc>
          <w:tcPr>
            <w:tcW w:w="1732" w:type="dxa"/>
            <w:tcBorders>
              <w:left w:val="nil"/>
              <w:bottom w:val="nil"/>
              <w:right w:val="nil"/>
            </w:tcBorders>
            <w:shd w:val="clear" w:color="auto" w:fill="auto"/>
            <w:noWrap/>
            <w:vAlign w:val="bottom"/>
          </w:tcPr>
          <w:p w:rsidR="00B26CB0" w:rsidRPr="00C54BE2" w:rsidRDefault="00B26CB0" w:rsidP="00FA3873">
            <w:pPr>
              <w:jc w:val="center"/>
              <w:rPr>
                <w:rFonts w:cs="Arial"/>
                <w:color w:val="000000"/>
                <w:sz w:val="24"/>
                <w:szCs w:val="24"/>
                <w:lang w:eastAsia="en-GB"/>
              </w:rPr>
            </w:pPr>
          </w:p>
        </w:tc>
        <w:tc>
          <w:tcPr>
            <w:tcW w:w="1733" w:type="dxa"/>
            <w:tcBorders>
              <w:left w:val="nil"/>
              <w:bottom w:val="nil"/>
              <w:right w:val="nil"/>
            </w:tcBorders>
            <w:shd w:val="clear" w:color="auto" w:fill="auto"/>
            <w:noWrap/>
            <w:vAlign w:val="bottom"/>
          </w:tcPr>
          <w:p w:rsidR="00B26CB0" w:rsidRPr="00C54BE2" w:rsidRDefault="00B26CB0" w:rsidP="00FA3873">
            <w:pPr>
              <w:jc w:val="center"/>
              <w:rPr>
                <w:rFonts w:cs="Arial"/>
                <w:color w:val="000000"/>
                <w:sz w:val="24"/>
                <w:szCs w:val="24"/>
                <w:lang w:eastAsia="en-GB"/>
              </w:rPr>
            </w:pPr>
          </w:p>
        </w:tc>
      </w:tr>
      <w:tr w:rsidR="00B26CB0" w:rsidRPr="00C54BE2" w:rsidTr="00FA3873">
        <w:trPr>
          <w:trHeight w:val="300"/>
        </w:trPr>
        <w:tc>
          <w:tcPr>
            <w:tcW w:w="1725" w:type="dxa"/>
            <w:tcBorders>
              <w:top w:val="nil"/>
              <w:left w:val="nil"/>
              <w:bottom w:val="nil"/>
              <w:right w:val="nil"/>
            </w:tcBorders>
            <w:shd w:val="clear" w:color="auto" w:fill="auto"/>
            <w:noWrap/>
            <w:vAlign w:val="bottom"/>
            <w:hideMark/>
          </w:tcPr>
          <w:p w:rsidR="00B26CB0" w:rsidRPr="00C54BE2" w:rsidRDefault="00B26CB0" w:rsidP="00FA3873">
            <w:pPr>
              <w:ind w:left="177"/>
              <w:rPr>
                <w:rFonts w:cs="Arial"/>
                <w:color w:val="000000"/>
                <w:sz w:val="24"/>
                <w:szCs w:val="24"/>
                <w:lang w:eastAsia="en-GB"/>
              </w:rPr>
            </w:pPr>
            <w:r w:rsidRPr="00C54BE2">
              <w:rPr>
                <w:rFonts w:cs="Arial"/>
                <w:color w:val="000000"/>
                <w:sz w:val="24"/>
                <w:szCs w:val="24"/>
                <w:lang w:eastAsia="en-GB"/>
              </w:rPr>
              <w:t>1 week</w:t>
            </w:r>
          </w:p>
        </w:tc>
        <w:tc>
          <w:tcPr>
            <w:tcW w:w="1732" w:type="dxa"/>
            <w:tcBorders>
              <w:top w:val="nil"/>
              <w:left w:val="nil"/>
              <w:bottom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5.23 (2.36)</w:t>
            </w:r>
          </w:p>
        </w:tc>
        <w:tc>
          <w:tcPr>
            <w:tcW w:w="1733" w:type="dxa"/>
            <w:tcBorders>
              <w:top w:val="nil"/>
              <w:left w:val="nil"/>
              <w:bottom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7.07 (3.10)</w:t>
            </w:r>
          </w:p>
        </w:tc>
        <w:tc>
          <w:tcPr>
            <w:tcW w:w="1732" w:type="dxa"/>
            <w:tcBorders>
              <w:top w:val="nil"/>
              <w:left w:val="nil"/>
              <w:bottom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3.33 (1.54)</w:t>
            </w:r>
          </w:p>
        </w:tc>
        <w:tc>
          <w:tcPr>
            <w:tcW w:w="1733" w:type="dxa"/>
            <w:tcBorders>
              <w:top w:val="nil"/>
              <w:left w:val="nil"/>
              <w:bottom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4.81 (1.62)</w:t>
            </w:r>
          </w:p>
        </w:tc>
      </w:tr>
      <w:tr w:rsidR="00B26CB0" w:rsidRPr="00C54BE2" w:rsidTr="00FA3873">
        <w:trPr>
          <w:trHeight w:val="300"/>
        </w:trPr>
        <w:tc>
          <w:tcPr>
            <w:tcW w:w="1725" w:type="dxa"/>
            <w:tcBorders>
              <w:top w:val="nil"/>
              <w:left w:val="nil"/>
              <w:bottom w:val="nil"/>
              <w:right w:val="nil"/>
            </w:tcBorders>
            <w:shd w:val="clear" w:color="auto" w:fill="auto"/>
            <w:noWrap/>
            <w:vAlign w:val="bottom"/>
            <w:hideMark/>
          </w:tcPr>
          <w:p w:rsidR="00B26CB0" w:rsidRPr="00C54BE2" w:rsidRDefault="00B26CB0" w:rsidP="00FA3873">
            <w:pPr>
              <w:ind w:left="177"/>
              <w:rPr>
                <w:rFonts w:cs="Arial"/>
                <w:color w:val="000000"/>
                <w:sz w:val="24"/>
                <w:szCs w:val="24"/>
                <w:lang w:eastAsia="en-GB"/>
              </w:rPr>
            </w:pPr>
            <w:r w:rsidRPr="00C54BE2">
              <w:rPr>
                <w:rFonts w:cs="Arial"/>
                <w:color w:val="000000"/>
                <w:sz w:val="24"/>
                <w:szCs w:val="24"/>
                <w:lang w:eastAsia="en-GB"/>
              </w:rPr>
              <w:t>1 year</w:t>
            </w:r>
          </w:p>
        </w:tc>
        <w:tc>
          <w:tcPr>
            <w:tcW w:w="1732" w:type="dxa"/>
            <w:tcBorders>
              <w:top w:val="nil"/>
              <w:left w:val="nil"/>
              <w:bottom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4.97 (2.13)</w:t>
            </w:r>
          </w:p>
        </w:tc>
        <w:tc>
          <w:tcPr>
            <w:tcW w:w="1733" w:type="dxa"/>
            <w:tcBorders>
              <w:top w:val="nil"/>
              <w:left w:val="nil"/>
              <w:bottom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7.37 (3.24)</w:t>
            </w:r>
          </w:p>
        </w:tc>
        <w:tc>
          <w:tcPr>
            <w:tcW w:w="1732" w:type="dxa"/>
            <w:tcBorders>
              <w:top w:val="nil"/>
              <w:left w:val="nil"/>
              <w:bottom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3.07 (1.51)</w:t>
            </w:r>
          </w:p>
        </w:tc>
        <w:tc>
          <w:tcPr>
            <w:tcW w:w="1733" w:type="dxa"/>
            <w:tcBorders>
              <w:top w:val="nil"/>
              <w:left w:val="nil"/>
              <w:bottom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4.67 (1.64)</w:t>
            </w:r>
          </w:p>
        </w:tc>
      </w:tr>
      <w:tr w:rsidR="00B26CB0" w:rsidRPr="00C54BE2" w:rsidTr="00FA3873">
        <w:trPr>
          <w:trHeight w:val="300"/>
        </w:trPr>
        <w:tc>
          <w:tcPr>
            <w:tcW w:w="1725" w:type="dxa"/>
            <w:tcBorders>
              <w:top w:val="nil"/>
              <w:left w:val="nil"/>
              <w:right w:val="nil"/>
            </w:tcBorders>
            <w:shd w:val="clear" w:color="auto" w:fill="auto"/>
            <w:noWrap/>
            <w:vAlign w:val="bottom"/>
            <w:hideMark/>
          </w:tcPr>
          <w:p w:rsidR="00B26CB0" w:rsidRPr="00C54BE2" w:rsidRDefault="00B26CB0" w:rsidP="00FA3873">
            <w:pPr>
              <w:ind w:left="177"/>
              <w:rPr>
                <w:rFonts w:cs="Arial"/>
                <w:color w:val="000000"/>
                <w:sz w:val="24"/>
                <w:szCs w:val="24"/>
                <w:lang w:eastAsia="en-GB"/>
              </w:rPr>
            </w:pPr>
            <w:r w:rsidRPr="00C54BE2">
              <w:rPr>
                <w:rFonts w:cs="Arial"/>
                <w:color w:val="000000"/>
                <w:sz w:val="24"/>
                <w:szCs w:val="24"/>
                <w:lang w:eastAsia="en-GB"/>
              </w:rPr>
              <w:t>5-10 years</w:t>
            </w:r>
          </w:p>
        </w:tc>
        <w:tc>
          <w:tcPr>
            <w:tcW w:w="1732" w:type="dxa"/>
            <w:tcBorders>
              <w:top w:val="nil"/>
              <w:left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4.97 (1.94)</w:t>
            </w:r>
          </w:p>
        </w:tc>
        <w:tc>
          <w:tcPr>
            <w:tcW w:w="1733" w:type="dxa"/>
            <w:tcBorders>
              <w:top w:val="nil"/>
              <w:left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6.70 (2.40)</w:t>
            </w:r>
          </w:p>
        </w:tc>
        <w:tc>
          <w:tcPr>
            <w:tcW w:w="1732" w:type="dxa"/>
            <w:tcBorders>
              <w:top w:val="nil"/>
              <w:left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3.77 (2.06)</w:t>
            </w:r>
          </w:p>
        </w:tc>
        <w:tc>
          <w:tcPr>
            <w:tcW w:w="1733" w:type="dxa"/>
            <w:tcBorders>
              <w:top w:val="nil"/>
              <w:left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5.11 (1.67)</w:t>
            </w:r>
          </w:p>
        </w:tc>
      </w:tr>
      <w:tr w:rsidR="00B26CB0" w:rsidRPr="00C54BE2" w:rsidTr="00FA3873">
        <w:trPr>
          <w:trHeight w:val="300"/>
        </w:trPr>
        <w:tc>
          <w:tcPr>
            <w:tcW w:w="1725" w:type="dxa"/>
            <w:tcBorders>
              <w:top w:val="nil"/>
              <w:left w:val="nil"/>
              <w:bottom w:val="nil"/>
              <w:right w:val="nil"/>
            </w:tcBorders>
            <w:shd w:val="clear" w:color="auto" w:fill="auto"/>
            <w:noWrap/>
            <w:vAlign w:val="bottom"/>
            <w:hideMark/>
          </w:tcPr>
          <w:p w:rsidR="00B26CB0" w:rsidRPr="00C54BE2" w:rsidRDefault="00B26CB0" w:rsidP="00FA3873">
            <w:pPr>
              <w:ind w:left="177"/>
              <w:rPr>
                <w:rFonts w:cs="Arial"/>
                <w:color w:val="000000"/>
                <w:sz w:val="24"/>
                <w:szCs w:val="24"/>
                <w:lang w:eastAsia="en-GB"/>
              </w:rPr>
            </w:pPr>
            <w:r w:rsidRPr="00C54BE2">
              <w:rPr>
                <w:rFonts w:cs="Arial"/>
                <w:color w:val="000000"/>
                <w:sz w:val="24"/>
                <w:szCs w:val="24"/>
                <w:lang w:eastAsia="en-GB"/>
              </w:rPr>
              <w:t>All trials</w:t>
            </w:r>
          </w:p>
        </w:tc>
        <w:tc>
          <w:tcPr>
            <w:tcW w:w="1732" w:type="dxa"/>
            <w:tcBorders>
              <w:top w:val="nil"/>
              <w:left w:val="nil"/>
              <w:bottom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5.06 (1.84)</w:t>
            </w:r>
          </w:p>
        </w:tc>
        <w:tc>
          <w:tcPr>
            <w:tcW w:w="1733" w:type="dxa"/>
            <w:tcBorders>
              <w:top w:val="nil"/>
              <w:left w:val="nil"/>
              <w:bottom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7.05 (2.48)</w:t>
            </w:r>
          </w:p>
        </w:tc>
        <w:tc>
          <w:tcPr>
            <w:tcW w:w="1732" w:type="dxa"/>
            <w:tcBorders>
              <w:top w:val="nil"/>
              <w:left w:val="nil"/>
              <w:bottom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3.39 (1.39)</w:t>
            </w:r>
          </w:p>
        </w:tc>
        <w:tc>
          <w:tcPr>
            <w:tcW w:w="1733" w:type="dxa"/>
            <w:tcBorders>
              <w:top w:val="nil"/>
              <w:left w:val="nil"/>
              <w:bottom w:val="nil"/>
              <w:right w:val="nil"/>
            </w:tcBorders>
            <w:shd w:val="clear" w:color="auto" w:fill="auto"/>
            <w:noWrap/>
            <w:vAlign w:val="bottom"/>
            <w:hideMark/>
          </w:tcPr>
          <w:p w:rsidR="00B26CB0" w:rsidRPr="00C54BE2" w:rsidRDefault="00B26CB0" w:rsidP="00FA3873">
            <w:pPr>
              <w:jc w:val="center"/>
              <w:rPr>
                <w:rFonts w:cs="Arial"/>
                <w:color w:val="000000"/>
                <w:sz w:val="24"/>
                <w:szCs w:val="24"/>
                <w:lang w:eastAsia="en-GB"/>
              </w:rPr>
            </w:pPr>
            <w:r w:rsidRPr="00C54BE2">
              <w:rPr>
                <w:rFonts w:cs="Arial"/>
                <w:color w:val="000000"/>
                <w:sz w:val="24"/>
                <w:szCs w:val="24"/>
                <w:lang w:eastAsia="en-GB"/>
              </w:rPr>
              <w:t>4.86 (1.24)</w:t>
            </w:r>
          </w:p>
        </w:tc>
      </w:tr>
      <w:tr w:rsidR="00B26CB0" w:rsidRPr="00C54BE2" w:rsidTr="00FA3873">
        <w:trPr>
          <w:trHeight w:val="300"/>
        </w:trPr>
        <w:tc>
          <w:tcPr>
            <w:tcW w:w="3457" w:type="dxa"/>
            <w:gridSpan w:val="2"/>
            <w:tcBorders>
              <w:top w:val="nil"/>
              <w:left w:val="nil"/>
              <w:bottom w:val="nil"/>
              <w:right w:val="nil"/>
            </w:tcBorders>
            <w:shd w:val="clear" w:color="auto" w:fill="auto"/>
            <w:noWrap/>
            <w:vAlign w:val="bottom"/>
          </w:tcPr>
          <w:p w:rsidR="00B26CB0" w:rsidRPr="00C54BE2" w:rsidRDefault="00B26CB0" w:rsidP="00FA3873">
            <w:pPr>
              <w:rPr>
                <w:rFonts w:cs="Arial"/>
                <w:color w:val="000000"/>
                <w:sz w:val="24"/>
                <w:szCs w:val="24"/>
              </w:rPr>
            </w:pPr>
            <w:r w:rsidRPr="00C54BE2">
              <w:rPr>
                <w:rFonts w:cs="Arial"/>
                <w:color w:val="000000"/>
                <w:sz w:val="24"/>
                <w:szCs w:val="24"/>
                <w:lang w:eastAsia="en-GB"/>
              </w:rPr>
              <w:t>FTT-likelihood</w:t>
            </w:r>
          </w:p>
        </w:tc>
        <w:tc>
          <w:tcPr>
            <w:tcW w:w="1733" w:type="dxa"/>
            <w:tcBorders>
              <w:top w:val="nil"/>
              <w:left w:val="nil"/>
              <w:bottom w:val="nil"/>
              <w:right w:val="nil"/>
            </w:tcBorders>
            <w:shd w:val="clear" w:color="auto" w:fill="auto"/>
            <w:noWrap/>
            <w:vAlign w:val="bottom"/>
          </w:tcPr>
          <w:p w:rsidR="00B26CB0" w:rsidRPr="00C54BE2" w:rsidRDefault="00B26CB0" w:rsidP="00FA3873">
            <w:pPr>
              <w:jc w:val="center"/>
              <w:rPr>
                <w:rFonts w:cs="Arial"/>
                <w:color w:val="000000"/>
                <w:sz w:val="24"/>
                <w:szCs w:val="24"/>
              </w:rPr>
            </w:pPr>
          </w:p>
        </w:tc>
        <w:tc>
          <w:tcPr>
            <w:tcW w:w="1732" w:type="dxa"/>
            <w:tcBorders>
              <w:top w:val="nil"/>
              <w:left w:val="nil"/>
              <w:bottom w:val="nil"/>
              <w:right w:val="nil"/>
            </w:tcBorders>
            <w:shd w:val="clear" w:color="auto" w:fill="auto"/>
            <w:noWrap/>
            <w:vAlign w:val="bottom"/>
          </w:tcPr>
          <w:p w:rsidR="00B26CB0" w:rsidRPr="00C54BE2" w:rsidRDefault="00B26CB0" w:rsidP="00FA3873">
            <w:pPr>
              <w:jc w:val="center"/>
              <w:rPr>
                <w:rFonts w:cs="Arial"/>
                <w:color w:val="000000"/>
                <w:sz w:val="24"/>
                <w:szCs w:val="24"/>
              </w:rPr>
            </w:pPr>
          </w:p>
        </w:tc>
        <w:tc>
          <w:tcPr>
            <w:tcW w:w="1733" w:type="dxa"/>
            <w:tcBorders>
              <w:top w:val="nil"/>
              <w:left w:val="nil"/>
              <w:bottom w:val="nil"/>
              <w:right w:val="nil"/>
            </w:tcBorders>
            <w:shd w:val="clear" w:color="auto" w:fill="auto"/>
            <w:noWrap/>
            <w:vAlign w:val="bottom"/>
          </w:tcPr>
          <w:p w:rsidR="00B26CB0" w:rsidRPr="00C54BE2" w:rsidRDefault="00B26CB0" w:rsidP="00FA3873">
            <w:pPr>
              <w:jc w:val="center"/>
              <w:rPr>
                <w:rFonts w:cs="Arial"/>
                <w:color w:val="000000"/>
                <w:sz w:val="24"/>
                <w:szCs w:val="24"/>
              </w:rPr>
            </w:pPr>
          </w:p>
        </w:tc>
      </w:tr>
      <w:tr w:rsidR="00B26CB0" w:rsidRPr="00C54BE2" w:rsidTr="00FA3873">
        <w:trPr>
          <w:trHeight w:val="300"/>
        </w:trPr>
        <w:tc>
          <w:tcPr>
            <w:tcW w:w="1725" w:type="dxa"/>
            <w:tcBorders>
              <w:top w:val="nil"/>
              <w:left w:val="nil"/>
              <w:right w:val="nil"/>
            </w:tcBorders>
            <w:shd w:val="clear" w:color="auto" w:fill="auto"/>
            <w:noWrap/>
            <w:vAlign w:val="bottom"/>
          </w:tcPr>
          <w:p w:rsidR="00B26CB0" w:rsidRPr="00C54BE2" w:rsidRDefault="00B26CB0" w:rsidP="00FA3873">
            <w:pPr>
              <w:ind w:left="177"/>
              <w:rPr>
                <w:rFonts w:cs="Arial"/>
                <w:color w:val="000000"/>
                <w:sz w:val="24"/>
                <w:szCs w:val="24"/>
                <w:lang w:eastAsia="en-GB"/>
              </w:rPr>
            </w:pPr>
            <w:r w:rsidRPr="00C54BE2">
              <w:rPr>
                <w:rFonts w:cs="Arial"/>
                <w:color w:val="000000"/>
                <w:sz w:val="24"/>
                <w:szCs w:val="24"/>
                <w:lang w:eastAsia="en-GB"/>
              </w:rPr>
              <w:t>All trials</w:t>
            </w:r>
          </w:p>
        </w:tc>
        <w:tc>
          <w:tcPr>
            <w:tcW w:w="1732" w:type="dxa"/>
            <w:tcBorders>
              <w:top w:val="nil"/>
              <w:left w:val="nil"/>
              <w:right w:val="nil"/>
            </w:tcBorders>
            <w:shd w:val="clear" w:color="auto" w:fill="auto"/>
            <w:noWrap/>
            <w:vAlign w:val="bottom"/>
          </w:tcPr>
          <w:p w:rsidR="00B26CB0" w:rsidRPr="00C54BE2" w:rsidRDefault="00B26CB0" w:rsidP="00FA3873">
            <w:pPr>
              <w:jc w:val="center"/>
              <w:rPr>
                <w:rFonts w:cs="Arial"/>
                <w:color w:val="000000"/>
                <w:sz w:val="24"/>
                <w:szCs w:val="24"/>
              </w:rPr>
            </w:pPr>
            <w:r w:rsidRPr="00C54BE2">
              <w:rPr>
                <w:rFonts w:cs="Arial"/>
                <w:color w:val="000000"/>
                <w:sz w:val="24"/>
                <w:szCs w:val="24"/>
              </w:rPr>
              <w:t>5.56 (0.91)</w:t>
            </w:r>
          </w:p>
        </w:tc>
        <w:tc>
          <w:tcPr>
            <w:tcW w:w="1733" w:type="dxa"/>
            <w:tcBorders>
              <w:top w:val="nil"/>
              <w:left w:val="nil"/>
              <w:right w:val="nil"/>
            </w:tcBorders>
            <w:shd w:val="clear" w:color="auto" w:fill="auto"/>
            <w:noWrap/>
            <w:vAlign w:val="bottom"/>
          </w:tcPr>
          <w:p w:rsidR="00B26CB0" w:rsidRPr="00C54BE2" w:rsidRDefault="00B26CB0" w:rsidP="00FA3873">
            <w:pPr>
              <w:jc w:val="center"/>
              <w:rPr>
                <w:rFonts w:cs="Arial"/>
                <w:color w:val="000000"/>
                <w:sz w:val="24"/>
                <w:szCs w:val="24"/>
              </w:rPr>
            </w:pPr>
            <w:r w:rsidRPr="00C54BE2">
              <w:rPr>
                <w:rFonts w:cs="Arial"/>
                <w:color w:val="000000"/>
                <w:sz w:val="24"/>
                <w:szCs w:val="24"/>
              </w:rPr>
              <w:t>5.46 (0.59)</w:t>
            </w:r>
          </w:p>
        </w:tc>
        <w:tc>
          <w:tcPr>
            <w:tcW w:w="1732" w:type="dxa"/>
            <w:tcBorders>
              <w:top w:val="nil"/>
              <w:left w:val="nil"/>
              <w:right w:val="nil"/>
            </w:tcBorders>
            <w:shd w:val="clear" w:color="auto" w:fill="auto"/>
            <w:noWrap/>
            <w:vAlign w:val="bottom"/>
          </w:tcPr>
          <w:p w:rsidR="00B26CB0" w:rsidRPr="00C54BE2" w:rsidRDefault="00B26CB0" w:rsidP="00FA3873">
            <w:pPr>
              <w:jc w:val="center"/>
              <w:rPr>
                <w:rFonts w:cs="Arial"/>
                <w:color w:val="000000"/>
                <w:sz w:val="24"/>
                <w:szCs w:val="24"/>
              </w:rPr>
            </w:pPr>
            <w:r w:rsidRPr="00C54BE2">
              <w:rPr>
                <w:rFonts w:cs="Arial"/>
                <w:color w:val="000000"/>
                <w:sz w:val="24"/>
                <w:szCs w:val="24"/>
              </w:rPr>
              <w:t>4.53 (1.52)</w:t>
            </w:r>
          </w:p>
        </w:tc>
        <w:tc>
          <w:tcPr>
            <w:tcW w:w="1733" w:type="dxa"/>
            <w:tcBorders>
              <w:top w:val="nil"/>
              <w:left w:val="nil"/>
              <w:right w:val="nil"/>
            </w:tcBorders>
            <w:shd w:val="clear" w:color="auto" w:fill="auto"/>
            <w:noWrap/>
            <w:vAlign w:val="bottom"/>
          </w:tcPr>
          <w:p w:rsidR="00B26CB0" w:rsidRPr="00C54BE2" w:rsidRDefault="00B26CB0" w:rsidP="00FA3873">
            <w:pPr>
              <w:jc w:val="center"/>
              <w:rPr>
                <w:rFonts w:cs="Arial"/>
                <w:color w:val="000000"/>
                <w:sz w:val="24"/>
                <w:szCs w:val="24"/>
              </w:rPr>
            </w:pPr>
            <w:r w:rsidRPr="00C54BE2">
              <w:rPr>
                <w:rFonts w:cs="Arial"/>
                <w:color w:val="000000"/>
                <w:sz w:val="24"/>
                <w:szCs w:val="24"/>
              </w:rPr>
              <w:t>4.49 (1.22)</w:t>
            </w:r>
          </w:p>
        </w:tc>
      </w:tr>
      <w:tr w:rsidR="00B26CB0" w:rsidRPr="00C54BE2" w:rsidTr="00FA3873">
        <w:trPr>
          <w:trHeight w:val="300"/>
        </w:trPr>
        <w:tc>
          <w:tcPr>
            <w:tcW w:w="1725" w:type="dxa"/>
            <w:tcBorders>
              <w:top w:val="nil"/>
              <w:left w:val="nil"/>
              <w:right w:val="nil"/>
            </w:tcBorders>
            <w:shd w:val="clear" w:color="auto" w:fill="auto"/>
            <w:noWrap/>
            <w:vAlign w:val="bottom"/>
          </w:tcPr>
          <w:p w:rsidR="00B26CB0" w:rsidRPr="00C54BE2" w:rsidRDefault="00B26CB0" w:rsidP="00FA3873">
            <w:pPr>
              <w:rPr>
                <w:rFonts w:cs="Arial"/>
                <w:color w:val="000000"/>
                <w:sz w:val="24"/>
                <w:szCs w:val="24"/>
                <w:lang w:eastAsia="en-GB"/>
              </w:rPr>
            </w:pPr>
            <w:r w:rsidRPr="00C54BE2">
              <w:rPr>
                <w:rFonts w:cs="Arial"/>
                <w:color w:val="000000"/>
                <w:sz w:val="24"/>
                <w:szCs w:val="24"/>
                <w:lang w:eastAsia="en-GB"/>
              </w:rPr>
              <w:t>FTT-affect</w:t>
            </w:r>
          </w:p>
        </w:tc>
        <w:tc>
          <w:tcPr>
            <w:tcW w:w="1732" w:type="dxa"/>
            <w:tcBorders>
              <w:top w:val="nil"/>
              <w:left w:val="nil"/>
              <w:right w:val="nil"/>
            </w:tcBorders>
            <w:shd w:val="clear" w:color="auto" w:fill="auto"/>
            <w:noWrap/>
            <w:vAlign w:val="bottom"/>
          </w:tcPr>
          <w:p w:rsidR="00B26CB0" w:rsidRPr="00C54BE2" w:rsidRDefault="00B26CB0" w:rsidP="00FA3873">
            <w:pPr>
              <w:jc w:val="center"/>
              <w:rPr>
                <w:rFonts w:cs="Arial"/>
                <w:color w:val="000000"/>
                <w:sz w:val="24"/>
                <w:szCs w:val="24"/>
              </w:rPr>
            </w:pPr>
          </w:p>
        </w:tc>
        <w:tc>
          <w:tcPr>
            <w:tcW w:w="1733" w:type="dxa"/>
            <w:tcBorders>
              <w:top w:val="nil"/>
              <w:left w:val="nil"/>
              <w:right w:val="nil"/>
            </w:tcBorders>
            <w:shd w:val="clear" w:color="auto" w:fill="auto"/>
            <w:noWrap/>
            <w:vAlign w:val="bottom"/>
          </w:tcPr>
          <w:p w:rsidR="00B26CB0" w:rsidRPr="00C54BE2" w:rsidRDefault="00B26CB0" w:rsidP="00FA3873">
            <w:pPr>
              <w:jc w:val="center"/>
              <w:rPr>
                <w:rFonts w:cs="Arial"/>
                <w:color w:val="000000"/>
                <w:sz w:val="24"/>
                <w:szCs w:val="24"/>
              </w:rPr>
            </w:pPr>
          </w:p>
        </w:tc>
        <w:tc>
          <w:tcPr>
            <w:tcW w:w="1732" w:type="dxa"/>
            <w:tcBorders>
              <w:top w:val="nil"/>
              <w:left w:val="nil"/>
              <w:right w:val="nil"/>
            </w:tcBorders>
            <w:shd w:val="clear" w:color="auto" w:fill="auto"/>
            <w:noWrap/>
            <w:vAlign w:val="bottom"/>
          </w:tcPr>
          <w:p w:rsidR="00B26CB0" w:rsidRPr="00C54BE2" w:rsidRDefault="00B26CB0" w:rsidP="00FA3873">
            <w:pPr>
              <w:jc w:val="center"/>
              <w:rPr>
                <w:rFonts w:cs="Arial"/>
                <w:color w:val="000000"/>
                <w:sz w:val="24"/>
                <w:szCs w:val="24"/>
              </w:rPr>
            </w:pPr>
          </w:p>
        </w:tc>
        <w:tc>
          <w:tcPr>
            <w:tcW w:w="1733" w:type="dxa"/>
            <w:tcBorders>
              <w:top w:val="nil"/>
              <w:left w:val="nil"/>
              <w:right w:val="nil"/>
            </w:tcBorders>
            <w:shd w:val="clear" w:color="auto" w:fill="auto"/>
            <w:noWrap/>
            <w:vAlign w:val="bottom"/>
          </w:tcPr>
          <w:p w:rsidR="00B26CB0" w:rsidRPr="00C54BE2" w:rsidRDefault="00B26CB0" w:rsidP="00FA3873">
            <w:pPr>
              <w:jc w:val="center"/>
              <w:rPr>
                <w:rFonts w:cs="Arial"/>
                <w:color w:val="000000"/>
                <w:sz w:val="24"/>
                <w:szCs w:val="24"/>
              </w:rPr>
            </w:pPr>
          </w:p>
        </w:tc>
      </w:tr>
      <w:tr w:rsidR="00B26CB0" w:rsidRPr="00C54BE2" w:rsidTr="00FA3873">
        <w:trPr>
          <w:trHeight w:val="300"/>
        </w:trPr>
        <w:tc>
          <w:tcPr>
            <w:tcW w:w="1725" w:type="dxa"/>
            <w:tcBorders>
              <w:left w:val="nil"/>
              <w:bottom w:val="single" w:sz="4" w:space="0" w:color="auto"/>
              <w:right w:val="nil"/>
            </w:tcBorders>
            <w:shd w:val="clear" w:color="auto" w:fill="auto"/>
            <w:noWrap/>
            <w:vAlign w:val="bottom"/>
          </w:tcPr>
          <w:p w:rsidR="00B26CB0" w:rsidRPr="00C54BE2" w:rsidRDefault="00B26CB0" w:rsidP="00FA3873">
            <w:pPr>
              <w:ind w:left="177"/>
              <w:rPr>
                <w:rFonts w:cs="Arial"/>
                <w:color w:val="000000"/>
                <w:sz w:val="24"/>
                <w:szCs w:val="24"/>
                <w:lang w:eastAsia="en-GB"/>
              </w:rPr>
            </w:pPr>
            <w:r w:rsidRPr="00C54BE2">
              <w:rPr>
                <w:rFonts w:cs="Arial"/>
                <w:color w:val="000000"/>
                <w:sz w:val="24"/>
                <w:szCs w:val="24"/>
                <w:lang w:eastAsia="en-GB"/>
              </w:rPr>
              <w:t>All trials</w:t>
            </w:r>
          </w:p>
        </w:tc>
        <w:tc>
          <w:tcPr>
            <w:tcW w:w="1732" w:type="dxa"/>
            <w:tcBorders>
              <w:left w:val="nil"/>
              <w:bottom w:val="single" w:sz="4" w:space="0" w:color="auto"/>
              <w:right w:val="nil"/>
            </w:tcBorders>
            <w:shd w:val="clear" w:color="auto" w:fill="auto"/>
            <w:noWrap/>
            <w:vAlign w:val="bottom"/>
          </w:tcPr>
          <w:p w:rsidR="00B26CB0" w:rsidRPr="00C54BE2" w:rsidRDefault="00B26CB0" w:rsidP="00FA3873">
            <w:pPr>
              <w:jc w:val="center"/>
              <w:rPr>
                <w:rFonts w:cs="Arial"/>
                <w:color w:val="000000"/>
                <w:sz w:val="24"/>
                <w:szCs w:val="24"/>
              </w:rPr>
            </w:pPr>
            <w:r w:rsidRPr="00C54BE2">
              <w:rPr>
                <w:rFonts w:cs="Arial"/>
                <w:color w:val="000000"/>
                <w:sz w:val="24"/>
                <w:szCs w:val="24"/>
              </w:rPr>
              <w:t>2.24 (0.56)</w:t>
            </w:r>
          </w:p>
        </w:tc>
        <w:tc>
          <w:tcPr>
            <w:tcW w:w="1733" w:type="dxa"/>
            <w:tcBorders>
              <w:left w:val="nil"/>
              <w:bottom w:val="single" w:sz="4" w:space="0" w:color="auto"/>
              <w:right w:val="nil"/>
            </w:tcBorders>
            <w:shd w:val="clear" w:color="auto" w:fill="auto"/>
            <w:noWrap/>
            <w:vAlign w:val="bottom"/>
          </w:tcPr>
          <w:p w:rsidR="00B26CB0" w:rsidRPr="00C54BE2" w:rsidRDefault="00B26CB0" w:rsidP="00FA3873">
            <w:pPr>
              <w:jc w:val="center"/>
              <w:rPr>
                <w:rFonts w:cs="Arial"/>
                <w:color w:val="000000"/>
                <w:sz w:val="24"/>
                <w:szCs w:val="24"/>
              </w:rPr>
            </w:pPr>
            <w:r w:rsidRPr="00C54BE2">
              <w:rPr>
                <w:rFonts w:cs="Arial"/>
                <w:color w:val="000000"/>
                <w:sz w:val="24"/>
                <w:szCs w:val="24"/>
              </w:rPr>
              <w:t>2.25 (0.42)</w:t>
            </w:r>
          </w:p>
        </w:tc>
        <w:tc>
          <w:tcPr>
            <w:tcW w:w="1732" w:type="dxa"/>
            <w:tcBorders>
              <w:left w:val="nil"/>
              <w:bottom w:val="single" w:sz="4" w:space="0" w:color="auto"/>
              <w:right w:val="nil"/>
            </w:tcBorders>
            <w:shd w:val="clear" w:color="auto" w:fill="auto"/>
            <w:noWrap/>
            <w:vAlign w:val="bottom"/>
          </w:tcPr>
          <w:p w:rsidR="00B26CB0" w:rsidRPr="00C54BE2" w:rsidRDefault="00B26CB0" w:rsidP="00FA3873">
            <w:pPr>
              <w:jc w:val="center"/>
              <w:rPr>
                <w:rFonts w:cs="Arial"/>
                <w:color w:val="000000"/>
                <w:sz w:val="24"/>
                <w:szCs w:val="24"/>
              </w:rPr>
            </w:pPr>
            <w:r w:rsidRPr="00C54BE2">
              <w:rPr>
                <w:rFonts w:cs="Arial"/>
                <w:color w:val="000000"/>
                <w:sz w:val="24"/>
                <w:szCs w:val="24"/>
              </w:rPr>
              <w:t>1.62 (0.75)</w:t>
            </w:r>
          </w:p>
        </w:tc>
        <w:tc>
          <w:tcPr>
            <w:tcW w:w="1733" w:type="dxa"/>
            <w:tcBorders>
              <w:left w:val="nil"/>
              <w:bottom w:val="single" w:sz="4" w:space="0" w:color="auto"/>
              <w:right w:val="nil"/>
            </w:tcBorders>
            <w:shd w:val="clear" w:color="auto" w:fill="auto"/>
            <w:noWrap/>
            <w:vAlign w:val="bottom"/>
          </w:tcPr>
          <w:p w:rsidR="00B26CB0" w:rsidRPr="00C54BE2" w:rsidRDefault="00B26CB0" w:rsidP="00FA3873">
            <w:pPr>
              <w:jc w:val="center"/>
              <w:rPr>
                <w:rFonts w:cs="Arial"/>
                <w:color w:val="000000"/>
                <w:sz w:val="24"/>
                <w:szCs w:val="24"/>
              </w:rPr>
            </w:pPr>
            <w:r w:rsidRPr="00C54BE2">
              <w:rPr>
                <w:rFonts w:cs="Arial"/>
                <w:color w:val="000000"/>
                <w:sz w:val="24"/>
                <w:szCs w:val="24"/>
              </w:rPr>
              <w:t>1.60 (0.59)</w:t>
            </w:r>
          </w:p>
        </w:tc>
      </w:tr>
    </w:tbl>
    <w:p w:rsidR="00B26CB0" w:rsidRPr="00C54BE2" w:rsidRDefault="00B26CB0" w:rsidP="00FA3873">
      <w:pPr>
        <w:rPr>
          <w:rFonts w:ascii="Calibri" w:hAnsi="Calibri" w:cs="Times New Roman"/>
          <w:sz w:val="24"/>
          <w:szCs w:val="24"/>
        </w:rPr>
      </w:pPr>
      <w:r w:rsidRPr="00C54BE2">
        <w:rPr>
          <w:rFonts w:ascii="Calibri" w:hAnsi="Calibri" w:cs="Times New Roman"/>
          <w:sz w:val="24"/>
          <w:szCs w:val="24"/>
        </w:rPr>
        <w:t>Note. FTT = Future Thinking Task.</w:t>
      </w:r>
    </w:p>
    <w:p w:rsidR="00B26CB0" w:rsidRPr="00222E7C" w:rsidRDefault="00B26CB0" w:rsidP="00FA3873">
      <w:pPr>
        <w:rPr>
          <w:rFonts w:ascii="Times New Roman" w:hAnsi="Times New Roman" w:cs="Times New Roman"/>
          <w:sz w:val="24"/>
          <w:szCs w:val="24"/>
        </w:rPr>
      </w:pPr>
      <w:r w:rsidRPr="00222E7C">
        <w:rPr>
          <w:rFonts w:ascii="Times New Roman" w:hAnsi="Times New Roman" w:cs="Times New Roman"/>
          <w:sz w:val="24"/>
          <w:szCs w:val="24"/>
        </w:rPr>
        <w:br w:type="page"/>
      </w:r>
    </w:p>
    <w:p w:rsidR="00B26CB0" w:rsidRPr="00222E7C" w:rsidRDefault="00B26CB0" w:rsidP="00FA3873">
      <w:pPr>
        <w:rPr>
          <w:rFonts w:ascii="Times New Roman" w:hAnsi="Times New Roman" w:cs="Times New Roman"/>
          <w:sz w:val="24"/>
          <w:szCs w:val="24"/>
        </w:rPr>
      </w:pPr>
      <w:r w:rsidRPr="00222E7C">
        <w:rPr>
          <w:rFonts w:ascii="Times New Roman" w:hAnsi="Times New Roman" w:cs="Times New Roman"/>
          <w:b/>
          <w:sz w:val="24"/>
          <w:szCs w:val="24"/>
        </w:rPr>
        <w:lastRenderedPageBreak/>
        <w:t>Table 3. Bivariate correlations between clinical symptoms and FTT variables.</w:t>
      </w:r>
    </w:p>
    <w:tbl>
      <w:tblPr>
        <w:tblW w:w="9391" w:type="dxa"/>
        <w:tblInd w:w="93" w:type="dxa"/>
        <w:tblBorders>
          <w:top w:val="single" w:sz="4" w:space="0" w:color="auto"/>
          <w:bottom w:val="single" w:sz="4" w:space="0" w:color="auto"/>
        </w:tblBorders>
        <w:tblLook w:val="04A0" w:firstRow="1" w:lastRow="0" w:firstColumn="1" w:lastColumn="0" w:noHBand="0" w:noVBand="1"/>
      </w:tblPr>
      <w:tblGrid>
        <w:gridCol w:w="1005"/>
        <w:gridCol w:w="1618"/>
        <w:gridCol w:w="1078"/>
        <w:gridCol w:w="1078"/>
        <w:gridCol w:w="1076"/>
        <w:gridCol w:w="1060"/>
        <w:gridCol w:w="1238"/>
        <w:gridCol w:w="1238"/>
      </w:tblGrid>
      <w:tr w:rsidR="00B26CB0" w:rsidRPr="00C54BE2" w:rsidTr="00FA3873">
        <w:trPr>
          <w:trHeight w:val="300"/>
        </w:trPr>
        <w:tc>
          <w:tcPr>
            <w:tcW w:w="1005" w:type="dxa"/>
            <w:tcBorders>
              <w:top w:val="single" w:sz="4" w:space="0" w:color="auto"/>
              <w:bottom w:val="single" w:sz="4" w:space="0" w:color="auto"/>
            </w:tcBorders>
            <w:shd w:val="clear" w:color="auto" w:fill="auto"/>
            <w:noWrap/>
            <w:vAlign w:val="bottom"/>
            <w:hideMark/>
          </w:tcPr>
          <w:p w:rsidR="00B26CB0" w:rsidRPr="00C54BE2" w:rsidRDefault="00B26CB0" w:rsidP="00FA3873">
            <w:pPr>
              <w:jc w:val="center"/>
              <w:rPr>
                <w:rFonts w:ascii="Calibri" w:hAnsi="Calibri"/>
                <w:color w:val="000000"/>
                <w:sz w:val="24"/>
                <w:szCs w:val="24"/>
                <w:lang w:eastAsia="en-GB"/>
              </w:rPr>
            </w:pPr>
          </w:p>
        </w:tc>
        <w:tc>
          <w:tcPr>
            <w:tcW w:w="1618" w:type="dxa"/>
            <w:tcBorders>
              <w:top w:val="single" w:sz="4" w:space="0" w:color="auto"/>
              <w:bottom w:val="single" w:sz="4" w:space="0" w:color="auto"/>
            </w:tcBorders>
            <w:shd w:val="clear" w:color="auto" w:fill="auto"/>
            <w:noWrap/>
            <w:vAlign w:val="bottom"/>
            <w:hideMark/>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CDSS</w:t>
            </w:r>
          </w:p>
        </w:tc>
        <w:tc>
          <w:tcPr>
            <w:tcW w:w="1078" w:type="dxa"/>
            <w:tcBorders>
              <w:top w:val="single" w:sz="4" w:space="0" w:color="auto"/>
              <w:bottom w:val="single" w:sz="4" w:space="0" w:color="auto"/>
            </w:tcBorders>
            <w:shd w:val="clear" w:color="auto" w:fill="auto"/>
            <w:noWrap/>
            <w:vAlign w:val="bottom"/>
            <w:hideMark/>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GAD-7</w:t>
            </w:r>
          </w:p>
        </w:tc>
        <w:tc>
          <w:tcPr>
            <w:tcW w:w="1078" w:type="dxa"/>
            <w:tcBorders>
              <w:top w:val="single" w:sz="4" w:space="0" w:color="auto"/>
              <w:bottom w:val="single" w:sz="4" w:space="0" w:color="auto"/>
            </w:tcBorders>
            <w:shd w:val="clear" w:color="auto" w:fill="auto"/>
            <w:noWrap/>
            <w:vAlign w:val="bottom"/>
            <w:hideMark/>
          </w:tcPr>
          <w:p w:rsidR="00B26CB0" w:rsidRPr="00C54BE2" w:rsidRDefault="00B26CB0" w:rsidP="00FA3873">
            <w:pPr>
              <w:jc w:val="center"/>
              <w:rPr>
                <w:rFonts w:ascii="Calibri" w:hAnsi="Calibri"/>
                <w:color w:val="000000"/>
                <w:sz w:val="24"/>
                <w:szCs w:val="24"/>
                <w:lang w:eastAsia="en-GB"/>
              </w:rPr>
            </w:pPr>
          </w:p>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BHS</w:t>
            </w:r>
          </w:p>
        </w:tc>
        <w:tc>
          <w:tcPr>
            <w:tcW w:w="1153" w:type="dxa"/>
            <w:tcBorders>
              <w:top w:val="single" w:sz="4" w:space="0" w:color="auto"/>
              <w:bottom w:val="single" w:sz="4" w:space="0" w:color="auto"/>
            </w:tcBorders>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SANS</w:t>
            </w:r>
          </w:p>
        </w:tc>
        <w:tc>
          <w:tcPr>
            <w:tcW w:w="1153" w:type="dxa"/>
            <w:tcBorders>
              <w:top w:val="single" w:sz="4" w:space="0" w:color="auto"/>
              <w:bottom w:val="single" w:sz="4" w:space="0" w:color="auto"/>
            </w:tcBorders>
            <w:vAlign w:val="bottom"/>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SSI</w:t>
            </w:r>
          </w:p>
        </w:tc>
        <w:tc>
          <w:tcPr>
            <w:tcW w:w="1153" w:type="dxa"/>
            <w:tcBorders>
              <w:top w:val="single" w:sz="4" w:space="0" w:color="auto"/>
              <w:bottom w:val="single" w:sz="4" w:space="0" w:color="auto"/>
            </w:tcBorders>
            <w:shd w:val="clear" w:color="auto" w:fill="auto"/>
            <w:noWrap/>
            <w:vAlign w:val="bottom"/>
            <w:hideMark/>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PFT composite</w:t>
            </w:r>
          </w:p>
        </w:tc>
        <w:tc>
          <w:tcPr>
            <w:tcW w:w="1153" w:type="dxa"/>
            <w:tcBorders>
              <w:top w:val="single" w:sz="4" w:space="0" w:color="auto"/>
              <w:bottom w:val="single" w:sz="4" w:space="0" w:color="auto"/>
            </w:tcBorders>
            <w:shd w:val="clear" w:color="auto" w:fill="auto"/>
            <w:noWrap/>
            <w:vAlign w:val="bottom"/>
            <w:hideMark/>
          </w:tcPr>
          <w:p w:rsidR="00B26CB0" w:rsidRPr="00C54BE2" w:rsidRDefault="00B26CB0" w:rsidP="00FA3873">
            <w:pPr>
              <w:jc w:val="center"/>
              <w:rPr>
                <w:rFonts w:ascii="Calibri" w:hAnsi="Calibri"/>
                <w:color w:val="000000"/>
                <w:sz w:val="24"/>
                <w:szCs w:val="24"/>
                <w:lang w:eastAsia="en-GB"/>
              </w:rPr>
            </w:pPr>
            <w:r w:rsidRPr="00C54BE2">
              <w:rPr>
                <w:rFonts w:ascii="Calibri" w:hAnsi="Calibri"/>
                <w:color w:val="000000"/>
                <w:sz w:val="24"/>
                <w:szCs w:val="24"/>
                <w:lang w:eastAsia="en-GB"/>
              </w:rPr>
              <w:t>NFT composite</w:t>
            </w:r>
          </w:p>
        </w:tc>
      </w:tr>
      <w:tr w:rsidR="00B26CB0" w:rsidRPr="00C54BE2" w:rsidTr="00FA3873">
        <w:trPr>
          <w:trHeight w:val="300"/>
        </w:trPr>
        <w:tc>
          <w:tcPr>
            <w:tcW w:w="1005" w:type="dxa"/>
            <w:tcBorders>
              <w:top w:val="single" w:sz="4" w:space="0" w:color="auto"/>
            </w:tcBorders>
            <w:shd w:val="clear" w:color="auto" w:fill="auto"/>
            <w:noWrap/>
            <w:vAlign w:val="bottom"/>
            <w:hideMark/>
          </w:tcPr>
          <w:p w:rsidR="00B26CB0" w:rsidRPr="00C54BE2" w:rsidRDefault="00B26CB0" w:rsidP="00FA3873">
            <w:pPr>
              <w:rPr>
                <w:rFonts w:ascii="Calibri" w:hAnsi="Calibri"/>
                <w:color w:val="000000"/>
                <w:sz w:val="24"/>
                <w:szCs w:val="24"/>
                <w:lang w:eastAsia="en-GB"/>
              </w:rPr>
            </w:pPr>
            <w:r w:rsidRPr="00C54BE2">
              <w:rPr>
                <w:rFonts w:ascii="Calibri" w:hAnsi="Calibri"/>
                <w:color w:val="000000"/>
                <w:sz w:val="24"/>
                <w:szCs w:val="24"/>
                <w:lang w:eastAsia="en-GB"/>
              </w:rPr>
              <w:t>CDSS</w:t>
            </w:r>
          </w:p>
        </w:tc>
        <w:tc>
          <w:tcPr>
            <w:tcW w:w="1618" w:type="dxa"/>
            <w:tcBorders>
              <w:top w:val="single" w:sz="4" w:space="0" w:color="auto"/>
            </w:tcBorders>
            <w:shd w:val="clear" w:color="auto" w:fill="auto"/>
            <w:noWrap/>
            <w:vAlign w:val="bottom"/>
            <w:hideMark/>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w:t>
            </w:r>
          </w:p>
        </w:tc>
        <w:tc>
          <w:tcPr>
            <w:tcW w:w="1078" w:type="dxa"/>
            <w:tcBorders>
              <w:top w:val="single" w:sz="4" w:space="0" w:color="auto"/>
            </w:tcBorders>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.84***</w:t>
            </w:r>
          </w:p>
        </w:tc>
        <w:tc>
          <w:tcPr>
            <w:tcW w:w="1078" w:type="dxa"/>
            <w:tcBorders>
              <w:top w:val="single" w:sz="4" w:space="0" w:color="auto"/>
            </w:tcBorders>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.67***</w:t>
            </w:r>
          </w:p>
        </w:tc>
        <w:tc>
          <w:tcPr>
            <w:tcW w:w="1153" w:type="dxa"/>
            <w:tcBorders>
              <w:top w:val="single" w:sz="4" w:space="0" w:color="auto"/>
            </w:tcBorders>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.33</w:t>
            </w:r>
          </w:p>
        </w:tc>
        <w:tc>
          <w:tcPr>
            <w:tcW w:w="1153" w:type="dxa"/>
            <w:tcBorders>
              <w:top w:val="single" w:sz="4" w:space="0" w:color="auto"/>
            </w:tcBorders>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.37*</w:t>
            </w:r>
          </w:p>
        </w:tc>
        <w:tc>
          <w:tcPr>
            <w:tcW w:w="1153" w:type="dxa"/>
            <w:tcBorders>
              <w:top w:val="single" w:sz="4" w:space="0" w:color="auto"/>
            </w:tcBorders>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-.25</w:t>
            </w:r>
          </w:p>
        </w:tc>
        <w:tc>
          <w:tcPr>
            <w:tcW w:w="1153" w:type="dxa"/>
            <w:tcBorders>
              <w:top w:val="single" w:sz="4" w:space="0" w:color="auto"/>
            </w:tcBorders>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.28</w:t>
            </w:r>
          </w:p>
        </w:tc>
      </w:tr>
      <w:tr w:rsidR="00B26CB0" w:rsidRPr="00C54BE2" w:rsidTr="00FA3873">
        <w:trPr>
          <w:trHeight w:val="300"/>
        </w:trPr>
        <w:tc>
          <w:tcPr>
            <w:tcW w:w="1005" w:type="dxa"/>
            <w:shd w:val="clear" w:color="auto" w:fill="auto"/>
            <w:noWrap/>
            <w:vAlign w:val="bottom"/>
            <w:hideMark/>
          </w:tcPr>
          <w:p w:rsidR="00B26CB0" w:rsidRPr="00C54BE2" w:rsidRDefault="00B26CB0" w:rsidP="00FA3873">
            <w:pPr>
              <w:rPr>
                <w:rFonts w:ascii="Calibri" w:hAnsi="Calibri"/>
                <w:color w:val="000000"/>
                <w:sz w:val="24"/>
                <w:szCs w:val="24"/>
                <w:lang w:eastAsia="en-GB"/>
              </w:rPr>
            </w:pPr>
            <w:r w:rsidRPr="00C54BE2">
              <w:rPr>
                <w:rFonts w:ascii="Calibri" w:hAnsi="Calibri"/>
                <w:color w:val="000000"/>
                <w:sz w:val="24"/>
                <w:szCs w:val="24"/>
                <w:lang w:eastAsia="en-GB"/>
              </w:rPr>
              <w:t>GAD-7</w:t>
            </w:r>
          </w:p>
        </w:tc>
        <w:tc>
          <w:tcPr>
            <w:tcW w:w="1618" w:type="dxa"/>
            <w:shd w:val="clear" w:color="auto" w:fill="auto"/>
            <w:noWrap/>
            <w:vAlign w:val="bottom"/>
            <w:hideMark/>
          </w:tcPr>
          <w:p w:rsidR="00B26CB0" w:rsidRPr="00C54BE2" w:rsidRDefault="00B26CB0" w:rsidP="00FA3873">
            <w:pPr>
              <w:jc w:val="right"/>
              <w:rPr>
                <w:rFonts w:ascii="Calibri" w:hAnsi="Calibri"/>
                <w:color w:val="000000"/>
                <w:sz w:val="24"/>
                <w:szCs w:val="24"/>
              </w:rPr>
            </w:pPr>
          </w:p>
        </w:tc>
        <w:tc>
          <w:tcPr>
            <w:tcW w:w="1078" w:type="dxa"/>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w:t>
            </w:r>
          </w:p>
        </w:tc>
        <w:tc>
          <w:tcPr>
            <w:tcW w:w="1078" w:type="dxa"/>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.58**</w:t>
            </w:r>
          </w:p>
        </w:tc>
        <w:tc>
          <w:tcPr>
            <w:tcW w:w="1153" w:type="dxa"/>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.38*</w:t>
            </w:r>
          </w:p>
        </w:tc>
        <w:tc>
          <w:tcPr>
            <w:tcW w:w="1153" w:type="dxa"/>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.28</w:t>
            </w:r>
          </w:p>
        </w:tc>
        <w:tc>
          <w:tcPr>
            <w:tcW w:w="1153" w:type="dxa"/>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-.31</w:t>
            </w:r>
          </w:p>
        </w:tc>
        <w:tc>
          <w:tcPr>
            <w:tcW w:w="1153" w:type="dxa"/>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.27</w:t>
            </w:r>
          </w:p>
        </w:tc>
      </w:tr>
      <w:tr w:rsidR="00B26CB0" w:rsidRPr="00C54BE2" w:rsidTr="00FA3873">
        <w:trPr>
          <w:trHeight w:val="300"/>
        </w:trPr>
        <w:tc>
          <w:tcPr>
            <w:tcW w:w="1005" w:type="dxa"/>
            <w:shd w:val="clear" w:color="auto" w:fill="auto"/>
            <w:noWrap/>
            <w:vAlign w:val="bottom"/>
            <w:hideMark/>
          </w:tcPr>
          <w:p w:rsidR="00B26CB0" w:rsidRPr="00C54BE2" w:rsidRDefault="00B26CB0" w:rsidP="00FA3873">
            <w:pPr>
              <w:rPr>
                <w:rFonts w:ascii="Calibri" w:hAnsi="Calibri"/>
                <w:color w:val="000000"/>
                <w:sz w:val="24"/>
                <w:szCs w:val="24"/>
                <w:lang w:eastAsia="en-GB"/>
              </w:rPr>
            </w:pPr>
            <w:r w:rsidRPr="00C54BE2">
              <w:rPr>
                <w:rFonts w:ascii="Calibri" w:hAnsi="Calibri"/>
                <w:color w:val="000000"/>
                <w:sz w:val="24"/>
                <w:szCs w:val="24"/>
                <w:lang w:eastAsia="en-GB"/>
              </w:rPr>
              <w:t>BHS</w:t>
            </w:r>
          </w:p>
        </w:tc>
        <w:tc>
          <w:tcPr>
            <w:tcW w:w="1618" w:type="dxa"/>
            <w:shd w:val="clear" w:color="auto" w:fill="auto"/>
            <w:noWrap/>
            <w:vAlign w:val="bottom"/>
          </w:tcPr>
          <w:p w:rsidR="00B26CB0" w:rsidRPr="00C54BE2" w:rsidRDefault="00B26CB0" w:rsidP="00FA3873">
            <w:pPr>
              <w:jc w:val="right"/>
              <w:rPr>
                <w:rFonts w:ascii="Calibri" w:hAnsi="Calibri"/>
                <w:color w:val="000000"/>
                <w:sz w:val="24"/>
                <w:szCs w:val="24"/>
              </w:rPr>
            </w:pPr>
          </w:p>
        </w:tc>
        <w:tc>
          <w:tcPr>
            <w:tcW w:w="1078" w:type="dxa"/>
            <w:shd w:val="clear" w:color="auto" w:fill="auto"/>
            <w:noWrap/>
            <w:vAlign w:val="bottom"/>
          </w:tcPr>
          <w:p w:rsidR="00B26CB0" w:rsidRPr="00C54BE2" w:rsidRDefault="00B26CB0" w:rsidP="00FA3873">
            <w:pPr>
              <w:jc w:val="right"/>
              <w:rPr>
                <w:rFonts w:ascii="Calibri" w:hAnsi="Calibri"/>
                <w:color w:val="000000"/>
                <w:sz w:val="24"/>
                <w:szCs w:val="24"/>
              </w:rPr>
            </w:pPr>
          </w:p>
        </w:tc>
        <w:tc>
          <w:tcPr>
            <w:tcW w:w="1078" w:type="dxa"/>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w:t>
            </w:r>
          </w:p>
        </w:tc>
        <w:tc>
          <w:tcPr>
            <w:tcW w:w="1153" w:type="dxa"/>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.43*</w:t>
            </w:r>
          </w:p>
        </w:tc>
        <w:tc>
          <w:tcPr>
            <w:tcW w:w="1153" w:type="dxa"/>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.33</w:t>
            </w:r>
          </w:p>
        </w:tc>
        <w:tc>
          <w:tcPr>
            <w:tcW w:w="1153" w:type="dxa"/>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-.39*</w:t>
            </w:r>
          </w:p>
        </w:tc>
        <w:tc>
          <w:tcPr>
            <w:tcW w:w="1153" w:type="dxa"/>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.38*</w:t>
            </w:r>
          </w:p>
        </w:tc>
      </w:tr>
      <w:tr w:rsidR="00B26CB0" w:rsidRPr="00C54BE2" w:rsidTr="00FA3873">
        <w:trPr>
          <w:trHeight w:val="300"/>
        </w:trPr>
        <w:tc>
          <w:tcPr>
            <w:tcW w:w="2623" w:type="dxa"/>
            <w:gridSpan w:val="2"/>
            <w:shd w:val="clear" w:color="auto" w:fill="auto"/>
            <w:noWrap/>
            <w:vAlign w:val="bottom"/>
          </w:tcPr>
          <w:p w:rsidR="00B26CB0" w:rsidRPr="00C54BE2" w:rsidRDefault="00B26CB0" w:rsidP="00FA3873">
            <w:pPr>
              <w:rPr>
                <w:rFonts w:ascii="Calibri" w:hAnsi="Calibri"/>
                <w:color w:val="000000"/>
                <w:sz w:val="24"/>
                <w:szCs w:val="24"/>
                <w:lang w:eastAsia="en-GB"/>
              </w:rPr>
            </w:pPr>
            <w:r w:rsidRPr="00C54BE2">
              <w:rPr>
                <w:rFonts w:ascii="Calibri" w:hAnsi="Calibri"/>
                <w:color w:val="000000"/>
                <w:sz w:val="24"/>
                <w:szCs w:val="24"/>
                <w:lang w:eastAsia="en-GB"/>
              </w:rPr>
              <w:t>SANS</w:t>
            </w:r>
          </w:p>
        </w:tc>
        <w:tc>
          <w:tcPr>
            <w:tcW w:w="1078" w:type="dxa"/>
            <w:shd w:val="clear" w:color="auto" w:fill="auto"/>
            <w:noWrap/>
            <w:vAlign w:val="bottom"/>
          </w:tcPr>
          <w:p w:rsidR="00B26CB0" w:rsidRPr="00C54BE2" w:rsidRDefault="00B26CB0" w:rsidP="00FA3873">
            <w:pPr>
              <w:jc w:val="right"/>
              <w:rPr>
                <w:rFonts w:ascii="Calibri" w:hAnsi="Calibri"/>
                <w:color w:val="000000"/>
                <w:sz w:val="24"/>
                <w:szCs w:val="24"/>
              </w:rPr>
            </w:pPr>
          </w:p>
        </w:tc>
        <w:tc>
          <w:tcPr>
            <w:tcW w:w="1078" w:type="dxa"/>
            <w:shd w:val="clear" w:color="auto" w:fill="auto"/>
            <w:noWrap/>
            <w:vAlign w:val="bottom"/>
          </w:tcPr>
          <w:p w:rsidR="00B26CB0" w:rsidRPr="00C54BE2" w:rsidRDefault="00B26CB0" w:rsidP="00FA3873">
            <w:pPr>
              <w:jc w:val="right"/>
              <w:rPr>
                <w:rFonts w:ascii="Calibri" w:hAnsi="Calibri"/>
                <w:color w:val="000000"/>
                <w:sz w:val="24"/>
                <w:szCs w:val="24"/>
              </w:rPr>
            </w:pPr>
          </w:p>
        </w:tc>
        <w:tc>
          <w:tcPr>
            <w:tcW w:w="1153" w:type="dxa"/>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w:t>
            </w:r>
          </w:p>
        </w:tc>
        <w:tc>
          <w:tcPr>
            <w:tcW w:w="1153" w:type="dxa"/>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.19</w:t>
            </w:r>
          </w:p>
        </w:tc>
        <w:tc>
          <w:tcPr>
            <w:tcW w:w="1153" w:type="dxa"/>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-.55**</w:t>
            </w:r>
          </w:p>
        </w:tc>
        <w:tc>
          <w:tcPr>
            <w:tcW w:w="1153" w:type="dxa"/>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-.12</w:t>
            </w:r>
          </w:p>
        </w:tc>
      </w:tr>
      <w:tr w:rsidR="00B26CB0" w:rsidRPr="00C54BE2" w:rsidTr="00FA3873">
        <w:trPr>
          <w:trHeight w:val="300"/>
        </w:trPr>
        <w:tc>
          <w:tcPr>
            <w:tcW w:w="2623" w:type="dxa"/>
            <w:gridSpan w:val="2"/>
            <w:shd w:val="clear" w:color="auto" w:fill="auto"/>
            <w:noWrap/>
            <w:vAlign w:val="bottom"/>
          </w:tcPr>
          <w:p w:rsidR="00B26CB0" w:rsidRPr="00C54BE2" w:rsidRDefault="00B26CB0" w:rsidP="00FA3873">
            <w:pPr>
              <w:rPr>
                <w:rFonts w:ascii="Calibri" w:hAnsi="Calibri"/>
                <w:color w:val="000000"/>
                <w:sz w:val="24"/>
                <w:szCs w:val="24"/>
                <w:lang w:eastAsia="en-GB"/>
              </w:rPr>
            </w:pPr>
            <w:r w:rsidRPr="00C54BE2">
              <w:rPr>
                <w:rFonts w:ascii="Calibri" w:hAnsi="Calibri"/>
                <w:color w:val="000000"/>
                <w:sz w:val="24"/>
                <w:szCs w:val="24"/>
                <w:lang w:eastAsia="en-GB"/>
              </w:rPr>
              <w:t>SSI</w:t>
            </w:r>
          </w:p>
        </w:tc>
        <w:tc>
          <w:tcPr>
            <w:tcW w:w="1078" w:type="dxa"/>
            <w:shd w:val="clear" w:color="auto" w:fill="auto"/>
            <w:noWrap/>
            <w:vAlign w:val="bottom"/>
          </w:tcPr>
          <w:p w:rsidR="00B26CB0" w:rsidRPr="00C54BE2" w:rsidRDefault="00B26CB0" w:rsidP="00FA3873">
            <w:pPr>
              <w:jc w:val="right"/>
              <w:rPr>
                <w:rFonts w:ascii="Calibri" w:hAnsi="Calibri"/>
                <w:color w:val="000000"/>
                <w:sz w:val="24"/>
                <w:szCs w:val="24"/>
              </w:rPr>
            </w:pPr>
          </w:p>
        </w:tc>
        <w:tc>
          <w:tcPr>
            <w:tcW w:w="1078" w:type="dxa"/>
            <w:shd w:val="clear" w:color="auto" w:fill="auto"/>
            <w:noWrap/>
            <w:vAlign w:val="bottom"/>
          </w:tcPr>
          <w:p w:rsidR="00B26CB0" w:rsidRPr="00C54BE2" w:rsidRDefault="00B26CB0" w:rsidP="00FA3873">
            <w:pPr>
              <w:jc w:val="right"/>
              <w:rPr>
                <w:rFonts w:ascii="Calibri" w:hAnsi="Calibri"/>
                <w:color w:val="000000"/>
                <w:sz w:val="24"/>
                <w:szCs w:val="24"/>
              </w:rPr>
            </w:pPr>
          </w:p>
        </w:tc>
        <w:tc>
          <w:tcPr>
            <w:tcW w:w="1153" w:type="dxa"/>
          </w:tcPr>
          <w:p w:rsidR="00B26CB0" w:rsidRPr="00C54BE2" w:rsidRDefault="00B26CB0" w:rsidP="00FA3873">
            <w:pPr>
              <w:jc w:val="right"/>
              <w:rPr>
                <w:rFonts w:ascii="Calibri" w:hAnsi="Calibri"/>
                <w:color w:val="000000"/>
                <w:sz w:val="24"/>
                <w:szCs w:val="24"/>
              </w:rPr>
            </w:pPr>
          </w:p>
        </w:tc>
        <w:tc>
          <w:tcPr>
            <w:tcW w:w="1153" w:type="dxa"/>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w:t>
            </w:r>
          </w:p>
        </w:tc>
        <w:tc>
          <w:tcPr>
            <w:tcW w:w="1153" w:type="dxa"/>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-.11</w:t>
            </w:r>
          </w:p>
        </w:tc>
        <w:tc>
          <w:tcPr>
            <w:tcW w:w="1153" w:type="dxa"/>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.40*</w:t>
            </w:r>
          </w:p>
        </w:tc>
      </w:tr>
      <w:tr w:rsidR="00B26CB0" w:rsidRPr="00C54BE2" w:rsidTr="00FA3873">
        <w:trPr>
          <w:trHeight w:val="300"/>
        </w:trPr>
        <w:tc>
          <w:tcPr>
            <w:tcW w:w="2623" w:type="dxa"/>
            <w:gridSpan w:val="2"/>
            <w:shd w:val="clear" w:color="auto" w:fill="auto"/>
            <w:noWrap/>
            <w:vAlign w:val="bottom"/>
            <w:hideMark/>
          </w:tcPr>
          <w:p w:rsidR="00B26CB0" w:rsidRPr="00C54BE2" w:rsidRDefault="00B26CB0" w:rsidP="00FA3873">
            <w:pPr>
              <w:rPr>
                <w:rFonts w:ascii="Calibri" w:hAnsi="Calibri"/>
                <w:color w:val="000000"/>
                <w:sz w:val="24"/>
                <w:szCs w:val="24"/>
              </w:rPr>
            </w:pPr>
            <w:r w:rsidRPr="00C54BE2">
              <w:rPr>
                <w:rFonts w:ascii="Calibri" w:hAnsi="Calibri"/>
                <w:color w:val="000000"/>
                <w:sz w:val="24"/>
                <w:szCs w:val="24"/>
                <w:lang w:eastAsia="en-GB"/>
              </w:rPr>
              <w:t>PFT-composite</w:t>
            </w:r>
          </w:p>
        </w:tc>
        <w:tc>
          <w:tcPr>
            <w:tcW w:w="1078" w:type="dxa"/>
            <w:shd w:val="clear" w:color="auto" w:fill="auto"/>
            <w:noWrap/>
            <w:vAlign w:val="bottom"/>
          </w:tcPr>
          <w:p w:rsidR="00B26CB0" w:rsidRPr="00C54BE2" w:rsidRDefault="00B26CB0" w:rsidP="00FA3873">
            <w:pPr>
              <w:jc w:val="right"/>
              <w:rPr>
                <w:rFonts w:ascii="Calibri" w:hAnsi="Calibri"/>
                <w:color w:val="000000"/>
                <w:sz w:val="24"/>
                <w:szCs w:val="24"/>
              </w:rPr>
            </w:pPr>
          </w:p>
        </w:tc>
        <w:tc>
          <w:tcPr>
            <w:tcW w:w="1078" w:type="dxa"/>
            <w:shd w:val="clear" w:color="auto" w:fill="auto"/>
            <w:noWrap/>
            <w:vAlign w:val="bottom"/>
          </w:tcPr>
          <w:p w:rsidR="00B26CB0" w:rsidRPr="00C54BE2" w:rsidRDefault="00B26CB0" w:rsidP="00FA3873">
            <w:pPr>
              <w:jc w:val="right"/>
              <w:rPr>
                <w:rFonts w:ascii="Calibri" w:hAnsi="Calibri"/>
                <w:color w:val="000000"/>
                <w:sz w:val="24"/>
                <w:szCs w:val="24"/>
              </w:rPr>
            </w:pPr>
          </w:p>
        </w:tc>
        <w:tc>
          <w:tcPr>
            <w:tcW w:w="1153" w:type="dxa"/>
          </w:tcPr>
          <w:p w:rsidR="00B26CB0" w:rsidRPr="00C54BE2" w:rsidRDefault="00B26CB0" w:rsidP="00FA3873">
            <w:pPr>
              <w:jc w:val="right"/>
              <w:rPr>
                <w:rFonts w:ascii="Calibri" w:hAnsi="Calibri"/>
                <w:color w:val="000000"/>
                <w:sz w:val="24"/>
                <w:szCs w:val="24"/>
              </w:rPr>
            </w:pPr>
          </w:p>
        </w:tc>
        <w:tc>
          <w:tcPr>
            <w:tcW w:w="1153" w:type="dxa"/>
          </w:tcPr>
          <w:p w:rsidR="00B26CB0" w:rsidRPr="00C54BE2" w:rsidRDefault="00B26CB0" w:rsidP="00FA3873">
            <w:pPr>
              <w:jc w:val="right"/>
              <w:rPr>
                <w:rFonts w:ascii="Calibri" w:hAnsi="Calibri"/>
                <w:color w:val="000000"/>
                <w:sz w:val="24"/>
                <w:szCs w:val="24"/>
              </w:rPr>
            </w:pPr>
          </w:p>
        </w:tc>
        <w:tc>
          <w:tcPr>
            <w:tcW w:w="1153" w:type="dxa"/>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w:t>
            </w:r>
          </w:p>
        </w:tc>
        <w:tc>
          <w:tcPr>
            <w:tcW w:w="1153" w:type="dxa"/>
            <w:shd w:val="clear" w:color="auto" w:fill="auto"/>
            <w:noWrap/>
            <w:vAlign w:val="bottom"/>
          </w:tcPr>
          <w:p w:rsidR="00B26CB0" w:rsidRPr="00C54BE2" w:rsidRDefault="00B26CB0" w:rsidP="00FA3873">
            <w:pPr>
              <w:jc w:val="right"/>
              <w:rPr>
                <w:rFonts w:ascii="Calibri" w:hAnsi="Calibri"/>
                <w:color w:val="000000"/>
                <w:sz w:val="24"/>
                <w:szCs w:val="24"/>
              </w:rPr>
            </w:pPr>
            <w:r w:rsidRPr="00C54BE2">
              <w:rPr>
                <w:rFonts w:ascii="Calibri" w:hAnsi="Calibri"/>
                <w:color w:val="000000"/>
                <w:sz w:val="24"/>
                <w:szCs w:val="24"/>
              </w:rPr>
              <w:t>.30</w:t>
            </w:r>
          </w:p>
        </w:tc>
      </w:tr>
    </w:tbl>
    <w:p w:rsidR="00B26CB0" w:rsidRPr="00C54BE2" w:rsidRDefault="00B26CB0" w:rsidP="00FA3873">
      <w:pPr>
        <w:pStyle w:val="TableLabel"/>
        <w:rPr>
          <w:rFonts w:cs="Arial"/>
          <w:b w:val="0"/>
          <w:sz w:val="24"/>
          <w:szCs w:val="24"/>
        </w:rPr>
      </w:pPr>
      <w:r w:rsidRPr="00C54BE2">
        <w:rPr>
          <w:rFonts w:cs="Arial"/>
          <w:b w:val="0"/>
          <w:sz w:val="24"/>
          <w:szCs w:val="24"/>
        </w:rPr>
        <w:t>Note: CDSS = Calgary Depression Scale for Schizophrenia; GAD-7 = Generalised Anxiety Disorder Questionnaire; BHS = Beck Hopelessness Scale; SSI = Beck Scale for Suicide Ideation; SANS = Scale for the Assessment of Negative Symptoms.</w:t>
      </w:r>
    </w:p>
    <w:p w:rsidR="00B26CB0" w:rsidRPr="00C54BE2" w:rsidRDefault="00B26CB0" w:rsidP="00FA3873">
      <w:pPr>
        <w:rPr>
          <w:rFonts w:ascii="Calibri" w:hAnsi="Calibri" w:cs="Arial"/>
          <w:sz w:val="24"/>
          <w:szCs w:val="24"/>
          <w:lang w:bidi="en-US"/>
        </w:rPr>
      </w:pPr>
      <w:r w:rsidRPr="00C54BE2">
        <w:rPr>
          <w:rFonts w:ascii="Calibri" w:hAnsi="Calibri" w:cs="Arial"/>
          <w:i/>
          <w:sz w:val="24"/>
          <w:szCs w:val="24"/>
          <w:lang w:bidi="en-US"/>
        </w:rPr>
        <w:t xml:space="preserve">*p </w:t>
      </w:r>
      <w:r w:rsidRPr="00C54BE2">
        <w:rPr>
          <w:rFonts w:ascii="Calibri" w:hAnsi="Calibri" w:cs="Arial"/>
          <w:sz w:val="24"/>
          <w:szCs w:val="24"/>
          <w:lang w:bidi="en-US"/>
        </w:rPr>
        <w:t>&lt; .05. **</w:t>
      </w:r>
      <w:r w:rsidRPr="00C54BE2">
        <w:rPr>
          <w:rFonts w:ascii="Calibri" w:hAnsi="Calibri" w:cs="Arial"/>
          <w:i/>
          <w:sz w:val="24"/>
          <w:szCs w:val="24"/>
          <w:lang w:bidi="en-US"/>
        </w:rPr>
        <w:t xml:space="preserve">p </w:t>
      </w:r>
      <w:r w:rsidRPr="00C54BE2">
        <w:rPr>
          <w:rFonts w:ascii="Calibri" w:hAnsi="Calibri" w:cs="Arial"/>
          <w:sz w:val="24"/>
          <w:szCs w:val="24"/>
          <w:lang w:bidi="en-US"/>
        </w:rPr>
        <w:t>&lt; .01. ***</w:t>
      </w:r>
      <w:r w:rsidRPr="00C54BE2">
        <w:rPr>
          <w:rFonts w:ascii="Calibri" w:hAnsi="Calibri" w:cs="Arial"/>
          <w:i/>
          <w:sz w:val="24"/>
          <w:szCs w:val="24"/>
          <w:lang w:bidi="en-US"/>
        </w:rPr>
        <w:t xml:space="preserve">p </w:t>
      </w:r>
      <w:r w:rsidRPr="00C54BE2">
        <w:rPr>
          <w:rFonts w:ascii="Calibri" w:hAnsi="Calibri" w:cs="Arial"/>
          <w:sz w:val="24"/>
          <w:szCs w:val="24"/>
          <w:lang w:bidi="en-US"/>
        </w:rPr>
        <w:t>&lt; .001</w:t>
      </w:r>
    </w:p>
    <w:p w:rsidR="00B26CB0" w:rsidRPr="00222E7C" w:rsidRDefault="00B26CB0" w:rsidP="00FA3873">
      <w:pPr>
        <w:rPr>
          <w:rFonts w:ascii="Times New Roman" w:hAnsi="Times New Roman" w:cs="Times New Roman"/>
          <w:sz w:val="24"/>
          <w:szCs w:val="24"/>
        </w:rPr>
      </w:pPr>
    </w:p>
    <w:p w:rsidR="00B26CB0" w:rsidRPr="00222E7C" w:rsidRDefault="00B26CB0" w:rsidP="00FA3873">
      <w:pPr>
        <w:rPr>
          <w:rFonts w:ascii="Times New Roman" w:hAnsi="Times New Roman" w:cs="Times New Roman"/>
          <w:sz w:val="24"/>
          <w:szCs w:val="24"/>
        </w:rPr>
      </w:pPr>
      <w:r w:rsidRPr="00222E7C">
        <w:rPr>
          <w:rFonts w:ascii="Times New Roman" w:hAnsi="Times New Roman" w:cs="Times New Roman"/>
          <w:sz w:val="24"/>
          <w:szCs w:val="24"/>
        </w:rPr>
        <w:br w:type="page"/>
      </w:r>
    </w:p>
    <w:p w:rsidR="00B26CB0" w:rsidRDefault="00B26CB0" w:rsidP="00FA3873">
      <w:pPr>
        <w:rPr>
          <w:rFonts w:ascii="Times New Roman" w:hAnsi="Times New Roman" w:cs="Times New Roman"/>
          <w:b/>
          <w:sz w:val="24"/>
          <w:szCs w:val="24"/>
        </w:rPr>
      </w:pPr>
      <w:r>
        <w:rPr>
          <w:rFonts w:ascii="Times New Roman" w:hAnsi="Times New Roman" w:cs="Times New Roman"/>
          <w:b/>
          <w:sz w:val="24"/>
          <w:szCs w:val="24"/>
        </w:rPr>
        <w:lastRenderedPageBreak/>
        <w:t>Figure 1.</w:t>
      </w:r>
    </w:p>
    <w:p w:rsidR="00B26CB0" w:rsidRDefault="00B26CB0" w:rsidP="00AC53D1">
      <w:pPr>
        <w:autoSpaceDE w:val="0"/>
        <w:autoSpaceDN w:val="0"/>
        <w:adjustRightInd w:val="0"/>
        <w:spacing w:line="240" w:lineRule="auto"/>
        <w:rPr>
          <w:rFonts w:ascii="Times New Roman" w:hAnsi="Times New Roman" w:cs="Times New Roman"/>
          <w:sz w:val="24"/>
          <w:szCs w:val="24"/>
        </w:rPr>
      </w:pPr>
    </w:p>
    <w:p w:rsidR="00B26CB0" w:rsidRDefault="00B26CB0" w:rsidP="00AC53D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4448175" cy="444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1.tif"/>
                    <pic:cNvPicPr/>
                  </pic:nvPicPr>
                  <pic:blipFill>
                    <a:blip r:embed="rId8">
                      <a:extLst>
                        <a:ext uri="{28A0092B-C50C-407E-A947-70E740481C1C}">
                          <a14:useLocalDpi xmlns:a14="http://schemas.microsoft.com/office/drawing/2010/main" val="0"/>
                        </a:ext>
                      </a:extLst>
                    </a:blip>
                    <a:stretch>
                      <a:fillRect/>
                    </a:stretch>
                  </pic:blipFill>
                  <pic:spPr>
                    <a:xfrm>
                      <a:off x="0" y="0"/>
                      <a:ext cx="4448175" cy="4448175"/>
                    </a:xfrm>
                    <a:prstGeom prst="rect">
                      <a:avLst/>
                    </a:prstGeom>
                  </pic:spPr>
                </pic:pic>
              </a:graphicData>
            </a:graphic>
          </wp:inline>
        </w:drawing>
      </w:r>
    </w:p>
    <w:p w:rsidR="00B26CB0" w:rsidRPr="00222E7C" w:rsidRDefault="00B26CB0" w:rsidP="00FA3873">
      <w:pPr>
        <w:rPr>
          <w:rFonts w:ascii="Times New Roman" w:hAnsi="Times New Roman" w:cs="Times New Roman"/>
          <w:b/>
          <w:sz w:val="24"/>
          <w:szCs w:val="24"/>
        </w:rPr>
      </w:pPr>
    </w:p>
    <w:p w:rsidR="00B26CB0" w:rsidRDefault="00B26CB0" w:rsidP="00FA3873">
      <w:pPr>
        <w:rPr>
          <w:rFonts w:ascii="Times New Roman" w:hAnsi="Times New Roman" w:cs="Times New Roman"/>
          <w:sz w:val="24"/>
          <w:szCs w:val="24"/>
        </w:rPr>
      </w:pPr>
      <w:r w:rsidRPr="00222E7C">
        <w:rPr>
          <w:rFonts w:ascii="Times New Roman" w:hAnsi="Times New Roman" w:cs="Times New Roman"/>
          <w:sz w:val="24"/>
          <w:szCs w:val="24"/>
        </w:rPr>
        <w:br w:type="page"/>
      </w:r>
    </w:p>
    <w:p w:rsidR="00B26CB0" w:rsidRPr="00C54BE2" w:rsidRDefault="00B26CB0" w:rsidP="00FA3873">
      <w:pPr>
        <w:jc w:val="center"/>
        <w:rPr>
          <w:rFonts w:ascii="Times New Roman" w:hAnsi="Times New Roman" w:cs="Times New Roman"/>
          <w:b/>
          <w:sz w:val="24"/>
          <w:szCs w:val="24"/>
        </w:rPr>
      </w:pPr>
      <w:r w:rsidRPr="00C54BE2">
        <w:rPr>
          <w:rFonts w:ascii="Times New Roman" w:hAnsi="Times New Roman" w:cs="Times New Roman"/>
          <w:b/>
          <w:sz w:val="24"/>
          <w:szCs w:val="24"/>
        </w:rPr>
        <w:lastRenderedPageBreak/>
        <w:t>Captions</w:t>
      </w:r>
    </w:p>
    <w:p w:rsidR="00B26CB0" w:rsidRDefault="00B26CB0" w:rsidP="00FA3873">
      <w:pPr>
        <w:rPr>
          <w:rFonts w:ascii="Times New Roman" w:hAnsi="Times New Roman" w:cs="Times New Roman"/>
          <w:b/>
          <w:sz w:val="24"/>
          <w:szCs w:val="24"/>
        </w:rPr>
      </w:pPr>
      <w:r>
        <w:rPr>
          <w:rFonts w:ascii="Times New Roman" w:hAnsi="Times New Roman" w:cs="Times New Roman"/>
          <w:b/>
          <w:sz w:val="24"/>
          <w:szCs w:val="24"/>
        </w:rPr>
        <w:t>Figure 1:</w:t>
      </w:r>
    </w:p>
    <w:p w:rsidR="00B26CB0" w:rsidRPr="00CB59B0" w:rsidRDefault="00B26CB0" w:rsidP="00FA3873">
      <w:pPr>
        <w:rPr>
          <w:rFonts w:ascii="Times New Roman" w:hAnsi="Times New Roman" w:cs="Times New Roman"/>
          <w:sz w:val="24"/>
          <w:szCs w:val="24"/>
        </w:rPr>
      </w:pPr>
      <w:r w:rsidRPr="00CB59B0">
        <w:rPr>
          <w:rFonts w:ascii="Times New Roman" w:hAnsi="Times New Roman" w:cs="Times New Roman"/>
          <w:sz w:val="24"/>
          <w:szCs w:val="24"/>
        </w:rPr>
        <w:t>Mean FTT-composite score for each group, plotted against time period.</w:t>
      </w:r>
      <w:r w:rsidRPr="00CB59B0">
        <w:rPr>
          <w:rFonts w:ascii="Times New Roman" w:hAnsi="Times New Roman" w:cs="Times New Roman"/>
          <w:sz w:val="24"/>
          <w:szCs w:val="24"/>
        </w:rPr>
        <w:br/>
        <w:t>Error bars represent standard error of the mean.</w:t>
      </w:r>
    </w:p>
    <w:p w:rsidR="00B26CB0" w:rsidRPr="00CB59B0" w:rsidRDefault="00B26CB0" w:rsidP="00FA3873">
      <w:pPr>
        <w:rPr>
          <w:rFonts w:ascii="Times New Roman" w:hAnsi="Times New Roman" w:cs="Times New Roman"/>
          <w:sz w:val="24"/>
          <w:szCs w:val="24"/>
        </w:rPr>
        <w:sectPr w:rsidR="00B26CB0" w:rsidRPr="00CB59B0" w:rsidSect="00FA3873">
          <w:footerReference w:type="default" r:id="rId9"/>
          <w:pgSz w:w="11906" w:h="16838"/>
          <w:pgMar w:top="1440" w:right="1440" w:bottom="1440" w:left="1440" w:header="720" w:footer="720" w:gutter="0"/>
          <w:cols w:space="720"/>
          <w:docGrid w:linePitch="360"/>
        </w:sectPr>
      </w:pPr>
    </w:p>
    <w:p w:rsidR="00B26CB0" w:rsidRDefault="00B26CB0" w:rsidP="00D30496">
      <w:pPr>
        <w:jc w:val="center"/>
      </w:pPr>
      <w:r w:rsidRPr="004F17D2">
        <w:rPr>
          <w:rFonts w:ascii="Times New Roman" w:hAnsi="Times New Roman" w:cs="Times New Roman"/>
          <w:b/>
          <w:sz w:val="24"/>
          <w:szCs w:val="24"/>
        </w:rPr>
        <w:lastRenderedPageBreak/>
        <w:t>References</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Addington, D., Addington, J., &amp; Maticka-Tyndale, E. (1993). Assessing depression in schizophrenia: the Calgary Depression Scale. </w:t>
      </w:r>
      <w:r w:rsidRPr="00D30496">
        <w:rPr>
          <w:rFonts w:ascii="Times New Roman" w:hAnsi="Times New Roman"/>
          <w:i/>
          <w:sz w:val="24"/>
        </w:rPr>
        <w:t>British Journal of Psychiatry: Supplement</w:t>
      </w:r>
      <w:r w:rsidRPr="00D30496">
        <w:rPr>
          <w:rFonts w:ascii="Times New Roman" w:hAnsi="Times New Roman"/>
          <w:sz w:val="24"/>
        </w:rPr>
        <w:t xml:space="preserve">(22), 39-44. </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Aish, A. M., Wasserman, D., &amp; Renberg, E. S. (2001). Does Beck's Hopelessness Scale really measure several components? </w:t>
      </w:r>
      <w:r w:rsidRPr="00D30496">
        <w:rPr>
          <w:rFonts w:ascii="Times New Roman" w:hAnsi="Times New Roman"/>
          <w:i/>
          <w:sz w:val="24"/>
        </w:rPr>
        <w:t>Psychological Medicine, 31</w:t>
      </w:r>
      <w:r w:rsidRPr="00D30496">
        <w:rPr>
          <w:rFonts w:ascii="Times New Roman" w:hAnsi="Times New Roman"/>
          <w:sz w:val="24"/>
        </w:rPr>
        <w:t xml:space="preserve">(2), 367-372. </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Alphs, L., Anand, R., Islam, M. Z., Meltzer, H. Y., Kane, J. M., Krishnan, R., . . . Kerwin, R. (2004). The international suicide prevention trial (interSePT): rationale and design of a trial comparing the relative ability of clozapine and olanzapine to reduce suicidal behavior in schizophrenia and schizoaffective patients. </w:t>
      </w:r>
      <w:r w:rsidRPr="00D30496">
        <w:rPr>
          <w:rFonts w:ascii="Times New Roman" w:hAnsi="Times New Roman"/>
          <w:i/>
          <w:sz w:val="24"/>
        </w:rPr>
        <w:t>Schizophr Bull, 30</w:t>
      </w:r>
      <w:r w:rsidRPr="00D30496">
        <w:rPr>
          <w:rFonts w:ascii="Times New Roman" w:hAnsi="Times New Roman"/>
          <w:sz w:val="24"/>
        </w:rPr>
        <w:t xml:space="preserve">(3), 577-586. </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American Psychiatric Association. (2000). </w:t>
      </w:r>
      <w:r w:rsidRPr="00D30496">
        <w:rPr>
          <w:rFonts w:ascii="Times New Roman" w:hAnsi="Times New Roman"/>
          <w:i/>
          <w:sz w:val="24"/>
        </w:rPr>
        <w:t>Diagnostic and statistical manual of mental disorders: DSM-IV-TR</w:t>
      </w:r>
      <w:r w:rsidRPr="00D30496">
        <w:rPr>
          <w:rFonts w:ascii="Times New Roman" w:hAnsi="Times New Roman"/>
          <w:sz w:val="24"/>
        </w:rPr>
        <w:t xml:space="preserve"> (4th ed.). Washington, DC: American Psychiatric Association.</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Andreasen, N. C. (1981). </w:t>
      </w:r>
      <w:r w:rsidRPr="00D30496">
        <w:rPr>
          <w:rFonts w:ascii="Times New Roman" w:hAnsi="Times New Roman"/>
          <w:i/>
          <w:sz w:val="24"/>
        </w:rPr>
        <w:t>Scale for the Assessment of Negative Symptoms (SANS)</w:t>
      </w:r>
      <w:r w:rsidRPr="00D30496">
        <w:rPr>
          <w:rFonts w:ascii="Times New Roman" w:hAnsi="Times New Roman"/>
          <w:sz w:val="24"/>
        </w:rPr>
        <w:t>. Iowa City: University of Iowa.</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Beck, A. T., Kovacs, M., &amp; Weissman, A. (1975). Hopelessness and suicidal behavior. An overview. </w:t>
      </w:r>
      <w:r w:rsidRPr="00D30496">
        <w:rPr>
          <w:rFonts w:ascii="Times New Roman" w:hAnsi="Times New Roman"/>
          <w:i/>
          <w:sz w:val="24"/>
        </w:rPr>
        <w:t>JAMA, 234</w:t>
      </w:r>
      <w:r w:rsidRPr="00D30496">
        <w:rPr>
          <w:rFonts w:ascii="Times New Roman" w:hAnsi="Times New Roman"/>
          <w:sz w:val="24"/>
        </w:rPr>
        <w:t xml:space="preserve">(11), 1146-1149. </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Beck, A. T., Kovacs, M., &amp; Weissman, A. (1979). Assessment of suicidal intention: the Scale for Suicide Ideation. </w:t>
      </w:r>
      <w:r w:rsidRPr="00D30496">
        <w:rPr>
          <w:rFonts w:ascii="Times New Roman" w:hAnsi="Times New Roman"/>
          <w:i/>
          <w:sz w:val="24"/>
        </w:rPr>
        <w:t>J Consult Clin Psychol, 47</w:t>
      </w:r>
      <w:r w:rsidRPr="00D30496">
        <w:rPr>
          <w:rFonts w:ascii="Times New Roman" w:hAnsi="Times New Roman"/>
          <w:sz w:val="24"/>
        </w:rPr>
        <w:t xml:space="preserve">(2), 343-352. </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Beck, A. T., &amp; Steer, R. A. (1978). </w:t>
      </w:r>
      <w:r w:rsidRPr="00D30496">
        <w:rPr>
          <w:rFonts w:ascii="Times New Roman" w:hAnsi="Times New Roman"/>
          <w:i/>
          <w:sz w:val="24"/>
        </w:rPr>
        <w:t>Beck Hopelessness Scale Manual</w:t>
      </w:r>
      <w:r w:rsidRPr="00D30496">
        <w:rPr>
          <w:rFonts w:ascii="Times New Roman" w:hAnsi="Times New Roman"/>
          <w:sz w:val="24"/>
        </w:rPr>
        <w:t>. San Antonio: Psychological Corporation.</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Beck, A. T., Weissman, A., Lester, D., &amp; Trexler, L. (1974). The measurement of pessimism: the hopelessness scale. </w:t>
      </w:r>
      <w:r w:rsidRPr="00D30496">
        <w:rPr>
          <w:rFonts w:ascii="Times New Roman" w:hAnsi="Times New Roman"/>
          <w:i/>
          <w:sz w:val="24"/>
        </w:rPr>
        <w:t>J Consult Clin Psychol, 42</w:t>
      </w:r>
      <w:r w:rsidRPr="00D30496">
        <w:rPr>
          <w:rFonts w:ascii="Times New Roman" w:hAnsi="Times New Roman"/>
          <w:sz w:val="24"/>
        </w:rPr>
        <w:t xml:space="preserve">(6), 861-865. </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lastRenderedPageBreak/>
        <w:t xml:space="preserve">Bennett, K., &amp; Corcoran, R. (2010). Biases in everyday reasoning: Associations with subclinical anxiety, depression and paranoia. </w:t>
      </w:r>
      <w:r w:rsidRPr="00D30496">
        <w:rPr>
          <w:rFonts w:ascii="Times New Roman" w:hAnsi="Times New Roman"/>
          <w:i/>
          <w:sz w:val="24"/>
        </w:rPr>
        <w:t>Psychosis-Psychological Social and Integrative Approaches, 2</w:t>
      </w:r>
      <w:r w:rsidRPr="00D30496">
        <w:rPr>
          <w:rFonts w:ascii="Times New Roman" w:hAnsi="Times New Roman"/>
          <w:sz w:val="24"/>
        </w:rPr>
        <w:t>(3), 227-237. doi: Doi 10.1080/17522431003592649</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Birchwood, M., Jackson, C., Brunet, K., Holden, J., &amp; Barton, K. (2012). Personal beliefs about illness questionnaire-revised (PBIQ-R): reliability and validation in a first episode sample. </w:t>
      </w:r>
      <w:r w:rsidRPr="00D30496">
        <w:rPr>
          <w:rFonts w:ascii="Times New Roman" w:hAnsi="Times New Roman"/>
          <w:i/>
          <w:sz w:val="24"/>
        </w:rPr>
        <w:t>British Journal of Clinical Psychology, 51</w:t>
      </w:r>
      <w:r w:rsidRPr="00D30496">
        <w:rPr>
          <w:rFonts w:ascii="Times New Roman" w:hAnsi="Times New Roman"/>
          <w:sz w:val="24"/>
        </w:rPr>
        <w:t>(4), 448-458. doi: 10.1111/j.2044-8260.2012.02040.x</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Breier, A., Schreiber, J. L., Dyer, J., &amp; Pickar, D. (1991). National Institute of Mental Health longitudinal study of chronic schizophrenia. Prognosis and predictors of outcome. </w:t>
      </w:r>
      <w:r w:rsidRPr="00D30496">
        <w:rPr>
          <w:rFonts w:ascii="Times New Roman" w:hAnsi="Times New Roman"/>
          <w:i/>
          <w:sz w:val="24"/>
        </w:rPr>
        <w:t>Archives of General Psychiatry, 48</w:t>
      </w:r>
      <w:r w:rsidRPr="00D30496">
        <w:rPr>
          <w:rFonts w:ascii="Times New Roman" w:hAnsi="Times New Roman"/>
          <w:sz w:val="24"/>
        </w:rPr>
        <w:t xml:space="preserve">(3), 239-246. </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Buchanan, R. W. (2007). Persistent negative symptoms in schizophrenia: an overview. </w:t>
      </w:r>
      <w:r w:rsidRPr="00D30496">
        <w:rPr>
          <w:rFonts w:ascii="Times New Roman" w:hAnsi="Times New Roman"/>
          <w:i/>
          <w:sz w:val="24"/>
        </w:rPr>
        <w:t>Schizophr Bull, 33</w:t>
      </w:r>
      <w:r w:rsidRPr="00D30496">
        <w:rPr>
          <w:rFonts w:ascii="Times New Roman" w:hAnsi="Times New Roman"/>
          <w:sz w:val="24"/>
        </w:rPr>
        <w:t>(4), 1013-1022. doi: 10.1093/schbul/sbl057</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Challis, S., Nielssen, O., Harris, A., &amp; Large, M. (2013). Systematic meta-analysis of the risk factors for deliberate self-harm before and after treatment for first-episode psychosis. </w:t>
      </w:r>
      <w:r w:rsidRPr="00D30496">
        <w:rPr>
          <w:rFonts w:ascii="Times New Roman" w:hAnsi="Times New Roman"/>
          <w:i/>
          <w:sz w:val="24"/>
        </w:rPr>
        <w:t>Acta Psychiatrica Scandinavica, 127</w:t>
      </w:r>
      <w:r w:rsidRPr="00D30496">
        <w:rPr>
          <w:rFonts w:ascii="Times New Roman" w:hAnsi="Times New Roman"/>
          <w:sz w:val="24"/>
        </w:rPr>
        <w:t>(6), 442-454. doi: 10.1111/acps.12074</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Corcoran, R., Cummins, S., Rowse, G., Moore, R., Blackwood, N., Howard, R., . . . Bentall, R. P. (2006). Reasoning under uncertainty: heuristic judgments in patients with persecutory delusions or depression. </w:t>
      </w:r>
      <w:r w:rsidRPr="00D30496">
        <w:rPr>
          <w:rFonts w:ascii="Times New Roman" w:hAnsi="Times New Roman"/>
          <w:i/>
          <w:sz w:val="24"/>
        </w:rPr>
        <w:t>Psychol Med, 36</w:t>
      </w:r>
      <w:r w:rsidRPr="00D30496">
        <w:rPr>
          <w:rFonts w:ascii="Times New Roman" w:hAnsi="Times New Roman"/>
          <w:sz w:val="24"/>
        </w:rPr>
        <w:t>(8), 1109-1118. doi: 10.1017/S003329170600794X</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D'Argembeau, A., Raffard, S., &amp; Van der Linden, M. (2008). Remembering the past and imagining the future in schizophrenia. </w:t>
      </w:r>
      <w:r w:rsidRPr="00D30496">
        <w:rPr>
          <w:rFonts w:ascii="Times New Roman" w:hAnsi="Times New Roman"/>
          <w:i/>
          <w:sz w:val="24"/>
        </w:rPr>
        <w:t>Journal of Abnormal Psychology, 117</w:t>
      </w:r>
      <w:r w:rsidRPr="00D30496">
        <w:rPr>
          <w:rFonts w:ascii="Times New Roman" w:hAnsi="Times New Roman"/>
          <w:sz w:val="24"/>
        </w:rPr>
        <w:t>(1), 247-251. doi: 10.1037/0021-843X.117.1.247</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de Oliveira, H., Cuervo-Lombard, C., Salame, P., &amp; Danion, J. M. (2009). Autonoetic awareness associated with the projection of the self into the future: an investigation in </w:t>
      </w:r>
      <w:r w:rsidRPr="00D30496">
        <w:rPr>
          <w:rFonts w:ascii="Times New Roman" w:hAnsi="Times New Roman"/>
          <w:sz w:val="24"/>
        </w:rPr>
        <w:lastRenderedPageBreak/>
        <w:t xml:space="preserve">schizophrenia. </w:t>
      </w:r>
      <w:r w:rsidRPr="00D30496">
        <w:rPr>
          <w:rFonts w:ascii="Times New Roman" w:hAnsi="Times New Roman"/>
          <w:i/>
          <w:sz w:val="24"/>
        </w:rPr>
        <w:t>Psychiatry Research, 169</w:t>
      </w:r>
      <w:r w:rsidRPr="00D30496">
        <w:rPr>
          <w:rFonts w:ascii="Times New Roman" w:hAnsi="Times New Roman"/>
          <w:sz w:val="24"/>
        </w:rPr>
        <w:t>(1), 86-87. doi: 10.1016/j.psychres.2008.07.003</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Drake, R. E., &amp; Cotton, P. G. (1986). Depression, hopelessness and suicide in chronic schizophrenia. </w:t>
      </w:r>
      <w:r w:rsidRPr="00D30496">
        <w:rPr>
          <w:rFonts w:ascii="Times New Roman" w:hAnsi="Times New Roman"/>
          <w:i/>
          <w:sz w:val="24"/>
        </w:rPr>
        <w:t>The British Journal of Psychiatry, 148</w:t>
      </w:r>
      <w:r w:rsidRPr="00D30496">
        <w:rPr>
          <w:rFonts w:ascii="Times New Roman" w:hAnsi="Times New Roman"/>
          <w:sz w:val="24"/>
        </w:rPr>
        <w:t xml:space="preserve">, 554-559. </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Dyce, J. A. (1996). Factor structure of the Beck Hopelessness Scale. </w:t>
      </w:r>
      <w:r w:rsidRPr="00D30496">
        <w:rPr>
          <w:rFonts w:ascii="Times New Roman" w:hAnsi="Times New Roman"/>
          <w:i/>
          <w:sz w:val="24"/>
        </w:rPr>
        <w:t>Journal of Clinical Psychology, 52</w:t>
      </w:r>
      <w:r w:rsidRPr="00D30496">
        <w:rPr>
          <w:rFonts w:ascii="Times New Roman" w:hAnsi="Times New Roman"/>
          <w:sz w:val="24"/>
        </w:rPr>
        <w:t>(5), 555-558. doi: 10.1002/(SICI)1097-4679(199609)52:5&lt;555::AID-JCLP10&gt;3.0.CO;2-D</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Eack, S. M., &amp; Keshavan, M. S. (2008). Foresight in schizophrenia: a potentially unique and relevant factor to functional disability. </w:t>
      </w:r>
      <w:r w:rsidRPr="00D30496">
        <w:rPr>
          <w:rFonts w:ascii="Times New Roman" w:hAnsi="Times New Roman"/>
          <w:i/>
          <w:sz w:val="24"/>
        </w:rPr>
        <w:t>Psychiatric Services, 59</w:t>
      </w:r>
      <w:r w:rsidRPr="00D30496">
        <w:rPr>
          <w:rFonts w:ascii="Times New Roman" w:hAnsi="Times New Roman"/>
          <w:sz w:val="24"/>
        </w:rPr>
        <w:t>(3), 256-260. doi: 10.1176/appi.ps.59.3.256</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Ferguson, G., Conway, C., Endersby, L., &amp; MacLeod, A. K. (2009). Increasing subjective well-being in long-term forensic rehabilitation: evaluation of well-being therapy. </w:t>
      </w:r>
      <w:r w:rsidRPr="00D30496">
        <w:rPr>
          <w:rFonts w:ascii="Times New Roman" w:hAnsi="Times New Roman"/>
          <w:i/>
          <w:sz w:val="24"/>
        </w:rPr>
        <w:t>Journal of Forensic Psychiatry and Psychology, 20</w:t>
      </w:r>
      <w:r w:rsidRPr="00D30496">
        <w:rPr>
          <w:rFonts w:ascii="Times New Roman" w:hAnsi="Times New Roman"/>
          <w:sz w:val="24"/>
        </w:rPr>
        <w:t>(6), 906-918. doi: 10.1080/14789940903174121</w:t>
      </w:r>
    </w:p>
    <w:p w:rsidR="00B26CB0" w:rsidRPr="00B26CB0" w:rsidRDefault="00B26CB0" w:rsidP="00B26CB0">
      <w:pPr>
        <w:pStyle w:val="EndNoteBibliography"/>
        <w:spacing w:line="480" w:lineRule="auto"/>
        <w:rPr>
          <w:rFonts w:ascii="Times New Roman" w:hAnsi="Times New Roman"/>
          <w:sz w:val="24"/>
        </w:rPr>
      </w:pPr>
      <w:r w:rsidRPr="00B26CB0">
        <w:rPr>
          <w:rFonts w:ascii="Times New Roman" w:hAnsi="Times New Roman"/>
          <w:sz w:val="24"/>
        </w:rPr>
        <w:t xml:space="preserve">Gilmore, A. W., Nelson, S. M., &amp; McDermott, K. B. (2014). The Contextual Association Network Activates More for Remembered than for Imagined Events. </w:t>
      </w:r>
      <w:r w:rsidRPr="00B26CB0">
        <w:rPr>
          <w:rFonts w:ascii="Times New Roman" w:hAnsi="Times New Roman"/>
          <w:i/>
          <w:sz w:val="24"/>
        </w:rPr>
        <w:t>Cereb Cortex</w:t>
      </w:r>
      <w:r w:rsidRPr="00B26CB0">
        <w:rPr>
          <w:rFonts w:ascii="Times New Roman" w:hAnsi="Times New Roman"/>
          <w:sz w:val="24"/>
        </w:rPr>
        <w:t>. doi: 10.1093/cercor/bhu223</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Hawton, K., Sutton, L., Haw, C., Sinclair, J., &amp; Deeks, J. J. (2005). Schizophrenia and suicide: systematic review of risk factors. </w:t>
      </w:r>
      <w:r w:rsidRPr="00D30496">
        <w:rPr>
          <w:rFonts w:ascii="Times New Roman" w:hAnsi="Times New Roman"/>
          <w:i/>
          <w:sz w:val="24"/>
        </w:rPr>
        <w:t>The British Journal of Psychiatry, 187</w:t>
      </w:r>
      <w:r w:rsidRPr="00D30496">
        <w:rPr>
          <w:rFonts w:ascii="Times New Roman" w:hAnsi="Times New Roman"/>
          <w:sz w:val="24"/>
        </w:rPr>
        <w:t>, 9-20. doi: 10.1192/bjp.187.1.9</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Iqbal, Z., Birchwood, M., Chadwick, P., &amp; Trower, P. (2000). Cognitive approach to depression and suicidal thinking in psychosis. 2. Testing the validity of a social ranking model. </w:t>
      </w:r>
      <w:r w:rsidRPr="00D30496">
        <w:rPr>
          <w:rFonts w:ascii="Times New Roman" w:hAnsi="Times New Roman"/>
          <w:i/>
          <w:sz w:val="24"/>
        </w:rPr>
        <w:t>The British Journal of Psychiatry, 177</w:t>
      </w:r>
      <w:r w:rsidRPr="00D30496">
        <w:rPr>
          <w:rFonts w:ascii="Times New Roman" w:hAnsi="Times New Roman"/>
          <w:sz w:val="24"/>
        </w:rPr>
        <w:t xml:space="preserve">, 522-528. </w:t>
      </w:r>
    </w:p>
    <w:p w:rsidR="00B26CB0" w:rsidRPr="00B26CB0" w:rsidRDefault="00B26CB0" w:rsidP="00B26CB0">
      <w:pPr>
        <w:pStyle w:val="EndNoteBibliography"/>
        <w:spacing w:line="480" w:lineRule="auto"/>
        <w:rPr>
          <w:rFonts w:ascii="Times New Roman" w:hAnsi="Times New Roman"/>
          <w:sz w:val="24"/>
        </w:rPr>
      </w:pPr>
      <w:r w:rsidRPr="00B26CB0">
        <w:rPr>
          <w:rFonts w:ascii="Times New Roman" w:hAnsi="Times New Roman"/>
          <w:sz w:val="24"/>
        </w:rPr>
        <w:lastRenderedPageBreak/>
        <w:t xml:space="preserve">Irish, M., Addis, D. R., Hodges, J. R., &amp; Piguet, O. (2012). Considering the role of semantic memory in episodic future thinking: evidence from semantic dementia. </w:t>
      </w:r>
      <w:r w:rsidRPr="00B26CB0">
        <w:rPr>
          <w:rFonts w:ascii="Times New Roman" w:hAnsi="Times New Roman"/>
          <w:i/>
          <w:sz w:val="24"/>
        </w:rPr>
        <w:t>Brain, 135</w:t>
      </w:r>
      <w:r w:rsidRPr="00B26CB0">
        <w:rPr>
          <w:rFonts w:ascii="Times New Roman" w:hAnsi="Times New Roman"/>
          <w:sz w:val="24"/>
        </w:rPr>
        <w:t>(Pt 7), 2178-2191. doi: 10.1093/brain/aws119</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Lezak, M. D., Howieson, D. B., &amp; Loring, D. W. (2004). </w:t>
      </w:r>
      <w:r w:rsidRPr="00D30496">
        <w:rPr>
          <w:rFonts w:ascii="Times New Roman" w:hAnsi="Times New Roman"/>
          <w:i/>
          <w:sz w:val="24"/>
        </w:rPr>
        <w:t>Neuropsychological assessment</w:t>
      </w:r>
      <w:r w:rsidRPr="00D30496">
        <w:rPr>
          <w:rFonts w:ascii="Times New Roman" w:hAnsi="Times New Roman"/>
          <w:sz w:val="24"/>
        </w:rPr>
        <w:t xml:space="preserve"> (4th ed.). New York: Oxford University Press.</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MacLeod, A. K., Pankhania, B., Lee, M., &amp; Mitchell, D. (1997). Parasuicide, depression and the anticipation of positive and negative future experiences. </w:t>
      </w:r>
      <w:r w:rsidRPr="00D30496">
        <w:rPr>
          <w:rFonts w:ascii="Times New Roman" w:hAnsi="Times New Roman"/>
          <w:i/>
          <w:sz w:val="24"/>
        </w:rPr>
        <w:t>Psychological Medicine, 27</w:t>
      </w:r>
      <w:r w:rsidRPr="00D30496">
        <w:rPr>
          <w:rFonts w:ascii="Times New Roman" w:hAnsi="Times New Roman"/>
          <w:sz w:val="24"/>
        </w:rPr>
        <w:t xml:space="preserve">(4), 973-977. </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MacLeod, A. K., Rose, G. S., &amp; Williams, J. M. G. (1993). Components of Hopelessness About the Future in Parasuicide. </w:t>
      </w:r>
      <w:r w:rsidRPr="00D30496">
        <w:rPr>
          <w:rFonts w:ascii="Times New Roman" w:hAnsi="Times New Roman"/>
          <w:i/>
          <w:sz w:val="24"/>
        </w:rPr>
        <w:t>Cognitive Therapy and Research, 17</w:t>
      </w:r>
      <w:r w:rsidRPr="00D30496">
        <w:rPr>
          <w:rFonts w:ascii="Times New Roman" w:hAnsi="Times New Roman"/>
          <w:sz w:val="24"/>
        </w:rPr>
        <w:t>(5), 441-455. doi: Doi 10.1007/Bf01173056</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MacLeod, A. K., Tata, P., Evans, K., Tyrer, P., Schmidt, U., Davidson, K., . . . Catalan, J. (1998). Recovery of positive future thinking within a high-risk parasuicide group: results from a pilot randomized controlled trial. </w:t>
      </w:r>
      <w:r w:rsidRPr="00D30496">
        <w:rPr>
          <w:rFonts w:ascii="Times New Roman" w:hAnsi="Times New Roman"/>
          <w:i/>
          <w:sz w:val="24"/>
        </w:rPr>
        <w:t>British Journal of Clinical Psychology, 37 ( Pt 4)</w:t>
      </w:r>
      <w:r w:rsidRPr="00D30496">
        <w:rPr>
          <w:rFonts w:ascii="Times New Roman" w:hAnsi="Times New Roman"/>
          <w:sz w:val="24"/>
        </w:rPr>
        <w:t xml:space="preserve">, 371-379. </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MacLeod, A. K., Tata, P., Tyrer, P., Schmidt, U., Davidson, K., &amp; Thompson, S. (2005). Hopelessness and positive and negative future thinking in parasuicide. </w:t>
      </w:r>
      <w:r w:rsidRPr="00D30496">
        <w:rPr>
          <w:rFonts w:ascii="Times New Roman" w:hAnsi="Times New Roman"/>
          <w:i/>
          <w:sz w:val="24"/>
        </w:rPr>
        <w:t>British Journal of Clinical Psychology, 44</w:t>
      </w:r>
      <w:r w:rsidRPr="00D30496">
        <w:rPr>
          <w:rFonts w:ascii="Times New Roman" w:hAnsi="Times New Roman"/>
          <w:sz w:val="24"/>
        </w:rPr>
        <w:t>(Pt 4), 495-504. doi: 10.1348/014466505X35704</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Miller, G. A., &amp; Chapman, J. P. (2001). Misunderstanding analysis of covariance. </w:t>
      </w:r>
      <w:r w:rsidRPr="00D30496">
        <w:rPr>
          <w:rFonts w:ascii="Times New Roman" w:hAnsi="Times New Roman"/>
          <w:i/>
          <w:sz w:val="24"/>
        </w:rPr>
        <w:t>Journal of Abnormal Psychology, 110</w:t>
      </w:r>
      <w:r w:rsidRPr="00D30496">
        <w:rPr>
          <w:rFonts w:ascii="Times New Roman" w:hAnsi="Times New Roman"/>
          <w:sz w:val="24"/>
        </w:rPr>
        <w:t xml:space="preserve">(1), 40-48. </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Moe, A. M., &amp; Docherty, N. M. (2014). Schizophrenia and the Sense of Self. </w:t>
      </w:r>
      <w:r w:rsidRPr="00D30496">
        <w:rPr>
          <w:rFonts w:ascii="Times New Roman" w:hAnsi="Times New Roman"/>
          <w:i/>
          <w:sz w:val="24"/>
        </w:rPr>
        <w:t>Schizophr Bull, 40</w:t>
      </w:r>
      <w:r w:rsidRPr="00D30496">
        <w:rPr>
          <w:rFonts w:ascii="Times New Roman" w:hAnsi="Times New Roman"/>
          <w:sz w:val="24"/>
        </w:rPr>
        <w:t>(1), 161-168. doi: DOI 10.1093/schbul/sbt121</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Nissim, R., Flora, D. B., Cribbie, R. A., Zimmermann, C., Gagliese, L., &amp; Rodin, G. (2010). Factor structure of the Beck Hopelessness Scale in individuals with advanced cancer. </w:t>
      </w:r>
      <w:r w:rsidRPr="00D30496">
        <w:rPr>
          <w:rFonts w:ascii="Times New Roman" w:hAnsi="Times New Roman"/>
          <w:i/>
          <w:sz w:val="24"/>
        </w:rPr>
        <w:t>Psycho-Oncology, 19</w:t>
      </w:r>
      <w:r w:rsidRPr="00D30496">
        <w:rPr>
          <w:rFonts w:ascii="Times New Roman" w:hAnsi="Times New Roman"/>
          <w:sz w:val="24"/>
        </w:rPr>
        <w:t>(3), 255-263. doi: 10.1002/pon.1540</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lastRenderedPageBreak/>
        <w:t xml:space="preserve">O'Connor, R. C., Fraser, L., Whyte, M. C., Machale, S., &amp; Masterton, G. (2008). A comparison of specific positive future expectancies and global hopelessness as predictors of suicidal ideation in a prospective study of repeat self-harmers. </w:t>
      </w:r>
      <w:r w:rsidRPr="00D30496">
        <w:rPr>
          <w:rFonts w:ascii="Times New Roman" w:hAnsi="Times New Roman"/>
          <w:i/>
          <w:sz w:val="24"/>
        </w:rPr>
        <w:t>Journal of Affective Disorders, 110</w:t>
      </w:r>
      <w:r w:rsidRPr="00D30496">
        <w:rPr>
          <w:rFonts w:ascii="Times New Roman" w:hAnsi="Times New Roman"/>
          <w:sz w:val="24"/>
        </w:rPr>
        <w:t>(3), 207-214. doi: 10.1016/j.jad.2008.01.008</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Office for National Statistics. (2012). Suicide rates in the United Kingdom and in </w:t>
      </w:r>
      <w:r>
        <w:rPr>
          <w:rFonts w:ascii="Times New Roman" w:hAnsi="Times New Roman"/>
          <w:sz w:val="24"/>
        </w:rPr>
        <w:t>England and Wales 1991 to 2010.</w:t>
      </w:r>
      <w:r w:rsidRPr="00D30496">
        <w:rPr>
          <w:rFonts w:ascii="Times New Roman" w:hAnsi="Times New Roman"/>
          <w:sz w:val="24"/>
        </w:rPr>
        <w:t xml:space="preserve"> Retrieved 03/06/2013, from http://www.ons.gov.uk/ons/datasets-and-tables/index.html</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Office of Qualifications and Examinations Regulation. (2012). Qualification levels: Comparison of qualification levels betwee</w:t>
      </w:r>
      <w:r>
        <w:rPr>
          <w:rFonts w:ascii="Times New Roman" w:hAnsi="Times New Roman"/>
          <w:sz w:val="24"/>
        </w:rPr>
        <w:t xml:space="preserve">n the NQF and QCF frameworks. </w:t>
      </w:r>
      <w:r w:rsidRPr="00D30496">
        <w:rPr>
          <w:rFonts w:ascii="Times New Roman" w:hAnsi="Times New Roman"/>
          <w:sz w:val="24"/>
        </w:rPr>
        <w:t>Retrieved 12th January 2014, from http://ofqual.gov.uk/qualifications-and-assessments/qualification-frameworks/levels-of-qualifications</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Pompili, M., Serafini, G., Innamorati, M., Lester, D., Shrivastava, A., Girardi, P., &amp; Nordentoft, M. (2011). Suicide risk in first episode psychosis: A selective review of the current literature. </w:t>
      </w:r>
      <w:r w:rsidRPr="00D30496">
        <w:rPr>
          <w:rFonts w:ascii="Times New Roman" w:hAnsi="Times New Roman"/>
          <w:i/>
          <w:sz w:val="24"/>
        </w:rPr>
        <w:t>Schizophrenia Research, 129</w:t>
      </w:r>
      <w:r w:rsidRPr="00D30496">
        <w:rPr>
          <w:rFonts w:ascii="Times New Roman" w:hAnsi="Times New Roman"/>
          <w:sz w:val="24"/>
        </w:rPr>
        <w:t xml:space="preserve">(1), 1-11. </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Raffard, S., D'Argembeau, A., Bayard, S., Boulenger, J. P., &amp; Van der Linden, M. (2010). Scene construction in schizophrenia. </w:t>
      </w:r>
      <w:r w:rsidRPr="00D30496">
        <w:rPr>
          <w:rFonts w:ascii="Times New Roman" w:hAnsi="Times New Roman"/>
          <w:i/>
          <w:sz w:val="24"/>
        </w:rPr>
        <w:t>Neuropsychology, 24</w:t>
      </w:r>
      <w:r w:rsidRPr="00D30496">
        <w:rPr>
          <w:rFonts w:ascii="Times New Roman" w:hAnsi="Times New Roman"/>
          <w:sz w:val="24"/>
        </w:rPr>
        <w:t>(5), 60</w:t>
      </w:r>
      <w:r>
        <w:rPr>
          <w:rFonts w:ascii="Times New Roman" w:hAnsi="Times New Roman"/>
          <w:sz w:val="24"/>
        </w:rPr>
        <w:t>8-615. doi: 2010-17509-007</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Raffard, S., Esposito, F., Boulenger, J. P., &amp; Van der Linden, M. (2013). Impaired ability to imagine future pleasant events is associated with apathy in schizophrenia. </w:t>
      </w:r>
      <w:r w:rsidRPr="00D30496">
        <w:rPr>
          <w:rFonts w:ascii="Times New Roman" w:hAnsi="Times New Roman"/>
          <w:i/>
          <w:sz w:val="24"/>
        </w:rPr>
        <w:t>Psychiatry Research, 209</w:t>
      </w:r>
      <w:r w:rsidRPr="00D30496">
        <w:rPr>
          <w:rFonts w:ascii="Times New Roman" w:hAnsi="Times New Roman"/>
          <w:sz w:val="24"/>
        </w:rPr>
        <w:t>(3), 393-400. doi: http://dx.doi.org/10.1016/j.psychres.2013.04.016</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Rendell, P. G., Bailey, P. E., Henry, J. D., Phillips, L. H., Gaskin, S., &amp; Kliegel, M. (2012). Older Adults Have Greater Difficulty Imagining Future Rather Than Atemporal Experiences. </w:t>
      </w:r>
      <w:r w:rsidRPr="00D30496">
        <w:rPr>
          <w:rFonts w:ascii="Times New Roman" w:hAnsi="Times New Roman"/>
          <w:i/>
          <w:sz w:val="24"/>
        </w:rPr>
        <w:t>Psychology and Aging, 27</w:t>
      </w:r>
      <w:r w:rsidRPr="00D30496">
        <w:rPr>
          <w:rFonts w:ascii="Times New Roman" w:hAnsi="Times New Roman"/>
          <w:sz w:val="24"/>
        </w:rPr>
        <w:t>(4), 1089-1098. doi: Doi 10.1037/A0029748</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Rund, B. R. (2009). Is schizophrenia a neurodegenerative disorder? </w:t>
      </w:r>
      <w:r w:rsidRPr="00D30496">
        <w:rPr>
          <w:rFonts w:ascii="Times New Roman" w:hAnsi="Times New Roman"/>
          <w:i/>
          <w:sz w:val="24"/>
        </w:rPr>
        <w:t>Nordic Journal of Psychiatry, 63</w:t>
      </w:r>
      <w:r w:rsidRPr="00D30496">
        <w:rPr>
          <w:rFonts w:ascii="Times New Roman" w:hAnsi="Times New Roman"/>
          <w:sz w:val="24"/>
        </w:rPr>
        <w:t>(3), 196-201. doi: 10.1080/08039480902767286</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lastRenderedPageBreak/>
        <w:t xml:space="preserve">Sass, L. A., &amp; Pienkos, E. (2013). Space, Time, and Atmosphere A Comparative Phenomenology of Melancholia, Mania, and Schizophrenia, Part II. </w:t>
      </w:r>
      <w:r w:rsidRPr="00D30496">
        <w:rPr>
          <w:rFonts w:ascii="Times New Roman" w:hAnsi="Times New Roman"/>
          <w:i/>
          <w:sz w:val="24"/>
        </w:rPr>
        <w:t>Journal of Consciousness Studies, 20</w:t>
      </w:r>
      <w:r w:rsidRPr="00D30496">
        <w:rPr>
          <w:rFonts w:ascii="Times New Roman" w:hAnsi="Times New Roman"/>
          <w:sz w:val="24"/>
        </w:rPr>
        <w:t xml:space="preserve">(7-8), 131-152. </w:t>
      </w:r>
    </w:p>
    <w:p w:rsidR="00B26CB0" w:rsidRPr="00B26CB0" w:rsidRDefault="00B26CB0" w:rsidP="00B26CB0">
      <w:pPr>
        <w:pStyle w:val="EndNoteBibliography"/>
        <w:spacing w:line="480" w:lineRule="auto"/>
        <w:rPr>
          <w:rFonts w:ascii="Times New Roman" w:hAnsi="Times New Roman"/>
          <w:sz w:val="24"/>
        </w:rPr>
      </w:pPr>
      <w:r w:rsidRPr="00B26CB0">
        <w:rPr>
          <w:rFonts w:ascii="Times New Roman" w:hAnsi="Times New Roman"/>
          <w:sz w:val="24"/>
        </w:rPr>
        <w:t xml:space="preserve">Schacter, D. L., &amp; Addis, D. R. (2007). The cognitive neuroscience of constructive memory: remembering the past and imagining the future. </w:t>
      </w:r>
      <w:r w:rsidRPr="00B26CB0">
        <w:rPr>
          <w:rFonts w:ascii="Times New Roman" w:hAnsi="Times New Roman"/>
          <w:i/>
          <w:sz w:val="24"/>
        </w:rPr>
        <w:t>Philos Trans R Soc Lond B Biol Sci, 362</w:t>
      </w:r>
      <w:r w:rsidRPr="00B26CB0">
        <w:rPr>
          <w:rFonts w:ascii="Times New Roman" w:hAnsi="Times New Roman"/>
          <w:sz w:val="24"/>
        </w:rPr>
        <w:t>(1481), 773-786. doi: 10.1098/rstb.2007.2087</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Schacter, D. L., Addis, D. R., &amp; Buckner, R. L. (2007). Remembering the past to imagine the future: the prospective brain. </w:t>
      </w:r>
      <w:r w:rsidRPr="00D30496">
        <w:rPr>
          <w:rFonts w:ascii="Times New Roman" w:hAnsi="Times New Roman"/>
          <w:i/>
          <w:sz w:val="24"/>
        </w:rPr>
        <w:t>Nature Reviews. Neuroscience, 8</w:t>
      </w:r>
      <w:r w:rsidRPr="00D30496">
        <w:rPr>
          <w:rFonts w:ascii="Times New Roman" w:hAnsi="Times New Roman"/>
          <w:sz w:val="24"/>
        </w:rPr>
        <w:t>(9), 657-661. doi: 10.1038/nrn2213</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Spitzer, R. I., Kroenke, K., Williams, J. W., &amp; Lowe, B. (2006). A brief measure for assessing generalized anxiety disorder: The GAD-7. </w:t>
      </w:r>
      <w:r w:rsidRPr="00D30496">
        <w:rPr>
          <w:rFonts w:ascii="Times New Roman" w:hAnsi="Times New Roman"/>
          <w:i/>
          <w:sz w:val="24"/>
        </w:rPr>
        <w:t>Archives of Internal Medicine, 166</w:t>
      </w:r>
      <w:r w:rsidRPr="00D30496">
        <w:rPr>
          <w:rFonts w:ascii="Times New Roman" w:hAnsi="Times New Roman"/>
          <w:sz w:val="24"/>
        </w:rPr>
        <w:t xml:space="preserve">(10), 1092-1097. </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White, C., Stirling, J., Hopkins, R., Morris, J., Montague, L., Tantam, D., &amp; Lewis, S. (2009). Predictors of 10-year outcome of first-episode psychosis. </w:t>
      </w:r>
      <w:r w:rsidRPr="00D30496">
        <w:rPr>
          <w:rFonts w:ascii="Times New Roman" w:hAnsi="Times New Roman"/>
          <w:i/>
          <w:sz w:val="24"/>
        </w:rPr>
        <w:t>Psychol Med, 39</w:t>
      </w:r>
      <w:r w:rsidRPr="00D30496">
        <w:rPr>
          <w:rFonts w:ascii="Times New Roman" w:hAnsi="Times New Roman"/>
          <w:sz w:val="24"/>
        </w:rPr>
        <w:t>(9), 1447-1456. doi: 10.1017/S003329170800514X</w:t>
      </w:r>
    </w:p>
    <w:p w:rsidR="00B26CB0" w:rsidRPr="00D30496" w:rsidRDefault="00B26CB0" w:rsidP="00D30496">
      <w:pPr>
        <w:pStyle w:val="EndNoteBibliography"/>
        <w:spacing w:line="480" w:lineRule="auto"/>
        <w:rPr>
          <w:rFonts w:ascii="Times New Roman" w:hAnsi="Times New Roman"/>
          <w:sz w:val="24"/>
        </w:rPr>
      </w:pPr>
      <w:r w:rsidRPr="00D30496">
        <w:rPr>
          <w:rFonts w:ascii="Times New Roman" w:hAnsi="Times New Roman"/>
          <w:sz w:val="24"/>
        </w:rPr>
        <w:t xml:space="preserve">White, R. G., McCleery, M., Gumley, A. I., &amp; Mulholland, C. (2007). Hopelessness in schizophrenia: the impact of symptoms and beliefs about illness. </w:t>
      </w:r>
      <w:r w:rsidRPr="00D30496">
        <w:rPr>
          <w:rFonts w:ascii="Times New Roman" w:hAnsi="Times New Roman"/>
          <w:i/>
          <w:sz w:val="24"/>
        </w:rPr>
        <w:t>The Journal of Nervous and Mental Disease, 195</w:t>
      </w:r>
      <w:r w:rsidRPr="00D30496">
        <w:rPr>
          <w:rFonts w:ascii="Times New Roman" w:hAnsi="Times New Roman"/>
          <w:sz w:val="24"/>
        </w:rPr>
        <w:t>(12), 968-975. doi: 10.1097/NMD.0b013e31815c1a1d</w:t>
      </w:r>
    </w:p>
    <w:p w:rsidR="00B26CB0" w:rsidRPr="00D30496" w:rsidRDefault="00B26CB0" w:rsidP="00752542">
      <w:pPr>
        <w:rPr>
          <w:rFonts w:ascii="Times New Roman" w:hAnsi="Times New Roman" w:cs="Times New Roman"/>
          <w:sz w:val="24"/>
          <w:szCs w:val="24"/>
        </w:rPr>
      </w:pPr>
    </w:p>
    <w:p w:rsidR="00B26CB0" w:rsidRDefault="00B26CB0" w:rsidP="00B26CB0"/>
    <w:p w:rsidR="00B26CB0" w:rsidRPr="00B26CB0" w:rsidRDefault="00B26CB0" w:rsidP="00B26CB0">
      <w:pPr>
        <w:rPr>
          <w:rFonts w:ascii="Times New Roman" w:hAnsi="Times New Roman" w:cs="Times New Roman"/>
          <w:sz w:val="24"/>
          <w:szCs w:val="24"/>
        </w:rPr>
      </w:pPr>
    </w:p>
    <w:p w:rsidR="00B26CB0" w:rsidRPr="00B26CB0" w:rsidRDefault="00B26CB0" w:rsidP="00B26CB0">
      <w:pPr>
        <w:rPr>
          <w:rFonts w:ascii="Times New Roman" w:hAnsi="Times New Roman" w:cs="Times New Roman"/>
          <w:sz w:val="24"/>
          <w:szCs w:val="24"/>
        </w:rPr>
      </w:pPr>
    </w:p>
    <w:p w:rsidR="00911C91" w:rsidRDefault="006A5CE3"/>
    <w:sectPr w:rsidR="00911C91" w:rsidSect="00FA387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5CE3">
      <w:pPr>
        <w:spacing w:line="240" w:lineRule="auto"/>
      </w:pPr>
      <w:r>
        <w:separator/>
      </w:r>
    </w:p>
  </w:endnote>
  <w:endnote w:type="continuationSeparator" w:id="0">
    <w:p w:rsidR="00000000" w:rsidRDefault="006A5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91204"/>
      <w:docPartObj>
        <w:docPartGallery w:val="Page Numbers (Bottom of Page)"/>
        <w:docPartUnique/>
      </w:docPartObj>
    </w:sdtPr>
    <w:sdtEndPr>
      <w:rPr>
        <w:noProof/>
      </w:rPr>
    </w:sdtEndPr>
    <w:sdtContent>
      <w:p w:rsidR="009B049D" w:rsidRDefault="00B26CB0">
        <w:pPr>
          <w:pStyle w:val="Footer"/>
          <w:jc w:val="center"/>
        </w:pPr>
        <w:r>
          <w:fldChar w:fldCharType="begin"/>
        </w:r>
        <w:r>
          <w:instrText xml:space="preserve"> PAGE   \* MERGEFORMAT </w:instrText>
        </w:r>
        <w:r>
          <w:fldChar w:fldCharType="separate"/>
        </w:r>
        <w:r w:rsidR="006A5CE3">
          <w:rPr>
            <w:noProof/>
          </w:rPr>
          <w:t>17</w:t>
        </w:r>
        <w:r>
          <w:rPr>
            <w:noProof/>
          </w:rPr>
          <w:fldChar w:fldCharType="end"/>
        </w:r>
      </w:p>
    </w:sdtContent>
  </w:sdt>
  <w:p w:rsidR="009B049D" w:rsidRDefault="006A5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5CE3">
      <w:pPr>
        <w:spacing w:line="240" w:lineRule="auto"/>
      </w:pPr>
      <w:r>
        <w:separator/>
      </w:r>
    </w:p>
  </w:footnote>
  <w:footnote w:type="continuationSeparator" w:id="0">
    <w:p w:rsidR="00000000" w:rsidRDefault="006A5C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363"/>
    <w:multiLevelType w:val="hybridMultilevel"/>
    <w:tmpl w:val="DF3816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50FA7"/>
    <w:multiLevelType w:val="hybridMultilevel"/>
    <w:tmpl w:val="427279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21E7A"/>
    <w:multiLevelType w:val="hybridMultilevel"/>
    <w:tmpl w:val="2E4C73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46370"/>
    <w:multiLevelType w:val="hybridMultilevel"/>
    <w:tmpl w:val="2D7AE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C201D"/>
    <w:multiLevelType w:val="hybridMultilevel"/>
    <w:tmpl w:val="59463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328AE"/>
    <w:multiLevelType w:val="hybridMultilevel"/>
    <w:tmpl w:val="47449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46201"/>
    <w:multiLevelType w:val="hybridMultilevel"/>
    <w:tmpl w:val="20527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16C07"/>
    <w:multiLevelType w:val="hybridMultilevel"/>
    <w:tmpl w:val="0CF0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4B2B1C"/>
    <w:multiLevelType w:val="hybridMultilevel"/>
    <w:tmpl w:val="28D01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F035E2"/>
    <w:multiLevelType w:val="hybridMultilevel"/>
    <w:tmpl w:val="D116F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437B38"/>
    <w:multiLevelType w:val="hybridMultilevel"/>
    <w:tmpl w:val="BA224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045F10"/>
    <w:multiLevelType w:val="hybridMultilevel"/>
    <w:tmpl w:val="720CA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E3368E"/>
    <w:multiLevelType w:val="hybridMultilevel"/>
    <w:tmpl w:val="5FEA0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3C6D0F"/>
    <w:multiLevelType w:val="hybridMultilevel"/>
    <w:tmpl w:val="69F08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4302E1"/>
    <w:multiLevelType w:val="hybridMultilevel"/>
    <w:tmpl w:val="4E543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AB117E"/>
    <w:multiLevelType w:val="hybridMultilevel"/>
    <w:tmpl w:val="A314AA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673D15"/>
    <w:multiLevelType w:val="multilevel"/>
    <w:tmpl w:val="06DECA56"/>
    <w:lvl w:ilvl="0">
      <w:start w:val="3"/>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6"/>
  </w:num>
  <w:num w:numId="10">
    <w:abstractNumId w:val="10"/>
  </w:num>
  <w:num w:numId="11">
    <w:abstractNumId w:val="12"/>
  </w:num>
  <w:num w:numId="12">
    <w:abstractNumId w:val="11"/>
  </w:num>
  <w:num w:numId="13">
    <w:abstractNumId w:val="8"/>
  </w:num>
  <w:num w:numId="14">
    <w:abstractNumId w:val="5"/>
  </w:num>
  <w:num w:numId="15">
    <w:abstractNumId w:val="1"/>
  </w:num>
  <w:num w:numId="16">
    <w:abstractNumId w:val="14"/>
  </w:num>
  <w:num w:numId="17">
    <w:abstractNumId w:val="3"/>
  </w:num>
  <w:num w:numId="18">
    <w:abstractNumId w:val="4"/>
  </w:num>
  <w:num w:numId="19">
    <w:abstractNumId w:val="0"/>
  </w:num>
  <w:num w:numId="20">
    <w:abstractNumId w:val="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26CB0"/>
    <w:rsid w:val="001D058B"/>
    <w:rsid w:val="00564A1E"/>
    <w:rsid w:val="00616985"/>
    <w:rsid w:val="006A5CE3"/>
    <w:rsid w:val="006F0F95"/>
    <w:rsid w:val="00755F24"/>
    <w:rsid w:val="00764145"/>
    <w:rsid w:val="008606D3"/>
    <w:rsid w:val="00B26CB0"/>
    <w:rsid w:val="00D73998"/>
    <w:rsid w:val="00D9215B"/>
    <w:rsid w:val="00E10CD5"/>
    <w:rsid w:val="00F5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B0"/>
    <w:pPr>
      <w:spacing w:after="0" w:line="480" w:lineRule="auto"/>
    </w:pPr>
  </w:style>
  <w:style w:type="paragraph" w:styleId="Heading1">
    <w:name w:val="heading 1"/>
    <w:basedOn w:val="Normal"/>
    <w:next w:val="Normal"/>
    <w:link w:val="Heading1Char"/>
    <w:uiPriority w:val="9"/>
    <w:qFormat/>
    <w:rsid w:val="00B26CB0"/>
    <w:pPr>
      <w:keepNext/>
      <w:numPr>
        <w:numId w:val="6"/>
      </w:numPr>
      <w:outlineLvl w:val="0"/>
    </w:pPr>
    <w:rPr>
      <w:rFonts w:ascii="Cambria" w:hAnsi="Cambria"/>
      <w:b/>
      <w:bCs/>
      <w:kern w:val="32"/>
      <w:sz w:val="32"/>
      <w:szCs w:val="32"/>
      <w:lang w:bidi="en-US"/>
    </w:rPr>
  </w:style>
  <w:style w:type="paragraph" w:styleId="Heading2">
    <w:name w:val="heading 2"/>
    <w:basedOn w:val="Normal"/>
    <w:next w:val="Normal"/>
    <w:link w:val="Heading2Char"/>
    <w:uiPriority w:val="9"/>
    <w:unhideWhenUsed/>
    <w:qFormat/>
    <w:rsid w:val="00B26CB0"/>
    <w:pPr>
      <w:keepNext/>
      <w:numPr>
        <w:ilvl w:val="1"/>
        <w:numId w:val="6"/>
      </w:numPr>
      <w:outlineLvl w:val="1"/>
    </w:pPr>
    <w:rPr>
      <w:rFonts w:ascii="Cambria" w:hAnsi="Cambria"/>
      <w:b/>
      <w:bCs/>
      <w:i/>
      <w:iCs/>
      <w:sz w:val="28"/>
      <w:szCs w:val="28"/>
      <w:lang w:val="en-US" w:bidi="en-US"/>
    </w:rPr>
  </w:style>
  <w:style w:type="paragraph" w:styleId="Heading3">
    <w:name w:val="heading 3"/>
    <w:basedOn w:val="Normal"/>
    <w:next w:val="Normal"/>
    <w:link w:val="Heading3Char"/>
    <w:uiPriority w:val="9"/>
    <w:unhideWhenUsed/>
    <w:qFormat/>
    <w:rsid w:val="00B26CB0"/>
    <w:pPr>
      <w:keepNext/>
      <w:ind w:left="720" w:hanging="720"/>
      <w:outlineLvl w:val="2"/>
    </w:pPr>
    <w:rPr>
      <w:rFonts w:ascii="Times New Roman" w:hAnsi="Times New Roman"/>
      <w:b/>
      <w:bCs/>
      <w:sz w:val="26"/>
      <w:szCs w:val="26"/>
      <w:lang w:val="en-US" w:bidi="en-US"/>
    </w:rPr>
  </w:style>
  <w:style w:type="paragraph" w:styleId="Heading4">
    <w:name w:val="heading 4"/>
    <w:basedOn w:val="Normal"/>
    <w:next w:val="Normal"/>
    <w:link w:val="Heading4Char"/>
    <w:uiPriority w:val="9"/>
    <w:unhideWhenUsed/>
    <w:qFormat/>
    <w:rsid w:val="00B26CB0"/>
    <w:pPr>
      <w:keepNext/>
      <w:outlineLvl w:val="3"/>
    </w:pPr>
    <w:rPr>
      <w:rFonts w:ascii="Times New Roman" w:hAnsi="Times New Roman"/>
      <w:b/>
      <w:bCs/>
      <w:sz w:val="24"/>
      <w:szCs w:val="28"/>
      <w:lang w:val="en-US" w:bidi="en-US"/>
    </w:rPr>
  </w:style>
  <w:style w:type="paragraph" w:styleId="Heading7">
    <w:name w:val="heading 7"/>
    <w:basedOn w:val="Normal"/>
    <w:next w:val="Normal"/>
    <w:link w:val="Heading7Char"/>
    <w:uiPriority w:val="9"/>
    <w:semiHidden/>
    <w:unhideWhenUsed/>
    <w:qFormat/>
    <w:rsid w:val="00B26CB0"/>
    <w:pPr>
      <w:spacing w:before="240" w:after="60"/>
      <w:ind w:left="1296" w:hanging="1296"/>
      <w:outlineLvl w:val="6"/>
    </w:pPr>
    <w:rPr>
      <w:rFonts w:ascii="Times New Roman" w:eastAsia="Times New Roman" w:hAnsi="Times New Roman" w:cs="Times New Roman"/>
      <w:sz w:val="24"/>
      <w:szCs w:val="24"/>
      <w:lang w:val="en-US" w:bidi="en-US"/>
    </w:rPr>
  </w:style>
  <w:style w:type="paragraph" w:styleId="Heading8">
    <w:name w:val="heading 8"/>
    <w:basedOn w:val="Normal"/>
    <w:next w:val="Normal"/>
    <w:link w:val="Heading8Char"/>
    <w:uiPriority w:val="9"/>
    <w:semiHidden/>
    <w:unhideWhenUsed/>
    <w:qFormat/>
    <w:rsid w:val="00B26CB0"/>
    <w:pPr>
      <w:spacing w:before="240" w:after="60"/>
      <w:ind w:left="1440" w:hanging="1440"/>
      <w:outlineLvl w:val="7"/>
    </w:pPr>
    <w:rPr>
      <w:rFonts w:ascii="Times New Roman" w:eastAsia="Times New Roman" w:hAnsi="Times New Roman" w:cs="Times New Roman"/>
      <w:i/>
      <w:iCs/>
      <w:sz w:val="24"/>
      <w:szCs w:val="24"/>
      <w:lang w:val="en-US" w:bidi="en-US"/>
    </w:rPr>
  </w:style>
  <w:style w:type="paragraph" w:styleId="Heading9">
    <w:name w:val="heading 9"/>
    <w:basedOn w:val="Normal"/>
    <w:next w:val="Normal"/>
    <w:link w:val="Heading9Char"/>
    <w:uiPriority w:val="9"/>
    <w:semiHidden/>
    <w:unhideWhenUsed/>
    <w:qFormat/>
    <w:rsid w:val="00B26CB0"/>
    <w:pPr>
      <w:spacing w:before="240" w:after="60"/>
      <w:ind w:left="1584" w:hanging="1584"/>
      <w:outlineLvl w:val="8"/>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CB0"/>
    <w:rPr>
      <w:rFonts w:ascii="Cambria" w:hAnsi="Cambria"/>
      <w:b/>
      <w:bCs/>
      <w:i/>
      <w:iCs/>
      <w:sz w:val="28"/>
      <w:szCs w:val="28"/>
      <w:lang w:val="en-US" w:bidi="en-US"/>
    </w:rPr>
  </w:style>
  <w:style w:type="character" w:customStyle="1" w:styleId="Heading1Char">
    <w:name w:val="Heading 1 Char"/>
    <w:link w:val="Heading1"/>
    <w:uiPriority w:val="9"/>
    <w:rsid w:val="00B26CB0"/>
    <w:rPr>
      <w:rFonts w:ascii="Cambria" w:hAnsi="Cambria"/>
      <w:b/>
      <w:bCs/>
      <w:kern w:val="32"/>
      <w:sz w:val="32"/>
      <w:szCs w:val="32"/>
      <w:lang w:bidi="en-US"/>
    </w:rPr>
  </w:style>
  <w:style w:type="character" w:customStyle="1" w:styleId="Heading4Char">
    <w:name w:val="Heading 4 Char"/>
    <w:link w:val="Heading4"/>
    <w:uiPriority w:val="9"/>
    <w:rsid w:val="00B26CB0"/>
    <w:rPr>
      <w:rFonts w:ascii="Times New Roman" w:hAnsi="Times New Roman"/>
      <w:b/>
      <w:bCs/>
      <w:sz w:val="24"/>
      <w:szCs w:val="28"/>
      <w:lang w:val="en-US" w:bidi="en-US"/>
    </w:rPr>
  </w:style>
  <w:style w:type="character" w:customStyle="1" w:styleId="Heading3Char">
    <w:name w:val="Heading 3 Char"/>
    <w:basedOn w:val="DefaultParagraphFont"/>
    <w:link w:val="Heading3"/>
    <w:uiPriority w:val="9"/>
    <w:rsid w:val="00B26CB0"/>
    <w:rPr>
      <w:rFonts w:ascii="Times New Roman" w:hAnsi="Times New Roman"/>
      <w:b/>
      <w:bCs/>
      <w:sz w:val="26"/>
      <w:szCs w:val="26"/>
      <w:lang w:val="en-US" w:bidi="en-US"/>
    </w:rPr>
  </w:style>
  <w:style w:type="paragraph" w:customStyle="1" w:styleId="EndNoteBibliography">
    <w:name w:val="EndNote Bibliography"/>
    <w:link w:val="EndNoteBibliographyChar"/>
    <w:rsid w:val="00B26CB0"/>
    <w:pPr>
      <w:spacing w:after="0" w:line="240" w:lineRule="auto"/>
      <w:ind w:left="720" w:hanging="720"/>
    </w:pPr>
    <w:rPr>
      <w:rFonts w:ascii="Calibri" w:hAnsi="Calibri" w:cs="Times New Roman"/>
      <w:noProof/>
      <w:szCs w:val="24"/>
    </w:rPr>
  </w:style>
  <w:style w:type="character" w:customStyle="1" w:styleId="EndNoteBibliographyChar">
    <w:name w:val="EndNote Bibliography Char"/>
    <w:basedOn w:val="DefaultParagraphFont"/>
    <w:link w:val="EndNoteBibliography"/>
    <w:rsid w:val="00B26CB0"/>
    <w:rPr>
      <w:rFonts w:ascii="Calibri" w:hAnsi="Calibri" w:cs="Times New Roman"/>
      <w:noProof/>
      <w:szCs w:val="24"/>
    </w:rPr>
  </w:style>
  <w:style w:type="character" w:customStyle="1" w:styleId="Heading7Char">
    <w:name w:val="Heading 7 Char"/>
    <w:basedOn w:val="DefaultParagraphFont"/>
    <w:link w:val="Heading7"/>
    <w:uiPriority w:val="9"/>
    <w:semiHidden/>
    <w:rsid w:val="00B26CB0"/>
    <w:rPr>
      <w:rFonts w:ascii="Times New Roman" w:eastAsia="Times New Roman" w:hAnsi="Times New Roman" w:cs="Times New Roman"/>
      <w:sz w:val="24"/>
      <w:szCs w:val="24"/>
      <w:lang w:val="en-US" w:bidi="en-US"/>
    </w:rPr>
  </w:style>
  <w:style w:type="character" w:customStyle="1" w:styleId="Heading8Char">
    <w:name w:val="Heading 8 Char"/>
    <w:basedOn w:val="DefaultParagraphFont"/>
    <w:link w:val="Heading8"/>
    <w:uiPriority w:val="9"/>
    <w:semiHidden/>
    <w:rsid w:val="00B26CB0"/>
    <w:rPr>
      <w:rFonts w:ascii="Times New Roman" w:eastAsia="Times New Roman" w:hAnsi="Times New Roman" w:cs="Times New Roman"/>
      <w:i/>
      <w:iCs/>
      <w:sz w:val="24"/>
      <w:szCs w:val="24"/>
      <w:lang w:val="en-US" w:bidi="en-US"/>
    </w:rPr>
  </w:style>
  <w:style w:type="character" w:customStyle="1" w:styleId="Heading9Char">
    <w:name w:val="Heading 9 Char"/>
    <w:basedOn w:val="DefaultParagraphFont"/>
    <w:link w:val="Heading9"/>
    <w:uiPriority w:val="9"/>
    <w:semiHidden/>
    <w:rsid w:val="00B26CB0"/>
    <w:rPr>
      <w:rFonts w:ascii="Cambria" w:eastAsia="Times New Roman" w:hAnsi="Cambria" w:cs="Times New Roman"/>
      <w:lang w:val="en-US" w:bidi="en-US"/>
    </w:rPr>
  </w:style>
  <w:style w:type="paragraph" w:customStyle="1" w:styleId="TableLabel">
    <w:name w:val="Table Label"/>
    <w:basedOn w:val="Normal"/>
    <w:next w:val="Normal"/>
    <w:link w:val="TableLabelChar"/>
    <w:qFormat/>
    <w:rsid w:val="00B26CB0"/>
    <w:rPr>
      <w:rFonts w:ascii="Calibri" w:eastAsia="Times New Roman" w:hAnsi="Calibri" w:cs="Times New Roman"/>
      <w:b/>
      <w:szCs w:val="20"/>
      <w:lang w:bidi="en-US"/>
    </w:rPr>
  </w:style>
  <w:style w:type="character" w:customStyle="1" w:styleId="TableLabelChar">
    <w:name w:val="Table Label Char"/>
    <w:link w:val="TableLabel"/>
    <w:rsid w:val="00B26CB0"/>
    <w:rPr>
      <w:rFonts w:ascii="Calibri" w:eastAsia="Times New Roman" w:hAnsi="Calibri" w:cs="Times New Roman"/>
      <w:b/>
      <w:szCs w:val="20"/>
      <w:lang w:bidi="en-US"/>
    </w:rPr>
  </w:style>
  <w:style w:type="paragraph" w:styleId="NoSpacing">
    <w:name w:val="No Spacing"/>
    <w:aliases w:val="Table Text"/>
    <w:basedOn w:val="Normal"/>
    <w:next w:val="Normal"/>
    <w:link w:val="NoSpacingChar"/>
    <w:uiPriority w:val="1"/>
    <w:qFormat/>
    <w:rsid w:val="00B26CB0"/>
    <w:pPr>
      <w:spacing w:line="240" w:lineRule="auto"/>
    </w:pPr>
    <w:rPr>
      <w:rFonts w:ascii="Calibri" w:eastAsia="Times New Roman" w:hAnsi="Calibri" w:cs="Times New Roman"/>
      <w:szCs w:val="32"/>
      <w:lang w:val="en-US" w:bidi="en-US"/>
    </w:rPr>
  </w:style>
  <w:style w:type="character" w:customStyle="1" w:styleId="NoSpacingChar">
    <w:name w:val="No Spacing Char"/>
    <w:aliases w:val="Table Text Char"/>
    <w:link w:val="NoSpacing"/>
    <w:uiPriority w:val="1"/>
    <w:rsid w:val="00B26CB0"/>
    <w:rPr>
      <w:rFonts w:ascii="Calibri" w:eastAsia="Times New Roman" w:hAnsi="Calibri" w:cs="Times New Roman"/>
      <w:szCs w:val="32"/>
      <w:lang w:val="en-US" w:bidi="en-US"/>
    </w:rPr>
  </w:style>
  <w:style w:type="paragraph" w:styleId="FootnoteText">
    <w:name w:val="footnote text"/>
    <w:basedOn w:val="Normal"/>
    <w:link w:val="FootnoteTextChar"/>
    <w:uiPriority w:val="99"/>
    <w:semiHidden/>
    <w:unhideWhenUsed/>
    <w:rsid w:val="00B26CB0"/>
    <w:pPr>
      <w:spacing w:line="240" w:lineRule="auto"/>
    </w:pPr>
    <w:rPr>
      <w:rFonts w:ascii="Times New Roman" w:eastAsia="Times New Roman" w:hAnsi="Times New Roman" w:cs="Times New Roman"/>
      <w:sz w:val="20"/>
      <w:szCs w:val="20"/>
      <w:lang w:val="en-US" w:bidi="en-US"/>
    </w:rPr>
  </w:style>
  <w:style w:type="character" w:customStyle="1" w:styleId="FootnoteTextChar">
    <w:name w:val="Footnote Text Char"/>
    <w:basedOn w:val="DefaultParagraphFont"/>
    <w:link w:val="FootnoteText"/>
    <w:uiPriority w:val="99"/>
    <w:semiHidden/>
    <w:rsid w:val="00B26CB0"/>
    <w:rPr>
      <w:rFonts w:ascii="Times New Roman" w:eastAsia="Times New Roman" w:hAnsi="Times New Roman" w:cs="Times New Roman"/>
      <w:sz w:val="20"/>
      <w:szCs w:val="20"/>
      <w:lang w:val="en-US" w:bidi="en-US"/>
    </w:rPr>
  </w:style>
  <w:style w:type="character" w:styleId="FootnoteReference">
    <w:name w:val="footnote reference"/>
    <w:basedOn w:val="DefaultParagraphFont"/>
    <w:uiPriority w:val="99"/>
    <w:semiHidden/>
    <w:unhideWhenUsed/>
    <w:rsid w:val="00B26CB0"/>
    <w:rPr>
      <w:vertAlign w:val="superscript"/>
    </w:rPr>
  </w:style>
  <w:style w:type="character" w:styleId="CommentReference">
    <w:name w:val="annotation reference"/>
    <w:uiPriority w:val="99"/>
    <w:semiHidden/>
    <w:unhideWhenUsed/>
    <w:rsid w:val="00B26CB0"/>
    <w:rPr>
      <w:sz w:val="16"/>
      <w:szCs w:val="16"/>
    </w:rPr>
  </w:style>
  <w:style w:type="paragraph" w:styleId="ListParagraph">
    <w:name w:val="List Paragraph"/>
    <w:basedOn w:val="Normal"/>
    <w:link w:val="ListParagraphChar"/>
    <w:uiPriority w:val="34"/>
    <w:qFormat/>
    <w:rsid w:val="00B26CB0"/>
    <w:pPr>
      <w:ind w:left="720"/>
      <w:contextualSpacing/>
    </w:pPr>
    <w:rPr>
      <w:rFonts w:ascii="Times New Roman" w:eastAsia="Times New Roman" w:hAnsi="Times New Roman" w:cs="Times New Roman"/>
      <w:sz w:val="24"/>
      <w:szCs w:val="24"/>
      <w:lang w:val="en-US" w:bidi="en-US"/>
    </w:rPr>
  </w:style>
  <w:style w:type="character" w:customStyle="1" w:styleId="ListParagraphChar">
    <w:name w:val="List Paragraph Char"/>
    <w:basedOn w:val="DefaultParagraphFont"/>
    <w:link w:val="ListParagraph"/>
    <w:uiPriority w:val="34"/>
    <w:rsid w:val="00B26CB0"/>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B26CB0"/>
    <w:pPr>
      <w:tabs>
        <w:tab w:val="center" w:pos="4513"/>
        <w:tab w:val="right" w:pos="9026"/>
      </w:tabs>
      <w:spacing w:line="240" w:lineRule="auto"/>
    </w:pPr>
  </w:style>
  <w:style w:type="character" w:customStyle="1" w:styleId="HeaderChar">
    <w:name w:val="Header Char"/>
    <w:basedOn w:val="DefaultParagraphFont"/>
    <w:link w:val="Header"/>
    <w:uiPriority w:val="99"/>
    <w:rsid w:val="00B26CB0"/>
  </w:style>
  <w:style w:type="paragraph" w:styleId="Footer">
    <w:name w:val="footer"/>
    <w:basedOn w:val="Normal"/>
    <w:link w:val="FooterChar"/>
    <w:uiPriority w:val="99"/>
    <w:unhideWhenUsed/>
    <w:rsid w:val="00B26CB0"/>
    <w:pPr>
      <w:tabs>
        <w:tab w:val="center" w:pos="4513"/>
        <w:tab w:val="right" w:pos="9026"/>
      </w:tabs>
      <w:spacing w:line="240" w:lineRule="auto"/>
    </w:pPr>
  </w:style>
  <w:style w:type="character" w:customStyle="1" w:styleId="FooterChar">
    <w:name w:val="Footer Char"/>
    <w:basedOn w:val="DefaultParagraphFont"/>
    <w:link w:val="Footer"/>
    <w:uiPriority w:val="99"/>
    <w:rsid w:val="00B26CB0"/>
  </w:style>
  <w:style w:type="paragraph" w:customStyle="1" w:styleId="EndNoteBibliographyTitle">
    <w:name w:val="EndNote Bibliography Title"/>
    <w:basedOn w:val="Normal"/>
    <w:link w:val="EndNoteBibliographyTitleChar"/>
    <w:rsid w:val="00B26CB0"/>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26CB0"/>
    <w:rPr>
      <w:rFonts w:ascii="Calibri" w:hAnsi="Calibri"/>
      <w:noProof/>
      <w:lang w:val="en-US"/>
    </w:rPr>
  </w:style>
  <w:style w:type="character" w:styleId="Hyperlink">
    <w:name w:val="Hyperlink"/>
    <w:basedOn w:val="DefaultParagraphFont"/>
    <w:uiPriority w:val="99"/>
    <w:unhideWhenUsed/>
    <w:rsid w:val="00B26CB0"/>
    <w:rPr>
      <w:color w:val="0000FF" w:themeColor="hyperlink"/>
      <w:u w:val="single"/>
    </w:rPr>
  </w:style>
  <w:style w:type="paragraph" w:styleId="BalloonText">
    <w:name w:val="Balloon Text"/>
    <w:basedOn w:val="Normal"/>
    <w:link w:val="BalloonTextChar"/>
    <w:uiPriority w:val="99"/>
    <w:semiHidden/>
    <w:unhideWhenUsed/>
    <w:rsid w:val="00B26C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B0"/>
    <w:rPr>
      <w:rFonts w:ascii="Tahoma" w:hAnsi="Tahoma" w:cs="Tahoma"/>
      <w:sz w:val="16"/>
      <w:szCs w:val="16"/>
    </w:rPr>
  </w:style>
  <w:style w:type="paragraph" w:styleId="CommentText">
    <w:name w:val="annotation text"/>
    <w:basedOn w:val="Normal"/>
    <w:link w:val="CommentTextChar"/>
    <w:uiPriority w:val="99"/>
    <w:semiHidden/>
    <w:unhideWhenUsed/>
    <w:rsid w:val="00B26CB0"/>
    <w:pPr>
      <w:spacing w:line="240" w:lineRule="auto"/>
    </w:pPr>
    <w:rPr>
      <w:sz w:val="20"/>
      <w:szCs w:val="20"/>
    </w:rPr>
  </w:style>
  <w:style w:type="character" w:customStyle="1" w:styleId="CommentTextChar">
    <w:name w:val="Comment Text Char"/>
    <w:basedOn w:val="DefaultParagraphFont"/>
    <w:link w:val="CommentText"/>
    <w:uiPriority w:val="99"/>
    <w:semiHidden/>
    <w:rsid w:val="00B26CB0"/>
    <w:rPr>
      <w:sz w:val="20"/>
      <w:szCs w:val="20"/>
    </w:rPr>
  </w:style>
  <w:style w:type="paragraph" w:styleId="CommentSubject">
    <w:name w:val="annotation subject"/>
    <w:basedOn w:val="CommentText"/>
    <w:next w:val="CommentText"/>
    <w:link w:val="CommentSubjectChar"/>
    <w:uiPriority w:val="99"/>
    <w:semiHidden/>
    <w:unhideWhenUsed/>
    <w:rsid w:val="00B26CB0"/>
    <w:rPr>
      <w:b/>
      <w:bCs/>
    </w:rPr>
  </w:style>
  <w:style w:type="character" w:customStyle="1" w:styleId="CommentSubjectChar">
    <w:name w:val="Comment Subject Char"/>
    <w:basedOn w:val="CommentTextChar"/>
    <w:link w:val="CommentSubject"/>
    <w:uiPriority w:val="99"/>
    <w:semiHidden/>
    <w:rsid w:val="00B26CB0"/>
    <w:rPr>
      <w:b/>
      <w:bCs/>
      <w:sz w:val="20"/>
      <w:szCs w:val="20"/>
    </w:rPr>
  </w:style>
  <w:style w:type="paragraph" w:styleId="Revision">
    <w:name w:val="Revision"/>
    <w:hidden/>
    <w:uiPriority w:val="99"/>
    <w:semiHidden/>
    <w:rsid w:val="00B26C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B0"/>
    <w:pPr>
      <w:spacing w:after="0" w:line="480" w:lineRule="auto"/>
    </w:pPr>
  </w:style>
  <w:style w:type="paragraph" w:styleId="Heading1">
    <w:name w:val="heading 1"/>
    <w:basedOn w:val="Normal"/>
    <w:next w:val="Normal"/>
    <w:link w:val="Heading1Char"/>
    <w:uiPriority w:val="9"/>
    <w:qFormat/>
    <w:rsid w:val="00B26CB0"/>
    <w:pPr>
      <w:keepNext/>
      <w:numPr>
        <w:numId w:val="6"/>
      </w:numPr>
      <w:outlineLvl w:val="0"/>
    </w:pPr>
    <w:rPr>
      <w:rFonts w:ascii="Cambria" w:hAnsi="Cambria"/>
      <w:b/>
      <w:bCs/>
      <w:kern w:val="32"/>
      <w:sz w:val="32"/>
      <w:szCs w:val="32"/>
      <w:lang w:bidi="en-US"/>
    </w:rPr>
  </w:style>
  <w:style w:type="paragraph" w:styleId="Heading2">
    <w:name w:val="heading 2"/>
    <w:basedOn w:val="Normal"/>
    <w:next w:val="Normal"/>
    <w:link w:val="Heading2Char"/>
    <w:uiPriority w:val="9"/>
    <w:unhideWhenUsed/>
    <w:qFormat/>
    <w:rsid w:val="00B26CB0"/>
    <w:pPr>
      <w:keepNext/>
      <w:numPr>
        <w:ilvl w:val="1"/>
        <w:numId w:val="6"/>
      </w:numPr>
      <w:outlineLvl w:val="1"/>
    </w:pPr>
    <w:rPr>
      <w:rFonts w:ascii="Cambria" w:hAnsi="Cambria"/>
      <w:b/>
      <w:bCs/>
      <w:i/>
      <w:iCs/>
      <w:sz w:val="28"/>
      <w:szCs w:val="28"/>
      <w:lang w:val="en-US" w:bidi="en-US"/>
    </w:rPr>
  </w:style>
  <w:style w:type="paragraph" w:styleId="Heading3">
    <w:name w:val="heading 3"/>
    <w:basedOn w:val="Normal"/>
    <w:next w:val="Normal"/>
    <w:link w:val="Heading3Char"/>
    <w:uiPriority w:val="9"/>
    <w:unhideWhenUsed/>
    <w:qFormat/>
    <w:rsid w:val="00B26CB0"/>
    <w:pPr>
      <w:keepNext/>
      <w:ind w:left="720" w:hanging="720"/>
      <w:outlineLvl w:val="2"/>
    </w:pPr>
    <w:rPr>
      <w:rFonts w:ascii="Times New Roman" w:hAnsi="Times New Roman"/>
      <w:b/>
      <w:bCs/>
      <w:sz w:val="26"/>
      <w:szCs w:val="26"/>
      <w:lang w:val="en-US" w:bidi="en-US"/>
    </w:rPr>
  </w:style>
  <w:style w:type="paragraph" w:styleId="Heading4">
    <w:name w:val="heading 4"/>
    <w:basedOn w:val="Normal"/>
    <w:next w:val="Normal"/>
    <w:link w:val="Heading4Char"/>
    <w:uiPriority w:val="9"/>
    <w:unhideWhenUsed/>
    <w:qFormat/>
    <w:rsid w:val="00B26CB0"/>
    <w:pPr>
      <w:keepNext/>
      <w:outlineLvl w:val="3"/>
    </w:pPr>
    <w:rPr>
      <w:rFonts w:ascii="Times New Roman" w:hAnsi="Times New Roman"/>
      <w:b/>
      <w:bCs/>
      <w:sz w:val="24"/>
      <w:szCs w:val="28"/>
      <w:lang w:val="en-US" w:bidi="en-US"/>
    </w:rPr>
  </w:style>
  <w:style w:type="paragraph" w:styleId="Heading7">
    <w:name w:val="heading 7"/>
    <w:basedOn w:val="Normal"/>
    <w:next w:val="Normal"/>
    <w:link w:val="Heading7Char"/>
    <w:uiPriority w:val="9"/>
    <w:semiHidden/>
    <w:unhideWhenUsed/>
    <w:qFormat/>
    <w:rsid w:val="00B26CB0"/>
    <w:pPr>
      <w:spacing w:before="240" w:after="60"/>
      <w:ind w:left="1296" w:hanging="1296"/>
      <w:outlineLvl w:val="6"/>
    </w:pPr>
    <w:rPr>
      <w:rFonts w:ascii="Times New Roman" w:eastAsia="Times New Roman" w:hAnsi="Times New Roman" w:cs="Times New Roman"/>
      <w:sz w:val="24"/>
      <w:szCs w:val="24"/>
      <w:lang w:val="en-US" w:bidi="en-US"/>
    </w:rPr>
  </w:style>
  <w:style w:type="paragraph" w:styleId="Heading8">
    <w:name w:val="heading 8"/>
    <w:basedOn w:val="Normal"/>
    <w:next w:val="Normal"/>
    <w:link w:val="Heading8Char"/>
    <w:uiPriority w:val="9"/>
    <w:semiHidden/>
    <w:unhideWhenUsed/>
    <w:qFormat/>
    <w:rsid w:val="00B26CB0"/>
    <w:pPr>
      <w:spacing w:before="240" w:after="60"/>
      <w:ind w:left="1440" w:hanging="1440"/>
      <w:outlineLvl w:val="7"/>
    </w:pPr>
    <w:rPr>
      <w:rFonts w:ascii="Times New Roman" w:eastAsia="Times New Roman" w:hAnsi="Times New Roman" w:cs="Times New Roman"/>
      <w:i/>
      <w:iCs/>
      <w:sz w:val="24"/>
      <w:szCs w:val="24"/>
      <w:lang w:val="en-US" w:bidi="en-US"/>
    </w:rPr>
  </w:style>
  <w:style w:type="paragraph" w:styleId="Heading9">
    <w:name w:val="heading 9"/>
    <w:basedOn w:val="Normal"/>
    <w:next w:val="Normal"/>
    <w:link w:val="Heading9Char"/>
    <w:uiPriority w:val="9"/>
    <w:semiHidden/>
    <w:unhideWhenUsed/>
    <w:qFormat/>
    <w:rsid w:val="00B26CB0"/>
    <w:pPr>
      <w:spacing w:before="240" w:after="60"/>
      <w:ind w:left="1584" w:hanging="1584"/>
      <w:outlineLvl w:val="8"/>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CB0"/>
    <w:rPr>
      <w:rFonts w:ascii="Cambria" w:hAnsi="Cambria"/>
      <w:b/>
      <w:bCs/>
      <w:i/>
      <w:iCs/>
      <w:sz w:val="28"/>
      <w:szCs w:val="28"/>
      <w:lang w:val="en-US" w:bidi="en-US"/>
    </w:rPr>
  </w:style>
  <w:style w:type="character" w:customStyle="1" w:styleId="Heading1Char">
    <w:name w:val="Heading 1 Char"/>
    <w:link w:val="Heading1"/>
    <w:uiPriority w:val="9"/>
    <w:rsid w:val="00B26CB0"/>
    <w:rPr>
      <w:rFonts w:ascii="Cambria" w:hAnsi="Cambria"/>
      <w:b/>
      <w:bCs/>
      <w:kern w:val="32"/>
      <w:sz w:val="32"/>
      <w:szCs w:val="32"/>
      <w:lang w:bidi="en-US"/>
    </w:rPr>
  </w:style>
  <w:style w:type="character" w:customStyle="1" w:styleId="Heading4Char">
    <w:name w:val="Heading 4 Char"/>
    <w:link w:val="Heading4"/>
    <w:uiPriority w:val="9"/>
    <w:rsid w:val="00B26CB0"/>
    <w:rPr>
      <w:rFonts w:ascii="Times New Roman" w:hAnsi="Times New Roman"/>
      <w:b/>
      <w:bCs/>
      <w:sz w:val="24"/>
      <w:szCs w:val="28"/>
      <w:lang w:val="en-US" w:bidi="en-US"/>
    </w:rPr>
  </w:style>
  <w:style w:type="character" w:customStyle="1" w:styleId="Heading3Char">
    <w:name w:val="Heading 3 Char"/>
    <w:basedOn w:val="DefaultParagraphFont"/>
    <w:link w:val="Heading3"/>
    <w:uiPriority w:val="9"/>
    <w:rsid w:val="00B26CB0"/>
    <w:rPr>
      <w:rFonts w:ascii="Times New Roman" w:hAnsi="Times New Roman"/>
      <w:b/>
      <w:bCs/>
      <w:sz w:val="26"/>
      <w:szCs w:val="26"/>
      <w:lang w:val="en-US" w:bidi="en-US"/>
    </w:rPr>
  </w:style>
  <w:style w:type="paragraph" w:customStyle="1" w:styleId="EndNoteBibliography">
    <w:name w:val="EndNote Bibliography"/>
    <w:link w:val="EndNoteBibliographyChar"/>
    <w:rsid w:val="00B26CB0"/>
    <w:pPr>
      <w:spacing w:after="0" w:line="240" w:lineRule="auto"/>
      <w:ind w:left="720" w:hanging="720"/>
    </w:pPr>
    <w:rPr>
      <w:rFonts w:ascii="Calibri" w:hAnsi="Calibri" w:cs="Times New Roman"/>
      <w:noProof/>
      <w:szCs w:val="24"/>
    </w:rPr>
  </w:style>
  <w:style w:type="character" w:customStyle="1" w:styleId="EndNoteBibliographyChar">
    <w:name w:val="EndNote Bibliography Char"/>
    <w:basedOn w:val="DefaultParagraphFont"/>
    <w:link w:val="EndNoteBibliography"/>
    <w:rsid w:val="00B26CB0"/>
    <w:rPr>
      <w:rFonts w:ascii="Calibri" w:hAnsi="Calibri" w:cs="Times New Roman"/>
      <w:noProof/>
      <w:szCs w:val="24"/>
    </w:rPr>
  </w:style>
  <w:style w:type="character" w:customStyle="1" w:styleId="Heading7Char">
    <w:name w:val="Heading 7 Char"/>
    <w:basedOn w:val="DefaultParagraphFont"/>
    <w:link w:val="Heading7"/>
    <w:uiPriority w:val="9"/>
    <w:semiHidden/>
    <w:rsid w:val="00B26CB0"/>
    <w:rPr>
      <w:rFonts w:ascii="Times New Roman" w:eastAsia="Times New Roman" w:hAnsi="Times New Roman" w:cs="Times New Roman"/>
      <w:sz w:val="24"/>
      <w:szCs w:val="24"/>
      <w:lang w:val="en-US" w:bidi="en-US"/>
    </w:rPr>
  </w:style>
  <w:style w:type="character" w:customStyle="1" w:styleId="Heading8Char">
    <w:name w:val="Heading 8 Char"/>
    <w:basedOn w:val="DefaultParagraphFont"/>
    <w:link w:val="Heading8"/>
    <w:uiPriority w:val="9"/>
    <w:semiHidden/>
    <w:rsid w:val="00B26CB0"/>
    <w:rPr>
      <w:rFonts w:ascii="Times New Roman" w:eastAsia="Times New Roman" w:hAnsi="Times New Roman" w:cs="Times New Roman"/>
      <w:i/>
      <w:iCs/>
      <w:sz w:val="24"/>
      <w:szCs w:val="24"/>
      <w:lang w:val="en-US" w:bidi="en-US"/>
    </w:rPr>
  </w:style>
  <w:style w:type="character" w:customStyle="1" w:styleId="Heading9Char">
    <w:name w:val="Heading 9 Char"/>
    <w:basedOn w:val="DefaultParagraphFont"/>
    <w:link w:val="Heading9"/>
    <w:uiPriority w:val="9"/>
    <w:semiHidden/>
    <w:rsid w:val="00B26CB0"/>
    <w:rPr>
      <w:rFonts w:ascii="Cambria" w:eastAsia="Times New Roman" w:hAnsi="Cambria" w:cs="Times New Roman"/>
      <w:lang w:val="en-US" w:bidi="en-US"/>
    </w:rPr>
  </w:style>
  <w:style w:type="paragraph" w:customStyle="1" w:styleId="TableLabel">
    <w:name w:val="Table Label"/>
    <w:basedOn w:val="Normal"/>
    <w:next w:val="Normal"/>
    <w:link w:val="TableLabelChar"/>
    <w:qFormat/>
    <w:rsid w:val="00B26CB0"/>
    <w:rPr>
      <w:rFonts w:ascii="Calibri" w:eastAsia="Times New Roman" w:hAnsi="Calibri" w:cs="Times New Roman"/>
      <w:b/>
      <w:szCs w:val="20"/>
      <w:lang w:bidi="en-US"/>
    </w:rPr>
  </w:style>
  <w:style w:type="character" w:customStyle="1" w:styleId="TableLabelChar">
    <w:name w:val="Table Label Char"/>
    <w:link w:val="TableLabel"/>
    <w:rsid w:val="00B26CB0"/>
    <w:rPr>
      <w:rFonts w:ascii="Calibri" w:eastAsia="Times New Roman" w:hAnsi="Calibri" w:cs="Times New Roman"/>
      <w:b/>
      <w:szCs w:val="20"/>
      <w:lang w:bidi="en-US"/>
    </w:rPr>
  </w:style>
  <w:style w:type="paragraph" w:styleId="NoSpacing">
    <w:name w:val="No Spacing"/>
    <w:aliases w:val="Table Text"/>
    <w:basedOn w:val="Normal"/>
    <w:next w:val="Normal"/>
    <w:link w:val="NoSpacingChar"/>
    <w:uiPriority w:val="1"/>
    <w:qFormat/>
    <w:rsid w:val="00B26CB0"/>
    <w:pPr>
      <w:spacing w:line="240" w:lineRule="auto"/>
    </w:pPr>
    <w:rPr>
      <w:rFonts w:ascii="Calibri" w:eastAsia="Times New Roman" w:hAnsi="Calibri" w:cs="Times New Roman"/>
      <w:szCs w:val="32"/>
      <w:lang w:val="en-US" w:bidi="en-US"/>
    </w:rPr>
  </w:style>
  <w:style w:type="character" w:customStyle="1" w:styleId="NoSpacingChar">
    <w:name w:val="No Spacing Char"/>
    <w:aliases w:val="Table Text Char"/>
    <w:link w:val="NoSpacing"/>
    <w:uiPriority w:val="1"/>
    <w:rsid w:val="00B26CB0"/>
    <w:rPr>
      <w:rFonts w:ascii="Calibri" w:eastAsia="Times New Roman" w:hAnsi="Calibri" w:cs="Times New Roman"/>
      <w:szCs w:val="32"/>
      <w:lang w:val="en-US" w:bidi="en-US"/>
    </w:rPr>
  </w:style>
  <w:style w:type="paragraph" w:styleId="FootnoteText">
    <w:name w:val="footnote text"/>
    <w:basedOn w:val="Normal"/>
    <w:link w:val="FootnoteTextChar"/>
    <w:uiPriority w:val="99"/>
    <w:semiHidden/>
    <w:unhideWhenUsed/>
    <w:rsid w:val="00B26CB0"/>
    <w:pPr>
      <w:spacing w:line="240" w:lineRule="auto"/>
    </w:pPr>
    <w:rPr>
      <w:rFonts w:ascii="Times New Roman" w:eastAsia="Times New Roman" w:hAnsi="Times New Roman" w:cs="Times New Roman"/>
      <w:sz w:val="20"/>
      <w:szCs w:val="20"/>
      <w:lang w:val="en-US" w:bidi="en-US"/>
    </w:rPr>
  </w:style>
  <w:style w:type="character" w:customStyle="1" w:styleId="FootnoteTextChar">
    <w:name w:val="Footnote Text Char"/>
    <w:basedOn w:val="DefaultParagraphFont"/>
    <w:link w:val="FootnoteText"/>
    <w:uiPriority w:val="99"/>
    <w:semiHidden/>
    <w:rsid w:val="00B26CB0"/>
    <w:rPr>
      <w:rFonts w:ascii="Times New Roman" w:eastAsia="Times New Roman" w:hAnsi="Times New Roman" w:cs="Times New Roman"/>
      <w:sz w:val="20"/>
      <w:szCs w:val="20"/>
      <w:lang w:val="en-US" w:bidi="en-US"/>
    </w:rPr>
  </w:style>
  <w:style w:type="character" w:styleId="FootnoteReference">
    <w:name w:val="footnote reference"/>
    <w:basedOn w:val="DefaultParagraphFont"/>
    <w:uiPriority w:val="99"/>
    <w:semiHidden/>
    <w:unhideWhenUsed/>
    <w:rsid w:val="00B26CB0"/>
    <w:rPr>
      <w:vertAlign w:val="superscript"/>
    </w:rPr>
  </w:style>
  <w:style w:type="character" w:styleId="CommentReference">
    <w:name w:val="annotation reference"/>
    <w:uiPriority w:val="99"/>
    <w:semiHidden/>
    <w:unhideWhenUsed/>
    <w:rsid w:val="00B26CB0"/>
    <w:rPr>
      <w:sz w:val="16"/>
      <w:szCs w:val="16"/>
    </w:rPr>
  </w:style>
  <w:style w:type="paragraph" w:styleId="ListParagraph">
    <w:name w:val="List Paragraph"/>
    <w:basedOn w:val="Normal"/>
    <w:link w:val="ListParagraphChar"/>
    <w:uiPriority w:val="34"/>
    <w:qFormat/>
    <w:rsid w:val="00B26CB0"/>
    <w:pPr>
      <w:ind w:left="720"/>
      <w:contextualSpacing/>
    </w:pPr>
    <w:rPr>
      <w:rFonts w:ascii="Times New Roman" w:eastAsia="Times New Roman" w:hAnsi="Times New Roman" w:cs="Times New Roman"/>
      <w:sz w:val="24"/>
      <w:szCs w:val="24"/>
      <w:lang w:val="en-US" w:bidi="en-US"/>
    </w:rPr>
  </w:style>
  <w:style w:type="character" w:customStyle="1" w:styleId="ListParagraphChar">
    <w:name w:val="List Paragraph Char"/>
    <w:basedOn w:val="DefaultParagraphFont"/>
    <w:link w:val="ListParagraph"/>
    <w:uiPriority w:val="34"/>
    <w:rsid w:val="00B26CB0"/>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B26CB0"/>
    <w:pPr>
      <w:tabs>
        <w:tab w:val="center" w:pos="4513"/>
        <w:tab w:val="right" w:pos="9026"/>
      </w:tabs>
      <w:spacing w:line="240" w:lineRule="auto"/>
    </w:pPr>
  </w:style>
  <w:style w:type="character" w:customStyle="1" w:styleId="HeaderChar">
    <w:name w:val="Header Char"/>
    <w:basedOn w:val="DefaultParagraphFont"/>
    <w:link w:val="Header"/>
    <w:uiPriority w:val="99"/>
    <w:rsid w:val="00B26CB0"/>
  </w:style>
  <w:style w:type="paragraph" w:styleId="Footer">
    <w:name w:val="footer"/>
    <w:basedOn w:val="Normal"/>
    <w:link w:val="FooterChar"/>
    <w:uiPriority w:val="99"/>
    <w:unhideWhenUsed/>
    <w:rsid w:val="00B26CB0"/>
    <w:pPr>
      <w:tabs>
        <w:tab w:val="center" w:pos="4513"/>
        <w:tab w:val="right" w:pos="9026"/>
      </w:tabs>
      <w:spacing w:line="240" w:lineRule="auto"/>
    </w:pPr>
  </w:style>
  <w:style w:type="character" w:customStyle="1" w:styleId="FooterChar">
    <w:name w:val="Footer Char"/>
    <w:basedOn w:val="DefaultParagraphFont"/>
    <w:link w:val="Footer"/>
    <w:uiPriority w:val="99"/>
    <w:rsid w:val="00B26CB0"/>
  </w:style>
  <w:style w:type="paragraph" w:customStyle="1" w:styleId="EndNoteBibliographyTitle">
    <w:name w:val="EndNote Bibliography Title"/>
    <w:basedOn w:val="Normal"/>
    <w:link w:val="EndNoteBibliographyTitleChar"/>
    <w:rsid w:val="00B26CB0"/>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26CB0"/>
    <w:rPr>
      <w:rFonts w:ascii="Calibri" w:hAnsi="Calibri"/>
      <w:noProof/>
      <w:lang w:val="en-US"/>
    </w:rPr>
  </w:style>
  <w:style w:type="character" w:styleId="Hyperlink">
    <w:name w:val="Hyperlink"/>
    <w:basedOn w:val="DefaultParagraphFont"/>
    <w:uiPriority w:val="99"/>
    <w:unhideWhenUsed/>
    <w:rsid w:val="00B26CB0"/>
    <w:rPr>
      <w:color w:val="0000FF" w:themeColor="hyperlink"/>
      <w:u w:val="single"/>
    </w:rPr>
  </w:style>
  <w:style w:type="paragraph" w:styleId="BalloonText">
    <w:name w:val="Balloon Text"/>
    <w:basedOn w:val="Normal"/>
    <w:link w:val="BalloonTextChar"/>
    <w:uiPriority w:val="99"/>
    <w:semiHidden/>
    <w:unhideWhenUsed/>
    <w:rsid w:val="00B26C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B0"/>
    <w:rPr>
      <w:rFonts w:ascii="Tahoma" w:hAnsi="Tahoma" w:cs="Tahoma"/>
      <w:sz w:val="16"/>
      <w:szCs w:val="16"/>
    </w:rPr>
  </w:style>
  <w:style w:type="paragraph" w:styleId="CommentText">
    <w:name w:val="annotation text"/>
    <w:basedOn w:val="Normal"/>
    <w:link w:val="CommentTextChar"/>
    <w:uiPriority w:val="99"/>
    <w:semiHidden/>
    <w:unhideWhenUsed/>
    <w:rsid w:val="00B26CB0"/>
    <w:pPr>
      <w:spacing w:line="240" w:lineRule="auto"/>
    </w:pPr>
    <w:rPr>
      <w:sz w:val="20"/>
      <w:szCs w:val="20"/>
    </w:rPr>
  </w:style>
  <w:style w:type="character" w:customStyle="1" w:styleId="CommentTextChar">
    <w:name w:val="Comment Text Char"/>
    <w:basedOn w:val="DefaultParagraphFont"/>
    <w:link w:val="CommentText"/>
    <w:uiPriority w:val="99"/>
    <w:semiHidden/>
    <w:rsid w:val="00B26CB0"/>
    <w:rPr>
      <w:sz w:val="20"/>
      <w:szCs w:val="20"/>
    </w:rPr>
  </w:style>
  <w:style w:type="paragraph" w:styleId="CommentSubject">
    <w:name w:val="annotation subject"/>
    <w:basedOn w:val="CommentText"/>
    <w:next w:val="CommentText"/>
    <w:link w:val="CommentSubjectChar"/>
    <w:uiPriority w:val="99"/>
    <w:semiHidden/>
    <w:unhideWhenUsed/>
    <w:rsid w:val="00B26CB0"/>
    <w:rPr>
      <w:b/>
      <w:bCs/>
    </w:rPr>
  </w:style>
  <w:style w:type="character" w:customStyle="1" w:styleId="CommentSubjectChar">
    <w:name w:val="Comment Subject Char"/>
    <w:basedOn w:val="CommentTextChar"/>
    <w:link w:val="CommentSubject"/>
    <w:uiPriority w:val="99"/>
    <w:semiHidden/>
    <w:rsid w:val="00B26CB0"/>
    <w:rPr>
      <w:b/>
      <w:bCs/>
      <w:sz w:val="20"/>
      <w:szCs w:val="20"/>
    </w:rPr>
  </w:style>
  <w:style w:type="paragraph" w:styleId="Revision">
    <w:name w:val="Revision"/>
    <w:hidden/>
    <w:uiPriority w:val="99"/>
    <w:semiHidden/>
    <w:rsid w:val="00B26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6949</Words>
  <Characters>39611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Goodby 09/05/15</dc:creator>
  <cp:lastModifiedBy>Emmeline Goodby 09/05/15</cp:lastModifiedBy>
  <cp:revision>2</cp:revision>
  <dcterms:created xsi:type="dcterms:W3CDTF">2015-09-06T16:25:00Z</dcterms:created>
  <dcterms:modified xsi:type="dcterms:W3CDTF">2015-09-15T18:58:00Z</dcterms:modified>
</cp:coreProperties>
</file>