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EA3ED7" w14:textId="388A1C90" w:rsidR="00780ECE" w:rsidRPr="00F4013C" w:rsidRDefault="001E11C3" w:rsidP="00F4013C">
      <w:pPr>
        <w:spacing w:line="480" w:lineRule="auto"/>
        <w:jc w:val="center"/>
        <w:rPr>
          <w:rFonts w:asciiTheme="majorHAnsi" w:hAnsiTheme="majorHAnsi" w:cs="Calibri"/>
          <w:b/>
          <w:sz w:val="24"/>
          <w:szCs w:val="24"/>
          <w:lang w:val="en-US"/>
        </w:rPr>
      </w:pPr>
      <w:r w:rsidRPr="00F4013C">
        <w:rPr>
          <w:rFonts w:asciiTheme="majorHAnsi" w:hAnsiTheme="majorHAnsi" w:cs="Calibri"/>
          <w:b/>
          <w:sz w:val="24"/>
          <w:szCs w:val="24"/>
          <w:lang w:val="en-US"/>
        </w:rPr>
        <w:t xml:space="preserve">Geographical </w:t>
      </w:r>
      <w:r w:rsidR="00ED3E0D" w:rsidRPr="00F4013C">
        <w:rPr>
          <w:rFonts w:asciiTheme="majorHAnsi" w:hAnsiTheme="majorHAnsi" w:cs="Calibri"/>
          <w:b/>
          <w:sz w:val="24"/>
          <w:szCs w:val="24"/>
          <w:lang w:val="en-US"/>
        </w:rPr>
        <w:t xml:space="preserve">Frontiers of </w:t>
      </w:r>
      <w:r w:rsidR="00AF09D3" w:rsidRPr="00F4013C">
        <w:rPr>
          <w:rFonts w:asciiTheme="majorHAnsi" w:hAnsiTheme="majorHAnsi" w:cs="Calibri"/>
          <w:b/>
          <w:sz w:val="24"/>
          <w:szCs w:val="24"/>
          <w:lang w:val="en-US"/>
        </w:rPr>
        <w:t>Gendered</w:t>
      </w:r>
      <w:r w:rsidR="0055725D" w:rsidRPr="00F4013C">
        <w:rPr>
          <w:rFonts w:asciiTheme="majorHAnsi" w:hAnsiTheme="majorHAnsi" w:cs="Calibri"/>
          <w:b/>
          <w:sz w:val="24"/>
          <w:szCs w:val="24"/>
          <w:lang w:val="en-US"/>
        </w:rPr>
        <w:t xml:space="preserve"> V</w:t>
      </w:r>
      <w:r w:rsidR="00C12982" w:rsidRPr="00F4013C">
        <w:rPr>
          <w:rFonts w:asciiTheme="majorHAnsi" w:hAnsiTheme="majorHAnsi" w:cs="Calibri"/>
          <w:b/>
          <w:sz w:val="24"/>
          <w:szCs w:val="24"/>
          <w:lang w:val="en-US"/>
        </w:rPr>
        <w:t>iolence</w:t>
      </w:r>
    </w:p>
    <w:p w14:paraId="393F643F" w14:textId="77777777" w:rsidR="003F6F04" w:rsidRPr="00F4013C" w:rsidRDefault="003F6F04" w:rsidP="00F4013C">
      <w:pPr>
        <w:spacing w:line="480" w:lineRule="auto"/>
        <w:rPr>
          <w:rFonts w:asciiTheme="majorHAnsi" w:hAnsiTheme="majorHAnsi" w:cs="Calibri"/>
          <w:b/>
          <w:sz w:val="24"/>
          <w:szCs w:val="24"/>
          <w:lang w:val="en-US"/>
        </w:rPr>
      </w:pPr>
    </w:p>
    <w:p w14:paraId="36FA18EC" w14:textId="17361106" w:rsidR="009853B1" w:rsidRPr="00F4013C" w:rsidRDefault="0043633B" w:rsidP="00F4013C">
      <w:pPr>
        <w:spacing w:after="0" w:line="480" w:lineRule="auto"/>
        <w:rPr>
          <w:rFonts w:asciiTheme="majorHAnsi" w:eastAsia="Times New Roman" w:hAnsiTheme="majorHAnsi"/>
          <w:color w:val="000000"/>
          <w:sz w:val="24"/>
          <w:szCs w:val="24"/>
          <w:lang w:eastAsia="en-GB"/>
        </w:rPr>
      </w:pPr>
      <w:r w:rsidRPr="00F4013C">
        <w:rPr>
          <w:rFonts w:asciiTheme="majorHAnsi" w:hAnsiTheme="majorHAnsi"/>
          <w:sz w:val="24"/>
          <w:szCs w:val="24"/>
        </w:rPr>
        <w:t>This suite of</w:t>
      </w:r>
      <w:r w:rsidR="00780ECE" w:rsidRPr="00F4013C">
        <w:rPr>
          <w:rFonts w:asciiTheme="majorHAnsi" w:hAnsiTheme="majorHAnsi"/>
          <w:sz w:val="24"/>
          <w:szCs w:val="24"/>
        </w:rPr>
        <w:t xml:space="preserve"> intervention</w:t>
      </w:r>
      <w:r w:rsidRPr="00F4013C">
        <w:rPr>
          <w:rFonts w:asciiTheme="majorHAnsi" w:hAnsiTheme="majorHAnsi"/>
          <w:sz w:val="24"/>
          <w:szCs w:val="24"/>
        </w:rPr>
        <w:t xml:space="preserve">s aims </w:t>
      </w:r>
      <w:r w:rsidR="00780ECE" w:rsidRPr="00F4013C">
        <w:rPr>
          <w:rFonts w:asciiTheme="majorHAnsi" w:hAnsiTheme="majorHAnsi"/>
          <w:sz w:val="24"/>
          <w:szCs w:val="24"/>
        </w:rPr>
        <w:t>to generate belated conversation</w:t>
      </w:r>
      <w:r w:rsidR="007C3F4F" w:rsidRPr="00F4013C">
        <w:rPr>
          <w:rFonts w:asciiTheme="majorHAnsi" w:hAnsiTheme="majorHAnsi"/>
          <w:sz w:val="24"/>
          <w:szCs w:val="24"/>
        </w:rPr>
        <w:t xml:space="preserve"> across geography</w:t>
      </w:r>
      <w:r w:rsidR="00780ECE" w:rsidRPr="00F4013C">
        <w:rPr>
          <w:rFonts w:asciiTheme="majorHAnsi" w:hAnsiTheme="majorHAnsi"/>
          <w:sz w:val="24"/>
          <w:szCs w:val="24"/>
        </w:rPr>
        <w:t xml:space="preserve"> on gendered violence</w:t>
      </w:r>
      <w:r w:rsidR="007C3F4F" w:rsidRPr="00F4013C">
        <w:rPr>
          <w:rFonts w:asciiTheme="majorHAnsi" w:hAnsiTheme="majorHAnsi"/>
          <w:sz w:val="24"/>
          <w:szCs w:val="24"/>
        </w:rPr>
        <w:t>s</w:t>
      </w:r>
      <w:r w:rsidR="00780ECE" w:rsidRPr="00F4013C">
        <w:rPr>
          <w:rFonts w:asciiTheme="majorHAnsi" w:hAnsiTheme="majorHAnsi"/>
          <w:sz w:val="24"/>
          <w:szCs w:val="24"/>
        </w:rPr>
        <w:t xml:space="preserve">. As such, </w:t>
      </w:r>
      <w:r w:rsidR="00365495" w:rsidRPr="00F4013C">
        <w:rPr>
          <w:rFonts w:asciiTheme="majorHAnsi" w:hAnsiTheme="majorHAnsi"/>
          <w:sz w:val="24"/>
          <w:szCs w:val="24"/>
        </w:rPr>
        <w:t>it brings together</w:t>
      </w:r>
      <w:r w:rsidR="00780ECE" w:rsidRPr="00F4013C">
        <w:rPr>
          <w:rFonts w:asciiTheme="majorHAnsi" w:hAnsiTheme="majorHAnsi"/>
          <w:sz w:val="24"/>
          <w:szCs w:val="24"/>
        </w:rPr>
        <w:t xml:space="preserve"> </w:t>
      </w:r>
      <w:r w:rsidR="00365495" w:rsidRPr="00F4013C">
        <w:rPr>
          <w:rFonts w:asciiTheme="majorHAnsi" w:hAnsiTheme="majorHAnsi"/>
          <w:sz w:val="24"/>
          <w:szCs w:val="24"/>
        </w:rPr>
        <w:t xml:space="preserve">and formalises </w:t>
      </w:r>
      <w:r w:rsidR="00780ECE" w:rsidRPr="00F4013C">
        <w:rPr>
          <w:rFonts w:asciiTheme="majorHAnsi" w:hAnsiTheme="majorHAnsi"/>
          <w:sz w:val="24"/>
          <w:szCs w:val="24"/>
        </w:rPr>
        <w:t>dialogue</w:t>
      </w:r>
      <w:r w:rsidR="00C20FE7" w:rsidRPr="00F4013C">
        <w:rPr>
          <w:rFonts w:asciiTheme="majorHAnsi" w:hAnsiTheme="majorHAnsi"/>
          <w:sz w:val="24"/>
          <w:szCs w:val="24"/>
        </w:rPr>
        <w:t xml:space="preserve"> </w:t>
      </w:r>
      <w:r w:rsidR="00BE6514" w:rsidRPr="00F4013C">
        <w:rPr>
          <w:rFonts w:asciiTheme="majorHAnsi" w:hAnsiTheme="majorHAnsi"/>
          <w:sz w:val="24"/>
          <w:szCs w:val="24"/>
        </w:rPr>
        <w:t xml:space="preserve">convened </w:t>
      </w:r>
      <w:r w:rsidR="00365495" w:rsidRPr="00F4013C">
        <w:rPr>
          <w:rFonts w:asciiTheme="majorHAnsi" w:hAnsiTheme="majorHAnsi"/>
          <w:sz w:val="24"/>
          <w:szCs w:val="24"/>
        </w:rPr>
        <w:t xml:space="preserve">at the Royal Geographical Society-with IBG </w:t>
      </w:r>
      <w:r w:rsidR="008D03F1" w:rsidRPr="00F4013C">
        <w:rPr>
          <w:rFonts w:asciiTheme="majorHAnsi" w:hAnsiTheme="majorHAnsi"/>
          <w:sz w:val="24"/>
          <w:szCs w:val="24"/>
        </w:rPr>
        <w:t xml:space="preserve">(RGS-IBG) </w:t>
      </w:r>
      <w:r w:rsidR="00365495" w:rsidRPr="00F4013C">
        <w:rPr>
          <w:rFonts w:asciiTheme="majorHAnsi" w:hAnsiTheme="majorHAnsi"/>
          <w:sz w:val="24"/>
          <w:szCs w:val="24"/>
        </w:rPr>
        <w:t xml:space="preserve">Annual Conference 2013 </w:t>
      </w:r>
      <w:r w:rsidR="00E64BC7" w:rsidRPr="00F4013C">
        <w:rPr>
          <w:rFonts w:asciiTheme="majorHAnsi" w:hAnsiTheme="majorHAnsi"/>
          <w:sz w:val="24"/>
          <w:szCs w:val="24"/>
        </w:rPr>
        <w:t xml:space="preserve">on the theme of ‘new geographical frontiers’. </w:t>
      </w:r>
      <w:r w:rsidR="008D03F1" w:rsidRPr="00F4013C">
        <w:rPr>
          <w:rFonts w:asciiTheme="majorHAnsi" w:hAnsiTheme="majorHAnsi"/>
          <w:sz w:val="24"/>
          <w:szCs w:val="24"/>
        </w:rPr>
        <w:t xml:space="preserve">Organised by the Gender and Feminist Geographies Research Group (GFGRG) as part of the </w:t>
      </w:r>
      <w:r w:rsidR="00220B8B" w:rsidRPr="00F4013C">
        <w:rPr>
          <w:rFonts w:asciiTheme="majorHAnsi" w:hAnsiTheme="majorHAnsi"/>
          <w:sz w:val="24"/>
          <w:szCs w:val="24"/>
        </w:rPr>
        <w:t>‘</w:t>
      </w:r>
      <w:r w:rsidR="008D03F1" w:rsidRPr="00F4013C">
        <w:rPr>
          <w:rFonts w:asciiTheme="majorHAnsi" w:hAnsiTheme="majorHAnsi"/>
          <w:sz w:val="24"/>
          <w:szCs w:val="24"/>
        </w:rPr>
        <w:t>100+</w:t>
      </w:r>
      <w:r w:rsidR="00220B8B" w:rsidRPr="00F4013C">
        <w:rPr>
          <w:rFonts w:asciiTheme="majorHAnsi" w:hAnsiTheme="majorHAnsi"/>
          <w:sz w:val="24"/>
          <w:szCs w:val="24"/>
        </w:rPr>
        <w:t>’</w:t>
      </w:r>
      <w:r w:rsidR="008D03F1" w:rsidRPr="00F4013C">
        <w:rPr>
          <w:rFonts w:asciiTheme="majorHAnsi" w:hAnsiTheme="majorHAnsi"/>
          <w:sz w:val="24"/>
          <w:szCs w:val="24"/>
        </w:rPr>
        <w:t xml:space="preserve"> series of events marking the centenary of women’s admission t</w:t>
      </w:r>
      <w:r w:rsidR="00BF1FCC" w:rsidRPr="00F4013C">
        <w:rPr>
          <w:rFonts w:asciiTheme="majorHAnsi" w:hAnsiTheme="majorHAnsi"/>
          <w:sz w:val="24"/>
          <w:szCs w:val="24"/>
        </w:rPr>
        <w:t>o the RGS-IBG, a plenary panel</w:t>
      </w:r>
      <w:r w:rsidR="0056065F" w:rsidRPr="00F4013C">
        <w:rPr>
          <w:rFonts w:asciiTheme="majorHAnsi" w:hAnsiTheme="majorHAnsi"/>
          <w:sz w:val="24"/>
          <w:szCs w:val="24"/>
        </w:rPr>
        <w:t xml:space="preserve"> on gendered violences</w:t>
      </w:r>
      <w:r w:rsidR="00BF1FCC" w:rsidRPr="00F4013C">
        <w:rPr>
          <w:rFonts w:asciiTheme="majorHAnsi" w:hAnsiTheme="majorHAnsi"/>
          <w:sz w:val="24"/>
          <w:szCs w:val="24"/>
        </w:rPr>
        <w:t xml:space="preserve"> pr</w:t>
      </w:r>
      <w:r w:rsidR="007C3F4F" w:rsidRPr="00F4013C">
        <w:rPr>
          <w:rFonts w:asciiTheme="majorHAnsi" w:hAnsiTheme="majorHAnsi"/>
          <w:sz w:val="24"/>
          <w:szCs w:val="24"/>
        </w:rPr>
        <w:t xml:space="preserve">ovided </w:t>
      </w:r>
      <w:r w:rsidR="00C20FE7" w:rsidRPr="00F4013C">
        <w:rPr>
          <w:rFonts w:asciiTheme="majorHAnsi" w:hAnsiTheme="majorHAnsi"/>
          <w:sz w:val="24"/>
          <w:szCs w:val="24"/>
        </w:rPr>
        <w:t xml:space="preserve">case study insights from the </w:t>
      </w:r>
      <w:r w:rsidR="008D03F1" w:rsidRPr="00F4013C">
        <w:rPr>
          <w:rFonts w:asciiTheme="majorHAnsi" w:hAnsiTheme="majorHAnsi"/>
          <w:sz w:val="24"/>
          <w:szCs w:val="24"/>
        </w:rPr>
        <w:t>Global North and South on</w:t>
      </w:r>
      <w:r w:rsidR="0056065F" w:rsidRPr="00F4013C">
        <w:rPr>
          <w:rFonts w:asciiTheme="majorHAnsi" w:hAnsiTheme="majorHAnsi"/>
          <w:sz w:val="24"/>
          <w:szCs w:val="24"/>
        </w:rPr>
        <w:t xml:space="preserve"> this</w:t>
      </w:r>
      <w:r w:rsidR="00B03E09" w:rsidRPr="00F4013C">
        <w:rPr>
          <w:rFonts w:asciiTheme="majorHAnsi" w:hAnsiTheme="majorHAnsi"/>
          <w:sz w:val="24"/>
          <w:szCs w:val="24"/>
        </w:rPr>
        <w:t xml:space="preserve"> pressing issue</w:t>
      </w:r>
      <w:r w:rsidR="008D03F1" w:rsidRPr="00F4013C">
        <w:rPr>
          <w:rFonts w:asciiTheme="majorHAnsi" w:hAnsiTheme="majorHAnsi"/>
          <w:sz w:val="24"/>
          <w:szCs w:val="24"/>
        </w:rPr>
        <w:t>.</w:t>
      </w:r>
      <w:r w:rsidR="00351A1F" w:rsidRPr="00F4013C">
        <w:rPr>
          <w:rFonts w:asciiTheme="majorHAnsi" w:hAnsiTheme="majorHAnsi"/>
          <w:sz w:val="24"/>
          <w:szCs w:val="24"/>
        </w:rPr>
        <w:t xml:space="preserve"> </w:t>
      </w:r>
      <w:r w:rsidR="002F1047" w:rsidRPr="00F4013C">
        <w:rPr>
          <w:rFonts w:asciiTheme="majorHAnsi" w:hAnsiTheme="majorHAnsi"/>
          <w:sz w:val="24"/>
          <w:szCs w:val="24"/>
        </w:rPr>
        <w:t xml:space="preserve">Contributors were posed three questions to </w:t>
      </w:r>
      <w:r w:rsidR="00BF1FCC" w:rsidRPr="00F4013C">
        <w:rPr>
          <w:rFonts w:asciiTheme="majorHAnsi" w:hAnsiTheme="majorHAnsi"/>
          <w:sz w:val="24"/>
          <w:szCs w:val="24"/>
        </w:rPr>
        <w:t xml:space="preserve">shape their </w:t>
      </w:r>
      <w:r w:rsidR="004622DC" w:rsidRPr="00F4013C">
        <w:rPr>
          <w:rFonts w:asciiTheme="majorHAnsi" w:hAnsiTheme="majorHAnsi"/>
          <w:sz w:val="24"/>
          <w:szCs w:val="24"/>
        </w:rPr>
        <w:t>respective presentations</w:t>
      </w:r>
      <w:r w:rsidR="007B342F" w:rsidRPr="00F4013C">
        <w:rPr>
          <w:rFonts w:asciiTheme="majorHAnsi" w:hAnsiTheme="majorHAnsi"/>
          <w:sz w:val="24"/>
          <w:szCs w:val="24"/>
        </w:rPr>
        <w:t xml:space="preserve">: </w:t>
      </w:r>
      <w:r w:rsidR="00BF1FCC" w:rsidRPr="00F4013C">
        <w:rPr>
          <w:rFonts w:asciiTheme="majorHAnsi" w:hAnsiTheme="majorHAnsi"/>
          <w:sz w:val="24"/>
          <w:szCs w:val="24"/>
        </w:rPr>
        <w:t>first,</w:t>
      </w:r>
      <w:r w:rsidR="002F1047" w:rsidRPr="00F4013C">
        <w:rPr>
          <w:rFonts w:asciiTheme="majorHAnsi" w:hAnsiTheme="majorHAnsi"/>
          <w:sz w:val="24"/>
          <w:szCs w:val="24"/>
        </w:rPr>
        <w:t xml:space="preserve"> </w:t>
      </w:r>
      <w:r w:rsidR="00A4334C" w:rsidRPr="00F4013C">
        <w:rPr>
          <w:rFonts w:asciiTheme="majorHAnsi" w:eastAsia="Times New Roman" w:hAnsiTheme="majorHAnsi" w:cs="Tahoma"/>
          <w:color w:val="000000"/>
          <w:sz w:val="24"/>
          <w:szCs w:val="24"/>
          <w:lang w:eastAsia="en-GB"/>
        </w:rPr>
        <w:t>are</w:t>
      </w:r>
      <w:r w:rsidR="002F1047" w:rsidRPr="00F4013C">
        <w:rPr>
          <w:rFonts w:asciiTheme="majorHAnsi" w:eastAsia="Times New Roman" w:hAnsiTheme="majorHAnsi" w:cs="Tahoma"/>
          <w:color w:val="000000"/>
          <w:sz w:val="24"/>
          <w:szCs w:val="24"/>
          <w:lang w:eastAsia="en-GB"/>
        </w:rPr>
        <w:t xml:space="preserve"> gendered violence</w:t>
      </w:r>
      <w:r w:rsidR="00A4334C" w:rsidRPr="00F4013C">
        <w:rPr>
          <w:rFonts w:asciiTheme="majorHAnsi" w:eastAsia="Times New Roman" w:hAnsiTheme="majorHAnsi" w:cs="Tahoma"/>
          <w:color w:val="000000"/>
          <w:sz w:val="24"/>
          <w:szCs w:val="24"/>
          <w:lang w:eastAsia="en-GB"/>
        </w:rPr>
        <w:t>s</w:t>
      </w:r>
      <w:r w:rsidR="002F1047" w:rsidRPr="00F4013C">
        <w:rPr>
          <w:rFonts w:asciiTheme="majorHAnsi" w:eastAsia="Times New Roman" w:hAnsiTheme="majorHAnsi" w:cs="Tahoma"/>
          <w:color w:val="000000"/>
          <w:sz w:val="24"/>
          <w:szCs w:val="24"/>
          <w:lang w:eastAsia="en-GB"/>
        </w:rPr>
        <w:t xml:space="preserve"> universa</w:t>
      </w:r>
      <w:r w:rsidR="00A92841" w:rsidRPr="00F4013C">
        <w:rPr>
          <w:rFonts w:asciiTheme="majorHAnsi" w:eastAsia="Times New Roman" w:hAnsiTheme="majorHAnsi" w:cs="Tahoma"/>
          <w:color w:val="000000"/>
          <w:sz w:val="24"/>
          <w:szCs w:val="24"/>
          <w:lang w:eastAsia="en-GB"/>
        </w:rPr>
        <w:t>l</w:t>
      </w:r>
      <w:r w:rsidR="002F1047" w:rsidRPr="00F4013C">
        <w:rPr>
          <w:rFonts w:asciiTheme="majorHAnsi" w:eastAsia="Times New Roman" w:hAnsiTheme="majorHAnsi" w:cs="Tahoma"/>
          <w:color w:val="000000"/>
          <w:sz w:val="24"/>
          <w:szCs w:val="24"/>
          <w:lang w:eastAsia="en-GB"/>
        </w:rPr>
        <w:t>l</w:t>
      </w:r>
      <w:r w:rsidR="00A92841" w:rsidRPr="00F4013C">
        <w:rPr>
          <w:rFonts w:asciiTheme="majorHAnsi" w:eastAsia="Times New Roman" w:hAnsiTheme="majorHAnsi" w:cs="Tahoma"/>
          <w:color w:val="000000"/>
          <w:sz w:val="24"/>
          <w:szCs w:val="24"/>
          <w:lang w:eastAsia="en-GB"/>
        </w:rPr>
        <w:t>y</w:t>
      </w:r>
      <w:r w:rsidR="002F1047" w:rsidRPr="00F4013C">
        <w:rPr>
          <w:rFonts w:asciiTheme="majorHAnsi" w:eastAsia="Times New Roman" w:hAnsiTheme="majorHAnsi" w:cs="Tahoma"/>
          <w:color w:val="000000"/>
          <w:sz w:val="24"/>
          <w:szCs w:val="24"/>
          <w:lang w:eastAsia="en-GB"/>
        </w:rPr>
        <w:t xml:space="preserve"> or spatially differentiate</w:t>
      </w:r>
      <w:r w:rsidR="00707149" w:rsidRPr="00F4013C">
        <w:rPr>
          <w:rFonts w:asciiTheme="majorHAnsi" w:eastAsia="Times New Roman" w:hAnsiTheme="majorHAnsi" w:cs="Tahoma"/>
          <w:color w:val="000000"/>
          <w:sz w:val="24"/>
          <w:szCs w:val="24"/>
          <w:lang w:eastAsia="en-GB"/>
        </w:rPr>
        <w:t>d</w:t>
      </w:r>
      <w:r w:rsidR="002F1047" w:rsidRPr="00F4013C">
        <w:rPr>
          <w:rFonts w:asciiTheme="majorHAnsi" w:eastAsia="Times New Roman" w:hAnsiTheme="majorHAnsi" w:cs="Tahoma"/>
          <w:color w:val="000000"/>
          <w:sz w:val="24"/>
          <w:szCs w:val="24"/>
          <w:lang w:eastAsia="en-GB"/>
        </w:rPr>
        <w:t xml:space="preserve"> and</w:t>
      </w:r>
      <w:r w:rsidR="00182A38" w:rsidRPr="00F4013C">
        <w:rPr>
          <w:rFonts w:asciiTheme="majorHAnsi" w:eastAsia="Times New Roman" w:hAnsiTheme="majorHAnsi" w:cs="Tahoma"/>
          <w:color w:val="000000"/>
          <w:sz w:val="24"/>
          <w:szCs w:val="24"/>
          <w:lang w:eastAsia="en-GB"/>
        </w:rPr>
        <w:t>,</w:t>
      </w:r>
      <w:r w:rsidR="00BF1FCC" w:rsidRPr="00F4013C">
        <w:rPr>
          <w:rFonts w:asciiTheme="majorHAnsi" w:eastAsia="Times New Roman" w:hAnsiTheme="majorHAnsi" w:cs="Tahoma"/>
          <w:color w:val="000000"/>
          <w:sz w:val="24"/>
          <w:szCs w:val="24"/>
          <w:lang w:eastAsia="en-GB"/>
        </w:rPr>
        <w:t xml:space="preserve"> if so, what does this tell us? Second,</w:t>
      </w:r>
      <w:r w:rsidR="004622DC" w:rsidRPr="00F4013C">
        <w:rPr>
          <w:rFonts w:asciiTheme="majorHAnsi" w:eastAsia="Times New Roman" w:hAnsiTheme="majorHAnsi" w:cs="Tahoma"/>
          <w:color w:val="000000"/>
          <w:sz w:val="24"/>
          <w:szCs w:val="24"/>
          <w:lang w:eastAsia="en-GB"/>
        </w:rPr>
        <w:t xml:space="preserve"> h</w:t>
      </w:r>
      <w:r w:rsidR="00707149" w:rsidRPr="00F4013C">
        <w:rPr>
          <w:rFonts w:asciiTheme="majorHAnsi" w:eastAsia="Times New Roman" w:hAnsiTheme="majorHAnsi" w:cs="Tahoma"/>
          <w:color w:val="000000"/>
          <w:sz w:val="24"/>
          <w:szCs w:val="24"/>
          <w:lang w:eastAsia="en-GB"/>
        </w:rPr>
        <w:t xml:space="preserve">ow are particular forms of </w:t>
      </w:r>
      <w:r w:rsidR="002F1047" w:rsidRPr="00F4013C">
        <w:rPr>
          <w:rFonts w:asciiTheme="majorHAnsi" w:eastAsia="Times New Roman" w:hAnsiTheme="majorHAnsi" w:cs="Tahoma"/>
          <w:color w:val="000000"/>
          <w:sz w:val="24"/>
          <w:szCs w:val="24"/>
          <w:lang w:eastAsia="en-GB"/>
        </w:rPr>
        <w:t>violence shaped by gender</w:t>
      </w:r>
      <w:r w:rsidR="004622DC" w:rsidRPr="00F4013C">
        <w:rPr>
          <w:rFonts w:asciiTheme="majorHAnsi" w:eastAsia="Times New Roman" w:hAnsiTheme="majorHAnsi" w:cs="Tahoma"/>
          <w:color w:val="000000"/>
          <w:sz w:val="24"/>
          <w:szCs w:val="24"/>
          <w:lang w:eastAsia="en-GB"/>
        </w:rPr>
        <w:t xml:space="preserve"> and other axes of difference?</w:t>
      </w:r>
      <w:r w:rsidR="00BF1FCC" w:rsidRPr="00F4013C">
        <w:rPr>
          <w:rFonts w:asciiTheme="majorHAnsi" w:eastAsia="Times New Roman" w:hAnsiTheme="majorHAnsi" w:cs="Tahoma"/>
          <w:color w:val="000000"/>
          <w:sz w:val="24"/>
          <w:szCs w:val="24"/>
          <w:lang w:eastAsia="en-GB"/>
        </w:rPr>
        <w:t xml:space="preserve"> And third,</w:t>
      </w:r>
      <w:r w:rsidR="004622DC" w:rsidRPr="00F4013C">
        <w:rPr>
          <w:rFonts w:asciiTheme="majorHAnsi" w:eastAsia="Times New Roman" w:hAnsiTheme="majorHAnsi" w:cs="Tahoma"/>
          <w:color w:val="000000"/>
          <w:sz w:val="24"/>
          <w:szCs w:val="24"/>
          <w:lang w:eastAsia="en-GB"/>
        </w:rPr>
        <w:t xml:space="preserve"> h</w:t>
      </w:r>
      <w:r w:rsidR="002F1047" w:rsidRPr="00F4013C">
        <w:rPr>
          <w:rFonts w:asciiTheme="majorHAnsi" w:eastAsia="Times New Roman" w:hAnsiTheme="majorHAnsi" w:cs="Tahoma"/>
          <w:color w:val="000000"/>
          <w:sz w:val="24"/>
          <w:szCs w:val="24"/>
          <w:lang w:eastAsia="en-GB"/>
        </w:rPr>
        <w:t>ow do gendered networks (informal and institutionalised) perpetrate or resist particular forms of violence?</w:t>
      </w:r>
      <w:r w:rsidR="006B109B" w:rsidRPr="00F4013C">
        <w:rPr>
          <w:rFonts w:asciiTheme="majorHAnsi" w:eastAsia="Times New Roman" w:hAnsiTheme="majorHAnsi" w:cs="Tahoma"/>
          <w:color w:val="000000"/>
          <w:sz w:val="24"/>
          <w:szCs w:val="24"/>
          <w:lang w:eastAsia="en-GB"/>
        </w:rPr>
        <w:t xml:space="preserve"> (1)</w:t>
      </w:r>
      <w:r w:rsidR="006B109B" w:rsidRPr="00F4013C">
        <w:rPr>
          <w:rFonts w:asciiTheme="majorHAnsi" w:eastAsia="Times New Roman" w:hAnsiTheme="majorHAnsi"/>
          <w:color w:val="000000"/>
          <w:sz w:val="24"/>
          <w:szCs w:val="24"/>
          <w:lang w:eastAsia="en-GB"/>
        </w:rPr>
        <w:t xml:space="preserve"> </w:t>
      </w:r>
      <w:r w:rsidR="00FC4C57" w:rsidRPr="00F4013C">
        <w:rPr>
          <w:rFonts w:asciiTheme="majorHAnsi" w:eastAsia="Times New Roman" w:hAnsiTheme="majorHAnsi"/>
          <w:color w:val="000000"/>
          <w:sz w:val="24"/>
          <w:szCs w:val="24"/>
          <w:lang w:eastAsia="en-GB"/>
        </w:rPr>
        <w:t>In response, t</w:t>
      </w:r>
      <w:r w:rsidR="00C201AB" w:rsidRPr="00F4013C">
        <w:rPr>
          <w:rFonts w:asciiTheme="majorHAnsi" w:eastAsia="Times New Roman" w:hAnsiTheme="majorHAnsi"/>
          <w:color w:val="000000"/>
          <w:sz w:val="24"/>
          <w:szCs w:val="24"/>
          <w:lang w:eastAsia="en-GB"/>
        </w:rPr>
        <w:t>he interventions attest to</w:t>
      </w:r>
      <w:r w:rsidR="00DF5626" w:rsidRPr="00F4013C">
        <w:rPr>
          <w:rFonts w:asciiTheme="majorHAnsi" w:eastAsia="Times New Roman" w:hAnsiTheme="majorHAnsi"/>
          <w:color w:val="000000"/>
          <w:sz w:val="24"/>
          <w:szCs w:val="24"/>
          <w:lang w:eastAsia="en-GB"/>
        </w:rPr>
        <w:t xml:space="preserve"> gendered</w:t>
      </w:r>
      <w:r w:rsidR="006D026A" w:rsidRPr="00F4013C">
        <w:rPr>
          <w:rFonts w:asciiTheme="majorHAnsi" w:eastAsia="Times New Roman" w:hAnsiTheme="majorHAnsi"/>
          <w:color w:val="000000"/>
          <w:sz w:val="24"/>
          <w:szCs w:val="24"/>
          <w:lang w:eastAsia="en-GB"/>
        </w:rPr>
        <w:t xml:space="preserve"> </w:t>
      </w:r>
      <w:r w:rsidR="008D4134" w:rsidRPr="00F4013C">
        <w:rPr>
          <w:rFonts w:asciiTheme="majorHAnsi" w:eastAsia="Times New Roman" w:hAnsiTheme="majorHAnsi"/>
          <w:color w:val="000000"/>
          <w:sz w:val="24"/>
          <w:szCs w:val="24"/>
          <w:lang w:eastAsia="en-GB"/>
        </w:rPr>
        <w:t>violences that are physical, sexual, and</w:t>
      </w:r>
      <w:r w:rsidR="005F5A0D" w:rsidRPr="00F4013C">
        <w:rPr>
          <w:rFonts w:asciiTheme="majorHAnsi" w:eastAsia="Times New Roman" w:hAnsiTheme="majorHAnsi"/>
          <w:color w:val="000000"/>
          <w:sz w:val="24"/>
          <w:szCs w:val="24"/>
          <w:lang w:eastAsia="en-GB"/>
        </w:rPr>
        <w:t>/or</w:t>
      </w:r>
      <w:r w:rsidR="008D4134" w:rsidRPr="00F4013C">
        <w:rPr>
          <w:rFonts w:asciiTheme="majorHAnsi" w:eastAsia="Times New Roman" w:hAnsiTheme="majorHAnsi"/>
          <w:color w:val="000000"/>
          <w:sz w:val="24"/>
          <w:szCs w:val="24"/>
          <w:lang w:eastAsia="en-GB"/>
        </w:rPr>
        <w:t xml:space="preserve"> psychological</w:t>
      </w:r>
      <w:r w:rsidR="00A84631" w:rsidRPr="00F4013C">
        <w:rPr>
          <w:rFonts w:asciiTheme="majorHAnsi" w:eastAsia="Times New Roman" w:hAnsiTheme="majorHAnsi"/>
          <w:color w:val="000000"/>
          <w:sz w:val="24"/>
          <w:szCs w:val="24"/>
          <w:lang w:eastAsia="en-GB"/>
        </w:rPr>
        <w:t xml:space="preserve"> and extend to</w:t>
      </w:r>
      <w:r w:rsidR="007C0A19" w:rsidRPr="00F4013C">
        <w:rPr>
          <w:rFonts w:asciiTheme="majorHAnsi" w:eastAsia="Times New Roman" w:hAnsiTheme="majorHAnsi"/>
          <w:color w:val="000000"/>
          <w:sz w:val="24"/>
          <w:szCs w:val="24"/>
          <w:lang w:eastAsia="en-GB"/>
        </w:rPr>
        <w:t xml:space="preserve"> rape</w:t>
      </w:r>
      <w:r w:rsidR="001E0E36" w:rsidRPr="00F4013C">
        <w:rPr>
          <w:rFonts w:asciiTheme="majorHAnsi" w:eastAsia="Times New Roman" w:hAnsiTheme="majorHAnsi"/>
          <w:color w:val="000000"/>
          <w:sz w:val="24"/>
          <w:szCs w:val="24"/>
          <w:lang w:eastAsia="en-GB"/>
        </w:rPr>
        <w:t xml:space="preserve"> [interventions 1 &amp; 2</w:t>
      </w:r>
      <w:r w:rsidR="00FE2385" w:rsidRPr="00F4013C">
        <w:rPr>
          <w:rFonts w:asciiTheme="majorHAnsi" w:eastAsia="Times New Roman" w:hAnsiTheme="majorHAnsi"/>
          <w:color w:val="000000"/>
          <w:sz w:val="24"/>
          <w:szCs w:val="24"/>
          <w:lang w:eastAsia="en-GB"/>
        </w:rPr>
        <w:t>]</w:t>
      </w:r>
      <w:r w:rsidR="007B665D" w:rsidRPr="00F4013C">
        <w:rPr>
          <w:rFonts w:asciiTheme="majorHAnsi" w:eastAsia="Times New Roman" w:hAnsiTheme="majorHAnsi"/>
          <w:color w:val="000000"/>
          <w:sz w:val="24"/>
          <w:szCs w:val="24"/>
          <w:lang w:eastAsia="en-GB"/>
        </w:rPr>
        <w:t xml:space="preserve">, domestic </w:t>
      </w:r>
      <w:r w:rsidR="00A02428" w:rsidRPr="00F4013C">
        <w:rPr>
          <w:rFonts w:asciiTheme="majorHAnsi" w:eastAsia="Times New Roman" w:hAnsiTheme="majorHAnsi"/>
          <w:color w:val="000000"/>
          <w:sz w:val="24"/>
          <w:szCs w:val="24"/>
          <w:lang w:eastAsia="en-GB"/>
        </w:rPr>
        <w:t xml:space="preserve">and state-sponsored </w:t>
      </w:r>
      <w:r w:rsidR="001E0E36" w:rsidRPr="00F4013C">
        <w:rPr>
          <w:rFonts w:asciiTheme="majorHAnsi" w:eastAsia="Times New Roman" w:hAnsiTheme="majorHAnsi"/>
          <w:color w:val="000000"/>
          <w:sz w:val="24"/>
          <w:szCs w:val="24"/>
          <w:lang w:eastAsia="en-GB"/>
        </w:rPr>
        <w:t>violence [intervention 3</w:t>
      </w:r>
      <w:r w:rsidR="00FE2385" w:rsidRPr="00F4013C">
        <w:rPr>
          <w:rFonts w:asciiTheme="majorHAnsi" w:eastAsia="Times New Roman" w:hAnsiTheme="majorHAnsi"/>
          <w:color w:val="000000"/>
          <w:sz w:val="24"/>
          <w:szCs w:val="24"/>
          <w:lang w:eastAsia="en-GB"/>
        </w:rPr>
        <w:t xml:space="preserve">] </w:t>
      </w:r>
      <w:r w:rsidR="007B2976" w:rsidRPr="00F4013C">
        <w:rPr>
          <w:rFonts w:asciiTheme="majorHAnsi" w:eastAsia="Times New Roman" w:hAnsiTheme="majorHAnsi"/>
          <w:color w:val="000000"/>
          <w:sz w:val="24"/>
          <w:szCs w:val="24"/>
          <w:lang w:eastAsia="en-GB"/>
        </w:rPr>
        <w:t>and religious</w:t>
      </w:r>
      <w:r w:rsidR="004035A6" w:rsidRPr="00F4013C">
        <w:rPr>
          <w:rFonts w:asciiTheme="majorHAnsi" w:eastAsia="Times New Roman" w:hAnsiTheme="majorHAnsi"/>
          <w:color w:val="000000"/>
          <w:sz w:val="24"/>
          <w:szCs w:val="24"/>
          <w:lang w:eastAsia="en-GB"/>
        </w:rPr>
        <w:t xml:space="preserve"> and racial</w:t>
      </w:r>
      <w:r w:rsidR="007B2976" w:rsidRPr="00F4013C">
        <w:rPr>
          <w:rFonts w:asciiTheme="majorHAnsi" w:eastAsia="Times New Roman" w:hAnsiTheme="majorHAnsi"/>
          <w:color w:val="000000"/>
          <w:sz w:val="24"/>
          <w:szCs w:val="24"/>
          <w:lang w:eastAsia="en-GB"/>
        </w:rPr>
        <w:t xml:space="preserve"> hate crime</w:t>
      </w:r>
      <w:r w:rsidR="00FE2385" w:rsidRPr="00F4013C">
        <w:rPr>
          <w:rFonts w:asciiTheme="majorHAnsi" w:eastAsia="Times New Roman" w:hAnsiTheme="majorHAnsi"/>
          <w:color w:val="000000"/>
          <w:sz w:val="24"/>
          <w:szCs w:val="24"/>
          <w:lang w:eastAsia="en-GB"/>
        </w:rPr>
        <w:t xml:space="preserve"> [intervention 4]</w:t>
      </w:r>
      <w:r w:rsidR="007C0A19" w:rsidRPr="00F4013C">
        <w:rPr>
          <w:rFonts w:asciiTheme="majorHAnsi" w:eastAsia="Times New Roman" w:hAnsiTheme="majorHAnsi"/>
          <w:color w:val="000000"/>
          <w:sz w:val="24"/>
          <w:szCs w:val="24"/>
          <w:lang w:eastAsia="en-GB"/>
        </w:rPr>
        <w:t xml:space="preserve">. </w:t>
      </w:r>
      <w:r w:rsidR="00BE6514" w:rsidRPr="00F4013C">
        <w:rPr>
          <w:rFonts w:asciiTheme="majorHAnsi" w:eastAsia="Times New Roman" w:hAnsiTheme="majorHAnsi"/>
          <w:color w:val="000000"/>
          <w:sz w:val="24"/>
          <w:szCs w:val="24"/>
          <w:lang w:eastAsia="en-GB"/>
        </w:rPr>
        <w:t>Whilst far from exhaustive, c</w:t>
      </w:r>
      <w:r w:rsidR="00FC4C57" w:rsidRPr="00F4013C">
        <w:rPr>
          <w:rFonts w:asciiTheme="majorHAnsi" w:eastAsia="Times New Roman" w:hAnsiTheme="majorHAnsi"/>
          <w:color w:val="000000"/>
          <w:sz w:val="24"/>
          <w:szCs w:val="24"/>
          <w:lang w:eastAsia="en-GB"/>
        </w:rPr>
        <w:t>ollectively the</w:t>
      </w:r>
      <w:r w:rsidR="00BE6514" w:rsidRPr="00F4013C">
        <w:rPr>
          <w:rFonts w:asciiTheme="majorHAnsi" w:eastAsia="Times New Roman" w:hAnsiTheme="majorHAnsi"/>
          <w:color w:val="000000"/>
          <w:sz w:val="24"/>
          <w:szCs w:val="24"/>
          <w:lang w:eastAsia="en-GB"/>
        </w:rPr>
        <w:t xml:space="preserve">se interventions highlighted </w:t>
      </w:r>
      <w:r w:rsidR="005F5A0D" w:rsidRPr="00F4013C">
        <w:rPr>
          <w:rFonts w:asciiTheme="majorHAnsi" w:eastAsia="Times New Roman" w:hAnsiTheme="majorHAnsi"/>
          <w:color w:val="000000"/>
          <w:sz w:val="24"/>
          <w:szCs w:val="24"/>
          <w:lang w:eastAsia="en-GB"/>
        </w:rPr>
        <w:t xml:space="preserve">a multiple set of </w:t>
      </w:r>
      <w:r w:rsidR="00DF5626" w:rsidRPr="00F4013C">
        <w:rPr>
          <w:rFonts w:asciiTheme="majorHAnsi" w:eastAsia="Times New Roman" w:hAnsiTheme="majorHAnsi"/>
          <w:color w:val="000000"/>
          <w:sz w:val="24"/>
          <w:szCs w:val="24"/>
          <w:lang w:eastAsia="en-GB"/>
        </w:rPr>
        <w:t xml:space="preserve">gendered violences that affect </w:t>
      </w:r>
      <w:r w:rsidR="00BE6514" w:rsidRPr="00F4013C">
        <w:rPr>
          <w:rFonts w:asciiTheme="majorHAnsi" w:eastAsia="Times New Roman" w:hAnsiTheme="majorHAnsi"/>
          <w:color w:val="000000"/>
          <w:sz w:val="24"/>
          <w:szCs w:val="24"/>
          <w:lang w:eastAsia="en-GB"/>
        </w:rPr>
        <w:t xml:space="preserve">the lives of </w:t>
      </w:r>
      <w:r w:rsidR="00DF5626" w:rsidRPr="00F4013C">
        <w:rPr>
          <w:rFonts w:asciiTheme="majorHAnsi" w:eastAsia="Times New Roman" w:hAnsiTheme="majorHAnsi"/>
          <w:color w:val="000000"/>
          <w:sz w:val="24"/>
          <w:szCs w:val="24"/>
          <w:lang w:eastAsia="en-GB"/>
        </w:rPr>
        <w:t>women</w:t>
      </w:r>
      <w:r w:rsidR="00BE6514" w:rsidRPr="00F4013C">
        <w:rPr>
          <w:rFonts w:asciiTheme="majorHAnsi" w:eastAsia="Times New Roman" w:hAnsiTheme="majorHAnsi"/>
          <w:color w:val="000000"/>
          <w:sz w:val="24"/>
          <w:szCs w:val="24"/>
          <w:lang w:eastAsia="en-GB"/>
        </w:rPr>
        <w:t xml:space="preserve"> and men in different settings. </w:t>
      </w:r>
    </w:p>
    <w:p w14:paraId="4EB1BD2A" w14:textId="77777777" w:rsidR="008D4134" w:rsidRPr="00F4013C" w:rsidRDefault="008D4134" w:rsidP="00F4013C">
      <w:pPr>
        <w:spacing w:after="0" w:line="480" w:lineRule="auto"/>
        <w:rPr>
          <w:rFonts w:asciiTheme="majorHAnsi" w:eastAsia="Times New Roman" w:hAnsiTheme="majorHAnsi"/>
          <w:color w:val="000000"/>
          <w:sz w:val="24"/>
          <w:szCs w:val="24"/>
          <w:lang w:eastAsia="en-GB"/>
        </w:rPr>
      </w:pPr>
    </w:p>
    <w:p w14:paraId="13B2CC87" w14:textId="77777777" w:rsidR="008D4134" w:rsidRPr="00F4013C" w:rsidRDefault="008D4134" w:rsidP="00F4013C">
      <w:pPr>
        <w:spacing w:after="0" w:line="480" w:lineRule="auto"/>
        <w:rPr>
          <w:rFonts w:asciiTheme="majorHAnsi" w:eastAsia="Times New Roman" w:hAnsiTheme="majorHAnsi"/>
          <w:color w:val="000000"/>
          <w:sz w:val="24"/>
          <w:szCs w:val="24"/>
          <w:lang w:eastAsia="en-GB"/>
        </w:rPr>
      </w:pPr>
    </w:p>
    <w:p w14:paraId="4985F1B8" w14:textId="3B0ED60F" w:rsidR="00545D73" w:rsidRPr="00F4013C" w:rsidRDefault="006D026A" w:rsidP="00F4013C">
      <w:pPr>
        <w:spacing w:line="480" w:lineRule="auto"/>
        <w:rPr>
          <w:rFonts w:asciiTheme="majorHAnsi" w:hAnsiTheme="majorHAnsi"/>
          <w:sz w:val="24"/>
          <w:szCs w:val="24"/>
        </w:rPr>
      </w:pPr>
      <w:r w:rsidRPr="00F4013C">
        <w:rPr>
          <w:rFonts w:asciiTheme="majorHAnsi" w:hAnsiTheme="majorHAnsi"/>
          <w:sz w:val="24"/>
          <w:szCs w:val="24"/>
        </w:rPr>
        <w:t>Since t</w:t>
      </w:r>
      <w:r w:rsidR="00316F48" w:rsidRPr="00F4013C">
        <w:rPr>
          <w:rFonts w:asciiTheme="majorHAnsi" w:hAnsiTheme="majorHAnsi"/>
          <w:sz w:val="24"/>
          <w:szCs w:val="24"/>
        </w:rPr>
        <w:t xml:space="preserve">he </w:t>
      </w:r>
      <w:r w:rsidR="00220B8B" w:rsidRPr="00F4013C">
        <w:rPr>
          <w:rFonts w:asciiTheme="majorHAnsi" w:hAnsiTheme="majorHAnsi"/>
          <w:sz w:val="24"/>
          <w:szCs w:val="24"/>
        </w:rPr>
        <w:t>mid-1990s</w:t>
      </w:r>
      <w:r w:rsidR="00B62414" w:rsidRPr="00F4013C">
        <w:rPr>
          <w:rFonts w:asciiTheme="majorHAnsi" w:hAnsiTheme="majorHAnsi"/>
          <w:sz w:val="24"/>
          <w:szCs w:val="24"/>
        </w:rPr>
        <w:t>, geographers have</w:t>
      </w:r>
      <w:r w:rsidRPr="00F4013C">
        <w:rPr>
          <w:rFonts w:asciiTheme="majorHAnsi" w:hAnsiTheme="majorHAnsi"/>
          <w:sz w:val="24"/>
          <w:szCs w:val="24"/>
        </w:rPr>
        <w:t xml:space="preserve"> </w:t>
      </w:r>
      <w:r w:rsidR="00B62414" w:rsidRPr="00F4013C">
        <w:rPr>
          <w:rFonts w:asciiTheme="majorHAnsi" w:hAnsiTheme="majorHAnsi"/>
          <w:sz w:val="24"/>
          <w:szCs w:val="24"/>
        </w:rPr>
        <w:t>worked to expose</w:t>
      </w:r>
      <w:r w:rsidRPr="00F4013C">
        <w:rPr>
          <w:rFonts w:asciiTheme="majorHAnsi" w:hAnsiTheme="majorHAnsi"/>
          <w:sz w:val="24"/>
          <w:szCs w:val="24"/>
        </w:rPr>
        <w:t xml:space="preserve"> the gendered violence</w:t>
      </w:r>
      <w:r w:rsidR="00B62414" w:rsidRPr="00F4013C">
        <w:rPr>
          <w:rFonts w:asciiTheme="majorHAnsi" w:hAnsiTheme="majorHAnsi"/>
          <w:sz w:val="24"/>
          <w:szCs w:val="24"/>
        </w:rPr>
        <w:t>s</w:t>
      </w:r>
      <w:r w:rsidRPr="00F4013C">
        <w:rPr>
          <w:rFonts w:asciiTheme="majorHAnsi" w:hAnsiTheme="majorHAnsi"/>
          <w:sz w:val="24"/>
          <w:szCs w:val="24"/>
        </w:rPr>
        <w:t xml:space="preserve"> of public space</w:t>
      </w:r>
      <w:r w:rsidR="00B62414" w:rsidRPr="00F4013C">
        <w:rPr>
          <w:rFonts w:asciiTheme="majorHAnsi" w:hAnsiTheme="majorHAnsi"/>
          <w:sz w:val="24"/>
          <w:szCs w:val="24"/>
        </w:rPr>
        <w:t>,</w:t>
      </w:r>
      <w:r w:rsidRPr="00F4013C">
        <w:rPr>
          <w:rFonts w:asciiTheme="majorHAnsi" w:hAnsiTheme="majorHAnsi"/>
          <w:sz w:val="24"/>
          <w:szCs w:val="24"/>
        </w:rPr>
        <w:t xml:space="preserve"> particularly in the West. Revolving around </w:t>
      </w:r>
      <w:r w:rsidR="00B62414" w:rsidRPr="00F4013C">
        <w:rPr>
          <w:rFonts w:asciiTheme="majorHAnsi" w:hAnsiTheme="majorHAnsi"/>
          <w:sz w:val="24"/>
          <w:szCs w:val="24"/>
        </w:rPr>
        <w:t xml:space="preserve">women’s </w:t>
      </w:r>
      <w:r w:rsidRPr="00F4013C">
        <w:rPr>
          <w:rFonts w:asciiTheme="majorHAnsi" w:hAnsiTheme="majorHAnsi"/>
          <w:sz w:val="24"/>
          <w:szCs w:val="24"/>
        </w:rPr>
        <w:t>fear of violence</w:t>
      </w:r>
      <w:r w:rsidR="00F15C50" w:rsidRPr="00F4013C">
        <w:rPr>
          <w:rFonts w:asciiTheme="majorHAnsi" w:hAnsiTheme="majorHAnsi"/>
          <w:sz w:val="24"/>
          <w:szCs w:val="24"/>
        </w:rPr>
        <w:t xml:space="preserve"> by men</w:t>
      </w:r>
      <w:r w:rsidRPr="00F4013C">
        <w:rPr>
          <w:rFonts w:asciiTheme="majorHAnsi" w:hAnsiTheme="majorHAnsi"/>
          <w:sz w:val="24"/>
          <w:szCs w:val="24"/>
        </w:rPr>
        <w:t xml:space="preserve">, this literature </w:t>
      </w:r>
      <w:r w:rsidR="005325B3" w:rsidRPr="00F4013C">
        <w:rPr>
          <w:rFonts w:asciiTheme="majorHAnsi" w:hAnsiTheme="majorHAnsi"/>
          <w:sz w:val="24"/>
          <w:szCs w:val="24"/>
        </w:rPr>
        <w:t>(</w:t>
      </w:r>
      <w:r w:rsidR="008A76F7" w:rsidRPr="00F4013C">
        <w:rPr>
          <w:rFonts w:asciiTheme="majorHAnsi" w:hAnsiTheme="majorHAnsi"/>
          <w:sz w:val="24"/>
          <w:szCs w:val="24"/>
        </w:rPr>
        <w:t xml:space="preserve">e.g. </w:t>
      </w:r>
      <w:r w:rsidR="001772D3" w:rsidRPr="00F4013C">
        <w:rPr>
          <w:rFonts w:asciiTheme="majorHAnsi" w:hAnsiTheme="majorHAnsi"/>
          <w:sz w:val="24"/>
          <w:szCs w:val="24"/>
        </w:rPr>
        <w:t>Pain 1991</w:t>
      </w:r>
      <w:r w:rsidR="008A76F7" w:rsidRPr="00F4013C">
        <w:rPr>
          <w:rFonts w:asciiTheme="majorHAnsi" w:hAnsiTheme="majorHAnsi"/>
          <w:sz w:val="24"/>
          <w:szCs w:val="24"/>
        </w:rPr>
        <w:t>, Valentine 1989</w:t>
      </w:r>
      <w:r w:rsidR="005325B3" w:rsidRPr="00F4013C">
        <w:rPr>
          <w:rFonts w:asciiTheme="majorHAnsi" w:hAnsiTheme="majorHAnsi"/>
          <w:sz w:val="24"/>
          <w:szCs w:val="24"/>
        </w:rPr>
        <w:t xml:space="preserve">) </w:t>
      </w:r>
      <w:r w:rsidRPr="00F4013C">
        <w:rPr>
          <w:rFonts w:asciiTheme="majorHAnsi" w:hAnsiTheme="majorHAnsi"/>
          <w:sz w:val="24"/>
          <w:szCs w:val="24"/>
        </w:rPr>
        <w:t xml:space="preserve">highlighted </w:t>
      </w:r>
      <w:r w:rsidR="00891BC9" w:rsidRPr="00F4013C">
        <w:rPr>
          <w:rFonts w:asciiTheme="majorHAnsi" w:hAnsiTheme="majorHAnsi"/>
          <w:sz w:val="24"/>
          <w:szCs w:val="24"/>
        </w:rPr>
        <w:t xml:space="preserve">the apparent paradox </w:t>
      </w:r>
      <w:r w:rsidR="00891BC9" w:rsidRPr="00F4013C">
        <w:rPr>
          <w:rFonts w:asciiTheme="majorHAnsi" w:hAnsiTheme="majorHAnsi"/>
          <w:sz w:val="24"/>
          <w:szCs w:val="24"/>
        </w:rPr>
        <w:lastRenderedPageBreak/>
        <w:t xml:space="preserve">of women’s fear of violence from unknown men in public spaces, compared to the greater likelihood of women experiencing violence from known men in the domestic sphere (Mehta and Bondi 1999). This work </w:t>
      </w:r>
      <w:r w:rsidR="005325B3" w:rsidRPr="00F4013C">
        <w:rPr>
          <w:rFonts w:asciiTheme="majorHAnsi" w:hAnsiTheme="majorHAnsi"/>
          <w:sz w:val="24"/>
          <w:szCs w:val="24"/>
        </w:rPr>
        <w:t>was later followed by a smaller literature on men’s experiences</w:t>
      </w:r>
      <w:r w:rsidR="00B97322" w:rsidRPr="00F4013C">
        <w:rPr>
          <w:rFonts w:asciiTheme="majorHAnsi" w:hAnsiTheme="majorHAnsi"/>
          <w:sz w:val="24"/>
          <w:szCs w:val="24"/>
        </w:rPr>
        <w:t xml:space="preserve"> of violence</w:t>
      </w:r>
      <w:r w:rsidR="00545D73" w:rsidRPr="00F4013C">
        <w:rPr>
          <w:rFonts w:asciiTheme="majorHAnsi" w:hAnsiTheme="majorHAnsi"/>
          <w:sz w:val="24"/>
          <w:szCs w:val="24"/>
        </w:rPr>
        <w:t xml:space="preserve"> including Brownlow’s</w:t>
      </w:r>
      <w:r w:rsidR="005325B3" w:rsidRPr="00F4013C">
        <w:rPr>
          <w:rFonts w:asciiTheme="majorHAnsi" w:hAnsiTheme="majorHAnsi"/>
          <w:sz w:val="24"/>
          <w:szCs w:val="24"/>
        </w:rPr>
        <w:t xml:space="preserve"> </w:t>
      </w:r>
      <w:r w:rsidR="00545D73" w:rsidRPr="00F4013C">
        <w:rPr>
          <w:rFonts w:asciiTheme="majorHAnsi" w:hAnsiTheme="majorHAnsi"/>
          <w:sz w:val="24"/>
          <w:szCs w:val="24"/>
        </w:rPr>
        <w:t>(</w:t>
      </w:r>
      <w:r w:rsidR="005325B3" w:rsidRPr="00F4013C">
        <w:rPr>
          <w:rFonts w:asciiTheme="majorHAnsi" w:hAnsiTheme="majorHAnsi"/>
          <w:sz w:val="24"/>
          <w:szCs w:val="24"/>
        </w:rPr>
        <w:t>2005</w:t>
      </w:r>
      <w:r w:rsidR="00545D73" w:rsidRPr="00F4013C">
        <w:rPr>
          <w:rFonts w:asciiTheme="majorHAnsi" w:hAnsiTheme="majorHAnsi"/>
          <w:sz w:val="24"/>
          <w:szCs w:val="24"/>
        </w:rPr>
        <w:t xml:space="preserve">) research on </w:t>
      </w:r>
      <w:r w:rsidR="00B97322" w:rsidRPr="00F4013C">
        <w:rPr>
          <w:rFonts w:asciiTheme="majorHAnsi" w:hAnsiTheme="majorHAnsi"/>
          <w:sz w:val="24"/>
          <w:szCs w:val="24"/>
        </w:rPr>
        <w:t>the intersection of ethnicity, class and gender which made African-American men the group most likely to experience violence in public spaces</w:t>
      </w:r>
      <w:r w:rsidR="00434A4C" w:rsidRPr="00F4013C">
        <w:rPr>
          <w:rFonts w:asciiTheme="majorHAnsi" w:hAnsiTheme="majorHAnsi"/>
          <w:sz w:val="24"/>
          <w:szCs w:val="24"/>
        </w:rPr>
        <w:t xml:space="preserve"> of the United States</w:t>
      </w:r>
      <w:r w:rsidR="005325B3" w:rsidRPr="00F4013C">
        <w:rPr>
          <w:rFonts w:asciiTheme="majorHAnsi" w:hAnsiTheme="majorHAnsi"/>
          <w:sz w:val="24"/>
          <w:szCs w:val="24"/>
        </w:rPr>
        <w:t>.</w:t>
      </w:r>
      <w:r w:rsidR="00C201AB" w:rsidRPr="00F4013C">
        <w:rPr>
          <w:rFonts w:asciiTheme="majorHAnsi" w:hAnsiTheme="majorHAnsi"/>
          <w:sz w:val="24"/>
          <w:szCs w:val="24"/>
        </w:rPr>
        <w:t xml:space="preserve"> </w:t>
      </w:r>
    </w:p>
    <w:p w14:paraId="0D7C5F2A" w14:textId="77777777" w:rsidR="00545D73" w:rsidRPr="00F4013C" w:rsidRDefault="00545D73" w:rsidP="00F4013C">
      <w:pPr>
        <w:spacing w:line="480" w:lineRule="auto"/>
        <w:rPr>
          <w:rFonts w:asciiTheme="majorHAnsi" w:hAnsiTheme="majorHAnsi"/>
          <w:sz w:val="24"/>
          <w:szCs w:val="24"/>
        </w:rPr>
      </w:pPr>
    </w:p>
    <w:p w14:paraId="298A0920" w14:textId="7D8C99CE" w:rsidR="00431A3C" w:rsidRPr="00F4013C" w:rsidRDefault="00F15C50" w:rsidP="00F4013C">
      <w:pPr>
        <w:spacing w:line="480" w:lineRule="auto"/>
        <w:rPr>
          <w:rFonts w:asciiTheme="majorHAnsi" w:hAnsiTheme="majorHAnsi"/>
          <w:sz w:val="24"/>
          <w:szCs w:val="24"/>
        </w:rPr>
      </w:pPr>
      <w:r w:rsidRPr="00F4013C">
        <w:rPr>
          <w:rFonts w:asciiTheme="majorHAnsi" w:hAnsiTheme="majorHAnsi"/>
          <w:sz w:val="24"/>
          <w:szCs w:val="24"/>
        </w:rPr>
        <w:t>Akin to s</w:t>
      </w:r>
      <w:r w:rsidR="00925161" w:rsidRPr="00F4013C">
        <w:rPr>
          <w:rFonts w:asciiTheme="majorHAnsi" w:hAnsiTheme="majorHAnsi"/>
          <w:sz w:val="24"/>
          <w:szCs w:val="24"/>
        </w:rPr>
        <w:t>ociology</w:t>
      </w:r>
      <w:r w:rsidR="00891BC9" w:rsidRPr="00F4013C">
        <w:rPr>
          <w:rFonts w:asciiTheme="majorHAnsi" w:hAnsiTheme="majorHAnsi"/>
          <w:sz w:val="24"/>
          <w:szCs w:val="24"/>
        </w:rPr>
        <w:t>,</w:t>
      </w:r>
      <w:r w:rsidR="00925161" w:rsidRPr="00F4013C">
        <w:rPr>
          <w:rFonts w:asciiTheme="majorHAnsi" w:hAnsiTheme="majorHAnsi"/>
          <w:sz w:val="24"/>
          <w:szCs w:val="24"/>
        </w:rPr>
        <w:t xml:space="preserve"> </w:t>
      </w:r>
      <w:r w:rsidRPr="00F4013C">
        <w:rPr>
          <w:rFonts w:asciiTheme="majorHAnsi" w:hAnsiTheme="majorHAnsi"/>
          <w:sz w:val="24"/>
          <w:szCs w:val="24"/>
        </w:rPr>
        <w:t>which has been</w:t>
      </w:r>
      <w:r w:rsidR="00925161" w:rsidRPr="00F4013C">
        <w:rPr>
          <w:rFonts w:asciiTheme="majorHAnsi" w:hAnsiTheme="majorHAnsi"/>
          <w:sz w:val="24"/>
          <w:szCs w:val="24"/>
        </w:rPr>
        <w:t xml:space="preserve"> </w:t>
      </w:r>
      <w:r w:rsidRPr="00F4013C">
        <w:rPr>
          <w:rFonts w:asciiTheme="majorHAnsi" w:hAnsiTheme="majorHAnsi"/>
          <w:sz w:val="24"/>
          <w:szCs w:val="24"/>
        </w:rPr>
        <w:t xml:space="preserve">less </w:t>
      </w:r>
      <w:r w:rsidR="00925161" w:rsidRPr="00F4013C">
        <w:rPr>
          <w:rFonts w:asciiTheme="majorHAnsi" w:hAnsiTheme="majorHAnsi"/>
          <w:sz w:val="24"/>
          <w:szCs w:val="24"/>
        </w:rPr>
        <w:t xml:space="preserve">concerned </w:t>
      </w:r>
      <w:r w:rsidRPr="00F4013C">
        <w:rPr>
          <w:rFonts w:asciiTheme="majorHAnsi" w:hAnsiTheme="majorHAnsi"/>
          <w:sz w:val="24"/>
          <w:szCs w:val="24"/>
        </w:rPr>
        <w:t xml:space="preserve">with </w:t>
      </w:r>
      <w:r w:rsidR="00925161" w:rsidRPr="00F4013C">
        <w:rPr>
          <w:rFonts w:asciiTheme="majorHAnsi" w:hAnsiTheme="majorHAnsi"/>
          <w:sz w:val="24"/>
          <w:szCs w:val="24"/>
        </w:rPr>
        <w:t>‘the specifics of interpersonal violence, domestic violence or violence in intimacy’</w:t>
      </w:r>
      <w:r w:rsidRPr="00F4013C">
        <w:rPr>
          <w:rFonts w:asciiTheme="majorHAnsi" w:hAnsiTheme="majorHAnsi"/>
          <w:sz w:val="24"/>
          <w:szCs w:val="24"/>
        </w:rPr>
        <w:t xml:space="preserve"> (Hearn, 2012: 153)</w:t>
      </w:r>
      <w:r w:rsidR="00925161" w:rsidRPr="00F4013C">
        <w:rPr>
          <w:rFonts w:asciiTheme="majorHAnsi" w:hAnsiTheme="majorHAnsi"/>
          <w:sz w:val="24"/>
          <w:szCs w:val="24"/>
        </w:rPr>
        <w:t xml:space="preserve">, </w:t>
      </w:r>
      <w:r w:rsidRPr="00F4013C">
        <w:rPr>
          <w:rFonts w:asciiTheme="majorHAnsi" w:hAnsiTheme="majorHAnsi"/>
          <w:sz w:val="24"/>
          <w:szCs w:val="24"/>
        </w:rPr>
        <w:t xml:space="preserve">geography has only recently begun re-orienting its focus to ‘private’ spaces of violence. Indeed, </w:t>
      </w:r>
      <w:r w:rsidR="00925161" w:rsidRPr="00F4013C">
        <w:rPr>
          <w:rFonts w:asciiTheme="majorHAnsi" w:hAnsiTheme="majorHAnsi"/>
          <w:sz w:val="24"/>
          <w:szCs w:val="24"/>
        </w:rPr>
        <w:t xml:space="preserve">this is something raised </w:t>
      </w:r>
      <w:r w:rsidRPr="00F4013C">
        <w:rPr>
          <w:rFonts w:asciiTheme="majorHAnsi" w:hAnsiTheme="majorHAnsi"/>
          <w:sz w:val="24"/>
          <w:szCs w:val="24"/>
        </w:rPr>
        <w:t>in</w:t>
      </w:r>
      <w:r w:rsidR="00925161" w:rsidRPr="00F4013C">
        <w:rPr>
          <w:rFonts w:asciiTheme="majorHAnsi" w:hAnsiTheme="majorHAnsi"/>
          <w:sz w:val="24"/>
          <w:szCs w:val="24"/>
        </w:rPr>
        <w:t xml:space="preserve"> Rachel Pain’s (2014</w:t>
      </w:r>
      <w:r w:rsidR="007F2F77" w:rsidRPr="00F4013C">
        <w:rPr>
          <w:rFonts w:asciiTheme="majorHAnsi" w:hAnsiTheme="majorHAnsi"/>
          <w:sz w:val="24"/>
          <w:szCs w:val="24"/>
        </w:rPr>
        <w:t>a, b</w:t>
      </w:r>
      <w:r w:rsidR="00925161" w:rsidRPr="00F4013C">
        <w:rPr>
          <w:rFonts w:asciiTheme="majorHAnsi" w:hAnsiTheme="majorHAnsi"/>
          <w:sz w:val="24"/>
          <w:szCs w:val="24"/>
        </w:rPr>
        <w:t xml:space="preserve">) </w:t>
      </w:r>
      <w:r w:rsidR="00D8210B" w:rsidRPr="00F4013C">
        <w:rPr>
          <w:rFonts w:asciiTheme="majorHAnsi" w:hAnsiTheme="majorHAnsi"/>
          <w:sz w:val="24"/>
          <w:szCs w:val="24"/>
        </w:rPr>
        <w:t xml:space="preserve">recent work </w:t>
      </w:r>
      <w:r w:rsidR="00925161" w:rsidRPr="00F4013C">
        <w:rPr>
          <w:rFonts w:asciiTheme="majorHAnsi" w:hAnsiTheme="majorHAnsi"/>
          <w:sz w:val="24"/>
          <w:szCs w:val="24"/>
        </w:rPr>
        <w:t>where she writes with specific reference to domestic violence that it remains ‘the elephant in the room. We know it is present, not just as something that happens in distant locations to distant others, but in many of our own lives’</w:t>
      </w:r>
      <w:r w:rsidR="00D8210B" w:rsidRPr="00F4013C">
        <w:rPr>
          <w:rFonts w:asciiTheme="majorHAnsi" w:hAnsiTheme="majorHAnsi"/>
          <w:sz w:val="24"/>
          <w:szCs w:val="24"/>
        </w:rPr>
        <w:t xml:space="preserve"> (2014b:</w:t>
      </w:r>
      <w:r w:rsidR="00F16326" w:rsidRPr="00F4013C">
        <w:rPr>
          <w:rFonts w:asciiTheme="majorHAnsi" w:hAnsiTheme="majorHAnsi"/>
          <w:sz w:val="24"/>
          <w:szCs w:val="24"/>
        </w:rPr>
        <w:t xml:space="preserve"> </w:t>
      </w:r>
      <w:r w:rsidR="00D8210B" w:rsidRPr="00F4013C">
        <w:rPr>
          <w:rFonts w:asciiTheme="majorHAnsi" w:hAnsiTheme="majorHAnsi"/>
          <w:sz w:val="24"/>
          <w:szCs w:val="24"/>
        </w:rPr>
        <w:t>2)</w:t>
      </w:r>
      <w:r w:rsidR="00925161" w:rsidRPr="00F4013C">
        <w:rPr>
          <w:rFonts w:asciiTheme="majorHAnsi" w:hAnsiTheme="majorHAnsi"/>
          <w:sz w:val="24"/>
          <w:szCs w:val="24"/>
        </w:rPr>
        <w:t>. The</w:t>
      </w:r>
      <w:r w:rsidR="007C5132" w:rsidRPr="00F4013C">
        <w:rPr>
          <w:rFonts w:asciiTheme="majorHAnsi" w:hAnsiTheme="majorHAnsi"/>
          <w:sz w:val="24"/>
          <w:szCs w:val="24"/>
        </w:rPr>
        <w:t xml:space="preserve"> </w:t>
      </w:r>
      <w:r w:rsidR="00220B8B" w:rsidRPr="00F4013C">
        <w:rPr>
          <w:rFonts w:asciiTheme="majorHAnsi" w:hAnsiTheme="majorHAnsi"/>
          <w:sz w:val="24"/>
          <w:szCs w:val="24"/>
        </w:rPr>
        <w:t xml:space="preserve">ground-breaking work on </w:t>
      </w:r>
      <w:r w:rsidR="00A34266" w:rsidRPr="00F4013C">
        <w:rPr>
          <w:rFonts w:asciiTheme="majorHAnsi" w:hAnsiTheme="majorHAnsi"/>
          <w:sz w:val="24"/>
          <w:szCs w:val="24"/>
        </w:rPr>
        <w:t xml:space="preserve">geographies of </w:t>
      </w:r>
      <w:r w:rsidR="00220B8B" w:rsidRPr="00F4013C">
        <w:rPr>
          <w:rFonts w:asciiTheme="majorHAnsi" w:hAnsiTheme="majorHAnsi"/>
          <w:sz w:val="24"/>
          <w:szCs w:val="24"/>
        </w:rPr>
        <w:t xml:space="preserve">gender and violence </w:t>
      </w:r>
      <w:r w:rsidR="00A34266" w:rsidRPr="00F4013C">
        <w:rPr>
          <w:rFonts w:asciiTheme="majorHAnsi" w:hAnsiTheme="majorHAnsi"/>
          <w:sz w:val="24"/>
          <w:szCs w:val="24"/>
        </w:rPr>
        <w:t xml:space="preserve">that appeared </w:t>
      </w:r>
      <w:r w:rsidR="00220B8B" w:rsidRPr="00F4013C">
        <w:rPr>
          <w:rFonts w:asciiTheme="majorHAnsi" w:hAnsiTheme="majorHAnsi"/>
          <w:sz w:val="24"/>
          <w:szCs w:val="24"/>
        </w:rPr>
        <w:t xml:space="preserve">in </w:t>
      </w:r>
      <w:r w:rsidR="00925161" w:rsidRPr="00F4013C">
        <w:rPr>
          <w:rFonts w:asciiTheme="majorHAnsi" w:hAnsiTheme="majorHAnsi"/>
          <w:sz w:val="24"/>
          <w:szCs w:val="24"/>
        </w:rPr>
        <w:t>the 1990s and early 2000s</w:t>
      </w:r>
      <w:r w:rsidR="001454FA" w:rsidRPr="00F4013C">
        <w:rPr>
          <w:rFonts w:asciiTheme="majorHAnsi" w:hAnsiTheme="majorHAnsi"/>
          <w:sz w:val="24"/>
          <w:szCs w:val="24"/>
        </w:rPr>
        <w:t xml:space="preserve"> is</w:t>
      </w:r>
      <w:r w:rsidR="007C5132" w:rsidRPr="00F4013C">
        <w:rPr>
          <w:rFonts w:asciiTheme="majorHAnsi" w:hAnsiTheme="majorHAnsi"/>
          <w:sz w:val="24"/>
          <w:szCs w:val="24"/>
        </w:rPr>
        <w:t xml:space="preserve"> </w:t>
      </w:r>
      <w:r w:rsidR="00220B8B" w:rsidRPr="00F4013C">
        <w:rPr>
          <w:rFonts w:asciiTheme="majorHAnsi" w:hAnsiTheme="majorHAnsi"/>
          <w:sz w:val="24"/>
          <w:szCs w:val="24"/>
        </w:rPr>
        <w:t xml:space="preserve">now being </w:t>
      </w:r>
      <w:r w:rsidR="00A34266" w:rsidRPr="00F4013C">
        <w:rPr>
          <w:rFonts w:asciiTheme="majorHAnsi" w:hAnsiTheme="majorHAnsi"/>
          <w:sz w:val="24"/>
          <w:szCs w:val="24"/>
        </w:rPr>
        <w:t xml:space="preserve">extended in range and enriched </w:t>
      </w:r>
      <w:r w:rsidR="00220B8B" w:rsidRPr="00F4013C">
        <w:rPr>
          <w:rFonts w:asciiTheme="majorHAnsi" w:hAnsiTheme="majorHAnsi"/>
          <w:sz w:val="24"/>
          <w:szCs w:val="24"/>
        </w:rPr>
        <w:t>by</w:t>
      </w:r>
      <w:r w:rsidR="00400CA4" w:rsidRPr="00F4013C">
        <w:rPr>
          <w:rFonts w:asciiTheme="majorHAnsi" w:hAnsiTheme="majorHAnsi"/>
          <w:sz w:val="24"/>
          <w:szCs w:val="24"/>
        </w:rPr>
        <w:t xml:space="preserve"> </w:t>
      </w:r>
      <w:r w:rsidR="001454FA" w:rsidRPr="00F4013C">
        <w:rPr>
          <w:rFonts w:asciiTheme="majorHAnsi" w:hAnsiTheme="majorHAnsi"/>
          <w:sz w:val="24"/>
          <w:szCs w:val="24"/>
        </w:rPr>
        <w:t xml:space="preserve">research that </w:t>
      </w:r>
      <w:r w:rsidR="00734943" w:rsidRPr="00F4013C">
        <w:rPr>
          <w:rFonts w:asciiTheme="majorHAnsi" w:hAnsiTheme="majorHAnsi"/>
          <w:sz w:val="24"/>
          <w:szCs w:val="24"/>
        </w:rPr>
        <w:t xml:space="preserve">explores </w:t>
      </w:r>
      <w:r w:rsidR="00A34266" w:rsidRPr="00F4013C">
        <w:rPr>
          <w:rFonts w:asciiTheme="majorHAnsi" w:hAnsiTheme="majorHAnsi"/>
          <w:sz w:val="24"/>
          <w:szCs w:val="24"/>
        </w:rPr>
        <w:t xml:space="preserve">wider geographies of </w:t>
      </w:r>
      <w:r w:rsidR="00926D3B" w:rsidRPr="00F4013C">
        <w:rPr>
          <w:rFonts w:asciiTheme="majorHAnsi" w:hAnsiTheme="majorHAnsi"/>
          <w:sz w:val="24"/>
          <w:szCs w:val="24"/>
        </w:rPr>
        <w:t>gendered violences</w:t>
      </w:r>
      <w:r w:rsidR="00734943" w:rsidRPr="00F4013C">
        <w:rPr>
          <w:rFonts w:asciiTheme="majorHAnsi" w:hAnsiTheme="majorHAnsi"/>
          <w:sz w:val="24"/>
          <w:szCs w:val="24"/>
        </w:rPr>
        <w:t xml:space="preserve"> both within, but critically </w:t>
      </w:r>
      <w:r w:rsidR="00734943" w:rsidRPr="00F4013C">
        <w:rPr>
          <w:rFonts w:asciiTheme="majorHAnsi" w:hAnsiTheme="majorHAnsi"/>
          <w:i/>
          <w:sz w:val="24"/>
          <w:szCs w:val="24"/>
        </w:rPr>
        <w:t>beyond</w:t>
      </w:r>
      <w:r w:rsidR="00734943" w:rsidRPr="00F4013C">
        <w:rPr>
          <w:rFonts w:asciiTheme="majorHAnsi" w:hAnsiTheme="majorHAnsi"/>
          <w:sz w:val="24"/>
          <w:szCs w:val="24"/>
        </w:rPr>
        <w:t xml:space="preserve">, public </w:t>
      </w:r>
      <w:r w:rsidR="00C33F25" w:rsidRPr="00F4013C">
        <w:rPr>
          <w:rFonts w:asciiTheme="majorHAnsi" w:hAnsiTheme="majorHAnsi"/>
          <w:sz w:val="24"/>
          <w:szCs w:val="24"/>
        </w:rPr>
        <w:t>spaces of the Global North</w:t>
      </w:r>
      <w:r w:rsidR="004D0AA4" w:rsidRPr="00F4013C">
        <w:rPr>
          <w:rFonts w:asciiTheme="majorHAnsi" w:hAnsiTheme="majorHAnsi"/>
          <w:sz w:val="24"/>
          <w:szCs w:val="24"/>
        </w:rPr>
        <w:t>. This emerging body of</w:t>
      </w:r>
      <w:r w:rsidR="00017FA6" w:rsidRPr="00F4013C">
        <w:rPr>
          <w:rFonts w:asciiTheme="majorHAnsi" w:hAnsiTheme="majorHAnsi"/>
          <w:sz w:val="24"/>
          <w:szCs w:val="24"/>
        </w:rPr>
        <w:t xml:space="preserve"> </w:t>
      </w:r>
      <w:r w:rsidR="00B83CA8" w:rsidRPr="00F4013C">
        <w:rPr>
          <w:rFonts w:asciiTheme="majorHAnsi" w:hAnsiTheme="majorHAnsi"/>
          <w:sz w:val="24"/>
          <w:szCs w:val="24"/>
        </w:rPr>
        <w:t>social</w:t>
      </w:r>
      <w:r w:rsidR="00400CA4" w:rsidRPr="00F4013C">
        <w:rPr>
          <w:rFonts w:asciiTheme="majorHAnsi" w:hAnsiTheme="majorHAnsi"/>
          <w:sz w:val="24"/>
          <w:szCs w:val="24"/>
        </w:rPr>
        <w:t>, political</w:t>
      </w:r>
      <w:r w:rsidR="00B83CA8" w:rsidRPr="00F4013C">
        <w:rPr>
          <w:rFonts w:asciiTheme="majorHAnsi" w:hAnsiTheme="majorHAnsi"/>
          <w:sz w:val="24"/>
          <w:szCs w:val="24"/>
        </w:rPr>
        <w:t xml:space="preserve"> and development geography</w:t>
      </w:r>
      <w:r w:rsidR="00C23C03" w:rsidRPr="00F4013C">
        <w:rPr>
          <w:rFonts w:asciiTheme="majorHAnsi" w:hAnsiTheme="majorHAnsi"/>
          <w:sz w:val="24"/>
          <w:szCs w:val="24"/>
        </w:rPr>
        <w:t xml:space="preserve"> scholarship </w:t>
      </w:r>
      <w:r w:rsidR="004D0AA4" w:rsidRPr="00F4013C">
        <w:rPr>
          <w:rFonts w:asciiTheme="majorHAnsi" w:hAnsiTheme="majorHAnsi"/>
          <w:sz w:val="24"/>
          <w:szCs w:val="24"/>
        </w:rPr>
        <w:t>encompasses work</w:t>
      </w:r>
      <w:r w:rsidR="00F5723E" w:rsidRPr="00F4013C">
        <w:rPr>
          <w:rFonts w:asciiTheme="majorHAnsi" w:hAnsiTheme="majorHAnsi"/>
          <w:sz w:val="24"/>
          <w:szCs w:val="24"/>
        </w:rPr>
        <w:t xml:space="preserve"> as diverse as </w:t>
      </w:r>
      <w:r w:rsidR="00C23C03" w:rsidRPr="00F4013C">
        <w:rPr>
          <w:rFonts w:asciiTheme="majorHAnsi" w:hAnsiTheme="majorHAnsi"/>
          <w:sz w:val="24"/>
          <w:szCs w:val="24"/>
        </w:rPr>
        <w:t xml:space="preserve">the gendering of gang involvement and punishment </w:t>
      </w:r>
      <w:r w:rsidR="00F5723E" w:rsidRPr="00F4013C">
        <w:rPr>
          <w:rFonts w:asciiTheme="majorHAnsi" w:hAnsiTheme="majorHAnsi"/>
          <w:sz w:val="24"/>
          <w:szCs w:val="24"/>
        </w:rPr>
        <w:t xml:space="preserve">in Brazil (Wilding, 2013); </w:t>
      </w:r>
      <w:r w:rsidR="00F5723E" w:rsidRPr="00F4013C">
        <w:rPr>
          <w:rFonts w:asciiTheme="majorHAnsi" w:hAnsiTheme="majorHAnsi" w:cs="Arial"/>
          <w:sz w:val="24"/>
          <w:szCs w:val="24"/>
          <w:lang w:val="en-US"/>
        </w:rPr>
        <w:t>the impact of non-formal education to empower girls to claim rights to be free from violence in Kenya</w:t>
      </w:r>
      <w:r w:rsidR="00C23C03" w:rsidRPr="00F4013C">
        <w:rPr>
          <w:rFonts w:asciiTheme="majorHAnsi" w:hAnsiTheme="majorHAnsi"/>
          <w:sz w:val="24"/>
          <w:szCs w:val="24"/>
        </w:rPr>
        <w:t xml:space="preserve"> (Cobbett, 2015);</w:t>
      </w:r>
      <w:r w:rsidR="00703119" w:rsidRPr="00F4013C">
        <w:rPr>
          <w:rFonts w:asciiTheme="majorHAnsi" w:hAnsiTheme="majorHAnsi"/>
          <w:sz w:val="24"/>
          <w:szCs w:val="24"/>
        </w:rPr>
        <w:t xml:space="preserve"> </w:t>
      </w:r>
      <w:r w:rsidR="00A34266" w:rsidRPr="00F4013C">
        <w:rPr>
          <w:rFonts w:asciiTheme="majorHAnsi" w:hAnsiTheme="majorHAnsi"/>
          <w:sz w:val="24"/>
          <w:szCs w:val="24"/>
        </w:rPr>
        <w:t>and</w:t>
      </w:r>
      <w:r w:rsidR="00734943" w:rsidRPr="00F4013C">
        <w:rPr>
          <w:rFonts w:asciiTheme="majorHAnsi" w:hAnsiTheme="majorHAnsi"/>
          <w:sz w:val="24"/>
          <w:szCs w:val="24"/>
        </w:rPr>
        <w:t xml:space="preserve"> </w:t>
      </w:r>
      <w:r w:rsidR="00212178" w:rsidRPr="00F4013C">
        <w:rPr>
          <w:rFonts w:asciiTheme="majorHAnsi" w:hAnsiTheme="majorHAnsi"/>
          <w:sz w:val="24"/>
          <w:szCs w:val="24"/>
        </w:rPr>
        <w:t>the policing of intimate partner violence in the United States (Cuomo, 2013).</w:t>
      </w:r>
      <w:r w:rsidR="00674AE6" w:rsidRPr="00F4013C">
        <w:rPr>
          <w:rFonts w:asciiTheme="majorHAnsi" w:hAnsiTheme="majorHAnsi"/>
          <w:sz w:val="24"/>
          <w:szCs w:val="24"/>
        </w:rPr>
        <w:t xml:space="preserve"> </w:t>
      </w:r>
    </w:p>
    <w:p w14:paraId="3DF5901D" w14:textId="77777777" w:rsidR="00C66EF7" w:rsidRPr="00F4013C" w:rsidRDefault="00C66EF7" w:rsidP="00F4013C">
      <w:pPr>
        <w:spacing w:line="480" w:lineRule="auto"/>
        <w:rPr>
          <w:rFonts w:asciiTheme="majorHAnsi" w:hAnsiTheme="majorHAnsi"/>
          <w:sz w:val="24"/>
          <w:szCs w:val="24"/>
        </w:rPr>
      </w:pPr>
    </w:p>
    <w:p w14:paraId="26899001" w14:textId="1A65FEB6" w:rsidR="00C66EF7" w:rsidRPr="00F4013C" w:rsidRDefault="006D026A" w:rsidP="00F4013C">
      <w:pPr>
        <w:spacing w:line="480" w:lineRule="auto"/>
        <w:rPr>
          <w:rFonts w:asciiTheme="majorHAnsi" w:hAnsiTheme="majorHAnsi"/>
          <w:sz w:val="24"/>
          <w:szCs w:val="24"/>
        </w:rPr>
      </w:pPr>
      <w:r w:rsidRPr="00F4013C">
        <w:rPr>
          <w:rFonts w:asciiTheme="majorHAnsi" w:hAnsiTheme="majorHAnsi"/>
          <w:sz w:val="24"/>
          <w:szCs w:val="24"/>
        </w:rPr>
        <w:lastRenderedPageBreak/>
        <w:t>While gendered violences are not</w:t>
      </w:r>
      <w:r w:rsidR="00017FA6" w:rsidRPr="00F4013C">
        <w:rPr>
          <w:rFonts w:asciiTheme="majorHAnsi" w:hAnsiTheme="majorHAnsi"/>
          <w:sz w:val="24"/>
          <w:szCs w:val="24"/>
        </w:rPr>
        <w:t xml:space="preserve"> by any means</w:t>
      </w:r>
      <w:r w:rsidRPr="00F4013C">
        <w:rPr>
          <w:rFonts w:asciiTheme="majorHAnsi" w:hAnsiTheme="majorHAnsi"/>
          <w:sz w:val="24"/>
          <w:szCs w:val="24"/>
        </w:rPr>
        <w:t xml:space="preserve"> </w:t>
      </w:r>
      <w:r w:rsidR="00674AE6" w:rsidRPr="00F4013C">
        <w:rPr>
          <w:rFonts w:asciiTheme="majorHAnsi" w:hAnsiTheme="majorHAnsi"/>
          <w:sz w:val="24"/>
          <w:szCs w:val="24"/>
        </w:rPr>
        <w:t>a ‘new</w:t>
      </w:r>
      <w:r w:rsidR="00A34266" w:rsidRPr="00F4013C">
        <w:rPr>
          <w:rFonts w:asciiTheme="majorHAnsi" w:hAnsiTheme="majorHAnsi"/>
          <w:sz w:val="24"/>
          <w:szCs w:val="24"/>
        </w:rPr>
        <w:t>’</w:t>
      </w:r>
      <w:r w:rsidR="00674AE6" w:rsidRPr="00F4013C">
        <w:rPr>
          <w:rFonts w:asciiTheme="majorHAnsi" w:hAnsiTheme="majorHAnsi"/>
          <w:sz w:val="24"/>
          <w:szCs w:val="24"/>
        </w:rPr>
        <w:t xml:space="preserve"> geographical frontier</w:t>
      </w:r>
      <w:r w:rsidR="00A17E21" w:rsidRPr="00F4013C">
        <w:rPr>
          <w:rFonts w:asciiTheme="majorHAnsi" w:hAnsiTheme="majorHAnsi"/>
          <w:sz w:val="24"/>
          <w:szCs w:val="24"/>
        </w:rPr>
        <w:t xml:space="preserve"> of encounter</w:t>
      </w:r>
      <w:r w:rsidR="00F23F0E" w:rsidRPr="00F4013C">
        <w:rPr>
          <w:rFonts w:asciiTheme="majorHAnsi" w:hAnsiTheme="majorHAnsi"/>
          <w:sz w:val="24"/>
          <w:szCs w:val="24"/>
        </w:rPr>
        <w:t>, the interventions</w:t>
      </w:r>
      <w:r w:rsidR="00674AE6" w:rsidRPr="00F4013C">
        <w:rPr>
          <w:rFonts w:asciiTheme="majorHAnsi" w:hAnsiTheme="majorHAnsi"/>
          <w:sz w:val="24"/>
          <w:szCs w:val="24"/>
        </w:rPr>
        <w:t xml:space="preserve"> </w:t>
      </w:r>
      <w:r w:rsidR="00A34266" w:rsidRPr="00F4013C">
        <w:rPr>
          <w:rFonts w:asciiTheme="majorHAnsi" w:hAnsiTheme="majorHAnsi"/>
          <w:sz w:val="24"/>
          <w:szCs w:val="24"/>
        </w:rPr>
        <w:t xml:space="preserve">here seek </w:t>
      </w:r>
      <w:r w:rsidR="007C5132" w:rsidRPr="00F4013C">
        <w:rPr>
          <w:rFonts w:asciiTheme="majorHAnsi" w:hAnsiTheme="majorHAnsi"/>
          <w:sz w:val="24"/>
          <w:szCs w:val="24"/>
        </w:rPr>
        <w:t>to support and encourage</w:t>
      </w:r>
      <w:r w:rsidR="00F23F0E" w:rsidRPr="00F4013C">
        <w:rPr>
          <w:rFonts w:asciiTheme="majorHAnsi" w:hAnsiTheme="majorHAnsi"/>
          <w:sz w:val="24"/>
          <w:szCs w:val="24"/>
        </w:rPr>
        <w:t xml:space="preserve"> </w:t>
      </w:r>
      <w:r w:rsidR="0056065F" w:rsidRPr="00F4013C">
        <w:rPr>
          <w:rFonts w:asciiTheme="majorHAnsi" w:hAnsiTheme="majorHAnsi"/>
          <w:sz w:val="24"/>
          <w:szCs w:val="24"/>
        </w:rPr>
        <w:t xml:space="preserve">‘new’ </w:t>
      </w:r>
      <w:r w:rsidR="00A56B96" w:rsidRPr="00F4013C">
        <w:rPr>
          <w:rFonts w:asciiTheme="majorHAnsi" w:hAnsiTheme="majorHAnsi"/>
          <w:sz w:val="24"/>
          <w:szCs w:val="24"/>
        </w:rPr>
        <w:t xml:space="preserve">work on </w:t>
      </w:r>
      <w:r w:rsidR="002A31AA" w:rsidRPr="00F4013C">
        <w:rPr>
          <w:rFonts w:asciiTheme="majorHAnsi" w:hAnsiTheme="majorHAnsi"/>
          <w:sz w:val="24"/>
          <w:szCs w:val="24"/>
        </w:rPr>
        <w:t xml:space="preserve">this arena of concern </w:t>
      </w:r>
      <w:r w:rsidR="007C5132" w:rsidRPr="00F4013C">
        <w:rPr>
          <w:rFonts w:asciiTheme="majorHAnsi" w:hAnsiTheme="majorHAnsi"/>
          <w:sz w:val="24"/>
          <w:szCs w:val="24"/>
        </w:rPr>
        <w:t>across</w:t>
      </w:r>
      <w:r w:rsidR="00A56B96" w:rsidRPr="00F4013C">
        <w:rPr>
          <w:rFonts w:asciiTheme="majorHAnsi" w:hAnsiTheme="majorHAnsi"/>
          <w:sz w:val="24"/>
          <w:szCs w:val="24"/>
        </w:rPr>
        <w:t xml:space="preserve"> </w:t>
      </w:r>
      <w:r w:rsidR="001A4625" w:rsidRPr="00F4013C">
        <w:rPr>
          <w:rFonts w:asciiTheme="majorHAnsi" w:hAnsiTheme="majorHAnsi"/>
          <w:sz w:val="24"/>
          <w:szCs w:val="24"/>
        </w:rPr>
        <w:t>sub-disciplinary boundaries.</w:t>
      </w:r>
      <w:r w:rsidR="0056065F" w:rsidRPr="00F4013C">
        <w:rPr>
          <w:rFonts w:asciiTheme="majorHAnsi" w:hAnsiTheme="majorHAnsi"/>
          <w:sz w:val="24"/>
          <w:szCs w:val="24"/>
        </w:rPr>
        <w:t xml:space="preserve"> </w:t>
      </w:r>
      <w:r w:rsidR="00C66EF7" w:rsidRPr="00F4013C">
        <w:rPr>
          <w:rFonts w:asciiTheme="majorHAnsi" w:hAnsiTheme="majorHAnsi"/>
          <w:sz w:val="24"/>
          <w:szCs w:val="24"/>
        </w:rPr>
        <w:t xml:space="preserve">The interventions illustrate, for example, how gendered violences are both grounded in the everyday, but also surpass the marker of daily struggle. They counter </w:t>
      </w:r>
      <w:r w:rsidR="00C66EF7" w:rsidRPr="00F4013C">
        <w:rPr>
          <w:rFonts w:asciiTheme="majorHAnsi" w:hAnsiTheme="majorHAnsi"/>
          <w:sz w:val="24"/>
          <w:szCs w:val="24"/>
          <w:lang w:val="en-US"/>
        </w:rPr>
        <w:t xml:space="preserve">what Anderson and Smith (2001: 9) have described as ‘anemic knowledges predicated on the artificial separation of private and public, body and citizens, domestic and global’. </w:t>
      </w:r>
      <w:r w:rsidR="003D3F32" w:rsidRPr="00F4013C">
        <w:rPr>
          <w:rFonts w:asciiTheme="majorHAnsi" w:eastAsia="Times New Roman" w:hAnsiTheme="majorHAnsi"/>
          <w:color w:val="000000"/>
          <w:sz w:val="24"/>
          <w:szCs w:val="24"/>
          <w:lang w:eastAsia="en-GB"/>
        </w:rPr>
        <w:t>Together all four pieces echo the point made by fellow geographer Cathy McIllwaine (2013: 66) that gendered violences are ‘</w:t>
      </w:r>
      <w:r w:rsidR="003D3F32" w:rsidRPr="00F4013C">
        <w:rPr>
          <w:rFonts w:asciiTheme="majorHAnsi" w:hAnsiTheme="majorHAnsi"/>
          <w:sz w:val="24"/>
          <w:szCs w:val="24"/>
        </w:rPr>
        <w:t>not only “social” in nature, as it usually assumed’, but are ‘a form of political, instit</w:t>
      </w:r>
      <w:r w:rsidR="00A34266" w:rsidRPr="00F4013C">
        <w:rPr>
          <w:rFonts w:asciiTheme="majorHAnsi" w:hAnsiTheme="majorHAnsi"/>
          <w:sz w:val="24"/>
          <w:szCs w:val="24"/>
        </w:rPr>
        <w:t>utional and economic violence’. Likewise,</w:t>
      </w:r>
      <w:r w:rsidR="00D8210B" w:rsidRPr="00F4013C">
        <w:rPr>
          <w:rFonts w:asciiTheme="majorHAnsi" w:hAnsiTheme="majorHAnsi"/>
          <w:sz w:val="24"/>
          <w:szCs w:val="24"/>
        </w:rPr>
        <w:t xml:space="preserve"> Pain (2014a</w:t>
      </w:r>
      <w:r w:rsidR="00F57ECE" w:rsidRPr="00F4013C">
        <w:rPr>
          <w:rFonts w:asciiTheme="majorHAnsi" w:hAnsiTheme="majorHAnsi"/>
          <w:sz w:val="24"/>
          <w:szCs w:val="24"/>
        </w:rPr>
        <w:t>,b</w:t>
      </w:r>
      <w:r w:rsidR="00D8210B" w:rsidRPr="00F4013C">
        <w:rPr>
          <w:rFonts w:asciiTheme="majorHAnsi" w:hAnsiTheme="majorHAnsi"/>
          <w:sz w:val="24"/>
          <w:szCs w:val="24"/>
        </w:rPr>
        <w:t>) argues, domestic violence</w:t>
      </w:r>
      <w:r w:rsidR="00F57ECE" w:rsidRPr="00F4013C">
        <w:rPr>
          <w:rFonts w:asciiTheme="majorHAnsi" w:hAnsiTheme="majorHAnsi"/>
          <w:sz w:val="24"/>
          <w:szCs w:val="24"/>
        </w:rPr>
        <w:t xml:space="preserve"> needs to be seen as a form of political influence or control achieved through fear, and </w:t>
      </w:r>
      <w:proofErr w:type="gramStart"/>
      <w:r w:rsidR="00F57ECE" w:rsidRPr="00F4013C">
        <w:rPr>
          <w:rFonts w:asciiTheme="majorHAnsi" w:hAnsiTheme="majorHAnsi"/>
          <w:sz w:val="24"/>
          <w:szCs w:val="24"/>
        </w:rPr>
        <w:t>thus</w:t>
      </w:r>
      <w:proofErr w:type="gramEnd"/>
      <w:r w:rsidR="00F57ECE" w:rsidRPr="00F4013C">
        <w:rPr>
          <w:rFonts w:asciiTheme="majorHAnsi" w:hAnsiTheme="majorHAnsi"/>
          <w:sz w:val="24"/>
          <w:szCs w:val="24"/>
        </w:rPr>
        <w:t xml:space="preserve"> acts as a form of </w:t>
      </w:r>
      <w:r w:rsidR="00F57ECE" w:rsidRPr="00F4013C">
        <w:rPr>
          <w:rFonts w:asciiTheme="majorHAnsi" w:hAnsiTheme="majorHAnsi"/>
          <w:i/>
          <w:sz w:val="24"/>
          <w:szCs w:val="24"/>
        </w:rPr>
        <w:t>terrorism</w:t>
      </w:r>
      <w:r w:rsidR="00F57ECE" w:rsidRPr="00F4013C">
        <w:rPr>
          <w:rFonts w:asciiTheme="majorHAnsi" w:hAnsiTheme="majorHAnsi"/>
          <w:sz w:val="24"/>
          <w:szCs w:val="24"/>
        </w:rPr>
        <w:t>.</w:t>
      </w:r>
      <w:r w:rsidR="00BD762C" w:rsidRPr="00F4013C">
        <w:rPr>
          <w:rFonts w:asciiTheme="majorHAnsi" w:hAnsiTheme="majorHAnsi"/>
          <w:sz w:val="24"/>
          <w:szCs w:val="24"/>
        </w:rPr>
        <w:t xml:space="preserve"> </w:t>
      </w:r>
      <w:r w:rsidR="00A34266" w:rsidRPr="00F4013C">
        <w:rPr>
          <w:rFonts w:asciiTheme="majorHAnsi" w:hAnsiTheme="majorHAnsi"/>
          <w:sz w:val="24"/>
          <w:szCs w:val="24"/>
        </w:rPr>
        <w:t xml:space="preserve">In this spirit, these interventions signal the need for, and potential of, critical, social, cultural, economic, and political geographies to contribute to the critique of violences and their gendered dynamics. </w:t>
      </w:r>
    </w:p>
    <w:p w14:paraId="1920861D" w14:textId="77777777" w:rsidR="00C66EF7" w:rsidRPr="00F4013C" w:rsidRDefault="00C66EF7" w:rsidP="00F4013C">
      <w:pPr>
        <w:spacing w:line="480" w:lineRule="auto"/>
        <w:rPr>
          <w:rFonts w:asciiTheme="majorHAnsi" w:hAnsiTheme="majorHAnsi"/>
          <w:sz w:val="24"/>
          <w:szCs w:val="24"/>
        </w:rPr>
      </w:pPr>
    </w:p>
    <w:p w14:paraId="334EB94F" w14:textId="201E7941" w:rsidR="00A54F02" w:rsidRPr="00F4013C" w:rsidRDefault="00F23F0E" w:rsidP="00F4013C">
      <w:pPr>
        <w:spacing w:line="480" w:lineRule="auto"/>
        <w:rPr>
          <w:rFonts w:asciiTheme="majorHAnsi" w:hAnsiTheme="majorHAnsi"/>
          <w:sz w:val="24"/>
          <w:szCs w:val="24"/>
        </w:rPr>
      </w:pPr>
      <w:r w:rsidRPr="00F4013C">
        <w:rPr>
          <w:rFonts w:asciiTheme="majorHAnsi" w:hAnsiTheme="majorHAnsi"/>
          <w:sz w:val="24"/>
          <w:szCs w:val="24"/>
          <w:lang w:val="en-US"/>
        </w:rPr>
        <w:t xml:space="preserve">Indeed, as </w:t>
      </w:r>
      <w:r w:rsidR="00FE2385" w:rsidRPr="00F4013C">
        <w:rPr>
          <w:rFonts w:asciiTheme="majorHAnsi" w:hAnsiTheme="majorHAnsi"/>
          <w:sz w:val="24"/>
          <w:szCs w:val="24"/>
          <w:lang w:val="en-US"/>
        </w:rPr>
        <w:t xml:space="preserve">[intervention 1] </w:t>
      </w:r>
      <w:r w:rsidRPr="00F4013C">
        <w:rPr>
          <w:rFonts w:asciiTheme="majorHAnsi" w:hAnsiTheme="majorHAnsi"/>
          <w:sz w:val="24"/>
          <w:szCs w:val="24"/>
          <w:lang w:val="en-US"/>
        </w:rPr>
        <w:t xml:space="preserve">goes on to detail with reference to the Badaun rapes in India, this </w:t>
      </w:r>
      <w:r w:rsidR="00C66EF7" w:rsidRPr="00F4013C">
        <w:rPr>
          <w:rFonts w:asciiTheme="majorHAnsi" w:hAnsiTheme="majorHAnsi"/>
          <w:sz w:val="24"/>
          <w:szCs w:val="24"/>
          <w:lang w:val="en-US"/>
        </w:rPr>
        <w:t xml:space="preserve">focus on </w:t>
      </w:r>
      <w:proofErr w:type="spellStart"/>
      <w:r w:rsidR="00C66EF7" w:rsidRPr="00F4013C">
        <w:rPr>
          <w:rFonts w:asciiTheme="majorHAnsi" w:hAnsiTheme="majorHAnsi"/>
          <w:sz w:val="24"/>
          <w:szCs w:val="24"/>
          <w:lang w:val="en-US"/>
        </w:rPr>
        <w:t>spatialities</w:t>
      </w:r>
      <w:proofErr w:type="spellEnd"/>
      <w:r w:rsidR="00C66EF7" w:rsidRPr="00F4013C">
        <w:rPr>
          <w:rFonts w:asciiTheme="majorHAnsi" w:hAnsiTheme="majorHAnsi"/>
          <w:sz w:val="24"/>
          <w:szCs w:val="24"/>
          <w:lang w:val="en-US"/>
        </w:rPr>
        <w:t xml:space="preserve"> </w:t>
      </w:r>
      <w:r w:rsidRPr="00F4013C">
        <w:rPr>
          <w:rFonts w:asciiTheme="majorHAnsi" w:hAnsiTheme="majorHAnsi"/>
          <w:sz w:val="24"/>
          <w:szCs w:val="24"/>
          <w:lang w:val="en-US"/>
        </w:rPr>
        <w:t>matters</w:t>
      </w:r>
      <w:r w:rsidR="00A5404E" w:rsidRPr="00F4013C">
        <w:rPr>
          <w:rFonts w:asciiTheme="majorHAnsi" w:hAnsiTheme="majorHAnsi"/>
          <w:sz w:val="24"/>
          <w:szCs w:val="24"/>
          <w:lang w:val="en-US"/>
        </w:rPr>
        <w:t>:</w:t>
      </w:r>
      <w:r w:rsidRPr="00F4013C">
        <w:rPr>
          <w:rFonts w:asciiTheme="majorHAnsi" w:hAnsiTheme="majorHAnsi"/>
          <w:sz w:val="24"/>
          <w:szCs w:val="24"/>
          <w:lang w:val="en-US"/>
        </w:rPr>
        <w:t xml:space="preserve"> ‘it is the lack of critical reflection on the spatiality and intersectionality of this violence across the divides of public/private that is ultimately stifling potentially progressive interventions’.</w:t>
      </w:r>
      <w:r w:rsidR="00A5404E" w:rsidRPr="00F4013C">
        <w:rPr>
          <w:rFonts w:asciiTheme="majorHAnsi" w:hAnsiTheme="majorHAnsi"/>
          <w:sz w:val="24"/>
          <w:szCs w:val="24"/>
          <w:lang w:val="en-US"/>
        </w:rPr>
        <w:t xml:space="preserve"> </w:t>
      </w:r>
      <w:r w:rsidR="00CC4087" w:rsidRPr="00F4013C">
        <w:rPr>
          <w:rFonts w:asciiTheme="majorHAnsi" w:hAnsiTheme="majorHAnsi"/>
          <w:sz w:val="24"/>
          <w:szCs w:val="24"/>
          <w:lang w:val="en-US"/>
        </w:rPr>
        <w:t>Through the lens of</w:t>
      </w:r>
      <w:r w:rsidR="0058003D" w:rsidRPr="00F4013C">
        <w:rPr>
          <w:rFonts w:asciiTheme="majorHAnsi" w:hAnsiTheme="majorHAnsi"/>
          <w:sz w:val="24"/>
          <w:szCs w:val="24"/>
          <w:lang w:val="en-US"/>
        </w:rPr>
        <w:t xml:space="preserve"> different Indian laws</w:t>
      </w:r>
      <w:r w:rsidR="00877F8B" w:rsidRPr="00F4013C">
        <w:rPr>
          <w:rFonts w:asciiTheme="majorHAnsi" w:hAnsiTheme="majorHAnsi"/>
          <w:sz w:val="24"/>
          <w:szCs w:val="24"/>
          <w:lang w:val="en-US"/>
        </w:rPr>
        <w:t xml:space="preserve"> and other material interventions</w:t>
      </w:r>
      <w:r w:rsidR="00693A5B" w:rsidRPr="00F4013C">
        <w:rPr>
          <w:rFonts w:asciiTheme="majorHAnsi" w:hAnsiTheme="majorHAnsi"/>
          <w:sz w:val="24"/>
          <w:szCs w:val="24"/>
          <w:lang w:val="en-US"/>
        </w:rPr>
        <w:t xml:space="preserve"> (such as </w:t>
      </w:r>
      <w:r w:rsidR="0056065F" w:rsidRPr="00F4013C">
        <w:rPr>
          <w:rFonts w:asciiTheme="majorHAnsi" w:hAnsiTheme="majorHAnsi"/>
          <w:sz w:val="24"/>
          <w:szCs w:val="24"/>
          <w:lang w:val="en-US"/>
        </w:rPr>
        <w:t>better toilet provision</w:t>
      </w:r>
      <w:r w:rsidR="00693A5B" w:rsidRPr="00F4013C">
        <w:rPr>
          <w:rFonts w:asciiTheme="majorHAnsi" w:hAnsiTheme="majorHAnsi"/>
          <w:sz w:val="24"/>
          <w:szCs w:val="24"/>
          <w:lang w:val="en-US"/>
        </w:rPr>
        <w:t>)</w:t>
      </w:r>
      <w:r w:rsidR="0058003D" w:rsidRPr="00F4013C">
        <w:rPr>
          <w:rFonts w:asciiTheme="majorHAnsi" w:hAnsiTheme="majorHAnsi"/>
          <w:sz w:val="24"/>
          <w:szCs w:val="24"/>
          <w:lang w:val="en-US"/>
        </w:rPr>
        <w:t xml:space="preserve">, </w:t>
      </w:r>
      <w:r w:rsidR="00FE2385" w:rsidRPr="00F4013C">
        <w:rPr>
          <w:rFonts w:asciiTheme="majorHAnsi" w:hAnsiTheme="majorHAnsi"/>
          <w:sz w:val="24"/>
          <w:szCs w:val="24"/>
          <w:lang w:val="en-US"/>
        </w:rPr>
        <w:t xml:space="preserve">[intervention 1] </w:t>
      </w:r>
      <w:r w:rsidR="00A5404E" w:rsidRPr="00F4013C">
        <w:rPr>
          <w:rFonts w:asciiTheme="majorHAnsi" w:hAnsiTheme="majorHAnsi"/>
          <w:sz w:val="24"/>
          <w:szCs w:val="24"/>
          <w:lang w:val="en-US"/>
        </w:rPr>
        <w:t xml:space="preserve">exposes how </w:t>
      </w:r>
      <w:r w:rsidR="0058003D" w:rsidRPr="00F4013C">
        <w:rPr>
          <w:rFonts w:asciiTheme="majorHAnsi" w:hAnsiTheme="majorHAnsi"/>
          <w:sz w:val="24"/>
          <w:szCs w:val="24"/>
          <w:lang w:val="en-US"/>
        </w:rPr>
        <w:t xml:space="preserve">women’s access to justice </w:t>
      </w:r>
      <w:r w:rsidR="007019CA" w:rsidRPr="00F4013C">
        <w:rPr>
          <w:rFonts w:asciiTheme="majorHAnsi" w:hAnsiTheme="majorHAnsi"/>
          <w:sz w:val="24"/>
          <w:szCs w:val="24"/>
          <w:lang w:val="en-US"/>
        </w:rPr>
        <w:t xml:space="preserve">(on the basis of caste, working class status, minor ethnic/religious/tribal affiliations, and across alternative sexualities) </w:t>
      </w:r>
      <w:r w:rsidR="0058003D" w:rsidRPr="00F4013C">
        <w:rPr>
          <w:rFonts w:asciiTheme="majorHAnsi" w:hAnsiTheme="majorHAnsi"/>
          <w:sz w:val="24"/>
          <w:szCs w:val="24"/>
          <w:lang w:val="en-US"/>
        </w:rPr>
        <w:t>is haunted by miso</w:t>
      </w:r>
      <w:r w:rsidR="008A6C54" w:rsidRPr="00F4013C">
        <w:rPr>
          <w:rFonts w:asciiTheme="majorHAnsi" w:hAnsiTheme="majorHAnsi"/>
          <w:sz w:val="24"/>
          <w:szCs w:val="24"/>
          <w:lang w:val="en-US"/>
        </w:rPr>
        <w:t xml:space="preserve">gynistic </w:t>
      </w:r>
      <w:r w:rsidR="00323684" w:rsidRPr="00F4013C">
        <w:rPr>
          <w:rFonts w:asciiTheme="majorHAnsi" w:hAnsiTheme="majorHAnsi"/>
          <w:sz w:val="24"/>
          <w:szCs w:val="24"/>
          <w:lang w:val="en-US"/>
        </w:rPr>
        <w:t xml:space="preserve">institutional </w:t>
      </w:r>
      <w:r w:rsidR="007019CA" w:rsidRPr="00F4013C">
        <w:rPr>
          <w:rFonts w:asciiTheme="majorHAnsi" w:hAnsiTheme="majorHAnsi"/>
          <w:sz w:val="24"/>
          <w:szCs w:val="24"/>
          <w:lang w:val="en-US"/>
        </w:rPr>
        <w:t>st</w:t>
      </w:r>
      <w:r w:rsidR="00EE727E" w:rsidRPr="00F4013C">
        <w:rPr>
          <w:rFonts w:asciiTheme="majorHAnsi" w:hAnsiTheme="majorHAnsi"/>
          <w:sz w:val="24"/>
          <w:szCs w:val="24"/>
          <w:lang w:val="en-US"/>
        </w:rPr>
        <w:t>r</w:t>
      </w:r>
      <w:r w:rsidR="007019CA" w:rsidRPr="00F4013C">
        <w:rPr>
          <w:rFonts w:asciiTheme="majorHAnsi" w:hAnsiTheme="majorHAnsi"/>
          <w:sz w:val="24"/>
          <w:szCs w:val="24"/>
          <w:lang w:val="en-US"/>
        </w:rPr>
        <w:t>uctures and discourses</w:t>
      </w:r>
      <w:r w:rsidR="00693A5B" w:rsidRPr="00F4013C">
        <w:rPr>
          <w:rFonts w:asciiTheme="majorHAnsi" w:hAnsiTheme="majorHAnsi"/>
          <w:sz w:val="24"/>
          <w:szCs w:val="24"/>
          <w:lang w:val="en-US"/>
        </w:rPr>
        <w:t>. These</w:t>
      </w:r>
      <w:r w:rsidR="008A6C54" w:rsidRPr="00F4013C">
        <w:rPr>
          <w:rFonts w:asciiTheme="majorHAnsi" w:hAnsiTheme="majorHAnsi"/>
          <w:sz w:val="24"/>
          <w:szCs w:val="24"/>
          <w:lang w:val="en-US"/>
        </w:rPr>
        <w:t xml:space="preserve"> inflict their own </w:t>
      </w:r>
      <w:r w:rsidR="00220B8B" w:rsidRPr="00F4013C">
        <w:rPr>
          <w:rFonts w:asciiTheme="majorHAnsi" w:hAnsiTheme="majorHAnsi"/>
          <w:sz w:val="24"/>
          <w:szCs w:val="24"/>
          <w:lang w:val="en-US"/>
        </w:rPr>
        <w:t>spatialized</w:t>
      </w:r>
      <w:r w:rsidR="00877F8B" w:rsidRPr="00F4013C">
        <w:rPr>
          <w:rFonts w:asciiTheme="majorHAnsi" w:hAnsiTheme="majorHAnsi"/>
          <w:sz w:val="24"/>
          <w:szCs w:val="24"/>
          <w:lang w:val="en-US"/>
        </w:rPr>
        <w:t xml:space="preserve"> </w:t>
      </w:r>
      <w:r w:rsidR="00B16CD4" w:rsidRPr="00F4013C">
        <w:rPr>
          <w:rFonts w:asciiTheme="majorHAnsi" w:hAnsiTheme="majorHAnsi"/>
          <w:sz w:val="24"/>
          <w:szCs w:val="24"/>
          <w:lang w:val="en-US"/>
        </w:rPr>
        <w:t xml:space="preserve">violence </w:t>
      </w:r>
      <w:r w:rsidR="008A6C54" w:rsidRPr="00F4013C">
        <w:rPr>
          <w:rFonts w:asciiTheme="majorHAnsi" w:hAnsiTheme="majorHAnsi"/>
          <w:sz w:val="24"/>
          <w:szCs w:val="24"/>
          <w:lang w:val="en-US"/>
        </w:rPr>
        <w:t>upon victims’ lives</w:t>
      </w:r>
      <w:r w:rsidR="004742F8" w:rsidRPr="00F4013C">
        <w:rPr>
          <w:rFonts w:asciiTheme="majorHAnsi" w:hAnsiTheme="majorHAnsi"/>
          <w:sz w:val="24"/>
          <w:szCs w:val="24"/>
          <w:lang w:val="en-US"/>
        </w:rPr>
        <w:t xml:space="preserve"> by </w:t>
      </w:r>
      <w:r w:rsidR="00B04C79" w:rsidRPr="00F4013C">
        <w:rPr>
          <w:rFonts w:asciiTheme="majorHAnsi" w:hAnsiTheme="majorHAnsi"/>
          <w:sz w:val="24"/>
          <w:szCs w:val="24"/>
          <w:lang w:val="en-US"/>
        </w:rPr>
        <w:t xml:space="preserve">reinforcing the domestic as the (supposed) </w:t>
      </w:r>
      <w:r w:rsidR="00B04C79" w:rsidRPr="00F4013C">
        <w:rPr>
          <w:rFonts w:asciiTheme="majorHAnsi" w:hAnsiTheme="majorHAnsi"/>
          <w:sz w:val="24"/>
          <w:szCs w:val="24"/>
          <w:lang w:val="en-US"/>
        </w:rPr>
        <w:lastRenderedPageBreak/>
        <w:t>sphere of safety and the public of danger</w:t>
      </w:r>
      <w:r w:rsidR="00B16CD4" w:rsidRPr="00F4013C">
        <w:rPr>
          <w:rFonts w:asciiTheme="majorHAnsi" w:hAnsiTheme="majorHAnsi"/>
          <w:sz w:val="24"/>
          <w:szCs w:val="24"/>
          <w:lang w:val="en-US"/>
        </w:rPr>
        <w:t xml:space="preserve">. </w:t>
      </w:r>
      <w:r w:rsidR="001E0E36" w:rsidRPr="00F4013C">
        <w:rPr>
          <w:rFonts w:asciiTheme="majorHAnsi" w:hAnsiTheme="majorHAnsi"/>
          <w:sz w:val="24"/>
          <w:szCs w:val="24"/>
          <w:lang w:val="en-US"/>
        </w:rPr>
        <w:t>[Intervention 3</w:t>
      </w:r>
      <w:r w:rsidR="00FE2385" w:rsidRPr="00F4013C">
        <w:rPr>
          <w:rFonts w:asciiTheme="majorHAnsi" w:hAnsiTheme="majorHAnsi"/>
          <w:sz w:val="24"/>
          <w:szCs w:val="24"/>
          <w:lang w:val="en-US"/>
        </w:rPr>
        <w:t xml:space="preserve">] </w:t>
      </w:r>
      <w:r w:rsidR="00323684" w:rsidRPr="00F4013C">
        <w:rPr>
          <w:rFonts w:asciiTheme="majorHAnsi" w:hAnsiTheme="majorHAnsi"/>
          <w:sz w:val="24"/>
          <w:szCs w:val="24"/>
          <w:lang w:val="en-US"/>
        </w:rPr>
        <w:t xml:space="preserve">also makes connections to work in legal geography and </w:t>
      </w:r>
      <w:r w:rsidR="008E55FB" w:rsidRPr="00F4013C">
        <w:rPr>
          <w:rFonts w:asciiTheme="majorHAnsi" w:hAnsiTheme="majorHAnsi"/>
          <w:sz w:val="24"/>
          <w:szCs w:val="24"/>
          <w:lang w:val="en-US"/>
        </w:rPr>
        <w:t xml:space="preserve">the ambiguity of law as a mechanism of protection and redress. </w:t>
      </w:r>
      <w:r w:rsidR="001E0E36" w:rsidRPr="00F4013C">
        <w:rPr>
          <w:rFonts w:asciiTheme="majorHAnsi" w:hAnsiTheme="majorHAnsi"/>
          <w:sz w:val="24"/>
          <w:szCs w:val="24"/>
          <w:lang w:val="en-US"/>
        </w:rPr>
        <w:t>[Intervention 3</w:t>
      </w:r>
      <w:r w:rsidR="00FE2385" w:rsidRPr="00F4013C">
        <w:rPr>
          <w:rFonts w:asciiTheme="majorHAnsi" w:hAnsiTheme="majorHAnsi"/>
          <w:sz w:val="24"/>
          <w:szCs w:val="24"/>
          <w:lang w:val="en-US"/>
        </w:rPr>
        <w:t xml:space="preserve">] </w:t>
      </w:r>
      <w:r w:rsidR="008E55FB" w:rsidRPr="00F4013C">
        <w:rPr>
          <w:rFonts w:asciiTheme="majorHAnsi" w:hAnsiTheme="majorHAnsi"/>
          <w:sz w:val="24"/>
          <w:szCs w:val="24"/>
          <w:lang w:val="en-US"/>
        </w:rPr>
        <w:t xml:space="preserve">highlights </w:t>
      </w:r>
      <w:r w:rsidR="00B900D6" w:rsidRPr="00F4013C">
        <w:rPr>
          <w:rFonts w:asciiTheme="majorHAnsi" w:hAnsiTheme="majorHAnsi"/>
          <w:sz w:val="24"/>
          <w:szCs w:val="24"/>
          <w:lang w:val="en-US"/>
        </w:rPr>
        <w:t xml:space="preserve">the irony of </w:t>
      </w:r>
      <w:r w:rsidR="008E55FB" w:rsidRPr="00F4013C">
        <w:rPr>
          <w:rFonts w:asciiTheme="majorHAnsi" w:hAnsiTheme="majorHAnsi"/>
          <w:sz w:val="24"/>
          <w:szCs w:val="24"/>
          <w:lang w:val="en-US"/>
        </w:rPr>
        <w:t>how the Cambodian government have</w:t>
      </w:r>
      <w:r w:rsidR="002547AA" w:rsidRPr="00F4013C">
        <w:rPr>
          <w:rFonts w:asciiTheme="majorHAnsi" w:hAnsiTheme="majorHAnsi"/>
          <w:sz w:val="24"/>
          <w:szCs w:val="24"/>
          <w:lang w:val="en-US"/>
        </w:rPr>
        <w:t xml:space="preserve"> violently</w:t>
      </w:r>
      <w:r w:rsidR="008E55FB" w:rsidRPr="00F4013C">
        <w:rPr>
          <w:rFonts w:asciiTheme="majorHAnsi" w:hAnsiTheme="majorHAnsi"/>
          <w:sz w:val="24"/>
          <w:szCs w:val="24"/>
          <w:lang w:val="en-US"/>
        </w:rPr>
        <w:t xml:space="preserve"> legitimated ‘rule </w:t>
      </w:r>
      <w:r w:rsidR="008E55FB" w:rsidRPr="00F4013C">
        <w:rPr>
          <w:rFonts w:asciiTheme="majorHAnsi" w:hAnsiTheme="majorHAnsi"/>
          <w:i/>
          <w:sz w:val="24"/>
          <w:szCs w:val="24"/>
          <w:lang w:val="en-US"/>
        </w:rPr>
        <w:t>by</w:t>
      </w:r>
      <w:r w:rsidR="008E55FB" w:rsidRPr="00F4013C">
        <w:rPr>
          <w:rFonts w:asciiTheme="majorHAnsi" w:hAnsiTheme="majorHAnsi"/>
          <w:sz w:val="24"/>
          <w:szCs w:val="24"/>
          <w:lang w:val="en-US"/>
        </w:rPr>
        <w:t xml:space="preserve"> law’ against </w:t>
      </w:r>
      <w:r w:rsidR="00FD1F53" w:rsidRPr="00F4013C">
        <w:rPr>
          <w:rFonts w:asciiTheme="majorHAnsi" w:hAnsiTheme="majorHAnsi"/>
          <w:sz w:val="24"/>
          <w:szCs w:val="24"/>
          <w:lang w:val="en-US"/>
        </w:rPr>
        <w:t>a</w:t>
      </w:r>
      <w:r w:rsidR="005017B8" w:rsidRPr="00F4013C">
        <w:rPr>
          <w:rFonts w:asciiTheme="majorHAnsi" w:hAnsiTheme="majorHAnsi"/>
          <w:sz w:val="24"/>
          <w:szCs w:val="24"/>
          <w:lang w:val="en-US"/>
        </w:rPr>
        <w:t xml:space="preserve"> grassroots</w:t>
      </w:r>
      <w:r w:rsidR="00FD1F53" w:rsidRPr="00F4013C">
        <w:rPr>
          <w:rFonts w:asciiTheme="majorHAnsi" w:hAnsiTheme="majorHAnsi"/>
          <w:sz w:val="24"/>
          <w:szCs w:val="24"/>
          <w:lang w:val="en-US"/>
        </w:rPr>
        <w:t xml:space="preserve"> network of </w:t>
      </w:r>
      <w:r w:rsidR="002547AA" w:rsidRPr="00F4013C">
        <w:rPr>
          <w:rFonts w:asciiTheme="majorHAnsi" w:hAnsiTheme="majorHAnsi"/>
          <w:sz w:val="24"/>
          <w:szCs w:val="24"/>
          <w:lang w:val="en-US"/>
        </w:rPr>
        <w:t xml:space="preserve">female citizens </w:t>
      </w:r>
      <w:r w:rsidR="008E55FB" w:rsidRPr="00F4013C">
        <w:rPr>
          <w:rFonts w:asciiTheme="majorHAnsi" w:hAnsiTheme="majorHAnsi"/>
          <w:sz w:val="24"/>
          <w:szCs w:val="24"/>
          <w:lang w:val="en-US"/>
        </w:rPr>
        <w:t xml:space="preserve">opposing </w:t>
      </w:r>
      <w:r w:rsidR="00B900D6" w:rsidRPr="00F4013C">
        <w:rPr>
          <w:rFonts w:asciiTheme="majorHAnsi" w:hAnsiTheme="majorHAnsi"/>
          <w:sz w:val="24"/>
          <w:szCs w:val="24"/>
          <w:lang w:val="en-US"/>
        </w:rPr>
        <w:t xml:space="preserve">the gendered insecurities of </w:t>
      </w:r>
      <w:r w:rsidR="008E55FB" w:rsidRPr="00F4013C">
        <w:rPr>
          <w:rFonts w:asciiTheme="majorHAnsi" w:hAnsiTheme="majorHAnsi"/>
          <w:sz w:val="24"/>
          <w:szCs w:val="24"/>
          <w:lang w:val="en-US"/>
        </w:rPr>
        <w:t>forced evict</w:t>
      </w:r>
      <w:r w:rsidR="0056065F" w:rsidRPr="00F4013C">
        <w:rPr>
          <w:rFonts w:asciiTheme="majorHAnsi" w:hAnsiTheme="majorHAnsi"/>
          <w:sz w:val="24"/>
          <w:szCs w:val="24"/>
          <w:lang w:val="en-US"/>
        </w:rPr>
        <w:t xml:space="preserve">ion at the same time as </w:t>
      </w:r>
      <w:r w:rsidR="00220B8B" w:rsidRPr="00F4013C">
        <w:rPr>
          <w:rFonts w:asciiTheme="majorHAnsi" w:hAnsiTheme="majorHAnsi"/>
          <w:sz w:val="24"/>
          <w:szCs w:val="24"/>
          <w:lang w:val="en-US"/>
        </w:rPr>
        <w:t>emphasizing</w:t>
      </w:r>
      <w:r w:rsidR="008E55FB" w:rsidRPr="00F4013C">
        <w:rPr>
          <w:rFonts w:asciiTheme="majorHAnsi" w:hAnsiTheme="majorHAnsi"/>
          <w:sz w:val="24"/>
          <w:szCs w:val="24"/>
          <w:lang w:val="en-US"/>
        </w:rPr>
        <w:t xml:space="preserve"> to the</w:t>
      </w:r>
      <w:r w:rsidR="002547AA" w:rsidRPr="00F4013C">
        <w:rPr>
          <w:rFonts w:asciiTheme="majorHAnsi" w:hAnsiTheme="majorHAnsi"/>
          <w:sz w:val="24"/>
          <w:szCs w:val="24"/>
          <w:lang w:val="en-US"/>
        </w:rPr>
        <w:t xml:space="preserve"> international community its </w:t>
      </w:r>
      <w:r w:rsidR="008E55FB" w:rsidRPr="00F4013C">
        <w:rPr>
          <w:rFonts w:asciiTheme="majorHAnsi" w:hAnsiTheme="majorHAnsi"/>
          <w:sz w:val="24"/>
          <w:szCs w:val="24"/>
          <w:lang w:val="en-US"/>
        </w:rPr>
        <w:t xml:space="preserve">commitment to ‘rule </w:t>
      </w:r>
      <w:r w:rsidR="008E55FB" w:rsidRPr="00F4013C">
        <w:rPr>
          <w:rFonts w:asciiTheme="majorHAnsi" w:hAnsiTheme="majorHAnsi"/>
          <w:i/>
          <w:sz w:val="24"/>
          <w:szCs w:val="24"/>
          <w:lang w:val="en-US"/>
        </w:rPr>
        <w:t>of</w:t>
      </w:r>
      <w:r w:rsidR="008E55FB" w:rsidRPr="00F4013C">
        <w:rPr>
          <w:rFonts w:asciiTheme="majorHAnsi" w:hAnsiTheme="majorHAnsi"/>
          <w:sz w:val="24"/>
          <w:szCs w:val="24"/>
          <w:lang w:val="en-US"/>
        </w:rPr>
        <w:t xml:space="preserve"> law’</w:t>
      </w:r>
      <w:r w:rsidR="002547AA" w:rsidRPr="00F4013C">
        <w:rPr>
          <w:rFonts w:asciiTheme="majorHAnsi" w:hAnsiTheme="majorHAnsi"/>
          <w:sz w:val="24"/>
          <w:szCs w:val="24"/>
          <w:lang w:val="en-US"/>
        </w:rPr>
        <w:t xml:space="preserve"> and human rights</w:t>
      </w:r>
      <w:r w:rsidR="008E55FB" w:rsidRPr="00F4013C">
        <w:rPr>
          <w:rFonts w:asciiTheme="majorHAnsi" w:hAnsiTheme="majorHAnsi"/>
          <w:sz w:val="24"/>
          <w:szCs w:val="24"/>
          <w:lang w:val="en-US"/>
        </w:rPr>
        <w:t xml:space="preserve"> through the sanctioning of its first ever domestic violence law.</w:t>
      </w:r>
      <w:r w:rsidR="007B6391" w:rsidRPr="00F4013C">
        <w:rPr>
          <w:rFonts w:asciiTheme="majorHAnsi" w:hAnsiTheme="majorHAnsi"/>
          <w:sz w:val="24"/>
          <w:szCs w:val="24"/>
          <w:lang w:val="en-US"/>
        </w:rPr>
        <w:t xml:space="preserve"> </w:t>
      </w:r>
      <w:r w:rsidR="00F3409A" w:rsidRPr="00F4013C">
        <w:rPr>
          <w:rFonts w:asciiTheme="majorHAnsi" w:hAnsiTheme="majorHAnsi"/>
          <w:sz w:val="24"/>
          <w:szCs w:val="24"/>
          <w:lang w:val="en-US"/>
        </w:rPr>
        <w:t>This irony is compounded by a</w:t>
      </w:r>
      <w:r w:rsidR="004D372D" w:rsidRPr="00F4013C">
        <w:rPr>
          <w:rFonts w:asciiTheme="majorHAnsi" w:hAnsiTheme="majorHAnsi"/>
          <w:sz w:val="24"/>
          <w:szCs w:val="24"/>
          <w:lang w:val="en-US"/>
        </w:rPr>
        <w:t xml:space="preserve"> </w:t>
      </w:r>
      <w:r w:rsidR="00535D3E" w:rsidRPr="00F4013C">
        <w:rPr>
          <w:rFonts w:asciiTheme="majorHAnsi" w:hAnsiTheme="majorHAnsi"/>
          <w:sz w:val="24"/>
          <w:szCs w:val="24"/>
          <w:lang w:val="en-US"/>
        </w:rPr>
        <w:t xml:space="preserve">new law </w:t>
      </w:r>
      <w:r w:rsidR="00F3409A" w:rsidRPr="00F4013C">
        <w:rPr>
          <w:rFonts w:asciiTheme="majorHAnsi" w:hAnsiTheme="majorHAnsi"/>
          <w:sz w:val="24"/>
          <w:szCs w:val="24"/>
          <w:lang w:val="en-US"/>
        </w:rPr>
        <w:t>which stresses a</w:t>
      </w:r>
      <w:r w:rsidR="006E650A" w:rsidRPr="00F4013C">
        <w:rPr>
          <w:rFonts w:asciiTheme="majorHAnsi" w:hAnsiTheme="majorHAnsi"/>
          <w:sz w:val="24"/>
          <w:szCs w:val="24"/>
          <w:lang w:val="en-US"/>
        </w:rPr>
        <w:t xml:space="preserve"> moralistic commitment to ‘harmony’ and the unyielding</w:t>
      </w:r>
      <w:r w:rsidR="004D372D" w:rsidRPr="00F4013C">
        <w:rPr>
          <w:rFonts w:asciiTheme="majorHAnsi" w:hAnsiTheme="majorHAnsi"/>
          <w:sz w:val="24"/>
          <w:szCs w:val="24"/>
          <w:lang w:val="en-US"/>
        </w:rPr>
        <w:t xml:space="preserve"> continuity of the marital unit</w:t>
      </w:r>
      <w:r w:rsidR="00F3409A" w:rsidRPr="00F4013C">
        <w:rPr>
          <w:rFonts w:asciiTheme="majorHAnsi" w:hAnsiTheme="majorHAnsi"/>
          <w:sz w:val="24"/>
          <w:szCs w:val="24"/>
          <w:lang w:val="en-US"/>
        </w:rPr>
        <w:t xml:space="preserve"> </w:t>
      </w:r>
      <w:r w:rsidR="006E650A" w:rsidRPr="00F4013C">
        <w:rPr>
          <w:rFonts w:asciiTheme="majorHAnsi" w:hAnsiTheme="majorHAnsi"/>
          <w:sz w:val="24"/>
          <w:szCs w:val="24"/>
          <w:lang w:val="en-US"/>
        </w:rPr>
        <w:t xml:space="preserve">to </w:t>
      </w:r>
      <w:r w:rsidR="004D372D" w:rsidRPr="00F4013C">
        <w:rPr>
          <w:rFonts w:asciiTheme="majorHAnsi" w:hAnsiTheme="majorHAnsi"/>
          <w:sz w:val="24"/>
          <w:szCs w:val="24"/>
          <w:lang w:val="en-US"/>
        </w:rPr>
        <w:t>secure the</w:t>
      </w:r>
      <w:r w:rsidR="006E650A" w:rsidRPr="00F4013C">
        <w:rPr>
          <w:rFonts w:asciiTheme="majorHAnsi" w:hAnsiTheme="majorHAnsi"/>
          <w:sz w:val="24"/>
          <w:szCs w:val="24"/>
          <w:lang w:val="en-US"/>
        </w:rPr>
        <w:t xml:space="preserve"> ‘intimate security’ </w:t>
      </w:r>
      <w:r w:rsidR="004D372D" w:rsidRPr="00F4013C">
        <w:rPr>
          <w:rFonts w:asciiTheme="majorHAnsi" w:hAnsiTheme="majorHAnsi"/>
          <w:sz w:val="24"/>
          <w:szCs w:val="24"/>
          <w:lang w:val="en-US"/>
        </w:rPr>
        <w:t>of the nation more than the women it is nominally designed for.</w:t>
      </w:r>
      <w:r w:rsidR="006F33C7" w:rsidRPr="00F4013C">
        <w:rPr>
          <w:rFonts w:asciiTheme="majorHAnsi" w:hAnsiTheme="majorHAnsi"/>
          <w:sz w:val="24"/>
          <w:szCs w:val="24"/>
          <w:lang w:val="en-US"/>
        </w:rPr>
        <w:t xml:space="preserve"> </w:t>
      </w:r>
      <w:r w:rsidR="007B6391" w:rsidRPr="00F4013C">
        <w:rPr>
          <w:rFonts w:asciiTheme="majorHAnsi" w:hAnsiTheme="majorHAnsi"/>
          <w:sz w:val="24"/>
          <w:szCs w:val="24"/>
          <w:lang w:val="en-US"/>
        </w:rPr>
        <w:t>Both interventions thus expose how responses</w:t>
      </w:r>
      <w:r w:rsidR="005017B8" w:rsidRPr="00F4013C">
        <w:rPr>
          <w:rFonts w:asciiTheme="majorHAnsi" w:hAnsiTheme="majorHAnsi"/>
          <w:sz w:val="24"/>
          <w:szCs w:val="24"/>
          <w:lang w:val="en-US"/>
        </w:rPr>
        <w:t xml:space="preserve"> formally</w:t>
      </w:r>
      <w:r w:rsidR="007B6391" w:rsidRPr="00F4013C">
        <w:rPr>
          <w:rFonts w:asciiTheme="majorHAnsi" w:hAnsiTheme="majorHAnsi"/>
          <w:sz w:val="24"/>
          <w:szCs w:val="24"/>
          <w:lang w:val="en-US"/>
        </w:rPr>
        <w:t xml:space="preserve"> designed to address gendered violences such as rape and domestic violence hold the v</w:t>
      </w:r>
      <w:r w:rsidR="00BD2647" w:rsidRPr="00F4013C">
        <w:rPr>
          <w:rFonts w:asciiTheme="majorHAnsi" w:hAnsiTheme="majorHAnsi"/>
          <w:sz w:val="24"/>
          <w:szCs w:val="24"/>
          <w:lang w:val="en-US"/>
        </w:rPr>
        <w:t>ery real potential to exacerbate</w:t>
      </w:r>
      <w:r w:rsidR="001838B8" w:rsidRPr="00F4013C">
        <w:rPr>
          <w:rFonts w:asciiTheme="majorHAnsi" w:hAnsiTheme="majorHAnsi"/>
          <w:sz w:val="24"/>
          <w:szCs w:val="24"/>
          <w:lang w:val="en-US"/>
        </w:rPr>
        <w:t xml:space="preserve"> rather th</w:t>
      </w:r>
      <w:r w:rsidR="006A2BAA" w:rsidRPr="00F4013C">
        <w:rPr>
          <w:rFonts w:asciiTheme="majorHAnsi" w:hAnsiTheme="majorHAnsi"/>
          <w:sz w:val="24"/>
          <w:szCs w:val="24"/>
          <w:lang w:val="en-US"/>
        </w:rPr>
        <w:t>an necessarily alleviate injustice.</w:t>
      </w:r>
    </w:p>
    <w:p w14:paraId="7B83F952" w14:textId="038D8580" w:rsidR="00913EC3" w:rsidRPr="00F4013C" w:rsidRDefault="00DB402D" w:rsidP="00F4013C">
      <w:pPr>
        <w:spacing w:line="480" w:lineRule="auto"/>
        <w:rPr>
          <w:rFonts w:asciiTheme="majorHAnsi" w:hAnsiTheme="majorHAnsi"/>
          <w:sz w:val="24"/>
          <w:szCs w:val="24"/>
          <w:highlight w:val="yellow"/>
          <w:lang w:val="en-US"/>
        </w:rPr>
      </w:pPr>
      <w:r w:rsidRPr="00F4013C">
        <w:rPr>
          <w:rFonts w:asciiTheme="majorHAnsi" w:hAnsiTheme="majorHAnsi"/>
          <w:sz w:val="24"/>
          <w:szCs w:val="24"/>
          <w:lang w:val="en-US"/>
        </w:rPr>
        <w:t xml:space="preserve">The two further interventions </w:t>
      </w:r>
      <w:r w:rsidR="000D1628" w:rsidRPr="00F4013C">
        <w:rPr>
          <w:rFonts w:asciiTheme="majorHAnsi" w:hAnsiTheme="majorHAnsi"/>
          <w:sz w:val="24"/>
          <w:szCs w:val="24"/>
          <w:lang w:val="en-US"/>
        </w:rPr>
        <w:t>talk to the theme of the</w:t>
      </w:r>
      <w:r w:rsidR="008E6987" w:rsidRPr="00F4013C">
        <w:rPr>
          <w:rFonts w:asciiTheme="majorHAnsi" w:hAnsiTheme="majorHAnsi"/>
          <w:sz w:val="24"/>
          <w:szCs w:val="24"/>
          <w:lang w:val="en-US"/>
        </w:rPr>
        <w:t xml:space="preserve"> (geo)-politics of hate, </w:t>
      </w:r>
      <w:r w:rsidR="00863C13" w:rsidRPr="00F4013C">
        <w:rPr>
          <w:rFonts w:asciiTheme="majorHAnsi" w:hAnsiTheme="majorHAnsi"/>
          <w:sz w:val="24"/>
          <w:szCs w:val="24"/>
          <w:lang w:val="en-US"/>
        </w:rPr>
        <w:t xml:space="preserve">namely </w:t>
      </w:r>
      <w:r w:rsidR="001E0E36" w:rsidRPr="00F4013C">
        <w:rPr>
          <w:rFonts w:asciiTheme="majorHAnsi" w:hAnsiTheme="majorHAnsi"/>
          <w:sz w:val="24"/>
          <w:szCs w:val="24"/>
          <w:lang w:val="en-US"/>
        </w:rPr>
        <w:t>[Intervention 2</w:t>
      </w:r>
      <w:r w:rsidR="00FE2385" w:rsidRPr="00F4013C">
        <w:rPr>
          <w:rFonts w:asciiTheme="majorHAnsi" w:hAnsiTheme="majorHAnsi"/>
          <w:sz w:val="24"/>
          <w:szCs w:val="24"/>
          <w:lang w:val="en-US"/>
        </w:rPr>
        <w:t xml:space="preserve">] </w:t>
      </w:r>
      <w:r w:rsidR="00357794" w:rsidRPr="00F4013C">
        <w:rPr>
          <w:rFonts w:asciiTheme="majorHAnsi" w:hAnsiTheme="majorHAnsi"/>
          <w:sz w:val="24"/>
          <w:szCs w:val="24"/>
          <w:lang w:val="en-US"/>
        </w:rPr>
        <w:t xml:space="preserve">on </w:t>
      </w:r>
      <w:r w:rsidR="008E00B7" w:rsidRPr="00F4013C">
        <w:rPr>
          <w:rFonts w:asciiTheme="majorHAnsi" w:hAnsiTheme="majorHAnsi"/>
          <w:sz w:val="24"/>
          <w:szCs w:val="24"/>
          <w:lang w:val="en-US"/>
        </w:rPr>
        <w:t>the relationship between gende</w:t>
      </w:r>
      <w:r w:rsidR="008E6987" w:rsidRPr="00F4013C">
        <w:rPr>
          <w:rFonts w:asciiTheme="majorHAnsi" w:hAnsiTheme="majorHAnsi"/>
          <w:sz w:val="24"/>
          <w:szCs w:val="24"/>
          <w:lang w:val="en-US"/>
        </w:rPr>
        <w:t>r prejudice and sexual violence against women;</w:t>
      </w:r>
      <w:r w:rsidR="008E00B7" w:rsidRPr="00F4013C">
        <w:rPr>
          <w:rFonts w:asciiTheme="majorHAnsi" w:hAnsiTheme="majorHAnsi"/>
          <w:sz w:val="24"/>
          <w:szCs w:val="24"/>
          <w:lang w:val="en-US"/>
        </w:rPr>
        <w:t xml:space="preserve"> and </w:t>
      </w:r>
      <w:r w:rsidR="001E0E36" w:rsidRPr="00F4013C">
        <w:rPr>
          <w:rFonts w:asciiTheme="majorHAnsi" w:hAnsiTheme="majorHAnsi"/>
          <w:sz w:val="24"/>
          <w:szCs w:val="24"/>
          <w:lang w:val="en-US"/>
        </w:rPr>
        <w:t>[Intervention 4</w:t>
      </w:r>
      <w:r w:rsidR="00FE2385" w:rsidRPr="00F4013C">
        <w:rPr>
          <w:rFonts w:asciiTheme="majorHAnsi" w:hAnsiTheme="majorHAnsi"/>
          <w:sz w:val="24"/>
          <w:szCs w:val="24"/>
          <w:lang w:val="en-US"/>
        </w:rPr>
        <w:t xml:space="preserve">] </w:t>
      </w:r>
      <w:r w:rsidR="008E00B7" w:rsidRPr="00F4013C">
        <w:rPr>
          <w:rFonts w:asciiTheme="majorHAnsi" w:hAnsiTheme="majorHAnsi"/>
          <w:sz w:val="24"/>
          <w:szCs w:val="24"/>
          <w:lang w:val="en-US"/>
        </w:rPr>
        <w:t xml:space="preserve">on </w:t>
      </w:r>
      <w:proofErr w:type="gramStart"/>
      <w:r w:rsidR="006E29B4" w:rsidRPr="00F4013C">
        <w:rPr>
          <w:rFonts w:asciiTheme="majorHAnsi" w:hAnsiTheme="majorHAnsi"/>
          <w:sz w:val="24"/>
          <w:szCs w:val="24"/>
          <w:lang w:val="en-US"/>
        </w:rPr>
        <w:t>religiously-motivated</w:t>
      </w:r>
      <w:proofErr w:type="gramEnd"/>
      <w:r w:rsidR="006E29B4" w:rsidRPr="00F4013C">
        <w:rPr>
          <w:rFonts w:asciiTheme="majorHAnsi" w:hAnsiTheme="majorHAnsi"/>
          <w:sz w:val="24"/>
          <w:szCs w:val="24"/>
          <w:lang w:val="en-US"/>
        </w:rPr>
        <w:t xml:space="preserve"> violence</w:t>
      </w:r>
      <w:r w:rsidR="008E6987" w:rsidRPr="00F4013C">
        <w:rPr>
          <w:rFonts w:asciiTheme="majorHAnsi" w:hAnsiTheme="majorHAnsi"/>
          <w:sz w:val="24"/>
          <w:szCs w:val="24"/>
          <w:lang w:val="en-US"/>
        </w:rPr>
        <w:t xml:space="preserve"> directed towards those perceived to follow the Islamic faith</w:t>
      </w:r>
      <w:r w:rsidR="006E29B4" w:rsidRPr="00F4013C">
        <w:rPr>
          <w:rFonts w:asciiTheme="majorHAnsi" w:hAnsiTheme="majorHAnsi"/>
          <w:sz w:val="24"/>
          <w:szCs w:val="24"/>
          <w:lang w:val="en-US"/>
        </w:rPr>
        <w:t xml:space="preserve">. </w:t>
      </w:r>
      <w:r w:rsidR="00B54DB0" w:rsidRPr="00F4013C">
        <w:rPr>
          <w:rFonts w:asciiTheme="majorHAnsi" w:hAnsiTheme="majorHAnsi"/>
          <w:sz w:val="24"/>
          <w:szCs w:val="24"/>
        </w:rPr>
        <w:t>As was highlighted by Brownlow’s (2005) US study of African-American men, these two case studies call attention to the intersectionality of gender and other axes of difference prompting specific forms of gendered violences. In these cases, gender (women in India and men in the UK respectively), i</w:t>
      </w:r>
      <w:r w:rsidR="00953FEF" w:rsidRPr="00F4013C">
        <w:rPr>
          <w:rFonts w:asciiTheme="majorHAnsi" w:hAnsiTheme="majorHAnsi"/>
          <w:sz w:val="24"/>
          <w:szCs w:val="24"/>
        </w:rPr>
        <w:t>ntersect</w:t>
      </w:r>
      <w:r w:rsidR="00B54DB0" w:rsidRPr="00F4013C">
        <w:rPr>
          <w:rFonts w:asciiTheme="majorHAnsi" w:hAnsiTheme="majorHAnsi"/>
          <w:sz w:val="24"/>
          <w:szCs w:val="24"/>
        </w:rPr>
        <w:t>s</w:t>
      </w:r>
      <w:r w:rsidR="00953FEF" w:rsidRPr="00F4013C">
        <w:rPr>
          <w:rFonts w:asciiTheme="majorHAnsi" w:hAnsiTheme="majorHAnsi"/>
          <w:sz w:val="24"/>
          <w:szCs w:val="24"/>
        </w:rPr>
        <w:t xml:space="preserve"> with </w:t>
      </w:r>
      <w:r w:rsidR="00B54DB0" w:rsidRPr="00F4013C">
        <w:rPr>
          <w:rFonts w:asciiTheme="majorHAnsi" w:hAnsiTheme="majorHAnsi"/>
          <w:sz w:val="24"/>
          <w:szCs w:val="24"/>
        </w:rPr>
        <w:t xml:space="preserve">class, </w:t>
      </w:r>
      <w:r w:rsidR="00953FEF" w:rsidRPr="00F4013C">
        <w:rPr>
          <w:rFonts w:asciiTheme="majorHAnsi" w:hAnsiTheme="majorHAnsi"/>
          <w:sz w:val="24"/>
          <w:szCs w:val="24"/>
        </w:rPr>
        <w:t>religious intolerance and cultural violence.</w:t>
      </w:r>
      <w:r w:rsidR="00B70142" w:rsidRPr="00F4013C">
        <w:rPr>
          <w:rFonts w:asciiTheme="majorHAnsi" w:hAnsiTheme="majorHAnsi"/>
          <w:sz w:val="24"/>
          <w:szCs w:val="24"/>
        </w:rPr>
        <w:t xml:space="preserve"> </w:t>
      </w:r>
      <w:r w:rsidR="0095308D" w:rsidRPr="00F4013C">
        <w:rPr>
          <w:rFonts w:asciiTheme="majorHAnsi" w:hAnsiTheme="majorHAnsi"/>
          <w:sz w:val="24"/>
          <w:szCs w:val="24"/>
        </w:rPr>
        <w:t xml:space="preserve">Each case study highlights violence as an expression of power, reflecting the perpetrators’ discursive construction of the entitlement to evaluate, judge, and act violently upon </w:t>
      </w:r>
      <w:r w:rsidR="0095308D" w:rsidRPr="00F4013C">
        <w:rPr>
          <w:rFonts w:asciiTheme="majorHAnsi" w:hAnsiTheme="majorHAnsi"/>
          <w:sz w:val="24"/>
          <w:szCs w:val="24"/>
        </w:rPr>
        <w:lastRenderedPageBreak/>
        <w:t xml:space="preserve">certain others in order to control the victims and influence/ direct the wider society to which both parties belong. </w:t>
      </w:r>
    </w:p>
    <w:p w14:paraId="48234782" w14:textId="31E8AD94" w:rsidR="00E95652" w:rsidRPr="00F4013C" w:rsidRDefault="000D1628" w:rsidP="00F4013C">
      <w:pPr>
        <w:spacing w:line="480" w:lineRule="auto"/>
        <w:rPr>
          <w:rFonts w:asciiTheme="majorHAnsi" w:hAnsiTheme="majorHAnsi"/>
          <w:sz w:val="24"/>
          <w:szCs w:val="24"/>
        </w:rPr>
      </w:pPr>
      <w:r w:rsidRPr="00F4013C">
        <w:rPr>
          <w:rFonts w:asciiTheme="majorHAnsi" w:hAnsiTheme="majorHAnsi"/>
          <w:sz w:val="24"/>
          <w:szCs w:val="24"/>
        </w:rPr>
        <w:t xml:space="preserve">At the same time however, </w:t>
      </w:r>
      <w:r w:rsidR="001E0E36" w:rsidRPr="00F4013C">
        <w:rPr>
          <w:rFonts w:asciiTheme="majorHAnsi" w:hAnsiTheme="majorHAnsi"/>
          <w:sz w:val="24"/>
          <w:szCs w:val="24"/>
          <w:lang w:val="en-US"/>
        </w:rPr>
        <w:t>[intervention 2</w:t>
      </w:r>
      <w:r w:rsidR="00FE2385" w:rsidRPr="00F4013C">
        <w:rPr>
          <w:rFonts w:asciiTheme="majorHAnsi" w:hAnsiTheme="majorHAnsi"/>
          <w:sz w:val="24"/>
          <w:szCs w:val="24"/>
          <w:lang w:val="en-US"/>
        </w:rPr>
        <w:t xml:space="preserve">] </w:t>
      </w:r>
      <w:r w:rsidRPr="00F4013C">
        <w:rPr>
          <w:rFonts w:asciiTheme="majorHAnsi" w:hAnsiTheme="majorHAnsi"/>
          <w:sz w:val="24"/>
          <w:szCs w:val="24"/>
        </w:rPr>
        <w:t xml:space="preserve">highlights the female vigilante </w:t>
      </w:r>
      <w:proofErr w:type="gramStart"/>
      <w:r w:rsidRPr="00F4013C">
        <w:rPr>
          <w:rFonts w:asciiTheme="majorHAnsi" w:hAnsiTheme="majorHAnsi"/>
          <w:sz w:val="24"/>
          <w:szCs w:val="24"/>
        </w:rPr>
        <w:t>groups which</w:t>
      </w:r>
      <w:proofErr w:type="gramEnd"/>
      <w:r w:rsidRPr="00F4013C">
        <w:rPr>
          <w:rFonts w:asciiTheme="majorHAnsi" w:hAnsiTheme="majorHAnsi"/>
          <w:sz w:val="24"/>
          <w:szCs w:val="24"/>
        </w:rPr>
        <w:t xml:space="preserve"> are mobilising and pushing against such exertions of power. </w:t>
      </w:r>
      <w:r w:rsidR="003046C5" w:rsidRPr="00F4013C">
        <w:rPr>
          <w:rFonts w:asciiTheme="majorHAnsi" w:hAnsiTheme="majorHAnsi"/>
          <w:sz w:val="24"/>
          <w:szCs w:val="24"/>
        </w:rPr>
        <w:t xml:space="preserve">Just as ‘the term </w:t>
      </w:r>
      <w:r w:rsidR="003046C5" w:rsidRPr="00F4013C">
        <w:rPr>
          <w:rFonts w:asciiTheme="majorHAnsi" w:hAnsiTheme="majorHAnsi"/>
          <w:i/>
          <w:sz w:val="24"/>
          <w:szCs w:val="24"/>
        </w:rPr>
        <w:t>precarity</w:t>
      </w:r>
      <w:r w:rsidR="003046C5" w:rsidRPr="00F4013C">
        <w:rPr>
          <w:rFonts w:asciiTheme="majorHAnsi" w:hAnsiTheme="majorHAnsi"/>
          <w:sz w:val="24"/>
          <w:szCs w:val="24"/>
        </w:rPr>
        <w:t xml:space="preserve"> is double-edged as it implies both a condition and a possible rallying point for resistance’ (Waite, 2009: 412 author’s emphasis), </w:t>
      </w:r>
      <w:r w:rsidR="00880140" w:rsidRPr="00F4013C">
        <w:rPr>
          <w:rFonts w:asciiTheme="majorHAnsi" w:hAnsiTheme="majorHAnsi"/>
          <w:sz w:val="24"/>
          <w:szCs w:val="24"/>
        </w:rPr>
        <w:t xml:space="preserve">gendered insecurities </w:t>
      </w:r>
      <w:r w:rsidR="003046C5" w:rsidRPr="00F4013C">
        <w:rPr>
          <w:rFonts w:asciiTheme="majorHAnsi" w:hAnsiTheme="majorHAnsi"/>
          <w:sz w:val="24"/>
          <w:szCs w:val="24"/>
        </w:rPr>
        <w:t>often set the conditions fo</w:t>
      </w:r>
      <w:r w:rsidR="000613A8" w:rsidRPr="00F4013C">
        <w:rPr>
          <w:rFonts w:asciiTheme="majorHAnsi" w:hAnsiTheme="majorHAnsi"/>
          <w:sz w:val="24"/>
          <w:szCs w:val="24"/>
        </w:rPr>
        <w:t>r staged as well as more subtle</w:t>
      </w:r>
      <w:r w:rsidR="003046C5" w:rsidRPr="00F4013C">
        <w:rPr>
          <w:rFonts w:asciiTheme="majorHAnsi" w:hAnsiTheme="majorHAnsi"/>
          <w:sz w:val="24"/>
          <w:szCs w:val="24"/>
        </w:rPr>
        <w:t xml:space="preserve"> </w:t>
      </w:r>
      <w:r w:rsidR="000613A8" w:rsidRPr="00F4013C">
        <w:rPr>
          <w:rFonts w:asciiTheme="majorHAnsi" w:hAnsiTheme="majorHAnsi"/>
          <w:sz w:val="24"/>
          <w:szCs w:val="24"/>
        </w:rPr>
        <w:t xml:space="preserve">activisms </w:t>
      </w:r>
      <w:r w:rsidR="008861DE" w:rsidRPr="00F4013C">
        <w:rPr>
          <w:rFonts w:asciiTheme="majorHAnsi" w:hAnsiTheme="majorHAnsi"/>
          <w:sz w:val="24"/>
          <w:szCs w:val="24"/>
        </w:rPr>
        <w:t xml:space="preserve">in everyday social relations (also born out </w:t>
      </w:r>
      <w:r w:rsidR="00EE28D9" w:rsidRPr="00F4013C">
        <w:rPr>
          <w:rFonts w:asciiTheme="majorHAnsi" w:hAnsiTheme="majorHAnsi"/>
          <w:sz w:val="24"/>
          <w:szCs w:val="24"/>
        </w:rPr>
        <w:t xml:space="preserve">in </w:t>
      </w:r>
      <w:r w:rsidR="008861DE" w:rsidRPr="00F4013C">
        <w:rPr>
          <w:rFonts w:asciiTheme="majorHAnsi" w:hAnsiTheme="majorHAnsi"/>
          <w:sz w:val="24"/>
          <w:szCs w:val="24"/>
        </w:rPr>
        <w:t>intervention</w:t>
      </w:r>
      <w:r w:rsidR="00EE28D9" w:rsidRPr="00F4013C">
        <w:rPr>
          <w:rFonts w:asciiTheme="majorHAnsi" w:hAnsiTheme="majorHAnsi"/>
          <w:sz w:val="24"/>
          <w:szCs w:val="24"/>
        </w:rPr>
        <w:t xml:space="preserve"> 2</w:t>
      </w:r>
      <w:r w:rsidR="008861DE" w:rsidRPr="00F4013C">
        <w:rPr>
          <w:rFonts w:asciiTheme="majorHAnsi" w:hAnsiTheme="majorHAnsi"/>
          <w:sz w:val="24"/>
          <w:szCs w:val="24"/>
        </w:rPr>
        <w:t>).</w:t>
      </w:r>
      <w:r w:rsidR="000A758F" w:rsidRPr="00F4013C">
        <w:rPr>
          <w:rFonts w:asciiTheme="majorHAnsi" w:hAnsiTheme="majorHAnsi"/>
          <w:sz w:val="24"/>
          <w:szCs w:val="24"/>
        </w:rPr>
        <w:t xml:space="preserve"> In this vein, </w:t>
      </w:r>
      <w:r w:rsidR="00341BD5" w:rsidRPr="00F4013C">
        <w:rPr>
          <w:rFonts w:asciiTheme="majorHAnsi" w:hAnsiTheme="majorHAnsi"/>
          <w:sz w:val="24"/>
          <w:szCs w:val="24"/>
        </w:rPr>
        <w:t xml:space="preserve">future work </w:t>
      </w:r>
      <w:r w:rsidR="00A60CDF" w:rsidRPr="00F4013C">
        <w:rPr>
          <w:rFonts w:asciiTheme="majorHAnsi" w:hAnsiTheme="majorHAnsi"/>
          <w:sz w:val="24"/>
          <w:szCs w:val="24"/>
        </w:rPr>
        <w:t>in geography</w:t>
      </w:r>
      <w:r w:rsidR="00B653EE" w:rsidRPr="00F4013C">
        <w:rPr>
          <w:rFonts w:asciiTheme="majorHAnsi" w:hAnsiTheme="majorHAnsi"/>
          <w:sz w:val="24"/>
          <w:szCs w:val="24"/>
        </w:rPr>
        <w:t xml:space="preserve"> </w:t>
      </w:r>
      <w:r w:rsidR="00A60CDF" w:rsidRPr="00F4013C">
        <w:rPr>
          <w:rFonts w:asciiTheme="majorHAnsi" w:hAnsiTheme="majorHAnsi"/>
          <w:sz w:val="24"/>
          <w:szCs w:val="24"/>
        </w:rPr>
        <w:t xml:space="preserve">has a role to play not only in </w:t>
      </w:r>
      <w:r w:rsidR="00B4473B" w:rsidRPr="00F4013C">
        <w:rPr>
          <w:rFonts w:asciiTheme="majorHAnsi" w:hAnsiTheme="majorHAnsi"/>
          <w:sz w:val="24"/>
          <w:szCs w:val="24"/>
        </w:rPr>
        <w:t xml:space="preserve">bringing to light experiences of </w:t>
      </w:r>
      <w:r w:rsidR="00A60CDF" w:rsidRPr="00F4013C">
        <w:rPr>
          <w:rFonts w:asciiTheme="majorHAnsi" w:hAnsiTheme="majorHAnsi"/>
          <w:sz w:val="24"/>
          <w:szCs w:val="24"/>
        </w:rPr>
        <w:t>gendered violence</w:t>
      </w:r>
      <w:r w:rsidR="00B4473B" w:rsidRPr="00F4013C">
        <w:rPr>
          <w:rFonts w:asciiTheme="majorHAnsi" w:hAnsiTheme="majorHAnsi"/>
          <w:sz w:val="24"/>
          <w:szCs w:val="24"/>
        </w:rPr>
        <w:t>s</w:t>
      </w:r>
      <w:r w:rsidR="00A60CDF" w:rsidRPr="00F4013C">
        <w:rPr>
          <w:rFonts w:asciiTheme="majorHAnsi" w:hAnsiTheme="majorHAnsi"/>
          <w:sz w:val="24"/>
          <w:szCs w:val="24"/>
        </w:rPr>
        <w:t xml:space="preserve"> but also giving exposure</w:t>
      </w:r>
      <w:r w:rsidR="00B256B5" w:rsidRPr="00F4013C">
        <w:rPr>
          <w:rFonts w:asciiTheme="majorHAnsi" w:hAnsiTheme="majorHAnsi"/>
          <w:sz w:val="24"/>
          <w:szCs w:val="24"/>
        </w:rPr>
        <w:t xml:space="preserve"> and </w:t>
      </w:r>
      <w:r w:rsidR="00A60CDF" w:rsidRPr="00F4013C">
        <w:rPr>
          <w:rFonts w:asciiTheme="majorHAnsi" w:hAnsiTheme="majorHAnsi"/>
          <w:sz w:val="24"/>
          <w:szCs w:val="24"/>
        </w:rPr>
        <w:t>support to resistance efforts</w:t>
      </w:r>
      <w:r w:rsidR="00B4473B" w:rsidRPr="00F4013C">
        <w:rPr>
          <w:rFonts w:asciiTheme="majorHAnsi" w:hAnsiTheme="majorHAnsi"/>
          <w:sz w:val="24"/>
          <w:szCs w:val="24"/>
        </w:rPr>
        <w:t xml:space="preserve"> to bring about </w:t>
      </w:r>
      <w:r w:rsidR="002A5459" w:rsidRPr="00F4013C">
        <w:rPr>
          <w:rFonts w:asciiTheme="majorHAnsi" w:hAnsiTheme="majorHAnsi"/>
          <w:sz w:val="24"/>
          <w:szCs w:val="24"/>
        </w:rPr>
        <w:t xml:space="preserve">meaningful </w:t>
      </w:r>
      <w:r w:rsidR="00B4473B" w:rsidRPr="00F4013C">
        <w:rPr>
          <w:rFonts w:asciiTheme="majorHAnsi" w:hAnsiTheme="majorHAnsi"/>
          <w:sz w:val="24"/>
          <w:szCs w:val="24"/>
        </w:rPr>
        <w:t>change</w:t>
      </w:r>
      <w:r w:rsidR="00A60CDF" w:rsidRPr="00F4013C">
        <w:rPr>
          <w:rFonts w:asciiTheme="majorHAnsi" w:hAnsiTheme="majorHAnsi"/>
          <w:sz w:val="24"/>
          <w:szCs w:val="24"/>
        </w:rPr>
        <w:t>.</w:t>
      </w:r>
    </w:p>
    <w:p w14:paraId="52F9652F" w14:textId="77777777" w:rsidR="009F6FD7" w:rsidRPr="00F4013C" w:rsidRDefault="009F6FD7" w:rsidP="00F4013C">
      <w:pPr>
        <w:spacing w:line="480" w:lineRule="auto"/>
        <w:rPr>
          <w:rFonts w:asciiTheme="majorHAnsi" w:hAnsiTheme="majorHAnsi"/>
          <w:b/>
          <w:sz w:val="24"/>
          <w:szCs w:val="24"/>
        </w:rPr>
      </w:pPr>
    </w:p>
    <w:p w14:paraId="36E36106" w14:textId="72BA06E4" w:rsidR="007971D4" w:rsidRPr="00F4013C" w:rsidRDefault="007971D4" w:rsidP="00F4013C">
      <w:pPr>
        <w:spacing w:line="480" w:lineRule="auto"/>
        <w:rPr>
          <w:rFonts w:asciiTheme="majorHAnsi" w:hAnsiTheme="majorHAnsi"/>
          <w:sz w:val="24"/>
          <w:szCs w:val="24"/>
          <w:highlight w:val="lightGray"/>
        </w:rPr>
      </w:pPr>
      <w:r w:rsidRPr="00F4013C">
        <w:rPr>
          <w:rFonts w:asciiTheme="majorHAnsi" w:hAnsiTheme="majorHAnsi"/>
          <w:b/>
          <w:sz w:val="24"/>
          <w:szCs w:val="24"/>
        </w:rPr>
        <w:t>References</w:t>
      </w:r>
      <w:r w:rsidR="004C3906" w:rsidRPr="00F4013C">
        <w:rPr>
          <w:rFonts w:asciiTheme="majorHAnsi" w:hAnsiTheme="majorHAnsi"/>
          <w:b/>
          <w:sz w:val="24"/>
          <w:szCs w:val="24"/>
        </w:rPr>
        <w:t xml:space="preserve"> </w:t>
      </w:r>
    </w:p>
    <w:p w14:paraId="18974621" w14:textId="77777777" w:rsidR="001159CE" w:rsidRPr="00F4013C" w:rsidRDefault="001159CE" w:rsidP="00F4013C">
      <w:pPr>
        <w:widowControl w:val="0"/>
        <w:autoSpaceDE w:val="0"/>
        <w:autoSpaceDN w:val="0"/>
        <w:adjustRightInd w:val="0"/>
        <w:spacing w:after="0" w:line="480" w:lineRule="auto"/>
        <w:rPr>
          <w:rFonts w:asciiTheme="majorHAnsi" w:hAnsiTheme="majorHAnsi"/>
          <w:sz w:val="24"/>
          <w:szCs w:val="24"/>
        </w:rPr>
      </w:pPr>
    </w:p>
    <w:p w14:paraId="20B3E884" w14:textId="38A46860" w:rsidR="005325B3" w:rsidRPr="00F4013C" w:rsidRDefault="004C3906" w:rsidP="00F4013C">
      <w:pPr>
        <w:spacing w:line="480" w:lineRule="auto"/>
        <w:rPr>
          <w:rFonts w:asciiTheme="majorHAnsi" w:hAnsiTheme="majorHAnsi" w:cs="Calibri"/>
          <w:sz w:val="24"/>
          <w:szCs w:val="24"/>
          <w:lang w:val="en-US"/>
        </w:rPr>
      </w:pPr>
      <w:r w:rsidRPr="00F4013C">
        <w:rPr>
          <w:rFonts w:asciiTheme="majorHAnsi" w:hAnsiTheme="majorHAnsi"/>
          <w:sz w:val="24"/>
          <w:szCs w:val="24"/>
          <w:lang w:val="en-US"/>
        </w:rPr>
        <w:t>Anderson K</w:t>
      </w:r>
      <w:r w:rsidR="00A5151C" w:rsidRPr="00F4013C">
        <w:rPr>
          <w:rFonts w:asciiTheme="majorHAnsi" w:hAnsiTheme="majorHAnsi"/>
          <w:sz w:val="24"/>
          <w:szCs w:val="24"/>
          <w:lang w:val="en-US"/>
        </w:rPr>
        <w:t xml:space="preserve"> </w:t>
      </w:r>
      <w:r w:rsidR="007F6978" w:rsidRPr="00F4013C">
        <w:rPr>
          <w:rFonts w:asciiTheme="majorHAnsi" w:hAnsiTheme="majorHAnsi"/>
          <w:sz w:val="24"/>
          <w:szCs w:val="24"/>
          <w:lang w:val="en-US"/>
        </w:rPr>
        <w:t xml:space="preserve">and Smith S J </w:t>
      </w:r>
      <w:r w:rsidR="00E9350F" w:rsidRPr="00F4013C">
        <w:rPr>
          <w:rFonts w:asciiTheme="majorHAnsi" w:hAnsiTheme="majorHAnsi"/>
          <w:sz w:val="24"/>
          <w:szCs w:val="24"/>
          <w:lang w:val="en-US"/>
        </w:rPr>
        <w:t>(</w:t>
      </w:r>
      <w:r w:rsidR="007F6978" w:rsidRPr="00F4013C">
        <w:rPr>
          <w:rFonts w:asciiTheme="majorHAnsi" w:hAnsiTheme="majorHAnsi"/>
          <w:sz w:val="24"/>
          <w:szCs w:val="24"/>
          <w:lang w:val="en-US"/>
        </w:rPr>
        <w:t>2001</w:t>
      </w:r>
      <w:r w:rsidR="00E9350F" w:rsidRPr="00F4013C">
        <w:rPr>
          <w:rFonts w:asciiTheme="majorHAnsi" w:hAnsiTheme="majorHAnsi"/>
          <w:sz w:val="24"/>
          <w:szCs w:val="24"/>
          <w:lang w:val="en-US"/>
        </w:rPr>
        <w:t>)</w:t>
      </w:r>
      <w:r w:rsidR="00A5151C" w:rsidRPr="00F4013C">
        <w:rPr>
          <w:rFonts w:asciiTheme="majorHAnsi" w:hAnsiTheme="majorHAnsi"/>
          <w:sz w:val="24"/>
          <w:szCs w:val="24"/>
          <w:lang w:val="en-US"/>
        </w:rPr>
        <w:t xml:space="preserve"> Editorial: Emotional geographies. </w:t>
      </w:r>
      <w:proofErr w:type="gramStart"/>
      <w:r w:rsidR="00A5151C" w:rsidRPr="00F4013C">
        <w:rPr>
          <w:rFonts w:asciiTheme="majorHAnsi" w:hAnsiTheme="majorHAnsi"/>
          <w:i/>
          <w:sz w:val="24"/>
          <w:szCs w:val="24"/>
          <w:lang w:val="en-US"/>
        </w:rPr>
        <w:t>Transactions of the Institute of British Geographer</w:t>
      </w:r>
      <w:r w:rsidR="007F6978" w:rsidRPr="00F4013C">
        <w:rPr>
          <w:rFonts w:asciiTheme="majorHAnsi" w:hAnsiTheme="majorHAnsi"/>
          <w:sz w:val="24"/>
          <w:szCs w:val="24"/>
          <w:lang w:val="en-US"/>
        </w:rPr>
        <w:t xml:space="preserve">s </w:t>
      </w:r>
      <w:r w:rsidR="00A5151C" w:rsidRPr="00F4013C">
        <w:rPr>
          <w:rFonts w:asciiTheme="majorHAnsi" w:hAnsiTheme="majorHAnsi"/>
          <w:sz w:val="24"/>
          <w:szCs w:val="24"/>
          <w:lang w:val="en-US"/>
        </w:rPr>
        <w:t>26(1): 7-10</w:t>
      </w:r>
      <w:r w:rsidR="007F6978" w:rsidRPr="00F4013C">
        <w:rPr>
          <w:rFonts w:asciiTheme="majorHAnsi" w:hAnsiTheme="majorHAnsi"/>
          <w:sz w:val="24"/>
          <w:szCs w:val="24"/>
          <w:lang w:val="en-US"/>
        </w:rPr>
        <w:t>.</w:t>
      </w:r>
      <w:proofErr w:type="gramEnd"/>
    </w:p>
    <w:p w14:paraId="30EBD7A9" w14:textId="10A740A0" w:rsidR="005325B3" w:rsidRPr="00F4013C" w:rsidRDefault="005325B3" w:rsidP="00F4013C">
      <w:pPr>
        <w:widowControl w:val="0"/>
        <w:autoSpaceDE w:val="0"/>
        <w:autoSpaceDN w:val="0"/>
        <w:adjustRightInd w:val="0"/>
        <w:spacing w:after="0" w:line="480" w:lineRule="auto"/>
        <w:rPr>
          <w:rFonts w:asciiTheme="majorHAnsi" w:hAnsiTheme="majorHAnsi" w:cs="Arial"/>
          <w:color w:val="1A1A1A"/>
          <w:sz w:val="24"/>
          <w:szCs w:val="24"/>
          <w:lang w:val="en-US"/>
        </w:rPr>
      </w:pPr>
      <w:proofErr w:type="gramStart"/>
      <w:r w:rsidRPr="00F4013C">
        <w:rPr>
          <w:rFonts w:asciiTheme="majorHAnsi" w:hAnsiTheme="majorHAnsi" w:cs="Arial"/>
          <w:color w:val="1A1A1A"/>
          <w:sz w:val="24"/>
          <w:szCs w:val="24"/>
          <w:lang w:val="en-US"/>
        </w:rPr>
        <w:t>Brown</w:t>
      </w:r>
      <w:r w:rsidR="004F3326" w:rsidRPr="00F4013C">
        <w:rPr>
          <w:rFonts w:asciiTheme="majorHAnsi" w:hAnsiTheme="majorHAnsi" w:cs="Arial"/>
          <w:color w:val="1A1A1A"/>
          <w:sz w:val="24"/>
          <w:szCs w:val="24"/>
          <w:lang w:val="en-US"/>
        </w:rPr>
        <w:t>low</w:t>
      </w:r>
      <w:r w:rsidRPr="00F4013C">
        <w:rPr>
          <w:rFonts w:asciiTheme="majorHAnsi" w:hAnsiTheme="majorHAnsi" w:cs="Arial"/>
          <w:color w:val="1A1A1A"/>
          <w:sz w:val="24"/>
          <w:szCs w:val="24"/>
          <w:lang w:val="en-US"/>
        </w:rPr>
        <w:t xml:space="preserve"> A</w:t>
      </w:r>
      <w:r w:rsidR="004F3326" w:rsidRPr="00F4013C">
        <w:rPr>
          <w:rFonts w:asciiTheme="majorHAnsi" w:hAnsiTheme="majorHAnsi" w:cs="Arial"/>
          <w:color w:val="1A1A1A"/>
          <w:sz w:val="24"/>
          <w:szCs w:val="24"/>
          <w:lang w:val="en-US"/>
        </w:rPr>
        <w:t xml:space="preserve"> </w:t>
      </w:r>
      <w:r w:rsidR="00E9350F" w:rsidRPr="00F4013C">
        <w:rPr>
          <w:rFonts w:asciiTheme="majorHAnsi" w:hAnsiTheme="majorHAnsi" w:cs="Arial"/>
          <w:color w:val="1A1A1A"/>
          <w:sz w:val="24"/>
          <w:szCs w:val="24"/>
          <w:lang w:val="en-US"/>
        </w:rPr>
        <w:t>(</w:t>
      </w:r>
      <w:r w:rsidR="004F3326" w:rsidRPr="00F4013C">
        <w:rPr>
          <w:rFonts w:asciiTheme="majorHAnsi" w:hAnsiTheme="majorHAnsi" w:cs="Arial"/>
          <w:color w:val="1A1A1A"/>
          <w:sz w:val="24"/>
          <w:szCs w:val="24"/>
          <w:lang w:val="en-US"/>
        </w:rPr>
        <w:t>2005</w:t>
      </w:r>
      <w:r w:rsidR="00E9350F" w:rsidRPr="00F4013C">
        <w:rPr>
          <w:rFonts w:asciiTheme="majorHAnsi" w:hAnsiTheme="majorHAnsi" w:cs="Arial"/>
          <w:color w:val="1A1A1A"/>
          <w:sz w:val="24"/>
          <w:szCs w:val="24"/>
          <w:lang w:val="en-US"/>
        </w:rPr>
        <w:t>)</w:t>
      </w:r>
      <w:r w:rsidR="004F3326" w:rsidRPr="00F4013C">
        <w:rPr>
          <w:rFonts w:asciiTheme="majorHAnsi" w:hAnsiTheme="majorHAnsi" w:cs="Arial"/>
          <w:color w:val="1A1A1A"/>
          <w:sz w:val="24"/>
          <w:szCs w:val="24"/>
          <w:lang w:val="en-US"/>
        </w:rPr>
        <w:t xml:space="preserve"> A geography of men's f</w:t>
      </w:r>
      <w:r w:rsidRPr="00F4013C">
        <w:rPr>
          <w:rFonts w:asciiTheme="majorHAnsi" w:hAnsiTheme="majorHAnsi" w:cs="Arial"/>
          <w:color w:val="1A1A1A"/>
          <w:sz w:val="24"/>
          <w:szCs w:val="24"/>
          <w:lang w:val="en-US"/>
        </w:rPr>
        <w:t>ear.</w:t>
      </w:r>
      <w:proofErr w:type="gramEnd"/>
      <w:r w:rsidRPr="00F4013C">
        <w:rPr>
          <w:rFonts w:asciiTheme="majorHAnsi" w:hAnsiTheme="majorHAnsi" w:cs="Arial"/>
          <w:color w:val="1A1A1A"/>
          <w:sz w:val="24"/>
          <w:szCs w:val="24"/>
          <w:lang w:val="en-US"/>
        </w:rPr>
        <w:t xml:space="preserve"> </w:t>
      </w:r>
      <w:proofErr w:type="spellStart"/>
      <w:r w:rsidRPr="00F4013C">
        <w:rPr>
          <w:rFonts w:asciiTheme="majorHAnsi" w:hAnsiTheme="majorHAnsi" w:cs="Arial"/>
          <w:i/>
          <w:iCs/>
          <w:color w:val="1A1A1A"/>
          <w:sz w:val="24"/>
          <w:szCs w:val="24"/>
          <w:lang w:val="en-US"/>
        </w:rPr>
        <w:t>Geoforum</w:t>
      </w:r>
      <w:proofErr w:type="spellEnd"/>
      <w:r w:rsidRPr="00F4013C">
        <w:rPr>
          <w:rFonts w:asciiTheme="majorHAnsi" w:hAnsiTheme="majorHAnsi" w:cs="Arial"/>
          <w:color w:val="1A1A1A"/>
          <w:sz w:val="24"/>
          <w:szCs w:val="24"/>
          <w:lang w:val="en-US"/>
        </w:rPr>
        <w:t xml:space="preserve"> 36</w:t>
      </w:r>
      <w:r w:rsidR="004F3326" w:rsidRPr="00F4013C">
        <w:rPr>
          <w:rFonts w:asciiTheme="majorHAnsi" w:hAnsiTheme="majorHAnsi" w:cs="Arial"/>
          <w:color w:val="1A1A1A"/>
          <w:sz w:val="24"/>
          <w:szCs w:val="24"/>
          <w:lang w:val="en-US"/>
        </w:rPr>
        <w:t>(5)</w:t>
      </w:r>
      <w:r w:rsidRPr="00F4013C">
        <w:rPr>
          <w:rFonts w:asciiTheme="majorHAnsi" w:hAnsiTheme="majorHAnsi" w:cs="Arial"/>
          <w:color w:val="1A1A1A"/>
          <w:sz w:val="24"/>
          <w:szCs w:val="24"/>
          <w:lang w:val="en-US"/>
        </w:rPr>
        <w:t>:</w:t>
      </w:r>
      <w:r w:rsidR="004F3326" w:rsidRPr="00F4013C">
        <w:rPr>
          <w:rFonts w:asciiTheme="majorHAnsi" w:hAnsiTheme="majorHAnsi" w:cs="Arial"/>
          <w:color w:val="1A1A1A"/>
          <w:sz w:val="24"/>
          <w:szCs w:val="24"/>
          <w:lang w:val="en-US"/>
        </w:rPr>
        <w:t xml:space="preserve"> </w:t>
      </w:r>
      <w:r w:rsidRPr="00F4013C">
        <w:rPr>
          <w:rFonts w:asciiTheme="majorHAnsi" w:hAnsiTheme="majorHAnsi" w:cs="Arial"/>
          <w:color w:val="1A1A1A"/>
          <w:sz w:val="24"/>
          <w:szCs w:val="24"/>
          <w:lang w:val="en-US"/>
        </w:rPr>
        <w:t>581-592</w:t>
      </w:r>
      <w:r w:rsidR="00161EB1" w:rsidRPr="00F4013C">
        <w:rPr>
          <w:rFonts w:asciiTheme="majorHAnsi" w:hAnsiTheme="majorHAnsi" w:cs="Arial"/>
          <w:color w:val="1A1A1A"/>
          <w:sz w:val="24"/>
          <w:szCs w:val="24"/>
          <w:lang w:val="en-US"/>
        </w:rPr>
        <w:t>.</w:t>
      </w:r>
    </w:p>
    <w:p w14:paraId="689149B4" w14:textId="77777777" w:rsidR="00CC73DE" w:rsidRPr="00F4013C" w:rsidRDefault="00CC73DE" w:rsidP="00F4013C">
      <w:pPr>
        <w:widowControl w:val="0"/>
        <w:autoSpaceDE w:val="0"/>
        <w:autoSpaceDN w:val="0"/>
        <w:adjustRightInd w:val="0"/>
        <w:spacing w:after="0" w:line="480" w:lineRule="auto"/>
        <w:rPr>
          <w:rFonts w:asciiTheme="majorHAnsi" w:hAnsiTheme="majorHAnsi" w:cs="Arial"/>
          <w:color w:val="1A1A1A"/>
          <w:sz w:val="24"/>
          <w:szCs w:val="24"/>
          <w:lang w:val="en-US"/>
        </w:rPr>
      </w:pPr>
    </w:p>
    <w:p w14:paraId="28C5621F" w14:textId="54772DD8" w:rsidR="00CC73DE" w:rsidRPr="00F4013C" w:rsidRDefault="004F3326" w:rsidP="00F4013C">
      <w:pPr>
        <w:widowControl w:val="0"/>
        <w:autoSpaceDE w:val="0"/>
        <w:autoSpaceDN w:val="0"/>
        <w:adjustRightInd w:val="0"/>
        <w:spacing w:after="0" w:line="480" w:lineRule="auto"/>
        <w:rPr>
          <w:rFonts w:asciiTheme="majorHAnsi" w:hAnsiTheme="majorHAnsi"/>
          <w:sz w:val="24"/>
          <w:szCs w:val="24"/>
        </w:rPr>
      </w:pPr>
      <w:r w:rsidRPr="00F4013C">
        <w:rPr>
          <w:rFonts w:asciiTheme="majorHAnsi" w:hAnsiTheme="majorHAnsi" w:cs="Arial"/>
          <w:sz w:val="24"/>
          <w:szCs w:val="24"/>
          <w:lang w:val="en-US"/>
        </w:rPr>
        <w:t xml:space="preserve">Cobbett M </w:t>
      </w:r>
      <w:r w:rsidR="00E9350F" w:rsidRPr="00F4013C">
        <w:rPr>
          <w:rFonts w:asciiTheme="majorHAnsi" w:hAnsiTheme="majorHAnsi" w:cs="Arial"/>
          <w:sz w:val="24"/>
          <w:szCs w:val="24"/>
          <w:lang w:val="en-US"/>
        </w:rPr>
        <w:t>(</w:t>
      </w:r>
      <w:r w:rsidRPr="00F4013C">
        <w:rPr>
          <w:rFonts w:asciiTheme="majorHAnsi" w:hAnsiTheme="majorHAnsi" w:cs="Arial"/>
          <w:sz w:val="24"/>
          <w:szCs w:val="24"/>
          <w:lang w:val="en-US"/>
        </w:rPr>
        <w:t>2015</w:t>
      </w:r>
      <w:r w:rsidR="00E9350F" w:rsidRPr="00F4013C">
        <w:rPr>
          <w:rFonts w:asciiTheme="majorHAnsi" w:hAnsiTheme="majorHAnsi" w:cs="Arial"/>
          <w:sz w:val="24"/>
          <w:szCs w:val="24"/>
          <w:lang w:val="en-US"/>
        </w:rPr>
        <w:t>)</w:t>
      </w:r>
      <w:r w:rsidR="00CC73DE" w:rsidRPr="00F4013C">
        <w:rPr>
          <w:rFonts w:asciiTheme="majorHAnsi" w:hAnsiTheme="majorHAnsi" w:cs="Arial"/>
          <w:sz w:val="24"/>
          <w:szCs w:val="24"/>
          <w:lang w:val="en-US"/>
        </w:rPr>
        <w:t xml:space="preserve"> </w:t>
      </w:r>
      <w:proofErr w:type="gramStart"/>
      <w:r w:rsidR="00534CCF" w:rsidRPr="00F4013C">
        <w:rPr>
          <w:rFonts w:asciiTheme="majorHAnsi" w:hAnsiTheme="majorHAnsi" w:cs="Arial"/>
          <w:sz w:val="24"/>
          <w:szCs w:val="24"/>
          <w:lang w:val="en-US"/>
        </w:rPr>
        <w:t>Empowering</w:t>
      </w:r>
      <w:proofErr w:type="gramEnd"/>
      <w:r w:rsidR="00534CCF" w:rsidRPr="00F4013C">
        <w:rPr>
          <w:rFonts w:asciiTheme="majorHAnsi" w:hAnsiTheme="majorHAnsi" w:cs="Arial"/>
          <w:sz w:val="24"/>
          <w:szCs w:val="24"/>
          <w:lang w:val="en-US"/>
        </w:rPr>
        <w:t xml:space="preserve"> girls to claim rights?</w:t>
      </w:r>
      <w:r w:rsidR="007F1251" w:rsidRPr="00F4013C">
        <w:rPr>
          <w:rFonts w:asciiTheme="majorHAnsi" w:hAnsiTheme="majorHAnsi" w:cs="Arial"/>
          <w:sz w:val="24"/>
          <w:szCs w:val="24"/>
          <w:lang w:val="en-US"/>
        </w:rPr>
        <w:t xml:space="preserve"> </w:t>
      </w:r>
      <w:proofErr w:type="gramStart"/>
      <w:r w:rsidR="007F1251" w:rsidRPr="00F4013C">
        <w:rPr>
          <w:rFonts w:asciiTheme="majorHAnsi" w:hAnsiTheme="majorHAnsi" w:cs="Arial"/>
          <w:sz w:val="24"/>
          <w:szCs w:val="24"/>
          <w:lang w:val="en-US"/>
        </w:rPr>
        <w:t>Non-formal education and the 'Stop the V</w:t>
      </w:r>
      <w:r w:rsidR="00534CCF" w:rsidRPr="00F4013C">
        <w:rPr>
          <w:rFonts w:asciiTheme="majorHAnsi" w:hAnsiTheme="majorHAnsi" w:cs="Arial"/>
          <w:sz w:val="24"/>
          <w:szCs w:val="24"/>
          <w:lang w:val="en-US"/>
        </w:rPr>
        <w:t>iolence</w:t>
      </w:r>
      <w:r w:rsidR="00765298" w:rsidRPr="00F4013C">
        <w:rPr>
          <w:rFonts w:asciiTheme="majorHAnsi" w:hAnsiTheme="majorHAnsi" w:cs="Arial"/>
          <w:sz w:val="24"/>
          <w:szCs w:val="24"/>
          <w:lang w:val="en-US"/>
        </w:rPr>
        <w:t>’</w:t>
      </w:r>
      <w:r w:rsidR="00534CCF" w:rsidRPr="00F4013C">
        <w:rPr>
          <w:rFonts w:asciiTheme="majorHAnsi" w:hAnsiTheme="majorHAnsi" w:cs="Arial"/>
          <w:sz w:val="24"/>
          <w:szCs w:val="24"/>
          <w:lang w:val="en-US"/>
        </w:rPr>
        <w:t xml:space="preserve"> campaign in Kenya.</w:t>
      </w:r>
      <w:proofErr w:type="gramEnd"/>
      <w:r w:rsidR="00534CCF" w:rsidRPr="00F4013C">
        <w:rPr>
          <w:rFonts w:asciiTheme="majorHAnsi" w:hAnsiTheme="majorHAnsi" w:cs="Arial"/>
          <w:sz w:val="24"/>
          <w:szCs w:val="24"/>
          <w:lang w:val="en-US"/>
        </w:rPr>
        <w:t xml:space="preserve"> </w:t>
      </w:r>
      <w:r w:rsidR="00BF50AD" w:rsidRPr="00F4013C">
        <w:rPr>
          <w:rFonts w:asciiTheme="majorHAnsi" w:hAnsiTheme="majorHAnsi" w:cs="Arial"/>
          <w:sz w:val="24"/>
          <w:szCs w:val="24"/>
          <w:lang w:val="en-US"/>
        </w:rPr>
        <w:t>PhD thesis: Royal Holloway, University of London.</w:t>
      </w:r>
    </w:p>
    <w:p w14:paraId="671E49AF" w14:textId="77777777" w:rsidR="00D069A7" w:rsidRPr="00F4013C" w:rsidRDefault="00D069A7" w:rsidP="00F4013C">
      <w:pPr>
        <w:widowControl w:val="0"/>
        <w:autoSpaceDE w:val="0"/>
        <w:autoSpaceDN w:val="0"/>
        <w:adjustRightInd w:val="0"/>
        <w:spacing w:after="0" w:line="480" w:lineRule="auto"/>
        <w:rPr>
          <w:rFonts w:asciiTheme="majorHAnsi" w:hAnsiTheme="majorHAnsi"/>
          <w:sz w:val="24"/>
          <w:szCs w:val="24"/>
        </w:rPr>
      </w:pPr>
    </w:p>
    <w:p w14:paraId="133C5919" w14:textId="62E4489F" w:rsidR="00D069A7" w:rsidRPr="00F4013C" w:rsidRDefault="00D069A7" w:rsidP="00F4013C">
      <w:pPr>
        <w:spacing w:line="480" w:lineRule="auto"/>
        <w:rPr>
          <w:rFonts w:asciiTheme="majorHAnsi" w:hAnsiTheme="majorHAnsi"/>
          <w:sz w:val="24"/>
          <w:szCs w:val="24"/>
          <w:lang w:val="en-US"/>
        </w:rPr>
      </w:pPr>
      <w:r w:rsidRPr="00F4013C">
        <w:rPr>
          <w:rFonts w:asciiTheme="majorHAnsi" w:hAnsiTheme="majorHAnsi"/>
          <w:sz w:val="24"/>
          <w:szCs w:val="24"/>
          <w:lang w:val="en-US"/>
        </w:rPr>
        <w:t xml:space="preserve">Cuomo D </w:t>
      </w:r>
      <w:r w:rsidR="00E9350F" w:rsidRPr="00F4013C">
        <w:rPr>
          <w:rFonts w:asciiTheme="majorHAnsi" w:hAnsiTheme="majorHAnsi"/>
          <w:sz w:val="24"/>
          <w:szCs w:val="24"/>
          <w:lang w:val="en-US"/>
        </w:rPr>
        <w:t>(</w:t>
      </w:r>
      <w:r w:rsidRPr="00F4013C">
        <w:rPr>
          <w:rFonts w:asciiTheme="majorHAnsi" w:hAnsiTheme="majorHAnsi"/>
          <w:sz w:val="24"/>
          <w:szCs w:val="24"/>
          <w:lang w:val="en-US"/>
        </w:rPr>
        <w:t>2013</w:t>
      </w:r>
      <w:r w:rsidR="00E9350F" w:rsidRPr="00F4013C">
        <w:rPr>
          <w:rFonts w:asciiTheme="majorHAnsi" w:hAnsiTheme="majorHAnsi"/>
          <w:sz w:val="24"/>
          <w:szCs w:val="24"/>
          <w:lang w:val="en-US"/>
        </w:rPr>
        <w:t>)</w:t>
      </w:r>
      <w:r w:rsidRPr="00F4013C">
        <w:rPr>
          <w:rFonts w:asciiTheme="majorHAnsi" w:hAnsiTheme="majorHAnsi"/>
          <w:sz w:val="24"/>
          <w:szCs w:val="24"/>
          <w:lang w:val="en-US"/>
        </w:rPr>
        <w:t xml:space="preserve"> Security and fear: the geopolitics of intimate partner violence policing</w:t>
      </w:r>
      <w:r w:rsidR="000A2670" w:rsidRPr="00F4013C">
        <w:rPr>
          <w:rFonts w:asciiTheme="majorHAnsi" w:hAnsiTheme="majorHAnsi"/>
          <w:sz w:val="24"/>
          <w:szCs w:val="24"/>
          <w:lang w:val="en-US"/>
        </w:rPr>
        <w:t>.</w:t>
      </w:r>
      <w:r w:rsidRPr="00F4013C">
        <w:rPr>
          <w:rFonts w:asciiTheme="majorHAnsi" w:hAnsiTheme="majorHAnsi"/>
          <w:sz w:val="24"/>
          <w:szCs w:val="24"/>
          <w:lang w:val="en-US"/>
        </w:rPr>
        <w:t xml:space="preserve"> </w:t>
      </w:r>
      <w:r w:rsidRPr="00F4013C">
        <w:rPr>
          <w:rFonts w:asciiTheme="majorHAnsi" w:hAnsiTheme="majorHAnsi"/>
          <w:i/>
          <w:sz w:val="24"/>
          <w:szCs w:val="24"/>
          <w:lang w:val="en-US"/>
        </w:rPr>
        <w:t>Geopolitics</w:t>
      </w:r>
      <w:r w:rsidR="004F3326" w:rsidRPr="00F4013C">
        <w:rPr>
          <w:rFonts w:asciiTheme="majorHAnsi" w:hAnsiTheme="majorHAnsi"/>
          <w:sz w:val="24"/>
          <w:szCs w:val="24"/>
          <w:lang w:val="en-US"/>
        </w:rPr>
        <w:t xml:space="preserve"> 18(</w:t>
      </w:r>
      <w:r w:rsidRPr="00F4013C">
        <w:rPr>
          <w:rFonts w:asciiTheme="majorHAnsi" w:hAnsiTheme="majorHAnsi"/>
          <w:sz w:val="24"/>
          <w:szCs w:val="24"/>
          <w:lang w:val="en-US"/>
        </w:rPr>
        <w:t>4</w:t>
      </w:r>
      <w:r w:rsidR="004F3326" w:rsidRPr="00F4013C">
        <w:rPr>
          <w:rFonts w:asciiTheme="majorHAnsi" w:hAnsiTheme="majorHAnsi"/>
          <w:sz w:val="24"/>
          <w:szCs w:val="24"/>
          <w:lang w:val="en-US"/>
        </w:rPr>
        <w:t>):</w:t>
      </w:r>
      <w:r w:rsidRPr="00F4013C">
        <w:rPr>
          <w:rFonts w:asciiTheme="majorHAnsi" w:hAnsiTheme="majorHAnsi"/>
          <w:sz w:val="24"/>
          <w:szCs w:val="24"/>
          <w:lang w:val="en-US"/>
        </w:rPr>
        <w:t xml:space="preserve"> 856-874</w:t>
      </w:r>
      <w:r w:rsidR="00F805DF" w:rsidRPr="00F4013C">
        <w:rPr>
          <w:rFonts w:asciiTheme="majorHAnsi" w:hAnsiTheme="majorHAnsi"/>
          <w:sz w:val="24"/>
          <w:szCs w:val="24"/>
          <w:lang w:val="en-US"/>
        </w:rPr>
        <w:t>.</w:t>
      </w:r>
    </w:p>
    <w:p w14:paraId="19A3431F" w14:textId="4EE80D9F" w:rsidR="0087488D" w:rsidRPr="00F4013C" w:rsidRDefault="0087488D" w:rsidP="00F4013C">
      <w:pPr>
        <w:spacing w:line="480" w:lineRule="auto"/>
        <w:rPr>
          <w:rFonts w:asciiTheme="majorHAnsi" w:hAnsiTheme="majorHAnsi"/>
          <w:sz w:val="24"/>
          <w:szCs w:val="24"/>
          <w:lang w:val="en-US"/>
        </w:rPr>
      </w:pPr>
      <w:r w:rsidRPr="00F4013C">
        <w:rPr>
          <w:rFonts w:asciiTheme="majorHAnsi" w:hAnsiTheme="majorHAnsi"/>
          <w:sz w:val="24"/>
          <w:szCs w:val="24"/>
          <w:lang w:val="en-US"/>
        </w:rPr>
        <w:lastRenderedPageBreak/>
        <w:t xml:space="preserve">Hearn J </w:t>
      </w:r>
      <w:r w:rsidR="00E9350F" w:rsidRPr="00F4013C">
        <w:rPr>
          <w:rFonts w:asciiTheme="majorHAnsi" w:hAnsiTheme="majorHAnsi"/>
          <w:sz w:val="24"/>
          <w:szCs w:val="24"/>
          <w:lang w:val="en-US"/>
        </w:rPr>
        <w:t>(</w:t>
      </w:r>
      <w:r w:rsidRPr="00F4013C">
        <w:rPr>
          <w:rFonts w:asciiTheme="majorHAnsi" w:hAnsiTheme="majorHAnsi"/>
          <w:sz w:val="24"/>
          <w:szCs w:val="24"/>
          <w:lang w:val="en-US"/>
        </w:rPr>
        <w:t>2012</w:t>
      </w:r>
      <w:r w:rsidR="00E9350F" w:rsidRPr="00F4013C">
        <w:rPr>
          <w:rFonts w:asciiTheme="majorHAnsi" w:hAnsiTheme="majorHAnsi"/>
          <w:sz w:val="24"/>
          <w:szCs w:val="24"/>
          <w:lang w:val="en-US"/>
        </w:rPr>
        <w:t>)</w:t>
      </w:r>
      <w:r w:rsidRPr="00F4013C">
        <w:rPr>
          <w:rFonts w:asciiTheme="majorHAnsi" w:hAnsiTheme="majorHAnsi"/>
          <w:sz w:val="24"/>
          <w:szCs w:val="24"/>
          <w:lang w:val="en-US"/>
        </w:rPr>
        <w:t xml:space="preserve"> The sociological significance of domestic violence: Tensions, paradoxes and implications</w:t>
      </w:r>
      <w:r w:rsidR="000A2670" w:rsidRPr="00F4013C">
        <w:rPr>
          <w:rFonts w:asciiTheme="majorHAnsi" w:hAnsiTheme="majorHAnsi"/>
          <w:sz w:val="24"/>
          <w:szCs w:val="24"/>
          <w:lang w:val="en-US"/>
        </w:rPr>
        <w:t>.</w:t>
      </w:r>
      <w:r w:rsidRPr="00F4013C">
        <w:rPr>
          <w:rFonts w:asciiTheme="majorHAnsi" w:hAnsiTheme="majorHAnsi"/>
          <w:sz w:val="24"/>
          <w:szCs w:val="24"/>
          <w:lang w:val="en-US"/>
        </w:rPr>
        <w:t xml:space="preserve"> </w:t>
      </w:r>
      <w:r w:rsidRPr="00F4013C">
        <w:rPr>
          <w:rFonts w:asciiTheme="majorHAnsi" w:hAnsiTheme="majorHAnsi"/>
          <w:i/>
          <w:sz w:val="24"/>
          <w:szCs w:val="24"/>
          <w:lang w:val="en-US"/>
        </w:rPr>
        <w:t>Current Sociology</w:t>
      </w:r>
      <w:r w:rsidR="000A2670" w:rsidRPr="00F4013C">
        <w:rPr>
          <w:rFonts w:asciiTheme="majorHAnsi" w:hAnsiTheme="majorHAnsi"/>
          <w:sz w:val="24"/>
          <w:szCs w:val="24"/>
          <w:lang w:val="en-US"/>
        </w:rPr>
        <w:t xml:space="preserve"> 61(</w:t>
      </w:r>
      <w:r w:rsidRPr="00F4013C">
        <w:rPr>
          <w:rFonts w:asciiTheme="majorHAnsi" w:hAnsiTheme="majorHAnsi"/>
          <w:sz w:val="24"/>
          <w:szCs w:val="24"/>
          <w:lang w:val="en-US"/>
        </w:rPr>
        <w:t>2</w:t>
      </w:r>
      <w:r w:rsidR="000A2670" w:rsidRPr="00F4013C">
        <w:rPr>
          <w:rFonts w:asciiTheme="majorHAnsi" w:hAnsiTheme="majorHAnsi"/>
          <w:sz w:val="24"/>
          <w:szCs w:val="24"/>
          <w:lang w:val="en-US"/>
        </w:rPr>
        <w:t>):</w:t>
      </w:r>
      <w:r w:rsidR="003176AF" w:rsidRPr="00F4013C">
        <w:rPr>
          <w:rFonts w:asciiTheme="majorHAnsi" w:hAnsiTheme="majorHAnsi"/>
          <w:sz w:val="24"/>
          <w:szCs w:val="24"/>
          <w:lang w:val="en-US"/>
        </w:rPr>
        <w:t xml:space="preserve"> </w:t>
      </w:r>
      <w:r w:rsidRPr="00F4013C">
        <w:rPr>
          <w:rFonts w:asciiTheme="majorHAnsi" w:hAnsiTheme="majorHAnsi"/>
          <w:sz w:val="24"/>
          <w:szCs w:val="24"/>
          <w:lang w:val="en-US"/>
        </w:rPr>
        <w:t>152-170</w:t>
      </w:r>
      <w:r w:rsidR="000A2670" w:rsidRPr="00F4013C">
        <w:rPr>
          <w:rFonts w:asciiTheme="majorHAnsi" w:hAnsiTheme="majorHAnsi"/>
          <w:sz w:val="24"/>
          <w:szCs w:val="24"/>
          <w:lang w:val="en-US"/>
        </w:rPr>
        <w:t>.</w:t>
      </w:r>
    </w:p>
    <w:p w14:paraId="01277870" w14:textId="1EA28D20" w:rsidR="004A37FB" w:rsidRPr="00F4013C" w:rsidRDefault="004D210E" w:rsidP="00F4013C">
      <w:pPr>
        <w:widowControl w:val="0"/>
        <w:autoSpaceDE w:val="0"/>
        <w:autoSpaceDN w:val="0"/>
        <w:adjustRightInd w:val="0"/>
        <w:spacing w:after="0" w:line="480" w:lineRule="auto"/>
        <w:rPr>
          <w:rFonts w:asciiTheme="majorHAnsi" w:hAnsiTheme="majorHAnsi"/>
          <w:sz w:val="24"/>
          <w:szCs w:val="24"/>
        </w:rPr>
      </w:pPr>
      <w:r w:rsidRPr="00F4013C">
        <w:rPr>
          <w:rFonts w:asciiTheme="majorHAnsi" w:hAnsiTheme="majorHAnsi"/>
          <w:sz w:val="24"/>
          <w:szCs w:val="24"/>
        </w:rPr>
        <w:t xml:space="preserve">McIllwaine C </w:t>
      </w:r>
      <w:r w:rsidR="00E9350F" w:rsidRPr="00F4013C">
        <w:rPr>
          <w:rFonts w:asciiTheme="majorHAnsi" w:hAnsiTheme="majorHAnsi"/>
          <w:sz w:val="24"/>
          <w:szCs w:val="24"/>
        </w:rPr>
        <w:t>(</w:t>
      </w:r>
      <w:r w:rsidRPr="00F4013C">
        <w:rPr>
          <w:rFonts w:asciiTheme="majorHAnsi" w:hAnsiTheme="majorHAnsi"/>
          <w:sz w:val="24"/>
          <w:szCs w:val="24"/>
        </w:rPr>
        <w:t>2013</w:t>
      </w:r>
      <w:r w:rsidR="00E9350F" w:rsidRPr="00F4013C">
        <w:rPr>
          <w:rFonts w:asciiTheme="majorHAnsi" w:hAnsiTheme="majorHAnsi"/>
          <w:sz w:val="24"/>
          <w:szCs w:val="24"/>
        </w:rPr>
        <w:t>)</w:t>
      </w:r>
      <w:r w:rsidRPr="00F4013C">
        <w:rPr>
          <w:rFonts w:asciiTheme="majorHAnsi" w:hAnsiTheme="majorHAnsi"/>
          <w:sz w:val="24"/>
          <w:szCs w:val="24"/>
        </w:rPr>
        <w:t xml:space="preserve"> Urbanization and gender-based violence: exploring the paradoxes in the global south. </w:t>
      </w:r>
      <w:r w:rsidRPr="00F4013C">
        <w:rPr>
          <w:rFonts w:asciiTheme="majorHAnsi" w:hAnsiTheme="majorHAnsi"/>
          <w:i/>
          <w:sz w:val="24"/>
          <w:szCs w:val="24"/>
        </w:rPr>
        <w:t>Environment and Urbanization</w:t>
      </w:r>
      <w:r w:rsidRPr="00F4013C">
        <w:rPr>
          <w:rFonts w:asciiTheme="majorHAnsi" w:hAnsiTheme="majorHAnsi"/>
          <w:sz w:val="24"/>
          <w:szCs w:val="24"/>
        </w:rPr>
        <w:t xml:space="preserve"> 25(1): 65-79.</w:t>
      </w:r>
    </w:p>
    <w:p w14:paraId="63AB03E5" w14:textId="77777777" w:rsidR="003A0921" w:rsidRPr="00F4013C" w:rsidRDefault="003A0921" w:rsidP="00F4013C">
      <w:pPr>
        <w:widowControl w:val="0"/>
        <w:autoSpaceDE w:val="0"/>
        <w:autoSpaceDN w:val="0"/>
        <w:adjustRightInd w:val="0"/>
        <w:spacing w:after="0" w:line="480" w:lineRule="auto"/>
        <w:rPr>
          <w:rFonts w:asciiTheme="majorHAnsi" w:hAnsiTheme="majorHAnsi"/>
          <w:sz w:val="24"/>
          <w:szCs w:val="24"/>
        </w:rPr>
      </w:pPr>
    </w:p>
    <w:p w14:paraId="32C14FAC" w14:textId="7BA9151E" w:rsidR="003A0921" w:rsidRPr="00F4013C" w:rsidRDefault="003564E5" w:rsidP="00F4013C">
      <w:pPr>
        <w:widowControl w:val="0"/>
        <w:autoSpaceDE w:val="0"/>
        <w:autoSpaceDN w:val="0"/>
        <w:adjustRightInd w:val="0"/>
        <w:spacing w:after="0" w:line="480" w:lineRule="auto"/>
        <w:rPr>
          <w:rFonts w:asciiTheme="majorHAnsi" w:hAnsiTheme="majorHAnsi"/>
          <w:sz w:val="24"/>
          <w:szCs w:val="24"/>
        </w:rPr>
      </w:pPr>
      <w:r w:rsidRPr="00F4013C">
        <w:rPr>
          <w:rFonts w:asciiTheme="majorHAnsi" w:hAnsiTheme="majorHAnsi"/>
          <w:sz w:val="24"/>
          <w:szCs w:val="24"/>
        </w:rPr>
        <w:t>Mehta</w:t>
      </w:r>
      <w:r w:rsidR="00662C37" w:rsidRPr="00F4013C">
        <w:rPr>
          <w:rFonts w:asciiTheme="majorHAnsi" w:hAnsiTheme="majorHAnsi"/>
          <w:sz w:val="24"/>
          <w:szCs w:val="24"/>
        </w:rPr>
        <w:t xml:space="preserve"> A and Bondi </w:t>
      </w:r>
      <w:r w:rsidR="003A0921" w:rsidRPr="00F4013C">
        <w:rPr>
          <w:rFonts w:asciiTheme="majorHAnsi" w:hAnsiTheme="majorHAnsi"/>
          <w:sz w:val="24"/>
          <w:szCs w:val="24"/>
        </w:rPr>
        <w:t xml:space="preserve">L </w:t>
      </w:r>
      <w:r w:rsidR="00E9350F" w:rsidRPr="00F4013C">
        <w:rPr>
          <w:rFonts w:asciiTheme="majorHAnsi" w:hAnsiTheme="majorHAnsi"/>
          <w:sz w:val="24"/>
          <w:szCs w:val="24"/>
        </w:rPr>
        <w:t>(</w:t>
      </w:r>
      <w:r w:rsidR="003A0921" w:rsidRPr="00F4013C">
        <w:rPr>
          <w:rFonts w:asciiTheme="majorHAnsi" w:hAnsiTheme="majorHAnsi"/>
          <w:sz w:val="24"/>
          <w:szCs w:val="24"/>
        </w:rPr>
        <w:t>1999</w:t>
      </w:r>
      <w:r w:rsidR="00E9350F" w:rsidRPr="00F4013C">
        <w:rPr>
          <w:rFonts w:asciiTheme="majorHAnsi" w:hAnsiTheme="majorHAnsi"/>
          <w:sz w:val="24"/>
          <w:szCs w:val="24"/>
        </w:rPr>
        <w:t>)</w:t>
      </w:r>
      <w:r w:rsidR="003A0921" w:rsidRPr="00F4013C">
        <w:rPr>
          <w:rFonts w:asciiTheme="majorHAnsi" w:hAnsiTheme="majorHAnsi"/>
          <w:sz w:val="24"/>
          <w:szCs w:val="24"/>
        </w:rPr>
        <w:t xml:space="preserve"> Embodied discourse:</w:t>
      </w:r>
      <w:r w:rsidRPr="00F4013C">
        <w:rPr>
          <w:rFonts w:asciiTheme="majorHAnsi" w:hAnsiTheme="majorHAnsi"/>
          <w:sz w:val="24"/>
          <w:szCs w:val="24"/>
        </w:rPr>
        <w:t xml:space="preserve"> on gender and fear of violence.</w:t>
      </w:r>
      <w:r w:rsidR="003A0921" w:rsidRPr="00F4013C">
        <w:rPr>
          <w:rFonts w:asciiTheme="majorHAnsi" w:hAnsiTheme="majorHAnsi"/>
          <w:sz w:val="24"/>
          <w:szCs w:val="24"/>
        </w:rPr>
        <w:t xml:space="preserve"> </w:t>
      </w:r>
      <w:r w:rsidR="003A0921" w:rsidRPr="00F4013C">
        <w:rPr>
          <w:rFonts w:asciiTheme="majorHAnsi" w:hAnsiTheme="majorHAnsi"/>
          <w:i/>
          <w:sz w:val="24"/>
          <w:szCs w:val="24"/>
        </w:rPr>
        <w:t>Gender, Place and Culture</w:t>
      </w:r>
      <w:r w:rsidRPr="00F4013C">
        <w:rPr>
          <w:rFonts w:asciiTheme="majorHAnsi" w:hAnsiTheme="majorHAnsi"/>
          <w:sz w:val="24"/>
          <w:szCs w:val="24"/>
        </w:rPr>
        <w:t xml:space="preserve"> 6 (1):</w:t>
      </w:r>
      <w:r w:rsidR="003A0921" w:rsidRPr="00F4013C">
        <w:rPr>
          <w:rFonts w:asciiTheme="majorHAnsi" w:hAnsiTheme="majorHAnsi"/>
          <w:sz w:val="24"/>
          <w:szCs w:val="24"/>
        </w:rPr>
        <w:t xml:space="preserve"> 67-84</w:t>
      </w:r>
      <w:r w:rsidRPr="00F4013C">
        <w:rPr>
          <w:rFonts w:asciiTheme="majorHAnsi" w:hAnsiTheme="majorHAnsi"/>
          <w:sz w:val="24"/>
          <w:szCs w:val="24"/>
        </w:rPr>
        <w:t>.</w:t>
      </w:r>
    </w:p>
    <w:p w14:paraId="2BC0BADC" w14:textId="77777777" w:rsidR="001772D3" w:rsidRPr="00F4013C" w:rsidRDefault="001772D3" w:rsidP="00F4013C">
      <w:pPr>
        <w:widowControl w:val="0"/>
        <w:autoSpaceDE w:val="0"/>
        <w:autoSpaceDN w:val="0"/>
        <w:adjustRightInd w:val="0"/>
        <w:spacing w:after="0" w:line="480" w:lineRule="auto"/>
        <w:rPr>
          <w:rFonts w:asciiTheme="majorHAnsi" w:hAnsiTheme="majorHAnsi"/>
          <w:sz w:val="24"/>
          <w:szCs w:val="24"/>
        </w:rPr>
      </w:pPr>
    </w:p>
    <w:p w14:paraId="1BCD475E" w14:textId="4902BD4F" w:rsidR="001772D3" w:rsidRPr="00F4013C" w:rsidRDefault="00662C37" w:rsidP="00F4013C">
      <w:pPr>
        <w:autoSpaceDE w:val="0"/>
        <w:autoSpaceDN w:val="0"/>
        <w:adjustRightInd w:val="0"/>
        <w:spacing w:after="0" w:line="480" w:lineRule="auto"/>
        <w:rPr>
          <w:rFonts w:asciiTheme="majorHAnsi" w:hAnsiTheme="majorHAnsi"/>
          <w:sz w:val="24"/>
          <w:szCs w:val="24"/>
        </w:rPr>
      </w:pPr>
      <w:r w:rsidRPr="00F4013C">
        <w:rPr>
          <w:rFonts w:asciiTheme="majorHAnsi" w:hAnsiTheme="majorHAnsi"/>
          <w:sz w:val="24"/>
          <w:szCs w:val="24"/>
        </w:rPr>
        <w:t>Pain</w:t>
      </w:r>
      <w:r w:rsidR="001772D3" w:rsidRPr="00F4013C">
        <w:rPr>
          <w:rFonts w:asciiTheme="majorHAnsi" w:hAnsiTheme="majorHAnsi"/>
          <w:sz w:val="24"/>
          <w:szCs w:val="24"/>
        </w:rPr>
        <w:t xml:space="preserve"> R </w:t>
      </w:r>
      <w:r w:rsidR="00E9350F" w:rsidRPr="00F4013C">
        <w:rPr>
          <w:rFonts w:asciiTheme="majorHAnsi" w:hAnsiTheme="majorHAnsi"/>
          <w:sz w:val="24"/>
          <w:szCs w:val="24"/>
        </w:rPr>
        <w:t>(</w:t>
      </w:r>
      <w:r w:rsidR="001772D3" w:rsidRPr="00F4013C">
        <w:rPr>
          <w:rFonts w:asciiTheme="majorHAnsi" w:hAnsiTheme="majorHAnsi"/>
          <w:sz w:val="24"/>
          <w:szCs w:val="24"/>
        </w:rPr>
        <w:t>1991</w:t>
      </w:r>
      <w:r w:rsidR="00E9350F" w:rsidRPr="00F4013C">
        <w:rPr>
          <w:rFonts w:asciiTheme="majorHAnsi" w:hAnsiTheme="majorHAnsi"/>
          <w:sz w:val="24"/>
          <w:szCs w:val="24"/>
        </w:rPr>
        <w:t>)</w:t>
      </w:r>
      <w:r w:rsidR="001772D3" w:rsidRPr="00F4013C">
        <w:rPr>
          <w:rFonts w:asciiTheme="majorHAnsi" w:hAnsiTheme="majorHAnsi"/>
          <w:sz w:val="24"/>
          <w:szCs w:val="24"/>
        </w:rPr>
        <w:t xml:space="preserve"> Space, sexual violence and social control: integrating geographical and feminist an</w:t>
      </w:r>
      <w:r w:rsidRPr="00F4013C">
        <w:rPr>
          <w:rFonts w:asciiTheme="majorHAnsi" w:hAnsiTheme="majorHAnsi"/>
          <w:sz w:val="24"/>
          <w:szCs w:val="24"/>
        </w:rPr>
        <w:t>alyses of women’s fear of crime.</w:t>
      </w:r>
      <w:r w:rsidR="001772D3" w:rsidRPr="00F4013C">
        <w:rPr>
          <w:rFonts w:asciiTheme="majorHAnsi" w:hAnsiTheme="majorHAnsi"/>
          <w:sz w:val="24"/>
          <w:szCs w:val="24"/>
        </w:rPr>
        <w:t xml:space="preserve"> </w:t>
      </w:r>
      <w:proofErr w:type="gramStart"/>
      <w:r w:rsidR="001772D3" w:rsidRPr="00F4013C">
        <w:rPr>
          <w:rFonts w:asciiTheme="majorHAnsi" w:hAnsiTheme="majorHAnsi"/>
          <w:i/>
          <w:iCs/>
          <w:sz w:val="24"/>
          <w:szCs w:val="24"/>
        </w:rPr>
        <w:t>Progress in Human Geography</w:t>
      </w:r>
      <w:r w:rsidRPr="00F4013C">
        <w:rPr>
          <w:rFonts w:asciiTheme="majorHAnsi" w:hAnsiTheme="majorHAnsi"/>
          <w:sz w:val="24"/>
          <w:szCs w:val="24"/>
        </w:rPr>
        <w:t xml:space="preserve"> 15: </w:t>
      </w:r>
      <w:r w:rsidR="001772D3" w:rsidRPr="00F4013C">
        <w:rPr>
          <w:rFonts w:asciiTheme="majorHAnsi" w:hAnsiTheme="majorHAnsi"/>
          <w:sz w:val="24"/>
          <w:szCs w:val="24"/>
        </w:rPr>
        <w:t>415–431.</w:t>
      </w:r>
      <w:proofErr w:type="gramEnd"/>
    </w:p>
    <w:p w14:paraId="36C7FAA1" w14:textId="77777777" w:rsidR="001772D3" w:rsidRPr="00F4013C" w:rsidRDefault="001772D3" w:rsidP="00F4013C">
      <w:pPr>
        <w:widowControl w:val="0"/>
        <w:autoSpaceDE w:val="0"/>
        <w:autoSpaceDN w:val="0"/>
        <w:adjustRightInd w:val="0"/>
        <w:spacing w:after="0" w:line="480" w:lineRule="auto"/>
        <w:rPr>
          <w:rFonts w:asciiTheme="majorHAnsi" w:hAnsiTheme="majorHAnsi"/>
          <w:sz w:val="24"/>
          <w:szCs w:val="24"/>
          <w:lang w:val="en-US"/>
        </w:rPr>
      </w:pPr>
    </w:p>
    <w:p w14:paraId="30E6D03A" w14:textId="554E4135" w:rsidR="001772D3" w:rsidRPr="00F4013C" w:rsidRDefault="001772D3" w:rsidP="00F4013C">
      <w:pPr>
        <w:widowControl w:val="0"/>
        <w:autoSpaceDE w:val="0"/>
        <w:autoSpaceDN w:val="0"/>
        <w:adjustRightInd w:val="0"/>
        <w:spacing w:after="0" w:line="480" w:lineRule="auto"/>
        <w:rPr>
          <w:rFonts w:asciiTheme="majorHAnsi" w:hAnsiTheme="majorHAnsi"/>
          <w:sz w:val="24"/>
          <w:szCs w:val="24"/>
          <w:lang w:val="en-US"/>
        </w:rPr>
      </w:pPr>
      <w:r w:rsidRPr="00F4013C">
        <w:rPr>
          <w:rFonts w:asciiTheme="majorHAnsi" w:hAnsiTheme="majorHAnsi"/>
          <w:sz w:val="24"/>
          <w:szCs w:val="24"/>
          <w:lang w:val="en-US"/>
        </w:rPr>
        <w:t xml:space="preserve">Pain R </w:t>
      </w:r>
      <w:r w:rsidR="00E9350F" w:rsidRPr="00F4013C">
        <w:rPr>
          <w:rFonts w:asciiTheme="majorHAnsi" w:hAnsiTheme="majorHAnsi"/>
          <w:sz w:val="24"/>
          <w:szCs w:val="24"/>
          <w:lang w:val="en-US"/>
        </w:rPr>
        <w:t>(</w:t>
      </w:r>
      <w:r w:rsidRPr="00F4013C">
        <w:rPr>
          <w:rFonts w:asciiTheme="majorHAnsi" w:hAnsiTheme="majorHAnsi"/>
          <w:sz w:val="24"/>
          <w:szCs w:val="24"/>
          <w:lang w:val="en-US"/>
        </w:rPr>
        <w:t>2014a</w:t>
      </w:r>
      <w:r w:rsidR="00E9350F" w:rsidRPr="00F4013C">
        <w:rPr>
          <w:rFonts w:asciiTheme="majorHAnsi" w:hAnsiTheme="majorHAnsi"/>
          <w:sz w:val="24"/>
          <w:szCs w:val="24"/>
          <w:lang w:val="en-US"/>
        </w:rPr>
        <w:t>)</w:t>
      </w:r>
      <w:r w:rsidRPr="00F4013C">
        <w:rPr>
          <w:rFonts w:asciiTheme="majorHAnsi" w:hAnsiTheme="majorHAnsi"/>
          <w:sz w:val="24"/>
          <w:szCs w:val="24"/>
          <w:lang w:val="en-US"/>
        </w:rPr>
        <w:t xml:space="preserve"> </w:t>
      </w:r>
      <w:proofErr w:type="spellStart"/>
      <w:r w:rsidRPr="00F4013C">
        <w:rPr>
          <w:rFonts w:asciiTheme="majorHAnsi" w:hAnsiTheme="majorHAnsi"/>
          <w:sz w:val="24"/>
          <w:szCs w:val="24"/>
          <w:lang w:val="en-US"/>
        </w:rPr>
        <w:t>Seismologies</w:t>
      </w:r>
      <w:proofErr w:type="spellEnd"/>
      <w:r w:rsidRPr="00F4013C">
        <w:rPr>
          <w:rFonts w:asciiTheme="majorHAnsi" w:hAnsiTheme="majorHAnsi"/>
          <w:sz w:val="24"/>
          <w:szCs w:val="24"/>
          <w:lang w:val="en-US"/>
        </w:rPr>
        <w:t xml:space="preserve"> of emotion: fear and </w:t>
      </w:r>
      <w:proofErr w:type="spellStart"/>
      <w:r w:rsidRPr="00F4013C">
        <w:rPr>
          <w:rFonts w:asciiTheme="majorHAnsi" w:hAnsiTheme="majorHAnsi"/>
          <w:sz w:val="24"/>
          <w:szCs w:val="24"/>
          <w:lang w:val="en-US"/>
        </w:rPr>
        <w:t>activisim</w:t>
      </w:r>
      <w:proofErr w:type="spellEnd"/>
      <w:r w:rsidRPr="00F4013C">
        <w:rPr>
          <w:rFonts w:asciiTheme="majorHAnsi" w:hAnsiTheme="majorHAnsi"/>
          <w:sz w:val="24"/>
          <w:szCs w:val="24"/>
          <w:lang w:val="en-US"/>
        </w:rPr>
        <w:t xml:space="preserve"> during domestic violenc</w:t>
      </w:r>
      <w:r w:rsidR="00662C37" w:rsidRPr="00F4013C">
        <w:rPr>
          <w:rFonts w:asciiTheme="majorHAnsi" w:hAnsiTheme="majorHAnsi"/>
          <w:sz w:val="24"/>
          <w:szCs w:val="24"/>
          <w:lang w:val="en-US"/>
        </w:rPr>
        <w:t>e.</w:t>
      </w:r>
      <w:r w:rsidRPr="00F4013C">
        <w:rPr>
          <w:rFonts w:asciiTheme="majorHAnsi" w:hAnsiTheme="majorHAnsi"/>
          <w:sz w:val="24"/>
          <w:szCs w:val="24"/>
          <w:lang w:val="en-US"/>
        </w:rPr>
        <w:t xml:space="preserve"> </w:t>
      </w:r>
      <w:r w:rsidRPr="00F4013C">
        <w:rPr>
          <w:rFonts w:asciiTheme="majorHAnsi" w:hAnsiTheme="majorHAnsi"/>
          <w:i/>
          <w:sz w:val="24"/>
          <w:szCs w:val="24"/>
          <w:lang w:val="en-US"/>
        </w:rPr>
        <w:t>Social and Cultural Geography</w:t>
      </w:r>
      <w:r w:rsidR="00662C37" w:rsidRPr="00F4013C">
        <w:rPr>
          <w:rFonts w:asciiTheme="majorHAnsi" w:hAnsiTheme="majorHAnsi"/>
          <w:sz w:val="24"/>
          <w:szCs w:val="24"/>
          <w:lang w:val="en-US"/>
        </w:rPr>
        <w:t xml:space="preserve"> 15 (2):</w:t>
      </w:r>
      <w:r w:rsidRPr="00F4013C">
        <w:rPr>
          <w:rFonts w:asciiTheme="majorHAnsi" w:hAnsiTheme="majorHAnsi"/>
          <w:sz w:val="24"/>
          <w:szCs w:val="24"/>
          <w:lang w:val="en-US"/>
        </w:rPr>
        <w:t xml:space="preserve"> 127-150.</w:t>
      </w:r>
    </w:p>
    <w:p w14:paraId="3C3E7E02" w14:textId="77777777" w:rsidR="001772D3" w:rsidRPr="00F4013C" w:rsidRDefault="001772D3" w:rsidP="00F4013C">
      <w:pPr>
        <w:widowControl w:val="0"/>
        <w:autoSpaceDE w:val="0"/>
        <w:autoSpaceDN w:val="0"/>
        <w:adjustRightInd w:val="0"/>
        <w:spacing w:after="0" w:line="480" w:lineRule="auto"/>
        <w:rPr>
          <w:rFonts w:asciiTheme="majorHAnsi" w:hAnsiTheme="majorHAnsi"/>
          <w:sz w:val="24"/>
          <w:szCs w:val="24"/>
          <w:lang w:val="en-US"/>
        </w:rPr>
      </w:pPr>
    </w:p>
    <w:p w14:paraId="30E5EB3D" w14:textId="2210510C" w:rsidR="007B5117" w:rsidRPr="00F4013C" w:rsidRDefault="004A37FB" w:rsidP="00F4013C">
      <w:pPr>
        <w:widowControl w:val="0"/>
        <w:autoSpaceDE w:val="0"/>
        <w:autoSpaceDN w:val="0"/>
        <w:adjustRightInd w:val="0"/>
        <w:spacing w:after="0" w:line="480" w:lineRule="auto"/>
        <w:rPr>
          <w:rFonts w:asciiTheme="majorHAnsi" w:hAnsiTheme="majorHAnsi"/>
          <w:sz w:val="24"/>
          <w:szCs w:val="24"/>
          <w:lang w:val="en-US"/>
        </w:rPr>
      </w:pPr>
      <w:r w:rsidRPr="00F4013C">
        <w:rPr>
          <w:rFonts w:asciiTheme="majorHAnsi" w:hAnsiTheme="majorHAnsi"/>
          <w:sz w:val="24"/>
          <w:szCs w:val="24"/>
          <w:lang w:val="en-US"/>
        </w:rPr>
        <w:t xml:space="preserve">Pain R </w:t>
      </w:r>
      <w:r w:rsidR="00E9350F" w:rsidRPr="00F4013C">
        <w:rPr>
          <w:rFonts w:asciiTheme="majorHAnsi" w:hAnsiTheme="majorHAnsi"/>
          <w:sz w:val="24"/>
          <w:szCs w:val="24"/>
          <w:lang w:val="en-US"/>
        </w:rPr>
        <w:t>(</w:t>
      </w:r>
      <w:r w:rsidR="000A2670" w:rsidRPr="00F4013C">
        <w:rPr>
          <w:rFonts w:asciiTheme="majorHAnsi" w:hAnsiTheme="majorHAnsi"/>
          <w:sz w:val="24"/>
          <w:szCs w:val="24"/>
          <w:lang w:val="en-US"/>
        </w:rPr>
        <w:t>2014</w:t>
      </w:r>
      <w:r w:rsidR="001772D3" w:rsidRPr="00F4013C">
        <w:rPr>
          <w:rFonts w:asciiTheme="majorHAnsi" w:hAnsiTheme="majorHAnsi"/>
          <w:sz w:val="24"/>
          <w:szCs w:val="24"/>
          <w:lang w:val="en-US"/>
        </w:rPr>
        <w:t>b</w:t>
      </w:r>
      <w:r w:rsidR="00E9350F" w:rsidRPr="00F4013C">
        <w:rPr>
          <w:rFonts w:asciiTheme="majorHAnsi" w:hAnsiTheme="majorHAnsi"/>
          <w:sz w:val="24"/>
          <w:szCs w:val="24"/>
          <w:lang w:val="en-US"/>
        </w:rPr>
        <w:t>)</w:t>
      </w:r>
      <w:r w:rsidR="000A2670" w:rsidRPr="00F4013C">
        <w:rPr>
          <w:rFonts w:asciiTheme="majorHAnsi" w:hAnsiTheme="majorHAnsi"/>
          <w:sz w:val="24"/>
          <w:szCs w:val="24"/>
          <w:lang w:val="en-US"/>
        </w:rPr>
        <w:t xml:space="preserve"> </w:t>
      </w:r>
      <w:r w:rsidRPr="00F4013C">
        <w:rPr>
          <w:rFonts w:asciiTheme="majorHAnsi" w:hAnsiTheme="majorHAnsi"/>
          <w:sz w:val="24"/>
          <w:szCs w:val="24"/>
          <w:lang w:val="en-US"/>
        </w:rPr>
        <w:t>Everyday terrorism: connecting domestic violence and global terrorism</w:t>
      </w:r>
      <w:r w:rsidR="000A2670" w:rsidRPr="00F4013C">
        <w:rPr>
          <w:rFonts w:asciiTheme="majorHAnsi" w:hAnsiTheme="majorHAnsi"/>
          <w:sz w:val="24"/>
          <w:szCs w:val="24"/>
          <w:lang w:val="en-US"/>
        </w:rPr>
        <w:t>.</w:t>
      </w:r>
      <w:r w:rsidRPr="00F4013C">
        <w:rPr>
          <w:rFonts w:asciiTheme="majorHAnsi" w:hAnsiTheme="majorHAnsi"/>
          <w:sz w:val="24"/>
          <w:szCs w:val="24"/>
          <w:lang w:val="en-US"/>
        </w:rPr>
        <w:t xml:space="preserve"> </w:t>
      </w:r>
      <w:r w:rsidRPr="00F4013C">
        <w:rPr>
          <w:rFonts w:asciiTheme="majorHAnsi" w:hAnsiTheme="majorHAnsi"/>
          <w:i/>
          <w:sz w:val="24"/>
          <w:szCs w:val="24"/>
          <w:lang w:val="en-US"/>
        </w:rPr>
        <w:t>Progress in Human Geography</w:t>
      </w:r>
      <w:r w:rsidR="00A30A8C" w:rsidRPr="00F4013C">
        <w:rPr>
          <w:rFonts w:asciiTheme="majorHAnsi" w:hAnsiTheme="majorHAnsi"/>
          <w:sz w:val="24"/>
          <w:szCs w:val="24"/>
          <w:lang w:val="en-US"/>
        </w:rPr>
        <w:t xml:space="preserve"> 38(4): 531-550</w:t>
      </w:r>
      <w:r w:rsidR="00C634D3" w:rsidRPr="00F4013C">
        <w:rPr>
          <w:rFonts w:asciiTheme="majorHAnsi" w:hAnsiTheme="majorHAnsi"/>
          <w:sz w:val="24"/>
          <w:szCs w:val="24"/>
          <w:lang w:val="en-US"/>
        </w:rPr>
        <w:t>.</w:t>
      </w:r>
    </w:p>
    <w:p w14:paraId="136CC515" w14:textId="77777777" w:rsidR="00977372" w:rsidRPr="00F4013C" w:rsidRDefault="00977372" w:rsidP="00F4013C">
      <w:pPr>
        <w:widowControl w:val="0"/>
        <w:autoSpaceDE w:val="0"/>
        <w:autoSpaceDN w:val="0"/>
        <w:adjustRightInd w:val="0"/>
        <w:spacing w:after="0" w:line="480" w:lineRule="auto"/>
        <w:rPr>
          <w:rFonts w:asciiTheme="majorHAnsi" w:hAnsiTheme="majorHAnsi"/>
          <w:sz w:val="24"/>
          <w:szCs w:val="24"/>
          <w:lang w:val="en-US"/>
        </w:rPr>
      </w:pPr>
    </w:p>
    <w:p w14:paraId="5D177EE0" w14:textId="11C8CE12" w:rsidR="003A0921" w:rsidRPr="00F4013C" w:rsidRDefault="003A0921" w:rsidP="00F4013C">
      <w:pPr>
        <w:widowControl w:val="0"/>
        <w:autoSpaceDE w:val="0"/>
        <w:autoSpaceDN w:val="0"/>
        <w:adjustRightInd w:val="0"/>
        <w:spacing w:after="0" w:line="480" w:lineRule="auto"/>
        <w:rPr>
          <w:rFonts w:asciiTheme="majorHAnsi" w:hAnsiTheme="majorHAnsi"/>
          <w:sz w:val="24"/>
          <w:szCs w:val="24"/>
        </w:rPr>
      </w:pPr>
      <w:r w:rsidRPr="00F4013C">
        <w:rPr>
          <w:rFonts w:asciiTheme="majorHAnsi" w:hAnsiTheme="majorHAnsi"/>
          <w:sz w:val="24"/>
          <w:szCs w:val="24"/>
        </w:rPr>
        <w:t xml:space="preserve">Valentine, G </w:t>
      </w:r>
      <w:r w:rsidR="00E9350F" w:rsidRPr="00F4013C">
        <w:rPr>
          <w:rFonts w:asciiTheme="majorHAnsi" w:hAnsiTheme="majorHAnsi"/>
          <w:sz w:val="24"/>
          <w:szCs w:val="24"/>
        </w:rPr>
        <w:t>(</w:t>
      </w:r>
      <w:r w:rsidRPr="00F4013C">
        <w:rPr>
          <w:rFonts w:asciiTheme="majorHAnsi" w:hAnsiTheme="majorHAnsi"/>
          <w:sz w:val="24"/>
          <w:szCs w:val="24"/>
        </w:rPr>
        <w:t>198</w:t>
      </w:r>
      <w:r w:rsidR="00662C37" w:rsidRPr="00F4013C">
        <w:rPr>
          <w:rFonts w:asciiTheme="majorHAnsi" w:hAnsiTheme="majorHAnsi"/>
          <w:sz w:val="24"/>
          <w:szCs w:val="24"/>
        </w:rPr>
        <w:t>9</w:t>
      </w:r>
      <w:r w:rsidR="00E9350F" w:rsidRPr="00F4013C">
        <w:rPr>
          <w:rFonts w:asciiTheme="majorHAnsi" w:hAnsiTheme="majorHAnsi"/>
          <w:sz w:val="24"/>
          <w:szCs w:val="24"/>
        </w:rPr>
        <w:t>)</w:t>
      </w:r>
      <w:r w:rsidR="00662C37" w:rsidRPr="00F4013C">
        <w:rPr>
          <w:rFonts w:asciiTheme="majorHAnsi" w:hAnsiTheme="majorHAnsi"/>
          <w:sz w:val="24"/>
          <w:szCs w:val="24"/>
        </w:rPr>
        <w:t xml:space="preserve"> The geography of women’s fear.</w:t>
      </w:r>
      <w:r w:rsidRPr="00F4013C">
        <w:rPr>
          <w:rFonts w:asciiTheme="majorHAnsi" w:hAnsiTheme="majorHAnsi"/>
          <w:sz w:val="24"/>
          <w:szCs w:val="24"/>
        </w:rPr>
        <w:t xml:space="preserve"> </w:t>
      </w:r>
      <w:proofErr w:type="gramStart"/>
      <w:r w:rsidRPr="00F4013C">
        <w:rPr>
          <w:rFonts w:asciiTheme="majorHAnsi" w:hAnsiTheme="majorHAnsi"/>
          <w:i/>
          <w:iCs/>
          <w:sz w:val="24"/>
          <w:szCs w:val="24"/>
        </w:rPr>
        <w:t>Area</w:t>
      </w:r>
      <w:r w:rsidR="00662C37" w:rsidRPr="00F4013C">
        <w:rPr>
          <w:rFonts w:asciiTheme="majorHAnsi" w:hAnsiTheme="majorHAnsi"/>
          <w:sz w:val="24"/>
          <w:szCs w:val="24"/>
        </w:rPr>
        <w:t xml:space="preserve"> 21: </w:t>
      </w:r>
      <w:r w:rsidRPr="00F4013C">
        <w:rPr>
          <w:rFonts w:asciiTheme="majorHAnsi" w:hAnsiTheme="majorHAnsi"/>
          <w:sz w:val="24"/>
          <w:szCs w:val="24"/>
        </w:rPr>
        <w:t>385–390.</w:t>
      </w:r>
      <w:proofErr w:type="gramEnd"/>
    </w:p>
    <w:p w14:paraId="7EE16EE1" w14:textId="77777777" w:rsidR="003A0921" w:rsidRPr="00F4013C" w:rsidRDefault="003A0921" w:rsidP="00F4013C">
      <w:pPr>
        <w:widowControl w:val="0"/>
        <w:autoSpaceDE w:val="0"/>
        <w:autoSpaceDN w:val="0"/>
        <w:adjustRightInd w:val="0"/>
        <w:spacing w:after="0" w:line="480" w:lineRule="auto"/>
        <w:rPr>
          <w:rFonts w:asciiTheme="majorHAnsi" w:hAnsiTheme="majorHAnsi"/>
          <w:sz w:val="24"/>
          <w:szCs w:val="24"/>
          <w:lang w:val="en-US"/>
        </w:rPr>
      </w:pPr>
    </w:p>
    <w:p w14:paraId="29280FB2" w14:textId="77139B74" w:rsidR="007B5117" w:rsidRPr="00F4013C" w:rsidRDefault="000A2670" w:rsidP="00F4013C">
      <w:pPr>
        <w:spacing w:line="480" w:lineRule="auto"/>
        <w:rPr>
          <w:rFonts w:asciiTheme="majorHAnsi" w:hAnsiTheme="majorHAnsi" w:cs="font664"/>
          <w:sz w:val="24"/>
          <w:szCs w:val="24"/>
        </w:rPr>
      </w:pPr>
      <w:proofErr w:type="gramStart"/>
      <w:r w:rsidRPr="00F4013C">
        <w:rPr>
          <w:rFonts w:asciiTheme="majorHAnsi" w:hAnsiTheme="majorHAnsi" w:cs="font664"/>
          <w:sz w:val="24"/>
          <w:szCs w:val="24"/>
        </w:rPr>
        <w:t xml:space="preserve">Waite L </w:t>
      </w:r>
      <w:r w:rsidR="00E9350F" w:rsidRPr="00F4013C">
        <w:rPr>
          <w:rFonts w:asciiTheme="majorHAnsi" w:hAnsiTheme="majorHAnsi" w:cs="font664"/>
          <w:sz w:val="24"/>
          <w:szCs w:val="24"/>
        </w:rPr>
        <w:t>(</w:t>
      </w:r>
      <w:r w:rsidRPr="00F4013C">
        <w:rPr>
          <w:rFonts w:asciiTheme="majorHAnsi" w:hAnsiTheme="majorHAnsi" w:cs="font664"/>
          <w:sz w:val="24"/>
          <w:szCs w:val="24"/>
        </w:rPr>
        <w:t>2009</w:t>
      </w:r>
      <w:r w:rsidR="00E9350F" w:rsidRPr="00F4013C">
        <w:rPr>
          <w:rFonts w:asciiTheme="majorHAnsi" w:hAnsiTheme="majorHAnsi" w:cs="font664"/>
          <w:sz w:val="24"/>
          <w:szCs w:val="24"/>
        </w:rPr>
        <w:t>)</w:t>
      </w:r>
      <w:r w:rsidRPr="00F4013C">
        <w:rPr>
          <w:rFonts w:asciiTheme="majorHAnsi" w:hAnsiTheme="majorHAnsi" w:cs="font664"/>
          <w:sz w:val="24"/>
          <w:szCs w:val="24"/>
        </w:rPr>
        <w:t xml:space="preserve"> A Place and space for a critical geography of p</w:t>
      </w:r>
      <w:r w:rsidR="007B5117" w:rsidRPr="00F4013C">
        <w:rPr>
          <w:rFonts w:asciiTheme="majorHAnsi" w:hAnsiTheme="majorHAnsi" w:cs="font664"/>
          <w:sz w:val="24"/>
          <w:szCs w:val="24"/>
        </w:rPr>
        <w:t>recarity?</w:t>
      </w:r>
      <w:proofErr w:type="gramEnd"/>
      <w:r w:rsidR="007B5117" w:rsidRPr="00F4013C">
        <w:rPr>
          <w:rFonts w:asciiTheme="majorHAnsi" w:hAnsiTheme="majorHAnsi" w:cs="font664"/>
          <w:sz w:val="24"/>
          <w:szCs w:val="24"/>
        </w:rPr>
        <w:t xml:space="preserve"> </w:t>
      </w:r>
      <w:r w:rsidR="007B5117" w:rsidRPr="00F4013C">
        <w:rPr>
          <w:rFonts w:asciiTheme="majorHAnsi" w:hAnsiTheme="majorHAnsi" w:cs="font664"/>
          <w:i/>
          <w:sz w:val="24"/>
          <w:szCs w:val="24"/>
        </w:rPr>
        <w:t>Geography Compass</w:t>
      </w:r>
      <w:r w:rsidR="007B5117" w:rsidRPr="00F4013C">
        <w:rPr>
          <w:rFonts w:asciiTheme="majorHAnsi" w:hAnsiTheme="majorHAnsi" w:cs="font664"/>
          <w:sz w:val="24"/>
          <w:szCs w:val="24"/>
        </w:rPr>
        <w:t xml:space="preserve"> 3(1): 412-433.</w:t>
      </w:r>
    </w:p>
    <w:p w14:paraId="4E0798C9" w14:textId="44289FC8" w:rsidR="004453F2" w:rsidRPr="00F4013C" w:rsidRDefault="00371B20" w:rsidP="00F4013C">
      <w:pPr>
        <w:spacing w:line="480" w:lineRule="auto"/>
        <w:rPr>
          <w:rFonts w:asciiTheme="majorHAnsi" w:hAnsiTheme="majorHAnsi"/>
          <w:sz w:val="24"/>
          <w:szCs w:val="24"/>
        </w:rPr>
      </w:pPr>
      <w:r w:rsidRPr="00F4013C">
        <w:rPr>
          <w:rFonts w:asciiTheme="majorHAnsi" w:hAnsiTheme="majorHAnsi"/>
          <w:sz w:val="24"/>
          <w:szCs w:val="24"/>
        </w:rPr>
        <w:t xml:space="preserve">Wilding P </w:t>
      </w:r>
      <w:r w:rsidR="00E9350F" w:rsidRPr="00F4013C">
        <w:rPr>
          <w:rFonts w:asciiTheme="majorHAnsi" w:hAnsiTheme="majorHAnsi"/>
          <w:sz w:val="24"/>
          <w:szCs w:val="24"/>
        </w:rPr>
        <w:t>(</w:t>
      </w:r>
      <w:r w:rsidRPr="00F4013C">
        <w:rPr>
          <w:rFonts w:asciiTheme="majorHAnsi" w:hAnsiTheme="majorHAnsi"/>
          <w:sz w:val="24"/>
          <w:szCs w:val="24"/>
        </w:rPr>
        <w:t>2013</w:t>
      </w:r>
      <w:r w:rsidR="00E9350F" w:rsidRPr="00F4013C">
        <w:rPr>
          <w:rFonts w:asciiTheme="majorHAnsi" w:hAnsiTheme="majorHAnsi"/>
          <w:sz w:val="24"/>
          <w:szCs w:val="24"/>
        </w:rPr>
        <w:t>)</w:t>
      </w:r>
      <w:r w:rsidRPr="00F4013C">
        <w:rPr>
          <w:rFonts w:asciiTheme="majorHAnsi" w:hAnsiTheme="majorHAnsi"/>
          <w:sz w:val="24"/>
          <w:szCs w:val="24"/>
        </w:rPr>
        <w:t xml:space="preserve"> Gendered meanings and everyday experienc</w:t>
      </w:r>
      <w:r w:rsidR="000A2670" w:rsidRPr="00F4013C">
        <w:rPr>
          <w:rFonts w:asciiTheme="majorHAnsi" w:hAnsiTheme="majorHAnsi"/>
          <w:sz w:val="24"/>
          <w:szCs w:val="24"/>
        </w:rPr>
        <w:t xml:space="preserve">es of violence in </w:t>
      </w:r>
      <w:proofErr w:type="gramStart"/>
      <w:r w:rsidR="000A2670" w:rsidRPr="00F4013C">
        <w:rPr>
          <w:rFonts w:asciiTheme="majorHAnsi" w:hAnsiTheme="majorHAnsi"/>
          <w:sz w:val="24"/>
          <w:szCs w:val="24"/>
        </w:rPr>
        <w:t>urban  Brazil</w:t>
      </w:r>
      <w:proofErr w:type="gramEnd"/>
      <w:r w:rsidR="000A2670" w:rsidRPr="00F4013C">
        <w:rPr>
          <w:rFonts w:asciiTheme="majorHAnsi" w:hAnsiTheme="majorHAnsi"/>
          <w:sz w:val="24"/>
          <w:szCs w:val="24"/>
        </w:rPr>
        <w:t>.</w:t>
      </w:r>
      <w:r w:rsidRPr="00F4013C">
        <w:rPr>
          <w:rFonts w:asciiTheme="majorHAnsi" w:hAnsiTheme="majorHAnsi"/>
          <w:sz w:val="24"/>
          <w:szCs w:val="24"/>
        </w:rPr>
        <w:t xml:space="preserve"> </w:t>
      </w:r>
      <w:proofErr w:type="gramStart"/>
      <w:r w:rsidRPr="00F4013C">
        <w:rPr>
          <w:rFonts w:asciiTheme="majorHAnsi" w:hAnsiTheme="majorHAnsi"/>
          <w:i/>
          <w:sz w:val="24"/>
          <w:szCs w:val="24"/>
        </w:rPr>
        <w:t>Gender, Place &amp; Culture</w:t>
      </w:r>
      <w:r w:rsidRPr="00F4013C">
        <w:rPr>
          <w:rFonts w:asciiTheme="majorHAnsi" w:hAnsiTheme="majorHAnsi"/>
          <w:sz w:val="24"/>
          <w:szCs w:val="24"/>
        </w:rPr>
        <w:t>.</w:t>
      </w:r>
      <w:proofErr w:type="gramEnd"/>
      <w:r w:rsidRPr="00F4013C">
        <w:rPr>
          <w:rFonts w:asciiTheme="majorHAnsi" w:hAnsiTheme="majorHAnsi"/>
          <w:sz w:val="24"/>
          <w:szCs w:val="24"/>
        </w:rPr>
        <w:t xml:space="preserve"> </w:t>
      </w:r>
      <w:proofErr w:type="gramStart"/>
      <w:r w:rsidR="009A44D5" w:rsidRPr="00F4013C">
        <w:rPr>
          <w:rFonts w:asciiTheme="majorHAnsi" w:hAnsiTheme="majorHAnsi"/>
          <w:sz w:val="24"/>
          <w:szCs w:val="24"/>
        </w:rPr>
        <w:t>Online before print.</w:t>
      </w:r>
      <w:proofErr w:type="gramEnd"/>
    </w:p>
    <w:p w14:paraId="4E0F4E8C" w14:textId="77777777" w:rsidR="004453F2" w:rsidRPr="00F4013C" w:rsidRDefault="004453F2" w:rsidP="00F4013C">
      <w:pPr>
        <w:spacing w:line="480" w:lineRule="auto"/>
        <w:rPr>
          <w:rFonts w:asciiTheme="majorHAnsi" w:hAnsiTheme="majorHAnsi"/>
          <w:sz w:val="24"/>
          <w:szCs w:val="24"/>
        </w:rPr>
      </w:pPr>
      <w:r w:rsidRPr="00F4013C">
        <w:rPr>
          <w:rFonts w:asciiTheme="majorHAnsi" w:hAnsiTheme="majorHAnsi"/>
          <w:sz w:val="24"/>
          <w:szCs w:val="24"/>
        </w:rPr>
        <w:br w:type="page"/>
      </w:r>
    </w:p>
    <w:p w14:paraId="3717B57C" w14:textId="0479CDFC" w:rsidR="00310DD6" w:rsidRPr="00F4013C" w:rsidRDefault="003A5C99" w:rsidP="00F4013C">
      <w:pPr>
        <w:pStyle w:val="Heading1"/>
        <w:spacing w:line="480" w:lineRule="auto"/>
        <w:jc w:val="center"/>
        <w:rPr>
          <w:color w:val="auto"/>
          <w:sz w:val="24"/>
          <w:szCs w:val="24"/>
        </w:rPr>
      </w:pPr>
      <w:r w:rsidRPr="00F4013C">
        <w:rPr>
          <w:color w:val="auto"/>
          <w:sz w:val="24"/>
          <w:szCs w:val="24"/>
        </w:rPr>
        <w:lastRenderedPageBreak/>
        <w:t>Another Rape?  The P</w:t>
      </w:r>
      <w:r w:rsidR="00310DD6" w:rsidRPr="00F4013C">
        <w:rPr>
          <w:color w:val="auto"/>
          <w:sz w:val="24"/>
          <w:szCs w:val="24"/>
        </w:rPr>
        <w:t>ersistence o</w:t>
      </w:r>
      <w:r w:rsidRPr="00F4013C">
        <w:rPr>
          <w:color w:val="auto"/>
          <w:sz w:val="24"/>
          <w:szCs w:val="24"/>
        </w:rPr>
        <w:t>f Public/Private Divides in Sexual Violence D</w:t>
      </w:r>
      <w:r w:rsidR="00310DD6" w:rsidRPr="00F4013C">
        <w:rPr>
          <w:color w:val="auto"/>
          <w:sz w:val="24"/>
          <w:szCs w:val="24"/>
        </w:rPr>
        <w:t>ebates in India</w:t>
      </w:r>
    </w:p>
    <w:p w14:paraId="6912B857" w14:textId="5C0FBD93" w:rsidR="00310DD6" w:rsidRPr="00F4013C" w:rsidRDefault="00310DD6" w:rsidP="00F4013C">
      <w:pPr>
        <w:widowControl w:val="0"/>
        <w:autoSpaceDE w:val="0"/>
        <w:autoSpaceDN w:val="0"/>
        <w:adjustRightInd w:val="0"/>
        <w:spacing w:before="100" w:beforeAutospacing="1" w:line="480" w:lineRule="auto"/>
        <w:rPr>
          <w:rFonts w:asciiTheme="majorHAnsi" w:hAnsiTheme="majorHAnsi"/>
          <w:sz w:val="24"/>
          <w:szCs w:val="24"/>
          <w:lang w:val="en-US"/>
        </w:rPr>
      </w:pPr>
      <w:r w:rsidRPr="00F4013C">
        <w:rPr>
          <w:rFonts w:asciiTheme="majorHAnsi" w:hAnsiTheme="majorHAnsi"/>
          <w:sz w:val="24"/>
          <w:szCs w:val="24"/>
          <w:lang w:val="en-US"/>
        </w:rPr>
        <w:t xml:space="preserve">In this intervention piece, I reflect upon the recent spate of highly publicized rapes in India to examine the persistence of public/private divisions in the debates and interventions around sexual violence. Using the example of the most recent case of the Badaun rapes, I suggest that it is the lack of critical reflection on the spatiality and intersectionality of this violence across the divides of public/private that is ultimately stifling potentially progressive interventions in this area. I will suggest that constructing rape as a </w:t>
      </w:r>
      <w:r w:rsidR="00220B8B" w:rsidRPr="00F4013C">
        <w:rPr>
          <w:rFonts w:asciiTheme="majorHAnsi" w:hAnsiTheme="majorHAnsi"/>
          <w:sz w:val="24"/>
          <w:szCs w:val="24"/>
          <w:lang w:val="en-US"/>
        </w:rPr>
        <w:t>specialization</w:t>
      </w:r>
      <w:r w:rsidRPr="00F4013C">
        <w:rPr>
          <w:rFonts w:asciiTheme="majorHAnsi" w:hAnsiTheme="majorHAnsi"/>
          <w:sz w:val="24"/>
          <w:szCs w:val="24"/>
          <w:lang w:val="en-US"/>
        </w:rPr>
        <w:t xml:space="preserve"> of ‘urban anomie’, or in Badaun as a consequence of the lack of toilets, establishes rape as an ‘other’ space outside the ‘ordinary’ spaces of political, so</w:t>
      </w:r>
      <w:r w:rsidR="00220C17" w:rsidRPr="00F4013C">
        <w:rPr>
          <w:rFonts w:asciiTheme="majorHAnsi" w:hAnsiTheme="majorHAnsi"/>
          <w:sz w:val="24"/>
          <w:szCs w:val="24"/>
          <w:lang w:val="en-US"/>
        </w:rPr>
        <w:t xml:space="preserve">cial and cultural institutions </w:t>
      </w:r>
      <w:r w:rsidRPr="00F4013C">
        <w:rPr>
          <w:rFonts w:asciiTheme="majorHAnsi" w:hAnsiTheme="majorHAnsi"/>
          <w:sz w:val="24"/>
          <w:szCs w:val="24"/>
          <w:lang w:val="en-US"/>
        </w:rPr>
        <w:t>of state, community or family. Instead I propose that the examination of sexual violence that transcend public/private divides will allow us to see rape as embedded within the violence of social power relations across spaces and scales.</w:t>
      </w:r>
    </w:p>
    <w:p w14:paraId="0E36C304" w14:textId="77777777" w:rsidR="00310DD6" w:rsidRPr="00F4013C" w:rsidRDefault="00310DD6" w:rsidP="00F4013C">
      <w:pPr>
        <w:pStyle w:val="Heading2"/>
        <w:spacing w:line="480" w:lineRule="auto"/>
        <w:rPr>
          <w:rFonts w:asciiTheme="majorHAnsi" w:hAnsiTheme="majorHAnsi"/>
          <w:i w:val="0"/>
          <w:sz w:val="24"/>
          <w:szCs w:val="24"/>
        </w:rPr>
      </w:pPr>
      <w:r w:rsidRPr="00F4013C">
        <w:rPr>
          <w:rFonts w:asciiTheme="majorHAnsi" w:hAnsiTheme="majorHAnsi"/>
          <w:i w:val="0"/>
          <w:sz w:val="24"/>
          <w:szCs w:val="24"/>
          <w:lang w:val="en-US"/>
        </w:rPr>
        <w:t>Another rape?</w:t>
      </w:r>
    </w:p>
    <w:p w14:paraId="65E42906" w14:textId="5355E22E" w:rsidR="00310DD6" w:rsidRPr="00B026EF" w:rsidRDefault="00310DD6" w:rsidP="00F4013C">
      <w:pPr>
        <w:widowControl w:val="0"/>
        <w:autoSpaceDE w:val="0"/>
        <w:autoSpaceDN w:val="0"/>
        <w:adjustRightInd w:val="0"/>
        <w:spacing w:before="100" w:beforeAutospacing="1" w:line="480" w:lineRule="auto"/>
        <w:rPr>
          <w:rFonts w:asciiTheme="majorHAnsi" w:hAnsiTheme="majorHAnsi"/>
          <w:sz w:val="24"/>
          <w:szCs w:val="24"/>
          <w:lang w:val="en-US"/>
        </w:rPr>
      </w:pPr>
      <w:r w:rsidRPr="00F4013C">
        <w:rPr>
          <w:rFonts w:asciiTheme="majorHAnsi" w:hAnsiTheme="majorHAnsi"/>
          <w:sz w:val="24"/>
          <w:szCs w:val="24"/>
          <w:lang w:val="en-US"/>
        </w:rPr>
        <w:t xml:space="preserve">In May 2014, Indians woke up to news of yet another rape – this time a gruesome double murder of two minor girls of the Dalit (untouchable) caste who were abducted, raped and then hung by their scarves from the village tree. It emerged that in the absence of toilets in their home, these two girls had gone together in the dark to defecate in the fields when they were abducted. The police however refused to file a complaint since they were of the same (Yadav) caste as the abductors. Even after news spread of the rape and hanging, and public pressure forced the police to arrest the accused, they expressed suspicion that this was not a double murder but </w:t>
      </w:r>
      <w:r w:rsidR="00220B8B" w:rsidRPr="00F4013C">
        <w:rPr>
          <w:rFonts w:asciiTheme="majorHAnsi" w:hAnsiTheme="majorHAnsi"/>
          <w:sz w:val="24"/>
          <w:szCs w:val="24"/>
          <w:lang w:val="en-US"/>
        </w:rPr>
        <w:t>in fact</w:t>
      </w:r>
      <w:r w:rsidRPr="00F4013C">
        <w:rPr>
          <w:rFonts w:asciiTheme="majorHAnsi" w:hAnsiTheme="majorHAnsi"/>
          <w:sz w:val="24"/>
          <w:szCs w:val="24"/>
          <w:lang w:val="en-US"/>
        </w:rPr>
        <w:t xml:space="preserve"> ‘honour </w:t>
      </w:r>
      <w:bookmarkStart w:id="0" w:name="_GoBack"/>
      <w:bookmarkEnd w:id="0"/>
      <w:r w:rsidRPr="00B026EF">
        <w:rPr>
          <w:rFonts w:asciiTheme="majorHAnsi" w:hAnsiTheme="majorHAnsi"/>
          <w:sz w:val="24"/>
          <w:szCs w:val="24"/>
          <w:lang w:val="en-US"/>
        </w:rPr>
        <w:lastRenderedPageBreak/>
        <w:t xml:space="preserve">killings’ meted out by the family. </w:t>
      </w:r>
    </w:p>
    <w:p w14:paraId="7D06AA56" w14:textId="1D6053B2" w:rsidR="00310DD6" w:rsidRPr="00F4013C" w:rsidRDefault="00310DD6" w:rsidP="00F4013C">
      <w:pPr>
        <w:widowControl w:val="0"/>
        <w:autoSpaceDE w:val="0"/>
        <w:autoSpaceDN w:val="0"/>
        <w:adjustRightInd w:val="0"/>
        <w:spacing w:before="100" w:beforeAutospacing="1" w:line="480" w:lineRule="auto"/>
        <w:rPr>
          <w:rFonts w:asciiTheme="majorHAnsi" w:eastAsia="Times New Roman" w:hAnsiTheme="majorHAnsi"/>
          <w:sz w:val="24"/>
          <w:szCs w:val="24"/>
        </w:rPr>
      </w:pPr>
      <w:r w:rsidRPr="00B026EF">
        <w:rPr>
          <w:rFonts w:asciiTheme="majorHAnsi" w:hAnsiTheme="majorHAnsi"/>
          <w:sz w:val="24"/>
          <w:szCs w:val="24"/>
          <w:lang w:val="en-US"/>
        </w:rPr>
        <w:t>The ‘Bad</w:t>
      </w:r>
      <w:r w:rsidR="00B026EF" w:rsidRPr="00B026EF">
        <w:rPr>
          <w:rFonts w:asciiTheme="majorHAnsi" w:hAnsiTheme="majorHAnsi"/>
          <w:sz w:val="24"/>
          <w:szCs w:val="24"/>
          <w:lang w:val="en-US"/>
        </w:rPr>
        <w:t xml:space="preserve">aun rapes’ - </w:t>
      </w:r>
      <w:r w:rsidRPr="00B026EF">
        <w:rPr>
          <w:rFonts w:asciiTheme="majorHAnsi" w:hAnsiTheme="majorHAnsi"/>
          <w:sz w:val="24"/>
          <w:szCs w:val="24"/>
          <w:lang w:val="en-US"/>
        </w:rPr>
        <w:t>called after a small village ne</w:t>
      </w:r>
      <w:r w:rsidR="00B026EF" w:rsidRPr="00B026EF">
        <w:rPr>
          <w:rFonts w:asciiTheme="majorHAnsi" w:hAnsiTheme="majorHAnsi"/>
          <w:sz w:val="24"/>
          <w:szCs w:val="24"/>
          <w:lang w:val="en-US"/>
        </w:rPr>
        <w:t xml:space="preserve">ar Delhi where they took place - </w:t>
      </w:r>
      <w:r w:rsidRPr="00B026EF">
        <w:rPr>
          <w:rFonts w:asciiTheme="majorHAnsi" w:hAnsiTheme="majorHAnsi"/>
          <w:sz w:val="24"/>
          <w:szCs w:val="24"/>
          <w:lang w:val="en-US"/>
        </w:rPr>
        <w:t>highlighted in stark contrast to previously high-profile cases that rape w</w:t>
      </w:r>
      <w:r w:rsidR="00B026EF" w:rsidRPr="00B026EF">
        <w:rPr>
          <w:rFonts w:asciiTheme="majorHAnsi" w:hAnsiTheme="majorHAnsi"/>
          <w:sz w:val="24"/>
          <w:szCs w:val="24"/>
          <w:lang w:val="en-US"/>
        </w:rPr>
        <w:t>as not just an urban phenomenon. Rape</w:t>
      </w:r>
      <w:r w:rsidRPr="00B026EF">
        <w:rPr>
          <w:rFonts w:asciiTheme="majorHAnsi" w:hAnsiTheme="majorHAnsi"/>
          <w:sz w:val="24"/>
          <w:szCs w:val="24"/>
          <w:lang w:val="en-US"/>
        </w:rPr>
        <w:t xml:space="preserve"> cut across rural-urban divides, and were closely linked to other forms of gendered power vested in class, caste, ethnic and religious affiliations. As photos of the hanging girls circulated across social media, they highlighted that</w:t>
      </w:r>
      <w:r w:rsidRPr="00F4013C">
        <w:rPr>
          <w:rFonts w:asciiTheme="majorHAnsi" w:hAnsiTheme="majorHAnsi"/>
          <w:sz w:val="24"/>
          <w:szCs w:val="24"/>
          <w:lang w:val="en-US"/>
        </w:rPr>
        <w:t xml:space="preserve"> although gendered v</w:t>
      </w:r>
      <w:r w:rsidR="007C4DBC" w:rsidRPr="00F4013C">
        <w:rPr>
          <w:rFonts w:asciiTheme="majorHAnsi" w:hAnsiTheme="majorHAnsi"/>
          <w:sz w:val="24"/>
          <w:szCs w:val="24"/>
          <w:lang w:val="en-US"/>
        </w:rPr>
        <w:t xml:space="preserve">iolence might be universal, </w:t>
      </w:r>
      <w:r w:rsidRPr="00F4013C">
        <w:rPr>
          <w:rFonts w:asciiTheme="majorHAnsi" w:hAnsiTheme="majorHAnsi"/>
          <w:sz w:val="24"/>
          <w:szCs w:val="24"/>
          <w:lang w:val="en-US"/>
        </w:rPr>
        <w:t xml:space="preserve">intersections between the material violence of everyday life (in the absence of toilets), the violence of caste and gendered power, as well as the representational violence in social media were quite specific to rapes in the Indian context. While </w:t>
      </w:r>
      <w:r w:rsidRPr="00F4013C">
        <w:rPr>
          <w:rFonts w:asciiTheme="majorHAnsi" w:eastAsia="Times New Roman" w:hAnsiTheme="majorHAnsi"/>
          <w:sz w:val="24"/>
          <w:szCs w:val="24"/>
        </w:rPr>
        <w:t xml:space="preserve">rape is part of a wider circle of violence that is simultaneously structural, social, cultural and institutional, its deeper connections to a misogynous social and political sphere in India was also revealed through continuous doubts cast by the state and its institutions on its ‘authenticity’ in Badaun. </w:t>
      </w:r>
    </w:p>
    <w:p w14:paraId="03C1994F" w14:textId="77777777" w:rsidR="00310DD6" w:rsidRPr="00F4013C" w:rsidRDefault="00310DD6" w:rsidP="00F4013C">
      <w:pPr>
        <w:pStyle w:val="Heading2"/>
        <w:spacing w:line="480" w:lineRule="auto"/>
        <w:rPr>
          <w:rFonts w:asciiTheme="majorHAnsi" w:hAnsiTheme="majorHAnsi"/>
          <w:i w:val="0"/>
          <w:sz w:val="24"/>
          <w:szCs w:val="24"/>
        </w:rPr>
      </w:pPr>
      <w:r w:rsidRPr="00F4013C">
        <w:rPr>
          <w:rFonts w:asciiTheme="majorHAnsi" w:hAnsiTheme="majorHAnsi"/>
          <w:i w:val="0"/>
          <w:sz w:val="24"/>
          <w:szCs w:val="24"/>
        </w:rPr>
        <w:t>State, law and subjectivity</w:t>
      </w:r>
    </w:p>
    <w:p w14:paraId="35232D1D" w14:textId="65D52B8B" w:rsidR="00310DD6" w:rsidRPr="00F4013C" w:rsidRDefault="00310DD6" w:rsidP="00F4013C">
      <w:pPr>
        <w:widowControl w:val="0"/>
        <w:autoSpaceDE w:val="0"/>
        <w:autoSpaceDN w:val="0"/>
        <w:adjustRightInd w:val="0"/>
        <w:spacing w:before="100" w:beforeAutospacing="1" w:line="480" w:lineRule="auto"/>
        <w:rPr>
          <w:rFonts w:asciiTheme="majorHAnsi" w:eastAsia="Times New Roman" w:hAnsiTheme="majorHAnsi"/>
          <w:sz w:val="24"/>
          <w:szCs w:val="24"/>
        </w:rPr>
      </w:pPr>
      <w:r w:rsidRPr="00F4013C">
        <w:rPr>
          <w:rFonts w:asciiTheme="majorHAnsi" w:eastAsia="Times New Roman" w:hAnsiTheme="majorHAnsi"/>
          <w:sz w:val="24"/>
          <w:szCs w:val="24"/>
        </w:rPr>
        <w:t>The Badaun rape case is significant since it is situated in the confluence of law, violence, materiality and subjectivity. It has been widely acknowledged that Indian laws as they pertain to women’s rights are contradictory across public and personal spaces (Ahmed-Ghosh</w:t>
      </w:r>
      <w:r w:rsidR="0033556B" w:rsidRPr="00F4013C">
        <w:rPr>
          <w:rFonts w:asciiTheme="majorHAnsi" w:eastAsia="Times New Roman" w:hAnsiTheme="majorHAnsi"/>
          <w:sz w:val="24"/>
          <w:szCs w:val="24"/>
        </w:rPr>
        <w:t>, 2004;</w:t>
      </w:r>
      <w:r w:rsidRPr="00F4013C">
        <w:rPr>
          <w:rFonts w:asciiTheme="majorHAnsi" w:eastAsia="Times New Roman" w:hAnsiTheme="majorHAnsi"/>
          <w:sz w:val="24"/>
          <w:szCs w:val="24"/>
        </w:rPr>
        <w:t xml:space="preserve"> Williams</w:t>
      </w:r>
      <w:r w:rsidR="0033556B" w:rsidRPr="00F4013C">
        <w:rPr>
          <w:rFonts w:asciiTheme="majorHAnsi" w:eastAsia="Times New Roman" w:hAnsiTheme="majorHAnsi"/>
          <w:sz w:val="24"/>
          <w:szCs w:val="24"/>
        </w:rPr>
        <w:t>,</w:t>
      </w:r>
      <w:r w:rsidRPr="00F4013C">
        <w:rPr>
          <w:rFonts w:asciiTheme="majorHAnsi" w:eastAsia="Times New Roman" w:hAnsiTheme="majorHAnsi"/>
          <w:sz w:val="24"/>
          <w:szCs w:val="24"/>
        </w:rPr>
        <w:t xml:space="preserve"> 2006). The Indian Constitution makes distinctions between two kinds of rights – Fundamental rights (such as right to life, right to vote), and the Directive Principles of State </w:t>
      </w:r>
      <w:proofErr w:type="gramStart"/>
      <w:r w:rsidRPr="00F4013C">
        <w:rPr>
          <w:rFonts w:asciiTheme="majorHAnsi" w:eastAsia="Times New Roman" w:hAnsiTheme="majorHAnsi"/>
          <w:sz w:val="24"/>
          <w:szCs w:val="24"/>
        </w:rPr>
        <w:t>Policy which</w:t>
      </w:r>
      <w:proofErr w:type="gramEnd"/>
      <w:r w:rsidRPr="00F4013C">
        <w:rPr>
          <w:rFonts w:asciiTheme="majorHAnsi" w:eastAsia="Times New Roman" w:hAnsiTheme="majorHAnsi"/>
          <w:sz w:val="24"/>
          <w:szCs w:val="24"/>
        </w:rPr>
        <w:t xml:space="preserve"> are to be encouraged through appropriate policies (such as right to education, freedom from discrimination). These two different sets of rights makes significant distinctions </w:t>
      </w:r>
      <w:r w:rsidRPr="00F4013C">
        <w:rPr>
          <w:rFonts w:asciiTheme="majorHAnsi" w:hAnsiTheme="majorHAnsi"/>
          <w:sz w:val="24"/>
          <w:szCs w:val="24"/>
        </w:rPr>
        <w:t xml:space="preserve">between civil/political and social/economic spheres of Indian citizens in that while the former are enforceable by the judiciary, the </w:t>
      </w:r>
      <w:r w:rsidRPr="00F4013C">
        <w:rPr>
          <w:rFonts w:asciiTheme="majorHAnsi" w:hAnsiTheme="majorHAnsi"/>
          <w:sz w:val="24"/>
          <w:szCs w:val="24"/>
        </w:rPr>
        <w:lastRenderedPageBreak/>
        <w:t xml:space="preserve">social and economic rights can only be regulated and interpreted in the context of their violation of fundamental rights </w:t>
      </w:r>
      <w:sdt>
        <w:sdtPr>
          <w:rPr>
            <w:rFonts w:asciiTheme="majorHAnsi" w:hAnsiTheme="majorHAnsi"/>
            <w:sz w:val="24"/>
            <w:szCs w:val="24"/>
          </w:rPr>
          <w:id w:val="3334865"/>
          <w:citation/>
        </w:sdtPr>
        <w:sdtEndPr/>
        <w:sdtContent>
          <w:r w:rsidRPr="00F4013C">
            <w:rPr>
              <w:rFonts w:asciiTheme="majorHAnsi" w:hAnsiTheme="majorHAnsi"/>
              <w:sz w:val="24"/>
              <w:szCs w:val="24"/>
            </w:rPr>
            <w:fldChar w:fldCharType="begin"/>
          </w:r>
          <w:r w:rsidRPr="00F4013C">
            <w:rPr>
              <w:rFonts w:asciiTheme="majorHAnsi" w:hAnsiTheme="majorHAnsi"/>
              <w:sz w:val="24"/>
              <w:szCs w:val="24"/>
            </w:rPr>
            <w:instrText xml:space="preserve"> CITATION Upe05 \l 2057 </w:instrText>
          </w:r>
          <w:r w:rsidRPr="00F4013C">
            <w:rPr>
              <w:rFonts w:asciiTheme="majorHAnsi" w:hAnsiTheme="majorHAnsi"/>
              <w:sz w:val="24"/>
              <w:szCs w:val="24"/>
            </w:rPr>
            <w:fldChar w:fldCharType="separate"/>
          </w:r>
          <w:r w:rsidRPr="00F4013C">
            <w:rPr>
              <w:rFonts w:asciiTheme="majorHAnsi" w:hAnsiTheme="majorHAnsi"/>
              <w:noProof/>
              <w:sz w:val="24"/>
              <w:szCs w:val="24"/>
            </w:rPr>
            <w:t>(Baxi, 2005)</w:t>
          </w:r>
          <w:r w:rsidRPr="00F4013C">
            <w:rPr>
              <w:rFonts w:asciiTheme="majorHAnsi" w:hAnsiTheme="majorHAnsi"/>
              <w:sz w:val="24"/>
              <w:szCs w:val="24"/>
            </w:rPr>
            <w:fldChar w:fldCharType="end"/>
          </w:r>
        </w:sdtContent>
      </w:sdt>
      <w:r w:rsidRPr="00F4013C">
        <w:rPr>
          <w:rFonts w:asciiTheme="majorHAnsi" w:hAnsiTheme="majorHAnsi"/>
          <w:sz w:val="24"/>
          <w:szCs w:val="24"/>
        </w:rPr>
        <w:t>.</w:t>
      </w:r>
      <w:r w:rsidRPr="00F4013C">
        <w:rPr>
          <w:rFonts w:asciiTheme="majorHAnsi" w:eastAsia="Times New Roman" w:hAnsiTheme="majorHAnsi"/>
          <w:sz w:val="24"/>
          <w:szCs w:val="24"/>
        </w:rPr>
        <w:t xml:space="preserve"> Thus while rape can be interpreted as a violation of a fundamental right to life (only in case of death of victims), as a violation of gendered/social/cultural right it can only be enforced if appropriate laws/policies exist in this arena. </w:t>
      </w:r>
    </w:p>
    <w:p w14:paraId="21867AF8" w14:textId="3DF45F9E" w:rsidR="00310DD6" w:rsidRPr="00F4013C" w:rsidRDefault="00310DD6" w:rsidP="00F4013C">
      <w:pPr>
        <w:spacing w:before="100" w:beforeAutospacing="1" w:after="100" w:afterAutospacing="1" w:line="480" w:lineRule="auto"/>
        <w:rPr>
          <w:rFonts w:asciiTheme="majorHAnsi" w:eastAsia="Times New Roman" w:hAnsiTheme="majorHAnsi"/>
          <w:sz w:val="24"/>
          <w:szCs w:val="24"/>
        </w:rPr>
      </w:pPr>
      <w:r w:rsidRPr="00F4013C">
        <w:rPr>
          <w:rFonts w:asciiTheme="majorHAnsi" w:eastAsia="Times New Roman" w:hAnsiTheme="majorHAnsi"/>
          <w:sz w:val="24"/>
          <w:szCs w:val="24"/>
        </w:rPr>
        <w:t>It is this ambiguity in the sphere of legal rights in India that has produced a fundamental distinction between sexual violence across public and private domains. In India, while fundamental rights to life and freedom in the public sphere assume a western liberal notion of women as equal citizens, in reality this entry is premised on women’s religious identity within the private realm of the family and community. This is evident in the separate Hindu and Muslim personal laws that deal with women’s rights in marriage, inheritance, divorce, child custody and so in different religious communities (Galanter</w:t>
      </w:r>
      <w:r w:rsidR="0033556B" w:rsidRPr="00F4013C">
        <w:rPr>
          <w:rFonts w:asciiTheme="majorHAnsi" w:eastAsia="Times New Roman" w:hAnsiTheme="majorHAnsi"/>
          <w:sz w:val="24"/>
          <w:szCs w:val="24"/>
        </w:rPr>
        <w:t>,</w:t>
      </w:r>
      <w:r w:rsidRPr="00F4013C">
        <w:rPr>
          <w:rFonts w:asciiTheme="majorHAnsi" w:eastAsia="Times New Roman" w:hAnsiTheme="majorHAnsi"/>
          <w:sz w:val="24"/>
          <w:szCs w:val="24"/>
        </w:rPr>
        <w:t xml:space="preserve"> 1988). The new Rape Law 2013 (enacted after the tragic rape and murder of a Delhi student in 2012) in particular reinforces these public/private divides. While it expands the remit of rape from India’s earlier sexual violence laws to include ‘forced penetration’, at the same time it fails to recognise spousal rape as violence, or indeed fails to categorise child marriage (once it has occurred) as illegal.</w:t>
      </w:r>
    </w:p>
    <w:p w14:paraId="3F282FDF" w14:textId="63050E5B" w:rsidR="00310DD6" w:rsidRPr="00F4013C" w:rsidRDefault="00310DD6" w:rsidP="00F4013C">
      <w:pPr>
        <w:spacing w:before="100" w:beforeAutospacing="1" w:after="100" w:afterAutospacing="1" w:line="480" w:lineRule="auto"/>
        <w:rPr>
          <w:rFonts w:asciiTheme="majorHAnsi" w:eastAsia="Times New Roman" w:hAnsiTheme="majorHAnsi"/>
          <w:sz w:val="24"/>
          <w:szCs w:val="24"/>
        </w:rPr>
      </w:pPr>
      <w:r w:rsidRPr="00F4013C">
        <w:rPr>
          <w:rFonts w:asciiTheme="majorHAnsi" w:eastAsia="Times New Roman" w:hAnsiTheme="majorHAnsi"/>
          <w:sz w:val="24"/>
          <w:szCs w:val="24"/>
        </w:rPr>
        <w:t xml:space="preserve">While the Indian Constitutional laws construct an ambiguous and often contradictory sphere of gender/sexual rights and freedom, their interpretation and enforcement are subject to the gender ideologies of the state.  </w:t>
      </w:r>
      <w:r w:rsidRPr="00F4013C">
        <w:rPr>
          <w:rFonts w:asciiTheme="majorHAnsi" w:eastAsia="Arial Unicode MS" w:hAnsiTheme="majorHAnsi"/>
          <w:sz w:val="24"/>
          <w:szCs w:val="24"/>
          <w:u w:color="000000"/>
        </w:rPr>
        <w:t>In 2001, one of the first comprehensive reports on the status of women in India (Menon-Sen and Shivkumar</w:t>
      </w:r>
      <w:r w:rsidR="0033556B" w:rsidRPr="00F4013C">
        <w:rPr>
          <w:rFonts w:asciiTheme="majorHAnsi" w:eastAsia="Arial Unicode MS" w:hAnsiTheme="majorHAnsi"/>
          <w:sz w:val="24"/>
          <w:szCs w:val="24"/>
          <w:u w:color="000000"/>
        </w:rPr>
        <w:t>,</w:t>
      </w:r>
      <w:r w:rsidRPr="00F4013C">
        <w:rPr>
          <w:rFonts w:asciiTheme="majorHAnsi" w:eastAsia="Arial Unicode MS" w:hAnsiTheme="majorHAnsi"/>
          <w:sz w:val="24"/>
          <w:szCs w:val="24"/>
          <w:u w:color="000000"/>
        </w:rPr>
        <w:t xml:space="preserve"> 2001) highlighted how subjective interpretations of women’s ‘morality’ impacted on the delivery of justice. Around 109 judges were interviewed to assess attitudes towards violence against women, of which 48 percent believed that there were certain occasions when it </w:t>
      </w:r>
      <w:r w:rsidRPr="00F4013C">
        <w:rPr>
          <w:rFonts w:asciiTheme="majorHAnsi" w:eastAsia="Arial Unicode MS" w:hAnsiTheme="majorHAnsi"/>
          <w:sz w:val="24"/>
          <w:szCs w:val="24"/>
          <w:u w:color="000000"/>
        </w:rPr>
        <w:lastRenderedPageBreak/>
        <w:t xml:space="preserve">was justifiable for a husband to slap his wife, 74 percent believed that the preservation of the family should be the woman’s primary concern, even if she faces violence, 68 percent believed that ‘provocative’ clothes are an invitation to sexual assault, 55 percent believed that the moral character of a woman is relevant in cases of sexual abuse, and nine percent believed that a woman who says ‘no’ to sexual intercourse often means ‘yes’. </w:t>
      </w:r>
      <w:r w:rsidRPr="00F4013C">
        <w:rPr>
          <w:rFonts w:asciiTheme="majorHAnsi" w:eastAsia="Times New Roman" w:hAnsiTheme="majorHAnsi"/>
          <w:sz w:val="24"/>
          <w:szCs w:val="24"/>
        </w:rPr>
        <w:t xml:space="preserve">More recently in 2013, the overthrowing of legal challenges to Article 377 (a colonial-era law criminalising homosexuality) by the judiciary suggests that little might have changed in terms of how sexuality and gendered freedom is interpreted in courts in India today. </w:t>
      </w:r>
    </w:p>
    <w:p w14:paraId="03C14533" w14:textId="0B3513EE" w:rsidR="00310DD6" w:rsidRPr="00F4013C" w:rsidRDefault="00310DD6" w:rsidP="00F4013C">
      <w:pPr>
        <w:spacing w:line="480" w:lineRule="auto"/>
        <w:rPr>
          <w:rFonts w:asciiTheme="majorHAnsi" w:hAnsiTheme="majorHAnsi"/>
          <w:sz w:val="24"/>
          <w:szCs w:val="24"/>
        </w:rPr>
      </w:pPr>
      <w:r w:rsidRPr="00F4013C">
        <w:rPr>
          <w:rFonts w:asciiTheme="majorHAnsi" w:eastAsia="Times New Roman" w:hAnsiTheme="majorHAnsi"/>
          <w:sz w:val="24"/>
          <w:szCs w:val="24"/>
        </w:rPr>
        <w:t>The violence of law and their interpretation has significant gendered consequences for those on the margins of society. ‘Encounters with the state’ (Das</w:t>
      </w:r>
      <w:r w:rsidR="0033556B" w:rsidRPr="00F4013C">
        <w:rPr>
          <w:rFonts w:asciiTheme="majorHAnsi" w:eastAsia="Times New Roman" w:hAnsiTheme="majorHAnsi"/>
          <w:sz w:val="24"/>
          <w:szCs w:val="24"/>
        </w:rPr>
        <w:t>,</w:t>
      </w:r>
      <w:r w:rsidRPr="00F4013C">
        <w:rPr>
          <w:rFonts w:asciiTheme="majorHAnsi" w:eastAsia="Times New Roman" w:hAnsiTheme="majorHAnsi"/>
          <w:sz w:val="24"/>
          <w:szCs w:val="24"/>
        </w:rPr>
        <w:t xml:space="preserve"> 2004) when women go to file cases of rape, incest, domestic violence or other forms of sexual violence in India, when women’s families approach the police in cases of dowry, and when disputes around child custody, inheritance, dowry and so on are arbitrated in courts reflect the intersectionality of gendered experiences across lower caste or working class status, minority ethnic/religious/tribal affiliations, and across alternative sexualities. In urban slums in Delhi, women have regularly</w:t>
      </w:r>
      <w:r w:rsidR="00192B0C" w:rsidRPr="00F4013C">
        <w:rPr>
          <w:rFonts w:asciiTheme="majorHAnsi" w:eastAsia="Times New Roman" w:hAnsiTheme="majorHAnsi"/>
          <w:sz w:val="24"/>
          <w:szCs w:val="24"/>
        </w:rPr>
        <w:t xml:space="preserve"> noted how the police used its</w:t>
      </w:r>
      <w:r w:rsidRPr="00F4013C">
        <w:rPr>
          <w:rFonts w:asciiTheme="majorHAnsi" w:eastAsia="Times New Roman" w:hAnsiTheme="majorHAnsi"/>
          <w:sz w:val="24"/>
          <w:szCs w:val="24"/>
        </w:rPr>
        <w:t xml:space="preserve"> subjective judgement of women’s morality to not register cases of rape or domestic violence, even colluding with perpetrators in making counter attacks against the credibil</w:t>
      </w:r>
      <w:r w:rsidR="00377748" w:rsidRPr="00F4013C">
        <w:rPr>
          <w:rFonts w:asciiTheme="majorHAnsi" w:eastAsia="Times New Roman" w:hAnsiTheme="majorHAnsi"/>
          <w:sz w:val="24"/>
          <w:szCs w:val="24"/>
        </w:rPr>
        <w:t>ity of women’s statements (Author</w:t>
      </w:r>
      <w:r w:rsidR="0033556B" w:rsidRPr="00F4013C">
        <w:rPr>
          <w:rFonts w:asciiTheme="majorHAnsi" w:eastAsia="Times New Roman" w:hAnsiTheme="majorHAnsi"/>
          <w:sz w:val="24"/>
          <w:szCs w:val="24"/>
        </w:rPr>
        <w:t>,</w:t>
      </w:r>
      <w:r w:rsidRPr="00F4013C">
        <w:rPr>
          <w:rFonts w:asciiTheme="majorHAnsi" w:eastAsia="Times New Roman" w:hAnsiTheme="majorHAnsi"/>
          <w:sz w:val="24"/>
          <w:szCs w:val="24"/>
        </w:rPr>
        <w:t xml:space="preserve"> 2012). In Badaun, this issue remains critical in the tenuous reconstruction and interpretation (both by the police and judiciary) of the double murder as rape or honour killing, and therefore access to justice for the victims’ families. This is precisely so not just because of deeply </w:t>
      </w:r>
      <w:r w:rsidRPr="00F4013C">
        <w:rPr>
          <w:rFonts w:asciiTheme="majorHAnsi" w:hAnsiTheme="majorHAnsi"/>
          <w:sz w:val="24"/>
          <w:szCs w:val="24"/>
        </w:rPr>
        <w:t xml:space="preserve">misogynistic ideologies within the state and state institutions that control law-making and enforcement on sexual </w:t>
      </w:r>
      <w:r w:rsidRPr="00F4013C">
        <w:rPr>
          <w:rFonts w:asciiTheme="majorHAnsi" w:hAnsiTheme="majorHAnsi"/>
          <w:sz w:val="24"/>
          <w:szCs w:val="24"/>
        </w:rPr>
        <w:lastRenderedPageBreak/>
        <w:t xml:space="preserve">violence, but also because of police affiliation with caste communities which shape gendered rights, justice and citizenship for those on the margins of the state and rule of law. </w:t>
      </w:r>
    </w:p>
    <w:p w14:paraId="28885812" w14:textId="21B5C8D0" w:rsidR="00310DD6" w:rsidRPr="00F4013C" w:rsidRDefault="00310DD6" w:rsidP="00F4013C">
      <w:pPr>
        <w:pStyle w:val="Heading2"/>
        <w:spacing w:line="480" w:lineRule="auto"/>
        <w:rPr>
          <w:rFonts w:asciiTheme="majorHAnsi" w:hAnsiTheme="majorHAnsi"/>
          <w:i w:val="0"/>
          <w:sz w:val="24"/>
          <w:szCs w:val="24"/>
        </w:rPr>
      </w:pPr>
      <w:r w:rsidRPr="00F4013C">
        <w:rPr>
          <w:rFonts w:asciiTheme="majorHAnsi" w:hAnsiTheme="majorHAnsi"/>
          <w:i w:val="0"/>
          <w:sz w:val="24"/>
          <w:szCs w:val="24"/>
        </w:rPr>
        <w:t>‘Community’ as regulators of gendered violence</w:t>
      </w:r>
    </w:p>
    <w:p w14:paraId="093E7ACC" w14:textId="77777777" w:rsidR="0033556B" w:rsidRPr="00F4013C" w:rsidRDefault="0033556B" w:rsidP="00F4013C">
      <w:pPr>
        <w:tabs>
          <w:tab w:val="left" w:pos="2977"/>
        </w:tabs>
        <w:spacing w:line="480" w:lineRule="auto"/>
        <w:rPr>
          <w:rFonts w:asciiTheme="majorHAnsi" w:hAnsiTheme="majorHAnsi"/>
          <w:sz w:val="24"/>
          <w:szCs w:val="24"/>
        </w:rPr>
      </w:pPr>
    </w:p>
    <w:p w14:paraId="11A77A44" w14:textId="36A8EEB9" w:rsidR="00310DD6" w:rsidRPr="00F4013C" w:rsidRDefault="00310DD6" w:rsidP="00F4013C">
      <w:pPr>
        <w:tabs>
          <w:tab w:val="left" w:pos="2977"/>
        </w:tabs>
        <w:spacing w:line="480" w:lineRule="auto"/>
        <w:rPr>
          <w:rFonts w:asciiTheme="majorHAnsi" w:eastAsia="Arial Unicode MS" w:hAnsiTheme="majorHAnsi"/>
          <w:sz w:val="24"/>
          <w:szCs w:val="24"/>
          <w:u w:color="000000"/>
        </w:rPr>
      </w:pPr>
      <w:r w:rsidRPr="00F4013C">
        <w:rPr>
          <w:rFonts w:asciiTheme="majorHAnsi" w:eastAsia="Times New Roman" w:hAnsiTheme="majorHAnsi"/>
          <w:sz w:val="24"/>
          <w:szCs w:val="24"/>
        </w:rPr>
        <w:t xml:space="preserve">Links between state representatives (such as the police) and the associated social institutions (such as caste communities) that are empowered by state law-making and enforcement draw rape and a range of other forms of sexual violence within a normalized cartography of caste power and virile North Indian masculinity in Badaun. </w:t>
      </w:r>
      <w:r w:rsidRPr="00F4013C">
        <w:rPr>
          <w:rFonts w:asciiTheme="majorHAnsi" w:eastAsia="Arial Unicode MS" w:hAnsiTheme="majorHAnsi"/>
          <w:sz w:val="24"/>
          <w:szCs w:val="24"/>
          <w:u w:color="000000"/>
        </w:rPr>
        <w:t>Several scholars (Das</w:t>
      </w:r>
      <w:r w:rsidR="0033556B" w:rsidRPr="00F4013C">
        <w:rPr>
          <w:rFonts w:asciiTheme="majorHAnsi" w:eastAsia="Arial Unicode MS" w:hAnsiTheme="majorHAnsi"/>
          <w:sz w:val="24"/>
          <w:szCs w:val="24"/>
          <w:u w:color="000000"/>
        </w:rPr>
        <w:t>,</w:t>
      </w:r>
      <w:r w:rsidR="00D90367" w:rsidRPr="00F4013C">
        <w:rPr>
          <w:rFonts w:asciiTheme="majorHAnsi" w:eastAsia="Arial Unicode MS" w:hAnsiTheme="majorHAnsi"/>
          <w:sz w:val="24"/>
          <w:szCs w:val="24"/>
          <w:u w:color="000000"/>
        </w:rPr>
        <w:t xml:space="preserve"> 2004;</w:t>
      </w:r>
      <w:r w:rsidRPr="00F4013C">
        <w:rPr>
          <w:rFonts w:asciiTheme="majorHAnsi" w:eastAsia="Arial Unicode MS" w:hAnsiTheme="majorHAnsi"/>
          <w:sz w:val="24"/>
          <w:szCs w:val="24"/>
          <w:u w:color="000000"/>
        </w:rPr>
        <w:t xml:space="preserve"> Mody</w:t>
      </w:r>
      <w:r w:rsidR="0033556B" w:rsidRPr="00F4013C">
        <w:rPr>
          <w:rFonts w:asciiTheme="majorHAnsi" w:eastAsia="Arial Unicode MS" w:hAnsiTheme="majorHAnsi"/>
          <w:sz w:val="24"/>
          <w:szCs w:val="24"/>
          <w:u w:color="000000"/>
        </w:rPr>
        <w:t>,</w:t>
      </w:r>
      <w:r w:rsidRPr="00F4013C">
        <w:rPr>
          <w:rFonts w:asciiTheme="majorHAnsi" w:eastAsia="Arial Unicode MS" w:hAnsiTheme="majorHAnsi"/>
          <w:sz w:val="24"/>
          <w:szCs w:val="24"/>
          <w:u w:color="000000"/>
        </w:rPr>
        <w:t xml:space="preserve"> 2008) have outlined that the state has empowered social institutions such as the ‘community’ or ‘family’ as spaces where intimacies are legitimised, valorised or criminalized. As Das (2004) notes, the ‘community has the ability to make substantial acts of violence and acts of moral solidarity’ often legitimised by the state.  In doing so, Mody argues that the community is no longer a hypothetical space of social and moral ambivalence, rather a space that is regulated by the state and in turn regulates intimate relationships of power across public and private realms. </w:t>
      </w:r>
    </w:p>
    <w:p w14:paraId="610A405E" w14:textId="77777777" w:rsidR="00310DD6" w:rsidRPr="00F4013C" w:rsidRDefault="00310DD6" w:rsidP="00F4013C">
      <w:pPr>
        <w:spacing w:line="480" w:lineRule="auto"/>
        <w:rPr>
          <w:rFonts w:asciiTheme="majorHAnsi" w:eastAsia="Arial Unicode MS" w:hAnsiTheme="majorHAnsi"/>
          <w:sz w:val="24"/>
          <w:szCs w:val="24"/>
          <w:u w:color="000000"/>
        </w:rPr>
      </w:pPr>
      <w:r w:rsidRPr="00F4013C">
        <w:rPr>
          <w:rFonts w:asciiTheme="majorHAnsi" w:eastAsia="Times New Roman" w:hAnsiTheme="majorHAnsi"/>
          <w:sz w:val="24"/>
          <w:szCs w:val="24"/>
        </w:rPr>
        <w:t xml:space="preserve">Community in Badaun lies on the intersection of caste and class, determined by the materiality of land holding power. The Yadav castes, although </w:t>
      </w:r>
      <w:proofErr w:type="gramStart"/>
      <w:r w:rsidRPr="00F4013C">
        <w:rPr>
          <w:rFonts w:asciiTheme="majorHAnsi" w:eastAsia="Times New Roman" w:hAnsiTheme="majorHAnsi"/>
          <w:sz w:val="24"/>
          <w:szCs w:val="24"/>
        </w:rPr>
        <w:t>listed</w:t>
      </w:r>
      <w:proofErr w:type="gramEnd"/>
      <w:r w:rsidRPr="00F4013C">
        <w:rPr>
          <w:rFonts w:asciiTheme="majorHAnsi" w:eastAsia="Times New Roman" w:hAnsiTheme="majorHAnsi"/>
          <w:sz w:val="24"/>
          <w:szCs w:val="24"/>
        </w:rPr>
        <w:t xml:space="preserve"> as ‘other backward classes’ under India’s caste based reservation scheme, are nevertheless a locally powerful community with access to material spaces of land, water, electricity and sanitation. Thus while Dalit women in Badaun are subject to a number of ‘dangers’ as they enter the public domain to access sanitation and other basic services, Yadav women on the contrary are ‘protected’ from these dangers as they are able to enact their daily bodily rituals within their homes. While this protection from the public realm </w:t>
      </w:r>
      <w:r w:rsidRPr="00F4013C">
        <w:rPr>
          <w:rFonts w:asciiTheme="majorHAnsi" w:eastAsia="Times New Roman" w:hAnsiTheme="majorHAnsi"/>
          <w:sz w:val="24"/>
          <w:szCs w:val="24"/>
        </w:rPr>
        <w:lastRenderedPageBreak/>
        <w:t xml:space="preserve">does not acknowledge the complexity of gendered power and violence at home, the perceived ‘danger’ of the public realm nevertheless has led to increased activism around women’s safety on the streets. </w:t>
      </w:r>
    </w:p>
    <w:p w14:paraId="615442CB" w14:textId="77777777" w:rsidR="00310DD6" w:rsidRPr="00F4013C" w:rsidRDefault="00310DD6" w:rsidP="00F4013C">
      <w:pPr>
        <w:pStyle w:val="Heading2"/>
        <w:spacing w:line="480" w:lineRule="auto"/>
        <w:rPr>
          <w:rFonts w:asciiTheme="majorHAnsi" w:hAnsiTheme="majorHAnsi"/>
          <w:i w:val="0"/>
          <w:sz w:val="24"/>
          <w:szCs w:val="24"/>
        </w:rPr>
      </w:pPr>
      <w:proofErr w:type="gramStart"/>
      <w:r w:rsidRPr="00F4013C">
        <w:rPr>
          <w:rFonts w:asciiTheme="majorHAnsi" w:hAnsiTheme="majorHAnsi"/>
          <w:i w:val="0"/>
          <w:sz w:val="24"/>
          <w:szCs w:val="24"/>
          <w:lang w:val="en-US"/>
        </w:rPr>
        <w:t>Activism for toilet justice?</w:t>
      </w:r>
      <w:proofErr w:type="gramEnd"/>
    </w:p>
    <w:p w14:paraId="78934E1E" w14:textId="23040BAC" w:rsidR="00310DD6" w:rsidRPr="00F4013C" w:rsidRDefault="00310DD6" w:rsidP="00F4013C">
      <w:pPr>
        <w:spacing w:before="100" w:beforeAutospacing="1" w:after="100" w:afterAutospacing="1" w:line="480" w:lineRule="auto"/>
        <w:rPr>
          <w:rFonts w:asciiTheme="majorHAnsi" w:eastAsia="Times New Roman" w:hAnsiTheme="majorHAnsi"/>
          <w:sz w:val="24"/>
          <w:szCs w:val="24"/>
        </w:rPr>
      </w:pPr>
      <w:r w:rsidRPr="00F4013C">
        <w:rPr>
          <w:rFonts w:asciiTheme="majorHAnsi" w:eastAsia="Times New Roman" w:hAnsiTheme="majorHAnsi"/>
          <w:sz w:val="24"/>
          <w:szCs w:val="24"/>
        </w:rPr>
        <w:t xml:space="preserve">The Badaun rape and several other high profile cases have driven a huge shift in public debates in India around rape and sexual violence. These debates have led to the establishment of a new rape law in </w:t>
      </w:r>
      <w:proofErr w:type="gramStart"/>
      <w:r w:rsidRPr="00F4013C">
        <w:rPr>
          <w:rFonts w:asciiTheme="majorHAnsi" w:eastAsia="Times New Roman" w:hAnsiTheme="majorHAnsi"/>
          <w:sz w:val="24"/>
          <w:szCs w:val="24"/>
        </w:rPr>
        <w:t>India,</w:t>
      </w:r>
      <w:proofErr w:type="gramEnd"/>
      <w:r w:rsidRPr="00F4013C">
        <w:rPr>
          <w:rFonts w:asciiTheme="majorHAnsi" w:eastAsia="Times New Roman" w:hAnsiTheme="majorHAnsi"/>
          <w:sz w:val="24"/>
          <w:szCs w:val="24"/>
        </w:rPr>
        <w:t xml:space="preserve"> However, the Badaun rape has been key issue for social activism among development practitioners since it provides a simple answer to the question of ‘</w:t>
      </w:r>
      <w:r w:rsidRPr="00F4013C">
        <w:rPr>
          <w:rFonts w:asciiTheme="majorHAnsi" w:eastAsia="Times New Roman" w:hAnsiTheme="majorHAnsi"/>
          <w:i/>
          <w:sz w:val="24"/>
          <w:szCs w:val="24"/>
        </w:rPr>
        <w:t>how</w:t>
      </w:r>
      <w:r w:rsidRPr="00F4013C">
        <w:rPr>
          <w:rFonts w:asciiTheme="majorHAnsi" w:eastAsia="Times New Roman" w:hAnsiTheme="majorHAnsi"/>
          <w:sz w:val="24"/>
          <w:szCs w:val="24"/>
        </w:rPr>
        <w:t xml:space="preserve"> </w:t>
      </w:r>
      <w:r w:rsidRPr="00F4013C">
        <w:rPr>
          <w:rFonts w:asciiTheme="majorHAnsi" w:eastAsia="Times New Roman" w:hAnsiTheme="majorHAnsi"/>
          <w:i/>
          <w:sz w:val="24"/>
          <w:szCs w:val="24"/>
        </w:rPr>
        <w:t>could this have been prevented’</w:t>
      </w:r>
      <w:r w:rsidRPr="00F4013C">
        <w:rPr>
          <w:rFonts w:asciiTheme="majorHAnsi" w:eastAsia="Times New Roman" w:hAnsiTheme="majorHAnsi"/>
          <w:sz w:val="24"/>
          <w:szCs w:val="24"/>
        </w:rPr>
        <w:t>. Development activists have lamented that unlike previous cases; perhaps Badaun rapes could have been prevented if toilets were available to the women. The lack of toilets highlights the r</w:t>
      </w:r>
      <w:r w:rsidRPr="00F4013C">
        <w:rPr>
          <w:rFonts w:asciiTheme="majorHAnsi" w:hAnsiTheme="majorHAnsi"/>
          <w:sz w:val="24"/>
          <w:szCs w:val="24"/>
        </w:rPr>
        <w:t xml:space="preserve">ising inequalities between cities and their </w:t>
      </w:r>
      <w:proofErr w:type="gramStart"/>
      <w:r w:rsidRPr="00F4013C">
        <w:rPr>
          <w:rFonts w:asciiTheme="majorHAnsi" w:hAnsiTheme="majorHAnsi"/>
          <w:sz w:val="24"/>
          <w:szCs w:val="24"/>
        </w:rPr>
        <w:t>peripheries which have seen</w:t>
      </w:r>
      <w:proofErr w:type="gramEnd"/>
      <w:r w:rsidRPr="00F4013C">
        <w:rPr>
          <w:rFonts w:asciiTheme="majorHAnsi" w:hAnsiTheme="majorHAnsi"/>
          <w:sz w:val="24"/>
          <w:szCs w:val="24"/>
        </w:rPr>
        <w:t xml:space="preserve"> increased channelling of state investment and resources towards mega-cities at the cost of increased marginalisation of small c</w:t>
      </w:r>
      <w:r w:rsidR="00377748" w:rsidRPr="00F4013C">
        <w:rPr>
          <w:rFonts w:asciiTheme="majorHAnsi" w:hAnsiTheme="majorHAnsi"/>
          <w:sz w:val="24"/>
          <w:szCs w:val="24"/>
        </w:rPr>
        <w:t>ities, towns and villages (Author</w:t>
      </w:r>
      <w:r w:rsidR="0033556B" w:rsidRPr="00F4013C">
        <w:rPr>
          <w:rFonts w:asciiTheme="majorHAnsi" w:hAnsiTheme="majorHAnsi"/>
          <w:sz w:val="24"/>
          <w:szCs w:val="24"/>
        </w:rPr>
        <w:t>,</w:t>
      </w:r>
      <w:r w:rsidRPr="00F4013C">
        <w:rPr>
          <w:rFonts w:asciiTheme="majorHAnsi" w:hAnsiTheme="majorHAnsi"/>
          <w:sz w:val="24"/>
          <w:szCs w:val="24"/>
        </w:rPr>
        <w:t xml:space="preserve"> 2013). Badaun certainly is a place of ‘exception’ – where the complex intersections of material deprivation with the historical and political marginalisations of low castes and women, produce rape as one of the key manifestations of social and economic disempowerment. Suggesting that toilets could have prevented rape aligns the debate with India’s commitment to the Millennium Development Goals, to women’s safety and security and to development more broadly. It fits the ideologies of development planners who have long claimed that addressing material inequalities would resolve social inequalities (de Soto</w:t>
      </w:r>
      <w:r w:rsidR="0033556B" w:rsidRPr="00F4013C">
        <w:rPr>
          <w:rFonts w:asciiTheme="majorHAnsi" w:hAnsiTheme="majorHAnsi"/>
          <w:sz w:val="24"/>
          <w:szCs w:val="24"/>
        </w:rPr>
        <w:t>,</w:t>
      </w:r>
      <w:r w:rsidRPr="00F4013C">
        <w:rPr>
          <w:rFonts w:asciiTheme="majorHAnsi" w:hAnsiTheme="majorHAnsi"/>
          <w:sz w:val="24"/>
          <w:szCs w:val="24"/>
        </w:rPr>
        <w:t xml:space="preserve"> 1989).</w:t>
      </w:r>
      <w:r w:rsidRPr="00F4013C">
        <w:rPr>
          <w:rFonts w:asciiTheme="majorHAnsi" w:eastAsia="Times New Roman" w:hAnsiTheme="majorHAnsi"/>
          <w:sz w:val="24"/>
          <w:szCs w:val="24"/>
        </w:rPr>
        <w:t xml:space="preserve"> Crucially, this proposal has seen favour even among design professionals who can at long last highlight the validity of their claims that design can bring about social change.</w:t>
      </w:r>
    </w:p>
    <w:p w14:paraId="4628D613" w14:textId="5A40ACDD" w:rsidR="00310DD6" w:rsidRPr="00F4013C" w:rsidRDefault="00310DD6" w:rsidP="00F4013C">
      <w:pPr>
        <w:spacing w:before="100" w:beforeAutospacing="1" w:after="100" w:afterAutospacing="1" w:line="480" w:lineRule="auto"/>
        <w:rPr>
          <w:rFonts w:asciiTheme="majorHAnsi" w:hAnsiTheme="majorHAnsi"/>
          <w:sz w:val="24"/>
          <w:szCs w:val="24"/>
        </w:rPr>
      </w:pPr>
      <w:r w:rsidRPr="00F4013C">
        <w:rPr>
          <w:rFonts w:asciiTheme="majorHAnsi" w:hAnsiTheme="majorHAnsi"/>
          <w:sz w:val="24"/>
          <w:szCs w:val="24"/>
        </w:rPr>
        <w:lastRenderedPageBreak/>
        <w:t>There is a danger however in overemphasising the links between gendered safety and material interventions. And this lies at the heart of the public/private divisions between rape in the public realm and protection from it in the private realm – reinforced by state, law and society. This materialist interpretation serves not only to distance gendered and sexualised violence from the upper castes in Badaun or middle classes in the city who have access to toilets, but also simultaneously serves to construct rape as a function of material conditions of everyday life. While access to toilets are certainly essential for gendered rights and</w:t>
      </w:r>
      <w:r w:rsidR="0033556B" w:rsidRPr="00F4013C">
        <w:rPr>
          <w:rFonts w:asciiTheme="majorHAnsi" w:hAnsiTheme="majorHAnsi"/>
          <w:sz w:val="24"/>
          <w:szCs w:val="24"/>
        </w:rPr>
        <w:t xml:space="preserve"> citizenship (Burra et al., </w:t>
      </w:r>
      <w:r w:rsidRPr="00F4013C">
        <w:rPr>
          <w:rFonts w:asciiTheme="majorHAnsi" w:hAnsiTheme="majorHAnsi"/>
          <w:sz w:val="24"/>
          <w:szCs w:val="24"/>
        </w:rPr>
        <w:t xml:space="preserve">2003), the ‘toilets to prevent rape’ argument needs to be unpacked in terms of its embedded gendered and potentially misogynistic assumptions. This argument first distracts from the intersectionality of gendered violence and from the deeply embedded gendered ideologies within state, law and society to simplify its solution in the provision of basic amenities. Second, this argument suggests that rape is a product of ‘stranger misogyny’ and that provision of toilets would prevent this potentially dangerous contact with strangers in the public realm. Finally and related to the above, this argument ironically restricts women’s entry into the public domain by suggesting that women within the home are ‘protected’ from gender violence. This is a convenient argument that has been co-opted by the state since it absolves the state of not intervening in domestic violence, incest, spousal rape and several other forms of sexualised violence that takes place within the home and inflicted by the family or community. </w:t>
      </w:r>
    </w:p>
    <w:p w14:paraId="27A97670" w14:textId="51409A01" w:rsidR="00310DD6" w:rsidRPr="00F4013C" w:rsidRDefault="00310DD6" w:rsidP="00F4013C">
      <w:pPr>
        <w:spacing w:before="100" w:beforeAutospacing="1" w:after="100" w:afterAutospacing="1" w:line="480" w:lineRule="auto"/>
        <w:rPr>
          <w:rFonts w:asciiTheme="majorHAnsi" w:hAnsiTheme="majorHAnsi"/>
          <w:sz w:val="24"/>
          <w:szCs w:val="24"/>
        </w:rPr>
      </w:pPr>
      <w:r w:rsidRPr="00F4013C">
        <w:rPr>
          <w:rFonts w:asciiTheme="majorHAnsi" w:eastAsia="Times New Roman" w:hAnsiTheme="majorHAnsi"/>
          <w:sz w:val="24"/>
          <w:szCs w:val="24"/>
        </w:rPr>
        <w:t xml:space="preserve">By recasting the personal and public divides across gendered power and sexual violence it is possible to interrogate Badaun and other rape cases as a form of </w:t>
      </w:r>
      <w:r w:rsidR="00220B8B" w:rsidRPr="00F4013C">
        <w:rPr>
          <w:rFonts w:asciiTheme="majorHAnsi" w:eastAsia="Times New Roman" w:hAnsiTheme="majorHAnsi"/>
          <w:sz w:val="24"/>
          <w:szCs w:val="24"/>
        </w:rPr>
        <w:t>spatialized</w:t>
      </w:r>
      <w:r w:rsidRPr="00F4013C">
        <w:rPr>
          <w:rFonts w:asciiTheme="majorHAnsi" w:eastAsia="Times New Roman" w:hAnsiTheme="majorHAnsi"/>
          <w:sz w:val="24"/>
          <w:szCs w:val="24"/>
        </w:rPr>
        <w:t xml:space="preserve"> violence enacted over women’s bodies and spaces, not just in the act itself, but also in the solutions proposed. Badaun is particular because the public debates have focussed </w:t>
      </w:r>
      <w:r w:rsidRPr="00F4013C">
        <w:rPr>
          <w:rFonts w:asciiTheme="majorHAnsi" w:eastAsia="Times New Roman" w:hAnsiTheme="majorHAnsi"/>
          <w:sz w:val="24"/>
          <w:szCs w:val="24"/>
        </w:rPr>
        <w:lastRenderedPageBreak/>
        <w:t>on material, design interventions. Ironically though Badaun reinforces controls over women’s bodies and spaces through</w:t>
      </w:r>
      <w:r w:rsidR="00972DF4" w:rsidRPr="00F4013C">
        <w:rPr>
          <w:rFonts w:asciiTheme="majorHAnsi" w:eastAsia="Times New Roman" w:hAnsiTheme="majorHAnsi"/>
          <w:sz w:val="24"/>
          <w:szCs w:val="24"/>
        </w:rPr>
        <w:t xml:space="preserve"> the</w:t>
      </w:r>
      <w:r w:rsidRPr="00F4013C">
        <w:rPr>
          <w:rFonts w:asciiTheme="majorHAnsi" w:eastAsia="Times New Roman" w:hAnsiTheme="majorHAnsi"/>
          <w:sz w:val="24"/>
          <w:szCs w:val="24"/>
        </w:rPr>
        <w:t xml:space="preserve"> violence of developmentalit</w:t>
      </w:r>
      <w:r w:rsidR="00972DF4" w:rsidRPr="00F4013C">
        <w:rPr>
          <w:rFonts w:asciiTheme="majorHAnsi" w:eastAsia="Times New Roman" w:hAnsiTheme="majorHAnsi"/>
          <w:sz w:val="24"/>
          <w:szCs w:val="24"/>
        </w:rPr>
        <w:t>y. While activism against rape has</w:t>
      </w:r>
      <w:r w:rsidRPr="00F4013C">
        <w:rPr>
          <w:rFonts w:asciiTheme="majorHAnsi" w:eastAsia="Times New Roman" w:hAnsiTheme="majorHAnsi"/>
          <w:sz w:val="24"/>
          <w:szCs w:val="24"/>
        </w:rPr>
        <w:t xml:space="preserve"> brought about changes in law and policy, r</w:t>
      </w:r>
      <w:r w:rsidRPr="00F4013C">
        <w:rPr>
          <w:rFonts w:asciiTheme="majorHAnsi" w:hAnsiTheme="majorHAnsi"/>
          <w:sz w:val="24"/>
          <w:szCs w:val="24"/>
        </w:rPr>
        <w:t>ecognising the complex exchanges of gendered and sexualised violence between and across home and outside would lead to better understanding of the spaces, scales and terrains of violence and the multiple ways they lay siege on women’s bodies. This understanding would be cru</w:t>
      </w:r>
      <w:r w:rsidR="00972DF4" w:rsidRPr="00F4013C">
        <w:rPr>
          <w:rFonts w:asciiTheme="majorHAnsi" w:hAnsiTheme="majorHAnsi"/>
          <w:sz w:val="24"/>
          <w:szCs w:val="24"/>
        </w:rPr>
        <w:t>cial to more appropriate gender-</w:t>
      </w:r>
      <w:r w:rsidRPr="00F4013C">
        <w:rPr>
          <w:rFonts w:asciiTheme="majorHAnsi" w:hAnsiTheme="majorHAnsi"/>
          <w:sz w:val="24"/>
          <w:szCs w:val="24"/>
        </w:rPr>
        <w:t>just interventions with the spaces of state, law and society.</w:t>
      </w:r>
    </w:p>
    <w:p w14:paraId="2B3170DE" w14:textId="07E2C42F" w:rsidR="00310DD6" w:rsidRPr="00F4013C" w:rsidRDefault="00955388" w:rsidP="00F4013C">
      <w:pPr>
        <w:pStyle w:val="Heading2"/>
        <w:spacing w:line="480" w:lineRule="auto"/>
        <w:rPr>
          <w:rFonts w:asciiTheme="majorHAnsi" w:hAnsiTheme="majorHAnsi"/>
          <w:i w:val="0"/>
          <w:sz w:val="24"/>
          <w:szCs w:val="24"/>
        </w:rPr>
      </w:pPr>
      <w:r w:rsidRPr="00F4013C">
        <w:rPr>
          <w:rFonts w:asciiTheme="majorHAnsi" w:hAnsiTheme="majorHAnsi"/>
          <w:i w:val="0"/>
          <w:sz w:val="24"/>
          <w:szCs w:val="24"/>
        </w:rPr>
        <w:t>References</w:t>
      </w:r>
    </w:p>
    <w:p w14:paraId="22C3C7BF" w14:textId="214F4F85" w:rsidR="00310DD6" w:rsidRPr="00F4013C" w:rsidRDefault="00220C17" w:rsidP="00F4013C">
      <w:pPr>
        <w:spacing w:before="100" w:beforeAutospacing="1" w:after="100" w:afterAutospacing="1" w:line="480" w:lineRule="auto"/>
        <w:rPr>
          <w:rFonts w:asciiTheme="majorHAnsi" w:hAnsiTheme="majorHAnsi"/>
          <w:noProof/>
          <w:sz w:val="24"/>
          <w:szCs w:val="24"/>
        </w:rPr>
      </w:pPr>
      <w:r w:rsidRPr="00F4013C">
        <w:rPr>
          <w:rFonts w:asciiTheme="majorHAnsi" w:hAnsiTheme="majorHAnsi"/>
          <w:noProof/>
          <w:sz w:val="24"/>
          <w:szCs w:val="24"/>
        </w:rPr>
        <w:t xml:space="preserve">Ahmed-Ghosh H </w:t>
      </w:r>
      <w:r w:rsidR="00D2761B" w:rsidRPr="00F4013C">
        <w:rPr>
          <w:rFonts w:asciiTheme="majorHAnsi" w:hAnsiTheme="majorHAnsi"/>
          <w:noProof/>
          <w:sz w:val="24"/>
          <w:szCs w:val="24"/>
        </w:rPr>
        <w:t>(</w:t>
      </w:r>
      <w:r w:rsidRPr="00F4013C">
        <w:rPr>
          <w:rFonts w:asciiTheme="majorHAnsi" w:hAnsiTheme="majorHAnsi"/>
          <w:noProof/>
          <w:sz w:val="24"/>
          <w:szCs w:val="24"/>
        </w:rPr>
        <w:t>2004</w:t>
      </w:r>
      <w:r w:rsidR="00D2761B" w:rsidRPr="00F4013C">
        <w:rPr>
          <w:rFonts w:asciiTheme="majorHAnsi" w:hAnsiTheme="majorHAnsi"/>
          <w:noProof/>
          <w:sz w:val="24"/>
          <w:szCs w:val="24"/>
        </w:rPr>
        <w:t>)</w:t>
      </w:r>
      <w:r w:rsidRPr="00F4013C">
        <w:rPr>
          <w:rFonts w:asciiTheme="majorHAnsi" w:hAnsiTheme="majorHAnsi"/>
          <w:noProof/>
          <w:sz w:val="24"/>
          <w:szCs w:val="24"/>
        </w:rPr>
        <w:t xml:space="preserve"> </w:t>
      </w:r>
      <w:r w:rsidR="00310DD6" w:rsidRPr="00F4013C">
        <w:rPr>
          <w:rFonts w:asciiTheme="majorHAnsi" w:hAnsiTheme="majorHAnsi"/>
          <w:noProof/>
          <w:sz w:val="24"/>
          <w:szCs w:val="24"/>
        </w:rPr>
        <w:t xml:space="preserve">Chattels of society: Domestic Violence in India. </w:t>
      </w:r>
      <w:r w:rsidR="00310DD6" w:rsidRPr="00F4013C">
        <w:rPr>
          <w:rFonts w:asciiTheme="majorHAnsi" w:hAnsiTheme="majorHAnsi"/>
          <w:i/>
          <w:iCs/>
          <w:noProof/>
          <w:sz w:val="24"/>
          <w:szCs w:val="24"/>
        </w:rPr>
        <w:t>Violence against Women</w:t>
      </w:r>
      <w:r w:rsidR="00310DD6" w:rsidRPr="00F4013C">
        <w:rPr>
          <w:rFonts w:asciiTheme="majorHAnsi" w:hAnsiTheme="majorHAnsi"/>
          <w:noProof/>
          <w:sz w:val="24"/>
          <w:szCs w:val="24"/>
        </w:rPr>
        <w:t xml:space="preserve"> </w:t>
      </w:r>
      <w:r w:rsidR="00310DD6" w:rsidRPr="00F4013C">
        <w:rPr>
          <w:rFonts w:asciiTheme="majorHAnsi" w:hAnsiTheme="majorHAnsi"/>
          <w:iCs/>
          <w:noProof/>
          <w:sz w:val="24"/>
          <w:szCs w:val="24"/>
        </w:rPr>
        <w:t>10</w:t>
      </w:r>
      <w:r w:rsidRPr="00F4013C">
        <w:rPr>
          <w:rFonts w:asciiTheme="majorHAnsi" w:hAnsiTheme="majorHAnsi"/>
          <w:noProof/>
          <w:sz w:val="24"/>
          <w:szCs w:val="24"/>
        </w:rPr>
        <w:t xml:space="preserve"> (1):</w:t>
      </w:r>
      <w:r w:rsidR="00310DD6" w:rsidRPr="00F4013C">
        <w:rPr>
          <w:rFonts w:asciiTheme="majorHAnsi" w:hAnsiTheme="majorHAnsi"/>
          <w:noProof/>
          <w:sz w:val="24"/>
          <w:szCs w:val="24"/>
        </w:rPr>
        <w:t xml:space="preserve"> 94-118.</w:t>
      </w:r>
    </w:p>
    <w:p w14:paraId="4BD2AEB9" w14:textId="64160DCD" w:rsidR="00310DD6" w:rsidRPr="00F4013C" w:rsidRDefault="00220C17" w:rsidP="00F4013C">
      <w:pPr>
        <w:pStyle w:val="Bibliography"/>
        <w:spacing w:line="480" w:lineRule="auto"/>
        <w:rPr>
          <w:rFonts w:asciiTheme="majorHAnsi" w:hAnsiTheme="majorHAnsi"/>
          <w:noProof/>
          <w:sz w:val="24"/>
          <w:szCs w:val="24"/>
        </w:rPr>
      </w:pPr>
      <w:r w:rsidRPr="00F4013C">
        <w:rPr>
          <w:rFonts w:asciiTheme="majorHAnsi" w:hAnsiTheme="majorHAnsi"/>
          <w:noProof/>
          <w:sz w:val="24"/>
          <w:szCs w:val="24"/>
        </w:rPr>
        <w:t xml:space="preserve">Baxi U </w:t>
      </w:r>
      <w:r w:rsidR="00D2761B" w:rsidRPr="00F4013C">
        <w:rPr>
          <w:rFonts w:asciiTheme="majorHAnsi" w:hAnsiTheme="majorHAnsi"/>
          <w:noProof/>
          <w:sz w:val="24"/>
          <w:szCs w:val="24"/>
        </w:rPr>
        <w:t>(</w:t>
      </w:r>
      <w:r w:rsidRPr="00F4013C">
        <w:rPr>
          <w:rFonts w:asciiTheme="majorHAnsi" w:hAnsiTheme="majorHAnsi"/>
          <w:noProof/>
          <w:sz w:val="24"/>
          <w:szCs w:val="24"/>
        </w:rPr>
        <w:t>2005</w:t>
      </w:r>
      <w:r w:rsidR="00D2761B" w:rsidRPr="00F4013C">
        <w:rPr>
          <w:rFonts w:asciiTheme="majorHAnsi" w:hAnsiTheme="majorHAnsi"/>
          <w:noProof/>
          <w:sz w:val="24"/>
          <w:szCs w:val="24"/>
        </w:rPr>
        <w:t>)</w:t>
      </w:r>
      <w:r w:rsidR="00310DD6" w:rsidRPr="00F4013C">
        <w:rPr>
          <w:rFonts w:asciiTheme="majorHAnsi" w:hAnsiTheme="majorHAnsi"/>
          <w:noProof/>
          <w:sz w:val="24"/>
          <w:szCs w:val="24"/>
        </w:rPr>
        <w:t xml:space="preserve"> The (Im)possibility o</w:t>
      </w:r>
      <w:r w:rsidR="00AD4B0A" w:rsidRPr="00F4013C">
        <w:rPr>
          <w:rFonts w:asciiTheme="majorHAnsi" w:hAnsiTheme="majorHAnsi"/>
          <w:noProof/>
          <w:sz w:val="24"/>
          <w:szCs w:val="24"/>
        </w:rPr>
        <w:t>f Constitutional Justice. In Z Hasan, E Sridharan and R</w:t>
      </w:r>
      <w:r w:rsidR="00310DD6" w:rsidRPr="00F4013C">
        <w:rPr>
          <w:rFonts w:asciiTheme="majorHAnsi" w:hAnsiTheme="majorHAnsi"/>
          <w:noProof/>
          <w:sz w:val="24"/>
          <w:szCs w:val="24"/>
        </w:rPr>
        <w:t xml:space="preserve"> Sudarshan</w:t>
      </w:r>
      <w:r w:rsidR="00AD4B0A" w:rsidRPr="00F4013C">
        <w:rPr>
          <w:rFonts w:asciiTheme="majorHAnsi" w:hAnsiTheme="majorHAnsi"/>
          <w:noProof/>
          <w:sz w:val="24"/>
          <w:szCs w:val="24"/>
        </w:rPr>
        <w:t xml:space="preserve"> (eds) </w:t>
      </w:r>
      <w:r w:rsidR="00310DD6" w:rsidRPr="00F4013C">
        <w:rPr>
          <w:rFonts w:asciiTheme="majorHAnsi" w:hAnsiTheme="majorHAnsi"/>
          <w:i/>
          <w:iCs/>
          <w:noProof/>
          <w:sz w:val="24"/>
          <w:szCs w:val="24"/>
        </w:rPr>
        <w:t>India's Living Constitution</w:t>
      </w:r>
      <w:r w:rsidR="00AD4B0A" w:rsidRPr="00F4013C">
        <w:rPr>
          <w:rFonts w:asciiTheme="majorHAnsi" w:hAnsiTheme="majorHAnsi"/>
          <w:noProof/>
          <w:sz w:val="24"/>
          <w:szCs w:val="24"/>
        </w:rPr>
        <w:t>. Delhi: Anthem Press, pp. 31-63.</w:t>
      </w:r>
    </w:p>
    <w:p w14:paraId="6C85BBDB" w14:textId="5D41E48B" w:rsidR="00310DD6" w:rsidRPr="00F4013C" w:rsidRDefault="001109C0" w:rsidP="00F4013C">
      <w:pPr>
        <w:spacing w:line="480" w:lineRule="auto"/>
        <w:rPr>
          <w:rFonts w:asciiTheme="majorHAnsi" w:hAnsiTheme="majorHAnsi"/>
          <w:noProof/>
          <w:sz w:val="24"/>
          <w:szCs w:val="24"/>
        </w:rPr>
      </w:pPr>
      <w:r w:rsidRPr="00F4013C">
        <w:rPr>
          <w:rFonts w:asciiTheme="majorHAnsi" w:hAnsiTheme="majorHAnsi"/>
          <w:noProof/>
          <w:sz w:val="24"/>
          <w:szCs w:val="24"/>
        </w:rPr>
        <w:t xml:space="preserve">Burra S, Patel S and </w:t>
      </w:r>
      <w:r w:rsidR="00310DD6" w:rsidRPr="00F4013C">
        <w:rPr>
          <w:rFonts w:asciiTheme="majorHAnsi" w:hAnsiTheme="majorHAnsi"/>
          <w:noProof/>
          <w:sz w:val="24"/>
          <w:szCs w:val="24"/>
        </w:rPr>
        <w:t>Ke</w:t>
      </w:r>
      <w:r w:rsidRPr="00F4013C">
        <w:rPr>
          <w:rFonts w:asciiTheme="majorHAnsi" w:hAnsiTheme="majorHAnsi"/>
          <w:noProof/>
          <w:sz w:val="24"/>
          <w:szCs w:val="24"/>
        </w:rPr>
        <w:t>rr T (2003)</w:t>
      </w:r>
      <w:r w:rsidR="00310DD6" w:rsidRPr="00F4013C">
        <w:rPr>
          <w:rFonts w:asciiTheme="majorHAnsi" w:hAnsiTheme="majorHAnsi"/>
          <w:noProof/>
          <w:sz w:val="24"/>
          <w:szCs w:val="24"/>
        </w:rPr>
        <w:t xml:space="preserve"> Community-designed, built and managed toilet blocks in Indian cities. </w:t>
      </w:r>
      <w:r w:rsidR="00310DD6" w:rsidRPr="00F4013C">
        <w:rPr>
          <w:rFonts w:asciiTheme="majorHAnsi" w:hAnsiTheme="majorHAnsi"/>
          <w:i/>
          <w:iCs/>
          <w:noProof/>
          <w:sz w:val="24"/>
          <w:szCs w:val="24"/>
        </w:rPr>
        <w:t xml:space="preserve">Environment and Urbanization </w:t>
      </w:r>
      <w:r w:rsidR="00310DD6" w:rsidRPr="00F4013C">
        <w:rPr>
          <w:rFonts w:asciiTheme="majorHAnsi" w:hAnsiTheme="majorHAnsi"/>
          <w:iCs/>
          <w:noProof/>
          <w:sz w:val="24"/>
          <w:szCs w:val="24"/>
        </w:rPr>
        <w:t>15</w:t>
      </w:r>
      <w:r w:rsidRPr="00F4013C">
        <w:rPr>
          <w:rFonts w:asciiTheme="majorHAnsi" w:hAnsiTheme="majorHAnsi"/>
          <w:noProof/>
          <w:sz w:val="24"/>
          <w:szCs w:val="24"/>
        </w:rPr>
        <w:t xml:space="preserve"> (2):</w:t>
      </w:r>
      <w:r w:rsidR="00310DD6" w:rsidRPr="00F4013C">
        <w:rPr>
          <w:rFonts w:asciiTheme="majorHAnsi" w:hAnsiTheme="majorHAnsi"/>
          <w:noProof/>
          <w:sz w:val="24"/>
          <w:szCs w:val="24"/>
        </w:rPr>
        <w:t xml:space="preserve"> 11-32.</w:t>
      </w:r>
    </w:p>
    <w:p w14:paraId="6184B9CA" w14:textId="659EEB01" w:rsidR="00310DD6" w:rsidRPr="00F4013C" w:rsidRDefault="001109C0" w:rsidP="00F4013C">
      <w:pPr>
        <w:pStyle w:val="Bibliography"/>
        <w:spacing w:line="480" w:lineRule="auto"/>
        <w:rPr>
          <w:rFonts w:asciiTheme="majorHAnsi" w:hAnsiTheme="majorHAnsi"/>
          <w:noProof/>
          <w:sz w:val="24"/>
          <w:szCs w:val="24"/>
        </w:rPr>
      </w:pPr>
      <w:r w:rsidRPr="00F4013C">
        <w:rPr>
          <w:rFonts w:asciiTheme="majorHAnsi" w:hAnsiTheme="majorHAnsi"/>
          <w:noProof/>
          <w:sz w:val="24"/>
          <w:szCs w:val="24"/>
        </w:rPr>
        <w:t>Das V (2004)</w:t>
      </w:r>
      <w:r w:rsidR="00310DD6" w:rsidRPr="00F4013C">
        <w:rPr>
          <w:rFonts w:asciiTheme="majorHAnsi" w:hAnsiTheme="majorHAnsi"/>
          <w:noProof/>
          <w:sz w:val="24"/>
          <w:szCs w:val="24"/>
        </w:rPr>
        <w:t xml:space="preserve"> The Signature of the State: The</w:t>
      </w:r>
      <w:r w:rsidRPr="00F4013C">
        <w:rPr>
          <w:rFonts w:asciiTheme="majorHAnsi" w:hAnsiTheme="majorHAnsi"/>
          <w:noProof/>
          <w:sz w:val="24"/>
          <w:szCs w:val="24"/>
        </w:rPr>
        <w:t xml:space="preserve"> paradox of illegibility. In V Das and D</w:t>
      </w:r>
      <w:r w:rsidR="00310DD6" w:rsidRPr="00F4013C">
        <w:rPr>
          <w:rFonts w:asciiTheme="majorHAnsi" w:hAnsiTheme="majorHAnsi"/>
          <w:noProof/>
          <w:sz w:val="24"/>
          <w:szCs w:val="24"/>
        </w:rPr>
        <w:t xml:space="preserve"> Poole</w:t>
      </w:r>
      <w:r w:rsidRPr="00F4013C">
        <w:rPr>
          <w:rFonts w:asciiTheme="majorHAnsi" w:hAnsiTheme="majorHAnsi"/>
          <w:noProof/>
          <w:sz w:val="24"/>
          <w:szCs w:val="24"/>
        </w:rPr>
        <w:t xml:space="preserve"> (eds) </w:t>
      </w:r>
      <w:r w:rsidR="00310DD6" w:rsidRPr="00F4013C">
        <w:rPr>
          <w:rFonts w:asciiTheme="majorHAnsi" w:hAnsiTheme="majorHAnsi"/>
          <w:i/>
          <w:iCs/>
          <w:noProof/>
          <w:sz w:val="24"/>
          <w:szCs w:val="24"/>
        </w:rPr>
        <w:t>Anthropology in the Margins of the State</w:t>
      </w:r>
      <w:r w:rsidRPr="00F4013C">
        <w:rPr>
          <w:rFonts w:asciiTheme="majorHAnsi" w:hAnsiTheme="majorHAnsi"/>
          <w:noProof/>
          <w:sz w:val="24"/>
          <w:szCs w:val="24"/>
        </w:rPr>
        <w:t>. Oxford: James Currey, pp. 225-252.</w:t>
      </w:r>
    </w:p>
    <w:p w14:paraId="22EA0856" w14:textId="65B703BD" w:rsidR="00310DD6" w:rsidRPr="00F4013C" w:rsidRDefault="001109C0" w:rsidP="00F4013C">
      <w:pPr>
        <w:pStyle w:val="Bibliography"/>
        <w:spacing w:line="480" w:lineRule="auto"/>
        <w:rPr>
          <w:rFonts w:asciiTheme="majorHAnsi" w:hAnsiTheme="majorHAnsi"/>
          <w:noProof/>
          <w:sz w:val="24"/>
          <w:szCs w:val="24"/>
        </w:rPr>
      </w:pPr>
      <w:r w:rsidRPr="00F4013C">
        <w:rPr>
          <w:rFonts w:asciiTheme="majorHAnsi" w:hAnsiTheme="majorHAnsi"/>
          <w:noProof/>
          <w:sz w:val="24"/>
          <w:szCs w:val="24"/>
        </w:rPr>
        <w:t>De Soto H</w:t>
      </w:r>
      <w:r w:rsidR="00310DD6" w:rsidRPr="00F4013C">
        <w:rPr>
          <w:rFonts w:asciiTheme="majorHAnsi" w:hAnsiTheme="majorHAnsi"/>
          <w:noProof/>
          <w:sz w:val="24"/>
          <w:szCs w:val="24"/>
        </w:rPr>
        <w:t xml:space="preserve"> (1989)</w:t>
      </w:r>
      <w:r w:rsidRPr="00F4013C">
        <w:rPr>
          <w:rFonts w:asciiTheme="majorHAnsi" w:hAnsiTheme="majorHAnsi"/>
          <w:noProof/>
          <w:sz w:val="24"/>
          <w:szCs w:val="24"/>
        </w:rPr>
        <w:t xml:space="preserve"> </w:t>
      </w:r>
      <w:r w:rsidR="00310DD6" w:rsidRPr="00F4013C">
        <w:rPr>
          <w:rFonts w:asciiTheme="majorHAnsi" w:hAnsiTheme="majorHAnsi"/>
          <w:i/>
          <w:iCs/>
          <w:noProof/>
          <w:sz w:val="24"/>
          <w:szCs w:val="24"/>
        </w:rPr>
        <w:t>The Other Path.</w:t>
      </w:r>
      <w:r w:rsidR="00310DD6" w:rsidRPr="00F4013C">
        <w:rPr>
          <w:rFonts w:asciiTheme="majorHAnsi" w:hAnsiTheme="majorHAnsi"/>
          <w:noProof/>
          <w:sz w:val="24"/>
          <w:szCs w:val="24"/>
        </w:rPr>
        <w:t xml:space="preserve"> London: IB Tauris.</w:t>
      </w:r>
    </w:p>
    <w:p w14:paraId="074E8611" w14:textId="6EB741E6" w:rsidR="00310DD6" w:rsidRPr="00F4013C" w:rsidRDefault="001109C0" w:rsidP="00F4013C">
      <w:pPr>
        <w:widowControl w:val="0"/>
        <w:spacing w:line="480" w:lineRule="auto"/>
        <w:rPr>
          <w:rFonts w:asciiTheme="majorHAnsi" w:hAnsiTheme="majorHAnsi"/>
          <w:sz w:val="24"/>
          <w:szCs w:val="24"/>
        </w:rPr>
      </w:pPr>
      <w:r w:rsidRPr="00F4013C">
        <w:rPr>
          <w:rFonts w:asciiTheme="majorHAnsi" w:hAnsiTheme="majorHAnsi"/>
          <w:sz w:val="24"/>
          <w:szCs w:val="24"/>
        </w:rPr>
        <w:t>Galanter M</w:t>
      </w:r>
      <w:r w:rsidR="00310DD6" w:rsidRPr="00F4013C">
        <w:rPr>
          <w:rFonts w:asciiTheme="majorHAnsi" w:hAnsiTheme="majorHAnsi"/>
          <w:sz w:val="24"/>
          <w:szCs w:val="24"/>
        </w:rPr>
        <w:t xml:space="preserve"> </w:t>
      </w:r>
      <w:r w:rsidRPr="00F4013C">
        <w:rPr>
          <w:rFonts w:asciiTheme="majorHAnsi" w:hAnsiTheme="majorHAnsi"/>
          <w:sz w:val="24"/>
          <w:szCs w:val="24"/>
        </w:rPr>
        <w:t>(1988)</w:t>
      </w:r>
      <w:r w:rsidR="00310DD6" w:rsidRPr="00F4013C">
        <w:rPr>
          <w:rFonts w:asciiTheme="majorHAnsi" w:hAnsiTheme="majorHAnsi"/>
          <w:sz w:val="24"/>
          <w:szCs w:val="24"/>
        </w:rPr>
        <w:t xml:space="preserve"> Law: Judicial and legal Systems of India. In</w:t>
      </w:r>
      <w:r w:rsidR="00E95DD5" w:rsidRPr="00F4013C">
        <w:rPr>
          <w:rFonts w:asciiTheme="majorHAnsi" w:hAnsiTheme="majorHAnsi"/>
          <w:sz w:val="24"/>
          <w:szCs w:val="24"/>
        </w:rPr>
        <w:t>:</w:t>
      </w:r>
      <w:r w:rsidRPr="00F4013C">
        <w:rPr>
          <w:rFonts w:asciiTheme="majorHAnsi" w:hAnsiTheme="majorHAnsi"/>
          <w:sz w:val="24"/>
          <w:szCs w:val="24"/>
        </w:rPr>
        <w:t xml:space="preserve"> </w:t>
      </w:r>
      <w:proofErr w:type="spellStart"/>
      <w:r w:rsidRPr="00F4013C">
        <w:rPr>
          <w:rFonts w:asciiTheme="majorHAnsi" w:hAnsiTheme="majorHAnsi"/>
          <w:sz w:val="24"/>
          <w:szCs w:val="24"/>
        </w:rPr>
        <w:t>Embree</w:t>
      </w:r>
      <w:proofErr w:type="spellEnd"/>
      <w:r w:rsidRPr="00F4013C">
        <w:rPr>
          <w:rFonts w:asciiTheme="majorHAnsi" w:hAnsiTheme="majorHAnsi"/>
          <w:sz w:val="24"/>
          <w:szCs w:val="24"/>
        </w:rPr>
        <w:t xml:space="preserve"> </w:t>
      </w:r>
      <w:proofErr w:type="gramStart"/>
      <w:r w:rsidRPr="00F4013C">
        <w:rPr>
          <w:rFonts w:asciiTheme="majorHAnsi" w:hAnsiTheme="majorHAnsi"/>
          <w:sz w:val="24"/>
          <w:szCs w:val="24"/>
        </w:rPr>
        <w:t>A</w:t>
      </w:r>
      <w:proofErr w:type="gramEnd"/>
      <w:r w:rsidRPr="00F4013C">
        <w:rPr>
          <w:rFonts w:asciiTheme="majorHAnsi" w:hAnsiTheme="majorHAnsi"/>
          <w:sz w:val="24"/>
          <w:szCs w:val="24"/>
        </w:rPr>
        <w:t xml:space="preserve"> (</w:t>
      </w:r>
      <w:proofErr w:type="spellStart"/>
      <w:r w:rsidRPr="00F4013C">
        <w:rPr>
          <w:rFonts w:asciiTheme="majorHAnsi" w:hAnsiTheme="majorHAnsi"/>
          <w:sz w:val="24"/>
          <w:szCs w:val="24"/>
        </w:rPr>
        <w:t>ed</w:t>
      </w:r>
      <w:proofErr w:type="spellEnd"/>
      <w:r w:rsidRPr="00F4013C">
        <w:rPr>
          <w:rFonts w:asciiTheme="majorHAnsi" w:hAnsiTheme="majorHAnsi"/>
          <w:sz w:val="24"/>
          <w:szCs w:val="24"/>
        </w:rPr>
        <w:t>)</w:t>
      </w:r>
      <w:r w:rsidR="00310DD6" w:rsidRPr="00F4013C">
        <w:rPr>
          <w:rFonts w:asciiTheme="majorHAnsi" w:hAnsiTheme="majorHAnsi"/>
          <w:sz w:val="24"/>
          <w:szCs w:val="24"/>
        </w:rPr>
        <w:t xml:space="preserve"> </w:t>
      </w:r>
      <w:proofErr w:type="spellStart"/>
      <w:r w:rsidR="00310DD6" w:rsidRPr="00F4013C">
        <w:rPr>
          <w:rFonts w:asciiTheme="majorHAnsi" w:hAnsiTheme="majorHAnsi"/>
          <w:i/>
          <w:sz w:val="24"/>
          <w:szCs w:val="24"/>
        </w:rPr>
        <w:t>Encyclopedia</w:t>
      </w:r>
      <w:proofErr w:type="spellEnd"/>
      <w:r w:rsidR="00310DD6" w:rsidRPr="00F4013C">
        <w:rPr>
          <w:rFonts w:asciiTheme="majorHAnsi" w:hAnsiTheme="majorHAnsi"/>
          <w:i/>
          <w:sz w:val="24"/>
          <w:szCs w:val="24"/>
        </w:rPr>
        <w:t xml:space="preserve"> of Asian History</w:t>
      </w:r>
      <w:r w:rsidRPr="00F4013C">
        <w:rPr>
          <w:rFonts w:asciiTheme="majorHAnsi" w:hAnsiTheme="majorHAnsi"/>
          <w:i/>
          <w:sz w:val="24"/>
          <w:szCs w:val="24"/>
        </w:rPr>
        <w:t xml:space="preserve">. </w:t>
      </w:r>
      <w:r w:rsidR="00310DD6" w:rsidRPr="00F4013C">
        <w:rPr>
          <w:rFonts w:asciiTheme="majorHAnsi" w:hAnsiTheme="majorHAnsi"/>
          <w:sz w:val="24"/>
          <w:szCs w:val="24"/>
        </w:rPr>
        <w:t>New</w:t>
      </w:r>
      <w:r w:rsidRPr="00F4013C">
        <w:rPr>
          <w:rFonts w:asciiTheme="majorHAnsi" w:hAnsiTheme="majorHAnsi"/>
          <w:sz w:val="24"/>
          <w:szCs w:val="24"/>
        </w:rPr>
        <w:t xml:space="preserve"> York: Charles Scribner's Sons, pp. </w:t>
      </w:r>
      <w:r w:rsidR="00310DD6" w:rsidRPr="00F4013C">
        <w:rPr>
          <w:rFonts w:asciiTheme="majorHAnsi" w:hAnsiTheme="majorHAnsi"/>
          <w:sz w:val="24"/>
          <w:szCs w:val="24"/>
        </w:rPr>
        <w:t>411–414.</w:t>
      </w:r>
    </w:p>
    <w:p w14:paraId="6A79DDD7" w14:textId="6769333C" w:rsidR="00310DD6" w:rsidRPr="00F4013C" w:rsidRDefault="001109C0" w:rsidP="00F4013C">
      <w:pPr>
        <w:widowControl w:val="0"/>
        <w:spacing w:line="480" w:lineRule="auto"/>
        <w:rPr>
          <w:rFonts w:asciiTheme="majorHAnsi" w:hAnsiTheme="majorHAnsi"/>
          <w:sz w:val="24"/>
          <w:szCs w:val="24"/>
        </w:rPr>
      </w:pPr>
      <w:r w:rsidRPr="00F4013C">
        <w:rPr>
          <w:rFonts w:asciiTheme="majorHAnsi" w:hAnsiTheme="majorHAnsi"/>
          <w:sz w:val="24"/>
          <w:szCs w:val="24"/>
        </w:rPr>
        <w:t xml:space="preserve">Mody P </w:t>
      </w:r>
      <w:r w:rsidR="00310DD6" w:rsidRPr="00F4013C">
        <w:rPr>
          <w:rFonts w:asciiTheme="majorHAnsi" w:hAnsiTheme="majorHAnsi"/>
          <w:sz w:val="24"/>
          <w:szCs w:val="24"/>
        </w:rPr>
        <w:t xml:space="preserve">(2008) </w:t>
      </w:r>
      <w:r w:rsidR="00310DD6" w:rsidRPr="00F4013C">
        <w:rPr>
          <w:rFonts w:asciiTheme="majorHAnsi" w:hAnsiTheme="majorHAnsi"/>
          <w:i/>
          <w:sz w:val="24"/>
          <w:szCs w:val="24"/>
        </w:rPr>
        <w:t>The Intimate State: Love Marriage and Law in India</w:t>
      </w:r>
      <w:r w:rsidRPr="00F4013C">
        <w:rPr>
          <w:rFonts w:asciiTheme="majorHAnsi" w:hAnsiTheme="majorHAnsi"/>
          <w:sz w:val="24"/>
          <w:szCs w:val="24"/>
        </w:rPr>
        <w:t>.</w:t>
      </w:r>
      <w:r w:rsidR="00310DD6" w:rsidRPr="00F4013C">
        <w:rPr>
          <w:rFonts w:asciiTheme="majorHAnsi" w:hAnsiTheme="majorHAnsi"/>
          <w:sz w:val="24"/>
          <w:szCs w:val="24"/>
        </w:rPr>
        <w:t xml:space="preserve"> London: Routledge.</w:t>
      </w:r>
    </w:p>
    <w:p w14:paraId="60406CA0" w14:textId="65B2EC5F" w:rsidR="00310DD6" w:rsidRPr="00F4013C" w:rsidRDefault="00310DD6" w:rsidP="00F4013C">
      <w:pPr>
        <w:widowControl w:val="0"/>
        <w:spacing w:line="480" w:lineRule="auto"/>
        <w:rPr>
          <w:rFonts w:asciiTheme="majorHAnsi" w:hAnsiTheme="majorHAnsi"/>
          <w:noProof/>
          <w:sz w:val="24"/>
          <w:szCs w:val="24"/>
        </w:rPr>
      </w:pPr>
      <w:proofErr w:type="gramStart"/>
      <w:r w:rsidRPr="00F4013C">
        <w:rPr>
          <w:rFonts w:asciiTheme="majorHAnsi" w:hAnsiTheme="majorHAnsi"/>
          <w:sz w:val="24"/>
          <w:szCs w:val="24"/>
        </w:rPr>
        <w:t>Williams</w:t>
      </w:r>
      <w:r w:rsidR="001109C0" w:rsidRPr="00F4013C">
        <w:rPr>
          <w:rFonts w:asciiTheme="majorHAnsi" w:hAnsiTheme="majorHAnsi"/>
          <w:noProof/>
          <w:sz w:val="24"/>
          <w:szCs w:val="24"/>
        </w:rPr>
        <w:t xml:space="preserve"> R V (2006)</w:t>
      </w:r>
      <w:r w:rsidRPr="00F4013C">
        <w:rPr>
          <w:rFonts w:asciiTheme="majorHAnsi" w:hAnsiTheme="majorHAnsi"/>
          <w:noProof/>
          <w:sz w:val="24"/>
          <w:szCs w:val="24"/>
        </w:rPr>
        <w:t xml:space="preserve"> </w:t>
      </w:r>
      <w:r w:rsidR="001109C0" w:rsidRPr="00F4013C">
        <w:rPr>
          <w:rFonts w:asciiTheme="majorHAnsi" w:hAnsiTheme="majorHAnsi"/>
          <w:i/>
          <w:iCs/>
          <w:noProof/>
          <w:sz w:val="24"/>
          <w:szCs w:val="24"/>
        </w:rPr>
        <w:t>Postcolonial Politics and Personal L</w:t>
      </w:r>
      <w:r w:rsidRPr="00F4013C">
        <w:rPr>
          <w:rFonts w:asciiTheme="majorHAnsi" w:hAnsiTheme="majorHAnsi"/>
          <w:i/>
          <w:iCs/>
          <w:noProof/>
          <w:sz w:val="24"/>
          <w:szCs w:val="24"/>
        </w:rPr>
        <w:t>aws.</w:t>
      </w:r>
      <w:proofErr w:type="gramEnd"/>
      <w:r w:rsidRPr="00F4013C">
        <w:rPr>
          <w:rFonts w:asciiTheme="majorHAnsi" w:hAnsiTheme="majorHAnsi"/>
          <w:noProof/>
          <w:sz w:val="24"/>
          <w:szCs w:val="24"/>
        </w:rPr>
        <w:t xml:space="preserve"> New Delhi: Oxford </w:t>
      </w:r>
      <w:r w:rsidRPr="00F4013C">
        <w:rPr>
          <w:rFonts w:asciiTheme="majorHAnsi" w:hAnsiTheme="majorHAnsi"/>
          <w:noProof/>
          <w:sz w:val="24"/>
          <w:szCs w:val="24"/>
        </w:rPr>
        <w:lastRenderedPageBreak/>
        <w:t>University Press.</w:t>
      </w:r>
    </w:p>
    <w:p w14:paraId="172DCB05" w14:textId="77777777" w:rsidR="00C63B57" w:rsidRPr="00F4013C" w:rsidRDefault="00C63B57" w:rsidP="00F4013C">
      <w:pPr>
        <w:spacing w:line="480" w:lineRule="auto"/>
        <w:rPr>
          <w:rFonts w:asciiTheme="majorHAnsi" w:hAnsiTheme="majorHAnsi"/>
          <w:noProof/>
          <w:sz w:val="24"/>
          <w:szCs w:val="24"/>
        </w:rPr>
      </w:pPr>
    </w:p>
    <w:p w14:paraId="68ADB319" w14:textId="77777777" w:rsidR="00955388" w:rsidRPr="00F4013C" w:rsidRDefault="00955388" w:rsidP="00F4013C">
      <w:pPr>
        <w:spacing w:line="480" w:lineRule="auto"/>
        <w:rPr>
          <w:rFonts w:asciiTheme="majorHAnsi" w:hAnsiTheme="majorHAnsi"/>
          <w:b/>
          <w:sz w:val="24"/>
          <w:szCs w:val="24"/>
          <w:lang w:val="en-US"/>
        </w:rPr>
      </w:pPr>
      <w:r w:rsidRPr="00F4013C">
        <w:rPr>
          <w:rFonts w:asciiTheme="majorHAnsi" w:hAnsiTheme="majorHAnsi"/>
          <w:b/>
          <w:sz w:val="24"/>
          <w:szCs w:val="24"/>
          <w:lang w:val="en-US"/>
        </w:rPr>
        <w:br w:type="page"/>
      </w:r>
    </w:p>
    <w:p w14:paraId="70B41E6D" w14:textId="1E47CBEC" w:rsidR="00F4013C" w:rsidRPr="00F4013C" w:rsidRDefault="00F4013C" w:rsidP="00F4013C">
      <w:pPr>
        <w:spacing w:line="480" w:lineRule="auto"/>
        <w:jc w:val="center"/>
        <w:rPr>
          <w:rFonts w:asciiTheme="majorHAnsi" w:hAnsiTheme="majorHAnsi"/>
          <w:b/>
          <w:sz w:val="24"/>
          <w:szCs w:val="24"/>
        </w:rPr>
      </w:pPr>
      <w:r w:rsidRPr="00F4013C">
        <w:rPr>
          <w:rFonts w:asciiTheme="majorHAnsi" w:hAnsiTheme="majorHAnsi"/>
          <w:b/>
          <w:sz w:val="24"/>
          <w:szCs w:val="24"/>
        </w:rPr>
        <w:lastRenderedPageBreak/>
        <w:t xml:space="preserve">The </w:t>
      </w:r>
      <w:proofErr w:type="spellStart"/>
      <w:r>
        <w:rPr>
          <w:rFonts w:asciiTheme="majorHAnsi" w:hAnsiTheme="majorHAnsi"/>
          <w:b/>
          <w:sz w:val="24"/>
          <w:szCs w:val="24"/>
        </w:rPr>
        <w:t>G</w:t>
      </w:r>
      <w:r w:rsidRPr="00F4013C">
        <w:rPr>
          <w:rFonts w:asciiTheme="majorHAnsi" w:hAnsiTheme="majorHAnsi"/>
          <w:b/>
          <w:sz w:val="24"/>
          <w:szCs w:val="24"/>
        </w:rPr>
        <w:t>enderscapes</w:t>
      </w:r>
      <w:proofErr w:type="spellEnd"/>
      <w:r w:rsidRPr="00F4013C">
        <w:rPr>
          <w:rFonts w:asciiTheme="majorHAnsi" w:hAnsiTheme="majorHAnsi"/>
          <w:b/>
          <w:sz w:val="24"/>
          <w:szCs w:val="24"/>
        </w:rPr>
        <w:t xml:space="preserve"> of </w:t>
      </w:r>
      <w:r>
        <w:rPr>
          <w:rFonts w:asciiTheme="majorHAnsi" w:hAnsiTheme="majorHAnsi"/>
          <w:b/>
          <w:sz w:val="24"/>
          <w:szCs w:val="24"/>
        </w:rPr>
        <w:t>H</w:t>
      </w:r>
      <w:r w:rsidRPr="00F4013C">
        <w:rPr>
          <w:rFonts w:asciiTheme="majorHAnsi" w:hAnsiTheme="majorHAnsi"/>
          <w:b/>
          <w:sz w:val="24"/>
          <w:szCs w:val="24"/>
        </w:rPr>
        <w:t xml:space="preserve">ate: On </w:t>
      </w:r>
      <w:r>
        <w:rPr>
          <w:rFonts w:asciiTheme="majorHAnsi" w:hAnsiTheme="majorHAnsi"/>
          <w:b/>
          <w:sz w:val="24"/>
          <w:szCs w:val="24"/>
        </w:rPr>
        <w:t>Violence a</w:t>
      </w:r>
      <w:r w:rsidRPr="00F4013C">
        <w:rPr>
          <w:rFonts w:asciiTheme="majorHAnsi" w:hAnsiTheme="majorHAnsi"/>
          <w:b/>
          <w:sz w:val="24"/>
          <w:szCs w:val="24"/>
        </w:rPr>
        <w:t xml:space="preserve">gainst </w:t>
      </w:r>
      <w:r>
        <w:rPr>
          <w:rFonts w:asciiTheme="majorHAnsi" w:hAnsiTheme="majorHAnsi"/>
          <w:b/>
          <w:sz w:val="24"/>
          <w:szCs w:val="24"/>
        </w:rPr>
        <w:t>W</w:t>
      </w:r>
      <w:r w:rsidRPr="00F4013C">
        <w:rPr>
          <w:rFonts w:asciiTheme="majorHAnsi" w:hAnsiTheme="majorHAnsi"/>
          <w:b/>
          <w:sz w:val="24"/>
          <w:szCs w:val="24"/>
        </w:rPr>
        <w:t>omen in India</w:t>
      </w:r>
    </w:p>
    <w:p w14:paraId="4CE98D71" w14:textId="77777777" w:rsidR="00F4013C" w:rsidRPr="00F4013C" w:rsidRDefault="00F4013C" w:rsidP="00F4013C">
      <w:pPr>
        <w:spacing w:line="480" w:lineRule="auto"/>
        <w:rPr>
          <w:rFonts w:asciiTheme="majorHAnsi" w:hAnsiTheme="majorHAnsi"/>
          <w:b/>
          <w:sz w:val="24"/>
          <w:szCs w:val="24"/>
        </w:rPr>
      </w:pPr>
    </w:p>
    <w:p w14:paraId="36E3F381" w14:textId="77777777" w:rsidR="00F4013C" w:rsidRPr="00F4013C" w:rsidRDefault="00F4013C" w:rsidP="00F4013C">
      <w:pPr>
        <w:spacing w:line="480" w:lineRule="auto"/>
        <w:rPr>
          <w:rFonts w:asciiTheme="majorHAnsi" w:hAnsiTheme="majorHAnsi"/>
          <w:i/>
          <w:sz w:val="24"/>
          <w:szCs w:val="24"/>
        </w:rPr>
      </w:pPr>
      <w:proofErr w:type="spellStart"/>
      <w:r w:rsidRPr="00F4013C">
        <w:rPr>
          <w:rFonts w:asciiTheme="majorHAnsi" w:hAnsiTheme="majorHAnsi"/>
          <w:i/>
          <w:sz w:val="24"/>
          <w:szCs w:val="24"/>
        </w:rPr>
        <w:t>Maa</w:t>
      </w:r>
      <w:proofErr w:type="spellEnd"/>
      <w:r w:rsidRPr="00F4013C">
        <w:rPr>
          <w:rFonts w:asciiTheme="majorHAnsi" w:hAnsiTheme="majorHAnsi"/>
          <w:i/>
          <w:sz w:val="24"/>
          <w:szCs w:val="24"/>
        </w:rPr>
        <w:t xml:space="preserve"> main </w:t>
      </w:r>
      <w:proofErr w:type="spellStart"/>
      <w:r w:rsidRPr="00F4013C">
        <w:rPr>
          <w:rFonts w:asciiTheme="majorHAnsi" w:hAnsiTheme="majorHAnsi"/>
          <w:i/>
          <w:sz w:val="24"/>
          <w:szCs w:val="24"/>
        </w:rPr>
        <w:t>jeena</w:t>
      </w:r>
      <w:proofErr w:type="spellEnd"/>
      <w:r w:rsidRPr="00F4013C">
        <w:rPr>
          <w:rFonts w:asciiTheme="majorHAnsi" w:hAnsiTheme="majorHAnsi"/>
          <w:i/>
          <w:sz w:val="24"/>
          <w:szCs w:val="24"/>
        </w:rPr>
        <w:t xml:space="preserve"> </w:t>
      </w:r>
      <w:proofErr w:type="spellStart"/>
      <w:r w:rsidRPr="00F4013C">
        <w:rPr>
          <w:rFonts w:asciiTheme="majorHAnsi" w:hAnsiTheme="majorHAnsi"/>
          <w:i/>
          <w:sz w:val="24"/>
          <w:szCs w:val="24"/>
        </w:rPr>
        <w:t>chahti</w:t>
      </w:r>
      <w:proofErr w:type="spellEnd"/>
      <w:r w:rsidRPr="00F4013C">
        <w:rPr>
          <w:rFonts w:asciiTheme="majorHAnsi" w:hAnsiTheme="majorHAnsi"/>
          <w:i/>
          <w:sz w:val="24"/>
          <w:szCs w:val="24"/>
        </w:rPr>
        <w:t xml:space="preserve"> </w:t>
      </w:r>
      <w:proofErr w:type="spellStart"/>
      <w:proofErr w:type="gramStart"/>
      <w:r w:rsidRPr="00F4013C">
        <w:rPr>
          <w:rFonts w:asciiTheme="majorHAnsi" w:hAnsiTheme="majorHAnsi"/>
          <w:i/>
          <w:sz w:val="24"/>
          <w:szCs w:val="24"/>
        </w:rPr>
        <w:t>hoon</w:t>
      </w:r>
      <w:proofErr w:type="spellEnd"/>
      <w:r w:rsidRPr="00F4013C">
        <w:rPr>
          <w:rFonts w:asciiTheme="majorHAnsi" w:hAnsiTheme="majorHAnsi"/>
          <w:i/>
          <w:sz w:val="24"/>
          <w:szCs w:val="24"/>
        </w:rPr>
        <w:t>…..</w:t>
      </w:r>
      <w:proofErr w:type="gramEnd"/>
      <w:r w:rsidRPr="00F4013C">
        <w:rPr>
          <w:rFonts w:asciiTheme="majorHAnsi" w:hAnsiTheme="majorHAnsi"/>
          <w:i/>
          <w:sz w:val="24"/>
          <w:szCs w:val="24"/>
        </w:rPr>
        <w:t xml:space="preserve"> </w:t>
      </w:r>
    </w:p>
    <w:p w14:paraId="62017254" w14:textId="1C20AF95" w:rsidR="00F4013C" w:rsidRPr="00F4013C" w:rsidRDefault="00F4013C" w:rsidP="00F4013C">
      <w:pPr>
        <w:spacing w:line="480" w:lineRule="auto"/>
        <w:rPr>
          <w:rFonts w:asciiTheme="majorHAnsi" w:hAnsiTheme="majorHAnsi"/>
          <w:sz w:val="24"/>
          <w:szCs w:val="24"/>
        </w:rPr>
      </w:pPr>
      <w:r w:rsidRPr="00F4013C">
        <w:rPr>
          <w:rFonts w:asciiTheme="majorHAnsi" w:hAnsiTheme="majorHAnsi"/>
          <w:sz w:val="24"/>
          <w:szCs w:val="24"/>
        </w:rPr>
        <w:t xml:space="preserve">These were </w:t>
      </w:r>
      <w:proofErr w:type="spellStart"/>
      <w:r w:rsidRPr="00F4013C">
        <w:rPr>
          <w:rFonts w:asciiTheme="majorHAnsi" w:hAnsiTheme="majorHAnsi"/>
          <w:sz w:val="24"/>
          <w:szCs w:val="24"/>
        </w:rPr>
        <w:t>Jyoti</w:t>
      </w:r>
      <w:proofErr w:type="spellEnd"/>
      <w:r w:rsidRPr="00F4013C">
        <w:rPr>
          <w:rFonts w:asciiTheme="majorHAnsi" w:hAnsiTheme="majorHAnsi"/>
          <w:sz w:val="24"/>
          <w:szCs w:val="24"/>
        </w:rPr>
        <w:t xml:space="preserve"> Singh </w:t>
      </w:r>
      <w:proofErr w:type="spellStart"/>
      <w:r w:rsidRPr="00F4013C">
        <w:rPr>
          <w:rFonts w:asciiTheme="majorHAnsi" w:hAnsiTheme="majorHAnsi"/>
          <w:sz w:val="24"/>
          <w:szCs w:val="24"/>
        </w:rPr>
        <w:t>Pandey’s</w:t>
      </w:r>
      <w:proofErr w:type="spellEnd"/>
      <w:r w:rsidRPr="00F4013C">
        <w:rPr>
          <w:rFonts w:asciiTheme="majorHAnsi" w:hAnsiTheme="majorHAnsi"/>
          <w:sz w:val="24"/>
          <w:szCs w:val="24"/>
        </w:rPr>
        <w:t xml:space="preserve"> words, addressed to her mother on a slip of paper as she fought hanging on to her fast ebbing life after being gang raped, disembowelled and brutalised in a moving bus on the night of December 16, 2012. Since Indian law disallows rap</w:t>
      </w:r>
      <w:r w:rsidRPr="00F4013C">
        <w:rPr>
          <w:rFonts w:asciiTheme="majorHAnsi" w:hAnsiTheme="majorHAnsi"/>
          <w:sz w:val="24"/>
          <w:szCs w:val="24"/>
        </w:rPr>
        <w:t>e victims from being named, an E</w:t>
      </w:r>
      <w:r w:rsidRPr="00F4013C">
        <w:rPr>
          <w:rFonts w:asciiTheme="majorHAnsi" w:hAnsiTheme="majorHAnsi"/>
          <w:sz w:val="24"/>
          <w:szCs w:val="24"/>
        </w:rPr>
        <w:t xml:space="preserve">nglish daily conferred the name </w:t>
      </w:r>
      <w:proofErr w:type="spellStart"/>
      <w:r w:rsidRPr="00F4013C">
        <w:rPr>
          <w:rFonts w:asciiTheme="majorHAnsi" w:hAnsiTheme="majorHAnsi"/>
          <w:sz w:val="24"/>
          <w:szCs w:val="24"/>
        </w:rPr>
        <w:t>Nirbhaya</w:t>
      </w:r>
      <w:proofErr w:type="spellEnd"/>
      <w:r w:rsidRPr="00F4013C">
        <w:rPr>
          <w:rFonts w:asciiTheme="majorHAnsi" w:hAnsiTheme="majorHAnsi"/>
          <w:sz w:val="24"/>
          <w:szCs w:val="24"/>
        </w:rPr>
        <w:t xml:space="preserve"> meaning ‘without fear’ to honour and humanise the victim and the case subsequently became known as the </w:t>
      </w:r>
      <w:proofErr w:type="spellStart"/>
      <w:r w:rsidRPr="00F4013C">
        <w:rPr>
          <w:rFonts w:asciiTheme="majorHAnsi" w:hAnsiTheme="majorHAnsi"/>
          <w:sz w:val="24"/>
          <w:szCs w:val="24"/>
        </w:rPr>
        <w:t>Nirbhaya</w:t>
      </w:r>
      <w:proofErr w:type="spellEnd"/>
      <w:r w:rsidRPr="00F4013C">
        <w:rPr>
          <w:rFonts w:asciiTheme="majorHAnsi" w:hAnsiTheme="majorHAnsi"/>
          <w:sz w:val="24"/>
          <w:szCs w:val="24"/>
        </w:rPr>
        <w:t xml:space="preserve"> case. To this author the name might also symbolise that distant Utopia where women could actually walk without fear.  </w:t>
      </w:r>
    </w:p>
    <w:p w14:paraId="6C8BF1E1" w14:textId="77777777" w:rsidR="00F4013C" w:rsidRPr="00F4013C" w:rsidRDefault="00F4013C" w:rsidP="00F4013C">
      <w:pPr>
        <w:spacing w:line="480" w:lineRule="auto"/>
        <w:rPr>
          <w:rFonts w:asciiTheme="majorHAnsi" w:hAnsiTheme="majorHAnsi"/>
          <w:sz w:val="24"/>
          <w:szCs w:val="24"/>
        </w:rPr>
      </w:pPr>
      <w:r w:rsidRPr="00F4013C">
        <w:rPr>
          <w:rFonts w:asciiTheme="majorHAnsi" w:hAnsiTheme="majorHAnsi"/>
          <w:sz w:val="24"/>
          <w:szCs w:val="24"/>
        </w:rPr>
        <w:t xml:space="preserve">The </w:t>
      </w:r>
      <w:proofErr w:type="spellStart"/>
      <w:r w:rsidRPr="00F4013C">
        <w:rPr>
          <w:rFonts w:asciiTheme="majorHAnsi" w:hAnsiTheme="majorHAnsi"/>
          <w:sz w:val="24"/>
          <w:szCs w:val="24"/>
        </w:rPr>
        <w:t>Nirbhaya</w:t>
      </w:r>
      <w:proofErr w:type="spellEnd"/>
      <w:r w:rsidRPr="00F4013C">
        <w:rPr>
          <w:rFonts w:asciiTheme="majorHAnsi" w:hAnsiTheme="majorHAnsi"/>
          <w:sz w:val="24"/>
          <w:szCs w:val="24"/>
        </w:rPr>
        <w:t xml:space="preserve"> case</w:t>
      </w:r>
      <w:r w:rsidRPr="00F4013C">
        <w:rPr>
          <w:rStyle w:val="EndnoteReference"/>
          <w:rFonts w:asciiTheme="majorHAnsi" w:hAnsiTheme="majorHAnsi"/>
          <w:sz w:val="24"/>
          <w:szCs w:val="24"/>
        </w:rPr>
        <w:t xml:space="preserve"> </w:t>
      </w:r>
      <w:r w:rsidRPr="00F4013C">
        <w:rPr>
          <w:rFonts w:asciiTheme="majorHAnsi" w:hAnsiTheme="majorHAnsi"/>
          <w:sz w:val="24"/>
          <w:szCs w:val="24"/>
        </w:rPr>
        <w:t>provoked a nationwide outrage and brought back in to focus the issue of gendered violence, more specifically sexual violence against women in India. The unprecedented public demonstrations were followed by a slew of measures aimed at stemming the recurrence of such violence. However despite these, incidents of horrific sexual violence continue to be perpetuated, almost as if they are occurring in a vacuum, unaffected by the debate, outrage and legislations.</w:t>
      </w:r>
    </w:p>
    <w:p w14:paraId="4FCB3E1F" w14:textId="77777777" w:rsidR="00F4013C" w:rsidRPr="00F4013C" w:rsidRDefault="00F4013C" w:rsidP="00F4013C">
      <w:pPr>
        <w:spacing w:line="480" w:lineRule="auto"/>
        <w:rPr>
          <w:rFonts w:asciiTheme="majorHAnsi" w:hAnsiTheme="majorHAnsi"/>
          <w:sz w:val="24"/>
          <w:szCs w:val="24"/>
        </w:rPr>
      </w:pPr>
      <w:r w:rsidRPr="00F4013C">
        <w:rPr>
          <w:rFonts w:asciiTheme="majorHAnsi" w:hAnsiTheme="majorHAnsi"/>
          <w:sz w:val="24"/>
          <w:szCs w:val="24"/>
        </w:rPr>
        <w:t xml:space="preserve">Months after the high profile </w:t>
      </w:r>
      <w:proofErr w:type="spellStart"/>
      <w:r w:rsidRPr="00F4013C">
        <w:rPr>
          <w:rFonts w:asciiTheme="majorHAnsi" w:hAnsiTheme="majorHAnsi"/>
          <w:sz w:val="24"/>
          <w:szCs w:val="24"/>
        </w:rPr>
        <w:t>Nirbhaya</w:t>
      </w:r>
      <w:proofErr w:type="spellEnd"/>
      <w:r w:rsidRPr="00F4013C">
        <w:rPr>
          <w:rFonts w:asciiTheme="majorHAnsi" w:hAnsiTheme="majorHAnsi"/>
          <w:sz w:val="24"/>
          <w:szCs w:val="24"/>
        </w:rPr>
        <w:t xml:space="preserve"> case where, according to media reports, the young woman was raped with a rusted L shaped metal rod, beaten and wilfully disembowelled, the media reported on the </w:t>
      </w:r>
      <w:proofErr w:type="spellStart"/>
      <w:r w:rsidRPr="00F4013C">
        <w:rPr>
          <w:rFonts w:asciiTheme="majorHAnsi" w:hAnsiTheme="majorHAnsi"/>
          <w:sz w:val="24"/>
          <w:szCs w:val="24"/>
        </w:rPr>
        <w:t>Gudiya</w:t>
      </w:r>
      <w:proofErr w:type="spellEnd"/>
      <w:r w:rsidRPr="00F4013C">
        <w:rPr>
          <w:rFonts w:asciiTheme="majorHAnsi" w:hAnsiTheme="majorHAnsi"/>
          <w:sz w:val="24"/>
          <w:szCs w:val="24"/>
        </w:rPr>
        <w:t xml:space="preserve"> case. Here, a five year old was raped, brutalised with a plastic bottle and stones, strangled and left for dead. This was followed by the rape and murder of two teenaged girls in </w:t>
      </w:r>
      <w:proofErr w:type="spellStart"/>
      <w:r w:rsidRPr="00F4013C">
        <w:rPr>
          <w:rFonts w:asciiTheme="majorHAnsi" w:hAnsiTheme="majorHAnsi"/>
          <w:sz w:val="24"/>
          <w:szCs w:val="24"/>
        </w:rPr>
        <w:t>Budaun</w:t>
      </w:r>
      <w:proofErr w:type="spellEnd"/>
      <w:r w:rsidRPr="00F4013C">
        <w:rPr>
          <w:rFonts w:asciiTheme="majorHAnsi" w:hAnsiTheme="majorHAnsi"/>
          <w:sz w:val="24"/>
          <w:szCs w:val="24"/>
        </w:rPr>
        <w:t xml:space="preserve">, Uttar Pradesh. Rather disturbingly, instead of intensifying the debate on gendered violence and its intersections with caste, this case sparked off a discussion about the need to build </w:t>
      </w:r>
      <w:r w:rsidRPr="00F4013C">
        <w:rPr>
          <w:rFonts w:asciiTheme="majorHAnsi" w:hAnsiTheme="majorHAnsi"/>
          <w:sz w:val="24"/>
          <w:szCs w:val="24"/>
        </w:rPr>
        <w:lastRenderedPageBreak/>
        <w:t>toilets to keep women safe, equating the ugly gang rape to a simple lack of toilet facilities (see intervention 1 in this issue for a detailed discussion). Other high profile cases in this time were the Bangalore National Law School gang rape (Oct 2012), the Shakti Mills gang rape in Mumbai (August 2013), and gang rape of the Danish tourist in Delhi (January 2014).</w:t>
      </w:r>
    </w:p>
    <w:p w14:paraId="431B0EFE" w14:textId="77777777" w:rsidR="00F4013C" w:rsidRPr="00F4013C" w:rsidRDefault="00F4013C" w:rsidP="00F4013C">
      <w:pPr>
        <w:spacing w:line="480" w:lineRule="auto"/>
        <w:rPr>
          <w:rFonts w:asciiTheme="majorHAnsi" w:hAnsiTheme="majorHAnsi"/>
          <w:sz w:val="24"/>
          <w:szCs w:val="24"/>
        </w:rPr>
      </w:pPr>
      <w:r w:rsidRPr="00F4013C">
        <w:rPr>
          <w:rFonts w:asciiTheme="majorHAnsi" w:hAnsiTheme="majorHAnsi"/>
          <w:sz w:val="24"/>
          <w:szCs w:val="24"/>
        </w:rPr>
        <w:t xml:space="preserve">The latest National Crime Records Bureau (NCRB) data shows that 93 women are raped in India </w:t>
      </w:r>
      <w:r w:rsidRPr="00F4013C">
        <w:rPr>
          <w:rFonts w:asciiTheme="majorHAnsi" w:hAnsiTheme="majorHAnsi"/>
          <w:i/>
          <w:sz w:val="24"/>
          <w:szCs w:val="24"/>
        </w:rPr>
        <w:t>every day</w:t>
      </w:r>
      <w:r w:rsidRPr="00F4013C">
        <w:rPr>
          <w:rFonts w:asciiTheme="majorHAnsi" w:hAnsiTheme="majorHAnsi"/>
          <w:sz w:val="24"/>
          <w:szCs w:val="24"/>
        </w:rPr>
        <w:t xml:space="preserve"> (NCRB 2013). To provide a perspective, this amounts to four women raped every hour or about 33,000 in a year.  The figure is about three times more than the number of people killed in terror attacks worldwide in 2012 (Country Reports on Terrorism, 2012).  NCRB data throws up other disturbing trends as well. Among these is the fact that the incidence of rape and other forms of violence against women has been increasing rather than decreasing. Both child rapes and gang rapes present an alarming increase suggesting the conversion of individual violence into group violence, and the co-option of younger men (often juveniles) into these incidences of group violence. Other than this, involvement of minors in such heinous crimes is also an indication of the percolation of misogyny to younger age groups.</w:t>
      </w:r>
    </w:p>
    <w:p w14:paraId="001AF70D" w14:textId="77777777" w:rsidR="00F4013C" w:rsidRPr="00F4013C" w:rsidRDefault="00F4013C" w:rsidP="00F4013C">
      <w:pPr>
        <w:spacing w:line="480" w:lineRule="auto"/>
        <w:rPr>
          <w:rFonts w:asciiTheme="majorHAnsi" w:hAnsiTheme="majorHAnsi"/>
          <w:sz w:val="24"/>
          <w:szCs w:val="24"/>
        </w:rPr>
      </w:pPr>
      <w:r w:rsidRPr="00F4013C">
        <w:rPr>
          <w:rFonts w:asciiTheme="majorHAnsi" w:hAnsiTheme="majorHAnsi"/>
          <w:sz w:val="24"/>
          <w:szCs w:val="24"/>
        </w:rPr>
        <w:t xml:space="preserve">In the </w:t>
      </w:r>
      <w:proofErr w:type="spellStart"/>
      <w:r w:rsidRPr="00F4013C">
        <w:rPr>
          <w:rFonts w:asciiTheme="majorHAnsi" w:hAnsiTheme="majorHAnsi"/>
          <w:sz w:val="24"/>
          <w:szCs w:val="24"/>
        </w:rPr>
        <w:t>Nirbhaya</w:t>
      </w:r>
      <w:proofErr w:type="spellEnd"/>
      <w:r w:rsidRPr="00F4013C">
        <w:rPr>
          <w:rFonts w:asciiTheme="majorHAnsi" w:hAnsiTheme="majorHAnsi"/>
          <w:sz w:val="24"/>
          <w:szCs w:val="24"/>
        </w:rPr>
        <w:t xml:space="preserve"> case for example, the most barbaric acts, including enticing the victim unto the bus, beating and raping her with the iron rod and pulling out her intestines were all attributed to the minor involved in the crime. </w:t>
      </w:r>
    </w:p>
    <w:p w14:paraId="258459DB" w14:textId="77777777" w:rsidR="00F4013C" w:rsidRPr="00F4013C" w:rsidRDefault="00F4013C" w:rsidP="00F4013C">
      <w:pPr>
        <w:spacing w:line="480" w:lineRule="auto"/>
        <w:rPr>
          <w:rFonts w:asciiTheme="majorHAnsi" w:hAnsiTheme="majorHAnsi"/>
          <w:sz w:val="24"/>
          <w:szCs w:val="24"/>
        </w:rPr>
      </w:pPr>
      <w:r w:rsidRPr="00F4013C">
        <w:rPr>
          <w:rFonts w:asciiTheme="majorHAnsi" w:hAnsiTheme="majorHAnsi"/>
          <w:sz w:val="24"/>
          <w:szCs w:val="24"/>
        </w:rPr>
        <w:t>While gendered violence is universal, the ugly form and proportions it has assumed in India is definitely spatially segregated and needs to be seen within the frame of what I term the ‘</w:t>
      </w:r>
      <w:proofErr w:type="spellStart"/>
      <w:r w:rsidRPr="00F4013C">
        <w:rPr>
          <w:rFonts w:asciiTheme="majorHAnsi" w:hAnsiTheme="majorHAnsi"/>
          <w:sz w:val="24"/>
          <w:szCs w:val="24"/>
        </w:rPr>
        <w:t>Genderscapes</w:t>
      </w:r>
      <w:proofErr w:type="spellEnd"/>
      <w:r w:rsidRPr="00F4013C">
        <w:rPr>
          <w:rFonts w:asciiTheme="majorHAnsi" w:hAnsiTheme="majorHAnsi"/>
          <w:sz w:val="24"/>
          <w:szCs w:val="24"/>
        </w:rPr>
        <w:t xml:space="preserve"> of hate’. In using this term, gendered violence is equalised to a spiral of recurrent hate crime where every fresh act of violence is also an act of </w:t>
      </w:r>
      <w:proofErr w:type="gramStart"/>
      <w:r w:rsidRPr="00F4013C">
        <w:rPr>
          <w:rFonts w:asciiTheme="majorHAnsi" w:hAnsiTheme="majorHAnsi"/>
          <w:sz w:val="24"/>
          <w:szCs w:val="24"/>
        </w:rPr>
        <w:t>deep seated</w:t>
      </w:r>
      <w:proofErr w:type="gramEnd"/>
      <w:r w:rsidRPr="00F4013C">
        <w:rPr>
          <w:rFonts w:asciiTheme="majorHAnsi" w:hAnsiTheme="majorHAnsi"/>
          <w:sz w:val="24"/>
          <w:szCs w:val="24"/>
        </w:rPr>
        <w:t xml:space="preserve"> gender prejudice. The </w:t>
      </w:r>
      <w:proofErr w:type="spellStart"/>
      <w:r w:rsidRPr="00F4013C">
        <w:rPr>
          <w:rFonts w:asciiTheme="majorHAnsi" w:hAnsiTheme="majorHAnsi"/>
          <w:sz w:val="24"/>
          <w:szCs w:val="24"/>
        </w:rPr>
        <w:t>genderscapes</w:t>
      </w:r>
      <w:proofErr w:type="spellEnd"/>
      <w:r w:rsidRPr="00F4013C">
        <w:rPr>
          <w:rFonts w:asciiTheme="majorHAnsi" w:hAnsiTheme="majorHAnsi"/>
          <w:sz w:val="24"/>
          <w:szCs w:val="24"/>
        </w:rPr>
        <w:t xml:space="preserve"> of hate in my view, originate from this </w:t>
      </w:r>
      <w:r w:rsidRPr="00F4013C">
        <w:rPr>
          <w:rFonts w:asciiTheme="majorHAnsi" w:hAnsiTheme="majorHAnsi"/>
          <w:sz w:val="24"/>
          <w:szCs w:val="24"/>
        </w:rPr>
        <w:lastRenderedPageBreak/>
        <w:t xml:space="preserve">prejudice and are maintained through a steady flow of violence directed at women over their life course in their everyday life worlds and lived spaces. The </w:t>
      </w:r>
      <w:proofErr w:type="spellStart"/>
      <w:r w:rsidRPr="00F4013C">
        <w:rPr>
          <w:rFonts w:asciiTheme="majorHAnsi" w:hAnsiTheme="majorHAnsi"/>
          <w:sz w:val="24"/>
          <w:szCs w:val="24"/>
        </w:rPr>
        <w:t>genderscapes</w:t>
      </w:r>
      <w:proofErr w:type="spellEnd"/>
      <w:r w:rsidRPr="00F4013C">
        <w:rPr>
          <w:rFonts w:asciiTheme="majorHAnsi" w:hAnsiTheme="majorHAnsi"/>
          <w:sz w:val="24"/>
          <w:szCs w:val="24"/>
        </w:rPr>
        <w:t xml:space="preserve"> of hate then are the lived spaces over which women are constantly devalued, degraded, humiliated and subject to different forms of violence hinging from such discrimination and devaluation within what can be termed a culturally sanctioned misogyny. </w:t>
      </w:r>
    </w:p>
    <w:p w14:paraId="6177FFDF" w14:textId="77777777" w:rsidR="00F4013C" w:rsidRPr="00F4013C" w:rsidRDefault="00F4013C" w:rsidP="00F4013C">
      <w:pPr>
        <w:spacing w:line="480" w:lineRule="auto"/>
        <w:rPr>
          <w:rFonts w:asciiTheme="majorHAnsi" w:hAnsiTheme="majorHAnsi"/>
          <w:sz w:val="24"/>
          <w:szCs w:val="24"/>
        </w:rPr>
      </w:pPr>
      <w:proofErr w:type="spellStart"/>
      <w:r w:rsidRPr="00F4013C">
        <w:rPr>
          <w:rFonts w:asciiTheme="majorHAnsi" w:hAnsiTheme="majorHAnsi"/>
          <w:sz w:val="24"/>
          <w:szCs w:val="24"/>
        </w:rPr>
        <w:t>Genderscapes</w:t>
      </w:r>
      <w:proofErr w:type="spellEnd"/>
      <w:r w:rsidRPr="00F4013C">
        <w:rPr>
          <w:rFonts w:asciiTheme="majorHAnsi" w:hAnsiTheme="majorHAnsi"/>
          <w:sz w:val="24"/>
          <w:szCs w:val="24"/>
        </w:rPr>
        <w:t xml:space="preserve"> have been defined in my earlier work as the fluid and multi-layered </w:t>
      </w:r>
      <w:proofErr w:type="gramStart"/>
      <w:r w:rsidRPr="00F4013C">
        <w:rPr>
          <w:rFonts w:asciiTheme="majorHAnsi" w:hAnsiTheme="majorHAnsi"/>
          <w:sz w:val="24"/>
          <w:szCs w:val="24"/>
        </w:rPr>
        <w:t>space which</w:t>
      </w:r>
      <w:proofErr w:type="gramEnd"/>
      <w:r w:rsidRPr="00F4013C">
        <w:rPr>
          <w:rFonts w:asciiTheme="majorHAnsi" w:hAnsiTheme="majorHAnsi"/>
          <w:sz w:val="24"/>
          <w:szCs w:val="24"/>
        </w:rPr>
        <w:t xml:space="preserve"> contains the performances, perceptions and portrayals of gender (</w:t>
      </w:r>
      <w:proofErr w:type="spellStart"/>
      <w:r w:rsidRPr="00F4013C">
        <w:rPr>
          <w:rFonts w:asciiTheme="majorHAnsi" w:hAnsiTheme="majorHAnsi"/>
          <w:sz w:val="24"/>
          <w:szCs w:val="24"/>
        </w:rPr>
        <w:t>Datta</w:t>
      </w:r>
      <w:proofErr w:type="spellEnd"/>
      <w:r w:rsidRPr="00F4013C">
        <w:rPr>
          <w:rFonts w:asciiTheme="majorHAnsi" w:hAnsiTheme="majorHAnsi"/>
          <w:sz w:val="24"/>
          <w:szCs w:val="24"/>
        </w:rPr>
        <w:t xml:space="preserve"> 2011).  Drawing principally on the works of </w:t>
      </w:r>
      <w:proofErr w:type="spellStart"/>
      <w:r w:rsidRPr="00F4013C">
        <w:rPr>
          <w:rFonts w:asciiTheme="majorHAnsi" w:hAnsiTheme="majorHAnsi"/>
          <w:sz w:val="24"/>
          <w:szCs w:val="24"/>
        </w:rPr>
        <w:t>Appadurai</w:t>
      </w:r>
      <w:proofErr w:type="spellEnd"/>
      <w:r w:rsidRPr="00F4013C">
        <w:rPr>
          <w:rFonts w:asciiTheme="majorHAnsi" w:hAnsiTheme="majorHAnsi"/>
          <w:sz w:val="24"/>
          <w:szCs w:val="24"/>
        </w:rPr>
        <w:t xml:space="preserve">, Le </w:t>
      </w:r>
      <w:proofErr w:type="spellStart"/>
      <w:r w:rsidRPr="00F4013C">
        <w:rPr>
          <w:rFonts w:asciiTheme="majorHAnsi" w:hAnsiTheme="majorHAnsi"/>
          <w:sz w:val="24"/>
          <w:szCs w:val="24"/>
        </w:rPr>
        <w:t>febvre</w:t>
      </w:r>
      <w:proofErr w:type="spellEnd"/>
      <w:r w:rsidRPr="00F4013C">
        <w:rPr>
          <w:rFonts w:asciiTheme="majorHAnsi" w:hAnsiTheme="majorHAnsi"/>
          <w:sz w:val="24"/>
          <w:szCs w:val="24"/>
        </w:rPr>
        <w:t xml:space="preserve">, Sack, on ideas concerning space, the term </w:t>
      </w:r>
      <w:proofErr w:type="spellStart"/>
      <w:r w:rsidRPr="00F4013C">
        <w:rPr>
          <w:rFonts w:asciiTheme="majorHAnsi" w:hAnsiTheme="majorHAnsi"/>
          <w:sz w:val="24"/>
          <w:szCs w:val="24"/>
        </w:rPr>
        <w:t>genderscapes</w:t>
      </w:r>
      <w:proofErr w:type="spellEnd"/>
      <w:r w:rsidRPr="00F4013C">
        <w:rPr>
          <w:rFonts w:asciiTheme="majorHAnsi" w:hAnsiTheme="majorHAnsi"/>
          <w:sz w:val="24"/>
          <w:szCs w:val="24"/>
        </w:rPr>
        <w:t xml:space="preserve"> underline fluidity, image and imagination (</w:t>
      </w:r>
      <w:proofErr w:type="spellStart"/>
      <w:r w:rsidRPr="00F4013C">
        <w:rPr>
          <w:rFonts w:asciiTheme="majorHAnsi" w:hAnsiTheme="majorHAnsi"/>
          <w:sz w:val="24"/>
          <w:szCs w:val="24"/>
        </w:rPr>
        <w:t>Appadurai</w:t>
      </w:r>
      <w:proofErr w:type="spellEnd"/>
      <w:r w:rsidRPr="00F4013C">
        <w:rPr>
          <w:rFonts w:asciiTheme="majorHAnsi" w:hAnsiTheme="majorHAnsi"/>
          <w:sz w:val="24"/>
          <w:szCs w:val="24"/>
        </w:rPr>
        <w:t xml:space="preserve"> 1996). They denote in Le </w:t>
      </w:r>
      <w:proofErr w:type="spellStart"/>
      <w:r w:rsidRPr="00F4013C">
        <w:rPr>
          <w:rFonts w:asciiTheme="majorHAnsi" w:hAnsiTheme="majorHAnsi"/>
          <w:sz w:val="24"/>
          <w:szCs w:val="24"/>
        </w:rPr>
        <w:t>febvrian</w:t>
      </w:r>
      <w:proofErr w:type="spellEnd"/>
      <w:r w:rsidRPr="00F4013C">
        <w:rPr>
          <w:rFonts w:asciiTheme="majorHAnsi" w:hAnsiTheme="majorHAnsi"/>
          <w:sz w:val="24"/>
          <w:szCs w:val="24"/>
        </w:rPr>
        <w:t xml:space="preserve"> terms the lived space </w:t>
      </w:r>
      <w:r w:rsidRPr="00F4013C">
        <w:rPr>
          <w:rFonts w:asciiTheme="majorHAnsi" w:hAnsiTheme="majorHAnsi"/>
          <w:i/>
          <w:sz w:val="24"/>
          <w:szCs w:val="24"/>
        </w:rPr>
        <w:t>produced</w:t>
      </w:r>
      <w:r w:rsidRPr="00F4013C">
        <w:rPr>
          <w:rFonts w:asciiTheme="majorHAnsi" w:hAnsiTheme="majorHAnsi"/>
          <w:sz w:val="24"/>
          <w:szCs w:val="24"/>
        </w:rPr>
        <w:t xml:space="preserve"> (Le </w:t>
      </w:r>
      <w:proofErr w:type="spellStart"/>
      <w:r w:rsidRPr="00F4013C">
        <w:rPr>
          <w:rFonts w:asciiTheme="majorHAnsi" w:hAnsiTheme="majorHAnsi"/>
          <w:sz w:val="24"/>
          <w:szCs w:val="24"/>
        </w:rPr>
        <w:t>febvre</w:t>
      </w:r>
      <w:proofErr w:type="spellEnd"/>
      <w:r w:rsidRPr="00F4013C">
        <w:rPr>
          <w:rFonts w:asciiTheme="majorHAnsi" w:hAnsiTheme="majorHAnsi"/>
          <w:sz w:val="24"/>
          <w:szCs w:val="24"/>
        </w:rPr>
        <w:t xml:space="preserve"> 1974, trans 1991) by the performance of gender (Butler </w:t>
      </w:r>
      <w:proofErr w:type="gramStart"/>
      <w:r w:rsidRPr="00F4013C">
        <w:rPr>
          <w:rFonts w:asciiTheme="majorHAnsi" w:hAnsiTheme="majorHAnsi"/>
          <w:sz w:val="24"/>
          <w:szCs w:val="24"/>
        </w:rPr>
        <w:t>1990 )</w:t>
      </w:r>
      <w:proofErr w:type="gramEnd"/>
      <w:r w:rsidRPr="00F4013C">
        <w:rPr>
          <w:rFonts w:asciiTheme="majorHAnsi" w:hAnsiTheme="majorHAnsi"/>
          <w:sz w:val="24"/>
          <w:szCs w:val="24"/>
        </w:rPr>
        <w:t xml:space="preserve"> through a repertoire of everyday ordinary acts as well as extraordinary incidents. Both of these eventually implicate each other in reproducing prejudice and consequent violence to maintain a </w:t>
      </w:r>
      <w:proofErr w:type="spellStart"/>
      <w:r w:rsidRPr="00F4013C">
        <w:rPr>
          <w:rFonts w:asciiTheme="majorHAnsi" w:hAnsiTheme="majorHAnsi"/>
          <w:sz w:val="24"/>
          <w:szCs w:val="24"/>
        </w:rPr>
        <w:t>genderscape</w:t>
      </w:r>
      <w:proofErr w:type="spellEnd"/>
      <w:r w:rsidRPr="00F4013C">
        <w:rPr>
          <w:rFonts w:asciiTheme="majorHAnsi" w:hAnsiTheme="majorHAnsi"/>
          <w:sz w:val="24"/>
          <w:szCs w:val="24"/>
        </w:rPr>
        <w:t xml:space="preserve"> of hate. I would like to argue here that gendered violence is an integral factor in the process of place making, creating a lived space where such violence is itself normalized. </w:t>
      </w:r>
    </w:p>
    <w:p w14:paraId="53A00A04" w14:textId="77777777" w:rsidR="00F4013C" w:rsidRPr="00F4013C" w:rsidRDefault="00F4013C" w:rsidP="00F4013C">
      <w:pPr>
        <w:spacing w:line="480" w:lineRule="auto"/>
        <w:rPr>
          <w:rFonts w:asciiTheme="majorHAnsi" w:hAnsiTheme="majorHAnsi"/>
          <w:sz w:val="24"/>
          <w:szCs w:val="24"/>
        </w:rPr>
      </w:pPr>
      <w:r w:rsidRPr="00F4013C">
        <w:rPr>
          <w:rFonts w:asciiTheme="majorHAnsi" w:hAnsiTheme="majorHAnsi"/>
          <w:sz w:val="24"/>
          <w:szCs w:val="24"/>
        </w:rPr>
        <w:t xml:space="preserve">From Sack’s concept of relational space (Sack 1992) such </w:t>
      </w:r>
      <w:proofErr w:type="spellStart"/>
      <w:r w:rsidRPr="00F4013C">
        <w:rPr>
          <w:rFonts w:asciiTheme="majorHAnsi" w:hAnsiTheme="majorHAnsi"/>
          <w:sz w:val="24"/>
          <w:szCs w:val="24"/>
        </w:rPr>
        <w:t>genderscapes</w:t>
      </w:r>
      <w:proofErr w:type="spellEnd"/>
      <w:r w:rsidRPr="00F4013C">
        <w:rPr>
          <w:rFonts w:asciiTheme="majorHAnsi" w:hAnsiTheme="majorHAnsi"/>
          <w:sz w:val="24"/>
          <w:szCs w:val="24"/>
        </w:rPr>
        <w:t xml:space="preserve"> can be seen as being constituted through the realms of Nature, Meaning and Social relations (Sack 1992, </w:t>
      </w:r>
      <w:proofErr w:type="spellStart"/>
      <w:r w:rsidRPr="00F4013C">
        <w:rPr>
          <w:rFonts w:asciiTheme="majorHAnsi" w:hAnsiTheme="majorHAnsi"/>
          <w:sz w:val="24"/>
          <w:szCs w:val="24"/>
        </w:rPr>
        <w:t>Datta</w:t>
      </w:r>
      <w:proofErr w:type="spellEnd"/>
      <w:r w:rsidRPr="00F4013C">
        <w:rPr>
          <w:rFonts w:asciiTheme="majorHAnsi" w:hAnsiTheme="majorHAnsi"/>
          <w:sz w:val="24"/>
          <w:szCs w:val="24"/>
        </w:rPr>
        <w:t xml:space="preserve"> 2011). The realm of Nature or natural landscape determines to an extent initial traditions related to the degree of permissiveness for women to be in public space and participate in productive work (see </w:t>
      </w:r>
      <w:proofErr w:type="spellStart"/>
      <w:r w:rsidRPr="00F4013C">
        <w:rPr>
          <w:rFonts w:asciiTheme="majorHAnsi" w:hAnsiTheme="majorHAnsi"/>
          <w:sz w:val="24"/>
          <w:szCs w:val="24"/>
        </w:rPr>
        <w:t>Datta</w:t>
      </w:r>
      <w:proofErr w:type="spellEnd"/>
      <w:r w:rsidRPr="00F4013C">
        <w:rPr>
          <w:rFonts w:asciiTheme="majorHAnsi" w:hAnsiTheme="majorHAnsi"/>
          <w:sz w:val="24"/>
          <w:szCs w:val="24"/>
        </w:rPr>
        <w:t xml:space="preserve"> 2011). The realms of meaning and social relations together emphasise and reinforce male power, privilege and entitlement within what </w:t>
      </w:r>
      <w:proofErr w:type="spellStart"/>
      <w:r w:rsidRPr="00F4013C">
        <w:rPr>
          <w:rFonts w:asciiTheme="majorHAnsi" w:hAnsiTheme="majorHAnsi"/>
          <w:sz w:val="24"/>
          <w:szCs w:val="24"/>
        </w:rPr>
        <w:t>Kandiyoti</w:t>
      </w:r>
      <w:proofErr w:type="spellEnd"/>
      <w:r w:rsidRPr="00F4013C">
        <w:rPr>
          <w:rFonts w:asciiTheme="majorHAnsi" w:hAnsiTheme="majorHAnsi"/>
          <w:sz w:val="24"/>
          <w:szCs w:val="24"/>
        </w:rPr>
        <w:t xml:space="preserve"> has labelled classic patriarchy (</w:t>
      </w:r>
      <w:proofErr w:type="spellStart"/>
      <w:r w:rsidRPr="00F4013C">
        <w:rPr>
          <w:rFonts w:asciiTheme="majorHAnsi" w:hAnsiTheme="majorHAnsi"/>
          <w:sz w:val="24"/>
          <w:szCs w:val="24"/>
        </w:rPr>
        <w:t>Kandiyoti</w:t>
      </w:r>
      <w:proofErr w:type="spellEnd"/>
      <w:r w:rsidRPr="00F4013C">
        <w:rPr>
          <w:rFonts w:asciiTheme="majorHAnsi" w:hAnsiTheme="majorHAnsi"/>
          <w:sz w:val="24"/>
          <w:szCs w:val="24"/>
        </w:rPr>
        <w:t xml:space="preserve"> 1998). In the context of India in particular and elsewhere in general, rites, rituals traditions, colloquialisms and popular culture centre </w:t>
      </w:r>
      <w:proofErr w:type="gramStart"/>
      <w:r w:rsidRPr="00F4013C">
        <w:rPr>
          <w:rFonts w:asciiTheme="majorHAnsi" w:hAnsiTheme="majorHAnsi"/>
          <w:sz w:val="24"/>
          <w:szCs w:val="24"/>
        </w:rPr>
        <w:t>around</w:t>
      </w:r>
      <w:proofErr w:type="gramEnd"/>
      <w:r w:rsidRPr="00F4013C">
        <w:rPr>
          <w:rFonts w:asciiTheme="majorHAnsi" w:hAnsiTheme="majorHAnsi"/>
          <w:sz w:val="24"/>
          <w:szCs w:val="24"/>
        </w:rPr>
        <w:t xml:space="preserve"> the productive aspects of patriarchy and continue to </w:t>
      </w:r>
      <w:r w:rsidRPr="00F4013C">
        <w:rPr>
          <w:rFonts w:asciiTheme="majorHAnsi" w:hAnsiTheme="majorHAnsi"/>
          <w:sz w:val="24"/>
          <w:szCs w:val="24"/>
        </w:rPr>
        <w:lastRenderedPageBreak/>
        <w:t xml:space="preserve">reinforce male privilege. Gendered violence becomes a tool to contain real or perceived transgressions and maintain this culture. Sex selective abortions, female infanticide, neglect of the girl child, daughter discrimination, dowry deaths, honour killings, stalking, acid attacks, harassment in the work place, are all part of this chain of degrading gendered violence that women in India are subject to over their life course. Not only does each such incident reify the existing </w:t>
      </w:r>
      <w:proofErr w:type="spellStart"/>
      <w:r w:rsidRPr="00F4013C">
        <w:rPr>
          <w:rFonts w:asciiTheme="majorHAnsi" w:hAnsiTheme="majorHAnsi"/>
          <w:sz w:val="24"/>
          <w:szCs w:val="24"/>
        </w:rPr>
        <w:t>genderscape</w:t>
      </w:r>
      <w:proofErr w:type="spellEnd"/>
      <w:r w:rsidRPr="00F4013C">
        <w:rPr>
          <w:rFonts w:asciiTheme="majorHAnsi" w:hAnsiTheme="majorHAnsi"/>
          <w:sz w:val="24"/>
          <w:szCs w:val="24"/>
        </w:rPr>
        <w:t xml:space="preserve"> of hate, but in doing so, it also sets in motion precursors to the next act.</w:t>
      </w:r>
    </w:p>
    <w:p w14:paraId="3DAD2CE5" w14:textId="77777777" w:rsidR="00F4013C" w:rsidRPr="00F4013C" w:rsidRDefault="00F4013C" w:rsidP="00F4013C">
      <w:pPr>
        <w:spacing w:line="480" w:lineRule="auto"/>
        <w:rPr>
          <w:rFonts w:asciiTheme="majorHAnsi" w:hAnsiTheme="majorHAnsi"/>
          <w:sz w:val="24"/>
          <w:szCs w:val="24"/>
        </w:rPr>
      </w:pPr>
      <w:r w:rsidRPr="00F4013C">
        <w:rPr>
          <w:rFonts w:asciiTheme="majorHAnsi" w:hAnsiTheme="majorHAnsi"/>
          <w:sz w:val="24"/>
          <w:szCs w:val="24"/>
        </w:rPr>
        <w:t xml:space="preserve">The role of media and popular culture in nurturing these </w:t>
      </w:r>
      <w:proofErr w:type="spellStart"/>
      <w:r w:rsidRPr="00F4013C">
        <w:rPr>
          <w:rFonts w:asciiTheme="majorHAnsi" w:hAnsiTheme="majorHAnsi"/>
          <w:sz w:val="24"/>
          <w:szCs w:val="24"/>
        </w:rPr>
        <w:t>genderscapes</w:t>
      </w:r>
      <w:proofErr w:type="spellEnd"/>
      <w:r w:rsidRPr="00F4013C">
        <w:rPr>
          <w:rFonts w:asciiTheme="majorHAnsi" w:hAnsiTheme="majorHAnsi"/>
          <w:sz w:val="24"/>
          <w:szCs w:val="24"/>
        </w:rPr>
        <w:t xml:space="preserve"> of hate cannot be overstressed.  Portrayals of women are rarely in opposition to the productive aspects of patriarchy reducing them to objects of desire devoid of any real agency.  This devaluation and circumcision of agency in media is matched by the moral policing of extra-legal cultural organisations and community leaders in the name of preserving traditional values.  Viewed in this frame, the responses of several public figures in positions of responsibility to horrific instances of gendered violence do not seem bizarre any more. These have ranged from blaming incidents of rape on the victim’s clothes, use of mobiles, failure to invoke fictive kinship with the rapists, her westernized lifestyle etc. </w:t>
      </w:r>
      <w:proofErr w:type="spellStart"/>
      <w:r w:rsidRPr="00F4013C">
        <w:rPr>
          <w:rFonts w:asciiTheme="majorHAnsi" w:hAnsiTheme="majorHAnsi"/>
          <w:sz w:val="24"/>
          <w:szCs w:val="24"/>
        </w:rPr>
        <w:t>Parallely</w:t>
      </w:r>
      <w:proofErr w:type="spellEnd"/>
      <w:proofErr w:type="gramStart"/>
      <w:r w:rsidRPr="00F4013C">
        <w:rPr>
          <w:rFonts w:asciiTheme="majorHAnsi" w:hAnsiTheme="majorHAnsi"/>
          <w:sz w:val="24"/>
          <w:szCs w:val="24"/>
        </w:rPr>
        <w:t>,  the</w:t>
      </w:r>
      <w:proofErr w:type="gramEnd"/>
      <w:r w:rsidRPr="00F4013C">
        <w:rPr>
          <w:rFonts w:asciiTheme="majorHAnsi" w:hAnsiTheme="majorHAnsi"/>
          <w:sz w:val="24"/>
          <w:szCs w:val="24"/>
        </w:rPr>
        <w:t xml:space="preserve"> actions of rapists have been viewed far more indulgently – for example that they rape due to their consumption of fast food or their adolescent masculinity definitely undeserving of harsh punishment currently mandated by the new rape laws. </w:t>
      </w:r>
    </w:p>
    <w:p w14:paraId="37A0272E" w14:textId="77777777" w:rsidR="00F4013C" w:rsidRPr="00F4013C" w:rsidRDefault="00F4013C" w:rsidP="00F4013C">
      <w:pPr>
        <w:spacing w:line="480" w:lineRule="auto"/>
        <w:rPr>
          <w:rFonts w:asciiTheme="majorHAnsi" w:hAnsiTheme="majorHAnsi"/>
          <w:sz w:val="24"/>
          <w:szCs w:val="24"/>
        </w:rPr>
      </w:pPr>
      <w:r w:rsidRPr="00F4013C">
        <w:rPr>
          <w:rFonts w:asciiTheme="majorHAnsi" w:hAnsiTheme="majorHAnsi"/>
          <w:sz w:val="24"/>
          <w:szCs w:val="24"/>
        </w:rPr>
        <w:t xml:space="preserve"> Thus, a woman chief minister has routinely decried all reports of violence against women in her state as political conspiracies, protestors against rape have been termed ‘dented and painted’ women by no less than a sitting MP. In another instance, an MP threatened the women of his political opponent’s constituency with rape. Routinely God </w:t>
      </w:r>
      <w:r w:rsidRPr="00F4013C">
        <w:rPr>
          <w:rFonts w:asciiTheme="majorHAnsi" w:hAnsiTheme="majorHAnsi"/>
          <w:sz w:val="24"/>
          <w:szCs w:val="24"/>
        </w:rPr>
        <w:lastRenderedPageBreak/>
        <w:t>men and other community leaders have issued similar statements while commenting upon women’s safety or instances of rape. Such statements appearing bizarre and out of place</w:t>
      </w:r>
      <w:proofErr w:type="gramStart"/>
      <w:r w:rsidRPr="00F4013C">
        <w:rPr>
          <w:rFonts w:asciiTheme="majorHAnsi" w:hAnsiTheme="majorHAnsi"/>
          <w:sz w:val="24"/>
          <w:szCs w:val="24"/>
        </w:rPr>
        <w:t>,  begin</w:t>
      </w:r>
      <w:proofErr w:type="gramEnd"/>
      <w:r w:rsidRPr="00F4013C">
        <w:rPr>
          <w:rFonts w:asciiTheme="majorHAnsi" w:hAnsiTheme="majorHAnsi"/>
          <w:sz w:val="24"/>
          <w:szCs w:val="24"/>
        </w:rPr>
        <w:t xml:space="preserve"> to make sense when read as just another form of violence that is both a product and precursor to the </w:t>
      </w:r>
      <w:proofErr w:type="spellStart"/>
      <w:r w:rsidRPr="00F4013C">
        <w:rPr>
          <w:rFonts w:asciiTheme="majorHAnsi" w:hAnsiTheme="majorHAnsi"/>
          <w:sz w:val="24"/>
          <w:szCs w:val="24"/>
        </w:rPr>
        <w:t>genderscape</w:t>
      </w:r>
      <w:proofErr w:type="spellEnd"/>
      <w:r w:rsidRPr="00F4013C">
        <w:rPr>
          <w:rFonts w:asciiTheme="majorHAnsi" w:hAnsiTheme="majorHAnsi"/>
          <w:sz w:val="24"/>
          <w:szCs w:val="24"/>
        </w:rPr>
        <w:t xml:space="preserve"> of hate that is proposed as an analytical framework in this essay.  These public stances have an important role in maintaining the </w:t>
      </w:r>
      <w:proofErr w:type="spellStart"/>
      <w:r w:rsidRPr="00F4013C">
        <w:rPr>
          <w:rFonts w:asciiTheme="majorHAnsi" w:hAnsiTheme="majorHAnsi"/>
          <w:sz w:val="24"/>
          <w:szCs w:val="24"/>
        </w:rPr>
        <w:t>genderscape</w:t>
      </w:r>
      <w:proofErr w:type="spellEnd"/>
      <w:r w:rsidRPr="00F4013C">
        <w:rPr>
          <w:rFonts w:asciiTheme="majorHAnsi" w:hAnsiTheme="majorHAnsi"/>
          <w:sz w:val="24"/>
          <w:szCs w:val="24"/>
        </w:rPr>
        <w:t xml:space="preserve"> of hate almost in opposition to any positive interventions to dismantle the same. They do so by serving to trivialise the issue of gendered violence, strengthen misogynist attitudes and further devalue women. In the same vein, group violence against women, seen to be on the rise, can be thought of as a silent and tacit patriarchal pact especially when viewed against women’s rising literacy, mobility and participation in paid work. The implicit relationship between the two becomes clear when viewed within the framework of </w:t>
      </w:r>
      <w:proofErr w:type="spellStart"/>
      <w:r w:rsidRPr="00F4013C">
        <w:rPr>
          <w:rFonts w:asciiTheme="majorHAnsi" w:hAnsiTheme="majorHAnsi"/>
          <w:sz w:val="24"/>
          <w:szCs w:val="24"/>
        </w:rPr>
        <w:t>genderscapes</w:t>
      </w:r>
      <w:proofErr w:type="spellEnd"/>
      <w:r w:rsidRPr="00F4013C">
        <w:rPr>
          <w:rFonts w:asciiTheme="majorHAnsi" w:hAnsiTheme="majorHAnsi"/>
          <w:sz w:val="24"/>
          <w:szCs w:val="24"/>
        </w:rPr>
        <w:t xml:space="preserve"> of hate. </w:t>
      </w:r>
    </w:p>
    <w:p w14:paraId="160BEF53" w14:textId="77777777" w:rsidR="00F4013C" w:rsidRPr="00F4013C" w:rsidRDefault="00F4013C" w:rsidP="00F4013C">
      <w:pPr>
        <w:spacing w:line="480" w:lineRule="auto"/>
        <w:rPr>
          <w:rFonts w:asciiTheme="majorHAnsi" w:hAnsiTheme="majorHAnsi"/>
          <w:sz w:val="24"/>
          <w:szCs w:val="24"/>
        </w:rPr>
      </w:pPr>
      <w:r w:rsidRPr="00F4013C">
        <w:rPr>
          <w:rFonts w:asciiTheme="majorHAnsi" w:hAnsiTheme="majorHAnsi"/>
          <w:sz w:val="24"/>
          <w:szCs w:val="24"/>
        </w:rPr>
        <w:t xml:space="preserve">Institutionalised interventions to gendered violence usually take the form of more comprehensive laws or harsher sentences. Being punitive rather than preventive, they apply ex post facto but do not address more implicit forms of gendered violence that create the </w:t>
      </w:r>
      <w:proofErr w:type="spellStart"/>
      <w:r w:rsidRPr="00F4013C">
        <w:rPr>
          <w:rFonts w:asciiTheme="majorHAnsi" w:hAnsiTheme="majorHAnsi"/>
          <w:sz w:val="24"/>
          <w:szCs w:val="24"/>
        </w:rPr>
        <w:t>genderscape</w:t>
      </w:r>
      <w:proofErr w:type="spellEnd"/>
      <w:r w:rsidRPr="00F4013C">
        <w:rPr>
          <w:rFonts w:asciiTheme="majorHAnsi" w:hAnsiTheme="majorHAnsi"/>
          <w:sz w:val="24"/>
          <w:szCs w:val="24"/>
        </w:rPr>
        <w:t xml:space="preserve"> of hate through a realm of meaning and a popular culture that continues </w:t>
      </w:r>
      <w:proofErr w:type="gramStart"/>
      <w:r w:rsidRPr="00F4013C">
        <w:rPr>
          <w:rFonts w:asciiTheme="majorHAnsi" w:hAnsiTheme="majorHAnsi"/>
          <w:sz w:val="24"/>
          <w:szCs w:val="24"/>
        </w:rPr>
        <w:t>to  devalue</w:t>
      </w:r>
      <w:proofErr w:type="gramEnd"/>
      <w:r w:rsidRPr="00F4013C">
        <w:rPr>
          <w:rFonts w:asciiTheme="majorHAnsi" w:hAnsiTheme="majorHAnsi"/>
          <w:sz w:val="24"/>
          <w:szCs w:val="24"/>
        </w:rPr>
        <w:t xml:space="preserve"> rather than dignify women. In this situation, informal responses to the </w:t>
      </w:r>
      <w:proofErr w:type="spellStart"/>
      <w:r w:rsidRPr="00F4013C">
        <w:rPr>
          <w:rFonts w:asciiTheme="majorHAnsi" w:hAnsiTheme="majorHAnsi"/>
          <w:sz w:val="24"/>
          <w:szCs w:val="24"/>
        </w:rPr>
        <w:t>genderscapes</w:t>
      </w:r>
      <w:proofErr w:type="spellEnd"/>
      <w:r w:rsidRPr="00F4013C">
        <w:rPr>
          <w:rFonts w:asciiTheme="majorHAnsi" w:hAnsiTheme="majorHAnsi"/>
          <w:sz w:val="24"/>
          <w:szCs w:val="24"/>
        </w:rPr>
        <w:t xml:space="preserve"> of hate make a compelling statement about gendered resistance and agency in everyday contexts.</w:t>
      </w:r>
    </w:p>
    <w:p w14:paraId="62E8EDEF" w14:textId="77777777" w:rsidR="00F4013C" w:rsidRPr="00F4013C" w:rsidRDefault="00F4013C" w:rsidP="00F4013C">
      <w:pPr>
        <w:spacing w:line="480" w:lineRule="auto"/>
        <w:rPr>
          <w:rFonts w:asciiTheme="majorHAnsi" w:hAnsiTheme="majorHAnsi"/>
          <w:sz w:val="24"/>
          <w:szCs w:val="24"/>
        </w:rPr>
      </w:pPr>
      <w:r w:rsidRPr="00F4013C">
        <w:rPr>
          <w:rFonts w:asciiTheme="majorHAnsi" w:hAnsiTheme="majorHAnsi"/>
          <w:sz w:val="24"/>
          <w:szCs w:val="24"/>
        </w:rPr>
        <w:t xml:space="preserve">Women have formed vigilante groups, used informal networks and emasculated their tormentors using their bodies as instruments of protest. The disrobing of the </w:t>
      </w:r>
      <w:proofErr w:type="spellStart"/>
      <w:r w:rsidRPr="00F4013C">
        <w:rPr>
          <w:rFonts w:asciiTheme="majorHAnsi" w:hAnsiTheme="majorHAnsi"/>
          <w:i/>
          <w:sz w:val="24"/>
          <w:szCs w:val="24"/>
        </w:rPr>
        <w:t>Maira</w:t>
      </w:r>
      <w:proofErr w:type="spellEnd"/>
      <w:r w:rsidRPr="00F4013C">
        <w:rPr>
          <w:rFonts w:asciiTheme="majorHAnsi" w:hAnsiTheme="majorHAnsi"/>
          <w:i/>
          <w:sz w:val="24"/>
          <w:szCs w:val="24"/>
        </w:rPr>
        <w:t xml:space="preserve"> </w:t>
      </w:r>
      <w:proofErr w:type="spellStart"/>
      <w:r w:rsidRPr="00F4013C">
        <w:rPr>
          <w:rFonts w:asciiTheme="majorHAnsi" w:hAnsiTheme="majorHAnsi"/>
          <w:i/>
          <w:sz w:val="24"/>
          <w:szCs w:val="24"/>
        </w:rPr>
        <w:t>paibis</w:t>
      </w:r>
      <w:proofErr w:type="spellEnd"/>
      <w:r w:rsidRPr="00F4013C">
        <w:rPr>
          <w:rFonts w:asciiTheme="majorHAnsi" w:hAnsiTheme="majorHAnsi"/>
          <w:sz w:val="24"/>
          <w:szCs w:val="24"/>
        </w:rPr>
        <w:t xml:space="preserve"> (literally women with the lamp, a traditional women’s group in Manipur) to protest custodial violence unleashed through the Armed Forces Special Powers Act in Manipur is a case in point. Similarly, a group of women under the leadership of </w:t>
      </w:r>
      <w:proofErr w:type="spellStart"/>
      <w:r w:rsidRPr="00F4013C">
        <w:rPr>
          <w:rFonts w:asciiTheme="majorHAnsi" w:hAnsiTheme="majorHAnsi"/>
          <w:sz w:val="24"/>
          <w:szCs w:val="24"/>
        </w:rPr>
        <w:t>Sampat</w:t>
      </w:r>
      <w:proofErr w:type="spellEnd"/>
      <w:r w:rsidRPr="00F4013C">
        <w:rPr>
          <w:rFonts w:asciiTheme="majorHAnsi" w:hAnsiTheme="majorHAnsi"/>
          <w:sz w:val="24"/>
          <w:szCs w:val="24"/>
        </w:rPr>
        <w:t xml:space="preserve"> </w:t>
      </w:r>
      <w:r w:rsidRPr="00F4013C">
        <w:rPr>
          <w:rFonts w:asciiTheme="majorHAnsi" w:hAnsiTheme="majorHAnsi"/>
          <w:sz w:val="24"/>
          <w:szCs w:val="24"/>
        </w:rPr>
        <w:lastRenderedPageBreak/>
        <w:t xml:space="preserve">Pal in Banda, Uttar Pradesh, began wielding </w:t>
      </w:r>
      <w:proofErr w:type="spellStart"/>
      <w:r w:rsidRPr="00F4013C">
        <w:rPr>
          <w:rFonts w:asciiTheme="majorHAnsi" w:hAnsiTheme="majorHAnsi"/>
          <w:i/>
          <w:sz w:val="24"/>
          <w:szCs w:val="24"/>
        </w:rPr>
        <w:t>lathis</w:t>
      </w:r>
      <w:proofErr w:type="spellEnd"/>
      <w:r w:rsidRPr="00F4013C">
        <w:rPr>
          <w:rFonts w:asciiTheme="majorHAnsi" w:hAnsiTheme="majorHAnsi"/>
          <w:sz w:val="24"/>
          <w:szCs w:val="24"/>
        </w:rPr>
        <w:t xml:space="preserve"> (wooden staffs) and intervening in cases of domestic violence. Distinguished by their pink attire, they are known as the </w:t>
      </w:r>
      <w:proofErr w:type="spellStart"/>
      <w:r w:rsidRPr="00F4013C">
        <w:rPr>
          <w:rFonts w:asciiTheme="majorHAnsi" w:hAnsiTheme="majorHAnsi"/>
          <w:sz w:val="24"/>
          <w:szCs w:val="24"/>
        </w:rPr>
        <w:t>Gulab</w:t>
      </w:r>
      <w:proofErr w:type="spellEnd"/>
      <w:r w:rsidRPr="00F4013C">
        <w:rPr>
          <w:rFonts w:asciiTheme="majorHAnsi" w:hAnsiTheme="majorHAnsi"/>
          <w:sz w:val="24"/>
          <w:szCs w:val="24"/>
        </w:rPr>
        <w:t xml:space="preserve"> Gang.  Following attacks on women in pubs and calls to boycott Valentine day celebrations by a right wing group, women in Mangalore responded by banding together a “consortium of loose, forward and pub going women” and called upon everybody to support women’s freedom by sending pink underwear to the leader of the outfit. Pink underwear arrived in truckloads to the group’s office from all corners of the country. In the same vein, Slut walks, silent marches, street plays and efforts to reclaim public spaces through the subversive act of loitering have been some of the other responses aimed at protesting sexual violence and generating awareness, though mostly in urban areas.</w:t>
      </w:r>
    </w:p>
    <w:p w14:paraId="1CFCDF2A" w14:textId="77777777" w:rsidR="00F4013C" w:rsidRPr="00F4013C" w:rsidRDefault="00F4013C" w:rsidP="00F4013C">
      <w:pPr>
        <w:spacing w:line="480" w:lineRule="auto"/>
        <w:rPr>
          <w:rFonts w:asciiTheme="majorHAnsi" w:hAnsiTheme="majorHAnsi"/>
          <w:sz w:val="24"/>
          <w:szCs w:val="24"/>
        </w:rPr>
      </w:pPr>
      <w:r w:rsidRPr="00F4013C">
        <w:rPr>
          <w:rFonts w:asciiTheme="majorHAnsi" w:hAnsiTheme="majorHAnsi"/>
          <w:sz w:val="24"/>
          <w:szCs w:val="24"/>
        </w:rPr>
        <w:t xml:space="preserve">The need of the hour is to view the issue of gendered violence not as a development issue but through the lens of culture rooted in the praxis of everyday life.  Dismantling these </w:t>
      </w:r>
      <w:proofErr w:type="spellStart"/>
      <w:r w:rsidRPr="00F4013C">
        <w:rPr>
          <w:rFonts w:asciiTheme="majorHAnsi" w:hAnsiTheme="majorHAnsi"/>
          <w:sz w:val="24"/>
          <w:szCs w:val="24"/>
        </w:rPr>
        <w:t>hatescapes</w:t>
      </w:r>
      <w:proofErr w:type="spellEnd"/>
      <w:r w:rsidRPr="00F4013C">
        <w:rPr>
          <w:rFonts w:asciiTheme="majorHAnsi" w:hAnsiTheme="majorHAnsi"/>
          <w:sz w:val="24"/>
          <w:szCs w:val="24"/>
        </w:rPr>
        <w:t xml:space="preserve"> necessitates going beyond legislation to include the strategies of resistance and search for gendered agency in the praxis of everyday life. This is what the framework of </w:t>
      </w:r>
      <w:proofErr w:type="spellStart"/>
      <w:r w:rsidRPr="00F4013C">
        <w:rPr>
          <w:rFonts w:asciiTheme="majorHAnsi" w:hAnsiTheme="majorHAnsi"/>
          <w:sz w:val="24"/>
          <w:szCs w:val="24"/>
        </w:rPr>
        <w:t>genderscape</w:t>
      </w:r>
      <w:proofErr w:type="spellEnd"/>
      <w:r w:rsidRPr="00F4013C">
        <w:rPr>
          <w:rFonts w:asciiTheme="majorHAnsi" w:hAnsiTheme="majorHAnsi"/>
          <w:sz w:val="24"/>
          <w:szCs w:val="24"/>
        </w:rPr>
        <w:t xml:space="preserve"> of hate proposed here creates space for.</w:t>
      </w:r>
    </w:p>
    <w:p w14:paraId="2C0A12F8" w14:textId="77777777" w:rsidR="00F4013C" w:rsidRPr="00F4013C" w:rsidRDefault="00F4013C" w:rsidP="00F4013C">
      <w:pPr>
        <w:spacing w:line="480" w:lineRule="auto"/>
        <w:rPr>
          <w:rFonts w:asciiTheme="majorHAnsi" w:hAnsiTheme="majorHAnsi"/>
          <w:b/>
          <w:sz w:val="24"/>
          <w:szCs w:val="24"/>
        </w:rPr>
      </w:pPr>
    </w:p>
    <w:p w14:paraId="19867D3A" w14:textId="77777777" w:rsidR="00F4013C" w:rsidRPr="00F4013C" w:rsidRDefault="00F4013C" w:rsidP="00F4013C">
      <w:pPr>
        <w:spacing w:line="480" w:lineRule="auto"/>
        <w:rPr>
          <w:rFonts w:asciiTheme="majorHAnsi" w:hAnsiTheme="majorHAnsi"/>
          <w:b/>
          <w:sz w:val="24"/>
          <w:szCs w:val="24"/>
        </w:rPr>
      </w:pPr>
      <w:r w:rsidRPr="00F4013C">
        <w:rPr>
          <w:rFonts w:asciiTheme="majorHAnsi" w:hAnsiTheme="majorHAnsi"/>
          <w:b/>
          <w:sz w:val="24"/>
          <w:szCs w:val="24"/>
        </w:rPr>
        <w:t>References</w:t>
      </w:r>
    </w:p>
    <w:p w14:paraId="577ED856" w14:textId="77777777" w:rsidR="00F4013C" w:rsidRPr="00F4013C" w:rsidRDefault="00F4013C" w:rsidP="00F4013C">
      <w:pPr>
        <w:spacing w:line="480" w:lineRule="auto"/>
        <w:rPr>
          <w:rFonts w:asciiTheme="majorHAnsi" w:hAnsiTheme="majorHAnsi"/>
          <w:sz w:val="24"/>
          <w:szCs w:val="24"/>
        </w:rPr>
      </w:pPr>
      <w:proofErr w:type="spellStart"/>
      <w:r w:rsidRPr="00F4013C">
        <w:rPr>
          <w:rFonts w:asciiTheme="majorHAnsi" w:hAnsiTheme="majorHAnsi"/>
          <w:sz w:val="24"/>
          <w:szCs w:val="24"/>
        </w:rPr>
        <w:t>Appadurai</w:t>
      </w:r>
      <w:proofErr w:type="spellEnd"/>
      <w:r w:rsidRPr="00F4013C">
        <w:rPr>
          <w:rFonts w:asciiTheme="majorHAnsi" w:hAnsiTheme="majorHAnsi"/>
          <w:sz w:val="24"/>
          <w:szCs w:val="24"/>
        </w:rPr>
        <w:t xml:space="preserve"> A (1996) </w:t>
      </w:r>
      <w:r w:rsidRPr="00F4013C">
        <w:rPr>
          <w:rFonts w:asciiTheme="majorHAnsi" w:hAnsiTheme="majorHAnsi"/>
          <w:i/>
          <w:sz w:val="24"/>
          <w:szCs w:val="24"/>
        </w:rPr>
        <w:t>Modernity at Large Cultural Dimensions of Globalizatio</w:t>
      </w:r>
      <w:r w:rsidRPr="00F4013C">
        <w:rPr>
          <w:rFonts w:asciiTheme="majorHAnsi" w:hAnsiTheme="majorHAnsi"/>
          <w:sz w:val="24"/>
          <w:szCs w:val="24"/>
        </w:rPr>
        <w:t xml:space="preserve">n, Minneapolis, </w:t>
      </w:r>
      <w:proofErr w:type="gramStart"/>
      <w:r w:rsidRPr="00F4013C">
        <w:rPr>
          <w:rFonts w:asciiTheme="majorHAnsi" w:hAnsiTheme="majorHAnsi"/>
          <w:sz w:val="24"/>
          <w:szCs w:val="24"/>
        </w:rPr>
        <w:t>University</w:t>
      </w:r>
      <w:proofErr w:type="gramEnd"/>
      <w:r w:rsidRPr="00F4013C">
        <w:rPr>
          <w:rFonts w:asciiTheme="majorHAnsi" w:hAnsiTheme="majorHAnsi"/>
          <w:sz w:val="24"/>
          <w:szCs w:val="24"/>
        </w:rPr>
        <w:t xml:space="preserve"> of Minnesota Press.</w:t>
      </w:r>
    </w:p>
    <w:p w14:paraId="383E32E9" w14:textId="77777777" w:rsidR="00F4013C" w:rsidRPr="00F4013C" w:rsidRDefault="00F4013C" w:rsidP="00F4013C">
      <w:pPr>
        <w:spacing w:line="480" w:lineRule="auto"/>
        <w:rPr>
          <w:rFonts w:asciiTheme="majorHAnsi" w:hAnsiTheme="majorHAnsi"/>
          <w:sz w:val="24"/>
          <w:szCs w:val="24"/>
        </w:rPr>
      </w:pPr>
      <w:r w:rsidRPr="00F4013C">
        <w:rPr>
          <w:rFonts w:asciiTheme="majorHAnsi" w:hAnsiTheme="majorHAnsi"/>
          <w:sz w:val="24"/>
          <w:szCs w:val="24"/>
        </w:rPr>
        <w:t xml:space="preserve">Butler J (1990) Gender Trouble: Feminism and the Subversion of Identity, New York, </w:t>
      </w:r>
      <w:proofErr w:type="spellStart"/>
      <w:r w:rsidRPr="00F4013C">
        <w:rPr>
          <w:rFonts w:asciiTheme="majorHAnsi" w:hAnsiTheme="majorHAnsi"/>
          <w:sz w:val="24"/>
          <w:szCs w:val="24"/>
        </w:rPr>
        <w:t>Routledge</w:t>
      </w:r>
      <w:proofErr w:type="spellEnd"/>
      <w:r w:rsidRPr="00F4013C">
        <w:rPr>
          <w:rFonts w:asciiTheme="majorHAnsi" w:hAnsiTheme="majorHAnsi"/>
          <w:sz w:val="24"/>
          <w:szCs w:val="24"/>
        </w:rPr>
        <w:t>.</w:t>
      </w:r>
    </w:p>
    <w:p w14:paraId="4533DC0D" w14:textId="77777777" w:rsidR="00F4013C" w:rsidRPr="00F4013C" w:rsidRDefault="00F4013C" w:rsidP="00F4013C">
      <w:pPr>
        <w:spacing w:line="480" w:lineRule="auto"/>
        <w:rPr>
          <w:rFonts w:asciiTheme="majorHAnsi" w:hAnsiTheme="majorHAnsi"/>
          <w:sz w:val="24"/>
          <w:szCs w:val="24"/>
        </w:rPr>
      </w:pPr>
      <w:proofErr w:type="spellStart"/>
      <w:r w:rsidRPr="00F4013C">
        <w:rPr>
          <w:rFonts w:asciiTheme="majorHAnsi" w:hAnsiTheme="majorHAnsi"/>
          <w:sz w:val="24"/>
          <w:szCs w:val="24"/>
        </w:rPr>
        <w:lastRenderedPageBreak/>
        <w:t>Datta</w:t>
      </w:r>
      <w:proofErr w:type="spellEnd"/>
      <w:r w:rsidRPr="00F4013C">
        <w:rPr>
          <w:rFonts w:asciiTheme="majorHAnsi" w:hAnsiTheme="majorHAnsi"/>
          <w:sz w:val="24"/>
          <w:szCs w:val="24"/>
        </w:rPr>
        <w:t xml:space="preserve"> A (2013) Work, Gender and Social Value: Conceptual Links and Field Insights’ in </w:t>
      </w:r>
      <w:proofErr w:type="spellStart"/>
      <w:r w:rsidRPr="00F4013C">
        <w:rPr>
          <w:rFonts w:asciiTheme="majorHAnsi" w:hAnsiTheme="majorHAnsi"/>
          <w:sz w:val="24"/>
          <w:szCs w:val="24"/>
        </w:rPr>
        <w:t>Dutta</w:t>
      </w:r>
      <w:proofErr w:type="spellEnd"/>
      <w:r w:rsidRPr="00F4013C">
        <w:rPr>
          <w:rFonts w:asciiTheme="majorHAnsi" w:hAnsiTheme="majorHAnsi"/>
          <w:sz w:val="24"/>
          <w:szCs w:val="24"/>
        </w:rPr>
        <w:t xml:space="preserve"> M (</w:t>
      </w:r>
      <w:proofErr w:type="spellStart"/>
      <w:r w:rsidRPr="00F4013C">
        <w:rPr>
          <w:rFonts w:asciiTheme="majorHAnsi" w:hAnsiTheme="majorHAnsi"/>
          <w:sz w:val="24"/>
          <w:szCs w:val="24"/>
        </w:rPr>
        <w:t>ed</w:t>
      </w:r>
      <w:proofErr w:type="spellEnd"/>
      <w:r w:rsidRPr="00F4013C">
        <w:rPr>
          <w:rFonts w:asciiTheme="majorHAnsi" w:hAnsiTheme="majorHAnsi"/>
          <w:sz w:val="24"/>
          <w:szCs w:val="24"/>
        </w:rPr>
        <w:t xml:space="preserve">) 2013, </w:t>
      </w:r>
      <w:r w:rsidRPr="00F4013C">
        <w:rPr>
          <w:rFonts w:asciiTheme="majorHAnsi" w:hAnsiTheme="majorHAnsi"/>
          <w:i/>
          <w:sz w:val="24"/>
          <w:szCs w:val="24"/>
        </w:rPr>
        <w:t>Gender and Human Development in Central and South Asia</w:t>
      </w:r>
      <w:proofErr w:type="gramStart"/>
      <w:r w:rsidRPr="00F4013C">
        <w:rPr>
          <w:rFonts w:asciiTheme="majorHAnsi" w:hAnsiTheme="majorHAnsi"/>
          <w:sz w:val="24"/>
          <w:szCs w:val="24"/>
        </w:rPr>
        <w:t>,  Pentagon</w:t>
      </w:r>
      <w:proofErr w:type="gramEnd"/>
      <w:r w:rsidRPr="00F4013C">
        <w:rPr>
          <w:rFonts w:asciiTheme="majorHAnsi" w:hAnsiTheme="majorHAnsi"/>
          <w:sz w:val="24"/>
          <w:szCs w:val="24"/>
        </w:rPr>
        <w:t xml:space="preserve"> Press, New Delhi, </w:t>
      </w:r>
      <w:proofErr w:type="spellStart"/>
      <w:r w:rsidRPr="00F4013C">
        <w:rPr>
          <w:rFonts w:asciiTheme="majorHAnsi" w:hAnsiTheme="majorHAnsi"/>
          <w:sz w:val="24"/>
          <w:szCs w:val="24"/>
        </w:rPr>
        <w:t>pp</w:t>
      </w:r>
      <w:proofErr w:type="spellEnd"/>
      <w:r w:rsidRPr="00F4013C">
        <w:rPr>
          <w:rFonts w:asciiTheme="majorHAnsi" w:hAnsiTheme="majorHAnsi"/>
          <w:sz w:val="24"/>
          <w:szCs w:val="24"/>
        </w:rPr>
        <w:t xml:space="preserve"> 26-31.</w:t>
      </w:r>
    </w:p>
    <w:p w14:paraId="718DBC88" w14:textId="77777777" w:rsidR="00F4013C" w:rsidRPr="00F4013C" w:rsidRDefault="00F4013C" w:rsidP="00F4013C">
      <w:pPr>
        <w:spacing w:line="480" w:lineRule="auto"/>
        <w:rPr>
          <w:rFonts w:asciiTheme="majorHAnsi" w:hAnsiTheme="majorHAnsi"/>
          <w:sz w:val="24"/>
          <w:szCs w:val="24"/>
        </w:rPr>
      </w:pPr>
      <w:proofErr w:type="spellStart"/>
      <w:r w:rsidRPr="00F4013C">
        <w:rPr>
          <w:rFonts w:asciiTheme="majorHAnsi" w:hAnsiTheme="majorHAnsi"/>
          <w:sz w:val="24"/>
          <w:szCs w:val="24"/>
        </w:rPr>
        <w:t>Datta</w:t>
      </w:r>
      <w:proofErr w:type="spellEnd"/>
      <w:r w:rsidRPr="00F4013C">
        <w:rPr>
          <w:rFonts w:asciiTheme="majorHAnsi" w:hAnsiTheme="majorHAnsi"/>
          <w:sz w:val="24"/>
          <w:szCs w:val="24"/>
        </w:rPr>
        <w:t xml:space="preserve"> A (2012) ‘</w:t>
      </w:r>
      <w:r w:rsidRPr="00F4013C">
        <w:rPr>
          <w:rFonts w:asciiTheme="majorHAnsi" w:hAnsiTheme="majorHAnsi"/>
          <w:i/>
          <w:sz w:val="24"/>
          <w:szCs w:val="24"/>
        </w:rPr>
        <w:t xml:space="preserve">Space, Gender and Social Value: </w:t>
      </w:r>
      <w:proofErr w:type="spellStart"/>
      <w:r w:rsidRPr="00F4013C">
        <w:rPr>
          <w:rFonts w:asciiTheme="majorHAnsi" w:hAnsiTheme="majorHAnsi"/>
          <w:i/>
          <w:sz w:val="24"/>
          <w:szCs w:val="24"/>
        </w:rPr>
        <w:t>Analyzing</w:t>
      </w:r>
      <w:proofErr w:type="spellEnd"/>
      <w:r w:rsidRPr="00F4013C">
        <w:rPr>
          <w:rFonts w:asciiTheme="majorHAnsi" w:hAnsiTheme="majorHAnsi"/>
          <w:i/>
          <w:sz w:val="24"/>
          <w:szCs w:val="24"/>
        </w:rPr>
        <w:t xml:space="preserve"> Gender Inequalities in Relation to Space</w:t>
      </w:r>
      <w:r w:rsidRPr="00F4013C">
        <w:rPr>
          <w:rFonts w:asciiTheme="majorHAnsi" w:hAnsiTheme="majorHAnsi"/>
          <w:sz w:val="24"/>
          <w:szCs w:val="24"/>
        </w:rPr>
        <w:t xml:space="preserve">’ in </w:t>
      </w:r>
      <w:proofErr w:type="spellStart"/>
      <w:r w:rsidRPr="00F4013C">
        <w:rPr>
          <w:rFonts w:asciiTheme="majorHAnsi" w:hAnsiTheme="majorHAnsi"/>
          <w:sz w:val="24"/>
          <w:szCs w:val="24"/>
        </w:rPr>
        <w:t>Dutt</w:t>
      </w:r>
      <w:proofErr w:type="spellEnd"/>
      <w:r w:rsidRPr="00F4013C">
        <w:rPr>
          <w:rFonts w:asciiTheme="majorHAnsi" w:hAnsiTheme="majorHAnsi"/>
          <w:sz w:val="24"/>
          <w:szCs w:val="24"/>
        </w:rPr>
        <w:t xml:space="preserve"> A.K, </w:t>
      </w:r>
      <w:proofErr w:type="spellStart"/>
      <w:r w:rsidRPr="00F4013C">
        <w:rPr>
          <w:rFonts w:asciiTheme="majorHAnsi" w:hAnsiTheme="majorHAnsi"/>
          <w:sz w:val="24"/>
          <w:szCs w:val="24"/>
        </w:rPr>
        <w:t>Vandana</w:t>
      </w:r>
      <w:proofErr w:type="spellEnd"/>
      <w:r w:rsidRPr="00F4013C">
        <w:rPr>
          <w:rFonts w:asciiTheme="majorHAnsi" w:hAnsiTheme="majorHAnsi"/>
          <w:sz w:val="24"/>
          <w:szCs w:val="24"/>
        </w:rPr>
        <w:t xml:space="preserve"> </w:t>
      </w:r>
      <w:proofErr w:type="spellStart"/>
      <w:r w:rsidRPr="00F4013C">
        <w:rPr>
          <w:rFonts w:asciiTheme="majorHAnsi" w:hAnsiTheme="majorHAnsi"/>
          <w:sz w:val="24"/>
          <w:szCs w:val="24"/>
        </w:rPr>
        <w:t>Wadhwa</w:t>
      </w:r>
      <w:proofErr w:type="spellEnd"/>
      <w:r w:rsidRPr="00F4013C">
        <w:rPr>
          <w:rFonts w:asciiTheme="majorHAnsi" w:hAnsiTheme="majorHAnsi"/>
          <w:sz w:val="24"/>
          <w:szCs w:val="24"/>
        </w:rPr>
        <w:t>, B. Thakur and F.J Costa (</w:t>
      </w:r>
      <w:proofErr w:type="spellStart"/>
      <w:r w:rsidRPr="00F4013C">
        <w:rPr>
          <w:rFonts w:asciiTheme="majorHAnsi" w:hAnsiTheme="majorHAnsi"/>
          <w:sz w:val="24"/>
          <w:szCs w:val="24"/>
        </w:rPr>
        <w:t>eds</w:t>
      </w:r>
      <w:proofErr w:type="spellEnd"/>
      <w:r w:rsidRPr="00F4013C">
        <w:rPr>
          <w:rFonts w:asciiTheme="majorHAnsi" w:hAnsiTheme="majorHAnsi"/>
          <w:sz w:val="24"/>
          <w:szCs w:val="24"/>
        </w:rPr>
        <w:t xml:space="preserve">) </w:t>
      </w:r>
      <w:r w:rsidRPr="00F4013C">
        <w:rPr>
          <w:rFonts w:asciiTheme="majorHAnsi" w:hAnsiTheme="majorHAnsi"/>
          <w:i/>
          <w:sz w:val="24"/>
          <w:szCs w:val="24"/>
        </w:rPr>
        <w:t xml:space="preserve">Facets of Social Geography: International and Indian Perspectives, </w:t>
      </w:r>
      <w:r w:rsidRPr="00F4013C">
        <w:rPr>
          <w:rFonts w:asciiTheme="majorHAnsi" w:hAnsiTheme="majorHAnsi"/>
          <w:sz w:val="24"/>
          <w:szCs w:val="24"/>
        </w:rPr>
        <w:t xml:space="preserve">Cambridge University Press, New Delhi, 2012, </w:t>
      </w:r>
      <w:proofErr w:type="spellStart"/>
      <w:r w:rsidRPr="00F4013C">
        <w:rPr>
          <w:rFonts w:asciiTheme="majorHAnsi" w:hAnsiTheme="majorHAnsi"/>
          <w:sz w:val="24"/>
          <w:szCs w:val="24"/>
        </w:rPr>
        <w:t>pp</w:t>
      </w:r>
      <w:proofErr w:type="spellEnd"/>
      <w:r w:rsidRPr="00F4013C">
        <w:rPr>
          <w:rFonts w:asciiTheme="majorHAnsi" w:hAnsiTheme="majorHAnsi"/>
          <w:sz w:val="24"/>
          <w:szCs w:val="24"/>
        </w:rPr>
        <w:t xml:space="preserve"> 382-399.</w:t>
      </w:r>
    </w:p>
    <w:p w14:paraId="65869721" w14:textId="77777777" w:rsidR="00F4013C" w:rsidRPr="00F4013C" w:rsidRDefault="00F4013C" w:rsidP="00F4013C">
      <w:pPr>
        <w:spacing w:line="480" w:lineRule="auto"/>
        <w:rPr>
          <w:rFonts w:asciiTheme="majorHAnsi" w:hAnsiTheme="majorHAnsi"/>
          <w:sz w:val="24"/>
          <w:szCs w:val="24"/>
        </w:rPr>
      </w:pPr>
      <w:proofErr w:type="spellStart"/>
      <w:r w:rsidRPr="00F4013C">
        <w:rPr>
          <w:rFonts w:asciiTheme="majorHAnsi" w:hAnsiTheme="majorHAnsi"/>
          <w:sz w:val="24"/>
          <w:szCs w:val="24"/>
        </w:rPr>
        <w:t>Datta</w:t>
      </w:r>
      <w:proofErr w:type="spellEnd"/>
      <w:r w:rsidRPr="00F4013C">
        <w:rPr>
          <w:rFonts w:asciiTheme="majorHAnsi" w:hAnsiTheme="majorHAnsi"/>
          <w:sz w:val="24"/>
          <w:szCs w:val="24"/>
        </w:rPr>
        <w:t xml:space="preserve"> A (2011) </w:t>
      </w:r>
      <w:r w:rsidRPr="00F4013C">
        <w:rPr>
          <w:rFonts w:asciiTheme="majorHAnsi" w:hAnsiTheme="majorHAnsi"/>
          <w:i/>
          <w:sz w:val="24"/>
          <w:szCs w:val="24"/>
        </w:rPr>
        <w:t>Natural Landscapes and Regional Constructs of Gender: Theorizing Linkages in the Indian Context,</w:t>
      </w:r>
      <w:r w:rsidRPr="00F4013C">
        <w:rPr>
          <w:rFonts w:asciiTheme="majorHAnsi" w:hAnsiTheme="majorHAnsi"/>
          <w:sz w:val="24"/>
          <w:szCs w:val="24"/>
        </w:rPr>
        <w:t xml:space="preserve"> Gender, Technology and Development November 2011, </w:t>
      </w:r>
      <w:proofErr w:type="spellStart"/>
      <w:proofErr w:type="gramStart"/>
      <w:r w:rsidRPr="00F4013C">
        <w:rPr>
          <w:rFonts w:asciiTheme="majorHAnsi" w:hAnsiTheme="majorHAnsi"/>
          <w:sz w:val="24"/>
          <w:szCs w:val="24"/>
        </w:rPr>
        <w:t>vol</w:t>
      </w:r>
      <w:proofErr w:type="spellEnd"/>
      <w:r w:rsidRPr="00F4013C">
        <w:rPr>
          <w:rFonts w:asciiTheme="majorHAnsi" w:hAnsiTheme="majorHAnsi"/>
          <w:sz w:val="24"/>
          <w:szCs w:val="24"/>
        </w:rPr>
        <w:t xml:space="preserve">  15</w:t>
      </w:r>
      <w:proofErr w:type="gramEnd"/>
      <w:r w:rsidRPr="00F4013C">
        <w:rPr>
          <w:rFonts w:asciiTheme="majorHAnsi" w:hAnsiTheme="majorHAnsi"/>
          <w:sz w:val="24"/>
          <w:szCs w:val="24"/>
        </w:rPr>
        <w:t xml:space="preserve">, Number 3, </w:t>
      </w:r>
      <w:proofErr w:type="spellStart"/>
      <w:r w:rsidRPr="00F4013C">
        <w:rPr>
          <w:rFonts w:asciiTheme="majorHAnsi" w:hAnsiTheme="majorHAnsi"/>
          <w:sz w:val="24"/>
          <w:szCs w:val="24"/>
        </w:rPr>
        <w:t>pp</w:t>
      </w:r>
      <w:proofErr w:type="spellEnd"/>
      <w:r w:rsidRPr="00F4013C">
        <w:rPr>
          <w:rFonts w:asciiTheme="majorHAnsi" w:hAnsiTheme="majorHAnsi"/>
          <w:sz w:val="24"/>
          <w:szCs w:val="24"/>
        </w:rPr>
        <w:t xml:space="preserve"> 345-362.</w:t>
      </w:r>
    </w:p>
    <w:p w14:paraId="7760B237" w14:textId="77777777" w:rsidR="00F4013C" w:rsidRPr="00F4013C" w:rsidRDefault="00F4013C" w:rsidP="00F4013C">
      <w:pPr>
        <w:spacing w:line="480" w:lineRule="auto"/>
        <w:rPr>
          <w:rFonts w:asciiTheme="majorHAnsi" w:hAnsiTheme="majorHAnsi"/>
          <w:sz w:val="24"/>
          <w:szCs w:val="24"/>
        </w:rPr>
      </w:pPr>
      <w:proofErr w:type="spellStart"/>
      <w:r w:rsidRPr="00F4013C">
        <w:rPr>
          <w:rFonts w:asciiTheme="majorHAnsi" w:hAnsiTheme="majorHAnsi"/>
          <w:sz w:val="24"/>
          <w:szCs w:val="24"/>
        </w:rPr>
        <w:t>Datta</w:t>
      </w:r>
      <w:proofErr w:type="spellEnd"/>
      <w:r w:rsidRPr="00F4013C">
        <w:rPr>
          <w:rFonts w:asciiTheme="majorHAnsi" w:hAnsiTheme="majorHAnsi"/>
          <w:sz w:val="24"/>
          <w:szCs w:val="24"/>
        </w:rPr>
        <w:t xml:space="preserve"> A (1999) </w:t>
      </w:r>
      <w:r w:rsidRPr="00F4013C">
        <w:rPr>
          <w:rFonts w:asciiTheme="majorHAnsi" w:hAnsiTheme="majorHAnsi"/>
          <w:i/>
          <w:sz w:val="24"/>
          <w:szCs w:val="24"/>
        </w:rPr>
        <w:t>Inter regional Gender Disparities in the Levels of Social Well Being,</w:t>
      </w:r>
      <w:r w:rsidRPr="00F4013C">
        <w:rPr>
          <w:rFonts w:asciiTheme="majorHAnsi" w:hAnsiTheme="majorHAnsi"/>
          <w:sz w:val="24"/>
          <w:szCs w:val="24"/>
        </w:rPr>
        <w:t xml:space="preserve"> </w:t>
      </w:r>
      <w:proofErr w:type="spellStart"/>
      <w:r w:rsidRPr="00F4013C">
        <w:rPr>
          <w:rFonts w:asciiTheme="majorHAnsi" w:hAnsiTheme="majorHAnsi"/>
          <w:sz w:val="24"/>
          <w:szCs w:val="24"/>
        </w:rPr>
        <w:t>Ph.D</w:t>
      </w:r>
      <w:proofErr w:type="spellEnd"/>
      <w:r w:rsidRPr="00F4013C">
        <w:rPr>
          <w:rFonts w:asciiTheme="majorHAnsi" w:hAnsiTheme="majorHAnsi"/>
          <w:sz w:val="24"/>
          <w:szCs w:val="24"/>
        </w:rPr>
        <w:t xml:space="preserve"> thesis, Centre for the Study of Regional Development, Jawaharlal Nehru University, Delhi.</w:t>
      </w:r>
    </w:p>
    <w:p w14:paraId="53A1D107" w14:textId="77777777" w:rsidR="00F4013C" w:rsidRPr="00F4013C" w:rsidRDefault="00F4013C" w:rsidP="00F4013C">
      <w:pPr>
        <w:spacing w:line="480" w:lineRule="auto"/>
        <w:rPr>
          <w:rFonts w:asciiTheme="majorHAnsi" w:hAnsiTheme="majorHAnsi"/>
          <w:sz w:val="24"/>
          <w:szCs w:val="24"/>
        </w:rPr>
      </w:pPr>
      <w:r w:rsidRPr="00F4013C">
        <w:rPr>
          <w:rFonts w:asciiTheme="majorHAnsi" w:hAnsiTheme="majorHAnsi"/>
          <w:sz w:val="24"/>
          <w:szCs w:val="24"/>
        </w:rPr>
        <w:t xml:space="preserve">Lefebvre H (1974) </w:t>
      </w:r>
      <w:r w:rsidRPr="00F4013C">
        <w:rPr>
          <w:rFonts w:asciiTheme="majorHAnsi" w:hAnsiTheme="majorHAnsi"/>
          <w:i/>
          <w:sz w:val="24"/>
          <w:szCs w:val="24"/>
        </w:rPr>
        <w:t>The Production of Space,</w:t>
      </w:r>
      <w:r w:rsidRPr="00F4013C">
        <w:rPr>
          <w:rFonts w:asciiTheme="majorHAnsi" w:hAnsiTheme="majorHAnsi"/>
          <w:sz w:val="24"/>
          <w:szCs w:val="24"/>
        </w:rPr>
        <w:t xml:space="preserve"> Donald Nicholson-Smith trans 1991, Oxford: Basil Blackwell. Originally published 1974.</w:t>
      </w:r>
    </w:p>
    <w:p w14:paraId="01DCECDD" w14:textId="77777777" w:rsidR="00F4013C" w:rsidRPr="00F4013C" w:rsidRDefault="00F4013C" w:rsidP="00F4013C">
      <w:pPr>
        <w:spacing w:line="480" w:lineRule="auto"/>
        <w:rPr>
          <w:rFonts w:asciiTheme="majorHAnsi" w:hAnsiTheme="majorHAnsi"/>
          <w:sz w:val="24"/>
          <w:szCs w:val="24"/>
        </w:rPr>
      </w:pPr>
      <w:r w:rsidRPr="00F4013C">
        <w:rPr>
          <w:rFonts w:asciiTheme="majorHAnsi" w:hAnsiTheme="majorHAnsi"/>
          <w:sz w:val="24"/>
          <w:szCs w:val="24"/>
        </w:rPr>
        <w:t xml:space="preserve">Sack RD (1992) </w:t>
      </w:r>
      <w:r w:rsidRPr="00F4013C">
        <w:rPr>
          <w:rFonts w:asciiTheme="majorHAnsi" w:hAnsiTheme="majorHAnsi"/>
          <w:i/>
          <w:sz w:val="24"/>
          <w:szCs w:val="24"/>
        </w:rPr>
        <w:t>Place, Modernity and the Consumers World</w:t>
      </w:r>
      <w:r w:rsidRPr="00F4013C">
        <w:rPr>
          <w:rFonts w:asciiTheme="majorHAnsi" w:hAnsiTheme="majorHAnsi"/>
          <w:sz w:val="24"/>
          <w:szCs w:val="24"/>
        </w:rPr>
        <w:t>, Baltimore, Johns Hopkins University Press.</w:t>
      </w:r>
    </w:p>
    <w:p w14:paraId="13777C4E" w14:textId="77777777" w:rsidR="00F4013C" w:rsidRPr="00F4013C" w:rsidRDefault="00F4013C" w:rsidP="00F4013C">
      <w:pPr>
        <w:spacing w:line="480" w:lineRule="auto"/>
        <w:rPr>
          <w:rFonts w:asciiTheme="majorHAnsi" w:hAnsiTheme="majorHAnsi"/>
          <w:sz w:val="24"/>
          <w:szCs w:val="24"/>
        </w:rPr>
      </w:pPr>
      <w:r w:rsidRPr="00F4013C">
        <w:rPr>
          <w:rFonts w:asciiTheme="majorHAnsi" w:hAnsiTheme="majorHAnsi"/>
          <w:sz w:val="24"/>
          <w:szCs w:val="24"/>
        </w:rPr>
        <w:t>START 2013</w:t>
      </w:r>
      <w:r w:rsidRPr="00F4013C">
        <w:rPr>
          <w:rFonts w:asciiTheme="majorHAnsi" w:hAnsiTheme="majorHAnsi"/>
          <w:i/>
          <w:sz w:val="24"/>
          <w:szCs w:val="24"/>
        </w:rPr>
        <w:t>, Annex of Statistical Information</w:t>
      </w:r>
      <w:r w:rsidRPr="00F4013C">
        <w:rPr>
          <w:rFonts w:asciiTheme="majorHAnsi" w:hAnsiTheme="majorHAnsi"/>
          <w:sz w:val="24"/>
          <w:szCs w:val="24"/>
        </w:rPr>
        <w:t>, Country Reports on Terrorism 2012, National Consortium for the Study of Terrorism and Responses to Terrorism, Department of Homeland Security Science and Technology</w:t>
      </w:r>
      <w:proofErr w:type="gramStart"/>
      <w:r w:rsidRPr="00F4013C">
        <w:rPr>
          <w:rFonts w:asciiTheme="majorHAnsi" w:hAnsiTheme="majorHAnsi"/>
          <w:sz w:val="24"/>
          <w:szCs w:val="24"/>
        </w:rPr>
        <w:t>,  Centre</w:t>
      </w:r>
      <w:proofErr w:type="gramEnd"/>
      <w:r w:rsidRPr="00F4013C">
        <w:rPr>
          <w:rFonts w:asciiTheme="majorHAnsi" w:hAnsiTheme="majorHAnsi"/>
          <w:sz w:val="24"/>
          <w:szCs w:val="24"/>
        </w:rPr>
        <w:t xml:space="preserve"> of Excellence , University of Maryland, 2013.</w:t>
      </w:r>
    </w:p>
    <w:p w14:paraId="69E881A5" w14:textId="77777777" w:rsidR="00F4013C" w:rsidRPr="00F4013C" w:rsidRDefault="00F4013C" w:rsidP="00F4013C">
      <w:pPr>
        <w:spacing w:line="480" w:lineRule="auto"/>
        <w:rPr>
          <w:rFonts w:asciiTheme="majorHAnsi" w:hAnsiTheme="majorHAnsi"/>
          <w:sz w:val="24"/>
          <w:szCs w:val="24"/>
        </w:rPr>
      </w:pPr>
      <w:proofErr w:type="gramStart"/>
      <w:r w:rsidRPr="00F4013C">
        <w:rPr>
          <w:rFonts w:asciiTheme="majorHAnsi" w:hAnsiTheme="majorHAnsi"/>
          <w:i/>
          <w:sz w:val="24"/>
          <w:szCs w:val="24"/>
        </w:rPr>
        <w:lastRenderedPageBreak/>
        <w:t>Crime in India 2013</w:t>
      </w:r>
      <w:r w:rsidRPr="00F4013C">
        <w:rPr>
          <w:rFonts w:asciiTheme="majorHAnsi" w:hAnsiTheme="majorHAnsi"/>
          <w:sz w:val="24"/>
          <w:szCs w:val="24"/>
        </w:rPr>
        <w:t xml:space="preserve">, National Crime Records Bureau, Ministry of Home Affairs, </w:t>
      </w:r>
      <w:proofErr w:type="spellStart"/>
      <w:r w:rsidRPr="00F4013C">
        <w:rPr>
          <w:rFonts w:asciiTheme="majorHAnsi" w:hAnsiTheme="majorHAnsi"/>
          <w:sz w:val="24"/>
          <w:szCs w:val="24"/>
        </w:rPr>
        <w:t>Govt</w:t>
      </w:r>
      <w:proofErr w:type="spellEnd"/>
      <w:r w:rsidRPr="00F4013C">
        <w:rPr>
          <w:rFonts w:asciiTheme="majorHAnsi" w:hAnsiTheme="majorHAnsi"/>
          <w:sz w:val="24"/>
          <w:szCs w:val="24"/>
        </w:rPr>
        <w:t xml:space="preserve"> of India.</w:t>
      </w:r>
      <w:proofErr w:type="gramEnd"/>
      <w:r w:rsidRPr="00F4013C">
        <w:rPr>
          <w:rFonts w:asciiTheme="majorHAnsi" w:hAnsiTheme="majorHAnsi"/>
          <w:sz w:val="24"/>
          <w:szCs w:val="24"/>
        </w:rPr>
        <w:t xml:space="preserve"> Available online at www.ncrb.nic.in</w:t>
      </w:r>
    </w:p>
    <w:p w14:paraId="17C28876" w14:textId="77777777" w:rsidR="00F4013C" w:rsidRPr="00F4013C" w:rsidRDefault="00F4013C" w:rsidP="00F4013C">
      <w:pPr>
        <w:spacing w:line="480" w:lineRule="auto"/>
        <w:rPr>
          <w:rFonts w:asciiTheme="majorHAnsi" w:hAnsiTheme="majorHAnsi"/>
          <w:sz w:val="24"/>
          <w:szCs w:val="24"/>
        </w:rPr>
      </w:pPr>
      <w:proofErr w:type="spellStart"/>
      <w:r w:rsidRPr="00F4013C">
        <w:rPr>
          <w:rFonts w:asciiTheme="majorHAnsi" w:hAnsiTheme="majorHAnsi"/>
          <w:sz w:val="24"/>
          <w:szCs w:val="24"/>
        </w:rPr>
        <w:t>Kandiyoti</w:t>
      </w:r>
      <w:proofErr w:type="spellEnd"/>
      <w:r w:rsidRPr="00F4013C">
        <w:rPr>
          <w:rFonts w:asciiTheme="majorHAnsi" w:hAnsiTheme="majorHAnsi"/>
          <w:sz w:val="24"/>
          <w:szCs w:val="24"/>
        </w:rPr>
        <w:t xml:space="preserve"> D (1988</w:t>
      </w:r>
      <w:proofErr w:type="gramStart"/>
      <w:r w:rsidRPr="00F4013C">
        <w:rPr>
          <w:rFonts w:asciiTheme="majorHAnsi" w:hAnsiTheme="majorHAnsi"/>
          <w:sz w:val="24"/>
          <w:szCs w:val="24"/>
        </w:rPr>
        <w:t xml:space="preserve">)  </w:t>
      </w:r>
      <w:r w:rsidRPr="00F4013C">
        <w:rPr>
          <w:rFonts w:asciiTheme="majorHAnsi" w:hAnsiTheme="majorHAnsi"/>
          <w:i/>
          <w:sz w:val="24"/>
          <w:szCs w:val="24"/>
        </w:rPr>
        <w:t>Bargaining</w:t>
      </w:r>
      <w:proofErr w:type="gramEnd"/>
      <w:r w:rsidRPr="00F4013C">
        <w:rPr>
          <w:rFonts w:asciiTheme="majorHAnsi" w:hAnsiTheme="majorHAnsi"/>
          <w:i/>
          <w:sz w:val="24"/>
          <w:szCs w:val="24"/>
        </w:rPr>
        <w:t xml:space="preserve"> with Patriarchy</w:t>
      </w:r>
      <w:r w:rsidRPr="00F4013C">
        <w:rPr>
          <w:rFonts w:asciiTheme="majorHAnsi" w:hAnsiTheme="majorHAnsi"/>
          <w:sz w:val="24"/>
          <w:szCs w:val="24"/>
        </w:rPr>
        <w:t xml:space="preserve">, Gender and Society, Vol. 2, No. 3, </w:t>
      </w:r>
      <w:proofErr w:type="spellStart"/>
      <w:r w:rsidRPr="00F4013C">
        <w:rPr>
          <w:rFonts w:asciiTheme="majorHAnsi" w:hAnsiTheme="majorHAnsi"/>
          <w:sz w:val="24"/>
          <w:szCs w:val="24"/>
        </w:rPr>
        <w:t>pp</w:t>
      </w:r>
      <w:proofErr w:type="spellEnd"/>
      <w:r w:rsidRPr="00F4013C">
        <w:rPr>
          <w:rFonts w:asciiTheme="majorHAnsi" w:hAnsiTheme="majorHAnsi"/>
          <w:sz w:val="24"/>
          <w:szCs w:val="24"/>
        </w:rPr>
        <w:t xml:space="preserve"> 274-290.</w:t>
      </w:r>
    </w:p>
    <w:p w14:paraId="1CF9D177" w14:textId="77777777" w:rsidR="00F4013C" w:rsidRPr="00F4013C" w:rsidRDefault="00F4013C" w:rsidP="00F4013C">
      <w:pPr>
        <w:spacing w:line="480" w:lineRule="auto"/>
        <w:rPr>
          <w:rFonts w:asciiTheme="majorHAnsi" w:hAnsiTheme="majorHAnsi"/>
          <w:b/>
          <w:sz w:val="24"/>
          <w:szCs w:val="24"/>
        </w:rPr>
      </w:pPr>
    </w:p>
    <w:p w14:paraId="2CF03FE3" w14:textId="77777777" w:rsidR="00D14347" w:rsidRPr="00F4013C" w:rsidRDefault="00D14347" w:rsidP="00F4013C">
      <w:pPr>
        <w:spacing w:line="480" w:lineRule="auto"/>
        <w:rPr>
          <w:rFonts w:asciiTheme="majorHAnsi" w:hAnsiTheme="majorHAnsi"/>
          <w:b/>
          <w:sz w:val="24"/>
          <w:szCs w:val="24"/>
          <w:lang w:val="en-US"/>
        </w:rPr>
      </w:pPr>
    </w:p>
    <w:p w14:paraId="17CFAFB3" w14:textId="77777777" w:rsidR="00D14347" w:rsidRPr="00F4013C" w:rsidRDefault="00D14347" w:rsidP="00F4013C">
      <w:pPr>
        <w:spacing w:line="480" w:lineRule="auto"/>
        <w:rPr>
          <w:rFonts w:asciiTheme="majorHAnsi" w:hAnsiTheme="majorHAnsi"/>
          <w:b/>
          <w:sz w:val="24"/>
          <w:szCs w:val="24"/>
          <w:lang w:val="en-US"/>
        </w:rPr>
      </w:pPr>
    </w:p>
    <w:p w14:paraId="15941D67" w14:textId="77777777" w:rsidR="00D14347" w:rsidRPr="00F4013C" w:rsidRDefault="00D14347" w:rsidP="00F4013C">
      <w:pPr>
        <w:spacing w:line="480" w:lineRule="auto"/>
        <w:rPr>
          <w:rFonts w:asciiTheme="majorHAnsi" w:hAnsiTheme="majorHAnsi"/>
          <w:b/>
          <w:sz w:val="24"/>
          <w:szCs w:val="24"/>
          <w:lang w:val="en-US"/>
        </w:rPr>
      </w:pPr>
    </w:p>
    <w:p w14:paraId="6E38B4CF" w14:textId="77777777" w:rsidR="00D14347" w:rsidRPr="00F4013C" w:rsidRDefault="00D14347" w:rsidP="00F4013C">
      <w:pPr>
        <w:spacing w:line="480" w:lineRule="auto"/>
        <w:rPr>
          <w:rFonts w:asciiTheme="majorHAnsi" w:hAnsiTheme="majorHAnsi"/>
          <w:b/>
          <w:sz w:val="24"/>
          <w:szCs w:val="24"/>
          <w:lang w:val="en-US"/>
        </w:rPr>
      </w:pPr>
    </w:p>
    <w:p w14:paraId="107D527A" w14:textId="77777777" w:rsidR="00D14347" w:rsidRPr="00F4013C" w:rsidRDefault="00D14347" w:rsidP="00F4013C">
      <w:pPr>
        <w:spacing w:line="480" w:lineRule="auto"/>
        <w:rPr>
          <w:rFonts w:asciiTheme="majorHAnsi" w:hAnsiTheme="majorHAnsi"/>
          <w:b/>
          <w:sz w:val="24"/>
          <w:szCs w:val="24"/>
          <w:lang w:val="en-US"/>
        </w:rPr>
      </w:pPr>
    </w:p>
    <w:p w14:paraId="32D1CDBD" w14:textId="77777777" w:rsidR="00D14347" w:rsidRPr="00F4013C" w:rsidRDefault="00D14347" w:rsidP="00F4013C">
      <w:pPr>
        <w:spacing w:line="480" w:lineRule="auto"/>
        <w:rPr>
          <w:rFonts w:asciiTheme="majorHAnsi" w:hAnsiTheme="majorHAnsi"/>
          <w:b/>
          <w:sz w:val="24"/>
          <w:szCs w:val="24"/>
          <w:lang w:val="en-US"/>
        </w:rPr>
      </w:pPr>
    </w:p>
    <w:p w14:paraId="35CEA713" w14:textId="77777777" w:rsidR="00D14347" w:rsidRPr="00F4013C" w:rsidRDefault="00D14347" w:rsidP="00F4013C">
      <w:pPr>
        <w:spacing w:line="480" w:lineRule="auto"/>
        <w:rPr>
          <w:rFonts w:asciiTheme="majorHAnsi" w:hAnsiTheme="majorHAnsi"/>
          <w:b/>
          <w:sz w:val="24"/>
          <w:szCs w:val="24"/>
          <w:lang w:val="en-US"/>
        </w:rPr>
      </w:pPr>
    </w:p>
    <w:p w14:paraId="53EC4E75" w14:textId="77777777" w:rsidR="00D14347" w:rsidRPr="00F4013C" w:rsidRDefault="00D14347" w:rsidP="00F4013C">
      <w:pPr>
        <w:spacing w:line="480" w:lineRule="auto"/>
        <w:rPr>
          <w:rFonts w:asciiTheme="majorHAnsi" w:hAnsiTheme="majorHAnsi"/>
          <w:b/>
          <w:sz w:val="24"/>
          <w:szCs w:val="24"/>
          <w:lang w:val="en-US"/>
        </w:rPr>
      </w:pPr>
    </w:p>
    <w:p w14:paraId="2B8AAE14" w14:textId="77777777" w:rsidR="00D14347" w:rsidRPr="00F4013C" w:rsidRDefault="00D14347" w:rsidP="00F4013C">
      <w:pPr>
        <w:spacing w:line="480" w:lineRule="auto"/>
        <w:rPr>
          <w:rFonts w:asciiTheme="majorHAnsi" w:hAnsiTheme="majorHAnsi"/>
          <w:b/>
          <w:sz w:val="24"/>
          <w:szCs w:val="24"/>
          <w:lang w:val="en-US"/>
        </w:rPr>
      </w:pPr>
    </w:p>
    <w:p w14:paraId="02450B5D" w14:textId="77777777" w:rsidR="00D14347" w:rsidRPr="00F4013C" w:rsidRDefault="00D14347" w:rsidP="00F4013C">
      <w:pPr>
        <w:spacing w:line="480" w:lineRule="auto"/>
        <w:rPr>
          <w:rFonts w:asciiTheme="majorHAnsi" w:hAnsiTheme="majorHAnsi"/>
          <w:b/>
          <w:sz w:val="24"/>
          <w:szCs w:val="24"/>
          <w:lang w:val="en-US"/>
        </w:rPr>
      </w:pPr>
    </w:p>
    <w:p w14:paraId="2DD196F3" w14:textId="77777777" w:rsidR="00D14347" w:rsidRPr="00F4013C" w:rsidRDefault="00D14347" w:rsidP="00F4013C">
      <w:pPr>
        <w:spacing w:line="480" w:lineRule="auto"/>
        <w:rPr>
          <w:rFonts w:asciiTheme="majorHAnsi" w:hAnsiTheme="majorHAnsi"/>
          <w:b/>
          <w:sz w:val="24"/>
          <w:szCs w:val="24"/>
          <w:lang w:val="en-US"/>
        </w:rPr>
      </w:pPr>
    </w:p>
    <w:p w14:paraId="5E9887E3" w14:textId="77777777" w:rsidR="00F4013C" w:rsidRDefault="00F4013C">
      <w:pPr>
        <w:rPr>
          <w:rFonts w:asciiTheme="majorHAnsi" w:hAnsiTheme="majorHAnsi"/>
          <w:b/>
          <w:sz w:val="24"/>
          <w:szCs w:val="24"/>
          <w:lang w:val="en-US"/>
        </w:rPr>
      </w:pPr>
      <w:r>
        <w:rPr>
          <w:rFonts w:asciiTheme="majorHAnsi" w:hAnsiTheme="majorHAnsi"/>
          <w:b/>
          <w:sz w:val="24"/>
          <w:szCs w:val="24"/>
          <w:lang w:val="en-US"/>
        </w:rPr>
        <w:br w:type="page"/>
      </w:r>
    </w:p>
    <w:p w14:paraId="63DF93B9" w14:textId="4366ECD5" w:rsidR="00FE2385" w:rsidRPr="00F4013C" w:rsidRDefault="00310DD6" w:rsidP="00F4013C">
      <w:pPr>
        <w:spacing w:line="480" w:lineRule="auto"/>
        <w:jc w:val="center"/>
        <w:rPr>
          <w:rFonts w:asciiTheme="majorHAnsi" w:hAnsiTheme="majorHAnsi"/>
          <w:b/>
          <w:sz w:val="24"/>
          <w:szCs w:val="24"/>
          <w:lang w:val="en-US"/>
        </w:rPr>
      </w:pPr>
      <w:r w:rsidRPr="00F4013C">
        <w:rPr>
          <w:rFonts w:asciiTheme="majorHAnsi" w:hAnsiTheme="majorHAnsi"/>
          <w:b/>
          <w:sz w:val="24"/>
          <w:szCs w:val="24"/>
          <w:lang w:val="en-US"/>
        </w:rPr>
        <w:lastRenderedPageBreak/>
        <w:t xml:space="preserve">Gendered Violences and Rule </w:t>
      </w:r>
      <w:r w:rsidRPr="00F4013C">
        <w:rPr>
          <w:rFonts w:asciiTheme="majorHAnsi" w:hAnsiTheme="majorHAnsi"/>
          <w:b/>
          <w:i/>
          <w:sz w:val="24"/>
          <w:szCs w:val="24"/>
          <w:lang w:val="en-US"/>
        </w:rPr>
        <w:t>of</w:t>
      </w:r>
      <w:r w:rsidRPr="00F4013C">
        <w:rPr>
          <w:rFonts w:asciiTheme="majorHAnsi" w:hAnsiTheme="majorHAnsi"/>
          <w:b/>
          <w:sz w:val="24"/>
          <w:szCs w:val="24"/>
          <w:lang w:val="en-US"/>
        </w:rPr>
        <w:t>/</w:t>
      </w:r>
      <w:r w:rsidRPr="00F4013C">
        <w:rPr>
          <w:rFonts w:asciiTheme="majorHAnsi" w:hAnsiTheme="majorHAnsi"/>
          <w:b/>
          <w:i/>
          <w:sz w:val="24"/>
          <w:szCs w:val="24"/>
          <w:lang w:val="en-US"/>
        </w:rPr>
        <w:t>by</w:t>
      </w:r>
      <w:r w:rsidRPr="00F4013C">
        <w:rPr>
          <w:rFonts w:asciiTheme="majorHAnsi" w:hAnsiTheme="majorHAnsi"/>
          <w:b/>
          <w:sz w:val="24"/>
          <w:szCs w:val="24"/>
          <w:lang w:val="en-US"/>
        </w:rPr>
        <w:t xml:space="preserve"> Law</w:t>
      </w:r>
    </w:p>
    <w:p w14:paraId="62E1AC23" w14:textId="77777777" w:rsidR="00DE4A46" w:rsidRPr="00F4013C" w:rsidRDefault="00DE4A46" w:rsidP="00F4013C">
      <w:pPr>
        <w:spacing w:line="480" w:lineRule="auto"/>
        <w:rPr>
          <w:rFonts w:asciiTheme="majorHAnsi" w:hAnsiTheme="majorHAnsi"/>
          <w:b/>
          <w:sz w:val="24"/>
          <w:szCs w:val="24"/>
          <w:lang w:val="en-US"/>
        </w:rPr>
      </w:pPr>
    </w:p>
    <w:p w14:paraId="7857E0BF" w14:textId="3E444D52" w:rsidR="00310DD6" w:rsidRPr="00F4013C" w:rsidRDefault="00310DD6" w:rsidP="00F4013C">
      <w:pPr>
        <w:spacing w:line="480" w:lineRule="auto"/>
        <w:rPr>
          <w:rFonts w:asciiTheme="majorHAnsi" w:hAnsiTheme="majorHAnsi"/>
          <w:sz w:val="24"/>
          <w:szCs w:val="24"/>
        </w:rPr>
      </w:pPr>
      <w:r w:rsidRPr="00F4013C">
        <w:rPr>
          <w:rFonts w:asciiTheme="majorHAnsi" w:hAnsiTheme="majorHAnsi"/>
          <w:sz w:val="24"/>
          <w:szCs w:val="24"/>
        </w:rPr>
        <w:t xml:space="preserve">Gendered violences take myriad forms, often co-existing within the lives of single individuals, families and communities. In this response, I explore </w:t>
      </w:r>
      <w:r w:rsidRPr="00F4013C">
        <w:rPr>
          <w:rFonts w:asciiTheme="majorHAnsi" w:hAnsiTheme="majorHAnsi"/>
          <w:sz w:val="24"/>
          <w:szCs w:val="24"/>
          <w:lang w:val="en-US"/>
        </w:rPr>
        <w:t>two such manifestations that speak to corporeal, material and symbolic dimensions of violence perpetrated primarily against women</w:t>
      </w:r>
      <w:r w:rsidRPr="00F4013C">
        <w:rPr>
          <w:rFonts w:asciiTheme="majorHAnsi" w:hAnsiTheme="majorHAnsi"/>
          <w:sz w:val="24"/>
          <w:szCs w:val="24"/>
        </w:rPr>
        <w:t xml:space="preserve">. </w:t>
      </w:r>
      <w:r w:rsidRPr="00F4013C">
        <w:rPr>
          <w:rFonts w:asciiTheme="majorHAnsi" w:hAnsiTheme="majorHAnsi"/>
          <w:sz w:val="24"/>
          <w:szCs w:val="24"/>
          <w:lang w:val="en-US"/>
        </w:rPr>
        <w:t xml:space="preserve">Both forced eviction and domestic violence are injustices which sit at the forefront of current international concern, the former described by UN-Habitat (2011) as a ‘global crisis’, the latter priority theme of the 2013 UN Convention on the Status of Women and subject of a UK Select Committee </w:t>
      </w:r>
      <w:r w:rsidR="00FE2385" w:rsidRPr="00F4013C">
        <w:rPr>
          <w:rFonts w:asciiTheme="majorHAnsi" w:hAnsiTheme="majorHAnsi"/>
          <w:sz w:val="24"/>
          <w:szCs w:val="24"/>
          <w:lang w:val="en-US"/>
        </w:rPr>
        <w:t>to which I contributed (Author</w:t>
      </w:r>
      <w:r w:rsidRPr="00F4013C">
        <w:rPr>
          <w:rFonts w:asciiTheme="majorHAnsi" w:hAnsiTheme="majorHAnsi"/>
          <w:sz w:val="24"/>
          <w:szCs w:val="24"/>
          <w:lang w:val="en-US"/>
        </w:rPr>
        <w:t>, 2013). Both forced eviction and domestic violence are also</w:t>
      </w:r>
      <w:r w:rsidRPr="00F4013C">
        <w:rPr>
          <w:rFonts w:asciiTheme="majorHAnsi" w:hAnsiTheme="majorHAnsi"/>
          <w:sz w:val="24"/>
          <w:szCs w:val="24"/>
        </w:rPr>
        <w:t xml:space="preserve"> ambiguously condoned/ sanctioned, prohibited/enacted, through law.</w:t>
      </w:r>
    </w:p>
    <w:p w14:paraId="5E55E6DC" w14:textId="11D49150" w:rsidR="00310DD6" w:rsidRPr="00F4013C" w:rsidRDefault="00310DD6" w:rsidP="00F4013C">
      <w:pPr>
        <w:spacing w:line="480" w:lineRule="auto"/>
        <w:rPr>
          <w:rFonts w:asciiTheme="majorHAnsi" w:hAnsiTheme="majorHAnsi"/>
          <w:sz w:val="24"/>
          <w:szCs w:val="24"/>
          <w:lang w:val="en-US"/>
        </w:rPr>
      </w:pPr>
      <w:r w:rsidRPr="00F4013C">
        <w:rPr>
          <w:rFonts w:asciiTheme="majorHAnsi" w:hAnsiTheme="majorHAnsi"/>
          <w:sz w:val="24"/>
          <w:szCs w:val="24"/>
          <w:lang w:val="en-US"/>
        </w:rPr>
        <w:t xml:space="preserve">The European Commission for Democracy Through Law (2011) distinguishes between two modes of law. ‘Rule </w:t>
      </w:r>
      <w:r w:rsidRPr="00F4013C">
        <w:rPr>
          <w:rFonts w:asciiTheme="majorHAnsi" w:hAnsiTheme="majorHAnsi"/>
          <w:i/>
          <w:sz w:val="24"/>
          <w:szCs w:val="24"/>
          <w:lang w:val="en-US"/>
        </w:rPr>
        <w:t>of</w:t>
      </w:r>
      <w:r w:rsidRPr="00F4013C">
        <w:rPr>
          <w:rFonts w:asciiTheme="majorHAnsi" w:hAnsiTheme="majorHAnsi"/>
          <w:sz w:val="24"/>
          <w:szCs w:val="24"/>
          <w:lang w:val="en-US"/>
        </w:rPr>
        <w:t xml:space="preserve"> law’ is a value to be respected and a mechanism via which to guarantee justice and human rights to all citizens. ‘Rule </w:t>
      </w:r>
      <w:r w:rsidRPr="00F4013C">
        <w:rPr>
          <w:rFonts w:asciiTheme="majorHAnsi" w:hAnsiTheme="majorHAnsi"/>
          <w:i/>
          <w:sz w:val="24"/>
          <w:szCs w:val="24"/>
          <w:lang w:val="en-US"/>
        </w:rPr>
        <w:t>by</w:t>
      </w:r>
      <w:r w:rsidRPr="00F4013C">
        <w:rPr>
          <w:rFonts w:asciiTheme="majorHAnsi" w:hAnsiTheme="majorHAnsi"/>
          <w:sz w:val="24"/>
          <w:szCs w:val="24"/>
          <w:lang w:val="en-US"/>
        </w:rPr>
        <w:t xml:space="preserve"> law’, meanwhile, is a distortion that is more easily conceived of as an instrument of power and oppression. While nearly a decade earlier</w:t>
      </w:r>
      <w:r w:rsidR="00220B8B" w:rsidRPr="00F4013C">
        <w:rPr>
          <w:rFonts w:asciiTheme="majorHAnsi" w:hAnsiTheme="majorHAnsi"/>
          <w:sz w:val="24"/>
          <w:szCs w:val="24"/>
          <w:lang w:val="en-US"/>
        </w:rPr>
        <w:t xml:space="preserve">, Holmes (2003: 49) noted that </w:t>
      </w:r>
      <w:r w:rsidRPr="00F4013C">
        <w:rPr>
          <w:rFonts w:asciiTheme="majorHAnsi" w:hAnsiTheme="majorHAnsi"/>
          <w:sz w:val="24"/>
          <w:szCs w:val="24"/>
          <w:lang w:val="en-US"/>
        </w:rPr>
        <w:t xml:space="preserve">‘rule of law and rule by law occupy a single continuum and do not present mutually exclusive options’, he also </w:t>
      </w:r>
      <w:r w:rsidR="00220B8B" w:rsidRPr="00F4013C">
        <w:rPr>
          <w:rFonts w:asciiTheme="majorHAnsi" w:hAnsiTheme="majorHAnsi"/>
          <w:sz w:val="24"/>
          <w:szCs w:val="24"/>
          <w:lang w:val="en-US"/>
        </w:rPr>
        <w:t>recognized</w:t>
      </w:r>
      <w:r w:rsidRPr="00F4013C">
        <w:rPr>
          <w:rFonts w:asciiTheme="majorHAnsi" w:hAnsiTheme="majorHAnsi"/>
          <w:sz w:val="24"/>
          <w:szCs w:val="24"/>
          <w:lang w:val="en-US"/>
        </w:rPr>
        <w:t xml:space="preserve"> that this ‘does not require us to abandon the important distinction’. In Cambodia, the main country focus of my research, the line between ‘rule</w:t>
      </w:r>
      <w:r w:rsidRPr="00F4013C">
        <w:rPr>
          <w:rFonts w:asciiTheme="majorHAnsi" w:hAnsiTheme="majorHAnsi"/>
          <w:i/>
          <w:sz w:val="24"/>
          <w:szCs w:val="24"/>
          <w:lang w:val="en-US"/>
        </w:rPr>
        <w:t xml:space="preserve"> of</w:t>
      </w:r>
      <w:r w:rsidRPr="00F4013C">
        <w:rPr>
          <w:rFonts w:asciiTheme="majorHAnsi" w:hAnsiTheme="majorHAnsi"/>
          <w:sz w:val="24"/>
          <w:szCs w:val="24"/>
          <w:lang w:val="en-US"/>
        </w:rPr>
        <w:t xml:space="preserve"> law’ and ‘rule </w:t>
      </w:r>
      <w:r w:rsidRPr="00F4013C">
        <w:rPr>
          <w:rFonts w:asciiTheme="majorHAnsi" w:hAnsiTheme="majorHAnsi"/>
          <w:i/>
          <w:sz w:val="24"/>
          <w:szCs w:val="24"/>
          <w:lang w:val="en-US"/>
        </w:rPr>
        <w:t>by</w:t>
      </w:r>
      <w:r w:rsidRPr="00F4013C">
        <w:rPr>
          <w:rFonts w:asciiTheme="majorHAnsi" w:hAnsiTheme="majorHAnsi"/>
          <w:sz w:val="24"/>
          <w:szCs w:val="24"/>
          <w:lang w:val="en-US"/>
        </w:rPr>
        <w:t xml:space="preserve"> law’ potently testifies to the porosity of home and gendered violences that are experienced on an everyday basis within and beyond its limits. As Delaney (2014: np) writes in the first </w:t>
      </w:r>
      <w:r w:rsidRPr="00F4013C">
        <w:rPr>
          <w:rFonts w:asciiTheme="majorHAnsi" w:hAnsiTheme="majorHAnsi"/>
          <w:i/>
          <w:sz w:val="24"/>
          <w:szCs w:val="24"/>
          <w:lang w:val="en-US"/>
        </w:rPr>
        <w:t>Progress</w:t>
      </w:r>
      <w:r w:rsidRPr="00F4013C">
        <w:rPr>
          <w:rFonts w:asciiTheme="majorHAnsi" w:hAnsiTheme="majorHAnsi"/>
          <w:sz w:val="24"/>
          <w:szCs w:val="24"/>
          <w:lang w:val="en-US"/>
        </w:rPr>
        <w:t xml:space="preserve"> report on legal geography to be published, ‘“Law” draws lines, constructs insides and outsides, assigns legal meanings to lines, and attaches legal consequences to crossing them’. Despite the stark absence of feminist geography work </w:t>
      </w:r>
      <w:r w:rsidRPr="00F4013C">
        <w:rPr>
          <w:rFonts w:asciiTheme="majorHAnsi" w:hAnsiTheme="majorHAnsi"/>
          <w:sz w:val="24"/>
          <w:szCs w:val="24"/>
          <w:lang w:val="en-US"/>
        </w:rPr>
        <w:lastRenderedPageBreak/>
        <w:t>in the growing field of legal geographies, my commentary here highlights the pertinence of such evocations in relation to gendered violences.</w:t>
      </w:r>
    </w:p>
    <w:p w14:paraId="20868048" w14:textId="77777777" w:rsidR="00310DD6" w:rsidRPr="00F4013C" w:rsidRDefault="00310DD6" w:rsidP="00F4013C">
      <w:pPr>
        <w:spacing w:line="480" w:lineRule="auto"/>
        <w:rPr>
          <w:rFonts w:asciiTheme="majorHAnsi" w:hAnsiTheme="majorHAnsi"/>
          <w:sz w:val="24"/>
          <w:szCs w:val="24"/>
        </w:rPr>
      </w:pPr>
    </w:p>
    <w:p w14:paraId="48E53887" w14:textId="6A8442FE" w:rsidR="00310DD6" w:rsidRPr="00F4013C" w:rsidRDefault="00310DD6" w:rsidP="00F4013C">
      <w:pPr>
        <w:spacing w:line="480" w:lineRule="auto"/>
        <w:rPr>
          <w:rFonts w:asciiTheme="majorHAnsi" w:hAnsiTheme="majorHAnsi"/>
          <w:b/>
          <w:sz w:val="24"/>
          <w:szCs w:val="24"/>
        </w:rPr>
      </w:pPr>
      <w:r w:rsidRPr="00F4013C">
        <w:rPr>
          <w:rFonts w:asciiTheme="majorHAnsi" w:hAnsiTheme="majorHAnsi"/>
          <w:b/>
          <w:sz w:val="24"/>
          <w:szCs w:val="24"/>
        </w:rPr>
        <w:t>Forced Eviction</w:t>
      </w:r>
    </w:p>
    <w:p w14:paraId="543D9552" w14:textId="77777777" w:rsidR="00310DD6" w:rsidRPr="00F4013C" w:rsidRDefault="00310DD6" w:rsidP="00F4013C">
      <w:pPr>
        <w:spacing w:line="480" w:lineRule="auto"/>
        <w:rPr>
          <w:rFonts w:asciiTheme="majorHAnsi" w:hAnsiTheme="majorHAnsi"/>
          <w:sz w:val="24"/>
          <w:szCs w:val="24"/>
          <w:lang w:val="en-US"/>
        </w:rPr>
      </w:pPr>
      <w:r w:rsidRPr="00F4013C">
        <w:rPr>
          <w:rFonts w:asciiTheme="majorHAnsi" w:hAnsiTheme="majorHAnsi"/>
          <w:sz w:val="24"/>
          <w:szCs w:val="24"/>
          <w:lang w:val="en-US"/>
        </w:rPr>
        <w:t>The bulldozed line of a wall that once sheltered a family in Boeung Kak speaks to the stark absence of ‘rule</w:t>
      </w:r>
      <w:r w:rsidRPr="00F4013C">
        <w:rPr>
          <w:rFonts w:asciiTheme="majorHAnsi" w:hAnsiTheme="majorHAnsi"/>
          <w:i/>
          <w:sz w:val="24"/>
          <w:szCs w:val="24"/>
          <w:lang w:val="en-US"/>
        </w:rPr>
        <w:t xml:space="preserve"> of</w:t>
      </w:r>
      <w:r w:rsidRPr="00F4013C">
        <w:rPr>
          <w:rFonts w:asciiTheme="majorHAnsi" w:hAnsiTheme="majorHAnsi"/>
          <w:sz w:val="24"/>
          <w:szCs w:val="24"/>
          <w:lang w:val="en-US"/>
        </w:rPr>
        <w:t xml:space="preserve"> law’ and the prevalence, by contrast, of ‘rule </w:t>
      </w:r>
      <w:r w:rsidRPr="00F4013C">
        <w:rPr>
          <w:rFonts w:asciiTheme="majorHAnsi" w:hAnsiTheme="majorHAnsi"/>
          <w:i/>
          <w:sz w:val="24"/>
          <w:szCs w:val="24"/>
          <w:lang w:val="en-US"/>
        </w:rPr>
        <w:t>by</w:t>
      </w:r>
      <w:r w:rsidRPr="00F4013C">
        <w:rPr>
          <w:rFonts w:asciiTheme="majorHAnsi" w:hAnsiTheme="majorHAnsi"/>
          <w:sz w:val="24"/>
          <w:szCs w:val="24"/>
          <w:lang w:val="en-US"/>
        </w:rPr>
        <w:t xml:space="preserve"> law’. The community is the most high profile case of forced eviction in Cambodia after the lake and surrounding area was illegally leased to a Chinese-backed private development company owned by a Cambodian Senator and then flooded. </w:t>
      </w:r>
      <w:r w:rsidRPr="00F4013C">
        <w:rPr>
          <w:rFonts w:asciiTheme="majorHAnsi" w:hAnsiTheme="majorHAnsi"/>
          <w:sz w:val="24"/>
          <w:szCs w:val="24"/>
        </w:rPr>
        <w:t>Springer (2013: 608) has argued that</w:t>
      </w:r>
      <w:r w:rsidRPr="00F4013C">
        <w:rPr>
          <w:rFonts w:asciiTheme="majorHAnsi" w:hAnsiTheme="majorHAnsi"/>
          <w:sz w:val="24"/>
          <w:szCs w:val="24"/>
          <w:lang w:val="en-US"/>
        </w:rPr>
        <w:t xml:space="preserve"> forced eviction in Cambodia is ‘an i</w:t>
      </w:r>
      <w:r w:rsidRPr="00F4013C">
        <w:rPr>
          <w:rFonts w:asciiTheme="majorHAnsi" w:hAnsiTheme="majorHAnsi" w:cs="Arial"/>
          <w:sz w:val="24"/>
          <w:szCs w:val="24"/>
          <w:lang w:val="en-US"/>
        </w:rPr>
        <w:t xml:space="preserve">mposition that serves to legitimize </w:t>
      </w:r>
      <w:r w:rsidRPr="00F4013C">
        <w:rPr>
          <w:rFonts w:asciiTheme="majorHAnsi" w:hAnsiTheme="majorHAnsi"/>
          <w:sz w:val="24"/>
          <w:szCs w:val="24"/>
          <w:lang w:val="en-US"/>
        </w:rPr>
        <w:t xml:space="preserve">violences of property’. This I contend is a </w:t>
      </w:r>
      <w:r w:rsidRPr="00F4013C">
        <w:rPr>
          <w:rFonts w:asciiTheme="majorHAnsi" w:hAnsiTheme="majorHAnsi"/>
          <w:i/>
          <w:sz w:val="24"/>
          <w:szCs w:val="24"/>
          <w:lang w:val="en-US"/>
        </w:rPr>
        <w:t>gendered</w:t>
      </w:r>
      <w:r w:rsidRPr="00F4013C">
        <w:rPr>
          <w:rFonts w:asciiTheme="majorHAnsi" w:hAnsiTheme="majorHAnsi"/>
          <w:sz w:val="24"/>
          <w:szCs w:val="24"/>
          <w:lang w:val="en-US"/>
        </w:rPr>
        <w:t xml:space="preserve"> violence of property. While it is undeniable that forced eviction has an impact on both men and women’s lives, my research suggests that it is women who are disproportionately affected. Based on testimonies from around the world, COHRE (2010) document how forced eviction generates a host of vulnerabilities for women, including, but not limited to: discrimination in respect to property rights and homeownership; exclusion from decision-making and consultation processes due to cultural barriers or gender-specific roles; and isolation from social networks of support.</w:t>
      </w:r>
    </w:p>
    <w:p w14:paraId="59965E1A" w14:textId="64578F20" w:rsidR="00310DD6" w:rsidRPr="00F4013C" w:rsidRDefault="00310DD6" w:rsidP="00F4013C">
      <w:pPr>
        <w:spacing w:line="480" w:lineRule="auto"/>
        <w:rPr>
          <w:rFonts w:asciiTheme="majorHAnsi" w:hAnsiTheme="majorHAnsi"/>
          <w:sz w:val="24"/>
          <w:szCs w:val="24"/>
          <w:lang w:val="en-US"/>
        </w:rPr>
      </w:pPr>
      <w:r w:rsidRPr="00F4013C">
        <w:rPr>
          <w:rFonts w:asciiTheme="majorHAnsi" w:hAnsiTheme="majorHAnsi"/>
          <w:sz w:val="24"/>
          <w:szCs w:val="24"/>
          <w:lang w:val="en-US"/>
        </w:rPr>
        <w:t xml:space="preserve">Physical, psychological and/or economic violence from evictors and/or family members is also a common occurrence within the context of forced eviction (ibid.). In Boeung Kak, this is particularly the case for women who publically contest their dispossession. Abuse by armed police, private forces, and company employees have been systematic. Multiple </w:t>
      </w:r>
      <w:r w:rsidR="000C09AA" w:rsidRPr="00F4013C">
        <w:rPr>
          <w:rFonts w:asciiTheme="majorHAnsi" w:hAnsiTheme="majorHAnsi"/>
          <w:sz w:val="24"/>
          <w:szCs w:val="24"/>
          <w:lang w:val="en-US"/>
        </w:rPr>
        <w:t xml:space="preserve">pregnancy </w:t>
      </w:r>
      <w:r w:rsidRPr="00F4013C">
        <w:rPr>
          <w:rFonts w:asciiTheme="majorHAnsi" w:hAnsiTheme="majorHAnsi"/>
          <w:sz w:val="24"/>
          <w:szCs w:val="24"/>
          <w:lang w:val="en-US"/>
        </w:rPr>
        <w:t xml:space="preserve">miscarriages from authority barbarism have sadly become a </w:t>
      </w:r>
      <w:r w:rsidRPr="00F4013C">
        <w:rPr>
          <w:rFonts w:asciiTheme="majorHAnsi" w:hAnsiTheme="majorHAnsi"/>
          <w:sz w:val="24"/>
          <w:szCs w:val="24"/>
          <w:lang w:val="en-US"/>
        </w:rPr>
        <w:lastRenderedPageBreak/>
        <w:t xml:space="preserve">recurrent feature. Yet while these acts are in stark contravention of human rights law the women have themselves been actively pursued via ‘rule </w:t>
      </w:r>
      <w:r w:rsidRPr="00F4013C">
        <w:rPr>
          <w:rFonts w:asciiTheme="majorHAnsi" w:hAnsiTheme="majorHAnsi"/>
          <w:i/>
          <w:sz w:val="24"/>
          <w:szCs w:val="24"/>
          <w:lang w:val="en-US"/>
        </w:rPr>
        <w:t>by</w:t>
      </w:r>
      <w:r w:rsidRPr="00F4013C">
        <w:rPr>
          <w:rFonts w:asciiTheme="majorHAnsi" w:hAnsiTheme="majorHAnsi"/>
          <w:sz w:val="24"/>
          <w:szCs w:val="24"/>
          <w:lang w:val="en-US"/>
        </w:rPr>
        <w:t xml:space="preserve"> law’ in courts under the grip of state power. The government essentially </w:t>
      </w:r>
      <w:r w:rsidR="00220B8B" w:rsidRPr="00F4013C">
        <w:rPr>
          <w:rFonts w:asciiTheme="majorHAnsi" w:hAnsiTheme="majorHAnsi"/>
          <w:sz w:val="24"/>
          <w:szCs w:val="24"/>
          <w:lang w:val="en-US"/>
        </w:rPr>
        <w:t>monopolizes</w:t>
      </w:r>
      <w:r w:rsidRPr="00F4013C">
        <w:rPr>
          <w:rFonts w:asciiTheme="majorHAnsi" w:hAnsiTheme="majorHAnsi"/>
          <w:sz w:val="24"/>
          <w:szCs w:val="24"/>
          <w:lang w:val="en-US"/>
        </w:rPr>
        <w:t xml:space="preserve"> the discursive power of law and silences those who too brightly shine light on state complicity in violence against women. Thirteen BK women were jailed in May 2012, the day after ‘illegally occupying’ land, as they tried to re-build. Later, a fellow group member, Yorm Bopha was spuriously convicted of intentional violence with aggravating circumstances and sentenced to three years in prison in December 2012. Going on to be named prisoner of conscience by Amnesty International, pressure saw her release on bail in November 2013. </w:t>
      </w:r>
      <w:r w:rsidR="00C318E9" w:rsidRPr="00F4013C">
        <w:rPr>
          <w:rFonts w:asciiTheme="majorHAnsi" w:hAnsiTheme="majorHAnsi"/>
          <w:sz w:val="24"/>
          <w:szCs w:val="24"/>
          <w:lang w:val="en-US"/>
        </w:rPr>
        <w:t xml:space="preserve">Since this time however, </w:t>
      </w:r>
      <w:r w:rsidR="003845F8" w:rsidRPr="00F4013C">
        <w:rPr>
          <w:rFonts w:asciiTheme="majorHAnsi" w:hAnsiTheme="majorHAnsi"/>
          <w:sz w:val="24"/>
          <w:szCs w:val="24"/>
          <w:lang w:val="en-US"/>
        </w:rPr>
        <w:t xml:space="preserve">the women have been subject to further arrest and imprisonment. </w:t>
      </w:r>
      <w:r w:rsidR="009D6E66" w:rsidRPr="00F4013C">
        <w:rPr>
          <w:rFonts w:asciiTheme="majorHAnsi" w:hAnsiTheme="majorHAnsi"/>
          <w:sz w:val="24"/>
          <w:szCs w:val="24"/>
          <w:lang w:val="en-US"/>
        </w:rPr>
        <w:t xml:space="preserve">Through the means of traffic law, </w:t>
      </w:r>
      <w:r w:rsidR="003845F8" w:rsidRPr="00F4013C">
        <w:rPr>
          <w:rFonts w:asciiTheme="majorHAnsi" w:hAnsiTheme="majorHAnsi"/>
          <w:sz w:val="24"/>
          <w:szCs w:val="24"/>
          <w:lang w:val="en-US"/>
        </w:rPr>
        <w:t>seven received one-year jail sentences just twent</w:t>
      </w:r>
      <w:r w:rsidR="009D6E66" w:rsidRPr="00F4013C">
        <w:rPr>
          <w:rFonts w:asciiTheme="majorHAnsi" w:hAnsiTheme="majorHAnsi"/>
          <w:sz w:val="24"/>
          <w:szCs w:val="24"/>
          <w:lang w:val="en-US"/>
        </w:rPr>
        <w:t>y-four hours after their arrest</w:t>
      </w:r>
      <w:r w:rsidR="003845F8" w:rsidRPr="00F4013C">
        <w:rPr>
          <w:rFonts w:asciiTheme="majorHAnsi" w:hAnsiTheme="majorHAnsi"/>
          <w:sz w:val="24"/>
          <w:szCs w:val="24"/>
          <w:lang w:val="en-US"/>
        </w:rPr>
        <w:t xml:space="preserve"> for </w:t>
      </w:r>
      <w:r w:rsidR="009D6E66" w:rsidRPr="00F4013C">
        <w:rPr>
          <w:rFonts w:asciiTheme="majorHAnsi" w:hAnsiTheme="majorHAnsi"/>
          <w:sz w:val="24"/>
          <w:szCs w:val="24"/>
          <w:lang w:val="en-US"/>
        </w:rPr>
        <w:t xml:space="preserve">allegedly blocking a main road outside Phnom Penh’s City Hall in November 2014. </w:t>
      </w:r>
      <w:r w:rsidRPr="00F4013C">
        <w:rPr>
          <w:rFonts w:asciiTheme="majorHAnsi" w:hAnsiTheme="majorHAnsi" w:cs="Adobe Hebrew"/>
          <w:sz w:val="24"/>
          <w:szCs w:val="24"/>
        </w:rPr>
        <w:t xml:space="preserve">Embracing </w:t>
      </w:r>
      <w:r w:rsidRPr="00F4013C">
        <w:rPr>
          <w:rFonts w:asciiTheme="majorHAnsi" w:hAnsiTheme="majorHAnsi" w:cs="Adobe Hebrew"/>
          <w:sz w:val="24"/>
          <w:szCs w:val="24"/>
          <w:lang w:val="en-US"/>
        </w:rPr>
        <w:t xml:space="preserve">‘active citizenship’, </w:t>
      </w:r>
      <w:r w:rsidRPr="00F4013C">
        <w:rPr>
          <w:rFonts w:asciiTheme="majorHAnsi" w:hAnsiTheme="majorHAnsi" w:cs="Adobe Hebrew"/>
          <w:sz w:val="24"/>
          <w:szCs w:val="24"/>
        </w:rPr>
        <w:t>claiming legally</w:t>
      </w:r>
      <w:r w:rsidRPr="00F4013C">
        <w:rPr>
          <w:rFonts w:asciiTheme="majorHAnsi" w:hAnsiTheme="majorHAnsi" w:cs="Adobe Hebrew"/>
          <w:sz w:val="24"/>
          <w:szCs w:val="24"/>
          <w:lang w:val="en-US"/>
        </w:rPr>
        <w:t xml:space="preserve"> and morally enforceable rights in relation to the state</w:t>
      </w:r>
      <w:r w:rsidR="004B4FFC" w:rsidRPr="00F4013C">
        <w:rPr>
          <w:rFonts w:asciiTheme="majorHAnsi" w:hAnsiTheme="majorHAnsi" w:cs="Adobe Hebrew"/>
          <w:sz w:val="24"/>
          <w:szCs w:val="24"/>
          <w:lang w:val="en-US"/>
        </w:rPr>
        <w:t>,</w:t>
      </w:r>
      <w:r w:rsidRPr="00F4013C">
        <w:rPr>
          <w:rFonts w:asciiTheme="majorHAnsi" w:hAnsiTheme="majorHAnsi" w:cs="Adobe Hebrew"/>
          <w:sz w:val="24"/>
          <w:szCs w:val="24"/>
          <w:lang w:val="en-US"/>
        </w:rPr>
        <w:t xml:space="preserve"> is a dangerous affair in Cambodia.</w:t>
      </w:r>
      <w:r w:rsidRPr="00F4013C">
        <w:rPr>
          <w:rFonts w:asciiTheme="majorHAnsi" w:hAnsiTheme="majorHAnsi"/>
          <w:sz w:val="24"/>
          <w:szCs w:val="24"/>
          <w:lang w:val="en-US"/>
        </w:rPr>
        <w:t xml:space="preserve"> As Jennifer Hyndman (2001: 214) qualifies, ‘state security and human security are not necessarily synonymous’. As I have d</w:t>
      </w:r>
      <w:r w:rsidR="00FE2385" w:rsidRPr="00F4013C">
        <w:rPr>
          <w:rFonts w:asciiTheme="majorHAnsi" w:hAnsiTheme="majorHAnsi"/>
          <w:sz w:val="24"/>
          <w:szCs w:val="24"/>
          <w:lang w:val="en-US"/>
        </w:rPr>
        <w:t>etailed elsewhere too (Author,</w:t>
      </w:r>
      <w:r w:rsidRPr="00F4013C">
        <w:rPr>
          <w:rFonts w:asciiTheme="majorHAnsi" w:hAnsiTheme="majorHAnsi"/>
          <w:sz w:val="24"/>
          <w:szCs w:val="24"/>
          <w:lang w:val="en-US"/>
        </w:rPr>
        <w:t xml:space="preserve"> 2014a: np), ‘Women’s public actions [also] reverberate back into the home, profoundly influencing conjugal and parental relationships’. The interviews with Boeung Kak women and their husbands strongly indicate that marital strain and/or breakdown has become a further source of disruption in peoples’ lives. Their very pursuit of intimate security via active citizenship has, in the short term at least, sacrificed it ironically further. </w:t>
      </w:r>
    </w:p>
    <w:p w14:paraId="78A4FA30" w14:textId="77777777" w:rsidR="00310DD6" w:rsidRPr="00F4013C" w:rsidRDefault="00310DD6" w:rsidP="00F4013C">
      <w:pPr>
        <w:spacing w:line="480" w:lineRule="auto"/>
        <w:rPr>
          <w:rFonts w:asciiTheme="majorHAnsi" w:hAnsiTheme="majorHAnsi"/>
          <w:sz w:val="24"/>
          <w:szCs w:val="24"/>
          <w:lang w:val="en-US"/>
        </w:rPr>
      </w:pPr>
    </w:p>
    <w:p w14:paraId="6F0B006F" w14:textId="77777777" w:rsidR="004B42DE" w:rsidRPr="00F4013C" w:rsidRDefault="004B42DE" w:rsidP="00F4013C">
      <w:pPr>
        <w:spacing w:line="480" w:lineRule="auto"/>
        <w:rPr>
          <w:rFonts w:asciiTheme="majorHAnsi" w:hAnsiTheme="majorHAnsi"/>
          <w:b/>
          <w:sz w:val="24"/>
          <w:szCs w:val="24"/>
          <w:lang w:val="en-US"/>
        </w:rPr>
      </w:pPr>
    </w:p>
    <w:p w14:paraId="6C1EEF1B" w14:textId="77777777" w:rsidR="00310DD6" w:rsidRPr="00F4013C" w:rsidRDefault="00310DD6" w:rsidP="00F4013C">
      <w:pPr>
        <w:spacing w:line="480" w:lineRule="auto"/>
        <w:rPr>
          <w:rFonts w:asciiTheme="majorHAnsi" w:hAnsiTheme="majorHAnsi"/>
          <w:b/>
          <w:sz w:val="24"/>
          <w:szCs w:val="24"/>
          <w:lang w:val="en-US"/>
        </w:rPr>
      </w:pPr>
      <w:r w:rsidRPr="00F4013C">
        <w:rPr>
          <w:rFonts w:asciiTheme="majorHAnsi" w:hAnsiTheme="majorHAnsi"/>
          <w:b/>
          <w:sz w:val="24"/>
          <w:szCs w:val="24"/>
          <w:lang w:val="en-US"/>
        </w:rPr>
        <w:lastRenderedPageBreak/>
        <w:t>Domestic violence</w:t>
      </w:r>
    </w:p>
    <w:p w14:paraId="79C7DFC2" w14:textId="26666B51" w:rsidR="00310DD6" w:rsidRPr="00F4013C" w:rsidRDefault="00310DD6" w:rsidP="00F4013C">
      <w:pPr>
        <w:spacing w:line="480" w:lineRule="auto"/>
        <w:rPr>
          <w:rFonts w:asciiTheme="majorHAnsi" w:hAnsiTheme="majorHAnsi"/>
          <w:sz w:val="24"/>
          <w:szCs w:val="24"/>
        </w:rPr>
      </w:pPr>
      <w:r w:rsidRPr="00F4013C">
        <w:rPr>
          <w:rFonts w:asciiTheme="majorHAnsi" w:hAnsiTheme="majorHAnsi"/>
          <w:sz w:val="24"/>
          <w:szCs w:val="24"/>
        </w:rPr>
        <w:t xml:space="preserve">At the same time that the Cambodian government has wielded ‘rule </w:t>
      </w:r>
      <w:r w:rsidRPr="00F4013C">
        <w:rPr>
          <w:rFonts w:asciiTheme="majorHAnsi" w:hAnsiTheme="majorHAnsi"/>
          <w:i/>
          <w:sz w:val="24"/>
          <w:szCs w:val="24"/>
        </w:rPr>
        <w:t xml:space="preserve">by </w:t>
      </w:r>
      <w:r w:rsidRPr="00F4013C">
        <w:rPr>
          <w:rFonts w:asciiTheme="majorHAnsi" w:hAnsiTheme="majorHAnsi"/>
          <w:sz w:val="24"/>
          <w:szCs w:val="24"/>
        </w:rPr>
        <w:t xml:space="preserve">law’ </w:t>
      </w:r>
      <w:r w:rsidRPr="00F4013C">
        <w:rPr>
          <w:rFonts w:asciiTheme="majorHAnsi" w:hAnsiTheme="majorHAnsi"/>
          <w:i/>
          <w:sz w:val="24"/>
          <w:szCs w:val="24"/>
        </w:rPr>
        <w:t>against</w:t>
      </w:r>
      <w:r w:rsidRPr="00F4013C">
        <w:rPr>
          <w:rFonts w:asciiTheme="majorHAnsi" w:hAnsiTheme="majorHAnsi"/>
          <w:sz w:val="24"/>
          <w:szCs w:val="24"/>
        </w:rPr>
        <w:t xml:space="preserve"> women, they have engaged in legal reform to prevent and redress domestic violence. Somewhat conversely then, while the government have brought </w:t>
      </w:r>
      <w:r w:rsidRPr="00F4013C">
        <w:rPr>
          <w:rFonts w:asciiTheme="majorHAnsi" w:hAnsiTheme="majorHAnsi"/>
          <w:i/>
          <w:sz w:val="24"/>
          <w:szCs w:val="24"/>
        </w:rPr>
        <w:t>dis</w:t>
      </w:r>
      <w:r w:rsidRPr="00F4013C">
        <w:rPr>
          <w:rFonts w:asciiTheme="majorHAnsi" w:hAnsiTheme="majorHAnsi"/>
          <w:sz w:val="24"/>
          <w:szCs w:val="24"/>
        </w:rPr>
        <w:t xml:space="preserve">harmony to Cambodian homes - and particularly to women- through forced eviction, they have also looked to engender domestic harmony, a goal </w:t>
      </w:r>
      <w:r w:rsidRPr="00F4013C">
        <w:rPr>
          <w:rFonts w:asciiTheme="majorHAnsi" w:hAnsiTheme="majorHAnsi"/>
          <w:sz w:val="24"/>
          <w:szCs w:val="24"/>
          <w:lang w:val="en-US"/>
        </w:rPr>
        <w:t>enshrined in legal rhetoric.</w:t>
      </w:r>
      <w:r w:rsidRPr="00F4013C">
        <w:rPr>
          <w:rFonts w:asciiTheme="majorHAnsi" w:hAnsiTheme="majorHAnsi"/>
          <w:sz w:val="24"/>
          <w:szCs w:val="24"/>
        </w:rPr>
        <w:t xml:space="preserve"> </w:t>
      </w:r>
      <w:r w:rsidRPr="00F4013C">
        <w:rPr>
          <w:rFonts w:asciiTheme="majorHAnsi" w:hAnsiTheme="majorHAnsi"/>
          <w:sz w:val="24"/>
          <w:szCs w:val="24"/>
          <w:lang w:val="en-US"/>
        </w:rPr>
        <w:t>Article 1 in the 2005 Law on the Prevention of Domestic Violence and the Protection of</w:t>
      </w:r>
      <w:r w:rsidRPr="00F4013C">
        <w:rPr>
          <w:rFonts w:asciiTheme="majorHAnsi" w:hAnsiTheme="majorHAnsi" w:cs="Cambria"/>
          <w:sz w:val="24"/>
          <w:szCs w:val="24"/>
        </w:rPr>
        <w:t xml:space="preserve"> </w:t>
      </w:r>
      <w:r w:rsidRPr="00F4013C">
        <w:rPr>
          <w:rFonts w:asciiTheme="majorHAnsi" w:hAnsiTheme="majorHAnsi"/>
          <w:sz w:val="24"/>
          <w:szCs w:val="24"/>
          <w:lang w:val="en-US"/>
        </w:rPr>
        <w:t>Victims includes a clause, which defines its purpose to:</w:t>
      </w:r>
      <w:r w:rsidRPr="00F4013C">
        <w:rPr>
          <w:rFonts w:asciiTheme="majorHAnsi" w:hAnsiTheme="majorHAnsi"/>
          <w:sz w:val="24"/>
          <w:szCs w:val="24"/>
        </w:rPr>
        <w:t xml:space="preserve"> </w:t>
      </w:r>
      <w:r w:rsidRPr="00F4013C">
        <w:rPr>
          <w:rFonts w:asciiTheme="majorHAnsi" w:hAnsiTheme="majorHAnsi"/>
          <w:sz w:val="24"/>
          <w:szCs w:val="24"/>
          <w:lang w:val="en-US"/>
        </w:rPr>
        <w:t>‘preserve the harmony within the households in line with the Nation’s good custom and tradition…</w:t>
      </w:r>
      <w:proofErr w:type="gramStart"/>
      <w:r w:rsidRPr="00F4013C">
        <w:rPr>
          <w:rFonts w:asciiTheme="majorHAnsi" w:hAnsiTheme="majorHAnsi"/>
          <w:sz w:val="24"/>
          <w:szCs w:val="24"/>
          <w:lang w:val="en-US"/>
        </w:rPr>
        <w:t>’</w:t>
      </w:r>
      <w:r w:rsidRPr="00F4013C">
        <w:rPr>
          <w:rFonts w:asciiTheme="majorHAnsi" w:hAnsiTheme="majorHAnsi"/>
          <w:sz w:val="24"/>
          <w:szCs w:val="24"/>
        </w:rPr>
        <w:t>.</w:t>
      </w:r>
      <w:proofErr w:type="gramEnd"/>
      <w:r w:rsidRPr="00F4013C">
        <w:rPr>
          <w:rFonts w:asciiTheme="majorHAnsi" w:hAnsiTheme="majorHAnsi"/>
          <w:sz w:val="24"/>
          <w:szCs w:val="24"/>
        </w:rPr>
        <w:t xml:space="preserve"> </w:t>
      </w:r>
      <w:r w:rsidRPr="00F4013C">
        <w:rPr>
          <w:rFonts w:asciiTheme="majorHAnsi" w:hAnsiTheme="majorHAnsi"/>
          <w:sz w:val="24"/>
          <w:szCs w:val="24"/>
          <w:lang w:val="en-US"/>
        </w:rPr>
        <w:t>The 2005</w:t>
      </w:r>
      <w:r w:rsidR="004B42DE" w:rsidRPr="00F4013C">
        <w:rPr>
          <w:rFonts w:asciiTheme="majorHAnsi" w:hAnsiTheme="majorHAnsi"/>
          <w:sz w:val="24"/>
          <w:szCs w:val="24"/>
          <w:lang w:val="en-US"/>
        </w:rPr>
        <w:t xml:space="preserve"> Law forms the basis of a study</w:t>
      </w:r>
      <w:r w:rsidRPr="00F4013C">
        <w:rPr>
          <w:rFonts w:asciiTheme="majorHAnsi" w:hAnsiTheme="majorHAnsi"/>
          <w:sz w:val="24"/>
          <w:szCs w:val="24"/>
          <w:lang w:val="en-US"/>
        </w:rPr>
        <w:t xml:space="preserve"> (2012-2015) funded by the ESRC and UK Department for International Development that I lead. It has explored the hiatus between legal reform and transformative change for women.</w:t>
      </w:r>
      <w:r w:rsidRPr="00F4013C">
        <w:rPr>
          <w:rFonts w:asciiTheme="majorHAnsi" w:hAnsiTheme="majorHAnsi"/>
          <w:sz w:val="24"/>
          <w:szCs w:val="24"/>
        </w:rPr>
        <w:t xml:space="preserve"> The mixed-method findings from two provinces, including a large-scale household survey, participatory video drama workshops, and in-depth interviews consistently brings to the fore the normative social pressure exerted on women to uphold the </w:t>
      </w:r>
      <w:r w:rsidRPr="00F4013C">
        <w:rPr>
          <w:rFonts w:asciiTheme="majorHAnsi" w:hAnsiTheme="majorHAnsi"/>
          <w:sz w:val="24"/>
          <w:szCs w:val="24"/>
          <w:lang w:val="en-US"/>
        </w:rPr>
        <w:t xml:space="preserve">cultural logic of harmony and to ‘endure’ for the sake of family unity rather than </w:t>
      </w:r>
      <w:r w:rsidRPr="00F4013C">
        <w:rPr>
          <w:rFonts w:asciiTheme="majorHAnsi" w:hAnsiTheme="majorHAnsi" w:cs="Cambria"/>
          <w:sz w:val="24"/>
          <w:szCs w:val="24"/>
        </w:rPr>
        <w:t>end the cycle of violence through law.</w:t>
      </w:r>
    </w:p>
    <w:p w14:paraId="03E0068C" w14:textId="792826AF" w:rsidR="00310DD6" w:rsidRPr="00F4013C" w:rsidRDefault="00310DD6" w:rsidP="00F4013C">
      <w:pPr>
        <w:widowControl w:val="0"/>
        <w:autoSpaceDE w:val="0"/>
        <w:autoSpaceDN w:val="0"/>
        <w:adjustRightInd w:val="0"/>
        <w:spacing w:after="0" w:line="480" w:lineRule="auto"/>
        <w:rPr>
          <w:rFonts w:asciiTheme="majorHAnsi" w:hAnsiTheme="majorHAnsi"/>
          <w:sz w:val="24"/>
          <w:szCs w:val="24"/>
          <w:lang w:val="en-US"/>
        </w:rPr>
      </w:pPr>
      <w:r w:rsidRPr="00F4013C">
        <w:rPr>
          <w:rFonts w:asciiTheme="majorHAnsi" w:hAnsiTheme="majorHAnsi"/>
          <w:sz w:val="24"/>
          <w:szCs w:val="24"/>
          <w:lang w:val="en-US"/>
        </w:rPr>
        <w:t xml:space="preserve">‘Governing intimacy’ to use Oswin and Olund’s (2010: 62) turn of phrase is evident in my ongoing research. While a positive move towards ‘rule </w:t>
      </w:r>
      <w:r w:rsidRPr="00F4013C">
        <w:rPr>
          <w:rFonts w:asciiTheme="majorHAnsi" w:hAnsiTheme="majorHAnsi"/>
          <w:i/>
          <w:sz w:val="24"/>
          <w:szCs w:val="24"/>
          <w:lang w:val="en-US"/>
        </w:rPr>
        <w:t>of</w:t>
      </w:r>
      <w:r w:rsidRPr="00F4013C">
        <w:rPr>
          <w:rFonts w:asciiTheme="majorHAnsi" w:hAnsiTheme="majorHAnsi"/>
          <w:sz w:val="24"/>
          <w:szCs w:val="24"/>
          <w:lang w:val="en-US"/>
        </w:rPr>
        <w:t xml:space="preserve"> law’ and justice for victims, it is important not to ignore the lingering danger of ‘rule </w:t>
      </w:r>
      <w:r w:rsidRPr="00F4013C">
        <w:rPr>
          <w:rFonts w:asciiTheme="majorHAnsi" w:hAnsiTheme="majorHAnsi"/>
          <w:i/>
          <w:sz w:val="24"/>
          <w:szCs w:val="24"/>
          <w:lang w:val="en-US"/>
        </w:rPr>
        <w:t>by</w:t>
      </w:r>
      <w:r w:rsidRPr="00F4013C">
        <w:rPr>
          <w:rFonts w:asciiTheme="majorHAnsi" w:hAnsiTheme="majorHAnsi"/>
          <w:sz w:val="24"/>
          <w:szCs w:val="24"/>
          <w:lang w:val="en-US"/>
        </w:rPr>
        <w:t xml:space="preserve"> law’ within legal discourse. Women who experience extreme physical violence are repeatedly told to ‘reconcile’ with their spouses by community authorities from </w:t>
      </w:r>
      <w:proofErr w:type="gramStart"/>
      <w:r w:rsidRPr="00F4013C">
        <w:rPr>
          <w:rFonts w:asciiTheme="majorHAnsi" w:hAnsiTheme="majorHAnsi"/>
          <w:sz w:val="24"/>
          <w:szCs w:val="24"/>
          <w:lang w:val="en-US"/>
        </w:rPr>
        <w:t>whom</w:t>
      </w:r>
      <w:proofErr w:type="gramEnd"/>
      <w:r w:rsidRPr="00F4013C">
        <w:rPr>
          <w:rFonts w:asciiTheme="majorHAnsi" w:hAnsiTheme="majorHAnsi"/>
          <w:sz w:val="24"/>
          <w:szCs w:val="24"/>
          <w:lang w:val="en-US"/>
        </w:rPr>
        <w:t xml:space="preserve"> they seek legal assistance. </w:t>
      </w:r>
      <w:r w:rsidRPr="00F4013C">
        <w:rPr>
          <w:rFonts w:asciiTheme="majorHAnsi" w:hAnsiTheme="majorHAnsi"/>
          <w:bCs/>
          <w:sz w:val="24"/>
          <w:szCs w:val="24"/>
          <w:lang w:val="en-US"/>
        </w:rPr>
        <w:t xml:space="preserve">The local term for reconciliation </w:t>
      </w:r>
      <w:r w:rsidRPr="00F4013C">
        <w:rPr>
          <w:rFonts w:asciiTheme="majorHAnsi" w:hAnsiTheme="majorHAnsi"/>
          <w:i/>
          <w:iCs/>
          <w:sz w:val="24"/>
          <w:szCs w:val="24"/>
        </w:rPr>
        <w:t xml:space="preserve">samroh samruol </w:t>
      </w:r>
      <w:r w:rsidRPr="00F4013C">
        <w:rPr>
          <w:rFonts w:asciiTheme="majorHAnsi" w:hAnsiTheme="majorHAnsi"/>
          <w:sz w:val="24"/>
          <w:szCs w:val="24"/>
        </w:rPr>
        <w:t xml:space="preserve">has the meaning to smooth over and seek harmony.  This is ordinarily sought through a meeting orchestrated by a village leader who tries to encourage compromise between parties to reach an agreement </w:t>
      </w:r>
      <w:r w:rsidRPr="00F4013C">
        <w:rPr>
          <w:rFonts w:asciiTheme="majorHAnsi" w:hAnsiTheme="majorHAnsi"/>
          <w:bCs/>
          <w:sz w:val="24"/>
          <w:szCs w:val="24"/>
          <w:lang w:val="en-US"/>
        </w:rPr>
        <w:t xml:space="preserve">marked </w:t>
      </w:r>
      <w:r w:rsidRPr="00F4013C">
        <w:rPr>
          <w:rFonts w:asciiTheme="majorHAnsi" w:hAnsiTheme="majorHAnsi"/>
          <w:bCs/>
          <w:sz w:val="24"/>
          <w:szCs w:val="24"/>
          <w:lang w:val="en-US"/>
        </w:rPr>
        <w:lastRenderedPageBreak/>
        <w:t>verbally or by a promissory note (</w:t>
      </w:r>
      <w:r w:rsidRPr="00F4013C">
        <w:rPr>
          <w:rFonts w:asciiTheme="majorHAnsi" w:hAnsiTheme="majorHAnsi"/>
          <w:i/>
          <w:sz w:val="24"/>
          <w:szCs w:val="24"/>
          <w:lang w:val="en-US"/>
        </w:rPr>
        <w:t>liket sanya</w:t>
      </w:r>
      <w:r w:rsidRPr="00F4013C">
        <w:rPr>
          <w:rFonts w:asciiTheme="majorHAnsi" w:hAnsiTheme="majorHAnsi"/>
          <w:sz w:val="24"/>
          <w:szCs w:val="24"/>
          <w:lang w:val="en-US"/>
        </w:rPr>
        <w:t>)</w:t>
      </w:r>
      <w:r w:rsidRPr="00F4013C">
        <w:rPr>
          <w:rFonts w:asciiTheme="majorHAnsi" w:hAnsiTheme="majorHAnsi"/>
          <w:bCs/>
          <w:sz w:val="24"/>
          <w:szCs w:val="24"/>
          <w:lang w:val="en-US"/>
        </w:rPr>
        <w:t xml:space="preserve">. </w:t>
      </w:r>
      <w:r w:rsidRPr="00F4013C">
        <w:rPr>
          <w:rFonts w:asciiTheme="majorHAnsi" w:hAnsiTheme="majorHAnsi"/>
          <w:sz w:val="24"/>
          <w:szCs w:val="24"/>
          <w:lang w:val="en-US"/>
        </w:rPr>
        <w:t>As the official glossary to DV Law reads, this meeting in the case of ‘minor’ domestic violence is designed to allow and facilitate the ‘communication process between quarrelling parties that aims at maintaining family life’ (Royal Government of Cambodia (RGC) 200</w:t>
      </w:r>
      <w:r w:rsidR="00FE2385" w:rsidRPr="00F4013C">
        <w:rPr>
          <w:rFonts w:asciiTheme="majorHAnsi" w:hAnsiTheme="majorHAnsi"/>
          <w:sz w:val="24"/>
          <w:szCs w:val="24"/>
          <w:lang w:val="en-US"/>
        </w:rPr>
        <w:t>7, 11). As I elaborate (Author</w:t>
      </w:r>
      <w:r w:rsidRPr="00F4013C">
        <w:rPr>
          <w:rFonts w:asciiTheme="majorHAnsi" w:hAnsiTheme="majorHAnsi"/>
          <w:sz w:val="24"/>
          <w:szCs w:val="24"/>
          <w:lang w:val="en-US"/>
        </w:rPr>
        <w:t xml:space="preserve">, 2014b), governmental involvement in lawmaking and their championing of reconciliation has arguably aggravated the potential for further physical violence. It also heightened symbolic violence through the </w:t>
      </w:r>
      <w:r w:rsidRPr="00F4013C">
        <w:rPr>
          <w:rFonts w:asciiTheme="majorHAnsi" w:hAnsiTheme="majorHAnsi"/>
          <w:i/>
          <w:sz w:val="24"/>
          <w:szCs w:val="24"/>
          <w:lang w:val="en-US"/>
        </w:rPr>
        <w:t>de facto</w:t>
      </w:r>
      <w:r w:rsidRPr="00F4013C">
        <w:rPr>
          <w:rFonts w:asciiTheme="majorHAnsi" w:hAnsiTheme="majorHAnsi"/>
          <w:sz w:val="24"/>
          <w:szCs w:val="24"/>
          <w:lang w:val="en-US"/>
        </w:rPr>
        <w:t xml:space="preserve"> hush</w:t>
      </w:r>
      <w:r w:rsidR="0033556B" w:rsidRPr="00F4013C">
        <w:rPr>
          <w:rFonts w:asciiTheme="majorHAnsi" w:hAnsiTheme="majorHAnsi"/>
          <w:sz w:val="24"/>
          <w:szCs w:val="24"/>
          <w:lang w:val="en-US"/>
        </w:rPr>
        <w:t>ing of women. As Bourdieu (1987:</w:t>
      </w:r>
      <w:r w:rsidRPr="00F4013C">
        <w:rPr>
          <w:rFonts w:asciiTheme="majorHAnsi" w:hAnsiTheme="majorHAnsi"/>
          <w:sz w:val="24"/>
          <w:szCs w:val="24"/>
          <w:lang w:val="en-US"/>
        </w:rPr>
        <w:t xml:space="preserve"> 812) outlines, ‘Symbolic violence implies the imposition of such principles of</w:t>
      </w:r>
      <w:r w:rsidRPr="00F4013C">
        <w:rPr>
          <w:rFonts w:asciiTheme="majorHAnsi" w:hAnsiTheme="majorHAnsi" w:cs="HelveticaNeue-Light"/>
          <w:sz w:val="24"/>
          <w:szCs w:val="24"/>
          <w:lang w:val="en-US"/>
        </w:rPr>
        <w:t xml:space="preserve"> </w:t>
      </w:r>
      <w:r w:rsidRPr="00F4013C">
        <w:rPr>
          <w:rFonts w:asciiTheme="majorHAnsi" w:hAnsiTheme="majorHAnsi"/>
          <w:sz w:val="24"/>
          <w:szCs w:val="24"/>
          <w:lang w:val="en-US"/>
        </w:rPr>
        <w:t>division, and more generally of any symbolic representations</w:t>
      </w:r>
      <w:r w:rsidRPr="00F4013C">
        <w:rPr>
          <w:rFonts w:asciiTheme="majorHAnsi" w:hAnsiTheme="majorHAnsi" w:cs="HelveticaNeue-Light"/>
          <w:sz w:val="24"/>
          <w:szCs w:val="24"/>
          <w:lang w:val="en-US"/>
        </w:rPr>
        <w:t xml:space="preserve"> </w:t>
      </w:r>
      <w:r w:rsidRPr="00F4013C">
        <w:rPr>
          <w:rFonts w:asciiTheme="majorHAnsi" w:hAnsiTheme="majorHAnsi"/>
          <w:sz w:val="24"/>
          <w:szCs w:val="24"/>
          <w:lang w:val="en-US"/>
        </w:rPr>
        <w:t>(languages, conceptualizations, portrayals), on recipients who have little</w:t>
      </w:r>
      <w:r w:rsidRPr="00F4013C">
        <w:rPr>
          <w:rFonts w:asciiTheme="majorHAnsi" w:hAnsiTheme="majorHAnsi" w:cs="HelveticaNeue-Light"/>
          <w:sz w:val="24"/>
          <w:szCs w:val="24"/>
          <w:lang w:val="en-US"/>
        </w:rPr>
        <w:t xml:space="preserve"> </w:t>
      </w:r>
      <w:r w:rsidRPr="00F4013C">
        <w:rPr>
          <w:rFonts w:asciiTheme="majorHAnsi" w:hAnsiTheme="majorHAnsi"/>
          <w:sz w:val="24"/>
          <w:szCs w:val="24"/>
          <w:lang w:val="en-US"/>
        </w:rPr>
        <w:t>choice about whether to accept or reject them’. From one perspective then, domestic violence law diminishes the ability of women to claim their rights and redress.</w:t>
      </w:r>
    </w:p>
    <w:p w14:paraId="4467E015" w14:textId="77777777" w:rsidR="00310DD6" w:rsidRPr="00F4013C" w:rsidRDefault="00310DD6" w:rsidP="00F4013C">
      <w:pPr>
        <w:spacing w:line="480" w:lineRule="auto"/>
        <w:rPr>
          <w:rFonts w:asciiTheme="majorHAnsi" w:hAnsiTheme="majorHAnsi"/>
          <w:sz w:val="24"/>
          <w:szCs w:val="24"/>
          <w:lang w:val="en-US"/>
        </w:rPr>
      </w:pPr>
    </w:p>
    <w:p w14:paraId="47B8F45E" w14:textId="77777777" w:rsidR="00310DD6" w:rsidRPr="00F4013C" w:rsidRDefault="00310DD6" w:rsidP="00F4013C">
      <w:pPr>
        <w:spacing w:line="480" w:lineRule="auto"/>
        <w:rPr>
          <w:rFonts w:asciiTheme="majorHAnsi" w:hAnsiTheme="majorHAnsi"/>
          <w:b/>
          <w:sz w:val="24"/>
          <w:szCs w:val="24"/>
          <w:lang w:val="en-US"/>
        </w:rPr>
      </w:pPr>
      <w:r w:rsidRPr="00F4013C">
        <w:rPr>
          <w:rFonts w:asciiTheme="majorHAnsi" w:hAnsiTheme="majorHAnsi"/>
          <w:b/>
          <w:sz w:val="24"/>
          <w:szCs w:val="24"/>
          <w:lang w:val="en-US"/>
        </w:rPr>
        <w:t>Concluding Thoughts</w:t>
      </w:r>
    </w:p>
    <w:p w14:paraId="1D83909E" w14:textId="4D4E4EDC" w:rsidR="00310DD6" w:rsidRPr="00F4013C" w:rsidRDefault="00310DD6" w:rsidP="00F4013C">
      <w:pPr>
        <w:spacing w:line="480" w:lineRule="auto"/>
        <w:rPr>
          <w:rFonts w:asciiTheme="majorHAnsi" w:hAnsiTheme="majorHAnsi" w:cs="Adobe Hebrew"/>
          <w:sz w:val="24"/>
          <w:szCs w:val="24"/>
        </w:rPr>
      </w:pPr>
      <w:r w:rsidRPr="00F4013C">
        <w:rPr>
          <w:rFonts w:asciiTheme="majorHAnsi" w:hAnsiTheme="majorHAnsi"/>
          <w:sz w:val="24"/>
          <w:szCs w:val="24"/>
          <w:lang w:val="en-US"/>
        </w:rPr>
        <w:t xml:space="preserve">In this short piece I have highlighted a range startling fault lines. First, while the 2005 domestic violence law shows a political willingness, in relative terms at least, to tackle gendered insecurity through ‘rule </w:t>
      </w:r>
      <w:r w:rsidRPr="00F4013C">
        <w:rPr>
          <w:rFonts w:asciiTheme="majorHAnsi" w:hAnsiTheme="majorHAnsi"/>
          <w:i/>
          <w:sz w:val="24"/>
          <w:szCs w:val="24"/>
          <w:lang w:val="en-US"/>
        </w:rPr>
        <w:t xml:space="preserve">of </w:t>
      </w:r>
      <w:r w:rsidRPr="00F4013C">
        <w:rPr>
          <w:rFonts w:asciiTheme="majorHAnsi" w:hAnsiTheme="majorHAnsi"/>
          <w:sz w:val="24"/>
          <w:szCs w:val="24"/>
          <w:lang w:val="en-US"/>
        </w:rPr>
        <w:t xml:space="preserve">law’, the Cambodian government have concurrently used ‘rule </w:t>
      </w:r>
      <w:r w:rsidRPr="00F4013C">
        <w:rPr>
          <w:rFonts w:asciiTheme="majorHAnsi" w:hAnsiTheme="majorHAnsi"/>
          <w:i/>
          <w:sz w:val="24"/>
          <w:szCs w:val="24"/>
          <w:lang w:val="en-US"/>
        </w:rPr>
        <w:t>by</w:t>
      </w:r>
      <w:r w:rsidRPr="00F4013C">
        <w:rPr>
          <w:rFonts w:asciiTheme="majorHAnsi" w:hAnsiTheme="majorHAnsi"/>
          <w:sz w:val="24"/>
          <w:szCs w:val="24"/>
          <w:lang w:val="en-US"/>
        </w:rPr>
        <w:t xml:space="preserve"> law’ against women who have sought to address gendered insecurities of forced eviction brought to them by the very same government. Second, while legal rhetoric on domestic violence links the security of women to the defense of custom and tradition through ‘rule </w:t>
      </w:r>
      <w:r w:rsidRPr="00F4013C">
        <w:rPr>
          <w:rFonts w:asciiTheme="majorHAnsi" w:hAnsiTheme="majorHAnsi"/>
          <w:i/>
          <w:sz w:val="24"/>
          <w:szCs w:val="24"/>
          <w:lang w:val="en-US"/>
        </w:rPr>
        <w:t>of</w:t>
      </w:r>
      <w:r w:rsidRPr="00F4013C">
        <w:rPr>
          <w:rFonts w:asciiTheme="majorHAnsi" w:hAnsiTheme="majorHAnsi"/>
          <w:sz w:val="24"/>
          <w:szCs w:val="24"/>
          <w:lang w:val="en-US"/>
        </w:rPr>
        <w:t xml:space="preserve"> law’, on the ground this translates into an onus on women to remain within abusive relationships. This creates with it a further hiatus between what is permissible under law and what is possible in practice. Together forced eviction, and domestic violence, highlight the divergence between the rhetoric of </w:t>
      </w:r>
      <w:r w:rsidRPr="00F4013C">
        <w:rPr>
          <w:rFonts w:asciiTheme="majorHAnsi" w:hAnsiTheme="majorHAnsi"/>
          <w:sz w:val="24"/>
          <w:szCs w:val="24"/>
          <w:lang w:val="en-US"/>
        </w:rPr>
        <w:lastRenderedPageBreak/>
        <w:t xml:space="preserve">human rights and the reality of gendered injustice suffered. They powerfully indicate </w:t>
      </w:r>
      <w:r w:rsidRPr="00F4013C">
        <w:rPr>
          <w:rFonts w:asciiTheme="majorHAnsi" w:hAnsiTheme="majorHAnsi" w:cs="Adobe Hebrew"/>
          <w:sz w:val="24"/>
          <w:szCs w:val="24"/>
        </w:rPr>
        <w:t xml:space="preserve">how women’s lives and the domestic are influenced, and </w:t>
      </w:r>
      <w:r w:rsidR="00220B8B" w:rsidRPr="00F4013C">
        <w:rPr>
          <w:rFonts w:asciiTheme="majorHAnsi" w:hAnsiTheme="majorHAnsi" w:cs="Adobe Hebrew"/>
          <w:sz w:val="24"/>
          <w:szCs w:val="24"/>
        </w:rPr>
        <w:t>they</w:t>
      </w:r>
      <w:r w:rsidRPr="00F4013C">
        <w:rPr>
          <w:rFonts w:asciiTheme="majorHAnsi" w:hAnsiTheme="majorHAnsi" w:cs="Adobe Hebrew"/>
          <w:sz w:val="24"/>
          <w:szCs w:val="24"/>
        </w:rPr>
        <w:t xml:space="preserve"> </w:t>
      </w:r>
      <w:r w:rsidR="00220B8B" w:rsidRPr="00F4013C">
        <w:rPr>
          <w:rFonts w:asciiTheme="majorHAnsi" w:hAnsiTheme="majorHAnsi" w:cs="Adobe Hebrew"/>
          <w:sz w:val="24"/>
          <w:szCs w:val="24"/>
        </w:rPr>
        <w:t>influence</w:t>
      </w:r>
      <w:r w:rsidRPr="00F4013C">
        <w:rPr>
          <w:rFonts w:asciiTheme="majorHAnsi" w:hAnsiTheme="majorHAnsi" w:cs="Adobe Hebrew"/>
          <w:sz w:val="24"/>
          <w:szCs w:val="24"/>
        </w:rPr>
        <w:t xml:space="preserve"> a wider politic. And both speak to </w:t>
      </w:r>
      <w:r w:rsidRPr="00F4013C">
        <w:rPr>
          <w:rFonts w:asciiTheme="majorHAnsi" w:hAnsiTheme="majorHAnsi"/>
          <w:sz w:val="24"/>
          <w:szCs w:val="24"/>
          <w:lang w:val="en-US"/>
        </w:rPr>
        <w:t>feminist engagements with law (largely beyond Geography) which ‘reveal the complex relationship between legal framings and process, and social domains, practices, and institutions’ so much so that the legal sphere can be simultaneously defined as ‘a site of oppression and an important means of s</w:t>
      </w:r>
      <w:r w:rsidR="0033556B" w:rsidRPr="00F4013C">
        <w:rPr>
          <w:rFonts w:asciiTheme="majorHAnsi" w:hAnsiTheme="majorHAnsi"/>
          <w:sz w:val="24"/>
          <w:szCs w:val="24"/>
          <w:lang w:val="en-US"/>
        </w:rPr>
        <w:t xml:space="preserve">ocial transformation’ (Cornwall, 2013: </w:t>
      </w:r>
      <w:r w:rsidRPr="00F4013C">
        <w:rPr>
          <w:rFonts w:asciiTheme="majorHAnsi" w:hAnsiTheme="majorHAnsi"/>
          <w:sz w:val="24"/>
          <w:szCs w:val="24"/>
          <w:lang w:val="en-US"/>
        </w:rPr>
        <w:t>ix).</w:t>
      </w:r>
    </w:p>
    <w:p w14:paraId="5B4FC866" w14:textId="77777777" w:rsidR="00310DD6" w:rsidRPr="00F4013C" w:rsidRDefault="00310DD6" w:rsidP="00F4013C">
      <w:pPr>
        <w:spacing w:line="480" w:lineRule="auto"/>
        <w:rPr>
          <w:rFonts w:asciiTheme="majorHAnsi" w:hAnsiTheme="majorHAnsi"/>
          <w:sz w:val="24"/>
          <w:szCs w:val="24"/>
          <w:lang w:val="en-US"/>
        </w:rPr>
      </w:pPr>
      <w:r w:rsidRPr="00F4013C">
        <w:rPr>
          <w:rFonts w:asciiTheme="majorHAnsi" w:hAnsiTheme="majorHAnsi"/>
          <w:sz w:val="24"/>
          <w:szCs w:val="24"/>
          <w:lang w:val="en-US"/>
        </w:rPr>
        <w:t>Geographers have a valuable to role to play in pushing forward research where the fields of legal geographies, feminist geopolitics, and geographies of home have the potency to further reveal the precarities of everyday life and their gendered dimensions.</w:t>
      </w:r>
    </w:p>
    <w:p w14:paraId="6CBCD33F" w14:textId="77777777" w:rsidR="00696273" w:rsidRPr="00F4013C" w:rsidRDefault="00696273" w:rsidP="00F4013C">
      <w:pPr>
        <w:spacing w:line="480" w:lineRule="auto"/>
        <w:rPr>
          <w:rFonts w:asciiTheme="majorHAnsi" w:hAnsiTheme="majorHAnsi"/>
          <w:b/>
          <w:sz w:val="24"/>
          <w:szCs w:val="24"/>
          <w:lang w:val="en-US"/>
        </w:rPr>
      </w:pPr>
    </w:p>
    <w:p w14:paraId="7679AE6A" w14:textId="447C39A9" w:rsidR="00310DD6" w:rsidRPr="00F4013C" w:rsidRDefault="00310DD6" w:rsidP="00F4013C">
      <w:pPr>
        <w:spacing w:line="480" w:lineRule="auto"/>
        <w:rPr>
          <w:rFonts w:asciiTheme="majorHAnsi" w:hAnsiTheme="majorHAnsi"/>
          <w:b/>
          <w:sz w:val="24"/>
          <w:szCs w:val="24"/>
          <w:lang w:val="en-US"/>
        </w:rPr>
      </w:pPr>
      <w:r w:rsidRPr="00F4013C">
        <w:rPr>
          <w:rFonts w:asciiTheme="majorHAnsi" w:hAnsiTheme="majorHAnsi"/>
          <w:b/>
          <w:sz w:val="24"/>
          <w:szCs w:val="24"/>
          <w:lang w:val="en-US"/>
        </w:rPr>
        <w:t>References</w:t>
      </w:r>
    </w:p>
    <w:p w14:paraId="0EB1D268" w14:textId="77777777" w:rsidR="00310DD6" w:rsidRPr="00F4013C" w:rsidRDefault="00310DD6" w:rsidP="00F4013C">
      <w:pPr>
        <w:widowControl w:val="0"/>
        <w:autoSpaceDE w:val="0"/>
        <w:autoSpaceDN w:val="0"/>
        <w:adjustRightInd w:val="0"/>
        <w:spacing w:after="0" w:line="480" w:lineRule="auto"/>
        <w:rPr>
          <w:rFonts w:asciiTheme="majorHAnsi" w:hAnsiTheme="majorHAnsi"/>
          <w:sz w:val="24"/>
          <w:szCs w:val="24"/>
          <w:lang w:val="en-US"/>
        </w:rPr>
      </w:pPr>
      <w:r w:rsidRPr="00F4013C">
        <w:rPr>
          <w:rFonts w:asciiTheme="majorHAnsi" w:hAnsiTheme="majorHAnsi"/>
          <w:sz w:val="24"/>
          <w:szCs w:val="24"/>
          <w:lang w:val="en-US"/>
        </w:rPr>
        <w:t>COHRE (2010) Briefing Paper: The Impact of Forced Evictions on Women. Geneva: Centre on Housing Rights and Eviction.</w:t>
      </w:r>
    </w:p>
    <w:p w14:paraId="56E18A0A" w14:textId="77777777" w:rsidR="00310DD6" w:rsidRPr="00F4013C" w:rsidRDefault="00310DD6" w:rsidP="00F4013C">
      <w:pPr>
        <w:widowControl w:val="0"/>
        <w:autoSpaceDE w:val="0"/>
        <w:autoSpaceDN w:val="0"/>
        <w:adjustRightInd w:val="0"/>
        <w:spacing w:after="0" w:line="480" w:lineRule="auto"/>
        <w:rPr>
          <w:rFonts w:asciiTheme="majorHAnsi" w:hAnsiTheme="majorHAnsi"/>
          <w:sz w:val="24"/>
          <w:szCs w:val="24"/>
          <w:lang w:val="en-US"/>
        </w:rPr>
      </w:pPr>
    </w:p>
    <w:p w14:paraId="25798C8F" w14:textId="6206FFB8" w:rsidR="00310DD6" w:rsidRPr="00F4013C" w:rsidRDefault="00B86F04" w:rsidP="00F4013C">
      <w:pPr>
        <w:widowControl w:val="0"/>
        <w:autoSpaceDE w:val="0"/>
        <w:autoSpaceDN w:val="0"/>
        <w:adjustRightInd w:val="0"/>
        <w:spacing w:after="0" w:line="480" w:lineRule="auto"/>
        <w:rPr>
          <w:rFonts w:asciiTheme="majorHAnsi" w:hAnsiTheme="majorHAnsi"/>
          <w:sz w:val="24"/>
          <w:szCs w:val="24"/>
          <w:lang w:val="en-US"/>
        </w:rPr>
      </w:pPr>
      <w:proofErr w:type="gramStart"/>
      <w:r w:rsidRPr="00F4013C">
        <w:rPr>
          <w:rFonts w:asciiTheme="majorHAnsi" w:hAnsiTheme="majorHAnsi"/>
          <w:sz w:val="24"/>
          <w:szCs w:val="24"/>
          <w:lang w:val="en-US"/>
        </w:rPr>
        <w:t>Cornwall A (2013) Preface.</w:t>
      </w:r>
      <w:proofErr w:type="gramEnd"/>
      <w:r w:rsidRPr="00F4013C">
        <w:rPr>
          <w:rFonts w:asciiTheme="majorHAnsi" w:hAnsiTheme="majorHAnsi"/>
          <w:sz w:val="24"/>
          <w:szCs w:val="24"/>
          <w:lang w:val="en-US"/>
        </w:rPr>
        <w:t xml:space="preserve"> In:</w:t>
      </w:r>
      <w:r w:rsidRPr="00F4013C">
        <w:rPr>
          <w:rFonts w:asciiTheme="majorHAnsi" w:hAnsiTheme="majorHAnsi"/>
          <w:sz w:val="24"/>
          <w:szCs w:val="24"/>
        </w:rPr>
        <w:t xml:space="preserve"> </w:t>
      </w:r>
      <w:proofErr w:type="spellStart"/>
      <w:r w:rsidRPr="00F4013C">
        <w:rPr>
          <w:rFonts w:asciiTheme="majorHAnsi" w:hAnsiTheme="majorHAnsi"/>
          <w:sz w:val="24"/>
          <w:szCs w:val="24"/>
        </w:rPr>
        <w:t>Sharmani</w:t>
      </w:r>
      <w:proofErr w:type="spellEnd"/>
      <w:r w:rsidRPr="00F4013C">
        <w:rPr>
          <w:rFonts w:asciiTheme="majorHAnsi" w:hAnsiTheme="majorHAnsi"/>
          <w:sz w:val="24"/>
          <w:szCs w:val="24"/>
        </w:rPr>
        <w:t xml:space="preserve"> M</w:t>
      </w:r>
      <w:r w:rsidR="00310DD6" w:rsidRPr="00F4013C">
        <w:rPr>
          <w:rFonts w:asciiTheme="majorHAnsi" w:hAnsiTheme="majorHAnsi"/>
          <w:sz w:val="24"/>
          <w:szCs w:val="24"/>
        </w:rPr>
        <w:t xml:space="preserve"> (</w:t>
      </w:r>
      <w:proofErr w:type="spellStart"/>
      <w:r w:rsidR="00310DD6" w:rsidRPr="00F4013C">
        <w:rPr>
          <w:rFonts w:asciiTheme="majorHAnsi" w:hAnsiTheme="majorHAnsi"/>
          <w:sz w:val="24"/>
          <w:szCs w:val="24"/>
        </w:rPr>
        <w:t>ed</w:t>
      </w:r>
      <w:proofErr w:type="spellEnd"/>
      <w:r w:rsidR="00310DD6" w:rsidRPr="00F4013C">
        <w:rPr>
          <w:rFonts w:asciiTheme="majorHAnsi" w:hAnsiTheme="majorHAnsi"/>
          <w:sz w:val="24"/>
          <w:szCs w:val="24"/>
        </w:rPr>
        <w:t xml:space="preserve">) </w:t>
      </w:r>
      <w:r w:rsidR="00310DD6" w:rsidRPr="00F4013C">
        <w:rPr>
          <w:rFonts w:asciiTheme="majorHAnsi" w:hAnsiTheme="majorHAnsi"/>
          <w:i/>
          <w:sz w:val="24"/>
          <w:szCs w:val="24"/>
        </w:rPr>
        <w:t>Feminist Activism, Women’s Rights and Legal Reform</w:t>
      </w:r>
      <w:r w:rsidRPr="00F4013C">
        <w:rPr>
          <w:rFonts w:asciiTheme="majorHAnsi" w:hAnsiTheme="majorHAnsi"/>
          <w:i/>
          <w:sz w:val="24"/>
          <w:szCs w:val="24"/>
        </w:rPr>
        <w:t xml:space="preserve">. </w:t>
      </w:r>
      <w:r w:rsidRPr="00F4013C">
        <w:rPr>
          <w:rFonts w:asciiTheme="majorHAnsi" w:hAnsiTheme="majorHAnsi"/>
          <w:sz w:val="24"/>
          <w:szCs w:val="24"/>
        </w:rPr>
        <w:t xml:space="preserve">London: Zed Books, pp. </w:t>
      </w:r>
      <w:r w:rsidR="00310DD6" w:rsidRPr="00F4013C">
        <w:rPr>
          <w:rFonts w:asciiTheme="majorHAnsi" w:hAnsiTheme="majorHAnsi"/>
          <w:sz w:val="24"/>
          <w:szCs w:val="24"/>
        </w:rPr>
        <w:t>ix-x.</w:t>
      </w:r>
    </w:p>
    <w:p w14:paraId="43120525" w14:textId="77777777" w:rsidR="00310DD6" w:rsidRPr="00F4013C" w:rsidRDefault="00310DD6" w:rsidP="00F4013C">
      <w:pPr>
        <w:widowControl w:val="0"/>
        <w:autoSpaceDE w:val="0"/>
        <w:autoSpaceDN w:val="0"/>
        <w:adjustRightInd w:val="0"/>
        <w:spacing w:after="0" w:line="480" w:lineRule="auto"/>
        <w:rPr>
          <w:rFonts w:asciiTheme="majorHAnsi" w:hAnsiTheme="majorHAnsi"/>
          <w:sz w:val="24"/>
          <w:szCs w:val="24"/>
          <w:lang w:val="en-US"/>
        </w:rPr>
      </w:pPr>
    </w:p>
    <w:p w14:paraId="255C22F3" w14:textId="77777777" w:rsidR="00310DD6" w:rsidRPr="00F4013C" w:rsidRDefault="00310DD6" w:rsidP="00F4013C">
      <w:pPr>
        <w:spacing w:line="480" w:lineRule="auto"/>
        <w:rPr>
          <w:rFonts w:asciiTheme="majorHAnsi" w:hAnsiTheme="majorHAnsi"/>
          <w:sz w:val="24"/>
          <w:szCs w:val="24"/>
        </w:rPr>
      </w:pPr>
      <w:proofErr w:type="gramStart"/>
      <w:r w:rsidRPr="00F4013C">
        <w:rPr>
          <w:rFonts w:asciiTheme="majorHAnsi" w:hAnsiTheme="majorHAnsi"/>
          <w:sz w:val="24"/>
          <w:szCs w:val="24"/>
        </w:rPr>
        <w:t>European Commission for Democracy Through Law (Venice Commission) (2011) Report on the Rule of Law.</w:t>
      </w:r>
      <w:proofErr w:type="gramEnd"/>
      <w:r w:rsidRPr="00F4013C">
        <w:rPr>
          <w:rFonts w:asciiTheme="majorHAnsi" w:hAnsiTheme="majorHAnsi"/>
          <w:sz w:val="24"/>
          <w:szCs w:val="24"/>
        </w:rPr>
        <w:t xml:space="preserve"> Strasbourg 4 April 2011. Study no. 512/2009. Available from: </w:t>
      </w:r>
      <w:hyperlink r:id="rId9" w:history="1">
        <w:r w:rsidRPr="00F4013C">
          <w:rPr>
            <w:rStyle w:val="Hyperlink"/>
            <w:rFonts w:asciiTheme="majorHAnsi" w:hAnsiTheme="majorHAnsi"/>
            <w:sz w:val="24"/>
            <w:szCs w:val="24"/>
          </w:rPr>
          <w:t>http://www.venice.coe.int/webforms/documents/CDL-AD(2011)003rev-e.aspx</w:t>
        </w:r>
      </w:hyperlink>
      <w:r w:rsidRPr="00F4013C">
        <w:rPr>
          <w:rFonts w:asciiTheme="majorHAnsi" w:hAnsiTheme="majorHAnsi"/>
          <w:sz w:val="24"/>
          <w:szCs w:val="24"/>
        </w:rPr>
        <w:t xml:space="preserve"> (accessed October 27</w:t>
      </w:r>
      <w:r w:rsidRPr="00F4013C">
        <w:rPr>
          <w:rFonts w:asciiTheme="majorHAnsi" w:hAnsiTheme="majorHAnsi"/>
          <w:sz w:val="24"/>
          <w:szCs w:val="24"/>
          <w:vertAlign w:val="superscript"/>
        </w:rPr>
        <w:t>th</w:t>
      </w:r>
      <w:r w:rsidRPr="00F4013C">
        <w:rPr>
          <w:rFonts w:asciiTheme="majorHAnsi" w:hAnsiTheme="majorHAnsi"/>
          <w:sz w:val="24"/>
          <w:szCs w:val="24"/>
        </w:rPr>
        <w:t xml:space="preserve"> 2013) </w:t>
      </w:r>
    </w:p>
    <w:p w14:paraId="5AB59B31" w14:textId="11463140" w:rsidR="00310DD6" w:rsidRPr="00F4013C" w:rsidRDefault="006311FB" w:rsidP="00F4013C">
      <w:pPr>
        <w:spacing w:line="480" w:lineRule="auto"/>
        <w:rPr>
          <w:rFonts w:asciiTheme="majorHAnsi" w:hAnsiTheme="majorHAnsi"/>
          <w:sz w:val="24"/>
          <w:szCs w:val="24"/>
          <w:lang w:val="en-US"/>
        </w:rPr>
      </w:pPr>
      <w:r w:rsidRPr="00F4013C">
        <w:rPr>
          <w:rFonts w:asciiTheme="majorHAnsi" w:hAnsiTheme="majorHAnsi"/>
          <w:sz w:val="24"/>
          <w:szCs w:val="24"/>
          <w:lang w:val="en-US"/>
        </w:rPr>
        <w:lastRenderedPageBreak/>
        <w:t>Delaney D</w:t>
      </w:r>
      <w:r w:rsidR="00310DD6" w:rsidRPr="00F4013C">
        <w:rPr>
          <w:rFonts w:asciiTheme="majorHAnsi" w:hAnsiTheme="majorHAnsi"/>
          <w:sz w:val="24"/>
          <w:szCs w:val="24"/>
          <w:lang w:val="en-US"/>
        </w:rPr>
        <w:t xml:space="preserve"> (2014) Legal geography I: </w:t>
      </w:r>
      <w:proofErr w:type="spellStart"/>
      <w:r w:rsidR="00310DD6" w:rsidRPr="00F4013C">
        <w:rPr>
          <w:rFonts w:asciiTheme="majorHAnsi" w:hAnsiTheme="majorHAnsi"/>
          <w:sz w:val="24"/>
          <w:szCs w:val="24"/>
          <w:lang w:val="en-US"/>
        </w:rPr>
        <w:t>Constitutivities</w:t>
      </w:r>
      <w:proofErr w:type="spellEnd"/>
      <w:r w:rsidR="00310DD6" w:rsidRPr="00F4013C">
        <w:rPr>
          <w:rFonts w:asciiTheme="majorHAnsi" w:hAnsiTheme="majorHAnsi"/>
          <w:sz w:val="24"/>
          <w:szCs w:val="24"/>
          <w:lang w:val="en-US"/>
        </w:rPr>
        <w:t xml:space="preserve">, complexities, and contingencies. </w:t>
      </w:r>
      <w:proofErr w:type="gramStart"/>
      <w:r w:rsidR="00310DD6" w:rsidRPr="00F4013C">
        <w:rPr>
          <w:rFonts w:asciiTheme="majorHAnsi" w:hAnsiTheme="majorHAnsi"/>
          <w:i/>
          <w:sz w:val="24"/>
          <w:szCs w:val="24"/>
          <w:lang w:val="en-US"/>
        </w:rPr>
        <w:t>Progress in Human Geography</w:t>
      </w:r>
      <w:r w:rsidR="00310DD6" w:rsidRPr="00F4013C">
        <w:rPr>
          <w:rFonts w:asciiTheme="majorHAnsi" w:hAnsiTheme="majorHAnsi"/>
          <w:sz w:val="24"/>
          <w:szCs w:val="24"/>
          <w:lang w:val="en-US"/>
        </w:rPr>
        <w:t>.</w:t>
      </w:r>
      <w:proofErr w:type="gramEnd"/>
      <w:r w:rsidR="00310DD6" w:rsidRPr="00F4013C">
        <w:rPr>
          <w:rFonts w:asciiTheme="majorHAnsi" w:hAnsiTheme="majorHAnsi"/>
          <w:sz w:val="24"/>
          <w:szCs w:val="24"/>
          <w:lang w:val="en-US"/>
        </w:rPr>
        <w:t xml:space="preserve"> </w:t>
      </w:r>
      <w:proofErr w:type="gramStart"/>
      <w:r w:rsidR="00310DD6" w:rsidRPr="00F4013C">
        <w:rPr>
          <w:rFonts w:asciiTheme="majorHAnsi" w:hAnsiTheme="majorHAnsi"/>
          <w:sz w:val="24"/>
          <w:szCs w:val="24"/>
          <w:lang w:val="en-US"/>
        </w:rPr>
        <w:t>Online before print 1-7.</w:t>
      </w:r>
      <w:proofErr w:type="gramEnd"/>
    </w:p>
    <w:p w14:paraId="040F9B9E" w14:textId="64AFD2BA" w:rsidR="00310DD6" w:rsidRPr="00F4013C" w:rsidRDefault="006311FB" w:rsidP="00F4013C">
      <w:pPr>
        <w:spacing w:line="480" w:lineRule="auto"/>
        <w:rPr>
          <w:rFonts w:asciiTheme="majorHAnsi" w:hAnsiTheme="majorHAnsi"/>
          <w:sz w:val="24"/>
          <w:szCs w:val="24"/>
          <w:lang w:val="en-US"/>
        </w:rPr>
      </w:pPr>
      <w:proofErr w:type="gramStart"/>
      <w:r w:rsidRPr="00F4013C">
        <w:rPr>
          <w:rFonts w:asciiTheme="majorHAnsi" w:hAnsiTheme="majorHAnsi"/>
          <w:sz w:val="24"/>
          <w:szCs w:val="24"/>
          <w:lang w:val="en-US"/>
        </w:rPr>
        <w:t>Holmes S</w:t>
      </w:r>
      <w:r w:rsidR="00310DD6" w:rsidRPr="00F4013C">
        <w:rPr>
          <w:rFonts w:asciiTheme="majorHAnsi" w:hAnsiTheme="majorHAnsi"/>
          <w:sz w:val="24"/>
          <w:szCs w:val="24"/>
          <w:lang w:val="en-US"/>
        </w:rPr>
        <w:t xml:space="preserve"> (2003) Lineages of the rule of law</w:t>
      </w:r>
      <w:r w:rsidRPr="00F4013C">
        <w:rPr>
          <w:rFonts w:asciiTheme="majorHAnsi" w:hAnsiTheme="majorHAnsi"/>
          <w:sz w:val="24"/>
          <w:szCs w:val="24"/>
          <w:lang w:val="en-US"/>
        </w:rPr>
        <w:t>.</w:t>
      </w:r>
      <w:proofErr w:type="gramEnd"/>
      <w:r w:rsidRPr="00F4013C">
        <w:rPr>
          <w:rFonts w:asciiTheme="majorHAnsi" w:hAnsiTheme="majorHAnsi"/>
          <w:sz w:val="24"/>
          <w:szCs w:val="24"/>
          <w:lang w:val="en-US"/>
        </w:rPr>
        <w:t xml:space="preserve"> I</w:t>
      </w:r>
      <w:r w:rsidR="00310DD6" w:rsidRPr="00F4013C">
        <w:rPr>
          <w:rFonts w:asciiTheme="majorHAnsi" w:hAnsiTheme="majorHAnsi"/>
          <w:sz w:val="24"/>
          <w:szCs w:val="24"/>
          <w:lang w:val="en-US"/>
        </w:rPr>
        <w:t>n</w:t>
      </w:r>
      <w:r w:rsidRPr="00F4013C">
        <w:rPr>
          <w:rFonts w:asciiTheme="majorHAnsi" w:hAnsiTheme="majorHAnsi"/>
          <w:sz w:val="24"/>
          <w:szCs w:val="24"/>
          <w:lang w:val="en-US"/>
        </w:rPr>
        <w:t>:</w:t>
      </w:r>
      <w:r w:rsidR="00310DD6" w:rsidRPr="00F4013C">
        <w:rPr>
          <w:rFonts w:asciiTheme="majorHAnsi" w:hAnsiTheme="majorHAnsi"/>
          <w:sz w:val="24"/>
          <w:szCs w:val="24"/>
          <w:lang w:val="en-US"/>
        </w:rPr>
        <w:t xml:space="preserve"> </w:t>
      </w:r>
      <w:proofErr w:type="spellStart"/>
      <w:r w:rsidRPr="00F4013C">
        <w:rPr>
          <w:rFonts w:asciiTheme="majorHAnsi" w:hAnsiTheme="majorHAnsi" w:cs="Arial"/>
          <w:sz w:val="24"/>
          <w:szCs w:val="24"/>
          <w:lang w:val="en-US"/>
        </w:rPr>
        <w:t>Przeworski</w:t>
      </w:r>
      <w:proofErr w:type="spellEnd"/>
      <w:r w:rsidRPr="00F4013C">
        <w:rPr>
          <w:rFonts w:asciiTheme="majorHAnsi" w:hAnsiTheme="majorHAnsi" w:cs="Arial"/>
          <w:sz w:val="24"/>
          <w:szCs w:val="24"/>
          <w:lang w:val="en-US"/>
        </w:rPr>
        <w:t xml:space="preserve"> A and </w:t>
      </w:r>
      <w:proofErr w:type="spellStart"/>
      <w:r w:rsidRPr="00F4013C">
        <w:rPr>
          <w:rFonts w:asciiTheme="majorHAnsi" w:hAnsiTheme="majorHAnsi" w:cs="Arial"/>
          <w:sz w:val="24"/>
          <w:szCs w:val="24"/>
          <w:lang w:val="en-US"/>
        </w:rPr>
        <w:t>Maravall</w:t>
      </w:r>
      <w:proofErr w:type="spellEnd"/>
      <w:r w:rsidRPr="00F4013C">
        <w:rPr>
          <w:rFonts w:asciiTheme="majorHAnsi" w:hAnsiTheme="majorHAnsi" w:cs="Arial"/>
          <w:sz w:val="24"/>
          <w:szCs w:val="24"/>
          <w:lang w:val="en-US"/>
        </w:rPr>
        <w:t xml:space="preserve"> J M </w:t>
      </w:r>
      <w:r w:rsidR="00310DD6" w:rsidRPr="00F4013C">
        <w:rPr>
          <w:rFonts w:asciiTheme="majorHAnsi" w:hAnsiTheme="majorHAnsi" w:cs="Arial"/>
          <w:sz w:val="24"/>
          <w:szCs w:val="24"/>
          <w:lang w:val="en-US"/>
        </w:rPr>
        <w:t>(</w:t>
      </w:r>
      <w:proofErr w:type="spellStart"/>
      <w:r w:rsidR="00310DD6" w:rsidRPr="00F4013C">
        <w:rPr>
          <w:rFonts w:asciiTheme="majorHAnsi" w:hAnsiTheme="majorHAnsi" w:cs="Arial"/>
          <w:sz w:val="24"/>
          <w:szCs w:val="24"/>
          <w:lang w:val="en-US"/>
        </w:rPr>
        <w:t>eds</w:t>
      </w:r>
      <w:proofErr w:type="spellEnd"/>
      <w:r w:rsidR="00310DD6" w:rsidRPr="00F4013C">
        <w:rPr>
          <w:rFonts w:asciiTheme="majorHAnsi" w:hAnsiTheme="majorHAnsi" w:cs="Arial"/>
          <w:sz w:val="24"/>
          <w:szCs w:val="24"/>
          <w:lang w:val="en-US"/>
        </w:rPr>
        <w:t>)</w:t>
      </w:r>
      <w:r w:rsidR="00310DD6" w:rsidRPr="00F4013C">
        <w:rPr>
          <w:rFonts w:asciiTheme="majorHAnsi" w:hAnsiTheme="majorHAnsi" w:cs="Arial"/>
          <w:bCs/>
          <w:sz w:val="24"/>
          <w:szCs w:val="24"/>
          <w:lang w:val="en-US"/>
        </w:rPr>
        <w:t xml:space="preserve"> </w:t>
      </w:r>
      <w:r w:rsidR="00310DD6" w:rsidRPr="00F4013C">
        <w:rPr>
          <w:rFonts w:asciiTheme="majorHAnsi" w:hAnsiTheme="majorHAnsi" w:cs="Arial"/>
          <w:bCs/>
          <w:i/>
          <w:sz w:val="24"/>
          <w:szCs w:val="24"/>
          <w:lang w:val="en-US"/>
        </w:rPr>
        <w:t>Democracy and the Rule of Law</w:t>
      </w:r>
      <w:r w:rsidRPr="00F4013C">
        <w:rPr>
          <w:rFonts w:asciiTheme="majorHAnsi" w:hAnsiTheme="majorHAnsi" w:cs="Arial"/>
          <w:bCs/>
          <w:sz w:val="24"/>
          <w:szCs w:val="24"/>
          <w:lang w:val="en-US"/>
        </w:rPr>
        <w:t>. Cambridge:</w:t>
      </w:r>
      <w:r w:rsidR="00310DD6" w:rsidRPr="00F4013C">
        <w:rPr>
          <w:rFonts w:asciiTheme="majorHAnsi" w:hAnsiTheme="majorHAnsi" w:cs="Arial"/>
          <w:bCs/>
          <w:sz w:val="24"/>
          <w:szCs w:val="24"/>
          <w:lang w:val="en-US"/>
        </w:rPr>
        <w:t xml:space="preserve"> Cambridge University Press</w:t>
      </w:r>
      <w:r w:rsidRPr="00F4013C">
        <w:rPr>
          <w:rFonts w:asciiTheme="majorHAnsi" w:hAnsiTheme="majorHAnsi" w:cs="Arial"/>
          <w:bCs/>
          <w:sz w:val="24"/>
          <w:szCs w:val="24"/>
          <w:lang w:val="en-US"/>
        </w:rPr>
        <w:t>, pp.</w:t>
      </w:r>
      <w:r w:rsidR="00310DD6" w:rsidRPr="00F4013C">
        <w:rPr>
          <w:rFonts w:asciiTheme="majorHAnsi" w:hAnsiTheme="majorHAnsi" w:cs="Arial"/>
          <w:bCs/>
          <w:sz w:val="24"/>
          <w:szCs w:val="24"/>
          <w:lang w:val="en-US"/>
        </w:rPr>
        <w:t xml:space="preserve"> 19-61.</w:t>
      </w:r>
    </w:p>
    <w:p w14:paraId="65D1B6B1" w14:textId="6A2231FF" w:rsidR="00310DD6" w:rsidRPr="00F4013C" w:rsidRDefault="006311FB" w:rsidP="00F4013C">
      <w:pPr>
        <w:spacing w:line="480" w:lineRule="auto"/>
        <w:rPr>
          <w:rFonts w:asciiTheme="majorHAnsi" w:hAnsiTheme="majorHAnsi" w:cs="Calibri"/>
          <w:sz w:val="24"/>
          <w:szCs w:val="24"/>
          <w:lang w:val="en-US"/>
        </w:rPr>
      </w:pPr>
      <w:r w:rsidRPr="00F4013C">
        <w:rPr>
          <w:rFonts w:asciiTheme="majorHAnsi" w:hAnsiTheme="majorHAnsi" w:cs="Calibri"/>
          <w:sz w:val="24"/>
          <w:szCs w:val="24"/>
          <w:lang w:val="en-US"/>
        </w:rPr>
        <w:t>Hyndman J</w:t>
      </w:r>
      <w:r w:rsidR="00310DD6" w:rsidRPr="00F4013C">
        <w:rPr>
          <w:rFonts w:asciiTheme="majorHAnsi" w:hAnsiTheme="majorHAnsi" w:cs="Calibri"/>
          <w:sz w:val="24"/>
          <w:szCs w:val="24"/>
          <w:lang w:val="en-US"/>
        </w:rPr>
        <w:t xml:space="preserve"> (2001) Towards a feminist geopolitics. </w:t>
      </w:r>
      <w:r w:rsidR="00310DD6" w:rsidRPr="00F4013C">
        <w:rPr>
          <w:rFonts w:asciiTheme="majorHAnsi" w:hAnsiTheme="majorHAnsi" w:cs="Calibri"/>
          <w:i/>
          <w:sz w:val="24"/>
          <w:szCs w:val="24"/>
          <w:lang w:val="en-US"/>
        </w:rPr>
        <w:t>The Canadian Geographer</w:t>
      </w:r>
      <w:r w:rsidRPr="00F4013C">
        <w:rPr>
          <w:rFonts w:asciiTheme="majorHAnsi" w:hAnsiTheme="majorHAnsi" w:cs="Calibri"/>
          <w:sz w:val="24"/>
          <w:szCs w:val="24"/>
          <w:lang w:val="en-US"/>
        </w:rPr>
        <w:t xml:space="preserve"> 2:</w:t>
      </w:r>
      <w:r w:rsidR="00310DD6" w:rsidRPr="00F4013C">
        <w:rPr>
          <w:rFonts w:asciiTheme="majorHAnsi" w:hAnsiTheme="majorHAnsi" w:cs="Calibri"/>
          <w:sz w:val="24"/>
          <w:szCs w:val="24"/>
          <w:lang w:val="en-US"/>
        </w:rPr>
        <w:t xml:space="preserve"> 210-222.</w:t>
      </w:r>
    </w:p>
    <w:p w14:paraId="395A8A47" w14:textId="4B0938FE" w:rsidR="00310DD6" w:rsidRPr="00F4013C" w:rsidRDefault="00310DD6" w:rsidP="00F4013C">
      <w:pPr>
        <w:spacing w:line="480" w:lineRule="auto"/>
        <w:rPr>
          <w:rFonts w:asciiTheme="majorHAnsi" w:hAnsiTheme="majorHAnsi"/>
          <w:sz w:val="24"/>
          <w:szCs w:val="24"/>
          <w:lang w:val="en-US"/>
        </w:rPr>
      </w:pPr>
      <w:r w:rsidRPr="00F4013C">
        <w:rPr>
          <w:rFonts w:asciiTheme="majorHAnsi" w:hAnsiTheme="majorHAnsi"/>
          <w:sz w:val="24"/>
          <w:szCs w:val="24"/>
          <w:lang w:val="en-US"/>
        </w:rPr>
        <w:t xml:space="preserve">Royal Government of Cambodia (2007) </w:t>
      </w:r>
      <w:r w:rsidRPr="00F4013C">
        <w:rPr>
          <w:rFonts w:asciiTheme="majorHAnsi" w:hAnsiTheme="majorHAnsi"/>
          <w:i/>
          <w:sz w:val="24"/>
          <w:szCs w:val="24"/>
          <w:lang w:val="en-US"/>
        </w:rPr>
        <w:t>Explanatory notes on the law on the prevention of domestic violence and protection of the victims: backgrounds, concepts and guidelines for interpretation</w:t>
      </w:r>
      <w:r w:rsidR="006311FB" w:rsidRPr="00F4013C">
        <w:rPr>
          <w:rFonts w:asciiTheme="majorHAnsi" w:hAnsiTheme="majorHAnsi"/>
          <w:i/>
          <w:sz w:val="24"/>
          <w:szCs w:val="24"/>
          <w:lang w:val="en-US"/>
        </w:rPr>
        <w:t xml:space="preserve">. </w:t>
      </w:r>
      <w:r w:rsidR="006311FB" w:rsidRPr="00F4013C">
        <w:rPr>
          <w:rFonts w:asciiTheme="majorHAnsi" w:hAnsiTheme="majorHAnsi"/>
          <w:sz w:val="24"/>
          <w:szCs w:val="24"/>
          <w:lang w:val="en-US"/>
        </w:rPr>
        <w:t>Phnom Penh:</w:t>
      </w:r>
      <w:r w:rsidRPr="00F4013C">
        <w:rPr>
          <w:rFonts w:asciiTheme="majorHAnsi" w:hAnsiTheme="majorHAnsi"/>
          <w:sz w:val="24"/>
          <w:szCs w:val="24"/>
          <w:lang w:val="en-US"/>
        </w:rPr>
        <w:t xml:space="preserve"> Ministry of Women’s Affairs</w:t>
      </w:r>
      <w:r w:rsidR="006311FB" w:rsidRPr="00F4013C">
        <w:rPr>
          <w:rFonts w:asciiTheme="majorHAnsi" w:hAnsiTheme="majorHAnsi"/>
          <w:sz w:val="24"/>
          <w:szCs w:val="24"/>
          <w:lang w:val="en-US"/>
        </w:rPr>
        <w:t>.</w:t>
      </w:r>
    </w:p>
    <w:p w14:paraId="6177A7CC" w14:textId="390106DA" w:rsidR="00310DD6" w:rsidRPr="00F4013C" w:rsidRDefault="006311FB" w:rsidP="00F4013C">
      <w:pPr>
        <w:spacing w:line="480" w:lineRule="auto"/>
        <w:rPr>
          <w:rFonts w:asciiTheme="majorHAnsi" w:hAnsiTheme="majorHAnsi"/>
          <w:sz w:val="24"/>
          <w:szCs w:val="24"/>
          <w:lang w:val="en-US"/>
        </w:rPr>
      </w:pPr>
      <w:r w:rsidRPr="00F4013C">
        <w:rPr>
          <w:rFonts w:asciiTheme="majorHAnsi" w:hAnsiTheme="majorHAnsi" w:cs="Calibri"/>
          <w:sz w:val="24"/>
          <w:szCs w:val="24"/>
          <w:lang w:val="en-US"/>
        </w:rPr>
        <w:t>Springer S</w:t>
      </w:r>
      <w:r w:rsidR="00310DD6" w:rsidRPr="00F4013C">
        <w:rPr>
          <w:rFonts w:asciiTheme="majorHAnsi" w:hAnsiTheme="majorHAnsi" w:cs="Calibri"/>
          <w:sz w:val="24"/>
          <w:szCs w:val="24"/>
          <w:lang w:val="en-US"/>
        </w:rPr>
        <w:t xml:space="preserve"> (2013) </w:t>
      </w:r>
      <w:r w:rsidR="00310DD6" w:rsidRPr="00F4013C">
        <w:rPr>
          <w:rFonts w:asciiTheme="majorHAnsi" w:hAnsiTheme="majorHAnsi" w:cs="TrebuchetMS"/>
          <w:sz w:val="24"/>
          <w:szCs w:val="24"/>
          <w:lang w:val="en-US"/>
        </w:rPr>
        <w:t xml:space="preserve">Violent accumulation: A </w:t>
      </w:r>
      <w:proofErr w:type="spellStart"/>
      <w:r w:rsidR="00310DD6" w:rsidRPr="00F4013C">
        <w:rPr>
          <w:rFonts w:asciiTheme="majorHAnsi" w:hAnsiTheme="majorHAnsi" w:cs="TrebuchetMS"/>
          <w:sz w:val="24"/>
          <w:szCs w:val="24"/>
          <w:lang w:val="en-US"/>
        </w:rPr>
        <w:t>postanarchist</w:t>
      </w:r>
      <w:proofErr w:type="spellEnd"/>
      <w:r w:rsidR="00310DD6" w:rsidRPr="00F4013C">
        <w:rPr>
          <w:rFonts w:asciiTheme="majorHAnsi" w:hAnsiTheme="majorHAnsi" w:cs="TrebuchetMS"/>
          <w:sz w:val="24"/>
          <w:szCs w:val="24"/>
          <w:lang w:val="en-US"/>
        </w:rPr>
        <w:t xml:space="preserve"> critique of property, dispossession, and the state of exception in </w:t>
      </w:r>
      <w:proofErr w:type="spellStart"/>
      <w:r w:rsidR="00310DD6" w:rsidRPr="00F4013C">
        <w:rPr>
          <w:rFonts w:asciiTheme="majorHAnsi" w:hAnsiTheme="majorHAnsi" w:cs="TrebuchetMS"/>
          <w:sz w:val="24"/>
          <w:szCs w:val="24"/>
          <w:lang w:val="en-US"/>
        </w:rPr>
        <w:t>neoliberalizing</w:t>
      </w:r>
      <w:proofErr w:type="spellEnd"/>
      <w:r w:rsidR="00310DD6" w:rsidRPr="00F4013C">
        <w:rPr>
          <w:rFonts w:asciiTheme="majorHAnsi" w:hAnsiTheme="majorHAnsi" w:cs="TrebuchetMS"/>
          <w:sz w:val="24"/>
          <w:szCs w:val="24"/>
          <w:lang w:val="en-US"/>
        </w:rPr>
        <w:t xml:space="preserve"> Cambodia. </w:t>
      </w:r>
      <w:r w:rsidR="00310DD6" w:rsidRPr="00F4013C">
        <w:rPr>
          <w:rFonts w:asciiTheme="majorHAnsi" w:hAnsiTheme="majorHAnsi" w:cs="TrebuchetMS"/>
          <w:i/>
          <w:sz w:val="24"/>
          <w:szCs w:val="24"/>
          <w:lang w:val="en-US"/>
        </w:rPr>
        <w:t>Annals of the Association of American Geographers</w:t>
      </w:r>
      <w:r w:rsidR="00567FE4" w:rsidRPr="00F4013C">
        <w:rPr>
          <w:rFonts w:asciiTheme="majorHAnsi" w:hAnsiTheme="majorHAnsi" w:cs="TrebuchetMS"/>
          <w:sz w:val="24"/>
          <w:szCs w:val="24"/>
          <w:lang w:val="en-US"/>
        </w:rPr>
        <w:t xml:space="preserve"> </w:t>
      </w:r>
      <w:r w:rsidR="00567FE4" w:rsidRPr="00F4013C">
        <w:rPr>
          <w:rFonts w:asciiTheme="majorHAnsi" w:hAnsiTheme="majorHAnsi" w:cs="Calibri"/>
          <w:sz w:val="24"/>
          <w:szCs w:val="24"/>
          <w:lang w:val="en-US"/>
        </w:rPr>
        <w:t>103:</w:t>
      </w:r>
      <w:r w:rsidR="00310DD6" w:rsidRPr="00F4013C">
        <w:rPr>
          <w:rFonts w:asciiTheme="majorHAnsi" w:hAnsiTheme="majorHAnsi" w:cs="Calibri"/>
          <w:sz w:val="24"/>
          <w:szCs w:val="24"/>
          <w:lang w:val="en-US"/>
        </w:rPr>
        <w:t xml:space="preserve"> 608-626.</w:t>
      </w:r>
    </w:p>
    <w:p w14:paraId="568A0BA8" w14:textId="77777777" w:rsidR="006D6691" w:rsidRPr="00F4013C" w:rsidRDefault="00310DD6" w:rsidP="00F4013C">
      <w:pPr>
        <w:spacing w:line="480" w:lineRule="auto"/>
        <w:rPr>
          <w:rFonts w:asciiTheme="majorHAnsi" w:hAnsiTheme="majorHAnsi" w:cs="Verdana"/>
          <w:color w:val="262626"/>
          <w:sz w:val="24"/>
          <w:szCs w:val="24"/>
          <w:lang w:val="en-US"/>
        </w:rPr>
      </w:pPr>
      <w:r w:rsidRPr="00F4013C">
        <w:rPr>
          <w:rFonts w:asciiTheme="majorHAnsi" w:hAnsiTheme="majorHAnsi" w:cs="Calibri"/>
          <w:sz w:val="24"/>
          <w:szCs w:val="24"/>
          <w:lang w:val="en-US"/>
        </w:rPr>
        <w:t xml:space="preserve">United Nations HABITAT (2011) </w:t>
      </w:r>
      <w:r w:rsidRPr="00F4013C">
        <w:rPr>
          <w:rFonts w:asciiTheme="majorHAnsi" w:hAnsiTheme="majorHAnsi" w:cs="Calibri"/>
          <w:i/>
          <w:sz w:val="24"/>
          <w:szCs w:val="24"/>
          <w:lang w:val="en-US"/>
        </w:rPr>
        <w:t>Forced Evictions: Global Crisis, Global Solution</w:t>
      </w:r>
      <w:r w:rsidRPr="00F4013C">
        <w:rPr>
          <w:rFonts w:asciiTheme="majorHAnsi" w:hAnsiTheme="majorHAnsi" w:cs="Calibri"/>
          <w:sz w:val="24"/>
          <w:szCs w:val="24"/>
          <w:lang w:val="en-US"/>
        </w:rPr>
        <w:t xml:space="preserve">. </w:t>
      </w:r>
      <w:r w:rsidRPr="00F4013C">
        <w:rPr>
          <w:rFonts w:asciiTheme="majorHAnsi" w:hAnsiTheme="majorHAnsi" w:cs="Verdana"/>
          <w:color w:val="262626"/>
          <w:sz w:val="24"/>
          <w:szCs w:val="24"/>
          <w:lang w:val="en-US"/>
        </w:rPr>
        <w:t xml:space="preserve">Nairobi: UN-HABITAT. </w:t>
      </w:r>
    </w:p>
    <w:p w14:paraId="1EBFFC92" w14:textId="77777777" w:rsidR="00DE4A46" w:rsidRPr="00F4013C" w:rsidRDefault="00DE4A46" w:rsidP="00F4013C">
      <w:pPr>
        <w:spacing w:line="480" w:lineRule="auto"/>
        <w:rPr>
          <w:rStyle w:val="Strong"/>
          <w:rFonts w:asciiTheme="majorHAnsi" w:hAnsiTheme="majorHAnsi" w:cs="Arial"/>
          <w:color w:val="000000"/>
          <w:sz w:val="24"/>
          <w:szCs w:val="24"/>
        </w:rPr>
      </w:pPr>
      <w:r w:rsidRPr="00F4013C">
        <w:rPr>
          <w:rStyle w:val="Strong"/>
          <w:rFonts w:asciiTheme="majorHAnsi" w:hAnsiTheme="majorHAnsi" w:cs="Arial"/>
          <w:color w:val="000000"/>
          <w:sz w:val="24"/>
          <w:szCs w:val="24"/>
        </w:rPr>
        <w:br w:type="page"/>
      </w:r>
    </w:p>
    <w:p w14:paraId="415312C5" w14:textId="58C62D28" w:rsidR="006A1AEF" w:rsidRPr="00F4013C" w:rsidRDefault="00F4013C" w:rsidP="00F4013C">
      <w:pPr>
        <w:spacing w:line="480" w:lineRule="auto"/>
        <w:jc w:val="center"/>
        <w:rPr>
          <w:rStyle w:val="Strong"/>
          <w:rFonts w:asciiTheme="majorHAnsi" w:hAnsiTheme="majorHAnsi" w:cs="Arial"/>
          <w:color w:val="000000"/>
          <w:sz w:val="24"/>
          <w:szCs w:val="24"/>
        </w:rPr>
      </w:pPr>
      <w:r>
        <w:rPr>
          <w:rStyle w:val="Strong"/>
          <w:rFonts w:asciiTheme="majorHAnsi" w:hAnsiTheme="majorHAnsi" w:cs="Arial"/>
          <w:color w:val="000000"/>
          <w:sz w:val="24"/>
          <w:szCs w:val="24"/>
        </w:rPr>
        <w:lastRenderedPageBreak/>
        <w:t xml:space="preserve">Gendering </w:t>
      </w:r>
      <w:proofErr w:type="spellStart"/>
      <w:r>
        <w:rPr>
          <w:rStyle w:val="Strong"/>
          <w:rFonts w:asciiTheme="majorHAnsi" w:hAnsiTheme="majorHAnsi" w:cs="Arial"/>
          <w:color w:val="000000"/>
          <w:sz w:val="24"/>
          <w:szCs w:val="24"/>
        </w:rPr>
        <w:t>Islamophobia</w:t>
      </w:r>
      <w:proofErr w:type="spellEnd"/>
      <w:r>
        <w:rPr>
          <w:rStyle w:val="Strong"/>
          <w:rFonts w:asciiTheme="majorHAnsi" w:hAnsiTheme="majorHAnsi" w:cs="Arial"/>
          <w:color w:val="000000"/>
          <w:sz w:val="24"/>
          <w:szCs w:val="24"/>
        </w:rPr>
        <w:t>, Racism and White S</w:t>
      </w:r>
      <w:r w:rsidR="0071411A" w:rsidRPr="00F4013C">
        <w:rPr>
          <w:rStyle w:val="Strong"/>
          <w:rFonts w:asciiTheme="majorHAnsi" w:hAnsiTheme="majorHAnsi" w:cs="Arial"/>
          <w:color w:val="000000"/>
          <w:sz w:val="24"/>
          <w:szCs w:val="24"/>
        </w:rPr>
        <w:t>upremacy:</w:t>
      </w:r>
    </w:p>
    <w:p w14:paraId="5529E6F0" w14:textId="3405F6D9" w:rsidR="0071411A" w:rsidRPr="00F4013C" w:rsidRDefault="00F4013C" w:rsidP="00F4013C">
      <w:pPr>
        <w:spacing w:line="480" w:lineRule="auto"/>
        <w:jc w:val="center"/>
        <w:rPr>
          <w:rStyle w:val="Strong"/>
          <w:rFonts w:asciiTheme="majorHAnsi" w:hAnsiTheme="majorHAnsi" w:cs="Arial"/>
          <w:color w:val="000000"/>
          <w:sz w:val="24"/>
          <w:szCs w:val="24"/>
        </w:rPr>
      </w:pPr>
      <w:r>
        <w:rPr>
          <w:rStyle w:val="Strong"/>
          <w:rFonts w:asciiTheme="majorHAnsi" w:hAnsiTheme="majorHAnsi" w:cs="Arial"/>
          <w:color w:val="000000"/>
          <w:sz w:val="24"/>
          <w:szCs w:val="24"/>
        </w:rPr>
        <w:t>G</w:t>
      </w:r>
      <w:r w:rsidR="0071411A" w:rsidRPr="00F4013C">
        <w:rPr>
          <w:rStyle w:val="Strong"/>
          <w:rFonts w:asciiTheme="majorHAnsi" w:hAnsiTheme="majorHAnsi" w:cs="Arial"/>
          <w:color w:val="000000"/>
          <w:sz w:val="24"/>
          <w:szCs w:val="24"/>
        </w:rPr>
        <w:t>endered</w:t>
      </w:r>
      <w:r>
        <w:rPr>
          <w:rStyle w:val="Strong"/>
          <w:rFonts w:asciiTheme="majorHAnsi" w:hAnsiTheme="majorHAnsi" w:cs="Arial"/>
          <w:color w:val="000000"/>
          <w:sz w:val="24"/>
          <w:szCs w:val="24"/>
        </w:rPr>
        <w:t xml:space="preserve"> v</w:t>
      </w:r>
      <w:r w:rsidR="0071411A" w:rsidRPr="00F4013C">
        <w:rPr>
          <w:rStyle w:val="Strong"/>
          <w:rFonts w:asciiTheme="majorHAnsi" w:hAnsiTheme="majorHAnsi" w:cs="Arial"/>
          <w:color w:val="000000"/>
          <w:sz w:val="24"/>
          <w:szCs w:val="24"/>
        </w:rPr>
        <w:t>iolence against those who look Muslim</w:t>
      </w:r>
    </w:p>
    <w:p w14:paraId="25B0B11C" w14:textId="77777777" w:rsidR="0071411A" w:rsidRPr="00F4013C" w:rsidRDefault="0071411A" w:rsidP="00F4013C">
      <w:pPr>
        <w:spacing w:line="480" w:lineRule="auto"/>
        <w:rPr>
          <w:rStyle w:val="Strong"/>
          <w:rFonts w:asciiTheme="majorHAnsi" w:hAnsiTheme="majorHAnsi" w:cs="Arial"/>
          <w:b w:val="0"/>
          <w:color w:val="000000"/>
          <w:sz w:val="24"/>
          <w:szCs w:val="24"/>
        </w:rPr>
      </w:pPr>
    </w:p>
    <w:p w14:paraId="068733B3" w14:textId="77777777" w:rsidR="0071411A" w:rsidRPr="00F4013C" w:rsidRDefault="0071411A" w:rsidP="00F4013C">
      <w:pPr>
        <w:spacing w:line="480" w:lineRule="auto"/>
        <w:rPr>
          <w:rFonts w:asciiTheme="majorHAnsi" w:hAnsiTheme="majorHAnsi" w:cs="Arial"/>
          <w:sz w:val="24"/>
          <w:szCs w:val="24"/>
        </w:rPr>
      </w:pPr>
      <w:r w:rsidRPr="00F4013C">
        <w:rPr>
          <w:rFonts w:asciiTheme="majorHAnsi" w:hAnsiTheme="majorHAnsi" w:cs="Arial"/>
          <w:sz w:val="24"/>
          <w:szCs w:val="24"/>
        </w:rPr>
        <w:t xml:space="preserve">In this piece, I argue that common forms of religiously and racially motivated violence in the UK constitute gendered violence. These forms of gendered violence are especially targeted at Muslims; the perpetrators are overwhelmingly white men and the victims are women but also men who are perceived to follow the Islamic faith. I draw attention to the intersection of gendered violence with other axes of difference including race, masculinity and place to explore the gendering of </w:t>
      </w:r>
      <w:proofErr w:type="spellStart"/>
      <w:r w:rsidRPr="00F4013C">
        <w:rPr>
          <w:rFonts w:asciiTheme="majorHAnsi" w:hAnsiTheme="majorHAnsi" w:cs="Arial"/>
          <w:sz w:val="24"/>
          <w:szCs w:val="24"/>
        </w:rPr>
        <w:t>Islamophobia</w:t>
      </w:r>
      <w:proofErr w:type="spellEnd"/>
      <w:r w:rsidRPr="00F4013C">
        <w:rPr>
          <w:rFonts w:asciiTheme="majorHAnsi" w:hAnsiTheme="majorHAnsi" w:cs="Arial"/>
          <w:sz w:val="24"/>
          <w:szCs w:val="24"/>
        </w:rPr>
        <w:t xml:space="preserve"> and racism. In developing strategies to tackle these issues, it is crucial to recognise the ways in which gendered violence is shaped by gendered identities and stereotypes. Here, I focus upon the experiences of Muslim men and women in the UK, including those who may be mistaken for being Muslim as a result of the complex ways in which their style of dress, skin colour, or other </w:t>
      </w:r>
      <w:proofErr w:type="spellStart"/>
      <w:r w:rsidRPr="00F4013C">
        <w:rPr>
          <w:rFonts w:asciiTheme="majorHAnsi" w:hAnsiTheme="majorHAnsi" w:cs="Arial"/>
          <w:sz w:val="24"/>
          <w:szCs w:val="24"/>
        </w:rPr>
        <w:t>phenotypical</w:t>
      </w:r>
      <w:proofErr w:type="spellEnd"/>
      <w:r w:rsidRPr="00F4013C">
        <w:rPr>
          <w:rFonts w:asciiTheme="majorHAnsi" w:hAnsiTheme="majorHAnsi" w:cs="Arial"/>
          <w:sz w:val="24"/>
          <w:szCs w:val="24"/>
        </w:rPr>
        <w:t xml:space="preserve"> features – mostly associated with processes of embodiment (</w:t>
      </w:r>
      <w:proofErr w:type="spellStart"/>
      <w:r w:rsidRPr="00F4013C">
        <w:rPr>
          <w:rFonts w:asciiTheme="majorHAnsi" w:hAnsiTheme="majorHAnsi" w:cs="Arial"/>
          <w:sz w:val="24"/>
          <w:szCs w:val="24"/>
        </w:rPr>
        <w:t>Longhurst</w:t>
      </w:r>
      <w:proofErr w:type="spellEnd"/>
      <w:r w:rsidRPr="00F4013C">
        <w:rPr>
          <w:rFonts w:asciiTheme="majorHAnsi" w:hAnsiTheme="majorHAnsi" w:cs="Arial"/>
          <w:sz w:val="24"/>
          <w:szCs w:val="24"/>
        </w:rPr>
        <w:t xml:space="preserve"> and Johnston, 2014) - results in them being associated with the Islamic faith and targets of gendered </w:t>
      </w:r>
      <w:proofErr w:type="spellStart"/>
      <w:r w:rsidRPr="00F4013C">
        <w:rPr>
          <w:rFonts w:asciiTheme="majorHAnsi" w:hAnsiTheme="majorHAnsi" w:cs="Arial"/>
          <w:sz w:val="24"/>
          <w:szCs w:val="24"/>
        </w:rPr>
        <w:t>Islamophobic</w:t>
      </w:r>
      <w:proofErr w:type="spellEnd"/>
      <w:r w:rsidRPr="00F4013C">
        <w:rPr>
          <w:rFonts w:asciiTheme="majorHAnsi" w:hAnsiTheme="majorHAnsi" w:cs="Arial"/>
          <w:sz w:val="24"/>
          <w:szCs w:val="24"/>
        </w:rPr>
        <w:t xml:space="preserve"> abuse and physical assault. Blackwood et al (2013: 1097) note in their research with Muslims that ‘all those who talked about airport [security] encounters were explicit that the basis of their treatment was that they were Muslims and that anyone who was Muslim (or fitted a Muslim stereotype) was open to similar treatment’ (Blackwood et al, 2013: 1097). Here, the everyday gendered, embodied and emotional encounters across </w:t>
      </w:r>
      <w:proofErr w:type="spellStart"/>
      <w:r w:rsidRPr="00F4013C">
        <w:rPr>
          <w:rFonts w:asciiTheme="majorHAnsi" w:hAnsiTheme="majorHAnsi" w:cs="Arial"/>
          <w:sz w:val="24"/>
          <w:szCs w:val="24"/>
        </w:rPr>
        <w:t>racialised</w:t>
      </w:r>
      <w:proofErr w:type="spellEnd"/>
      <w:r w:rsidRPr="00F4013C">
        <w:rPr>
          <w:rFonts w:asciiTheme="majorHAnsi" w:hAnsiTheme="majorHAnsi" w:cs="Arial"/>
          <w:sz w:val="24"/>
          <w:szCs w:val="24"/>
        </w:rPr>
        <w:t xml:space="preserve"> and religious differences connect with broader geopolitical debates and speak to advancing feminist geopolitics, and in particular, </w:t>
      </w:r>
      <w:r w:rsidRPr="00F4013C">
        <w:rPr>
          <w:rFonts w:asciiTheme="majorHAnsi" w:hAnsiTheme="majorHAnsi" w:cs="Arial"/>
          <w:color w:val="000000"/>
          <w:sz w:val="24"/>
          <w:szCs w:val="24"/>
        </w:rPr>
        <w:t>‘an intimate critical geopolitics of the everyday’ (Cowen and Story, 2013: 353).</w:t>
      </w:r>
    </w:p>
    <w:p w14:paraId="0BD71A2B" w14:textId="77777777" w:rsidR="0071411A" w:rsidRPr="00F4013C" w:rsidRDefault="0071411A" w:rsidP="00F4013C">
      <w:pPr>
        <w:spacing w:line="480" w:lineRule="auto"/>
        <w:rPr>
          <w:rFonts w:asciiTheme="majorHAnsi" w:eastAsia="Times New Roman" w:hAnsiTheme="majorHAnsi" w:cs="Arial"/>
          <w:color w:val="000000"/>
          <w:sz w:val="24"/>
          <w:szCs w:val="24"/>
        </w:rPr>
      </w:pPr>
    </w:p>
    <w:p w14:paraId="5613A9AE" w14:textId="77777777" w:rsidR="0071411A" w:rsidRPr="00F4013C" w:rsidRDefault="0071411A" w:rsidP="00F4013C">
      <w:pPr>
        <w:spacing w:line="480" w:lineRule="auto"/>
        <w:rPr>
          <w:rFonts w:asciiTheme="majorHAnsi" w:hAnsiTheme="majorHAnsi" w:cs="Arial"/>
          <w:sz w:val="24"/>
          <w:szCs w:val="24"/>
        </w:rPr>
      </w:pPr>
      <w:r w:rsidRPr="00F4013C">
        <w:rPr>
          <w:rFonts w:asciiTheme="majorHAnsi" w:eastAsia="Times New Roman" w:hAnsiTheme="majorHAnsi" w:cs="Arial"/>
          <w:color w:val="000000"/>
          <w:sz w:val="24"/>
          <w:szCs w:val="24"/>
        </w:rPr>
        <w:t xml:space="preserve">These observations emerge from a context in the UK where there has been an increasing presence of right wing groups that have undoubtedly been bolstered by </w:t>
      </w:r>
      <w:proofErr w:type="spellStart"/>
      <w:r w:rsidRPr="00F4013C">
        <w:rPr>
          <w:rFonts w:asciiTheme="majorHAnsi" w:eastAsia="Times New Roman" w:hAnsiTheme="majorHAnsi" w:cs="Arial"/>
          <w:color w:val="000000"/>
          <w:sz w:val="24"/>
          <w:szCs w:val="24"/>
        </w:rPr>
        <w:t>ongoing</w:t>
      </w:r>
      <w:proofErr w:type="spellEnd"/>
      <w:r w:rsidRPr="00F4013C">
        <w:rPr>
          <w:rFonts w:asciiTheme="majorHAnsi" w:eastAsia="Times New Roman" w:hAnsiTheme="majorHAnsi" w:cs="Arial"/>
          <w:color w:val="000000"/>
          <w:sz w:val="24"/>
          <w:szCs w:val="24"/>
        </w:rPr>
        <w:t xml:space="preserve"> experiences of austerity. In early 2009, emerging from the English football supporters masculine scene, the English Defence League’s (EDL) ‘vocal opposition to what it calls ‘militant Islam’ appears to have garnered considerable support from marginalized and disadvantaged white working class communities’ (Treadmill and Garland, 2011: 621). The EDL – and its sister the Scottish Defence League – regularly hold street protests in cities across the UK. In addition to such groups, there also exist smaller, sometimes shorter-term, localised right wing groups </w:t>
      </w:r>
      <w:r w:rsidRPr="00F4013C">
        <w:rPr>
          <w:rFonts w:asciiTheme="majorHAnsi" w:hAnsiTheme="majorHAnsi" w:cs="Arial"/>
          <w:sz w:val="24"/>
          <w:szCs w:val="24"/>
        </w:rPr>
        <w:t xml:space="preserve">Recent reports about </w:t>
      </w:r>
      <w:proofErr w:type="spellStart"/>
      <w:r w:rsidRPr="00F4013C">
        <w:rPr>
          <w:rFonts w:asciiTheme="majorHAnsi" w:hAnsiTheme="majorHAnsi" w:cs="Arial"/>
          <w:sz w:val="24"/>
          <w:szCs w:val="24"/>
        </w:rPr>
        <w:t>Islamophobia</w:t>
      </w:r>
      <w:proofErr w:type="spellEnd"/>
      <w:r w:rsidRPr="00F4013C">
        <w:rPr>
          <w:rFonts w:asciiTheme="majorHAnsi" w:hAnsiTheme="majorHAnsi" w:cs="Arial"/>
          <w:sz w:val="24"/>
          <w:szCs w:val="24"/>
        </w:rPr>
        <w:t xml:space="preserve"> and anti-Muslim hate crime in the UK point to the ways in which the actions of those connected with such right wing groups – as well as those who engage in acts of religious and racial hatred without necessarily having a group affiliation – result in persistently unjust, regularly violent and relentlessly unpleasant verbal, physical and emotional attacks against Muslims and those who are perceived to be Muslim. These anti-Muslim attacks range from murder, serious assaults and arson through to spitting, threatening and abusive words or behaviour (</w:t>
      </w:r>
      <w:proofErr w:type="spellStart"/>
      <w:r w:rsidRPr="00F4013C">
        <w:rPr>
          <w:rFonts w:asciiTheme="majorHAnsi" w:hAnsiTheme="majorHAnsi" w:cs="Arial"/>
          <w:sz w:val="24"/>
          <w:szCs w:val="24"/>
        </w:rPr>
        <w:t>Copsey</w:t>
      </w:r>
      <w:proofErr w:type="spellEnd"/>
      <w:r w:rsidRPr="00F4013C">
        <w:rPr>
          <w:rFonts w:asciiTheme="majorHAnsi" w:hAnsiTheme="majorHAnsi" w:cs="Arial"/>
          <w:sz w:val="24"/>
          <w:szCs w:val="24"/>
        </w:rPr>
        <w:t xml:space="preserve"> et al, 2013, Lambert and </w:t>
      </w:r>
      <w:proofErr w:type="spellStart"/>
      <w:r w:rsidRPr="00F4013C">
        <w:rPr>
          <w:rFonts w:asciiTheme="majorHAnsi" w:hAnsiTheme="majorHAnsi" w:cs="Arial"/>
          <w:sz w:val="24"/>
          <w:szCs w:val="24"/>
        </w:rPr>
        <w:t>Githens</w:t>
      </w:r>
      <w:proofErr w:type="spellEnd"/>
      <w:r w:rsidRPr="00F4013C">
        <w:rPr>
          <w:rFonts w:asciiTheme="majorHAnsi" w:hAnsiTheme="majorHAnsi" w:cs="Arial"/>
          <w:sz w:val="24"/>
          <w:szCs w:val="24"/>
        </w:rPr>
        <w:t xml:space="preserve">-Mazer, 2010). </w:t>
      </w:r>
      <w:r w:rsidRPr="00F4013C">
        <w:rPr>
          <w:rFonts w:asciiTheme="majorHAnsi" w:eastAsia="Times New Roman" w:hAnsiTheme="majorHAnsi" w:cs="Arial"/>
          <w:color w:val="000000"/>
          <w:sz w:val="24"/>
          <w:szCs w:val="24"/>
        </w:rPr>
        <w:t>One of the many problematic aspects of the existence of such right wing groups is that they tend to be dominated by white men who</w:t>
      </w:r>
      <w:r w:rsidRPr="00F4013C">
        <w:rPr>
          <w:rFonts w:asciiTheme="majorHAnsi" w:hAnsiTheme="majorHAnsi" w:cs="Arial"/>
          <w:sz w:val="24"/>
          <w:szCs w:val="24"/>
        </w:rPr>
        <w:t xml:space="preserve"> enact specific practices associated with masculinity and white supremacy with victims being women and men who are perceived to follow the Islamic faith. I therefore recast this as a form of gendered violence that is energised by </w:t>
      </w:r>
      <w:proofErr w:type="spellStart"/>
      <w:r w:rsidRPr="00F4013C">
        <w:rPr>
          <w:rFonts w:asciiTheme="majorHAnsi" w:hAnsiTheme="majorHAnsi" w:cs="Arial"/>
          <w:sz w:val="24"/>
          <w:szCs w:val="24"/>
        </w:rPr>
        <w:t>ongoing</w:t>
      </w:r>
      <w:proofErr w:type="spellEnd"/>
      <w:r w:rsidRPr="00F4013C">
        <w:rPr>
          <w:rFonts w:asciiTheme="majorHAnsi" w:hAnsiTheme="majorHAnsi" w:cs="Arial"/>
          <w:sz w:val="24"/>
          <w:szCs w:val="24"/>
        </w:rPr>
        <w:t xml:space="preserve"> debates about race and ethnicity, </w:t>
      </w:r>
      <w:proofErr w:type="spellStart"/>
      <w:r w:rsidRPr="00F4013C">
        <w:rPr>
          <w:rFonts w:asciiTheme="majorHAnsi" w:hAnsiTheme="majorHAnsi" w:cs="Arial"/>
          <w:sz w:val="24"/>
          <w:szCs w:val="24"/>
        </w:rPr>
        <w:t>Islamophobia</w:t>
      </w:r>
      <w:proofErr w:type="spellEnd"/>
      <w:r w:rsidRPr="00F4013C">
        <w:rPr>
          <w:rFonts w:asciiTheme="majorHAnsi" w:hAnsiTheme="majorHAnsi" w:cs="Arial"/>
          <w:sz w:val="24"/>
          <w:szCs w:val="24"/>
        </w:rPr>
        <w:t xml:space="preserve">, multiculturalism, citizenship and belonging. This is not only racist </w:t>
      </w:r>
      <w:r w:rsidRPr="00F4013C">
        <w:rPr>
          <w:rFonts w:asciiTheme="majorHAnsi" w:hAnsiTheme="majorHAnsi" w:cs="Arial"/>
          <w:sz w:val="24"/>
          <w:szCs w:val="24"/>
        </w:rPr>
        <w:lastRenderedPageBreak/>
        <w:t>violence as it is inflected with gender and bolstered by sexism, patriarchy and white supremacy.</w:t>
      </w:r>
    </w:p>
    <w:p w14:paraId="4B614BAE" w14:textId="77777777" w:rsidR="0071411A" w:rsidRPr="00F4013C" w:rsidRDefault="0071411A" w:rsidP="00F4013C">
      <w:pPr>
        <w:spacing w:line="480" w:lineRule="auto"/>
        <w:rPr>
          <w:rFonts w:asciiTheme="majorHAnsi" w:hAnsiTheme="majorHAnsi" w:cs="Arial"/>
          <w:sz w:val="24"/>
          <w:szCs w:val="24"/>
        </w:rPr>
      </w:pPr>
    </w:p>
    <w:p w14:paraId="6EA13962" w14:textId="77777777" w:rsidR="0071411A" w:rsidRPr="00F4013C" w:rsidRDefault="0071411A" w:rsidP="00F4013C">
      <w:pPr>
        <w:spacing w:line="480" w:lineRule="auto"/>
        <w:rPr>
          <w:rFonts w:asciiTheme="majorHAnsi" w:hAnsiTheme="majorHAnsi" w:cs="Arial"/>
          <w:sz w:val="24"/>
          <w:szCs w:val="24"/>
        </w:rPr>
      </w:pPr>
      <w:r w:rsidRPr="00F4013C">
        <w:rPr>
          <w:rFonts w:asciiTheme="majorHAnsi" w:hAnsiTheme="majorHAnsi" w:cs="Arial"/>
          <w:sz w:val="24"/>
          <w:szCs w:val="24"/>
        </w:rPr>
        <w:t xml:space="preserve">A recent report about </w:t>
      </w:r>
      <w:r w:rsidRPr="00F4013C">
        <w:rPr>
          <w:rFonts w:asciiTheme="majorHAnsi" w:hAnsiTheme="majorHAnsi" w:cs="Arial"/>
          <w:i/>
          <w:sz w:val="24"/>
          <w:szCs w:val="24"/>
        </w:rPr>
        <w:t>Anti- Muslim Hate Crime and the Far Right</w:t>
      </w:r>
      <w:r w:rsidRPr="00F4013C">
        <w:rPr>
          <w:rFonts w:asciiTheme="majorHAnsi" w:hAnsiTheme="majorHAnsi" w:cs="Arial"/>
          <w:sz w:val="24"/>
          <w:szCs w:val="24"/>
        </w:rPr>
        <w:t xml:space="preserve"> (</w:t>
      </w:r>
      <w:proofErr w:type="spellStart"/>
      <w:r w:rsidRPr="00F4013C">
        <w:rPr>
          <w:rFonts w:asciiTheme="majorHAnsi" w:hAnsiTheme="majorHAnsi" w:cs="Arial"/>
          <w:sz w:val="24"/>
          <w:szCs w:val="24"/>
        </w:rPr>
        <w:t>Copsey</w:t>
      </w:r>
      <w:proofErr w:type="spellEnd"/>
      <w:r w:rsidRPr="00F4013C">
        <w:rPr>
          <w:rFonts w:asciiTheme="majorHAnsi" w:hAnsiTheme="majorHAnsi" w:cs="Arial"/>
          <w:sz w:val="24"/>
          <w:szCs w:val="24"/>
        </w:rPr>
        <w:t xml:space="preserve"> et al, 2013) uses figures from the Crown Prosecution Service in the UK in 2011-12 to show that the majority of defendants in both racist and religiously motivated hate crimes were men (83%) with most being white British (73.6%) and aged 25-59 (54.2%). Just </w:t>
      </w:r>
      <w:proofErr w:type="gramStart"/>
      <w:r w:rsidRPr="00F4013C">
        <w:rPr>
          <w:rFonts w:asciiTheme="majorHAnsi" w:hAnsiTheme="majorHAnsi" w:cs="Arial"/>
          <w:sz w:val="24"/>
          <w:szCs w:val="24"/>
        </w:rPr>
        <w:t>under</w:t>
      </w:r>
      <w:proofErr w:type="gramEnd"/>
      <w:r w:rsidRPr="00F4013C">
        <w:rPr>
          <w:rFonts w:asciiTheme="majorHAnsi" w:hAnsiTheme="majorHAnsi" w:cs="Arial"/>
          <w:sz w:val="24"/>
          <w:szCs w:val="24"/>
        </w:rPr>
        <w:t xml:space="preserve"> 50% involved offences against the person and 32.5% were public order offences. The primary sites of these reported hate crimes tended to be in public spaces (such as parks, streets, footpaths) although the report comments on the likelihood </w:t>
      </w:r>
      <w:proofErr w:type="gramStart"/>
      <w:r w:rsidRPr="00F4013C">
        <w:rPr>
          <w:rFonts w:asciiTheme="majorHAnsi" w:hAnsiTheme="majorHAnsi" w:cs="Arial"/>
          <w:sz w:val="24"/>
          <w:szCs w:val="24"/>
        </w:rPr>
        <w:t>that</w:t>
      </w:r>
      <w:proofErr w:type="gramEnd"/>
      <w:r w:rsidRPr="00F4013C">
        <w:rPr>
          <w:rFonts w:asciiTheme="majorHAnsi" w:hAnsiTheme="majorHAnsi" w:cs="Arial"/>
          <w:sz w:val="24"/>
          <w:szCs w:val="24"/>
        </w:rPr>
        <w:t xml:space="preserve"> these are occurring in the vicinity of religious and community buildings. Clearly, such statistics need to be approached with caution; as a result of under-reporting, hate crime is not well understood by the public, and there are indications that over 50% of hate crime incidents go unreported so many will suffer in silence (</w:t>
      </w:r>
      <w:proofErr w:type="spellStart"/>
      <w:r w:rsidRPr="00F4013C">
        <w:rPr>
          <w:rFonts w:asciiTheme="majorHAnsi" w:hAnsiTheme="majorHAnsi" w:cs="Arial"/>
          <w:sz w:val="24"/>
          <w:szCs w:val="24"/>
        </w:rPr>
        <w:t>Copsey</w:t>
      </w:r>
      <w:proofErr w:type="spellEnd"/>
      <w:r w:rsidRPr="00F4013C">
        <w:rPr>
          <w:rFonts w:asciiTheme="majorHAnsi" w:hAnsiTheme="majorHAnsi" w:cs="Arial"/>
          <w:sz w:val="24"/>
          <w:szCs w:val="24"/>
        </w:rPr>
        <w:t xml:space="preserve"> et al, 2013). Incidents may be unreported due to lack of confidence in the justice system, assumptions that the police would not be interested, or the frequency of incidents resulting in non or under reporting. </w:t>
      </w:r>
    </w:p>
    <w:p w14:paraId="3A236960" w14:textId="77777777" w:rsidR="0071411A" w:rsidRPr="00F4013C" w:rsidRDefault="0071411A" w:rsidP="00F4013C">
      <w:pPr>
        <w:spacing w:line="480" w:lineRule="auto"/>
        <w:rPr>
          <w:rFonts w:asciiTheme="majorHAnsi" w:hAnsiTheme="majorHAnsi" w:cs="Arial"/>
          <w:sz w:val="24"/>
          <w:szCs w:val="24"/>
        </w:rPr>
      </w:pPr>
    </w:p>
    <w:p w14:paraId="7B8E5C9E" w14:textId="77777777" w:rsidR="0071411A" w:rsidRPr="00F4013C" w:rsidRDefault="0071411A" w:rsidP="00F4013C">
      <w:pPr>
        <w:spacing w:line="480" w:lineRule="auto"/>
        <w:rPr>
          <w:rFonts w:asciiTheme="majorHAnsi" w:hAnsiTheme="majorHAnsi" w:cs="Arial"/>
          <w:sz w:val="24"/>
          <w:szCs w:val="24"/>
        </w:rPr>
      </w:pPr>
      <w:r w:rsidRPr="00F4013C">
        <w:rPr>
          <w:rFonts w:asciiTheme="majorHAnsi" w:hAnsiTheme="majorHAnsi" w:cs="Arial"/>
          <w:sz w:val="24"/>
          <w:szCs w:val="24"/>
        </w:rPr>
        <w:t>A small proportion of the perpetrators of hate crime in Britain belong to far right groups, though the majority are ‘characterised by their very ordinariness’ (</w:t>
      </w:r>
      <w:proofErr w:type="spellStart"/>
      <w:r w:rsidRPr="00F4013C">
        <w:rPr>
          <w:rFonts w:asciiTheme="majorHAnsi" w:hAnsiTheme="majorHAnsi" w:cs="Arial"/>
          <w:sz w:val="24"/>
          <w:szCs w:val="24"/>
        </w:rPr>
        <w:t>Copsey</w:t>
      </w:r>
      <w:proofErr w:type="spellEnd"/>
      <w:r w:rsidRPr="00F4013C">
        <w:rPr>
          <w:rFonts w:asciiTheme="majorHAnsi" w:hAnsiTheme="majorHAnsi" w:cs="Arial"/>
          <w:sz w:val="24"/>
          <w:szCs w:val="24"/>
        </w:rPr>
        <w:t xml:space="preserve"> et al, 2013: 11). However, those committed by far-right extremists are likely to be more extreme and premeditated than those committed by ‘ordinary people’. With regards to cases of religious hate crime and in situations where the religion of the victim was </w:t>
      </w:r>
      <w:r w:rsidRPr="00F4013C">
        <w:rPr>
          <w:rFonts w:asciiTheme="majorHAnsi" w:hAnsiTheme="majorHAnsi" w:cs="Arial"/>
          <w:sz w:val="24"/>
          <w:szCs w:val="24"/>
        </w:rPr>
        <w:lastRenderedPageBreak/>
        <w:t>known, 52% (or 632) of incidents were against Muslims (26 per cent were against Jews and 14 per cent against Christians). As this report makes clear, ‘when it comes to hate crime, most victims are Muslim’ (</w:t>
      </w:r>
      <w:proofErr w:type="spellStart"/>
      <w:r w:rsidRPr="00F4013C">
        <w:rPr>
          <w:rFonts w:asciiTheme="majorHAnsi" w:hAnsiTheme="majorHAnsi" w:cs="Arial"/>
          <w:sz w:val="24"/>
          <w:szCs w:val="24"/>
        </w:rPr>
        <w:t>Copsey</w:t>
      </w:r>
      <w:proofErr w:type="spellEnd"/>
      <w:r w:rsidRPr="00F4013C">
        <w:rPr>
          <w:rFonts w:asciiTheme="majorHAnsi" w:hAnsiTheme="majorHAnsi" w:cs="Arial"/>
          <w:sz w:val="24"/>
          <w:szCs w:val="24"/>
        </w:rPr>
        <w:t xml:space="preserve"> et al, 2013: 7). Of the 150 incidents reported through the Tell MAMA (Measuring Anti-Muslim Attacks) project between 1 April 2012 and 30 April 2013, 12% involved assault, 12% involved property damage, 11% involved the distribution of anti-Muslim literature and 8% were noted as involving ‘extreme violence’ (</w:t>
      </w:r>
      <w:proofErr w:type="spellStart"/>
      <w:r w:rsidRPr="00F4013C">
        <w:rPr>
          <w:rFonts w:asciiTheme="majorHAnsi" w:hAnsiTheme="majorHAnsi" w:cs="Arial"/>
          <w:sz w:val="24"/>
          <w:szCs w:val="24"/>
        </w:rPr>
        <w:t>Copsey</w:t>
      </w:r>
      <w:proofErr w:type="spellEnd"/>
      <w:r w:rsidRPr="00F4013C">
        <w:rPr>
          <w:rFonts w:asciiTheme="majorHAnsi" w:hAnsiTheme="majorHAnsi" w:cs="Arial"/>
          <w:sz w:val="24"/>
          <w:szCs w:val="24"/>
        </w:rPr>
        <w:t xml:space="preserve"> et al, 2013: 15). The gender breakdown shows, again, that just </w:t>
      </w:r>
      <w:proofErr w:type="gramStart"/>
      <w:r w:rsidRPr="00F4013C">
        <w:rPr>
          <w:rFonts w:asciiTheme="majorHAnsi" w:hAnsiTheme="majorHAnsi" w:cs="Arial"/>
          <w:sz w:val="24"/>
          <w:szCs w:val="24"/>
        </w:rPr>
        <w:t>under</w:t>
      </w:r>
      <w:proofErr w:type="gramEnd"/>
      <w:r w:rsidRPr="00F4013C">
        <w:rPr>
          <w:rFonts w:asciiTheme="majorHAnsi" w:hAnsiTheme="majorHAnsi" w:cs="Arial"/>
          <w:sz w:val="24"/>
          <w:szCs w:val="24"/>
        </w:rPr>
        <w:t xml:space="preserve"> 80% of the perpetrators of offline incidents were men and most were under the age of 40, with men being responsible for 82% of online incidents. In the case of offline offences, the majority of the victims were women, particularly those who were identifiable as Muslim. The majority of online incidents involved the threat of participating in some form of offline action. Of the online incidents, 70% report a link to the far right (</w:t>
      </w:r>
      <w:proofErr w:type="spellStart"/>
      <w:r w:rsidRPr="00F4013C">
        <w:rPr>
          <w:rFonts w:asciiTheme="majorHAnsi" w:hAnsiTheme="majorHAnsi" w:cs="Arial"/>
          <w:sz w:val="24"/>
          <w:szCs w:val="24"/>
        </w:rPr>
        <w:t>Copsey</w:t>
      </w:r>
      <w:proofErr w:type="spellEnd"/>
      <w:r w:rsidRPr="00F4013C">
        <w:rPr>
          <w:rFonts w:asciiTheme="majorHAnsi" w:hAnsiTheme="majorHAnsi" w:cs="Arial"/>
          <w:sz w:val="24"/>
          <w:szCs w:val="24"/>
        </w:rPr>
        <w:t xml:space="preserve"> et al 2013). The online presence of racist groups continues to cause concern; the </w:t>
      </w:r>
      <w:proofErr w:type="gramStart"/>
      <w:r w:rsidRPr="00F4013C">
        <w:rPr>
          <w:rFonts w:asciiTheme="majorHAnsi" w:hAnsiTheme="majorHAnsi" w:cs="Arial"/>
          <w:sz w:val="24"/>
          <w:szCs w:val="24"/>
        </w:rPr>
        <w:t>internet</w:t>
      </w:r>
      <w:proofErr w:type="gramEnd"/>
      <w:r w:rsidRPr="00F4013C">
        <w:rPr>
          <w:rFonts w:asciiTheme="majorHAnsi" w:hAnsiTheme="majorHAnsi" w:cs="Arial"/>
          <w:sz w:val="24"/>
          <w:szCs w:val="24"/>
        </w:rPr>
        <w:t xml:space="preserve"> acts as an important communication tool for white supremacist, sexist and </w:t>
      </w:r>
      <w:proofErr w:type="spellStart"/>
      <w:r w:rsidRPr="00F4013C">
        <w:rPr>
          <w:rFonts w:asciiTheme="majorHAnsi" w:hAnsiTheme="majorHAnsi" w:cs="Arial"/>
          <w:sz w:val="24"/>
          <w:szCs w:val="24"/>
        </w:rPr>
        <w:t>Islamophobic</w:t>
      </w:r>
      <w:proofErr w:type="spellEnd"/>
      <w:r w:rsidRPr="00F4013C">
        <w:rPr>
          <w:rFonts w:asciiTheme="majorHAnsi" w:hAnsiTheme="majorHAnsi" w:cs="Arial"/>
          <w:sz w:val="24"/>
          <w:szCs w:val="24"/>
        </w:rPr>
        <w:t xml:space="preserve"> groups and individuals. This all points to the diversity of sites at which such racist and religious hatred can be promoted, and the worrying tendency for this is shaped by sexist, patriarchal and chauvinistic values and behaviours. Furthermore, we see here the gendering of both the perpetrators and the victims of racially and religiously motivated violence as the first is motivated by racism that is partly shaped by patriarchy and sexism with the victims being targeted as a result of these racist interpretations of the intersections between gender, ethnicity and religion.</w:t>
      </w:r>
    </w:p>
    <w:p w14:paraId="1F8403F3" w14:textId="77777777" w:rsidR="0071411A" w:rsidRPr="00F4013C" w:rsidRDefault="0071411A" w:rsidP="00F4013C">
      <w:pPr>
        <w:spacing w:line="480" w:lineRule="auto"/>
        <w:rPr>
          <w:rFonts w:asciiTheme="majorHAnsi" w:hAnsiTheme="majorHAnsi" w:cs="Arial"/>
          <w:sz w:val="24"/>
          <w:szCs w:val="24"/>
        </w:rPr>
      </w:pPr>
    </w:p>
    <w:p w14:paraId="26984025" w14:textId="77777777" w:rsidR="0071411A" w:rsidRPr="00F4013C" w:rsidRDefault="0071411A" w:rsidP="00F4013C">
      <w:pPr>
        <w:spacing w:line="480" w:lineRule="auto"/>
        <w:rPr>
          <w:rFonts w:asciiTheme="majorHAnsi" w:hAnsiTheme="majorHAnsi" w:cs="Arial"/>
          <w:sz w:val="24"/>
          <w:szCs w:val="24"/>
        </w:rPr>
      </w:pPr>
      <w:r w:rsidRPr="00F4013C">
        <w:rPr>
          <w:rFonts w:asciiTheme="majorHAnsi" w:hAnsiTheme="majorHAnsi" w:cs="Arial"/>
          <w:sz w:val="24"/>
          <w:szCs w:val="24"/>
        </w:rPr>
        <w:lastRenderedPageBreak/>
        <w:t xml:space="preserve">Lambert and </w:t>
      </w:r>
      <w:proofErr w:type="spellStart"/>
      <w:r w:rsidRPr="00F4013C">
        <w:rPr>
          <w:rFonts w:asciiTheme="majorHAnsi" w:hAnsiTheme="majorHAnsi" w:cs="Arial"/>
          <w:sz w:val="24"/>
          <w:szCs w:val="24"/>
        </w:rPr>
        <w:t>Githens</w:t>
      </w:r>
      <w:proofErr w:type="spellEnd"/>
      <w:r w:rsidRPr="00F4013C">
        <w:rPr>
          <w:rFonts w:asciiTheme="majorHAnsi" w:hAnsiTheme="majorHAnsi" w:cs="Arial"/>
          <w:sz w:val="24"/>
          <w:szCs w:val="24"/>
        </w:rPr>
        <w:t xml:space="preserve">-Mazer (2010) produced a substantial report about </w:t>
      </w:r>
      <w:proofErr w:type="spellStart"/>
      <w:r w:rsidRPr="00F4013C">
        <w:rPr>
          <w:rFonts w:asciiTheme="majorHAnsi" w:hAnsiTheme="majorHAnsi" w:cs="Arial"/>
          <w:i/>
          <w:sz w:val="24"/>
          <w:szCs w:val="24"/>
        </w:rPr>
        <w:t>Islamophobia</w:t>
      </w:r>
      <w:proofErr w:type="spellEnd"/>
      <w:r w:rsidRPr="00F4013C">
        <w:rPr>
          <w:rFonts w:asciiTheme="majorHAnsi" w:hAnsiTheme="majorHAnsi" w:cs="Arial"/>
          <w:i/>
          <w:sz w:val="24"/>
          <w:szCs w:val="24"/>
        </w:rPr>
        <w:t xml:space="preserve"> and anti-Muslim Hate Crime: UK case studies 2010</w:t>
      </w:r>
      <w:r w:rsidRPr="00F4013C">
        <w:rPr>
          <w:rFonts w:asciiTheme="majorHAnsi" w:hAnsiTheme="majorHAnsi" w:cs="Arial"/>
          <w:sz w:val="24"/>
          <w:szCs w:val="24"/>
        </w:rPr>
        <w:t xml:space="preserve">, noting that a key motivation behind the increasing numbers of anti-Muslim attacks is the politics of groups such as the BNP and the EDL. They refer to a ‘violent extremist nationalist milieu’ (Lambert and </w:t>
      </w:r>
      <w:proofErr w:type="spellStart"/>
      <w:r w:rsidRPr="00F4013C">
        <w:rPr>
          <w:rFonts w:asciiTheme="majorHAnsi" w:hAnsiTheme="majorHAnsi" w:cs="Arial"/>
          <w:sz w:val="24"/>
          <w:szCs w:val="24"/>
        </w:rPr>
        <w:t>Githens</w:t>
      </w:r>
      <w:proofErr w:type="spellEnd"/>
      <w:r w:rsidRPr="00F4013C">
        <w:rPr>
          <w:rFonts w:asciiTheme="majorHAnsi" w:hAnsiTheme="majorHAnsi" w:cs="Arial"/>
          <w:sz w:val="24"/>
          <w:szCs w:val="24"/>
        </w:rPr>
        <w:t xml:space="preserve">-Mazer, 2010: 33) that is exacerbated by the negative influence of mainstream politicians (the hard line approach to immigration by many of the main political parties being one such example). Furthermore, although most of those who commit ant-Muslim hate crimes are not members of the BNP or EDL, these people have become increasingly angered and convinced by the portrayal of Muslims in the media as extremists and a threat to national security. Some key points discussed by Lambert and </w:t>
      </w:r>
      <w:proofErr w:type="spellStart"/>
      <w:r w:rsidRPr="00F4013C">
        <w:rPr>
          <w:rFonts w:asciiTheme="majorHAnsi" w:hAnsiTheme="majorHAnsi" w:cs="Arial"/>
          <w:sz w:val="24"/>
          <w:szCs w:val="24"/>
        </w:rPr>
        <w:t>Githens</w:t>
      </w:r>
      <w:proofErr w:type="spellEnd"/>
      <w:r w:rsidRPr="00F4013C">
        <w:rPr>
          <w:rFonts w:asciiTheme="majorHAnsi" w:hAnsiTheme="majorHAnsi" w:cs="Arial"/>
          <w:sz w:val="24"/>
          <w:szCs w:val="24"/>
        </w:rPr>
        <w:t xml:space="preserve">-Mazer (2010) include the increasing number of EDL events that provoke fear and intimidation within Muslim communities and that many racist groups have refocused their aims to specifically target Muslims (some gangs, for example, previously not involved in racist activities, are now targeting Muslims). Victims, they observe, are of a ‘discernable and distinctive Muslim appearance’ (Lambert and </w:t>
      </w:r>
      <w:proofErr w:type="spellStart"/>
      <w:r w:rsidRPr="00F4013C">
        <w:rPr>
          <w:rFonts w:asciiTheme="majorHAnsi" w:hAnsiTheme="majorHAnsi" w:cs="Arial"/>
          <w:sz w:val="24"/>
          <w:szCs w:val="24"/>
        </w:rPr>
        <w:t>Githens</w:t>
      </w:r>
      <w:proofErr w:type="spellEnd"/>
      <w:r w:rsidRPr="00F4013C">
        <w:rPr>
          <w:rFonts w:asciiTheme="majorHAnsi" w:hAnsiTheme="majorHAnsi" w:cs="Arial"/>
          <w:sz w:val="24"/>
          <w:szCs w:val="24"/>
        </w:rPr>
        <w:t xml:space="preserve">-Mazer, 2010: 48), and that whilst victims of racist attacks were invariably men, victims of anti-Muslim attacks are often women. The report found that a disturbing number of Muslim women who wear a </w:t>
      </w:r>
      <w:proofErr w:type="spellStart"/>
      <w:r w:rsidRPr="00F4013C">
        <w:rPr>
          <w:rFonts w:asciiTheme="majorHAnsi" w:hAnsiTheme="majorHAnsi" w:cs="Arial"/>
          <w:sz w:val="24"/>
          <w:szCs w:val="24"/>
        </w:rPr>
        <w:t>niqab</w:t>
      </w:r>
      <w:proofErr w:type="spellEnd"/>
      <w:r w:rsidRPr="00F4013C">
        <w:rPr>
          <w:rFonts w:asciiTheme="majorHAnsi" w:hAnsiTheme="majorHAnsi" w:cs="Arial"/>
          <w:sz w:val="24"/>
          <w:szCs w:val="24"/>
        </w:rPr>
        <w:t xml:space="preserve">, hijab or burka were the victims of anti-Muslim hate crimes. These tend to happen in public spaces, on trains, buses, shopping centres and so on – often when other people were there yet did not intervene. Attacks against ‘identifiable Muslims’ (Lambert and </w:t>
      </w:r>
      <w:proofErr w:type="spellStart"/>
      <w:r w:rsidRPr="00F4013C">
        <w:rPr>
          <w:rFonts w:asciiTheme="majorHAnsi" w:hAnsiTheme="majorHAnsi" w:cs="Arial"/>
          <w:sz w:val="24"/>
          <w:szCs w:val="24"/>
        </w:rPr>
        <w:t>Githens</w:t>
      </w:r>
      <w:proofErr w:type="spellEnd"/>
      <w:r w:rsidRPr="00F4013C">
        <w:rPr>
          <w:rFonts w:asciiTheme="majorHAnsi" w:hAnsiTheme="majorHAnsi" w:cs="Arial"/>
          <w:sz w:val="24"/>
          <w:szCs w:val="24"/>
        </w:rPr>
        <w:t xml:space="preserve">-Mazer, 2010: 35) tended to take place near mosques or ‘against Muslims wearing Islamic clothes and, in the case of men, Islamic beards or, in the case of women, hijabs, </w:t>
      </w:r>
      <w:proofErr w:type="spellStart"/>
      <w:r w:rsidRPr="00F4013C">
        <w:rPr>
          <w:rFonts w:asciiTheme="majorHAnsi" w:hAnsiTheme="majorHAnsi" w:cs="Arial"/>
          <w:sz w:val="24"/>
          <w:szCs w:val="24"/>
        </w:rPr>
        <w:t>niqabs</w:t>
      </w:r>
      <w:proofErr w:type="spellEnd"/>
      <w:r w:rsidRPr="00F4013C">
        <w:rPr>
          <w:rFonts w:asciiTheme="majorHAnsi" w:hAnsiTheme="majorHAnsi" w:cs="Arial"/>
          <w:sz w:val="24"/>
          <w:szCs w:val="24"/>
        </w:rPr>
        <w:t xml:space="preserve"> or burkas’.</w:t>
      </w:r>
    </w:p>
    <w:p w14:paraId="39E18E21" w14:textId="77777777" w:rsidR="0071411A" w:rsidRPr="00F4013C" w:rsidRDefault="0071411A" w:rsidP="00F4013C">
      <w:pPr>
        <w:spacing w:line="480" w:lineRule="auto"/>
        <w:rPr>
          <w:rFonts w:asciiTheme="majorHAnsi" w:hAnsiTheme="majorHAnsi" w:cs="Arial"/>
          <w:sz w:val="24"/>
          <w:szCs w:val="24"/>
        </w:rPr>
      </w:pPr>
    </w:p>
    <w:p w14:paraId="1D1654CB" w14:textId="77777777" w:rsidR="0071411A" w:rsidRPr="00F4013C" w:rsidRDefault="0071411A" w:rsidP="00F4013C">
      <w:pPr>
        <w:spacing w:line="480" w:lineRule="auto"/>
        <w:rPr>
          <w:rFonts w:asciiTheme="majorHAnsi" w:hAnsiTheme="majorHAnsi" w:cs="Arial"/>
          <w:sz w:val="24"/>
          <w:szCs w:val="24"/>
        </w:rPr>
      </w:pPr>
      <w:r w:rsidRPr="00F4013C">
        <w:rPr>
          <w:rFonts w:asciiTheme="majorHAnsi" w:hAnsiTheme="majorHAnsi" w:cs="Arial"/>
          <w:sz w:val="24"/>
          <w:szCs w:val="24"/>
        </w:rPr>
        <w:lastRenderedPageBreak/>
        <w:t xml:space="preserve">The dominant polices that are targeted at both Muslims and young white men erase the issues explored above (including the gendering of </w:t>
      </w:r>
      <w:proofErr w:type="spellStart"/>
      <w:r w:rsidRPr="00F4013C">
        <w:rPr>
          <w:rFonts w:asciiTheme="majorHAnsi" w:hAnsiTheme="majorHAnsi" w:cs="Arial"/>
          <w:sz w:val="24"/>
          <w:szCs w:val="24"/>
        </w:rPr>
        <w:t>Islamophobia</w:t>
      </w:r>
      <w:proofErr w:type="spellEnd"/>
      <w:r w:rsidRPr="00F4013C">
        <w:rPr>
          <w:rFonts w:asciiTheme="majorHAnsi" w:hAnsiTheme="majorHAnsi" w:cs="Arial"/>
          <w:sz w:val="24"/>
          <w:szCs w:val="24"/>
        </w:rPr>
        <w:t xml:space="preserve"> and racism), and instead, exacerbate already existing gendered, racial and religious inequalities and injustices. On the one hand, recent policies targeted at the Muslim community in the UK have focused on counter-terrorism measures and the prevention of violent extremism. The impact of such policies has been well documented in the literature, with concerns expressed about how they construct Muslims as potentially threatening people who have the capacity to engage in extremist behaviours in different places (e.g. Hopkins, 2011, </w:t>
      </w:r>
      <w:proofErr w:type="spellStart"/>
      <w:r w:rsidRPr="00F4013C">
        <w:rPr>
          <w:rFonts w:asciiTheme="majorHAnsi" w:hAnsiTheme="majorHAnsi" w:cs="Arial"/>
          <w:sz w:val="24"/>
          <w:szCs w:val="24"/>
        </w:rPr>
        <w:t>Spalek</w:t>
      </w:r>
      <w:proofErr w:type="spellEnd"/>
      <w:r w:rsidRPr="00F4013C">
        <w:rPr>
          <w:rFonts w:asciiTheme="majorHAnsi" w:hAnsiTheme="majorHAnsi" w:cs="Arial"/>
          <w:sz w:val="24"/>
          <w:szCs w:val="24"/>
        </w:rPr>
        <w:t xml:space="preserve"> and McDonald, 2009). </w:t>
      </w:r>
      <w:proofErr w:type="spellStart"/>
      <w:r w:rsidRPr="00F4013C">
        <w:rPr>
          <w:rFonts w:asciiTheme="majorHAnsi" w:hAnsiTheme="majorHAnsi" w:cs="Arial"/>
          <w:sz w:val="24"/>
          <w:szCs w:val="24"/>
        </w:rPr>
        <w:t>Choudhury</w:t>
      </w:r>
      <w:proofErr w:type="spellEnd"/>
      <w:r w:rsidRPr="00F4013C">
        <w:rPr>
          <w:rFonts w:asciiTheme="majorHAnsi" w:hAnsiTheme="majorHAnsi" w:cs="Arial"/>
          <w:sz w:val="24"/>
          <w:szCs w:val="24"/>
        </w:rPr>
        <w:t xml:space="preserve"> and Fenwick (2011) note that stop and search under section 44 of the Terrorism Act became the main mechanism through which young Muslim men engaged with the police, observing that since 2001, over half a million stop and searches had taken place but none had led to any convictions in relation to terrorism. Such procedures securitise, stigmatise and marginalise those of Muslim appearance (Millings, 2013), especially Muslim men but also Muslim women, and give additional justification to those with white supremacist and patriarchal views.</w:t>
      </w:r>
    </w:p>
    <w:p w14:paraId="7CBFAA30" w14:textId="77777777" w:rsidR="0071411A" w:rsidRPr="00F4013C" w:rsidRDefault="0071411A" w:rsidP="00F4013C">
      <w:pPr>
        <w:spacing w:line="480" w:lineRule="auto"/>
        <w:rPr>
          <w:rFonts w:asciiTheme="majorHAnsi" w:hAnsiTheme="majorHAnsi" w:cs="Arial"/>
          <w:sz w:val="24"/>
          <w:szCs w:val="24"/>
        </w:rPr>
      </w:pPr>
    </w:p>
    <w:p w14:paraId="5FF0E75A" w14:textId="77777777" w:rsidR="0071411A" w:rsidRPr="00F4013C" w:rsidRDefault="0071411A" w:rsidP="00F4013C">
      <w:pPr>
        <w:spacing w:line="480" w:lineRule="auto"/>
        <w:rPr>
          <w:rFonts w:asciiTheme="majorHAnsi" w:hAnsiTheme="majorHAnsi" w:cs="Arial"/>
          <w:sz w:val="24"/>
          <w:szCs w:val="24"/>
        </w:rPr>
      </w:pPr>
      <w:r w:rsidRPr="00F4013C">
        <w:rPr>
          <w:rFonts w:asciiTheme="majorHAnsi" w:hAnsiTheme="majorHAnsi" w:cs="Arial"/>
          <w:sz w:val="24"/>
          <w:szCs w:val="24"/>
        </w:rPr>
        <w:t>On the other hand, f</w:t>
      </w:r>
      <w:r w:rsidRPr="00F4013C">
        <w:rPr>
          <w:rFonts w:asciiTheme="majorHAnsi" w:eastAsia="Times New Roman" w:hAnsiTheme="majorHAnsi" w:cs="Arial"/>
          <w:color w:val="000000"/>
          <w:sz w:val="24"/>
          <w:szCs w:val="24"/>
        </w:rPr>
        <w:t xml:space="preserve">rom 1997 a key policy targeted particularly (but not only) at white working class youth in the UK was about the label of ‘young people not in education employment or training (i.e. NEET)’; this ‘became the key youth policy of the New Labour government’ (MacDonald, 2011: 430) and arguably continues to be an important focus of the Conservative and Liberal Democrat coalition government too. This policy sees the problem with white working class youth as being about education and employment only; and fails to engage with the ways in which some white working class young men engage in sexist, racist, white supremacist actions and behaviours </w:t>
      </w:r>
      <w:r w:rsidRPr="00F4013C">
        <w:rPr>
          <w:rFonts w:asciiTheme="majorHAnsi" w:eastAsia="Times New Roman" w:hAnsiTheme="majorHAnsi" w:cs="Arial"/>
          <w:color w:val="000000"/>
          <w:sz w:val="24"/>
          <w:szCs w:val="24"/>
        </w:rPr>
        <w:lastRenderedPageBreak/>
        <w:t xml:space="preserve">(without necessarily being aware of the illegal nature of many of these) and therefore neglects to offer strategies for the prevention of sexism, racism, religious intolerance and white supremacy amongst young people. </w:t>
      </w:r>
    </w:p>
    <w:p w14:paraId="37E84189" w14:textId="77777777" w:rsidR="0071411A" w:rsidRPr="00F4013C" w:rsidRDefault="0071411A" w:rsidP="00F4013C">
      <w:pPr>
        <w:spacing w:line="480" w:lineRule="auto"/>
        <w:rPr>
          <w:rFonts w:asciiTheme="majorHAnsi" w:hAnsiTheme="majorHAnsi" w:cs="Arial"/>
          <w:sz w:val="24"/>
          <w:szCs w:val="24"/>
        </w:rPr>
      </w:pPr>
      <w:r w:rsidRPr="00F4013C">
        <w:rPr>
          <w:rFonts w:asciiTheme="majorHAnsi" w:hAnsiTheme="majorHAnsi" w:cs="Arial"/>
          <w:sz w:val="24"/>
          <w:szCs w:val="24"/>
        </w:rPr>
        <w:t>Both of these examples of policies targeted at the key groups who are victims and perpetrators of religiously and racially motivated violence ignore the issue of violence and fail to acknowledge its gendered nature. Meanwhile, mainstream debates about gendered violence almost exclusively cast it as a problem existing within ethnic or religious groups, rather than across them, therefore overlooking the relational nature of this phenomenon. Recognising that gendered violence – a growing and horrific phenomenon in the UK – is profoundly shaped by gendered identities and stereotypes, is crucial to developing strategies to help tackle it.</w:t>
      </w:r>
    </w:p>
    <w:p w14:paraId="6426F671" w14:textId="77777777" w:rsidR="0071411A" w:rsidRPr="00F4013C" w:rsidRDefault="0071411A" w:rsidP="00F4013C">
      <w:pPr>
        <w:spacing w:line="480" w:lineRule="auto"/>
        <w:rPr>
          <w:rFonts w:asciiTheme="majorHAnsi" w:hAnsiTheme="majorHAnsi" w:cs="Arial"/>
          <w:sz w:val="24"/>
          <w:szCs w:val="24"/>
        </w:rPr>
      </w:pPr>
    </w:p>
    <w:p w14:paraId="46492B87" w14:textId="77777777" w:rsidR="00DE4A46" w:rsidRPr="00F4013C" w:rsidRDefault="00DE4A46" w:rsidP="00F4013C">
      <w:pPr>
        <w:spacing w:line="480" w:lineRule="auto"/>
        <w:ind w:left="720" w:hanging="720"/>
        <w:rPr>
          <w:rFonts w:asciiTheme="majorHAnsi" w:hAnsiTheme="majorHAnsi" w:cs="Arial"/>
          <w:b/>
          <w:sz w:val="24"/>
          <w:szCs w:val="24"/>
        </w:rPr>
      </w:pPr>
      <w:r w:rsidRPr="00F4013C">
        <w:rPr>
          <w:rFonts w:asciiTheme="majorHAnsi" w:hAnsiTheme="majorHAnsi" w:cs="Arial"/>
          <w:b/>
          <w:sz w:val="24"/>
          <w:szCs w:val="24"/>
        </w:rPr>
        <w:t>References</w:t>
      </w:r>
    </w:p>
    <w:p w14:paraId="2B2B5672" w14:textId="77777777" w:rsidR="00DE4A46" w:rsidRPr="00F4013C" w:rsidRDefault="00DE4A46" w:rsidP="00F4013C">
      <w:pPr>
        <w:spacing w:line="480" w:lineRule="auto"/>
        <w:ind w:left="720" w:hanging="720"/>
        <w:rPr>
          <w:rFonts w:asciiTheme="majorHAnsi" w:hAnsiTheme="majorHAnsi" w:cs="Arial"/>
          <w:b/>
          <w:sz w:val="24"/>
          <w:szCs w:val="24"/>
        </w:rPr>
      </w:pPr>
    </w:p>
    <w:p w14:paraId="50D48B46" w14:textId="0017C69E" w:rsidR="0071411A" w:rsidRPr="00F4013C" w:rsidRDefault="0071411A" w:rsidP="00F4013C">
      <w:pPr>
        <w:spacing w:line="480" w:lineRule="auto"/>
        <w:rPr>
          <w:rFonts w:asciiTheme="majorHAnsi" w:hAnsiTheme="majorHAnsi" w:cs="Arial"/>
          <w:sz w:val="24"/>
          <w:szCs w:val="24"/>
        </w:rPr>
      </w:pPr>
      <w:r w:rsidRPr="00F4013C">
        <w:rPr>
          <w:rFonts w:asciiTheme="majorHAnsi" w:hAnsiTheme="majorHAnsi" w:cs="Arial"/>
          <w:sz w:val="24"/>
          <w:szCs w:val="24"/>
        </w:rPr>
        <w:t xml:space="preserve">Blackwood L Hopkins N and </w:t>
      </w:r>
      <w:proofErr w:type="spellStart"/>
      <w:r w:rsidRPr="00F4013C">
        <w:rPr>
          <w:rFonts w:asciiTheme="majorHAnsi" w:hAnsiTheme="majorHAnsi" w:cs="Arial"/>
          <w:sz w:val="24"/>
          <w:szCs w:val="24"/>
        </w:rPr>
        <w:t>Reicher</w:t>
      </w:r>
      <w:proofErr w:type="spellEnd"/>
      <w:r w:rsidRPr="00F4013C">
        <w:rPr>
          <w:rFonts w:asciiTheme="majorHAnsi" w:hAnsiTheme="majorHAnsi" w:cs="Arial"/>
          <w:sz w:val="24"/>
          <w:szCs w:val="24"/>
        </w:rPr>
        <w:t xml:space="preserve"> S (2013) I know who I am, but who do they think I am? </w:t>
      </w:r>
      <w:proofErr w:type="gramStart"/>
      <w:r w:rsidRPr="00F4013C">
        <w:rPr>
          <w:rFonts w:asciiTheme="majorHAnsi" w:hAnsiTheme="majorHAnsi" w:cs="Arial"/>
          <w:sz w:val="24"/>
          <w:szCs w:val="24"/>
        </w:rPr>
        <w:t>Muslim perspectives on encounters with airport authorities.</w:t>
      </w:r>
      <w:proofErr w:type="gramEnd"/>
      <w:r w:rsidRPr="00F4013C">
        <w:rPr>
          <w:rFonts w:asciiTheme="majorHAnsi" w:hAnsiTheme="majorHAnsi" w:cs="Arial"/>
          <w:sz w:val="24"/>
          <w:szCs w:val="24"/>
        </w:rPr>
        <w:t xml:space="preserve"> </w:t>
      </w:r>
      <w:r w:rsidRPr="00F4013C">
        <w:rPr>
          <w:rFonts w:asciiTheme="majorHAnsi" w:hAnsiTheme="majorHAnsi" w:cs="Arial"/>
          <w:i/>
          <w:sz w:val="24"/>
          <w:szCs w:val="24"/>
        </w:rPr>
        <w:t>Ethnic and Racial Studies</w:t>
      </w:r>
      <w:r w:rsidRPr="00F4013C">
        <w:rPr>
          <w:rFonts w:asciiTheme="majorHAnsi" w:hAnsiTheme="majorHAnsi" w:cs="Arial"/>
          <w:sz w:val="24"/>
          <w:szCs w:val="24"/>
        </w:rPr>
        <w:t xml:space="preserve"> 36(6): 1090-1108</w:t>
      </w:r>
    </w:p>
    <w:p w14:paraId="04EFEE8D" w14:textId="77777777" w:rsidR="0071411A" w:rsidRPr="00F4013C" w:rsidRDefault="0071411A" w:rsidP="00F4013C">
      <w:pPr>
        <w:spacing w:line="480" w:lineRule="auto"/>
        <w:rPr>
          <w:rFonts w:asciiTheme="majorHAnsi" w:hAnsiTheme="majorHAnsi" w:cs="Arial"/>
          <w:sz w:val="24"/>
          <w:szCs w:val="24"/>
        </w:rPr>
      </w:pPr>
      <w:proofErr w:type="spellStart"/>
      <w:r w:rsidRPr="00F4013C">
        <w:rPr>
          <w:rFonts w:asciiTheme="majorHAnsi" w:hAnsiTheme="majorHAnsi" w:cs="Arial"/>
          <w:sz w:val="24"/>
          <w:szCs w:val="24"/>
        </w:rPr>
        <w:t>Choudhury</w:t>
      </w:r>
      <w:proofErr w:type="spellEnd"/>
      <w:r w:rsidRPr="00F4013C">
        <w:rPr>
          <w:rFonts w:asciiTheme="majorHAnsi" w:hAnsiTheme="majorHAnsi" w:cs="Arial"/>
          <w:sz w:val="24"/>
          <w:szCs w:val="24"/>
        </w:rPr>
        <w:t xml:space="preserve"> T and Fenwick H (2011) </w:t>
      </w:r>
      <w:proofErr w:type="gramStart"/>
      <w:r w:rsidRPr="00F4013C">
        <w:rPr>
          <w:rFonts w:asciiTheme="majorHAnsi" w:hAnsiTheme="majorHAnsi" w:cs="Arial"/>
          <w:i/>
          <w:sz w:val="24"/>
          <w:szCs w:val="24"/>
        </w:rPr>
        <w:t>The</w:t>
      </w:r>
      <w:proofErr w:type="gramEnd"/>
      <w:r w:rsidRPr="00F4013C">
        <w:rPr>
          <w:rFonts w:asciiTheme="majorHAnsi" w:hAnsiTheme="majorHAnsi" w:cs="Arial"/>
          <w:i/>
          <w:sz w:val="24"/>
          <w:szCs w:val="24"/>
        </w:rPr>
        <w:t xml:space="preserve"> impact of counter-terrorism measures on Muslim communities. </w:t>
      </w:r>
      <w:proofErr w:type="gramStart"/>
      <w:r w:rsidRPr="00F4013C">
        <w:rPr>
          <w:rFonts w:asciiTheme="majorHAnsi" w:hAnsiTheme="majorHAnsi" w:cs="Arial"/>
          <w:sz w:val="24"/>
          <w:szCs w:val="24"/>
        </w:rPr>
        <w:t>Equality and Human Rights Commission, Manchester.</w:t>
      </w:r>
      <w:proofErr w:type="gramEnd"/>
    </w:p>
    <w:p w14:paraId="039F3CD7" w14:textId="77777777" w:rsidR="0071411A" w:rsidRPr="00F4013C" w:rsidRDefault="0071411A" w:rsidP="00F4013C">
      <w:pPr>
        <w:spacing w:line="480" w:lineRule="auto"/>
        <w:rPr>
          <w:rFonts w:asciiTheme="majorHAnsi" w:hAnsiTheme="majorHAnsi" w:cs="Arial"/>
          <w:sz w:val="24"/>
          <w:szCs w:val="24"/>
        </w:rPr>
      </w:pPr>
      <w:proofErr w:type="spellStart"/>
      <w:r w:rsidRPr="00F4013C">
        <w:rPr>
          <w:rFonts w:asciiTheme="majorHAnsi" w:hAnsiTheme="majorHAnsi" w:cs="Arial"/>
          <w:sz w:val="24"/>
          <w:szCs w:val="24"/>
        </w:rPr>
        <w:t>Copsey</w:t>
      </w:r>
      <w:proofErr w:type="spellEnd"/>
      <w:r w:rsidRPr="00F4013C">
        <w:rPr>
          <w:rFonts w:asciiTheme="majorHAnsi" w:hAnsiTheme="majorHAnsi" w:cs="Arial"/>
          <w:sz w:val="24"/>
          <w:szCs w:val="24"/>
        </w:rPr>
        <w:t xml:space="preserve"> N </w:t>
      </w:r>
      <w:proofErr w:type="spellStart"/>
      <w:r w:rsidRPr="00F4013C">
        <w:rPr>
          <w:rFonts w:asciiTheme="majorHAnsi" w:hAnsiTheme="majorHAnsi" w:cs="Arial"/>
          <w:sz w:val="24"/>
          <w:szCs w:val="24"/>
        </w:rPr>
        <w:t>Dack</w:t>
      </w:r>
      <w:proofErr w:type="spellEnd"/>
      <w:r w:rsidRPr="00F4013C">
        <w:rPr>
          <w:rFonts w:asciiTheme="majorHAnsi" w:hAnsiTheme="majorHAnsi" w:cs="Arial"/>
          <w:sz w:val="24"/>
          <w:szCs w:val="24"/>
        </w:rPr>
        <w:t xml:space="preserve"> J Littler M and Feldman M (2013)</w:t>
      </w:r>
      <w:r w:rsidRPr="00F4013C">
        <w:rPr>
          <w:rFonts w:asciiTheme="majorHAnsi" w:hAnsiTheme="majorHAnsi" w:cs="Arial"/>
          <w:i/>
          <w:sz w:val="24"/>
          <w:szCs w:val="24"/>
        </w:rPr>
        <w:t xml:space="preserve"> Anti-Muslim hate crime and the Far Right</w:t>
      </w:r>
      <w:r w:rsidRPr="00F4013C">
        <w:rPr>
          <w:rFonts w:asciiTheme="majorHAnsi" w:hAnsiTheme="majorHAnsi" w:cs="Arial"/>
          <w:sz w:val="24"/>
          <w:szCs w:val="24"/>
        </w:rPr>
        <w:t>. Centre for Fascist, Anti-Fascist and Post-Fascist Studies, Teesside University.</w:t>
      </w:r>
    </w:p>
    <w:p w14:paraId="0EEDBEA1" w14:textId="77777777" w:rsidR="0071411A" w:rsidRPr="00F4013C" w:rsidRDefault="0071411A" w:rsidP="00F4013C">
      <w:pPr>
        <w:spacing w:line="480" w:lineRule="auto"/>
        <w:rPr>
          <w:rFonts w:asciiTheme="majorHAnsi" w:hAnsiTheme="majorHAnsi" w:cs="Arial"/>
          <w:sz w:val="24"/>
          <w:szCs w:val="24"/>
        </w:rPr>
      </w:pPr>
      <w:proofErr w:type="gramStart"/>
      <w:r w:rsidRPr="00F4013C">
        <w:rPr>
          <w:rFonts w:asciiTheme="majorHAnsi" w:hAnsiTheme="majorHAnsi" w:cs="Arial"/>
          <w:sz w:val="24"/>
          <w:szCs w:val="24"/>
        </w:rPr>
        <w:lastRenderedPageBreak/>
        <w:t>Cowen D and Story B (2013) Intimacy and the everyday.</w:t>
      </w:r>
      <w:proofErr w:type="gramEnd"/>
      <w:r w:rsidRPr="00F4013C">
        <w:rPr>
          <w:rFonts w:asciiTheme="majorHAnsi" w:hAnsiTheme="majorHAnsi" w:cs="Arial"/>
          <w:sz w:val="24"/>
          <w:szCs w:val="24"/>
        </w:rPr>
        <w:t xml:space="preserve"> </w:t>
      </w:r>
      <w:proofErr w:type="gramStart"/>
      <w:r w:rsidRPr="00F4013C">
        <w:rPr>
          <w:rFonts w:asciiTheme="majorHAnsi" w:hAnsiTheme="majorHAnsi" w:cs="Arial"/>
          <w:sz w:val="24"/>
          <w:szCs w:val="24"/>
        </w:rPr>
        <w:t xml:space="preserve">In </w:t>
      </w:r>
      <w:proofErr w:type="spellStart"/>
      <w:r w:rsidRPr="00F4013C">
        <w:rPr>
          <w:rFonts w:asciiTheme="majorHAnsi" w:hAnsiTheme="majorHAnsi" w:cs="Arial"/>
          <w:sz w:val="24"/>
          <w:szCs w:val="24"/>
        </w:rPr>
        <w:t>Dodds</w:t>
      </w:r>
      <w:proofErr w:type="spellEnd"/>
      <w:r w:rsidRPr="00F4013C">
        <w:rPr>
          <w:rFonts w:asciiTheme="majorHAnsi" w:hAnsiTheme="majorHAnsi" w:cs="Arial"/>
          <w:sz w:val="24"/>
          <w:szCs w:val="24"/>
        </w:rPr>
        <w:t xml:space="preserve"> K </w:t>
      </w:r>
      <w:proofErr w:type="spellStart"/>
      <w:r w:rsidRPr="00F4013C">
        <w:rPr>
          <w:rFonts w:asciiTheme="majorHAnsi" w:hAnsiTheme="majorHAnsi" w:cs="Arial"/>
          <w:sz w:val="24"/>
          <w:szCs w:val="24"/>
        </w:rPr>
        <w:t>Kuus</w:t>
      </w:r>
      <w:proofErr w:type="spellEnd"/>
      <w:r w:rsidRPr="00F4013C">
        <w:rPr>
          <w:rFonts w:asciiTheme="majorHAnsi" w:hAnsiTheme="majorHAnsi" w:cs="Arial"/>
          <w:sz w:val="24"/>
          <w:szCs w:val="24"/>
        </w:rPr>
        <w:t xml:space="preserve"> M and Sharp J (</w:t>
      </w:r>
      <w:proofErr w:type="spellStart"/>
      <w:r w:rsidRPr="00F4013C">
        <w:rPr>
          <w:rFonts w:asciiTheme="majorHAnsi" w:hAnsiTheme="majorHAnsi" w:cs="Arial"/>
          <w:sz w:val="24"/>
          <w:szCs w:val="24"/>
        </w:rPr>
        <w:t>eds</w:t>
      </w:r>
      <w:proofErr w:type="spellEnd"/>
      <w:r w:rsidRPr="00F4013C">
        <w:rPr>
          <w:rFonts w:asciiTheme="majorHAnsi" w:hAnsiTheme="majorHAnsi" w:cs="Arial"/>
          <w:sz w:val="24"/>
          <w:szCs w:val="24"/>
        </w:rPr>
        <w:t xml:space="preserve">) </w:t>
      </w:r>
      <w:r w:rsidRPr="00F4013C">
        <w:rPr>
          <w:rFonts w:asciiTheme="majorHAnsi" w:hAnsiTheme="majorHAnsi" w:cs="Arial"/>
          <w:i/>
          <w:sz w:val="24"/>
          <w:szCs w:val="24"/>
        </w:rPr>
        <w:t xml:space="preserve">The </w:t>
      </w:r>
      <w:proofErr w:type="spellStart"/>
      <w:r w:rsidRPr="00F4013C">
        <w:rPr>
          <w:rFonts w:asciiTheme="majorHAnsi" w:hAnsiTheme="majorHAnsi" w:cs="Arial"/>
          <w:i/>
          <w:sz w:val="24"/>
          <w:szCs w:val="24"/>
        </w:rPr>
        <w:t>Ashgate</w:t>
      </w:r>
      <w:proofErr w:type="spellEnd"/>
      <w:r w:rsidRPr="00F4013C">
        <w:rPr>
          <w:rFonts w:asciiTheme="majorHAnsi" w:hAnsiTheme="majorHAnsi" w:cs="Arial"/>
          <w:i/>
          <w:sz w:val="24"/>
          <w:szCs w:val="24"/>
        </w:rPr>
        <w:t xml:space="preserve"> Research Companion to Critical Geopolitics</w:t>
      </w:r>
      <w:r w:rsidRPr="00F4013C">
        <w:rPr>
          <w:rFonts w:asciiTheme="majorHAnsi" w:hAnsiTheme="majorHAnsi" w:cs="Arial"/>
          <w:sz w:val="24"/>
          <w:szCs w:val="24"/>
        </w:rPr>
        <w:t>.</w:t>
      </w:r>
      <w:proofErr w:type="gramEnd"/>
      <w:r w:rsidRPr="00F4013C">
        <w:rPr>
          <w:rFonts w:asciiTheme="majorHAnsi" w:hAnsiTheme="majorHAnsi" w:cs="Arial"/>
          <w:sz w:val="24"/>
          <w:szCs w:val="24"/>
        </w:rPr>
        <w:t xml:space="preserve"> Farnham: </w:t>
      </w:r>
      <w:proofErr w:type="spellStart"/>
      <w:r w:rsidRPr="00F4013C">
        <w:rPr>
          <w:rFonts w:asciiTheme="majorHAnsi" w:hAnsiTheme="majorHAnsi" w:cs="Arial"/>
          <w:sz w:val="24"/>
          <w:szCs w:val="24"/>
        </w:rPr>
        <w:t>Ashgate</w:t>
      </w:r>
      <w:proofErr w:type="spellEnd"/>
      <w:r w:rsidRPr="00F4013C">
        <w:rPr>
          <w:rFonts w:asciiTheme="majorHAnsi" w:hAnsiTheme="majorHAnsi" w:cs="Arial"/>
          <w:sz w:val="24"/>
          <w:szCs w:val="24"/>
        </w:rPr>
        <w:t>, pp. 341-358.</w:t>
      </w:r>
    </w:p>
    <w:p w14:paraId="51B6D4A5" w14:textId="77777777" w:rsidR="0071411A" w:rsidRPr="00F4013C" w:rsidRDefault="0071411A" w:rsidP="00F4013C">
      <w:pPr>
        <w:spacing w:line="480" w:lineRule="auto"/>
        <w:rPr>
          <w:rFonts w:asciiTheme="majorHAnsi" w:hAnsiTheme="majorHAnsi" w:cs="Arial"/>
          <w:sz w:val="24"/>
          <w:szCs w:val="24"/>
        </w:rPr>
      </w:pPr>
      <w:r w:rsidRPr="00F4013C">
        <w:rPr>
          <w:rFonts w:asciiTheme="majorHAnsi" w:eastAsia="Times New Roman" w:hAnsiTheme="majorHAnsi" w:cs="Arial"/>
          <w:color w:val="000000"/>
          <w:sz w:val="24"/>
          <w:szCs w:val="24"/>
          <w:lang w:val="en"/>
        </w:rPr>
        <w:t xml:space="preserve">Hopkins P (2011) </w:t>
      </w:r>
      <w:hyperlink r:id="rId10" w:tooltip="view complete information on this publication" w:history="1">
        <w:r w:rsidRPr="00F4013C">
          <w:rPr>
            <w:rFonts w:asciiTheme="majorHAnsi" w:eastAsia="Times New Roman" w:hAnsiTheme="majorHAnsi" w:cs="Arial"/>
            <w:color w:val="000000" w:themeColor="text1"/>
            <w:sz w:val="24"/>
            <w:szCs w:val="24"/>
            <w:lang w:val="en"/>
          </w:rPr>
          <w:t>Towards critical geographies of the university campus: understanding the contested experiences of Muslim students</w:t>
        </w:r>
      </w:hyperlink>
      <w:r w:rsidRPr="00F4013C">
        <w:rPr>
          <w:rFonts w:asciiTheme="majorHAnsi" w:eastAsia="Times New Roman" w:hAnsiTheme="majorHAnsi" w:cs="Arial"/>
          <w:color w:val="000000"/>
          <w:sz w:val="24"/>
          <w:szCs w:val="24"/>
          <w:lang w:val="en"/>
        </w:rPr>
        <w:t xml:space="preserve">. </w:t>
      </w:r>
      <w:r w:rsidRPr="00F4013C">
        <w:rPr>
          <w:rFonts w:asciiTheme="majorHAnsi" w:eastAsia="Times New Roman" w:hAnsiTheme="majorHAnsi" w:cs="Arial"/>
          <w:i/>
          <w:iCs/>
          <w:color w:val="000000"/>
          <w:sz w:val="24"/>
          <w:szCs w:val="24"/>
          <w:lang w:val="en"/>
        </w:rPr>
        <w:t>Transactions of the Institute of British Geographers</w:t>
      </w:r>
      <w:r w:rsidRPr="00F4013C">
        <w:rPr>
          <w:rFonts w:asciiTheme="majorHAnsi" w:eastAsia="Times New Roman" w:hAnsiTheme="majorHAnsi" w:cs="Arial"/>
          <w:color w:val="000000"/>
          <w:sz w:val="24"/>
          <w:szCs w:val="24"/>
          <w:lang w:val="en"/>
        </w:rPr>
        <w:t xml:space="preserve"> </w:t>
      </w:r>
      <w:r w:rsidRPr="00F4013C">
        <w:rPr>
          <w:rFonts w:asciiTheme="majorHAnsi" w:eastAsia="Times New Roman" w:hAnsiTheme="majorHAnsi" w:cs="Arial"/>
          <w:bCs/>
          <w:color w:val="000000"/>
          <w:sz w:val="24"/>
          <w:szCs w:val="24"/>
          <w:lang w:val="en"/>
        </w:rPr>
        <w:t>36</w:t>
      </w:r>
      <w:r w:rsidRPr="00F4013C">
        <w:rPr>
          <w:rFonts w:asciiTheme="majorHAnsi" w:eastAsia="Times New Roman" w:hAnsiTheme="majorHAnsi" w:cs="Arial"/>
          <w:color w:val="000000"/>
          <w:sz w:val="24"/>
          <w:szCs w:val="24"/>
          <w:lang w:val="en"/>
        </w:rPr>
        <w:t>(1): 157-169.</w:t>
      </w:r>
    </w:p>
    <w:p w14:paraId="6E089395" w14:textId="77777777" w:rsidR="0071411A" w:rsidRPr="00F4013C" w:rsidRDefault="0071411A" w:rsidP="00F4013C">
      <w:pPr>
        <w:spacing w:line="480" w:lineRule="auto"/>
        <w:rPr>
          <w:rFonts w:asciiTheme="majorHAnsi" w:hAnsiTheme="majorHAnsi" w:cs="Arial"/>
          <w:sz w:val="24"/>
          <w:szCs w:val="24"/>
        </w:rPr>
      </w:pPr>
      <w:r w:rsidRPr="00F4013C">
        <w:rPr>
          <w:rFonts w:asciiTheme="majorHAnsi" w:hAnsiTheme="majorHAnsi" w:cs="Arial"/>
          <w:sz w:val="24"/>
          <w:szCs w:val="24"/>
        </w:rPr>
        <w:t xml:space="preserve">Lambert R and </w:t>
      </w:r>
      <w:proofErr w:type="spellStart"/>
      <w:r w:rsidRPr="00F4013C">
        <w:rPr>
          <w:rFonts w:asciiTheme="majorHAnsi" w:hAnsiTheme="majorHAnsi" w:cs="Arial"/>
          <w:sz w:val="24"/>
          <w:szCs w:val="24"/>
        </w:rPr>
        <w:t>Githens</w:t>
      </w:r>
      <w:proofErr w:type="spellEnd"/>
      <w:r w:rsidRPr="00F4013C">
        <w:rPr>
          <w:rFonts w:asciiTheme="majorHAnsi" w:hAnsiTheme="majorHAnsi" w:cs="Arial"/>
          <w:sz w:val="24"/>
          <w:szCs w:val="24"/>
        </w:rPr>
        <w:t xml:space="preserve">-Mazer J (2010) </w:t>
      </w:r>
      <w:proofErr w:type="spellStart"/>
      <w:r w:rsidRPr="00F4013C">
        <w:rPr>
          <w:rFonts w:asciiTheme="majorHAnsi" w:hAnsiTheme="majorHAnsi" w:cs="Arial"/>
          <w:i/>
          <w:sz w:val="24"/>
          <w:szCs w:val="24"/>
        </w:rPr>
        <w:t>Islamophobia</w:t>
      </w:r>
      <w:proofErr w:type="spellEnd"/>
      <w:r w:rsidRPr="00F4013C">
        <w:rPr>
          <w:rFonts w:asciiTheme="majorHAnsi" w:hAnsiTheme="majorHAnsi" w:cs="Arial"/>
          <w:i/>
          <w:sz w:val="24"/>
          <w:szCs w:val="24"/>
        </w:rPr>
        <w:t xml:space="preserve"> and Anti-Muslim hate crime: UK case studies 2010. </w:t>
      </w:r>
      <w:proofErr w:type="gramStart"/>
      <w:r w:rsidRPr="00F4013C">
        <w:rPr>
          <w:rFonts w:asciiTheme="majorHAnsi" w:hAnsiTheme="majorHAnsi" w:cs="Arial"/>
          <w:sz w:val="24"/>
          <w:szCs w:val="24"/>
        </w:rPr>
        <w:t>European Muslim Research Centre, University of Exeter.</w:t>
      </w:r>
      <w:proofErr w:type="gramEnd"/>
    </w:p>
    <w:p w14:paraId="5A12AC92" w14:textId="77777777" w:rsidR="0071411A" w:rsidRPr="00F4013C" w:rsidRDefault="0071411A" w:rsidP="00F4013C">
      <w:pPr>
        <w:spacing w:line="480" w:lineRule="auto"/>
        <w:rPr>
          <w:rFonts w:asciiTheme="majorHAnsi" w:hAnsiTheme="majorHAnsi" w:cs="Arial"/>
          <w:sz w:val="24"/>
          <w:szCs w:val="24"/>
        </w:rPr>
      </w:pPr>
      <w:proofErr w:type="spellStart"/>
      <w:r w:rsidRPr="00F4013C">
        <w:rPr>
          <w:rFonts w:asciiTheme="majorHAnsi" w:hAnsiTheme="majorHAnsi" w:cs="Arial"/>
          <w:sz w:val="24"/>
          <w:szCs w:val="24"/>
        </w:rPr>
        <w:t>Longhurst</w:t>
      </w:r>
      <w:proofErr w:type="spellEnd"/>
      <w:r w:rsidRPr="00F4013C">
        <w:rPr>
          <w:rFonts w:asciiTheme="majorHAnsi" w:hAnsiTheme="majorHAnsi" w:cs="Arial"/>
          <w:sz w:val="24"/>
          <w:szCs w:val="24"/>
        </w:rPr>
        <w:t xml:space="preserve"> R and Johnston L (2014) Bodies, gender, place and culture: 21 years on. </w:t>
      </w:r>
      <w:r w:rsidRPr="00F4013C">
        <w:rPr>
          <w:rFonts w:asciiTheme="majorHAnsi" w:hAnsiTheme="majorHAnsi" w:cs="Arial"/>
          <w:i/>
          <w:sz w:val="24"/>
          <w:szCs w:val="24"/>
        </w:rPr>
        <w:t>Gender, Place and Culture</w:t>
      </w:r>
      <w:r w:rsidRPr="00F4013C">
        <w:rPr>
          <w:rFonts w:asciiTheme="majorHAnsi" w:hAnsiTheme="majorHAnsi" w:cs="Arial"/>
          <w:sz w:val="24"/>
          <w:szCs w:val="24"/>
        </w:rPr>
        <w:t xml:space="preserve"> 21(3): 267-278</w:t>
      </w:r>
    </w:p>
    <w:p w14:paraId="1973372E" w14:textId="77777777" w:rsidR="0071411A" w:rsidRPr="00F4013C" w:rsidRDefault="0071411A" w:rsidP="00F4013C">
      <w:pPr>
        <w:spacing w:line="480" w:lineRule="auto"/>
        <w:rPr>
          <w:rFonts w:asciiTheme="majorHAnsi" w:hAnsiTheme="majorHAnsi" w:cs="Arial"/>
          <w:sz w:val="24"/>
          <w:szCs w:val="24"/>
        </w:rPr>
      </w:pPr>
      <w:r w:rsidRPr="00F4013C">
        <w:rPr>
          <w:rFonts w:asciiTheme="majorHAnsi" w:hAnsiTheme="majorHAnsi" w:cs="Arial"/>
          <w:sz w:val="24"/>
          <w:szCs w:val="24"/>
        </w:rPr>
        <w:t xml:space="preserve">MacDonald, R (2011) Youth transitions, unemployment and underemployment: Plus </w:t>
      </w:r>
      <w:proofErr w:type="spellStart"/>
      <w:r w:rsidRPr="00F4013C">
        <w:rPr>
          <w:rFonts w:asciiTheme="majorHAnsi" w:hAnsiTheme="majorHAnsi" w:cs="Arial"/>
          <w:sz w:val="24"/>
          <w:szCs w:val="24"/>
        </w:rPr>
        <w:t>ca</w:t>
      </w:r>
      <w:proofErr w:type="spellEnd"/>
      <w:r w:rsidRPr="00F4013C">
        <w:rPr>
          <w:rFonts w:asciiTheme="majorHAnsi" w:hAnsiTheme="majorHAnsi" w:cs="Arial"/>
          <w:sz w:val="24"/>
          <w:szCs w:val="24"/>
        </w:rPr>
        <w:t xml:space="preserve"> change, plus </w:t>
      </w:r>
      <w:proofErr w:type="spellStart"/>
      <w:r w:rsidRPr="00F4013C">
        <w:rPr>
          <w:rFonts w:asciiTheme="majorHAnsi" w:hAnsiTheme="majorHAnsi" w:cs="Arial"/>
          <w:sz w:val="24"/>
          <w:szCs w:val="24"/>
        </w:rPr>
        <w:t>c’est</w:t>
      </w:r>
      <w:proofErr w:type="spellEnd"/>
      <w:r w:rsidRPr="00F4013C">
        <w:rPr>
          <w:rFonts w:asciiTheme="majorHAnsi" w:hAnsiTheme="majorHAnsi" w:cs="Arial"/>
          <w:sz w:val="24"/>
          <w:szCs w:val="24"/>
        </w:rPr>
        <w:t xml:space="preserve"> la meme chose? </w:t>
      </w:r>
      <w:r w:rsidRPr="00F4013C">
        <w:rPr>
          <w:rFonts w:asciiTheme="majorHAnsi" w:hAnsiTheme="majorHAnsi" w:cs="Arial"/>
          <w:i/>
          <w:sz w:val="24"/>
          <w:szCs w:val="24"/>
        </w:rPr>
        <w:t>Journal of Sociology</w:t>
      </w:r>
      <w:r w:rsidRPr="00F4013C">
        <w:rPr>
          <w:rFonts w:asciiTheme="majorHAnsi" w:hAnsiTheme="majorHAnsi" w:cs="Arial"/>
          <w:sz w:val="24"/>
          <w:szCs w:val="24"/>
        </w:rPr>
        <w:t xml:space="preserve"> 47(4): 427-444.</w:t>
      </w:r>
    </w:p>
    <w:p w14:paraId="7418A6E4" w14:textId="77777777" w:rsidR="0071411A" w:rsidRPr="00F4013C" w:rsidRDefault="0071411A" w:rsidP="00F4013C">
      <w:pPr>
        <w:spacing w:line="480" w:lineRule="auto"/>
        <w:rPr>
          <w:rFonts w:asciiTheme="majorHAnsi" w:hAnsiTheme="majorHAnsi" w:cs="Arial"/>
          <w:sz w:val="24"/>
          <w:szCs w:val="24"/>
        </w:rPr>
      </w:pPr>
      <w:r w:rsidRPr="00F4013C">
        <w:rPr>
          <w:rFonts w:asciiTheme="majorHAnsi" w:hAnsiTheme="majorHAnsi" w:cs="Arial"/>
          <w:sz w:val="24"/>
          <w:szCs w:val="24"/>
        </w:rPr>
        <w:t xml:space="preserve">Millings M (2013) Policing British Asian identities: the enduring role of the police in young British Asian men’s situated negotiation of identity and belonging. </w:t>
      </w:r>
      <w:r w:rsidRPr="00F4013C">
        <w:rPr>
          <w:rFonts w:asciiTheme="majorHAnsi" w:hAnsiTheme="majorHAnsi" w:cs="Arial"/>
          <w:i/>
          <w:sz w:val="24"/>
          <w:szCs w:val="24"/>
        </w:rPr>
        <w:t>British Journal of Criminology</w:t>
      </w:r>
      <w:r w:rsidRPr="00F4013C">
        <w:rPr>
          <w:rFonts w:asciiTheme="majorHAnsi" w:hAnsiTheme="majorHAnsi" w:cs="Arial"/>
          <w:sz w:val="24"/>
          <w:szCs w:val="24"/>
        </w:rPr>
        <w:t xml:space="preserve"> 53: 1075-1092.</w:t>
      </w:r>
    </w:p>
    <w:p w14:paraId="70C76818" w14:textId="77777777" w:rsidR="0071411A" w:rsidRPr="00F4013C" w:rsidRDefault="0071411A" w:rsidP="00F4013C">
      <w:pPr>
        <w:spacing w:line="480" w:lineRule="auto"/>
        <w:rPr>
          <w:rFonts w:asciiTheme="majorHAnsi" w:hAnsiTheme="majorHAnsi" w:cs="Arial"/>
          <w:sz w:val="24"/>
          <w:szCs w:val="24"/>
        </w:rPr>
      </w:pPr>
      <w:proofErr w:type="spellStart"/>
      <w:r w:rsidRPr="00F4013C">
        <w:rPr>
          <w:rFonts w:asciiTheme="majorHAnsi" w:hAnsiTheme="majorHAnsi" w:cs="Arial"/>
          <w:sz w:val="24"/>
          <w:szCs w:val="24"/>
        </w:rPr>
        <w:t>Spalek</w:t>
      </w:r>
      <w:proofErr w:type="spellEnd"/>
      <w:r w:rsidRPr="00F4013C">
        <w:rPr>
          <w:rFonts w:asciiTheme="majorHAnsi" w:hAnsiTheme="majorHAnsi" w:cs="Arial"/>
          <w:sz w:val="24"/>
          <w:szCs w:val="24"/>
        </w:rPr>
        <w:t xml:space="preserve"> B and McDonald L Z (2009) Terror crime prevention: constructing Muslim practices and beliefs as ‘anti-social’ and ‘extreme’ through CONTEST 2. </w:t>
      </w:r>
      <w:r w:rsidRPr="00F4013C">
        <w:rPr>
          <w:rFonts w:asciiTheme="majorHAnsi" w:hAnsiTheme="majorHAnsi" w:cs="Arial"/>
          <w:i/>
          <w:sz w:val="24"/>
          <w:szCs w:val="24"/>
        </w:rPr>
        <w:t>Social Policy and Society</w:t>
      </w:r>
      <w:r w:rsidRPr="00F4013C">
        <w:rPr>
          <w:rFonts w:asciiTheme="majorHAnsi" w:hAnsiTheme="majorHAnsi" w:cs="Arial"/>
          <w:sz w:val="24"/>
          <w:szCs w:val="24"/>
        </w:rPr>
        <w:t xml:space="preserve"> 9(1): 123-132.</w:t>
      </w:r>
    </w:p>
    <w:p w14:paraId="7174EEED" w14:textId="57478879" w:rsidR="0071411A" w:rsidRPr="00F4013C" w:rsidRDefault="0071411A" w:rsidP="00F4013C">
      <w:pPr>
        <w:spacing w:line="480" w:lineRule="auto"/>
        <w:rPr>
          <w:rFonts w:asciiTheme="majorHAnsi" w:hAnsiTheme="majorHAnsi" w:cs="Arial"/>
          <w:sz w:val="24"/>
          <w:szCs w:val="24"/>
        </w:rPr>
      </w:pPr>
      <w:r w:rsidRPr="00F4013C">
        <w:rPr>
          <w:rFonts w:asciiTheme="majorHAnsi" w:hAnsiTheme="majorHAnsi" w:cs="Arial"/>
          <w:sz w:val="24"/>
          <w:szCs w:val="24"/>
        </w:rPr>
        <w:t xml:space="preserve">Treadmill J and Garland J (2011) Masculinity, marginalization and violence: a case study of the English Defence League. </w:t>
      </w:r>
      <w:r w:rsidRPr="00F4013C">
        <w:rPr>
          <w:rFonts w:asciiTheme="majorHAnsi" w:hAnsiTheme="majorHAnsi" w:cs="Arial"/>
          <w:i/>
          <w:sz w:val="24"/>
          <w:szCs w:val="24"/>
        </w:rPr>
        <w:t xml:space="preserve">British Journal of Criminology </w:t>
      </w:r>
      <w:r w:rsidRPr="00F4013C">
        <w:rPr>
          <w:rFonts w:asciiTheme="majorHAnsi" w:hAnsiTheme="majorHAnsi" w:cs="Arial"/>
          <w:sz w:val="24"/>
          <w:szCs w:val="24"/>
        </w:rPr>
        <w:t>51: 621-634</w:t>
      </w:r>
    </w:p>
    <w:p w14:paraId="61E2CEF1" w14:textId="77777777" w:rsidR="0071411A" w:rsidRPr="00F4013C" w:rsidRDefault="0071411A" w:rsidP="00F4013C">
      <w:pPr>
        <w:spacing w:line="480" w:lineRule="auto"/>
        <w:rPr>
          <w:rFonts w:asciiTheme="majorHAnsi" w:hAnsiTheme="majorHAnsi"/>
          <w:sz w:val="24"/>
          <w:szCs w:val="24"/>
          <w:lang w:val="en-US"/>
        </w:rPr>
      </w:pPr>
    </w:p>
    <w:p w14:paraId="1E7F7EC8" w14:textId="77777777" w:rsidR="007971D4" w:rsidRPr="00F4013C" w:rsidRDefault="007971D4" w:rsidP="00F4013C">
      <w:pPr>
        <w:spacing w:line="480" w:lineRule="auto"/>
        <w:rPr>
          <w:rFonts w:asciiTheme="majorHAnsi" w:hAnsiTheme="majorHAnsi"/>
          <w:sz w:val="24"/>
          <w:szCs w:val="24"/>
        </w:rPr>
      </w:pPr>
    </w:p>
    <w:sectPr w:rsidR="007971D4" w:rsidRPr="00F4013C" w:rsidSect="00C329AC">
      <w:footerReference w:type="even"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E91213" w14:textId="77777777" w:rsidR="00AB1187" w:rsidRDefault="00AB1187" w:rsidP="00322D9B">
      <w:pPr>
        <w:spacing w:after="0" w:line="240" w:lineRule="auto"/>
      </w:pPr>
      <w:r>
        <w:separator/>
      </w:r>
    </w:p>
  </w:endnote>
  <w:endnote w:type="continuationSeparator" w:id="0">
    <w:p w14:paraId="2C69E9CD" w14:textId="77777777" w:rsidR="00AB1187" w:rsidRDefault="00AB1187" w:rsidP="00322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font664">
    <w:altName w:val="Cambria"/>
    <w:panose1 w:val="00000000000000000000"/>
    <w:charset w:val="4D"/>
    <w:family w:val="auto"/>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dobe Hebrew">
    <w:panose1 w:val="02040503050201020203"/>
    <w:charset w:val="00"/>
    <w:family w:val="auto"/>
    <w:pitch w:val="variable"/>
    <w:sig w:usb0="8000086F" w:usb1="4000204A" w:usb2="00000000" w:usb3="00000000" w:csb0="00000021" w:csb1="00000000"/>
  </w:font>
  <w:font w:name="HelveticaNeue-Light">
    <w:altName w:val="Helvetica Neue Light"/>
    <w:panose1 w:val="00000000000000000000"/>
    <w:charset w:val="4D"/>
    <w:family w:val="swiss"/>
    <w:notTrueType/>
    <w:pitch w:val="default"/>
    <w:sig w:usb0="00000003" w:usb1="00000000" w:usb2="00000000" w:usb3="00000000" w:csb0="00000001" w:csb1="00000000"/>
  </w:font>
  <w:font w:name="TrebuchetMS">
    <w:altName w:val="Trebuchet MS"/>
    <w:panose1 w:val="00000000000000000000"/>
    <w:charset w:val="4D"/>
    <w:family w:val="modern"/>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93FE8" w14:textId="77777777" w:rsidR="00AB1187" w:rsidRDefault="00AB1187" w:rsidP="00AE5C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6298B6" w14:textId="77777777" w:rsidR="00AB1187" w:rsidRDefault="00AB1187" w:rsidP="00322D9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1CA4C" w14:textId="77777777" w:rsidR="00AB1187" w:rsidRPr="00322D9B" w:rsidRDefault="00AB1187" w:rsidP="00AE5CC7">
    <w:pPr>
      <w:pStyle w:val="Footer"/>
      <w:framePr w:wrap="around" w:vAnchor="text" w:hAnchor="margin" w:xAlign="right" w:y="1"/>
      <w:rPr>
        <w:rStyle w:val="PageNumber"/>
        <w:rFonts w:asciiTheme="majorHAnsi" w:hAnsiTheme="majorHAnsi"/>
        <w:sz w:val="24"/>
        <w:szCs w:val="24"/>
      </w:rPr>
    </w:pPr>
    <w:r w:rsidRPr="00322D9B">
      <w:rPr>
        <w:rStyle w:val="PageNumber"/>
        <w:rFonts w:asciiTheme="majorHAnsi" w:hAnsiTheme="majorHAnsi"/>
        <w:sz w:val="24"/>
        <w:szCs w:val="24"/>
      </w:rPr>
      <w:fldChar w:fldCharType="begin"/>
    </w:r>
    <w:r w:rsidRPr="00322D9B">
      <w:rPr>
        <w:rStyle w:val="PageNumber"/>
        <w:rFonts w:asciiTheme="majorHAnsi" w:hAnsiTheme="majorHAnsi"/>
        <w:sz w:val="24"/>
        <w:szCs w:val="24"/>
      </w:rPr>
      <w:instrText xml:space="preserve">PAGE  </w:instrText>
    </w:r>
    <w:r w:rsidRPr="00322D9B">
      <w:rPr>
        <w:rStyle w:val="PageNumber"/>
        <w:rFonts w:asciiTheme="majorHAnsi" w:hAnsiTheme="majorHAnsi"/>
        <w:sz w:val="24"/>
        <w:szCs w:val="24"/>
      </w:rPr>
      <w:fldChar w:fldCharType="separate"/>
    </w:r>
    <w:r w:rsidR="00B026EF">
      <w:rPr>
        <w:rStyle w:val="PageNumber"/>
        <w:rFonts w:asciiTheme="majorHAnsi" w:hAnsiTheme="majorHAnsi"/>
        <w:noProof/>
        <w:sz w:val="24"/>
        <w:szCs w:val="24"/>
      </w:rPr>
      <w:t>8</w:t>
    </w:r>
    <w:r w:rsidRPr="00322D9B">
      <w:rPr>
        <w:rStyle w:val="PageNumber"/>
        <w:rFonts w:asciiTheme="majorHAnsi" w:hAnsiTheme="majorHAnsi"/>
        <w:sz w:val="24"/>
        <w:szCs w:val="24"/>
      </w:rPr>
      <w:fldChar w:fldCharType="end"/>
    </w:r>
  </w:p>
  <w:p w14:paraId="681AB655" w14:textId="77777777" w:rsidR="00AB1187" w:rsidRDefault="00AB1187" w:rsidP="00322D9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2DCFCC" w14:textId="77777777" w:rsidR="00AB1187" w:rsidRDefault="00AB1187" w:rsidP="00322D9B">
      <w:pPr>
        <w:spacing w:after="0" w:line="240" w:lineRule="auto"/>
      </w:pPr>
      <w:r>
        <w:separator/>
      </w:r>
    </w:p>
  </w:footnote>
  <w:footnote w:type="continuationSeparator" w:id="0">
    <w:p w14:paraId="397CDD77" w14:textId="77777777" w:rsidR="00AB1187" w:rsidRDefault="00AB1187" w:rsidP="00322D9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ED5275C"/>
    <w:multiLevelType w:val="hybridMultilevel"/>
    <w:tmpl w:val="9476F5EA"/>
    <w:lvl w:ilvl="0" w:tplc="E82EA9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8815258"/>
    <w:multiLevelType w:val="hybridMultilevel"/>
    <w:tmpl w:val="6F7AFB52"/>
    <w:lvl w:ilvl="0" w:tplc="7EECBA74">
      <w:start w:val="1"/>
      <w:numFmt w:val="decimal"/>
      <w:lvlText w:val="%1."/>
      <w:lvlJc w:val="left"/>
      <w:pPr>
        <w:ind w:left="720" w:hanging="360"/>
      </w:pPr>
      <w:rPr>
        <w:rFonts w:eastAsia="Times New Roman" w:cs="Tahom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03F"/>
    <w:rsid w:val="0000571E"/>
    <w:rsid w:val="00006754"/>
    <w:rsid w:val="0001321B"/>
    <w:rsid w:val="00014F4D"/>
    <w:rsid w:val="00015610"/>
    <w:rsid w:val="00017FA6"/>
    <w:rsid w:val="00024F33"/>
    <w:rsid w:val="0002708F"/>
    <w:rsid w:val="00027980"/>
    <w:rsid w:val="00030310"/>
    <w:rsid w:val="000318A2"/>
    <w:rsid w:val="000332EE"/>
    <w:rsid w:val="00036A0D"/>
    <w:rsid w:val="000533AF"/>
    <w:rsid w:val="0005421F"/>
    <w:rsid w:val="00054B06"/>
    <w:rsid w:val="0005734E"/>
    <w:rsid w:val="000613A8"/>
    <w:rsid w:val="0006312B"/>
    <w:rsid w:val="00065FBB"/>
    <w:rsid w:val="00066257"/>
    <w:rsid w:val="00067B0D"/>
    <w:rsid w:val="00073A7C"/>
    <w:rsid w:val="00081C49"/>
    <w:rsid w:val="000839C6"/>
    <w:rsid w:val="0008623A"/>
    <w:rsid w:val="00086A1E"/>
    <w:rsid w:val="000878B0"/>
    <w:rsid w:val="00090621"/>
    <w:rsid w:val="000A2670"/>
    <w:rsid w:val="000A758F"/>
    <w:rsid w:val="000B29E1"/>
    <w:rsid w:val="000B2A6E"/>
    <w:rsid w:val="000B4365"/>
    <w:rsid w:val="000B6411"/>
    <w:rsid w:val="000C09AA"/>
    <w:rsid w:val="000C7BF7"/>
    <w:rsid w:val="000D10E2"/>
    <w:rsid w:val="000D1628"/>
    <w:rsid w:val="000D6F95"/>
    <w:rsid w:val="000F61DA"/>
    <w:rsid w:val="00101A63"/>
    <w:rsid w:val="001023C9"/>
    <w:rsid w:val="00102FF6"/>
    <w:rsid w:val="001109C0"/>
    <w:rsid w:val="001159CE"/>
    <w:rsid w:val="001225B6"/>
    <w:rsid w:val="00137465"/>
    <w:rsid w:val="001454FA"/>
    <w:rsid w:val="00151EE9"/>
    <w:rsid w:val="00153117"/>
    <w:rsid w:val="00153678"/>
    <w:rsid w:val="0015657B"/>
    <w:rsid w:val="00161EB1"/>
    <w:rsid w:val="001622CF"/>
    <w:rsid w:val="00162406"/>
    <w:rsid w:val="001645DC"/>
    <w:rsid w:val="00174721"/>
    <w:rsid w:val="00175325"/>
    <w:rsid w:val="00175CEB"/>
    <w:rsid w:val="001772D3"/>
    <w:rsid w:val="00181824"/>
    <w:rsid w:val="00182A38"/>
    <w:rsid w:val="001838B8"/>
    <w:rsid w:val="00186E34"/>
    <w:rsid w:val="00192B0C"/>
    <w:rsid w:val="001A3C07"/>
    <w:rsid w:val="001A4625"/>
    <w:rsid w:val="001A67E5"/>
    <w:rsid w:val="001A6F72"/>
    <w:rsid w:val="001C1EE4"/>
    <w:rsid w:val="001C344A"/>
    <w:rsid w:val="001C4CD6"/>
    <w:rsid w:val="001C53EF"/>
    <w:rsid w:val="001C675C"/>
    <w:rsid w:val="001D3EFE"/>
    <w:rsid w:val="001E0E36"/>
    <w:rsid w:val="001E11C3"/>
    <w:rsid w:val="00203806"/>
    <w:rsid w:val="002043FE"/>
    <w:rsid w:val="00212178"/>
    <w:rsid w:val="0021257E"/>
    <w:rsid w:val="00220B8B"/>
    <w:rsid w:val="00220C17"/>
    <w:rsid w:val="002337D2"/>
    <w:rsid w:val="00242815"/>
    <w:rsid w:val="002547AA"/>
    <w:rsid w:val="00265931"/>
    <w:rsid w:val="0026746E"/>
    <w:rsid w:val="00273C17"/>
    <w:rsid w:val="002763B7"/>
    <w:rsid w:val="002876D5"/>
    <w:rsid w:val="00296EF3"/>
    <w:rsid w:val="002A31AA"/>
    <w:rsid w:val="002A5459"/>
    <w:rsid w:val="002C02C5"/>
    <w:rsid w:val="002D27D2"/>
    <w:rsid w:val="002D47A2"/>
    <w:rsid w:val="002D4E22"/>
    <w:rsid w:val="002F1047"/>
    <w:rsid w:val="002F2B8A"/>
    <w:rsid w:val="0030397B"/>
    <w:rsid w:val="003046C5"/>
    <w:rsid w:val="00304D05"/>
    <w:rsid w:val="00310DD6"/>
    <w:rsid w:val="00311C47"/>
    <w:rsid w:val="00316740"/>
    <w:rsid w:val="00316F48"/>
    <w:rsid w:val="003176AF"/>
    <w:rsid w:val="003204BE"/>
    <w:rsid w:val="00322D9B"/>
    <w:rsid w:val="00323684"/>
    <w:rsid w:val="00323F50"/>
    <w:rsid w:val="00327A5A"/>
    <w:rsid w:val="00327CF6"/>
    <w:rsid w:val="00330F05"/>
    <w:rsid w:val="003326BA"/>
    <w:rsid w:val="0033423E"/>
    <w:rsid w:val="00334F04"/>
    <w:rsid w:val="0033556B"/>
    <w:rsid w:val="00341BD5"/>
    <w:rsid w:val="00351A1F"/>
    <w:rsid w:val="00355E86"/>
    <w:rsid w:val="003564E5"/>
    <w:rsid w:val="00357794"/>
    <w:rsid w:val="00365495"/>
    <w:rsid w:val="00370547"/>
    <w:rsid w:val="00371B20"/>
    <w:rsid w:val="00371D25"/>
    <w:rsid w:val="00377748"/>
    <w:rsid w:val="003813BD"/>
    <w:rsid w:val="003845F8"/>
    <w:rsid w:val="00391C9E"/>
    <w:rsid w:val="00392F47"/>
    <w:rsid w:val="003948C2"/>
    <w:rsid w:val="0039690F"/>
    <w:rsid w:val="003A0921"/>
    <w:rsid w:val="003A5C99"/>
    <w:rsid w:val="003A64D8"/>
    <w:rsid w:val="003A7E5B"/>
    <w:rsid w:val="003B4359"/>
    <w:rsid w:val="003C5A57"/>
    <w:rsid w:val="003C6710"/>
    <w:rsid w:val="003D0276"/>
    <w:rsid w:val="003D2D3D"/>
    <w:rsid w:val="003D322D"/>
    <w:rsid w:val="003D3F32"/>
    <w:rsid w:val="003E6184"/>
    <w:rsid w:val="003F012D"/>
    <w:rsid w:val="003F055C"/>
    <w:rsid w:val="003F537B"/>
    <w:rsid w:val="003F6F04"/>
    <w:rsid w:val="00400CA4"/>
    <w:rsid w:val="004035A6"/>
    <w:rsid w:val="00413799"/>
    <w:rsid w:val="00417036"/>
    <w:rsid w:val="00420D4A"/>
    <w:rsid w:val="004212F7"/>
    <w:rsid w:val="004214E0"/>
    <w:rsid w:val="0042311B"/>
    <w:rsid w:val="00430BE8"/>
    <w:rsid w:val="0043151B"/>
    <w:rsid w:val="00431A3C"/>
    <w:rsid w:val="004327A3"/>
    <w:rsid w:val="00434A4C"/>
    <w:rsid w:val="0043633B"/>
    <w:rsid w:val="00440630"/>
    <w:rsid w:val="004453F2"/>
    <w:rsid w:val="00446E78"/>
    <w:rsid w:val="00447226"/>
    <w:rsid w:val="00455D8B"/>
    <w:rsid w:val="004562F9"/>
    <w:rsid w:val="004622DC"/>
    <w:rsid w:val="00473D3A"/>
    <w:rsid w:val="004742F8"/>
    <w:rsid w:val="00477839"/>
    <w:rsid w:val="00482D07"/>
    <w:rsid w:val="0048616A"/>
    <w:rsid w:val="0048694A"/>
    <w:rsid w:val="00493399"/>
    <w:rsid w:val="00493DA7"/>
    <w:rsid w:val="00495290"/>
    <w:rsid w:val="00495AEF"/>
    <w:rsid w:val="004A37FB"/>
    <w:rsid w:val="004B1773"/>
    <w:rsid w:val="004B42DE"/>
    <w:rsid w:val="004B4FFC"/>
    <w:rsid w:val="004B6FD5"/>
    <w:rsid w:val="004C3906"/>
    <w:rsid w:val="004D0AA4"/>
    <w:rsid w:val="004D210E"/>
    <w:rsid w:val="004D372D"/>
    <w:rsid w:val="004D3DE5"/>
    <w:rsid w:val="004D677F"/>
    <w:rsid w:val="004E2DA4"/>
    <w:rsid w:val="004F3326"/>
    <w:rsid w:val="005017B8"/>
    <w:rsid w:val="005071A1"/>
    <w:rsid w:val="005073DC"/>
    <w:rsid w:val="005139F9"/>
    <w:rsid w:val="005325B3"/>
    <w:rsid w:val="00532D0E"/>
    <w:rsid w:val="00534CCF"/>
    <w:rsid w:val="00535D3E"/>
    <w:rsid w:val="00541D6F"/>
    <w:rsid w:val="00545D73"/>
    <w:rsid w:val="00546917"/>
    <w:rsid w:val="00550A9E"/>
    <w:rsid w:val="00556006"/>
    <w:rsid w:val="0055725D"/>
    <w:rsid w:val="0056065F"/>
    <w:rsid w:val="005613C2"/>
    <w:rsid w:val="00567FE4"/>
    <w:rsid w:val="0058003D"/>
    <w:rsid w:val="00587C58"/>
    <w:rsid w:val="00591773"/>
    <w:rsid w:val="00591BC8"/>
    <w:rsid w:val="00594371"/>
    <w:rsid w:val="00595C68"/>
    <w:rsid w:val="005A0F96"/>
    <w:rsid w:val="005A271E"/>
    <w:rsid w:val="005A3ABE"/>
    <w:rsid w:val="005A4855"/>
    <w:rsid w:val="005A7183"/>
    <w:rsid w:val="005B1B0C"/>
    <w:rsid w:val="005B3294"/>
    <w:rsid w:val="005B42D4"/>
    <w:rsid w:val="005B7239"/>
    <w:rsid w:val="005C006B"/>
    <w:rsid w:val="005C68C9"/>
    <w:rsid w:val="005D4672"/>
    <w:rsid w:val="005F2860"/>
    <w:rsid w:val="005F5A0D"/>
    <w:rsid w:val="00612A2E"/>
    <w:rsid w:val="006306DB"/>
    <w:rsid w:val="006311FB"/>
    <w:rsid w:val="00633F7C"/>
    <w:rsid w:val="00634C29"/>
    <w:rsid w:val="00636788"/>
    <w:rsid w:val="006562CA"/>
    <w:rsid w:val="00662C37"/>
    <w:rsid w:val="00671AC9"/>
    <w:rsid w:val="00674AE6"/>
    <w:rsid w:val="00675268"/>
    <w:rsid w:val="006761D0"/>
    <w:rsid w:val="00682121"/>
    <w:rsid w:val="00682694"/>
    <w:rsid w:val="00684EA8"/>
    <w:rsid w:val="00693A5B"/>
    <w:rsid w:val="00696273"/>
    <w:rsid w:val="006A1AEF"/>
    <w:rsid w:val="006A2BAA"/>
    <w:rsid w:val="006A67D8"/>
    <w:rsid w:val="006B109B"/>
    <w:rsid w:val="006B27F6"/>
    <w:rsid w:val="006B2BA2"/>
    <w:rsid w:val="006B7F80"/>
    <w:rsid w:val="006C1C80"/>
    <w:rsid w:val="006C4509"/>
    <w:rsid w:val="006D026A"/>
    <w:rsid w:val="006D6691"/>
    <w:rsid w:val="006D727D"/>
    <w:rsid w:val="006D796A"/>
    <w:rsid w:val="006E1E6A"/>
    <w:rsid w:val="006E29B4"/>
    <w:rsid w:val="006E650A"/>
    <w:rsid w:val="006F2C5E"/>
    <w:rsid w:val="006F33C7"/>
    <w:rsid w:val="007002E2"/>
    <w:rsid w:val="007019CA"/>
    <w:rsid w:val="00703119"/>
    <w:rsid w:val="00707149"/>
    <w:rsid w:val="0071411A"/>
    <w:rsid w:val="007173FA"/>
    <w:rsid w:val="00717443"/>
    <w:rsid w:val="00721CFC"/>
    <w:rsid w:val="007222CB"/>
    <w:rsid w:val="00723D2C"/>
    <w:rsid w:val="007337B1"/>
    <w:rsid w:val="00734943"/>
    <w:rsid w:val="00734B6B"/>
    <w:rsid w:val="0074646C"/>
    <w:rsid w:val="0075286B"/>
    <w:rsid w:val="007650F6"/>
    <w:rsid w:val="00765298"/>
    <w:rsid w:val="00767774"/>
    <w:rsid w:val="00770257"/>
    <w:rsid w:val="007719F3"/>
    <w:rsid w:val="00776EDE"/>
    <w:rsid w:val="0078042E"/>
    <w:rsid w:val="00780ECE"/>
    <w:rsid w:val="007971D4"/>
    <w:rsid w:val="007B07E3"/>
    <w:rsid w:val="007B2976"/>
    <w:rsid w:val="007B342F"/>
    <w:rsid w:val="007B5071"/>
    <w:rsid w:val="007B5117"/>
    <w:rsid w:val="007B6391"/>
    <w:rsid w:val="007B665D"/>
    <w:rsid w:val="007C0A19"/>
    <w:rsid w:val="007C3F4F"/>
    <w:rsid w:val="007C4DBC"/>
    <w:rsid w:val="007C5132"/>
    <w:rsid w:val="007D602F"/>
    <w:rsid w:val="007E482E"/>
    <w:rsid w:val="007E724F"/>
    <w:rsid w:val="007F1251"/>
    <w:rsid w:val="007F2B21"/>
    <w:rsid w:val="007F2F77"/>
    <w:rsid w:val="007F6978"/>
    <w:rsid w:val="007F7048"/>
    <w:rsid w:val="00806ABD"/>
    <w:rsid w:val="0082017F"/>
    <w:rsid w:val="00820322"/>
    <w:rsid w:val="00820CB9"/>
    <w:rsid w:val="00822006"/>
    <w:rsid w:val="00823908"/>
    <w:rsid w:val="008302B9"/>
    <w:rsid w:val="00840550"/>
    <w:rsid w:val="00840FDE"/>
    <w:rsid w:val="00851D32"/>
    <w:rsid w:val="00854AF8"/>
    <w:rsid w:val="008613C4"/>
    <w:rsid w:val="00863047"/>
    <w:rsid w:val="00863C13"/>
    <w:rsid w:val="00865D17"/>
    <w:rsid w:val="0086642A"/>
    <w:rsid w:val="00866C19"/>
    <w:rsid w:val="00873A94"/>
    <w:rsid w:val="0087488D"/>
    <w:rsid w:val="00874F59"/>
    <w:rsid w:val="00877F8B"/>
    <w:rsid w:val="00880140"/>
    <w:rsid w:val="008821B0"/>
    <w:rsid w:val="00884B04"/>
    <w:rsid w:val="008861DE"/>
    <w:rsid w:val="00891BC9"/>
    <w:rsid w:val="00893398"/>
    <w:rsid w:val="008A62A5"/>
    <w:rsid w:val="008A6C54"/>
    <w:rsid w:val="008A76F7"/>
    <w:rsid w:val="008B418E"/>
    <w:rsid w:val="008B4ABD"/>
    <w:rsid w:val="008B65B3"/>
    <w:rsid w:val="008C1DBC"/>
    <w:rsid w:val="008D03F1"/>
    <w:rsid w:val="008D2A9E"/>
    <w:rsid w:val="008D4134"/>
    <w:rsid w:val="008D6711"/>
    <w:rsid w:val="008E00B7"/>
    <w:rsid w:val="008E4DDA"/>
    <w:rsid w:val="008E55FB"/>
    <w:rsid w:val="008E6987"/>
    <w:rsid w:val="00906396"/>
    <w:rsid w:val="00913EC3"/>
    <w:rsid w:val="00925161"/>
    <w:rsid w:val="00926D3B"/>
    <w:rsid w:val="00927D3E"/>
    <w:rsid w:val="0093003F"/>
    <w:rsid w:val="00935284"/>
    <w:rsid w:val="00940972"/>
    <w:rsid w:val="00942BEB"/>
    <w:rsid w:val="00943CD9"/>
    <w:rsid w:val="0095308D"/>
    <w:rsid w:val="00953FEF"/>
    <w:rsid w:val="00955388"/>
    <w:rsid w:val="009658B8"/>
    <w:rsid w:val="009703E3"/>
    <w:rsid w:val="00972DF4"/>
    <w:rsid w:val="00977372"/>
    <w:rsid w:val="00982CEA"/>
    <w:rsid w:val="00984316"/>
    <w:rsid w:val="00984497"/>
    <w:rsid w:val="00984F63"/>
    <w:rsid w:val="009853B1"/>
    <w:rsid w:val="0099245E"/>
    <w:rsid w:val="009A44D5"/>
    <w:rsid w:val="009C3788"/>
    <w:rsid w:val="009C49E2"/>
    <w:rsid w:val="009C5068"/>
    <w:rsid w:val="009C70DC"/>
    <w:rsid w:val="009D296C"/>
    <w:rsid w:val="009D5092"/>
    <w:rsid w:val="009D6E66"/>
    <w:rsid w:val="009E24B8"/>
    <w:rsid w:val="009E53C8"/>
    <w:rsid w:val="009F6FD7"/>
    <w:rsid w:val="00A02428"/>
    <w:rsid w:val="00A11851"/>
    <w:rsid w:val="00A11FD5"/>
    <w:rsid w:val="00A17E21"/>
    <w:rsid w:val="00A20CAD"/>
    <w:rsid w:val="00A266CC"/>
    <w:rsid w:val="00A30A8C"/>
    <w:rsid w:val="00A321DC"/>
    <w:rsid w:val="00A34266"/>
    <w:rsid w:val="00A35F24"/>
    <w:rsid w:val="00A41724"/>
    <w:rsid w:val="00A4334C"/>
    <w:rsid w:val="00A44244"/>
    <w:rsid w:val="00A444E4"/>
    <w:rsid w:val="00A5151C"/>
    <w:rsid w:val="00A5404E"/>
    <w:rsid w:val="00A54F02"/>
    <w:rsid w:val="00A56B96"/>
    <w:rsid w:val="00A60CDF"/>
    <w:rsid w:val="00A633E6"/>
    <w:rsid w:val="00A64326"/>
    <w:rsid w:val="00A64A93"/>
    <w:rsid w:val="00A75F26"/>
    <w:rsid w:val="00A77FAF"/>
    <w:rsid w:val="00A81587"/>
    <w:rsid w:val="00A84631"/>
    <w:rsid w:val="00A846A7"/>
    <w:rsid w:val="00A923B9"/>
    <w:rsid w:val="00A92841"/>
    <w:rsid w:val="00AA7674"/>
    <w:rsid w:val="00AB1187"/>
    <w:rsid w:val="00AB4DA3"/>
    <w:rsid w:val="00AC028F"/>
    <w:rsid w:val="00AC2023"/>
    <w:rsid w:val="00AC564F"/>
    <w:rsid w:val="00AD30C2"/>
    <w:rsid w:val="00AD4B0A"/>
    <w:rsid w:val="00AD7F19"/>
    <w:rsid w:val="00AE57CF"/>
    <w:rsid w:val="00AE5CC7"/>
    <w:rsid w:val="00AF09D3"/>
    <w:rsid w:val="00AF0A40"/>
    <w:rsid w:val="00B026EF"/>
    <w:rsid w:val="00B0352E"/>
    <w:rsid w:val="00B03E09"/>
    <w:rsid w:val="00B04C79"/>
    <w:rsid w:val="00B11BD7"/>
    <w:rsid w:val="00B12E61"/>
    <w:rsid w:val="00B14E54"/>
    <w:rsid w:val="00B152A8"/>
    <w:rsid w:val="00B16CD4"/>
    <w:rsid w:val="00B256B5"/>
    <w:rsid w:val="00B2641D"/>
    <w:rsid w:val="00B3153B"/>
    <w:rsid w:val="00B32A36"/>
    <w:rsid w:val="00B420EB"/>
    <w:rsid w:val="00B4473B"/>
    <w:rsid w:val="00B54DB0"/>
    <w:rsid w:val="00B56810"/>
    <w:rsid w:val="00B60B95"/>
    <w:rsid w:val="00B62414"/>
    <w:rsid w:val="00B62708"/>
    <w:rsid w:val="00B62DC9"/>
    <w:rsid w:val="00B653EE"/>
    <w:rsid w:val="00B66850"/>
    <w:rsid w:val="00B70142"/>
    <w:rsid w:val="00B702B1"/>
    <w:rsid w:val="00B70624"/>
    <w:rsid w:val="00B70FB3"/>
    <w:rsid w:val="00B83CA8"/>
    <w:rsid w:val="00B83DBC"/>
    <w:rsid w:val="00B85BE4"/>
    <w:rsid w:val="00B86F04"/>
    <w:rsid w:val="00B900D6"/>
    <w:rsid w:val="00B97322"/>
    <w:rsid w:val="00BA0AB6"/>
    <w:rsid w:val="00BA2BAB"/>
    <w:rsid w:val="00BA2F79"/>
    <w:rsid w:val="00BC2771"/>
    <w:rsid w:val="00BC5F7F"/>
    <w:rsid w:val="00BC6784"/>
    <w:rsid w:val="00BC6DC2"/>
    <w:rsid w:val="00BC7648"/>
    <w:rsid w:val="00BD2647"/>
    <w:rsid w:val="00BD762C"/>
    <w:rsid w:val="00BE6165"/>
    <w:rsid w:val="00BE6514"/>
    <w:rsid w:val="00BE6958"/>
    <w:rsid w:val="00BF066E"/>
    <w:rsid w:val="00BF1FCC"/>
    <w:rsid w:val="00BF417C"/>
    <w:rsid w:val="00BF50AD"/>
    <w:rsid w:val="00BF6A47"/>
    <w:rsid w:val="00C00488"/>
    <w:rsid w:val="00C02EEB"/>
    <w:rsid w:val="00C05370"/>
    <w:rsid w:val="00C07A3A"/>
    <w:rsid w:val="00C11B2C"/>
    <w:rsid w:val="00C12982"/>
    <w:rsid w:val="00C17848"/>
    <w:rsid w:val="00C201AB"/>
    <w:rsid w:val="00C20FE7"/>
    <w:rsid w:val="00C221B0"/>
    <w:rsid w:val="00C23C03"/>
    <w:rsid w:val="00C27591"/>
    <w:rsid w:val="00C318E9"/>
    <w:rsid w:val="00C329AC"/>
    <w:rsid w:val="00C336D0"/>
    <w:rsid w:val="00C33F25"/>
    <w:rsid w:val="00C3450F"/>
    <w:rsid w:val="00C35519"/>
    <w:rsid w:val="00C4092C"/>
    <w:rsid w:val="00C52BF0"/>
    <w:rsid w:val="00C634D3"/>
    <w:rsid w:val="00C63B57"/>
    <w:rsid w:val="00C66EF7"/>
    <w:rsid w:val="00C70458"/>
    <w:rsid w:val="00C7531E"/>
    <w:rsid w:val="00C7557F"/>
    <w:rsid w:val="00C812EA"/>
    <w:rsid w:val="00C95EA6"/>
    <w:rsid w:val="00CA53B3"/>
    <w:rsid w:val="00CB597D"/>
    <w:rsid w:val="00CB71ED"/>
    <w:rsid w:val="00CC4087"/>
    <w:rsid w:val="00CC472E"/>
    <w:rsid w:val="00CC6C78"/>
    <w:rsid w:val="00CC72AA"/>
    <w:rsid w:val="00CC73DE"/>
    <w:rsid w:val="00CD165A"/>
    <w:rsid w:val="00CD437D"/>
    <w:rsid w:val="00D02110"/>
    <w:rsid w:val="00D02221"/>
    <w:rsid w:val="00D04F81"/>
    <w:rsid w:val="00D069A7"/>
    <w:rsid w:val="00D12709"/>
    <w:rsid w:val="00D12E97"/>
    <w:rsid w:val="00D14347"/>
    <w:rsid w:val="00D2528D"/>
    <w:rsid w:val="00D25F56"/>
    <w:rsid w:val="00D2761B"/>
    <w:rsid w:val="00D50AEE"/>
    <w:rsid w:val="00D5442E"/>
    <w:rsid w:val="00D62D13"/>
    <w:rsid w:val="00D63A84"/>
    <w:rsid w:val="00D660CF"/>
    <w:rsid w:val="00D72F16"/>
    <w:rsid w:val="00D77D37"/>
    <w:rsid w:val="00D81C13"/>
    <w:rsid w:val="00D8210B"/>
    <w:rsid w:val="00D86C3F"/>
    <w:rsid w:val="00D90367"/>
    <w:rsid w:val="00D93EF3"/>
    <w:rsid w:val="00DA407D"/>
    <w:rsid w:val="00DA42D1"/>
    <w:rsid w:val="00DA51DD"/>
    <w:rsid w:val="00DB30AA"/>
    <w:rsid w:val="00DB402D"/>
    <w:rsid w:val="00DB66D1"/>
    <w:rsid w:val="00DC4C0C"/>
    <w:rsid w:val="00DC6CAC"/>
    <w:rsid w:val="00DD2053"/>
    <w:rsid w:val="00DD6BD4"/>
    <w:rsid w:val="00DE4A46"/>
    <w:rsid w:val="00DF12A4"/>
    <w:rsid w:val="00DF395A"/>
    <w:rsid w:val="00DF5626"/>
    <w:rsid w:val="00DF5A2E"/>
    <w:rsid w:val="00E031CC"/>
    <w:rsid w:val="00E10545"/>
    <w:rsid w:val="00E155B4"/>
    <w:rsid w:val="00E27CF8"/>
    <w:rsid w:val="00E37A09"/>
    <w:rsid w:val="00E37E86"/>
    <w:rsid w:val="00E54CBD"/>
    <w:rsid w:val="00E559E1"/>
    <w:rsid w:val="00E64BC7"/>
    <w:rsid w:val="00E64D4A"/>
    <w:rsid w:val="00E7012B"/>
    <w:rsid w:val="00E70E25"/>
    <w:rsid w:val="00E72598"/>
    <w:rsid w:val="00E72FFD"/>
    <w:rsid w:val="00E74B08"/>
    <w:rsid w:val="00E7645D"/>
    <w:rsid w:val="00E77B4A"/>
    <w:rsid w:val="00E80390"/>
    <w:rsid w:val="00E920A3"/>
    <w:rsid w:val="00E9350F"/>
    <w:rsid w:val="00E945DA"/>
    <w:rsid w:val="00E95652"/>
    <w:rsid w:val="00E95DD5"/>
    <w:rsid w:val="00EA5AA0"/>
    <w:rsid w:val="00EB6536"/>
    <w:rsid w:val="00ED3E0D"/>
    <w:rsid w:val="00ED6229"/>
    <w:rsid w:val="00EE28D9"/>
    <w:rsid w:val="00EE4C4E"/>
    <w:rsid w:val="00EE5F6C"/>
    <w:rsid w:val="00EE727E"/>
    <w:rsid w:val="00EF64A5"/>
    <w:rsid w:val="00F00252"/>
    <w:rsid w:val="00F0068B"/>
    <w:rsid w:val="00F15C50"/>
    <w:rsid w:val="00F16326"/>
    <w:rsid w:val="00F21C32"/>
    <w:rsid w:val="00F22C3A"/>
    <w:rsid w:val="00F23F0E"/>
    <w:rsid w:val="00F27DD6"/>
    <w:rsid w:val="00F3409A"/>
    <w:rsid w:val="00F4013C"/>
    <w:rsid w:val="00F53D08"/>
    <w:rsid w:val="00F5723E"/>
    <w:rsid w:val="00F57ECE"/>
    <w:rsid w:val="00F64274"/>
    <w:rsid w:val="00F66DD7"/>
    <w:rsid w:val="00F73C4B"/>
    <w:rsid w:val="00F805DF"/>
    <w:rsid w:val="00F81728"/>
    <w:rsid w:val="00F84913"/>
    <w:rsid w:val="00F92F46"/>
    <w:rsid w:val="00F93F72"/>
    <w:rsid w:val="00FA35EF"/>
    <w:rsid w:val="00FB4F92"/>
    <w:rsid w:val="00FC3AE9"/>
    <w:rsid w:val="00FC4C57"/>
    <w:rsid w:val="00FD1F53"/>
    <w:rsid w:val="00FE2385"/>
    <w:rsid w:val="00FE4D9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70D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4D8"/>
    <w:rPr>
      <w:rFonts w:ascii="Calibri" w:hAnsi="Calibri" w:cs="Times New Roman"/>
    </w:rPr>
  </w:style>
  <w:style w:type="paragraph" w:styleId="Heading1">
    <w:name w:val="heading 1"/>
    <w:basedOn w:val="Normal"/>
    <w:next w:val="Normal"/>
    <w:link w:val="Heading1Char"/>
    <w:uiPriority w:val="9"/>
    <w:qFormat/>
    <w:rsid w:val="00310DD6"/>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B42D4"/>
    <w:pPr>
      <w:keepNext/>
      <w:spacing w:before="240" w:after="60" w:line="240" w:lineRule="auto"/>
      <w:outlineLvl w:val="1"/>
    </w:pPr>
    <w:rPr>
      <w:rFonts w:eastAsia="MS Gothic"/>
      <w:b/>
      <w:bCs/>
      <w:i/>
      <w:iCs/>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3A64D8"/>
    <w:pPr>
      <w:spacing w:after="0" w:line="240" w:lineRule="auto"/>
      <w:jc w:val="center"/>
    </w:pPr>
    <w:rPr>
      <w:rFonts w:ascii="Times New Roman" w:eastAsia="Times New Roman" w:hAnsi="Times New Roman"/>
      <w:b/>
      <w:bCs/>
      <w:sz w:val="24"/>
      <w:szCs w:val="24"/>
      <w:lang w:val="en-US"/>
    </w:rPr>
  </w:style>
  <w:style w:type="character" w:customStyle="1" w:styleId="TitleChar">
    <w:name w:val="Title Char"/>
    <w:basedOn w:val="DefaultParagraphFont"/>
    <w:link w:val="Title"/>
    <w:uiPriority w:val="99"/>
    <w:rsid w:val="003A64D8"/>
    <w:rPr>
      <w:rFonts w:ascii="Times New Roman" w:eastAsia="Times New Roman" w:hAnsi="Times New Roman" w:cs="Times New Roman"/>
      <w:b/>
      <w:bCs/>
      <w:sz w:val="24"/>
      <w:szCs w:val="24"/>
      <w:lang w:val="en-US"/>
    </w:rPr>
  </w:style>
  <w:style w:type="character" w:styleId="Strong">
    <w:name w:val="Strong"/>
    <w:basedOn w:val="DefaultParagraphFont"/>
    <w:uiPriority w:val="22"/>
    <w:qFormat/>
    <w:rsid w:val="003A64D8"/>
    <w:rPr>
      <w:rFonts w:cs="Times New Roman"/>
      <w:b/>
      <w:bCs/>
    </w:rPr>
  </w:style>
  <w:style w:type="character" w:styleId="Emphasis">
    <w:name w:val="Emphasis"/>
    <w:basedOn w:val="DefaultParagraphFont"/>
    <w:uiPriority w:val="99"/>
    <w:qFormat/>
    <w:rsid w:val="003A64D8"/>
    <w:rPr>
      <w:rFonts w:cs="Times New Roman"/>
      <w:i/>
      <w:iCs/>
    </w:rPr>
  </w:style>
  <w:style w:type="character" w:styleId="CommentReference">
    <w:name w:val="annotation reference"/>
    <w:basedOn w:val="DefaultParagraphFont"/>
    <w:semiHidden/>
    <w:rsid w:val="003A64D8"/>
    <w:rPr>
      <w:sz w:val="16"/>
      <w:szCs w:val="16"/>
    </w:rPr>
  </w:style>
  <w:style w:type="paragraph" w:styleId="CommentText">
    <w:name w:val="annotation text"/>
    <w:basedOn w:val="Normal"/>
    <w:link w:val="CommentTextChar"/>
    <w:semiHidden/>
    <w:rsid w:val="003A64D8"/>
    <w:rPr>
      <w:sz w:val="20"/>
      <w:szCs w:val="20"/>
    </w:rPr>
  </w:style>
  <w:style w:type="character" w:customStyle="1" w:styleId="CommentTextChar">
    <w:name w:val="Comment Text Char"/>
    <w:basedOn w:val="DefaultParagraphFont"/>
    <w:link w:val="CommentText"/>
    <w:semiHidden/>
    <w:rsid w:val="003A64D8"/>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3A64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4D8"/>
    <w:rPr>
      <w:rFonts w:ascii="Tahoma" w:eastAsia="Calibri" w:hAnsi="Tahoma" w:cs="Tahoma"/>
      <w:sz w:val="16"/>
      <w:szCs w:val="16"/>
    </w:rPr>
  </w:style>
  <w:style w:type="character" w:customStyle="1" w:styleId="apple-converted-space">
    <w:name w:val="apple-converted-space"/>
    <w:basedOn w:val="DefaultParagraphFont"/>
    <w:rsid w:val="00BC2771"/>
  </w:style>
  <w:style w:type="paragraph" w:styleId="ListParagraph">
    <w:name w:val="List Paragraph"/>
    <w:basedOn w:val="Normal"/>
    <w:uiPriority w:val="34"/>
    <w:qFormat/>
    <w:rsid w:val="0021257E"/>
    <w:pPr>
      <w:ind w:left="720"/>
      <w:contextualSpacing/>
    </w:pPr>
  </w:style>
  <w:style w:type="character" w:customStyle="1" w:styleId="Heading2Char">
    <w:name w:val="Heading 2 Char"/>
    <w:basedOn w:val="DefaultParagraphFont"/>
    <w:link w:val="Heading2"/>
    <w:uiPriority w:val="9"/>
    <w:rsid w:val="005B42D4"/>
    <w:rPr>
      <w:rFonts w:ascii="Calibri" w:eastAsia="MS Gothic" w:hAnsi="Calibri" w:cs="Times New Roman"/>
      <w:b/>
      <w:bCs/>
      <w:i/>
      <w:iCs/>
      <w:sz w:val="28"/>
      <w:szCs w:val="28"/>
      <w:lang w:eastAsia="ja-JP"/>
    </w:rPr>
  </w:style>
  <w:style w:type="paragraph" w:styleId="Footer">
    <w:name w:val="footer"/>
    <w:basedOn w:val="Normal"/>
    <w:link w:val="FooterChar"/>
    <w:uiPriority w:val="99"/>
    <w:unhideWhenUsed/>
    <w:rsid w:val="00322D9B"/>
    <w:pPr>
      <w:tabs>
        <w:tab w:val="center" w:pos="4320"/>
        <w:tab w:val="right" w:pos="8640"/>
      </w:tabs>
      <w:spacing w:after="0" w:line="240" w:lineRule="auto"/>
    </w:pPr>
  </w:style>
  <w:style w:type="character" w:customStyle="1" w:styleId="FooterChar">
    <w:name w:val="Footer Char"/>
    <w:basedOn w:val="DefaultParagraphFont"/>
    <w:link w:val="Footer"/>
    <w:uiPriority w:val="99"/>
    <w:rsid w:val="00322D9B"/>
    <w:rPr>
      <w:rFonts w:ascii="Calibri" w:hAnsi="Calibri" w:cs="Times New Roman"/>
    </w:rPr>
  </w:style>
  <w:style w:type="character" w:styleId="PageNumber">
    <w:name w:val="page number"/>
    <w:basedOn w:val="DefaultParagraphFont"/>
    <w:uiPriority w:val="99"/>
    <w:semiHidden/>
    <w:unhideWhenUsed/>
    <w:rsid w:val="00322D9B"/>
  </w:style>
  <w:style w:type="paragraph" w:styleId="Header">
    <w:name w:val="header"/>
    <w:basedOn w:val="Normal"/>
    <w:link w:val="HeaderChar"/>
    <w:uiPriority w:val="99"/>
    <w:unhideWhenUsed/>
    <w:rsid w:val="00322D9B"/>
    <w:pPr>
      <w:tabs>
        <w:tab w:val="center" w:pos="4320"/>
        <w:tab w:val="right" w:pos="8640"/>
      </w:tabs>
      <w:spacing w:after="0" w:line="240" w:lineRule="auto"/>
    </w:pPr>
  </w:style>
  <w:style w:type="character" w:customStyle="1" w:styleId="HeaderChar">
    <w:name w:val="Header Char"/>
    <w:basedOn w:val="DefaultParagraphFont"/>
    <w:link w:val="Header"/>
    <w:uiPriority w:val="99"/>
    <w:rsid w:val="00322D9B"/>
    <w:rPr>
      <w:rFonts w:ascii="Calibri" w:hAnsi="Calibri" w:cs="Times New Roman"/>
    </w:rPr>
  </w:style>
  <w:style w:type="paragraph" w:styleId="FootnoteText">
    <w:name w:val="footnote text"/>
    <w:basedOn w:val="Normal"/>
    <w:link w:val="FootnoteTextChar"/>
    <w:uiPriority w:val="99"/>
    <w:unhideWhenUsed/>
    <w:rsid w:val="001225B6"/>
    <w:pPr>
      <w:spacing w:after="0" w:line="240" w:lineRule="auto"/>
    </w:pPr>
    <w:rPr>
      <w:sz w:val="24"/>
      <w:szCs w:val="24"/>
    </w:rPr>
  </w:style>
  <w:style w:type="character" w:customStyle="1" w:styleId="FootnoteTextChar">
    <w:name w:val="Footnote Text Char"/>
    <w:basedOn w:val="DefaultParagraphFont"/>
    <w:link w:val="FootnoteText"/>
    <w:uiPriority w:val="99"/>
    <w:rsid w:val="001225B6"/>
    <w:rPr>
      <w:rFonts w:ascii="Calibri" w:hAnsi="Calibri" w:cs="Times New Roman"/>
      <w:sz w:val="24"/>
      <w:szCs w:val="24"/>
    </w:rPr>
  </w:style>
  <w:style w:type="character" w:styleId="FootnoteReference">
    <w:name w:val="footnote reference"/>
    <w:basedOn w:val="DefaultParagraphFont"/>
    <w:uiPriority w:val="99"/>
    <w:unhideWhenUsed/>
    <w:rsid w:val="001225B6"/>
    <w:rPr>
      <w:vertAlign w:val="superscript"/>
    </w:rPr>
  </w:style>
  <w:style w:type="paragraph" w:styleId="CommentSubject">
    <w:name w:val="annotation subject"/>
    <w:basedOn w:val="CommentText"/>
    <w:next w:val="CommentText"/>
    <w:link w:val="CommentSubjectChar"/>
    <w:uiPriority w:val="99"/>
    <w:semiHidden/>
    <w:unhideWhenUsed/>
    <w:rsid w:val="00B54DB0"/>
    <w:pPr>
      <w:spacing w:line="240" w:lineRule="auto"/>
    </w:pPr>
    <w:rPr>
      <w:b/>
      <w:bCs/>
    </w:rPr>
  </w:style>
  <w:style w:type="character" w:customStyle="1" w:styleId="CommentSubjectChar">
    <w:name w:val="Comment Subject Char"/>
    <w:basedOn w:val="CommentTextChar"/>
    <w:link w:val="CommentSubject"/>
    <w:uiPriority w:val="99"/>
    <w:semiHidden/>
    <w:rsid w:val="00B54DB0"/>
    <w:rPr>
      <w:rFonts w:ascii="Calibri" w:eastAsia="Calibri" w:hAnsi="Calibri" w:cs="Times New Roman"/>
      <w:b/>
      <w:bCs/>
      <w:sz w:val="20"/>
      <w:szCs w:val="20"/>
    </w:rPr>
  </w:style>
  <w:style w:type="character" w:customStyle="1" w:styleId="Heading1Char">
    <w:name w:val="Heading 1 Char"/>
    <w:basedOn w:val="DefaultParagraphFont"/>
    <w:link w:val="Heading1"/>
    <w:uiPriority w:val="9"/>
    <w:rsid w:val="00310DD6"/>
    <w:rPr>
      <w:rFonts w:asciiTheme="majorHAnsi" w:eastAsiaTheme="majorEastAsia" w:hAnsiTheme="majorHAnsi" w:cstheme="majorBidi"/>
      <w:b/>
      <w:bCs/>
      <w:color w:val="345A8A" w:themeColor="accent1" w:themeShade="B5"/>
      <w:sz w:val="32"/>
      <w:szCs w:val="32"/>
    </w:rPr>
  </w:style>
  <w:style w:type="paragraph" w:styleId="Bibliography">
    <w:name w:val="Bibliography"/>
    <w:basedOn w:val="Normal"/>
    <w:next w:val="Normal"/>
    <w:uiPriority w:val="37"/>
    <w:semiHidden/>
    <w:unhideWhenUsed/>
    <w:rsid w:val="00310DD6"/>
  </w:style>
  <w:style w:type="character" w:styleId="Hyperlink">
    <w:name w:val="Hyperlink"/>
    <w:basedOn w:val="DefaultParagraphFont"/>
    <w:uiPriority w:val="99"/>
    <w:unhideWhenUsed/>
    <w:rsid w:val="00310DD6"/>
    <w:rPr>
      <w:color w:val="0000FF" w:themeColor="hyperlink"/>
      <w:u w:val="single"/>
    </w:rPr>
  </w:style>
  <w:style w:type="paragraph" w:styleId="EndnoteText">
    <w:name w:val="endnote text"/>
    <w:basedOn w:val="Normal"/>
    <w:link w:val="EndnoteTextChar"/>
    <w:uiPriority w:val="99"/>
    <w:semiHidden/>
    <w:unhideWhenUsed/>
    <w:rsid w:val="003F012D"/>
    <w:pPr>
      <w:spacing w:after="0" w:line="240" w:lineRule="auto"/>
    </w:pPr>
    <w:rPr>
      <w:rFonts w:asciiTheme="minorHAnsi" w:eastAsiaTheme="minorHAnsi" w:hAnsiTheme="minorHAnsi" w:cstheme="minorBidi"/>
      <w:sz w:val="20"/>
      <w:szCs w:val="20"/>
      <w:lang w:val="en-IN"/>
    </w:rPr>
  </w:style>
  <w:style w:type="character" w:customStyle="1" w:styleId="EndnoteTextChar">
    <w:name w:val="Endnote Text Char"/>
    <w:basedOn w:val="DefaultParagraphFont"/>
    <w:link w:val="EndnoteText"/>
    <w:uiPriority w:val="99"/>
    <w:semiHidden/>
    <w:rsid w:val="003F012D"/>
    <w:rPr>
      <w:rFonts w:eastAsiaTheme="minorHAnsi"/>
      <w:sz w:val="20"/>
      <w:szCs w:val="20"/>
      <w:lang w:val="en-IN"/>
    </w:rPr>
  </w:style>
  <w:style w:type="character" w:styleId="EndnoteReference">
    <w:name w:val="endnote reference"/>
    <w:basedOn w:val="DefaultParagraphFont"/>
    <w:uiPriority w:val="99"/>
    <w:semiHidden/>
    <w:unhideWhenUsed/>
    <w:rsid w:val="003F012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4D8"/>
    <w:rPr>
      <w:rFonts w:ascii="Calibri" w:hAnsi="Calibri" w:cs="Times New Roman"/>
    </w:rPr>
  </w:style>
  <w:style w:type="paragraph" w:styleId="Heading1">
    <w:name w:val="heading 1"/>
    <w:basedOn w:val="Normal"/>
    <w:next w:val="Normal"/>
    <w:link w:val="Heading1Char"/>
    <w:uiPriority w:val="9"/>
    <w:qFormat/>
    <w:rsid w:val="00310DD6"/>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B42D4"/>
    <w:pPr>
      <w:keepNext/>
      <w:spacing w:before="240" w:after="60" w:line="240" w:lineRule="auto"/>
      <w:outlineLvl w:val="1"/>
    </w:pPr>
    <w:rPr>
      <w:rFonts w:eastAsia="MS Gothic"/>
      <w:b/>
      <w:bCs/>
      <w:i/>
      <w:iCs/>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3A64D8"/>
    <w:pPr>
      <w:spacing w:after="0" w:line="240" w:lineRule="auto"/>
      <w:jc w:val="center"/>
    </w:pPr>
    <w:rPr>
      <w:rFonts w:ascii="Times New Roman" w:eastAsia="Times New Roman" w:hAnsi="Times New Roman"/>
      <w:b/>
      <w:bCs/>
      <w:sz w:val="24"/>
      <w:szCs w:val="24"/>
      <w:lang w:val="en-US"/>
    </w:rPr>
  </w:style>
  <w:style w:type="character" w:customStyle="1" w:styleId="TitleChar">
    <w:name w:val="Title Char"/>
    <w:basedOn w:val="DefaultParagraphFont"/>
    <w:link w:val="Title"/>
    <w:uiPriority w:val="99"/>
    <w:rsid w:val="003A64D8"/>
    <w:rPr>
      <w:rFonts w:ascii="Times New Roman" w:eastAsia="Times New Roman" w:hAnsi="Times New Roman" w:cs="Times New Roman"/>
      <w:b/>
      <w:bCs/>
      <w:sz w:val="24"/>
      <w:szCs w:val="24"/>
      <w:lang w:val="en-US"/>
    </w:rPr>
  </w:style>
  <w:style w:type="character" w:styleId="Strong">
    <w:name w:val="Strong"/>
    <w:basedOn w:val="DefaultParagraphFont"/>
    <w:uiPriority w:val="22"/>
    <w:qFormat/>
    <w:rsid w:val="003A64D8"/>
    <w:rPr>
      <w:rFonts w:cs="Times New Roman"/>
      <w:b/>
      <w:bCs/>
    </w:rPr>
  </w:style>
  <w:style w:type="character" w:styleId="Emphasis">
    <w:name w:val="Emphasis"/>
    <w:basedOn w:val="DefaultParagraphFont"/>
    <w:uiPriority w:val="99"/>
    <w:qFormat/>
    <w:rsid w:val="003A64D8"/>
    <w:rPr>
      <w:rFonts w:cs="Times New Roman"/>
      <w:i/>
      <w:iCs/>
    </w:rPr>
  </w:style>
  <w:style w:type="character" w:styleId="CommentReference">
    <w:name w:val="annotation reference"/>
    <w:basedOn w:val="DefaultParagraphFont"/>
    <w:semiHidden/>
    <w:rsid w:val="003A64D8"/>
    <w:rPr>
      <w:sz w:val="16"/>
      <w:szCs w:val="16"/>
    </w:rPr>
  </w:style>
  <w:style w:type="paragraph" w:styleId="CommentText">
    <w:name w:val="annotation text"/>
    <w:basedOn w:val="Normal"/>
    <w:link w:val="CommentTextChar"/>
    <w:semiHidden/>
    <w:rsid w:val="003A64D8"/>
    <w:rPr>
      <w:sz w:val="20"/>
      <w:szCs w:val="20"/>
    </w:rPr>
  </w:style>
  <w:style w:type="character" w:customStyle="1" w:styleId="CommentTextChar">
    <w:name w:val="Comment Text Char"/>
    <w:basedOn w:val="DefaultParagraphFont"/>
    <w:link w:val="CommentText"/>
    <w:semiHidden/>
    <w:rsid w:val="003A64D8"/>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3A64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4D8"/>
    <w:rPr>
      <w:rFonts w:ascii="Tahoma" w:eastAsia="Calibri" w:hAnsi="Tahoma" w:cs="Tahoma"/>
      <w:sz w:val="16"/>
      <w:szCs w:val="16"/>
    </w:rPr>
  </w:style>
  <w:style w:type="character" w:customStyle="1" w:styleId="apple-converted-space">
    <w:name w:val="apple-converted-space"/>
    <w:basedOn w:val="DefaultParagraphFont"/>
    <w:rsid w:val="00BC2771"/>
  </w:style>
  <w:style w:type="paragraph" w:styleId="ListParagraph">
    <w:name w:val="List Paragraph"/>
    <w:basedOn w:val="Normal"/>
    <w:uiPriority w:val="34"/>
    <w:qFormat/>
    <w:rsid w:val="0021257E"/>
    <w:pPr>
      <w:ind w:left="720"/>
      <w:contextualSpacing/>
    </w:pPr>
  </w:style>
  <w:style w:type="character" w:customStyle="1" w:styleId="Heading2Char">
    <w:name w:val="Heading 2 Char"/>
    <w:basedOn w:val="DefaultParagraphFont"/>
    <w:link w:val="Heading2"/>
    <w:uiPriority w:val="9"/>
    <w:rsid w:val="005B42D4"/>
    <w:rPr>
      <w:rFonts w:ascii="Calibri" w:eastAsia="MS Gothic" w:hAnsi="Calibri" w:cs="Times New Roman"/>
      <w:b/>
      <w:bCs/>
      <w:i/>
      <w:iCs/>
      <w:sz w:val="28"/>
      <w:szCs w:val="28"/>
      <w:lang w:eastAsia="ja-JP"/>
    </w:rPr>
  </w:style>
  <w:style w:type="paragraph" w:styleId="Footer">
    <w:name w:val="footer"/>
    <w:basedOn w:val="Normal"/>
    <w:link w:val="FooterChar"/>
    <w:uiPriority w:val="99"/>
    <w:unhideWhenUsed/>
    <w:rsid w:val="00322D9B"/>
    <w:pPr>
      <w:tabs>
        <w:tab w:val="center" w:pos="4320"/>
        <w:tab w:val="right" w:pos="8640"/>
      </w:tabs>
      <w:spacing w:after="0" w:line="240" w:lineRule="auto"/>
    </w:pPr>
  </w:style>
  <w:style w:type="character" w:customStyle="1" w:styleId="FooterChar">
    <w:name w:val="Footer Char"/>
    <w:basedOn w:val="DefaultParagraphFont"/>
    <w:link w:val="Footer"/>
    <w:uiPriority w:val="99"/>
    <w:rsid w:val="00322D9B"/>
    <w:rPr>
      <w:rFonts w:ascii="Calibri" w:hAnsi="Calibri" w:cs="Times New Roman"/>
    </w:rPr>
  </w:style>
  <w:style w:type="character" w:styleId="PageNumber">
    <w:name w:val="page number"/>
    <w:basedOn w:val="DefaultParagraphFont"/>
    <w:uiPriority w:val="99"/>
    <w:semiHidden/>
    <w:unhideWhenUsed/>
    <w:rsid w:val="00322D9B"/>
  </w:style>
  <w:style w:type="paragraph" w:styleId="Header">
    <w:name w:val="header"/>
    <w:basedOn w:val="Normal"/>
    <w:link w:val="HeaderChar"/>
    <w:uiPriority w:val="99"/>
    <w:unhideWhenUsed/>
    <w:rsid w:val="00322D9B"/>
    <w:pPr>
      <w:tabs>
        <w:tab w:val="center" w:pos="4320"/>
        <w:tab w:val="right" w:pos="8640"/>
      </w:tabs>
      <w:spacing w:after="0" w:line="240" w:lineRule="auto"/>
    </w:pPr>
  </w:style>
  <w:style w:type="character" w:customStyle="1" w:styleId="HeaderChar">
    <w:name w:val="Header Char"/>
    <w:basedOn w:val="DefaultParagraphFont"/>
    <w:link w:val="Header"/>
    <w:uiPriority w:val="99"/>
    <w:rsid w:val="00322D9B"/>
    <w:rPr>
      <w:rFonts w:ascii="Calibri" w:hAnsi="Calibri" w:cs="Times New Roman"/>
    </w:rPr>
  </w:style>
  <w:style w:type="paragraph" w:styleId="FootnoteText">
    <w:name w:val="footnote text"/>
    <w:basedOn w:val="Normal"/>
    <w:link w:val="FootnoteTextChar"/>
    <w:uiPriority w:val="99"/>
    <w:unhideWhenUsed/>
    <w:rsid w:val="001225B6"/>
    <w:pPr>
      <w:spacing w:after="0" w:line="240" w:lineRule="auto"/>
    </w:pPr>
    <w:rPr>
      <w:sz w:val="24"/>
      <w:szCs w:val="24"/>
    </w:rPr>
  </w:style>
  <w:style w:type="character" w:customStyle="1" w:styleId="FootnoteTextChar">
    <w:name w:val="Footnote Text Char"/>
    <w:basedOn w:val="DefaultParagraphFont"/>
    <w:link w:val="FootnoteText"/>
    <w:uiPriority w:val="99"/>
    <w:rsid w:val="001225B6"/>
    <w:rPr>
      <w:rFonts w:ascii="Calibri" w:hAnsi="Calibri" w:cs="Times New Roman"/>
      <w:sz w:val="24"/>
      <w:szCs w:val="24"/>
    </w:rPr>
  </w:style>
  <w:style w:type="character" w:styleId="FootnoteReference">
    <w:name w:val="footnote reference"/>
    <w:basedOn w:val="DefaultParagraphFont"/>
    <w:uiPriority w:val="99"/>
    <w:unhideWhenUsed/>
    <w:rsid w:val="001225B6"/>
    <w:rPr>
      <w:vertAlign w:val="superscript"/>
    </w:rPr>
  </w:style>
  <w:style w:type="paragraph" w:styleId="CommentSubject">
    <w:name w:val="annotation subject"/>
    <w:basedOn w:val="CommentText"/>
    <w:next w:val="CommentText"/>
    <w:link w:val="CommentSubjectChar"/>
    <w:uiPriority w:val="99"/>
    <w:semiHidden/>
    <w:unhideWhenUsed/>
    <w:rsid w:val="00B54DB0"/>
    <w:pPr>
      <w:spacing w:line="240" w:lineRule="auto"/>
    </w:pPr>
    <w:rPr>
      <w:b/>
      <w:bCs/>
    </w:rPr>
  </w:style>
  <w:style w:type="character" w:customStyle="1" w:styleId="CommentSubjectChar">
    <w:name w:val="Comment Subject Char"/>
    <w:basedOn w:val="CommentTextChar"/>
    <w:link w:val="CommentSubject"/>
    <w:uiPriority w:val="99"/>
    <w:semiHidden/>
    <w:rsid w:val="00B54DB0"/>
    <w:rPr>
      <w:rFonts w:ascii="Calibri" w:eastAsia="Calibri" w:hAnsi="Calibri" w:cs="Times New Roman"/>
      <w:b/>
      <w:bCs/>
      <w:sz w:val="20"/>
      <w:szCs w:val="20"/>
    </w:rPr>
  </w:style>
  <w:style w:type="character" w:customStyle="1" w:styleId="Heading1Char">
    <w:name w:val="Heading 1 Char"/>
    <w:basedOn w:val="DefaultParagraphFont"/>
    <w:link w:val="Heading1"/>
    <w:uiPriority w:val="9"/>
    <w:rsid w:val="00310DD6"/>
    <w:rPr>
      <w:rFonts w:asciiTheme="majorHAnsi" w:eastAsiaTheme="majorEastAsia" w:hAnsiTheme="majorHAnsi" w:cstheme="majorBidi"/>
      <w:b/>
      <w:bCs/>
      <w:color w:val="345A8A" w:themeColor="accent1" w:themeShade="B5"/>
      <w:sz w:val="32"/>
      <w:szCs w:val="32"/>
    </w:rPr>
  </w:style>
  <w:style w:type="paragraph" w:styleId="Bibliography">
    <w:name w:val="Bibliography"/>
    <w:basedOn w:val="Normal"/>
    <w:next w:val="Normal"/>
    <w:uiPriority w:val="37"/>
    <w:semiHidden/>
    <w:unhideWhenUsed/>
    <w:rsid w:val="00310DD6"/>
  </w:style>
  <w:style w:type="character" w:styleId="Hyperlink">
    <w:name w:val="Hyperlink"/>
    <w:basedOn w:val="DefaultParagraphFont"/>
    <w:uiPriority w:val="99"/>
    <w:unhideWhenUsed/>
    <w:rsid w:val="00310DD6"/>
    <w:rPr>
      <w:color w:val="0000FF" w:themeColor="hyperlink"/>
      <w:u w:val="single"/>
    </w:rPr>
  </w:style>
  <w:style w:type="paragraph" w:styleId="EndnoteText">
    <w:name w:val="endnote text"/>
    <w:basedOn w:val="Normal"/>
    <w:link w:val="EndnoteTextChar"/>
    <w:uiPriority w:val="99"/>
    <w:semiHidden/>
    <w:unhideWhenUsed/>
    <w:rsid w:val="003F012D"/>
    <w:pPr>
      <w:spacing w:after="0" w:line="240" w:lineRule="auto"/>
    </w:pPr>
    <w:rPr>
      <w:rFonts w:asciiTheme="minorHAnsi" w:eastAsiaTheme="minorHAnsi" w:hAnsiTheme="minorHAnsi" w:cstheme="minorBidi"/>
      <w:sz w:val="20"/>
      <w:szCs w:val="20"/>
      <w:lang w:val="en-IN"/>
    </w:rPr>
  </w:style>
  <w:style w:type="character" w:customStyle="1" w:styleId="EndnoteTextChar">
    <w:name w:val="Endnote Text Char"/>
    <w:basedOn w:val="DefaultParagraphFont"/>
    <w:link w:val="EndnoteText"/>
    <w:uiPriority w:val="99"/>
    <w:semiHidden/>
    <w:rsid w:val="003F012D"/>
    <w:rPr>
      <w:rFonts w:eastAsiaTheme="minorHAnsi"/>
      <w:sz w:val="20"/>
      <w:szCs w:val="20"/>
      <w:lang w:val="en-IN"/>
    </w:rPr>
  </w:style>
  <w:style w:type="character" w:styleId="EndnoteReference">
    <w:name w:val="endnote reference"/>
    <w:basedOn w:val="DefaultParagraphFont"/>
    <w:uiPriority w:val="99"/>
    <w:semiHidden/>
    <w:unhideWhenUsed/>
    <w:rsid w:val="003F01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580261">
      <w:bodyDiv w:val="1"/>
      <w:marLeft w:val="0"/>
      <w:marRight w:val="0"/>
      <w:marTop w:val="0"/>
      <w:marBottom w:val="0"/>
      <w:divBdr>
        <w:top w:val="none" w:sz="0" w:space="0" w:color="auto"/>
        <w:left w:val="none" w:sz="0" w:space="0" w:color="auto"/>
        <w:bottom w:val="none" w:sz="0" w:space="0" w:color="auto"/>
        <w:right w:val="none" w:sz="0" w:space="0" w:color="auto"/>
      </w:divBdr>
      <w:divsChild>
        <w:div w:id="781539390">
          <w:marLeft w:val="0"/>
          <w:marRight w:val="0"/>
          <w:marTop w:val="0"/>
          <w:marBottom w:val="0"/>
          <w:divBdr>
            <w:top w:val="none" w:sz="0" w:space="0" w:color="auto"/>
            <w:left w:val="none" w:sz="0" w:space="0" w:color="auto"/>
            <w:bottom w:val="none" w:sz="0" w:space="0" w:color="auto"/>
            <w:right w:val="none" w:sz="0" w:space="0" w:color="auto"/>
          </w:divBdr>
          <w:divsChild>
            <w:div w:id="868681773">
              <w:marLeft w:val="0"/>
              <w:marRight w:val="0"/>
              <w:marTop w:val="0"/>
              <w:marBottom w:val="0"/>
              <w:divBdr>
                <w:top w:val="none" w:sz="0" w:space="0" w:color="auto"/>
                <w:left w:val="none" w:sz="0" w:space="0" w:color="auto"/>
                <w:bottom w:val="none" w:sz="0" w:space="0" w:color="auto"/>
                <w:right w:val="none" w:sz="0" w:space="0" w:color="auto"/>
              </w:divBdr>
              <w:divsChild>
                <w:div w:id="1113087848">
                  <w:marLeft w:val="0"/>
                  <w:marRight w:val="0"/>
                  <w:marTop w:val="0"/>
                  <w:marBottom w:val="0"/>
                  <w:divBdr>
                    <w:top w:val="none" w:sz="0" w:space="0" w:color="auto"/>
                    <w:left w:val="none" w:sz="0" w:space="0" w:color="auto"/>
                    <w:bottom w:val="none" w:sz="0" w:space="0" w:color="auto"/>
                    <w:right w:val="none" w:sz="0" w:space="0" w:color="auto"/>
                  </w:divBdr>
                  <w:divsChild>
                    <w:div w:id="965811781">
                      <w:marLeft w:val="0"/>
                      <w:marRight w:val="0"/>
                      <w:marTop w:val="0"/>
                      <w:marBottom w:val="0"/>
                      <w:divBdr>
                        <w:top w:val="none" w:sz="0" w:space="0" w:color="auto"/>
                        <w:left w:val="none" w:sz="0" w:space="0" w:color="auto"/>
                        <w:bottom w:val="none" w:sz="0" w:space="0" w:color="auto"/>
                        <w:right w:val="none" w:sz="0" w:space="0" w:color="auto"/>
                      </w:divBdr>
                      <w:divsChild>
                        <w:div w:id="1628858113">
                          <w:marLeft w:val="0"/>
                          <w:marRight w:val="0"/>
                          <w:marTop w:val="0"/>
                          <w:marBottom w:val="0"/>
                          <w:divBdr>
                            <w:top w:val="none" w:sz="0" w:space="0" w:color="auto"/>
                            <w:left w:val="none" w:sz="0" w:space="0" w:color="auto"/>
                            <w:bottom w:val="none" w:sz="0" w:space="0" w:color="auto"/>
                            <w:right w:val="none" w:sz="0" w:space="0" w:color="auto"/>
                          </w:divBdr>
                          <w:divsChild>
                            <w:div w:id="1216427408">
                              <w:marLeft w:val="0"/>
                              <w:marRight w:val="0"/>
                              <w:marTop w:val="0"/>
                              <w:marBottom w:val="0"/>
                              <w:divBdr>
                                <w:top w:val="none" w:sz="0" w:space="0" w:color="auto"/>
                                <w:left w:val="none" w:sz="0" w:space="0" w:color="auto"/>
                                <w:bottom w:val="none" w:sz="0" w:space="0" w:color="auto"/>
                                <w:right w:val="none" w:sz="0" w:space="0" w:color="auto"/>
                              </w:divBdr>
                              <w:divsChild>
                                <w:div w:id="1618676523">
                                  <w:marLeft w:val="0"/>
                                  <w:marRight w:val="0"/>
                                  <w:marTop w:val="0"/>
                                  <w:marBottom w:val="0"/>
                                  <w:divBdr>
                                    <w:top w:val="none" w:sz="0" w:space="0" w:color="auto"/>
                                    <w:left w:val="none" w:sz="0" w:space="0" w:color="auto"/>
                                    <w:bottom w:val="none" w:sz="0" w:space="0" w:color="auto"/>
                                    <w:right w:val="none" w:sz="0" w:space="0" w:color="auto"/>
                                  </w:divBdr>
                                </w:div>
                                <w:div w:id="1845587266">
                                  <w:marLeft w:val="0"/>
                                  <w:marRight w:val="0"/>
                                  <w:marTop w:val="0"/>
                                  <w:marBottom w:val="0"/>
                                  <w:divBdr>
                                    <w:top w:val="none" w:sz="0" w:space="0" w:color="auto"/>
                                    <w:left w:val="none" w:sz="0" w:space="0" w:color="auto"/>
                                    <w:bottom w:val="none" w:sz="0" w:space="0" w:color="auto"/>
                                    <w:right w:val="none" w:sz="0" w:space="0" w:color="auto"/>
                                  </w:divBdr>
                                </w:div>
                                <w:div w:id="402990546">
                                  <w:marLeft w:val="0"/>
                                  <w:marRight w:val="0"/>
                                  <w:marTop w:val="0"/>
                                  <w:marBottom w:val="0"/>
                                  <w:divBdr>
                                    <w:top w:val="none" w:sz="0" w:space="0" w:color="auto"/>
                                    <w:left w:val="none" w:sz="0" w:space="0" w:color="auto"/>
                                    <w:bottom w:val="none" w:sz="0" w:space="0" w:color="auto"/>
                                    <w:right w:val="none" w:sz="0" w:space="0" w:color="auto"/>
                                  </w:divBdr>
                                </w:div>
                                <w:div w:id="203518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venice.coe.int/webforms/documents/CDL-AD(2011)003rev-e.aspx" TargetMode="External"/><Relationship Id="rId10" Type="http://schemas.openxmlformats.org/officeDocument/2006/relationships/hyperlink" Target="http://www.ncl.ac.uk/gps/research/publication/1565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Upe05</b:Tag>
    <b:SourceType>BookSection</b:SourceType>
    <b:Guid>{1439CFAF-7253-4DCD-AD17-5DAE03360A58}</b:Guid>
    <b:Author>
      <b:Author>
        <b:NameList>
          <b:Person>
            <b:Last>Baxi</b:Last>
            <b:First>Upendra</b:First>
          </b:Person>
        </b:NameList>
      </b:Author>
      <b:BookAuthor>
        <b:NameList>
          <b:Person>
            <b:Last>Hasan</b:Last>
            <b:First>Zoya</b:First>
          </b:Person>
          <b:Person>
            <b:Last>Sridharan</b:Last>
            <b:First>E</b:First>
          </b:Person>
          <b:Person>
            <b:Last>Sudarshan</b:Last>
            <b:First>R</b:First>
          </b:Person>
        </b:NameList>
      </b:BookAuthor>
    </b:Author>
    <b:Title>The (Im)possibility of Constitutional Justice</b:Title>
    <b:Year>2005</b:Year>
    <b:Pages>31-63</b:Pages>
    <b:BookTitle>India's Living Constitution</b:BookTitle>
    <b:City>Delhi</b:City>
    <b:Publisher>Anthem Press</b:Publisher>
    <b:RefOrder>1</b:RefOrder>
  </b:Source>
</b:Sources>
</file>

<file path=customXml/itemProps1.xml><?xml version="1.0" encoding="utf-8"?>
<ds:datastoreItem xmlns:ds="http://schemas.openxmlformats.org/officeDocument/2006/customXml" ds:itemID="{9A337573-86FB-684C-91F4-5DADA0C07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38</Pages>
  <Words>9362</Words>
  <Characters>53364</Characters>
  <Application>Microsoft Macintosh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62601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Avril Maddrell</dc:creator>
  <cp:lastModifiedBy>Katherine Brickell</cp:lastModifiedBy>
  <cp:revision>31</cp:revision>
  <cp:lastPrinted>2014-11-24T11:54:00Z</cp:lastPrinted>
  <dcterms:created xsi:type="dcterms:W3CDTF">2014-12-23T15:58:00Z</dcterms:created>
  <dcterms:modified xsi:type="dcterms:W3CDTF">2015-05-11T13:13:00Z</dcterms:modified>
</cp:coreProperties>
</file>