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B5" w:rsidRPr="00EA7D43" w:rsidRDefault="009D41DC" w:rsidP="00650EB5">
      <w:pPr>
        <w:contextualSpacing/>
      </w:pPr>
      <w:r>
        <w:tab/>
      </w:r>
      <w:r>
        <w:tab/>
      </w:r>
    </w:p>
    <w:p w:rsidR="00650EB5" w:rsidRPr="00EA7D43" w:rsidRDefault="00650EB5" w:rsidP="00650EB5">
      <w:pPr>
        <w:spacing w:line="360" w:lineRule="auto"/>
        <w:contextualSpacing/>
        <w:jc w:val="center"/>
        <w:rPr>
          <w:b/>
          <w:sz w:val="28"/>
          <w:szCs w:val="28"/>
        </w:rPr>
      </w:pPr>
      <w:r w:rsidRPr="00EA7D43">
        <w:rPr>
          <w:b/>
          <w:sz w:val="28"/>
          <w:szCs w:val="28"/>
        </w:rPr>
        <w:t xml:space="preserve">The role of contracts and intellectual property rights in </w:t>
      </w:r>
    </w:p>
    <w:p w:rsidR="00650EB5" w:rsidRPr="00EA7D43" w:rsidRDefault="00650EB5" w:rsidP="00650EB5">
      <w:pPr>
        <w:spacing w:line="360" w:lineRule="auto"/>
        <w:contextualSpacing/>
        <w:jc w:val="center"/>
        <w:rPr>
          <w:b/>
          <w:sz w:val="28"/>
          <w:szCs w:val="28"/>
        </w:rPr>
      </w:pPr>
      <w:proofErr w:type="gramStart"/>
      <w:r w:rsidRPr="00EA7D43">
        <w:rPr>
          <w:b/>
          <w:sz w:val="28"/>
          <w:szCs w:val="28"/>
        </w:rPr>
        <w:t>open</w:t>
      </w:r>
      <w:proofErr w:type="gramEnd"/>
      <w:r w:rsidRPr="00EA7D43">
        <w:rPr>
          <w:b/>
          <w:sz w:val="28"/>
          <w:szCs w:val="28"/>
        </w:rPr>
        <w:t xml:space="preserve"> innovation </w:t>
      </w:r>
    </w:p>
    <w:p w:rsidR="00650EB5" w:rsidRDefault="00650EB5" w:rsidP="00650EB5">
      <w:pPr>
        <w:contextualSpacing/>
        <w:jc w:val="center"/>
        <w:rPr>
          <w:rFonts w:eastAsia="Calibri"/>
        </w:rPr>
      </w:pPr>
    </w:p>
    <w:p w:rsidR="00650EB5" w:rsidRPr="00292B7F" w:rsidRDefault="00650EB5" w:rsidP="00650EB5">
      <w:pPr>
        <w:contextualSpacing/>
        <w:jc w:val="center"/>
        <w:rPr>
          <w:rFonts w:eastAsia="Calibri"/>
        </w:rPr>
      </w:pPr>
      <w:r w:rsidRPr="00292B7F">
        <w:rPr>
          <w:rFonts w:eastAsia="Calibri"/>
        </w:rPr>
        <w:t>John Hagedoorn* §</w:t>
      </w:r>
    </w:p>
    <w:p w:rsidR="00650EB5" w:rsidRPr="00292B7F" w:rsidRDefault="00650EB5" w:rsidP="00650EB5">
      <w:pPr>
        <w:contextualSpacing/>
        <w:jc w:val="center"/>
        <w:rPr>
          <w:rFonts w:eastAsia="Calibri"/>
        </w:rPr>
      </w:pPr>
      <w:r w:rsidRPr="00292B7F">
        <w:rPr>
          <w:rFonts w:eastAsia="Calibri"/>
        </w:rPr>
        <w:t xml:space="preserve">Ann-Kristin </w:t>
      </w:r>
      <w:proofErr w:type="spellStart"/>
      <w:r w:rsidRPr="00292B7F">
        <w:rPr>
          <w:rFonts w:eastAsia="Calibri"/>
        </w:rPr>
        <w:t>Zobel</w:t>
      </w:r>
      <w:proofErr w:type="spellEnd"/>
      <w:r w:rsidRPr="00292B7F">
        <w:rPr>
          <w:rFonts w:eastAsia="Calibri"/>
        </w:rPr>
        <w:t>**</w:t>
      </w:r>
    </w:p>
    <w:p w:rsidR="00650EB5" w:rsidRPr="00292B7F" w:rsidRDefault="00650EB5" w:rsidP="00650EB5">
      <w:pPr>
        <w:contextualSpacing/>
        <w:jc w:val="center"/>
        <w:rPr>
          <w:rFonts w:eastAsia="Calibri"/>
        </w:rPr>
      </w:pPr>
    </w:p>
    <w:p w:rsidR="00650EB5" w:rsidRPr="000D3AAB" w:rsidRDefault="00650EB5" w:rsidP="00650EB5">
      <w:pPr>
        <w:spacing w:line="240" w:lineRule="auto"/>
        <w:contextualSpacing/>
        <w:jc w:val="center"/>
        <w:rPr>
          <w:rFonts w:eastAsia="Calibri"/>
        </w:rPr>
      </w:pPr>
      <w:r>
        <w:rPr>
          <w:rFonts w:eastAsia="Calibri"/>
        </w:rPr>
        <w:t>*</w:t>
      </w:r>
      <w:r w:rsidRPr="000D3AAB">
        <w:rPr>
          <w:rFonts w:eastAsia="Calibri"/>
        </w:rPr>
        <w:t xml:space="preserve"> UNU-MERIT</w:t>
      </w:r>
    </w:p>
    <w:p w:rsidR="00650EB5" w:rsidRPr="000D3AAB" w:rsidRDefault="00650EB5" w:rsidP="00650EB5">
      <w:pPr>
        <w:spacing w:line="240" w:lineRule="auto"/>
        <w:contextualSpacing/>
        <w:jc w:val="center"/>
        <w:rPr>
          <w:rFonts w:eastAsia="Calibri"/>
        </w:rPr>
      </w:pPr>
      <w:r w:rsidRPr="000D3AAB">
        <w:rPr>
          <w:rFonts w:eastAsia="Calibri"/>
        </w:rPr>
        <w:t>Maastricht University</w:t>
      </w:r>
    </w:p>
    <w:p w:rsidR="00650EB5" w:rsidRPr="000D3AAB" w:rsidRDefault="00650EB5" w:rsidP="00650EB5">
      <w:pPr>
        <w:spacing w:line="240" w:lineRule="auto"/>
        <w:contextualSpacing/>
        <w:jc w:val="center"/>
        <w:rPr>
          <w:rFonts w:eastAsia="Calibri"/>
        </w:rPr>
      </w:pPr>
      <w:r w:rsidRPr="000D3AAB">
        <w:rPr>
          <w:rFonts w:eastAsia="Calibri"/>
        </w:rPr>
        <w:t>PO Box 616, 6200 MD Maastricht</w:t>
      </w:r>
    </w:p>
    <w:p w:rsidR="00650EB5" w:rsidRPr="000D3AAB" w:rsidRDefault="00650EB5" w:rsidP="00650EB5">
      <w:pPr>
        <w:spacing w:line="240" w:lineRule="auto"/>
        <w:contextualSpacing/>
        <w:jc w:val="center"/>
        <w:rPr>
          <w:rFonts w:eastAsia="Calibri"/>
        </w:rPr>
      </w:pPr>
      <w:r w:rsidRPr="000D3AAB">
        <w:rPr>
          <w:rFonts w:eastAsia="Calibri"/>
        </w:rPr>
        <w:t>The Netherlands</w:t>
      </w:r>
    </w:p>
    <w:p w:rsidR="00650EB5" w:rsidRPr="000D3AAB" w:rsidRDefault="00650EB5" w:rsidP="00650EB5">
      <w:pPr>
        <w:spacing w:line="240" w:lineRule="auto"/>
        <w:contextualSpacing/>
        <w:jc w:val="center"/>
        <w:rPr>
          <w:rFonts w:eastAsia="Calibri"/>
        </w:rPr>
      </w:pPr>
      <w:r w:rsidRPr="000D3AAB">
        <w:rPr>
          <w:rFonts w:eastAsia="Calibri"/>
        </w:rPr>
        <w:t>Telephone: (</w:t>
      </w:r>
      <w:proofErr w:type="gramStart"/>
      <w:r w:rsidRPr="000D3AAB">
        <w:rPr>
          <w:rFonts w:eastAsia="Calibri"/>
        </w:rPr>
        <w:t>31)43</w:t>
      </w:r>
      <w:proofErr w:type="gramEnd"/>
      <w:r w:rsidRPr="000D3AAB">
        <w:rPr>
          <w:rFonts w:eastAsia="Calibri"/>
        </w:rPr>
        <w:t>-3883823</w:t>
      </w:r>
    </w:p>
    <w:p w:rsidR="00650EB5" w:rsidRDefault="00650EB5" w:rsidP="00650EB5">
      <w:pPr>
        <w:spacing w:line="240" w:lineRule="auto"/>
        <w:contextualSpacing/>
        <w:jc w:val="center"/>
        <w:rPr>
          <w:rFonts w:eastAsia="Calibri"/>
        </w:rPr>
      </w:pPr>
      <w:r w:rsidRPr="000D3AAB">
        <w:rPr>
          <w:rFonts w:eastAsia="Calibri"/>
        </w:rPr>
        <w:t>Fax: (</w:t>
      </w:r>
      <w:proofErr w:type="gramStart"/>
      <w:r w:rsidRPr="000D3AAB">
        <w:rPr>
          <w:rFonts w:eastAsia="Calibri"/>
        </w:rPr>
        <w:t>31)43</w:t>
      </w:r>
      <w:proofErr w:type="gramEnd"/>
      <w:r w:rsidRPr="000D3AAB">
        <w:rPr>
          <w:rFonts w:eastAsia="Calibri"/>
        </w:rPr>
        <w:t>-3216518</w:t>
      </w:r>
    </w:p>
    <w:p w:rsidR="00650EB5" w:rsidRDefault="00650EB5" w:rsidP="00650EB5">
      <w:pPr>
        <w:spacing w:line="240" w:lineRule="auto"/>
        <w:contextualSpacing/>
        <w:jc w:val="center"/>
        <w:rPr>
          <w:rFonts w:eastAsia="Calibri"/>
        </w:rPr>
      </w:pPr>
      <w:r>
        <w:rPr>
          <w:rFonts w:eastAsia="Calibri"/>
        </w:rPr>
        <w:t xml:space="preserve"> </w:t>
      </w:r>
    </w:p>
    <w:p w:rsidR="00650EB5" w:rsidRDefault="00650EB5" w:rsidP="00650EB5">
      <w:pPr>
        <w:spacing w:line="240" w:lineRule="auto"/>
        <w:contextualSpacing/>
        <w:jc w:val="center"/>
        <w:rPr>
          <w:rFonts w:eastAsia="Calibri"/>
        </w:rPr>
      </w:pPr>
      <w:r>
        <w:rPr>
          <w:rFonts w:eastAsia="Calibri"/>
        </w:rPr>
        <w:t>§ School of Management</w:t>
      </w:r>
    </w:p>
    <w:p w:rsidR="00650EB5" w:rsidRDefault="00650EB5" w:rsidP="00650EB5">
      <w:pPr>
        <w:spacing w:line="240" w:lineRule="auto"/>
        <w:contextualSpacing/>
        <w:jc w:val="center"/>
        <w:rPr>
          <w:rFonts w:eastAsia="Calibri"/>
        </w:rPr>
      </w:pPr>
      <w:r>
        <w:rPr>
          <w:rFonts w:eastAsia="Calibri"/>
        </w:rPr>
        <w:t>Royal Holloway, University of London</w:t>
      </w:r>
    </w:p>
    <w:p w:rsidR="00650EB5" w:rsidRDefault="00650EB5" w:rsidP="00650EB5">
      <w:pPr>
        <w:spacing w:line="240" w:lineRule="auto"/>
        <w:contextualSpacing/>
        <w:jc w:val="center"/>
        <w:rPr>
          <w:rFonts w:eastAsia="Calibri"/>
        </w:rPr>
      </w:pPr>
      <w:proofErr w:type="spellStart"/>
      <w:r>
        <w:rPr>
          <w:rFonts w:eastAsia="Calibri"/>
        </w:rPr>
        <w:t>Egham</w:t>
      </w:r>
      <w:proofErr w:type="spellEnd"/>
      <w:r>
        <w:rPr>
          <w:rFonts w:eastAsia="Calibri"/>
        </w:rPr>
        <w:t>, Surrey</w:t>
      </w:r>
    </w:p>
    <w:p w:rsidR="00650EB5" w:rsidRDefault="00650EB5" w:rsidP="00650EB5">
      <w:pPr>
        <w:spacing w:line="240" w:lineRule="auto"/>
        <w:contextualSpacing/>
        <w:jc w:val="center"/>
        <w:rPr>
          <w:rFonts w:eastAsia="Calibri"/>
        </w:rPr>
      </w:pPr>
      <w:r>
        <w:rPr>
          <w:rFonts w:eastAsia="Calibri"/>
        </w:rPr>
        <w:t>United Kingdom</w:t>
      </w:r>
    </w:p>
    <w:p w:rsidR="00650EB5" w:rsidRDefault="00650EB5" w:rsidP="00650EB5">
      <w:pPr>
        <w:spacing w:line="240" w:lineRule="auto"/>
        <w:contextualSpacing/>
        <w:jc w:val="center"/>
        <w:rPr>
          <w:rFonts w:eastAsia="Calibri"/>
        </w:rPr>
      </w:pPr>
    </w:p>
    <w:p w:rsidR="00650EB5" w:rsidRDefault="00650EB5" w:rsidP="00650EB5">
      <w:pPr>
        <w:spacing w:line="240" w:lineRule="auto"/>
        <w:contextualSpacing/>
        <w:jc w:val="center"/>
        <w:rPr>
          <w:rFonts w:eastAsia="Calibri"/>
        </w:rPr>
      </w:pPr>
    </w:p>
    <w:p w:rsidR="00650EB5" w:rsidRPr="004A270D" w:rsidRDefault="00650EB5" w:rsidP="00650EB5">
      <w:pPr>
        <w:spacing w:line="240" w:lineRule="auto"/>
        <w:contextualSpacing/>
        <w:jc w:val="center"/>
      </w:pPr>
      <w:r w:rsidRPr="004A270D">
        <w:t>** Haas School of Business</w:t>
      </w:r>
      <w:r>
        <w:t>, Institute for Business Innovation</w:t>
      </w:r>
    </w:p>
    <w:p w:rsidR="00650EB5" w:rsidRDefault="00650EB5" w:rsidP="00650EB5">
      <w:pPr>
        <w:spacing w:line="240" w:lineRule="auto"/>
        <w:contextualSpacing/>
        <w:jc w:val="center"/>
      </w:pPr>
      <w:r w:rsidRPr="004A270D">
        <w:t>University of California</w:t>
      </w:r>
    </w:p>
    <w:p w:rsidR="00650EB5" w:rsidRDefault="00650EB5" w:rsidP="00650EB5">
      <w:pPr>
        <w:spacing w:line="240" w:lineRule="auto"/>
        <w:contextualSpacing/>
        <w:jc w:val="center"/>
      </w:pPr>
      <w:r w:rsidRPr="004A270D">
        <w:t>Berkeley</w:t>
      </w:r>
      <w:r>
        <w:t xml:space="preserve"> CA 94720-1930</w:t>
      </w:r>
    </w:p>
    <w:p w:rsidR="00650EB5" w:rsidRPr="00292B7F" w:rsidRDefault="00650EB5" w:rsidP="00650EB5">
      <w:pPr>
        <w:spacing w:line="240" w:lineRule="auto"/>
        <w:contextualSpacing/>
        <w:jc w:val="center"/>
        <w:rPr>
          <w:lang w:val="es-ES"/>
        </w:rPr>
      </w:pPr>
      <w:r w:rsidRPr="00292B7F">
        <w:rPr>
          <w:lang w:val="es-ES"/>
        </w:rPr>
        <w:t>USA</w:t>
      </w:r>
    </w:p>
    <w:p w:rsidR="00650EB5" w:rsidRPr="00292B7F" w:rsidRDefault="00650EB5" w:rsidP="00650EB5">
      <w:pPr>
        <w:spacing w:line="240" w:lineRule="auto"/>
        <w:contextualSpacing/>
        <w:jc w:val="center"/>
        <w:rPr>
          <w:lang w:val="es-ES"/>
        </w:rPr>
      </w:pPr>
    </w:p>
    <w:p w:rsidR="00650EB5" w:rsidRPr="00292B7F" w:rsidRDefault="00650EB5" w:rsidP="00650EB5">
      <w:pPr>
        <w:spacing w:line="240" w:lineRule="auto"/>
        <w:contextualSpacing/>
        <w:jc w:val="center"/>
        <w:rPr>
          <w:rFonts w:eastAsia="Calibri"/>
          <w:lang w:val="es-ES"/>
        </w:rPr>
      </w:pPr>
    </w:p>
    <w:p w:rsidR="00650EB5" w:rsidRPr="00292B7F" w:rsidRDefault="00650EB5" w:rsidP="00650EB5">
      <w:pPr>
        <w:spacing w:line="240" w:lineRule="auto"/>
        <w:contextualSpacing/>
        <w:jc w:val="center"/>
        <w:rPr>
          <w:rFonts w:eastAsia="Calibri"/>
          <w:lang w:val="es-ES"/>
        </w:rPr>
      </w:pPr>
    </w:p>
    <w:p w:rsidR="00650EB5" w:rsidRPr="00292B7F" w:rsidRDefault="00650EB5" w:rsidP="00650EB5">
      <w:pPr>
        <w:spacing w:line="240" w:lineRule="auto"/>
        <w:ind w:firstLine="708"/>
        <w:contextualSpacing/>
        <w:jc w:val="center"/>
        <w:rPr>
          <w:rFonts w:eastAsia="Calibri"/>
          <w:lang w:val="es-ES"/>
        </w:rPr>
      </w:pPr>
      <w:r w:rsidRPr="00292B7F">
        <w:rPr>
          <w:rFonts w:eastAsia="Calibri"/>
          <w:lang w:val="es-ES"/>
        </w:rPr>
        <w:t>Email:</w:t>
      </w:r>
      <w:r w:rsidRPr="00292B7F">
        <w:rPr>
          <w:rFonts w:eastAsia="Calibri"/>
          <w:lang w:val="es-ES"/>
        </w:rPr>
        <w:tab/>
        <w:t xml:space="preserve">   </w:t>
      </w:r>
      <w:hyperlink r:id="rId9" w:history="1">
        <w:r w:rsidRPr="00292B7F">
          <w:rPr>
            <w:rStyle w:val="Hyperlink"/>
            <w:rFonts w:eastAsia="Calibri"/>
            <w:lang w:val="es-ES"/>
          </w:rPr>
          <w:t>j.hagedoorn@maastrichtuniversity.nl</w:t>
        </w:r>
      </w:hyperlink>
    </w:p>
    <w:p w:rsidR="00650EB5" w:rsidRPr="004A270D" w:rsidRDefault="00650EB5" w:rsidP="00650EB5">
      <w:pPr>
        <w:spacing w:line="240" w:lineRule="auto"/>
        <w:ind w:left="2880" w:firstLine="720"/>
        <w:contextualSpacing/>
      </w:pPr>
      <w:hyperlink r:id="rId10" w:history="1">
        <w:r w:rsidRPr="008D2F42">
          <w:rPr>
            <w:rStyle w:val="Hyperlink"/>
          </w:rPr>
          <w:t>ann_zobel@haas.berkeley.edu</w:t>
        </w:r>
      </w:hyperlink>
    </w:p>
    <w:p w:rsidR="00650EB5" w:rsidRDefault="00650EB5" w:rsidP="00650EB5">
      <w:pPr>
        <w:spacing w:line="240" w:lineRule="auto"/>
        <w:contextualSpacing/>
      </w:pPr>
    </w:p>
    <w:p w:rsidR="00650EB5" w:rsidRDefault="00650EB5" w:rsidP="00650EB5">
      <w:pPr>
        <w:spacing w:line="240" w:lineRule="auto"/>
        <w:contextualSpacing/>
      </w:pPr>
    </w:p>
    <w:p w:rsidR="00650EB5" w:rsidRDefault="00650EB5" w:rsidP="00650EB5">
      <w:pPr>
        <w:spacing w:line="240" w:lineRule="auto"/>
        <w:contextualSpacing/>
      </w:pPr>
      <w:bookmarkStart w:id="0" w:name="_GoBack"/>
      <w:bookmarkEnd w:id="0"/>
    </w:p>
    <w:p w:rsidR="00650EB5" w:rsidRDefault="00650EB5" w:rsidP="00650EB5">
      <w:pPr>
        <w:spacing w:line="240" w:lineRule="auto"/>
        <w:contextualSpacing/>
        <w:jc w:val="center"/>
      </w:pPr>
      <w:r>
        <w:t>Paper accepted for publication in Technology Assessment &amp; Strategic Management</w:t>
      </w:r>
    </w:p>
    <w:p w:rsidR="00650EB5" w:rsidRDefault="00650EB5" w:rsidP="00650EB5">
      <w:pPr>
        <w:spacing w:line="240" w:lineRule="auto"/>
        <w:contextualSpacing/>
      </w:pPr>
    </w:p>
    <w:p w:rsidR="00650EB5" w:rsidRDefault="00650EB5" w:rsidP="00650EB5">
      <w:pPr>
        <w:spacing w:line="240" w:lineRule="auto"/>
        <w:contextualSpacing/>
      </w:pPr>
    </w:p>
    <w:p w:rsidR="00650EB5" w:rsidRDefault="00650EB5" w:rsidP="00650EB5">
      <w:pPr>
        <w:spacing w:line="240" w:lineRule="auto"/>
        <w:contextualSpacing/>
      </w:pPr>
    </w:p>
    <w:p w:rsidR="00650EB5" w:rsidRDefault="00650EB5" w:rsidP="00650EB5">
      <w:pPr>
        <w:spacing w:line="240" w:lineRule="auto"/>
        <w:contextualSpacing/>
      </w:pPr>
    </w:p>
    <w:p w:rsidR="00650EB5" w:rsidRDefault="00650EB5" w:rsidP="00650EB5">
      <w:pPr>
        <w:spacing w:line="240" w:lineRule="auto"/>
        <w:contextualSpacing/>
      </w:pPr>
      <w:r w:rsidRPr="003A6E82">
        <w:t xml:space="preserve">The authors thank Henry </w:t>
      </w:r>
      <w:proofErr w:type="spellStart"/>
      <w:r w:rsidRPr="003A6E82">
        <w:t>Chesbrough</w:t>
      </w:r>
      <w:proofErr w:type="spellEnd"/>
      <w:r>
        <w:t xml:space="preserve">, </w:t>
      </w:r>
      <w:proofErr w:type="spellStart"/>
      <w:r w:rsidRPr="003A6E82">
        <w:t>Myriam</w:t>
      </w:r>
      <w:proofErr w:type="spellEnd"/>
      <w:r w:rsidRPr="003A6E82">
        <w:t xml:space="preserve"> </w:t>
      </w:r>
      <w:proofErr w:type="spellStart"/>
      <w:r w:rsidRPr="003A6E82">
        <w:t>Cloodt</w:t>
      </w:r>
      <w:proofErr w:type="spellEnd"/>
      <w:r w:rsidRPr="003A6E82">
        <w:t xml:space="preserve">, </w:t>
      </w:r>
      <w:proofErr w:type="spellStart"/>
      <w:r w:rsidRPr="003A6E82">
        <w:t>Wilko</w:t>
      </w:r>
      <w:proofErr w:type="spellEnd"/>
      <w:r w:rsidRPr="003A6E82">
        <w:t xml:space="preserve"> </w:t>
      </w:r>
      <w:proofErr w:type="spellStart"/>
      <w:r w:rsidRPr="003A6E82">
        <w:t>Letterie</w:t>
      </w:r>
      <w:proofErr w:type="spellEnd"/>
      <w:r>
        <w:t xml:space="preserve">, Joel West, </w:t>
      </w:r>
      <w:r w:rsidRPr="003A6E82">
        <w:t xml:space="preserve">seminar participants at </w:t>
      </w:r>
      <w:r>
        <w:t xml:space="preserve">ESADE Barcelona, Imperial College, Maastricht University, University of Mannheim, and RWTH Aachen University </w:t>
      </w:r>
      <w:r w:rsidRPr="003A6E82">
        <w:t xml:space="preserve">for their comments and useful suggestions. The authors also thank </w:t>
      </w:r>
      <w:proofErr w:type="spellStart"/>
      <w:r w:rsidRPr="003A6E82">
        <w:t>Wim</w:t>
      </w:r>
      <w:proofErr w:type="spellEnd"/>
      <w:r w:rsidRPr="003A6E82">
        <w:t xml:space="preserve"> </w:t>
      </w:r>
      <w:proofErr w:type="spellStart"/>
      <w:r w:rsidRPr="003A6E82">
        <w:t>Vanhaverbeke</w:t>
      </w:r>
      <w:proofErr w:type="spellEnd"/>
      <w:r w:rsidRPr="003A6E82">
        <w:t xml:space="preserve"> for supporting the data collection via </w:t>
      </w:r>
      <w:proofErr w:type="spellStart"/>
      <w:r w:rsidRPr="003A6E82">
        <w:t>Exnovate</w:t>
      </w:r>
      <w:proofErr w:type="spellEnd"/>
      <w:r w:rsidRPr="003A6E82">
        <w:t>.</w:t>
      </w:r>
      <w:r w:rsidR="009D41DC">
        <w:tab/>
      </w:r>
      <w:r w:rsidR="009D41DC">
        <w:tab/>
      </w:r>
      <w:r w:rsidR="009D41DC">
        <w:tab/>
      </w:r>
      <w:r w:rsidR="009D41DC">
        <w:tab/>
        <w:t xml:space="preserve">       </w:t>
      </w:r>
      <w:r w:rsidR="00786966">
        <w:tab/>
      </w:r>
      <w:r w:rsidR="00050FFF">
        <w:tab/>
      </w:r>
    </w:p>
    <w:p w:rsidR="00650EB5" w:rsidRDefault="00650EB5" w:rsidP="002C118C">
      <w:pPr>
        <w:contextualSpacing/>
      </w:pPr>
    </w:p>
    <w:p w:rsidR="00650EB5" w:rsidRDefault="00650EB5" w:rsidP="002C118C">
      <w:pPr>
        <w:contextualSpacing/>
      </w:pPr>
    </w:p>
    <w:p w:rsidR="00D77737" w:rsidRDefault="00D77737" w:rsidP="00AD3A23">
      <w:pPr>
        <w:spacing w:line="240" w:lineRule="auto"/>
        <w:contextualSpacing/>
      </w:pPr>
    </w:p>
    <w:p w:rsidR="0080226B" w:rsidRDefault="0080226B" w:rsidP="00AD3A23">
      <w:pPr>
        <w:spacing w:line="240" w:lineRule="auto"/>
        <w:contextualSpacing/>
      </w:pPr>
    </w:p>
    <w:p w:rsidR="0080226B" w:rsidRPr="00AD3A23" w:rsidRDefault="0080226B" w:rsidP="00AD3A23">
      <w:pPr>
        <w:spacing w:line="240" w:lineRule="auto"/>
        <w:contextualSpacing/>
      </w:pPr>
    </w:p>
    <w:p w:rsidR="009D3982" w:rsidRPr="00EA7D43" w:rsidRDefault="00166A57" w:rsidP="004A5CE5">
      <w:pPr>
        <w:spacing w:line="360" w:lineRule="auto"/>
        <w:contextualSpacing/>
        <w:jc w:val="center"/>
        <w:rPr>
          <w:b/>
          <w:sz w:val="28"/>
          <w:szCs w:val="28"/>
        </w:rPr>
      </w:pPr>
      <w:r w:rsidRPr="00EA7D43">
        <w:rPr>
          <w:b/>
          <w:sz w:val="28"/>
          <w:szCs w:val="28"/>
        </w:rPr>
        <w:t xml:space="preserve">The role of contracts and intellectual property rights in </w:t>
      </w:r>
    </w:p>
    <w:p w:rsidR="00166A57" w:rsidRDefault="00166A57" w:rsidP="006C2518">
      <w:pPr>
        <w:spacing w:line="360" w:lineRule="auto"/>
        <w:contextualSpacing/>
        <w:jc w:val="center"/>
        <w:rPr>
          <w:b/>
        </w:rPr>
      </w:pPr>
      <w:proofErr w:type="gramStart"/>
      <w:r w:rsidRPr="00EA7D43">
        <w:rPr>
          <w:b/>
          <w:sz w:val="28"/>
          <w:szCs w:val="28"/>
        </w:rPr>
        <w:t>open</w:t>
      </w:r>
      <w:proofErr w:type="gramEnd"/>
      <w:r w:rsidRPr="00EA7D43">
        <w:rPr>
          <w:b/>
          <w:sz w:val="28"/>
          <w:szCs w:val="28"/>
        </w:rPr>
        <w:t xml:space="preserve"> innovation</w:t>
      </w:r>
    </w:p>
    <w:p w:rsidR="006C2518" w:rsidRDefault="006C2518" w:rsidP="004A5CE5">
      <w:pPr>
        <w:contextualSpacing/>
        <w:rPr>
          <w:b/>
        </w:rPr>
      </w:pPr>
    </w:p>
    <w:p w:rsidR="00241F05" w:rsidRDefault="006C2518" w:rsidP="00241F05">
      <w:pPr>
        <w:contextualSpacing/>
        <w:jc w:val="center"/>
      </w:pPr>
      <w:r>
        <w:rPr>
          <w:b/>
        </w:rPr>
        <w:t>Abstract:</w:t>
      </w:r>
    </w:p>
    <w:p w:rsidR="00241F05" w:rsidRDefault="006E61DC" w:rsidP="00241F05">
      <w:pPr>
        <w:contextualSpacing/>
        <w:rPr>
          <w:color w:val="008000"/>
        </w:rPr>
      </w:pPr>
      <w:r>
        <w:t xml:space="preserve">Our exploratory </w:t>
      </w:r>
      <w:r w:rsidR="00DA5688">
        <w:t xml:space="preserve">empirical study, based on </w:t>
      </w:r>
      <w:r w:rsidR="00241F05" w:rsidRPr="00EA7D43">
        <w:t xml:space="preserve">interviews and a survey of firms, addresses a number of questions on the role of formal contracts and intellectual property rights in the context of firm-to-firm open innovation. We find that firms active in open innovation have a very strong preference for the governance of their open innovation relationships with other firms through formal contracts. Also, despite the open nature of open innovation, firms still see intellectual property rights as highly relevant to the protection of their innovative capabilities. We find the degree of openness of firms, their </w:t>
      </w:r>
      <w:r w:rsidR="00241F05" w:rsidRPr="00EA7D43">
        <w:rPr>
          <w:rFonts w:eastAsiaTheme="minorHAnsi"/>
        </w:rPr>
        <w:t>formal legal attitude</w:t>
      </w:r>
      <w:r w:rsidR="00241F05" w:rsidRPr="00EA7D43">
        <w:t>, and the competitive dynamics of their product market environment to be related to the preference of open innovation firms for intellectual property rights. Furthermore, the strength of firms’ internal R&amp;D capabilities increases the positive relationship between openness and the preference for intellectual property rights.</w:t>
      </w:r>
      <w:r w:rsidR="00241F05" w:rsidRPr="00780014">
        <w:rPr>
          <w:color w:val="008000"/>
        </w:rPr>
        <w:t xml:space="preserve"> </w:t>
      </w:r>
      <w:r w:rsidR="00241F05">
        <w:rPr>
          <w:color w:val="008000"/>
        </w:rPr>
        <w:t xml:space="preserve"> </w:t>
      </w:r>
    </w:p>
    <w:p w:rsidR="00241F05" w:rsidRDefault="00241F05" w:rsidP="00241F05">
      <w:pPr>
        <w:contextualSpacing/>
      </w:pPr>
      <w:r>
        <w:t>(1</w:t>
      </w:r>
      <w:r w:rsidR="006E61DC">
        <w:t>42</w:t>
      </w:r>
      <w:r w:rsidRPr="00241F05">
        <w:t xml:space="preserve"> words)</w:t>
      </w:r>
    </w:p>
    <w:p w:rsidR="00241F05" w:rsidRDefault="00241F05" w:rsidP="00241F05">
      <w:pPr>
        <w:contextualSpacing/>
      </w:pPr>
    </w:p>
    <w:p w:rsidR="00241F05" w:rsidRPr="0017400D" w:rsidRDefault="00241F05" w:rsidP="00241F05">
      <w:pPr>
        <w:contextualSpacing/>
        <w:rPr>
          <w:color w:val="FF0000"/>
        </w:rPr>
      </w:pPr>
      <w:r>
        <w:t>Key words: open innovation, contracts, intellectual property rights</w:t>
      </w:r>
    </w:p>
    <w:p w:rsidR="00241F05" w:rsidRDefault="00241F05" w:rsidP="004A5CE5">
      <w:pPr>
        <w:contextualSpacing/>
      </w:pPr>
    </w:p>
    <w:p w:rsidR="00C5398E" w:rsidRDefault="00C5398E" w:rsidP="004A5CE5">
      <w:pPr>
        <w:contextualSpacing/>
        <w:rPr>
          <w:color w:val="FF0000"/>
        </w:rPr>
      </w:pPr>
    </w:p>
    <w:p w:rsidR="00D779D4" w:rsidRDefault="00D779D4" w:rsidP="004A5CE5">
      <w:pPr>
        <w:contextualSpacing/>
        <w:rPr>
          <w:color w:val="FF0000"/>
        </w:rPr>
      </w:pPr>
    </w:p>
    <w:p w:rsidR="00D779D4" w:rsidRDefault="00D779D4" w:rsidP="004A5CE5">
      <w:pPr>
        <w:contextualSpacing/>
        <w:rPr>
          <w:color w:val="FF0066"/>
        </w:rPr>
      </w:pPr>
    </w:p>
    <w:p w:rsidR="0080226B" w:rsidRDefault="0080226B" w:rsidP="004A5CE5">
      <w:pPr>
        <w:contextualSpacing/>
        <w:rPr>
          <w:b/>
        </w:rPr>
      </w:pPr>
    </w:p>
    <w:p w:rsidR="00B4045C" w:rsidRPr="009E3996" w:rsidRDefault="00245CD9" w:rsidP="004A5CE5">
      <w:pPr>
        <w:contextualSpacing/>
      </w:pPr>
      <w:r w:rsidRPr="009E3996">
        <w:rPr>
          <w:b/>
        </w:rPr>
        <w:lastRenderedPageBreak/>
        <w:t xml:space="preserve">INTRODUCTION </w:t>
      </w:r>
    </w:p>
    <w:p w:rsidR="00D758FF" w:rsidRPr="009E3996" w:rsidRDefault="00B17F46" w:rsidP="004A5CE5">
      <w:pPr>
        <w:contextualSpacing/>
      </w:pPr>
      <w:r w:rsidRPr="009E3996">
        <w:t>Globalization</w:t>
      </w:r>
      <w:r w:rsidR="002710B2" w:rsidRPr="009E3996">
        <w:t xml:space="preserve">, </w:t>
      </w:r>
      <w:r w:rsidR="00E37094" w:rsidRPr="009E3996">
        <w:t>increasing</w:t>
      </w:r>
      <w:r w:rsidR="00E045E5" w:rsidRPr="009E3996">
        <w:t xml:space="preserve"> technological complexity and a </w:t>
      </w:r>
      <w:r w:rsidRPr="009E3996">
        <w:t>variety</w:t>
      </w:r>
      <w:r w:rsidR="00E045E5" w:rsidRPr="009E3996">
        <w:t xml:space="preserve"> of other environmental, strategic, and economic factors </w:t>
      </w:r>
      <w:r w:rsidRPr="009E3996">
        <w:t xml:space="preserve">have </w:t>
      </w:r>
      <w:r w:rsidR="00855FE9" w:rsidRPr="009E3996">
        <w:t>forced firms to shift</w:t>
      </w:r>
      <w:r w:rsidRPr="009E3996">
        <w:t xml:space="preserve"> the</w:t>
      </w:r>
      <w:r w:rsidR="00855FE9" w:rsidRPr="009E3996">
        <w:t>ir</w:t>
      </w:r>
      <w:r w:rsidRPr="009E3996">
        <w:t xml:space="preserve"> focus from closed innovatio</w:t>
      </w:r>
      <w:r w:rsidR="00855FE9" w:rsidRPr="009E3996">
        <w:t xml:space="preserve">n, which relies </w:t>
      </w:r>
      <w:r w:rsidR="00A364F3" w:rsidRPr="009E3996">
        <w:t xml:space="preserve">primarily </w:t>
      </w:r>
      <w:r w:rsidR="00855FE9" w:rsidRPr="009E3996">
        <w:t xml:space="preserve">on internal </w:t>
      </w:r>
      <w:r w:rsidR="000B21DF" w:rsidRPr="009E3996">
        <w:t xml:space="preserve">R&amp;D </w:t>
      </w:r>
      <w:r w:rsidR="00855FE9" w:rsidRPr="009E3996">
        <w:t xml:space="preserve">, </w:t>
      </w:r>
      <w:r w:rsidRPr="009E3996">
        <w:t>to a model of ‘open innovation’</w:t>
      </w:r>
      <w:r w:rsidR="00B80FC7" w:rsidRPr="009E3996">
        <w:t>(OI)</w:t>
      </w:r>
      <w:r w:rsidR="00665180" w:rsidRPr="009E3996">
        <w:t xml:space="preserve"> (</w:t>
      </w:r>
      <w:r w:rsidR="002063BD" w:rsidRPr="009E3996">
        <w:t xml:space="preserve">e.g. </w:t>
      </w:r>
      <w:proofErr w:type="spellStart"/>
      <w:r w:rsidR="00E37094" w:rsidRPr="009E3996">
        <w:t>Chesbrough</w:t>
      </w:r>
      <w:proofErr w:type="spellEnd"/>
      <w:r w:rsidR="00E37094" w:rsidRPr="009E3996">
        <w:t xml:space="preserve">, 2003; </w:t>
      </w:r>
      <w:r w:rsidR="00B80FC7" w:rsidRPr="009E3996">
        <w:t xml:space="preserve">2006a; </w:t>
      </w:r>
      <w:r w:rsidR="005F4728" w:rsidRPr="009E3996">
        <w:t>West and</w:t>
      </w:r>
      <w:r w:rsidR="00395691" w:rsidRPr="009E3996">
        <w:t xml:space="preserve"> </w:t>
      </w:r>
      <w:proofErr w:type="spellStart"/>
      <w:r w:rsidR="00395691" w:rsidRPr="009E3996">
        <w:t>Bogers</w:t>
      </w:r>
      <w:proofErr w:type="spellEnd"/>
      <w:r w:rsidR="00395691" w:rsidRPr="009E3996">
        <w:t>, 2014</w:t>
      </w:r>
      <w:r w:rsidR="00665180" w:rsidRPr="009E3996">
        <w:t>)</w:t>
      </w:r>
      <w:r w:rsidR="002710B2" w:rsidRPr="009E3996">
        <w:t>.</w:t>
      </w:r>
      <w:r w:rsidR="005A5FD9" w:rsidRPr="009E3996">
        <w:t xml:space="preserve"> While the traditional </w:t>
      </w:r>
      <w:r w:rsidR="002710B2" w:rsidRPr="009E3996">
        <w:t xml:space="preserve">closed innovation </w:t>
      </w:r>
      <w:r w:rsidR="005A5FD9" w:rsidRPr="009E3996">
        <w:t>model is based on a logic of internal focus and control</w:t>
      </w:r>
      <w:r w:rsidR="00855FE9" w:rsidRPr="009E3996">
        <w:t xml:space="preserve">, </w:t>
      </w:r>
      <w:r w:rsidR="008F54FE" w:rsidRPr="009E3996">
        <w:t xml:space="preserve">the </w:t>
      </w:r>
      <w:r w:rsidR="00B80FC7" w:rsidRPr="009E3996">
        <w:t xml:space="preserve">OI </w:t>
      </w:r>
      <w:r w:rsidR="008F54FE" w:rsidRPr="009E3996">
        <w:t>model suggests that</w:t>
      </w:r>
      <w:r w:rsidR="002710B2" w:rsidRPr="009E3996">
        <w:t xml:space="preserve"> firms </w:t>
      </w:r>
      <w:r w:rsidR="008F54FE" w:rsidRPr="009E3996">
        <w:t xml:space="preserve">increasingly </w:t>
      </w:r>
      <w:r w:rsidRPr="009E3996">
        <w:t>open</w:t>
      </w:r>
      <w:r w:rsidR="002710B2" w:rsidRPr="009E3996">
        <w:t xml:space="preserve"> up their boundari</w:t>
      </w:r>
      <w:r w:rsidR="00CC5BF5" w:rsidRPr="009E3996">
        <w:t>es</w:t>
      </w:r>
      <w:r w:rsidRPr="009E3996">
        <w:t xml:space="preserve">, </w:t>
      </w:r>
      <w:r w:rsidR="0004427A" w:rsidRPr="009E3996">
        <w:t>access external sources of knowledge and technology</w:t>
      </w:r>
      <w:r w:rsidRPr="009E3996">
        <w:t xml:space="preserve">, and bring </w:t>
      </w:r>
      <w:r w:rsidR="002710B2" w:rsidRPr="009E3996">
        <w:t>in-house inventions to markets via external path</w:t>
      </w:r>
      <w:r w:rsidR="00381BD5" w:rsidRPr="009E3996">
        <w:t>s (</w:t>
      </w:r>
      <w:r w:rsidR="00CC5BF5" w:rsidRPr="009E3996">
        <w:t xml:space="preserve">e.g. </w:t>
      </w:r>
      <w:r w:rsidR="004C4768" w:rsidRPr="009E3996">
        <w:t>Dahlander and Gann, 2010</w:t>
      </w:r>
      <w:r w:rsidR="00CC5BF5" w:rsidRPr="009E3996">
        <w:t>; Foss et al., 2010</w:t>
      </w:r>
      <w:r w:rsidR="00F57EFF" w:rsidRPr="009E3996">
        <w:t>; Bae and Chang, 2012</w:t>
      </w:r>
      <w:r w:rsidR="00381BD5" w:rsidRPr="009E3996">
        <w:t xml:space="preserve">). </w:t>
      </w:r>
      <w:r w:rsidR="000B21DF" w:rsidRPr="009E3996">
        <w:t>T</w:t>
      </w:r>
      <w:r w:rsidR="002710B2" w:rsidRPr="009E3996">
        <w:t xml:space="preserve">he </w:t>
      </w:r>
      <w:r w:rsidR="00085BC8" w:rsidRPr="009E3996">
        <w:t xml:space="preserve">core idea of </w:t>
      </w:r>
      <w:r w:rsidR="00B80FC7" w:rsidRPr="009E3996">
        <w:t xml:space="preserve">OI </w:t>
      </w:r>
      <w:r w:rsidR="00085BC8" w:rsidRPr="009E3996">
        <w:t xml:space="preserve">refers to </w:t>
      </w:r>
      <w:r w:rsidR="002710B2" w:rsidRPr="009E3996">
        <w:t>the exchange of knowledge of firms with a diversity of external sources (competitors, customers, start-ups, suppliers, universities and a range of other organizations and institutions) through different mechanisms (collaborative R&amp;D, corporate venturing, crowdsourcing, licensing, etc.) (</w:t>
      </w:r>
      <w:proofErr w:type="gramStart"/>
      <w:r w:rsidR="0017400D" w:rsidRPr="009E3996">
        <w:t>e</w:t>
      </w:r>
      <w:proofErr w:type="gramEnd"/>
      <w:r w:rsidR="0017400D" w:rsidRPr="009E3996">
        <w:t xml:space="preserve">.g. </w:t>
      </w:r>
      <w:r w:rsidR="002710B2" w:rsidRPr="009E3996">
        <w:t>Laursen and Salter, 2006</w:t>
      </w:r>
      <w:r w:rsidR="00F57EFF" w:rsidRPr="009E3996">
        <w:t xml:space="preserve">; </w:t>
      </w:r>
      <w:proofErr w:type="spellStart"/>
      <w:r w:rsidR="00F57EFF" w:rsidRPr="009E3996">
        <w:t>Grimpe</w:t>
      </w:r>
      <w:proofErr w:type="spellEnd"/>
      <w:r w:rsidR="00F57EFF" w:rsidRPr="009E3996">
        <w:t xml:space="preserve"> and </w:t>
      </w:r>
      <w:proofErr w:type="spellStart"/>
      <w:r w:rsidR="00F57EFF" w:rsidRPr="009E3996">
        <w:t>Sofka</w:t>
      </w:r>
      <w:proofErr w:type="spellEnd"/>
      <w:r w:rsidR="00F57EFF" w:rsidRPr="009E3996">
        <w:t>, 2009</w:t>
      </w:r>
      <w:r w:rsidR="00AD68C7" w:rsidRPr="009E3996">
        <w:t xml:space="preserve">; </w:t>
      </w:r>
      <w:proofErr w:type="spellStart"/>
      <w:r w:rsidR="00AD68C7" w:rsidRPr="009E3996">
        <w:t>Huizingh</w:t>
      </w:r>
      <w:proofErr w:type="spellEnd"/>
      <w:r w:rsidR="00AD68C7" w:rsidRPr="009E3996">
        <w:t>, 2011</w:t>
      </w:r>
      <w:r w:rsidR="002710B2" w:rsidRPr="009E3996">
        <w:t>).</w:t>
      </w:r>
      <w:r w:rsidR="00786966" w:rsidRPr="009E3996">
        <w:rPr>
          <w:rStyle w:val="FootnoteReference"/>
        </w:rPr>
        <w:footnoteReference w:id="1"/>
      </w:r>
      <w:r w:rsidR="002710B2" w:rsidRPr="009E3996">
        <w:t xml:space="preserve"> </w:t>
      </w:r>
    </w:p>
    <w:p w:rsidR="0017400D" w:rsidRPr="009E3996" w:rsidRDefault="00F57EFF" w:rsidP="00F57EFF">
      <w:pPr>
        <w:ind w:firstLine="720"/>
        <w:contextualSpacing/>
      </w:pPr>
      <w:r w:rsidRPr="009E3996">
        <w:t>T</w:t>
      </w:r>
      <w:r w:rsidR="0004427A" w:rsidRPr="009E3996">
        <w:t>his</w:t>
      </w:r>
      <w:r w:rsidR="00DA5688">
        <w:t xml:space="preserve"> transformation </w:t>
      </w:r>
      <w:r w:rsidR="00A364F3" w:rsidRPr="009E3996">
        <w:t xml:space="preserve">from a closed to an open </w:t>
      </w:r>
      <w:r w:rsidR="005E5C13" w:rsidRPr="009E3996">
        <w:t xml:space="preserve">innovation </w:t>
      </w:r>
      <w:r w:rsidR="00A364F3" w:rsidRPr="009E3996">
        <w:t xml:space="preserve">model creates </w:t>
      </w:r>
      <w:r w:rsidR="00E169A3" w:rsidRPr="009E3996">
        <w:t xml:space="preserve">a number of </w:t>
      </w:r>
      <w:r w:rsidR="002710B2" w:rsidRPr="009E3996">
        <w:t xml:space="preserve">new </w:t>
      </w:r>
      <w:r w:rsidR="00665180" w:rsidRPr="009E3996">
        <w:t>strategic</w:t>
      </w:r>
      <w:r w:rsidR="00D758FF" w:rsidRPr="009E3996">
        <w:t>, organizational and managerial</w:t>
      </w:r>
      <w:r w:rsidR="002710B2" w:rsidRPr="009E3996">
        <w:t xml:space="preserve"> challenges</w:t>
      </w:r>
      <w:r w:rsidR="00D758FF" w:rsidRPr="009E3996">
        <w:t xml:space="preserve"> (e.g. </w:t>
      </w:r>
      <w:proofErr w:type="spellStart"/>
      <w:r w:rsidR="003140F2" w:rsidRPr="009E3996">
        <w:t>Sieg</w:t>
      </w:r>
      <w:proofErr w:type="spellEnd"/>
      <w:r w:rsidR="003140F2" w:rsidRPr="009E3996">
        <w:t xml:space="preserve">, </w:t>
      </w:r>
      <w:proofErr w:type="spellStart"/>
      <w:r w:rsidR="003140F2" w:rsidRPr="009E3996">
        <w:t>Wallin</w:t>
      </w:r>
      <w:proofErr w:type="spellEnd"/>
      <w:r w:rsidR="003140F2" w:rsidRPr="009E3996">
        <w:t xml:space="preserve">, and von Krogh, 2010; </w:t>
      </w:r>
      <w:r w:rsidR="00D758FF" w:rsidRPr="009E3996">
        <w:t>Pullen et al., 2012</w:t>
      </w:r>
      <w:r w:rsidR="00D95F8C" w:rsidRPr="009E3996">
        <w:t xml:space="preserve">; </w:t>
      </w:r>
      <w:proofErr w:type="spellStart"/>
      <w:r w:rsidR="00D95F8C" w:rsidRPr="009E3996">
        <w:t>Salge</w:t>
      </w:r>
      <w:proofErr w:type="spellEnd"/>
      <w:r w:rsidR="00D95F8C" w:rsidRPr="009E3996">
        <w:t xml:space="preserve"> et al., 2013</w:t>
      </w:r>
      <w:r w:rsidR="00D758FF" w:rsidRPr="009E3996">
        <w:t>)</w:t>
      </w:r>
      <w:r w:rsidR="002710B2" w:rsidRPr="009E3996">
        <w:t xml:space="preserve">. </w:t>
      </w:r>
      <w:r w:rsidR="00E169A3" w:rsidRPr="009E3996">
        <w:t xml:space="preserve">Two </w:t>
      </w:r>
      <w:r w:rsidR="00E045E5" w:rsidRPr="009E3996">
        <w:t>of the</w:t>
      </w:r>
      <w:r w:rsidR="00A364F3" w:rsidRPr="009E3996">
        <w:t xml:space="preserve"> main</w:t>
      </w:r>
      <w:r w:rsidR="00E169A3" w:rsidRPr="009E3996">
        <w:t xml:space="preserve"> challenges refer</w:t>
      </w:r>
      <w:r w:rsidR="00E045E5" w:rsidRPr="009E3996">
        <w:t xml:space="preserve"> to </w:t>
      </w:r>
      <w:r w:rsidR="00A364F3" w:rsidRPr="009E3996">
        <w:t xml:space="preserve">the </w:t>
      </w:r>
      <w:r w:rsidR="00E169A3" w:rsidRPr="009E3996">
        <w:t xml:space="preserve">governance and </w:t>
      </w:r>
      <w:r w:rsidR="00A364F3" w:rsidRPr="009E3996">
        <w:t>control of</w:t>
      </w:r>
      <w:r w:rsidR="008F54FE" w:rsidRPr="009E3996">
        <w:t xml:space="preserve"> cooperative innovation processes and </w:t>
      </w:r>
      <w:r w:rsidR="00A364F3" w:rsidRPr="009E3996">
        <w:t>the management of</w:t>
      </w:r>
      <w:r w:rsidR="0004427A" w:rsidRPr="009E3996">
        <w:t xml:space="preserve"> the</w:t>
      </w:r>
      <w:r w:rsidR="008F54FE" w:rsidRPr="009E3996">
        <w:t xml:space="preserve"> intellectual property </w:t>
      </w:r>
      <w:r w:rsidR="0004427A" w:rsidRPr="009E3996">
        <w:t>of diverse parties</w:t>
      </w:r>
      <w:r w:rsidR="009915A0" w:rsidRPr="009E3996">
        <w:t xml:space="preserve"> (</w:t>
      </w:r>
      <w:proofErr w:type="gramStart"/>
      <w:r w:rsidR="00277B2E" w:rsidRPr="009E3996">
        <w:t>;</w:t>
      </w:r>
      <w:r w:rsidR="00B80FC7" w:rsidRPr="009E3996">
        <w:t>e.g</w:t>
      </w:r>
      <w:proofErr w:type="gramEnd"/>
      <w:r w:rsidR="00B80FC7" w:rsidRPr="009E3996">
        <w:t>.</w:t>
      </w:r>
      <w:r w:rsidR="00277B2E" w:rsidRPr="009E3996">
        <w:t xml:space="preserve"> </w:t>
      </w:r>
      <w:proofErr w:type="spellStart"/>
      <w:r w:rsidR="00713DEF" w:rsidRPr="009E3996">
        <w:t>Chesbrough</w:t>
      </w:r>
      <w:proofErr w:type="spellEnd"/>
      <w:r w:rsidR="00713DEF" w:rsidRPr="009E3996">
        <w:t xml:space="preserve">, 2006a,b; </w:t>
      </w:r>
      <w:r w:rsidR="00277B2E" w:rsidRPr="009E3996">
        <w:t>Graham and Mowery, 2006</w:t>
      </w:r>
      <w:r w:rsidR="00A734E7" w:rsidRPr="009E3996">
        <w:t>;</w:t>
      </w:r>
      <w:r w:rsidR="00546BC7" w:rsidRPr="009E3996">
        <w:t xml:space="preserve"> </w:t>
      </w:r>
      <w:r w:rsidR="00A734E7" w:rsidRPr="009E3996">
        <w:t>West, 2006</w:t>
      </w:r>
      <w:r w:rsidR="00111FB6" w:rsidRPr="009E3996">
        <w:t>; Laursen &amp; Salter, 2014</w:t>
      </w:r>
      <w:r w:rsidR="00B80FC7" w:rsidRPr="009E3996">
        <w:t>;</w:t>
      </w:r>
      <w:r w:rsidR="00713DEF" w:rsidRPr="009E3996">
        <w:t xml:space="preserve"> </w:t>
      </w:r>
      <w:proofErr w:type="spellStart"/>
      <w:r w:rsidR="00713DEF" w:rsidRPr="009E3996">
        <w:t>Ritala</w:t>
      </w:r>
      <w:proofErr w:type="spellEnd"/>
      <w:r w:rsidR="00713DEF" w:rsidRPr="009E3996">
        <w:t xml:space="preserve"> and </w:t>
      </w:r>
      <w:proofErr w:type="spellStart"/>
      <w:r w:rsidR="00713DEF" w:rsidRPr="009E3996">
        <w:t>Hurmelinna</w:t>
      </w:r>
      <w:proofErr w:type="spellEnd"/>
      <w:r w:rsidR="00713DEF" w:rsidRPr="009E3996">
        <w:t xml:space="preserve"> </w:t>
      </w:r>
      <w:proofErr w:type="spellStart"/>
      <w:r w:rsidR="00713DEF" w:rsidRPr="009E3996">
        <w:t>Laukkanen</w:t>
      </w:r>
      <w:proofErr w:type="spellEnd"/>
      <w:r w:rsidR="00713DEF" w:rsidRPr="009E3996">
        <w:t>, 2013</w:t>
      </w:r>
      <w:r w:rsidR="008F54FE" w:rsidRPr="009E3996">
        <w:t xml:space="preserve">). </w:t>
      </w:r>
      <w:r w:rsidR="00B80FC7" w:rsidRPr="009E3996">
        <w:t xml:space="preserve">In particular, loss of control, increased coordination costs, </w:t>
      </w:r>
      <w:r w:rsidR="00713DEF" w:rsidRPr="009E3996">
        <w:t xml:space="preserve">diffuse property rights, </w:t>
      </w:r>
      <w:r w:rsidR="00B80FC7" w:rsidRPr="009E3996">
        <w:t xml:space="preserve">risks of opportunistic behavior, as well as unintended knowledge flows complicate the </w:t>
      </w:r>
      <w:r w:rsidR="00713DEF" w:rsidRPr="009E3996">
        <w:t xml:space="preserve">governance </w:t>
      </w:r>
      <w:r w:rsidR="00713DEF" w:rsidRPr="009E3996">
        <w:lastRenderedPageBreak/>
        <w:t xml:space="preserve">and control of </w:t>
      </w:r>
      <w:r w:rsidR="00B80FC7" w:rsidRPr="009E3996">
        <w:t xml:space="preserve">relationships </w:t>
      </w:r>
      <w:r w:rsidR="00713DEF" w:rsidRPr="009E3996">
        <w:t xml:space="preserve">in an OI context </w:t>
      </w:r>
      <w:r w:rsidR="00B80FC7" w:rsidRPr="009E3996">
        <w:t xml:space="preserve">(e.g. </w:t>
      </w:r>
      <w:proofErr w:type="spellStart"/>
      <w:r w:rsidR="00B80FC7" w:rsidRPr="009E3996">
        <w:t>Almirall</w:t>
      </w:r>
      <w:proofErr w:type="spellEnd"/>
      <w:r w:rsidR="00B80FC7" w:rsidRPr="009E3996">
        <w:t xml:space="preserve"> and </w:t>
      </w:r>
      <w:proofErr w:type="spellStart"/>
      <w:r w:rsidR="00B80FC7" w:rsidRPr="009E3996">
        <w:t>Casadesus-Masanell</w:t>
      </w:r>
      <w:proofErr w:type="spellEnd"/>
      <w:r w:rsidR="00B80FC7" w:rsidRPr="009E3996">
        <w:t xml:space="preserve">; </w:t>
      </w:r>
      <w:r w:rsidR="005E5C13" w:rsidRPr="009E3996">
        <w:t xml:space="preserve">2010; </w:t>
      </w:r>
      <w:proofErr w:type="spellStart"/>
      <w:r w:rsidR="00B80FC7" w:rsidRPr="009E3996">
        <w:t>Enkel</w:t>
      </w:r>
      <w:proofErr w:type="spellEnd"/>
      <w:r w:rsidR="00B80FC7" w:rsidRPr="009E3996">
        <w:t xml:space="preserve">, </w:t>
      </w:r>
      <w:proofErr w:type="spellStart"/>
      <w:r w:rsidR="00B80FC7" w:rsidRPr="009E3996">
        <w:t>Gassmann</w:t>
      </w:r>
      <w:proofErr w:type="spellEnd"/>
      <w:r w:rsidR="00B80FC7" w:rsidRPr="009E3996">
        <w:t xml:space="preserve">, and </w:t>
      </w:r>
      <w:proofErr w:type="spellStart"/>
      <w:r w:rsidR="00B80FC7" w:rsidRPr="009E3996">
        <w:t>Chesbrough</w:t>
      </w:r>
      <w:proofErr w:type="spellEnd"/>
      <w:r w:rsidR="00B80FC7" w:rsidRPr="009E3996">
        <w:t xml:space="preserve">, 2009; Al </w:t>
      </w:r>
      <w:proofErr w:type="spellStart"/>
      <w:r w:rsidR="00B80FC7" w:rsidRPr="009E3996">
        <w:t>Aali</w:t>
      </w:r>
      <w:proofErr w:type="spellEnd"/>
      <w:r w:rsidR="00B80FC7" w:rsidRPr="009E3996">
        <w:t xml:space="preserve"> and </w:t>
      </w:r>
      <w:proofErr w:type="spellStart"/>
      <w:r w:rsidR="00B80FC7" w:rsidRPr="009E3996">
        <w:t>Teece</w:t>
      </w:r>
      <w:proofErr w:type="spellEnd"/>
      <w:r w:rsidR="00B80FC7" w:rsidRPr="009E3996">
        <w:t xml:space="preserve">, 2013; Henkel, Baldwin, and Shih, 2013). </w:t>
      </w:r>
    </w:p>
    <w:p w:rsidR="008A2807" w:rsidRPr="009E3996" w:rsidRDefault="00D01577" w:rsidP="00D758FF">
      <w:pPr>
        <w:ind w:firstLine="720"/>
        <w:contextualSpacing/>
      </w:pPr>
      <w:r w:rsidRPr="009E3996">
        <w:t>T</w:t>
      </w:r>
      <w:r w:rsidR="00BA6F7E" w:rsidRPr="009E3996">
        <w:t xml:space="preserve">he governance of inter-organizational relationships </w:t>
      </w:r>
      <w:r w:rsidR="00E462DA" w:rsidRPr="009E3996">
        <w:t xml:space="preserve">through formal contracts </w:t>
      </w:r>
      <w:r w:rsidR="00BA6F7E" w:rsidRPr="009E3996">
        <w:t xml:space="preserve">and </w:t>
      </w:r>
      <w:r w:rsidR="00BA6F7E" w:rsidRPr="009E3996">
        <w:rPr>
          <w:rFonts w:eastAsiaTheme="minorHAnsi"/>
          <w:bCs/>
        </w:rPr>
        <w:t>intellectual property rights (IPR) are</w:t>
      </w:r>
      <w:r w:rsidR="008F54FE" w:rsidRPr="009E3996">
        <w:rPr>
          <w:rFonts w:eastAsiaTheme="minorHAnsi"/>
          <w:bCs/>
        </w:rPr>
        <w:t>, thus,</w:t>
      </w:r>
      <w:r w:rsidR="00BA6F7E" w:rsidRPr="009E3996">
        <w:rPr>
          <w:rFonts w:eastAsiaTheme="minorHAnsi"/>
          <w:bCs/>
        </w:rPr>
        <w:t xml:space="preserve"> </w:t>
      </w:r>
      <w:r w:rsidR="00713DEF" w:rsidRPr="009E3996">
        <w:rPr>
          <w:rFonts w:eastAsiaTheme="minorHAnsi"/>
          <w:bCs/>
        </w:rPr>
        <w:t>critical in the context of OI.</w:t>
      </w:r>
      <w:r w:rsidRPr="009E3996">
        <w:t xml:space="preserve"> </w:t>
      </w:r>
      <w:r w:rsidR="006B6F7F" w:rsidRPr="009E3996">
        <w:rPr>
          <w:rFonts w:eastAsiaTheme="minorHAnsi"/>
        </w:rPr>
        <w:t>C</w:t>
      </w:r>
      <w:r w:rsidR="006B6F7F" w:rsidRPr="009E3996">
        <w:t>ontracts that firms use to formalize their relationships with ex</w:t>
      </w:r>
      <w:r w:rsidR="00CE055C" w:rsidRPr="009E3996">
        <w:t>ternal sources</w:t>
      </w:r>
      <w:r w:rsidR="006B6F7F" w:rsidRPr="009E3996">
        <w:t xml:space="preserve"> </w:t>
      </w:r>
      <w:r w:rsidR="00085BC8" w:rsidRPr="009E3996">
        <w:t xml:space="preserve">of innovation </w:t>
      </w:r>
      <w:r w:rsidR="006B6F7F" w:rsidRPr="009E3996">
        <w:t>are defined as</w:t>
      </w:r>
      <w:r w:rsidR="006B6F7F" w:rsidRPr="009E3996">
        <w:rPr>
          <w:rFonts w:eastAsiaTheme="minorHAnsi"/>
        </w:rPr>
        <w:t xml:space="preserve"> legally binding agreements, in writing, between two or more pa</w:t>
      </w:r>
      <w:r w:rsidR="00CE055C" w:rsidRPr="009E3996">
        <w:rPr>
          <w:rFonts w:eastAsiaTheme="minorHAnsi"/>
        </w:rPr>
        <w:t>rties (in this context firms</w:t>
      </w:r>
      <w:r w:rsidR="00357C62" w:rsidRPr="009E3996">
        <w:rPr>
          <w:rFonts w:eastAsiaTheme="minorHAnsi"/>
        </w:rPr>
        <w:t>)</w:t>
      </w:r>
      <w:r w:rsidR="006B6F7F" w:rsidRPr="009E3996">
        <w:rPr>
          <w:rFonts w:eastAsiaTheme="minorHAnsi"/>
        </w:rPr>
        <w:t xml:space="preserve"> that are intended to create a legal obligation or a set of obligations.</w:t>
      </w:r>
      <w:r w:rsidR="008A2807" w:rsidRPr="009E3996">
        <w:rPr>
          <w:rFonts w:eastAsiaTheme="minorHAnsi"/>
          <w:bCs/>
        </w:rPr>
        <w:t xml:space="preserve"> </w:t>
      </w:r>
      <w:r w:rsidR="00085BC8" w:rsidRPr="009E3996">
        <w:rPr>
          <w:rFonts w:eastAsiaTheme="minorHAnsi"/>
          <w:bCs/>
        </w:rPr>
        <w:t xml:space="preserve">IPR </w:t>
      </w:r>
      <w:r w:rsidR="008A2807" w:rsidRPr="009E3996">
        <w:rPr>
          <w:rFonts w:eastAsiaTheme="minorHAnsi"/>
          <w:bCs/>
        </w:rPr>
        <w:t>refer</w:t>
      </w:r>
      <w:r w:rsidR="008A2807" w:rsidRPr="009E3996">
        <w:rPr>
          <w:rFonts w:eastAsiaTheme="minorHAnsi"/>
        </w:rPr>
        <w:t xml:space="preserve"> to exclusive privileges granted to owners of a variety of distinct new creations in terms of </w:t>
      </w:r>
      <w:hyperlink r:id="rId11" w:tooltip="Intangible asset" w:history="1">
        <w:r w:rsidR="008A2807" w:rsidRPr="009E3996">
          <w:rPr>
            <w:rFonts w:eastAsiaTheme="minorHAnsi"/>
          </w:rPr>
          <w:t>intangible assets</w:t>
        </w:r>
      </w:hyperlink>
      <w:r w:rsidR="008A2807" w:rsidRPr="009E3996">
        <w:rPr>
          <w:rFonts w:eastAsiaTheme="minorHAnsi"/>
        </w:rPr>
        <w:t xml:space="preserve"> (discoveries, inventions, and new designs). Common types of IPR include </w:t>
      </w:r>
      <w:hyperlink r:id="rId12" w:tooltip="Patent" w:history="1">
        <w:r w:rsidR="008A2807" w:rsidRPr="009E3996">
          <w:rPr>
            <w:rFonts w:eastAsiaTheme="minorHAnsi"/>
          </w:rPr>
          <w:t>patents</w:t>
        </w:r>
      </w:hyperlink>
      <w:r w:rsidR="008A2807" w:rsidRPr="009E3996">
        <w:rPr>
          <w:rFonts w:eastAsiaTheme="minorHAnsi"/>
        </w:rPr>
        <w:t xml:space="preserve">, </w:t>
      </w:r>
      <w:hyperlink r:id="rId13" w:tooltip="Trademark" w:history="1">
        <w:r w:rsidR="008A2807" w:rsidRPr="009E3996">
          <w:rPr>
            <w:rFonts w:eastAsiaTheme="minorHAnsi"/>
          </w:rPr>
          <w:t>trademarks</w:t>
        </w:r>
      </w:hyperlink>
      <w:r w:rsidR="008A2807" w:rsidRPr="009E3996">
        <w:rPr>
          <w:rFonts w:eastAsiaTheme="minorHAnsi"/>
        </w:rPr>
        <w:t xml:space="preserve">, </w:t>
      </w:r>
      <w:hyperlink r:id="rId14" w:tooltip="Copyright" w:history="1">
        <w:r w:rsidR="008A2807" w:rsidRPr="009E3996">
          <w:rPr>
            <w:rFonts w:eastAsiaTheme="minorHAnsi"/>
          </w:rPr>
          <w:t>copyrights</w:t>
        </w:r>
      </w:hyperlink>
      <w:r w:rsidR="008A2807" w:rsidRPr="009E3996">
        <w:rPr>
          <w:rFonts w:eastAsiaTheme="minorHAnsi"/>
        </w:rPr>
        <w:t xml:space="preserve">, </w:t>
      </w:r>
      <w:hyperlink r:id="rId15" w:tooltip="Industrial design right" w:history="1">
        <w:r w:rsidR="008A2807" w:rsidRPr="009E3996">
          <w:rPr>
            <w:rFonts w:eastAsiaTheme="minorHAnsi"/>
          </w:rPr>
          <w:t>design rights</w:t>
        </w:r>
      </w:hyperlink>
      <w:r w:rsidR="008A2807" w:rsidRPr="009E3996">
        <w:rPr>
          <w:rFonts w:eastAsiaTheme="minorHAnsi"/>
        </w:rPr>
        <w:t>, and technical or commercial information (</w:t>
      </w:r>
      <w:hyperlink r:id="rId16" w:tooltip="Trade secret" w:history="1">
        <w:r w:rsidR="008A2807" w:rsidRPr="009E3996">
          <w:rPr>
            <w:rFonts w:eastAsiaTheme="minorHAnsi"/>
          </w:rPr>
          <w:t>trade secrets</w:t>
        </w:r>
      </w:hyperlink>
      <w:r w:rsidR="008A2807" w:rsidRPr="009E3996">
        <w:rPr>
          <w:rFonts w:eastAsiaTheme="minorHAnsi"/>
        </w:rPr>
        <w:t>).</w:t>
      </w:r>
      <w:r w:rsidR="008A2807" w:rsidRPr="009E3996">
        <w:t xml:space="preserve"> </w:t>
      </w:r>
    </w:p>
    <w:p w:rsidR="00BA6F7E" w:rsidRPr="009E3996" w:rsidRDefault="00AD68C7" w:rsidP="00A74697">
      <w:pPr>
        <w:ind w:firstLine="720"/>
        <w:contextualSpacing/>
      </w:pPr>
      <w:r w:rsidRPr="009E3996">
        <w:t>However, so far, l</w:t>
      </w:r>
      <w:r w:rsidR="00D01577" w:rsidRPr="009E3996">
        <w:t xml:space="preserve">ittle is known about the specifics of how </w:t>
      </w:r>
      <w:r w:rsidR="00713DEF" w:rsidRPr="009E3996">
        <w:t xml:space="preserve">OI </w:t>
      </w:r>
      <w:r w:rsidR="00D01577" w:rsidRPr="009E3996">
        <w:t>firms govern their relationships with partners</w:t>
      </w:r>
      <w:r w:rsidR="008A2807" w:rsidRPr="009E3996">
        <w:t xml:space="preserve"> </w:t>
      </w:r>
      <w:r w:rsidR="00D01577" w:rsidRPr="009E3996">
        <w:t xml:space="preserve">through contracts and </w:t>
      </w:r>
      <w:r w:rsidR="00990371" w:rsidRPr="009E3996">
        <w:t xml:space="preserve">how important IPR are when </w:t>
      </w:r>
      <w:r w:rsidR="00BA60DD" w:rsidRPr="009E3996">
        <w:t xml:space="preserve">these </w:t>
      </w:r>
      <w:r w:rsidR="00713DEF" w:rsidRPr="009E3996">
        <w:t>OI</w:t>
      </w:r>
      <w:r w:rsidR="00990371" w:rsidRPr="009E3996">
        <w:t xml:space="preserve"> firms collaborate with others. Not only do most contributions to the </w:t>
      </w:r>
      <w:r w:rsidR="00713DEF" w:rsidRPr="009E3996">
        <w:t>OI</w:t>
      </w:r>
      <w:r w:rsidR="00990371" w:rsidRPr="009E3996">
        <w:t xml:space="preserve"> literat</w:t>
      </w:r>
      <w:r w:rsidR="00CE055C" w:rsidRPr="009E3996">
        <w:t>ure discuss</w:t>
      </w:r>
      <w:r w:rsidR="008A2807" w:rsidRPr="009E3996">
        <w:t xml:space="preserve"> governance and IPR </w:t>
      </w:r>
      <w:r w:rsidR="00990371" w:rsidRPr="009E3996">
        <w:t xml:space="preserve">in </w:t>
      </w:r>
      <w:r w:rsidR="00E6332B" w:rsidRPr="009E3996">
        <w:t xml:space="preserve">rather </w:t>
      </w:r>
      <w:r w:rsidR="00990371" w:rsidRPr="009E3996">
        <w:t>general terms</w:t>
      </w:r>
      <w:r w:rsidR="005A5FD9" w:rsidRPr="009E3996">
        <w:t xml:space="preserve"> (e.g. Dahlander and Gann, 2010; </w:t>
      </w:r>
      <w:proofErr w:type="spellStart"/>
      <w:r w:rsidR="005A5FD9" w:rsidRPr="009E3996">
        <w:t>Huizingh</w:t>
      </w:r>
      <w:proofErr w:type="spellEnd"/>
      <w:r w:rsidR="005A5FD9" w:rsidRPr="009E3996">
        <w:t>, 2011</w:t>
      </w:r>
      <w:r w:rsidR="00C92E50" w:rsidRPr="009E3996">
        <w:t xml:space="preserve">; de Jong, </w:t>
      </w:r>
      <w:proofErr w:type="spellStart"/>
      <w:r w:rsidR="00C92E50" w:rsidRPr="009E3996">
        <w:t>Kalvet</w:t>
      </w:r>
      <w:proofErr w:type="spellEnd"/>
      <w:r w:rsidR="00C92E50" w:rsidRPr="009E3996">
        <w:t xml:space="preserve">, and </w:t>
      </w:r>
      <w:proofErr w:type="spellStart"/>
      <w:r w:rsidR="00C92E50" w:rsidRPr="009E3996">
        <w:t>Vanhaverbeke</w:t>
      </w:r>
      <w:proofErr w:type="spellEnd"/>
      <w:r w:rsidR="00C92E50" w:rsidRPr="009E3996">
        <w:t>, 2010</w:t>
      </w:r>
      <w:r w:rsidR="005A5FD9" w:rsidRPr="009E3996">
        <w:t>)</w:t>
      </w:r>
      <w:r w:rsidR="00990371" w:rsidRPr="009E3996">
        <w:t xml:space="preserve">, the debate is also largely based on some </w:t>
      </w:r>
      <w:r w:rsidR="00CE055C" w:rsidRPr="009E3996">
        <w:t>general</w:t>
      </w:r>
      <w:r w:rsidR="00EC02BD" w:rsidRPr="009E3996">
        <w:t xml:space="preserve"> </w:t>
      </w:r>
      <w:r w:rsidR="00990371" w:rsidRPr="009E3996">
        <w:t xml:space="preserve">assumptions about the behavior and strategy of </w:t>
      </w:r>
      <w:r w:rsidR="00713DEF" w:rsidRPr="009E3996">
        <w:t>OI</w:t>
      </w:r>
      <w:r w:rsidR="00990371" w:rsidRPr="009E3996">
        <w:t xml:space="preserve"> firms</w:t>
      </w:r>
      <w:r w:rsidR="00E6332B" w:rsidRPr="009E3996">
        <w:t xml:space="preserve"> with little or no systematic analysis of the actual choices that </w:t>
      </w:r>
      <w:r w:rsidR="00DB3780" w:rsidRPr="009E3996">
        <w:t xml:space="preserve">these </w:t>
      </w:r>
      <w:r w:rsidR="00E6332B" w:rsidRPr="009E3996">
        <w:t xml:space="preserve">firms make when it comes to contracts and IPR in </w:t>
      </w:r>
      <w:r w:rsidR="00DA5688">
        <w:t>an OI context</w:t>
      </w:r>
      <w:r w:rsidR="00111FB6" w:rsidRPr="009E3996">
        <w:t xml:space="preserve"> (see </w:t>
      </w:r>
      <w:proofErr w:type="spellStart"/>
      <w:r w:rsidR="00111FB6" w:rsidRPr="009E3996">
        <w:t>Laursen</w:t>
      </w:r>
      <w:proofErr w:type="spellEnd"/>
      <w:r w:rsidR="00111FB6" w:rsidRPr="009E3996">
        <w:t xml:space="preserve"> and Salter, 2014</w:t>
      </w:r>
      <w:r w:rsidR="00DA5688">
        <w:t xml:space="preserve">; </w:t>
      </w:r>
      <w:proofErr w:type="spellStart"/>
      <w:r w:rsidR="005E5C13" w:rsidRPr="009E3996">
        <w:t>Henttonen</w:t>
      </w:r>
      <w:proofErr w:type="spellEnd"/>
      <w:r w:rsidR="005E5C13" w:rsidRPr="009E3996">
        <w:t xml:space="preserve">, </w:t>
      </w:r>
      <w:proofErr w:type="spellStart"/>
      <w:r w:rsidR="005E5C13" w:rsidRPr="009E3996">
        <w:t>Hurmelinna-Laukkanen</w:t>
      </w:r>
      <w:proofErr w:type="spellEnd"/>
      <w:r w:rsidR="005E5C13" w:rsidRPr="009E3996">
        <w:t xml:space="preserve">, and </w:t>
      </w:r>
      <w:proofErr w:type="spellStart"/>
      <w:r w:rsidR="005E5C13" w:rsidRPr="009E3996">
        <w:t>Ritala</w:t>
      </w:r>
      <w:proofErr w:type="spellEnd"/>
      <w:r w:rsidR="005E5C13" w:rsidRPr="009E3996">
        <w:t xml:space="preserve">, 2015 </w:t>
      </w:r>
      <w:r w:rsidR="00A74697" w:rsidRPr="009E3996">
        <w:t xml:space="preserve">for notable </w:t>
      </w:r>
      <w:r w:rsidR="00510D42" w:rsidRPr="009E3996">
        <w:t>exception</w:t>
      </w:r>
      <w:r w:rsidR="005E5C13" w:rsidRPr="009E3996">
        <w:t>s</w:t>
      </w:r>
      <w:r w:rsidR="00A74697" w:rsidRPr="009E3996">
        <w:t>)</w:t>
      </w:r>
      <w:r w:rsidR="00E6332B" w:rsidRPr="009E3996">
        <w:t>.</w:t>
      </w:r>
      <w:r w:rsidR="00444D2D" w:rsidRPr="009E3996">
        <w:t xml:space="preserve"> </w:t>
      </w:r>
      <w:r w:rsidR="002063BD" w:rsidRPr="009E3996">
        <w:t xml:space="preserve">Furthermore an interesting </w:t>
      </w:r>
      <w:r w:rsidRPr="009E3996">
        <w:t xml:space="preserve">theoretical </w:t>
      </w:r>
      <w:r w:rsidR="002063BD" w:rsidRPr="009E3996">
        <w:t xml:space="preserve">debate concerning the role of IPR in the context of </w:t>
      </w:r>
      <w:r w:rsidR="00713DEF" w:rsidRPr="009E3996">
        <w:t>OI</w:t>
      </w:r>
      <w:r w:rsidR="002063BD" w:rsidRPr="009E3996">
        <w:t xml:space="preserve"> has emerged, in which one </w:t>
      </w:r>
      <w:r w:rsidR="00A74697" w:rsidRPr="009E3996">
        <w:t xml:space="preserve">group of scholars </w:t>
      </w:r>
      <w:r w:rsidR="002063BD" w:rsidRPr="009E3996">
        <w:t>argues for the importance of IPR for e</w:t>
      </w:r>
      <w:r w:rsidR="00A74697" w:rsidRPr="009E3996">
        <w:t xml:space="preserve">nabling knowledge transfer (e.g. </w:t>
      </w:r>
      <w:proofErr w:type="spellStart"/>
      <w:r w:rsidR="00A74697" w:rsidRPr="009E3996">
        <w:t>Chesbrough</w:t>
      </w:r>
      <w:proofErr w:type="spellEnd"/>
      <w:r w:rsidR="00A74697" w:rsidRPr="009E3996">
        <w:t xml:space="preserve">, 2006b; </w:t>
      </w:r>
      <w:r w:rsidR="00EB4300" w:rsidRPr="009E3996">
        <w:t xml:space="preserve">Graham and Mowery, 2006; </w:t>
      </w:r>
      <w:proofErr w:type="spellStart"/>
      <w:r w:rsidR="005625D3" w:rsidRPr="009E3996">
        <w:t>Sandulli</w:t>
      </w:r>
      <w:proofErr w:type="spellEnd"/>
      <w:r w:rsidR="005625D3" w:rsidRPr="009E3996">
        <w:t xml:space="preserve"> and</w:t>
      </w:r>
      <w:r w:rsidR="00A74697" w:rsidRPr="009E3996">
        <w:t xml:space="preserve"> </w:t>
      </w:r>
      <w:proofErr w:type="spellStart"/>
      <w:r w:rsidR="00A74697" w:rsidRPr="009E3996">
        <w:t>Chesbrough</w:t>
      </w:r>
      <w:proofErr w:type="spellEnd"/>
      <w:r w:rsidR="00A74697" w:rsidRPr="009E3996">
        <w:t>, 2009</w:t>
      </w:r>
      <w:r w:rsidR="00975CD0" w:rsidRPr="009E3996">
        <w:t>; de Jong et al., 2010</w:t>
      </w:r>
      <w:r w:rsidR="005625D3" w:rsidRPr="009E3996">
        <w:t xml:space="preserve">; </w:t>
      </w:r>
      <w:proofErr w:type="spellStart"/>
      <w:r w:rsidR="005625D3" w:rsidRPr="009E3996">
        <w:t>Chesbrough</w:t>
      </w:r>
      <w:proofErr w:type="spellEnd"/>
      <w:r w:rsidR="005625D3" w:rsidRPr="009E3996">
        <w:t xml:space="preserve"> and Chen, 2013</w:t>
      </w:r>
      <w:r w:rsidR="00EA7D43" w:rsidRPr="009E3996">
        <w:t>), while another group</w:t>
      </w:r>
      <w:r w:rsidR="00A74697" w:rsidRPr="009E3996">
        <w:t xml:space="preserve"> of scholars suggests that IP</w:t>
      </w:r>
      <w:r w:rsidR="001A4404" w:rsidRPr="009E3996">
        <w:t>R</w:t>
      </w:r>
      <w:r w:rsidR="00A74697" w:rsidRPr="009E3996">
        <w:t xml:space="preserve"> threaten the notion of ‘openness’ </w:t>
      </w:r>
      <w:r w:rsidR="00A74697" w:rsidRPr="009E3996">
        <w:lastRenderedPageBreak/>
        <w:t xml:space="preserve">according to which knowledge should be widely accessible (e.g. </w:t>
      </w:r>
      <w:proofErr w:type="spellStart"/>
      <w:r w:rsidR="00A74697" w:rsidRPr="009E3996">
        <w:t>Pénin</w:t>
      </w:r>
      <w:proofErr w:type="spellEnd"/>
      <w:r w:rsidR="00A74697" w:rsidRPr="009E3996">
        <w:t>, 2011; von Hippel and von Krogh, 2006</w:t>
      </w:r>
      <w:r w:rsidR="002063BD" w:rsidRPr="009E3996">
        <w:t>)</w:t>
      </w:r>
      <w:r w:rsidR="00A74697" w:rsidRPr="009E3996">
        <w:t>.</w:t>
      </w:r>
      <w:r w:rsidR="00B936E0" w:rsidRPr="009E3996">
        <w:t xml:space="preserve"> </w:t>
      </w:r>
    </w:p>
    <w:p w:rsidR="00FD5AA3" w:rsidRPr="009E3996" w:rsidRDefault="00E6332B" w:rsidP="004A5CE5">
      <w:pPr>
        <w:contextualSpacing/>
      </w:pPr>
      <w:r w:rsidRPr="009E3996">
        <w:tab/>
      </w:r>
      <w:r w:rsidR="00B936E0" w:rsidRPr="009E3996">
        <w:t xml:space="preserve">In order to shed light on this dichotomy in the </w:t>
      </w:r>
      <w:r w:rsidR="00713DEF" w:rsidRPr="009E3996">
        <w:t>OI</w:t>
      </w:r>
      <w:r w:rsidR="00B936E0" w:rsidRPr="009E3996">
        <w:t xml:space="preserve"> literature and to </w:t>
      </w:r>
      <w:r w:rsidR="00734C48" w:rsidRPr="009E3996">
        <w:t xml:space="preserve">build </w:t>
      </w:r>
      <w:r w:rsidR="00395691" w:rsidRPr="009E3996">
        <w:t xml:space="preserve">a </w:t>
      </w:r>
      <w:r w:rsidR="00AD68C7" w:rsidRPr="009E3996">
        <w:t xml:space="preserve">better </w:t>
      </w:r>
      <w:r w:rsidR="006E61DC" w:rsidRPr="009E3996">
        <w:t>understanding as well as</w:t>
      </w:r>
      <w:r w:rsidR="00395691" w:rsidRPr="009E3996">
        <w:t xml:space="preserve"> some</w:t>
      </w:r>
      <w:r w:rsidR="00AD68C7" w:rsidRPr="009E3996">
        <w:t xml:space="preserve"> </w:t>
      </w:r>
      <w:r w:rsidR="00B936E0" w:rsidRPr="009E3996">
        <w:t xml:space="preserve">empirical evidence regarding firms’ </w:t>
      </w:r>
      <w:r w:rsidR="00DE5E62" w:rsidRPr="009E3996">
        <w:t xml:space="preserve">actual </w:t>
      </w:r>
      <w:r w:rsidR="00B936E0" w:rsidRPr="009E3996">
        <w:t xml:space="preserve">choices with regard to contracts and IPR, we address the following research questions: </w:t>
      </w:r>
      <w:r w:rsidR="00B936E0" w:rsidRPr="009E3996">
        <w:rPr>
          <w:i/>
        </w:rPr>
        <w:t xml:space="preserve">Do firms govern their </w:t>
      </w:r>
      <w:r w:rsidR="00713DEF" w:rsidRPr="009E3996">
        <w:rPr>
          <w:i/>
        </w:rPr>
        <w:t>OI</w:t>
      </w:r>
      <w:r w:rsidR="00B936E0" w:rsidRPr="009E3996">
        <w:rPr>
          <w:i/>
        </w:rPr>
        <w:t xml:space="preserve"> relationships via contracts and IPR (and if they do, how and why)? And what factors determine firms’ preferences for IPR in an </w:t>
      </w:r>
      <w:r w:rsidR="00713DEF" w:rsidRPr="009E3996">
        <w:rPr>
          <w:i/>
        </w:rPr>
        <w:t>OI</w:t>
      </w:r>
      <w:r w:rsidR="00B936E0" w:rsidRPr="009E3996">
        <w:rPr>
          <w:i/>
        </w:rPr>
        <w:t xml:space="preserve"> context?</w:t>
      </w:r>
      <w:r w:rsidR="00B936E0" w:rsidRPr="009E3996">
        <w:t xml:space="preserve"> </w:t>
      </w:r>
      <w:r w:rsidR="000B21DF" w:rsidRPr="009E3996">
        <w:t>W</w:t>
      </w:r>
      <w:r w:rsidR="00A74697" w:rsidRPr="009E3996">
        <w:t xml:space="preserve">e address these </w:t>
      </w:r>
      <w:r w:rsidR="00B936E0" w:rsidRPr="009E3996">
        <w:t>questions</w:t>
      </w:r>
      <w:r w:rsidR="00A74697" w:rsidRPr="009E3996">
        <w:t xml:space="preserve"> on the basis of</w:t>
      </w:r>
      <w:r w:rsidR="00E462DA" w:rsidRPr="009E3996">
        <w:t xml:space="preserve"> an e</w:t>
      </w:r>
      <w:r w:rsidR="00B4045C" w:rsidRPr="009E3996">
        <w:t>xploratory</w:t>
      </w:r>
      <w:r w:rsidR="00E462DA" w:rsidRPr="009E3996">
        <w:t xml:space="preserve"> empirical</w:t>
      </w:r>
      <w:r w:rsidR="00B4045C" w:rsidRPr="009E3996">
        <w:t xml:space="preserve"> study</w:t>
      </w:r>
      <w:r w:rsidR="00E462DA" w:rsidRPr="009E3996">
        <w:t xml:space="preserve">. </w:t>
      </w:r>
      <w:r w:rsidR="0021313D" w:rsidRPr="009E3996">
        <w:t xml:space="preserve">Given that our research questions draw from </w:t>
      </w:r>
      <w:r w:rsidR="00061B2E" w:rsidRPr="009E3996">
        <w:t xml:space="preserve">prior </w:t>
      </w:r>
      <w:r w:rsidR="0021313D" w:rsidRPr="009E3996">
        <w:t xml:space="preserve">literature and theory in domains such as </w:t>
      </w:r>
      <w:r w:rsidR="00061B2E" w:rsidRPr="009E3996">
        <w:t>inter-firm cooperation</w:t>
      </w:r>
      <w:r w:rsidR="00010B64" w:rsidRPr="009E3996">
        <w:t xml:space="preserve"> (e.g. Gomes-</w:t>
      </w:r>
      <w:proofErr w:type="spellStart"/>
      <w:r w:rsidR="00010B64" w:rsidRPr="009E3996">
        <w:t>Casseres</w:t>
      </w:r>
      <w:proofErr w:type="spellEnd"/>
      <w:r w:rsidR="00010B64" w:rsidRPr="009E3996">
        <w:t>, Hagedoorn, &amp; Jaffe, 2006; Gulati, Lavie, and Singh, 2009)</w:t>
      </w:r>
      <w:r w:rsidR="0021313D" w:rsidRPr="009E3996">
        <w:t>, intellectual property</w:t>
      </w:r>
      <w:r w:rsidR="00010B64" w:rsidRPr="009E3996">
        <w:t xml:space="preserve"> (e.g. </w:t>
      </w:r>
      <w:r w:rsidR="00202808" w:rsidRPr="009E3996">
        <w:t xml:space="preserve">Arora, </w:t>
      </w:r>
      <w:proofErr w:type="spellStart"/>
      <w:r w:rsidR="00202808" w:rsidRPr="009E3996">
        <w:t>Fosfuri</w:t>
      </w:r>
      <w:proofErr w:type="spellEnd"/>
      <w:r w:rsidR="00202808" w:rsidRPr="009E3996">
        <w:t xml:space="preserve">, and Gambardella, 2001; </w:t>
      </w:r>
      <w:r w:rsidR="008D5F03" w:rsidRPr="009E3996">
        <w:t xml:space="preserve">Arora and Merges, 2004; </w:t>
      </w:r>
      <w:r w:rsidR="008071EB" w:rsidRPr="009E3996">
        <w:t xml:space="preserve">James, </w:t>
      </w:r>
      <w:proofErr w:type="spellStart"/>
      <w:r w:rsidR="008071EB" w:rsidRPr="009E3996">
        <w:t>Leiblein</w:t>
      </w:r>
      <w:proofErr w:type="spellEnd"/>
      <w:r w:rsidR="008071EB" w:rsidRPr="009E3996">
        <w:t>, and Lu, 2013</w:t>
      </w:r>
      <w:r w:rsidR="00010B64" w:rsidRPr="009E3996">
        <w:t>)</w:t>
      </w:r>
      <w:r w:rsidR="0021313D" w:rsidRPr="009E3996">
        <w:t>, and contract design</w:t>
      </w:r>
      <w:r w:rsidR="00010B64" w:rsidRPr="009E3996">
        <w:t xml:space="preserve"> (e.g. Hagedoorn and Hesen, 2007</w:t>
      </w:r>
      <w:r w:rsidR="00202808" w:rsidRPr="009E3996">
        <w:t xml:space="preserve">; Lerner and </w:t>
      </w:r>
      <w:proofErr w:type="spellStart"/>
      <w:r w:rsidR="00202808" w:rsidRPr="009E3996">
        <w:t>Malmedier</w:t>
      </w:r>
      <w:proofErr w:type="spellEnd"/>
      <w:r w:rsidR="00202808" w:rsidRPr="009E3996">
        <w:t>, 2010</w:t>
      </w:r>
      <w:r w:rsidR="00010B64" w:rsidRPr="009E3996">
        <w:t>)</w:t>
      </w:r>
      <w:r w:rsidR="0021313D" w:rsidRPr="009E3996">
        <w:t xml:space="preserve">, but </w:t>
      </w:r>
      <w:r w:rsidR="00FD5AA3" w:rsidRPr="009E3996">
        <w:t>are</w:t>
      </w:r>
      <w:r w:rsidR="0021313D" w:rsidRPr="009E3996">
        <w:t xml:space="preserve"> relatively unexplored in the domain of </w:t>
      </w:r>
      <w:r w:rsidR="00713DEF" w:rsidRPr="009E3996">
        <w:t>OI</w:t>
      </w:r>
      <w:r w:rsidR="00B936E0" w:rsidRPr="009E3996">
        <w:t>,</w:t>
      </w:r>
      <w:r w:rsidR="0021313D" w:rsidRPr="009E3996">
        <w:t xml:space="preserve"> they can be positioned in the context of ‘intermediate theory’</w:t>
      </w:r>
      <w:r w:rsidR="0017532B" w:rsidRPr="009E3996">
        <w:t xml:space="preserve"> </w:t>
      </w:r>
      <w:r w:rsidR="00FD5AA3" w:rsidRPr="009E3996">
        <w:t>(Edmondson and</w:t>
      </w:r>
      <w:r w:rsidR="0017532B" w:rsidRPr="009E3996">
        <w:t xml:space="preserve"> McManus, 2007)</w:t>
      </w:r>
      <w:r w:rsidR="00E668C4" w:rsidRPr="009E3996">
        <w:t>.</w:t>
      </w:r>
      <w:r w:rsidR="00F57EFF" w:rsidRPr="009E3996">
        <w:t xml:space="preserve"> </w:t>
      </w:r>
      <w:r w:rsidR="00061B2E" w:rsidRPr="009E3996">
        <w:t xml:space="preserve">As a result, </w:t>
      </w:r>
      <w:r w:rsidR="00E45CFA" w:rsidRPr="009E3996">
        <w:t xml:space="preserve">we </w:t>
      </w:r>
      <w:r w:rsidR="00E668C4" w:rsidRPr="009E3996">
        <w:t xml:space="preserve">use a hybrid methodology and </w:t>
      </w:r>
      <w:r w:rsidR="00E45CFA" w:rsidRPr="009E3996">
        <w:t>combine</w:t>
      </w:r>
      <w:r w:rsidR="00FD5AA3" w:rsidRPr="009E3996">
        <w:t xml:space="preserve"> qualitative data</w:t>
      </w:r>
      <w:r w:rsidR="00637714" w:rsidRPr="009E3996">
        <w:t>, in the form of an interview study,</w:t>
      </w:r>
      <w:r w:rsidR="00FD5AA3" w:rsidRPr="009E3996">
        <w:t xml:space="preserve"> to help elaborate the phenomena of contracts and IP</w:t>
      </w:r>
      <w:r w:rsidR="00F95DD1" w:rsidRPr="009E3996">
        <w:t>R</w:t>
      </w:r>
      <w:r w:rsidR="00FD5AA3" w:rsidRPr="009E3996">
        <w:t xml:space="preserve"> in </w:t>
      </w:r>
      <w:r w:rsidR="00713DEF" w:rsidRPr="009E3996">
        <w:t>OI</w:t>
      </w:r>
      <w:r w:rsidR="00FD5AA3" w:rsidRPr="009E3996">
        <w:t xml:space="preserve"> and quantitative data</w:t>
      </w:r>
      <w:r w:rsidR="00637714" w:rsidRPr="009E3996">
        <w:t>, in the form of a survey,</w:t>
      </w:r>
      <w:r w:rsidR="00FD5AA3" w:rsidRPr="009E3996">
        <w:t xml:space="preserve"> to provide pre</w:t>
      </w:r>
      <w:r w:rsidR="00E668C4" w:rsidRPr="009E3996">
        <w:t>liminary tests of relationships</w:t>
      </w:r>
      <w:r w:rsidR="00202808" w:rsidRPr="009E3996">
        <w:t xml:space="preserve"> between a new construct (i.e. </w:t>
      </w:r>
      <w:r w:rsidR="00713DEF" w:rsidRPr="009E3996">
        <w:t>OI</w:t>
      </w:r>
      <w:r w:rsidR="00202808" w:rsidRPr="009E3996">
        <w:t>) and relatively established constructs (i.e. preferences for IPR)</w:t>
      </w:r>
      <w:r w:rsidR="00061B2E" w:rsidRPr="009E3996">
        <w:t>.</w:t>
      </w:r>
      <w:r w:rsidR="0017532B" w:rsidRPr="009E3996">
        <w:t xml:space="preserve"> </w:t>
      </w:r>
    </w:p>
    <w:p w:rsidR="00C20649" w:rsidRPr="009E3996" w:rsidRDefault="00C20649" w:rsidP="004A5CE5">
      <w:pPr>
        <w:contextualSpacing/>
        <w:rPr>
          <w:b/>
        </w:rPr>
      </w:pPr>
      <w:r w:rsidRPr="009E3996">
        <w:rPr>
          <w:b/>
        </w:rPr>
        <w:t xml:space="preserve">RESEARCH </w:t>
      </w:r>
      <w:r w:rsidR="000E7C59" w:rsidRPr="009E3996">
        <w:rPr>
          <w:b/>
        </w:rPr>
        <w:t>FRAMEWORK</w:t>
      </w:r>
    </w:p>
    <w:p w:rsidR="00C20649" w:rsidRPr="009E3996" w:rsidRDefault="00D64890" w:rsidP="004A5CE5">
      <w:pPr>
        <w:contextualSpacing/>
        <w:rPr>
          <w:i/>
        </w:rPr>
      </w:pPr>
      <w:r w:rsidRPr="009E3996">
        <w:rPr>
          <w:i/>
        </w:rPr>
        <w:t xml:space="preserve">Interview Study </w:t>
      </w:r>
    </w:p>
    <w:p w:rsidR="00E124ED" w:rsidRPr="009E3996" w:rsidRDefault="00D64890" w:rsidP="00EE3F7C">
      <w:pPr>
        <w:contextualSpacing/>
      </w:pPr>
      <w:r w:rsidRPr="009E3996">
        <w:t xml:space="preserve">Our </w:t>
      </w:r>
      <w:r w:rsidR="00E81068" w:rsidRPr="009E3996">
        <w:t xml:space="preserve">sampling strategy is purposive and guided by our research questions (Miles and Huberman, 1994) </w:t>
      </w:r>
      <w:r w:rsidR="00CD7928" w:rsidRPr="009E3996">
        <w:t>that</w:t>
      </w:r>
      <w:r w:rsidR="00E81068" w:rsidRPr="009E3996">
        <w:t xml:space="preserve"> aim </w:t>
      </w:r>
      <w:r w:rsidR="00DA5688">
        <w:t>at</w:t>
      </w:r>
      <w:r w:rsidR="00E81068" w:rsidRPr="009E3996">
        <w:t xml:space="preserve"> elaborat</w:t>
      </w:r>
      <w:r w:rsidR="005E5C13" w:rsidRPr="009E3996">
        <w:t>ing</w:t>
      </w:r>
      <w:r w:rsidR="00E81068" w:rsidRPr="009E3996">
        <w:t xml:space="preserve"> on the role of contracts and IPR in </w:t>
      </w:r>
      <w:r w:rsidR="00713DEF" w:rsidRPr="009E3996">
        <w:t>OI</w:t>
      </w:r>
      <w:r w:rsidR="00E81068" w:rsidRPr="009E3996">
        <w:t>. As a result, w</w:t>
      </w:r>
      <w:r w:rsidR="00C20649" w:rsidRPr="009E3996">
        <w:t>e conducted a series of interviews with representatives of five large</w:t>
      </w:r>
      <w:r w:rsidR="00637714" w:rsidRPr="009E3996">
        <w:t>, medium to high-tech</w:t>
      </w:r>
      <w:r w:rsidR="00C20649" w:rsidRPr="009E3996">
        <w:t xml:space="preserve"> firms that can be </w:t>
      </w:r>
      <w:r w:rsidR="00637714" w:rsidRPr="009E3996">
        <w:t xml:space="preserve">classified as OI firms based on a number of criteria (e.g. participation in OI conferences, the role of OI in annual reports, portrayal of OI on corporate Website; trade </w:t>
      </w:r>
      <w:r w:rsidR="00637714" w:rsidRPr="009E3996">
        <w:lastRenderedPageBreak/>
        <w:t xml:space="preserve">journal publications on OI). </w:t>
      </w:r>
      <w:r w:rsidR="00C20649" w:rsidRPr="009E3996">
        <w:t xml:space="preserve">The qualitative interviews facilitate our survey research </w:t>
      </w:r>
      <w:r w:rsidR="00637714" w:rsidRPr="009E3996">
        <w:t xml:space="preserve">and </w:t>
      </w:r>
      <w:r w:rsidR="00C20649" w:rsidRPr="009E3996">
        <w:t>provid</w:t>
      </w:r>
      <w:r w:rsidR="00637714" w:rsidRPr="009E3996">
        <w:t>e</w:t>
      </w:r>
      <w:r w:rsidR="00C20649" w:rsidRPr="009E3996">
        <w:t xml:space="preserve"> background information</w:t>
      </w:r>
      <w:r w:rsidR="005E5C13" w:rsidRPr="009E3996">
        <w:t xml:space="preserve">, as well as </w:t>
      </w:r>
      <w:r w:rsidR="00C20649" w:rsidRPr="009E3996">
        <w:t xml:space="preserve">richer details on the role of contracts and IPR in </w:t>
      </w:r>
      <w:r w:rsidR="00713DEF" w:rsidRPr="009E3996">
        <w:t>OI</w:t>
      </w:r>
      <w:r w:rsidR="008B11C0" w:rsidRPr="009E3996">
        <w:t xml:space="preserve"> </w:t>
      </w:r>
      <w:r w:rsidR="00C20649" w:rsidRPr="009E3996">
        <w:t xml:space="preserve">(Miles and Huberman, 1994; Punch, 2005). </w:t>
      </w:r>
    </w:p>
    <w:p w:rsidR="00C20649" w:rsidRPr="009E3996" w:rsidRDefault="00C20649" w:rsidP="004A5CE5">
      <w:pPr>
        <w:contextualSpacing/>
        <w:rPr>
          <w:i/>
        </w:rPr>
      </w:pPr>
      <w:r w:rsidRPr="009E3996">
        <w:rPr>
          <w:i/>
        </w:rPr>
        <w:t>Survey</w:t>
      </w:r>
    </w:p>
    <w:p w:rsidR="0097276C" w:rsidRPr="009E3996" w:rsidRDefault="00C20649" w:rsidP="00CE7258">
      <w:pPr>
        <w:contextualSpacing/>
      </w:pPr>
      <w:r w:rsidRPr="009E3996">
        <w:t xml:space="preserve">The larger part of our data collection is based on a survey that used the key informant method to collect data for a larger group of firms active in </w:t>
      </w:r>
      <w:r w:rsidR="00DA5688">
        <w:t>OI</w:t>
      </w:r>
      <w:r w:rsidRPr="009E3996">
        <w:t xml:space="preserve">. As we want to highlight the relationships between </w:t>
      </w:r>
      <w:r w:rsidR="00713DEF" w:rsidRPr="009E3996">
        <w:t>OI</w:t>
      </w:r>
      <w:r w:rsidRPr="009E3996">
        <w:t xml:space="preserve">, contracts, and IPR, </w:t>
      </w:r>
      <w:r w:rsidR="0097276C" w:rsidRPr="009E3996">
        <w:t xml:space="preserve">a </w:t>
      </w:r>
      <w:r w:rsidRPr="009E3996">
        <w:t xml:space="preserve">deliberate sampling </w:t>
      </w:r>
      <w:r w:rsidR="0097276C" w:rsidRPr="009E3996">
        <w:t xml:space="preserve">strategy </w:t>
      </w:r>
      <w:r w:rsidR="00DA5688">
        <w:t xml:space="preserve">is appropriate, </w:t>
      </w:r>
      <w:r w:rsidR="0097276C" w:rsidRPr="009E3996">
        <w:t xml:space="preserve">as it maximizes the </w:t>
      </w:r>
      <w:r w:rsidRPr="009E3996">
        <w:t>chance for these relationships to be observed (Punch, 2005). Thus, the data collection was organized via ‘</w:t>
      </w:r>
      <w:proofErr w:type="spellStart"/>
      <w:r w:rsidRPr="009E3996">
        <w:t>Exnovate</w:t>
      </w:r>
      <w:proofErr w:type="spellEnd"/>
      <w:r w:rsidRPr="009E3996">
        <w:t xml:space="preserve">’, the European Network of Excellence on Open and Collaborative Innovation. Firms that participate in this network source external knowledge and technologies by means of </w:t>
      </w:r>
      <w:r w:rsidR="00713DEF" w:rsidRPr="009E3996">
        <w:t>OI</w:t>
      </w:r>
      <w:r w:rsidRPr="009E3996">
        <w:t xml:space="preserve">, which makes them relevant to our research questions (Punch, 2005). Hence, </w:t>
      </w:r>
      <w:r w:rsidR="00C561D6" w:rsidRPr="009E3996">
        <w:t xml:space="preserve">by concentrating on firms that engage in </w:t>
      </w:r>
      <w:r w:rsidR="00713DEF" w:rsidRPr="009E3996">
        <w:t>OI</w:t>
      </w:r>
      <w:r w:rsidR="00C561D6" w:rsidRPr="009E3996">
        <w:t xml:space="preserve">, </w:t>
      </w:r>
      <w:r w:rsidRPr="009E3996">
        <w:t xml:space="preserve">we are sampling to find instances that are representative of a particular dimension of interest – that is </w:t>
      </w:r>
      <w:r w:rsidR="00713DEF" w:rsidRPr="009E3996">
        <w:t>OI</w:t>
      </w:r>
      <w:r w:rsidRPr="009E3996">
        <w:t xml:space="preserve"> (</w:t>
      </w:r>
      <w:proofErr w:type="spellStart"/>
      <w:r w:rsidRPr="009E3996">
        <w:t>Teddlie</w:t>
      </w:r>
      <w:proofErr w:type="spellEnd"/>
      <w:r w:rsidRPr="009E3996">
        <w:t xml:space="preserve"> and Yu, 2007). The </w:t>
      </w:r>
      <w:proofErr w:type="spellStart"/>
      <w:r w:rsidRPr="009E3996">
        <w:t>Exnovate</w:t>
      </w:r>
      <w:proofErr w:type="spellEnd"/>
      <w:r w:rsidRPr="009E3996">
        <w:t xml:space="preserve"> network consists of about 850 firms from a range of European countries and North America. </w:t>
      </w:r>
      <w:proofErr w:type="spellStart"/>
      <w:r w:rsidRPr="009E3996">
        <w:t>Exnovate</w:t>
      </w:r>
      <w:proofErr w:type="spellEnd"/>
      <w:r w:rsidRPr="009E3996">
        <w:t xml:space="preserve"> allowed us to directly address key informants from these firms involved in external knowledge sourcing and </w:t>
      </w:r>
      <w:r w:rsidR="00713DEF" w:rsidRPr="009E3996">
        <w:t>OI</w:t>
      </w:r>
      <w:r w:rsidRPr="009E3996">
        <w:t xml:space="preserve">. </w:t>
      </w:r>
      <w:r w:rsidR="0097276C" w:rsidRPr="009E3996">
        <w:t xml:space="preserve">Our survey was designed and implemented according to </w:t>
      </w:r>
      <w:proofErr w:type="spellStart"/>
      <w:r w:rsidR="0097276C" w:rsidRPr="009E3996">
        <w:t>Dillman’s</w:t>
      </w:r>
      <w:proofErr w:type="spellEnd"/>
      <w:r w:rsidR="0097276C" w:rsidRPr="009E3996">
        <w:t xml:space="preserve"> (2007) tailored design method, as well as pre-tested by means of a small pilot study.</w:t>
      </w:r>
      <w:r w:rsidR="001A4404" w:rsidRPr="009E3996">
        <w:t xml:space="preserve"> Our sample of </w:t>
      </w:r>
      <w:r w:rsidRPr="009E3996">
        <w:t>101 corresponds to a response rate of about</w:t>
      </w:r>
      <w:r w:rsidR="005D6901" w:rsidRPr="009E3996">
        <w:t xml:space="preserve"> 12%. </w:t>
      </w:r>
      <w:r w:rsidRPr="009E3996">
        <w:t xml:space="preserve">We tested for nonresponse bias </w:t>
      </w:r>
      <w:r w:rsidR="0097276C" w:rsidRPr="009E3996">
        <w:t xml:space="preserve">by comparing the </w:t>
      </w:r>
      <w:r w:rsidRPr="009E3996">
        <w:t>first and last twenty-five percen</w:t>
      </w:r>
      <w:r w:rsidR="00DA5688">
        <w:t>t of respondents</w:t>
      </w:r>
      <w:r w:rsidRPr="009E3996">
        <w:t xml:space="preserve"> on key variables for </w:t>
      </w:r>
      <w:r w:rsidR="0097276C" w:rsidRPr="009E3996">
        <w:t xml:space="preserve">OI </w:t>
      </w:r>
      <w:r w:rsidRPr="009E3996">
        <w:t>and firm characteristics. The analysis indicated that the two groups are statistically similar on all variables</w:t>
      </w:r>
      <w:r w:rsidR="0097276C" w:rsidRPr="009E3996">
        <w:t>, indicating that</w:t>
      </w:r>
      <w:r w:rsidRPr="009E3996">
        <w:t xml:space="preserve"> nonresponse bias does not pose a problem.</w:t>
      </w:r>
      <w:r w:rsidR="00745497" w:rsidRPr="009E3996">
        <w:t xml:space="preserve"> </w:t>
      </w:r>
      <w:r w:rsidR="000B21DF" w:rsidRPr="009E3996">
        <w:t xml:space="preserve">To address common method bias, a </w:t>
      </w:r>
      <w:r w:rsidRPr="009E3996">
        <w:t xml:space="preserve">number of procedural remedies were employed, such as improving scale items via interviews and pre-testing, protecting respondent anonymity, ensuring subjects there were no right or wrong answers, and counterbalancing </w:t>
      </w:r>
      <w:r w:rsidRPr="009E3996">
        <w:lastRenderedPageBreak/>
        <w:t>question order (</w:t>
      </w:r>
      <w:proofErr w:type="spellStart"/>
      <w:r w:rsidRPr="009E3996">
        <w:t>Podsakoff</w:t>
      </w:r>
      <w:proofErr w:type="spellEnd"/>
      <w:r w:rsidR="00A324B0" w:rsidRPr="009E3996">
        <w:t xml:space="preserve"> et al.,</w:t>
      </w:r>
      <w:r w:rsidRPr="009E3996">
        <w:t xml:space="preserve"> 2003). In addition, Harman’s one-factor test suggests that the data do not suffer from common method variance (</w:t>
      </w:r>
      <w:proofErr w:type="spellStart"/>
      <w:r w:rsidRPr="009E3996">
        <w:t>Podsakoff</w:t>
      </w:r>
      <w:proofErr w:type="spellEnd"/>
      <w:r w:rsidR="00685BC1" w:rsidRPr="009E3996">
        <w:t xml:space="preserve"> et al.,</w:t>
      </w:r>
      <w:r w:rsidRPr="009E3996">
        <w:t xml:space="preserve"> 2003).  </w:t>
      </w:r>
    </w:p>
    <w:p w:rsidR="00C20649" w:rsidRPr="009E3996" w:rsidRDefault="00C20649" w:rsidP="004A5CE5">
      <w:pPr>
        <w:contextualSpacing/>
        <w:rPr>
          <w:b/>
        </w:rPr>
      </w:pPr>
      <w:r w:rsidRPr="009E3996">
        <w:rPr>
          <w:b/>
        </w:rPr>
        <w:t>THE ROLE OF CONTRACTS AND IPR IN OPEN INNOVATION</w:t>
      </w:r>
    </w:p>
    <w:p w:rsidR="00C20649" w:rsidRPr="009E3996" w:rsidRDefault="001008F9" w:rsidP="004A5CE5">
      <w:pPr>
        <w:contextualSpacing/>
        <w:rPr>
          <w:b/>
        </w:rPr>
      </w:pPr>
      <w:r w:rsidRPr="009E3996">
        <w:rPr>
          <w:b/>
        </w:rPr>
        <w:t xml:space="preserve">Literature Background on </w:t>
      </w:r>
      <w:r w:rsidR="00713DEF" w:rsidRPr="009E3996">
        <w:rPr>
          <w:b/>
        </w:rPr>
        <w:t>OI</w:t>
      </w:r>
      <w:r w:rsidR="00817D61" w:rsidRPr="009E3996">
        <w:rPr>
          <w:b/>
        </w:rPr>
        <w:t xml:space="preserve"> and C</w:t>
      </w:r>
      <w:r w:rsidR="00C20649" w:rsidRPr="009E3996">
        <w:rPr>
          <w:b/>
        </w:rPr>
        <w:t>ontracts</w:t>
      </w:r>
    </w:p>
    <w:p w:rsidR="00C20649" w:rsidRPr="009E3996" w:rsidRDefault="00C20649" w:rsidP="004A5CE5">
      <w:pPr>
        <w:contextualSpacing/>
      </w:pPr>
      <w:proofErr w:type="spellStart"/>
      <w:r w:rsidRPr="009E3996">
        <w:t>Chesbrough’s</w:t>
      </w:r>
      <w:proofErr w:type="spellEnd"/>
      <w:r w:rsidRPr="009E3996">
        <w:t xml:space="preserve"> seminal contributions (</w:t>
      </w:r>
      <w:proofErr w:type="spellStart"/>
      <w:r w:rsidRPr="009E3996">
        <w:t>Chesbrough</w:t>
      </w:r>
      <w:proofErr w:type="spellEnd"/>
      <w:r w:rsidRPr="009E3996">
        <w:t xml:space="preserve">, 2003; 2006a, b) already stressed the importance of strategically managing </w:t>
      </w:r>
      <w:r w:rsidR="005E5C13" w:rsidRPr="009E3996">
        <w:t xml:space="preserve">knowledge exchange in an </w:t>
      </w:r>
      <w:r w:rsidR="00713DEF" w:rsidRPr="009E3996">
        <w:t>OI</w:t>
      </w:r>
      <w:r w:rsidR="005E5C13" w:rsidRPr="009E3996">
        <w:t xml:space="preserve"> setting</w:t>
      </w:r>
      <w:r w:rsidRPr="009E3996">
        <w:t xml:space="preserve">. His acknowledgement that </w:t>
      </w:r>
      <w:r w:rsidR="00713DEF" w:rsidRPr="009E3996">
        <w:t>OI</w:t>
      </w:r>
      <w:r w:rsidRPr="009E3996">
        <w:t xml:space="preserve"> can be too open and that there is a risk of appropriation of innovative efforts by others</w:t>
      </w:r>
      <w:r w:rsidR="00A93B71" w:rsidRPr="009E3996">
        <w:t xml:space="preserve"> </w:t>
      </w:r>
      <w:r w:rsidRPr="009E3996">
        <w:t>(</w:t>
      </w:r>
      <w:proofErr w:type="spellStart"/>
      <w:r w:rsidRPr="009E3996">
        <w:t>Chesbrough</w:t>
      </w:r>
      <w:proofErr w:type="spellEnd"/>
      <w:r w:rsidRPr="009E3996">
        <w:t xml:space="preserve">, 2006b), suggests that protection of innovative capabilities, not only through IPR protection but also through contractual relations with partner firms, might be unavoidable (see also </w:t>
      </w:r>
      <w:proofErr w:type="spellStart"/>
      <w:r w:rsidRPr="009E3996">
        <w:t>Luoma</w:t>
      </w:r>
      <w:proofErr w:type="spellEnd"/>
      <w:r w:rsidRPr="009E3996">
        <w:t xml:space="preserve">, </w:t>
      </w:r>
      <w:proofErr w:type="spellStart"/>
      <w:r w:rsidRPr="009E3996">
        <w:t>Paasi</w:t>
      </w:r>
      <w:proofErr w:type="spellEnd"/>
      <w:r w:rsidRPr="009E3996">
        <w:t xml:space="preserve">, and </w:t>
      </w:r>
      <w:proofErr w:type="spellStart"/>
      <w:r w:rsidRPr="009E3996">
        <w:t>Volkokari</w:t>
      </w:r>
      <w:proofErr w:type="spellEnd"/>
      <w:r w:rsidRPr="009E3996">
        <w:t xml:space="preserve">, 2010). Some recent contributions pay more explicit attention to the use of contracts in </w:t>
      </w:r>
      <w:r w:rsidR="00713DEF" w:rsidRPr="009E3996">
        <w:t>OI</w:t>
      </w:r>
      <w:r w:rsidRPr="009E3996">
        <w:t xml:space="preserve">. </w:t>
      </w:r>
      <w:proofErr w:type="spellStart"/>
      <w:r w:rsidRPr="009E3996">
        <w:t>Munsch</w:t>
      </w:r>
      <w:proofErr w:type="spellEnd"/>
      <w:r w:rsidRPr="009E3996">
        <w:t xml:space="preserve"> (2009) stipulates that given the uncertainty surrounding </w:t>
      </w:r>
      <w:r w:rsidR="00713DEF" w:rsidRPr="009E3996">
        <w:t>OI</w:t>
      </w:r>
      <w:r w:rsidRPr="009E3996">
        <w:t xml:space="preserve"> efforts, contracts have to be negotiated between </w:t>
      </w:r>
      <w:r w:rsidR="00713DEF" w:rsidRPr="009E3996">
        <w:t>OI</w:t>
      </w:r>
      <w:r w:rsidRPr="009E3996">
        <w:t xml:space="preserve"> partners to govern ownership, resource commitment, IPR, exclusivity, termination conditions, and termination rights. In other words, firms active in </w:t>
      </w:r>
      <w:r w:rsidR="00713DEF" w:rsidRPr="009E3996">
        <w:t>OI</w:t>
      </w:r>
      <w:r w:rsidRPr="009E3996">
        <w:t xml:space="preserve"> would face all the contractual intricacies that play a role in standard inter-firm exchanges. Lee (2009) and Lee, </w:t>
      </w:r>
      <w:proofErr w:type="spellStart"/>
      <w:r w:rsidRPr="009E3996">
        <w:t>Nystén-Haarala</w:t>
      </w:r>
      <w:proofErr w:type="spellEnd"/>
      <w:r w:rsidRPr="009E3996">
        <w:t xml:space="preserve">, and </w:t>
      </w:r>
      <w:proofErr w:type="spellStart"/>
      <w:r w:rsidRPr="009E3996">
        <w:t>Huhtilaienen</w:t>
      </w:r>
      <w:proofErr w:type="spellEnd"/>
      <w:r w:rsidRPr="009E3996">
        <w:t xml:space="preserve"> (2010) also stress the role that inter-firm contracts and firms’ contracting capabilities should play in </w:t>
      </w:r>
      <w:r w:rsidR="00713DEF" w:rsidRPr="009E3996">
        <w:t>OI</w:t>
      </w:r>
      <w:r w:rsidRPr="009E3996">
        <w:t xml:space="preserve"> to establish ownership and to control appropriation and contingencies. Interestingly, these authors add that, given the dynamic nature of </w:t>
      </w:r>
      <w:r w:rsidR="00713DEF" w:rsidRPr="009E3996">
        <w:t>OI</w:t>
      </w:r>
      <w:r w:rsidRPr="009E3996">
        <w:t xml:space="preserve">, these </w:t>
      </w:r>
      <w:r w:rsidR="00713DEF" w:rsidRPr="009E3996">
        <w:t>OI</w:t>
      </w:r>
      <w:r w:rsidRPr="009E3996">
        <w:t xml:space="preserve"> contracts will to a large extent remain incomplete and subject to what we could refer to as flexible private ordering</w:t>
      </w:r>
      <w:r w:rsidR="006761AF" w:rsidRPr="009E3996">
        <w:t>,</w:t>
      </w:r>
      <w:r w:rsidR="00192055" w:rsidRPr="009E3996">
        <w:t xml:space="preserve"> </w:t>
      </w:r>
      <w:r w:rsidR="00601DF1" w:rsidRPr="009E3996">
        <w:t xml:space="preserve">where contract parties accept the </w:t>
      </w:r>
      <w:r w:rsidR="00192055" w:rsidRPr="009E3996">
        <w:t xml:space="preserve">incomplete </w:t>
      </w:r>
      <w:r w:rsidR="00601DF1" w:rsidRPr="009E3996">
        <w:t xml:space="preserve">nature of their </w:t>
      </w:r>
      <w:r w:rsidR="00192055" w:rsidRPr="009E3996">
        <w:t>co</w:t>
      </w:r>
      <w:r w:rsidR="008E5654" w:rsidRPr="009E3996">
        <w:t xml:space="preserve">ntracts and </w:t>
      </w:r>
      <w:r w:rsidR="00192055" w:rsidRPr="009E3996">
        <w:t xml:space="preserve">adjust their joint efforts if circumstances so dictate (see </w:t>
      </w:r>
      <w:r w:rsidRPr="009E3996">
        <w:t xml:space="preserve">also </w:t>
      </w:r>
      <w:proofErr w:type="spellStart"/>
      <w:r w:rsidRPr="009E3996">
        <w:t>Almirall</w:t>
      </w:r>
      <w:proofErr w:type="spellEnd"/>
      <w:r w:rsidRPr="009E3996">
        <w:t xml:space="preserve"> and </w:t>
      </w:r>
      <w:proofErr w:type="spellStart"/>
      <w:r w:rsidRPr="009E3996">
        <w:t>Casadesus-Masanell</w:t>
      </w:r>
      <w:proofErr w:type="spellEnd"/>
      <w:r w:rsidRPr="009E3996">
        <w:t>, 2010).</w:t>
      </w:r>
    </w:p>
    <w:p w:rsidR="00C20649" w:rsidRPr="009E3996" w:rsidRDefault="00C20649" w:rsidP="004A5CE5">
      <w:pPr>
        <w:contextualSpacing/>
        <w:rPr>
          <w:rFonts w:eastAsiaTheme="minorHAnsi"/>
        </w:rPr>
      </w:pPr>
      <w:r w:rsidRPr="009E3996">
        <w:tab/>
        <w:t xml:space="preserve">Others have expressed an alternative view of </w:t>
      </w:r>
      <w:r w:rsidR="00713DEF" w:rsidRPr="009E3996">
        <w:t>OI</w:t>
      </w:r>
      <w:r w:rsidRPr="009E3996">
        <w:t xml:space="preserve"> that does not embrace inter-firm contracting as e.g. found in </w:t>
      </w:r>
      <w:proofErr w:type="spellStart"/>
      <w:r w:rsidRPr="009E3996">
        <w:t>Chesbrough’s</w:t>
      </w:r>
      <w:proofErr w:type="spellEnd"/>
      <w:r w:rsidRPr="009E3996">
        <w:t xml:space="preserve"> original contributions. These contributions, that could be labeled as sharing an ‘open distributed innovation perspective’, stress that </w:t>
      </w:r>
      <w:r w:rsidR="00713DEF" w:rsidRPr="009E3996">
        <w:t>OI</w:t>
      </w:r>
      <w:r w:rsidRPr="009E3996">
        <w:t xml:space="preserve"> should </w:t>
      </w:r>
      <w:r w:rsidRPr="009E3996">
        <w:lastRenderedPageBreak/>
        <w:t>refer to the open disclosure of knowledge and sharing of this knowledge with all possible parties interested (</w:t>
      </w:r>
      <w:proofErr w:type="spellStart"/>
      <w:r w:rsidRPr="009E3996">
        <w:t>Pénin</w:t>
      </w:r>
      <w:proofErr w:type="spellEnd"/>
      <w:r w:rsidRPr="009E3996">
        <w:t>, 2011; von Hippel and von Krogh, 2006</w:t>
      </w:r>
      <w:r w:rsidR="00A324B0" w:rsidRPr="009E3996">
        <w:t>; Baldwin and von Hippel, 2011</w:t>
      </w:r>
      <w:r w:rsidRPr="009E3996">
        <w:t xml:space="preserve">). For instance, </w:t>
      </w:r>
      <w:proofErr w:type="spellStart"/>
      <w:r w:rsidRPr="009E3996">
        <w:t>Pénin</w:t>
      </w:r>
      <w:proofErr w:type="spellEnd"/>
      <w:r w:rsidRPr="009E3996">
        <w:t xml:space="preserve"> (2011) states that contract-based forms of inter-organizational collaboration, such as licensing, joint ventures, and contractual alliances, are according to this alternative view not to be considered as part of a truly </w:t>
      </w:r>
      <w:r w:rsidR="00713DEF" w:rsidRPr="009E3996">
        <w:t>OI</w:t>
      </w:r>
      <w:r w:rsidRPr="009E3996">
        <w:t xml:space="preserve"> effort as these contractual collaborations usually restrict knowledge diffusion to the parties involved and certainly to third parties. Von Hippel and von Krogh (2006) mention</w:t>
      </w:r>
      <w:r w:rsidRPr="009E3996">
        <w:rPr>
          <w:rFonts w:eastAsiaTheme="minorHAnsi"/>
        </w:rPr>
        <w:t xml:space="preserve"> that </w:t>
      </w:r>
      <w:r w:rsidR="00713DEF" w:rsidRPr="009E3996">
        <w:rPr>
          <w:rFonts w:eastAsiaTheme="minorHAnsi"/>
        </w:rPr>
        <w:t>OI</w:t>
      </w:r>
      <w:r w:rsidRPr="009E3996">
        <w:rPr>
          <w:rFonts w:eastAsiaTheme="minorHAnsi"/>
        </w:rPr>
        <w:t xml:space="preserve"> should be characterized by ‘free revealing of product and process designs’ that is available to all relevant firms and organizations. Or, as stated by Baldwin and von Hippel (2011, p. 1400): “… innovation is ‘open’ (…) when all information (…) is a public good – non-</w:t>
      </w:r>
      <w:proofErr w:type="spellStart"/>
      <w:r w:rsidRPr="009E3996">
        <w:rPr>
          <w:rFonts w:eastAsiaTheme="minorHAnsi"/>
        </w:rPr>
        <w:t>rivalrous</w:t>
      </w:r>
      <w:proofErr w:type="spellEnd"/>
      <w:r w:rsidRPr="009E3996">
        <w:rPr>
          <w:rFonts w:eastAsiaTheme="minorHAnsi"/>
        </w:rPr>
        <w:t xml:space="preserve"> and non-excludable.”</w:t>
      </w:r>
      <w:r w:rsidRPr="009E3996">
        <w:t xml:space="preserve"> The ultimate consequence of this particular understanding of </w:t>
      </w:r>
      <w:r w:rsidR="00713DEF" w:rsidRPr="009E3996">
        <w:t>OI</w:t>
      </w:r>
      <w:r w:rsidRPr="009E3996">
        <w:t xml:space="preserve"> is that innovation becomes open only if relevant knowledge can be shared by everyone and also becomes available to everyone, with little or no role for contracts. Interestingly, the basic thoughts behind this particular perception of </w:t>
      </w:r>
      <w:r w:rsidR="00713DEF" w:rsidRPr="009E3996">
        <w:t>OI</w:t>
      </w:r>
      <w:r w:rsidRPr="009E3996">
        <w:t xml:space="preserve"> seem to resonate elements of the ‘</w:t>
      </w:r>
      <w:r w:rsidRPr="009E3996">
        <w:rPr>
          <w:rFonts w:eastAsiaTheme="minorHAnsi"/>
        </w:rPr>
        <w:t>business world without contracts’ of Macaulay (1963) where formal contracts are of little relevance.</w:t>
      </w:r>
    </w:p>
    <w:p w:rsidR="00A93B71" w:rsidRPr="009E3996" w:rsidRDefault="003F7E7E" w:rsidP="005243D6">
      <w:pPr>
        <w:ind w:firstLine="720"/>
        <w:contextualSpacing/>
      </w:pPr>
      <w:r w:rsidRPr="009E3996">
        <w:t>Besides th</w:t>
      </w:r>
      <w:r w:rsidR="00DD6149" w:rsidRPr="009E3996">
        <w:t>is</w:t>
      </w:r>
      <w:r w:rsidRPr="009E3996">
        <w:t xml:space="preserve"> general dichotomy in the literature,</w:t>
      </w:r>
      <w:r w:rsidRPr="009E3996">
        <w:rPr>
          <w:b/>
        </w:rPr>
        <w:t xml:space="preserve"> </w:t>
      </w:r>
      <w:r w:rsidRPr="009E3996">
        <w:t>little is known about the specific roles that contracts could play in this setting.</w:t>
      </w:r>
      <w:r w:rsidRPr="009E3996">
        <w:rPr>
          <w:b/>
        </w:rPr>
        <w:t xml:space="preserve"> </w:t>
      </w:r>
      <w:r w:rsidR="00126572" w:rsidRPr="009E3996">
        <w:t xml:space="preserve">However, </w:t>
      </w:r>
      <w:r w:rsidR="00CD06BB" w:rsidRPr="009E3996">
        <w:t>c</w:t>
      </w:r>
      <w:r w:rsidRPr="009E3996">
        <w:t xml:space="preserve">ontracts can be used from a legal perspective to control the progress of collaboration with partners but also to monitor the progress of collaboration from a more practical process perspective (see also </w:t>
      </w:r>
      <w:proofErr w:type="spellStart"/>
      <w:r w:rsidRPr="009E3996">
        <w:t>Argyres</w:t>
      </w:r>
      <w:proofErr w:type="spellEnd"/>
      <w:r w:rsidRPr="009E3996">
        <w:t xml:space="preserve"> and Mayer, 2007; </w:t>
      </w:r>
      <w:proofErr w:type="spellStart"/>
      <w:r w:rsidRPr="009E3996">
        <w:t>Mellewigt</w:t>
      </w:r>
      <w:proofErr w:type="spellEnd"/>
      <w:r w:rsidRPr="009E3996">
        <w:t xml:space="preserve">, </w:t>
      </w:r>
      <w:proofErr w:type="spellStart"/>
      <w:r w:rsidRPr="009E3996">
        <w:t>Madhok</w:t>
      </w:r>
      <w:proofErr w:type="spellEnd"/>
      <w:r w:rsidRPr="009E3996">
        <w:t xml:space="preserve">, and </w:t>
      </w:r>
      <w:proofErr w:type="spellStart"/>
      <w:r w:rsidRPr="009E3996">
        <w:t>Weibel</w:t>
      </w:r>
      <w:proofErr w:type="spellEnd"/>
      <w:r w:rsidRPr="009E3996">
        <w:t xml:space="preserve">, 2007; </w:t>
      </w:r>
      <w:proofErr w:type="spellStart"/>
      <w:r w:rsidRPr="009E3996">
        <w:t>Reuer</w:t>
      </w:r>
      <w:proofErr w:type="spellEnd"/>
      <w:r w:rsidRPr="009E3996">
        <w:t xml:space="preserve"> and </w:t>
      </w:r>
      <w:proofErr w:type="spellStart"/>
      <w:r w:rsidRPr="009E3996">
        <w:t>Arino</w:t>
      </w:r>
      <w:proofErr w:type="spellEnd"/>
      <w:r w:rsidRPr="009E3996">
        <w:t xml:space="preserve">, 2007). This suggests the question to what extent both perspectives are relevant in the context of these </w:t>
      </w:r>
      <w:r w:rsidR="00713DEF" w:rsidRPr="009E3996">
        <w:t>OI</w:t>
      </w:r>
      <w:r w:rsidRPr="009E3996">
        <w:t xml:space="preserve"> cooperation contracts or whether </w:t>
      </w:r>
      <w:r w:rsidR="00713DEF" w:rsidRPr="009E3996">
        <w:t>OI</w:t>
      </w:r>
      <w:r w:rsidRPr="009E3996">
        <w:t xml:space="preserve"> firms see these contracts as primarily serving one goal. In other words, to what extent are these contracts used to monitor the process of </w:t>
      </w:r>
      <w:r w:rsidR="00713DEF" w:rsidRPr="009E3996">
        <w:t>OI</w:t>
      </w:r>
      <w:r w:rsidRPr="009E3996">
        <w:t xml:space="preserve"> cooperation process or to contractually control the cooperation with </w:t>
      </w:r>
      <w:r w:rsidR="00713DEF" w:rsidRPr="009E3996">
        <w:t>OI</w:t>
      </w:r>
      <w:r w:rsidRPr="009E3996">
        <w:t xml:space="preserve"> partners?</w:t>
      </w:r>
    </w:p>
    <w:p w:rsidR="00DA5688" w:rsidRDefault="00DA5688" w:rsidP="00A93B71">
      <w:pPr>
        <w:contextualSpacing/>
        <w:rPr>
          <w:b/>
        </w:rPr>
      </w:pPr>
    </w:p>
    <w:p w:rsidR="00AE075B" w:rsidRPr="009E3996" w:rsidRDefault="00CD06BB" w:rsidP="00A93B71">
      <w:pPr>
        <w:contextualSpacing/>
        <w:rPr>
          <w:b/>
        </w:rPr>
      </w:pPr>
      <w:r w:rsidRPr="009E3996">
        <w:rPr>
          <w:b/>
        </w:rPr>
        <w:lastRenderedPageBreak/>
        <w:t xml:space="preserve">Empirical Insights on the Role of Contracts in </w:t>
      </w:r>
      <w:r w:rsidR="00713DEF" w:rsidRPr="009E3996">
        <w:rPr>
          <w:b/>
        </w:rPr>
        <w:t>OI</w:t>
      </w:r>
    </w:p>
    <w:p w:rsidR="00C20649" w:rsidRPr="009E3996" w:rsidRDefault="00C20649" w:rsidP="004A5CE5">
      <w:pPr>
        <w:contextualSpacing/>
      </w:pPr>
      <w:r w:rsidRPr="009E3996">
        <w:t xml:space="preserve">Given these different perspectives on control and the use of contracts in </w:t>
      </w:r>
      <w:r w:rsidR="00713DEF" w:rsidRPr="009E3996">
        <w:t>OI</w:t>
      </w:r>
      <w:r w:rsidRPr="009E3996">
        <w:t xml:space="preserve">, the first and obvious question is whether firms, that perceive themselves as typical representatives of </w:t>
      </w:r>
      <w:r w:rsidR="00713DEF" w:rsidRPr="009E3996">
        <w:t>OI</w:t>
      </w:r>
      <w:r w:rsidRPr="009E3996">
        <w:t xml:space="preserve">, do indeed use contracts in their </w:t>
      </w:r>
      <w:r w:rsidR="00713DEF" w:rsidRPr="009E3996">
        <w:t>OI</w:t>
      </w:r>
      <w:r w:rsidRPr="009E3996">
        <w:t xml:space="preserve"> collaboration, or not? Interestingly, our </w:t>
      </w:r>
      <w:r w:rsidR="000904BA" w:rsidRPr="009E3996">
        <w:t>survey results</w:t>
      </w:r>
      <w:r w:rsidRPr="009E3996">
        <w:t xml:space="preserve"> indicate that an overwhelming majority of firms in our sample, i.e. 95%, do use formal contracts when working with their </w:t>
      </w:r>
      <w:r w:rsidR="00713DEF" w:rsidRPr="009E3996">
        <w:t>OI</w:t>
      </w:r>
      <w:r w:rsidRPr="009E3996">
        <w:t xml:space="preserve"> partner </w:t>
      </w:r>
      <w:r w:rsidR="000904BA" w:rsidRPr="009E3996">
        <w:t>firms, while</w:t>
      </w:r>
      <w:r w:rsidRPr="009E3996">
        <w:t xml:space="preserve"> </w:t>
      </w:r>
      <w:r w:rsidR="000904BA" w:rsidRPr="009E3996">
        <w:t>v</w:t>
      </w:r>
      <w:r w:rsidR="00DA5688">
        <w:t>ery few firms</w:t>
      </w:r>
      <w:r w:rsidRPr="009E3996">
        <w:t xml:space="preserve"> rely on non-contractual partnerships for their </w:t>
      </w:r>
      <w:r w:rsidR="00713DEF" w:rsidRPr="009E3996">
        <w:t>OI</w:t>
      </w:r>
      <w:r w:rsidRPr="009E3996">
        <w:t xml:space="preserve"> activities. </w:t>
      </w:r>
    </w:p>
    <w:p w:rsidR="00C20649" w:rsidRPr="009E3996" w:rsidRDefault="00C20649" w:rsidP="004A5CE5">
      <w:pPr>
        <w:ind w:firstLine="720"/>
        <w:contextualSpacing/>
      </w:pPr>
      <w:r w:rsidRPr="009E3996">
        <w:t xml:space="preserve">Our </w:t>
      </w:r>
      <w:r w:rsidR="00DA5688">
        <w:t>interview study</w:t>
      </w:r>
      <w:r w:rsidRPr="009E3996">
        <w:t xml:space="preserve"> also indicates that </w:t>
      </w:r>
      <w:r w:rsidR="00713DEF" w:rsidRPr="009E3996">
        <w:t>OI</w:t>
      </w:r>
      <w:r w:rsidRPr="009E3996">
        <w:t xml:space="preserve"> firms prefer to use formal contracts with their </w:t>
      </w:r>
      <w:r w:rsidR="00713DEF" w:rsidRPr="009E3996">
        <w:t>OI</w:t>
      </w:r>
      <w:r w:rsidRPr="009E3996">
        <w:t xml:space="preserve"> partner firms. As stated during one of the interviews: “… </w:t>
      </w:r>
      <w:r w:rsidRPr="009E3996">
        <w:rPr>
          <w:i/>
        </w:rPr>
        <w:t xml:space="preserve">whenever we get into a partnership or collaboration, there is a framework agreement…” </w:t>
      </w:r>
      <w:r w:rsidRPr="009E3996">
        <w:t xml:space="preserve">Also, firms seem less inclined to engage in free revealing when engaging in </w:t>
      </w:r>
      <w:r w:rsidR="00713DEF" w:rsidRPr="009E3996">
        <w:t>OI</w:t>
      </w:r>
      <w:r w:rsidRPr="009E3996">
        <w:t xml:space="preserve"> with other firms, as pointed out by another manager: “… </w:t>
      </w:r>
      <w:r w:rsidRPr="009E3996">
        <w:rPr>
          <w:i/>
        </w:rPr>
        <w:t>I mean nothing is free in the world.</w:t>
      </w:r>
      <w:r w:rsidRPr="009E3996">
        <w:t xml:space="preserve"> </w:t>
      </w:r>
      <w:r w:rsidRPr="009E3996">
        <w:rPr>
          <w:i/>
        </w:rPr>
        <w:t>It is open innovation; it is certainly not free… So who owns what in an open context? …We have agreements and contracts on how to do this…”</w:t>
      </w:r>
      <w:r w:rsidRPr="009E3996">
        <w:t xml:space="preserve"> These formal contracts are often preceded by term sheets to stipulate preliminary terms and conditions that govern the joint activities of the </w:t>
      </w:r>
      <w:r w:rsidR="00713DEF" w:rsidRPr="009E3996">
        <w:t>OI</w:t>
      </w:r>
      <w:r w:rsidRPr="009E3996">
        <w:t xml:space="preserve"> partner firms. These term sheets help the firms to specify expectations of both parties and to speed up the contracting process. As explained by one of the managers: </w:t>
      </w:r>
      <w:r w:rsidRPr="009E3996">
        <w:rPr>
          <w:i/>
        </w:rPr>
        <w:t xml:space="preserve">“… it is very important to get the right expectations from both sides at the beginning; before you develop a contract. What normally works best, is that you first have a term sheet on the expectations from both sides before you involve the lawyers to come up with a joint development agreement, or whatever kind of agreement. Otherwise it can take ages before you come to an agreement. So you should agree on terms first and then discuss the details later...” </w:t>
      </w:r>
      <w:r w:rsidRPr="009E3996">
        <w:t>These term sheets serve as a first basis for negotiations, prior to the development of a more formal final contract. As illustrated by the following quote: “… w</w:t>
      </w:r>
      <w:r w:rsidRPr="009E3996">
        <w:rPr>
          <w:i/>
        </w:rPr>
        <w:t xml:space="preserve">e make a term sheet, specifying what is mine, what is yours, and what we develop together...” </w:t>
      </w:r>
    </w:p>
    <w:p w:rsidR="001008F9" w:rsidRPr="009E3996" w:rsidRDefault="00C20649" w:rsidP="00817D61">
      <w:pPr>
        <w:ind w:firstLine="720"/>
        <w:contextualSpacing/>
      </w:pPr>
      <w:r w:rsidRPr="009E3996">
        <w:lastRenderedPageBreak/>
        <w:t xml:space="preserve">Similar to other formal inter-firm contracts, these </w:t>
      </w:r>
      <w:r w:rsidR="00713DEF" w:rsidRPr="009E3996">
        <w:t>OI</w:t>
      </w:r>
      <w:r w:rsidRPr="009E3996">
        <w:t xml:space="preserve"> contracts contain a range of contractual clauses, that refer to, amongst others, ownership, exclusivity, and financial compensation. However, in light of the dynamics of </w:t>
      </w:r>
      <w:r w:rsidR="00713DEF" w:rsidRPr="009E3996">
        <w:t>OI</w:t>
      </w:r>
      <w:r w:rsidRPr="009E3996">
        <w:t xml:space="preserve"> with frequent environmental changes as new partners and new R&amp;D projects enter the picture, managers who we interviewed stressed that these contracts are expected to have a limited time horizon. This situation calls for what we described in the above as flexible private ordering through contracts. As mentioned by one of the managers, this implies that even if particular </w:t>
      </w:r>
      <w:r w:rsidR="00713DEF" w:rsidRPr="009E3996">
        <w:t>OI</w:t>
      </w:r>
      <w:r w:rsidRPr="009E3996">
        <w:t xml:space="preserve"> partners continue to cooperate over an extended period of time “... </w:t>
      </w:r>
      <w:r w:rsidRPr="009E3996">
        <w:rPr>
          <w:i/>
        </w:rPr>
        <w:t>contracts are not perpetual, so contracts run for a couple of years and then they have to be renewed</w:t>
      </w:r>
      <w:r w:rsidRPr="009E3996">
        <w:t xml:space="preserve"> ….”</w:t>
      </w:r>
    </w:p>
    <w:p w:rsidR="00EE3F7C" w:rsidRPr="009E3996" w:rsidRDefault="003F7E7E" w:rsidP="005243D6">
      <w:pPr>
        <w:ind w:firstLine="720"/>
        <w:contextualSpacing/>
      </w:pPr>
      <w:r w:rsidRPr="009E3996">
        <w:t>With regard to the specific roles of these contracts, o</w:t>
      </w:r>
      <w:r w:rsidR="00C20649" w:rsidRPr="009E3996">
        <w:t xml:space="preserve">ur findings show that firms active in </w:t>
      </w:r>
      <w:r w:rsidR="00713DEF" w:rsidRPr="009E3996">
        <w:t>OI</w:t>
      </w:r>
      <w:r w:rsidR="00C20649" w:rsidRPr="009E3996">
        <w:t xml:space="preserve"> see both the legal (control) perspective and the practical (monitoring) perspective as quite relevant. On average, firms in our sample perceive contracts as an important legal mechanism to control their collaboration with </w:t>
      </w:r>
      <w:r w:rsidR="00713DEF" w:rsidRPr="009E3996">
        <w:t>OI</w:t>
      </w:r>
      <w:r w:rsidR="00C20649" w:rsidRPr="009E3996">
        <w:t xml:space="preserve"> partners, as indicated by an average score of 5.35 on a 7-point L</w:t>
      </w:r>
      <w:r w:rsidR="006C2518" w:rsidRPr="009E3996">
        <w:t>ikert scale</w:t>
      </w:r>
      <w:r w:rsidR="00AA7D71" w:rsidRPr="009E3996">
        <w:t xml:space="preserve"> (standard deviation 1.5)</w:t>
      </w:r>
      <w:r w:rsidR="00C20649" w:rsidRPr="009E3996">
        <w:t>. The perceived importance of formal contracts as a means to monitor the progress of collaboration is somewhat lower with an average score of 5.06 on a 7-point Likert scale</w:t>
      </w:r>
      <w:r w:rsidR="00AA7D71" w:rsidRPr="009E3996">
        <w:t xml:space="preserve"> (standard deviation 1.6)</w:t>
      </w:r>
      <w:r w:rsidR="00C20649" w:rsidRPr="009E3996">
        <w:t>.</w:t>
      </w:r>
    </w:p>
    <w:p w:rsidR="00C20649" w:rsidRPr="009E3996" w:rsidRDefault="00817D61" w:rsidP="004A5CE5">
      <w:pPr>
        <w:contextualSpacing/>
        <w:rPr>
          <w:b/>
        </w:rPr>
      </w:pPr>
      <w:r w:rsidRPr="009E3996">
        <w:rPr>
          <w:b/>
        </w:rPr>
        <w:t xml:space="preserve">Literature Background on </w:t>
      </w:r>
      <w:r w:rsidR="00713DEF" w:rsidRPr="009E3996">
        <w:rPr>
          <w:b/>
        </w:rPr>
        <w:t>OI</w:t>
      </w:r>
      <w:r w:rsidR="00C20649" w:rsidRPr="009E3996">
        <w:rPr>
          <w:b/>
        </w:rPr>
        <w:t xml:space="preserve"> and IPR protection</w:t>
      </w:r>
    </w:p>
    <w:p w:rsidR="00C20649" w:rsidRPr="009E3996" w:rsidRDefault="00C20649" w:rsidP="004A5CE5">
      <w:pPr>
        <w:contextualSpacing/>
      </w:pPr>
      <w:r w:rsidRPr="009E3996">
        <w:t xml:space="preserve">As with the literature on the role of contracts in </w:t>
      </w:r>
      <w:r w:rsidR="00713DEF" w:rsidRPr="009E3996">
        <w:t>OI</w:t>
      </w:r>
      <w:r w:rsidRPr="009E3996">
        <w:t xml:space="preserve">, there is a relatively small body of literature that pays explicit attention to the role of IPR (patents, trademarks, copyrights, design rights, and trade secrets in terms of technical or commercial information) in </w:t>
      </w:r>
      <w:r w:rsidR="00713DEF" w:rsidRPr="009E3996">
        <w:t>OI</w:t>
      </w:r>
      <w:r w:rsidRPr="009E3996">
        <w:t xml:space="preserve">. Interestingly, these contributions seem to follow a divide somewhat similar to the debate about contracts, with some authors advocating the advantages of IPR protection for firms active in </w:t>
      </w:r>
      <w:r w:rsidR="00713DEF" w:rsidRPr="009E3996">
        <w:t>OI</w:t>
      </w:r>
      <w:r w:rsidRPr="009E3996">
        <w:t xml:space="preserve">, whereas others stress the tension between IPR and </w:t>
      </w:r>
      <w:r w:rsidR="00713DEF" w:rsidRPr="009E3996">
        <w:t>OI</w:t>
      </w:r>
      <w:r w:rsidRPr="009E3996">
        <w:t xml:space="preserve">. </w:t>
      </w:r>
      <w:proofErr w:type="spellStart"/>
      <w:r w:rsidRPr="009E3996">
        <w:t>Sandulli</w:t>
      </w:r>
      <w:proofErr w:type="spellEnd"/>
      <w:r w:rsidRPr="009E3996">
        <w:t xml:space="preserve"> and </w:t>
      </w:r>
      <w:proofErr w:type="spellStart"/>
      <w:r w:rsidRPr="009E3996">
        <w:t>Chesbrough</w:t>
      </w:r>
      <w:proofErr w:type="spellEnd"/>
      <w:r w:rsidRPr="009E3996">
        <w:t xml:space="preserve"> (2009), extending </w:t>
      </w:r>
      <w:proofErr w:type="spellStart"/>
      <w:r w:rsidRPr="009E3996">
        <w:t>Chesbrough</w:t>
      </w:r>
      <w:proofErr w:type="spellEnd"/>
      <w:r w:rsidRPr="009E3996">
        <w:t xml:space="preserve"> (2006b), stress that IPR can play a role in </w:t>
      </w:r>
      <w:r w:rsidR="00713DEF" w:rsidRPr="009E3996">
        <w:t>OI</w:t>
      </w:r>
      <w:r w:rsidRPr="009E3996">
        <w:t xml:space="preserve"> to ensure that firms can capture value from their innovative activities</w:t>
      </w:r>
      <w:r w:rsidR="005625D3" w:rsidRPr="009E3996">
        <w:t xml:space="preserve"> (</w:t>
      </w:r>
      <w:r w:rsidR="003F7E7E" w:rsidRPr="009E3996">
        <w:t xml:space="preserve">see also </w:t>
      </w:r>
      <w:proofErr w:type="spellStart"/>
      <w:r w:rsidR="005625D3" w:rsidRPr="009E3996">
        <w:t>Chesbrough</w:t>
      </w:r>
      <w:proofErr w:type="spellEnd"/>
      <w:r w:rsidR="005625D3" w:rsidRPr="009E3996">
        <w:t xml:space="preserve"> and Chen, 2013</w:t>
      </w:r>
      <w:r w:rsidR="00A93B71" w:rsidRPr="009E3996">
        <w:t xml:space="preserve">; </w:t>
      </w:r>
      <w:proofErr w:type="spellStart"/>
      <w:r w:rsidR="00A93B71" w:rsidRPr="009E3996">
        <w:t>Henttonen</w:t>
      </w:r>
      <w:proofErr w:type="spellEnd"/>
      <w:r w:rsidR="00A93B71" w:rsidRPr="009E3996">
        <w:t xml:space="preserve">, </w:t>
      </w:r>
      <w:proofErr w:type="spellStart"/>
      <w:r w:rsidR="00A93B71" w:rsidRPr="009E3996">
        <w:lastRenderedPageBreak/>
        <w:t>Hurmelinna-Laukkanen</w:t>
      </w:r>
      <w:proofErr w:type="spellEnd"/>
      <w:r w:rsidR="00A93B71" w:rsidRPr="009E3996">
        <w:t xml:space="preserve">, and </w:t>
      </w:r>
      <w:proofErr w:type="spellStart"/>
      <w:r w:rsidR="00A93B71" w:rsidRPr="009E3996">
        <w:t>Ritala</w:t>
      </w:r>
      <w:proofErr w:type="spellEnd"/>
      <w:r w:rsidR="00A93B71" w:rsidRPr="009E3996">
        <w:t>, 2015</w:t>
      </w:r>
      <w:r w:rsidR="005625D3" w:rsidRPr="009E3996">
        <w:t>)</w:t>
      </w:r>
      <w:r w:rsidRPr="009E3996">
        <w:t xml:space="preserve">. Even more explicit are Pisano and Teece (2007) in their understanding of the role of strong regimes of </w:t>
      </w:r>
      <w:proofErr w:type="spellStart"/>
      <w:r w:rsidRPr="009E3996">
        <w:t>appropriabil</w:t>
      </w:r>
      <w:r w:rsidR="00192055" w:rsidRPr="009E3996">
        <w:t>i</w:t>
      </w:r>
      <w:r w:rsidRPr="009E3996">
        <w:t>ty</w:t>
      </w:r>
      <w:proofErr w:type="spellEnd"/>
      <w:r w:rsidRPr="009E3996">
        <w:t xml:space="preserve"> where IPR protection facilitates the exchange of knowledge between firms as they realize that, given IPR, their intangible assets are difficult to imitate or appropriate. This understanding is shared by Graham and Mowery (2006) who suggest that “… IP protection creates a platform for the transfer of knowledge assets…” (p. 185). They argue that </w:t>
      </w:r>
      <w:proofErr w:type="spellStart"/>
      <w:r w:rsidRPr="009E3996">
        <w:t>Chesbrough’s</w:t>
      </w:r>
      <w:proofErr w:type="spellEnd"/>
      <w:r w:rsidRPr="009E3996">
        <w:t xml:space="preserve"> concept of </w:t>
      </w:r>
      <w:r w:rsidR="00713DEF" w:rsidRPr="009E3996">
        <w:t>OI</w:t>
      </w:r>
      <w:r w:rsidRPr="009E3996">
        <w:t xml:space="preserve"> relies heavily on markets for intellectual capital that need to be supported by strong formal IPR (see also </w:t>
      </w:r>
      <w:proofErr w:type="spellStart"/>
      <w:r w:rsidRPr="009E3996">
        <w:t>Dubiansky</w:t>
      </w:r>
      <w:proofErr w:type="spellEnd"/>
      <w:r w:rsidRPr="009E3996">
        <w:t>, 2006</w:t>
      </w:r>
      <w:r w:rsidR="00975CD0" w:rsidRPr="009E3996">
        <w:t xml:space="preserve"> and de Jong et al., 2010</w:t>
      </w:r>
      <w:r w:rsidRPr="009E3996">
        <w:t xml:space="preserve">). </w:t>
      </w:r>
    </w:p>
    <w:p w:rsidR="0045450E" w:rsidRPr="009E3996" w:rsidRDefault="00C20649" w:rsidP="003F7E7E">
      <w:pPr>
        <w:ind w:firstLine="720"/>
        <w:contextualSpacing/>
      </w:pPr>
      <w:proofErr w:type="spellStart"/>
      <w:r w:rsidRPr="009E3996">
        <w:t>Pénin</w:t>
      </w:r>
      <w:proofErr w:type="spellEnd"/>
      <w:r w:rsidRPr="009E3996">
        <w:t xml:space="preserve"> (2011) on the other hand stresses that IPR protection might threaten </w:t>
      </w:r>
      <w:r w:rsidR="00713DEF" w:rsidRPr="009E3996">
        <w:t>OI</w:t>
      </w:r>
      <w:r w:rsidRPr="009E3996">
        <w:t xml:space="preserve"> as broad accessibility of knowledge and technology is a crucial element of </w:t>
      </w:r>
      <w:r w:rsidR="00713DEF" w:rsidRPr="009E3996">
        <w:t>OI</w:t>
      </w:r>
      <w:r w:rsidRPr="009E3996">
        <w:t xml:space="preserve">. In order to ensure this accessibility, IPR should not transfer control to a single owner but rather no firm should be allowed to appropriate any innovation or its future improvements and as such this would preserve the openness of </w:t>
      </w:r>
      <w:r w:rsidR="00713DEF" w:rsidRPr="009E3996">
        <w:t>OI</w:t>
      </w:r>
      <w:r w:rsidRPr="009E3996">
        <w:t xml:space="preserve"> (von Hippel and von Krogh, 2006). West (</w:t>
      </w:r>
      <w:r w:rsidR="00FA162F" w:rsidRPr="009E3996">
        <w:t xml:space="preserve">2006), </w:t>
      </w:r>
      <w:r w:rsidR="008071EB" w:rsidRPr="009E3996">
        <w:t>West and Gall</w:t>
      </w:r>
      <w:r w:rsidR="00DA5688">
        <w:t>a</w:t>
      </w:r>
      <w:r w:rsidR="008071EB" w:rsidRPr="009E3996">
        <w:t xml:space="preserve">gher (2006) </w:t>
      </w:r>
      <w:r w:rsidR="00FA162F" w:rsidRPr="009E3996">
        <w:t xml:space="preserve">and </w:t>
      </w:r>
      <w:proofErr w:type="spellStart"/>
      <w:r w:rsidR="00FA162F" w:rsidRPr="009E3996">
        <w:t>Laursen</w:t>
      </w:r>
      <w:proofErr w:type="spellEnd"/>
      <w:r w:rsidR="00FA162F" w:rsidRPr="009E3996">
        <w:t xml:space="preserve"> and Salter (2014) </w:t>
      </w:r>
      <w:r w:rsidR="008071EB" w:rsidRPr="009E3996">
        <w:t>appear</w:t>
      </w:r>
      <w:r w:rsidRPr="009E3996">
        <w:t xml:space="preserve"> to take a position somewhere in between a pro and a counter-I</w:t>
      </w:r>
      <w:r w:rsidR="00FA162F" w:rsidRPr="009E3996">
        <w:t>PR argument. On the one hand, they acknowledge</w:t>
      </w:r>
      <w:r w:rsidRPr="009E3996">
        <w:t xml:space="preserve"> that IPR enable firms active in </w:t>
      </w:r>
      <w:r w:rsidR="00713DEF" w:rsidRPr="009E3996">
        <w:t>OI</w:t>
      </w:r>
      <w:r w:rsidRPr="009E3996">
        <w:t xml:space="preserve"> to capture returns on their innovative efforts while also secure their exchanges with other firms. On the other hand, IPR protection may conflict with a common understanding of openness through which shared external information is without significant costs to partners. </w:t>
      </w:r>
    </w:p>
    <w:p w:rsidR="00AE075B" w:rsidRPr="009E3996" w:rsidRDefault="00CD06BB" w:rsidP="00AE075B">
      <w:pPr>
        <w:contextualSpacing/>
        <w:rPr>
          <w:b/>
        </w:rPr>
      </w:pPr>
      <w:r w:rsidRPr="009E3996">
        <w:rPr>
          <w:b/>
        </w:rPr>
        <w:t xml:space="preserve">Empirical Insights on the Role of IPR in </w:t>
      </w:r>
      <w:r w:rsidR="00713DEF" w:rsidRPr="009E3996">
        <w:rPr>
          <w:b/>
        </w:rPr>
        <w:t>OI</w:t>
      </w:r>
      <w:r w:rsidRPr="009E3996">
        <w:rPr>
          <w:b/>
        </w:rPr>
        <w:t xml:space="preserve"> </w:t>
      </w:r>
    </w:p>
    <w:p w:rsidR="00C20649" w:rsidRPr="009E3996" w:rsidRDefault="00C20649" w:rsidP="00AE075B">
      <w:pPr>
        <w:contextualSpacing/>
      </w:pPr>
      <w:r w:rsidRPr="009E3996">
        <w:t xml:space="preserve">Given these different perspectives on </w:t>
      </w:r>
      <w:r w:rsidR="00713DEF" w:rsidRPr="009E3996">
        <w:t>OI</w:t>
      </w:r>
      <w:r w:rsidRPr="009E3996">
        <w:t xml:space="preserve"> and IPR protection, it is an interesting question whether firms, that perceive themselves as typical representatives of </w:t>
      </w:r>
      <w:r w:rsidR="00713DEF" w:rsidRPr="009E3996">
        <w:t>OI</w:t>
      </w:r>
      <w:r w:rsidRPr="009E3996">
        <w:t xml:space="preserve">, see IPR as a relevant protection mechanism for their innovative capabilities. During our </w:t>
      </w:r>
      <w:r w:rsidR="00DA5688">
        <w:t>interview study</w:t>
      </w:r>
      <w:r w:rsidRPr="009E3996">
        <w:t>, it was stressed by every manager we interviewed how important ‘</w:t>
      </w:r>
      <w:r w:rsidRPr="009E3996">
        <w:rPr>
          <w:i/>
        </w:rPr>
        <w:t>exclusivity based on patents and other intellectual property</w:t>
      </w:r>
      <w:r w:rsidRPr="009E3996">
        <w:t>’ and ‘</w:t>
      </w:r>
      <w:r w:rsidRPr="009E3996">
        <w:rPr>
          <w:i/>
        </w:rPr>
        <w:t>protection of knowledge</w:t>
      </w:r>
      <w:r w:rsidRPr="009E3996">
        <w:t xml:space="preserve">’ are for these </w:t>
      </w:r>
      <w:r w:rsidR="00713DEF" w:rsidRPr="009E3996">
        <w:t>OI</w:t>
      </w:r>
      <w:r w:rsidRPr="009E3996">
        <w:t xml:space="preserve"> firms. </w:t>
      </w:r>
      <w:r w:rsidR="00DA5688">
        <w:t>They</w:t>
      </w:r>
      <w:r w:rsidRPr="009E3996">
        <w:t xml:space="preserve"> </w:t>
      </w:r>
      <w:r w:rsidRPr="009E3996">
        <w:lastRenderedPageBreak/>
        <w:t xml:space="preserve">indicate that, without IPR, they would be less inclined to cooperate with other firms as, based on their IPR protection, they are willing to invest in innovative activities that they can share with others. </w:t>
      </w:r>
    </w:p>
    <w:p w:rsidR="00C20649" w:rsidRPr="009E3996" w:rsidRDefault="00C20649" w:rsidP="00C20649">
      <w:pPr>
        <w:spacing w:after="240"/>
        <w:ind w:firstLine="720"/>
        <w:contextualSpacing/>
      </w:pPr>
      <w:r w:rsidRPr="009E3996">
        <w:t xml:space="preserve">Results from our survey show a more detailed perspective on the role of IPR. </w:t>
      </w:r>
      <w:r w:rsidR="00192055" w:rsidRPr="009E3996">
        <w:t>It turns out (see T</w:t>
      </w:r>
      <w:r w:rsidR="006C2518" w:rsidRPr="009E3996">
        <w:t>able 1</w:t>
      </w:r>
      <w:r w:rsidR="00192055" w:rsidRPr="009E3996">
        <w:t>)</w:t>
      </w:r>
      <w:r w:rsidRPr="009E3996">
        <w:t xml:space="preserve"> that patents and technical and commercial information (trade secrets) are seen as the most important instruments to protect the innovative capabilities of firms from their </w:t>
      </w:r>
      <w:r w:rsidR="00713DEF" w:rsidRPr="009E3996">
        <w:t>OI</w:t>
      </w:r>
      <w:r w:rsidRPr="009E3996">
        <w:t xml:space="preserve"> partners, as indicated by around 90% of the firms in our sample. Trademarks and design rights are also seen as relevant by a substantial share of firms (over 70 % and nearly 65%, respectively)</w:t>
      </w:r>
      <w:r w:rsidR="00D0758E" w:rsidRPr="009E3996">
        <w:t>,</w:t>
      </w:r>
      <w:r w:rsidRPr="009E3996">
        <w:t xml:space="preserve"> </w:t>
      </w:r>
      <w:r w:rsidR="00D0758E" w:rsidRPr="009E3996">
        <w:t xml:space="preserve">while </w:t>
      </w:r>
      <w:r w:rsidRPr="009E3996">
        <w:t>a smaller share of firms (nearly 50%) see the relevance of copyrights for the protection of their innovative capabilities.</w:t>
      </w:r>
    </w:p>
    <w:p w:rsidR="006B6D35" w:rsidRPr="009E3996" w:rsidRDefault="006B6D35" w:rsidP="006B6D35">
      <w:pPr>
        <w:spacing w:after="200" w:line="276" w:lineRule="auto"/>
        <w:jc w:val="center"/>
        <w:rPr>
          <w:b/>
          <w:sz w:val="22"/>
          <w:szCs w:val="22"/>
        </w:rPr>
      </w:pPr>
      <w:r w:rsidRPr="009E3996">
        <w:rPr>
          <w:b/>
          <w:sz w:val="22"/>
          <w:szCs w:val="22"/>
        </w:rPr>
        <w:t xml:space="preserve">Table 1 Share of </w:t>
      </w:r>
      <w:r w:rsidR="00713DEF" w:rsidRPr="009E3996">
        <w:rPr>
          <w:b/>
          <w:sz w:val="22"/>
          <w:szCs w:val="22"/>
        </w:rPr>
        <w:t>OI</w:t>
      </w:r>
      <w:r w:rsidRPr="009E3996">
        <w:rPr>
          <w:b/>
          <w:sz w:val="22"/>
          <w:szCs w:val="22"/>
        </w:rPr>
        <w:t xml:space="preserve"> firms that perceive </w:t>
      </w:r>
      <w:r w:rsidR="00DA5688">
        <w:rPr>
          <w:b/>
          <w:sz w:val="22"/>
          <w:szCs w:val="22"/>
        </w:rPr>
        <w:t>IPR</w:t>
      </w:r>
      <w:r w:rsidRPr="009E3996">
        <w:rPr>
          <w:b/>
          <w:sz w:val="22"/>
          <w:szCs w:val="22"/>
        </w:rPr>
        <w:t xml:space="preserve"> as relevant for the protection or signaling of innovative capabilities, % for protection and for signaling, relevance is indicated by a score of 5 or higher on 7-point Likert scale (n=101)</w:t>
      </w:r>
    </w:p>
    <w:tbl>
      <w:tblPr>
        <w:tblStyle w:val="TableGrid"/>
        <w:tblW w:w="5000" w:type="pct"/>
        <w:jc w:val="center"/>
        <w:tblBorders>
          <w:insideH w:val="none" w:sz="0" w:space="0" w:color="auto"/>
        </w:tblBorders>
        <w:tblLook w:val="04A0" w:firstRow="1" w:lastRow="0" w:firstColumn="1" w:lastColumn="0" w:noHBand="0" w:noVBand="1"/>
      </w:tblPr>
      <w:tblGrid>
        <w:gridCol w:w="3784"/>
        <w:gridCol w:w="2539"/>
        <w:gridCol w:w="2978"/>
      </w:tblGrid>
      <w:tr w:rsidR="006B6D35" w:rsidRPr="009E3996" w:rsidTr="006B6D35">
        <w:trPr>
          <w:jc w:val="center"/>
        </w:trPr>
        <w:tc>
          <w:tcPr>
            <w:tcW w:w="2034" w:type="pct"/>
            <w:tcBorders>
              <w:top w:val="single" w:sz="4" w:space="0" w:color="auto"/>
              <w:bottom w:val="single" w:sz="4" w:space="0" w:color="auto"/>
            </w:tcBorders>
            <w:vAlign w:val="center"/>
          </w:tcPr>
          <w:p w:rsidR="006B6D35" w:rsidRPr="009E3996" w:rsidRDefault="006B6D35" w:rsidP="006B6D35">
            <w:pPr>
              <w:spacing w:line="240" w:lineRule="auto"/>
              <w:jc w:val="center"/>
              <w:rPr>
                <w:b/>
              </w:rPr>
            </w:pPr>
          </w:p>
        </w:tc>
        <w:tc>
          <w:tcPr>
            <w:tcW w:w="1365" w:type="pct"/>
            <w:tcBorders>
              <w:top w:val="single" w:sz="4" w:space="0" w:color="auto"/>
              <w:bottom w:val="single" w:sz="4" w:space="0" w:color="auto"/>
            </w:tcBorders>
            <w:vAlign w:val="center"/>
          </w:tcPr>
          <w:p w:rsidR="006B6D35" w:rsidRPr="009E3996" w:rsidRDefault="006B6D35" w:rsidP="006B6D35">
            <w:pPr>
              <w:spacing w:line="240" w:lineRule="auto"/>
              <w:jc w:val="center"/>
            </w:pPr>
            <w:r w:rsidRPr="009E3996">
              <w:t>Protection</w:t>
            </w:r>
          </w:p>
        </w:tc>
        <w:tc>
          <w:tcPr>
            <w:tcW w:w="1601" w:type="pct"/>
            <w:tcBorders>
              <w:top w:val="single" w:sz="4" w:space="0" w:color="auto"/>
              <w:bottom w:val="single" w:sz="4" w:space="0" w:color="auto"/>
            </w:tcBorders>
            <w:vAlign w:val="center"/>
          </w:tcPr>
          <w:p w:rsidR="006B6D35" w:rsidRPr="009E3996" w:rsidRDefault="006B6D35" w:rsidP="006B6D35">
            <w:pPr>
              <w:spacing w:line="240" w:lineRule="auto"/>
              <w:jc w:val="center"/>
            </w:pPr>
            <w:r w:rsidRPr="009E3996">
              <w:t>Signaling</w:t>
            </w:r>
          </w:p>
        </w:tc>
      </w:tr>
      <w:tr w:rsidR="006B6D35" w:rsidRPr="009E3996" w:rsidTr="006B6D35">
        <w:trPr>
          <w:trHeight w:val="504"/>
          <w:jc w:val="center"/>
        </w:trPr>
        <w:tc>
          <w:tcPr>
            <w:tcW w:w="2034" w:type="pct"/>
            <w:tcBorders>
              <w:top w:val="single" w:sz="4" w:space="0" w:color="auto"/>
            </w:tcBorders>
          </w:tcPr>
          <w:p w:rsidR="006B6D35" w:rsidRPr="009E3996" w:rsidRDefault="006B6D35" w:rsidP="006B6D35">
            <w:pPr>
              <w:spacing w:line="240" w:lineRule="auto"/>
            </w:pPr>
          </w:p>
          <w:p w:rsidR="006B6D35" w:rsidRPr="009E3996" w:rsidRDefault="006B6D35" w:rsidP="006B6D35">
            <w:pPr>
              <w:spacing w:line="240" w:lineRule="auto"/>
            </w:pPr>
            <w:r w:rsidRPr="009E3996">
              <w:t xml:space="preserve">Patents </w:t>
            </w:r>
          </w:p>
        </w:tc>
        <w:tc>
          <w:tcPr>
            <w:tcW w:w="1365" w:type="pct"/>
            <w:tcBorders>
              <w:top w:val="single" w:sz="4" w:space="0" w:color="auto"/>
            </w:tcBorders>
          </w:tcPr>
          <w:p w:rsidR="006B6D35" w:rsidRPr="009E3996" w:rsidRDefault="006B6D35" w:rsidP="006B6D35">
            <w:pPr>
              <w:spacing w:line="240" w:lineRule="auto"/>
              <w:jc w:val="center"/>
            </w:pPr>
          </w:p>
          <w:p w:rsidR="006B6D35" w:rsidRPr="009E3996" w:rsidRDefault="006B6D35" w:rsidP="006B6D35">
            <w:pPr>
              <w:spacing w:line="240" w:lineRule="auto"/>
              <w:jc w:val="center"/>
            </w:pPr>
            <w:r w:rsidRPr="009E3996">
              <w:t xml:space="preserve">90.1%  </w:t>
            </w:r>
          </w:p>
        </w:tc>
        <w:tc>
          <w:tcPr>
            <w:tcW w:w="1601" w:type="pct"/>
            <w:tcBorders>
              <w:top w:val="single" w:sz="4" w:space="0" w:color="auto"/>
            </w:tcBorders>
          </w:tcPr>
          <w:p w:rsidR="006B6D35" w:rsidRPr="009E3996" w:rsidRDefault="006B6D35" w:rsidP="006B6D35">
            <w:pPr>
              <w:spacing w:line="240" w:lineRule="auto"/>
              <w:jc w:val="center"/>
            </w:pPr>
          </w:p>
          <w:p w:rsidR="006B6D35" w:rsidRPr="009E3996" w:rsidRDefault="006B6D35" w:rsidP="006B6D35">
            <w:pPr>
              <w:spacing w:line="240" w:lineRule="auto"/>
              <w:jc w:val="center"/>
            </w:pPr>
            <w:r w:rsidRPr="009E3996">
              <w:t>77.2%</w:t>
            </w:r>
          </w:p>
        </w:tc>
      </w:tr>
      <w:tr w:rsidR="006B6D35" w:rsidRPr="009E3996" w:rsidTr="006B6D35">
        <w:trPr>
          <w:jc w:val="center"/>
        </w:trPr>
        <w:tc>
          <w:tcPr>
            <w:tcW w:w="2034" w:type="pct"/>
          </w:tcPr>
          <w:p w:rsidR="006B6D35" w:rsidRPr="009E3996" w:rsidRDefault="006B6D35" w:rsidP="006B6D35">
            <w:pPr>
              <w:spacing w:line="240" w:lineRule="auto"/>
            </w:pPr>
            <w:r w:rsidRPr="009E3996">
              <w:t>Trademarks</w:t>
            </w:r>
          </w:p>
        </w:tc>
        <w:tc>
          <w:tcPr>
            <w:tcW w:w="1365" w:type="pct"/>
          </w:tcPr>
          <w:p w:rsidR="006B6D35" w:rsidRPr="009E3996" w:rsidRDefault="006B6D35" w:rsidP="006B6D35">
            <w:pPr>
              <w:spacing w:line="240" w:lineRule="auto"/>
              <w:jc w:val="center"/>
            </w:pPr>
            <w:r w:rsidRPr="009E3996">
              <w:t xml:space="preserve">71.3%  </w:t>
            </w:r>
          </w:p>
        </w:tc>
        <w:tc>
          <w:tcPr>
            <w:tcW w:w="1601" w:type="pct"/>
          </w:tcPr>
          <w:p w:rsidR="006B6D35" w:rsidRPr="009E3996" w:rsidRDefault="006B6D35" w:rsidP="006B6D35">
            <w:pPr>
              <w:spacing w:line="240" w:lineRule="auto"/>
              <w:jc w:val="center"/>
            </w:pPr>
            <w:r w:rsidRPr="009E3996">
              <w:t>56.4%</w:t>
            </w:r>
          </w:p>
        </w:tc>
      </w:tr>
      <w:tr w:rsidR="006B6D35" w:rsidRPr="009E3996" w:rsidTr="006B6D35">
        <w:trPr>
          <w:jc w:val="center"/>
        </w:trPr>
        <w:tc>
          <w:tcPr>
            <w:tcW w:w="2034" w:type="pct"/>
          </w:tcPr>
          <w:p w:rsidR="006B6D35" w:rsidRPr="009E3996" w:rsidRDefault="006B6D35" w:rsidP="006B6D35">
            <w:pPr>
              <w:spacing w:line="240" w:lineRule="auto"/>
            </w:pPr>
            <w:r w:rsidRPr="009E3996">
              <w:t>Copyrights</w:t>
            </w:r>
          </w:p>
        </w:tc>
        <w:tc>
          <w:tcPr>
            <w:tcW w:w="1365" w:type="pct"/>
          </w:tcPr>
          <w:p w:rsidR="006B6D35" w:rsidRPr="009E3996" w:rsidRDefault="006B6D35" w:rsidP="006B6D35">
            <w:pPr>
              <w:spacing w:line="240" w:lineRule="auto"/>
              <w:jc w:val="center"/>
            </w:pPr>
            <w:r w:rsidRPr="009E3996">
              <w:t xml:space="preserve">48.5%  </w:t>
            </w:r>
          </w:p>
        </w:tc>
        <w:tc>
          <w:tcPr>
            <w:tcW w:w="1601" w:type="pct"/>
          </w:tcPr>
          <w:p w:rsidR="006B6D35" w:rsidRPr="009E3996" w:rsidRDefault="006B6D35" w:rsidP="006B6D35">
            <w:pPr>
              <w:spacing w:line="240" w:lineRule="auto"/>
              <w:jc w:val="center"/>
            </w:pPr>
            <w:r w:rsidRPr="009E3996">
              <w:t>37.6%</w:t>
            </w:r>
          </w:p>
        </w:tc>
      </w:tr>
      <w:tr w:rsidR="006B6D35" w:rsidRPr="009E3996" w:rsidTr="006B6D35">
        <w:trPr>
          <w:jc w:val="center"/>
        </w:trPr>
        <w:tc>
          <w:tcPr>
            <w:tcW w:w="2034" w:type="pct"/>
          </w:tcPr>
          <w:p w:rsidR="006B6D35" w:rsidRPr="009E3996" w:rsidRDefault="006B6D35" w:rsidP="006B6D35">
            <w:pPr>
              <w:spacing w:line="240" w:lineRule="auto"/>
            </w:pPr>
            <w:r w:rsidRPr="009E3996">
              <w:t>Design rights</w:t>
            </w:r>
          </w:p>
        </w:tc>
        <w:tc>
          <w:tcPr>
            <w:tcW w:w="1365" w:type="pct"/>
          </w:tcPr>
          <w:p w:rsidR="006B6D35" w:rsidRPr="009E3996" w:rsidRDefault="006B6D35" w:rsidP="006B6D35">
            <w:pPr>
              <w:spacing w:line="240" w:lineRule="auto"/>
              <w:jc w:val="center"/>
            </w:pPr>
            <w:r w:rsidRPr="009E3996">
              <w:t xml:space="preserve">64.4%  </w:t>
            </w:r>
          </w:p>
        </w:tc>
        <w:tc>
          <w:tcPr>
            <w:tcW w:w="1601" w:type="pct"/>
          </w:tcPr>
          <w:p w:rsidR="006B6D35" w:rsidRPr="009E3996" w:rsidRDefault="006B6D35" w:rsidP="006B6D35">
            <w:pPr>
              <w:spacing w:line="240" w:lineRule="auto"/>
              <w:jc w:val="center"/>
            </w:pPr>
            <w:r w:rsidRPr="009E3996">
              <w:t>49.5%</w:t>
            </w:r>
          </w:p>
        </w:tc>
      </w:tr>
      <w:tr w:rsidR="006B6D35" w:rsidRPr="009E3996" w:rsidTr="006B6D35">
        <w:trPr>
          <w:jc w:val="center"/>
        </w:trPr>
        <w:tc>
          <w:tcPr>
            <w:tcW w:w="2034" w:type="pct"/>
          </w:tcPr>
          <w:p w:rsidR="006B6D35" w:rsidRPr="009E3996" w:rsidRDefault="006B6D35" w:rsidP="006B6D35">
            <w:pPr>
              <w:spacing w:line="240" w:lineRule="auto"/>
            </w:pPr>
            <w:r w:rsidRPr="009E3996">
              <w:t>Technical / commercial information</w:t>
            </w:r>
          </w:p>
          <w:p w:rsidR="006B6D35" w:rsidRPr="009E3996" w:rsidRDefault="006B6D35" w:rsidP="006B6D35">
            <w:pPr>
              <w:spacing w:line="240" w:lineRule="auto"/>
            </w:pPr>
            <w:r w:rsidRPr="009E3996">
              <w:t xml:space="preserve">(trade secrets) </w:t>
            </w:r>
          </w:p>
        </w:tc>
        <w:tc>
          <w:tcPr>
            <w:tcW w:w="1365" w:type="pct"/>
          </w:tcPr>
          <w:p w:rsidR="006B6D35" w:rsidRPr="009E3996" w:rsidRDefault="006B6D35" w:rsidP="006B6D35">
            <w:pPr>
              <w:spacing w:line="240" w:lineRule="auto"/>
              <w:jc w:val="center"/>
            </w:pPr>
            <w:r w:rsidRPr="009E3996">
              <w:t xml:space="preserve">86.1%  </w:t>
            </w:r>
          </w:p>
        </w:tc>
        <w:tc>
          <w:tcPr>
            <w:tcW w:w="1601" w:type="pct"/>
          </w:tcPr>
          <w:p w:rsidR="006B6D35" w:rsidRPr="009E3996" w:rsidRDefault="006B6D35" w:rsidP="006B6D35">
            <w:pPr>
              <w:spacing w:line="240" w:lineRule="auto"/>
              <w:jc w:val="center"/>
            </w:pPr>
            <w:r w:rsidRPr="009E3996">
              <w:t>76.2%</w:t>
            </w:r>
          </w:p>
        </w:tc>
      </w:tr>
    </w:tbl>
    <w:p w:rsidR="006B6D35" w:rsidRPr="009E3996" w:rsidRDefault="006B6D35" w:rsidP="006B6D35">
      <w:pPr>
        <w:contextualSpacing/>
      </w:pPr>
    </w:p>
    <w:p w:rsidR="00C20649" w:rsidRPr="009E3996" w:rsidRDefault="00C20649" w:rsidP="004A5CE5">
      <w:pPr>
        <w:ind w:firstLine="720"/>
        <w:contextualSpacing/>
      </w:pPr>
      <w:r w:rsidRPr="009E3996">
        <w:t xml:space="preserve">These findings are in line with our </w:t>
      </w:r>
      <w:r w:rsidR="00DA5688">
        <w:t>interview study</w:t>
      </w:r>
      <w:r w:rsidRPr="009E3996">
        <w:t xml:space="preserve"> which indicates that firms see IPR as sensitive and crucial to their </w:t>
      </w:r>
      <w:r w:rsidR="00713DEF" w:rsidRPr="009E3996">
        <w:t>OI</w:t>
      </w:r>
      <w:r w:rsidRPr="009E3996">
        <w:t xml:space="preserve"> strategy. The interviews show that there is a general preference for establishing clear ownership of IPR in an </w:t>
      </w:r>
      <w:r w:rsidR="00713DEF" w:rsidRPr="009E3996">
        <w:t>OI</w:t>
      </w:r>
      <w:r w:rsidRPr="009E3996">
        <w:t xml:space="preserve"> context. As mentioned by one of the managers: </w:t>
      </w:r>
      <w:r w:rsidRPr="009E3996">
        <w:rPr>
          <w:i/>
        </w:rPr>
        <w:t>“… for us it is really important that if we do something, we have the right to do so. When we discuss collaboration, IPR are a very, very important point. Typically, we would like to own the IPR …”</w:t>
      </w:r>
      <w:r w:rsidRPr="009E3996">
        <w:t xml:space="preserve">  </w:t>
      </w:r>
    </w:p>
    <w:p w:rsidR="00C20649" w:rsidRPr="009E3996" w:rsidRDefault="00C20649" w:rsidP="004A5CE5">
      <w:pPr>
        <w:ind w:firstLine="720"/>
        <w:contextualSpacing/>
      </w:pPr>
      <w:r w:rsidRPr="009E3996">
        <w:t xml:space="preserve">During the interviews, it was also frequently mentioned that IPR enable firms to share knowledge with other firms and the more protected their knowledge through IPR, the more </w:t>
      </w:r>
      <w:r w:rsidRPr="009E3996">
        <w:lastRenderedPageBreak/>
        <w:t xml:space="preserve">they would be willing to collaborate. This protection of knowledge and innovative capabilities by means of IPR also enables firms to selectively exchange knowledge and share their innovative activities with certain partners. As pointed out by one of the managers: “… </w:t>
      </w:r>
      <w:r w:rsidRPr="009E3996">
        <w:rPr>
          <w:i/>
        </w:rPr>
        <w:t>we are doing open innovation, not public innovation. Our goal is not to come up with results that we share with the rest of the world. Our goal is to come up with results that we share with some partners and that we keep secret for others</w:t>
      </w:r>
      <w:r w:rsidRPr="009E3996">
        <w:t xml:space="preserve"> …”  </w:t>
      </w:r>
    </w:p>
    <w:p w:rsidR="00C20649" w:rsidRPr="009E3996" w:rsidRDefault="00C20649" w:rsidP="004A5CE5">
      <w:pPr>
        <w:ind w:firstLine="720"/>
        <w:contextualSpacing/>
      </w:pPr>
      <w:r w:rsidRPr="009E3996">
        <w:t xml:space="preserve">A manager of another firm mentioned the importance of restricted technical and commercial information sharing where in order to protect its knowledge his/her firm uses compartmented information systems for knowledge sharing with its </w:t>
      </w:r>
      <w:r w:rsidR="00713DEF" w:rsidRPr="009E3996">
        <w:t>OI</w:t>
      </w:r>
      <w:r w:rsidRPr="009E3996">
        <w:t xml:space="preserve"> partners where not all partners have access to all information. Information is shared depending on the specific nature of the relationship. Interestingly, this competitive and protective setting for the role of IPR in </w:t>
      </w:r>
      <w:r w:rsidR="00713DEF" w:rsidRPr="009E3996">
        <w:t>OI</w:t>
      </w:r>
      <w:r w:rsidRPr="009E3996">
        <w:t xml:space="preserve"> was also stressed in yet another interview. In that case, the firm would routinely evaluate the IPR portfolio of its potential partner before the start of a joint </w:t>
      </w:r>
      <w:r w:rsidR="00713DEF" w:rsidRPr="009E3996">
        <w:t>OI</w:t>
      </w:r>
      <w:r w:rsidRPr="009E3996">
        <w:t xml:space="preserve"> project and examine whether any </w:t>
      </w:r>
      <w:r w:rsidR="00A93B71" w:rsidRPr="009E3996">
        <w:t xml:space="preserve">IPR </w:t>
      </w:r>
      <w:r w:rsidRPr="009E3996">
        <w:t xml:space="preserve">s of a potential partner would infringe on the firm’s existing IPR or on those of other firms. In other words, the firm would assess whether and to which degree a potential </w:t>
      </w:r>
      <w:r w:rsidR="00713DEF" w:rsidRPr="009E3996">
        <w:t>OI</w:t>
      </w:r>
      <w:r w:rsidRPr="009E3996">
        <w:t xml:space="preserve"> partner would indeed possess certain IPR, relevant in the context of a joint </w:t>
      </w:r>
      <w:r w:rsidR="00713DEF" w:rsidRPr="009E3996">
        <w:t>OI</w:t>
      </w:r>
      <w:r w:rsidRPr="009E3996">
        <w:t xml:space="preserve"> project. Moreover, in case a potential </w:t>
      </w:r>
      <w:r w:rsidR="00713DEF" w:rsidRPr="009E3996">
        <w:t>OI</w:t>
      </w:r>
      <w:r w:rsidRPr="009E3996">
        <w:t xml:space="preserve"> partner possesses IPR that significantly overlaps with the focal firm’s knowledge base, the </w:t>
      </w:r>
      <w:r w:rsidR="00713DEF" w:rsidRPr="009E3996">
        <w:t>OI</w:t>
      </w:r>
      <w:r w:rsidRPr="009E3996">
        <w:t xml:space="preserve"> collaboration may be reconsidered </w:t>
      </w:r>
      <w:r w:rsidRPr="009E3996">
        <w:rPr>
          <w:i/>
        </w:rPr>
        <w:t>“…because in the end it makes it unclear who owns what and that gives us more trouble than it is worth in absorbing the outside technologies…”</w:t>
      </w:r>
    </w:p>
    <w:p w:rsidR="00004663" w:rsidRPr="009E3996" w:rsidRDefault="00D068A7" w:rsidP="00EE3F7C">
      <w:pPr>
        <w:ind w:firstLine="720"/>
        <w:contextualSpacing/>
      </w:pPr>
      <w:r>
        <w:t>The relevance of</w:t>
      </w:r>
      <w:r w:rsidR="00C20649" w:rsidRPr="009E3996">
        <w:t xml:space="preserve"> IPR not only indicates the degree to which firms expect them to play a role as a defensive </w:t>
      </w:r>
      <w:proofErr w:type="spellStart"/>
      <w:r w:rsidR="00C20649" w:rsidRPr="009E3996">
        <w:t>appropriability</w:t>
      </w:r>
      <w:proofErr w:type="spellEnd"/>
      <w:r w:rsidR="00C20649" w:rsidRPr="009E3996">
        <w:t xml:space="preserve"> mechanism, the relevance of IPR for firms can also refer to the degree to which IPR are used or perceived as signals of innovative capabilities (</w:t>
      </w:r>
      <w:r w:rsidR="00C20649" w:rsidRPr="009E3996">
        <w:rPr>
          <w:rFonts w:eastAsiaTheme="minorHAnsi"/>
        </w:rPr>
        <w:t xml:space="preserve">Cohen, Nelson, and Walsh, 2000; Hall, Jaffe, and </w:t>
      </w:r>
      <w:proofErr w:type="spellStart"/>
      <w:r w:rsidR="00C20649" w:rsidRPr="009E3996">
        <w:rPr>
          <w:rFonts w:eastAsiaTheme="minorHAnsi"/>
        </w:rPr>
        <w:t>Trajtenberg</w:t>
      </w:r>
      <w:proofErr w:type="spellEnd"/>
      <w:r w:rsidR="00C20649" w:rsidRPr="009E3996">
        <w:rPr>
          <w:rFonts w:eastAsiaTheme="minorHAnsi"/>
        </w:rPr>
        <w:t>, 2005</w:t>
      </w:r>
      <w:r w:rsidR="00C20649" w:rsidRPr="009E3996">
        <w:t xml:space="preserve">). According to </w:t>
      </w:r>
      <w:proofErr w:type="spellStart"/>
      <w:r w:rsidR="00C20649" w:rsidRPr="009E3996">
        <w:t>Alexy</w:t>
      </w:r>
      <w:proofErr w:type="spellEnd"/>
      <w:r w:rsidR="00C20649" w:rsidRPr="009E3996">
        <w:t xml:space="preserve">, </w:t>
      </w:r>
      <w:proofErr w:type="spellStart"/>
      <w:r w:rsidR="00C20649" w:rsidRPr="009E3996">
        <w:t>Criscuolo</w:t>
      </w:r>
      <w:proofErr w:type="spellEnd"/>
      <w:r w:rsidR="00C20649" w:rsidRPr="009E3996">
        <w:t xml:space="preserve">, and Salter (2009), IPR are even more beneficial to </w:t>
      </w:r>
      <w:r w:rsidR="00713DEF" w:rsidRPr="009E3996">
        <w:t>OI</w:t>
      </w:r>
      <w:r w:rsidR="00C20649" w:rsidRPr="009E3996">
        <w:t xml:space="preserve"> firms when they are used as a signal of </w:t>
      </w:r>
      <w:r w:rsidR="00C20649" w:rsidRPr="009E3996">
        <w:lastRenderedPageBreak/>
        <w:t>innovative capabilities rather than as control rights. In that case, IPR can play a role for firms in drawing attent</w:t>
      </w:r>
      <w:r w:rsidR="00FA162F" w:rsidRPr="009E3996">
        <w:t xml:space="preserve">ion from (potential) partners. </w:t>
      </w:r>
      <w:r w:rsidR="00C20649" w:rsidRPr="009E3996">
        <w:t>Managers interviewed during our field research mentioned that the degree to which firms are willing to protect their knowledge</w:t>
      </w:r>
      <w:r w:rsidR="00D0758E" w:rsidRPr="009E3996">
        <w:t xml:space="preserve"> </w:t>
      </w:r>
      <w:r w:rsidR="00004663" w:rsidRPr="009E3996">
        <w:t xml:space="preserve">also indicates the value of that knowledge and that makes it attractive to work with these firms. As stated by one of them, when stressing the importance of IPR-backed knowledge for finding interesting partners: “… </w:t>
      </w:r>
      <w:r w:rsidR="00004663" w:rsidRPr="009E3996">
        <w:rPr>
          <w:i/>
        </w:rPr>
        <w:t>if this knowledge is not protected, it probably does not have</w:t>
      </w:r>
      <w:r w:rsidR="00C12D70" w:rsidRPr="009E3996">
        <w:rPr>
          <w:i/>
        </w:rPr>
        <w:t xml:space="preserve"> </w:t>
      </w:r>
      <w:r w:rsidR="00004663" w:rsidRPr="009E3996">
        <w:rPr>
          <w:i/>
        </w:rPr>
        <w:t>any value, not for us, and not for anyone else</w:t>
      </w:r>
      <w:r w:rsidR="00004663" w:rsidRPr="009E3996">
        <w:t xml:space="preserve"> …” Hence, cooperating with </w:t>
      </w:r>
      <w:r w:rsidR="00713DEF" w:rsidRPr="009E3996">
        <w:t>OI</w:t>
      </w:r>
      <w:r w:rsidR="00004663" w:rsidRPr="009E3996">
        <w:t xml:space="preserve"> partner firms that do not value their IPR would make little or no sense.</w:t>
      </w:r>
    </w:p>
    <w:p w:rsidR="006B6D35" w:rsidRPr="009E3996" w:rsidRDefault="006B6D35" w:rsidP="00004663">
      <w:pPr>
        <w:spacing w:after="240" w:line="240" w:lineRule="auto"/>
        <w:jc w:val="center"/>
        <w:rPr>
          <w:rFonts w:eastAsia="Calibri"/>
          <w:b/>
        </w:rPr>
      </w:pPr>
      <w:r w:rsidRPr="009E3996">
        <w:rPr>
          <w:rFonts w:eastAsia="Calibri"/>
          <w:b/>
          <w:sz w:val="22"/>
          <w:szCs w:val="22"/>
        </w:rPr>
        <w:t xml:space="preserve">Table 2 Importance of IPR for protection or signaling for </w:t>
      </w:r>
      <w:r w:rsidR="00713DEF" w:rsidRPr="009E3996">
        <w:rPr>
          <w:rFonts w:eastAsia="Calibri"/>
          <w:b/>
          <w:sz w:val="22"/>
          <w:szCs w:val="22"/>
        </w:rPr>
        <w:t>OI</w:t>
      </w:r>
      <w:r w:rsidRPr="009E3996">
        <w:rPr>
          <w:rFonts w:eastAsia="Calibri"/>
          <w:b/>
          <w:sz w:val="22"/>
          <w:szCs w:val="22"/>
        </w:rPr>
        <w:t xml:space="preserve"> firms, scores on 7-point Likert scales (n=101)</w:t>
      </w:r>
    </w:p>
    <w:tbl>
      <w:tblPr>
        <w:tblW w:w="5000" w:type="pct"/>
        <w:jc w:val="center"/>
        <w:tblBorders>
          <w:top w:val="single" w:sz="2" w:space="0" w:color="000000"/>
          <w:left w:val="single" w:sz="2" w:space="0" w:color="000000"/>
          <w:bottom w:val="single" w:sz="2" w:space="0" w:color="000000"/>
          <w:right w:val="single" w:sz="2" w:space="0" w:color="000000"/>
          <w:insideV w:val="single" w:sz="8" w:space="0" w:color="000000"/>
        </w:tblBorders>
        <w:tblCellMar>
          <w:left w:w="30" w:type="dxa"/>
          <w:right w:w="30" w:type="dxa"/>
        </w:tblCellMar>
        <w:tblLook w:val="0000" w:firstRow="0" w:lastRow="0" w:firstColumn="0" w:lastColumn="0" w:noHBand="0" w:noVBand="0"/>
      </w:tblPr>
      <w:tblGrid>
        <w:gridCol w:w="4473"/>
        <w:gridCol w:w="1017"/>
        <w:gridCol w:w="1217"/>
        <w:gridCol w:w="1219"/>
        <w:gridCol w:w="1219"/>
      </w:tblGrid>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tabs>
                <w:tab w:val="left" w:pos="4413"/>
              </w:tabs>
              <w:autoSpaceDE w:val="0"/>
              <w:autoSpaceDN w:val="0"/>
              <w:adjustRightInd w:val="0"/>
              <w:spacing w:line="240" w:lineRule="auto"/>
              <w:rPr>
                <w:rFonts w:eastAsia="Calibri"/>
              </w:rPr>
            </w:pPr>
          </w:p>
        </w:tc>
        <w:tc>
          <w:tcPr>
            <w:tcW w:w="1249" w:type="pct"/>
            <w:gridSpan w:val="2"/>
            <w:shd w:val="clear" w:color="auto" w:fill="FFFFFF"/>
            <w:tcMar>
              <w:top w:w="30" w:type="dxa"/>
              <w:left w:w="30" w:type="dxa"/>
              <w:bottom w:w="30" w:type="dxa"/>
              <w:right w:w="30" w:type="dxa"/>
            </w:tcMar>
            <w:vAlign w:val="bottom"/>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Protection</w:t>
            </w:r>
          </w:p>
        </w:tc>
        <w:tc>
          <w:tcPr>
            <w:tcW w:w="1360" w:type="pct"/>
            <w:gridSpan w:val="2"/>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 xml:space="preserve">Signaling </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tabs>
                <w:tab w:val="left" w:pos="4413"/>
              </w:tabs>
              <w:autoSpaceDE w:val="0"/>
              <w:autoSpaceDN w:val="0"/>
              <w:adjustRightInd w:val="0"/>
              <w:spacing w:line="240" w:lineRule="auto"/>
              <w:rPr>
                <w:rFonts w:eastAsia="Calibri"/>
              </w:rPr>
            </w:pPr>
            <w:r w:rsidRPr="009E3996">
              <w:rPr>
                <w:rFonts w:eastAsia="Calibri"/>
              </w:rPr>
              <w:tab/>
            </w:r>
          </w:p>
        </w:tc>
        <w:tc>
          <w:tcPr>
            <w:tcW w:w="570" w:type="pct"/>
            <w:shd w:val="clear" w:color="auto" w:fill="FFFFFF"/>
            <w:tcMar>
              <w:top w:w="30" w:type="dxa"/>
              <w:left w:w="30" w:type="dxa"/>
              <w:bottom w:w="30" w:type="dxa"/>
              <w:right w:w="30" w:type="dxa"/>
            </w:tcMar>
            <w:vAlign w:val="bottom"/>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Mean</w:t>
            </w:r>
          </w:p>
        </w:tc>
        <w:tc>
          <w:tcPr>
            <w:tcW w:w="679" w:type="pct"/>
            <w:shd w:val="clear" w:color="auto" w:fill="FFFFFF"/>
            <w:tcMar>
              <w:top w:w="30" w:type="dxa"/>
              <w:left w:w="30" w:type="dxa"/>
              <w:bottom w:w="30" w:type="dxa"/>
              <w:right w:w="30" w:type="dxa"/>
            </w:tcMar>
            <w:vAlign w:val="bottom"/>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 xml:space="preserve">Standard </w:t>
            </w:r>
          </w:p>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deviation</w:t>
            </w:r>
          </w:p>
        </w:tc>
        <w:tc>
          <w:tcPr>
            <w:tcW w:w="680" w:type="pct"/>
            <w:shd w:val="clear" w:color="auto" w:fill="FFFFFF"/>
            <w:vAlign w:val="bottom"/>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Mean</w:t>
            </w:r>
          </w:p>
        </w:tc>
        <w:tc>
          <w:tcPr>
            <w:tcW w:w="680" w:type="pct"/>
            <w:shd w:val="clear" w:color="auto" w:fill="FFFFFF"/>
            <w:vAlign w:val="bottom"/>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 xml:space="preserve">Standard </w:t>
            </w:r>
          </w:p>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deviation</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rPr>
                <w:rFonts w:eastAsia="Calibri"/>
              </w:rPr>
            </w:pPr>
            <w:r w:rsidRPr="009E3996">
              <w:rPr>
                <w:rFonts w:eastAsia="Calibri"/>
              </w:rPr>
              <w:t xml:space="preserve">Importance of patents </w:t>
            </w:r>
          </w:p>
        </w:tc>
        <w:tc>
          <w:tcPr>
            <w:tcW w:w="570"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6.23</w:t>
            </w:r>
          </w:p>
        </w:tc>
        <w:tc>
          <w:tcPr>
            <w:tcW w:w="679"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1.469</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5.67</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1.744</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rPr>
                <w:rFonts w:eastAsia="Calibri"/>
              </w:rPr>
            </w:pPr>
            <w:r w:rsidRPr="009E3996">
              <w:rPr>
                <w:rFonts w:eastAsia="Calibri"/>
              </w:rPr>
              <w:t xml:space="preserve">Importance of trademarks </w:t>
            </w:r>
          </w:p>
        </w:tc>
        <w:tc>
          <w:tcPr>
            <w:tcW w:w="570"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5.47</w:t>
            </w:r>
          </w:p>
        </w:tc>
        <w:tc>
          <w:tcPr>
            <w:tcW w:w="679"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1.641</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5.02</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1.949</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rPr>
                <w:rFonts w:eastAsia="Calibri"/>
              </w:rPr>
            </w:pPr>
            <w:r w:rsidRPr="009E3996">
              <w:rPr>
                <w:rFonts w:eastAsia="Calibri"/>
              </w:rPr>
              <w:t xml:space="preserve">Importance of copyrights </w:t>
            </w:r>
          </w:p>
        </w:tc>
        <w:tc>
          <w:tcPr>
            <w:tcW w:w="570"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4.80</w:t>
            </w:r>
          </w:p>
        </w:tc>
        <w:tc>
          <w:tcPr>
            <w:tcW w:w="679"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1.918</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4.36</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2.234</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rPr>
                <w:rFonts w:eastAsia="Calibri"/>
              </w:rPr>
            </w:pPr>
            <w:r w:rsidRPr="009E3996">
              <w:rPr>
                <w:rFonts w:eastAsia="Calibri"/>
              </w:rPr>
              <w:t xml:space="preserve">Importance of design rights </w:t>
            </w:r>
          </w:p>
        </w:tc>
        <w:tc>
          <w:tcPr>
            <w:tcW w:w="570"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5.17</w:t>
            </w:r>
          </w:p>
        </w:tc>
        <w:tc>
          <w:tcPr>
            <w:tcW w:w="679"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1.900</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4.84</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2.038</w:t>
            </w:r>
          </w:p>
        </w:tc>
      </w:tr>
      <w:tr w:rsidR="003C6035" w:rsidRPr="009E3996" w:rsidTr="00CE6145">
        <w:trPr>
          <w:cantSplit/>
          <w:tblHeader/>
          <w:jc w:val="center"/>
        </w:trPr>
        <w:tc>
          <w:tcPr>
            <w:tcW w:w="2391"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rPr>
                <w:rFonts w:eastAsia="Calibri"/>
              </w:rPr>
            </w:pPr>
            <w:r w:rsidRPr="009E3996">
              <w:rPr>
                <w:rFonts w:eastAsia="Calibri"/>
              </w:rPr>
              <w:t>Importance of technical or commercial information</w:t>
            </w:r>
          </w:p>
          <w:p w:rsidR="003C6035" w:rsidRPr="009E3996" w:rsidRDefault="003C6035" w:rsidP="00CE6145">
            <w:pPr>
              <w:autoSpaceDE w:val="0"/>
              <w:autoSpaceDN w:val="0"/>
              <w:adjustRightInd w:val="0"/>
              <w:spacing w:line="240" w:lineRule="auto"/>
              <w:rPr>
                <w:rFonts w:eastAsia="Calibri"/>
              </w:rPr>
            </w:pPr>
            <w:r w:rsidRPr="009E3996">
              <w:rPr>
                <w:rFonts w:eastAsia="Calibri"/>
              </w:rPr>
              <w:t xml:space="preserve">(trade secrets) </w:t>
            </w:r>
          </w:p>
        </w:tc>
        <w:tc>
          <w:tcPr>
            <w:tcW w:w="570"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5.94</w:t>
            </w:r>
          </w:p>
        </w:tc>
        <w:tc>
          <w:tcPr>
            <w:tcW w:w="679" w:type="pct"/>
            <w:shd w:val="clear" w:color="auto" w:fill="FFFFFF"/>
            <w:tcMar>
              <w:top w:w="30" w:type="dxa"/>
              <w:left w:w="30" w:type="dxa"/>
              <w:bottom w:w="30" w:type="dxa"/>
              <w:right w:w="30" w:type="dxa"/>
            </w:tcMar>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1.318</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5.73</w:t>
            </w:r>
          </w:p>
        </w:tc>
        <w:tc>
          <w:tcPr>
            <w:tcW w:w="680" w:type="pct"/>
            <w:shd w:val="clear" w:color="auto" w:fill="FFFFFF"/>
          </w:tcPr>
          <w:p w:rsidR="003C6035" w:rsidRPr="009E3996" w:rsidRDefault="003C6035" w:rsidP="00CE6145">
            <w:pPr>
              <w:autoSpaceDE w:val="0"/>
              <w:autoSpaceDN w:val="0"/>
              <w:adjustRightInd w:val="0"/>
              <w:spacing w:line="240" w:lineRule="auto"/>
              <w:jc w:val="center"/>
              <w:rPr>
                <w:rFonts w:eastAsia="Calibri"/>
              </w:rPr>
            </w:pPr>
            <w:r w:rsidRPr="009E3996">
              <w:rPr>
                <w:rFonts w:eastAsia="Calibri"/>
              </w:rPr>
              <w:t>1.483</w:t>
            </w:r>
          </w:p>
        </w:tc>
      </w:tr>
    </w:tbl>
    <w:p w:rsidR="006B6D35" w:rsidRPr="009E3996" w:rsidRDefault="006B6D35" w:rsidP="00C20649">
      <w:pPr>
        <w:ind w:firstLine="720"/>
        <w:contextualSpacing/>
        <w:jc w:val="center"/>
      </w:pPr>
    </w:p>
    <w:p w:rsidR="004119B0" w:rsidRPr="009E3996" w:rsidRDefault="004119B0" w:rsidP="004119B0">
      <w:pPr>
        <w:ind w:firstLine="720"/>
        <w:contextualSpacing/>
        <w:rPr>
          <w:rFonts w:eastAsiaTheme="minorHAnsi"/>
        </w:rPr>
      </w:pPr>
      <w:r w:rsidRPr="009E3996">
        <w:t xml:space="preserve">Our survey findings suggest that also in this context of IPR as a signal of innovative capabilities, patents and technical and commercial information (trade secrets) are seen as most important for </w:t>
      </w:r>
      <w:r w:rsidR="00713DEF" w:rsidRPr="009E3996">
        <w:t>OI</w:t>
      </w:r>
      <w:r w:rsidRPr="009E3996">
        <w:t xml:space="preserve"> activities, as indicated by over 75% of the firms in our sample</w:t>
      </w:r>
      <w:r w:rsidR="00192055" w:rsidRPr="009E3996">
        <w:t xml:space="preserve"> (see T</w:t>
      </w:r>
      <w:r w:rsidRPr="009E3996">
        <w:t>able 1</w:t>
      </w:r>
      <w:r w:rsidR="00192055" w:rsidRPr="009E3996">
        <w:t>).</w:t>
      </w:r>
      <w:r w:rsidRPr="009E3996">
        <w:t xml:space="preserve"> Trademarks and design rights are also seen as relevant signals of innovative capabilities by a substantial share of firms. Trademarks score 56%, design rights reach a score of about 50%</w:t>
      </w:r>
      <w:r w:rsidR="00D0758E" w:rsidRPr="009E3996">
        <w:t>,</w:t>
      </w:r>
      <w:r w:rsidRPr="009E3996">
        <w:t xml:space="preserve"> </w:t>
      </w:r>
      <w:r w:rsidR="00D0758E" w:rsidRPr="009E3996">
        <w:t xml:space="preserve">while </w:t>
      </w:r>
      <w:r w:rsidRPr="009E3996">
        <w:t>a relatively small share of firms (nearly 38%) see the relevance of copyrights for signaling purposes.</w:t>
      </w:r>
    </w:p>
    <w:p w:rsidR="00E752FA" w:rsidRPr="009E3996" w:rsidRDefault="004119B0" w:rsidP="00B14399">
      <w:pPr>
        <w:ind w:firstLine="720"/>
        <w:contextualSpacing/>
      </w:pPr>
      <w:r w:rsidRPr="009E3996">
        <w:t xml:space="preserve">When we take a closer look at the relative importance of these different IPR for both protection and signaling in the context of </w:t>
      </w:r>
      <w:r w:rsidR="00713DEF" w:rsidRPr="009E3996">
        <w:t>OI</w:t>
      </w:r>
      <w:r w:rsidRPr="009E3996">
        <w:t xml:space="preserve">, we also see that on average patents and technical </w:t>
      </w:r>
      <w:r w:rsidRPr="009E3996">
        <w:lastRenderedPageBreak/>
        <w:t>and commercial information (trade secrets) are perce</w:t>
      </w:r>
      <w:r w:rsidR="00192055" w:rsidRPr="009E3996">
        <w:t>ived as the most important IPR (see T</w:t>
      </w:r>
      <w:r w:rsidRPr="009E3996">
        <w:t>able 2</w:t>
      </w:r>
      <w:r w:rsidR="00192055" w:rsidRPr="009E3996">
        <w:t>)</w:t>
      </w:r>
      <w:r w:rsidRPr="009E3996">
        <w:t>. Yet, the other IPR (trademarks, design rights, and copyrights) still appear to be quite important as well, both for protection and signaling purposes.</w:t>
      </w:r>
    </w:p>
    <w:p w:rsidR="007C4120" w:rsidRPr="009E3996" w:rsidRDefault="00C20649" w:rsidP="004A5CE5">
      <w:pPr>
        <w:contextualSpacing/>
      </w:pPr>
      <w:r w:rsidRPr="009E3996">
        <w:rPr>
          <w:b/>
        </w:rPr>
        <w:t xml:space="preserve">THE PREFERENCE FOR IPR BY </w:t>
      </w:r>
      <w:r w:rsidR="00713DEF" w:rsidRPr="009E3996">
        <w:rPr>
          <w:b/>
        </w:rPr>
        <w:t>OI</w:t>
      </w:r>
      <w:r w:rsidRPr="009E3996">
        <w:rPr>
          <w:b/>
        </w:rPr>
        <w:t xml:space="preserve"> FIRMS</w:t>
      </w:r>
    </w:p>
    <w:p w:rsidR="00DB12C3" w:rsidRPr="009E3996" w:rsidRDefault="00B14399" w:rsidP="00DB12C3">
      <w:pPr>
        <w:contextualSpacing/>
      </w:pPr>
      <w:r w:rsidRPr="009E3996">
        <w:t xml:space="preserve">To address our second research question we investigate what factors determine firms’ preferences for IPR in an </w:t>
      </w:r>
      <w:r w:rsidR="00713DEF" w:rsidRPr="009E3996">
        <w:t>OI</w:t>
      </w:r>
      <w:r w:rsidRPr="009E3996">
        <w:t xml:space="preserve"> context. In line with Pisano (2006) </w:t>
      </w:r>
      <w:r w:rsidR="00FA162F" w:rsidRPr="009E3996">
        <w:t xml:space="preserve">as well as James, </w:t>
      </w:r>
      <w:proofErr w:type="spellStart"/>
      <w:r w:rsidR="00FA162F" w:rsidRPr="009E3996">
        <w:t>Leiblein</w:t>
      </w:r>
      <w:proofErr w:type="spellEnd"/>
      <w:r w:rsidR="00FA162F" w:rsidRPr="009E3996">
        <w:t xml:space="preserve"> and Lu (2013) </w:t>
      </w:r>
      <w:r w:rsidRPr="009E3996">
        <w:t xml:space="preserve">we expect that firms’ strategic behaviors – such as their degree of openness in innovation – influence and shape their appropriation strategies. However, as nearly always with this line of research, there is a major concern of possible </w:t>
      </w:r>
      <w:proofErr w:type="spellStart"/>
      <w:r w:rsidRPr="009E3996">
        <w:t>endogeneity</w:t>
      </w:r>
      <w:proofErr w:type="spellEnd"/>
      <w:r w:rsidRPr="009E3996">
        <w:t xml:space="preserve"> that forces us to interpret most of our results conservatively i.e. in terms of association rather than effect.</w:t>
      </w:r>
      <w:r w:rsidRPr="009E3996">
        <w:rPr>
          <w:rStyle w:val="FootnoteReference"/>
        </w:rPr>
        <w:footnoteReference w:id="2"/>
      </w:r>
      <w:r w:rsidR="00EE2D79" w:rsidRPr="009E3996">
        <w:t xml:space="preserve"> </w:t>
      </w:r>
      <w:r w:rsidR="00FA162F" w:rsidRPr="009E3996">
        <w:t>In line with our intermedia</w:t>
      </w:r>
      <w:r w:rsidR="00DB12C3" w:rsidRPr="009E3996">
        <w:t>te theory approach, we build on prior literature related to</w:t>
      </w:r>
      <w:r w:rsidR="00FA162F" w:rsidRPr="009E3996">
        <w:t xml:space="preserve"> inter-organizational collaboration, IPR, and con</w:t>
      </w:r>
      <w:r w:rsidR="00DB12C3" w:rsidRPr="009E3996">
        <w:t xml:space="preserve">tracts. </w:t>
      </w:r>
      <w:r w:rsidR="00FA162F" w:rsidRPr="009E3996">
        <w:t>In addition, w</w:t>
      </w:r>
      <w:r w:rsidR="00AF18A9" w:rsidRPr="009E3996">
        <w:t xml:space="preserve">e draw from </w:t>
      </w:r>
      <w:r w:rsidR="00FA162F" w:rsidRPr="009E3996">
        <w:t>the emerging</w:t>
      </w:r>
      <w:r w:rsidR="00AF18A9" w:rsidRPr="009E3996">
        <w:t xml:space="preserve"> </w:t>
      </w:r>
      <w:r w:rsidR="00713DEF" w:rsidRPr="009E3996">
        <w:t>OI</w:t>
      </w:r>
      <w:r w:rsidR="00AF18A9" w:rsidRPr="009E3996">
        <w:t xml:space="preserve"> literature as well as fro</w:t>
      </w:r>
      <w:r w:rsidR="00126572" w:rsidRPr="009E3996">
        <w:t>m</w:t>
      </w:r>
      <w:r w:rsidR="00AF18A9" w:rsidRPr="009E3996">
        <w:t xml:space="preserve"> insights from our </w:t>
      </w:r>
      <w:r w:rsidR="00D068A7">
        <w:t>interview study</w:t>
      </w:r>
      <w:r w:rsidR="00AF18A9" w:rsidRPr="009E3996">
        <w:t xml:space="preserve"> to inform our conceptual framework</w:t>
      </w:r>
      <w:r w:rsidR="00126572" w:rsidRPr="009E3996">
        <w:t xml:space="preserve"> regarding the preference for IPR by </w:t>
      </w:r>
      <w:r w:rsidR="00713DEF" w:rsidRPr="009E3996">
        <w:t>OI</w:t>
      </w:r>
      <w:r w:rsidR="00126572" w:rsidRPr="009E3996">
        <w:t xml:space="preserve"> firms</w:t>
      </w:r>
      <w:r w:rsidR="00AF18A9" w:rsidRPr="009E3996">
        <w:t xml:space="preserve">. </w:t>
      </w:r>
      <w:r w:rsidR="00DB12C3" w:rsidRPr="009E3996">
        <w:t>This enables us to explore relationships between a relatively new construct (</w:t>
      </w:r>
      <w:r w:rsidR="00713DEF" w:rsidRPr="009E3996">
        <w:t>OI</w:t>
      </w:r>
      <w:r w:rsidR="00DB12C3" w:rsidRPr="009E3996">
        <w:t xml:space="preserve">) and </w:t>
      </w:r>
      <w:r w:rsidR="00D068A7">
        <w:t>a more established construct</w:t>
      </w:r>
      <w:r w:rsidR="00DB12C3" w:rsidRPr="009E3996">
        <w:t xml:space="preserve"> (preferences for IPR). </w:t>
      </w:r>
    </w:p>
    <w:p w:rsidR="007C4120" w:rsidRPr="009E3996" w:rsidRDefault="007C4120">
      <w:pPr>
        <w:ind w:firstLine="720"/>
        <w:contextualSpacing/>
      </w:pPr>
      <w:r w:rsidRPr="009E3996">
        <w:t xml:space="preserve">The literature on the strategic, behavioral, and decision making aspects of </w:t>
      </w:r>
      <w:r w:rsidR="00713DEF" w:rsidRPr="009E3996">
        <w:t>OI</w:t>
      </w:r>
      <w:r w:rsidRPr="009E3996">
        <w:t xml:space="preserve"> differentiates between internal and external context characteristics (</w:t>
      </w:r>
      <w:proofErr w:type="spellStart"/>
      <w:r w:rsidRPr="009E3996">
        <w:t>Huizingh</w:t>
      </w:r>
      <w:proofErr w:type="spellEnd"/>
      <w:r w:rsidRPr="009E3996">
        <w:t xml:space="preserve">, 2011; </w:t>
      </w:r>
      <w:proofErr w:type="spellStart"/>
      <w:r w:rsidRPr="009E3996">
        <w:t>Almirall</w:t>
      </w:r>
      <w:proofErr w:type="spellEnd"/>
      <w:r w:rsidRPr="009E3996">
        <w:t xml:space="preserve"> and </w:t>
      </w:r>
      <w:proofErr w:type="spellStart"/>
      <w:r w:rsidRPr="009E3996">
        <w:t>Casadesus-Masanell</w:t>
      </w:r>
      <w:proofErr w:type="spellEnd"/>
      <w:r w:rsidRPr="009E3996">
        <w:t>, 2010). Following this differentiation and extending the theoretical background for our research</w:t>
      </w:r>
      <w:r w:rsidR="00AF18A9" w:rsidRPr="009E3996">
        <w:t xml:space="preserve">, </w:t>
      </w:r>
      <w:r w:rsidRPr="009E3996">
        <w:t xml:space="preserve">we develop a set of hypotheses regarding the antecedents of firms’ preferences for IPR in the context of </w:t>
      </w:r>
      <w:r w:rsidR="00713DEF" w:rsidRPr="009E3996">
        <w:t>OI</w:t>
      </w:r>
      <w:r w:rsidRPr="009E3996">
        <w:t>.</w:t>
      </w:r>
      <w:r w:rsidR="00AF18A9" w:rsidRPr="009E3996">
        <w:rPr>
          <w:rStyle w:val="FootnoteReference"/>
        </w:rPr>
        <w:t xml:space="preserve"> </w:t>
      </w:r>
    </w:p>
    <w:p w:rsidR="00C20649" w:rsidRPr="009E3996" w:rsidRDefault="00C20649" w:rsidP="005243D6">
      <w:pPr>
        <w:ind w:firstLine="720"/>
        <w:contextualSpacing/>
        <w:rPr>
          <w:i/>
        </w:rPr>
      </w:pPr>
      <w:r w:rsidRPr="009E3996">
        <w:rPr>
          <w:i/>
        </w:rPr>
        <w:lastRenderedPageBreak/>
        <w:t>Degree of openness</w:t>
      </w:r>
      <w:r w:rsidR="007C4120" w:rsidRPr="009E3996">
        <w:rPr>
          <w:i/>
        </w:rPr>
        <w:t xml:space="preserve">: </w:t>
      </w:r>
      <w:r w:rsidR="004D3597" w:rsidRPr="009E3996">
        <w:t xml:space="preserve">So far, firms’ degree of openness </w:t>
      </w:r>
      <w:r w:rsidR="008D5F03" w:rsidRPr="009E3996">
        <w:t xml:space="preserve">has mainly been conceptualized in terms of firms’ external search openness – the degree to which they search broadly and deeply across external knowledge sources (e.g. Laursen and Salter, 2006; </w:t>
      </w:r>
      <w:proofErr w:type="spellStart"/>
      <w:r w:rsidR="008D5F03" w:rsidRPr="009E3996">
        <w:t>Grimpe</w:t>
      </w:r>
      <w:proofErr w:type="spellEnd"/>
      <w:r w:rsidR="008D5F03" w:rsidRPr="009E3996">
        <w:t xml:space="preserve"> and </w:t>
      </w:r>
      <w:proofErr w:type="spellStart"/>
      <w:r w:rsidR="008D5F03" w:rsidRPr="009E3996">
        <w:t>Sofka</w:t>
      </w:r>
      <w:proofErr w:type="spellEnd"/>
      <w:r w:rsidR="008D5F03" w:rsidRPr="009E3996">
        <w:t xml:space="preserve">, 2009; </w:t>
      </w:r>
      <w:proofErr w:type="spellStart"/>
      <w:r w:rsidR="004D3597" w:rsidRPr="009E3996">
        <w:t>Garriga</w:t>
      </w:r>
      <w:proofErr w:type="spellEnd"/>
      <w:r w:rsidR="004D3597" w:rsidRPr="009E3996">
        <w:t xml:space="preserve">, von Krogh, and </w:t>
      </w:r>
      <w:proofErr w:type="spellStart"/>
      <w:r w:rsidR="004D3597" w:rsidRPr="009E3996">
        <w:t>Spaeth</w:t>
      </w:r>
      <w:proofErr w:type="spellEnd"/>
      <w:r w:rsidR="004D3597" w:rsidRPr="009E3996">
        <w:t xml:space="preserve">, 2013; </w:t>
      </w:r>
      <w:r w:rsidR="00D068A7">
        <w:t xml:space="preserve">Love, Roper, and </w:t>
      </w:r>
      <w:proofErr w:type="spellStart"/>
      <w:r w:rsidR="00D068A7">
        <w:t>Vahter</w:t>
      </w:r>
      <w:proofErr w:type="spellEnd"/>
      <w:r w:rsidR="00D068A7">
        <w:t xml:space="preserve">, 2013). </w:t>
      </w:r>
      <w:proofErr w:type="spellStart"/>
      <w:r w:rsidRPr="009E3996">
        <w:t>Laursen</w:t>
      </w:r>
      <w:proofErr w:type="spellEnd"/>
      <w:r w:rsidRPr="009E3996">
        <w:t xml:space="preserve"> and Salter (2014) suggest that there is a direct association between </w:t>
      </w:r>
      <w:r w:rsidR="004D3597" w:rsidRPr="009E3996">
        <w:t>such search openness</w:t>
      </w:r>
      <w:r w:rsidRPr="009E3996">
        <w:t xml:space="preserve"> and its </w:t>
      </w:r>
      <w:proofErr w:type="spellStart"/>
      <w:r w:rsidRPr="009E3996">
        <w:t>appropriability</w:t>
      </w:r>
      <w:proofErr w:type="spellEnd"/>
      <w:r w:rsidRPr="009E3996">
        <w:t xml:space="preserve"> strategy: when firms open to a range of external actors, they also need to establish means to appropriate profits from their innovations. </w:t>
      </w:r>
      <w:r w:rsidRPr="009E3996">
        <w:rPr>
          <w:rFonts w:eastAsiaTheme="minorHAnsi"/>
        </w:rPr>
        <w:t xml:space="preserve">In line with this suggestion, we expect that the degree of openness of firms, the extent to which they exchange their knowledge with others, will generate awareness with these firms as to the risk of unprotected knowledge exchange with a variety of partners. </w:t>
      </w:r>
      <w:r w:rsidRPr="009E3996">
        <w:t>As being open to other firms involves substantial hazards, including knowledge leakage and misappropriation, IPR can be a useful measure of protection. In this context, appropriation strategies such as IPR enable secure knowledge transfer and transactions (</w:t>
      </w:r>
      <w:proofErr w:type="spellStart"/>
      <w:r w:rsidRPr="009E3996">
        <w:t>Ritala</w:t>
      </w:r>
      <w:proofErr w:type="spellEnd"/>
      <w:r w:rsidRPr="009E3996">
        <w:t xml:space="preserve"> &amp; </w:t>
      </w:r>
      <w:proofErr w:type="spellStart"/>
      <w:r w:rsidRPr="009E3996">
        <w:t>Hurmelinna-Laukkanen</w:t>
      </w:r>
      <w:proofErr w:type="spellEnd"/>
      <w:r w:rsidRPr="009E3996">
        <w:t>, 2013</w:t>
      </w:r>
      <w:r w:rsidR="004F3366" w:rsidRPr="009E3996">
        <w:t xml:space="preserve">; </w:t>
      </w:r>
      <w:proofErr w:type="spellStart"/>
      <w:r w:rsidR="004F3366" w:rsidRPr="009E3996">
        <w:t>Henttonen</w:t>
      </w:r>
      <w:proofErr w:type="spellEnd"/>
      <w:r w:rsidR="004F3366" w:rsidRPr="009E3996">
        <w:t xml:space="preserve">, </w:t>
      </w:r>
      <w:proofErr w:type="spellStart"/>
      <w:r w:rsidR="004F3366" w:rsidRPr="009E3996">
        <w:t>Hurmelinna-Laukkanen</w:t>
      </w:r>
      <w:proofErr w:type="spellEnd"/>
      <w:r w:rsidR="004F3366" w:rsidRPr="009E3996">
        <w:t xml:space="preserve">, and </w:t>
      </w:r>
      <w:proofErr w:type="spellStart"/>
      <w:r w:rsidR="004F3366" w:rsidRPr="009E3996">
        <w:t>Ritala</w:t>
      </w:r>
      <w:proofErr w:type="spellEnd"/>
      <w:r w:rsidR="004F3366" w:rsidRPr="009E3996">
        <w:t>, 2015</w:t>
      </w:r>
      <w:r w:rsidRPr="009E3996">
        <w:t xml:space="preserve">). </w:t>
      </w:r>
    </w:p>
    <w:p w:rsidR="00C20649" w:rsidRPr="009E3996" w:rsidRDefault="00C20649" w:rsidP="00800E6D">
      <w:pPr>
        <w:ind w:firstLine="720"/>
        <w:contextualSpacing/>
        <w:rPr>
          <w:rFonts w:eastAsiaTheme="minorHAnsi"/>
        </w:rPr>
      </w:pPr>
      <w:r w:rsidRPr="009E3996">
        <w:t>Also, t</w:t>
      </w:r>
      <w:r w:rsidRPr="009E3996">
        <w:rPr>
          <w:rFonts w:eastAsiaTheme="minorHAnsi"/>
        </w:rPr>
        <w:t xml:space="preserve">he more firms engage in </w:t>
      </w:r>
      <w:r w:rsidR="00713DEF" w:rsidRPr="009E3996">
        <w:rPr>
          <w:rFonts w:eastAsiaTheme="minorHAnsi"/>
        </w:rPr>
        <w:t>OI</w:t>
      </w:r>
      <w:r w:rsidRPr="009E3996">
        <w:rPr>
          <w:rFonts w:eastAsiaTheme="minorHAnsi"/>
        </w:rPr>
        <w:t xml:space="preserve"> activities with a variety of other organizations such as suppliers, customers, competitors, and start-up</w:t>
      </w:r>
      <w:r w:rsidR="004F3366" w:rsidRPr="009E3996">
        <w:rPr>
          <w:rFonts w:eastAsiaTheme="minorHAnsi"/>
        </w:rPr>
        <w:t>s</w:t>
      </w:r>
      <w:r w:rsidRPr="009E3996">
        <w:rPr>
          <w:rFonts w:eastAsiaTheme="minorHAnsi"/>
        </w:rPr>
        <w:t>, the more complex their network of knowledge exchange with multiple partners. The higher this complexity, the more these firms will need to control their knowledge exchange. In such a complex setting, IPR are seen as effective means to protect knowledge exchange between firms (</w:t>
      </w:r>
      <w:r w:rsidR="008D5F03" w:rsidRPr="009E3996">
        <w:rPr>
          <w:rFonts w:eastAsiaTheme="minorHAnsi"/>
        </w:rPr>
        <w:t xml:space="preserve">Arora and Merges, 2004; </w:t>
      </w:r>
      <w:r w:rsidRPr="009E3996">
        <w:rPr>
          <w:rFonts w:eastAsiaTheme="minorHAnsi"/>
        </w:rPr>
        <w:t xml:space="preserve">Merges, 2006). As such, we can expect that firms that are active in </w:t>
      </w:r>
      <w:r w:rsidR="00713DEF" w:rsidRPr="009E3996">
        <w:rPr>
          <w:rFonts w:eastAsiaTheme="minorHAnsi"/>
        </w:rPr>
        <w:t>OI</w:t>
      </w:r>
      <w:r w:rsidRPr="009E3996">
        <w:rPr>
          <w:rFonts w:eastAsiaTheme="minorHAnsi"/>
        </w:rPr>
        <w:t xml:space="preserve"> with a variety of partner firms will use IPR to protect their knowledge exchan</w:t>
      </w:r>
      <w:r w:rsidR="00192055" w:rsidRPr="009E3996">
        <w:rPr>
          <w:rFonts w:eastAsiaTheme="minorHAnsi"/>
        </w:rPr>
        <w:t>ge</w:t>
      </w:r>
      <w:r w:rsidRPr="009E3996">
        <w:rPr>
          <w:rFonts w:eastAsiaTheme="minorHAnsi"/>
        </w:rPr>
        <w:t xml:space="preserve"> </w:t>
      </w:r>
      <w:r w:rsidR="00192055" w:rsidRPr="009E3996">
        <w:rPr>
          <w:rFonts w:eastAsiaTheme="minorHAnsi"/>
        </w:rPr>
        <w:t xml:space="preserve">(see also </w:t>
      </w:r>
      <w:proofErr w:type="spellStart"/>
      <w:r w:rsidR="00192055" w:rsidRPr="009E3996">
        <w:rPr>
          <w:rFonts w:eastAsiaTheme="minorHAnsi"/>
        </w:rPr>
        <w:t>Hurmelinna-Laukkanen</w:t>
      </w:r>
      <w:proofErr w:type="spellEnd"/>
      <w:r w:rsidR="00192055" w:rsidRPr="009E3996">
        <w:rPr>
          <w:rFonts w:eastAsiaTheme="minorHAnsi"/>
        </w:rPr>
        <w:t>, 2011</w:t>
      </w:r>
      <w:r w:rsidR="004F3366" w:rsidRPr="009E3996">
        <w:rPr>
          <w:rFonts w:eastAsiaTheme="minorHAnsi"/>
        </w:rPr>
        <w:t>;</w:t>
      </w:r>
      <w:r w:rsidR="00D068A7">
        <w:rPr>
          <w:rFonts w:eastAsiaTheme="minorHAnsi"/>
        </w:rPr>
        <w:t xml:space="preserve"> </w:t>
      </w:r>
      <w:proofErr w:type="spellStart"/>
      <w:r w:rsidR="00192055" w:rsidRPr="009E3996">
        <w:rPr>
          <w:rFonts w:eastAsiaTheme="minorHAnsi"/>
        </w:rPr>
        <w:t>Luoma</w:t>
      </w:r>
      <w:proofErr w:type="spellEnd"/>
      <w:r w:rsidR="00192055" w:rsidRPr="009E3996">
        <w:rPr>
          <w:rFonts w:eastAsiaTheme="minorHAnsi"/>
        </w:rPr>
        <w:t xml:space="preserve">, </w:t>
      </w:r>
      <w:proofErr w:type="spellStart"/>
      <w:r w:rsidR="00192055" w:rsidRPr="009E3996">
        <w:rPr>
          <w:rFonts w:eastAsiaTheme="minorHAnsi"/>
        </w:rPr>
        <w:t>Paasi</w:t>
      </w:r>
      <w:proofErr w:type="spellEnd"/>
      <w:r w:rsidR="00192055" w:rsidRPr="009E3996">
        <w:rPr>
          <w:rFonts w:eastAsiaTheme="minorHAnsi"/>
        </w:rPr>
        <w:t xml:space="preserve">, and </w:t>
      </w:r>
      <w:proofErr w:type="spellStart"/>
      <w:r w:rsidR="00192055" w:rsidRPr="009E3996">
        <w:rPr>
          <w:rFonts w:eastAsiaTheme="minorHAnsi"/>
        </w:rPr>
        <w:t>Valkokari</w:t>
      </w:r>
      <w:proofErr w:type="spellEnd"/>
      <w:r w:rsidR="00192055" w:rsidRPr="009E3996">
        <w:rPr>
          <w:rFonts w:eastAsiaTheme="minorHAnsi"/>
        </w:rPr>
        <w:t xml:space="preserve">, </w:t>
      </w:r>
      <w:r w:rsidRPr="009E3996">
        <w:rPr>
          <w:rFonts w:eastAsiaTheme="minorHAnsi"/>
        </w:rPr>
        <w:t>2010</w:t>
      </w:r>
      <w:r w:rsidR="004F3366" w:rsidRPr="009E3996">
        <w:rPr>
          <w:rFonts w:eastAsiaTheme="minorHAnsi"/>
        </w:rPr>
        <w:t xml:space="preserve">; </w:t>
      </w:r>
      <w:proofErr w:type="spellStart"/>
      <w:r w:rsidR="004F3366" w:rsidRPr="009E3996">
        <w:rPr>
          <w:rFonts w:eastAsiaTheme="minorHAnsi"/>
        </w:rPr>
        <w:t>Henttonen</w:t>
      </w:r>
      <w:proofErr w:type="spellEnd"/>
      <w:r w:rsidR="004F3366" w:rsidRPr="009E3996">
        <w:rPr>
          <w:rFonts w:eastAsiaTheme="minorHAnsi"/>
        </w:rPr>
        <w:t xml:space="preserve">, </w:t>
      </w:r>
      <w:proofErr w:type="spellStart"/>
      <w:r w:rsidR="004F3366" w:rsidRPr="009E3996">
        <w:rPr>
          <w:rFonts w:eastAsiaTheme="minorHAnsi"/>
        </w:rPr>
        <w:t>Hurmelinna-Laukkanen</w:t>
      </w:r>
      <w:proofErr w:type="spellEnd"/>
      <w:r w:rsidR="004F3366" w:rsidRPr="009E3996">
        <w:rPr>
          <w:rFonts w:eastAsiaTheme="minorHAnsi"/>
        </w:rPr>
        <w:t xml:space="preserve">, and </w:t>
      </w:r>
      <w:proofErr w:type="spellStart"/>
      <w:r w:rsidR="004F3366" w:rsidRPr="009E3996">
        <w:rPr>
          <w:rFonts w:eastAsiaTheme="minorHAnsi"/>
        </w:rPr>
        <w:t>Ritala</w:t>
      </w:r>
      <w:proofErr w:type="spellEnd"/>
      <w:r w:rsidR="004F3366" w:rsidRPr="009E3996">
        <w:rPr>
          <w:rFonts w:eastAsiaTheme="minorHAnsi"/>
        </w:rPr>
        <w:t>, 2015</w:t>
      </w:r>
      <w:r w:rsidRPr="009E3996">
        <w:rPr>
          <w:rFonts w:eastAsiaTheme="minorHAnsi"/>
        </w:rPr>
        <w:t xml:space="preserve">). </w:t>
      </w:r>
    </w:p>
    <w:p w:rsidR="00C20649" w:rsidRPr="009E3996" w:rsidRDefault="00C20649" w:rsidP="00C20649">
      <w:pPr>
        <w:ind w:firstLine="720"/>
        <w:contextualSpacing/>
        <w:rPr>
          <w:rFonts w:eastAsiaTheme="minorHAnsi"/>
        </w:rPr>
      </w:pPr>
      <w:r w:rsidRPr="009E3996">
        <w:rPr>
          <w:rFonts w:eastAsiaTheme="minorHAnsi"/>
        </w:rPr>
        <w:t xml:space="preserve">Besides the protection of relevant knowledge, firms can use IPR in the context of </w:t>
      </w:r>
      <w:r w:rsidR="00713DEF" w:rsidRPr="009E3996">
        <w:rPr>
          <w:rFonts w:eastAsiaTheme="minorHAnsi"/>
        </w:rPr>
        <w:t>OI</w:t>
      </w:r>
      <w:r w:rsidRPr="009E3996">
        <w:rPr>
          <w:rFonts w:eastAsiaTheme="minorHAnsi"/>
        </w:rPr>
        <w:t xml:space="preserve"> for a variety of other purposes. As suggested in the literature and illustrated by our </w:t>
      </w:r>
      <w:r w:rsidR="00D068A7">
        <w:rPr>
          <w:rFonts w:eastAsiaTheme="minorHAnsi"/>
        </w:rPr>
        <w:t>interviews</w:t>
      </w:r>
      <w:r w:rsidRPr="009E3996">
        <w:rPr>
          <w:rFonts w:eastAsiaTheme="minorHAnsi"/>
        </w:rPr>
        <w:t xml:space="preserve">, </w:t>
      </w:r>
      <w:r w:rsidRPr="009E3996">
        <w:rPr>
          <w:rFonts w:eastAsiaTheme="minorHAnsi"/>
        </w:rPr>
        <w:lastRenderedPageBreak/>
        <w:t xml:space="preserve">when firms engage in </w:t>
      </w:r>
      <w:r w:rsidR="00713DEF" w:rsidRPr="009E3996">
        <w:rPr>
          <w:rFonts w:eastAsiaTheme="minorHAnsi"/>
        </w:rPr>
        <w:t>OI</w:t>
      </w:r>
      <w:r w:rsidRPr="009E3996">
        <w:rPr>
          <w:rFonts w:eastAsiaTheme="minorHAnsi"/>
        </w:rPr>
        <w:t>, they use IPR as signaling devices to indicate</w:t>
      </w:r>
      <w:r w:rsidR="00D068A7">
        <w:rPr>
          <w:rFonts w:eastAsiaTheme="minorHAnsi"/>
        </w:rPr>
        <w:t xml:space="preserve"> their innovative capabilities </w:t>
      </w:r>
      <w:r w:rsidRPr="009E3996">
        <w:rPr>
          <w:rFonts w:eastAsiaTheme="minorHAnsi"/>
        </w:rPr>
        <w:t>(</w:t>
      </w:r>
      <w:proofErr w:type="spellStart"/>
      <w:r w:rsidRPr="009E3996">
        <w:t>Alexy</w:t>
      </w:r>
      <w:proofErr w:type="spellEnd"/>
      <w:r w:rsidRPr="009E3996">
        <w:t xml:space="preserve">, </w:t>
      </w:r>
      <w:proofErr w:type="spellStart"/>
      <w:r w:rsidRPr="009E3996">
        <w:t>Criscuolo</w:t>
      </w:r>
      <w:proofErr w:type="spellEnd"/>
      <w:r w:rsidRPr="009E3996">
        <w:t>, and Salter, 2009). Furthermore, IPR can help to structure and coordinate the collaboration of multiple partners (</w:t>
      </w:r>
      <w:proofErr w:type="spellStart"/>
      <w:r w:rsidRPr="009E3996">
        <w:t>Pénin</w:t>
      </w:r>
      <w:proofErr w:type="spellEnd"/>
      <w:r w:rsidRPr="009E3996">
        <w:t xml:space="preserve">, </w:t>
      </w:r>
      <w:proofErr w:type="spellStart"/>
      <w:r w:rsidRPr="009E3996">
        <w:t>Hussler</w:t>
      </w:r>
      <w:proofErr w:type="spellEnd"/>
      <w:r w:rsidRPr="009E3996">
        <w:t>, and Burger-</w:t>
      </w:r>
      <w:proofErr w:type="spellStart"/>
      <w:r w:rsidRPr="009E3996">
        <w:t>Helmchen</w:t>
      </w:r>
      <w:proofErr w:type="spellEnd"/>
      <w:r w:rsidRPr="009E3996">
        <w:t>, 2011) and facilitates knowledge transfer due to the codified nature of knowledge when protected by IPR (</w:t>
      </w:r>
      <w:proofErr w:type="spellStart"/>
      <w:r w:rsidRPr="009E3996">
        <w:t>Hurmelinna</w:t>
      </w:r>
      <w:proofErr w:type="spellEnd"/>
      <w:r w:rsidRPr="009E3996">
        <w:t xml:space="preserve">, </w:t>
      </w:r>
      <w:proofErr w:type="spellStart"/>
      <w:r w:rsidRPr="009E3996">
        <w:t>Kyläheiko</w:t>
      </w:r>
      <w:proofErr w:type="spellEnd"/>
      <w:r w:rsidRPr="009E3996">
        <w:t xml:space="preserve">, and </w:t>
      </w:r>
      <w:proofErr w:type="spellStart"/>
      <w:r w:rsidRPr="009E3996">
        <w:t>Jauhiainen</w:t>
      </w:r>
      <w:proofErr w:type="spellEnd"/>
      <w:r w:rsidRPr="009E3996">
        <w:t xml:space="preserve">, 2007; </w:t>
      </w:r>
      <w:proofErr w:type="spellStart"/>
      <w:r w:rsidRPr="009E3996">
        <w:t>Alexy</w:t>
      </w:r>
      <w:proofErr w:type="spellEnd"/>
      <w:r w:rsidRPr="009E3996">
        <w:t xml:space="preserve">, </w:t>
      </w:r>
      <w:proofErr w:type="spellStart"/>
      <w:r w:rsidRPr="009E3996">
        <w:t>Criscuolo</w:t>
      </w:r>
      <w:proofErr w:type="spellEnd"/>
      <w:r w:rsidRPr="009E3996">
        <w:t xml:space="preserve">, and Salter, 2009); </w:t>
      </w:r>
      <w:r w:rsidRPr="009E3996">
        <w:rPr>
          <w:rFonts w:eastAsiaTheme="minorHAnsi"/>
        </w:rPr>
        <w:t>Hence:</w:t>
      </w:r>
    </w:p>
    <w:p w:rsidR="00C20649" w:rsidRPr="009E3996" w:rsidRDefault="00BA54BB" w:rsidP="00FC25C2">
      <w:pPr>
        <w:ind w:left="720" w:hanging="720"/>
        <w:contextualSpacing/>
        <w:rPr>
          <w:rFonts w:eastAsiaTheme="minorHAnsi"/>
          <w:i/>
        </w:rPr>
      </w:pPr>
      <w:r w:rsidRPr="009E3996">
        <w:rPr>
          <w:rFonts w:eastAsiaTheme="minorHAnsi"/>
        </w:rPr>
        <w:t>H</w:t>
      </w:r>
      <w:r w:rsidR="00C20649" w:rsidRPr="009E3996">
        <w:rPr>
          <w:rFonts w:eastAsiaTheme="minorHAnsi"/>
        </w:rPr>
        <w:t>. 1</w:t>
      </w:r>
      <w:r w:rsidR="00C20649" w:rsidRPr="009E3996">
        <w:rPr>
          <w:rFonts w:eastAsiaTheme="minorHAnsi"/>
        </w:rPr>
        <w:tab/>
      </w:r>
      <w:r w:rsidR="00C20649" w:rsidRPr="009E3996">
        <w:rPr>
          <w:rFonts w:eastAsiaTheme="minorHAnsi"/>
          <w:i/>
        </w:rPr>
        <w:t>The more open firms are, in terms of their external knowledge exchange, the higher their preference for IPR.</w:t>
      </w:r>
    </w:p>
    <w:p w:rsidR="00C20649" w:rsidRPr="009E3996" w:rsidRDefault="00C20649" w:rsidP="00316DAA">
      <w:pPr>
        <w:contextualSpacing/>
        <w:rPr>
          <w:rFonts w:eastAsiaTheme="minorHAnsi"/>
          <w:i/>
        </w:rPr>
      </w:pPr>
      <w:r w:rsidRPr="009E3996">
        <w:rPr>
          <w:rFonts w:eastAsiaTheme="minorHAnsi"/>
          <w:i/>
        </w:rPr>
        <w:t>R&amp;D capabilities</w:t>
      </w:r>
      <w:r w:rsidR="007C4120" w:rsidRPr="009E3996">
        <w:rPr>
          <w:rFonts w:eastAsiaTheme="minorHAnsi"/>
          <w:i/>
        </w:rPr>
        <w:t xml:space="preserve">: </w:t>
      </w:r>
      <w:r w:rsidRPr="009E3996">
        <w:rPr>
          <w:rFonts w:eastAsiaTheme="minorHAnsi"/>
        </w:rPr>
        <w:t xml:space="preserve">Following suggestions by Hall, </w:t>
      </w:r>
      <w:proofErr w:type="spellStart"/>
      <w:r w:rsidRPr="009E3996">
        <w:rPr>
          <w:rFonts w:eastAsiaTheme="minorHAnsi"/>
        </w:rPr>
        <w:t>Helmers</w:t>
      </w:r>
      <w:proofErr w:type="spellEnd"/>
      <w:r w:rsidRPr="009E3996">
        <w:rPr>
          <w:rFonts w:eastAsiaTheme="minorHAnsi"/>
        </w:rPr>
        <w:t xml:space="preserve">, Rogers, and </w:t>
      </w:r>
      <w:proofErr w:type="spellStart"/>
      <w:r w:rsidRPr="009E3996">
        <w:rPr>
          <w:rFonts w:eastAsiaTheme="minorHAnsi"/>
        </w:rPr>
        <w:t>Sena</w:t>
      </w:r>
      <w:proofErr w:type="spellEnd"/>
      <w:r w:rsidRPr="009E3996">
        <w:rPr>
          <w:rFonts w:eastAsiaTheme="minorHAnsi"/>
        </w:rPr>
        <w:t xml:space="preserve"> (2012), we expect internal R&amp;D capabilities of firms to impact their preference for IPR. Indeed, both scope and degree of internal R&amp;D are expected to shape a firm’s decision making with respect to appropriation strategies (James, </w:t>
      </w:r>
      <w:proofErr w:type="spellStart"/>
      <w:r w:rsidRPr="009E3996">
        <w:rPr>
          <w:rFonts w:eastAsiaTheme="minorHAnsi"/>
        </w:rPr>
        <w:t>Leiblein</w:t>
      </w:r>
      <w:proofErr w:type="spellEnd"/>
      <w:r w:rsidRPr="009E3996">
        <w:rPr>
          <w:rFonts w:eastAsiaTheme="minorHAnsi"/>
        </w:rPr>
        <w:t xml:space="preserve"> and Lu, 2013). Stronger R&amp;D capabilities indicate higher innovative potential of firms which increases the risk that the knowledge they share with their partner firms is appropriated by these partners. Since R&amp;D capabilities function as a source of knowledge for other firms, IPR can protect the knowledge exchange of </w:t>
      </w:r>
      <w:r w:rsidR="00713DEF" w:rsidRPr="009E3996">
        <w:rPr>
          <w:rFonts w:eastAsiaTheme="minorHAnsi"/>
        </w:rPr>
        <w:t>OI</w:t>
      </w:r>
      <w:r w:rsidRPr="009E3996">
        <w:rPr>
          <w:rFonts w:eastAsiaTheme="minorHAnsi"/>
        </w:rPr>
        <w:t xml:space="preserve"> firms (</w:t>
      </w:r>
      <w:proofErr w:type="spellStart"/>
      <w:r w:rsidRPr="009E3996">
        <w:rPr>
          <w:rFonts w:eastAsiaTheme="minorHAnsi"/>
        </w:rPr>
        <w:t>Sandulli</w:t>
      </w:r>
      <w:proofErr w:type="spellEnd"/>
      <w:r w:rsidRPr="009E3996">
        <w:rPr>
          <w:rFonts w:eastAsiaTheme="minorHAnsi"/>
        </w:rPr>
        <w:t xml:space="preserve"> and </w:t>
      </w:r>
      <w:proofErr w:type="spellStart"/>
      <w:r w:rsidRPr="009E3996">
        <w:rPr>
          <w:rFonts w:eastAsiaTheme="minorHAnsi"/>
        </w:rPr>
        <w:t>Chesbrough</w:t>
      </w:r>
      <w:proofErr w:type="spellEnd"/>
      <w:r w:rsidRPr="009E3996">
        <w:rPr>
          <w:rFonts w:eastAsiaTheme="minorHAnsi"/>
        </w:rPr>
        <w:t xml:space="preserve">, 2009). </w:t>
      </w:r>
    </w:p>
    <w:p w:rsidR="00C20649" w:rsidRPr="009E3996" w:rsidRDefault="00C20649" w:rsidP="00C20649">
      <w:pPr>
        <w:ind w:firstLine="720"/>
        <w:contextualSpacing/>
        <w:rPr>
          <w:rFonts w:eastAsiaTheme="minorHAnsi"/>
        </w:rPr>
      </w:pPr>
      <w:r w:rsidRPr="009E3996">
        <w:rPr>
          <w:rFonts w:eastAsiaTheme="minorHAnsi"/>
        </w:rPr>
        <w:t xml:space="preserve">We also expect that the stronger the R&amp;D capabilities of </w:t>
      </w:r>
      <w:r w:rsidR="00713DEF" w:rsidRPr="009E3996">
        <w:rPr>
          <w:rFonts w:eastAsiaTheme="minorHAnsi"/>
        </w:rPr>
        <w:t>OI</w:t>
      </w:r>
      <w:r w:rsidRPr="009E3996">
        <w:rPr>
          <w:rFonts w:eastAsiaTheme="minorHAnsi"/>
        </w:rPr>
        <w:t xml:space="preserve"> firms, the more interesting they are as </w:t>
      </w:r>
      <w:r w:rsidR="00713DEF" w:rsidRPr="009E3996">
        <w:rPr>
          <w:rFonts w:eastAsiaTheme="minorHAnsi"/>
        </w:rPr>
        <w:t>OI</w:t>
      </w:r>
      <w:r w:rsidRPr="009E3996">
        <w:rPr>
          <w:rFonts w:eastAsiaTheme="minorHAnsi"/>
        </w:rPr>
        <w:t xml:space="preserve"> partners to others. Assuming </w:t>
      </w:r>
      <w:r w:rsidR="00713DEF" w:rsidRPr="009E3996">
        <w:rPr>
          <w:rFonts w:eastAsiaTheme="minorHAnsi"/>
        </w:rPr>
        <w:t>OI</w:t>
      </w:r>
      <w:r w:rsidRPr="009E3996">
        <w:rPr>
          <w:rFonts w:eastAsiaTheme="minorHAnsi"/>
        </w:rPr>
        <w:t xml:space="preserve"> firms are aware of the risks of their internal R&amp;D capabilities, as a source of knowledge for their partners, IPR protection can limit such risks. Hence:</w:t>
      </w:r>
    </w:p>
    <w:p w:rsidR="00C20649" w:rsidRPr="009E3996" w:rsidRDefault="00BA54BB" w:rsidP="00C20649">
      <w:pPr>
        <w:ind w:left="720" w:hanging="720"/>
        <w:contextualSpacing/>
        <w:rPr>
          <w:rFonts w:eastAsiaTheme="minorHAnsi"/>
          <w:i/>
        </w:rPr>
      </w:pPr>
      <w:r w:rsidRPr="009E3996">
        <w:rPr>
          <w:rFonts w:eastAsiaTheme="minorHAnsi"/>
        </w:rPr>
        <w:t>H</w:t>
      </w:r>
      <w:r w:rsidR="00C20649" w:rsidRPr="009E3996">
        <w:rPr>
          <w:rFonts w:eastAsiaTheme="minorHAnsi"/>
        </w:rPr>
        <w:t xml:space="preserve">.2 </w:t>
      </w:r>
      <w:r w:rsidR="00C20649" w:rsidRPr="009E3996">
        <w:rPr>
          <w:rFonts w:eastAsiaTheme="minorHAnsi"/>
        </w:rPr>
        <w:tab/>
      </w:r>
      <w:r w:rsidR="00C20649" w:rsidRPr="009E3996">
        <w:rPr>
          <w:rFonts w:eastAsiaTheme="minorHAnsi"/>
          <w:i/>
        </w:rPr>
        <w:t>The stronger the R&amp;D capabilities of open innovation firms, the higher their preference for IPR.</w:t>
      </w:r>
    </w:p>
    <w:p w:rsidR="00C20649" w:rsidRPr="009E3996" w:rsidRDefault="00C20649" w:rsidP="00316DAA">
      <w:pPr>
        <w:contextualSpacing/>
        <w:rPr>
          <w:rFonts w:eastAsiaTheme="minorHAnsi"/>
          <w:i/>
        </w:rPr>
      </w:pPr>
      <w:r w:rsidRPr="009E3996">
        <w:rPr>
          <w:rFonts w:eastAsiaTheme="minorHAnsi"/>
          <w:i/>
        </w:rPr>
        <w:t>Interaction of openness and R&amp;D capabilities</w:t>
      </w:r>
      <w:r w:rsidR="007C4120" w:rsidRPr="009E3996">
        <w:rPr>
          <w:rFonts w:eastAsiaTheme="minorHAnsi"/>
          <w:i/>
        </w:rPr>
        <w:t xml:space="preserve">: </w:t>
      </w:r>
      <w:r w:rsidRPr="009E3996">
        <w:rPr>
          <w:rFonts w:eastAsiaTheme="minorHAnsi"/>
        </w:rPr>
        <w:t xml:space="preserve">In addition to this direct effect of internal R&amp;D capabilities, we expect that the strength of firms’ internal R&amp;D capabilities plays a role in the extent to which openness leads to more IPR protection. In the context of </w:t>
      </w:r>
      <w:r w:rsidR="00D0758E" w:rsidRPr="009E3996">
        <w:rPr>
          <w:rFonts w:eastAsiaTheme="minorHAnsi"/>
        </w:rPr>
        <w:t>OI</w:t>
      </w:r>
      <w:r w:rsidRPr="009E3996">
        <w:rPr>
          <w:rFonts w:eastAsiaTheme="minorHAnsi"/>
        </w:rPr>
        <w:t xml:space="preserve">, firms </w:t>
      </w:r>
      <w:r w:rsidRPr="009E3996">
        <w:rPr>
          <w:rFonts w:eastAsiaTheme="minorHAnsi"/>
        </w:rPr>
        <w:lastRenderedPageBreak/>
        <w:t>combine knowledge from their external and internal R&amp;D strategies (</w:t>
      </w:r>
      <w:proofErr w:type="spellStart"/>
      <w:r w:rsidRPr="009E3996">
        <w:rPr>
          <w:rFonts w:eastAsiaTheme="minorHAnsi"/>
        </w:rPr>
        <w:t>Chesbrough</w:t>
      </w:r>
      <w:proofErr w:type="spellEnd"/>
      <w:r w:rsidRPr="009E3996">
        <w:rPr>
          <w:rFonts w:eastAsiaTheme="minorHAnsi"/>
        </w:rPr>
        <w:t>,</w:t>
      </w:r>
      <w:r w:rsidR="00395691" w:rsidRPr="009E3996">
        <w:rPr>
          <w:rFonts w:eastAsiaTheme="minorHAnsi"/>
        </w:rPr>
        <w:t xml:space="preserve"> 2003; 2006; West &amp; </w:t>
      </w:r>
      <w:proofErr w:type="spellStart"/>
      <w:r w:rsidR="00395691" w:rsidRPr="009E3996">
        <w:rPr>
          <w:rFonts w:eastAsiaTheme="minorHAnsi"/>
        </w:rPr>
        <w:t>Bogers</w:t>
      </w:r>
      <w:proofErr w:type="spellEnd"/>
      <w:r w:rsidR="00395691" w:rsidRPr="009E3996">
        <w:rPr>
          <w:rFonts w:eastAsiaTheme="minorHAnsi"/>
        </w:rPr>
        <w:t>, 2014</w:t>
      </w:r>
      <w:r w:rsidRPr="009E3996">
        <w:rPr>
          <w:rFonts w:eastAsiaTheme="minorHAnsi"/>
        </w:rPr>
        <w:t xml:space="preserve">) and are expected to consider both strategies jointly in their selection of IPR. Combining the arguments above, implementing IPR protection with increasing openness seems particularly relevant for firms that also possess stronger R&amp;D capabilities. Firms with stronger R&amp;D capabilities have more ‘at stake’ when they open up their boundaries in terms of increased external knowledge exchange. When such firms become increasingly open, they increase the risk that knowledge based on their R&amp;D capabilities leaks to external partners. </w:t>
      </w:r>
      <w:r w:rsidR="007A6FD4" w:rsidRPr="009E3996">
        <w:rPr>
          <w:rFonts w:eastAsiaTheme="minorHAnsi"/>
        </w:rPr>
        <w:t xml:space="preserve">In such a context, opting for IPR </w:t>
      </w:r>
      <w:r w:rsidR="007A6FD4" w:rsidRPr="009E3996">
        <w:t xml:space="preserve">allows firms to avoid involuntary knowledge spillovers when they engage with </w:t>
      </w:r>
      <w:r w:rsidR="006C16C6" w:rsidRPr="009E3996">
        <w:t xml:space="preserve">their </w:t>
      </w:r>
      <w:r w:rsidR="007A6FD4" w:rsidRPr="009E3996">
        <w:t>external partners</w:t>
      </w:r>
      <w:r w:rsidR="007A6FD4" w:rsidRPr="009E3996">
        <w:rPr>
          <w:rFonts w:eastAsiaTheme="minorHAnsi"/>
        </w:rPr>
        <w:t xml:space="preserve"> (see also </w:t>
      </w:r>
      <w:proofErr w:type="spellStart"/>
      <w:r w:rsidR="007A6FD4" w:rsidRPr="009E3996">
        <w:rPr>
          <w:rFonts w:eastAsiaTheme="minorHAnsi"/>
        </w:rPr>
        <w:t>Cassimann</w:t>
      </w:r>
      <w:proofErr w:type="spellEnd"/>
      <w:r w:rsidR="007A6FD4" w:rsidRPr="009E3996">
        <w:rPr>
          <w:rFonts w:eastAsiaTheme="minorHAnsi"/>
        </w:rPr>
        <w:t xml:space="preserve"> and </w:t>
      </w:r>
      <w:proofErr w:type="spellStart"/>
      <w:r w:rsidR="007A6FD4" w:rsidRPr="009E3996">
        <w:rPr>
          <w:rFonts w:eastAsiaTheme="minorHAnsi"/>
        </w:rPr>
        <w:t>Veugelers</w:t>
      </w:r>
      <w:proofErr w:type="spellEnd"/>
      <w:r w:rsidR="007A6FD4" w:rsidRPr="009E3996">
        <w:rPr>
          <w:rFonts w:eastAsiaTheme="minorHAnsi"/>
        </w:rPr>
        <w:t xml:space="preserve">, 2002). </w:t>
      </w:r>
      <w:r w:rsidRPr="009E3996">
        <w:rPr>
          <w:rFonts w:eastAsiaTheme="minorHAnsi"/>
        </w:rPr>
        <w:t xml:space="preserve">We expect that R&amp;D capabilities and openness will interact with each other to the extent that: </w:t>
      </w:r>
    </w:p>
    <w:p w:rsidR="00C20649" w:rsidRPr="009E3996" w:rsidRDefault="005F583C" w:rsidP="004C1B1A">
      <w:pPr>
        <w:ind w:left="720" w:hanging="720"/>
        <w:contextualSpacing/>
        <w:rPr>
          <w:rFonts w:eastAsiaTheme="minorHAnsi"/>
          <w:i/>
        </w:rPr>
      </w:pPr>
      <w:r w:rsidRPr="009E3996">
        <w:rPr>
          <w:rFonts w:eastAsiaTheme="minorHAnsi"/>
        </w:rPr>
        <w:t>H</w:t>
      </w:r>
      <w:r w:rsidR="00C20649" w:rsidRPr="009E3996">
        <w:rPr>
          <w:rFonts w:eastAsiaTheme="minorHAnsi"/>
        </w:rPr>
        <w:t xml:space="preserve">. 3 </w:t>
      </w:r>
      <w:r w:rsidR="00C20649" w:rsidRPr="009E3996">
        <w:rPr>
          <w:rFonts w:eastAsiaTheme="minorHAnsi"/>
        </w:rPr>
        <w:tab/>
      </w:r>
      <w:r w:rsidR="00C20649" w:rsidRPr="009E3996">
        <w:rPr>
          <w:rFonts w:eastAsiaTheme="minorHAnsi"/>
          <w:i/>
        </w:rPr>
        <w:t xml:space="preserve">The stronger the R&amp;D capabilities of open innovation firms, the stronger the relationship between the openness of firms and their preference for IPR. </w:t>
      </w:r>
    </w:p>
    <w:p w:rsidR="00C20649" w:rsidRPr="009E3996" w:rsidRDefault="00C20649" w:rsidP="00316DAA">
      <w:pPr>
        <w:contextualSpacing/>
        <w:rPr>
          <w:rFonts w:eastAsiaTheme="minorHAnsi"/>
        </w:rPr>
      </w:pPr>
      <w:r w:rsidRPr="009E3996">
        <w:rPr>
          <w:rFonts w:eastAsiaTheme="minorHAnsi"/>
          <w:i/>
        </w:rPr>
        <w:t>Formal legal attitude</w:t>
      </w:r>
      <w:r w:rsidR="007C4120" w:rsidRPr="009E3996">
        <w:rPr>
          <w:rFonts w:eastAsiaTheme="minorHAnsi"/>
          <w:i/>
        </w:rPr>
        <w:t xml:space="preserve">: </w:t>
      </w:r>
      <w:r w:rsidRPr="009E3996">
        <w:rPr>
          <w:rFonts w:eastAsiaTheme="minorHAnsi"/>
        </w:rPr>
        <w:t xml:space="preserve">As we have seen in the foregoing, </w:t>
      </w:r>
      <w:r w:rsidR="00713DEF" w:rsidRPr="009E3996">
        <w:rPr>
          <w:rFonts w:eastAsiaTheme="minorHAnsi"/>
        </w:rPr>
        <w:t>OI</w:t>
      </w:r>
      <w:r w:rsidRPr="009E3996">
        <w:rPr>
          <w:rFonts w:eastAsiaTheme="minorHAnsi"/>
        </w:rPr>
        <w:t xml:space="preserve"> firms have a strong preference for formal contracts to govern their relationship with their </w:t>
      </w:r>
      <w:r w:rsidR="00713DEF" w:rsidRPr="009E3996">
        <w:rPr>
          <w:rFonts w:eastAsiaTheme="minorHAnsi"/>
        </w:rPr>
        <w:t>OI</w:t>
      </w:r>
      <w:r w:rsidRPr="009E3996">
        <w:rPr>
          <w:rFonts w:eastAsiaTheme="minorHAnsi"/>
        </w:rPr>
        <w:t xml:space="preserve"> partners. However, these firms still do differ to quite some extent with regard to the degree to which they actually value the importance of these contracts. The higher the importance of contracts for firms with </w:t>
      </w:r>
      <w:r w:rsidR="00713DEF" w:rsidRPr="009E3996">
        <w:rPr>
          <w:rFonts w:eastAsiaTheme="minorHAnsi"/>
        </w:rPr>
        <w:t>OI</w:t>
      </w:r>
      <w:r w:rsidRPr="009E3996">
        <w:rPr>
          <w:rFonts w:eastAsiaTheme="minorHAnsi"/>
        </w:rPr>
        <w:t xml:space="preserve"> partnerships, the more we can expect that this indicates the degree to which they perceive formal means of control, such as contracts, as a vital element of their business model (see also </w:t>
      </w:r>
      <w:proofErr w:type="spellStart"/>
      <w:r w:rsidRPr="009E3996">
        <w:rPr>
          <w:rFonts w:eastAsiaTheme="minorHAnsi"/>
        </w:rPr>
        <w:t>Luoma</w:t>
      </w:r>
      <w:proofErr w:type="spellEnd"/>
      <w:r w:rsidRPr="009E3996">
        <w:rPr>
          <w:rFonts w:eastAsiaTheme="minorHAnsi"/>
        </w:rPr>
        <w:t xml:space="preserve">, </w:t>
      </w:r>
      <w:proofErr w:type="spellStart"/>
      <w:r w:rsidRPr="009E3996">
        <w:rPr>
          <w:rFonts w:eastAsiaTheme="minorHAnsi"/>
        </w:rPr>
        <w:t>Paasi</w:t>
      </w:r>
      <w:proofErr w:type="spellEnd"/>
      <w:r w:rsidRPr="009E3996">
        <w:rPr>
          <w:rFonts w:eastAsiaTheme="minorHAnsi"/>
        </w:rPr>
        <w:t xml:space="preserve">, and </w:t>
      </w:r>
      <w:proofErr w:type="spellStart"/>
      <w:r w:rsidRPr="009E3996">
        <w:rPr>
          <w:rFonts w:eastAsiaTheme="minorHAnsi"/>
        </w:rPr>
        <w:t>Valkokari</w:t>
      </w:r>
      <w:proofErr w:type="spellEnd"/>
      <w:r w:rsidRPr="009E3996">
        <w:rPr>
          <w:rFonts w:eastAsiaTheme="minorHAnsi"/>
        </w:rPr>
        <w:t xml:space="preserve">, 2010). As such, this aspect of their business model reveals a formal legal attitude towards inter-firm governance that will also affect other aspects of control, i.e., those related to the control of crucial firm knowledge. Prior literature suggests that firms are likely to select bundles of different appropriation mechanisms (James, </w:t>
      </w:r>
      <w:proofErr w:type="spellStart"/>
      <w:r w:rsidRPr="009E3996">
        <w:rPr>
          <w:rFonts w:eastAsiaTheme="minorHAnsi"/>
        </w:rPr>
        <w:t>Leiblein</w:t>
      </w:r>
      <w:proofErr w:type="spellEnd"/>
      <w:r w:rsidRPr="009E3996">
        <w:rPr>
          <w:rFonts w:eastAsiaTheme="minorHAnsi"/>
        </w:rPr>
        <w:t>, and Lu, 2013</w:t>
      </w:r>
      <w:r w:rsidR="004F3366" w:rsidRPr="009E3996">
        <w:rPr>
          <w:rFonts w:eastAsiaTheme="minorHAnsi"/>
        </w:rPr>
        <w:t xml:space="preserve">; </w:t>
      </w:r>
      <w:proofErr w:type="spellStart"/>
      <w:r w:rsidR="004F3366" w:rsidRPr="009E3996">
        <w:rPr>
          <w:rFonts w:eastAsiaTheme="minorHAnsi"/>
        </w:rPr>
        <w:t>Henttonen</w:t>
      </w:r>
      <w:proofErr w:type="spellEnd"/>
      <w:r w:rsidR="004F3366" w:rsidRPr="009E3996">
        <w:rPr>
          <w:rFonts w:eastAsiaTheme="minorHAnsi"/>
        </w:rPr>
        <w:t xml:space="preserve">, </w:t>
      </w:r>
      <w:proofErr w:type="spellStart"/>
      <w:r w:rsidR="004F3366" w:rsidRPr="009E3996">
        <w:rPr>
          <w:rFonts w:eastAsiaTheme="minorHAnsi"/>
        </w:rPr>
        <w:t>Hurmelinna-Laukkanen</w:t>
      </w:r>
      <w:proofErr w:type="spellEnd"/>
      <w:r w:rsidR="004F3366" w:rsidRPr="009E3996">
        <w:rPr>
          <w:rFonts w:eastAsiaTheme="minorHAnsi"/>
        </w:rPr>
        <w:t xml:space="preserve">, and </w:t>
      </w:r>
      <w:proofErr w:type="spellStart"/>
      <w:r w:rsidR="004F3366" w:rsidRPr="009E3996">
        <w:rPr>
          <w:rFonts w:eastAsiaTheme="minorHAnsi"/>
        </w:rPr>
        <w:t>Ritala</w:t>
      </w:r>
      <w:proofErr w:type="spellEnd"/>
      <w:r w:rsidR="004F3366" w:rsidRPr="009E3996">
        <w:rPr>
          <w:rFonts w:eastAsiaTheme="minorHAnsi"/>
        </w:rPr>
        <w:t>, 2015</w:t>
      </w:r>
      <w:r w:rsidRPr="009E3996">
        <w:rPr>
          <w:rFonts w:eastAsiaTheme="minorHAnsi"/>
        </w:rPr>
        <w:t xml:space="preserve">). </w:t>
      </w:r>
      <w:r w:rsidR="006C16C6" w:rsidRPr="009E3996">
        <w:rPr>
          <w:rFonts w:eastAsiaTheme="minorHAnsi"/>
        </w:rPr>
        <w:t xml:space="preserve">For instance, Bagley (2008) proposes that firms that use and value formal contracts are also more likely to protect </w:t>
      </w:r>
      <w:r w:rsidR="006C16C6" w:rsidRPr="009E3996">
        <w:rPr>
          <w:rFonts w:eastAsiaTheme="minorHAnsi"/>
        </w:rPr>
        <w:lastRenderedPageBreak/>
        <w:t xml:space="preserve">their valuable firm resources via IPR. </w:t>
      </w:r>
      <w:r w:rsidRPr="009E3996">
        <w:rPr>
          <w:rFonts w:eastAsiaTheme="minorHAnsi"/>
        </w:rPr>
        <w:t>As a consequence, we expect this formal legal attitude towards inter-firm governance to be associated with a higher preference for IPR. Hence:</w:t>
      </w:r>
    </w:p>
    <w:p w:rsidR="00C20649" w:rsidRPr="009E3996" w:rsidRDefault="005F583C" w:rsidP="00C20649">
      <w:pPr>
        <w:ind w:left="720" w:hanging="720"/>
        <w:contextualSpacing/>
        <w:rPr>
          <w:rFonts w:eastAsiaTheme="minorHAnsi"/>
          <w:i/>
        </w:rPr>
      </w:pPr>
      <w:r w:rsidRPr="009E3996">
        <w:rPr>
          <w:rFonts w:eastAsiaTheme="minorHAnsi"/>
        </w:rPr>
        <w:t>H</w:t>
      </w:r>
      <w:r w:rsidR="00C20649" w:rsidRPr="009E3996">
        <w:rPr>
          <w:rFonts w:eastAsiaTheme="minorHAnsi"/>
        </w:rPr>
        <w:t xml:space="preserve">. 4 </w:t>
      </w:r>
      <w:r w:rsidR="00C20649" w:rsidRPr="009E3996">
        <w:rPr>
          <w:rFonts w:eastAsiaTheme="minorHAnsi"/>
        </w:rPr>
        <w:tab/>
      </w:r>
      <w:r w:rsidR="00C20649" w:rsidRPr="009E3996">
        <w:rPr>
          <w:rFonts w:eastAsiaTheme="minorHAnsi"/>
          <w:i/>
        </w:rPr>
        <w:t>The stronger the formal legal attitude of open innovation firms, the higher their preference for IPR.</w:t>
      </w:r>
    </w:p>
    <w:p w:rsidR="00C20649" w:rsidRPr="009E3996" w:rsidRDefault="00C20649" w:rsidP="00316DAA">
      <w:pPr>
        <w:contextualSpacing/>
        <w:rPr>
          <w:rFonts w:eastAsiaTheme="minorHAnsi"/>
          <w:i/>
        </w:rPr>
      </w:pPr>
      <w:r w:rsidRPr="009E3996">
        <w:rPr>
          <w:rFonts w:eastAsiaTheme="minorHAnsi"/>
          <w:i/>
        </w:rPr>
        <w:t>Competitive dynamics</w:t>
      </w:r>
      <w:r w:rsidR="007C4120" w:rsidRPr="009E3996">
        <w:rPr>
          <w:rFonts w:eastAsiaTheme="minorHAnsi"/>
          <w:i/>
        </w:rPr>
        <w:t>:</w:t>
      </w:r>
      <w:r w:rsidR="00B14399" w:rsidRPr="009E3996">
        <w:rPr>
          <w:rFonts w:eastAsiaTheme="minorHAnsi"/>
          <w:i/>
        </w:rPr>
        <w:t xml:space="preserve"> </w:t>
      </w:r>
      <w:r w:rsidRPr="009E3996">
        <w:rPr>
          <w:rFonts w:eastAsiaTheme="minorHAnsi"/>
        </w:rPr>
        <w:t xml:space="preserve">As an external factor, the competitive dynamics of firms’ product markets is frequently seen as a major environmental driver of their propensity to enter into a range of partnerships with other firms (Oster, 1999; Powell, </w:t>
      </w:r>
      <w:proofErr w:type="spellStart"/>
      <w:r w:rsidRPr="009E3996">
        <w:rPr>
          <w:rFonts w:eastAsiaTheme="minorHAnsi"/>
        </w:rPr>
        <w:t>Koput</w:t>
      </w:r>
      <w:proofErr w:type="spellEnd"/>
      <w:r w:rsidRPr="009E3996">
        <w:rPr>
          <w:rFonts w:eastAsiaTheme="minorHAnsi"/>
        </w:rPr>
        <w:t>, and Smith-</w:t>
      </w:r>
      <w:proofErr w:type="spellStart"/>
      <w:r w:rsidRPr="009E3996">
        <w:rPr>
          <w:rFonts w:eastAsiaTheme="minorHAnsi"/>
        </w:rPr>
        <w:t>Doerr</w:t>
      </w:r>
      <w:proofErr w:type="spellEnd"/>
      <w:r w:rsidRPr="009E3996">
        <w:rPr>
          <w:rFonts w:eastAsiaTheme="minorHAnsi"/>
        </w:rPr>
        <w:t xml:space="preserve">, 1996). In markets where the competitive environment is subject to frequent changes, firms are more inclined to enter into partnerships with other firms, in search for new relevant knowledge. As indicated by </w:t>
      </w:r>
      <w:proofErr w:type="spellStart"/>
      <w:r w:rsidRPr="009E3996">
        <w:rPr>
          <w:rFonts w:eastAsiaTheme="minorHAnsi"/>
        </w:rPr>
        <w:t>Gassman</w:t>
      </w:r>
      <w:proofErr w:type="spellEnd"/>
      <w:r w:rsidRPr="009E3996">
        <w:rPr>
          <w:rFonts w:eastAsiaTheme="minorHAnsi"/>
        </w:rPr>
        <w:t xml:space="preserve"> and Henkel (2004) and </w:t>
      </w:r>
      <w:proofErr w:type="spellStart"/>
      <w:r w:rsidRPr="009E3996">
        <w:rPr>
          <w:rFonts w:eastAsiaTheme="minorHAnsi"/>
        </w:rPr>
        <w:t>Ozman</w:t>
      </w:r>
      <w:proofErr w:type="spellEnd"/>
      <w:r w:rsidRPr="009E3996">
        <w:rPr>
          <w:rFonts w:eastAsiaTheme="minorHAnsi"/>
        </w:rPr>
        <w:t xml:space="preserve"> (2008) this also applies to partnerships in the context of </w:t>
      </w:r>
      <w:r w:rsidR="00713DEF" w:rsidRPr="009E3996">
        <w:rPr>
          <w:rFonts w:eastAsiaTheme="minorHAnsi"/>
        </w:rPr>
        <w:t>OI</w:t>
      </w:r>
      <w:r w:rsidRPr="009E3996">
        <w:rPr>
          <w:rFonts w:eastAsiaTheme="minorHAnsi"/>
        </w:rPr>
        <w:t xml:space="preserve"> where competitive dynamics drives </w:t>
      </w:r>
      <w:r w:rsidR="00713DEF" w:rsidRPr="009E3996">
        <w:rPr>
          <w:rFonts w:eastAsiaTheme="minorHAnsi"/>
        </w:rPr>
        <w:t>OI</w:t>
      </w:r>
      <w:r w:rsidRPr="009E3996">
        <w:rPr>
          <w:rFonts w:eastAsiaTheme="minorHAnsi"/>
        </w:rPr>
        <w:t xml:space="preserve"> collaboration. </w:t>
      </w:r>
    </w:p>
    <w:p w:rsidR="00C20649" w:rsidRPr="009E3996" w:rsidRDefault="00C20649" w:rsidP="00C20649">
      <w:pPr>
        <w:ind w:firstLine="720"/>
        <w:contextualSpacing/>
        <w:rPr>
          <w:rFonts w:eastAsiaTheme="minorHAnsi"/>
        </w:rPr>
      </w:pPr>
      <w:r w:rsidRPr="009E3996">
        <w:rPr>
          <w:rFonts w:eastAsiaTheme="minorHAnsi"/>
        </w:rPr>
        <w:t>Interestingly, these competitive dynamics in firms’ product markets, where they face increased competition, are also found to be an important external contingency factor for their innovative performance that demands specific attention to IPR (</w:t>
      </w:r>
      <w:proofErr w:type="spellStart"/>
      <w:r w:rsidRPr="009E3996">
        <w:rPr>
          <w:rFonts w:eastAsiaTheme="minorHAnsi"/>
        </w:rPr>
        <w:t>Hausman</w:t>
      </w:r>
      <w:proofErr w:type="spellEnd"/>
      <w:r w:rsidRPr="009E3996">
        <w:rPr>
          <w:rFonts w:eastAsiaTheme="minorHAnsi"/>
        </w:rPr>
        <w:t xml:space="preserve"> and Leonard, 2006; </w:t>
      </w:r>
      <w:proofErr w:type="spellStart"/>
      <w:r w:rsidRPr="009E3996">
        <w:rPr>
          <w:rFonts w:eastAsiaTheme="minorHAnsi"/>
        </w:rPr>
        <w:t>Somaya</w:t>
      </w:r>
      <w:proofErr w:type="spellEnd"/>
      <w:r w:rsidRPr="009E3996">
        <w:rPr>
          <w:rFonts w:eastAsiaTheme="minorHAnsi"/>
        </w:rPr>
        <w:t>, 2003</w:t>
      </w:r>
      <w:r w:rsidR="000E34EC" w:rsidRPr="009E3996">
        <w:rPr>
          <w:rFonts w:eastAsiaTheme="minorHAnsi"/>
        </w:rPr>
        <w:t>; 201</w:t>
      </w:r>
      <w:r w:rsidR="00C347EE" w:rsidRPr="009E3996">
        <w:rPr>
          <w:rFonts w:eastAsiaTheme="minorHAnsi"/>
        </w:rPr>
        <w:t>2</w:t>
      </w:r>
      <w:r w:rsidRPr="009E3996">
        <w:rPr>
          <w:rFonts w:eastAsiaTheme="minorHAnsi"/>
        </w:rPr>
        <w:t xml:space="preserve">). In the current context of </w:t>
      </w:r>
      <w:r w:rsidR="00713DEF" w:rsidRPr="009E3996">
        <w:rPr>
          <w:rFonts w:eastAsiaTheme="minorHAnsi"/>
        </w:rPr>
        <w:t>OI</w:t>
      </w:r>
      <w:r w:rsidRPr="009E3996">
        <w:rPr>
          <w:rFonts w:eastAsiaTheme="minorHAnsi"/>
        </w:rPr>
        <w:t xml:space="preserve">, this suggests that higher levels of competitive dynamics in firms’ products markets affect their preference for IPR. The protection of </w:t>
      </w:r>
      <w:r w:rsidR="00713DEF" w:rsidRPr="009E3996">
        <w:rPr>
          <w:rFonts w:eastAsiaTheme="minorHAnsi"/>
        </w:rPr>
        <w:t>OI</w:t>
      </w:r>
      <w:r w:rsidRPr="009E3996">
        <w:rPr>
          <w:rFonts w:eastAsiaTheme="minorHAnsi"/>
        </w:rPr>
        <w:t xml:space="preserve"> firms’ knowledge to be exchanged with their partners is of particular relevance in dynamic product markets where the competitive landscape and its players are changing rapidly. Under these conditions, where firms collaborate to improve their innovative performance, while facing increasing competition, they are expected to value IPR to protect the innovative knowledge that they exchange with a variety of partners. Hence: </w:t>
      </w:r>
    </w:p>
    <w:p w:rsidR="00B14399" w:rsidRPr="009E3996" w:rsidRDefault="00BA54BB" w:rsidP="00B14399">
      <w:pPr>
        <w:ind w:left="720" w:hanging="720"/>
        <w:contextualSpacing/>
        <w:rPr>
          <w:rFonts w:eastAsiaTheme="minorHAnsi"/>
          <w:i/>
        </w:rPr>
      </w:pPr>
      <w:r w:rsidRPr="009E3996">
        <w:rPr>
          <w:rFonts w:eastAsiaTheme="minorHAnsi"/>
        </w:rPr>
        <w:t>H</w:t>
      </w:r>
      <w:r w:rsidR="00C20649" w:rsidRPr="009E3996">
        <w:rPr>
          <w:rFonts w:eastAsiaTheme="minorHAnsi"/>
        </w:rPr>
        <w:t xml:space="preserve">. 5 </w:t>
      </w:r>
      <w:r w:rsidR="00C20649" w:rsidRPr="009E3996">
        <w:rPr>
          <w:rFonts w:eastAsiaTheme="minorHAnsi"/>
        </w:rPr>
        <w:tab/>
      </w:r>
      <w:r w:rsidR="00C20649" w:rsidRPr="009E3996">
        <w:rPr>
          <w:rFonts w:eastAsiaTheme="minorHAnsi"/>
          <w:i/>
        </w:rPr>
        <w:t>The higher the levels of competitive dynamics in open innovation firms’ product markets, the higher their preference for IPR.</w:t>
      </w:r>
    </w:p>
    <w:p w:rsidR="00050FFF" w:rsidRDefault="00050FFF" w:rsidP="004A5CE5">
      <w:pPr>
        <w:contextualSpacing/>
        <w:rPr>
          <w:b/>
        </w:rPr>
      </w:pPr>
    </w:p>
    <w:p w:rsidR="0080226B" w:rsidRDefault="0080226B" w:rsidP="004A5CE5">
      <w:pPr>
        <w:contextualSpacing/>
        <w:rPr>
          <w:b/>
        </w:rPr>
      </w:pPr>
    </w:p>
    <w:p w:rsidR="00C20649" w:rsidRPr="009E3996" w:rsidRDefault="00B14399" w:rsidP="004A5CE5">
      <w:pPr>
        <w:contextualSpacing/>
        <w:rPr>
          <w:b/>
        </w:rPr>
      </w:pPr>
      <w:r w:rsidRPr="009E3996">
        <w:rPr>
          <w:b/>
        </w:rPr>
        <w:lastRenderedPageBreak/>
        <w:t xml:space="preserve">Variables and Measures </w:t>
      </w:r>
    </w:p>
    <w:p w:rsidR="00C20649" w:rsidRPr="009E3996" w:rsidRDefault="00C20649" w:rsidP="004A5CE5">
      <w:pPr>
        <w:contextualSpacing/>
      </w:pPr>
      <w:r w:rsidRPr="009E3996">
        <w:t xml:space="preserve">Our dependent variable measures firms’ perception of the importance of </w:t>
      </w:r>
      <w:r w:rsidRPr="009E3996">
        <w:rPr>
          <w:i/>
        </w:rPr>
        <w:t>IPR</w:t>
      </w:r>
      <w:r w:rsidRPr="009E3996">
        <w:t xml:space="preserve"> in the context of </w:t>
      </w:r>
      <w:r w:rsidR="00CB5D51" w:rsidRPr="009E3996">
        <w:t>OI</w:t>
      </w:r>
      <w:r w:rsidRPr="009E3996">
        <w:t>. Respondents were asked to assess</w:t>
      </w:r>
      <w:r w:rsidR="00CB5D51" w:rsidRPr="009E3996">
        <w:t>, on a 7 point Likert scale,</w:t>
      </w:r>
      <w:r w:rsidRPr="009E3996">
        <w:t xml:space="preserve"> how important different </w:t>
      </w:r>
      <w:r w:rsidR="00CB5D51" w:rsidRPr="009E3996">
        <w:t xml:space="preserve">IPR </w:t>
      </w:r>
      <w:r w:rsidRPr="009E3996">
        <w:t xml:space="preserve"> (patents, trademarks, copyrights, design rights, technical and commercial information (trade secrets)) are for protecting their innovative capabilities from their </w:t>
      </w:r>
      <w:r w:rsidR="00EC38CB">
        <w:t>OI</w:t>
      </w:r>
      <w:r w:rsidRPr="009E3996">
        <w:t xml:space="preserve"> partner firms</w:t>
      </w:r>
      <w:r w:rsidR="00CB5D51" w:rsidRPr="009E3996">
        <w:t xml:space="preserve"> (Cronbach’s alpha = .81)</w:t>
      </w:r>
      <w:r w:rsidRPr="009E3996">
        <w:t>.</w:t>
      </w:r>
    </w:p>
    <w:p w:rsidR="00C20649" w:rsidRPr="009E3996" w:rsidRDefault="00C20649" w:rsidP="004A5CE5">
      <w:pPr>
        <w:contextualSpacing/>
      </w:pPr>
      <w:r w:rsidRPr="009E3996">
        <w:tab/>
      </w:r>
      <w:r w:rsidRPr="009E3996">
        <w:rPr>
          <w:i/>
        </w:rPr>
        <w:t>Openness</w:t>
      </w:r>
      <w:r w:rsidRPr="009E3996">
        <w:t xml:space="preserve"> of firms refers to the </w:t>
      </w:r>
      <w:r w:rsidRPr="009E3996">
        <w:rPr>
          <w:rFonts w:eastAsiaTheme="minorHAnsi"/>
        </w:rPr>
        <w:t xml:space="preserve">degree to which </w:t>
      </w:r>
      <w:r w:rsidR="00CB5D51" w:rsidRPr="009E3996">
        <w:rPr>
          <w:rFonts w:eastAsiaTheme="minorHAnsi"/>
        </w:rPr>
        <w:t xml:space="preserve">OI </w:t>
      </w:r>
      <w:r w:rsidRPr="009E3996">
        <w:rPr>
          <w:rFonts w:eastAsiaTheme="minorHAnsi"/>
        </w:rPr>
        <w:t>firms exchange their kno</w:t>
      </w:r>
      <w:r w:rsidR="00EC38CB">
        <w:rPr>
          <w:rFonts w:eastAsiaTheme="minorHAnsi"/>
        </w:rPr>
        <w:t xml:space="preserve">wledge with a range of partners </w:t>
      </w:r>
      <w:r w:rsidRPr="009E3996">
        <w:t>(</w:t>
      </w:r>
      <w:r w:rsidR="00CB5D51" w:rsidRPr="009E3996">
        <w:t xml:space="preserve">i.e. </w:t>
      </w:r>
      <w:r w:rsidRPr="009E3996">
        <w:t>suppliers, customers, competitors, universities/research institutes, innovation intermediaries, start-up firms, other firms, and new partn</w:t>
      </w:r>
      <w:r w:rsidR="00EC38CB">
        <w:t>ers for competence development)</w:t>
      </w:r>
      <w:r w:rsidRPr="009E3996">
        <w:rPr>
          <w:i/>
        </w:rPr>
        <w:t xml:space="preserve"> </w:t>
      </w:r>
      <w:r w:rsidRPr="009E3996">
        <w:t>(Cronbach’s alpha = .79). Following Laursen and Salter (2006), we asked respondents to indicate to what extent they access different external knowledge sources concerning their innovation activities</w:t>
      </w:r>
      <w:r w:rsidR="0081693D" w:rsidRPr="009E3996">
        <w:t xml:space="preserve"> (see also </w:t>
      </w:r>
      <w:proofErr w:type="spellStart"/>
      <w:r w:rsidR="00441F26" w:rsidRPr="009E3996">
        <w:t>Grimpe</w:t>
      </w:r>
      <w:proofErr w:type="spellEnd"/>
      <w:r w:rsidR="00441F26" w:rsidRPr="009E3996">
        <w:t xml:space="preserve"> and </w:t>
      </w:r>
      <w:proofErr w:type="spellStart"/>
      <w:r w:rsidR="00441F26" w:rsidRPr="009E3996">
        <w:t>Sofka</w:t>
      </w:r>
      <w:proofErr w:type="spellEnd"/>
      <w:r w:rsidR="00441F26" w:rsidRPr="009E3996">
        <w:t xml:space="preserve">, 2009; </w:t>
      </w:r>
      <w:proofErr w:type="spellStart"/>
      <w:r w:rsidR="0081693D" w:rsidRPr="009E3996">
        <w:t>Garriga</w:t>
      </w:r>
      <w:proofErr w:type="spellEnd"/>
      <w:r w:rsidR="0081693D" w:rsidRPr="009E3996">
        <w:t xml:space="preserve">, von Krogh, and </w:t>
      </w:r>
      <w:proofErr w:type="spellStart"/>
      <w:r w:rsidR="0081693D" w:rsidRPr="009E3996">
        <w:t>Spaeth</w:t>
      </w:r>
      <w:proofErr w:type="spellEnd"/>
      <w:r w:rsidR="0081693D" w:rsidRPr="009E3996">
        <w:t xml:space="preserve">, 2013; </w:t>
      </w:r>
      <w:proofErr w:type="spellStart"/>
      <w:r w:rsidR="00441F26" w:rsidRPr="009E3996">
        <w:t>Laursen</w:t>
      </w:r>
      <w:proofErr w:type="spellEnd"/>
      <w:r w:rsidR="00441F26" w:rsidRPr="009E3996">
        <w:t xml:space="preserve"> and Salter, 2014</w:t>
      </w:r>
      <w:r w:rsidR="004F3366" w:rsidRPr="009E3996">
        <w:t xml:space="preserve">). </w:t>
      </w:r>
      <w:r w:rsidR="00CB5D51" w:rsidRPr="009E3996">
        <w:t xml:space="preserve">We </w:t>
      </w:r>
      <w:r w:rsidRPr="009E3996">
        <w:t>include</w:t>
      </w:r>
      <w:r w:rsidR="00CB5D51" w:rsidRPr="009E3996">
        <w:t>d</w:t>
      </w:r>
      <w:r w:rsidRPr="009E3996">
        <w:t xml:space="preserve"> some new external knowledge sources, such </w:t>
      </w:r>
      <w:r w:rsidR="005D6901" w:rsidRPr="009E3996">
        <w:t>as ‘innovation</w:t>
      </w:r>
      <w:r w:rsidRPr="009E3996">
        <w:t xml:space="preserve"> intermediaries’ </w:t>
      </w:r>
      <w:r w:rsidR="002D7EBB" w:rsidRPr="009E3996">
        <w:t>– “</w:t>
      </w:r>
      <w:r w:rsidR="00A37D3A" w:rsidRPr="009E3996">
        <w:t xml:space="preserve">… </w:t>
      </w:r>
      <w:r w:rsidR="002D7EBB" w:rsidRPr="009E3996">
        <w:t>an organization or body that acts as an agent or broker in some aspects of the innovation process between two or more parties</w:t>
      </w:r>
      <w:r w:rsidR="00A37D3A" w:rsidRPr="009E3996">
        <w:t xml:space="preserve"> …</w:t>
      </w:r>
      <w:r w:rsidR="002D7EBB" w:rsidRPr="009E3996">
        <w:t xml:space="preserve">” (Howells, 2006 p. 720) – </w:t>
      </w:r>
      <w:r w:rsidRPr="009E3996">
        <w:t xml:space="preserve">and ‘start-up firms’, which have been shown to be relevant to the context of </w:t>
      </w:r>
      <w:r w:rsidR="00CB5D51" w:rsidRPr="009E3996">
        <w:t xml:space="preserve">OI </w:t>
      </w:r>
      <w:r w:rsidR="00A60B1C" w:rsidRPr="009E3996">
        <w:t xml:space="preserve"> (</w:t>
      </w:r>
      <w:proofErr w:type="spellStart"/>
      <w:r w:rsidR="00A60B1C" w:rsidRPr="009E3996">
        <w:t>Chesbrough</w:t>
      </w:r>
      <w:proofErr w:type="spellEnd"/>
      <w:r w:rsidR="00A60B1C" w:rsidRPr="009E3996">
        <w:t>, 2006a,b</w:t>
      </w:r>
      <w:r w:rsidRPr="009E3996">
        <w:t xml:space="preserve">). </w:t>
      </w:r>
    </w:p>
    <w:p w:rsidR="00C20649" w:rsidRPr="009E3996" w:rsidRDefault="00C20649" w:rsidP="004A5CE5">
      <w:pPr>
        <w:ind w:firstLine="720"/>
        <w:contextualSpacing/>
      </w:pPr>
      <w:r w:rsidRPr="009E3996">
        <w:rPr>
          <w:i/>
        </w:rPr>
        <w:t>R&amp;D capabilities</w:t>
      </w:r>
      <w:r w:rsidRPr="009E3996">
        <w:t xml:space="preserve"> </w:t>
      </w:r>
      <w:r w:rsidR="00CB5D51" w:rsidRPr="009E3996">
        <w:t xml:space="preserve">We adapted scales from Day (1994) and Song et al. (2005) </w:t>
      </w:r>
      <w:r w:rsidRPr="009E3996">
        <w:t xml:space="preserve">to assess to what extent </w:t>
      </w:r>
      <w:r w:rsidR="00CB5D51" w:rsidRPr="009E3996">
        <w:t xml:space="preserve">firms’ </w:t>
      </w:r>
      <w:r w:rsidRPr="009E3996">
        <w:t>internal technology development capabilities, manufacturing capabilities and new product development capabilities are inferior or superior to those of their main competitors (Cronbach’s alpha = .57)</w:t>
      </w:r>
      <w:r w:rsidR="00441F26" w:rsidRPr="009E3996">
        <w:t>.</w:t>
      </w:r>
      <w:r w:rsidR="00A37D3A" w:rsidRPr="009E3996">
        <w:t xml:space="preserve"> </w:t>
      </w:r>
      <w:r w:rsidR="00CB5D51" w:rsidRPr="009E3996">
        <w:t xml:space="preserve">Regarding the </w:t>
      </w:r>
      <w:r w:rsidRPr="009E3996">
        <w:t>interaction effect of R&amp;D capabilities and openness, we mean-centered the independent variable</w:t>
      </w:r>
      <w:r w:rsidR="00EC38CB">
        <w:t xml:space="preserve">s to reduce </w:t>
      </w:r>
      <w:proofErr w:type="spellStart"/>
      <w:r w:rsidR="00EC38CB">
        <w:t>multicollinearity</w:t>
      </w:r>
      <w:proofErr w:type="spellEnd"/>
      <w:r w:rsidR="00EC38CB">
        <w:t xml:space="preserve">. </w:t>
      </w:r>
    </w:p>
    <w:p w:rsidR="00C20649" w:rsidRPr="009E3996" w:rsidRDefault="00C20649" w:rsidP="004A5CE5">
      <w:pPr>
        <w:ind w:firstLine="720"/>
        <w:contextualSpacing/>
      </w:pPr>
      <w:r w:rsidRPr="009E3996">
        <w:t xml:space="preserve">The </w:t>
      </w:r>
      <w:r w:rsidRPr="009E3996">
        <w:rPr>
          <w:rFonts w:eastAsiaTheme="minorHAnsi"/>
          <w:i/>
        </w:rPr>
        <w:t>formal legal attitude</w:t>
      </w:r>
      <w:r w:rsidRPr="009E3996">
        <w:rPr>
          <w:rFonts w:eastAsiaTheme="minorHAnsi"/>
        </w:rPr>
        <w:t xml:space="preserve"> </w:t>
      </w:r>
      <w:r w:rsidRPr="009E3996">
        <w:t xml:space="preserve">of </w:t>
      </w:r>
      <w:r w:rsidR="00CB5D51" w:rsidRPr="009E3996">
        <w:t>OI</w:t>
      </w:r>
      <w:r w:rsidRPr="009E3996">
        <w:t xml:space="preserve"> firms was measured with a single item, which asks respondents to assess the importance of the legal implications of formal contracts for controlling the progress of collaboration with their </w:t>
      </w:r>
      <w:r w:rsidR="00CB5D51" w:rsidRPr="009E3996">
        <w:t xml:space="preserve">OI </w:t>
      </w:r>
      <w:r w:rsidRPr="009E3996">
        <w:t xml:space="preserve">partner firms on a 7-point Likert scale.  </w:t>
      </w:r>
    </w:p>
    <w:p w:rsidR="00C20649" w:rsidRPr="009E3996" w:rsidRDefault="00C20649" w:rsidP="004A5CE5">
      <w:pPr>
        <w:contextualSpacing/>
      </w:pPr>
      <w:r w:rsidRPr="009E3996">
        <w:lastRenderedPageBreak/>
        <w:tab/>
      </w:r>
      <w:r w:rsidRPr="009E3996">
        <w:rPr>
          <w:i/>
        </w:rPr>
        <w:t>Competitive dynamics</w:t>
      </w:r>
      <w:r w:rsidRPr="009E3996">
        <w:t xml:space="preserve"> was measured through the extent to which firms indicated that their competitive environment is expected to change over the next five years.</w:t>
      </w:r>
      <w:r w:rsidR="00D638FF" w:rsidRPr="009E3996">
        <w:t xml:space="preserve"> </w:t>
      </w:r>
      <w:r w:rsidRPr="009E3996">
        <w:t xml:space="preserve">A dummy variable was created by collapsing ‘less competitive’ and ‘similar level of competitiveness’ into the category of low competitiveness, while the answer option ‘more competitive’ builds the category of high competitiveness. </w:t>
      </w:r>
      <w:r w:rsidR="00D638FF" w:rsidRPr="009E3996">
        <w:t>This reflects the likelihood of firms initiating new competitive actions, as well the likelihood of competitors responding to those actions (</w:t>
      </w:r>
      <w:proofErr w:type="spellStart"/>
      <w:r w:rsidR="00D638FF" w:rsidRPr="009E3996">
        <w:t>Gnyawali</w:t>
      </w:r>
      <w:proofErr w:type="spellEnd"/>
      <w:r w:rsidR="00D638FF" w:rsidRPr="009E3996">
        <w:t xml:space="preserve"> and </w:t>
      </w:r>
      <w:proofErr w:type="spellStart"/>
      <w:r w:rsidR="00D638FF" w:rsidRPr="009E3996">
        <w:t>Madhavan</w:t>
      </w:r>
      <w:proofErr w:type="spellEnd"/>
      <w:r w:rsidR="00D638FF" w:rsidRPr="009E3996">
        <w:t xml:space="preserve">, 2001). </w:t>
      </w:r>
    </w:p>
    <w:p w:rsidR="00004663" w:rsidRPr="009E3996" w:rsidRDefault="00C20649" w:rsidP="00CE7258">
      <w:pPr>
        <w:spacing w:after="240"/>
        <w:ind w:firstLine="720"/>
        <w:contextualSpacing/>
        <w:rPr>
          <w:b/>
        </w:rPr>
      </w:pPr>
      <w:r w:rsidRPr="009E3996">
        <w:t>Our</w:t>
      </w:r>
      <w:r w:rsidR="005F32B4" w:rsidRPr="009E3996">
        <w:t xml:space="preserve"> analysis also includes </w:t>
      </w:r>
      <w:r w:rsidR="00D24DFD" w:rsidRPr="009E3996">
        <w:t>firm</w:t>
      </w:r>
      <w:r w:rsidR="00CB5D51" w:rsidRPr="009E3996">
        <w:t xml:space="preserve"> size</w:t>
      </w:r>
      <w:r w:rsidR="00D24DFD" w:rsidRPr="009E3996">
        <w:t xml:space="preserve"> (ln employees)</w:t>
      </w:r>
      <w:r w:rsidR="00CB5D51" w:rsidRPr="009E3996">
        <w:t>, industry sector</w:t>
      </w:r>
      <w:r w:rsidR="00D24DFD" w:rsidRPr="009E3996">
        <w:t xml:space="preserve"> (manufacturing, processing, and others)</w:t>
      </w:r>
      <w:r w:rsidR="00CB5D51" w:rsidRPr="009E3996">
        <w:t>, and count</w:t>
      </w:r>
      <w:r w:rsidR="00D24DFD" w:rsidRPr="009E3996">
        <w:t>r</w:t>
      </w:r>
      <w:r w:rsidR="00CB5D51" w:rsidRPr="009E3996">
        <w:t xml:space="preserve">y </w:t>
      </w:r>
      <w:r w:rsidR="00D24DFD" w:rsidRPr="009E3996">
        <w:t xml:space="preserve">(US vs non-US) </w:t>
      </w:r>
      <w:r w:rsidR="00CB5D51" w:rsidRPr="009E3996">
        <w:t xml:space="preserve">as </w:t>
      </w:r>
      <w:r w:rsidR="005F32B4" w:rsidRPr="009E3996">
        <w:t xml:space="preserve">a </w:t>
      </w:r>
      <w:r w:rsidRPr="009E3996">
        <w:t>set of control variables</w:t>
      </w:r>
      <w:r w:rsidR="00CB5D51" w:rsidRPr="009E3996">
        <w:t xml:space="preserve"> that have been identified to influence strategic choices with respect to IPR (e.g. </w:t>
      </w:r>
      <w:proofErr w:type="spellStart"/>
      <w:r w:rsidR="00CB5D51" w:rsidRPr="009E3996">
        <w:t>Somaya</w:t>
      </w:r>
      <w:proofErr w:type="spellEnd"/>
      <w:r w:rsidR="00CB5D51" w:rsidRPr="009E3996">
        <w:t>, 2012)</w:t>
      </w:r>
      <w:r w:rsidRPr="009E3996">
        <w:t xml:space="preserve">. </w:t>
      </w:r>
    </w:p>
    <w:p w:rsidR="00C20649" w:rsidRPr="009E3996" w:rsidRDefault="00C20649" w:rsidP="004A5CE5">
      <w:pPr>
        <w:contextualSpacing/>
        <w:rPr>
          <w:b/>
        </w:rPr>
      </w:pPr>
      <w:r w:rsidRPr="009E3996">
        <w:rPr>
          <w:b/>
        </w:rPr>
        <w:t xml:space="preserve">Results: antecedents of firms’ preferences for IPR in </w:t>
      </w:r>
      <w:r w:rsidR="00713DEF" w:rsidRPr="009E3996">
        <w:rPr>
          <w:b/>
        </w:rPr>
        <w:t>OI</w:t>
      </w:r>
      <w:r w:rsidRPr="009E3996">
        <w:rPr>
          <w:b/>
        </w:rPr>
        <w:t xml:space="preserve"> </w:t>
      </w:r>
    </w:p>
    <w:p w:rsidR="004119B0" w:rsidRPr="009E3996" w:rsidRDefault="00C20649" w:rsidP="004F3366">
      <w:pPr>
        <w:contextualSpacing/>
      </w:pPr>
      <w:r w:rsidRPr="009E3996">
        <w:t xml:space="preserve">We used OLS regression models to analyze </w:t>
      </w:r>
      <w:r w:rsidR="00A27EF8" w:rsidRPr="009E3996">
        <w:t xml:space="preserve">our hypotheses (see table 3 for descriptive statistics and correlations). </w:t>
      </w:r>
      <w:r w:rsidRPr="009E3996">
        <w:t xml:space="preserve">Although the correlation between R&amp;D capabilities and openness is relatively high, Variance Inflation Factors </w:t>
      </w:r>
      <w:r w:rsidR="00D24DFD" w:rsidRPr="009E3996">
        <w:t xml:space="preserve">suggest that </w:t>
      </w:r>
      <w:proofErr w:type="spellStart"/>
      <w:r w:rsidR="00D24DFD" w:rsidRPr="009E3996">
        <w:t>multicollinearity</w:t>
      </w:r>
      <w:proofErr w:type="spellEnd"/>
      <w:r w:rsidR="00D24DFD" w:rsidRPr="009E3996">
        <w:t xml:space="preserve"> does no</w:t>
      </w:r>
      <w:r w:rsidR="00EC38CB">
        <w:t>t pose a problem</w:t>
      </w:r>
      <w:r w:rsidR="004F3366" w:rsidRPr="009E3996">
        <w:t xml:space="preserve">. </w:t>
      </w:r>
      <w:r w:rsidR="00192055" w:rsidRPr="009E3996">
        <w:t>Model 1 in T</w:t>
      </w:r>
      <w:r w:rsidR="006C2518" w:rsidRPr="009E3996">
        <w:t>able 4</w:t>
      </w:r>
      <w:r w:rsidRPr="009E3996">
        <w:t xml:space="preserve"> presents the results for the basic model with the control variables, model 2 presents the full model </w:t>
      </w:r>
      <w:r w:rsidR="00A27EF8" w:rsidRPr="009E3996">
        <w:t xml:space="preserve">including </w:t>
      </w:r>
      <w:r w:rsidRPr="009E3996">
        <w:t>core variables, while model 3 includes the interaction effect between openness and R&amp;D capabilities. Alternatively, starting with the basic model and adding one individual core variable at a time or subsequently adding core variables does not alter the results. It turns out that two internal factors, i.e., openness (</w:t>
      </w:r>
      <w:r w:rsidRPr="009E3996">
        <w:rPr>
          <w:rFonts w:eastAsiaTheme="minorHAnsi"/>
        </w:rPr>
        <w:t xml:space="preserve">p = </w:t>
      </w:r>
      <w:r w:rsidRPr="009E3996">
        <w:t xml:space="preserve">.002) and </w:t>
      </w:r>
      <w:r w:rsidRPr="009E3996">
        <w:rPr>
          <w:rFonts w:eastAsiaTheme="minorHAnsi"/>
        </w:rPr>
        <w:t>formal legal attitude (p = .051)</w:t>
      </w:r>
      <w:r w:rsidRPr="009E3996">
        <w:t xml:space="preserve">, are positively and significantly related to the relevance of IPR in an </w:t>
      </w:r>
      <w:r w:rsidR="00713DEF" w:rsidRPr="009E3996">
        <w:t>OI</w:t>
      </w:r>
      <w:r w:rsidRPr="009E3996">
        <w:t xml:space="preserve"> context and so </w:t>
      </w:r>
      <w:r w:rsidR="00A27EF8" w:rsidRPr="009E3996">
        <w:t>is</w:t>
      </w:r>
      <w:r w:rsidRPr="009E3996">
        <w:t xml:space="preserve"> competitive dynamics (p = .006) as the external determinant. </w:t>
      </w:r>
      <w:r w:rsidR="00A27EF8" w:rsidRPr="009E3996">
        <w:t>T</w:t>
      </w:r>
      <w:r w:rsidRPr="009E3996">
        <w:t>he control variables have no significant impact on the dependent variable. The interaction effect of openness and R&amp;D capabilities, however, is marginally significant (p = .058).</w:t>
      </w:r>
    </w:p>
    <w:p w:rsidR="00004663" w:rsidRPr="009E3996" w:rsidRDefault="00004663" w:rsidP="00004663">
      <w:pPr>
        <w:ind w:firstLine="720"/>
        <w:contextualSpacing/>
      </w:pPr>
      <w:r w:rsidRPr="009E3996">
        <w:lastRenderedPageBreak/>
        <w:t>Due to our relatively small sample size, we have a limited number of observations per estimated parameter, which might lead to ‘</w:t>
      </w:r>
      <w:proofErr w:type="spellStart"/>
      <w:r w:rsidRPr="009E3996">
        <w:t>overfitting</w:t>
      </w:r>
      <w:proofErr w:type="spellEnd"/>
      <w:r w:rsidRPr="009E3996">
        <w:t>’ the sample (Hair et al., 2006). Given this limitation and to validate our results, we used bootstrapping as an alternative estimation procedure, which produces more accurate estimates for small sample sizes (Brownstone and Valletta, 2001). The bootstrap analysis generate</w:t>
      </w:r>
      <w:r w:rsidR="00BC4D0B" w:rsidRPr="009E3996">
        <w:t>d</w:t>
      </w:r>
      <w:r w:rsidRPr="009E3996">
        <w:t xml:space="preserve"> qualitatively similar results.</w:t>
      </w:r>
    </w:p>
    <w:p w:rsidR="006B6D35" w:rsidRPr="009E3996" w:rsidRDefault="006B6D35" w:rsidP="006B6D35">
      <w:pPr>
        <w:jc w:val="center"/>
        <w:rPr>
          <w:b/>
          <w:sz w:val="22"/>
          <w:szCs w:val="22"/>
        </w:rPr>
      </w:pPr>
      <w:r w:rsidRPr="009E3996">
        <w:rPr>
          <w:b/>
          <w:sz w:val="22"/>
          <w:szCs w:val="22"/>
        </w:rPr>
        <w:t>Table 3 Correlation table (n=101)</w:t>
      </w:r>
    </w:p>
    <w:tbl>
      <w:tblPr>
        <w:tblStyle w:val="TableGrid"/>
        <w:tblW w:w="5550" w:type="pct"/>
        <w:jc w:val="center"/>
        <w:tblBorders>
          <w:insideH w:val="none" w:sz="0" w:space="0" w:color="auto"/>
        </w:tblBorders>
        <w:tblLook w:val="04A0" w:firstRow="1" w:lastRow="0" w:firstColumn="1" w:lastColumn="0" w:noHBand="0" w:noVBand="1"/>
      </w:tblPr>
      <w:tblGrid>
        <w:gridCol w:w="1479"/>
        <w:gridCol w:w="656"/>
        <w:gridCol w:w="936"/>
        <w:gridCol w:w="801"/>
        <w:gridCol w:w="996"/>
        <w:gridCol w:w="916"/>
        <w:gridCol w:w="976"/>
        <w:gridCol w:w="687"/>
        <w:gridCol w:w="976"/>
        <w:gridCol w:w="1085"/>
        <w:gridCol w:w="816"/>
      </w:tblGrid>
      <w:tr w:rsidR="004119B0" w:rsidRPr="009E3996" w:rsidTr="004119B0">
        <w:trPr>
          <w:jc w:val="center"/>
        </w:trPr>
        <w:tc>
          <w:tcPr>
            <w:tcW w:w="717" w:type="pct"/>
            <w:tcBorders>
              <w:top w:val="single" w:sz="4" w:space="0" w:color="auto"/>
              <w:bottom w:val="single" w:sz="4" w:space="0" w:color="auto"/>
            </w:tcBorders>
          </w:tcPr>
          <w:p w:rsidR="006B6D35" w:rsidRPr="009E3996" w:rsidRDefault="006B6D35" w:rsidP="006B6D35">
            <w:pPr>
              <w:spacing w:line="240" w:lineRule="auto"/>
              <w:rPr>
                <w:b/>
                <w:sz w:val="16"/>
                <w:szCs w:val="16"/>
              </w:rPr>
            </w:pPr>
          </w:p>
        </w:tc>
        <w:tc>
          <w:tcPr>
            <w:tcW w:w="318"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Mean</w:t>
            </w:r>
          </w:p>
        </w:tc>
        <w:tc>
          <w:tcPr>
            <w:tcW w:w="454"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Standard deviation</w:t>
            </w:r>
          </w:p>
        </w:tc>
        <w:tc>
          <w:tcPr>
            <w:tcW w:w="388"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IPR</w:t>
            </w:r>
          </w:p>
        </w:tc>
        <w:tc>
          <w:tcPr>
            <w:tcW w:w="483"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 xml:space="preserve">Non-US </w:t>
            </w:r>
          </w:p>
        </w:tc>
        <w:tc>
          <w:tcPr>
            <w:tcW w:w="440" w:type="pct"/>
            <w:tcBorders>
              <w:top w:val="single" w:sz="4" w:space="0" w:color="auto"/>
              <w:bottom w:val="single" w:sz="4" w:space="0" w:color="auto"/>
            </w:tcBorders>
          </w:tcPr>
          <w:p w:rsidR="006B6D35" w:rsidRPr="009E3996" w:rsidRDefault="006B6D35" w:rsidP="006B6D35">
            <w:pPr>
              <w:spacing w:line="240" w:lineRule="auto"/>
              <w:rPr>
                <w:sz w:val="18"/>
                <w:szCs w:val="18"/>
              </w:rPr>
            </w:pPr>
            <w:proofErr w:type="spellStart"/>
            <w:r w:rsidRPr="009E3996">
              <w:rPr>
                <w:sz w:val="18"/>
                <w:szCs w:val="18"/>
              </w:rPr>
              <w:t>Manufac-turing</w:t>
            </w:r>
            <w:proofErr w:type="spellEnd"/>
            <w:r w:rsidRPr="009E3996">
              <w:rPr>
                <w:sz w:val="18"/>
                <w:szCs w:val="18"/>
              </w:rPr>
              <w:t xml:space="preserve"> </w:t>
            </w:r>
          </w:p>
        </w:tc>
        <w:tc>
          <w:tcPr>
            <w:tcW w:w="473"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Other</w:t>
            </w:r>
          </w:p>
          <w:p w:rsidR="006B6D35" w:rsidRPr="009E3996" w:rsidRDefault="006B6D35" w:rsidP="006B6D35">
            <w:pPr>
              <w:spacing w:line="240" w:lineRule="auto"/>
              <w:rPr>
                <w:sz w:val="18"/>
                <w:szCs w:val="18"/>
              </w:rPr>
            </w:pPr>
            <w:r w:rsidRPr="009E3996">
              <w:rPr>
                <w:sz w:val="18"/>
                <w:szCs w:val="18"/>
              </w:rPr>
              <w:t>industries</w:t>
            </w:r>
          </w:p>
        </w:tc>
        <w:tc>
          <w:tcPr>
            <w:tcW w:w="333"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Size</w:t>
            </w:r>
          </w:p>
        </w:tc>
        <w:tc>
          <w:tcPr>
            <w:tcW w:w="473"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Openness</w:t>
            </w:r>
          </w:p>
        </w:tc>
        <w:tc>
          <w:tcPr>
            <w:tcW w:w="526"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sz w:val="18"/>
                <w:szCs w:val="18"/>
              </w:rPr>
              <w:t>R&amp;D capabilities</w:t>
            </w:r>
          </w:p>
        </w:tc>
        <w:tc>
          <w:tcPr>
            <w:tcW w:w="395" w:type="pct"/>
            <w:tcBorders>
              <w:top w:val="single" w:sz="4" w:space="0" w:color="auto"/>
              <w:bottom w:val="single" w:sz="4" w:space="0" w:color="auto"/>
            </w:tcBorders>
          </w:tcPr>
          <w:p w:rsidR="006B6D35" w:rsidRPr="009E3996" w:rsidRDefault="006B6D35" w:rsidP="006B6D35">
            <w:pPr>
              <w:spacing w:line="240" w:lineRule="auto"/>
              <w:rPr>
                <w:sz w:val="18"/>
                <w:szCs w:val="18"/>
              </w:rPr>
            </w:pPr>
            <w:r w:rsidRPr="009E3996">
              <w:rPr>
                <w:rFonts w:eastAsiaTheme="minorHAnsi"/>
                <w:sz w:val="18"/>
                <w:szCs w:val="18"/>
              </w:rPr>
              <w:t>Formal legal attitude</w:t>
            </w:r>
          </w:p>
        </w:tc>
      </w:tr>
      <w:tr w:rsidR="004119B0" w:rsidRPr="009E3996" w:rsidTr="004119B0">
        <w:trPr>
          <w:jc w:val="center"/>
        </w:trPr>
        <w:tc>
          <w:tcPr>
            <w:tcW w:w="717" w:type="pct"/>
            <w:tcBorders>
              <w:top w:val="single" w:sz="4" w:space="0" w:color="auto"/>
            </w:tcBorders>
          </w:tcPr>
          <w:p w:rsidR="006B6D35" w:rsidRPr="009E3996" w:rsidRDefault="006B6D35" w:rsidP="006B6D35">
            <w:pPr>
              <w:spacing w:before="240" w:line="276" w:lineRule="auto"/>
              <w:rPr>
                <w:sz w:val="18"/>
                <w:szCs w:val="18"/>
              </w:rPr>
            </w:pPr>
            <w:r w:rsidRPr="009E3996">
              <w:rPr>
                <w:sz w:val="18"/>
                <w:szCs w:val="18"/>
              </w:rPr>
              <w:t>IPR</w:t>
            </w:r>
          </w:p>
        </w:tc>
        <w:tc>
          <w:tcPr>
            <w:tcW w:w="318" w:type="pct"/>
            <w:tcBorders>
              <w:top w:val="single" w:sz="4" w:space="0" w:color="auto"/>
            </w:tcBorders>
          </w:tcPr>
          <w:p w:rsidR="006B6D35" w:rsidRPr="009E3996" w:rsidRDefault="006B6D35" w:rsidP="006B6D35">
            <w:pPr>
              <w:spacing w:before="240" w:line="276" w:lineRule="auto"/>
              <w:rPr>
                <w:sz w:val="18"/>
                <w:szCs w:val="18"/>
              </w:rPr>
            </w:pPr>
            <w:r w:rsidRPr="009E3996">
              <w:rPr>
                <w:sz w:val="18"/>
                <w:szCs w:val="18"/>
              </w:rPr>
              <w:t>5.52</w:t>
            </w:r>
          </w:p>
        </w:tc>
        <w:tc>
          <w:tcPr>
            <w:tcW w:w="454" w:type="pct"/>
            <w:tcBorders>
              <w:top w:val="single" w:sz="4" w:space="0" w:color="auto"/>
            </w:tcBorders>
          </w:tcPr>
          <w:p w:rsidR="006B6D35" w:rsidRPr="009E3996" w:rsidRDefault="006B6D35" w:rsidP="006B6D35">
            <w:pPr>
              <w:spacing w:before="240" w:line="276" w:lineRule="auto"/>
              <w:rPr>
                <w:sz w:val="18"/>
                <w:szCs w:val="18"/>
              </w:rPr>
            </w:pPr>
            <w:r w:rsidRPr="009E3996">
              <w:rPr>
                <w:sz w:val="18"/>
                <w:szCs w:val="18"/>
              </w:rPr>
              <w:t>1.25</w:t>
            </w:r>
          </w:p>
        </w:tc>
        <w:tc>
          <w:tcPr>
            <w:tcW w:w="388" w:type="pct"/>
            <w:tcBorders>
              <w:top w:val="single" w:sz="4" w:space="0" w:color="auto"/>
            </w:tcBorders>
          </w:tcPr>
          <w:p w:rsidR="006B6D35" w:rsidRPr="009E3996" w:rsidRDefault="006B6D35" w:rsidP="006B6D35">
            <w:pPr>
              <w:spacing w:before="240" w:line="276" w:lineRule="auto"/>
              <w:rPr>
                <w:sz w:val="18"/>
                <w:szCs w:val="18"/>
              </w:rPr>
            </w:pPr>
          </w:p>
        </w:tc>
        <w:tc>
          <w:tcPr>
            <w:tcW w:w="483" w:type="pct"/>
            <w:tcBorders>
              <w:top w:val="single" w:sz="4" w:space="0" w:color="auto"/>
            </w:tcBorders>
          </w:tcPr>
          <w:p w:rsidR="006B6D35" w:rsidRPr="009E3996" w:rsidRDefault="006B6D35" w:rsidP="006B6D35">
            <w:pPr>
              <w:spacing w:before="240" w:line="276" w:lineRule="auto"/>
              <w:rPr>
                <w:sz w:val="18"/>
                <w:szCs w:val="18"/>
              </w:rPr>
            </w:pPr>
          </w:p>
        </w:tc>
        <w:tc>
          <w:tcPr>
            <w:tcW w:w="440" w:type="pct"/>
            <w:tcBorders>
              <w:top w:val="single" w:sz="4" w:space="0" w:color="auto"/>
            </w:tcBorders>
          </w:tcPr>
          <w:p w:rsidR="006B6D35" w:rsidRPr="009E3996" w:rsidRDefault="006B6D35" w:rsidP="006B6D35">
            <w:pPr>
              <w:spacing w:before="240" w:line="276" w:lineRule="auto"/>
              <w:rPr>
                <w:sz w:val="18"/>
                <w:szCs w:val="18"/>
              </w:rPr>
            </w:pPr>
          </w:p>
        </w:tc>
        <w:tc>
          <w:tcPr>
            <w:tcW w:w="473" w:type="pct"/>
            <w:tcBorders>
              <w:top w:val="single" w:sz="4" w:space="0" w:color="auto"/>
            </w:tcBorders>
          </w:tcPr>
          <w:p w:rsidR="006B6D35" w:rsidRPr="009E3996" w:rsidRDefault="006B6D35" w:rsidP="006B6D35">
            <w:pPr>
              <w:spacing w:before="240" w:line="276" w:lineRule="auto"/>
              <w:rPr>
                <w:sz w:val="18"/>
                <w:szCs w:val="18"/>
              </w:rPr>
            </w:pPr>
          </w:p>
        </w:tc>
        <w:tc>
          <w:tcPr>
            <w:tcW w:w="333" w:type="pct"/>
            <w:tcBorders>
              <w:top w:val="single" w:sz="4" w:space="0" w:color="auto"/>
            </w:tcBorders>
          </w:tcPr>
          <w:p w:rsidR="006B6D35" w:rsidRPr="009E3996" w:rsidRDefault="006B6D35" w:rsidP="006B6D35">
            <w:pPr>
              <w:spacing w:before="240" w:line="276" w:lineRule="auto"/>
              <w:rPr>
                <w:sz w:val="18"/>
                <w:szCs w:val="18"/>
              </w:rPr>
            </w:pPr>
          </w:p>
        </w:tc>
        <w:tc>
          <w:tcPr>
            <w:tcW w:w="473" w:type="pct"/>
            <w:tcBorders>
              <w:top w:val="single" w:sz="4" w:space="0" w:color="auto"/>
            </w:tcBorders>
          </w:tcPr>
          <w:p w:rsidR="006B6D35" w:rsidRPr="009E3996" w:rsidRDefault="006B6D35" w:rsidP="006B6D35">
            <w:pPr>
              <w:spacing w:before="240" w:line="276" w:lineRule="auto"/>
              <w:rPr>
                <w:sz w:val="18"/>
                <w:szCs w:val="18"/>
              </w:rPr>
            </w:pPr>
          </w:p>
        </w:tc>
        <w:tc>
          <w:tcPr>
            <w:tcW w:w="526" w:type="pct"/>
            <w:tcBorders>
              <w:top w:val="single" w:sz="4" w:space="0" w:color="auto"/>
            </w:tcBorders>
          </w:tcPr>
          <w:p w:rsidR="006B6D35" w:rsidRPr="009E3996" w:rsidRDefault="006B6D35" w:rsidP="006B6D35">
            <w:pPr>
              <w:spacing w:before="240" w:line="276" w:lineRule="auto"/>
              <w:rPr>
                <w:sz w:val="18"/>
                <w:szCs w:val="18"/>
              </w:rPr>
            </w:pPr>
          </w:p>
        </w:tc>
        <w:tc>
          <w:tcPr>
            <w:tcW w:w="395" w:type="pct"/>
            <w:tcBorders>
              <w:top w:val="single" w:sz="4" w:space="0" w:color="auto"/>
            </w:tcBorders>
          </w:tcPr>
          <w:p w:rsidR="006B6D35" w:rsidRPr="009E3996" w:rsidRDefault="006B6D35" w:rsidP="006B6D35">
            <w:pPr>
              <w:spacing w:before="240"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 xml:space="preserve">Non-US </w:t>
            </w:r>
          </w:p>
        </w:tc>
        <w:tc>
          <w:tcPr>
            <w:tcW w:w="318" w:type="pct"/>
          </w:tcPr>
          <w:p w:rsidR="006B6D35" w:rsidRPr="009E3996" w:rsidRDefault="006B6D35" w:rsidP="006B6D35">
            <w:pPr>
              <w:spacing w:line="276" w:lineRule="auto"/>
              <w:rPr>
                <w:sz w:val="18"/>
                <w:szCs w:val="18"/>
              </w:rPr>
            </w:pPr>
            <w:r w:rsidRPr="009E3996">
              <w:rPr>
                <w:sz w:val="18"/>
                <w:szCs w:val="18"/>
              </w:rPr>
              <w:t>0.70</w:t>
            </w:r>
          </w:p>
        </w:tc>
        <w:tc>
          <w:tcPr>
            <w:tcW w:w="454" w:type="pct"/>
          </w:tcPr>
          <w:p w:rsidR="006B6D35" w:rsidRPr="009E3996" w:rsidRDefault="006B6D35" w:rsidP="006B6D35">
            <w:pPr>
              <w:spacing w:line="276" w:lineRule="auto"/>
              <w:rPr>
                <w:sz w:val="18"/>
                <w:szCs w:val="18"/>
              </w:rPr>
            </w:pPr>
            <w:r w:rsidRPr="009E3996">
              <w:rPr>
                <w:sz w:val="18"/>
                <w:szCs w:val="18"/>
              </w:rPr>
              <w:t>0.46</w:t>
            </w:r>
          </w:p>
        </w:tc>
        <w:tc>
          <w:tcPr>
            <w:tcW w:w="388" w:type="pct"/>
          </w:tcPr>
          <w:p w:rsidR="006B6D35" w:rsidRPr="009E3996" w:rsidRDefault="006B6D35" w:rsidP="006B6D35">
            <w:pPr>
              <w:spacing w:line="276" w:lineRule="auto"/>
              <w:rPr>
                <w:sz w:val="18"/>
                <w:szCs w:val="18"/>
              </w:rPr>
            </w:pPr>
            <w:r w:rsidRPr="009E3996">
              <w:rPr>
                <w:sz w:val="18"/>
                <w:szCs w:val="18"/>
              </w:rPr>
              <w:t>-.003</w:t>
            </w:r>
          </w:p>
        </w:tc>
        <w:tc>
          <w:tcPr>
            <w:tcW w:w="483" w:type="pct"/>
          </w:tcPr>
          <w:p w:rsidR="006B6D35" w:rsidRPr="009E3996" w:rsidRDefault="006B6D35" w:rsidP="006B6D35">
            <w:pPr>
              <w:spacing w:line="276" w:lineRule="auto"/>
              <w:rPr>
                <w:sz w:val="18"/>
                <w:szCs w:val="18"/>
              </w:rPr>
            </w:pPr>
          </w:p>
        </w:tc>
        <w:tc>
          <w:tcPr>
            <w:tcW w:w="440"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333"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trHeight w:val="397"/>
          <w:jc w:val="center"/>
        </w:trPr>
        <w:tc>
          <w:tcPr>
            <w:tcW w:w="717" w:type="pct"/>
          </w:tcPr>
          <w:p w:rsidR="006B6D35" w:rsidRPr="009E3996" w:rsidRDefault="006B6D35" w:rsidP="006B6D35">
            <w:pPr>
              <w:spacing w:line="276" w:lineRule="auto"/>
              <w:rPr>
                <w:sz w:val="18"/>
                <w:szCs w:val="18"/>
              </w:rPr>
            </w:pPr>
            <w:r w:rsidRPr="009E3996">
              <w:rPr>
                <w:sz w:val="18"/>
                <w:szCs w:val="18"/>
              </w:rPr>
              <w:t>Manufacturing</w:t>
            </w:r>
          </w:p>
        </w:tc>
        <w:tc>
          <w:tcPr>
            <w:tcW w:w="318" w:type="pct"/>
          </w:tcPr>
          <w:p w:rsidR="006B6D35" w:rsidRPr="009E3996" w:rsidRDefault="006B6D35" w:rsidP="006B6D35">
            <w:pPr>
              <w:spacing w:line="276" w:lineRule="auto"/>
              <w:rPr>
                <w:sz w:val="18"/>
                <w:szCs w:val="18"/>
              </w:rPr>
            </w:pPr>
            <w:r w:rsidRPr="009E3996">
              <w:rPr>
                <w:sz w:val="18"/>
                <w:szCs w:val="18"/>
              </w:rPr>
              <w:t>0.38</w:t>
            </w:r>
          </w:p>
        </w:tc>
        <w:tc>
          <w:tcPr>
            <w:tcW w:w="454" w:type="pct"/>
          </w:tcPr>
          <w:p w:rsidR="006B6D35" w:rsidRPr="009E3996" w:rsidRDefault="006B6D35" w:rsidP="006B6D35">
            <w:pPr>
              <w:spacing w:line="276" w:lineRule="auto"/>
              <w:rPr>
                <w:sz w:val="18"/>
                <w:szCs w:val="18"/>
              </w:rPr>
            </w:pPr>
            <w:r w:rsidRPr="009E3996">
              <w:rPr>
                <w:sz w:val="18"/>
                <w:szCs w:val="18"/>
              </w:rPr>
              <w:t>0.49</w:t>
            </w:r>
          </w:p>
        </w:tc>
        <w:tc>
          <w:tcPr>
            <w:tcW w:w="388" w:type="pct"/>
          </w:tcPr>
          <w:p w:rsidR="006B6D35" w:rsidRPr="009E3996" w:rsidRDefault="006B6D35" w:rsidP="006B6D35">
            <w:pPr>
              <w:spacing w:line="276" w:lineRule="auto"/>
              <w:rPr>
                <w:sz w:val="18"/>
                <w:szCs w:val="18"/>
              </w:rPr>
            </w:pPr>
            <w:r w:rsidRPr="009E3996">
              <w:rPr>
                <w:sz w:val="18"/>
                <w:szCs w:val="18"/>
              </w:rPr>
              <w:t>.026</w:t>
            </w:r>
          </w:p>
        </w:tc>
        <w:tc>
          <w:tcPr>
            <w:tcW w:w="483" w:type="pct"/>
          </w:tcPr>
          <w:p w:rsidR="006B6D35" w:rsidRPr="009E3996" w:rsidRDefault="006B6D35" w:rsidP="006B6D35">
            <w:pPr>
              <w:spacing w:line="276" w:lineRule="auto"/>
              <w:rPr>
                <w:sz w:val="18"/>
                <w:szCs w:val="18"/>
              </w:rPr>
            </w:pPr>
            <w:r w:rsidRPr="009E3996">
              <w:rPr>
                <w:sz w:val="18"/>
                <w:szCs w:val="18"/>
              </w:rPr>
              <w:t>.102</w:t>
            </w:r>
          </w:p>
        </w:tc>
        <w:tc>
          <w:tcPr>
            <w:tcW w:w="440"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333"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Other industries</w:t>
            </w:r>
          </w:p>
        </w:tc>
        <w:tc>
          <w:tcPr>
            <w:tcW w:w="318" w:type="pct"/>
          </w:tcPr>
          <w:p w:rsidR="006B6D35" w:rsidRPr="009E3996" w:rsidRDefault="006B6D35" w:rsidP="006B6D35">
            <w:pPr>
              <w:spacing w:line="276" w:lineRule="auto"/>
              <w:rPr>
                <w:sz w:val="18"/>
                <w:szCs w:val="18"/>
              </w:rPr>
            </w:pPr>
            <w:r w:rsidRPr="009E3996">
              <w:rPr>
                <w:sz w:val="18"/>
                <w:szCs w:val="18"/>
              </w:rPr>
              <w:t>0.21</w:t>
            </w:r>
          </w:p>
        </w:tc>
        <w:tc>
          <w:tcPr>
            <w:tcW w:w="454" w:type="pct"/>
          </w:tcPr>
          <w:p w:rsidR="006B6D35" w:rsidRPr="009E3996" w:rsidRDefault="006B6D35" w:rsidP="006B6D35">
            <w:pPr>
              <w:spacing w:line="276" w:lineRule="auto"/>
              <w:rPr>
                <w:sz w:val="18"/>
                <w:szCs w:val="18"/>
              </w:rPr>
            </w:pPr>
            <w:r w:rsidRPr="009E3996">
              <w:rPr>
                <w:sz w:val="18"/>
                <w:szCs w:val="18"/>
              </w:rPr>
              <w:t>0.41</w:t>
            </w:r>
          </w:p>
        </w:tc>
        <w:tc>
          <w:tcPr>
            <w:tcW w:w="388" w:type="pct"/>
          </w:tcPr>
          <w:p w:rsidR="006B6D35" w:rsidRPr="009E3996" w:rsidRDefault="006B6D35" w:rsidP="006B6D35">
            <w:pPr>
              <w:spacing w:line="276" w:lineRule="auto"/>
              <w:rPr>
                <w:sz w:val="18"/>
                <w:szCs w:val="18"/>
              </w:rPr>
            </w:pPr>
            <w:r w:rsidRPr="009E3996">
              <w:rPr>
                <w:sz w:val="18"/>
                <w:szCs w:val="18"/>
              </w:rPr>
              <w:t>-.187*</w:t>
            </w:r>
          </w:p>
        </w:tc>
        <w:tc>
          <w:tcPr>
            <w:tcW w:w="483" w:type="pct"/>
          </w:tcPr>
          <w:p w:rsidR="006B6D35" w:rsidRPr="009E3996" w:rsidRDefault="006B6D35" w:rsidP="006B6D35">
            <w:pPr>
              <w:spacing w:line="276" w:lineRule="auto"/>
              <w:rPr>
                <w:sz w:val="18"/>
                <w:szCs w:val="18"/>
              </w:rPr>
            </w:pPr>
            <w:r w:rsidRPr="009E3996">
              <w:rPr>
                <w:sz w:val="18"/>
                <w:szCs w:val="18"/>
              </w:rPr>
              <w:t>.120</w:t>
            </w:r>
          </w:p>
        </w:tc>
        <w:tc>
          <w:tcPr>
            <w:tcW w:w="440" w:type="pct"/>
          </w:tcPr>
          <w:p w:rsidR="006B6D35" w:rsidRPr="009E3996" w:rsidRDefault="006B6D35" w:rsidP="006B6D35">
            <w:pPr>
              <w:spacing w:line="276" w:lineRule="auto"/>
              <w:rPr>
                <w:sz w:val="18"/>
                <w:szCs w:val="18"/>
              </w:rPr>
            </w:pPr>
            <w:r w:rsidRPr="009E3996">
              <w:rPr>
                <w:sz w:val="18"/>
                <w:szCs w:val="18"/>
              </w:rPr>
              <w:t>-.398***</w:t>
            </w:r>
          </w:p>
        </w:tc>
        <w:tc>
          <w:tcPr>
            <w:tcW w:w="473" w:type="pct"/>
          </w:tcPr>
          <w:p w:rsidR="006B6D35" w:rsidRPr="009E3996" w:rsidRDefault="006B6D35" w:rsidP="006B6D35">
            <w:pPr>
              <w:spacing w:line="276" w:lineRule="auto"/>
              <w:rPr>
                <w:sz w:val="18"/>
                <w:szCs w:val="18"/>
              </w:rPr>
            </w:pPr>
          </w:p>
        </w:tc>
        <w:tc>
          <w:tcPr>
            <w:tcW w:w="333"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Size</w:t>
            </w:r>
          </w:p>
        </w:tc>
        <w:tc>
          <w:tcPr>
            <w:tcW w:w="318" w:type="pct"/>
          </w:tcPr>
          <w:p w:rsidR="006B6D35" w:rsidRPr="009E3996" w:rsidRDefault="006B6D35" w:rsidP="006B6D35">
            <w:pPr>
              <w:spacing w:line="276" w:lineRule="auto"/>
              <w:rPr>
                <w:sz w:val="18"/>
                <w:szCs w:val="18"/>
              </w:rPr>
            </w:pPr>
            <w:r w:rsidRPr="009E3996">
              <w:rPr>
                <w:sz w:val="18"/>
                <w:szCs w:val="18"/>
              </w:rPr>
              <w:t>8.99</w:t>
            </w:r>
          </w:p>
        </w:tc>
        <w:tc>
          <w:tcPr>
            <w:tcW w:w="454" w:type="pct"/>
          </w:tcPr>
          <w:p w:rsidR="006B6D35" w:rsidRPr="009E3996" w:rsidRDefault="006B6D35" w:rsidP="006B6D35">
            <w:pPr>
              <w:spacing w:line="276" w:lineRule="auto"/>
              <w:rPr>
                <w:sz w:val="18"/>
                <w:szCs w:val="18"/>
              </w:rPr>
            </w:pPr>
            <w:r w:rsidRPr="009E3996">
              <w:rPr>
                <w:sz w:val="18"/>
                <w:szCs w:val="18"/>
              </w:rPr>
              <w:t>3.00</w:t>
            </w:r>
          </w:p>
        </w:tc>
        <w:tc>
          <w:tcPr>
            <w:tcW w:w="388" w:type="pct"/>
          </w:tcPr>
          <w:p w:rsidR="006B6D35" w:rsidRPr="009E3996" w:rsidRDefault="006B6D35" w:rsidP="006B6D35">
            <w:pPr>
              <w:spacing w:line="276" w:lineRule="auto"/>
              <w:rPr>
                <w:sz w:val="18"/>
                <w:szCs w:val="18"/>
              </w:rPr>
            </w:pPr>
            <w:r w:rsidRPr="009E3996">
              <w:rPr>
                <w:sz w:val="18"/>
                <w:szCs w:val="18"/>
              </w:rPr>
              <w:t>.169*</w:t>
            </w:r>
          </w:p>
        </w:tc>
        <w:tc>
          <w:tcPr>
            <w:tcW w:w="483" w:type="pct"/>
          </w:tcPr>
          <w:p w:rsidR="006B6D35" w:rsidRPr="009E3996" w:rsidRDefault="006B6D35" w:rsidP="006B6D35">
            <w:pPr>
              <w:spacing w:line="276" w:lineRule="auto"/>
              <w:rPr>
                <w:sz w:val="18"/>
                <w:szCs w:val="18"/>
              </w:rPr>
            </w:pPr>
            <w:r w:rsidRPr="009E3996">
              <w:rPr>
                <w:sz w:val="18"/>
                <w:szCs w:val="18"/>
              </w:rPr>
              <w:t>-.273***</w:t>
            </w:r>
          </w:p>
        </w:tc>
        <w:tc>
          <w:tcPr>
            <w:tcW w:w="440" w:type="pct"/>
          </w:tcPr>
          <w:p w:rsidR="006B6D35" w:rsidRPr="009E3996" w:rsidRDefault="006B6D35" w:rsidP="006B6D35">
            <w:pPr>
              <w:spacing w:line="276" w:lineRule="auto"/>
              <w:rPr>
                <w:sz w:val="18"/>
                <w:szCs w:val="18"/>
              </w:rPr>
            </w:pPr>
            <w:r w:rsidRPr="009E3996">
              <w:rPr>
                <w:sz w:val="18"/>
                <w:szCs w:val="18"/>
              </w:rPr>
              <w:t>.132</w:t>
            </w:r>
          </w:p>
        </w:tc>
        <w:tc>
          <w:tcPr>
            <w:tcW w:w="473" w:type="pct"/>
          </w:tcPr>
          <w:p w:rsidR="006B6D35" w:rsidRPr="009E3996" w:rsidRDefault="006B6D35" w:rsidP="006B6D35">
            <w:pPr>
              <w:spacing w:line="276" w:lineRule="auto"/>
              <w:rPr>
                <w:sz w:val="18"/>
                <w:szCs w:val="18"/>
              </w:rPr>
            </w:pPr>
            <w:r w:rsidRPr="009E3996">
              <w:rPr>
                <w:sz w:val="18"/>
                <w:szCs w:val="18"/>
              </w:rPr>
              <w:t>-.323***</w:t>
            </w:r>
          </w:p>
        </w:tc>
        <w:tc>
          <w:tcPr>
            <w:tcW w:w="333" w:type="pct"/>
          </w:tcPr>
          <w:p w:rsidR="006B6D35" w:rsidRPr="009E3996" w:rsidRDefault="006B6D35" w:rsidP="006B6D35">
            <w:pPr>
              <w:spacing w:line="276" w:lineRule="auto"/>
              <w:rPr>
                <w:sz w:val="18"/>
                <w:szCs w:val="18"/>
              </w:rPr>
            </w:pPr>
          </w:p>
        </w:tc>
        <w:tc>
          <w:tcPr>
            <w:tcW w:w="473" w:type="pct"/>
          </w:tcPr>
          <w:p w:rsidR="006B6D35" w:rsidRPr="009E3996" w:rsidRDefault="006B6D35" w:rsidP="006B6D35">
            <w:pPr>
              <w:spacing w:line="276" w:lineRule="auto"/>
              <w:rPr>
                <w:sz w:val="18"/>
                <w:szCs w:val="18"/>
              </w:rPr>
            </w:pP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Openness</w:t>
            </w:r>
          </w:p>
        </w:tc>
        <w:tc>
          <w:tcPr>
            <w:tcW w:w="318" w:type="pct"/>
          </w:tcPr>
          <w:p w:rsidR="006B6D35" w:rsidRPr="009E3996" w:rsidRDefault="006B6D35" w:rsidP="006B6D35">
            <w:pPr>
              <w:spacing w:line="276" w:lineRule="auto"/>
              <w:rPr>
                <w:sz w:val="18"/>
                <w:szCs w:val="18"/>
              </w:rPr>
            </w:pPr>
            <w:r w:rsidRPr="009E3996">
              <w:rPr>
                <w:sz w:val="18"/>
                <w:szCs w:val="18"/>
              </w:rPr>
              <w:t xml:space="preserve">4.48 </w:t>
            </w:r>
          </w:p>
        </w:tc>
        <w:tc>
          <w:tcPr>
            <w:tcW w:w="454" w:type="pct"/>
          </w:tcPr>
          <w:p w:rsidR="006B6D35" w:rsidRPr="009E3996" w:rsidRDefault="006B6D35" w:rsidP="006B6D35">
            <w:pPr>
              <w:spacing w:line="276" w:lineRule="auto"/>
              <w:rPr>
                <w:sz w:val="18"/>
                <w:szCs w:val="18"/>
              </w:rPr>
            </w:pPr>
            <w:r w:rsidRPr="009E3996">
              <w:rPr>
                <w:sz w:val="18"/>
                <w:szCs w:val="18"/>
              </w:rPr>
              <w:t>1.01</w:t>
            </w:r>
          </w:p>
        </w:tc>
        <w:tc>
          <w:tcPr>
            <w:tcW w:w="388" w:type="pct"/>
          </w:tcPr>
          <w:p w:rsidR="006B6D35" w:rsidRPr="009E3996" w:rsidRDefault="006B6D35" w:rsidP="006B6D35">
            <w:pPr>
              <w:spacing w:line="276" w:lineRule="auto"/>
              <w:rPr>
                <w:sz w:val="18"/>
                <w:szCs w:val="18"/>
              </w:rPr>
            </w:pPr>
            <w:r w:rsidRPr="009E3996">
              <w:rPr>
                <w:sz w:val="18"/>
                <w:szCs w:val="18"/>
              </w:rPr>
              <w:t>.365***</w:t>
            </w:r>
          </w:p>
        </w:tc>
        <w:tc>
          <w:tcPr>
            <w:tcW w:w="483" w:type="pct"/>
          </w:tcPr>
          <w:p w:rsidR="006B6D35" w:rsidRPr="009E3996" w:rsidRDefault="006B6D35" w:rsidP="006B6D35">
            <w:pPr>
              <w:spacing w:line="276" w:lineRule="auto"/>
              <w:rPr>
                <w:sz w:val="18"/>
                <w:szCs w:val="18"/>
              </w:rPr>
            </w:pPr>
            <w:r w:rsidRPr="009E3996">
              <w:rPr>
                <w:sz w:val="18"/>
                <w:szCs w:val="18"/>
              </w:rPr>
              <w:t>.032</w:t>
            </w:r>
          </w:p>
        </w:tc>
        <w:tc>
          <w:tcPr>
            <w:tcW w:w="440" w:type="pct"/>
          </w:tcPr>
          <w:p w:rsidR="006B6D35" w:rsidRPr="009E3996" w:rsidRDefault="006B6D35" w:rsidP="006B6D35">
            <w:pPr>
              <w:spacing w:line="276" w:lineRule="auto"/>
              <w:rPr>
                <w:sz w:val="18"/>
                <w:szCs w:val="18"/>
              </w:rPr>
            </w:pPr>
            <w:r w:rsidRPr="009E3996">
              <w:rPr>
                <w:sz w:val="18"/>
                <w:szCs w:val="18"/>
              </w:rPr>
              <w:t>-.033</w:t>
            </w:r>
          </w:p>
        </w:tc>
        <w:tc>
          <w:tcPr>
            <w:tcW w:w="473" w:type="pct"/>
          </w:tcPr>
          <w:p w:rsidR="006B6D35" w:rsidRPr="009E3996" w:rsidRDefault="006B6D35" w:rsidP="006B6D35">
            <w:pPr>
              <w:spacing w:line="276" w:lineRule="auto"/>
              <w:rPr>
                <w:sz w:val="18"/>
                <w:szCs w:val="18"/>
              </w:rPr>
            </w:pPr>
            <w:r w:rsidRPr="009E3996">
              <w:rPr>
                <w:sz w:val="18"/>
                <w:szCs w:val="18"/>
              </w:rPr>
              <w:t>-.098</w:t>
            </w:r>
          </w:p>
        </w:tc>
        <w:tc>
          <w:tcPr>
            <w:tcW w:w="333" w:type="pct"/>
          </w:tcPr>
          <w:p w:rsidR="006B6D35" w:rsidRPr="009E3996" w:rsidRDefault="006B6D35" w:rsidP="006B6D35">
            <w:pPr>
              <w:spacing w:line="276" w:lineRule="auto"/>
              <w:rPr>
                <w:sz w:val="18"/>
                <w:szCs w:val="18"/>
              </w:rPr>
            </w:pPr>
            <w:r w:rsidRPr="009E3996">
              <w:rPr>
                <w:sz w:val="18"/>
                <w:szCs w:val="18"/>
              </w:rPr>
              <w:t>.176*</w:t>
            </w:r>
          </w:p>
        </w:tc>
        <w:tc>
          <w:tcPr>
            <w:tcW w:w="473" w:type="pct"/>
          </w:tcPr>
          <w:p w:rsidR="006B6D35" w:rsidRPr="009E3996" w:rsidRDefault="006B6D35" w:rsidP="006B6D35">
            <w:pPr>
              <w:spacing w:line="276" w:lineRule="auto"/>
              <w:rPr>
                <w:sz w:val="18"/>
                <w:szCs w:val="18"/>
              </w:rPr>
            </w:pP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R&amp;D capabilities</w:t>
            </w:r>
          </w:p>
        </w:tc>
        <w:tc>
          <w:tcPr>
            <w:tcW w:w="318" w:type="pct"/>
          </w:tcPr>
          <w:p w:rsidR="006B6D35" w:rsidRPr="009E3996" w:rsidRDefault="006B6D35" w:rsidP="006B6D35">
            <w:pPr>
              <w:spacing w:line="276" w:lineRule="auto"/>
              <w:rPr>
                <w:sz w:val="18"/>
                <w:szCs w:val="18"/>
              </w:rPr>
            </w:pPr>
            <w:r w:rsidRPr="009E3996">
              <w:rPr>
                <w:sz w:val="18"/>
                <w:szCs w:val="18"/>
              </w:rPr>
              <w:t>4.92</w:t>
            </w:r>
          </w:p>
        </w:tc>
        <w:tc>
          <w:tcPr>
            <w:tcW w:w="454" w:type="pct"/>
          </w:tcPr>
          <w:p w:rsidR="006B6D35" w:rsidRPr="009E3996" w:rsidRDefault="006B6D35" w:rsidP="006B6D35">
            <w:pPr>
              <w:spacing w:line="276" w:lineRule="auto"/>
              <w:rPr>
                <w:sz w:val="18"/>
                <w:szCs w:val="18"/>
              </w:rPr>
            </w:pPr>
            <w:r w:rsidRPr="009E3996">
              <w:rPr>
                <w:sz w:val="18"/>
                <w:szCs w:val="18"/>
              </w:rPr>
              <w:t>0.87</w:t>
            </w:r>
          </w:p>
        </w:tc>
        <w:tc>
          <w:tcPr>
            <w:tcW w:w="388" w:type="pct"/>
          </w:tcPr>
          <w:p w:rsidR="006B6D35" w:rsidRPr="009E3996" w:rsidRDefault="006B6D35" w:rsidP="006B6D35">
            <w:pPr>
              <w:spacing w:line="276" w:lineRule="auto"/>
              <w:rPr>
                <w:sz w:val="18"/>
                <w:szCs w:val="18"/>
              </w:rPr>
            </w:pPr>
            <w:r w:rsidRPr="009E3996">
              <w:rPr>
                <w:sz w:val="18"/>
                <w:szCs w:val="18"/>
              </w:rPr>
              <w:t>.121</w:t>
            </w:r>
          </w:p>
        </w:tc>
        <w:tc>
          <w:tcPr>
            <w:tcW w:w="483" w:type="pct"/>
          </w:tcPr>
          <w:p w:rsidR="006B6D35" w:rsidRPr="009E3996" w:rsidRDefault="006B6D35" w:rsidP="006B6D35">
            <w:pPr>
              <w:spacing w:line="276" w:lineRule="auto"/>
              <w:rPr>
                <w:sz w:val="18"/>
                <w:szCs w:val="18"/>
              </w:rPr>
            </w:pPr>
            <w:r w:rsidRPr="009E3996">
              <w:rPr>
                <w:sz w:val="18"/>
                <w:szCs w:val="18"/>
              </w:rPr>
              <w:t>-.068</w:t>
            </w:r>
          </w:p>
        </w:tc>
        <w:tc>
          <w:tcPr>
            <w:tcW w:w="440" w:type="pct"/>
          </w:tcPr>
          <w:p w:rsidR="006B6D35" w:rsidRPr="009E3996" w:rsidRDefault="006B6D35" w:rsidP="006B6D35">
            <w:pPr>
              <w:spacing w:line="276" w:lineRule="auto"/>
              <w:rPr>
                <w:sz w:val="18"/>
                <w:szCs w:val="18"/>
              </w:rPr>
            </w:pPr>
            <w:r w:rsidRPr="009E3996">
              <w:rPr>
                <w:sz w:val="18"/>
                <w:szCs w:val="18"/>
              </w:rPr>
              <w:t>.134</w:t>
            </w:r>
          </w:p>
        </w:tc>
        <w:tc>
          <w:tcPr>
            <w:tcW w:w="473" w:type="pct"/>
          </w:tcPr>
          <w:p w:rsidR="006B6D35" w:rsidRPr="009E3996" w:rsidRDefault="006B6D35" w:rsidP="006B6D35">
            <w:pPr>
              <w:spacing w:line="276" w:lineRule="auto"/>
              <w:rPr>
                <w:sz w:val="18"/>
                <w:szCs w:val="18"/>
              </w:rPr>
            </w:pPr>
            <w:r w:rsidRPr="009E3996">
              <w:rPr>
                <w:sz w:val="18"/>
                <w:szCs w:val="18"/>
              </w:rPr>
              <w:t>-.094</w:t>
            </w:r>
          </w:p>
        </w:tc>
        <w:tc>
          <w:tcPr>
            <w:tcW w:w="333" w:type="pct"/>
          </w:tcPr>
          <w:p w:rsidR="006B6D35" w:rsidRPr="009E3996" w:rsidRDefault="006B6D35" w:rsidP="006B6D35">
            <w:pPr>
              <w:spacing w:line="276" w:lineRule="auto"/>
              <w:rPr>
                <w:sz w:val="18"/>
                <w:szCs w:val="18"/>
              </w:rPr>
            </w:pPr>
            <w:r w:rsidRPr="009E3996">
              <w:rPr>
                <w:sz w:val="18"/>
                <w:szCs w:val="18"/>
              </w:rPr>
              <w:t>-.023</w:t>
            </w:r>
          </w:p>
        </w:tc>
        <w:tc>
          <w:tcPr>
            <w:tcW w:w="473" w:type="pct"/>
          </w:tcPr>
          <w:p w:rsidR="006B6D35" w:rsidRPr="009E3996" w:rsidRDefault="006B6D35" w:rsidP="006B6D35">
            <w:pPr>
              <w:spacing w:line="276" w:lineRule="auto"/>
              <w:rPr>
                <w:sz w:val="18"/>
                <w:szCs w:val="18"/>
              </w:rPr>
            </w:pPr>
            <w:r w:rsidRPr="009E3996">
              <w:rPr>
                <w:sz w:val="18"/>
                <w:szCs w:val="18"/>
              </w:rPr>
              <w:t>.309***</w:t>
            </w:r>
          </w:p>
        </w:tc>
        <w:tc>
          <w:tcPr>
            <w:tcW w:w="526" w:type="pct"/>
          </w:tcPr>
          <w:p w:rsidR="006B6D35" w:rsidRPr="009E3996" w:rsidRDefault="006B6D35" w:rsidP="006B6D35">
            <w:pPr>
              <w:spacing w:line="276" w:lineRule="auto"/>
              <w:rPr>
                <w:sz w:val="18"/>
                <w:szCs w:val="18"/>
              </w:rPr>
            </w:pP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rFonts w:eastAsiaTheme="minorHAnsi"/>
                <w:sz w:val="18"/>
                <w:szCs w:val="18"/>
              </w:rPr>
              <w:t>Formal legal attitude</w:t>
            </w:r>
          </w:p>
        </w:tc>
        <w:tc>
          <w:tcPr>
            <w:tcW w:w="318" w:type="pct"/>
          </w:tcPr>
          <w:p w:rsidR="006B6D35" w:rsidRPr="009E3996" w:rsidRDefault="006B6D35" w:rsidP="006B6D35">
            <w:pPr>
              <w:spacing w:line="276" w:lineRule="auto"/>
              <w:rPr>
                <w:sz w:val="18"/>
                <w:szCs w:val="18"/>
              </w:rPr>
            </w:pPr>
            <w:r w:rsidRPr="009E3996">
              <w:rPr>
                <w:sz w:val="18"/>
                <w:szCs w:val="18"/>
              </w:rPr>
              <w:t>5.14</w:t>
            </w:r>
          </w:p>
        </w:tc>
        <w:tc>
          <w:tcPr>
            <w:tcW w:w="454" w:type="pct"/>
          </w:tcPr>
          <w:p w:rsidR="006B6D35" w:rsidRPr="009E3996" w:rsidRDefault="006B6D35" w:rsidP="006B6D35">
            <w:pPr>
              <w:spacing w:line="276" w:lineRule="auto"/>
              <w:rPr>
                <w:sz w:val="18"/>
                <w:szCs w:val="18"/>
              </w:rPr>
            </w:pPr>
            <w:r w:rsidRPr="009E3996">
              <w:rPr>
                <w:sz w:val="18"/>
                <w:szCs w:val="18"/>
              </w:rPr>
              <w:t>1.74</w:t>
            </w:r>
          </w:p>
        </w:tc>
        <w:tc>
          <w:tcPr>
            <w:tcW w:w="388" w:type="pct"/>
          </w:tcPr>
          <w:p w:rsidR="006B6D35" w:rsidRPr="009E3996" w:rsidRDefault="006B6D35" w:rsidP="006B6D35">
            <w:pPr>
              <w:spacing w:line="276" w:lineRule="auto"/>
              <w:rPr>
                <w:sz w:val="18"/>
                <w:szCs w:val="18"/>
              </w:rPr>
            </w:pPr>
            <w:r w:rsidRPr="009E3996">
              <w:rPr>
                <w:sz w:val="18"/>
                <w:szCs w:val="18"/>
              </w:rPr>
              <w:t>.225**</w:t>
            </w:r>
          </w:p>
        </w:tc>
        <w:tc>
          <w:tcPr>
            <w:tcW w:w="483" w:type="pct"/>
          </w:tcPr>
          <w:p w:rsidR="006B6D35" w:rsidRPr="009E3996" w:rsidRDefault="006B6D35" w:rsidP="006B6D35">
            <w:pPr>
              <w:spacing w:line="276" w:lineRule="auto"/>
              <w:rPr>
                <w:sz w:val="18"/>
                <w:szCs w:val="18"/>
              </w:rPr>
            </w:pPr>
            <w:r w:rsidRPr="009E3996">
              <w:rPr>
                <w:sz w:val="18"/>
                <w:szCs w:val="18"/>
              </w:rPr>
              <w:t>-.241**</w:t>
            </w:r>
          </w:p>
        </w:tc>
        <w:tc>
          <w:tcPr>
            <w:tcW w:w="440" w:type="pct"/>
          </w:tcPr>
          <w:p w:rsidR="006B6D35" w:rsidRPr="009E3996" w:rsidRDefault="006B6D35" w:rsidP="006B6D35">
            <w:pPr>
              <w:spacing w:line="276" w:lineRule="auto"/>
              <w:rPr>
                <w:sz w:val="18"/>
                <w:szCs w:val="18"/>
              </w:rPr>
            </w:pPr>
            <w:r w:rsidRPr="009E3996">
              <w:rPr>
                <w:sz w:val="18"/>
                <w:szCs w:val="18"/>
              </w:rPr>
              <w:t>-.153</w:t>
            </w:r>
          </w:p>
        </w:tc>
        <w:tc>
          <w:tcPr>
            <w:tcW w:w="473" w:type="pct"/>
          </w:tcPr>
          <w:p w:rsidR="006B6D35" w:rsidRPr="009E3996" w:rsidRDefault="006B6D35" w:rsidP="006B6D35">
            <w:pPr>
              <w:spacing w:line="276" w:lineRule="auto"/>
              <w:rPr>
                <w:sz w:val="18"/>
                <w:szCs w:val="18"/>
              </w:rPr>
            </w:pPr>
            <w:r w:rsidRPr="009E3996">
              <w:rPr>
                <w:sz w:val="18"/>
                <w:szCs w:val="18"/>
              </w:rPr>
              <w:t>-.112</w:t>
            </w:r>
          </w:p>
        </w:tc>
        <w:tc>
          <w:tcPr>
            <w:tcW w:w="333" w:type="pct"/>
          </w:tcPr>
          <w:p w:rsidR="006B6D35" w:rsidRPr="009E3996" w:rsidRDefault="006B6D35" w:rsidP="006B6D35">
            <w:pPr>
              <w:spacing w:line="276" w:lineRule="auto"/>
              <w:rPr>
                <w:sz w:val="18"/>
                <w:szCs w:val="18"/>
              </w:rPr>
            </w:pPr>
            <w:r w:rsidRPr="009E3996">
              <w:rPr>
                <w:sz w:val="18"/>
                <w:szCs w:val="18"/>
              </w:rPr>
              <w:t>.143</w:t>
            </w:r>
          </w:p>
        </w:tc>
        <w:tc>
          <w:tcPr>
            <w:tcW w:w="473" w:type="pct"/>
          </w:tcPr>
          <w:p w:rsidR="006B6D35" w:rsidRPr="009E3996" w:rsidRDefault="006B6D35" w:rsidP="006B6D35">
            <w:pPr>
              <w:spacing w:line="276" w:lineRule="auto"/>
              <w:rPr>
                <w:sz w:val="18"/>
                <w:szCs w:val="18"/>
              </w:rPr>
            </w:pPr>
            <w:r w:rsidRPr="009E3996">
              <w:rPr>
                <w:sz w:val="18"/>
                <w:szCs w:val="18"/>
              </w:rPr>
              <w:t>-.049</w:t>
            </w:r>
          </w:p>
        </w:tc>
        <w:tc>
          <w:tcPr>
            <w:tcW w:w="526" w:type="pct"/>
          </w:tcPr>
          <w:p w:rsidR="006B6D35" w:rsidRPr="009E3996" w:rsidRDefault="006B6D35" w:rsidP="006B6D35">
            <w:pPr>
              <w:spacing w:line="276" w:lineRule="auto"/>
              <w:rPr>
                <w:sz w:val="18"/>
                <w:szCs w:val="18"/>
              </w:rPr>
            </w:pPr>
            <w:r w:rsidRPr="009E3996">
              <w:rPr>
                <w:sz w:val="18"/>
                <w:szCs w:val="18"/>
              </w:rPr>
              <w:t>-.038</w:t>
            </w:r>
          </w:p>
        </w:tc>
        <w:tc>
          <w:tcPr>
            <w:tcW w:w="395" w:type="pct"/>
          </w:tcPr>
          <w:p w:rsidR="006B6D35" w:rsidRPr="009E3996" w:rsidRDefault="006B6D35" w:rsidP="006B6D35">
            <w:pPr>
              <w:spacing w:line="276" w:lineRule="auto"/>
              <w:rPr>
                <w:sz w:val="18"/>
                <w:szCs w:val="18"/>
              </w:rPr>
            </w:pPr>
          </w:p>
        </w:tc>
      </w:tr>
      <w:tr w:rsidR="004119B0" w:rsidRPr="009E3996" w:rsidTr="004119B0">
        <w:trPr>
          <w:jc w:val="center"/>
        </w:trPr>
        <w:tc>
          <w:tcPr>
            <w:tcW w:w="717" w:type="pct"/>
          </w:tcPr>
          <w:p w:rsidR="006B6D35" w:rsidRPr="009E3996" w:rsidRDefault="006B6D35" w:rsidP="006B6D35">
            <w:pPr>
              <w:spacing w:line="276" w:lineRule="auto"/>
              <w:rPr>
                <w:sz w:val="18"/>
                <w:szCs w:val="18"/>
              </w:rPr>
            </w:pPr>
            <w:r w:rsidRPr="009E3996">
              <w:rPr>
                <w:sz w:val="18"/>
                <w:szCs w:val="18"/>
              </w:rPr>
              <w:t xml:space="preserve">Competitive dynamics </w:t>
            </w:r>
          </w:p>
        </w:tc>
        <w:tc>
          <w:tcPr>
            <w:tcW w:w="318" w:type="pct"/>
          </w:tcPr>
          <w:p w:rsidR="006B6D35" w:rsidRPr="009E3996" w:rsidRDefault="006B6D35" w:rsidP="006B6D35">
            <w:pPr>
              <w:spacing w:line="276" w:lineRule="auto"/>
              <w:rPr>
                <w:sz w:val="18"/>
                <w:szCs w:val="18"/>
              </w:rPr>
            </w:pPr>
            <w:r w:rsidRPr="009E3996">
              <w:rPr>
                <w:sz w:val="18"/>
                <w:szCs w:val="18"/>
              </w:rPr>
              <w:t>0.75</w:t>
            </w:r>
          </w:p>
        </w:tc>
        <w:tc>
          <w:tcPr>
            <w:tcW w:w="454" w:type="pct"/>
          </w:tcPr>
          <w:p w:rsidR="006B6D35" w:rsidRPr="009E3996" w:rsidRDefault="006B6D35" w:rsidP="006B6D35">
            <w:pPr>
              <w:spacing w:line="276" w:lineRule="auto"/>
              <w:rPr>
                <w:sz w:val="18"/>
                <w:szCs w:val="18"/>
              </w:rPr>
            </w:pPr>
            <w:r w:rsidRPr="009E3996">
              <w:rPr>
                <w:sz w:val="18"/>
                <w:szCs w:val="18"/>
              </w:rPr>
              <w:t>0.43</w:t>
            </w:r>
          </w:p>
        </w:tc>
        <w:tc>
          <w:tcPr>
            <w:tcW w:w="388" w:type="pct"/>
          </w:tcPr>
          <w:p w:rsidR="006B6D35" w:rsidRPr="009E3996" w:rsidRDefault="006B6D35" w:rsidP="006B6D35">
            <w:pPr>
              <w:spacing w:line="276" w:lineRule="auto"/>
              <w:rPr>
                <w:sz w:val="18"/>
                <w:szCs w:val="18"/>
              </w:rPr>
            </w:pPr>
            <w:r w:rsidRPr="009E3996">
              <w:rPr>
                <w:sz w:val="18"/>
                <w:szCs w:val="18"/>
              </w:rPr>
              <w:t>.306***</w:t>
            </w:r>
          </w:p>
        </w:tc>
        <w:tc>
          <w:tcPr>
            <w:tcW w:w="483" w:type="pct"/>
          </w:tcPr>
          <w:p w:rsidR="006B6D35" w:rsidRPr="009E3996" w:rsidRDefault="006B6D35" w:rsidP="006B6D35">
            <w:pPr>
              <w:spacing w:line="276" w:lineRule="auto"/>
              <w:rPr>
                <w:sz w:val="18"/>
                <w:szCs w:val="18"/>
              </w:rPr>
            </w:pPr>
            <w:r w:rsidRPr="009E3996">
              <w:rPr>
                <w:sz w:val="18"/>
                <w:szCs w:val="18"/>
              </w:rPr>
              <w:t>.029</w:t>
            </w:r>
          </w:p>
        </w:tc>
        <w:tc>
          <w:tcPr>
            <w:tcW w:w="440" w:type="pct"/>
          </w:tcPr>
          <w:p w:rsidR="006B6D35" w:rsidRPr="009E3996" w:rsidRDefault="006B6D35" w:rsidP="006B6D35">
            <w:pPr>
              <w:spacing w:line="276" w:lineRule="auto"/>
              <w:rPr>
                <w:sz w:val="18"/>
                <w:szCs w:val="18"/>
              </w:rPr>
            </w:pPr>
            <w:r w:rsidRPr="009E3996">
              <w:rPr>
                <w:sz w:val="18"/>
                <w:szCs w:val="18"/>
              </w:rPr>
              <w:t>.209**</w:t>
            </w:r>
          </w:p>
        </w:tc>
        <w:tc>
          <w:tcPr>
            <w:tcW w:w="473" w:type="pct"/>
          </w:tcPr>
          <w:p w:rsidR="006B6D35" w:rsidRPr="009E3996" w:rsidRDefault="006B6D35" w:rsidP="006B6D35">
            <w:pPr>
              <w:spacing w:line="276" w:lineRule="auto"/>
              <w:rPr>
                <w:sz w:val="18"/>
                <w:szCs w:val="18"/>
              </w:rPr>
            </w:pPr>
            <w:r w:rsidRPr="009E3996">
              <w:rPr>
                <w:sz w:val="18"/>
                <w:szCs w:val="18"/>
              </w:rPr>
              <w:t>-.102</w:t>
            </w:r>
          </w:p>
        </w:tc>
        <w:tc>
          <w:tcPr>
            <w:tcW w:w="333" w:type="pct"/>
          </w:tcPr>
          <w:p w:rsidR="006B6D35" w:rsidRPr="009E3996" w:rsidRDefault="006B6D35" w:rsidP="006B6D35">
            <w:pPr>
              <w:spacing w:line="276" w:lineRule="auto"/>
              <w:rPr>
                <w:sz w:val="18"/>
                <w:szCs w:val="18"/>
              </w:rPr>
            </w:pPr>
            <w:r w:rsidRPr="009E3996">
              <w:rPr>
                <w:sz w:val="18"/>
                <w:szCs w:val="18"/>
              </w:rPr>
              <w:t>.037</w:t>
            </w:r>
          </w:p>
        </w:tc>
        <w:tc>
          <w:tcPr>
            <w:tcW w:w="473" w:type="pct"/>
          </w:tcPr>
          <w:p w:rsidR="006B6D35" w:rsidRPr="009E3996" w:rsidRDefault="006B6D35" w:rsidP="006B6D35">
            <w:pPr>
              <w:spacing w:line="276" w:lineRule="auto"/>
              <w:rPr>
                <w:sz w:val="18"/>
                <w:szCs w:val="18"/>
              </w:rPr>
            </w:pPr>
            <w:r w:rsidRPr="009E3996">
              <w:rPr>
                <w:sz w:val="18"/>
                <w:szCs w:val="18"/>
              </w:rPr>
              <w:t>.110</w:t>
            </w:r>
          </w:p>
        </w:tc>
        <w:tc>
          <w:tcPr>
            <w:tcW w:w="526" w:type="pct"/>
          </w:tcPr>
          <w:p w:rsidR="006B6D35" w:rsidRPr="009E3996" w:rsidRDefault="006B6D35" w:rsidP="006B6D35">
            <w:pPr>
              <w:spacing w:line="276" w:lineRule="auto"/>
              <w:rPr>
                <w:sz w:val="18"/>
                <w:szCs w:val="18"/>
              </w:rPr>
            </w:pPr>
            <w:r w:rsidRPr="009E3996">
              <w:rPr>
                <w:sz w:val="18"/>
                <w:szCs w:val="18"/>
              </w:rPr>
              <w:t>.110</w:t>
            </w:r>
          </w:p>
        </w:tc>
        <w:tc>
          <w:tcPr>
            <w:tcW w:w="395" w:type="pct"/>
          </w:tcPr>
          <w:p w:rsidR="006B6D35" w:rsidRPr="009E3996" w:rsidRDefault="006B6D35" w:rsidP="006B6D35">
            <w:pPr>
              <w:spacing w:line="276" w:lineRule="auto"/>
              <w:rPr>
                <w:sz w:val="18"/>
                <w:szCs w:val="18"/>
              </w:rPr>
            </w:pPr>
            <w:r w:rsidRPr="009E3996">
              <w:rPr>
                <w:sz w:val="18"/>
                <w:szCs w:val="18"/>
              </w:rPr>
              <w:t>.068</w:t>
            </w:r>
          </w:p>
        </w:tc>
      </w:tr>
    </w:tbl>
    <w:p w:rsidR="006B6D35" w:rsidRPr="009E3996" w:rsidRDefault="006B6D35" w:rsidP="006B6D35">
      <w:pPr>
        <w:spacing w:before="240" w:after="240"/>
        <w:rPr>
          <w:sz w:val="16"/>
          <w:szCs w:val="16"/>
        </w:rPr>
      </w:pPr>
      <w:r w:rsidRPr="009E3996">
        <w:rPr>
          <w:sz w:val="16"/>
          <w:szCs w:val="16"/>
        </w:rPr>
        <w:t xml:space="preserve">* </w:t>
      </w:r>
      <w:proofErr w:type="gramStart"/>
      <w:r w:rsidRPr="009E3996">
        <w:rPr>
          <w:sz w:val="16"/>
          <w:szCs w:val="16"/>
        </w:rPr>
        <w:t>significant</w:t>
      </w:r>
      <w:proofErr w:type="gramEnd"/>
      <w:r w:rsidRPr="009E3996">
        <w:rPr>
          <w:sz w:val="16"/>
          <w:szCs w:val="16"/>
        </w:rPr>
        <w:t xml:space="preserve"> at 10%; ** significant at 5% level, *** significant at 1% level  </w:t>
      </w:r>
    </w:p>
    <w:p w:rsidR="00004663" w:rsidRPr="009E3996" w:rsidRDefault="00004663" w:rsidP="007179D8">
      <w:pPr>
        <w:widowControl w:val="0"/>
        <w:ind w:firstLine="720"/>
        <w:rPr>
          <w:rFonts w:eastAsiaTheme="minorHAnsi"/>
        </w:rPr>
      </w:pPr>
      <w:r w:rsidRPr="009E3996">
        <w:t xml:space="preserve">In support of hypotheses1 and 4, our findings indicate that the more open these </w:t>
      </w:r>
      <w:r w:rsidR="00713DEF" w:rsidRPr="009E3996">
        <w:t>OI</w:t>
      </w:r>
      <w:r w:rsidRPr="009E3996">
        <w:t xml:space="preserve"> firms are in terms of their external knowledge exchange, which does create a risk of unintended knowledge leakage, and the more </w:t>
      </w:r>
      <w:r w:rsidRPr="009E3996">
        <w:rPr>
          <w:rFonts w:eastAsiaTheme="minorHAnsi"/>
        </w:rPr>
        <w:t xml:space="preserve">legally formal </w:t>
      </w:r>
      <w:r w:rsidRPr="009E3996">
        <w:t xml:space="preserve">their attitude, that expresses their preference for controlling their collaboration with others through contracts, the more relevant these firms perceive IPR as means to protect their knowledge exchange. Also, in support of hypothesis 5, we find that the more </w:t>
      </w:r>
      <w:r w:rsidR="00713DEF" w:rsidRPr="009E3996">
        <w:t>OI</w:t>
      </w:r>
      <w:r w:rsidRPr="009E3996">
        <w:t xml:space="preserve"> firms operate in product markets with higher levels of competitive dynamics that express expected changes in competition, the more relevant they see IPR protection. Finally, </w:t>
      </w:r>
      <w:r w:rsidR="00707C07" w:rsidRPr="009E3996">
        <w:t>we find no support for the expected association of the strength of</w:t>
      </w:r>
      <w:r w:rsidR="007179D8" w:rsidRPr="009E3996">
        <w:t xml:space="preserve"> R&amp;D capabilities with the preference for IPR. However, the significant interaction effect found for hypothesis 3 indicates that the combination of stronger R&amp;D capabilities and higher degrees of openness does increase firms’ preference for IPR protection. In other words, with </w:t>
      </w:r>
      <w:r w:rsidR="007179D8" w:rsidRPr="009E3996">
        <w:lastRenderedPageBreak/>
        <w:t>increasing relative strength of internal R&amp;D capabilities, the relationship between openness and IPR protection becomes stronger. Hence, the preference for IPR in the context of OI is associated with managerial choice (openness,</w:t>
      </w:r>
      <w:r w:rsidR="007179D8" w:rsidRPr="009E3996">
        <w:rPr>
          <w:rFonts w:eastAsiaTheme="minorHAnsi"/>
        </w:rPr>
        <w:t xml:space="preserve"> formal legal attitude, and the combination of openness and stronger R&amp;D capabilities</w:t>
      </w:r>
      <w:r w:rsidR="007179D8" w:rsidRPr="009E3996">
        <w:t>), as well as conditioned by the external environment (competitive dynamics).</w:t>
      </w:r>
    </w:p>
    <w:p w:rsidR="004119B0" w:rsidRPr="009E3996" w:rsidRDefault="004119B0" w:rsidP="003A08FD">
      <w:pPr>
        <w:spacing w:line="240" w:lineRule="auto"/>
        <w:ind w:firstLine="720"/>
        <w:contextualSpacing/>
        <w:jc w:val="center"/>
        <w:rPr>
          <w:b/>
          <w:sz w:val="22"/>
          <w:szCs w:val="22"/>
        </w:rPr>
      </w:pPr>
      <w:r w:rsidRPr="009E3996">
        <w:rPr>
          <w:b/>
          <w:sz w:val="22"/>
          <w:szCs w:val="22"/>
        </w:rPr>
        <w:t xml:space="preserve">Table 4 OLS regression results for the importance of IPR in the context of </w:t>
      </w:r>
      <w:r w:rsidR="00713DEF" w:rsidRPr="009E3996">
        <w:rPr>
          <w:b/>
          <w:sz w:val="22"/>
          <w:szCs w:val="22"/>
        </w:rPr>
        <w:t>OI</w:t>
      </w:r>
      <w:r w:rsidRPr="009E3996">
        <w:rPr>
          <w:b/>
          <w:sz w:val="22"/>
          <w:szCs w:val="22"/>
        </w:rPr>
        <w:t xml:space="preserve">  (n=101)</w:t>
      </w:r>
    </w:p>
    <w:p w:rsidR="003A08FD" w:rsidRPr="009E3996" w:rsidRDefault="003A08FD" w:rsidP="003A08FD">
      <w:pPr>
        <w:spacing w:line="240" w:lineRule="auto"/>
        <w:ind w:firstLine="720"/>
        <w:contextualSpacing/>
        <w:jc w:val="center"/>
        <w:rPr>
          <w: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487"/>
        <w:gridCol w:w="1633"/>
        <w:gridCol w:w="1634"/>
        <w:gridCol w:w="1634"/>
      </w:tblGrid>
      <w:tr w:rsidR="004119B0" w:rsidRPr="009E3996" w:rsidTr="000E7C59">
        <w:trPr>
          <w:jc w:val="center"/>
        </w:trPr>
        <w:tc>
          <w:tcPr>
            <w:tcW w:w="3487" w:type="dxa"/>
            <w:tcBorders>
              <w:top w:val="single" w:sz="4" w:space="0" w:color="auto"/>
              <w:bottom w:val="double" w:sz="4" w:space="0" w:color="auto"/>
            </w:tcBorders>
            <w:vAlign w:val="center"/>
          </w:tcPr>
          <w:p w:rsidR="004119B0" w:rsidRPr="009E3996" w:rsidRDefault="004119B0" w:rsidP="000E7C59">
            <w:pPr>
              <w:spacing w:line="276" w:lineRule="auto"/>
              <w:jc w:val="center"/>
              <w:rPr>
                <w:sz w:val="20"/>
                <w:szCs w:val="20"/>
              </w:rPr>
            </w:pPr>
          </w:p>
        </w:tc>
        <w:tc>
          <w:tcPr>
            <w:tcW w:w="1633" w:type="dxa"/>
            <w:tcBorders>
              <w:top w:val="single" w:sz="4" w:space="0" w:color="auto"/>
              <w:bottom w:val="double" w:sz="4" w:space="0" w:color="auto"/>
            </w:tcBorders>
            <w:vAlign w:val="center"/>
          </w:tcPr>
          <w:p w:rsidR="004119B0" w:rsidRPr="009E3996" w:rsidRDefault="004119B0" w:rsidP="000E7C59">
            <w:pPr>
              <w:spacing w:line="276" w:lineRule="auto"/>
              <w:jc w:val="center"/>
              <w:rPr>
                <w:sz w:val="20"/>
                <w:szCs w:val="20"/>
              </w:rPr>
            </w:pPr>
            <w:r w:rsidRPr="009E3996">
              <w:rPr>
                <w:sz w:val="20"/>
                <w:szCs w:val="20"/>
              </w:rPr>
              <w:t>Model 1</w:t>
            </w:r>
          </w:p>
        </w:tc>
        <w:tc>
          <w:tcPr>
            <w:tcW w:w="1634" w:type="dxa"/>
            <w:tcBorders>
              <w:top w:val="single" w:sz="4" w:space="0" w:color="auto"/>
              <w:bottom w:val="double" w:sz="4" w:space="0" w:color="auto"/>
            </w:tcBorders>
            <w:vAlign w:val="center"/>
          </w:tcPr>
          <w:p w:rsidR="004119B0" w:rsidRPr="009E3996" w:rsidRDefault="004119B0" w:rsidP="000E7C59">
            <w:pPr>
              <w:spacing w:line="276" w:lineRule="auto"/>
              <w:jc w:val="center"/>
              <w:rPr>
                <w:sz w:val="20"/>
                <w:szCs w:val="20"/>
              </w:rPr>
            </w:pPr>
            <w:r w:rsidRPr="009E3996">
              <w:rPr>
                <w:sz w:val="20"/>
                <w:szCs w:val="20"/>
              </w:rPr>
              <w:t>Model 2</w:t>
            </w:r>
          </w:p>
        </w:tc>
        <w:tc>
          <w:tcPr>
            <w:tcW w:w="1634" w:type="dxa"/>
            <w:tcBorders>
              <w:top w:val="single" w:sz="4" w:space="0" w:color="auto"/>
              <w:bottom w:val="double" w:sz="4" w:space="0" w:color="auto"/>
            </w:tcBorders>
            <w:vAlign w:val="center"/>
          </w:tcPr>
          <w:p w:rsidR="004119B0" w:rsidRPr="009E3996" w:rsidRDefault="004119B0" w:rsidP="000E7C59">
            <w:pPr>
              <w:spacing w:line="276" w:lineRule="auto"/>
              <w:jc w:val="center"/>
              <w:rPr>
                <w:sz w:val="20"/>
                <w:szCs w:val="20"/>
              </w:rPr>
            </w:pPr>
            <w:r w:rsidRPr="009E3996">
              <w:rPr>
                <w:sz w:val="20"/>
                <w:szCs w:val="20"/>
              </w:rPr>
              <w:t>Model 3</w:t>
            </w:r>
          </w:p>
        </w:tc>
      </w:tr>
      <w:tr w:rsidR="004119B0" w:rsidRPr="009E3996" w:rsidTr="000E7C59">
        <w:trPr>
          <w:jc w:val="center"/>
        </w:trPr>
        <w:tc>
          <w:tcPr>
            <w:tcW w:w="3487" w:type="dxa"/>
            <w:tcBorders>
              <w:top w:val="double" w:sz="4" w:space="0" w:color="auto"/>
              <w:bottom w:val="nil"/>
            </w:tcBorders>
          </w:tcPr>
          <w:p w:rsidR="004119B0" w:rsidRPr="009E3996" w:rsidRDefault="004119B0" w:rsidP="000E7C59">
            <w:pPr>
              <w:spacing w:before="120" w:line="276" w:lineRule="auto"/>
              <w:ind w:left="284"/>
              <w:rPr>
                <w:sz w:val="20"/>
                <w:szCs w:val="20"/>
              </w:rPr>
            </w:pPr>
            <w:r w:rsidRPr="009E3996">
              <w:rPr>
                <w:sz w:val="20"/>
                <w:szCs w:val="20"/>
              </w:rPr>
              <w:t>Non-US</w:t>
            </w:r>
          </w:p>
        </w:tc>
        <w:tc>
          <w:tcPr>
            <w:tcW w:w="1633" w:type="dxa"/>
            <w:tcBorders>
              <w:top w:val="double" w:sz="4" w:space="0" w:color="auto"/>
              <w:bottom w:val="nil"/>
            </w:tcBorders>
          </w:tcPr>
          <w:p w:rsidR="004119B0" w:rsidRPr="009E3996" w:rsidRDefault="004119B0" w:rsidP="000E7C59">
            <w:pPr>
              <w:spacing w:before="120" w:line="276" w:lineRule="auto"/>
              <w:jc w:val="center"/>
              <w:rPr>
                <w:sz w:val="20"/>
                <w:szCs w:val="20"/>
              </w:rPr>
            </w:pPr>
            <w:r w:rsidRPr="009E3996">
              <w:rPr>
                <w:sz w:val="20"/>
                <w:szCs w:val="20"/>
              </w:rPr>
              <w:t xml:space="preserve">.171 </w:t>
            </w:r>
          </w:p>
          <w:p w:rsidR="004119B0" w:rsidRPr="009E3996" w:rsidRDefault="004119B0" w:rsidP="000E7C59">
            <w:pPr>
              <w:spacing w:line="276" w:lineRule="auto"/>
              <w:jc w:val="center"/>
              <w:rPr>
                <w:sz w:val="20"/>
                <w:szCs w:val="20"/>
              </w:rPr>
            </w:pPr>
            <w:r w:rsidRPr="009E3996">
              <w:rPr>
                <w:sz w:val="20"/>
                <w:szCs w:val="20"/>
              </w:rPr>
              <w:t>(.285)</w:t>
            </w:r>
          </w:p>
        </w:tc>
        <w:tc>
          <w:tcPr>
            <w:tcW w:w="1634" w:type="dxa"/>
            <w:tcBorders>
              <w:top w:val="double" w:sz="4" w:space="0" w:color="auto"/>
              <w:bottom w:val="nil"/>
            </w:tcBorders>
          </w:tcPr>
          <w:p w:rsidR="004119B0" w:rsidRPr="009E3996" w:rsidRDefault="004119B0" w:rsidP="000E7C59">
            <w:pPr>
              <w:spacing w:before="120" w:line="276" w:lineRule="auto"/>
              <w:jc w:val="center"/>
              <w:rPr>
                <w:sz w:val="20"/>
                <w:szCs w:val="20"/>
              </w:rPr>
            </w:pPr>
            <w:r w:rsidRPr="009E3996">
              <w:rPr>
                <w:sz w:val="20"/>
                <w:szCs w:val="20"/>
              </w:rPr>
              <w:t xml:space="preserve">.167 </w:t>
            </w:r>
          </w:p>
          <w:p w:rsidR="004119B0" w:rsidRPr="009E3996" w:rsidRDefault="004119B0" w:rsidP="000E7C59">
            <w:pPr>
              <w:spacing w:line="276" w:lineRule="auto"/>
              <w:jc w:val="center"/>
              <w:rPr>
                <w:sz w:val="20"/>
                <w:szCs w:val="20"/>
              </w:rPr>
            </w:pPr>
            <w:r w:rsidRPr="009E3996">
              <w:rPr>
                <w:sz w:val="20"/>
                <w:szCs w:val="20"/>
              </w:rPr>
              <w:t>(.266)</w:t>
            </w:r>
          </w:p>
        </w:tc>
        <w:tc>
          <w:tcPr>
            <w:tcW w:w="1634" w:type="dxa"/>
            <w:tcBorders>
              <w:top w:val="double" w:sz="4" w:space="0" w:color="auto"/>
              <w:bottom w:val="nil"/>
            </w:tcBorders>
          </w:tcPr>
          <w:p w:rsidR="004119B0" w:rsidRPr="009E3996" w:rsidRDefault="004119B0" w:rsidP="000E7C59">
            <w:pPr>
              <w:spacing w:before="120" w:line="276" w:lineRule="auto"/>
              <w:jc w:val="center"/>
              <w:rPr>
                <w:sz w:val="20"/>
                <w:szCs w:val="20"/>
              </w:rPr>
            </w:pPr>
            <w:r w:rsidRPr="009E3996">
              <w:rPr>
                <w:sz w:val="20"/>
                <w:szCs w:val="20"/>
              </w:rPr>
              <w:t>.243</w:t>
            </w:r>
          </w:p>
          <w:p w:rsidR="004119B0" w:rsidRPr="009E3996" w:rsidRDefault="004119B0" w:rsidP="000E7C59">
            <w:pPr>
              <w:spacing w:line="276" w:lineRule="auto"/>
              <w:jc w:val="center"/>
              <w:rPr>
                <w:sz w:val="20"/>
                <w:szCs w:val="20"/>
              </w:rPr>
            </w:pPr>
            <w:r w:rsidRPr="009E3996">
              <w:rPr>
                <w:sz w:val="20"/>
                <w:szCs w:val="20"/>
              </w:rPr>
              <w:t>(.265)</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sz w:val="20"/>
                <w:szCs w:val="20"/>
              </w:rPr>
              <w:t>Manufacturing</w:t>
            </w:r>
          </w:p>
        </w:tc>
        <w:tc>
          <w:tcPr>
            <w:tcW w:w="1633"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-.177 </w:t>
            </w:r>
          </w:p>
          <w:p w:rsidR="004119B0" w:rsidRPr="009E3996" w:rsidRDefault="004119B0" w:rsidP="000E7C59">
            <w:pPr>
              <w:spacing w:line="276" w:lineRule="auto"/>
              <w:jc w:val="center"/>
              <w:rPr>
                <w:sz w:val="20"/>
                <w:szCs w:val="20"/>
              </w:rPr>
            </w:pPr>
            <w:r w:rsidRPr="009E3996">
              <w:rPr>
                <w:sz w:val="20"/>
                <w:szCs w:val="20"/>
              </w:rPr>
              <w:t>(.283)</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-.138 </w:t>
            </w:r>
          </w:p>
          <w:p w:rsidR="004119B0" w:rsidRPr="009E3996" w:rsidRDefault="004119B0" w:rsidP="000E7C59">
            <w:pPr>
              <w:spacing w:line="276" w:lineRule="auto"/>
              <w:jc w:val="center"/>
              <w:rPr>
                <w:sz w:val="20"/>
                <w:szCs w:val="20"/>
              </w:rPr>
            </w:pPr>
            <w:r w:rsidRPr="009E3996">
              <w:rPr>
                <w:sz w:val="20"/>
                <w:szCs w:val="20"/>
              </w:rPr>
              <w:t>(.269)</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-.146</w:t>
            </w:r>
          </w:p>
          <w:p w:rsidR="004119B0" w:rsidRPr="009E3996" w:rsidRDefault="004119B0" w:rsidP="000E7C59">
            <w:pPr>
              <w:spacing w:line="276" w:lineRule="auto"/>
              <w:jc w:val="center"/>
              <w:rPr>
                <w:sz w:val="20"/>
                <w:szCs w:val="20"/>
              </w:rPr>
            </w:pPr>
            <w:r w:rsidRPr="009E3996">
              <w:rPr>
                <w:sz w:val="20"/>
                <w:szCs w:val="20"/>
              </w:rPr>
              <w:t>(.265)</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sz w:val="20"/>
                <w:szCs w:val="20"/>
              </w:rPr>
              <w:t>Other industries</w:t>
            </w:r>
          </w:p>
        </w:tc>
        <w:tc>
          <w:tcPr>
            <w:tcW w:w="1633"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-.544 </w:t>
            </w:r>
          </w:p>
          <w:p w:rsidR="004119B0" w:rsidRPr="009E3996" w:rsidRDefault="004119B0" w:rsidP="000E7C59">
            <w:pPr>
              <w:spacing w:line="276" w:lineRule="auto"/>
              <w:jc w:val="center"/>
              <w:rPr>
                <w:sz w:val="20"/>
                <w:szCs w:val="20"/>
              </w:rPr>
            </w:pPr>
            <w:r w:rsidRPr="009E3996">
              <w:rPr>
                <w:sz w:val="20"/>
                <w:szCs w:val="20"/>
              </w:rPr>
              <w:t>(.349)</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-.361 </w:t>
            </w:r>
          </w:p>
          <w:p w:rsidR="004119B0" w:rsidRPr="009E3996" w:rsidRDefault="004119B0" w:rsidP="000E7C59">
            <w:pPr>
              <w:spacing w:line="276" w:lineRule="auto"/>
              <w:jc w:val="center"/>
              <w:rPr>
                <w:sz w:val="20"/>
                <w:szCs w:val="20"/>
              </w:rPr>
            </w:pPr>
            <w:r w:rsidRPr="009E3996">
              <w:rPr>
                <w:sz w:val="20"/>
                <w:szCs w:val="20"/>
              </w:rPr>
              <w:t>(.320)</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-.524</w:t>
            </w:r>
          </w:p>
          <w:p w:rsidR="004119B0" w:rsidRPr="009E3996" w:rsidRDefault="004119B0" w:rsidP="000E7C59">
            <w:pPr>
              <w:spacing w:line="276" w:lineRule="auto"/>
              <w:jc w:val="center"/>
              <w:rPr>
                <w:sz w:val="20"/>
                <w:szCs w:val="20"/>
              </w:rPr>
            </w:pPr>
            <w:r w:rsidRPr="009E3996">
              <w:rPr>
                <w:sz w:val="20"/>
                <w:szCs w:val="20"/>
              </w:rPr>
              <w:t>(.326)</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sz w:val="20"/>
                <w:szCs w:val="20"/>
              </w:rPr>
              <w:t>Size</w:t>
            </w:r>
          </w:p>
          <w:p w:rsidR="004119B0" w:rsidRPr="009E3996" w:rsidRDefault="004119B0" w:rsidP="000E7C59">
            <w:pPr>
              <w:spacing w:line="276" w:lineRule="auto"/>
              <w:rPr>
                <w:sz w:val="20"/>
                <w:szCs w:val="20"/>
              </w:rPr>
            </w:pPr>
          </w:p>
        </w:tc>
        <w:tc>
          <w:tcPr>
            <w:tcW w:w="1633"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.058 </w:t>
            </w:r>
          </w:p>
          <w:p w:rsidR="004119B0" w:rsidRPr="009E3996" w:rsidRDefault="004119B0" w:rsidP="000E7C59">
            <w:pPr>
              <w:spacing w:line="276" w:lineRule="auto"/>
              <w:jc w:val="center"/>
              <w:rPr>
                <w:sz w:val="20"/>
                <w:szCs w:val="20"/>
              </w:rPr>
            </w:pPr>
            <w:r w:rsidRPr="009E3996">
              <w:rPr>
                <w:sz w:val="20"/>
                <w:szCs w:val="20"/>
              </w:rPr>
              <w:t>(.045)</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.028</w:t>
            </w:r>
          </w:p>
          <w:p w:rsidR="004119B0" w:rsidRPr="009E3996" w:rsidRDefault="004119B0" w:rsidP="000E7C59">
            <w:pPr>
              <w:spacing w:line="276" w:lineRule="auto"/>
              <w:jc w:val="center"/>
              <w:rPr>
                <w:sz w:val="20"/>
                <w:szCs w:val="20"/>
              </w:rPr>
            </w:pPr>
            <w:r w:rsidRPr="009E3996">
              <w:rPr>
                <w:sz w:val="20"/>
                <w:szCs w:val="20"/>
              </w:rPr>
              <w:t>(.042)</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.028</w:t>
            </w:r>
          </w:p>
          <w:p w:rsidR="004119B0" w:rsidRPr="009E3996" w:rsidRDefault="004119B0" w:rsidP="000E7C59">
            <w:pPr>
              <w:spacing w:line="276" w:lineRule="auto"/>
              <w:jc w:val="center"/>
              <w:rPr>
                <w:sz w:val="20"/>
                <w:szCs w:val="20"/>
              </w:rPr>
            </w:pPr>
            <w:r w:rsidRPr="009E3996">
              <w:rPr>
                <w:sz w:val="20"/>
                <w:szCs w:val="20"/>
              </w:rPr>
              <w:t>(.041)</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sz w:val="20"/>
                <w:szCs w:val="20"/>
              </w:rPr>
              <w:t>Openness</w:t>
            </w:r>
          </w:p>
        </w:tc>
        <w:tc>
          <w:tcPr>
            <w:tcW w:w="1633" w:type="dxa"/>
            <w:tcBorders>
              <w:top w:val="nil"/>
              <w:bottom w:val="nil"/>
            </w:tcBorders>
          </w:tcPr>
          <w:p w:rsidR="004119B0" w:rsidRPr="009E3996" w:rsidRDefault="004119B0" w:rsidP="000E7C59">
            <w:pPr>
              <w:spacing w:line="276" w:lineRule="auto"/>
              <w:rPr>
                <w:sz w:val="20"/>
                <w:szCs w:val="20"/>
              </w:rPr>
            </w:pP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.370***</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.381***</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p>
        </w:tc>
        <w:tc>
          <w:tcPr>
            <w:tcW w:w="1633" w:type="dxa"/>
            <w:tcBorders>
              <w:top w:val="nil"/>
              <w:bottom w:val="nil"/>
            </w:tcBorders>
          </w:tcPr>
          <w:p w:rsidR="004119B0" w:rsidRPr="009E3996" w:rsidRDefault="004119B0" w:rsidP="000E7C59">
            <w:pPr>
              <w:spacing w:line="276" w:lineRule="auto"/>
              <w:jc w:val="center"/>
              <w:rPr>
                <w:sz w:val="20"/>
                <w:szCs w:val="20"/>
              </w:rPr>
            </w:pP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(.122)</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(.121)</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sz w:val="20"/>
                <w:szCs w:val="20"/>
              </w:rPr>
              <w:t>R&amp;D capabilities</w:t>
            </w:r>
          </w:p>
        </w:tc>
        <w:tc>
          <w:tcPr>
            <w:tcW w:w="1633" w:type="dxa"/>
            <w:tcBorders>
              <w:top w:val="nil"/>
              <w:bottom w:val="nil"/>
            </w:tcBorders>
          </w:tcPr>
          <w:p w:rsidR="004119B0" w:rsidRPr="009E3996" w:rsidRDefault="004119B0" w:rsidP="000E7C59">
            <w:pPr>
              <w:spacing w:line="276" w:lineRule="auto"/>
              <w:jc w:val="center"/>
              <w:rPr>
                <w:sz w:val="20"/>
                <w:szCs w:val="20"/>
              </w:rPr>
            </w:pP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.014 </w:t>
            </w:r>
          </w:p>
          <w:p w:rsidR="004119B0" w:rsidRPr="009E3996" w:rsidRDefault="004119B0" w:rsidP="000E7C59">
            <w:pPr>
              <w:spacing w:line="276" w:lineRule="auto"/>
              <w:jc w:val="center"/>
              <w:rPr>
                <w:sz w:val="20"/>
                <w:szCs w:val="20"/>
              </w:rPr>
            </w:pPr>
            <w:r w:rsidRPr="009E3996">
              <w:rPr>
                <w:sz w:val="20"/>
                <w:szCs w:val="20"/>
              </w:rPr>
              <w:t xml:space="preserve">(.140) </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.044</w:t>
            </w:r>
          </w:p>
          <w:p w:rsidR="004119B0" w:rsidRPr="009E3996" w:rsidRDefault="004119B0" w:rsidP="000E7C59">
            <w:pPr>
              <w:spacing w:line="276" w:lineRule="auto"/>
              <w:jc w:val="center"/>
              <w:rPr>
                <w:sz w:val="20"/>
                <w:szCs w:val="20"/>
              </w:rPr>
            </w:pPr>
            <w:r w:rsidRPr="009E3996">
              <w:rPr>
                <w:sz w:val="20"/>
                <w:szCs w:val="20"/>
              </w:rPr>
              <w:t xml:space="preserve">(.148) </w:t>
            </w:r>
          </w:p>
        </w:tc>
      </w:tr>
      <w:tr w:rsidR="004119B0" w:rsidRPr="009E3996" w:rsidTr="000E7C59">
        <w:trPr>
          <w:jc w:val="center"/>
        </w:trPr>
        <w:tc>
          <w:tcPr>
            <w:tcW w:w="3487" w:type="dxa"/>
            <w:tcBorders>
              <w:top w:val="nil"/>
              <w:bottom w:val="nil"/>
            </w:tcBorders>
          </w:tcPr>
          <w:p w:rsidR="004119B0" w:rsidRPr="009E3996" w:rsidRDefault="004119B0" w:rsidP="000E7C59">
            <w:pPr>
              <w:spacing w:line="276" w:lineRule="auto"/>
              <w:ind w:left="284"/>
              <w:rPr>
                <w:sz w:val="20"/>
                <w:szCs w:val="20"/>
              </w:rPr>
            </w:pPr>
            <w:r w:rsidRPr="009E3996">
              <w:rPr>
                <w:rFonts w:eastAsiaTheme="minorHAnsi"/>
                <w:sz w:val="20"/>
                <w:szCs w:val="20"/>
              </w:rPr>
              <w:t>Formal legal attitude</w:t>
            </w:r>
          </w:p>
        </w:tc>
        <w:tc>
          <w:tcPr>
            <w:tcW w:w="1633" w:type="dxa"/>
            <w:tcBorders>
              <w:top w:val="nil"/>
              <w:bottom w:val="nil"/>
            </w:tcBorders>
          </w:tcPr>
          <w:p w:rsidR="004119B0" w:rsidRPr="009E3996" w:rsidRDefault="004119B0" w:rsidP="000E7C59">
            <w:pPr>
              <w:spacing w:line="276" w:lineRule="auto"/>
              <w:jc w:val="center"/>
              <w:rPr>
                <w:sz w:val="20"/>
                <w:szCs w:val="20"/>
              </w:rPr>
            </w:pP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 xml:space="preserve">.127* </w:t>
            </w:r>
          </w:p>
          <w:p w:rsidR="004119B0" w:rsidRPr="009E3996" w:rsidRDefault="004119B0" w:rsidP="000E7C59">
            <w:pPr>
              <w:spacing w:line="276" w:lineRule="auto"/>
              <w:jc w:val="center"/>
              <w:rPr>
                <w:sz w:val="20"/>
                <w:szCs w:val="20"/>
              </w:rPr>
            </w:pPr>
            <w:r w:rsidRPr="009E3996">
              <w:rPr>
                <w:sz w:val="20"/>
                <w:szCs w:val="20"/>
              </w:rPr>
              <w:t>(.069)</w:t>
            </w:r>
          </w:p>
        </w:tc>
        <w:tc>
          <w:tcPr>
            <w:tcW w:w="1634" w:type="dxa"/>
            <w:tcBorders>
              <w:top w:val="nil"/>
              <w:bottom w:val="nil"/>
            </w:tcBorders>
          </w:tcPr>
          <w:p w:rsidR="004119B0" w:rsidRPr="009E3996" w:rsidRDefault="004119B0" w:rsidP="000E7C59">
            <w:pPr>
              <w:spacing w:line="276" w:lineRule="auto"/>
              <w:jc w:val="center"/>
              <w:rPr>
                <w:sz w:val="20"/>
                <w:szCs w:val="20"/>
              </w:rPr>
            </w:pPr>
            <w:r w:rsidRPr="009E3996">
              <w:rPr>
                <w:sz w:val="20"/>
                <w:szCs w:val="20"/>
              </w:rPr>
              <w:t>.134*</w:t>
            </w:r>
          </w:p>
          <w:p w:rsidR="004119B0" w:rsidRPr="009E3996" w:rsidRDefault="004119B0" w:rsidP="000E7C59">
            <w:pPr>
              <w:spacing w:line="276" w:lineRule="auto"/>
              <w:jc w:val="center"/>
              <w:rPr>
                <w:sz w:val="20"/>
                <w:szCs w:val="20"/>
              </w:rPr>
            </w:pPr>
            <w:r w:rsidRPr="009E3996">
              <w:rPr>
                <w:sz w:val="20"/>
                <w:szCs w:val="20"/>
              </w:rPr>
              <w:t>(.068)</w:t>
            </w:r>
          </w:p>
        </w:tc>
      </w:tr>
      <w:tr w:rsidR="004119B0" w:rsidRPr="009E3996" w:rsidTr="000E7C59">
        <w:trPr>
          <w:jc w:val="center"/>
        </w:trPr>
        <w:tc>
          <w:tcPr>
            <w:tcW w:w="3487" w:type="dxa"/>
            <w:tcBorders>
              <w:top w:val="nil"/>
              <w:bottom w:val="double" w:sz="4" w:space="0" w:color="auto"/>
            </w:tcBorders>
          </w:tcPr>
          <w:p w:rsidR="004119B0" w:rsidRPr="009E3996" w:rsidRDefault="004119B0" w:rsidP="000E7C59">
            <w:pPr>
              <w:spacing w:line="276" w:lineRule="auto"/>
              <w:ind w:left="284"/>
              <w:rPr>
                <w:sz w:val="20"/>
                <w:szCs w:val="20"/>
              </w:rPr>
            </w:pPr>
            <w:r w:rsidRPr="009E3996">
              <w:rPr>
                <w:sz w:val="20"/>
                <w:szCs w:val="20"/>
              </w:rPr>
              <w:t>Competitive dynamics</w:t>
            </w:r>
          </w:p>
          <w:p w:rsidR="004119B0" w:rsidRPr="009E3996" w:rsidRDefault="004119B0" w:rsidP="000E7C59">
            <w:pPr>
              <w:spacing w:line="276" w:lineRule="auto"/>
              <w:rPr>
                <w:sz w:val="20"/>
                <w:szCs w:val="20"/>
              </w:rPr>
            </w:pPr>
          </w:p>
          <w:p w:rsidR="004119B0" w:rsidRPr="009E3996" w:rsidRDefault="004119B0" w:rsidP="000E7C59">
            <w:pPr>
              <w:spacing w:line="276" w:lineRule="auto"/>
              <w:rPr>
                <w:sz w:val="20"/>
                <w:szCs w:val="20"/>
              </w:rPr>
            </w:pPr>
            <w:r w:rsidRPr="009E3996">
              <w:rPr>
                <w:sz w:val="20"/>
                <w:szCs w:val="20"/>
              </w:rPr>
              <w:t xml:space="preserve">     Openness * R&amp;D capabilities </w:t>
            </w:r>
          </w:p>
        </w:tc>
        <w:tc>
          <w:tcPr>
            <w:tcW w:w="1633" w:type="dxa"/>
            <w:tcBorders>
              <w:top w:val="nil"/>
              <w:bottom w:val="double" w:sz="4" w:space="0" w:color="auto"/>
            </w:tcBorders>
          </w:tcPr>
          <w:p w:rsidR="004119B0" w:rsidRPr="009E3996" w:rsidRDefault="004119B0" w:rsidP="000E7C59">
            <w:pPr>
              <w:spacing w:line="276" w:lineRule="auto"/>
              <w:jc w:val="center"/>
              <w:rPr>
                <w:sz w:val="20"/>
                <w:szCs w:val="20"/>
              </w:rPr>
            </w:pPr>
          </w:p>
        </w:tc>
        <w:tc>
          <w:tcPr>
            <w:tcW w:w="1634" w:type="dxa"/>
            <w:tcBorders>
              <w:top w:val="nil"/>
              <w:bottom w:val="double" w:sz="4" w:space="0" w:color="auto"/>
            </w:tcBorders>
          </w:tcPr>
          <w:p w:rsidR="004119B0" w:rsidRPr="009E3996" w:rsidRDefault="004119B0" w:rsidP="000E7C59">
            <w:pPr>
              <w:spacing w:line="276" w:lineRule="auto"/>
              <w:jc w:val="center"/>
              <w:rPr>
                <w:sz w:val="20"/>
                <w:szCs w:val="20"/>
              </w:rPr>
            </w:pPr>
            <w:r w:rsidRPr="009E3996">
              <w:rPr>
                <w:sz w:val="20"/>
                <w:szCs w:val="20"/>
              </w:rPr>
              <w:t xml:space="preserve">.736*** </w:t>
            </w:r>
          </w:p>
          <w:p w:rsidR="004119B0" w:rsidRPr="009E3996" w:rsidRDefault="004119B0" w:rsidP="000E7C59">
            <w:pPr>
              <w:spacing w:line="276" w:lineRule="auto"/>
              <w:jc w:val="center"/>
              <w:rPr>
                <w:sz w:val="20"/>
                <w:szCs w:val="20"/>
              </w:rPr>
            </w:pPr>
            <w:r w:rsidRPr="009E3996">
              <w:rPr>
                <w:sz w:val="20"/>
                <w:szCs w:val="20"/>
              </w:rPr>
              <w:t>(.268)</w:t>
            </w:r>
          </w:p>
        </w:tc>
        <w:tc>
          <w:tcPr>
            <w:tcW w:w="1634" w:type="dxa"/>
            <w:tcBorders>
              <w:top w:val="nil"/>
              <w:bottom w:val="double" w:sz="4" w:space="0" w:color="auto"/>
            </w:tcBorders>
          </w:tcPr>
          <w:p w:rsidR="004119B0" w:rsidRPr="009E3996" w:rsidRDefault="004119B0" w:rsidP="000E7C59">
            <w:pPr>
              <w:spacing w:line="276" w:lineRule="auto"/>
              <w:jc w:val="center"/>
              <w:rPr>
                <w:sz w:val="20"/>
                <w:szCs w:val="20"/>
              </w:rPr>
            </w:pPr>
            <w:r w:rsidRPr="009E3996">
              <w:rPr>
                <w:sz w:val="20"/>
                <w:szCs w:val="20"/>
              </w:rPr>
              <w:t>.737***</w:t>
            </w:r>
          </w:p>
          <w:p w:rsidR="004119B0" w:rsidRPr="009E3996" w:rsidRDefault="004119B0" w:rsidP="000E7C59">
            <w:pPr>
              <w:spacing w:line="276" w:lineRule="auto"/>
              <w:jc w:val="center"/>
              <w:rPr>
                <w:sz w:val="20"/>
                <w:szCs w:val="20"/>
              </w:rPr>
            </w:pPr>
            <w:r w:rsidRPr="009E3996">
              <w:rPr>
                <w:sz w:val="20"/>
                <w:szCs w:val="20"/>
              </w:rPr>
              <w:t>(.264)</w:t>
            </w:r>
          </w:p>
          <w:p w:rsidR="004119B0" w:rsidRPr="009E3996" w:rsidRDefault="004119B0" w:rsidP="000E7C59">
            <w:pPr>
              <w:spacing w:line="276" w:lineRule="auto"/>
              <w:jc w:val="center"/>
              <w:rPr>
                <w:sz w:val="20"/>
                <w:szCs w:val="20"/>
              </w:rPr>
            </w:pPr>
            <w:r w:rsidRPr="009E3996">
              <w:rPr>
                <w:sz w:val="20"/>
                <w:szCs w:val="20"/>
              </w:rPr>
              <w:t>.284*</w:t>
            </w:r>
          </w:p>
          <w:p w:rsidR="004119B0" w:rsidRPr="009E3996" w:rsidRDefault="004119B0" w:rsidP="000E7C59">
            <w:pPr>
              <w:spacing w:line="276" w:lineRule="auto"/>
              <w:jc w:val="center"/>
              <w:rPr>
                <w:sz w:val="20"/>
                <w:szCs w:val="20"/>
              </w:rPr>
            </w:pPr>
            <w:r w:rsidRPr="009E3996">
              <w:rPr>
                <w:sz w:val="20"/>
                <w:szCs w:val="20"/>
              </w:rPr>
              <w:t>(.148)</w:t>
            </w:r>
          </w:p>
        </w:tc>
      </w:tr>
      <w:tr w:rsidR="004119B0" w:rsidRPr="009E3996" w:rsidTr="000E7C59">
        <w:trPr>
          <w:jc w:val="center"/>
        </w:trPr>
        <w:tc>
          <w:tcPr>
            <w:tcW w:w="3487" w:type="dxa"/>
            <w:tcBorders>
              <w:top w:val="double" w:sz="4" w:space="0" w:color="auto"/>
            </w:tcBorders>
          </w:tcPr>
          <w:p w:rsidR="004119B0" w:rsidRPr="009E3996" w:rsidRDefault="004119B0" w:rsidP="000E7C59">
            <w:pPr>
              <w:spacing w:line="276" w:lineRule="auto"/>
              <w:ind w:left="284"/>
              <w:rPr>
                <w:sz w:val="20"/>
                <w:szCs w:val="20"/>
              </w:rPr>
            </w:pPr>
          </w:p>
        </w:tc>
        <w:tc>
          <w:tcPr>
            <w:tcW w:w="1633" w:type="dxa"/>
            <w:tcBorders>
              <w:top w:val="double" w:sz="4" w:space="0" w:color="auto"/>
            </w:tcBorders>
          </w:tcPr>
          <w:p w:rsidR="004119B0" w:rsidRPr="009E3996" w:rsidRDefault="004119B0" w:rsidP="000E7C59">
            <w:pPr>
              <w:spacing w:line="276" w:lineRule="auto"/>
              <w:jc w:val="center"/>
              <w:rPr>
                <w:sz w:val="20"/>
                <w:szCs w:val="20"/>
              </w:rPr>
            </w:pPr>
          </w:p>
        </w:tc>
        <w:tc>
          <w:tcPr>
            <w:tcW w:w="1634" w:type="dxa"/>
            <w:tcBorders>
              <w:top w:val="double" w:sz="4" w:space="0" w:color="auto"/>
            </w:tcBorders>
          </w:tcPr>
          <w:p w:rsidR="004119B0" w:rsidRPr="009E3996" w:rsidRDefault="004119B0" w:rsidP="000E7C59">
            <w:pPr>
              <w:spacing w:line="276" w:lineRule="auto"/>
              <w:jc w:val="center"/>
              <w:rPr>
                <w:sz w:val="20"/>
                <w:szCs w:val="20"/>
              </w:rPr>
            </w:pPr>
          </w:p>
        </w:tc>
        <w:tc>
          <w:tcPr>
            <w:tcW w:w="1634" w:type="dxa"/>
            <w:tcBorders>
              <w:top w:val="double" w:sz="4" w:space="0" w:color="auto"/>
            </w:tcBorders>
          </w:tcPr>
          <w:p w:rsidR="004119B0" w:rsidRPr="009E3996" w:rsidRDefault="004119B0" w:rsidP="000E7C59">
            <w:pPr>
              <w:spacing w:line="276" w:lineRule="auto"/>
              <w:rPr>
                <w:sz w:val="20"/>
                <w:szCs w:val="20"/>
              </w:rPr>
            </w:pPr>
          </w:p>
        </w:tc>
      </w:tr>
      <w:tr w:rsidR="004119B0" w:rsidRPr="009E3996" w:rsidTr="000E7C59">
        <w:trPr>
          <w:jc w:val="center"/>
        </w:trPr>
        <w:tc>
          <w:tcPr>
            <w:tcW w:w="3487" w:type="dxa"/>
          </w:tcPr>
          <w:p w:rsidR="004119B0" w:rsidRPr="009E3996" w:rsidRDefault="004119B0" w:rsidP="000E7C59">
            <w:pPr>
              <w:spacing w:line="276" w:lineRule="auto"/>
              <w:rPr>
                <w:sz w:val="20"/>
                <w:szCs w:val="20"/>
              </w:rPr>
            </w:pPr>
            <w:r w:rsidRPr="009E3996">
              <w:rPr>
                <w:sz w:val="20"/>
                <w:szCs w:val="20"/>
              </w:rPr>
              <w:t>F-test</w:t>
            </w:r>
          </w:p>
        </w:tc>
        <w:tc>
          <w:tcPr>
            <w:tcW w:w="1633" w:type="dxa"/>
          </w:tcPr>
          <w:p w:rsidR="004119B0" w:rsidRPr="009E3996" w:rsidRDefault="004119B0" w:rsidP="000E7C59">
            <w:pPr>
              <w:spacing w:line="276" w:lineRule="auto"/>
              <w:jc w:val="center"/>
              <w:rPr>
                <w:sz w:val="20"/>
                <w:szCs w:val="20"/>
              </w:rPr>
            </w:pPr>
            <w:r w:rsidRPr="009E3996">
              <w:rPr>
                <w:sz w:val="20"/>
                <w:szCs w:val="20"/>
              </w:rPr>
              <w:t>1.42</w:t>
            </w:r>
          </w:p>
        </w:tc>
        <w:tc>
          <w:tcPr>
            <w:tcW w:w="1634" w:type="dxa"/>
          </w:tcPr>
          <w:p w:rsidR="004119B0" w:rsidRPr="009E3996" w:rsidRDefault="004119B0" w:rsidP="000E7C59">
            <w:pPr>
              <w:spacing w:line="276" w:lineRule="auto"/>
              <w:jc w:val="center"/>
              <w:rPr>
                <w:sz w:val="20"/>
                <w:szCs w:val="20"/>
              </w:rPr>
            </w:pPr>
            <w:r w:rsidRPr="009E3996">
              <w:rPr>
                <w:sz w:val="20"/>
                <w:szCs w:val="20"/>
              </w:rPr>
              <w:t>4.03***</w:t>
            </w:r>
          </w:p>
        </w:tc>
        <w:tc>
          <w:tcPr>
            <w:tcW w:w="1634" w:type="dxa"/>
          </w:tcPr>
          <w:p w:rsidR="004119B0" w:rsidRPr="009E3996" w:rsidRDefault="004119B0" w:rsidP="000E7C59">
            <w:pPr>
              <w:spacing w:line="276" w:lineRule="auto"/>
              <w:jc w:val="center"/>
              <w:rPr>
                <w:sz w:val="20"/>
                <w:szCs w:val="20"/>
              </w:rPr>
            </w:pPr>
            <w:r w:rsidRPr="009E3996">
              <w:rPr>
                <w:sz w:val="20"/>
                <w:szCs w:val="20"/>
              </w:rPr>
              <w:t>4.10***</w:t>
            </w:r>
          </w:p>
        </w:tc>
      </w:tr>
      <w:tr w:rsidR="004119B0" w:rsidRPr="009E3996" w:rsidTr="000E7C59">
        <w:trPr>
          <w:jc w:val="center"/>
        </w:trPr>
        <w:tc>
          <w:tcPr>
            <w:tcW w:w="3487" w:type="dxa"/>
          </w:tcPr>
          <w:p w:rsidR="004119B0" w:rsidRPr="009E3996" w:rsidRDefault="004119B0" w:rsidP="000E7C59">
            <w:pPr>
              <w:spacing w:line="276" w:lineRule="auto"/>
              <w:rPr>
                <w:sz w:val="20"/>
                <w:szCs w:val="20"/>
              </w:rPr>
            </w:pPr>
            <w:r w:rsidRPr="009E3996">
              <w:rPr>
                <w:sz w:val="20"/>
                <w:szCs w:val="20"/>
              </w:rPr>
              <w:t>R²</w:t>
            </w:r>
          </w:p>
        </w:tc>
        <w:tc>
          <w:tcPr>
            <w:tcW w:w="1633" w:type="dxa"/>
          </w:tcPr>
          <w:p w:rsidR="004119B0" w:rsidRPr="009E3996" w:rsidRDefault="004119B0" w:rsidP="000E7C59">
            <w:pPr>
              <w:spacing w:line="276" w:lineRule="auto"/>
              <w:jc w:val="center"/>
              <w:rPr>
                <w:sz w:val="20"/>
                <w:szCs w:val="20"/>
              </w:rPr>
            </w:pPr>
            <w:r w:rsidRPr="009E3996">
              <w:rPr>
                <w:sz w:val="20"/>
                <w:szCs w:val="20"/>
              </w:rPr>
              <w:t>.07</w:t>
            </w:r>
          </w:p>
        </w:tc>
        <w:tc>
          <w:tcPr>
            <w:tcW w:w="1634" w:type="dxa"/>
          </w:tcPr>
          <w:p w:rsidR="004119B0" w:rsidRPr="009E3996" w:rsidRDefault="004119B0" w:rsidP="000E7C59">
            <w:pPr>
              <w:spacing w:line="276" w:lineRule="auto"/>
              <w:jc w:val="center"/>
              <w:rPr>
                <w:sz w:val="20"/>
                <w:szCs w:val="20"/>
              </w:rPr>
            </w:pPr>
            <w:r w:rsidRPr="009E3996">
              <w:rPr>
                <w:sz w:val="20"/>
                <w:szCs w:val="20"/>
              </w:rPr>
              <w:t>.26</w:t>
            </w:r>
          </w:p>
        </w:tc>
        <w:tc>
          <w:tcPr>
            <w:tcW w:w="1634" w:type="dxa"/>
          </w:tcPr>
          <w:p w:rsidR="004119B0" w:rsidRPr="009E3996" w:rsidRDefault="004119B0" w:rsidP="000E7C59">
            <w:pPr>
              <w:spacing w:line="276" w:lineRule="auto"/>
              <w:jc w:val="center"/>
              <w:rPr>
                <w:sz w:val="20"/>
                <w:szCs w:val="20"/>
              </w:rPr>
            </w:pPr>
            <w:r w:rsidRPr="009E3996">
              <w:rPr>
                <w:sz w:val="20"/>
                <w:szCs w:val="20"/>
              </w:rPr>
              <w:t>.29</w:t>
            </w:r>
          </w:p>
        </w:tc>
      </w:tr>
      <w:tr w:rsidR="004119B0" w:rsidRPr="009E3996" w:rsidTr="000E7C59">
        <w:trPr>
          <w:jc w:val="center"/>
        </w:trPr>
        <w:tc>
          <w:tcPr>
            <w:tcW w:w="3487" w:type="dxa"/>
          </w:tcPr>
          <w:p w:rsidR="004119B0" w:rsidRPr="009E3996" w:rsidRDefault="004119B0" w:rsidP="000E7C59">
            <w:pPr>
              <w:spacing w:line="276" w:lineRule="auto"/>
              <w:rPr>
                <w:sz w:val="20"/>
                <w:szCs w:val="20"/>
              </w:rPr>
            </w:pPr>
            <w:r w:rsidRPr="009E3996">
              <w:rPr>
                <w:sz w:val="20"/>
                <w:szCs w:val="20"/>
              </w:rPr>
              <w:t>R² adjusted</w:t>
            </w:r>
          </w:p>
        </w:tc>
        <w:tc>
          <w:tcPr>
            <w:tcW w:w="1633" w:type="dxa"/>
          </w:tcPr>
          <w:p w:rsidR="004119B0" w:rsidRPr="009E3996" w:rsidRDefault="004119B0" w:rsidP="000E7C59">
            <w:pPr>
              <w:spacing w:line="276" w:lineRule="auto"/>
              <w:jc w:val="center"/>
              <w:rPr>
                <w:sz w:val="20"/>
                <w:szCs w:val="20"/>
              </w:rPr>
            </w:pPr>
            <w:r w:rsidRPr="009E3996">
              <w:rPr>
                <w:sz w:val="20"/>
                <w:szCs w:val="20"/>
              </w:rPr>
              <w:t>.02</w:t>
            </w:r>
          </w:p>
        </w:tc>
        <w:tc>
          <w:tcPr>
            <w:tcW w:w="1634" w:type="dxa"/>
          </w:tcPr>
          <w:p w:rsidR="004119B0" w:rsidRPr="009E3996" w:rsidRDefault="004119B0" w:rsidP="000E7C59">
            <w:pPr>
              <w:spacing w:line="276" w:lineRule="auto"/>
              <w:jc w:val="center"/>
              <w:rPr>
                <w:sz w:val="20"/>
                <w:szCs w:val="20"/>
              </w:rPr>
            </w:pPr>
            <w:r w:rsidRPr="009E3996">
              <w:rPr>
                <w:sz w:val="20"/>
                <w:szCs w:val="20"/>
              </w:rPr>
              <w:t>.20</w:t>
            </w:r>
          </w:p>
        </w:tc>
        <w:tc>
          <w:tcPr>
            <w:tcW w:w="1634" w:type="dxa"/>
          </w:tcPr>
          <w:p w:rsidR="004119B0" w:rsidRPr="009E3996" w:rsidRDefault="004119B0" w:rsidP="000E7C59">
            <w:pPr>
              <w:spacing w:line="276" w:lineRule="auto"/>
              <w:jc w:val="center"/>
              <w:rPr>
                <w:sz w:val="20"/>
                <w:szCs w:val="20"/>
              </w:rPr>
            </w:pPr>
            <w:r w:rsidRPr="009E3996">
              <w:rPr>
                <w:sz w:val="20"/>
                <w:szCs w:val="20"/>
              </w:rPr>
              <w:t>.22</w:t>
            </w:r>
          </w:p>
        </w:tc>
      </w:tr>
    </w:tbl>
    <w:p w:rsidR="007179D8" w:rsidRPr="009E3996" w:rsidRDefault="004119B0" w:rsidP="005243D6">
      <w:pPr>
        <w:spacing w:before="240" w:after="240"/>
        <w:rPr>
          <w:sz w:val="20"/>
          <w:szCs w:val="20"/>
        </w:rPr>
      </w:pPr>
      <w:r w:rsidRPr="009E3996">
        <w:rPr>
          <w:sz w:val="20"/>
          <w:szCs w:val="20"/>
        </w:rPr>
        <w:t xml:space="preserve">* </w:t>
      </w:r>
      <w:proofErr w:type="gramStart"/>
      <w:r w:rsidRPr="009E3996">
        <w:rPr>
          <w:sz w:val="20"/>
          <w:szCs w:val="20"/>
        </w:rPr>
        <w:t>significant</w:t>
      </w:r>
      <w:proofErr w:type="gramEnd"/>
      <w:r w:rsidRPr="009E3996">
        <w:rPr>
          <w:sz w:val="20"/>
          <w:szCs w:val="20"/>
        </w:rPr>
        <w:t xml:space="preserve"> at 10%; ** significant at 5% level; *** significant 1% . Standard errors in brackets </w:t>
      </w:r>
    </w:p>
    <w:p w:rsidR="00F611F2" w:rsidRPr="009E3996" w:rsidRDefault="00245CD9" w:rsidP="004A5CE5">
      <w:pPr>
        <w:contextualSpacing/>
        <w:rPr>
          <w:b/>
        </w:rPr>
      </w:pPr>
      <w:r w:rsidRPr="009E3996">
        <w:rPr>
          <w:b/>
        </w:rPr>
        <w:t>DISCUSSION AND CONCLUSIONS</w:t>
      </w:r>
    </w:p>
    <w:p w:rsidR="001F1395" w:rsidRPr="009E3996" w:rsidRDefault="007F625C" w:rsidP="00A83C24">
      <w:pPr>
        <w:contextualSpacing/>
      </w:pPr>
      <w:r w:rsidRPr="009E3996">
        <w:t xml:space="preserve">Our </w:t>
      </w:r>
      <w:r w:rsidR="00EB29A5" w:rsidRPr="009E3996">
        <w:t xml:space="preserve">exploratory </w:t>
      </w:r>
      <w:r w:rsidR="0036738C" w:rsidRPr="009E3996">
        <w:t xml:space="preserve">empirical </w:t>
      </w:r>
      <w:r w:rsidRPr="009E3996">
        <w:t>research</w:t>
      </w:r>
      <w:r w:rsidR="0036738C" w:rsidRPr="009E3996">
        <w:t xml:space="preserve">, based on a </w:t>
      </w:r>
      <w:r w:rsidR="00EB29A5" w:rsidRPr="009E3996">
        <w:t>hybrid methodological</w:t>
      </w:r>
      <w:r w:rsidR="0036738C" w:rsidRPr="009E3996">
        <w:t xml:space="preserve"> approach,</w:t>
      </w:r>
      <w:r w:rsidRPr="009E3996">
        <w:t xml:space="preserve"> indicates that in terms of the governance of their collaborative innovative </w:t>
      </w:r>
      <w:r w:rsidR="00B969A1" w:rsidRPr="009E3996">
        <w:t>activiti</w:t>
      </w:r>
      <w:r w:rsidRPr="009E3996">
        <w:t xml:space="preserve">es, firms active in </w:t>
      </w:r>
      <w:r w:rsidR="00236422" w:rsidRPr="009E3996">
        <w:t xml:space="preserve">firm-to-firm </w:t>
      </w:r>
      <w:r w:rsidR="00713DEF" w:rsidRPr="009E3996">
        <w:t>OI</w:t>
      </w:r>
      <w:r w:rsidRPr="009E3996">
        <w:t xml:space="preserve"> appear to follow a somewhat ‘</w:t>
      </w:r>
      <w:r w:rsidR="00DB1056" w:rsidRPr="009E3996">
        <w:t xml:space="preserve">unadventurous’ </w:t>
      </w:r>
      <w:r w:rsidRPr="009E3996">
        <w:t>strategy</w:t>
      </w:r>
      <w:r w:rsidR="00373E45" w:rsidRPr="009E3996">
        <w:t>. This strategy is</w:t>
      </w:r>
      <w:r w:rsidRPr="009E3996">
        <w:t xml:space="preserve"> much more in line </w:t>
      </w:r>
      <w:r w:rsidR="00373E45" w:rsidRPr="009E3996">
        <w:t xml:space="preserve">with </w:t>
      </w:r>
      <w:r w:rsidRPr="009E3996">
        <w:t>what could be expected according to well-accepted organi</w:t>
      </w:r>
      <w:r w:rsidR="00F570FA" w:rsidRPr="009E3996">
        <w:t xml:space="preserve">zational economics theory (e.g. </w:t>
      </w:r>
      <w:r w:rsidRPr="009E3996">
        <w:t xml:space="preserve">Williamson, </w:t>
      </w:r>
      <w:r w:rsidR="00794122" w:rsidRPr="009E3996">
        <w:t>1985</w:t>
      </w:r>
      <w:r w:rsidR="00AE7665" w:rsidRPr="009E3996">
        <w:t xml:space="preserve">; </w:t>
      </w:r>
      <w:r w:rsidR="00A72B20" w:rsidRPr="009E3996">
        <w:t>1996</w:t>
      </w:r>
      <w:r w:rsidR="00794122" w:rsidRPr="009E3996">
        <w:t xml:space="preserve">) that is closer to </w:t>
      </w:r>
      <w:proofErr w:type="spellStart"/>
      <w:r w:rsidR="00794122" w:rsidRPr="009E3996">
        <w:t>Chesbrough</w:t>
      </w:r>
      <w:proofErr w:type="spellEnd"/>
      <w:r w:rsidR="00794122" w:rsidRPr="009E3996">
        <w:t xml:space="preserve"> (2006</w:t>
      </w:r>
      <w:r w:rsidR="009915A0" w:rsidRPr="009E3996">
        <w:t>a,b</w:t>
      </w:r>
      <w:r w:rsidR="00794122" w:rsidRPr="009E3996">
        <w:t xml:space="preserve">) than </w:t>
      </w:r>
      <w:r w:rsidR="00390038" w:rsidRPr="009E3996">
        <w:t xml:space="preserve">to </w:t>
      </w:r>
      <w:r w:rsidR="00794122" w:rsidRPr="009E3996">
        <w:t>a</w:t>
      </w:r>
      <w:r w:rsidR="00236422" w:rsidRPr="009E3996">
        <w:t>n alternative</w:t>
      </w:r>
      <w:r w:rsidR="00BB5673" w:rsidRPr="009E3996">
        <w:t xml:space="preserve"> </w:t>
      </w:r>
      <w:r w:rsidR="00713DEF" w:rsidRPr="009E3996">
        <w:t>OI</w:t>
      </w:r>
      <w:r w:rsidR="00BB5673" w:rsidRPr="009E3996">
        <w:t xml:space="preserve"> </w:t>
      </w:r>
      <w:r w:rsidR="00794122" w:rsidRPr="009E3996">
        <w:lastRenderedPageBreak/>
        <w:t>approa</w:t>
      </w:r>
      <w:r w:rsidR="00373E45" w:rsidRPr="009E3996">
        <w:t xml:space="preserve">ch, as </w:t>
      </w:r>
      <w:r w:rsidR="003A6E82" w:rsidRPr="009E3996">
        <w:t>advocated by</w:t>
      </w:r>
      <w:r w:rsidR="007179D8" w:rsidRPr="009E3996">
        <w:t>, for instance,</w:t>
      </w:r>
      <w:r w:rsidR="003A6E82" w:rsidRPr="009E3996">
        <w:t xml:space="preserve"> Baldwin and von Hippel (2011), von Hippel and von Krogh (2006) and </w:t>
      </w:r>
      <w:proofErr w:type="spellStart"/>
      <w:r w:rsidR="003A6E82" w:rsidRPr="009E3996">
        <w:t>Pénin</w:t>
      </w:r>
      <w:proofErr w:type="spellEnd"/>
      <w:r w:rsidR="003A6E82" w:rsidRPr="009E3996">
        <w:t xml:space="preserve"> (2011).</w:t>
      </w:r>
      <w:r w:rsidR="00390038" w:rsidRPr="009E3996">
        <w:t xml:space="preserve"> Rather than engaging in ope</w:t>
      </w:r>
      <w:r w:rsidR="00EC38CB">
        <w:t>n disclosure and free revealing</w:t>
      </w:r>
      <w:r w:rsidR="00390038" w:rsidRPr="009E3996">
        <w:t xml:space="preserve">, firms </w:t>
      </w:r>
      <w:r w:rsidR="00723747" w:rsidRPr="009E3996">
        <w:t xml:space="preserve">seem to </w:t>
      </w:r>
      <w:r w:rsidR="00390038" w:rsidRPr="009E3996">
        <w:t xml:space="preserve">use formal contracts to organize their </w:t>
      </w:r>
      <w:r w:rsidR="00713DEF" w:rsidRPr="009E3996">
        <w:t>OI</w:t>
      </w:r>
      <w:r w:rsidR="00390038" w:rsidRPr="009E3996">
        <w:t xml:space="preserve"> activities with specific partner</w:t>
      </w:r>
      <w:r w:rsidR="00236422" w:rsidRPr="009E3996">
        <w:t xml:space="preserve"> firm</w:t>
      </w:r>
      <w:r w:rsidR="00390038" w:rsidRPr="009E3996">
        <w:t xml:space="preserve">s. </w:t>
      </w:r>
      <w:r w:rsidR="00E5543E" w:rsidRPr="009E3996">
        <w:t xml:space="preserve">However, given the flexibility required by </w:t>
      </w:r>
      <w:r w:rsidR="002E5A38" w:rsidRPr="009E3996">
        <w:t xml:space="preserve">these </w:t>
      </w:r>
      <w:r w:rsidR="00E5543E" w:rsidRPr="009E3996">
        <w:t>innovative activities with a range of partners</w:t>
      </w:r>
      <w:r w:rsidR="00390038" w:rsidRPr="009E3996">
        <w:t xml:space="preserve">, </w:t>
      </w:r>
      <w:r w:rsidR="00E5543E" w:rsidRPr="009E3996">
        <w:t>where the objectives</w:t>
      </w:r>
      <w:r w:rsidR="002E5A38" w:rsidRPr="009E3996">
        <w:t xml:space="preserve"> of collaboration</w:t>
      </w:r>
      <w:r w:rsidR="00E5543E" w:rsidRPr="009E3996">
        <w:t xml:space="preserve"> might change over time, these </w:t>
      </w:r>
      <w:r w:rsidR="00713DEF" w:rsidRPr="009E3996">
        <w:t>OI</w:t>
      </w:r>
      <w:r w:rsidR="00E5543E" w:rsidRPr="009E3996">
        <w:t xml:space="preserve"> </w:t>
      </w:r>
      <w:r w:rsidR="004F6FE7" w:rsidRPr="009E3996">
        <w:t>contracts are</w:t>
      </w:r>
      <w:r w:rsidR="00044D06" w:rsidRPr="009E3996">
        <w:t xml:space="preserve"> not to be characterized as</w:t>
      </w:r>
      <w:r w:rsidR="00A5530B" w:rsidRPr="009E3996">
        <w:t xml:space="preserve"> discrete, standard contracts but</w:t>
      </w:r>
      <w:r w:rsidR="00AC1EF7" w:rsidRPr="009E3996">
        <w:t xml:space="preserve"> as </w:t>
      </w:r>
      <w:r w:rsidR="004F6FE7" w:rsidRPr="009E3996">
        <w:t>subject to flexible private ordering (</w:t>
      </w:r>
      <w:proofErr w:type="spellStart"/>
      <w:r w:rsidR="007B29C3" w:rsidRPr="009E3996">
        <w:t>Almirall</w:t>
      </w:r>
      <w:proofErr w:type="spellEnd"/>
      <w:r w:rsidR="007B29C3" w:rsidRPr="009E3996">
        <w:t xml:space="preserve"> and </w:t>
      </w:r>
      <w:proofErr w:type="spellStart"/>
      <w:r w:rsidR="007B29C3" w:rsidRPr="009E3996">
        <w:t>Casadesus-M</w:t>
      </w:r>
      <w:r w:rsidR="006D1DB5" w:rsidRPr="009E3996">
        <w:t>asanell</w:t>
      </w:r>
      <w:proofErr w:type="spellEnd"/>
      <w:r w:rsidR="006D1DB5" w:rsidRPr="009E3996">
        <w:t>, 2010</w:t>
      </w:r>
      <w:r w:rsidR="004F6FE7" w:rsidRPr="009E3996">
        <w:t>;</w:t>
      </w:r>
      <w:r w:rsidR="00A5530B" w:rsidRPr="009E3996">
        <w:t xml:space="preserve"> Hagedoorn and </w:t>
      </w:r>
      <w:proofErr w:type="spellStart"/>
      <w:r w:rsidR="00A5530B" w:rsidRPr="009E3996">
        <w:t>Hesen</w:t>
      </w:r>
      <w:proofErr w:type="spellEnd"/>
      <w:r w:rsidR="00A5530B" w:rsidRPr="009E3996">
        <w:t>, 2007;</w:t>
      </w:r>
      <w:r w:rsidR="004F6FE7" w:rsidRPr="009E3996">
        <w:t xml:space="preserve"> Lee, </w:t>
      </w:r>
      <w:proofErr w:type="spellStart"/>
      <w:r w:rsidR="004F6FE7" w:rsidRPr="009E3996">
        <w:t>Nystén-Haarala</w:t>
      </w:r>
      <w:proofErr w:type="spellEnd"/>
      <w:r w:rsidR="004F6FE7" w:rsidRPr="009E3996">
        <w:t xml:space="preserve">, and </w:t>
      </w:r>
      <w:proofErr w:type="spellStart"/>
      <w:r w:rsidR="004F6FE7" w:rsidRPr="009E3996">
        <w:t>Huhtilaienen</w:t>
      </w:r>
      <w:proofErr w:type="spellEnd"/>
      <w:r w:rsidR="004F6FE7" w:rsidRPr="009E3996">
        <w:t>, 2010).</w:t>
      </w:r>
      <w:r w:rsidR="002E5A38" w:rsidRPr="009E3996">
        <w:t xml:space="preserve"> Also, both the control and the monitoring dimension</w:t>
      </w:r>
      <w:r w:rsidR="00535BE3" w:rsidRPr="009E3996">
        <w:t>s</w:t>
      </w:r>
      <w:r w:rsidR="002E5A38" w:rsidRPr="009E3996">
        <w:t xml:space="preserve"> of contracts, the degree to which firms use contracts</w:t>
      </w:r>
      <w:r w:rsidR="005834A4" w:rsidRPr="009E3996">
        <w:t xml:space="preserve"> from a legal or from a </w:t>
      </w:r>
      <w:r w:rsidR="007F6164" w:rsidRPr="009E3996">
        <w:t>practical</w:t>
      </w:r>
      <w:r w:rsidR="009772AE" w:rsidRPr="009E3996">
        <w:t xml:space="preserve"> </w:t>
      </w:r>
      <w:r w:rsidR="005834A4" w:rsidRPr="009E3996">
        <w:t xml:space="preserve">process </w:t>
      </w:r>
      <w:r w:rsidR="00723747" w:rsidRPr="009E3996">
        <w:t>perspective, appear to be</w:t>
      </w:r>
      <w:r w:rsidR="005834A4" w:rsidRPr="009E3996">
        <w:t xml:space="preserve"> relevant for </w:t>
      </w:r>
      <w:r w:rsidR="00713DEF" w:rsidRPr="009E3996">
        <w:t>OI</w:t>
      </w:r>
      <w:r w:rsidR="005834A4" w:rsidRPr="009E3996">
        <w:t xml:space="preserve"> </w:t>
      </w:r>
      <w:r w:rsidR="008274F5" w:rsidRPr="009E3996">
        <w:t>.</w:t>
      </w:r>
    </w:p>
    <w:p w:rsidR="00522772" w:rsidRPr="009E3996" w:rsidRDefault="00CE4B61" w:rsidP="001E496A">
      <w:pPr>
        <w:ind w:firstLine="720"/>
        <w:contextualSpacing/>
      </w:pPr>
      <w:r w:rsidRPr="009E3996">
        <w:t>Additionally, i</w:t>
      </w:r>
      <w:r w:rsidR="00522772" w:rsidRPr="009E3996">
        <w:t xml:space="preserve">n line with those contributions that stress the relevance of IPR (e.g. </w:t>
      </w:r>
      <w:r w:rsidR="001E496A" w:rsidRPr="009E3996">
        <w:t>Al-</w:t>
      </w:r>
      <w:proofErr w:type="spellStart"/>
      <w:r w:rsidR="001E496A" w:rsidRPr="009E3996">
        <w:t>Aali</w:t>
      </w:r>
      <w:proofErr w:type="spellEnd"/>
      <w:r w:rsidR="001E496A" w:rsidRPr="009E3996">
        <w:t xml:space="preserve"> and </w:t>
      </w:r>
      <w:proofErr w:type="spellStart"/>
      <w:r w:rsidR="001E496A" w:rsidRPr="009E3996">
        <w:t>Teece</w:t>
      </w:r>
      <w:proofErr w:type="spellEnd"/>
      <w:r w:rsidR="001E496A" w:rsidRPr="009E3996">
        <w:t xml:space="preserve">, 2013; </w:t>
      </w:r>
      <w:proofErr w:type="spellStart"/>
      <w:r w:rsidR="00522772" w:rsidRPr="009E3996">
        <w:t>Dubiansky</w:t>
      </w:r>
      <w:proofErr w:type="spellEnd"/>
      <w:r w:rsidR="00522772" w:rsidRPr="009E3996">
        <w:t xml:space="preserve">, 2006; Graham and Mowery, 2006; Pisano and </w:t>
      </w:r>
      <w:proofErr w:type="spellStart"/>
      <w:r w:rsidR="00522772" w:rsidRPr="009E3996">
        <w:t>Teece</w:t>
      </w:r>
      <w:proofErr w:type="spellEnd"/>
      <w:r w:rsidR="00522772" w:rsidRPr="009E3996">
        <w:t xml:space="preserve">, 2007; </w:t>
      </w:r>
      <w:proofErr w:type="spellStart"/>
      <w:r w:rsidR="00522772" w:rsidRPr="009E3996">
        <w:t>Sandulli</w:t>
      </w:r>
      <w:proofErr w:type="spellEnd"/>
      <w:r w:rsidR="00522772" w:rsidRPr="009E3996">
        <w:t xml:space="preserve"> and </w:t>
      </w:r>
      <w:proofErr w:type="spellStart"/>
      <w:r w:rsidR="00522772" w:rsidRPr="009E3996">
        <w:t>Chesbrough</w:t>
      </w:r>
      <w:proofErr w:type="spellEnd"/>
      <w:r w:rsidR="00522772" w:rsidRPr="009E3996">
        <w:t>, 2009</w:t>
      </w:r>
      <w:r w:rsidR="005F583C" w:rsidRPr="009E3996">
        <w:t>; de Jong et al., 2010</w:t>
      </w:r>
      <w:r w:rsidR="00522772" w:rsidRPr="009E3996">
        <w:t xml:space="preserve">) and unlike contributions that emphasize the need for only limited or no </w:t>
      </w:r>
      <w:proofErr w:type="spellStart"/>
      <w:r w:rsidR="00522772" w:rsidRPr="009E3996">
        <w:t>appropriability</w:t>
      </w:r>
      <w:proofErr w:type="spellEnd"/>
      <w:r w:rsidR="00522772" w:rsidRPr="009E3996">
        <w:t xml:space="preserve"> of </w:t>
      </w:r>
      <w:r w:rsidR="00713DEF" w:rsidRPr="009E3996">
        <w:t>OI</w:t>
      </w:r>
      <w:r w:rsidR="00522772" w:rsidRPr="009E3996">
        <w:t xml:space="preserve"> activities (e.g. </w:t>
      </w:r>
      <w:proofErr w:type="spellStart"/>
      <w:r w:rsidR="00522772" w:rsidRPr="009E3996">
        <w:t>Pénin</w:t>
      </w:r>
      <w:proofErr w:type="spellEnd"/>
      <w:r w:rsidR="00522772" w:rsidRPr="009E3996">
        <w:t xml:space="preserve">, 2011; von Hippel and von Krogh, 2003), firms active in </w:t>
      </w:r>
      <w:r w:rsidR="00713DEF" w:rsidRPr="009E3996">
        <w:t>OI</w:t>
      </w:r>
      <w:r w:rsidR="00522772" w:rsidRPr="009E3996">
        <w:t xml:space="preserve"> appear to prefer to systematically protect their innovative capabilities from their </w:t>
      </w:r>
      <w:r w:rsidR="00713DEF" w:rsidRPr="009E3996">
        <w:t>OI</w:t>
      </w:r>
      <w:r w:rsidR="00522772" w:rsidRPr="009E3996">
        <w:t xml:space="preserve"> partner firms. There are differences with regard to the degree to which separate elements of IPR are used by </w:t>
      </w:r>
      <w:r w:rsidR="00713DEF" w:rsidRPr="009E3996">
        <w:t>OI</w:t>
      </w:r>
      <w:r w:rsidR="00522772" w:rsidRPr="009E3996">
        <w:t xml:space="preserve"> firms but the overall preference for using IPR is manifest across the board. In addition, IPR are relevant indicators of the innovative capabilities of firms and as such IPR can also signal the attractiveness of firms to their (potential) </w:t>
      </w:r>
      <w:r w:rsidR="00713DEF" w:rsidRPr="009E3996">
        <w:t>OI</w:t>
      </w:r>
      <w:r w:rsidR="00522772" w:rsidRPr="009E3996">
        <w:t xml:space="preserve"> partners. </w:t>
      </w:r>
    </w:p>
    <w:p w:rsidR="007179D8" w:rsidRPr="009E3996" w:rsidRDefault="002628E8" w:rsidP="005243D6">
      <w:pPr>
        <w:ind w:firstLine="720"/>
        <w:contextualSpacing/>
      </w:pPr>
      <w:r w:rsidRPr="009E3996">
        <w:t>Given</w:t>
      </w:r>
      <w:r w:rsidR="007361AD" w:rsidRPr="009E3996">
        <w:t xml:space="preserve"> </w:t>
      </w:r>
      <w:r w:rsidRPr="009E3996">
        <w:t>firms’ preference</w:t>
      </w:r>
      <w:r w:rsidR="009E03D8" w:rsidRPr="009E3996">
        <w:t>s</w:t>
      </w:r>
      <w:r w:rsidRPr="009E3996">
        <w:t xml:space="preserve"> for using IPR in an </w:t>
      </w:r>
      <w:r w:rsidR="00713DEF" w:rsidRPr="009E3996">
        <w:t>OI</w:t>
      </w:r>
      <w:r w:rsidRPr="009E3996">
        <w:t xml:space="preserve"> context to protect their innovative capabilities, it is of interest to investigate factors that drive these </w:t>
      </w:r>
      <w:r w:rsidR="00713DEF" w:rsidRPr="009E3996">
        <w:t>OI</w:t>
      </w:r>
      <w:r w:rsidRPr="009E3996">
        <w:t xml:space="preserve"> firms’ </w:t>
      </w:r>
      <w:r w:rsidR="00045483" w:rsidRPr="009E3996">
        <w:t>preference for</w:t>
      </w:r>
      <w:r w:rsidRPr="009E3996">
        <w:t xml:space="preserve"> IPR. </w:t>
      </w:r>
      <w:r w:rsidR="00E259C9" w:rsidRPr="009E3996">
        <w:t>In a first attem</w:t>
      </w:r>
      <w:r w:rsidRPr="009E3996">
        <w:t>pt to explain this</w:t>
      </w:r>
      <w:r w:rsidR="00E259C9" w:rsidRPr="009E3996">
        <w:t xml:space="preserve"> preference</w:t>
      </w:r>
      <w:r w:rsidR="007361AD" w:rsidRPr="009E3996">
        <w:t>,</w:t>
      </w:r>
      <w:r w:rsidR="00E259C9" w:rsidRPr="009E3996">
        <w:t xml:space="preserve"> we find internal firm characteristics and a more general external determinant to be associated with this preference. The openness of firms, their </w:t>
      </w:r>
      <w:r w:rsidR="00746B97" w:rsidRPr="009E3996">
        <w:t>formal legal</w:t>
      </w:r>
      <w:r w:rsidR="00E259C9" w:rsidRPr="009E3996">
        <w:t xml:space="preserve"> attitude, and the dynamic competitive nature of their product market </w:t>
      </w:r>
      <w:r w:rsidR="00E259C9" w:rsidRPr="009E3996">
        <w:lastRenderedPageBreak/>
        <w:t>environment are associated wi</w:t>
      </w:r>
      <w:r w:rsidR="00EC38CB">
        <w:t xml:space="preserve">th a higher preference for IPR. </w:t>
      </w:r>
      <w:r w:rsidR="00176C07" w:rsidRPr="009E3996">
        <w:t>While we find that stronger</w:t>
      </w:r>
      <w:r w:rsidR="00A5021F" w:rsidRPr="009E3996">
        <w:t xml:space="preserve"> </w:t>
      </w:r>
      <w:r w:rsidR="00176C07" w:rsidRPr="009E3996">
        <w:t>R&amp;D capabilities as such</w:t>
      </w:r>
      <w:r w:rsidR="00A5021F" w:rsidRPr="009E3996">
        <w:t xml:space="preserve">, do not lead to an increased preference for IPR protection, </w:t>
      </w:r>
      <w:r w:rsidR="00176C07" w:rsidRPr="009E3996">
        <w:t>these stronger</w:t>
      </w:r>
      <w:r w:rsidR="00A5021F" w:rsidRPr="009E3996">
        <w:t xml:space="preserve"> R&amp;D capabilities do matter in the context of increasing degrees of openness. The results show that </w:t>
      </w:r>
      <w:r w:rsidR="008347E6" w:rsidRPr="009E3996">
        <w:t xml:space="preserve">for stronger R&amp;D capabilities the positive influence of openness on IPR protection is augmented. </w:t>
      </w:r>
    </w:p>
    <w:p w:rsidR="007179D8" w:rsidRPr="009E3996" w:rsidRDefault="009E2C5F" w:rsidP="005243D6">
      <w:pPr>
        <w:ind w:firstLine="720"/>
        <w:contextualSpacing/>
      </w:pPr>
      <w:r w:rsidRPr="009E3996">
        <w:t>To conclude, o</w:t>
      </w:r>
      <w:r w:rsidR="00E06C82" w:rsidRPr="009E3996">
        <w:t>u</w:t>
      </w:r>
      <w:r w:rsidR="00446045" w:rsidRPr="009E3996">
        <w:t xml:space="preserve">r exploratory empirical study contributes to the </w:t>
      </w:r>
      <w:r w:rsidR="00777250" w:rsidRPr="009E3996">
        <w:t xml:space="preserve">OI </w:t>
      </w:r>
      <w:r w:rsidR="00446045" w:rsidRPr="009E3996">
        <w:t xml:space="preserve">literature by elaborating on the role of contracts and IPR and providing some preliminary tests on what drives firms’ preferences for IPR. </w:t>
      </w:r>
      <w:r w:rsidR="00490531" w:rsidRPr="009E3996">
        <w:t xml:space="preserve">First, our qualitative analysis expands our understanding of the governance of </w:t>
      </w:r>
      <w:r w:rsidR="00777250" w:rsidRPr="009E3996">
        <w:t xml:space="preserve">OI </w:t>
      </w:r>
      <w:r w:rsidR="00490531" w:rsidRPr="009E3996">
        <w:t>by shedding some light on the underlying mechanisms and processes of contracting and IPR. In particular</w:t>
      </w:r>
      <w:r w:rsidR="00E06C82" w:rsidRPr="009E3996">
        <w:t>, it elucidates</w:t>
      </w:r>
      <w:r w:rsidR="00490531" w:rsidRPr="009E3996">
        <w:t xml:space="preserve"> </w:t>
      </w:r>
      <w:r w:rsidR="00777250" w:rsidRPr="009E3996">
        <w:t xml:space="preserve">aspects of </w:t>
      </w:r>
      <w:r w:rsidR="00490531" w:rsidRPr="009E3996">
        <w:t xml:space="preserve">the content (i.e. contractual clauses), purposes (i.e. control and monitoring), process (i.e. term sheets for negotiation), and dynamics (i.e. flexible private ordering) of contracting in an </w:t>
      </w:r>
      <w:r w:rsidR="00777250" w:rsidRPr="009E3996">
        <w:t>OI</w:t>
      </w:r>
      <w:r w:rsidR="00490531" w:rsidRPr="009E3996">
        <w:t xml:space="preserve"> context. Furthermore, it provides a better understanding of the implementation and purpose of IPR (e.g. to evaluate potential partners or as a signaling device) when dealing with </w:t>
      </w:r>
      <w:r w:rsidR="00777250" w:rsidRPr="009E3996">
        <w:t xml:space="preserve">OI </w:t>
      </w:r>
      <w:r w:rsidR="00490531" w:rsidRPr="009E3996">
        <w:t xml:space="preserve">partners. Second, our quantitative analysis demonstrates how the preference for IPR in the context of </w:t>
      </w:r>
      <w:r w:rsidR="00777250" w:rsidRPr="009E3996">
        <w:t xml:space="preserve">OI </w:t>
      </w:r>
      <w:r w:rsidR="00490531" w:rsidRPr="009E3996">
        <w:t xml:space="preserve">is associated </w:t>
      </w:r>
      <w:r w:rsidR="007179D8" w:rsidRPr="009E3996">
        <w:t xml:space="preserve">with </w:t>
      </w:r>
      <w:r w:rsidR="00490531" w:rsidRPr="009E3996">
        <w:t xml:space="preserve">internal managerial factors (i.e. openness, formal legal attitude, and the interaction of openness and R&amp;D capabilities), as well as conditioned by the external environment (competitive dynamics). </w:t>
      </w:r>
      <w:r w:rsidR="00446045" w:rsidRPr="009E3996">
        <w:t>So far, m</w:t>
      </w:r>
      <w:r w:rsidR="00DE5E62" w:rsidRPr="009E3996">
        <w:t xml:space="preserve">ost insights regarding </w:t>
      </w:r>
      <w:r w:rsidR="00490531" w:rsidRPr="009E3996">
        <w:t xml:space="preserve">preferences for IPR in an </w:t>
      </w:r>
      <w:r w:rsidR="00777250" w:rsidRPr="009E3996">
        <w:t xml:space="preserve">OI </w:t>
      </w:r>
      <w:r w:rsidR="00490531" w:rsidRPr="009E3996">
        <w:t>context are</w:t>
      </w:r>
      <w:r w:rsidR="00DE5E62" w:rsidRPr="009E3996">
        <w:t xml:space="preserve"> based on data from the Community Innovation Survey (e.g. Laursen &amp; Salter, 2014), which is limited to more general categories that are not explicitly placed into the context of </w:t>
      </w:r>
      <w:r w:rsidR="00777250" w:rsidRPr="009E3996">
        <w:t>OI</w:t>
      </w:r>
      <w:r w:rsidR="00DE5E62" w:rsidRPr="009E3996">
        <w:t xml:space="preserve">. Our study can add to these insights since our data allows us to place questions regarding governance and IP directly into the context of </w:t>
      </w:r>
      <w:r w:rsidR="00777250" w:rsidRPr="009E3996">
        <w:t>OI</w:t>
      </w:r>
      <w:r w:rsidR="007179D8" w:rsidRPr="009E3996">
        <w:t>.</w:t>
      </w:r>
      <w:r w:rsidR="00DE5E62" w:rsidRPr="009E3996">
        <w:t xml:space="preserve"> </w:t>
      </w:r>
      <w:r w:rsidR="00E0046C" w:rsidRPr="009E3996">
        <w:t xml:space="preserve">As a result, it allows us to shed some light on the dichotomy in the literature regarding the role of contracts and IPR in </w:t>
      </w:r>
      <w:r w:rsidR="00777250" w:rsidRPr="009E3996">
        <w:t>OI</w:t>
      </w:r>
      <w:r w:rsidR="00E0046C" w:rsidRPr="009E3996">
        <w:t xml:space="preserve">, </w:t>
      </w:r>
      <w:r w:rsidR="00E06C82" w:rsidRPr="009E3996">
        <w:t xml:space="preserve">explicate some underlying mechanisms, </w:t>
      </w:r>
      <w:r w:rsidR="00E0046C" w:rsidRPr="009E3996">
        <w:t xml:space="preserve">as well as offer some first explanations regarding </w:t>
      </w:r>
      <w:r w:rsidR="00126572" w:rsidRPr="009E3996">
        <w:t>the</w:t>
      </w:r>
      <w:r w:rsidR="00E0046C" w:rsidRPr="009E3996">
        <w:t xml:space="preserve"> preferences for IPR </w:t>
      </w:r>
      <w:r w:rsidR="00126572" w:rsidRPr="009E3996">
        <w:t xml:space="preserve">as shaped by specific </w:t>
      </w:r>
      <w:r w:rsidR="00E0046C" w:rsidRPr="009E3996">
        <w:t xml:space="preserve">firm-internal and external factors. </w:t>
      </w:r>
      <w:r w:rsidR="008E281C" w:rsidRPr="009E3996">
        <w:tab/>
      </w:r>
    </w:p>
    <w:p w:rsidR="006E1658" w:rsidRPr="009E3996" w:rsidRDefault="00E0046C" w:rsidP="005243D6">
      <w:pPr>
        <w:ind w:firstLine="720"/>
        <w:contextualSpacing/>
      </w:pPr>
      <w:r w:rsidRPr="009E3996">
        <w:lastRenderedPageBreak/>
        <w:t xml:space="preserve">Finally, </w:t>
      </w:r>
      <w:r w:rsidR="00297F86" w:rsidRPr="009E3996">
        <w:t>while this study</w:t>
      </w:r>
      <w:r w:rsidRPr="009E3996">
        <w:t xml:space="preserve"> does provide us with</w:t>
      </w:r>
      <w:r w:rsidR="00297F86" w:rsidRPr="009E3996">
        <w:t xml:space="preserve"> some new insights, </w:t>
      </w:r>
      <w:r w:rsidRPr="009E3996">
        <w:t xml:space="preserve">it also has some shortcomings. </w:t>
      </w:r>
      <w:r w:rsidR="00C62171" w:rsidRPr="009E3996">
        <w:t xml:space="preserve">Most prominently: our sample is, despite several attempts to increase its size, relatively small which not only limits the extent to which we can analyze various firm and industry characteristics associated with </w:t>
      </w:r>
      <w:r w:rsidR="00713DEF" w:rsidRPr="009E3996">
        <w:t xml:space="preserve">OI </w:t>
      </w:r>
      <w:r w:rsidR="00C62171" w:rsidRPr="009E3996">
        <w:t xml:space="preserve">, it also </w:t>
      </w:r>
      <w:r w:rsidR="0012533B" w:rsidRPr="009E3996">
        <w:t>limits the degree to which we can generalize our fin</w:t>
      </w:r>
      <w:r w:rsidR="00E204BA" w:rsidRPr="009E3996">
        <w:t>dings. As such, our research is a modest contribution,</w:t>
      </w:r>
      <w:r w:rsidR="008274F5" w:rsidRPr="009E3996">
        <w:t xml:space="preserve"> </w:t>
      </w:r>
      <w:r w:rsidR="00E204BA" w:rsidRPr="009E3996">
        <w:t xml:space="preserve">albeit one of the first contributions, </w:t>
      </w:r>
      <w:r w:rsidR="008274F5" w:rsidRPr="009E3996">
        <w:t>to</w:t>
      </w:r>
      <w:r w:rsidR="00E204BA" w:rsidRPr="009E3996">
        <w:t xml:space="preserve"> </w:t>
      </w:r>
      <w:r w:rsidR="0012533B" w:rsidRPr="009E3996">
        <w:t xml:space="preserve">a research agenda that </w:t>
      </w:r>
      <w:r w:rsidR="00D53DF4" w:rsidRPr="009E3996">
        <w:t xml:space="preserve">empirically </w:t>
      </w:r>
      <w:r w:rsidR="0012533B" w:rsidRPr="009E3996">
        <w:t xml:space="preserve">considers the governance of </w:t>
      </w:r>
      <w:r w:rsidR="00713DEF" w:rsidRPr="009E3996">
        <w:t>OI</w:t>
      </w:r>
      <w:r w:rsidR="0012533B" w:rsidRPr="009E3996">
        <w:t xml:space="preserve"> and the role of various legal and contractual implications of </w:t>
      </w:r>
      <w:r w:rsidR="00713DEF" w:rsidRPr="009E3996">
        <w:t>OI</w:t>
      </w:r>
      <w:r w:rsidR="0012533B" w:rsidRPr="009E3996">
        <w:t xml:space="preserve">. </w:t>
      </w:r>
    </w:p>
    <w:p w:rsidR="00D53074" w:rsidRPr="009E3996" w:rsidRDefault="006E1658">
      <w:pPr>
        <w:contextualSpacing/>
      </w:pPr>
      <w:r w:rsidRPr="009E3996">
        <w:tab/>
      </w:r>
      <w:r w:rsidR="00A27EF8" w:rsidRPr="009E3996">
        <w:t>F</w:t>
      </w:r>
      <w:r w:rsidR="00777250" w:rsidRPr="009E3996">
        <w:t>uture research should conduct</w:t>
      </w:r>
      <w:r w:rsidRPr="009E3996">
        <w:t xml:space="preserve"> a more detailed analysis of the actual contractual design of </w:t>
      </w:r>
      <w:r w:rsidR="00713DEF" w:rsidRPr="009E3996">
        <w:t>OI</w:t>
      </w:r>
      <w:r w:rsidRPr="009E3996">
        <w:t xml:space="preserve"> partnerships and the possible differences in contracts with a range of </w:t>
      </w:r>
      <w:r w:rsidR="00713DEF" w:rsidRPr="009E3996">
        <w:t>OI</w:t>
      </w:r>
      <w:r w:rsidRPr="009E3996">
        <w:t xml:space="preserve"> actors (competitors, customers, suppliers, research laboratories, universities) are important topics for future research. Also, given the various IPR options for firms that engage in </w:t>
      </w:r>
      <w:r w:rsidR="00713DEF" w:rsidRPr="009E3996">
        <w:t>OI</w:t>
      </w:r>
      <w:r w:rsidRPr="009E3996">
        <w:t xml:space="preserve">, an interesting question for future research refers to the conditions (e.g. industry conditions, phase of the joint innovation project, nature of innovativeness of partners, </w:t>
      </w:r>
      <w:r w:rsidR="00332BE2" w:rsidRPr="009E3996">
        <w:t xml:space="preserve">nature of knowledge transfer) </w:t>
      </w:r>
      <w:r w:rsidRPr="009E3996">
        <w:t xml:space="preserve">under which </w:t>
      </w:r>
      <w:r w:rsidR="00713DEF" w:rsidRPr="009E3996">
        <w:t>OI</w:t>
      </w:r>
      <w:r w:rsidRPr="009E3996">
        <w:t xml:space="preserve"> firms would opt for one or the other specific IPR mechanism.</w:t>
      </w:r>
      <w:r w:rsidR="008E5654" w:rsidRPr="009E3996">
        <w:t xml:space="preserve"> Given the changing</w:t>
      </w:r>
      <w:r w:rsidR="00332BE2" w:rsidRPr="009E3996">
        <w:t xml:space="preserve"> nature of the innovation process and the apparent growing ‘popularity’ of </w:t>
      </w:r>
      <w:r w:rsidR="00713DEF" w:rsidRPr="009E3996">
        <w:t>OI</w:t>
      </w:r>
      <w:r w:rsidR="00332BE2" w:rsidRPr="009E3996">
        <w:t xml:space="preserve">, future research will have to be of a </w:t>
      </w:r>
      <w:r w:rsidR="008E5654" w:rsidRPr="009E3996">
        <w:t xml:space="preserve">dynamic </w:t>
      </w:r>
      <w:r w:rsidR="00332BE2" w:rsidRPr="009E3996">
        <w:t xml:space="preserve">nature to study these topics from a perspective of changing rather than static conditions. </w:t>
      </w:r>
    </w:p>
    <w:p w:rsidR="00D53074" w:rsidRPr="009E3996" w:rsidRDefault="00D53074">
      <w:pPr>
        <w:contextualSpacing/>
      </w:pPr>
    </w:p>
    <w:p w:rsidR="00CE6145" w:rsidRPr="00CE6145" w:rsidRDefault="00C47F5D" w:rsidP="00CE6145">
      <w:pPr>
        <w:contextualSpacing/>
      </w:pPr>
      <w:r w:rsidRPr="009E3996">
        <w:rPr>
          <w:b/>
        </w:rPr>
        <w:br w:type="page"/>
      </w:r>
      <w:r w:rsidR="00CE6145" w:rsidRPr="00637B28">
        <w:rPr>
          <w:b/>
        </w:rPr>
        <w:lastRenderedPageBreak/>
        <w:t xml:space="preserve">REFERENCES  </w:t>
      </w:r>
    </w:p>
    <w:p w:rsidR="00CE6145" w:rsidRPr="00637B28" w:rsidRDefault="00CE6145" w:rsidP="00CE6145">
      <w:pPr>
        <w:spacing w:line="240" w:lineRule="auto"/>
      </w:pPr>
      <w:r w:rsidRPr="00637B28">
        <w:t>Al-</w:t>
      </w:r>
      <w:proofErr w:type="spellStart"/>
      <w:r w:rsidRPr="00637B28">
        <w:t>Aali</w:t>
      </w:r>
      <w:proofErr w:type="spellEnd"/>
      <w:r w:rsidRPr="00637B28">
        <w:t xml:space="preserve">, A and </w:t>
      </w:r>
      <w:proofErr w:type="spellStart"/>
      <w:r w:rsidRPr="00637B28">
        <w:t>Teece</w:t>
      </w:r>
      <w:proofErr w:type="spellEnd"/>
      <w:r w:rsidRPr="00637B28">
        <w:t>, D.J. (2013) Towards the (strategic) management of intellectual</w:t>
      </w:r>
    </w:p>
    <w:p w:rsidR="00CE6145" w:rsidRPr="00637B28" w:rsidRDefault="00CE6145" w:rsidP="00CE6145">
      <w:pPr>
        <w:spacing w:line="240" w:lineRule="auto"/>
        <w:ind w:left="720"/>
      </w:pPr>
      <w:proofErr w:type="gramStart"/>
      <w:r w:rsidRPr="00637B28">
        <w:t>property</w:t>
      </w:r>
      <w:proofErr w:type="gramEnd"/>
      <w:r w:rsidRPr="00637B28">
        <w:t xml:space="preserve">: retrospective and prospective. </w:t>
      </w:r>
      <w:r w:rsidRPr="00637B28">
        <w:rPr>
          <w:i/>
        </w:rPr>
        <w:t>California Management Review</w:t>
      </w:r>
      <w:r w:rsidRPr="00637B28">
        <w:t>, 55 (4), 15-30.</w:t>
      </w:r>
    </w:p>
    <w:p w:rsidR="00CE6145" w:rsidRPr="00637B28" w:rsidRDefault="00CE6145" w:rsidP="00CE6145">
      <w:pPr>
        <w:spacing w:line="240" w:lineRule="auto"/>
      </w:pPr>
      <w:r w:rsidRPr="00637B28">
        <w:t xml:space="preserve">Alexy, O., </w:t>
      </w:r>
      <w:proofErr w:type="spellStart"/>
      <w:r w:rsidRPr="00637B28">
        <w:t>Criscuolo</w:t>
      </w:r>
      <w:proofErr w:type="spellEnd"/>
      <w:r w:rsidRPr="00637B28">
        <w:t xml:space="preserve">, P. and Salter, A. (2009). Does IP strategy have to cripple open </w:t>
      </w:r>
    </w:p>
    <w:p w:rsidR="00CE6145" w:rsidRPr="00637B28" w:rsidRDefault="00CE6145" w:rsidP="00CE6145">
      <w:pPr>
        <w:spacing w:line="240" w:lineRule="auto"/>
      </w:pPr>
      <w:r w:rsidRPr="00637B28">
        <w:tab/>
      </w:r>
      <w:proofErr w:type="gramStart"/>
      <w:r w:rsidRPr="00637B28">
        <w:t>innovation</w:t>
      </w:r>
      <w:proofErr w:type="gramEnd"/>
      <w:r w:rsidRPr="00637B28">
        <w:t xml:space="preserve">? </w:t>
      </w:r>
      <w:r w:rsidRPr="00637B28">
        <w:rPr>
          <w:i/>
        </w:rPr>
        <w:t>MIT Sloan Management Review</w:t>
      </w:r>
      <w:r w:rsidRPr="00637B28">
        <w:t>, 51 (1), 71-77.</w:t>
      </w:r>
    </w:p>
    <w:p w:rsidR="00CE6145" w:rsidRPr="00637B28" w:rsidRDefault="00CE6145" w:rsidP="00CE6145">
      <w:pPr>
        <w:spacing w:line="240" w:lineRule="auto"/>
      </w:pPr>
      <w:proofErr w:type="spellStart"/>
      <w:r w:rsidRPr="00637B28">
        <w:t>Almirall</w:t>
      </w:r>
      <w:proofErr w:type="spellEnd"/>
      <w:r w:rsidRPr="00637B28">
        <w:t xml:space="preserve">, E. and </w:t>
      </w:r>
      <w:proofErr w:type="spellStart"/>
      <w:r w:rsidRPr="00637B28">
        <w:t>Casadesus-Masanell</w:t>
      </w:r>
      <w:proofErr w:type="spellEnd"/>
      <w:r w:rsidRPr="00637B28">
        <w:t xml:space="preserve">, R. (2010). Open versus closed innovation: A model of </w:t>
      </w:r>
    </w:p>
    <w:p w:rsidR="00CE6145" w:rsidRPr="00637B28" w:rsidRDefault="00CE6145" w:rsidP="00CE6145">
      <w:pPr>
        <w:spacing w:line="240" w:lineRule="auto"/>
        <w:ind w:firstLine="720"/>
      </w:pPr>
      <w:proofErr w:type="gramStart"/>
      <w:r w:rsidRPr="00637B28">
        <w:t>discovery</w:t>
      </w:r>
      <w:proofErr w:type="gramEnd"/>
      <w:r w:rsidRPr="00637B28">
        <w:t xml:space="preserve"> and divergence. </w:t>
      </w:r>
      <w:r w:rsidRPr="00637B28">
        <w:rPr>
          <w:i/>
        </w:rPr>
        <w:t>Academy of Management Review</w:t>
      </w:r>
      <w:r w:rsidRPr="00637B28">
        <w:t xml:space="preserve">, 35 (1), 27-47. </w:t>
      </w:r>
    </w:p>
    <w:p w:rsidR="00CE6145" w:rsidRPr="00637B28" w:rsidRDefault="00CE6145" w:rsidP="00CE6145">
      <w:pPr>
        <w:spacing w:line="240" w:lineRule="auto"/>
        <w:rPr>
          <w:rFonts w:eastAsia="Calibri"/>
        </w:rPr>
      </w:pPr>
      <w:proofErr w:type="spellStart"/>
      <w:r w:rsidRPr="00637B28">
        <w:rPr>
          <w:rFonts w:eastAsia="Calibri"/>
        </w:rPr>
        <w:t>Argyres</w:t>
      </w:r>
      <w:proofErr w:type="spellEnd"/>
      <w:r w:rsidRPr="00637B28">
        <w:rPr>
          <w:rFonts w:eastAsia="Calibri"/>
        </w:rPr>
        <w:t xml:space="preserve">, N.S. and Mayer, K.J. (2007). Contract design as a firm capability: an integration of </w:t>
      </w:r>
      <w:r w:rsidRPr="00637B28">
        <w:rPr>
          <w:rFonts w:eastAsia="Calibri"/>
        </w:rPr>
        <w:tab/>
        <w:t xml:space="preserve">learning and transaction cost perspectives. </w:t>
      </w:r>
      <w:r w:rsidRPr="00637B28">
        <w:rPr>
          <w:rFonts w:eastAsia="Calibri"/>
          <w:i/>
        </w:rPr>
        <w:t>Academy of Management Review</w:t>
      </w:r>
      <w:r w:rsidRPr="00637B28">
        <w:rPr>
          <w:rFonts w:eastAsia="Calibri"/>
        </w:rPr>
        <w:t>, 32 (4),</w:t>
      </w:r>
    </w:p>
    <w:p w:rsidR="00CE6145" w:rsidRPr="00637B28" w:rsidRDefault="00CE6145" w:rsidP="00CE6145">
      <w:pPr>
        <w:spacing w:line="240" w:lineRule="auto"/>
        <w:rPr>
          <w:rFonts w:eastAsia="Calibri"/>
        </w:rPr>
      </w:pPr>
      <w:r w:rsidRPr="00637B28">
        <w:rPr>
          <w:rFonts w:eastAsia="Calibri"/>
        </w:rPr>
        <w:tab/>
        <w:t>1060-1077.</w:t>
      </w:r>
    </w:p>
    <w:p w:rsidR="00CE6145" w:rsidRPr="00637B28" w:rsidRDefault="00CE6145" w:rsidP="00CE6145">
      <w:pPr>
        <w:spacing w:line="240" w:lineRule="auto"/>
        <w:rPr>
          <w:rFonts w:eastAsia="Calibri"/>
        </w:rPr>
      </w:pPr>
      <w:r w:rsidRPr="00637B28">
        <w:rPr>
          <w:rFonts w:eastAsia="Calibri"/>
        </w:rPr>
        <w:t xml:space="preserve">Arora, A. and Merges, R.P. (2004), ‘Specialized supply firms, property rights and firm </w:t>
      </w:r>
    </w:p>
    <w:p w:rsidR="00CE6145" w:rsidRPr="00637B28" w:rsidRDefault="00CE6145" w:rsidP="00CE6145">
      <w:pPr>
        <w:spacing w:line="240" w:lineRule="auto"/>
        <w:ind w:firstLine="708"/>
        <w:rPr>
          <w:rFonts w:eastAsia="Calibri"/>
        </w:rPr>
      </w:pPr>
      <w:r w:rsidRPr="00637B28">
        <w:rPr>
          <w:rFonts w:eastAsia="Calibri"/>
        </w:rPr>
        <w:t xml:space="preserve">Boundaries’, </w:t>
      </w:r>
      <w:r w:rsidRPr="00637B28">
        <w:rPr>
          <w:rFonts w:eastAsia="Calibri"/>
          <w:i/>
        </w:rPr>
        <w:t>Industrial and Corporate Change</w:t>
      </w:r>
      <w:r w:rsidRPr="00637B28">
        <w:rPr>
          <w:rFonts w:eastAsia="Calibri"/>
        </w:rPr>
        <w:t xml:space="preserve">, 13 (3), 451-475. </w:t>
      </w:r>
    </w:p>
    <w:p w:rsidR="00CE6145" w:rsidRPr="00637B28" w:rsidRDefault="00CE6145" w:rsidP="00CE6145">
      <w:pPr>
        <w:spacing w:line="240" w:lineRule="auto"/>
      </w:pPr>
      <w:r w:rsidRPr="00637B28">
        <w:t xml:space="preserve">Arora, A., </w:t>
      </w:r>
      <w:proofErr w:type="spellStart"/>
      <w:r w:rsidRPr="00637B28">
        <w:t>Fosfuri</w:t>
      </w:r>
      <w:proofErr w:type="gramStart"/>
      <w:r w:rsidRPr="00637B28">
        <w:t>,A</w:t>
      </w:r>
      <w:proofErr w:type="spellEnd"/>
      <w:proofErr w:type="gramEnd"/>
      <w:r w:rsidRPr="00637B28">
        <w:t>., and Gambardella, A., (2001). Markets for technology and their</w:t>
      </w:r>
    </w:p>
    <w:p w:rsidR="00CE6145" w:rsidRPr="00637B28" w:rsidRDefault="00CE6145" w:rsidP="00CE6145">
      <w:pPr>
        <w:spacing w:line="240" w:lineRule="auto"/>
        <w:ind w:firstLine="720"/>
        <w:rPr>
          <w:rFonts w:eastAsia="Calibri"/>
        </w:rPr>
      </w:pPr>
      <w:proofErr w:type="gramStart"/>
      <w:r w:rsidRPr="00637B28">
        <w:t>implications</w:t>
      </w:r>
      <w:proofErr w:type="gramEnd"/>
      <w:r w:rsidRPr="00637B28">
        <w:t xml:space="preserve"> for corporate strategy. </w:t>
      </w:r>
      <w:r w:rsidRPr="00637B28">
        <w:rPr>
          <w:i/>
        </w:rPr>
        <w:t>Industrial and Corporate Change</w:t>
      </w:r>
      <w:r w:rsidRPr="00637B28">
        <w:t>, 10 (2), 419-451.</w:t>
      </w:r>
    </w:p>
    <w:p w:rsidR="00CE6145" w:rsidRPr="00637B28" w:rsidRDefault="00CE6145" w:rsidP="00CE6145">
      <w:pPr>
        <w:spacing w:line="240" w:lineRule="auto"/>
        <w:rPr>
          <w:rFonts w:eastAsia="Calibri"/>
        </w:rPr>
      </w:pPr>
      <w:r w:rsidRPr="00637B28">
        <w:rPr>
          <w:rFonts w:eastAsia="Calibri"/>
        </w:rPr>
        <w:t xml:space="preserve">Bae, Y. and Chang, H. (2012). Efficiency and effectiveness between open and closed </w:t>
      </w:r>
    </w:p>
    <w:p w:rsidR="00CE6145" w:rsidRPr="00637B28" w:rsidRDefault="00CE6145" w:rsidP="00CE6145">
      <w:pPr>
        <w:spacing w:line="240" w:lineRule="auto"/>
        <w:ind w:left="720"/>
        <w:rPr>
          <w:rFonts w:eastAsia="Calibri"/>
        </w:rPr>
      </w:pPr>
      <w:proofErr w:type="gramStart"/>
      <w:r w:rsidRPr="00637B28">
        <w:rPr>
          <w:rFonts w:eastAsia="Calibri"/>
        </w:rPr>
        <w:t>innovation</w:t>
      </w:r>
      <w:proofErr w:type="gramEnd"/>
      <w:r w:rsidRPr="00637B28">
        <w:rPr>
          <w:rFonts w:eastAsia="Calibri"/>
        </w:rPr>
        <w:t xml:space="preserve">: empirical evidence in South Korean manufacturers. </w:t>
      </w:r>
      <w:r w:rsidRPr="00637B28">
        <w:rPr>
          <w:rFonts w:eastAsia="Calibri"/>
          <w:i/>
        </w:rPr>
        <w:t>Technology Analysis &amp; Strategic Management</w:t>
      </w:r>
      <w:r w:rsidRPr="00637B28">
        <w:rPr>
          <w:rFonts w:eastAsia="Calibri"/>
        </w:rPr>
        <w:t xml:space="preserve">, 24 (10), 967-980. </w:t>
      </w:r>
    </w:p>
    <w:p w:rsidR="00CE6145" w:rsidRPr="00637B28" w:rsidRDefault="00CE6145" w:rsidP="00CE6145">
      <w:pPr>
        <w:spacing w:line="240" w:lineRule="auto"/>
        <w:rPr>
          <w:rFonts w:eastAsia="Calibri"/>
          <w:i/>
        </w:rPr>
      </w:pPr>
      <w:r w:rsidRPr="00637B28">
        <w:rPr>
          <w:rFonts w:eastAsia="Calibri"/>
        </w:rPr>
        <w:t xml:space="preserve">Bagley, C.E. (2008). Winning legally: the value of legal astuteness. </w:t>
      </w:r>
      <w:r w:rsidRPr="00637B28">
        <w:rPr>
          <w:rFonts w:eastAsia="Calibri"/>
          <w:i/>
        </w:rPr>
        <w:t xml:space="preserve">Academy of Management </w:t>
      </w:r>
    </w:p>
    <w:p w:rsidR="00CE6145" w:rsidRPr="00637B28" w:rsidRDefault="00CE6145" w:rsidP="00CE6145">
      <w:pPr>
        <w:spacing w:line="240" w:lineRule="auto"/>
        <w:ind w:firstLine="720"/>
        <w:rPr>
          <w:rFonts w:eastAsia="Calibri"/>
        </w:rPr>
      </w:pPr>
      <w:r w:rsidRPr="00637B28">
        <w:rPr>
          <w:rFonts w:eastAsia="Calibri"/>
          <w:i/>
        </w:rPr>
        <w:t>Review</w:t>
      </w:r>
      <w:r w:rsidRPr="00637B28">
        <w:rPr>
          <w:rFonts w:eastAsia="Calibri"/>
        </w:rPr>
        <w:t>, 33 (2), 378-390.</w:t>
      </w:r>
    </w:p>
    <w:p w:rsidR="00CE6145" w:rsidRPr="00637B28" w:rsidRDefault="00CE6145" w:rsidP="00CE6145">
      <w:pPr>
        <w:spacing w:line="240" w:lineRule="auto"/>
        <w:rPr>
          <w:rFonts w:eastAsia="Calibri"/>
        </w:rPr>
      </w:pPr>
      <w:r w:rsidRPr="00637B28">
        <w:rPr>
          <w:rFonts w:eastAsia="Calibri"/>
        </w:rPr>
        <w:t>Baldwin, C. and von Hippel, E. (2011).  Modeling a paradigm shift: from producer innovation</w:t>
      </w:r>
    </w:p>
    <w:p w:rsidR="00CE6145" w:rsidRPr="00637B28" w:rsidRDefault="00CE6145" w:rsidP="00CE6145">
      <w:pPr>
        <w:spacing w:line="240" w:lineRule="auto"/>
        <w:ind w:firstLine="720"/>
        <w:rPr>
          <w:rFonts w:eastAsia="Calibri"/>
          <w:i/>
        </w:rPr>
      </w:pPr>
      <w:proofErr w:type="gramStart"/>
      <w:r w:rsidRPr="00637B28">
        <w:rPr>
          <w:rFonts w:eastAsia="Calibri"/>
        </w:rPr>
        <w:t>to</w:t>
      </w:r>
      <w:proofErr w:type="gramEnd"/>
      <w:r w:rsidRPr="00637B28">
        <w:rPr>
          <w:rFonts w:eastAsia="Calibri"/>
        </w:rPr>
        <w:t xml:space="preserve"> user and open collaborative innovation. </w:t>
      </w:r>
      <w:r w:rsidRPr="00637B28">
        <w:rPr>
          <w:rFonts w:eastAsia="Calibri"/>
          <w:i/>
        </w:rPr>
        <w:t>Organization Science</w:t>
      </w:r>
      <w:r w:rsidRPr="00637B28">
        <w:rPr>
          <w:rFonts w:eastAsia="Calibri"/>
        </w:rPr>
        <w:t>, 22 (6), 1399-1417.</w:t>
      </w:r>
    </w:p>
    <w:p w:rsidR="00CE6145" w:rsidRPr="00637B28" w:rsidRDefault="00CE6145" w:rsidP="00CE6145">
      <w:pPr>
        <w:spacing w:after="200" w:line="240" w:lineRule="auto"/>
        <w:ind w:left="720" w:hanging="720"/>
        <w:contextualSpacing/>
      </w:pPr>
      <w:proofErr w:type="spellStart"/>
      <w:r w:rsidRPr="00637B28">
        <w:t>Blomqvist</w:t>
      </w:r>
      <w:proofErr w:type="spellEnd"/>
      <w:r w:rsidRPr="00637B28">
        <w:t xml:space="preserve">, K., </w:t>
      </w:r>
      <w:proofErr w:type="spellStart"/>
      <w:r w:rsidRPr="00637B28">
        <w:t>Hurmelinna</w:t>
      </w:r>
      <w:proofErr w:type="spellEnd"/>
      <w:r w:rsidRPr="00637B28">
        <w:t xml:space="preserve">, P., </w:t>
      </w:r>
      <w:proofErr w:type="spellStart"/>
      <w:r w:rsidRPr="00637B28">
        <w:t>Seppänen</w:t>
      </w:r>
      <w:proofErr w:type="spellEnd"/>
      <w:r w:rsidRPr="00637B28">
        <w:t xml:space="preserve">, R. (2005) Playing the collaboration game right – balancing trust and contracting. </w:t>
      </w:r>
      <w:r w:rsidRPr="00637B28">
        <w:rPr>
          <w:i/>
        </w:rPr>
        <w:t>Technovation</w:t>
      </w:r>
      <w:r w:rsidRPr="00637B28">
        <w:t>, 25, 497-504.</w:t>
      </w:r>
    </w:p>
    <w:p w:rsidR="00CE6145" w:rsidRPr="00637B28" w:rsidRDefault="00CE6145" w:rsidP="00CE6145">
      <w:pPr>
        <w:spacing w:line="240" w:lineRule="auto"/>
      </w:pPr>
      <w:r w:rsidRPr="00637B28">
        <w:t xml:space="preserve">Brownstone, D. and Valletta, R. (2001). The bootstrap and multiple imputations: Harnessing </w:t>
      </w:r>
    </w:p>
    <w:p w:rsidR="00CE6145" w:rsidRPr="00637B28" w:rsidRDefault="00CE6145" w:rsidP="00CE6145">
      <w:pPr>
        <w:spacing w:line="240" w:lineRule="auto"/>
        <w:ind w:left="720"/>
      </w:pPr>
      <w:proofErr w:type="gramStart"/>
      <w:r w:rsidRPr="00637B28">
        <w:t>increased</w:t>
      </w:r>
      <w:proofErr w:type="gramEnd"/>
      <w:r w:rsidRPr="00637B28">
        <w:t xml:space="preserve"> computing power for improved statistical tests. </w:t>
      </w:r>
      <w:r w:rsidRPr="00637B28">
        <w:rPr>
          <w:i/>
        </w:rPr>
        <w:t>The Journal of Economic Perspectives</w:t>
      </w:r>
      <w:r w:rsidRPr="00637B28">
        <w:t>, 15 (4), 129-141.</w:t>
      </w:r>
    </w:p>
    <w:p w:rsidR="00CE6145" w:rsidRPr="00637B28" w:rsidRDefault="00CE6145" w:rsidP="00CE6145">
      <w:pPr>
        <w:widowControl w:val="0"/>
        <w:suppressAutoHyphens/>
        <w:spacing w:line="240" w:lineRule="auto"/>
      </w:pPr>
      <w:proofErr w:type="spellStart"/>
      <w:r w:rsidRPr="00637B28">
        <w:t>Cassiman</w:t>
      </w:r>
      <w:proofErr w:type="spellEnd"/>
      <w:r w:rsidRPr="00637B28">
        <w:t xml:space="preserve">, B., and </w:t>
      </w:r>
      <w:proofErr w:type="spellStart"/>
      <w:r w:rsidRPr="00637B28">
        <w:t>Veugelers</w:t>
      </w:r>
      <w:proofErr w:type="spellEnd"/>
      <w:r w:rsidRPr="00637B28">
        <w:t xml:space="preserve">, R. (2002), ‘R&amp;D cooperation and spillovers: some empirical </w:t>
      </w:r>
    </w:p>
    <w:p w:rsidR="00CE6145" w:rsidRPr="00637B28" w:rsidRDefault="00CE6145" w:rsidP="00CE6145">
      <w:pPr>
        <w:widowControl w:val="0"/>
        <w:suppressAutoHyphens/>
        <w:spacing w:line="240" w:lineRule="auto"/>
        <w:ind w:firstLine="708"/>
      </w:pPr>
      <w:proofErr w:type="gramStart"/>
      <w:r w:rsidRPr="00637B28">
        <w:t>evidence</w:t>
      </w:r>
      <w:proofErr w:type="gramEnd"/>
      <w:r w:rsidRPr="00637B28">
        <w:t xml:space="preserve"> from Belgium’, </w:t>
      </w:r>
      <w:r w:rsidRPr="00637B28">
        <w:rPr>
          <w:i/>
        </w:rPr>
        <w:t>The American Economic Review</w:t>
      </w:r>
      <w:r w:rsidRPr="00637B28">
        <w:t xml:space="preserve">, 92 (4), 1169-1184. </w:t>
      </w:r>
    </w:p>
    <w:p w:rsidR="00CE6145" w:rsidRPr="00637B28" w:rsidRDefault="00CE6145" w:rsidP="00CE6145">
      <w:pPr>
        <w:pStyle w:val="NoSpacing"/>
        <w:spacing w:line="240" w:lineRule="auto"/>
        <w:rPr>
          <w:rFonts w:ascii="Times New Roman" w:hAnsi="Times New Roman"/>
          <w:i/>
          <w:iCs/>
          <w:sz w:val="24"/>
          <w:szCs w:val="24"/>
          <w:lang w:val="en-US"/>
        </w:rPr>
      </w:pPr>
      <w:proofErr w:type="spellStart"/>
      <w:r w:rsidRPr="00637B28">
        <w:rPr>
          <w:rFonts w:ascii="Times New Roman" w:hAnsi="Times New Roman"/>
          <w:sz w:val="24"/>
          <w:szCs w:val="24"/>
          <w:lang w:val="en-US"/>
        </w:rPr>
        <w:t>Chesbrough</w:t>
      </w:r>
      <w:proofErr w:type="spellEnd"/>
      <w:r w:rsidRPr="00637B28">
        <w:rPr>
          <w:rFonts w:ascii="Times New Roman" w:hAnsi="Times New Roman"/>
          <w:sz w:val="24"/>
          <w:szCs w:val="24"/>
          <w:lang w:val="en-US"/>
        </w:rPr>
        <w:t xml:space="preserve">, H.W. (2003). </w:t>
      </w:r>
      <w:r w:rsidRPr="00637B28">
        <w:rPr>
          <w:rFonts w:ascii="Times New Roman" w:hAnsi="Times New Roman"/>
          <w:i/>
          <w:iCs/>
          <w:sz w:val="24"/>
          <w:szCs w:val="24"/>
          <w:lang w:val="en-US"/>
        </w:rPr>
        <w:t>Open Innovation: The new imperative for creating and profiting</w:t>
      </w:r>
    </w:p>
    <w:p w:rsidR="00CE6145" w:rsidRPr="00637B28" w:rsidRDefault="00CE6145" w:rsidP="00CE6145">
      <w:pPr>
        <w:pStyle w:val="NoSpacing"/>
        <w:spacing w:line="240" w:lineRule="auto"/>
        <w:ind w:firstLine="708"/>
        <w:rPr>
          <w:rFonts w:ascii="Times New Roman" w:hAnsi="Times New Roman"/>
          <w:sz w:val="24"/>
          <w:szCs w:val="24"/>
          <w:lang w:val="en-US"/>
        </w:rPr>
      </w:pPr>
      <w:proofErr w:type="gramStart"/>
      <w:r w:rsidRPr="00637B28">
        <w:rPr>
          <w:rFonts w:ascii="Times New Roman" w:hAnsi="Times New Roman"/>
          <w:i/>
          <w:iCs/>
          <w:sz w:val="24"/>
          <w:szCs w:val="24"/>
          <w:lang w:val="en-US"/>
        </w:rPr>
        <w:t>from</w:t>
      </w:r>
      <w:proofErr w:type="gramEnd"/>
      <w:r w:rsidRPr="00637B28">
        <w:rPr>
          <w:rFonts w:ascii="Times New Roman" w:hAnsi="Times New Roman"/>
          <w:i/>
          <w:iCs/>
          <w:sz w:val="24"/>
          <w:szCs w:val="24"/>
          <w:lang w:val="en-US"/>
        </w:rPr>
        <w:t xml:space="preserve"> technology</w:t>
      </w:r>
      <w:r w:rsidRPr="00637B28">
        <w:rPr>
          <w:rFonts w:ascii="Times New Roman" w:hAnsi="Times New Roman"/>
          <w:sz w:val="24"/>
          <w:szCs w:val="24"/>
          <w:lang w:val="en-US"/>
        </w:rPr>
        <w:t xml:space="preserve">, Boston, M.A.: Harvard Business School Press. </w:t>
      </w:r>
    </w:p>
    <w:p w:rsidR="00CE6145" w:rsidRPr="00637B28" w:rsidRDefault="00CE6145" w:rsidP="00CE6145">
      <w:pPr>
        <w:pStyle w:val="NoSpacing"/>
        <w:spacing w:line="240" w:lineRule="auto"/>
        <w:rPr>
          <w:rFonts w:ascii="Times New Roman" w:hAnsi="Times New Roman"/>
          <w:sz w:val="24"/>
          <w:szCs w:val="24"/>
          <w:lang w:val="en-US"/>
        </w:rPr>
      </w:pPr>
      <w:proofErr w:type="spellStart"/>
      <w:r w:rsidRPr="00637B28">
        <w:rPr>
          <w:rFonts w:ascii="Times New Roman" w:hAnsi="Times New Roman"/>
          <w:sz w:val="24"/>
          <w:szCs w:val="24"/>
          <w:lang w:val="en-US"/>
        </w:rPr>
        <w:t>Chesbrough</w:t>
      </w:r>
      <w:proofErr w:type="spellEnd"/>
      <w:r w:rsidRPr="00637B28">
        <w:rPr>
          <w:rFonts w:ascii="Times New Roman" w:hAnsi="Times New Roman"/>
          <w:sz w:val="24"/>
          <w:szCs w:val="24"/>
          <w:lang w:val="en-US"/>
        </w:rPr>
        <w:t>, H.W. (2006a). Open Innovation: A new paradigm for understanding industrial</w:t>
      </w:r>
    </w:p>
    <w:p w:rsidR="00CE6145" w:rsidRPr="00637B28" w:rsidRDefault="00CE6145" w:rsidP="00CE6145">
      <w:pPr>
        <w:pStyle w:val="NoSpacing"/>
        <w:spacing w:line="240" w:lineRule="auto"/>
        <w:ind w:left="708"/>
        <w:rPr>
          <w:rFonts w:ascii="Times New Roman" w:hAnsi="Times New Roman"/>
          <w:sz w:val="24"/>
          <w:szCs w:val="24"/>
          <w:lang w:val="en-US"/>
        </w:rPr>
      </w:pPr>
      <w:proofErr w:type="gramStart"/>
      <w:r w:rsidRPr="00637B28">
        <w:rPr>
          <w:rFonts w:ascii="Times New Roman" w:hAnsi="Times New Roman"/>
          <w:sz w:val="24"/>
          <w:szCs w:val="24"/>
          <w:lang w:val="en-US"/>
        </w:rPr>
        <w:t>innovation</w:t>
      </w:r>
      <w:proofErr w:type="gramEnd"/>
      <w:r w:rsidRPr="00637B28">
        <w:rPr>
          <w:rFonts w:ascii="Times New Roman" w:hAnsi="Times New Roman"/>
          <w:sz w:val="24"/>
          <w:szCs w:val="24"/>
          <w:lang w:val="en-US"/>
        </w:rPr>
        <w:t xml:space="preserve">. In </w:t>
      </w:r>
      <w:proofErr w:type="spellStart"/>
      <w:r w:rsidRPr="00637B28">
        <w:rPr>
          <w:rFonts w:ascii="Times New Roman" w:hAnsi="Times New Roman"/>
          <w:sz w:val="24"/>
          <w:szCs w:val="24"/>
          <w:lang w:val="en-US"/>
        </w:rPr>
        <w:t>Chesbrough</w:t>
      </w:r>
      <w:proofErr w:type="spellEnd"/>
      <w:r w:rsidRPr="00637B28">
        <w:rPr>
          <w:rFonts w:ascii="Times New Roman" w:hAnsi="Times New Roman"/>
          <w:sz w:val="24"/>
          <w:szCs w:val="24"/>
          <w:lang w:val="en-US"/>
        </w:rPr>
        <w:t xml:space="preserve">, H.W., </w:t>
      </w:r>
      <w:proofErr w:type="spellStart"/>
      <w:r w:rsidRPr="00637B28">
        <w:rPr>
          <w:rFonts w:ascii="Times New Roman" w:hAnsi="Times New Roman"/>
          <w:sz w:val="24"/>
          <w:szCs w:val="24"/>
          <w:lang w:val="en-US"/>
        </w:rPr>
        <w:t>Vanhaverbeke</w:t>
      </w:r>
      <w:proofErr w:type="spellEnd"/>
      <w:r w:rsidRPr="00637B28">
        <w:rPr>
          <w:rFonts w:ascii="Times New Roman" w:hAnsi="Times New Roman"/>
          <w:sz w:val="24"/>
          <w:szCs w:val="24"/>
          <w:lang w:val="en-US"/>
        </w:rPr>
        <w:t>, W., and West, J. (</w:t>
      </w:r>
      <w:proofErr w:type="spellStart"/>
      <w:r w:rsidRPr="00637B28">
        <w:rPr>
          <w:rFonts w:ascii="Times New Roman" w:hAnsi="Times New Roman"/>
          <w:sz w:val="24"/>
          <w:szCs w:val="24"/>
          <w:lang w:val="en-US"/>
        </w:rPr>
        <w:t>eds</w:t>
      </w:r>
      <w:proofErr w:type="spellEnd"/>
      <w:r w:rsidRPr="00637B28">
        <w:rPr>
          <w:rFonts w:ascii="Times New Roman" w:hAnsi="Times New Roman"/>
          <w:sz w:val="24"/>
          <w:szCs w:val="24"/>
          <w:lang w:val="en-US"/>
        </w:rPr>
        <w:t xml:space="preserve">), </w:t>
      </w:r>
      <w:r w:rsidRPr="00637B28">
        <w:rPr>
          <w:rFonts w:ascii="Times New Roman" w:hAnsi="Times New Roman"/>
          <w:i/>
          <w:iCs/>
          <w:sz w:val="24"/>
          <w:szCs w:val="24"/>
          <w:lang w:val="en-US"/>
        </w:rPr>
        <w:t xml:space="preserve">Open Innovation: Researching a New Paradigm </w:t>
      </w:r>
      <w:r w:rsidRPr="00637B28">
        <w:rPr>
          <w:rFonts w:ascii="Times New Roman" w:hAnsi="Times New Roman"/>
          <w:sz w:val="24"/>
          <w:szCs w:val="24"/>
          <w:lang w:val="en-US"/>
        </w:rPr>
        <w:t>(pp. 1-12), Oxford: Oxford University Press.</w:t>
      </w:r>
    </w:p>
    <w:p w:rsidR="00CE6145" w:rsidRPr="00637B28" w:rsidRDefault="00CE6145" w:rsidP="00CE6145">
      <w:pPr>
        <w:spacing w:line="240" w:lineRule="auto"/>
        <w:rPr>
          <w:i/>
        </w:rPr>
      </w:pPr>
      <w:proofErr w:type="spellStart"/>
      <w:r w:rsidRPr="00637B28">
        <w:t>Chesbrough</w:t>
      </w:r>
      <w:proofErr w:type="spellEnd"/>
      <w:r w:rsidRPr="00637B28">
        <w:t xml:space="preserve">, H. (2006b). </w:t>
      </w:r>
      <w:r w:rsidRPr="00637B28">
        <w:rPr>
          <w:i/>
        </w:rPr>
        <w:t xml:space="preserve">Open business models: How to thrive in the new innovation </w:t>
      </w:r>
    </w:p>
    <w:p w:rsidR="00CE6145" w:rsidRPr="00637B28" w:rsidRDefault="00CE6145" w:rsidP="00CE6145">
      <w:pPr>
        <w:spacing w:line="240" w:lineRule="auto"/>
        <w:ind w:firstLine="720"/>
      </w:pPr>
      <w:proofErr w:type="gramStart"/>
      <w:r w:rsidRPr="00637B28">
        <w:rPr>
          <w:i/>
        </w:rPr>
        <w:t>landscape</w:t>
      </w:r>
      <w:proofErr w:type="gramEnd"/>
      <w:r w:rsidRPr="00637B28">
        <w:rPr>
          <w:i/>
        </w:rPr>
        <w:t>.</w:t>
      </w:r>
      <w:r w:rsidRPr="00637B28">
        <w:t xml:space="preserve"> Boston: Harvard Business School Press. </w:t>
      </w:r>
    </w:p>
    <w:p w:rsidR="00CE6145" w:rsidRPr="00637B28" w:rsidRDefault="00CE6145" w:rsidP="00CE6145">
      <w:pPr>
        <w:tabs>
          <w:tab w:val="center" w:pos="4680"/>
          <w:tab w:val="right" w:pos="9360"/>
        </w:tabs>
        <w:spacing w:line="240" w:lineRule="auto"/>
        <w:rPr>
          <w:i/>
          <w:lang w:eastAsia="nl-NL"/>
        </w:rPr>
      </w:pPr>
      <w:r w:rsidRPr="00637B28">
        <w:rPr>
          <w:lang w:eastAsia="nl-NL"/>
        </w:rPr>
        <w:t xml:space="preserve">Cohen, W.M., Nelson R.R., and Walsh, J. P. (2000). </w:t>
      </w:r>
      <w:r w:rsidRPr="00637B28">
        <w:rPr>
          <w:i/>
          <w:lang w:eastAsia="nl-NL"/>
        </w:rPr>
        <w:t xml:space="preserve">Protecting their intellectual assets: </w:t>
      </w:r>
    </w:p>
    <w:p w:rsidR="00CE6145" w:rsidRPr="00637B28" w:rsidRDefault="00CE6145" w:rsidP="00CE6145">
      <w:pPr>
        <w:spacing w:line="240" w:lineRule="auto"/>
        <w:ind w:left="720"/>
        <w:rPr>
          <w:lang w:eastAsia="nl-NL"/>
        </w:rPr>
      </w:pPr>
      <w:proofErr w:type="spellStart"/>
      <w:r w:rsidRPr="00637B28">
        <w:rPr>
          <w:i/>
          <w:lang w:eastAsia="nl-NL"/>
        </w:rPr>
        <w:t>Appropriability</w:t>
      </w:r>
      <w:proofErr w:type="spellEnd"/>
      <w:r w:rsidRPr="00637B28">
        <w:rPr>
          <w:i/>
          <w:lang w:eastAsia="nl-NL"/>
        </w:rPr>
        <w:t xml:space="preserve"> conditions and why U.S. manufacturing firms patent (or not)</w:t>
      </w:r>
      <w:r w:rsidRPr="00637B28">
        <w:rPr>
          <w:lang w:eastAsia="nl-NL"/>
        </w:rPr>
        <w:t>. Cambridge (MA), National Bureau of Economic Research, working paper 7552</w:t>
      </w:r>
    </w:p>
    <w:p w:rsidR="00CE6145" w:rsidRPr="00637B28" w:rsidRDefault="00CE6145" w:rsidP="00CE6145">
      <w:pPr>
        <w:spacing w:line="240" w:lineRule="auto"/>
      </w:pPr>
      <w:proofErr w:type="spellStart"/>
      <w:r w:rsidRPr="00DA5688">
        <w:t>Dahlander</w:t>
      </w:r>
      <w:proofErr w:type="spellEnd"/>
      <w:r w:rsidRPr="00DA5688">
        <w:t xml:space="preserve">, L and Gann, D.M. (2010). </w:t>
      </w:r>
      <w:r w:rsidRPr="00637B28">
        <w:t xml:space="preserve">How open is innovation? </w:t>
      </w:r>
      <w:r w:rsidRPr="00637B28">
        <w:rPr>
          <w:i/>
        </w:rPr>
        <w:t>Research Policy</w:t>
      </w:r>
      <w:r w:rsidRPr="00637B28">
        <w:t>, 39, 699-</w:t>
      </w:r>
    </w:p>
    <w:p w:rsidR="00CE6145" w:rsidRPr="00CE6145" w:rsidRDefault="00CE6145" w:rsidP="00CE6145">
      <w:pPr>
        <w:spacing w:line="240" w:lineRule="auto"/>
        <w:rPr>
          <w:lang w:val="nl-NL"/>
        </w:rPr>
      </w:pPr>
      <w:r w:rsidRPr="00637B28">
        <w:tab/>
      </w:r>
      <w:r w:rsidRPr="00CE6145">
        <w:rPr>
          <w:lang w:val="nl-NL"/>
        </w:rPr>
        <w:t xml:space="preserve">709. </w:t>
      </w:r>
    </w:p>
    <w:p w:rsidR="00CE6145" w:rsidRPr="00637B28" w:rsidRDefault="00CE6145" w:rsidP="00CE6145">
      <w:pPr>
        <w:spacing w:line="240" w:lineRule="auto"/>
      </w:pPr>
      <w:r w:rsidRPr="00637B28">
        <w:rPr>
          <w:lang w:val="nl-NL"/>
        </w:rPr>
        <w:t xml:space="preserve">De Jong, J.P.J., Kalvet, T., and Vanhaverbeke, W. (2010). </w:t>
      </w:r>
      <w:r w:rsidRPr="00637B28">
        <w:t xml:space="preserve">Exploring a theoretical framework </w:t>
      </w:r>
    </w:p>
    <w:p w:rsidR="00CE6145" w:rsidRPr="00637B28" w:rsidRDefault="00CE6145" w:rsidP="00CE6145">
      <w:pPr>
        <w:spacing w:line="240" w:lineRule="auto"/>
        <w:ind w:left="720"/>
      </w:pPr>
      <w:proofErr w:type="gramStart"/>
      <w:r w:rsidRPr="00637B28">
        <w:t>to</w:t>
      </w:r>
      <w:proofErr w:type="gramEnd"/>
      <w:r w:rsidRPr="00637B28">
        <w:t xml:space="preserve"> structure the public policy implications of open innovation. </w:t>
      </w:r>
      <w:r w:rsidRPr="00637B28">
        <w:rPr>
          <w:i/>
        </w:rPr>
        <w:t>Technology Analysis &amp; Strategic Management</w:t>
      </w:r>
      <w:r w:rsidRPr="00637B28">
        <w:t xml:space="preserve">, 22 (8), 877-896. </w:t>
      </w:r>
    </w:p>
    <w:p w:rsidR="00CE6145" w:rsidRPr="00637B28" w:rsidRDefault="00CE6145" w:rsidP="00CE6145">
      <w:pPr>
        <w:pStyle w:val="NoSpacing"/>
        <w:spacing w:line="240" w:lineRule="auto"/>
        <w:rPr>
          <w:rFonts w:ascii="Times New Roman" w:hAnsi="Times New Roman"/>
          <w:sz w:val="24"/>
          <w:szCs w:val="24"/>
          <w:lang w:val="en-US"/>
        </w:rPr>
      </w:pPr>
      <w:proofErr w:type="spellStart"/>
      <w:r w:rsidRPr="00637B28">
        <w:rPr>
          <w:rFonts w:ascii="Times New Roman" w:hAnsi="Times New Roman"/>
          <w:sz w:val="24"/>
          <w:szCs w:val="24"/>
          <w:lang w:val="en-US"/>
        </w:rPr>
        <w:t>Dillmann</w:t>
      </w:r>
      <w:proofErr w:type="spellEnd"/>
      <w:r w:rsidRPr="00637B28">
        <w:rPr>
          <w:rFonts w:ascii="Times New Roman" w:hAnsi="Times New Roman"/>
          <w:sz w:val="24"/>
          <w:szCs w:val="24"/>
          <w:lang w:val="en-US"/>
        </w:rPr>
        <w:t xml:space="preserve">, D.A. (2007). </w:t>
      </w:r>
      <w:r w:rsidRPr="00637B28">
        <w:rPr>
          <w:rFonts w:ascii="Times New Roman" w:hAnsi="Times New Roman"/>
          <w:i/>
          <w:sz w:val="24"/>
          <w:szCs w:val="24"/>
          <w:lang w:val="en-US"/>
        </w:rPr>
        <w:t xml:space="preserve">Mail and </w:t>
      </w:r>
      <w:proofErr w:type="gramStart"/>
      <w:r w:rsidRPr="00637B28">
        <w:rPr>
          <w:rFonts w:ascii="Times New Roman" w:hAnsi="Times New Roman"/>
          <w:i/>
          <w:sz w:val="24"/>
          <w:szCs w:val="24"/>
          <w:lang w:val="en-US"/>
        </w:rPr>
        <w:t>internet</w:t>
      </w:r>
      <w:proofErr w:type="gramEnd"/>
      <w:r w:rsidRPr="00637B28">
        <w:rPr>
          <w:rFonts w:ascii="Times New Roman" w:hAnsi="Times New Roman"/>
          <w:i/>
          <w:sz w:val="24"/>
          <w:szCs w:val="24"/>
          <w:lang w:val="en-US"/>
        </w:rPr>
        <w:t xml:space="preserve"> surveys: the tailored design method</w:t>
      </w:r>
      <w:r w:rsidRPr="00637B28">
        <w:rPr>
          <w:rFonts w:ascii="Times New Roman" w:hAnsi="Times New Roman"/>
          <w:sz w:val="24"/>
          <w:szCs w:val="24"/>
          <w:lang w:val="en-US"/>
        </w:rPr>
        <w:t xml:space="preserve"> (2</w:t>
      </w:r>
      <w:r w:rsidRPr="00637B28">
        <w:rPr>
          <w:rFonts w:ascii="Times New Roman" w:hAnsi="Times New Roman"/>
          <w:sz w:val="24"/>
          <w:szCs w:val="24"/>
          <w:vertAlign w:val="superscript"/>
          <w:lang w:val="en-US"/>
        </w:rPr>
        <w:t>nd</w:t>
      </w:r>
      <w:r w:rsidRPr="00637B28">
        <w:rPr>
          <w:rFonts w:ascii="Times New Roman" w:hAnsi="Times New Roman"/>
          <w:sz w:val="24"/>
          <w:szCs w:val="24"/>
          <w:lang w:val="en-US"/>
        </w:rPr>
        <w:t xml:space="preserve"> ed.) </w:t>
      </w:r>
    </w:p>
    <w:p w:rsidR="00CE6145" w:rsidRPr="00637B28" w:rsidRDefault="00CE6145" w:rsidP="00CE6145">
      <w:pPr>
        <w:pStyle w:val="NoSpacing"/>
        <w:spacing w:line="240" w:lineRule="auto"/>
        <w:ind w:firstLine="708"/>
        <w:rPr>
          <w:rFonts w:ascii="Times New Roman" w:hAnsi="Times New Roman"/>
          <w:sz w:val="24"/>
          <w:szCs w:val="24"/>
          <w:lang w:val="en-US"/>
        </w:rPr>
      </w:pPr>
      <w:r w:rsidRPr="00637B28">
        <w:rPr>
          <w:rFonts w:ascii="Times New Roman" w:hAnsi="Times New Roman"/>
          <w:sz w:val="24"/>
          <w:szCs w:val="24"/>
          <w:lang w:val="en-US"/>
        </w:rPr>
        <w:t xml:space="preserve">John Wiley &amp; Sons: New Jersey. </w:t>
      </w:r>
    </w:p>
    <w:p w:rsidR="00CE6145" w:rsidRPr="00637B28" w:rsidRDefault="00CE6145" w:rsidP="00CE6145">
      <w:pPr>
        <w:pStyle w:val="NoSpacing"/>
        <w:spacing w:line="240" w:lineRule="auto"/>
        <w:rPr>
          <w:rFonts w:ascii="Times New Roman" w:hAnsi="Times New Roman"/>
          <w:i/>
          <w:sz w:val="24"/>
          <w:szCs w:val="24"/>
          <w:lang w:val="en-US"/>
        </w:rPr>
      </w:pPr>
      <w:proofErr w:type="spellStart"/>
      <w:r w:rsidRPr="00637B28">
        <w:rPr>
          <w:rFonts w:ascii="Times New Roman" w:hAnsi="Times New Roman"/>
          <w:sz w:val="24"/>
          <w:szCs w:val="24"/>
          <w:lang w:val="en-US"/>
        </w:rPr>
        <w:t>Dubiansky</w:t>
      </w:r>
      <w:proofErr w:type="spellEnd"/>
      <w:r w:rsidRPr="00637B28">
        <w:rPr>
          <w:rFonts w:ascii="Times New Roman" w:hAnsi="Times New Roman"/>
          <w:sz w:val="24"/>
          <w:szCs w:val="24"/>
          <w:lang w:val="en-US"/>
        </w:rPr>
        <w:t xml:space="preserve">, J. (2006). The role of patents in fostering open innovation. </w:t>
      </w:r>
      <w:r w:rsidRPr="00637B28">
        <w:rPr>
          <w:rFonts w:ascii="Times New Roman" w:hAnsi="Times New Roman"/>
          <w:i/>
          <w:sz w:val="24"/>
          <w:szCs w:val="24"/>
          <w:lang w:val="en-US"/>
        </w:rPr>
        <w:t>Virginia Journal of</w:t>
      </w:r>
    </w:p>
    <w:p w:rsidR="00CE6145" w:rsidRPr="00637B28" w:rsidRDefault="00CE6145" w:rsidP="00CE6145">
      <w:pPr>
        <w:pStyle w:val="NoSpacing"/>
        <w:spacing w:line="240" w:lineRule="auto"/>
        <w:ind w:firstLine="720"/>
        <w:rPr>
          <w:rFonts w:ascii="Times New Roman" w:hAnsi="Times New Roman"/>
          <w:sz w:val="24"/>
          <w:szCs w:val="24"/>
          <w:lang w:val="en-US"/>
        </w:rPr>
      </w:pPr>
      <w:r w:rsidRPr="00637B28">
        <w:rPr>
          <w:rFonts w:ascii="Times New Roman" w:hAnsi="Times New Roman"/>
          <w:i/>
          <w:sz w:val="24"/>
          <w:szCs w:val="24"/>
          <w:lang w:val="en-US"/>
        </w:rPr>
        <w:t>Law &amp; Technology</w:t>
      </w:r>
      <w:r w:rsidRPr="00637B28">
        <w:rPr>
          <w:rFonts w:ascii="Times New Roman" w:hAnsi="Times New Roman"/>
          <w:sz w:val="24"/>
          <w:szCs w:val="24"/>
          <w:lang w:val="en-US"/>
        </w:rPr>
        <w:t>, 11 (7), 1-36.</w:t>
      </w:r>
    </w:p>
    <w:p w:rsidR="00CE6145" w:rsidRPr="00637B28" w:rsidRDefault="00CE6145" w:rsidP="00CE6145">
      <w:pPr>
        <w:pStyle w:val="NoSpacing"/>
        <w:spacing w:line="240" w:lineRule="auto"/>
        <w:rPr>
          <w:rFonts w:ascii="Times New Roman" w:hAnsi="Times New Roman"/>
          <w:sz w:val="24"/>
          <w:szCs w:val="24"/>
          <w:lang w:val="en-US"/>
        </w:rPr>
      </w:pPr>
      <w:r w:rsidRPr="00637B28">
        <w:rPr>
          <w:rFonts w:ascii="Times New Roman" w:hAnsi="Times New Roman"/>
          <w:sz w:val="24"/>
          <w:szCs w:val="24"/>
          <w:lang w:val="en-US"/>
        </w:rPr>
        <w:lastRenderedPageBreak/>
        <w:t xml:space="preserve">Edmondson, A.C. and McManus, S.E. (2007). Methodological fit in management field </w:t>
      </w:r>
    </w:p>
    <w:p w:rsidR="00CE6145" w:rsidRPr="00637B28" w:rsidRDefault="00CE6145" w:rsidP="00CE6145">
      <w:pPr>
        <w:pStyle w:val="NoSpacing"/>
        <w:spacing w:line="240" w:lineRule="auto"/>
        <w:ind w:firstLine="720"/>
        <w:rPr>
          <w:rFonts w:ascii="Times New Roman" w:hAnsi="Times New Roman"/>
          <w:sz w:val="24"/>
          <w:szCs w:val="24"/>
          <w:lang w:val="en-US"/>
        </w:rPr>
      </w:pPr>
      <w:proofErr w:type="gramStart"/>
      <w:r w:rsidRPr="00637B28">
        <w:rPr>
          <w:rFonts w:ascii="Times New Roman" w:hAnsi="Times New Roman"/>
          <w:sz w:val="24"/>
          <w:szCs w:val="24"/>
          <w:lang w:val="en-US"/>
        </w:rPr>
        <w:t>research</w:t>
      </w:r>
      <w:proofErr w:type="gramEnd"/>
      <w:r w:rsidRPr="00637B28">
        <w:rPr>
          <w:rFonts w:ascii="Times New Roman" w:hAnsi="Times New Roman"/>
          <w:sz w:val="24"/>
          <w:szCs w:val="24"/>
          <w:lang w:val="en-US"/>
        </w:rPr>
        <w:t xml:space="preserve">. </w:t>
      </w:r>
      <w:r w:rsidRPr="00637B28">
        <w:rPr>
          <w:rFonts w:ascii="Times New Roman" w:hAnsi="Times New Roman"/>
          <w:i/>
          <w:sz w:val="24"/>
          <w:szCs w:val="24"/>
          <w:lang w:val="en-US"/>
        </w:rPr>
        <w:t>The Academy of Management Review</w:t>
      </w:r>
      <w:r w:rsidRPr="00637B28">
        <w:rPr>
          <w:rFonts w:ascii="Times New Roman" w:hAnsi="Times New Roman"/>
          <w:sz w:val="24"/>
          <w:szCs w:val="24"/>
          <w:lang w:val="en-US"/>
        </w:rPr>
        <w:t xml:space="preserve">, 32 (4), 1155-1179. </w:t>
      </w:r>
    </w:p>
    <w:p w:rsidR="00CE6145" w:rsidRPr="00637B28" w:rsidRDefault="00CE6145" w:rsidP="00CE6145">
      <w:pPr>
        <w:pStyle w:val="NoSpacing"/>
        <w:spacing w:line="240" w:lineRule="auto"/>
        <w:rPr>
          <w:rFonts w:ascii="Times New Roman" w:hAnsi="Times New Roman"/>
          <w:sz w:val="24"/>
          <w:szCs w:val="24"/>
          <w:lang w:val="en-US"/>
        </w:rPr>
      </w:pPr>
      <w:proofErr w:type="spellStart"/>
      <w:r w:rsidRPr="00637B28">
        <w:rPr>
          <w:rFonts w:ascii="Times New Roman" w:hAnsi="Times New Roman"/>
          <w:sz w:val="24"/>
          <w:szCs w:val="24"/>
          <w:lang w:val="en-US"/>
        </w:rPr>
        <w:t>Enkel</w:t>
      </w:r>
      <w:proofErr w:type="spellEnd"/>
      <w:r w:rsidRPr="00637B28">
        <w:rPr>
          <w:rFonts w:ascii="Times New Roman" w:hAnsi="Times New Roman"/>
          <w:sz w:val="24"/>
          <w:szCs w:val="24"/>
          <w:lang w:val="en-US"/>
        </w:rPr>
        <w:t xml:space="preserve">, E., </w:t>
      </w:r>
      <w:proofErr w:type="spellStart"/>
      <w:r w:rsidRPr="00637B28">
        <w:rPr>
          <w:rFonts w:ascii="Times New Roman" w:hAnsi="Times New Roman"/>
          <w:sz w:val="24"/>
          <w:szCs w:val="24"/>
          <w:lang w:val="en-US"/>
        </w:rPr>
        <w:t>Gassmann</w:t>
      </w:r>
      <w:proofErr w:type="spellEnd"/>
      <w:r w:rsidRPr="00637B28">
        <w:rPr>
          <w:rFonts w:ascii="Times New Roman" w:hAnsi="Times New Roman"/>
          <w:sz w:val="24"/>
          <w:szCs w:val="24"/>
          <w:lang w:val="en-US"/>
        </w:rPr>
        <w:t xml:space="preserve">, O., and </w:t>
      </w:r>
      <w:proofErr w:type="spellStart"/>
      <w:r w:rsidRPr="00637B28">
        <w:rPr>
          <w:rFonts w:ascii="Times New Roman" w:hAnsi="Times New Roman"/>
          <w:sz w:val="24"/>
          <w:szCs w:val="24"/>
          <w:lang w:val="en-US"/>
        </w:rPr>
        <w:t>Chesbrough</w:t>
      </w:r>
      <w:proofErr w:type="spellEnd"/>
      <w:r w:rsidRPr="00637B28">
        <w:rPr>
          <w:rFonts w:ascii="Times New Roman" w:hAnsi="Times New Roman"/>
          <w:sz w:val="24"/>
          <w:szCs w:val="24"/>
          <w:lang w:val="en-US"/>
        </w:rPr>
        <w:t xml:space="preserve">, H. (2009). Open R&amp;D and open innovation: </w:t>
      </w:r>
    </w:p>
    <w:p w:rsidR="00CE6145" w:rsidRPr="00637B28" w:rsidRDefault="00CE6145" w:rsidP="00CE6145">
      <w:pPr>
        <w:pStyle w:val="NoSpacing"/>
        <w:spacing w:line="240" w:lineRule="auto"/>
        <w:ind w:firstLine="720"/>
        <w:rPr>
          <w:rFonts w:ascii="Times New Roman" w:hAnsi="Times New Roman"/>
          <w:sz w:val="24"/>
          <w:szCs w:val="24"/>
          <w:lang w:val="en-US"/>
        </w:rPr>
      </w:pPr>
      <w:proofErr w:type="gramStart"/>
      <w:r w:rsidRPr="00637B28">
        <w:rPr>
          <w:rFonts w:ascii="Times New Roman" w:hAnsi="Times New Roman"/>
          <w:sz w:val="24"/>
          <w:szCs w:val="24"/>
          <w:lang w:val="en-US"/>
        </w:rPr>
        <w:t>exploring</w:t>
      </w:r>
      <w:proofErr w:type="gramEnd"/>
      <w:r w:rsidRPr="00637B28">
        <w:rPr>
          <w:rFonts w:ascii="Times New Roman" w:hAnsi="Times New Roman"/>
          <w:sz w:val="24"/>
          <w:szCs w:val="24"/>
          <w:lang w:val="en-US"/>
        </w:rPr>
        <w:t xml:space="preserve"> the phenomenon. </w:t>
      </w:r>
      <w:r w:rsidRPr="00637B28">
        <w:rPr>
          <w:rFonts w:ascii="Times New Roman" w:hAnsi="Times New Roman"/>
          <w:i/>
          <w:sz w:val="24"/>
          <w:szCs w:val="24"/>
          <w:lang w:val="en-US"/>
        </w:rPr>
        <w:t>R&amp;D Management</w:t>
      </w:r>
      <w:r w:rsidRPr="00637B28">
        <w:rPr>
          <w:rFonts w:ascii="Times New Roman" w:hAnsi="Times New Roman"/>
          <w:sz w:val="24"/>
          <w:szCs w:val="24"/>
          <w:lang w:val="en-US"/>
        </w:rPr>
        <w:t xml:space="preserve">, 39 (4), 311-316. </w:t>
      </w:r>
    </w:p>
    <w:p w:rsidR="00CE6145" w:rsidRPr="00637B28" w:rsidRDefault="00CE6145" w:rsidP="00CE6145">
      <w:pPr>
        <w:spacing w:line="240" w:lineRule="auto"/>
      </w:pPr>
      <w:r w:rsidRPr="00637B28">
        <w:t xml:space="preserve">Foss, N.J., Laursen, K., and Pedersen, T. (2011). Linking customer interaction and </w:t>
      </w:r>
    </w:p>
    <w:p w:rsidR="00CE6145" w:rsidRPr="00637B28" w:rsidRDefault="00CE6145" w:rsidP="00CE6145">
      <w:pPr>
        <w:spacing w:line="240" w:lineRule="auto"/>
        <w:ind w:left="708"/>
      </w:pPr>
      <w:proofErr w:type="gramStart"/>
      <w:r w:rsidRPr="00637B28">
        <w:t>innovation</w:t>
      </w:r>
      <w:proofErr w:type="gramEnd"/>
      <w:r w:rsidRPr="00637B28">
        <w:t xml:space="preserve">: the mediating role of new organizational practices. </w:t>
      </w:r>
      <w:r w:rsidRPr="00637B28">
        <w:rPr>
          <w:i/>
        </w:rPr>
        <w:t>Organization Science</w:t>
      </w:r>
      <w:r w:rsidRPr="00637B28">
        <w:t xml:space="preserve">, 22 (4), 980-999. </w:t>
      </w:r>
    </w:p>
    <w:p w:rsidR="00CE6145" w:rsidRPr="00637B28" w:rsidRDefault="00CE6145" w:rsidP="00CE6145">
      <w:pPr>
        <w:spacing w:line="240" w:lineRule="auto"/>
      </w:pPr>
      <w:proofErr w:type="spellStart"/>
      <w:r w:rsidRPr="00637B28">
        <w:t>Garriga</w:t>
      </w:r>
      <w:proofErr w:type="spellEnd"/>
      <w:r w:rsidRPr="00637B28">
        <w:t xml:space="preserve">, G., von Krogh, G., and </w:t>
      </w:r>
      <w:proofErr w:type="spellStart"/>
      <w:r w:rsidRPr="00637B28">
        <w:t>Spaeth</w:t>
      </w:r>
      <w:proofErr w:type="spellEnd"/>
      <w:r w:rsidRPr="00637B28">
        <w:t xml:space="preserve">, S. (2013). How constraints and knowledge impact </w:t>
      </w:r>
    </w:p>
    <w:p w:rsidR="00CE6145" w:rsidRPr="00637B28" w:rsidRDefault="00CE6145" w:rsidP="00CE6145">
      <w:pPr>
        <w:spacing w:line="240" w:lineRule="auto"/>
        <w:ind w:firstLine="720"/>
      </w:pPr>
      <w:proofErr w:type="gramStart"/>
      <w:r w:rsidRPr="00637B28">
        <w:t>open</w:t>
      </w:r>
      <w:proofErr w:type="gramEnd"/>
      <w:r w:rsidRPr="00637B28">
        <w:t xml:space="preserve"> innovation. </w:t>
      </w:r>
      <w:r w:rsidRPr="00637B28">
        <w:rPr>
          <w:i/>
        </w:rPr>
        <w:t>Strategic Management Journal</w:t>
      </w:r>
      <w:r w:rsidRPr="00637B28">
        <w:t>, 34 (9), 1134-1144.</w:t>
      </w:r>
    </w:p>
    <w:p w:rsidR="00CE6145" w:rsidRPr="00637B28" w:rsidRDefault="00CE6145" w:rsidP="00CE6145">
      <w:pPr>
        <w:spacing w:line="240" w:lineRule="auto"/>
        <w:rPr>
          <w:i/>
        </w:rPr>
      </w:pPr>
      <w:proofErr w:type="spellStart"/>
      <w:r w:rsidRPr="00637B28">
        <w:t>Gassmann</w:t>
      </w:r>
      <w:proofErr w:type="spellEnd"/>
      <w:r w:rsidRPr="00637B28">
        <w:t xml:space="preserve">, O. and </w:t>
      </w:r>
      <w:proofErr w:type="spellStart"/>
      <w:r w:rsidRPr="00637B28">
        <w:t>Enkel</w:t>
      </w:r>
      <w:proofErr w:type="spellEnd"/>
      <w:r w:rsidRPr="00637B28">
        <w:t xml:space="preserve">, E. (2004). </w:t>
      </w:r>
      <w:r w:rsidRPr="00637B28">
        <w:rPr>
          <w:i/>
        </w:rPr>
        <w:t>Towards a theory of open innovation: Three core process</w:t>
      </w:r>
    </w:p>
    <w:p w:rsidR="00CE6145" w:rsidRPr="00637B28" w:rsidRDefault="00CE6145" w:rsidP="00CE6145">
      <w:pPr>
        <w:spacing w:line="240" w:lineRule="auto"/>
        <w:ind w:firstLine="720"/>
      </w:pPr>
      <w:r w:rsidRPr="00637B28">
        <w:rPr>
          <w:i/>
        </w:rPr>
        <w:t xml:space="preserve"> </w:t>
      </w:r>
      <w:proofErr w:type="gramStart"/>
      <w:r w:rsidRPr="00637B28">
        <w:rPr>
          <w:i/>
        </w:rPr>
        <w:t>archetypes</w:t>
      </w:r>
      <w:proofErr w:type="gramEnd"/>
      <w:r w:rsidRPr="00637B28">
        <w:t>. Paper presented at RADMA conference, Lisbon (Portugal).</w:t>
      </w:r>
    </w:p>
    <w:p w:rsidR="00CE6145" w:rsidRPr="00637B28" w:rsidRDefault="00CE6145" w:rsidP="00CE6145">
      <w:pPr>
        <w:spacing w:line="240" w:lineRule="auto"/>
      </w:pPr>
      <w:proofErr w:type="spellStart"/>
      <w:r w:rsidRPr="00637B28">
        <w:t>Gnyawali</w:t>
      </w:r>
      <w:proofErr w:type="spellEnd"/>
      <w:r w:rsidRPr="00637B28">
        <w:t xml:space="preserve">, D.R. and </w:t>
      </w:r>
      <w:proofErr w:type="spellStart"/>
      <w:r w:rsidRPr="00637B28">
        <w:t>Madhavan</w:t>
      </w:r>
      <w:proofErr w:type="spellEnd"/>
      <w:r w:rsidRPr="00637B28">
        <w:t xml:space="preserve">, R. (2001). Cooperative networks and competitive dynamics: a </w:t>
      </w:r>
    </w:p>
    <w:p w:rsidR="00CE6145" w:rsidRPr="00637B28" w:rsidRDefault="00CE6145" w:rsidP="00CE6145">
      <w:pPr>
        <w:spacing w:line="240" w:lineRule="auto"/>
        <w:ind w:left="720"/>
      </w:pPr>
      <w:proofErr w:type="gramStart"/>
      <w:r w:rsidRPr="00637B28">
        <w:t>structural</w:t>
      </w:r>
      <w:proofErr w:type="gramEnd"/>
      <w:r w:rsidRPr="00637B28">
        <w:t xml:space="preserve"> </w:t>
      </w:r>
      <w:proofErr w:type="spellStart"/>
      <w:r w:rsidRPr="00637B28">
        <w:t>embeddedness</w:t>
      </w:r>
      <w:proofErr w:type="spellEnd"/>
      <w:r w:rsidRPr="00637B28">
        <w:t xml:space="preserve"> perspective. </w:t>
      </w:r>
      <w:r w:rsidRPr="00637B28">
        <w:rPr>
          <w:i/>
        </w:rPr>
        <w:t>The Academy of Management Review</w:t>
      </w:r>
      <w:r w:rsidRPr="00637B28">
        <w:t>, 26 (3), 431-445.</w:t>
      </w:r>
    </w:p>
    <w:p w:rsidR="00CE6145" w:rsidRPr="00637B28" w:rsidRDefault="00CE6145" w:rsidP="00CE6145">
      <w:pPr>
        <w:spacing w:line="240" w:lineRule="auto"/>
        <w:rPr>
          <w:i/>
          <w:iCs/>
        </w:rPr>
      </w:pPr>
      <w:r w:rsidRPr="00637B28">
        <w:t>Graham, S.J.H. and Mowery, D.C. (2006).</w:t>
      </w:r>
      <w:r w:rsidRPr="00637B28">
        <w:rPr>
          <w:i/>
          <w:iCs/>
        </w:rPr>
        <w:t xml:space="preserve"> The use of intellectual property in software: </w:t>
      </w:r>
    </w:p>
    <w:p w:rsidR="00CE6145" w:rsidRPr="00637B28" w:rsidRDefault="00CE6145" w:rsidP="00CE6145">
      <w:pPr>
        <w:spacing w:line="240" w:lineRule="auto"/>
        <w:ind w:left="720"/>
      </w:pPr>
      <w:proofErr w:type="gramStart"/>
      <w:r w:rsidRPr="00637B28">
        <w:rPr>
          <w:i/>
          <w:iCs/>
        </w:rPr>
        <w:t>implications</w:t>
      </w:r>
      <w:proofErr w:type="gramEnd"/>
      <w:r w:rsidRPr="00637B28">
        <w:rPr>
          <w:i/>
          <w:iCs/>
        </w:rPr>
        <w:t xml:space="preserve"> for open innovation. </w:t>
      </w:r>
      <w:r w:rsidRPr="00637B28">
        <w:t xml:space="preserve">In </w:t>
      </w:r>
      <w:proofErr w:type="spellStart"/>
      <w:r w:rsidRPr="00637B28">
        <w:t>Chesbrough</w:t>
      </w:r>
      <w:proofErr w:type="spellEnd"/>
      <w:r w:rsidRPr="00637B28">
        <w:t xml:space="preserve">, H.W., </w:t>
      </w:r>
      <w:proofErr w:type="spellStart"/>
      <w:r w:rsidRPr="00637B28">
        <w:t>Vanhaverbeke</w:t>
      </w:r>
      <w:proofErr w:type="spellEnd"/>
      <w:r w:rsidRPr="00637B28">
        <w:t>, W. and West, J. (</w:t>
      </w:r>
      <w:proofErr w:type="spellStart"/>
      <w:r w:rsidRPr="00637B28">
        <w:t>eds</w:t>
      </w:r>
      <w:proofErr w:type="spellEnd"/>
      <w:r w:rsidRPr="00637B28">
        <w:t>), Open innovation: researching a new paradigm, Oxford University Press, Oxford, pp 109-133.</w:t>
      </w:r>
    </w:p>
    <w:p w:rsidR="00CE6145" w:rsidRPr="00637B28" w:rsidRDefault="00CE6145" w:rsidP="00CE6145">
      <w:pPr>
        <w:spacing w:line="240" w:lineRule="auto"/>
        <w:rPr>
          <w:rStyle w:val="Hyperlink"/>
          <w:color w:val="auto"/>
          <w:u w:val="none"/>
        </w:rPr>
      </w:pPr>
      <w:proofErr w:type="spellStart"/>
      <w:r w:rsidRPr="00637B28">
        <w:rPr>
          <w:rStyle w:val="Hyperlink"/>
          <w:color w:val="auto"/>
          <w:u w:val="none"/>
        </w:rPr>
        <w:t>Grimpe</w:t>
      </w:r>
      <w:proofErr w:type="spellEnd"/>
      <w:r w:rsidRPr="00637B28">
        <w:rPr>
          <w:rStyle w:val="Hyperlink"/>
          <w:color w:val="auto"/>
          <w:u w:val="none"/>
        </w:rPr>
        <w:t xml:space="preserve">, C. and </w:t>
      </w:r>
      <w:proofErr w:type="spellStart"/>
      <w:r w:rsidRPr="00637B28">
        <w:rPr>
          <w:rStyle w:val="Hyperlink"/>
          <w:color w:val="auto"/>
          <w:u w:val="none"/>
        </w:rPr>
        <w:t>Sofka</w:t>
      </w:r>
      <w:proofErr w:type="spellEnd"/>
      <w:r w:rsidRPr="00637B28">
        <w:rPr>
          <w:rStyle w:val="Hyperlink"/>
          <w:color w:val="auto"/>
          <w:u w:val="none"/>
        </w:rPr>
        <w:t xml:space="preserve">, W. (2009). Search patterns and absorptive capacity: Low- and </w:t>
      </w:r>
    </w:p>
    <w:p w:rsidR="00CE6145" w:rsidRPr="00637B28" w:rsidRDefault="00CE6145" w:rsidP="00CE6145">
      <w:pPr>
        <w:spacing w:line="240" w:lineRule="auto"/>
        <w:ind w:firstLine="720"/>
        <w:rPr>
          <w:rStyle w:val="Hyperlink"/>
          <w:color w:val="auto"/>
          <w:u w:val="none"/>
        </w:rPr>
      </w:pPr>
      <w:proofErr w:type="gramStart"/>
      <w:r w:rsidRPr="00637B28">
        <w:rPr>
          <w:rStyle w:val="Hyperlink"/>
          <w:color w:val="auto"/>
          <w:u w:val="none"/>
        </w:rPr>
        <w:t>high</w:t>
      </w:r>
      <w:proofErr w:type="gramEnd"/>
      <w:r w:rsidRPr="00637B28">
        <w:rPr>
          <w:rStyle w:val="Hyperlink"/>
          <w:color w:val="auto"/>
          <w:u w:val="none"/>
        </w:rPr>
        <w:t xml:space="preserve">-technology sectors in European countries. </w:t>
      </w:r>
      <w:r w:rsidRPr="00637B28">
        <w:rPr>
          <w:rStyle w:val="Hyperlink"/>
          <w:i/>
          <w:color w:val="auto"/>
          <w:u w:val="none"/>
        </w:rPr>
        <w:t>Research Policy</w:t>
      </w:r>
      <w:r w:rsidRPr="00637B28">
        <w:rPr>
          <w:rStyle w:val="Hyperlink"/>
          <w:color w:val="auto"/>
          <w:u w:val="none"/>
        </w:rPr>
        <w:t>, 38, 495-506.</w:t>
      </w:r>
    </w:p>
    <w:p w:rsidR="00CE6145" w:rsidRPr="00637B28" w:rsidRDefault="00CE6145" w:rsidP="00CE6145">
      <w:pPr>
        <w:spacing w:line="240" w:lineRule="auto"/>
        <w:rPr>
          <w:rFonts w:eastAsia="Calibri"/>
        </w:rPr>
      </w:pPr>
      <w:r w:rsidRPr="00637B28">
        <w:rPr>
          <w:rFonts w:eastAsia="Calibri"/>
        </w:rPr>
        <w:t xml:space="preserve">Gulati, R., Lavie, D., and Singh, H. (2009), ‘The nature of partnering experience and the gains </w:t>
      </w:r>
    </w:p>
    <w:p w:rsidR="00CE6145" w:rsidRPr="00637B28" w:rsidRDefault="00CE6145" w:rsidP="00CE6145">
      <w:pPr>
        <w:spacing w:line="240" w:lineRule="auto"/>
        <w:ind w:firstLine="708"/>
        <w:rPr>
          <w:rFonts w:eastAsia="Calibri"/>
        </w:rPr>
      </w:pPr>
      <w:proofErr w:type="gramStart"/>
      <w:r w:rsidRPr="00637B28">
        <w:rPr>
          <w:rFonts w:eastAsia="Calibri"/>
        </w:rPr>
        <w:t>from</w:t>
      </w:r>
      <w:proofErr w:type="gramEnd"/>
      <w:r w:rsidRPr="00637B28">
        <w:rPr>
          <w:rFonts w:eastAsia="Calibri"/>
        </w:rPr>
        <w:t xml:space="preserve"> alliances’, </w:t>
      </w:r>
      <w:r w:rsidRPr="00637B28">
        <w:rPr>
          <w:rFonts w:eastAsia="Calibri"/>
          <w:i/>
        </w:rPr>
        <w:t>Strategic Management Journal</w:t>
      </w:r>
      <w:r w:rsidRPr="00637B28">
        <w:rPr>
          <w:rFonts w:eastAsia="Calibri"/>
        </w:rPr>
        <w:t>, 30, 1213-1233.</w:t>
      </w:r>
      <w:r w:rsidRPr="00637B28">
        <w:rPr>
          <w:rStyle w:val="Hyperlink"/>
          <w:color w:val="auto"/>
          <w:u w:val="none"/>
        </w:rPr>
        <w:t xml:space="preserve"> </w:t>
      </w:r>
    </w:p>
    <w:p w:rsidR="00CE6145" w:rsidRPr="00637B28" w:rsidRDefault="00CE6145" w:rsidP="00CE6145">
      <w:pPr>
        <w:spacing w:line="240" w:lineRule="auto"/>
      </w:pPr>
      <w:r w:rsidRPr="00637B28">
        <w:t xml:space="preserve">Hagedoorn, J. and Hesen, G. (2007). Contract law and the governance of inter-firm </w:t>
      </w:r>
    </w:p>
    <w:p w:rsidR="00CE6145" w:rsidRPr="00637B28" w:rsidRDefault="00CE6145" w:rsidP="00CE6145">
      <w:pPr>
        <w:spacing w:line="240" w:lineRule="auto"/>
        <w:ind w:firstLine="720"/>
      </w:pPr>
      <w:proofErr w:type="gramStart"/>
      <w:r w:rsidRPr="00637B28">
        <w:t>technology</w:t>
      </w:r>
      <w:proofErr w:type="gramEnd"/>
      <w:r w:rsidRPr="00637B28">
        <w:t xml:space="preserve"> partnerships. An analysis of different modes of partnering and their </w:t>
      </w:r>
    </w:p>
    <w:p w:rsidR="00CE6145" w:rsidRPr="00637B28" w:rsidRDefault="00CE6145" w:rsidP="00CE6145">
      <w:pPr>
        <w:spacing w:line="240" w:lineRule="auto"/>
        <w:ind w:firstLine="720"/>
      </w:pPr>
      <w:proofErr w:type="gramStart"/>
      <w:r w:rsidRPr="00637B28">
        <w:t>contractual</w:t>
      </w:r>
      <w:proofErr w:type="gramEnd"/>
      <w:r w:rsidRPr="00637B28">
        <w:t xml:space="preserve"> implications. </w:t>
      </w:r>
      <w:r w:rsidRPr="00637B28">
        <w:rPr>
          <w:i/>
        </w:rPr>
        <w:t>Journal of Management Studies</w:t>
      </w:r>
      <w:r w:rsidRPr="00637B28">
        <w:t>, 44 (3), 342-366.</w:t>
      </w:r>
    </w:p>
    <w:p w:rsidR="00CE6145" w:rsidRPr="00637B28" w:rsidRDefault="00CE6145" w:rsidP="00CE6145">
      <w:pPr>
        <w:spacing w:line="240" w:lineRule="auto"/>
        <w:rPr>
          <w:i/>
        </w:rPr>
      </w:pPr>
      <w:r w:rsidRPr="00637B28">
        <w:t xml:space="preserve">Hair, J.F., Black, W.C., </w:t>
      </w:r>
      <w:proofErr w:type="spellStart"/>
      <w:r w:rsidRPr="00637B28">
        <w:t>Babin</w:t>
      </w:r>
      <w:proofErr w:type="spellEnd"/>
      <w:r w:rsidRPr="00637B28">
        <w:t xml:space="preserve">, B.J., Anderson, R.E. and </w:t>
      </w:r>
      <w:proofErr w:type="spellStart"/>
      <w:r w:rsidRPr="00637B28">
        <w:t>Tatham</w:t>
      </w:r>
      <w:proofErr w:type="spellEnd"/>
      <w:r w:rsidRPr="00637B28">
        <w:t xml:space="preserve">, R.L. (2006). </w:t>
      </w:r>
      <w:r w:rsidRPr="00637B28">
        <w:rPr>
          <w:i/>
        </w:rPr>
        <w:t xml:space="preserve">Multivariate </w:t>
      </w:r>
    </w:p>
    <w:p w:rsidR="00CE6145" w:rsidRPr="00637B28" w:rsidRDefault="00CE6145" w:rsidP="00CE6145">
      <w:pPr>
        <w:spacing w:line="240" w:lineRule="auto"/>
        <w:ind w:firstLine="720"/>
      </w:pPr>
      <w:r w:rsidRPr="00637B28">
        <w:rPr>
          <w:i/>
        </w:rPr>
        <w:t>Data Analysis</w:t>
      </w:r>
      <w:r w:rsidRPr="00637B28">
        <w:t xml:space="preserve">. Upper Saddle River, New Jersey: Pearson Prentice Hall. </w:t>
      </w:r>
    </w:p>
    <w:p w:rsidR="00CE6145" w:rsidRPr="00637B28" w:rsidRDefault="00CE6145" w:rsidP="00CE6145">
      <w:pPr>
        <w:spacing w:line="240" w:lineRule="auto"/>
        <w:rPr>
          <w:i/>
          <w:iCs/>
        </w:rPr>
      </w:pPr>
      <w:r w:rsidRPr="00637B28">
        <w:rPr>
          <w:lang w:val="de-DE"/>
        </w:rPr>
        <w:t xml:space="preserve">Hall, B., Jaffe, A., and Trajtenberg, M. (2005). </w:t>
      </w:r>
      <w:r w:rsidRPr="00637B28">
        <w:t xml:space="preserve">Market value and patent citations. </w:t>
      </w:r>
      <w:r w:rsidRPr="00637B28">
        <w:rPr>
          <w:i/>
          <w:iCs/>
        </w:rPr>
        <w:t xml:space="preserve">Rand </w:t>
      </w:r>
    </w:p>
    <w:p w:rsidR="00CE6145" w:rsidRPr="00637B28" w:rsidRDefault="00CE6145" w:rsidP="00CE6145">
      <w:pPr>
        <w:spacing w:line="240" w:lineRule="auto"/>
      </w:pPr>
      <w:r w:rsidRPr="00637B28">
        <w:rPr>
          <w:i/>
          <w:iCs/>
        </w:rPr>
        <w:tab/>
        <w:t>Journal of Economics</w:t>
      </w:r>
      <w:r w:rsidRPr="00637B28">
        <w:rPr>
          <w:iCs/>
        </w:rPr>
        <w:t>,</w:t>
      </w:r>
      <w:r w:rsidRPr="00637B28">
        <w:t xml:space="preserve"> 36, 16-38.</w:t>
      </w:r>
    </w:p>
    <w:p w:rsidR="00CE6145" w:rsidRPr="00637B28" w:rsidRDefault="00CE6145" w:rsidP="00CE6145">
      <w:pPr>
        <w:spacing w:after="200" w:line="240" w:lineRule="auto"/>
        <w:ind w:left="720" w:hanging="720"/>
        <w:contextualSpacing/>
      </w:pPr>
      <w:r w:rsidRPr="00637B28">
        <w:rPr>
          <w:bCs/>
        </w:rPr>
        <w:t xml:space="preserve">Hall, B., </w:t>
      </w:r>
      <w:proofErr w:type="spellStart"/>
      <w:r w:rsidRPr="00637B28">
        <w:rPr>
          <w:bCs/>
        </w:rPr>
        <w:t>Helmers</w:t>
      </w:r>
      <w:proofErr w:type="spellEnd"/>
      <w:r w:rsidRPr="00637B28">
        <w:rPr>
          <w:bCs/>
        </w:rPr>
        <w:t xml:space="preserve">, C., Rogers, M., and </w:t>
      </w:r>
      <w:proofErr w:type="spellStart"/>
      <w:r w:rsidRPr="00637B28">
        <w:rPr>
          <w:bCs/>
        </w:rPr>
        <w:t>Sena</w:t>
      </w:r>
      <w:proofErr w:type="spellEnd"/>
      <w:r w:rsidRPr="00637B28">
        <w:rPr>
          <w:bCs/>
        </w:rPr>
        <w:t xml:space="preserve">, V. (2012).  </w:t>
      </w:r>
      <w:hyperlink r:id="rId17" w:history="1">
        <w:r w:rsidRPr="00637B28">
          <w:rPr>
            <w:rStyle w:val="Hyperlink"/>
            <w:bCs/>
            <w:i/>
            <w:color w:val="auto"/>
            <w:u w:val="none"/>
          </w:rPr>
          <w:t>The choice between formal and informal intellectual property: A literature review</w:t>
        </w:r>
      </w:hyperlink>
      <w:r w:rsidRPr="00637B28">
        <w:rPr>
          <w:bCs/>
          <w:i/>
        </w:rPr>
        <w:t>,</w:t>
      </w:r>
      <w:r w:rsidRPr="00637B28">
        <w:rPr>
          <w:bCs/>
        </w:rPr>
        <w:t xml:space="preserve"> NBER Working Paper No. 17983.</w:t>
      </w:r>
    </w:p>
    <w:p w:rsidR="00CE6145" w:rsidRPr="00637B28" w:rsidRDefault="00CE6145" w:rsidP="00CE6145">
      <w:pPr>
        <w:spacing w:line="240" w:lineRule="auto"/>
        <w:contextualSpacing/>
        <w:rPr>
          <w:bCs/>
          <w:kern w:val="36"/>
        </w:rPr>
      </w:pPr>
      <w:proofErr w:type="spellStart"/>
      <w:r w:rsidRPr="00637B28">
        <w:t>Hausman</w:t>
      </w:r>
      <w:proofErr w:type="spellEnd"/>
      <w:r w:rsidRPr="00637B28">
        <w:t>, J. and Leonard,</w:t>
      </w:r>
      <w:r w:rsidRPr="00637B28">
        <w:rPr>
          <w:bCs/>
          <w:kern w:val="36"/>
        </w:rPr>
        <w:t xml:space="preserve"> G. (2006). Real options and patent damages: The legal treatment of </w:t>
      </w:r>
    </w:p>
    <w:p w:rsidR="00CE6145" w:rsidRPr="00637B28" w:rsidRDefault="00CE6145" w:rsidP="00CE6145">
      <w:pPr>
        <w:spacing w:before="100" w:beforeAutospacing="1" w:after="100" w:afterAutospacing="1" w:line="240" w:lineRule="auto"/>
        <w:ind w:left="720"/>
        <w:contextualSpacing/>
        <w:outlineLvl w:val="0"/>
      </w:pPr>
      <w:proofErr w:type="gramStart"/>
      <w:r w:rsidRPr="00637B28">
        <w:rPr>
          <w:bCs/>
          <w:kern w:val="36"/>
        </w:rPr>
        <w:t>non</w:t>
      </w:r>
      <w:proofErr w:type="gramEnd"/>
      <w:r w:rsidRPr="00637B28">
        <w:rPr>
          <w:bCs/>
          <w:kern w:val="36"/>
        </w:rPr>
        <w:t xml:space="preserve">-infringing alternatives, and incentives to innovate. </w:t>
      </w:r>
      <w:r w:rsidRPr="00637B28">
        <w:rPr>
          <w:bCs/>
          <w:i/>
          <w:kern w:val="36"/>
        </w:rPr>
        <w:t>J</w:t>
      </w:r>
      <w:r w:rsidRPr="00637B28">
        <w:rPr>
          <w:bCs/>
          <w:i/>
        </w:rPr>
        <w:t>ournal of Economic Surveys,</w:t>
      </w:r>
      <w:r w:rsidRPr="00637B28">
        <w:rPr>
          <w:bCs/>
        </w:rPr>
        <w:t xml:space="preserve"> 20 (4),</w:t>
      </w:r>
      <w:r w:rsidRPr="00637B28">
        <w:t xml:space="preserve"> 493–512.</w:t>
      </w:r>
    </w:p>
    <w:p w:rsidR="00CE6145" w:rsidRPr="00637B28" w:rsidRDefault="00CE6145" w:rsidP="00CE6145">
      <w:pPr>
        <w:spacing w:line="240" w:lineRule="auto"/>
        <w:contextualSpacing/>
      </w:pPr>
      <w:r w:rsidRPr="00637B28">
        <w:t xml:space="preserve">Henkel, J., Baldwin, C.Y., and Shih, W. (2013). IP modularity: profiting from innovation by </w:t>
      </w:r>
    </w:p>
    <w:p w:rsidR="00CE6145" w:rsidRDefault="00CE6145" w:rsidP="00CE6145">
      <w:pPr>
        <w:spacing w:line="240" w:lineRule="auto"/>
        <w:ind w:left="720"/>
        <w:contextualSpacing/>
      </w:pPr>
      <w:proofErr w:type="gramStart"/>
      <w:r w:rsidRPr="00637B28">
        <w:t>aligning</w:t>
      </w:r>
      <w:proofErr w:type="gramEnd"/>
      <w:r w:rsidRPr="00637B28">
        <w:t xml:space="preserve"> product architecture with intellectual property. </w:t>
      </w:r>
      <w:r w:rsidRPr="00637B28">
        <w:rPr>
          <w:i/>
        </w:rPr>
        <w:t>California Management Review</w:t>
      </w:r>
      <w:r w:rsidRPr="00637B28">
        <w:t>, 55 (4), 65-82.</w:t>
      </w:r>
    </w:p>
    <w:p w:rsidR="009E3996" w:rsidRPr="009E3996" w:rsidRDefault="009E3996" w:rsidP="009E3996">
      <w:pPr>
        <w:spacing w:line="240" w:lineRule="auto"/>
      </w:pPr>
      <w:proofErr w:type="spellStart"/>
      <w:r w:rsidRPr="009E3996">
        <w:t>Henttonen</w:t>
      </w:r>
      <w:proofErr w:type="spellEnd"/>
      <w:r w:rsidRPr="009E3996">
        <w:t xml:space="preserve">, K., </w:t>
      </w:r>
      <w:proofErr w:type="spellStart"/>
      <w:r w:rsidRPr="009E3996">
        <w:t>Hurmelinna-Laukkanen</w:t>
      </w:r>
      <w:proofErr w:type="spellEnd"/>
      <w:r w:rsidRPr="009E3996">
        <w:t xml:space="preserve">, P., and </w:t>
      </w:r>
      <w:proofErr w:type="spellStart"/>
      <w:r w:rsidRPr="009E3996">
        <w:t>Ritala</w:t>
      </w:r>
      <w:proofErr w:type="spellEnd"/>
      <w:r w:rsidRPr="009E3996">
        <w:t xml:space="preserve">, P. (2015). Managing the </w:t>
      </w:r>
    </w:p>
    <w:p w:rsidR="009E3996" w:rsidRPr="009E3996" w:rsidRDefault="009E3996" w:rsidP="009E3996">
      <w:pPr>
        <w:spacing w:line="240" w:lineRule="auto"/>
        <w:ind w:left="720"/>
      </w:pPr>
      <w:proofErr w:type="spellStart"/>
      <w:proofErr w:type="gramStart"/>
      <w:r w:rsidRPr="009E3996">
        <w:t>appropriability</w:t>
      </w:r>
      <w:proofErr w:type="spellEnd"/>
      <w:proofErr w:type="gramEnd"/>
      <w:r w:rsidRPr="009E3996">
        <w:t xml:space="preserve"> of R&amp;D collaboration. R&amp;D Management (in press) Link: http://onlinelibrary.wiley.com/doi/10.1111/radm.12121/abstract</w:t>
      </w:r>
    </w:p>
    <w:p w:rsidR="00CE6145" w:rsidRPr="00637B28" w:rsidRDefault="00CE6145" w:rsidP="00CE6145">
      <w:pPr>
        <w:spacing w:line="240" w:lineRule="auto"/>
        <w:contextualSpacing/>
        <w:rPr>
          <w:i/>
        </w:rPr>
      </w:pPr>
      <w:r w:rsidRPr="00637B28">
        <w:t xml:space="preserve">Howells, J. (2006). Intermediation and the role of intermediaries in innovation. </w:t>
      </w:r>
      <w:r w:rsidRPr="00637B28">
        <w:rPr>
          <w:i/>
        </w:rPr>
        <w:t xml:space="preserve">Research </w:t>
      </w:r>
    </w:p>
    <w:p w:rsidR="00CE6145" w:rsidRPr="00637B28" w:rsidRDefault="00CE6145" w:rsidP="00CE6145">
      <w:pPr>
        <w:spacing w:line="240" w:lineRule="auto"/>
        <w:ind w:firstLine="720"/>
        <w:contextualSpacing/>
      </w:pPr>
      <w:r w:rsidRPr="00637B28">
        <w:rPr>
          <w:i/>
        </w:rPr>
        <w:t>Policy</w:t>
      </w:r>
      <w:r w:rsidRPr="00637B28">
        <w:t xml:space="preserve">, 35 (5), 715-728. </w:t>
      </w:r>
    </w:p>
    <w:p w:rsidR="00CE6145" w:rsidRPr="00637B28" w:rsidRDefault="00CE6145" w:rsidP="00CE6145">
      <w:pPr>
        <w:spacing w:line="240" w:lineRule="auto"/>
      </w:pPr>
      <w:proofErr w:type="spellStart"/>
      <w:r w:rsidRPr="00637B28">
        <w:t>Huizingh</w:t>
      </w:r>
      <w:proofErr w:type="spellEnd"/>
      <w:r w:rsidRPr="00637B28">
        <w:t xml:space="preserve">, E.K.R.E. (2011). Open innovation: State of the art and future perspectives. </w:t>
      </w:r>
    </w:p>
    <w:p w:rsidR="00CE6145" w:rsidRPr="00637B28" w:rsidRDefault="00CE6145" w:rsidP="00CE6145">
      <w:pPr>
        <w:spacing w:line="240" w:lineRule="auto"/>
        <w:ind w:firstLine="720"/>
      </w:pPr>
      <w:r w:rsidRPr="00637B28">
        <w:rPr>
          <w:i/>
        </w:rPr>
        <w:t>Technovation</w:t>
      </w:r>
      <w:r w:rsidRPr="00637B28">
        <w:t xml:space="preserve">, 31, 2-9. </w:t>
      </w:r>
    </w:p>
    <w:p w:rsidR="00CE6145" w:rsidRPr="00637B28" w:rsidRDefault="00CE6145" w:rsidP="00CE6145">
      <w:pPr>
        <w:spacing w:line="240" w:lineRule="auto"/>
      </w:pPr>
      <w:proofErr w:type="spellStart"/>
      <w:r w:rsidRPr="00637B28">
        <w:t>Hurmelinna-Laukkanen</w:t>
      </w:r>
      <w:proofErr w:type="spellEnd"/>
      <w:r w:rsidRPr="00637B28">
        <w:t>, P. (2011). Enabling collaborative innovation – knowledge protection</w:t>
      </w:r>
    </w:p>
    <w:p w:rsidR="00CE6145" w:rsidRPr="00637B28" w:rsidRDefault="00CE6145" w:rsidP="00CE6145">
      <w:pPr>
        <w:spacing w:line="240" w:lineRule="auto"/>
        <w:ind w:firstLine="720"/>
      </w:pPr>
      <w:proofErr w:type="gramStart"/>
      <w:r w:rsidRPr="00637B28">
        <w:t>for</w:t>
      </w:r>
      <w:proofErr w:type="gramEnd"/>
      <w:r w:rsidRPr="00637B28">
        <w:t xml:space="preserve"> knowledge sharing. </w:t>
      </w:r>
      <w:r w:rsidRPr="00637B28">
        <w:rPr>
          <w:i/>
        </w:rPr>
        <w:t>European Journal of Innovation Management</w:t>
      </w:r>
      <w:r w:rsidRPr="00637B28">
        <w:t>, 14 (3), 303-</w:t>
      </w:r>
    </w:p>
    <w:p w:rsidR="00CE6145" w:rsidRPr="00637B28" w:rsidRDefault="00CE6145" w:rsidP="00CE6145">
      <w:pPr>
        <w:spacing w:line="240" w:lineRule="auto"/>
        <w:ind w:firstLine="720"/>
        <w:rPr>
          <w:lang w:val="de-DE"/>
        </w:rPr>
      </w:pPr>
      <w:r w:rsidRPr="00637B28">
        <w:rPr>
          <w:lang w:val="de-DE"/>
        </w:rPr>
        <w:t xml:space="preserve">321. </w:t>
      </w:r>
    </w:p>
    <w:p w:rsidR="00CE6145" w:rsidRPr="00637B28" w:rsidRDefault="00CE6145" w:rsidP="00CE6145">
      <w:pPr>
        <w:spacing w:after="200" w:line="240" w:lineRule="auto"/>
        <w:ind w:left="720" w:hanging="720"/>
        <w:contextualSpacing/>
      </w:pPr>
      <w:r w:rsidRPr="00637B28">
        <w:rPr>
          <w:lang w:val="de-DE"/>
        </w:rPr>
        <w:t xml:space="preserve">Hurmelinna, P., Kyläheiko, K., and Jauhiainen, T. (2007). </w:t>
      </w:r>
      <w:r w:rsidRPr="00637B28">
        <w:t xml:space="preserve">The </w:t>
      </w:r>
      <w:proofErr w:type="spellStart"/>
      <w:proofErr w:type="gramStart"/>
      <w:r w:rsidRPr="00637B28">
        <w:t>janus</w:t>
      </w:r>
      <w:proofErr w:type="spellEnd"/>
      <w:proofErr w:type="gramEnd"/>
      <w:r w:rsidRPr="00637B28">
        <w:t xml:space="preserve"> face of the </w:t>
      </w:r>
      <w:proofErr w:type="spellStart"/>
      <w:r w:rsidRPr="00637B28">
        <w:t>appropriability</w:t>
      </w:r>
      <w:proofErr w:type="spellEnd"/>
      <w:r w:rsidRPr="00637B28">
        <w:t xml:space="preserve"> regime in the protection of innovations: Theoretical re-appraisal and empirical analysis. </w:t>
      </w:r>
      <w:r w:rsidRPr="00637B28">
        <w:rPr>
          <w:i/>
        </w:rPr>
        <w:t>Technovation</w:t>
      </w:r>
      <w:r w:rsidRPr="00637B28">
        <w:t xml:space="preserve">, 27, 133-144. </w:t>
      </w:r>
    </w:p>
    <w:p w:rsidR="00CE6145" w:rsidRPr="00637B28" w:rsidRDefault="00CE6145" w:rsidP="00CE6145">
      <w:pPr>
        <w:spacing w:after="200" w:line="240" w:lineRule="auto"/>
        <w:contextualSpacing/>
      </w:pPr>
      <w:r w:rsidRPr="00637B28">
        <w:lastRenderedPageBreak/>
        <w:t xml:space="preserve">James, S.D., </w:t>
      </w:r>
      <w:proofErr w:type="spellStart"/>
      <w:r w:rsidRPr="00637B28">
        <w:t>Leiblein</w:t>
      </w:r>
      <w:proofErr w:type="spellEnd"/>
      <w:r w:rsidRPr="00637B28">
        <w:t xml:space="preserve">, M.J. and Lu, S. (2013). How firms capture value from their </w:t>
      </w:r>
    </w:p>
    <w:p w:rsidR="00CE6145" w:rsidRPr="00637B28" w:rsidRDefault="00CE6145" w:rsidP="00CE6145">
      <w:pPr>
        <w:spacing w:after="200" w:line="240" w:lineRule="auto"/>
        <w:ind w:firstLine="720"/>
        <w:contextualSpacing/>
      </w:pPr>
      <w:proofErr w:type="gramStart"/>
      <w:r w:rsidRPr="00637B28">
        <w:t>innovations</w:t>
      </w:r>
      <w:proofErr w:type="gramEnd"/>
      <w:r w:rsidRPr="00637B28">
        <w:t xml:space="preserve">. </w:t>
      </w:r>
      <w:r w:rsidRPr="00637B28">
        <w:rPr>
          <w:i/>
        </w:rPr>
        <w:t>Journal of Management</w:t>
      </w:r>
      <w:r w:rsidRPr="00637B28">
        <w:t xml:space="preserve">, 39 (5), 1123-1155. </w:t>
      </w:r>
    </w:p>
    <w:p w:rsidR="00CE6145" w:rsidRPr="00637B28" w:rsidRDefault="00CE6145" w:rsidP="00CE6145">
      <w:pPr>
        <w:spacing w:line="240" w:lineRule="auto"/>
      </w:pPr>
      <w:r w:rsidRPr="00637B28">
        <w:t xml:space="preserve">Laursen, K. and Salter, A. (2006). Open for innovation: the role of openness in explaining </w:t>
      </w:r>
    </w:p>
    <w:p w:rsidR="00CE6145" w:rsidRPr="00637B28" w:rsidRDefault="00CE6145" w:rsidP="00CE6145">
      <w:pPr>
        <w:spacing w:line="240" w:lineRule="auto"/>
        <w:ind w:left="720"/>
      </w:pPr>
      <w:proofErr w:type="gramStart"/>
      <w:r w:rsidRPr="00637B28">
        <w:t>innovation</w:t>
      </w:r>
      <w:proofErr w:type="gramEnd"/>
      <w:r w:rsidRPr="00637B28">
        <w:t xml:space="preserve"> performance among U.K. manufacturing firms. </w:t>
      </w:r>
      <w:r w:rsidRPr="00637B28">
        <w:rPr>
          <w:i/>
        </w:rPr>
        <w:t>Strategic Management Journal</w:t>
      </w:r>
      <w:r w:rsidRPr="00637B28">
        <w:t>, 27,131-150.</w:t>
      </w:r>
    </w:p>
    <w:p w:rsidR="00CE6145" w:rsidRPr="00637B28" w:rsidRDefault="00CE6145" w:rsidP="00CE6145">
      <w:pPr>
        <w:spacing w:line="240" w:lineRule="auto"/>
      </w:pPr>
      <w:r w:rsidRPr="00637B28">
        <w:t xml:space="preserve">Laursen, K. and A. Salter (2014). The paradox of openness: </w:t>
      </w:r>
      <w:proofErr w:type="spellStart"/>
      <w:r w:rsidRPr="00637B28">
        <w:t>appropriability</w:t>
      </w:r>
      <w:proofErr w:type="spellEnd"/>
      <w:r w:rsidRPr="00637B28">
        <w:t xml:space="preserve">, external search </w:t>
      </w:r>
    </w:p>
    <w:p w:rsidR="00CE6145" w:rsidRPr="00637B28" w:rsidRDefault="00CE6145" w:rsidP="00CE6145">
      <w:pPr>
        <w:spacing w:line="240" w:lineRule="auto"/>
        <w:ind w:left="720"/>
      </w:pPr>
      <w:proofErr w:type="gramStart"/>
      <w:r w:rsidRPr="00637B28">
        <w:t>and</w:t>
      </w:r>
      <w:proofErr w:type="gramEnd"/>
      <w:r w:rsidRPr="00637B28">
        <w:t xml:space="preserve"> collaboration. </w:t>
      </w:r>
      <w:r w:rsidRPr="00637B28">
        <w:rPr>
          <w:i/>
        </w:rPr>
        <w:t>Research Policy.</w:t>
      </w:r>
      <w:r w:rsidRPr="00637B28">
        <w:t xml:space="preserve"> Published online ahead of print: DOI: 10.1016/j.respol.2013.10004 </w:t>
      </w:r>
    </w:p>
    <w:p w:rsidR="00CE6145" w:rsidRPr="00637B28" w:rsidRDefault="00CE6145" w:rsidP="00CE6145">
      <w:pPr>
        <w:spacing w:line="240" w:lineRule="auto"/>
      </w:pPr>
      <w:r w:rsidRPr="00637B28">
        <w:t xml:space="preserve">Lee, N. (2009). Exclusion and coordination in collaborative innovation and patent law. </w:t>
      </w:r>
    </w:p>
    <w:p w:rsidR="00CE6145" w:rsidRPr="00637B28" w:rsidRDefault="00CE6145" w:rsidP="00CE6145">
      <w:pPr>
        <w:spacing w:line="240" w:lineRule="auto"/>
        <w:ind w:firstLine="720"/>
      </w:pPr>
      <w:r w:rsidRPr="00637B28">
        <w:rPr>
          <w:i/>
        </w:rPr>
        <w:t>International Journal of Intellectual Property Management</w:t>
      </w:r>
      <w:r w:rsidRPr="00637B28">
        <w:t xml:space="preserve">, 3 (1), 79-93. </w:t>
      </w:r>
    </w:p>
    <w:p w:rsidR="00CE6145" w:rsidRPr="00637B28" w:rsidRDefault="00CE6145" w:rsidP="00CE6145">
      <w:pPr>
        <w:spacing w:line="240" w:lineRule="auto"/>
        <w:rPr>
          <w:i/>
        </w:rPr>
      </w:pPr>
      <w:r w:rsidRPr="00637B28">
        <w:rPr>
          <w:lang w:val="nl-NL"/>
        </w:rPr>
        <w:t xml:space="preserve">Lee, N., Nystén-Haarala, S., and Huhtilaienen, L (2010). </w:t>
      </w:r>
      <w:r w:rsidRPr="00637B28">
        <w:rPr>
          <w:i/>
        </w:rPr>
        <w:t xml:space="preserve">Interfacing intellectual property </w:t>
      </w:r>
    </w:p>
    <w:p w:rsidR="00CE6145" w:rsidRPr="00637B28" w:rsidRDefault="00CE6145" w:rsidP="00CE6145">
      <w:pPr>
        <w:spacing w:line="240" w:lineRule="auto"/>
        <w:ind w:left="720"/>
      </w:pPr>
      <w:proofErr w:type="gramStart"/>
      <w:r w:rsidRPr="00637B28">
        <w:rPr>
          <w:i/>
        </w:rPr>
        <w:t>rights</w:t>
      </w:r>
      <w:proofErr w:type="gramEnd"/>
      <w:r w:rsidRPr="00637B28">
        <w:rPr>
          <w:i/>
        </w:rPr>
        <w:t xml:space="preserve"> and open innovation</w:t>
      </w:r>
      <w:r w:rsidRPr="00637B28">
        <w:t>, Lappeenranta University of Technology, Department of Industrial Management, Research Report No. 225.</w:t>
      </w:r>
    </w:p>
    <w:p w:rsidR="00CE6145" w:rsidRPr="00637B28" w:rsidRDefault="00CE6145" w:rsidP="00CE6145">
      <w:pPr>
        <w:spacing w:line="240" w:lineRule="auto"/>
        <w:rPr>
          <w:lang w:eastAsia="nl-NL"/>
        </w:rPr>
      </w:pPr>
      <w:r w:rsidRPr="00637B28">
        <w:rPr>
          <w:lang w:eastAsia="nl-NL"/>
        </w:rPr>
        <w:t xml:space="preserve">Lerner, J. and </w:t>
      </w:r>
      <w:proofErr w:type="spellStart"/>
      <w:r w:rsidRPr="00637B28">
        <w:rPr>
          <w:lang w:eastAsia="nl-NL"/>
        </w:rPr>
        <w:t>Malmendier</w:t>
      </w:r>
      <w:proofErr w:type="spellEnd"/>
      <w:r w:rsidRPr="00637B28">
        <w:rPr>
          <w:lang w:eastAsia="nl-NL"/>
        </w:rPr>
        <w:t>, U. (2010). Contractibility and the design of research agreements.</w:t>
      </w:r>
      <w:r w:rsidRPr="00637B28">
        <w:rPr>
          <w:lang w:eastAsia="nl-NL"/>
        </w:rPr>
        <w:tab/>
      </w:r>
      <w:r w:rsidRPr="00637B28">
        <w:rPr>
          <w:i/>
          <w:lang w:eastAsia="nl-NL"/>
        </w:rPr>
        <w:t>American Economic Review</w:t>
      </w:r>
      <w:r w:rsidRPr="00637B28">
        <w:rPr>
          <w:lang w:eastAsia="nl-NL"/>
        </w:rPr>
        <w:t>, 100(1), 214-246.</w:t>
      </w:r>
    </w:p>
    <w:p w:rsidR="00CE6145" w:rsidRPr="00637B28" w:rsidRDefault="00CE6145" w:rsidP="00CE6145">
      <w:pPr>
        <w:spacing w:line="240" w:lineRule="auto"/>
        <w:rPr>
          <w:rFonts w:eastAsia="Calibri"/>
        </w:rPr>
      </w:pPr>
      <w:r w:rsidRPr="00637B28">
        <w:rPr>
          <w:rFonts w:eastAsia="Calibri"/>
        </w:rPr>
        <w:t xml:space="preserve">Love, J.H., Roper, S., and </w:t>
      </w:r>
      <w:proofErr w:type="spellStart"/>
      <w:r w:rsidRPr="00637B28">
        <w:rPr>
          <w:rFonts w:eastAsia="Calibri"/>
        </w:rPr>
        <w:t>Vahter</w:t>
      </w:r>
      <w:proofErr w:type="spellEnd"/>
      <w:r w:rsidRPr="00637B28">
        <w:rPr>
          <w:rFonts w:eastAsia="Calibri"/>
        </w:rPr>
        <w:t xml:space="preserve">, P. (2013), ‘Learning from openness: the dynamics of </w:t>
      </w:r>
    </w:p>
    <w:p w:rsidR="00CE6145" w:rsidRPr="00637B28" w:rsidRDefault="00CE6145" w:rsidP="00CE6145">
      <w:pPr>
        <w:spacing w:line="240" w:lineRule="auto"/>
        <w:ind w:left="708"/>
        <w:rPr>
          <w:rFonts w:eastAsia="Calibri"/>
        </w:rPr>
      </w:pPr>
      <w:proofErr w:type="gramStart"/>
      <w:r w:rsidRPr="00637B28">
        <w:rPr>
          <w:rFonts w:eastAsia="Calibri"/>
        </w:rPr>
        <w:t>breadth</w:t>
      </w:r>
      <w:proofErr w:type="gramEnd"/>
      <w:r w:rsidRPr="00637B28">
        <w:rPr>
          <w:rFonts w:eastAsia="Calibri"/>
        </w:rPr>
        <w:t xml:space="preserve"> in external innovation linkages’,</w:t>
      </w:r>
      <w:r w:rsidRPr="00637B28">
        <w:rPr>
          <w:rFonts w:eastAsia="Calibri"/>
          <w:i/>
        </w:rPr>
        <w:t xml:space="preserve"> Strategic Management Journal</w:t>
      </w:r>
      <w:r w:rsidRPr="00637B28">
        <w:rPr>
          <w:rFonts w:eastAsia="Calibri"/>
        </w:rPr>
        <w:t xml:space="preserve">, 35 (11), 1703-1716. </w:t>
      </w:r>
    </w:p>
    <w:p w:rsidR="00CE6145" w:rsidRPr="00637B28" w:rsidRDefault="00CE6145" w:rsidP="00CE6145">
      <w:pPr>
        <w:spacing w:line="240" w:lineRule="auto"/>
        <w:contextualSpacing/>
      </w:pPr>
      <w:r w:rsidRPr="00CE6145">
        <w:rPr>
          <w:lang w:val="nl-NL"/>
        </w:rPr>
        <w:t xml:space="preserve">Luoma, T., Paasi, J., and Valkokari, K. (2010). </w:t>
      </w:r>
      <w:r w:rsidRPr="00637B28">
        <w:t>Intellectual property in inter-</w:t>
      </w:r>
      <w:proofErr w:type="spellStart"/>
      <w:r w:rsidRPr="00637B28">
        <w:t>organisational</w:t>
      </w:r>
      <w:proofErr w:type="spellEnd"/>
      <w:r w:rsidRPr="00637B28">
        <w:t xml:space="preserve"> </w:t>
      </w:r>
    </w:p>
    <w:p w:rsidR="00CE6145" w:rsidRPr="00637B28" w:rsidRDefault="00CE6145" w:rsidP="00CE6145">
      <w:pPr>
        <w:spacing w:line="240" w:lineRule="auto"/>
        <w:ind w:left="720"/>
        <w:contextualSpacing/>
      </w:pPr>
      <w:proofErr w:type="gramStart"/>
      <w:r w:rsidRPr="00637B28">
        <w:t>relationships</w:t>
      </w:r>
      <w:proofErr w:type="gramEnd"/>
      <w:r w:rsidRPr="00637B28">
        <w:t xml:space="preserve"> – findings from an interview study. </w:t>
      </w:r>
      <w:r w:rsidRPr="00637B28">
        <w:rPr>
          <w:i/>
        </w:rPr>
        <w:t>International Journal of Innovation Management</w:t>
      </w:r>
      <w:r w:rsidRPr="00637B28">
        <w:t>, 14 (3), 399-414.</w:t>
      </w:r>
    </w:p>
    <w:p w:rsidR="00CE6145" w:rsidRPr="00637B28" w:rsidRDefault="00CE6145" w:rsidP="00CE6145">
      <w:pPr>
        <w:spacing w:after="200" w:line="240" w:lineRule="auto"/>
        <w:contextualSpacing/>
        <w:rPr>
          <w:rFonts w:eastAsiaTheme="minorHAnsi"/>
        </w:rPr>
      </w:pPr>
      <w:r w:rsidRPr="00637B28">
        <w:rPr>
          <w:rFonts w:eastAsiaTheme="minorHAnsi"/>
        </w:rPr>
        <w:t xml:space="preserve">Macaulay, S. (1963). Non-contractual relations in business: a preliminary study. </w:t>
      </w:r>
      <w:r w:rsidRPr="00637B28">
        <w:rPr>
          <w:rFonts w:eastAsiaTheme="minorHAnsi"/>
          <w:i/>
        </w:rPr>
        <w:t xml:space="preserve">American </w:t>
      </w:r>
      <w:r w:rsidRPr="00637B28">
        <w:rPr>
          <w:rFonts w:eastAsiaTheme="minorHAnsi"/>
          <w:i/>
        </w:rPr>
        <w:tab/>
        <w:t>Sociological Review</w:t>
      </w:r>
      <w:r w:rsidRPr="00637B28">
        <w:rPr>
          <w:rFonts w:eastAsiaTheme="minorHAnsi"/>
        </w:rPr>
        <w:t xml:space="preserve"> 28, 1-19.</w:t>
      </w:r>
    </w:p>
    <w:p w:rsidR="00CE6145" w:rsidRPr="00637B28" w:rsidRDefault="00CE6145" w:rsidP="00CE6145">
      <w:pPr>
        <w:spacing w:line="240" w:lineRule="auto"/>
        <w:contextualSpacing/>
        <w:rPr>
          <w:rFonts w:eastAsia="Calibri"/>
        </w:rPr>
      </w:pPr>
      <w:proofErr w:type="spellStart"/>
      <w:r w:rsidRPr="00637B28">
        <w:rPr>
          <w:rFonts w:eastAsia="Calibri"/>
        </w:rPr>
        <w:t>Mellewigt</w:t>
      </w:r>
      <w:proofErr w:type="spellEnd"/>
      <w:r w:rsidRPr="00637B28">
        <w:rPr>
          <w:rFonts w:eastAsia="Calibri"/>
        </w:rPr>
        <w:t xml:space="preserve">, T., </w:t>
      </w:r>
      <w:proofErr w:type="spellStart"/>
      <w:r w:rsidRPr="00637B28">
        <w:rPr>
          <w:rFonts w:eastAsia="Calibri"/>
        </w:rPr>
        <w:t>Madhok</w:t>
      </w:r>
      <w:proofErr w:type="spellEnd"/>
      <w:r w:rsidRPr="00637B28">
        <w:rPr>
          <w:rFonts w:eastAsia="Calibri"/>
        </w:rPr>
        <w:t xml:space="preserve">, A., and </w:t>
      </w:r>
      <w:proofErr w:type="spellStart"/>
      <w:r w:rsidRPr="00637B28">
        <w:rPr>
          <w:rFonts w:eastAsia="Calibri"/>
        </w:rPr>
        <w:t>Weibel</w:t>
      </w:r>
      <w:proofErr w:type="spellEnd"/>
      <w:r w:rsidRPr="00637B28">
        <w:rPr>
          <w:rFonts w:eastAsia="Calibri"/>
        </w:rPr>
        <w:t xml:space="preserve">, A. (2007). Trust and formal contracts in </w:t>
      </w:r>
    </w:p>
    <w:p w:rsidR="00CE6145" w:rsidRPr="00637B28" w:rsidRDefault="00CE6145" w:rsidP="00CE6145">
      <w:pPr>
        <w:spacing w:line="240" w:lineRule="auto"/>
        <w:contextualSpacing/>
        <w:rPr>
          <w:rFonts w:eastAsia="Calibri"/>
          <w:i/>
        </w:rPr>
      </w:pPr>
      <w:r w:rsidRPr="00637B28">
        <w:rPr>
          <w:rFonts w:eastAsia="Calibri"/>
        </w:rPr>
        <w:tab/>
      </w:r>
      <w:proofErr w:type="spellStart"/>
      <w:proofErr w:type="gramStart"/>
      <w:r w:rsidRPr="00637B28">
        <w:rPr>
          <w:rFonts w:eastAsia="Calibri"/>
        </w:rPr>
        <w:t>interorganizational</w:t>
      </w:r>
      <w:proofErr w:type="spellEnd"/>
      <w:proofErr w:type="gramEnd"/>
      <w:r w:rsidRPr="00637B28">
        <w:rPr>
          <w:rFonts w:eastAsia="Calibri"/>
        </w:rPr>
        <w:t xml:space="preserve"> relationships – substitutes and complements. </w:t>
      </w:r>
      <w:r w:rsidRPr="00637B28">
        <w:rPr>
          <w:rFonts w:eastAsia="Calibri"/>
          <w:i/>
        </w:rPr>
        <w:t>Managerial and</w:t>
      </w:r>
    </w:p>
    <w:p w:rsidR="00CE6145" w:rsidRPr="00637B28" w:rsidRDefault="00CE6145" w:rsidP="00CE6145">
      <w:pPr>
        <w:spacing w:line="240" w:lineRule="auto"/>
        <w:ind w:firstLine="720"/>
        <w:contextualSpacing/>
        <w:rPr>
          <w:rFonts w:eastAsia="Calibri"/>
        </w:rPr>
      </w:pPr>
      <w:r w:rsidRPr="00637B28">
        <w:rPr>
          <w:rFonts w:eastAsia="Calibri"/>
          <w:i/>
        </w:rPr>
        <w:t>Decision Economics</w:t>
      </w:r>
      <w:r w:rsidRPr="00637B28">
        <w:rPr>
          <w:rFonts w:eastAsia="Calibri"/>
        </w:rPr>
        <w:t>, 28, 833-847.</w:t>
      </w:r>
    </w:p>
    <w:p w:rsidR="00CE6145" w:rsidRPr="00637B28" w:rsidRDefault="00CE6145" w:rsidP="00CE6145">
      <w:pPr>
        <w:spacing w:line="240" w:lineRule="auto"/>
        <w:rPr>
          <w:rFonts w:eastAsia="Calibri"/>
          <w:i/>
        </w:rPr>
      </w:pPr>
      <w:r w:rsidRPr="00637B28">
        <w:rPr>
          <w:rFonts w:eastAsia="Calibri"/>
        </w:rPr>
        <w:t xml:space="preserve">Merges, R.P. (2006). A transactional view of property rights, </w:t>
      </w:r>
      <w:r w:rsidRPr="00637B28">
        <w:rPr>
          <w:rFonts w:eastAsia="Calibri"/>
          <w:i/>
        </w:rPr>
        <w:t xml:space="preserve">Berkeley Technology Law </w:t>
      </w:r>
    </w:p>
    <w:p w:rsidR="00CE6145" w:rsidRPr="00637B28" w:rsidRDefault="00CE6145" w:rsidP="00CE6145">
      <w:pPr>
        <w:spacing w:line="240" w:lineRule="auto"/>
        <w:rPr>
          <w:rFonts w:eastAsia="Calibri"/>
        </w:rPr>
      </w:pPr>
      <w:r w:rsidRPr="00637B28">
        <w:rPr>
          <w:rFonts w:eastAsia="Calibri"/>
          <w:i/>
        </w:rPr>
        <w:tab/>
        <w:t>Journal</w:t>
      </w:r>
      <w:r w:rsidRPr="00637B28">
        <w:rPr>
          <w:rFonts w:eastAsia="Calibri"/>
        </w:rPr>
        <w:t>, 20, 1477-1520.</w:t>
      </w:r>
    </w:p>
    <w:p w:rsidR="00CE6145" w:rsidRPr="00637B28" w:rsidRDefault="00CE6145" w:rsidP="00CE6145">
      <w:pPr>
        <w:spacing w:line="240" w:lineRule="auto"/>
        <w:contextualSpacing/>
      </w:pPr>
      <w:r w:rsidRPr="00637B28">
        <w:rPr>
          <w:rFonts w:eastAsia="Calibri"/>
        </w:rPr>
        <w:t xml:space="preserve">Miles, M.B. and Huberman, A.M. (1994). </w:t>
      </w:r>
      <w:r w:rsidRPr="00637B28">
        <w:rPr>
          <w:rFonts w:eastAsia="Calibri"/>
          <w:i/>
        </w:rPr>
        <w:t>Qualitative Data Analysis</w:t>
      </w:r>
      <w:r w:rsidRPr="00637B28">
        <w:rPr>
          <w:rFonts w:eastAsia="Calibri"/>
        </w:rPr>
        <w:t xml:space="preserve">. </w:t>
      </w:r>
      <w:r w:rsidRPr="00637B28">
        <w:t>(2</w:t>
      </w:r>
      <w:r w:rsidRPr="00637B28">
        <w:rPr>
          <w:vertAlign w:val="superscript"/>
        </w:rPr>
        <w:t>nd</w:t>
      </w:r>
      <w:r w:rsidRPr="00637B28">
        <w:t xml:space="preserve"> </w:t>
      </w:r>
      <w:proofErr w:type="gramStart"/>
      <w:r w:rsidRPr="00637B28">
        <w:t>ed</w:t>
      </w:r>
      <w:proofErr w:type="gramEnd"/>
      <w:r w:rsidRPr="00637B28">
        <w:t xml:space="preserve">.) Thousand </w:t>
      </w:r>
    </w:p>
    <w:p w:rsidR="00CE6145" w:rsidRPr="00637B28" w:rsidRDefault="00CE6145" w:rsidP="00CE6145">
      <w:pPr>
        <w:spacing w:line="240" w:lineRule="auto"/>
        <w:ind w:firstLine="720"/>
        <w:contextualSpacing/>
        <w:rPr>
          <w:rFonts w:eastAsia="Calibri"/>
        </w:rPr>
      </w:pPr>
      <w:r w:rsidRPr="00637B28">
        <w:t>Oaks: C.A.: Sage.</w:t>
      </w:r>
    </w:p>
    <w:p w:rsidR="00CE6145" w:rsidRPr="00637B28" w:rsidRDefault="00CE6145" w:rsidP="00CE6145">
      <w:pPr>
        <w:spacing w:line="240" w:lineRule="auto"/>
        <w:contextualSpacing/>
      </w:pPr>
      <w:proofErr w:type="spellStart"/>
      <w:r w:rsidRPr="00637B28">
        <w:t>Munsch</w:t>
      </w:r>
      <w:proofErr w:type="spellEnd"/>
      <w:r w:rsidRPr="00637B28">
        <w:t xml:space="preserve">, K. (2009). Open model innovation. </w:t>
      </w:r>
      <w:r w:rsidRPr="00637B28">
        <w:rPr>
          <w:i/>
        </w:rPr>
        <w:t>Research Technology Management</w:t>
      </w:r>
      <w:r w:rsidRPr="00637B28">
        <w:t>, 52 (3), 48-</w:t>
      </w:r>
    </w:p>
    <w:p w:rsidR="00CE6145" w:rsidRPr="00637B28" w:rsidRDefault="00CE6145" w:rsidP="00CE6145">
      <w:pPr>
        <w:spacing w:line="240" w:lineRule="auto"/>
        <w:contextualSpacing/>
      </w:pPr>
      <w:r w:rsidRPr="00637B28">
        <w:tab/>
        <w:t>52</w:t>
      </w:r>
    </w:p>
    <w:p w:rsidR="00CE6145" w:rsidRPr="00637B28" w:rsidRDefault="00CE6145" w:rsidP="00CE6145">
      <w:pPr>
        <w:spacing w:line="240" w:lineRule="auto"/>
        <w:contextualSpacing/>
      </w:pPr>
      <w:r w:rsidRPr="00637B28">
        <w:t xml:space="preserve">Oster, S.M. (1999). </w:t>
      </w:r>
      <w:r w:rsidRPr="00637B28">
        <w:rPr>
          <w:i/>
        </w:rPr>
        <w:t>Modern competitive analysis</w:t>
      </w:r>
      <w:r w:rsidRPr="00637B28">
        <w:t>. Oxford University Press, New York.</w:t>
      </w:r>
    </w:p>
    <w:p w:rsidR="00CE6145" w:rsidRPr="00637B28" w:rsidRDefault="00CE6145" w:rsidP="00CE6145">
      <w:pPr>
        <w:spacing w:line="240" w:lineRule="auto"/>
        <w:contextualSpacing/>
        <w:rPr>
          <w:i/>
        </w:rPr>
      </w:pPr>
      <w:proofErr w:type="spellStart"/>
      <w:r w:rsidRPr="00637B28">
        <w:t>Ozman</w:t>
      </w:r>
      <w:proofErr w:type="spellEnd"/>
      <w:r w:rsidRPr="00637B28">
        <w:t xml:space="preserve">, M. (2008). </w:t>
      </w:r>
      <w:r w:rsidRPr="00637B28">
        <w:rPr>
          <w:i/>
        </w:rPr>
        <w:t xml:space="preserve">The two faces of open innovation: Network externalities and learning. </w:t>
      </w:r>
    </w:p>
    <w:p w:rsidR="00CE6145" w:rsidRPr="00637B28" w:rsidRDefault="00CE6145" w:rsidP="00CE6145">
      <w:pPr>
        <w:spacing w:line="240" w:lineRule="auto"/>
        <w:contextualSpacing/>
      </w:pPr>
      <w:r w:rsidRPr="00637B28">
        <w:rPr>
          <w:i/>
        </w:rPr>
        <w:tab/>
        <w:t xml:space="preserve">Working paper: Bureau </w:t>
      </w:r>
      <w:proofErr w:type="spellStart"/>
      <w:r w:rsidRPr="00637B28">
        <w:rPr>
          <w:i/>
        </w:rPr>
        <w:t>d’Economie</w:t>
      </w:r>
      <w:proofErr w:type="spellEnd"/>
      <w:r w:rsidRPr="00637B28">
        <w:rPr>
          <w:i/>
        </w:rPr>
        <w:t xml:space="preserve"> </w:t>
      </w:r>
      <w:proofErr w:type="spellStart"/>
      <w:r w:rsidRPr="00637B28">
        <w:rPr>
          <w:i/>
        </w:rPr>
        <w:t>Appliquée.</w:t>
      </w:r>
      <w:r w:rsidRPr="00637B28">
        <w:t>Paris</w:t>
      </w:r>
      <w:proofErr w:type="spellEnd"/>
      <w:r w:rsidRPr="00637B28">
        <w:t>.</w:t>
      </w:r>
    </w:p>
    <w:p w:rsidR="00CE6145" w:rsidRPr="00637B28" w:rsidRDefault="00CE6145" w:rsidP="00CE6145">
      <w:pPr>
        <w:spacing w:after="200" w:line="240" w:lineRule="auto"/>
        <w:contextualSpacing/>
        <w:rPr>
          <w:rFonts w:eastAsiaTheme="minorHAnsi"/>
        </w:rPr>
      </w:pPr>
      <w:proofErr w:type="spellStart"/>
      <w:r w:rsidRPr="00637B28">
        <w:rPr>
          <w:rFonts w:eastAsiaTheme="minorHAnsi"/>
          <w:bCs/>
        </w:rPr>
        <w:t>Pénin</w:t>
      </w:r>
      <w:proofErr w:type="spellEnd"/>
      <w:r w:rsidRPr="00637B28">
        <w:rPr>
          <w:rFonts w:eastAsiaTheme="minorHAnsi"/>
          <w:bCs/>
        </w:rPr>
        <w:t xml:space="preserve"> J</w:t>
      </w:r>
      <w:r w:rsidRPr="00637B28">
        <w:rPr>
          <w:rFonts w:eastAsiaTheme="minorHAnsi"/>
          <w:b/>
          <w:bCs/>
        </w:rPr>
        <w:t xml:space="preserve">. </w:t>
      </w:r>
      <w:r w:rsidRPr="00637B28">
        <w:rPr>
          <w:rFonts w:eastAsiaTheme="minorHAnsi"/>
        </w:rPr>
        <w:t xml:space="preserve">(2011). Open source innovation: Towards a generalization of the open source model </w:t>
      </w:r>
    </w:p>
    <w:p w:rsidR="00CE6145" w:rsidRPr="00637B28" w:rsidRDefault="00CE6145" w:rsidP="00CE6145">
      <w:pPr>
        <w:spacing w:after="200" w:line="240" w:lineRule="auto"/>
        <w:contextualSpacing/>
        <w:rPr>
          <w:rFonts w:eastAsiaTheme="minorHAnsi"/>
          <w:iCs/>
          <w:lang w:val="fr-FR"/>
        </w:rPr>
      </w:pPr>
      <w:r w:rsidRPr="00637B28">
        <w:rPr>
          <w:rFonts w:eastAsiaTheme="minorHAnsi"/>
        </w:rPr>
        <w:tab/>
      </w:r>
      <w:proofErr w:type="spellStart"/>
      <w:proofErr w:type="gramStart"/>
      <w:r w:rsidRPr="00637B28">
        <w:rPr>
          <w:rFonts w:eastAsiaTheme="minorHAnsi"/>
          <w:lang w:val="fr-FR"/>
        </w:rPr>
        <w:t>beyond</w:t>
      </w:r>
      <w:proofErr w:type="spellEnd"/>
      <w:proofErr w:type="gramEnd"/>
      <w:r w:rsidRPr="00637B28">
        <w:rPr>
          <w:rFonts w:eastAsiaTheme="minorHAnsi"/>
          <w:lang w:val="fr-FR"/>
        </w:rPr>
        <w:t xml:space="preserve"> software. </w:t>
      </w:r>
      <w:r w:rsidRPr="00637B28">
        <w:rPr>
          <w:rFonts w:eastAsiaTheme="minorHAnsi"/>
          <w:i/>
          <w:iCs/>
          <w:lang w:val="fr-FR"/>
        </w:rPr>
        <w:t xml:space="preserve">Revue d’Economie Industrielle, </w:t>
      </w:r>
      <w:r w:rsidRPr="00637B28">
        <w:rPr>
          <w:rFonts w:eastAsiaTheme="minorHAnsi"/>
          <w:iCs/>
          <w:lang w:val="fr-FR"/>
        </w:rPr>
        <w:t>136, 65-88.</w:t>
      </w:r>
    </w:p>
    <w:p w:rsidR="00CE6145" w:rsidRPr="00637B28" w:rsidRDefault="00CE6145" w:rsidP="00CE6145">
      <w:pPr>
        <w:spacing w:after="200" w:line="240" w:lineRule="auto"/>
        <w:ind w:left="720" w:hanging="720"/>
        <w:contextualSpacing/>
      </w:pPr>
      <w:proofErr w:type="spellStart"/>
      <w:r w:rsidRPr="00637B28">
        <w:t>Pénin</w:t>
      </w:r>
      <w:proofErr w:type="spellEnd"/>
      <w:r w:rsidRPr="00637B28">
        <w:t xml:space="preserve">, J., </w:t>
      </w:r>
      <w:proofErr w:type="spellStart"/>
      <w:r w:rsidRPr="00637B28">
        <w:t>Hussler</w:t>
      </w:r>
      <w:proofErr w:type="spellEnd"/>
      <w:r w:rsidRPr="00637B28">
        <w:t>, C., and Burger-</w:t>
      </w:r>
      <w:proofErr w:type="spellStart"/>
      <w:r w:rsidRPr="00637B28">
        <w:t>Helmchen</w:t>
      </w:r>
      <w:proofErr w:type="spellEnd"/>
      <w:r w:rsidRPr="00637B28">
        <w:t xml:space="preserve">, T. (2011). New shapes and new stakes: a portrait of open innovation as a promising phenomenon. </w:t>
      </w:r>
      <w:r w:rsidRPr="00637B28">
        <w:rPr>
          <w:i/>
        </w:rPr>
        <w:t>Journal of Innovation Economics</w:t>
      </w:r>
      <w:r w:rsidRPr="00637B28">
        <w:t>, 7, 11-29.</w:t>
      </w:r>
    </w:p>
    <w:p w:rsidR="00CE6145" w:rsidRPr="00637B28" w:rsidRDefault="00CE6145" w:rsidP="00CE6145">
      <w:pPr>
        <w:spacing w:line="240" w:lineRule="auto"/>
        <w:rPr>
          <w:i/>
        </w:rPr>
      </w:pPr>
      <w:r w:rsidRPr="00637B28">
        <w:t>Pisano, G. (2006). Profiting from innovation and the intellectual property revolution.</w:t>
      </w:r>
      <w:r w:rsidRPr="00637B28">
        <w:rPr>
          <w:i/>
        </w:rPr>
        <w:t xml:space="preserve"> </w:t>
      </w:r>
    </w:p>
    <w:p w:rsidR="00CE6145" w:rsidRPr="00637B28" w:rsidRDefault="00CE6145" w:rsidP="00CE6145">
      <w:pPr>
        <w:spacing w:line="240" w:lineRule="auto"/>
        <w:rPr>
          <w:i/>
        </w:rPr>
      </w:pPr>
      <w:r w:rsidRPr="00637B28">
        <w:rPr>
          <w:i/>
        </w:rPr>
        <w:tab/>
        <w:t>Research Policy</w:t>
      </w:r>
      <w:r w:rsidRPr="00637B28">
        <w:t>, 35, 1122-1130.</w:t>
      </w:r>
    </w:p>
    <w:p w:rsidR="00CE6145" w:rsidRPr="00637B28" w:rsidRDefault="00CE6145" w:rsidP="00CE6145">
      <w:pPr>
        <w:spacing w:line="240" w:lineRule="auto"/>
      </w:pPr>
      <w:r w:rsidRPr="00637B28">
        <w:t xml:space="preserve">Pisano, G.P. and Teece, D.J. (2007). How to capture value from innovation: Shaping </w:t>
      </w:r>
    </w:p>
    <w:p w:rsidR="00CE6145" w:rsidRPr="00637B28" w:rsidRDefault="00CE6145" w:rsidP="00CE6145">
      <w:pPr>
        <w:spacing w:line="240" w:lineRule="auto"/>
        <w:ind w:left="720"/>
      </w:pPr>
      <w:proofErr w:type="gramStart"/>
      <w:r w:rsidRPr="00637B28">
        <w:t>intellectual</w:t>
      </w:r>
      <w:proofErr w:type="gramEnd"/>
      <w:r w:rsidRPr="00637B28">
        <w:t xml:space="preserve"> property and industry architecture</w:t>
      </w:r>
      <w:r w:rsidRPr="00637B28">
        <w:rPr>
          <w:i/>
        </w:rPr>
        <w:t>. California Management Review</w:t>
      </w:r>
      <w:r w:rsidRPr="00637B28">
        <w:t xml:space="preserve">, 50 (1), 278-295. </w:t>
      </w:r>
    </w:p>
    <w:p w:rsidR="00CE6145" w:rsidRPr="00637B28" w:rsidRDefault="00CE6145" w:rsidP="00CE6145">
      <w:pPr>
        <w:pStyle w:val="NoSpacing"/>
        <w:spacing w:line="240" w:lineRule="auto"/>
        <w:contextualSpacing/>
        <w:rPr>
          <w:rFonts w:ascii="Times New Roman" w:hAnsi="Times New Roman"/>
          <w:sz w:val="24"/>
          <w:szCs w:val="24"/>
          <w:lang w:val="en-US"/>
        </w:rPr>
      </w:pPr>
      <w:proofErr w:type="spellStart"/>
      <w:r w:rsidRPr="00637B28">
        <w:rPr>
          <w:rFonts w:ascii="Times New Roman" w:hAnsi="Times New Roman"/>
          <w:sz w:val="24"/>
          <w:szCs w:val="24"/>
          <w:lang w:val="en-US"/>
        </w:rPr>
        <w:t>Podsakoff</w:t>
      </w:r>
      <w:proofErr w:type="spellEnd"/>
      <w:r w:rsidRPr="00637B28">
        <w:rPr>
          <w:rFonts w:ascii="Times New Roman" w:hAnsi="Times New Roman"/>
          <w:sz w:val="24"/>
          <w:szCs w:val="24"/>
          <w:lang w:val="en-US"/>
        </w:rPr>
        <w:t xml:space="preserve">, P.M., </w:t>
      </w:r>
      <w:proofErr w:type="spellStart"/>
      <w:r w:rsidRPr="00637B28">
        <w:rPr>
          <w:rFonts w:ascii="Times New Roman" w:hAnsi="Times New Roman"/>
          <w:sz w:val="24"/>
          <w:szCs w:val="24"/>
          <w:lang w:val="en-US"/>
        </w:rPr>
        <w:t>MacKenzie</w:t>
      </w:r>
      <w:proofErr w:type="spellEnd"/>
      <w:r w:rsidRPr="00637B28">
        <w:rPr>
          <w:rFonts w:ascii="Times New Roman" w:hAnsi="Times New Roman"/>
          <w:sz w:val="24"/>
          <w:szCs w:val="24"/>
          <w:lang w:val="en-US"/>
        </w:rPr>
        <w:t xml:space="preserve">, S.B., Lee, J.Y., and </w:t>
      </w:r>
      <w:proofErr w:type="spellStart"/>
      <w:r w:rsidRPr="00637B28">
        <w:rPr>
          <w:rFonts w:ascii="Times New Roman" w:hAnsi="Times New Roman"/>
          <w:sz w:val="24"/>
          <w:szCs w:val="24"/>
          <w:lang w:val="en-US"/>
        </w:rPr>
        <w:t>Podsakoff</w:t>
      </w:r>
      <w:proofErr w:type="spellEnd"/>
      <w:r w:rsidRPr="00637B28">
        <w:rPr>
          <w:rFonts w:ascii="Times New Roman" w:hAnsi="Times New Roman"/>
          <w:sz w:val="24"/>
          <w:szCs w:val="24"/>
          <w:lang w:val="en-US"/>
        </w:rPr>
        <w:t xml:space="preserve">, N.P. (2003). Common method </w:t>
      </w:r>
    </w:p>
    <w:p w:rsidR="00CE6145" w:rsidRPr="00637B28" w:rsidRDefault="00CE6145" w:rsidP="00CE6145">
      <w:pPr>
        <w:pStyle w:val="NoSpacing"/>
        <w:spacing w:line="240" w:lineRule="auto"/>
        <w:ind w:left="720"/>
        <w:contextualSpacing/>
        <w:rPr>
          <w:rFonts w:ascii="Times New Roman" w:hAnsi="Times New Roman"/>
          <w:sz w:val="24"/>
          <w:szCs w:val="24"/>
          <w:lang w:val="en-US"/>
        </w:rPr>
      </w:pPr>
      <w:proofErr w:type="gramStart"/>
      <w:r w:rsidRPr="00637B28">
        <w:rPr>
          <w:rFonts w:ascii="Times New Roman" w:hAnsi="Times New Roman"/>
          <w:sz w:val="24"/>
          <w:szCs w:val="24"/>
          <w:lang w:val="en-US"/>
        </w:rPr>
        <w:t>biases</w:t>
      </w:r>
      <w:proofErr w:type="gramEnd"/>
      <w:r w:rsidRPr="00637B28">
        <w:rPr>
          <w:rFonts w:ascii="Times New Roman" w:hAnsi="Times New Roman"/>
          <w:sz w:val="24"/>
          <w:szCs w:val="24"/>
          <w:lang w:val="en-US"/>
        </w:rPr>
        <w:t xml:space="preserve"> in behavioral research: A critical review of the literature and recommended remedies. </w:t>
      </w:r>
      <w:r w:rsidRPr="00637B28">
        <w:rPr>
          <w:rFonts w:ascii="Times New Roman" w:hAnsi="Times New Roman"/>
          <w:i/>
          <w:sz w:val="24"/>
          <w:szCs w:val="24"/>
          <w:lang w:val="en-US"/>
        </w:rPr>
        <w:t>Journal of Applied Psychology</w:t>
      </w:r>
      <w:r w:rsidRPr="00637B28">
        <w:rPr>
          <w:rFonts w:ascii="Times New Roman" w:hAnsi="Times New Roman"/>
          <w:sz w:val="24"/>
          <w:szCs w:val="24"/>
          <w:lang w:val="en-US"/>
        </w:rPr>
        <w:t>, 88 (5), 879-903.</w:t>
      </w:r>
    </w:p>
    <w:p w:rsidR="00CE6145" w:rsidRPr="00637B28" w:rsidRDefault="00CE6145" w:rsidP="00CE6145">
      <w:pPr>
        <w:pStyle w:val="NoSpacing"/>
        <w:spacing w:line="240" w:lineRule="auto"/>
        <w:contextualSpacing/>
        <w:rPr>
          <w:rFonts w:ascii="Times New Roman" w:hAnsi="Times New Roman"/>
          <w:sz w:val="24"/>
          <w:szCs w:val="24"/>
          <w:lang w:val="en-US"/>
        </w:rPr>
      </w:pPr>
      <w:r w:rsidRPr="00637B28">
        <w:rPr>
          <w:rFonts w:ascii="Times New Roman" w:hAnsi="Times New Roman"/>
          <w:sz w:val="24"/>
          <w:szCs w:val="24"/>
          <w:lang w:val="en-US"/>
        </w:rPr>
        <w:t xml:space="preserve">Powell, W.W., </w:t>
      </w:r>
      <w:proofErr w:type="spellStart"/>
      <w:r w:rsidRPr="00637B28">
        <w:rPr>
          <w:rFonts w:ascii="Times New Roman" w:hAnsi="Times New Roman"/>
          <w:sz w:val="24"/>
          <w:szCs w:val="24"/>
          <w:lang w:val="en-US"/>
        </w:rPr>
        <w:t>Kopu</w:t>
      </w:r>
      <w:proofErr w:type="spellEnd"/>
      <w:r w:rsidRPr="00637B28">
        <w:rPr>
          <w:rFonts w:ascii="Times New Roman" w:hAnsi="Times New Roman"/>
          <w:sz w:val="24"/>
          <w:szCs w:val="24"/>
          <w:lang w:val="en-US"/>
        </w:rPr>
        <w:t>, K., and Smith-</w:t>
      </w:r>
      <w:proofErr w:type="spellStart"/>
      <w:r w:rsidRPr="00637B28">
        <w:rPr>
          <w:rFonts w:ascii="Times New Roman" w:hAnsi="Times New Roman"/>
          <w:sz w:val="24"/>
          <w:szCs w:val="24"/>
          <w:lang w:val="en-US"/>
        </w:rPr>
        <w:t>Doerr</w:t>
      </w:r>
      <w:proofErr w:type="spellEnd"/>
      <w:r w:rsidRPr="00637B28">
        <w:rPr>
          <w:rFonts w:ascii="Times New Roman" w:hAnsi="Times New Roman"/>
          <w:sz w:val="24"/>
          <w:szCs w:val="24"/>
          <w:lang w:val="en-US"/>
        </w:rPr>
        <w:t xml:space="preserve">, L. (1996). </w:t>
      </w:r>
      <w:proofErr w:type="spellStart"/>
      <w:r w:rsidRPr="00637B28">
        <w:rPr>
          <w:rFonts w:ascii="Times New Roman" w:hAnsi="Times New Roman"/>
          <w:sz w:val="24"/>
          <w:szCs w:val="24"/>
          <w:lang w:val="en-US"/>
        </w:rPr>
        <w:t>Interorganizational</w:t>
      </w:r>
      <w:proofErr w:type="spellEnd"/>
      <w:r w:rsidRPr="00637B28">
        <w:rPr>
          <w:rFonts w:ascii="Times New Roman" w:hAnsi="Times New Roman"/>
          <w:sz w:val="24"/>
          <w:szCs w:val="24"/>
          <w:lang w:val="en-US"/>
        </w:rPr>
        <w:t xml:space="preserve"> collaboration and</w:t>
      </w:r>
    </w:p>
    <w:p w:rsidR="00CE6145" w:rsidRPr="00637B28" w:rsidRDefault="00CE6145" w:rsidP="00CE6145">
      <w:pPr>
        <w:pStyle w:val="NoSpacing"/>
        <w:spacing w:line="240" w:lineRule="auto"/>
        <w:ind w:firstLine="720"/>
        <w:rPr>
          <w:rFonts w:ascii="Times New Roman" w:hAnsi="Times New Roman"/>
          <w:sz w:val="24"/>
          <w:szCs w:val="24"/>
          <w:lang w:val="en-US"/>
        </w:rPr>
      </w:pPr>
      <w:proofErr w:type="gramStart"/>
      <w:r w:rsidRPr="00637B28">
        <w:rPr>
          <w:rFonts w:ascii="Times New Roman" w:hAnsi="Times New Roman"/>
          <w:sz w:val="24"/>
          <w:szCs w:val="24"/>
          <w:lang w:val="en-US"/>
        </w:rPr>
        <w:lastRenderedPageBreak/>
        <w:t>the</w:t>
      </w:r>
      <w:proofErr w:type="gramEnd"/>
      <w:r w:rsidRPr="00637B28">
        <w:rPr>
          <w:rFonts w:ascii="Times New Roman" w:hAnsi="Times New Roman"/>
          <w:sz w:val="24"/>
          <w:szCs w:val="24"/>
          <w:lang w:val="en-US"/>
        </w:rPr>
        <w:t xml:space="preserve"> locus of innovation; networks of learning in biotechnology. </w:t>
      </w:r>
      <w:r w:rsidRPr="00637B28">
        <w:rPr>
          <w:rFonts w:ascii="Times New Roman" w:hAnsi="Times New Roman"/>
          <w:i/>
          <w:sz w:val="24"/>
          <w:szCs w:val="24"/>
          <w:lang w:val="en-US"/>
        </w:rPr>
        <w:t xml:space="preserve">Administrative Science </w:t>
      </w:r>
      <w:r w:rsidRPr="00637B28">
        <w:rPr>
          <w:rFonts w:ascii="Times New Roman" w:hAnsi="Times New Roman"/>
          <w:i/>
          <w:sz w:val="24"/>
          <w:szCs w:val="24"/>
          <w:lang w:val="en-US"/>
        </w:rPr>
        <w:tab/>
        <w:t>Quarterly</w:t>
      </w:r>
      <w:r w:rsidRPr="00637B28">
        <w:rPr>
          <w:rFonts w:ascii="Times New Roman" w:hAnsi="Times New Roman"/>
          <w:sz w:val="24"/>
          <w:szCs w:val="24"/>
          <w:lang w:val="en-US"/>
        </w:rPr>
        <w:t>. 41, 116-145.</w:t>
      </w:r>
    </w:p>
    <w:p w:rsidR="00CE6145" w:rsidRPr="00637B28" w:rsidRDefault="00CE6145" w:rsidP="00CE6145">
      <w:pPr>
        <w:pStyle w:val="NoSpacing"/>
        <w:spacing w:line="240" w:lineRule="auto"/>
        <w:rPr>
          <w:rFonts w:ascii="Times New Roman" w:hAnsi="Times New Roman"/>
          <w:sz w:val="24"/>
          <w:szCs w:val="24"/>
          <w:lang w:val="en-US"/>
        </w:rPr>
      </w:pPr>
      <w:r w:rsidRPr="00637B28">
        <w:rPr>
          <w:rFonts w:ascii="Times New Roman" w:hAnsi="Times New Roman"/>
          <w:sz w:val="24"/>
          <w:szCs w:val="24"/>
          <w:lang w:val="en-US"/>
        </w:rPr>
        <w:t xml:space="preserve">Pullen, A.J.J., de </w:t>
      </w:r>
      <w:proofErr w:type="spellStart"/>
      <w:r w:rsidRPr="00637B28">
        <w:rPr>
          <w:rFonts w:ascii="Times New Roman" w:hAnsi="Times New Roman"/>
          <w:sz w:val="24"/>
          <w:szCs w:val="24"/>
          <w:lang w:val="en-US"/>
        </w:rPr>
        <w:t>Weerd-Nederhof</w:t>
      </w:r>
      <w:proofErr w:type="spellEnd"/>
      <w:r w:rsidRPr="00637B28">
        <w:rPr>
          <w:rFonts w:ascii="Times New Roman" w:hAnsi="Times New Roman"/>
          <w:sz w:val="24"/>
          <w:szCs w:val="24"/>
          <w:lang w:val="en-US"/>
        </w:rPr>
        <w:t xml:space="preserve">, P.C., </w:t>
      </w:r>
      <w:proofErr w:type="spellStart"/>
      <w:r w:rsidRPr="00637B28">
        <w:rPr>
          <w:rFonts w:ascii="Times New Roman" w:hAnsi="Times New Roman"/>
          <w:sz w:val="24"/>
          <w:szCs w:val="24"/>
          <w:lang w:val="en-US"/>
        </w:rPr>
        <w:t>Groen</w:t>
      </w:r>
      <w:proofErr w:type="spellEnd"/>
      <w:r w:rsidRPr="00637B28">
        <w:rPr>
          <w:rFonts w:ascii="Times New Roman" w:hAnsi="Times New Roman"/>
          <w:sz w:val="24"/>
          <w:szCs w:val="24"/>
          <w:lang w:val="en-US"/>
        </w:rPr>
        <w:t xml:space="preserve">, A.J. and </w:t>
      </w:r>
      <w:proofErr w:type="spellStart"/>
      <w:r w:rsidRPr="00637B28">
        <w:rPr>
          <w:rFonts w:ascii="Times New Roman" w:hAnsi="Times New Roman"/>
          <w:sz w:val="24"/>
          <w:szCs w:val="24"/>
          <w:lang w:val="en-US"/>
        </w:rPr>
        <w:t>Fisscher</w:t>
      </w:r>
      <w:proofErr w:type="spellEnd"/>
      <w:r w:rsidRPr="00637B28">
        <w:rPr>
          <w:rFonts w:ascii="Times New Roman" w:hAnsi="Times New Roman"/>
          <w:sz w:val="24"/>
          <w:szCs w:val="24"/>
          <w:lang w:val="en-US"/>
        </w:rPr>
        <w:t xml:space="preserve">, O.A.M. (2012). Open </w:t>
      </w:r>
    </w:p>
    <w:p w:rsidR="00CE6145" w:rsidRPr="00637B28" w:rsidRDefault="00CE6145" w:rsidP="00CE6145">
      <w:pPr>
        <w:pStyle w:val="NoSpacing"/>
        <w:spacing w:line="240" w:lineRule="auto"/>
        <w:ind w:left="720"/>
        <w:rPr>
          <w:rFonts w:ascii="Times New Roman" w:hAnsi="Times New Roman"/>
          <w:sz w:val="24"/>
          <w:szCs w:val="24"/>
          <w:lang w:val="en-US"/>
        </w:rPr>
      </w:pPr>
      <w:proofErr w:type="gramStart"/>
      <w:r w:rsidRPr="00637B28">
        <w:rPr>
          <w:rFonts w:ascii="Times New Roman" w:hAnsi="Times New Roman"/>
          <w:sz w:val="24"/>
          <w:szCs w:val="24"/>
          <w:lang w:val="en-US"/>
        </w:rPr>
        <w:t>innovation</w:t>
      </w:r>
      <w:proofErr w:type="gramEnd"/>
      <w:r w:rsidRPr="00637B28">
        <w:rPr>
          <w:rFonts w:ascii="Times New Roman" w:hAnsi="Times New Roman"/>
          <w:sz w:val="24"/>
          <w:szCs w:val="24"/>
          <w:lang w:val="en-US"/>
        </w:rPr>
        <w:t xml:space="preserve"> in practice: goal complementarity and closed NPD networks to explain differences in innovation performance for SMEs in the medical devices sector. </w:t>
      </w:r>
      <w:r w:rsidRPr="00637B28">
        <w:rPr>
          <w:rFonts w:ascii="Times New Roman" w:hAnsi="Times New Roman"/>
          <w:i/>
          <w:sz w:val="24"/>
          <w:szCs w:val="24"/>
          <w:lang w:val="en-US"/>
        </w:rPr>
        <w:t>Journal of Product Innovation Management</w:t>
      </w:r>
      <w:r w:rsidRPr="00637B28">
        <w:rPr>
          <w:rFonts w:ascii="Times New Roman" w:hAnsi="Times New Roman"/>
          <w:sz w:val="24"/>
          <w:szCs w:val="24"/>
          <w:lang w:val="en-US"/>
        </w:rPr>
        <w:t xml:space="preserve">, 29 (6), 917-934. </w:t>
      </w:r>
    </w:p>
    <w:p w:rsidR="00CE6145" w:rsidRPr="00637B28" w:rsidRDefault="00CE6145" w:rsidP="00CE6145">
      <w:pPr>
        <w:pStyle w:val="NoSpacing"/>
        <w:spacing w:line="240" w:lineRule="auto"/>
        <w:rPr>
          <w:rFonts w:ascii="Times New Roman" w:hAnsi="Times New Roman"/>
          <w:i/>
          <w:sz w:val="24"/>
          <w:szCs w:val="24"/>
          <w:lang w:val="en-US"/>
        </w:rPr>
      </w:pPr>
      <w:r w:rsidRPr="00637B28">
        <w:rPr>
          <w:rFonts w:ascii="Times New Roman" w:hAnsi="Times New Roman"/>
          <w:sz w:val="24"/>
          <w:szCs w:val="24"/>
          <w:lang w:val="en-US"/>
        </w:rPr>
        <w:t xml:space="preserve">Punch, K.F. (2005). </w:t>
      </w:r>
      <w:r w:rsidRPr="00637B28">
        <w:rPr>
          <w:rFonts w:ascii="Times New Roman" w:hAnsi="Times New Roman"/>
          <w:i/>
          <w:sz w:val="24"/>
          <w:szCs w:val="24"/>
          <w:lang w:val="en-US"/>
        </w:rPr>
        <w:t xml:space="preserve">Introduction to Social Research. Quantitative </w:t>
      </w:r>
      <w:proofErr w:type="gramStart"/>
      <w:r w:rsidRPr="00637B28">
        <w:rPr>
          <w:rFonts w:ascii="Times New Roman" w:hAnsi="Times New Roman"/>
          <w:i/>
          <w:sz w:val="24"/>
          <w:szCs w:val="24"/>
          <w:lang w:val="en-US"/>
        </w:rPr>
        <w:t>and  Qualitative</w:t>
      </w:r>
      <w:proofErr w:type="gramEnd"/>
      <w:r w:rsidRPr="00637B28">
        <w:rPr>
          <w:rFonts w:ascii="Times New Roman" w:hAnsi="Times New Roman"/>
          <w:i/>
          <w:sz w:val="24"/>
          <w:szCs w:val="24"/>
          <w:lang w:val="en-US"/>
        </w:rPr>
        <w:t xml:space="preserve"> </w:t>
      </w:r>
    </w:p>
    <w:p w:rsidR="00CE6145" w:rsidRPr="00637B28" w:rsidRDefault="00CE6145" w:rsidP="00CE6145">
      <w:pPr>
        <w:pStyle w:val="NoSpacing"/>
        <w:spacing w:line="240" w:lineRule="auto"/>
        <w:ind w:firstLine="720"/>
        <w:rPr>
          <w:rFonts w:ascii="Times New Roman" w:hAnsi="Times New Roman"/>
          <w:sz w:val="24"/>
          <w:szCs w:val="24"/>
          <w:lang w:val="en-US"/>
        </w:rPr>
      </w:pPr>
      <w:r w:rsidRPr="00637B28">
        <w:rPr>
          <w:rFonts w:ascii="Times New Roman" w:hAnsi="Times New Roman"/>
          <w:i/>
          <w:sz w:val="24"/>
          <w:szCs w:val="24"/>
          <w:lang w:val="en-US"/>
        </w:rPr>
        <w:t xml:space="preserve">Approaches </w:t>
      </w:r>
      <w:r w:rsidRPr="00637B28">
        <w:rPr>
          <w:rFonts w:ascii="Times New Roman" w:hAnsi="Times New Roman"/>
          <w:sz w:val="24"/>
          <w:szCs w:val="24"/>
          <w:lang w:val="en-US"/>
        </w:rPr>
        <w:t>(2</w:t>
      </w:r>
      <w:r w:rsidRPr="00637B28">
        <w:rPr>
          <w:rFonts w:ascii="Times New Roman" w:hAnsi="Times New Roman"/>
          <w:sz w:val="24"/>
          <w:szCs w:val="24"/>
          <w:vertAlign w:val="superscript"/>
          <w:lang w:val="en-US"/>
        </w:rPr>
        <w:t>nd</w:t>
      </w:r>
      <w:r w:rsidRPr="00637B28">
        <w:rPr>
          <w:rFonts w:ascii="Times New Roman" w:hAnsi="Times New Roman"/>
          <w:sz w:val="24"/>
          <w:szCs w:val="24"/>
          <w:lang w:val="en-US"/>
        </w:rPr>
        <w:t xml:space="preserve"> ed.) London: Sage.</w:t>
      </w:r>
    </w:p>
    <w:p w:rsidR="00CE6145" w:rsidRPr="00637B28" w:rsidRDefault="00CE6145" w:rsidP="00CE6145">
      <w:pPr>
        <w:spacing w:line="240" w:lineRule="auto"/>
        <w:contextualSpacing/>
        <w:rPr>
          <w:rFonts w:eastAsia="Calibri"/>
        </w:rPr>
      </w:pPr>
      <w:r w:rsidRPr="00637B28">
        <w:rPr>
          <w:rFonts w:eastAsia="Calibri"/>
        </w:rPr>
        <w:t xml:space="preserve">Reuer, J.J. and </w:t>
      </w:r>
      <w:proofErr w:type="spellStart"/>
      <w:r w:rsidRPr="00637B28">
        <w:rPr>
          <w:rFonts w:eastAsia="Calibri"/>
        </w:rPr>
        <w:t>Ariño</w:t>
      </w:r>
      <w:proofErr w:type="spellEnd"/>
      <w:r w:rsidRPr="00637B28">
        <w:rPr>
          <w:rFonts w:eastAsia="Calibri"/>
        </w:rPr>
        <w:t xml:space="preserve">, A. (2007). Strategic alliance contracts: dimensions and determinants of </w:t>
      </w:r>
      <w:r w:rsidRPr="00637B28">
        <w:rPr>
          <w:rFonts w:eastAsia="Calibri"/>
        </w:rPr>
        <w:tab/>
        <w:t xml:space="preserve">contractual complexity. </w:t>
      </w:r>
      <w:r w:rsidRPr="00637B28">
        <w:rPr>
          <w:rFonts w:eastAsia="Calibri"/>
          <w:i/>
        </w:rPr>
        <w:t>Strategic Management Journal</w:t>
      </w:r>
      <w:r w:rsidRPr="00637B28">
        <w:rPr>
          <w:rFonts w:eastAsia="Calibri"/>
        </w:rPr>
        <w:t xml:space="preserve">, 28, 313-330. </w:t>
      </w:r>
    </w:p>
    <w:p w:rsidR="00CE6145" w:rsidRPr="00637B28" w:rsidRDefault="00CE6145" w:rsidP="00CE6145">
      <w:pPr>
        <w:spacing w:line="240" w:lineRule="auto"/>
        <w:contextualSpacing/>
        <w:rPr>
          <w:rFonts w:eastAsia="Calibri"/>
        </w:rPr>
      </w:pPr>
      <w:proofErr w:type="spellStart"/>
      <w:r w:rsidRPr="00637B28">
        <w:rPr>
          <w:rFonts w:eastAsia="Calibri"/>
        </w:rPr>
        <w:t>Ritala</w:t>
      </w:r>
      <w:proofErr w:type="spellEnd"/>
      <w:r w:rsidRPr="00637B28">
        <w:rPr>
          <w:rFonts w:eastAsia="Calibri"/>
        </w:rPr>
        <w:t xml:space="preserve">, P. and </w:t>
      </w:r>
      <w:proofErr w:type="spellStart"/>
      <w:r w:rsidRPr="00637B28">
        <w:rPr>
          <w:rFonts w:eastAsia="Calibri"/>
        </w:rPr>
        <w:t>Hurmelinna-Laukkanen</w:t>
      </w:r>
      <w:proofErr w:type="spellEnd"/>
      <w:r w:rsidRPr="00637B28">
        <w:rPr>
          <w:rFonts w:eastAsia="Calibri"/>
        </w:rPr>
        <w:t xml:space="preserve">, P. (2013). Incremental and radical innovation in </w:t>
      </w:r>
    </w:p>
    <w:p w:rsidR="00CE6145" w:rsidRPr="00637B28" w:rsidRDefault="00CE6145" w:rsidP="00CE6145">
      <w:pPr>
        <w:spacing w:line="240" w:lineRule="auto"/>
        <w:ind w:left="720"/>
        <w:contextualSpacing/>
        <w:rPr>
          <w:rFonts w:eastAsia="Calibri"/>
        </w:rPr>
      </w:pPr>
      <w:proofErr w:type="gramStart"/>
      <w:r w:rsidRPr="00637B28">
        <w:rPr>
          <w:rFonts w:eastAsia="Calibri"/>
        </w:rPr>
        <w:t>coopetition</w:t>
      </w:r>
      <w:proofErr w:type="gramEnd"/>
      <w:r w:rsidRPr="00637B28">
        <w:rPr>
          <w:rFonts w:eastAsia="Calibri"/>
        </w:rPr>
        <w:t xml:space="preserve"> – the role of absorptive capacity and </w:t>
      </w:r>
      <w:proofErr w:type="spellStart"/>
      <w:r w:rsidRPr="00637B28">
        <w:rPr>
          <w:rFonts w:eastAsia="Calibri"/>
        </w:rPr>
        <w:t>appropriability</w:t>
      </w:r>
      <w:proofErr w:type="spellEnd"/>
      <w:r w:rsidRPr="00637B28">
        <w:rPr>
          <w:rFonts w:eastAsia="Calibri"/>
        </w:rPr>
        <w:t xml:space="preserve">. </w:t>
      </w:r>
      <w:r w:rsidRPr="00637B28">
        <w:rPr>
          <w:rFonts w:eastAsia="Calibri"/>
          <w:i/>
        </w:rPr>
        <w:t>Journal of Product Innovation Management</w:t>
      </w:r>
      <w:r w:rsidRPr="00637B28">
        <w:rPr>
          <w:rFonts w:eastAsia="Calibri"/>
        </w:rPr>
        <w:t xml:space="preserve">, 30 (1), 154-169. </w:t>
      </w:r>
    </w:p>
    <w:p w:rsidR="00CE6145" w:rsidRPr="00637B28" w:rsidRDefault="00CE6145" w:rsidP="00CE6145">
      <w:pPr>
        <w:spacing w:line="240" w:lineRule="auto"/>
        <w:contextualSpacing/>
        <w:rPr>
          <w:rFonts w:eastAsia="Calibri"/>
        </w:rPr>
      </w:pPr>
      <w:proofErr w:type="spellStart"/>
      <w:r w:rsidRPr="00637B28">
        <w:rPr>
          <w:rFonts w:eastAsia="Calibri"/>
        </w:rPr>
        <w:t>Salge</w:t>
      </w:r>
      <w:proofErr w:type="spellEnd"/>
      <w:r w:rsidRPr="00637B28">
        <w:rPr>
          <w:rFonts w:eastAsia="Calibri"/>
        </w:rPr>
        <w:t xml:space="preserve">, T.O., </w:t>
      </w:r>
      <w:proofErr w:type="spellStart"/>
      <w:r w:rsidRPr="00637B28">
        <w:rPr>
          <w:rFonts w:eastAsia="Calibri"/>
        </w:rPr>
        <w:t>Farchi</w:t>
      </w:r>
      <w:proofErr w:type="spellEnd"/>
      <w:r w:rsidRPr="00637B28">
        <w:rPr>
          <w:rFonts w:eastAsia="Calibri"/>
        </w:rPr>
        <w:t xml:space="preserve">, T., Barrett, M.I. and Dopson, S. (2013). When does search openness </w:t>
      </w:r>
    </w:p>
    <w:p w:rsidR="00CE6145" w:rsidRPr="00637B28" w:rsidRDefault="00CE6145" w:rsidP="00CE6145">
      <w:pPr>
        <w:spacing w:line="240" w:lineRule="auto"/>
        <w:ind w:left="720"/>
        <w:contextualSpacing/>
        <w:rPr>
          <w:rFonts w:eastAsia="Calibri"/>
          <w:i/>
        </w:rPr>
      </w:pPr>
      <w:proofErr w:type="gramStart"/>
      <w:r w:rsidRPr="00637B28">
        <w:rPr>
          <w:rFonts w:eastAsia="Calibri"/>
        </w:rPr>
        <w:t>really</w:t>
      </w:r>
      <w:proofErr w:type="gramEnd"/>
      <w:r w:rsidRPr="00637B28">
        <w:rPr>
          <w:rFonts w:eastAsia="Calibri"/>
        </w:rPr>
        <w:t xml:space="preserve"> matter? A contingency study of health-care innovation projects. </w:t>
      </w:r>
      <w:r w:rsidRPr="00637B28">
        <w:rPr>
          <w:rFonts w:eastAsia="Calibri"/>
          <w:i/>
        </w:rPr>
        <w:t>Journal of Product Innovation Management</w:t>
      </w:r>
      <w:r w:rsidRPr="00637B28">
        <w:rPr>
          <w:rFonts w:eastAsia="Calibri"/>
        </w:rPr>
        <w:t>, 30 (4).</w:t>
      </w:r>
    </w:p>
    <w:p w:rsidR="00CE6145" w:rsidRPr="00637B28" w:rsidRDefault="00CE6145" w:rsidP="00CE6145">
      <w:pPr>
        <w:spacing w:line="240" w:lineRule="auto"/>
      </w:pPr>
      <w:proofErr w:type="spellStart"/>
      <w:r w:rsidRPr="00637B28">
        <w:t>Sandulli</w:t>
      </w:r>
      <w:proofErr w:type="spellEnd"/>
      <w:r w:rsidRPr="00637B28">
        <w:t xml:space="preserve">, F. and </w:t>
      </w:r>
      <w:proofErr w:type="spellStart"/>
      <w:r w:rsidRPr="00637B28">
        <w:t>Chesbrough</w:t>
      </w:r>
      <w:proofErr w:type="spellEnd"/>
      <w:r w:rsidRPr="00637B28">
        <w:t xml:space="preserve">, H. (2009) </w:t>
      </w:r>
      <w:r w:rsidRPr="00637B28">
        <w:rPr>
          <w:i/>
          <w:iCs/>
        </w:rPr>
        <w:t xml:space="preserve">The two faces of open business models. </w:t>
      </w:r>
      <w:r w:rsidRPr="00637B28">
        <w:t xml:space="preserve">Working </w:t>
      </w:r>
    </w:p>
    <w:p w:rsidR="00CE6145" w:rsidRPr="00637B28" w:rsidRDefault="00CE6145" w:rsidP="00CE6145">
      <w:pPr>
        <w:spacing w:line="240" w:lineRule="auto"/>
        <w:ind w:firstLine="720"/>
        <w:rPr>
          <w:rStyle w:val="Hyperlink"/>
          <w:color w:val="auto"/>
        </w:rPr>
      </w:pPr>
      <w:r w:rsidRPr="00637B28">
        <w:t xml:space="preserve">Paper Available at SSRN: </w:t>
      </w:r>
      <w:hyperlink r:id="rId18" w:history="1">
        <w:r w:rsidRPr="00637B28">
          <w:rPr>
            <w:rStyle w:val="Hyperlink"/>
            <w:color w:val="auto"/>
          </w:rPr>
          <w:t>http://ssrn.com/abstract=1325682</w:t>
        </w:r>
      </w:hyperlink>
    </w:p>
    <w:p w:rsidR="00CE6145" w:rsidRPr="00637B28" w:rsidRDefault="00CE6145" w:rsidP="00CE6145">
      <w:pPr>
        <w:spacing w:line="240" w:lineRule="auto"/>
      </w:pPr>
      <w:proofErr w:type="spellStart"/>
      <w:r w:rsidRPr="00637B28">
        <w:t>Sieg</w:t>
      </w:r>
      <w:proofErr w:type="spellEnd"/>
      <w:r w:rsidRPr="00637B28">
        <w:t xml:space="preserve">, J.H., </w:t>
      </w:r>
      <w:proofErr w:type="spellStart"/>
      <w:r w:rsidRPr="00637B28">
        <w:t>Wallin</w:t>
      </w:r>
      <w:proofErr w:type="spellEnd"/>
      <w:r w:rsidRPr="00637B28">
        <w:t xml:space="preserve">, M.W., and von Krogh, G. (2010). Managerial challenges in open </w:t>
      </w:r>
    </w:p>
    <w:p w:rsidR="00CE6145" w:rsidRPr="00637B28" w:rsidRDefault="00CE6145" w:rsidP="00CE6145">
      <w:pPr>
        <w:spacing w:line="240" w:lineRule="auto"/>
        <w:ind w:left="720"/>
      </w:pPr>
      <w:proofErr w:type="gramStart"/>
      <w:r w:rsidRPr="00637B28">
        <w:t>innovation</w:t>
      </w:r>
      <w:proofErr w:type="gramEnd"/>
      <w:r w:rsidRPr="00637B28">
        <w:t xml:space="preserve">: a study of innovation intermediation in the chemical industry. </w:t>
      </w:r>
      <w:r w:rsidRPr="00637B28">
        <w:rPr>
          <w:i/>
        </w:rPr>
        <w:t>R&amp;D Management</w:t>
      </w:r>
      <w:r w:rsidRPr="00637B28">
        <w:t xml:space="preserve">, 40 (3), 281-291. </w:t>
      </w:r>
    </w:p>
    <w:p w:rsidR="00CE6145" w:rsidRPr="00637B28" w:rsidRDefault="00CE6145" w:rsidP="00CE6145">
      <w:pPr>
        <w:spacing w:line="240" w:lineRule="auto"/>
      </w:pPr>
      <w:proofErr w:type="spellStart"/>
      <w:r w:rsidRPr="00637B28">
        <w:t>Somaya</w:t>
      </w:r>
      <w:proofErr w:type="spellEnd"/>
      <w:r w:rsidRPr="00637B28">
        <w:t xml:space="preserve">, D. (2003). Strategic determinants of decisions not to settle patent litigation. </w:t>
      </w:r>
    </w:p>
    <w:p w:rsidR="00CE6145" w:rsidRPr="00637B28" w:rsidRDefault="00CE6145" w:rsidP="00CE6145">
      <w:pPr>
        <w:spacing w:line="240" w:lineRule="auto"/>
      </w:pPr>
      <w:r w:rsidRPr="00637B28">
        <w:tab/>
      </w:r>
      <w:r w:rsidRPr="00637B28">
        <w:rPr>
          <w:i/>
          <w:iCs/>
        </w:rPr>
        <w:t>Strategic Management Journal,</w:t>
      </w:r>
      <w:r w:rsidRPr="00637B28">
        <w:t xml:space="preserve"> 24, 17-38.</w:t>
      </w:r>
    </w:p>
    <w:p w:rsidR="00CE6145" w:rsidRPr="00637B28" w:rsidRDefault="00CE6145" w:rsidP="00CE6145">
      <w:pPr>
        <w:spacing w:line="240" w:lineRule="auto"/>
      </w:pPr>
      <w:proofErr w:type="spellStart"/>
      <w:r w:rsidRPr="00637B28">
        <w:t>Somaya</w:t>
      </w:r>
      <w:proofErr w:type="spellEnd"/>
      <w:r w:rsidRPr="00637B28">
        <w:t xml:space="preserve">, D. (2012). Patent strategy and management: an integrative review and research </w:t>
      </w:r>
    </w:p>
    <w:p w:rsidR="00CE6145" w:rsidRPr="00637B28" w:rsidRDefault="00CE6145" w:rsidP="00CE6145">
      <w:pPr>
        <w:spacing w:line="240" w:lineRule="auto"/>
        <w:ind w:firstLine="720"/>
      </w:pPr>
      <w:proofErr w:type="gramStart"/>
      <w:r w:rsidRPr="00637B28">
        <w:t>agenda</w:t>
      </w:r>
      <w:proofErr w:type="gramEnd"/>
      <w:r w:rsidRPr="00637B28">
        <w:t xml:space="preserve">. </w:t>
      </w:r>
      <w:r w:rsidRPr="00637B28">
        <w:rPr>
          <w:i/>
        </w:rPr>
        <w:t>Journal of Management</w:t>
      </w:r>
      <w:r w:rsidRPr="00637B28">
        <w:t>, 38 (4), 1084-1114.</w:t>
      </w:r>
    </w:p>
    <w:p w:rsidR="00CE6145" w:rsidRPr="00637B28" w:rsidRDefault="00CE6145" w:rsidP="00CE6145">
      <w:pPr>
        <w:spacing w:line="240" w:lineRule="auto"/>
      </w:pPr>
      <w:r w:rsidRPr="00637B28">
        <w:t xml:space="preserve">Song, M., </w:t>
      </w:r>
      <w:proofErr w:type="spellStart"/>
      <w:r w:rsidRPr="00637B28">
        <w:t>Droge</w:t>
      </w:r>
      <w:proofErr w:type="spellEnd"/>
      <w:r w:rsidRPr="00637B28">
        <w:t xml:space="preserve">, C., </w:t>
      </w:r>
      <w:proofErr w:type="spellStart"/>
      <w:r w:rsidRPr="00637B28">
        <w:t>Hanvanich</w:t>
      </w:r>
      <w:proofErr w:type="spellEnd"/>
      <w:r w:rsidRPr="00637B28">
        <w:t xml:space="preserve">, S., and </w:t>
      </w:r>
      <w:proofErr w:type="spellStart"/>
      <w:r w:rsidRPr="00637B28">
        <w:t>Calantone</w:t>
      </w:r>
      <w:proofErr w:type="spellEnd"/>
      <w:r w:rsidRPr="00637B28">
        <w:t xml:space="preserve">, R. (2005). Marketing and technology </w:t>
      </w:r>
    </w:p>
    <w:p w:rsidR="00CE6145" w:rsidRPr="00D068A7" w:rsidRDefault="00CE6145" w:rsidP="00CE6145">
      <w:pPr>
        <w:spacing w:line="240" w:lineRule="auto"/>
        <w:ind w:left="720"/>
      </w:pPr>
      <w:proofErr w:type="gramStart"/>
      <w:r w:rsidRPr="00D068A7">
        <w:t>resource</w:t>
      </w:r>
      <w:proofErr w:type="gramEnd"/>
      <w:r w:rsidRPr="00D068A7">
        <w:t xml:space="preserve"> complementarity: an analysis of their interaction effect in two environmental contexts. </w:t>
      </w:r>
      <w:r w:rsidRPr="00D068A7">
        <w:rPr>
          <w:i/>
        </w:rPr>
        <w:t>Strategic Management Journal</w:t>
      </w:r>
      <w:r w:rsidRPr="00D068A7">
        <w:t>, 26</w:t>
      </w:r>
      <w:proofErr w:type="gramStart"/>
      <w:r w:rsidRPr="00D068A7">
        <w:t>,  259</w:t>
      </w:r>
      <w:proofErr w:type="gramEnd"/>
      <w:r w:rsidRPr="00D068A7">
        <w:t xml:space="preserve">-276. </w:t>
      </w:r>
    </w:p>
    <w:p w:rsidR="00D068A7" w:rsidRPr="00D068A7" w:rsidRDefault="00CE6145" w:rsidP="00D068A7">
      <w:pPr>
        <w:spacing w:line="240" w:lineRule="auto"/>
        <w:rPr>
          <w:i/>
        </w:rPr>
      </w:pPr>
      <w:proofErr w:type="spellStart"/>
      <w:r w:rsidRPr="00D068A7">
        <w:t>Teddlie</w:t>
      </w:r>
      <w:proofErr w:type="spellEnd"/>
      <w:r w:rsidRPr="00D068A7">
        <w:t>, C. and Yu, F. (2007).</w:t>
      </w:r>
      <w:r w:rsidR="00050FFF" w:rsidRPr="00D068A7">
        <w:t xml:space="preserve"> </w:t>
      </w:r>
      <w:r w:rsidR="00D068A7" w:rsidRPr="00D068A7">
        <w:t>Mixed methods sampling: a typology with examples</w:t>
      </w:r>
      <w:r w:rsidR="00050FFF" w:rsidRPr="00D068A7">
        <w:t>.</w:t>
      </w:r>
      <w:r w:rsidRPr="00D068A7">
        <w:t xml:space="preserve"> </w:t>
      </w:r>
      <w:r w:rsidRPr="00D068A7">
        <w:rPr>
          <w:i/>
        </w:rPr>
        <w:t xml:space="preserve">Journal </w:t>
      </w:r>
    </w:p>
    <w:p w:rsidR="00CE6145" w:rsidRPr="00D068A7" w:rsidRDefault="00CE6145" w:rsidP="00D068A7">
      <w:pPr>
        <w:spacing w:line="240" w:lineRule="auto"/>
        <w:ind w:firstLine="720"/>
        <w:rPr>
          <w:i/>
        </w:rPr>
      </w:pPr>
      <w:proofErr w:type="gramStart"/>
      <w:r w:rsidRPr="00D068A7">
        <w:rPr>
          <w:i/>
        </w:rPr>
        <w:t>of</w:t>
      </w:r>
      <w:proofErr w:type="gramEnd"/>
      <w:r w:rsidRPr="00D068A7">
        <w:rPr>
          <w:i/>
        </w:rPr>
        <w:t xml:space="preserve"> Mixed Methods</w:t>
      </w:r>
      <w:r w:rsidR="00D068A7" w:rsidRPr="00D068A7">
        <w:rPr>
          <w:i/>
        </w:rPr>
        <w:t xml:space="preserve"> </w:t>
      </w:r>
      <w:r w:rsidRPr="00D068A7">
        <w:rPr>
          <w:i/>
          <w:lang w:val="de-DE"/>
        </w:rPr>
        <w:t>Research</w:t>
      </w:r>
      <w:r w:rsidRPr="00D068A7">
        <w:rPr>
          <w:lang w:val="de-DE"/>
        </w:rPr>
        <w:t xml:space="preserve">, 1 (1), 77-100. </w:t>
      </w:r>
    </w:p>
    <w:p w:rsidR="00CE6145" w:rsidRPr="00D068A7" w:rsidRDefault="00CE6145" w:rsidP="00CE6145">
      <w:pPr>
        <w:spacing w:line="240" w:lineRule="auto"/>
      </w:pPr>
      <w:r w:rsidRPr="00D068A7">
        <w:rPr>
          <w:lang w:val="nl-NL"/>
        </w:rPr>
        <w:t xml:space="preserve">Von Hippel, E. and von Krogh, G. (2003). </w:t>
      </w:r>
      <w:r w:rsidRPr="00D068A7">
        <w:t xml:space="preserve">Open source software and the “private-collective” </w:t>
      </w:r>
    </w:p>
    <w:p w:rsidR="00CE6145" w:rsidRPr="00637B28" w:rsidRDefault="00CE6145" w:rsidP="00CE6145">
      <w:pPr>
        <w:spacing w:line="240" w:lineRule="auto"/>
        <w:ind w:left="720"/>
      </w:pPr>
      <w:proofErr w:type="gramStart"/>
      <w:r w:rsidRPr="00D068A7">
        <w:t>innovation</w:t>
      </w:r>
      <w:proofErr w:type="gramEnd"/>
      <w:r w:rsidRPr="00D068A7">
        <w:t xml:space="preserve"> </w:t>
      </w:r>
      <w:r w:rsidRPr="00637B28">
        <w:t xml:space="preserve">model: Issues for organization science. </w:t>
      </w:r>
      <w:r w:rsidRPr="00637B28">
        <w:rPr>
          <w:i/>
        </w:rPr>
        <w:t>Organization Science</w:t>
      </w:r>
      <w:r w:rsidRPr="00637B28">
        <w:t xml:space="preserve">, 14 (2), 209-223. </w:t>
      </w:r>
    </w:p>
    <w:p w:rsidR="00CE6145" w:rsidRPr="00637B28" w:rsidRDefault="00CE6145" w:rsidP="00CE6145">
      <w:pPr>
        <w:spacing w:line="240" w:lineRule="auto"/>
      </w:pPr>
      <w:r w:rsidRPr="00637B28">
        <w:t xml:space="preserve">Von Hippel, E. and Von Krogh, G. (2006). Free revealing and the private-collective model </w:t>
      </w:r>
    </w:p>
    <w:p w:rsidR="00CE6145" w:rsidRPr="00637B28" w:rsidRDefault="00CE6145" w:rsidP="00CE6145">
      <w:pPr>
        <w:spacing w:line="240" w:lineRule="auto"/>
        <w:ind w:firstLine="720"/>
      </w:pPr>
      <w:proofErr w:type="gramStart"/>
      <w:r w:rsidRPr="00637B28">
        <w:t>for</w:t>
      </w:r>
      <w:proofErr w:type="gramEnd"/>
      <w:r w:rsidRPr="00637B28">
        <w:t xml:space="preserve"> innovation incentives. </w:t>
      </w:r>
      <w:r w:rsidRPr="00637B28">
        <w:rPr>
          <w:i/>
          <w:iCs/>
        </w:rPr>
        <w:t>R&amp;D Management</w:t>
      </w:r>
      <w:r w:rsidRPr="00637B28">
        <w:t xml:space="preserve">, Vol. 36, 295-306. </w:t>
      </w:r>
    </w:p>
    <w:p w:rsidR="00CE6145" w:rsidRPr="00637B28" w:rsidRDefault="00CE6145" w:rsidP="00CE6145">
      <w:pPr>
        <w:spacing w:line="240" w:lineRule="auto"/>
      </w:pPr>
      <w:r w:rsidRPr="00637B28">
        <w:t>West, J. (2006).</w:t>
      </w:r>
      <w:r w:rsidRPr="00637B28">
        <w:rPr>
          <w:i/>
          <w:iCs/>
        </w:rPr>
        <w:t xml:space="preserve"> Does </w:t>
      </w:r>
      <w:proofErr w:type="spellStart"/>
      <w:r w:rsidRPr="00637B28">
        <w:rPr>
          <w:i/>
          <w:iCs/>
        </w:rPr>
        <w:t>appropriability</w:t>
      </w:r>
      <w:proofErr w:type="spellEnd"/>
      <w:r w:rsidRPr="00637B28">
        <w:rPr>
          <w:i/>
          <w:iCs/>
        </w:rPr>
        <w:t xml:space="preserve"> enable or retard open innovation? </w:t>
      </w:r>
      <w:r w:rsidRPr="00637B28">
        <w:t xml:space="preserve">In </w:t>
      </w:r>
      <w:proofErr w:type="spellStart"/>
      <w:r w:rsidRPr="00637B28">
        <w:t>Chesbrough</w:t>
      </w:r>
      <w:proofErr w:type="spellEnd"/>
      <w:r w:rsidRPr="00637B28">
        <w:t xml:space="preserve">, </w:t>
      </w:r>
    </w:p>
    <w:p w:rsidR="00CE6145" w:rsidRPr="00637B28" w:rsidRDefault="00CE6145" w:rsidP="00CE6145">
      <w:pPr>
        <w:spacing w:line="240" w:lineRule="auto"/>
        <w:ind w:left="720"/>
      </w:pPr>
      <w:r w:rsidRPr="00637B28">
        <w:t xml:space="preserve">H.W., </w:t>
      </w:r>
      <w:proofErr w:type="spellStart"/>
      <w:r w:rsidRPr="00637B28">
        <w:t>Vanhaverbeke</w:t>
      </w:r>
      <w:proofErr w:type="spellEnd"/>
      <w:r w:rsidRPr="00637B28">
        <w:t>, W. and West, J. (</w:t>
      </w:r>
      <w:proofErr w:type="spellStart"/>
      <w:r w:rsidRPr="00637B28">
        <w:t>eds</w:t>
      </w:r>
      <w:proofErr w:type="spellEnd"/>
      <w:r w:rsidRPr="00637B28">
        <w:t>), Open innovation: Researching a new paradigm, Oxford University Press, Oxford, pp 109-133.</w:t>
      </w:r>
    </w:p>
    <w:p w:rsidR="00CE6145" w:rsidRPr="00637B28" w:rsidRDefault="00CE6145" w:rsidP="00CE6145">
      <w:pPr>
        <w:widowControl w:val="0"/>
        <w:suppressAutoHyphens/>
        <w:spacing w:line="240" w:lineRule="auto"/>
      </w:pPr>
      <w:r w:rsidRPr="00637B28">
        <w:t xml:space="preserve">West, J., and S. Gallagher (2006), ‘Patterns of open innovation in open source software’, in </w:t>
      </w:r>
    </w:p>
    <w:p w:rsidR="00CE6145" w:rsidRPr="00637B28" w:rsidRDefault="00CE6145" w:rsidP="00CE6145">
      <w:pPr>
        <w:widowControl w:val="0"/>
        <w:suppressAutoHyphens/>
        <w:spacing w:line="240" w:lineRule="auto"/>
        <w:ind w:left="708"/>
      </w:pPr>
      <w:proofErr w:type="spellStart"/>
      <w:r w:rsidRPr="00637B28">
        <w:t>Chesbrough</w:t>
      </w:r>
      <w:proofErr w:type="spellEnd"/>
      <w:r w:rsidRPr="00637B28">
        <w:t xml:space="preserve">, H.W., </w:t>
      </w:r>
      <w:proofErr w:type="spellStart"/>
      <w:r w:rsidRPr="00637B28">
        <w:t>Vanhaverbeke</w:t>
      </w:r>
      <w:proofErr w:type="spellEnd"/>
      <w:r w:rsidRPr="00637B28">
        <w:t>, W., and West, J. (</w:t>
      </w:r>
      <w:proofErr w:type="spellStart"/>
      <w:r w:rsidRPr="00637B28">
        <w:t>eds</w:t>
      </w:r>
      <w:proofErr w:type="spellEnd"/>
      <w:r w:rsidRPr="00637B28">
        <w:t xml:space="preserve">), </w:t>
      </w:r>
      <w:r w:rsidRPr="00637B28">
        <w:rPr>
          <w:i/>
        </w:rPr>
        <w:t>Open Innovation: Researching a New Paradigm (pp. 22-106)</w:t>
      </w:r>
      <w:r w:rsidRPr="00637B28">
        <w:t xml:space="preserve">. Oxford University Press: Oxford. </w:t>
      </w:r>
    </w:p>
    <w:p w:rsidR="00CE6145" w:rsidRPr="00637B28" w:rsidRDefault="00CE6145" w:rsidP="00CE6145">
      <w:pPr>
        <w:spacing w:line="240" w:lineRule="auto"/>
      </w:pPr>
      <w:r w:rsidRPr="00637B28">
        <w:t xml:space="preserve">West, J., and </w:t>
      </w:r>
      <w:proofErr w:type="spellStart"/>
      <w:r w:rsidRPr="00637B28">
        <w:t>Bogers</w:t>
      </w:r>
      <w:proofErr w:type="spellEnd"/>
      <w:r w:rsidRPr="00637B28">
        <w:t xml:space="preserve">, M. (2014). Leveraging external sources of innovation: a review of </w:t>
      </w:r>
    </w:p>
    <w:p w:rsidR="00CE6145" w:rsidRPr="00637B28" w:rsidRDefault="00CE6145" w:rsidP="00CE6145">
      <w:pPr>
        <w:spacing w:line="240" w:lineRule="auto"/>
        <w:ind w:left="720"/>
      </w:pPr>
      <w:proofErr w:type="gramStart"/>
      <w:r w:rsidRPr="00637B28">
        <w:t>research</w:t>
      </w:r>
      <w:proofErr w:type="gramEnd"/>
      <w:r w:rsidRPr="00637B28">
        <w:t xml:space="preserve"> on open innovation. Journal of Product Innovation Management, 31 (4), 814-831. </w:t>
      </w:r>
    </w:p>
    <w:p w:rsidR="00CE6145" w:rsidRPr="00637B28" w:rsidRDefault="00CE6145" w:rsidP="00CE6145">
      <w:pPr>
        <w:spacing w:line="240" w:lineRule="auto"/>
        <w:rPr>
          <w:rFonts w:eastAsia="Calibri"/>
        </w:rPr>
      </w:pPr>
      <w:r w:rsidRPr="00637B28">
        <w:rPr>
          <w:rFonts w:eastAsia="Calibri"/>
        </w:rPr>
        <w:t xml:space="preserve">Williamson, O.E. (1985). </w:t>
      </w:r>
      <w:r w:rsidRPr="00637B28">
        <w:rPr>
          <w:rFonts w:eastAsia="Calibri"/>
          <w:i/>
        </w:rPr>
        <w:t xml:space="preserve">The economic institutions of capitalism. </w:t>
      </w:r>
      <w:r w:rsidRPr="00637B28">
        <w:rPr>
          <w:rFonts w:eastAsia="Calibri"/>
        </w:rPr>
        <w:t>The Free Press, New York.</w:t>
      </w:r>
    </w:p>
    <w:p w:rsidR="00CE6145" w:rsidRPr="00637B28" w:rsidRDefault="00CE6145" w:rsidP="00CE6145">
      <w:pPr>
        <w:spacing w:after="200" w:line="240" w:lineRule="auto"/>
        <w:contextualSpacing/>
        <w:rPr>
          <w:rFonts w:eastAsiaTheme="minorHAnsi"/>
        </w:rPr>
      </w:pPr>
      <w:r w:rsidRPr="00637B28">
        <w:rPr>
          <w:rFonts w:eastAsiaTheme="minorHAnsi"/>
        </w:rPr>
        <w:t xml:space="preserve">Williamson, O. E. (1996). </w:t>
      </w:r>
      <w:r w:rsidRPr="00637B28">
        <w:rPr>
          <w:rFonts w:eastAsiaTheme="minorHAnsi"/>
          <w:i/>
          <w:iCs/>
        </w:rPr>
        <w:t>The Mechanisms of Governance</w:t>
      </w:r>
      <w:r w:rsidRPr="00637B28">
        <w:rPr>
          <w:rFonts w:eastAsiaTheme="minorHAnsi"/>
        </w:rPr>
        <w:t xml:space="preserve">. New York: Oxford University </w:t>
      </w:r>
    </w:p>
    <w:p w:rsidR="00CE6145" w:rsidRPr="00637B28" w:rsidRDefault="00CE6145" w:rsidP="00CE6145">
      <w:pPr>
        <w:spacing w:after="200" w:line="240" w:lineRule="auto"/>
        <w:contextualSpacing/>
        <w:rPr>
          <w:rFonts w:eastAsiaTheme="minorHAnsi"/>
        </w:rPr>
      </w:pPr>
      <w:r w:rsidRPr="00637B28">
        <w:rPr>
          <w:rFonts w:eastAsiaTheme="minorHAnsi"/>
        </w:rPr>
        <w:tab/>
        <w:t>Press.</w:t>
      </w:r>
    </w:p>
    <w:p w:rsidR="00CE6145" w:rsidRPr="00DC7AE4" w:rsidRDefault="00CE6145" w:rsidP="009E03D8"/>
    <w:sectPr w:rsidR="00CE6145" w:rsidRPr="00DC7AE4" w:rsidSect="004119B0">
      <w:footerReference w:type="default" r:id="rId19"/>
      <w:endnotePr>
        <w:numFmt w:val="decimal"/>
      </w:endnotePr>
      <w:pgSz w:w="11907" w:h="16839" w:code="9"/>
      <w:pgMar w:top="1440" w:right="1411" w:bottom="1440" w:left="1411" w:header="432" w:footer="432"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48" w:rsidRPr="00154C82" w:rsidRDefault="00262748" w:rsidP="00154C82">
      <w:pPr>
        <w:pStyle w:val="Footer"/>
      </w:pPr>
    </w:p>
  </w:endnote>
  <w:endnote w:type="continuationSeparator" w:id="0">
    <w:p w:rsidR="00262748" w:rsidRDefault="00262748" w:rsidP="005D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787933"/>
      <w:docPartObj>
        <w:docPartGallery w:val="Page Numbers (Bottom of Page)"/>
        <w:docPartUnique/>
      </w:docPartObj>
    </w:sdtPr>
    <w:sdtEndPr>
      <w:rPr>
        <w:noProof/>
      </w:rPr>
    </w:sdtEndPr>
    <w:sdtContent>
      <w:p w:rsidR="00DA5688" w:rsidRDefault="00DA5688">
        <w:pPr>
          <w:pStyle w:val="Footer"/>
          <w:jc w:val="center"/>
        </w:pPr>
        <w:r>
          <w:fldChar w:fldCharType="begin"/>
        </w:r>
        <w:r>
          <w:instrText xml:space="preserve"> PAGE   \* MERGEFORMAT </w:instrText>
        </w:r>
        <w:r>
          <w:fldChar w:fldCharType="separate"/>
        </w:r>
        <w:r w:rsidR="00650EB5">
          <w:rPr>
            <w:noProof/>
          </w:rPr>
          <w:t>23</w:t>
        </w:r>
        <w:r>
          <w:rPr>
            <w:noProof/>
          </w:rPr>
          <w:fldChar w:fldCharType="end"/>
        </w:r>
      </w:p>
    </w:sdtContent>
  </w:sdt>
  <w:p w:rsidR="00DA5688" w:rsidRDefault="00DA5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48" w:rsidRDefault="00262748" w:rsidP="005D5AFF">
      <w:r>
        <w:separator/>
      </w:r>
    </w:p>
  </w:footnote>
  <w:footnote w:type="continuationSeparator" w:id="0">
    <w:p w:rsidR="00262748" w:rsidRDefault="00262748" w:rsidP="005D5AFF">
      <w:r>
        <w:continuationSeparator/>
      </w:r>
    </w:p>
  </w:footnote>
  <w:footnote w:id="1">
    <w:p w:rsidR="00DA5688" w:rsidRPr="004A5CE5" w:rsidRDefault="00DA5688" w:rsidP="00786966">
      <w:pPr>
        <w:pStyle w:val="FootnoteText"/>
        <w:spacing w:line="360" w:lineRule="auto"/>
        <w:rPr>
          <w:sz w:val="24"/>
          <w:szCs w:val="24"/>
        </w:rPr>
      </w:pPr>
      <w:r>
        <w:rPr>
          <w:rStyle w:val="FootnoteReference"/>
        </w:rPr>
        <w:footnoteRef/>
      </w:r>
      <w:r>
        <w:t xml:space="preserve"> </w:t>
      </w:r>
      <w:r w:rsidRPr="004A5CE5">
        <w:rPr>
          <w:sz w:val="24"/>
          <w:szCs w:val="24"/>
        </w:rPr>
        <w:t xml:space="preserve"> In the context of our exploratory empirical contributi</w:t>
      </w:r>
      <w:r>
        <w:rPr>
          <w:sz w:val="24"/>
          <w:szCs w:val="24"/>
        </w:rPr>
        <w:t xml:space="preserve">on, we focus on </w:t>
      </w:r>
      <w:r w:rsidRPr="004A5CE5">
        <w:rPr>
          <w:sz w:val="24"/>
          <w:szCs w:val="24"/>
        </w:rPr>
        <w:t>firm</w:t>
      </w:r>
      <w:r>
        <w:rPr>
          <w:sz w:val="24"/>
          <w:szCs w:val="24"/>
        </w:rPr>
        <w:t>-to-firm</w:t>
      </w:r>
      <w:r w:rsidRPr="004A5CE5">
        <w:rPr>
          <w:sz w:val="24"/>
          <w:szCs w:val="24"/>
        </w:rPr>
        <w:t xml:space="preserve"> </w:t>
      </w:r>
      <w:proofErr w:type="gramStart"/>
      <w:r>
        <w:rPr>
          <w:sz w:val="24"/>
          <w:szCs w:val="24"/>
        </w:rPr>
        <w:t xml:space="preserve">OI </w:t>
      </w:r>
      <w:r w:rsidRPr="004A5CE5">
        <w:rPr>
          <w:sz w:val="24"/>
          <w:szCs w:val="24"/>
        </w:rPr>
        <w:t xml:space="preserve"> and</w:t>
      </w:r>
      <w:proofErr w:type="gramEnd"/>
      <w:r w:rsidRPr="004A5CE5">
        <w:rPr>
          <w:sz w:val="24"/>
          <w:szCs w:val="24"/>
        </w:rPr>
        <w:t xml:space="preserve"> leave more complex contractual and IPR issues that refer to a much wider range of inter-organizational relationships for future study.</w:t>
      </w:r>
    </w:p>
    <w:p w:rsidR="00DA5688" w:rsidRDefault="00DA5688">
      <w:pPr>
        <w:pStyle w:val="FootnoteText"/>
      </w:pPr>
    </w:p>
  </w:footnote>
  <w:footnote w:id="2">
    <w:p w:rsidR="00DA5688" w:rsidRPr="00050FFF" w:rsidRDefault="00DA5688" w:rsidP="00050FFF">
      <w:pPr>
        <w:spacing w:line="360" w:lineRule="auto"/>
      </w:pPr>
      <w:r w:rsidRPr="00050FFF">
        <w:rPr>
          <w:rStyle w:val="FootnoteReference"/>
        </w:rPr>
        <w:footnoteRef/>
      </w:r>
      <w:r w:rsidRPr="00050FFF">
        <w:t xml:space="preserve"> In a recent contribution Laursen and Salter (2014) suggest that there is no unidirectional influence between openness and IP, since both openness in innovation as well as IP are strategic choice variables for the firm. Hence we investigate how managerial choices regarding openness and IPR are linked. </w:t>
      </w:r>
    </w:p>
    <w:p w:rsidR="00DA5688" w:rsidRPr="000B260C" w:rsidRDefault="00DA5688" w:rsidP="00B14399">
      <w:pPr>
        <w:pStyle w:val="FootnoteText"/>
        <w:rPr>
          <w:color w:val="00B05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4E8"/>
    <w:multiLevelType w:val="hybridMultilevel"/>
    <w:tmpl w:val="29C831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264F7C"/>
    <w:multiLevelType w:val="hybridMultilevel"/>
    <w:tmpl w:val="9F980E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07963"/>
    <w:multiLevelType w:val="hybridMultilevel"/>
    <w:tmpl w:val="598A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C673E"/>
    <w:multiLevelType w:val="hybridMultilevel"/>
    <w:tmpl w:val="13E81488"/>
    <w:lvl w:ilvl="0" w:tplc="520CE8F2">
      <w:start w:val="7"/>
      <w:numFmt w:val="bullet"/>
      <w:lvlText w:val="-"/>
      <w:lvlJc w:val="left"/>
      <w:pPr>
        <w:ind w:left="720" w:hanging="360"/>
      </w:pPr>
      <w:rPr>
        <w:rFonts w:ascii="Times New Roman" w:eastAsiaTheme="minorHAnsi" w:hAnsi="Times New Roman" w:cs="Times New Roman" w:hint="default"/>
        <w:color w:val="FF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51570A"/>
    <w:multiLevelType w:val="hybridMultilevel"/>
    <w:tmpl w:val="88BC28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F20753"/>
    <w:multiLevelType w:val="hybridMultilevel"/>
    <w:tmpl w:val="8ACC16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214AB3"/>
    <w:multiLevelType w:val="hybridMultilevel"/>
    <w:tmpl w:val="BDACFB8A"/>
    <w:lvl w:ilvl="0" w:tplc="244247E2">
      <w:start w:val="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C0C49"/>
    <w:multiLevelType w:val="hybridMultilevel"/>
    <w:tmpl w:val="17B03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D2A6608"/>
    <w:multiLevelType w:val="hybridMultilevel"/>
    <w:tmpl w:val="C1A8E3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1746B5"/>
    <w:multiLevelType w:val="hybridMultilevel"/>
    <w:tmpl w:val="0D5CEF32"/>
    <w:lvl w:ilvl="0" w:tplc="EF6E0600">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E59D9"/>
    <w:multiLevelType w:val="hybridMultilevel"/>
    <w:tmpl w:val="A82C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51D48"/>
    <w:multiLevelType w:val="hybridMultilevel"/>
    <w:tmpl w:val="0FE0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53B99"/>
    <w:multiLevelType w:val="hybridMultilevel"/>
    <w:tmpl w:val="30628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F3454F"/>
    <w:multiLevelType w:val="hybridMultilevel"/>
    <w:tmpl w:val="887A43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292000"/>
    <w:multiLevelType w:val="hybridMultilevel"/>
    <w:tmpl w:val="A02AD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C8732B"/>
    <w:multiLevelType w:val="hybridMultilevel"/>
    <w:tmpl w:val="D89A03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D62161A"/>
    <w:multiLevelType w:val="hybridMultilevel"/>
    <w:tmpl w:val="66A665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C80A9F"/>
    <w:multiLevelType w:val="hybridMultilevel"/>
    <w:tmpl w:val="4B36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15"/>
  </w:num>
  <w:num w:numId="6">
    <w:abstractNumId w:val="5"/>
  </w:num>
  <w:num w:numId="7">
    <w:abstractNumId w:val="16"/>
  </w:num>
  <w:num w:numId="8">
    <w:abstractNumId w:val="6"/>
  </w:num>
  <w:num w:numId="9">
    <w:abstractNumId w:val="17"/>
  </w:num>
  <w:num w:numId="10">
    <w:abstractNumId w:val="10"/>
  </w:num>
  <w:num w:numId="11">
    <w:abstractNumId w:val="11"/>
  </w:num>
  <w:num w:numId="12">
    <w:abstractNumId w:val="9"/>
  </w:num>
  <w:num w:numId="13">
    <w:abstractNumId w:val="8"/>
  </w:num>
  <w:num w:numId="14">
    <w:abstractNumId w:val="2"/>
  </w:num>
  <w:num w:numId="15">
    <w:abstractNumId w:val="14"/>
  </w:num>
  <w:num w:numId="16">
    <w:abstractNumId w:val="1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F"/>
    <w:rsid w:val="00002354"/>
    <w:rsid w:val="00002831"/>
    <w:rsid w:val="00002947"/>
    <w:rsid w:val="000045EA"/>
    <w:rsid w:val="00004663"/>
    <w:rsid w:val="0000600C"/>
    <w:rsid w:val="00006931"/>
    <w:rsid w:val="00010B64"/>
    <w:rsid w:val="0001132D"/>
    <w:rsid w:val="00020D4C"/>
    <w:rsid w:val="000224F0"/>
    <w:rsid w:val="00030BB8"/>
    <w:rsid w:val="00034278"/>
    <w:rsid w:val="00034B52"/>
    <w:rsid w:val="000429C6"/>
    <w:rsid w:val="0004427A"/>
    <w:rsid w:val="00044D06"/>
    <w:rsid w:val="00045049"/>
    <w:rsid w:val="00045483"/>
    <w:rsid w:val="00045A83"/>
    <w:rsid w:val="00045C69"/>
    <w:rsid w:val="00050FFF"/>
    <w:rsid w:val="00051A1A"/>
    <w:rsid w:val="00055945"/>
    <w:rsid w:val="0006161E"/>
    <w:rsid w:val="00061B2E"/>
    <w:rsid w:val="00062F4F"/>
    <w:rsid w:val="00064A78"/>
    <w:rsid w:val="00064CC1"/>
    <w:rsid w:val="000655B3"/>
    <w:rsid w:val="0006636F"/>
    <w:rsid w:val="000675EB"/>
    <w:rsid w:val="000710EA"/>
    <w:rsid w:val="0007316E"/>
    <w:rsid w:val="00074454"/>
    <w:rsid w:val="00080449"/>
    <w:rsid w:val="000847B1"/>
    <w:rsid w:val="00085BC8"/>
    <w:rsid w:val="000904BA"/>
    <w:rsid w:val="000A0C62"/>
    <w:rsid w:val="000A2062"/>
    <w:rsid w:val="000A2EF6"/>
    <w:rsid w:val="000A4A1F"/>
    <w:rsid w:val="000A4A8C"/>
    <w:rsid w:val="000A592E"/>
    <w:rsid w:val="000A60F3"/>
    <w:rsid w:val="000A6B99"/>
    <w:rsid w:val="000B02B6"/>
    <w:rsid w:val="000B0E6D"/>
    <w:rsid w:val="000B21DF"/>
    <w:rsid w:val="000B260C"/>
    <w:rsid w:val="000B3452"/>
    <w:rsid w:val="000B3793"/>
    <w:rsid w:val="000B5104"/>
    <w:rsid w:val="000B53B2"/>
    <w:rsid w:val="000B5D53"/>
    <w:rsid w:val="000B784D"/>
    <w:rsid w:val="000C2007"/>
    <w:rsid w:val="000C5F3F"/>
    <w:rsid w:val="000C7249"/>
    <w:rsid w:val="000D2AC5"/>
    <w:rsid w:val="000D3AAB"/>
    <w:rsid w:val="000D40DC"/>
    <w:rsid w:val="000D4BB0"/>
    <w:rsid w:val="000D67C1"/>
    <w:rsid w:val="000E34EC"/>
    <w:rsid w:val="000E461E"/>
    <w:rsid w:val="000E6F26"/>
    <w:rsid w:val="000E7134"/>
    <w:rsid w:val="000E7C59"/>
    <w:rsid w:val="000F09F0"/>
    <w:rsid w:val="000F41C2"/>
    <w:rsid w:val="000F4453"/>
    <w:rsid w:val="000F44E2"/>
    <w:rsid w:val="000F51FA"/>
    <w:rsid w:val="000F629F"/>
    <w:rsid w:val="000F6E1F"/>
    <w:rsid w:val="001008F9"/>
    <w:rsid w:val="00101E72"/>
    <w:rsid w:val="001029C1"/>
    <w:rsid w:val="00107490"/>
    <w:rsid w:val="00111FB6"/>
    <w:rsid w:val="00112AC2"/>
    <w:rsid w:val="00116875"/>
    <w:rsid w:val="00116E03"/>
    <w:rsid w:val="0012533B"/>
    <w:rsid w:val="001253B3"/>
    <w:rsid w:val="00126572"/>
    <w:rsid w:val="00135C9E"/>
    <w:rsid w:val="00137FA7"/>
    <w:rsid w:val="0014139F"/>
    <w:rsid w:val="00142718"/>
    <w:rsid w:val="00154C82"/>
    <w:rsid w:val="00155118"/>
    <w:rsid w:val="0015713E"/>
    <w:rsid w:val="001571D2"/>
    <w:rsid w:val="00157898"/>
    <w:rsid w:val="00161A20"/>
    <w:rsid w:val="00161F92"/>
    <w:rsid w:val="00162B14"/>
    <w:rsid w:val="00162FA3"/>
    <w:rsid w:val="001630DD"/>
    <w:rsid w:val="001638CC"/>
    <w:rsid w:val="00164B60"/>
    <w:rsid w:val="001650A3"/>
    <w:rsid w:val="001663F1"/>
    <w:rsid w:val="001669D2"/>
    <w:rsid w:val="00166A57"/>
    <w:rsid w:val="00166B63"/>
    <w:rsid w:val="00173498"/>
    <w:rsid w:val="0017400D"/>
    <w:rsid w:val="0017532B"/>
    <w:rsid w:val="00176C07"/>
    <w:rsid w:val="0018040D"/>
    <w:rsid w:val="001809FB"/>
    <w:rsid w:val="001817E3"/>
    <w:rsid w:val="00181896"/>
    <w:rsid w:val="001844E8"/>
    <w:rsid w:val="001852B5"/>
    <w:rsid w:val="001911A3"/>
    <w:rsid w:val="00191856"/>
    <w:rsid w:val="00192055"/>
    <w:rsid w:val="0019250D"/>
    <w:rsid w:val="00192DE1"/>
    <w:rsid w:val="0019555F"/>
    <w:rsid w:val="001955B0"/>
    <w:rsid w:val="00196E50"/>
    <w:rsid w:val="00197C28"/>
    <w:rsid w:val="00197D84"/>
    <w:rsid w:val="001A1797"/>
    <w:rsid w:val="001A4404"/>
    <w:rsid w:val="001A4A04"/>
    <w:rsid w:val="001B2548"/>
    <w:rsid w:val="001B341A"/>
    <w:rsid w:val="001B539E"/>
    <w:rsid w:val="001B65CC"/>
    <w:rsid w:val="001B7D99"/>
    <w:rsid w:val="001C1EA3"/>
    <w:rsid w:val="001C4527"/>
    <w:rsid w:val="001D0A5D"/>
    <w:rsid w:val="001D2E1E"/>
    <w:rsid w:val="001D4864"/>
    <w:rsid w:val="001D5C89"/>
    <w:rsid w:val="001D6DA2"/>
    <w:rsid w:val="001D7AA9"/>
    <w:rsid w:val="001E496A"/>
    <w:rsid w:val="001F1395"/>
    <w:rsid w:val="001F1E95"/>
    <w:rsid w:val="001F2B18"/>
    <w:rsid w:val="001F3676"/>
    <w:rsid w:val="001F59CA"/>
    <w:rsid w:val="001F6FAE"/>
    <w:rsid w:val="001F7F11"/>
    <w:rsid w:val="002017F7"/>
    <w:rsid w:val="00201D3B"/>
    <w:rsid w:val="00202808"/>
    <w:rsid w:val="00202E16"/>
    <w:rsid w:val="0020339F"/>
    <w:rsid w:val="0020452A"/>
    <w:rsid w:val="002063BD"/>
    <w:rsid w:val="00211511"/>
    <w:rsid w:val="0021313D"/>
    <w:rsid w:val="00213F45"/>
    <w:rsid w:val="00214263"/>
    <w:rsid w:val="00215ABC"/>
    <w:rsid w:val="00217757"/>
    <w:rsid w:val="00220A27"/>
    <w:rsid w:val="00222A2E"/>
    <w:rsid w:val="002259D8"/>
    <w:rsid w:val="0022625B"/>
    <w:rsid w:val="002264FA"/>
    <w:rsid w:val="002300A0"/>
    <w:rsid w:val="00230BEF"/>
    <w:rsid w:val="00232C14"/>
    <w:rsid w:val="0023433B"/>
    <w:rsid w:val="00236422"/>
    <w:rsid w:val="00241F05"/>
    <w:rsid w:val="00242266"/>
    <w:rsid w:val="00245CD9"/>
    <w:rsid w:val="00247E3D"/>
    <w:rsid w:val="00250C72"/>
    <w:rsid w:val="00251043"/>
    <w:rsid w:val="00251064"/>
    <w:rsid w:val="00251259"/>
    <w:rsid w:val="00252149"/>
    <w:rsid w:val="00254CAF"/>
    <w:rsid w:val="00255F30"/>
    <w:rsid w:val="00257327"/>
    <w:rsid w:val="002577D0"/>
    <w:rsid w:val="00262748"/>
    <w:rsid w:val="002628E8"/>
    <w:rsid w:val="0026346E"/>
    <w:rsid w:val="002710B2"/>
    <w:rsid w:val="00273FE2"/>
    <w:rsid w:val="00274DC2"/>
    <w:rsid w:val="00274E9C"/>
    <w:rsid w:val="00277B2E"/>
    <w:rsid w:val="00280E0B"/>
    <w:rsid w:val="002811F6"/>
    <w:rsid w:val="00281615"/>
    <w:rsid w:val="00282A1A"/>
    <w:rsid w:val="00283397"/>
    <w:rsid w:val="00283782"/>
    <w:rsid w:val="00285AAC"/>
    <w:rsid w:val="00285D45"/>
    <w:rsid w:val="0028790A"/>
    <w:rsid w:val="00291684"/>
    <w:rsid w:val="00292B7F"/>
    <w:rsid w:val="0029455C"/>
    <w:rsid w:val="00294EF8"/>
    <w:rsid w:val="0029537B"/>
    <w:rsid w:val="00295912"/>
    <w:rsid w:val="0029667E"/>
    <w:rsid w:val="002970BF"/>
    <w:rsid w:val="00297A01"/>
    <w:rsid w:val="00297F86"/>
    <w:rsid w:val="002A046B"/>
    <w:rsid w:val="002A24FB"/>
    <w:rsid w:val="002A7585"/>
    <w:rsid w:val="002B161A"/>
    <w:rsid w:val="002B16E6"/>
    <w:rsid w:val="002B364C"/>
    <w:rsid w:val="002B4B2F"/>
    <w:rsid w:val="002B519F"/>
    <w:rsid w:val="002C118C"/>
    <w:rsid w:val="002C27CE"/>
    <w:rsid w:val="002C3266"/>
    <w:rsid w:val="002C41C8"/>
    <w:rsid w:val="002C4BCE"/>
    <w:rsid w:val="002C54C6"/>
    <w:rsid w:val="002C59CE"/>
    <w:rsid w:val="002C6186"/>
    <w:rsid w:val="002C66D2"/>
    <w:rsid w:val="002C6C07"/>
    <w:rsid w:val="002C7F36"/>
    <w:rsid w:val="002D29CF"/>
    <w:rsid w:val="002D7156"/>
    <w:rsid w:val="002D79AD"/>
    <w:rsid w:val="002D7EBB"/>
    <w:rsid w:val="002E0DA8"/>
    <w:rsid w:val="002E130B"/>
    <w:rsid w:val="002E2284"/>
    <w:rsid w:val="002E23F2"/>
    <w:rsid w:val="002E42D8"/>
    <w:rsid w:val="002E5A38"/>
    <w:rsid w:val="002F07C0"/>
    <w:rsid w:val="002F1DA1"/>
    <w:rsid w:val="002F5CED"/>
    <w:rsid w:val="002F64A9"/>
    <w:rsid w:val="003010D9"/>
    <w:rsid w:val="00301BAF"/>
    <w:rsid w:val="00301CA7"/>
    <w:rsid w:val="00301F3E"/>
    <w:rsid w:val="0030317B"/>
    <w:rsid w:val="00305C41"/>
    <w:rsid w:val="00310B3D"/>
    <w:rsid w:val="00312EF9"/>
    <w:rsid w:val="003140F2"/>
    <w:rsid w:val="00314BF6"/>
    <w:rsid w:val="00316DAA"/>
    <w:rsid w:val="00317F58"/>
    <w:rsid w:val="0032234C"/>
    <w:rsid w:val="003233DB"/>
    <w:rsid w:val="00326D67"/>
    <w:rsid w:val="00330001"/>
    <w:rsid w:val="003319C5"/>
    <w:rsid w:val="00332BE2"/>
    <w:rsid w:val="00334085"/>
    <w:rsid w:val="0033557E"/>
    <w:rsid w:val="00337625"/>
    <w:rsid w:val="00337A31"/>
    <w:rsid w:val="0034094B"/>
    <w:rsid w:val="00340A36"/>
    <w:rsid w:val="00342D52"/>
    <w:rsid w:val="00352D94"/>
    <w:rsid w:val="00352F58"/>
    <w:rsid w:val="00356676"/>
    <w:rsid w:val="00356FAA"/>
    <w:rsid w:val="00357C62"/>
    <w:rsid w:val="00366FC8"/>
    <w:rsid w:val="0036738C"/>
    <w:rsid w:val="003719E2"/>
    <w:rsid w:val="00373E45"/>
    <w:rsid w:val="00381BD5"/>
    <w:rsid w:val="003827C9"/>
    <w:rsid w:val="00385CED"/>
    <w:rsid w:val="003860C6"/>
    <w:rsid w:val="003870FC"/>
    <w:rsid w:val="003873EB"/>
    <w:rsid w:val="00390038"/>
    <w:rsid w:val="00391166"/>
    <w:rsid w:val="003947F5"/>
    <w:rsid w:val="00395691"/>
    <w:rsid w:val="003A05B0"/>
    <w:rsid w:val="003A08FD"/>
    <w:rsid w:val="003A1000"/>
    <w:rsid w:val="003A2BD6"/>
    <w:rsid w:val="003A4567"/>
    <w:rsid w:val="003A50D6"/>
    <w:rsid w:val="003A6385"/>
    <w:rsid w:val="003A6541"/>
    <w:rsid w:val="003A6E82"/>
    <w:rsid w:val="003A7F10"/>
    <w:rsid w:val="003B0234"/>
    <w:rsid w:val="003B283F"/>
    <w:rsid w:val="003B315A"/>
    <w:rsid w:val="003B6870"/>
    <w:rsid w:val="003B78CC"/>
    <w:rsid w:val="003C18CE"/>
    <w:rsid w:val="003C6035"/>
    <w:rsid w:val="003D2C10"/>
    <w:rsid w:val="003D4BEA"/>
    <w:rsid w:val="003D6002"/>
    <w:rsid w:val="003D694E"/>
    <w:rsid w:val="003E1FAC"/>
    <w:rsid w:val="003E2069"/>
    <w:rsid w:val="003E3781"/>
    <w:rsid w:val="003E3A6A"/>
    <w:rsid w:val="003E3CC7"/>
    <w:rsid w:val="003E58F3"/>
    <w:rsid w:val="003E5C3C"/>
    <w:rsid w:val="003F246F"/>
    <w:rsid w:val="003F2F5A"/>
    <w:rsid w:val="003F45E6"/>
    <w:rsid w:val="003F481E"/>
    <w:rsid w:val="003F6BCF"/>
    <w:rsid w:val="003F7BA6"/>
    <w:rsid w:val="003F7E7E"/>
    <w:rsid w:val="00406EFE"/>
    <w:rsid w:val="0041095A"/>
    <w:rsid w:val="004119B0"/>
    <w:rsid w:val="00413AFD"/>
    <w:rsid w:val="00416733"/>
    <w:rsid w:val="00420E02"/>
    <w:rsid w:val="00422E66"/>
    <w:rsid w:val="00424534"/>
    <w:rsid w:val="00424ACA"/>
    <w:rsid w:val="0042574D"/>
    <w:rsid w:val="004270E0"/>
    <w:rsid w:val="00427208"/>
    <w:rsid w:val="004322C8"/>
    <w:rsid w:val="004350A1"/>
    <w:rsid w:val="004354A0"/>
    <w:rsid w:val="004372CE"/>
    <w:rsid w:val="0044183E"/>
    <w:rsid w:val="00441F26"/>
    <w:rsid w:val="00443CD0"/>
    <w:rsid w:val="00444D2D"/>
    <w:rsid w:val="00446045"/>
    <w:rsid w:val="00451129"/>
    <w:rsid w:val="00451CF5"/>
    <w:rsid w:val="0045450E"/>
    <w:rsid w:val="004619FB"/>
    <w:rsid w:val="004625CC"/>
    <w:rsid w:val="00465886"/>
    <w:rsid w:val="00470E88"/>
    <w:rsid w:val="00471018"/>
    <w:rsid w:val="0047288D"/>
    <w:rsid w:val="0047450B"/>
    <w:rsid w:val="00474974"/>
    <w:rsid w:val="00480D67"/>
    <w:rsid w:val="0048114F"/>
    <w:rsid w:val="00483E18"/>
    <w:rsid w:val="00485A55"/>
    <w:rsid w:val="00490531"/>
    <w:rsid w:val="00490C2D"/>
    <w:rsid w:val="00491693"/>
    <w:rsid w:val="00494270"/>
    <w:rsid w:val="004945D5"/>
    <w:rsid w:val="00494F1B"/>
    <w:rsid w:val="004A1265"/>
    <w:rsid w:val="004A2EF8"/>
    <w:rsid w:val="004A3203"/>
    <w:rsid w:val="004A5CE5"/>
    <w:rsid w:val="004B3B43"/>
    <w:rsid w:val="004C0D07"/>
    <w:rsid w:val="004C1B1A"/>
    <w:rsid w:val="004C4397"/>
    <w:rsid w:val="004C4768"/>
    <w:rsid w:val="004C4DEF"/>
    <w:rsid w:val="004D3597"/>
    <w:rsid w:val="004D3B05"/>
    <w:rsid w:val="004D4C84"/>
    <w:rsid w:val="004D50D8"/>
    <w:rsid w:val="004D57A9"/>
    <w:rsid w:val="004D5F4E"/>
    <w:rsid w:val="004D629A"/>
    <w:rsid w:val="004D7DEA"/>
    <w:rsid w:val="004E1740"/>
    <w:rsid w:val="004E1B86"/>
    <w:rsid w:val="004E1D17"/>
    <w:rsid w:val="004E3C22"/>
    <w:rsid w:val="004E57A1"/>
    <w:rsid w:val="004E67AE"/>
    <w:rsid w:val="004E6F19"/>
    <w:rsid w:val="004F1BAB"/>
    <w:rsid w:val="004F3366"/>
    <w:rsid w:val="004F39D3"/>
    <w:rsid w:val="004F3B68"/>
    <w:rsid w:val="004F506C"/>
    <w:rsid w:val="004F6FE7"/>
    <w:rsid w:val="00503CA8"/>
    <w:rsid w:val="005047F5"/>
    <w:rsid w:val="005049B0"/>
    <w:rsid w:val="0050511A"/>
    <w:rsid w:val="00505397"/>
    <w:rsid w:val="00510968"/>
    <w:rsid w:val="00510C59"/>
    <w:rsid w:val="00510D42"/>
    <w:rsid w:val="00512F94"/>
    <w:rsid w:val="0051529A"/>
    <w:rsid w:val="00520011"/>
    <w:rsid w:val="00521958"/>
    <w:rsid w:val="00522357"/>
    <w:rsid w:val="00522381"/>
    <w:rsid w:val="00522772"/>
    <w:rsid w:val="005233BC"/>
    <w:rsid w:val="005243D6"/>
    <w:rsid w:val="0052465D"/>
    <w:rsid w:val="00525211"/>
    <w:rsid w:val="005260A6"/>
    <w:rsid w:val="005275A4"/>
    <w:rsid w:val="005278C1"/>
    <w:rsid w:val="0053106F"/>
    <w:rsid w:val="00531AFB"/>
    <w:rsid w:val="00531CB3"/>
    <w:rsid w:val="00531FFB"/>
    <w:rsid w:val="005357A2"/>
    <w:rsid w:val="00535BE3"/>
    <w:rsid w:val="00535C55"/>
    <w:rsid w:val="00536A57"/>
    <w:rsid w:val="00540B41"/>
    <w:rsid w:val="00540DA0"/>
    <w:rsid w:val="0054630D"/>
    <w:rsid w:val="00546BC7"/>
    <w:rsid w:val="005471A7"/>
    <w:rsid w:val="00550483"/>
    <w:rsid w:val="00551A36"/>
    <w:rsid w:val="00554954"/>
    <w:rsid w:val="00555061"/>
    <w:rsid w:val="00555B7D"/>
    <w:rsid w:val="005625D3"/>
    <w:rsid w:val="0056279F"/>
    <w:rsid w:val="005645C5"/>
    <w:rsid w:val="00564786"/>
    <w:rsid w:val="00567610"/>
    <w:rsid w:val="00567F54"/>
    <w:rsid w:val="00571971"/>
    <w:rsid w:val="00575F46"/>
    <w:rsid w:val="0057688F"/>
    <w:rsid w:val="00577049"/>
    <w:rsid w:val="00577553"/>
    <w:rsid w:val="00577C06"/>
    <w:rsid w:val="00581925"/>
    <w:rsid w:val="005823DF"/>
    <w:rsid w:val="00582D86"/>
    <w:rsid w:val="005834A4"/>
    <w:rsid w:val="00583550"/>
    <w:rsid w:val="005843CF"/>
    <w:rsid w:val="00584508"/>
    <w:rsid w:val="005845EC"/>
    <w:rsid w:val="00587847"/>
    <w:rsid w:val="0059259D"/>
    <w:rsid w:val="005928CD"/>
    <w:rsid w:val="00592DF5"/>
    <w:rsid w:val="0059386E"/>
    <w:rsid w:val="00593D6F"/>
    <w:rsid w:val="005942C9"/>
    <w:rsid w:val="00594408"/>
    <w:rsid w:val="005948AB"/>
    <w:rsid w:val="005A06CC"/>
    <w:rsid w:val="005A2C6F"/>
    <w:rsid w:val="005A3081"/>
    <w:rsid w:val="005A5FD9"/>
    <w:rsid w:val="005A650B"/>
    <w:rsid w:val="005B0227"/>
    <w:rsid w:val="005B0806"/>
    <w:rsid w:val="005B24A5"/>
    <w:rsid w:val="005C0F41"/>
    <w:rsid w:val="005C1E59"/>
    <w:rsid w:val="005C2A0E"/>
    <w:rsid w:val="005D23D0"/>
    <w:rsid w:val="005D4075"/>
    <w:rsid w:val="005D490B"/>
    <w:rsid w:val="005D5AFF"/>
    <w:rsid w:val="005D6901"/>
    <w:rsid w:val="005D6DA5"/>
    <w:rsid w:val="005E04D3"/>
    <w:rsid w:val="005E1BB2"/>
    <w:rsid w:val="005E3566"/>
    <w:rsid w:val="005E36F2"/>
    <w:rsid w:val="005E3EF0"/>
    <w:rsid w:val="005E5C13"/>
    <w:rsid w:val="005F0886"/>
    <w:rsid w:val="005F12DF"/>
    <w:rsid w:val="005F32B4"/>
    <w:rsid w:val="005F4728"/>
    <w:rsid w:val="005F583C"/>
    <w:rsid w:val="005F7F40"/>
    <w:rsid w:val="00601DF1"/>
    <w:rsid w:val="00602F27"/>
    <w:rsid w:val="0060480E"/>
    <w:rsid w:val="00605F1A"/>
    <w:rsid w:val="006065BE"/>
    <w:rsid w:val="0060764B"/>
    <w:rsid w:val="0061340F"/>
    <w:rsid w:val="006207DF"/>
    <w:rsid w:val="00622601"/>
    <w:rsid w:val="00622B0E"/>
    <w:rsid w:val="006240D6"/>
    <w:rsid w:val="00624491"/>
    <w:rsid w:val="006268F0"/>
    <w:rsid w:val="00630A87"/>
    <w:rsid w:val="00632123"/>
    <w:rsid w:val="00632348"/>
    <w:rsid w:val="0063487E"/>
    <w:rsid w:val="00637714"/>
    <w:rsid w:val="00644A2D"/>
    <w:rsid w:val="00650EB5"/>
    <w:rsid w:val="00651500"/>
    <w:rsid w:val="00653C2C"/>
    <w:rsid w:val="00655F81"/>
    <w:rsid w:val="00656849"/>
    <w:rsid w:val="006608D6"/>
    <w:rsid w:val="00660EC4"/>
    <w:rsid w:val="00662EC5"/>
    <w:rsid w:val="0066416C"/>
    <w:rsid w:val="00665180"/>
    <w:rsid w:val="00665CCC"/>
    <w:rsid w:val="00666DF7"/>
    <w:rsid w:val="00670839"/>
    <w:rsid w:val="006709D9"/>
    <w:rsid w:val="006732A7"/>
    <w:rsid w:val="00673943"/>
    <w:rsid w:val="00675D53"/>
    <w:rsid w:val="006761AF"/>
    <w:rsid w:val="006766CD"/>
    <w:rsid w:val="00685BC1"/>
    <w:rsid w:val="00686AF8"/>
    <w:rsid w:val="006951C7"/>
    <w:rsid w:val="00697A26"/>
    <w:rsid w:val="006A0229"/>
    <w:rsid w:val="006A28E4"/>
    <w:rsid w:val="006A487F"/>
    <w:rsid w:val="006A4C62"/>
    <w:rsid w:val="006B0285"/>
    <w:rsid w:val="006B448B"/>
    <w:rsid w:val="006B6002"/>
    <w:rsid w:val="006B6D35"/>
    <w:rsid w:val="006B6F7F"/>
    <w:rsid w:val="006C0811"/>
    <w:rsid w:val="006C16C6"/>
    <w:rsid w:val="006C2518"/>
    <w:rsid w:val="006C2FBD"/>
    <w:rsid w:val="006C6B89"/>
    <w:rsid w:val="006D1DB5"/>
    <w:rsid w:val="006D586D"/>
    <w:rsid w:val="006D6E07"/>
    <w:rsid w:val="006D7F37"/>
    <w:rsid w:val="006E1658"/>
    <w:rsid w:val="006E228E"/>
    <w:rsid w:val="006E2F58"/>
    <w:rsid w:val="006E3100"/>
    <w:rsid w:val="006E38EA"/>
    <w:rsid w:val="006E5004"/>
    <w:rsid w:val="006E5D74"/>
    <w:rsid w:val="006E61DC"/>
    <w:rsid w:val="006F07A6"/>
    <w:rsid w:val="006F644F"/>
    <w:rsid w:val="006F7470"/>
    <w:rsid w:val="006F7A79"/>
    <w:rsid w:val="006F7C64"/>
    <w:rsid w:val="00701381"/>
    <w:rsid w:val="00702451"/>
    <w:rsid w:val="00706A48"/>
    <w:rsid w:val="007075F2"/>
    <w:rsid w:val="00707C07"/>
    <w:rsid w:val="00710E2D"/>
    <w:rsid w:val="00713DEF"/>
    <w:rsid w:val="00717979"/>
    <w:rsid w:val="007179D8"/>
    <w:rsid w:val="00717A4A"/>
    <w:rsid w:val="00720120"/>
    <w:rsid w:val="00720AD6"/>
    <w:rsid w:val="00721154"/>
    <w:rsid w:val="0072123E"/>
    <w:rsid w:val="00723747"/>
    <w:rsid w:val="0072555B"/>
    <w:rsid w:val="007310F3"/>
    <w:rsid w:val="00732C95"/>
    <w:rsid w:val="00733AF0"/>
    <w:rsid w:val="0073444A"/>
    <w:rsid w:val="00734C48"/>
    <w:rsid w:val="00735B36"/>
    <w:rsid w:val="007361AD"/>
    <w:rsid w:val="00741B23"/>
    <w:rsid w:val="007430DD"/>
    <w:rsid w:val="007437B3"/>
    <w:rsid w:val="007441B8"/>
    <w:rsid w:val="00745497"/>
    <w:rsid w:val="00746B97"/>
    <w:rsid w:val="00750B5B"/>
    <w:rsid w:val="00751E8C"/>
    <w:rsid w:val="00752551"/>
    <w:rsid w:val="00752704"/>
    <w:rsid w:val="00752C93"/>
    <w:rsid w:val="007530DA"/>
    <w:rsid w:val="00753191"/>
    <w:rsid w:val="0075320F"/>
    <w:rsid w:val="00756EAB"/>
    <w:rsid w:val="00761136"/>
    <w:rsid w:val="007618AC"/>
    <w:rsid w:val="00762D0B"/>
    <w:rsid w:val="00764CE0"/>
    <w:rsid w:val="007705BA"/>
    <w:rsid w:val="00774C28"/>
    <w:rsid w:val="00776E4D"/>
    <w:rsid w:val="00777250"/>
    <w:rsid w:val="00780014"/>
    <w:rsid w:val="00781788"/>
    <w:rsid w:val="00781C73"/>
    <w:rsid w:val="00784C0D"/>
    <w:rsid w:val="007857AA"/>
    <w:rsid w:val="00785E91"/>
    <w:rsid w:val="00786966"/>
    <w:rsid w:val="0079173F"/>
    <w:rsid w:val="0079374B"/>
    <w:rsid w:val="00794122"/>
    <w:rsid w:val="007943A2"/>
    <w:rsid w:val="007955D4"/>
    <w:rsid w:val="00797EE6"/>
    <w:rsid w:val="007A4A24"/>
    <w:rsid w:val="007A5B3E"/>
    <w:rsid w:val="007A5B94"/>
    <w:rsid w:val="007A5E6C"/>
    <w:rsid w:val="007A6FD4"/>
    <w:rsid w:val="007B18A2"/>
    <w:rsid w:val="007B29C3"/>
    <w:rsid w:val="007C4120"/>
    <w:rsid w:val="007C5045"/>
    <w:rsid w:val="007C7C49"/>
    <w:rsid w:val="007C7D70"/>
    <w:rsid w:val="007E0E0C"/>
    <w:rsid w:val="007E6949"/>
    <w:rsid w:val="007F3B81"/>
    <w:rsid w:val="007F3E51"/>
    <w:rsid w:val="007F423B"/>
    <w:rsid w:val="007F477B"/>
    <w:rsid w:val="007F5A17"/>
    <w:rsid w:val="007F6164"/>
    <w:rsid w:val="007F625C"/>
    <w:rsid w:val="00800E6D"/>
    <w:rsid w:val="00802024"/>
    <w:rsid w:val="0080226B"/>
    <w:rsid w:val="0080295A"/>
    <w:rsid w:val="00803530"/>
    <w:rsid w:val="00806C35"/>
    <w:rsid w:val="008071EB"/>
    <w:rsid w:val="00814504"/>
    <w:rsid w:val="0081693D"/>
    <w:rsid w:val="00817D61"/>
    <w:rsid w:val="00822A2C"/>
    <w:rsid w:val="00825D65"/>
    <w:rsid w:val="008274F5"/>
    <w:rsid w:val="0082797B"/>
    <w:rsid w:val="00827F5E"/>
    <w:rsid w:val="00830566"/>
    <w:rsid w:val="00834449"/>
    <w:rsid w:val="008347E6"/>
    <w:rsid w:val="0083620F"/>
    <w:rsid w:val="008426BA"/>
    <w:rsid w:val="0084406F"/>
    <w:rsid w:val="00845D04"/>
    <w:rsid w:val="00847C34"/>
    <w:rsid w:val="008520E2"/>
    <w:rsid w:val="00855FE9"/>
    <w:rsid w:val="008561D3"/>
    <w:rsid w:val="0085793D"/>
    <w:rsid w:val="00860755"/>
    <w:rsid w:val="00860F54"/>
    <w:rsid w:val="0086325A"/>
    <w:rsid w:val="008634EC"/>
    <w:rsid w:val="0086576F"/>
    <w:rsid w:val="00871A7D"/>
    <w:rsid w:val="00872007"/>
    <w:rsid w:val="00876C5A"/>
    <w:rsid w:val="00877B60"/>
    <w:rsid w:val="00886584"/>
    <w:rsid w:val="008929B0"/>
    <w:rsid w:val="008A001E"/>
    <w:rsid w:val="008A19D8"/>
    <w:rsid w:val="008A2807"/>
    <w:rsid w:val="008A422F"/>
    <w:rsid w:val="008A57E2"/>
    <w:rsid w:val="008B11C0"/>
    <w:rsid w:val="008B6A28"/>
    <w:rsid w:val="008C0AFD"/>
    <w:rsid w:val="008C1719"/>
    <w:rsid w:val="008C2B20"/>
    <w:rsid w:val="008C32BE"/>
    <w:rsid w:val="008C4605"/>
    <w:rsid w:val="008C5D6A"/>
    <w:rsid w:val="008D29CF"/>
    <w:rsid w:val="008D2FA3"/>
    <w:rsid w:val="008D3B88"/>
    <w:rsid w:val="008D46C8"/>
    <w:rsid w:val="008D5F03"/>
    <w:rsid w:val="008D66AF"/>
    <w:rsid w:val="008E2512"/>
    <w:rsid w:val="008E281C"/>
    <w:rsid w:val="008E3E41"/>
    <w:rsid w:val="008E5654"/>
    <w:rsid w:val="008E5C77"/>
    <w:rsid w:val="008E72D2"/>
    <w:rsid w:val="008F1125"/>
    <w:rsid w:val="008F21EC"/>
    <w:rsid w:val="008F22DD"/>
    <w:rsid w:val="008F3974"/>
    <w:rsid w:val="008F50FC"/>
    <w:rsid w:val="008F54FE"/>
    <w:rsid w:val="008F7D3A"/>
    <w:rsid w:val="009009C4"/>
    <w:rsid w:val="00900E21"/>
    <w:rsid w:val="0090377E"/>
    <w:rsid w:val="0091113A"/>
    <w:rsid w:val="009113AE"/>
    <w:rsid w:val="009209F2"/>
    <w:rsid w:val="00920CFE"/>
    <w:rsid w:val="009217EE"/>
    <w:rsid w:val="0092217A"/>
    <w:rsid w:val="00930A3C"/>
    <w:rsid w:val="00934760"/>
    <w:rsid w:val="00937C65"/>
    <w:rsid w:val="00940B17"/>
    <w:rsid w:val="00951F7B"/>
    <w:rsid w:val="0095248B"/>
    <w:rsid w:val="00957773"/>
    <w:rsid w:val="009578D1"/>
    <w:rsid w:val="00957CF2"/>
    <w:rsid w:val="00962B3B"/>
    <w:rsid w:val="00962ED8"/>
    <w:rsid w:val="00964279"/>
    <w:rsid w:val="0096479D"/>
    <w:rsid w:val="00965A12"/>
    <w:rsid w:val="009669B8"/>
    <w:rsid w:val="009713D7"/>
    <w:rsid w:val="00972177"/>
    <w:rsid w:val="0097276C"/>
    <w:rsid w:val="0097383F"/>
    <w:rsid w:val="00973C36"/>
    <w:rsid w:val="00975CD0"/>
    <w:rsid w:val="00976AB7"/>
    <w:rsid w:val="00976ED4"/>
    <w:rsid w:val="009772AE"/>
    <w:rsid w:val="009777E0"/>
    <w:rsid w:val="00980BEA"/>
    <w:rsid w:val="00982B7C"/>
    <w:rsid w:val="00985FE7"/>
    <w:rsid w:val="00990371"/>
    <w:rsid w:val="00990712"/>
    <w:rsid w:val="009908DB"/>
    <w:rsid w:val="009915A0"/>
    <w:rsid w:val="00993597"/>
    <w:rsid w:val="009935C8"/>
    <w:rsid w:val="00993B04"/>
    <w:rsid w:val="009951BD"/>
    <w:rsid w:val="009A51CA"/>
    <w:rsid w:val="009A6188"/>
    <w:rsid w:val="009A7878"/>
    <w:rsid w:val="009A794B"/>
    <w:rsid w:val="009B0771"/>
    <w:rsid w:val="009B1701"/>
    <w:rsid w:val="009B2B79"/>
    <w:rsid w:val="009B3D09"/>
    <w:rsid w:val="009C0617"/>
    <w:rsid w:val="009C6CAA"/>
    <w:rsid w:val="009C6E37"/>
    <w:rsid w:val="009C7E30"/>
    <w:rsid w:val="009D0A0C"/>
    <w:rsid w:val="009D1BC2"/>
    <w:rsid w:val="009D3982"/>
    <w:rsid w:val="009D41DC"/>
    <w:rsid w:val="009D5C3C"/>
    <w:rsid w:val="009E03D8"/>
    <w:rsid w:val="009E2383"/>
    <w:rsid w:val="009E2C5F"/>
    <w:rsid w:val="009E3996"/>
    <w:rsid w:val="009E6678"/>
    <w:rsid w:val="009E692F"/>
    <w:rsid w:val="009F0DC5"/>
    <w:rsid w:val="009F1892"/>
    <w:rsid w:val="009F26D6"/>
    <w:rsid w:val="009F4104"/>
    <w:rsid w:val="009F5102"/>
    <w:rsid w:val="00A0022C"/>
    <w:rsid w:val="00A020AD"/>
    <w:rsid w:val="00A024F6"/>
    <w:rsid w:val="00A0436B"/>
    <w:rsid w:val="00A055DD"/>
    <w:rsid w:val="00A07A7F"/>
    <w:rsid w:val="00A10A03"/>
    <w:rsid w:val="00A11A3F"/>
    <w:rsid w:val="00A134C2"/>
    <w:rsid w:val="00A15949"/>
    <w:rsid w:val="00A16E53"/>
    <w:rsid w:val="00A176F4"/>
    <w:rsid w:val="00A20297"/>
    <w:rsid w:val="00A208DD"/>
    <w:rsid w:val="00A209EB"/>
    <w:rsid w:val="00A2227D"/>
    <w:rsid w:val="00A246F6"/>
    <w:rsid w:val="00A25247"/>
    <w:rsid w:val="00A2552F"/>
    <w:rsid w:val="00A27EF8"/>
    <w:rsid w:val="00A3049C"/>
    <w:rsid w:val="00A324B0"/>
    <w:rsid w:val="00A35FA8"/>
    <w:rsid w:val="00A364F3"/>
    <w:rsid w:val="00A37D3A"/>
    <w:rsid w:val="00A4195C"/>
    <w:rsid w:val="00A43273"/>
    <w:rsid w:val="00A43DD3"/>
    <w:rsid w:val="00A44326"/>
    <w:rsid w:val="00A4465B"/>
    <w:rsid w:val="00A449D9"/>
    <w:rsid w:val="00A44AB5"/>
    <w:rsid w:val="00A474B6"/>
    <w:rsid w:val="00A47BF6"/>
    <w:rsid w:val="00A5021F"/>
    <w:rsid w:val="00A5210A"/>
    <w:rsid w:val="00A54C1A"/>
    <w:rsid w:val="00A5530B"/>
    <w:rsid w:val="00A56299"/>
    <w:rsid w:val="00A57712"/>
    <w:rsid w:val="00A57ECC"/>
    <w:rsid w:val="00A60B1C"/>
    <w:rsid w:val="00A65BB6"/>
    <w:rsid w:val="00A65DF5"/>
    <w:rsid w:val="00A71224"/>
    <w:rsid w:val="00A71783"/>
    <w:rsid w:val="00A72B20"/>
    <w:rsid w:val="00A734E7"/>
    <w:rsid w:val="00A74697"/>
    <w:rsid w:val="00A80FA1"/>
    <w:rsid w:val="00A81FF0"/>
    <w:rsid w:val="00A839F4"/>
    <w:rsid w:val="00A83C24"/>
    <w:rsid w:val="00A862AB"/>
    <w:rsid w:val="00A918A7"/>
    <w:rsid w:val="00A93B71"/>
    <w:rsid w:val="00A93D9D"/>
    <w:rsid w:val="00A96AFE"/>
    <w:rsid w:val="00AA6B01"/>
    <w:rsid w:val="00AA7D71"/>
    <w:rsid w:val="00AB05AB"/>
    <w:rsid w:val="00AB0925"/>
    <w:rsid w:val="00AB1637"/>
    <w:rsid w:val="00AB27B2"/>
    <w:rsid w:val="00AB75E9"/>
    <w:rsid w:val="00AC14A3"/>
    <w:rsid w:val="00AC1EF7"/>
    <w:rsid w:val="00AC3D79"/>
    <w:rsid w:val="00AC663F"/>
    <w:rsid w:val="00AC7CFC"/>
    <w:rsid w:val="00AD3A23"/>
    <w:rsid w:val="00AD638D"/>
    <w:rsid w:val="00AD68C7"/>
    <w:rsid w:val="00AD74E9"/>
    <w:rsid w:val="00AD7812"/>
    <w:rsid w:val="00AE075B"/>
    <w:rsid w:val="00AE0CB6"/>
    <w:rsid w:val="00AE1779"/>
    <w:rsid w:val="00AE28A4"/>
    <w:rsid w:val="00AE5C88"/>
    <w:rsid w:val="00AE6831"/>
    <w:rsid w:val="00AE6A03"/>
    <w:rsid w:val="00AE710D"/>
    <w:rsid w:val="00AE746A"/>
    <w:rsid w:val="00AE7665"/>
    <w:rsid w:val="00AF18A9"/>
    <w:rsid w:val="00AF383B"/>
    <w:rsid w:val="00AF431E"/>
    <w:rsid w:val="00B018F0"/>
    <w:rsid w:val="00B02430"/>
    <w:rsid w:val="00B0246B"/>
    <w:rsid w:val="00B03C4B"/>
    <w:rsid w:val="00B03D0F"/>
    <w:rsid w:val="00B03F0D"/>
    <w:rsid w:val="00B04466"/>
    <w:rsid w:val="00B0449D"/>
    <w:rsid w:val="00B05055"/>
    <w:rsid w:val="00B05C7E"/>
    <w:rsid w:val="00B116C8"/>
    <w:rsid w:val="00B12F79"/>
    <w:rsid w:val="00B14399"/>
    <w:rsid w:val="00B17B81"/>
    <w:rsid w:val="00B17D2E"/>
    <w:rsid w:val="00B17F46"/>
    <w:rsid w:val="00B2267F"/>
    <w:rsid w:val="00B22E56"/>
    <w:rsid w:val="00B25820"/>
    <w:rsid w:val="00B26FB7"/>
    <w:rsid w:val="00B32212"/>
    <w:rsid w:val="00B34104"/>
    <w:rsid w:val="00B40270"/>
    <w:rsid w:val="00B4045C"/>
    <w:rsid w:val="00B42E9E"/>
    <w:rsid w:val="00B43ACA"/>
    <w:rsid w:val="00B4593C"/>
    <w:rsid w:val="00B45A8B"/>
    <w:rsid w:val="00B503E3"/>
    <w:rsid w:val="00B54B69"/>
    <w:rsid w:val="00B56036"/>
    <w:rsid w:val="00B56515"/>
    <w:rsid w:val="00B61476"/>
    <w:rsid w:val="00B63D42"/>
    <w:rsid w:val="00B654CE"/>
    <w:rsid w:val="00B65891"/>
    <w:rsid w:val="00B66A56"/>
    <w:rsid w:val="00B702B9"/>
    <w:rsid w:val="00B70C73"/>
    <w:rsid w:val="00B710BE"/>
    <w:rsid w:val="00B71216"/>
    <w:rsid w:val="00B743CE"/>
    <w:rsid w:val="00B7577C"/>
    <w:rsid w:val="00B769DE"/>
    <w:rsid w:val="00B76FD8"/>
    <w:rsid w:val="00B77F40"/>
    <w:rsid w:val="00B80FC7"/>
    <w:rsid w:val="00B81018"/>
    <w:rsid w:val="00B81741"/>
    <w:rsid w:val="00B81B23"/>
    <w:rsid w:val="00B84146"/>
    <w:rsid w:val="00B84C6F"/>
    <w:rsid w:val="00B936E0"/>
    <w:rsid w:val="00B957A0"/>
    <w:rsid w:val="00B961BF"/>
    <w:rsid w:val="00B969A1"/>
    <w:rsid w:val="00B979BC"/>
    <w:rsid w:val="00B97AE9"/>
    <w:rsid w:val="00BA0C3A"/>
    <w:rsid w:val="00BA446C"/>
    <w:rsid w:val="00BA54BB"/>
    <w:rsid w:val="00BA59D6"/>
    <w:rsid w:val="00BA60DD"/>
    <w:rsid w:val="00BA6F7E"/>
    <w:rsid w:val="00BA7CDB"/>
    <w:rsid w:val="00BA7E35"/>
    <w:rsid w:val="00BB0ACE"/>
    <w:rsid w:val="00BB5673"/>
    <w:rsid w:val="00BB7D61"/>
    <w:rsid w:val="00BC09D0"/>
    <w:rsid w:val="00BC3D83"/>
    <w:rsid w:val="00BC421D"/>
    <w:rsid w:val="00BC4236"/>
    <w:rsid w:val="00BC4459"/>
    <w:rsid w:val="00BC4D0B"/>
    <w:rsid w:val="00BC61F8"/>
    <w:rsid w:val="00BD08DE"/>
    <w:rsid w:val="00BD178D"/>
    <w:rsid w:val="00BD2F5D"/>
    <w:rsid w:val="00BD3523"/>
    <w:rsid w:val="00BD37EC"/>
    <w:rsid w:val="00BD3E1A"/>
    <w:rsid w:val="00BD5D04"/>
    <w:rsid w:val="00BE1E4E"/>
    <w:rsid w:val="00BE30BF"/>
    <w:rsid w:val="00BE36E3"/>
    <w:rsid w:val="00BF07B5"/>
    <w:rsid w:val="00BF12E1"/>
    <w:rsid w:val="00BF1BAA"/>
    <w:rsid w:val="00BF2863"/>
    <w:rsid w:val="00BF3988"/>
    <w:rsid w:val="00BF67CA"/>
    <w:rsid w:val="00C009F1"/>
    <w:rsid w:val="00C022C3"/>
    <w:rsid w:val="00C02DCC"/>
    <w:rsid w:val="00C07377"/>
    <w:rsid w:val="00C07C48"/>
    <w:rsid w:val="00C1090F"/>
    <w:rsid w:val="00C10FD0"/>
    <w:rsid w:val="00C12D70"/>
    <w:rsid w:val="00C12EDB"/>
    <w:rsid w:val="00C15F40"/>
    <w:rsid w:val="00C17E76"/>
    <w:rsid w:val="00C20434"/>
    <w:rsid w:val="00C20649"/>
    <w:rsid w:val="00C2079A"/>
    <w:rsid w:val="00C20F30"/>
    <w:rsid w:val="00C21EEC"/>
    <w:rsid w:val="00C22553"/>
    <w:rsid w:val="00C2400E"/>
    <w:rsid w:val="00C24B95"/>
    <w:rsid w:val="00C24FB9"/>
    <w:rsid w:val="00C347EE"/>
    <w:rsid w:val="00C351D5"/>
    <w:rsid w:val="00C362D0"/>
    <w:rsid w:val="00C42B9D"/>
    <w:rsid w:val="00C43151"/>
    <w:rsid w:val="00C43223"/>
    <w:rsid w:val="00C43471"/>
    <w:rsid w:val="00C43677"/>
    <w:rsid w:val="00C44418"/>
    <w:rsid w:val="00C450D0"/>
    <w:rsid w:val="00C47F5D"/>
    <w:rsid w:val="00C5248A"/>
    <w:rsid w:val="00C5398E"/>
    <w:rsid w:val="00C55351"/>
    <w:rsid w:val="00C561D6"/>
    <w:rsid w:val="00C563EE"/>
    <w:rsid w:val="00C62171"/>
    <w:rsid w:val="00C63F64"/>
    <w:rsid w:val="00C65796"/>
    <w:rsid w:val="00C6657A"/>
    <w:rsid w:val="00C725FF"/>
    <w:rsid w:val="00C759D3"/>
    <w:rsid w:val="00C83DC8"/>
    <w:rsid w:val="00C841D8"/>
    <w:rsid w:val="00C87302"/>
    <w:rsid w:val="00C90073"/>
    <w:rsid w:val="00C913CD"/>
    <w:rsid w:val="00C92E50"/>
    <w:rsid w:val="00C93614"/>
    <w:rsid w:val="00C946D1"/>
    <w:rsid w:val="00C95859"/>
    <w:rsid w:val="00C96CB9"/>
    <w:rsid w:val="00C97A4C"/>
    <w:rsid w:val="00CA033B"/>
    <w:rsid w:val="00CA15B4"/>
    <w:rsid w:val="00CA49E5"/>
    <w:rsid w:val="00CA7B68"/>
    <w:rsid w:val="00CB5D10"/>
    <w:rsid w:val="00CB5D51"/>
    <w:rsid w:val="00CB7931"/>
    <w:rsid w:val="00CC2E76"/>
    <w:rsid w:val="00CC3398"/>
    <w:rsid w:val="00CC4F52"/>
    <w:rsid w:val="00CC5BF5"/>
    <w:rsid w:val="00CC70A8"/>
    <w:rsid w:val="00CD06BB"/>
    <w:rsid w:val="00CD2282"/>
    <w:rsid w:val="00CD5669"/>
    <w:rsid w:val="00CD7928"/>
    <w:rsid w:val="00CE055C"/>
    <w:rsid w:val="00CE1E94"/>
    <w:rsid w:val="00CE325C"/>
    <w:rsid w:val="00CE45C8"/>
    <w:rsid w:val="00CE4B61"/>
    <w:rsid w:val="00CE4D48"/>
    <w:rsid w:val="00CE6145"/>
    <w:rsid w:val="00CE637E"/>
    <w:rsid w:val="00CE7258"/>
    <w:rsid w:val="00CF0F6C"/>
    <w:rsid w:val="00CF2D19"/>
    <w:rsid w:val="00CF3E99"/>
    <w:rsid w:val="00CF4774"/>
    <w:rsid w:val="00CF50CF"/>
    <w:rsid w:val="00CF6EA0"/>
    <w:rsid w:val="00CF777E"/>
    <w:rsid w:val="00D0019C"/>
    <w:rsid w:val="00D01577"/>
    <w:rsid w:val="00D02E64"/>
    <w:rsid w:val="00D067DF"/>
    <w:rsid w:val="00D068A7"/>
    <w:rsid w:val="00D0758E"/>
    <w:rsid w:val="00D0769F"/>
    <w:rsid w:val="00D07EB3"/>
    <w:rsid w:val="00D1457D"/>
    <w:rsid w:val="00D14F98"/>
    <w:rsid w:val="00D1528E"/>
    <w:rsid w:val="00D1668D"/>
    <w:rsid w:val="00D22172"/>
    <w:rsid w:val="00D24DFD"/>
    <w:rsid w:val="00D30288"/>
    <w:rsid w:val="00D30924"/>
    <w:rsid w:val="00D32E95"/>
    <w:rsid w:val="00D348F0"/>
    <w:rsid w:val="00D34FF2"/>
    <w:rsid w:val="00D35B27"/>
    <w:rsid w:val="00D36C83"/>
    <w:rsid w:val="00D41D75"/>
    <w:rsid w:val="00D4267D"/>
    <w:rsid w:val="00D43E58"/>
    <w:rsid w:val="00D47417"/>
    <w:rsid w:val="00D51B0D"/>
    <w:rsid w:val="00D53074"/>
    <w:rsid w:val="00D53CD0"/>
    <w:rsid w:val="00D53DF4"/>
    <w:rsid w:val="00D57504"/>
    <w:rsid w:val="00D6238F"/>
    <w:rsid w:val="00D638FF"/>
    <w:rsid w:val="00D64890"/>
    <w:rsid w:val="00D64DBC"/>
    <w:rsid w:val="00D658D4"/>
    <w:rsid w:val="00D72368"/>
    <w:rsid w:val="00D7436A"/>
    <w:rsid w:val="00D758FF"/>
    <w:rsid w:val="00D766CE"/>
    <w:rsid w:val="00D77737"/>
    <w:rsid w:val="00D779D4"/>
    <w:rsid w:val="00D87F4A"/>
    <w:rsid w:val="00D90314"/>
    <w:rsid w:val="00D91751"/>
    <w:rsid w:val="00D92153"/>
    <w:rsid w:val="00D9571D"/>
    <w:rsid w:val="00D95F8C"/>
    <w:rsid w:val="00D9612A"/>
    <w:rsid w:val="00D97193"/>
    <w:rsid w:val="00DA43FC"/>
    <w:rsid w:val="00DA53F7"/>
    <w:rsid w:val="00DA5688"/>
    <w:rsid w:val="00DA57FB"/>
    <w:rsid w:val="00DA5949"/>
    <w:rsid w:val="00DA62C4"/>
    <w:rsid w:val="00DB1056"/>
    <w:rsid w:val="00DB10BF"/>
    <w:rsid w:val="00DB12C3"/>
    <w:rsid w:val="00DB2DAC"/>
    <w:rsid w:val="00DB3599"/>
    <w:rsid w:val="00DB36DF"/>
    <w:rsid w:val="00DB3780"/>
    <w:rsid w:val="00DB76EF"/>
    <w:rsid w:val="00DC0901"/>
    <w:rsid w:val="00DC15CD"/>
    <w:rsid w:val="00DC1744"/>
    <w:rsid w:val="00DC2947"/>
    <w:rsid w:val="00DC327A"/>
    <w:rsid w:val="00DC4EC1"/>
    <w:rsid w:val="00DC5235"/>
    <w:rsid w:val="00DC5A39"/>
    <w:rsid w:val="00DC7AE4"/>
    <w:rsid w:val="00DC7CD3"/>
    <w:rsid w:val="00DD3BEE"/>
    <w:rsid w:val="00DD3C85"/>
    <w:rsid w:val="00DD4065"/>
    <w:rsid w:val="00DD54D4"/>
    <w:rsid w:val="00DD55F7"/>
    <w:rsid w:val="00DD6149"/>
    <w:rsid w:val="00DD7947"/>
    <w:rsid w:val="00DD7A01"/>
    <w:rsid w:val="00DD7B82"/>
    <w:rsid w:val="00DE1012"/>
    <w:rsid w:val="00DE2680"/>
    <w:rsid w:val="00DE2EE3"/>
    <w:rsid w:val="00DE301C"/>
    <w:rsid w:val="00DE43ED"/>
    <w:rsid w:val="00DE4BB8"/>
    <w:rsid w:val="00DE5E62"/>
    <w:rsid w:val="00DE5F07"/>
    <w:rsid w:val="00DE67E2"/>
    <w:rsid w:val="00DE7CC0"/>
    <w:rsid w:val="00DF2768"/>
    <w:rsid w:val="00DF5940"/>
    <w:rsid w:val="00E0046C"/>
    <w:rsid w:val="00E01310"/>
    <w:rsid w:val="00E02C3B"/>
    <w:rsid w:val="00E03C6A"/>
    <w:rsid w:val="00E03DB9"/>
    <w:rsid w:val="00E045E5"/>
    <w:rsid w:val="00E05458"/>
    <w:rsid w:val="00E06C82"/>
    <w:rsid w:val="00E07848"/>
    <w:rsid w:val="00E117D2"/>
    <w:rsid w:val="00E124ED"/>
    <w:rsid w:val="00E15D68"/>
    <w:rsid w:val="00E169A3"/>
    <w:rsid w:val="00E204BA"/>
    <w:rsid w:val="00E231AD"/>
    <w:rsid w:val="00E247A0"/>
    <w:rsid w:val="00E24F69"/>
    <w:rsid w:val="00E25009"/>
    <w:rsid w:val="00E259C9"/>
    <w:rsid w:val="00E265DA"/>
    <w:rsid w:val="00E3068D"/>
    <w:rsid w:val="00E30B68"/>
    <w:rsid w:val="00E30D1E"/>
    <w:rsid w:val="00E31F5B"/>
    <w:rsid w:val="00E3220C"/>
    <w:rsid w:val="00E3693E"/>
    <w:rsid w:val="00E37094"/>
    <w:rsid w:val="00E422BD"/>
    <w:rsid w:val="00E45CFA"/>
    <w:rsid w:val="00E462DA"/>
    <w:rsid w:val="00E47D22"/>
    <w:rsid w:val="00E51C22"/>
    <w:rsid w:val="00E53DB6"/>
    <w:rsid w:val="00E53FAF"/>
    <w:rsid w:val="00E5543E"/>
    <w:rsid w:val="00E56249"/>
    <w:rsid w:val="00E60801"/>
    <w:rsid w:val="00E6332B"/>
    <w:rsid w:val="00E6343F"/>
    <w:rsid w:val="00E65190"/>
    <w:rsid w:val="00E6598C"/>
    <w:rsid w:val="00E668C4"/>
    <w:rsid w:val="00E72D53"/>
    <w:rsid w:val="00E73B24"/>
    <w:rsid w:val="00E73BEB"/>
    <w:rsid w:val="00E74C30"/>
    <w:rsid w:val="00E752FA"/>
    <w:rsid w:val="00E75A99"/>
    <w:rsid w:val="00E801F1"/>
    <w:rsid w:val="00E81068"/>
    <w:rsid w:val="00E84B09"/>
    <w:rsid w:val="00E84EDE"/>
    <w:rsid w:val="00E92B06"/>
    <w:rsid w:val="00E952A9"/>
    <w:rsid w:val="00E953B2"/>
    <w:rsid w:val="00EA3626"/>
    <w:rsid w:val="00EA68CC"/>
    <w:rsid w:val="00EA7D43"/>
    <w:rsid w:val="00EB06D5"/>
    <w:rsid w:val="00EB29A5"/>
    <w:rsid w:val="00EB4300"/>
    <w:rsid w:val="00EB536A"/>
    <w:rsid w:val="00EB636E"/>
    <w:rsid w:val="00EB7302"/>
    <w:rsid w:val="00EB74CC"/>
    <w:rsid w:val="00EC02BD"/>
    <w:rsid w:val="00EC0CD9"/>
    <w:rsid w:val="00EC17A3"/>
    <w:rsid w:val="00EC38CB"/>
    <w:rsid w:val="00EC682E"/>
    <w:rsid w:val="00EC7500"/>
    <w:rsid w:val="00ED0227"/>
    <w:rsid w:val="00ED1F89"/>
    <w:rsid w:val="00ED7892"/>
    <w:rsid w:val="00ED7EAD"/>
    <w:rsid w:val="00EE0EAA"/>
    <w:rsid w:val="00EE2273"/>
    <w:rsid w:val="00EE2655"/>
    <w:rsid w:val="00EE2D79"/>
    <w:rsid w:val="00EE2EEF"/>
    <w:rsid w:val="00EE395C"/>
    <w:rsid w:val="00EE3F7C"/>
    <w:rsid w:val="00EE7DAA"/>
    <w:rsid w:val="00EE7F7D"/>
    <w:rsid w:val="00EF0049"/>
    <w:rsid w:val="00EF0423"/>
    <w:rsid w:val="00EF35C1"/>
    <w:rsid w:val="00EF39AE"/>
    <w:rsid w:val="00EF5A10"/>
    <w:rsid w:val="00EF6489"/>
    <w:rsid w:val="00EF7953"/>
    <w:rsid w:val="00F01804"/>
    <w:rsid w:val="00F043D2"/>
    <w:rsid w:val="00F051C9"/>
    <w:rsid w:val="00F0613D"/>
    <w:rsid w:val="00F075D2"/>
    <w:rsid w:val="00F1135E"/>
    <w:rsid w:val="00F12FB4"/>
    <w:rsid w:val="00F1630A"/>
    <w:rsid w:val="00F17446"/>
    <w:rsid w:val="00F201A7"/>
    <w:rsid w:val="00F20F79"/>
    <w:rsid w:val="00F24268"/>
    <w:rsid w:val="00F24513"/>
    <w:rsid w:val="00F27051"/>
    <w:rsid w:val="00F27207"/>
    <w:rsid w:val="00F30CDF"/>
    <w:rsid w:val="00F30E81"/>
    <w:rsid w:val="00F3202D"/>
    <w:rsid w:val="00F32610"/>
    <w:rsid w:val="00F33D00"/>
    <w:rsid w:val="00F3564A"/>
    <w:rsid w:val="00F358F0"/>
    <w:rsid w:val="00F3728D"/>
    <w:rsid w:val="00F377D7"/>
    <w:rsid w:val="00F408C4"/>
    <w:rsid w:val="00F41006"/>
    <w:rsid w:val="00F41D6A"/>
    <w:rsid w:val="00F43497"/>
    <w:rsid w:val="00F507C7"/>
    <w:rsid w:val="00F51085"/>
    <w:rsid w:val="00F5303F"/>
    <w:rsid w:val="00F53C43"/>
    <w:rsid w:val="00F5420B"/>
    <w:rsid w:val="00F564DA"/>
    <w:rsid w:val="00F56A90"/>
    <w:rsid w:val="00F56C41"/>
    <w:rsid w:val="00F570FA"/>
    <w:rsid w:val="00F57EFF"/>
    <w:rsid w:val="00F611F2"/>
    <w:rsid w:val="00F62AA2"/>
    <w:rsid w:val="00F62C67"/>
    <w:rsid w:val="00F635AF"/>
    <w:rsid w:val="00F649F0"/>
    <w:rsid w:val="00F672CD"/>
    <w:rsid w:val="00F74250"/>
    <w:rsid w:val="00F776A4"/>
    <w:rsid w:val="00F817C3"/>
    <w:rsid w:val="00F84F23"/>
    <w:rsid w:val="00F8501B"/>
    <w:rsid w:val="00F851B6"/>
    <w:rsid w:val="00F851C9"/>
    <w:rsid w:val="00F85DF9"/>
    <w:rsid w:val="00F86925"/>
    <w:rsid w:val="00F90963"/>
    <w:rsid w:val="00F909C3"/>
    <w:rsid w:val="00F91B5C"/>
    <w:rsid w:val="00F91B94"/>
    <w:rsid w:val="00F952CD"/>
    <w:rsid w:val="00F95DD1"/>
    <w:rsid w:val="00F97E47"/>
    <w:rsid w:val="00FA162F"/>
    <w:rsid w:val="00FA193C"/>
    <w:rsid w:val="00FA258D"/>
    <w:rsid w:val="00FA4782"/>
    <w:rsid w:val="00FA62E4"/>
    <w:rsid w:val="00FA666E"/>
    <w:rsid w:val="00FB1C12"/>
    <w:rsid w:val="00FB5708"/>
    <w:rsid w:val="00FB680D"/>
    <w:rsid w:val="00FC0080"/>
    <w:rsid w:val="00FC0C48"/>
    <w:rsid w:val="00FC1036"/>
    <w:rsid w:val="00FC19E8"/>
    <w:rsid w:val="00FC25C2"/>
    <w:rsid w:val="00FC74DC"/>
    <w:rsid w:val="00FD0268"/>
    <w:rsid w:val="00FD5AA3"/>
    <w:rsid w:val="00FD604C"/>
    <w:rsid w:val="00FE164A"/>
    <w:rsid w:val="00FE26DA"/>
    <w:rsid w:val="00FE5156"/>
    <w:rsid w:val="00FE7153"/>
    <w:rsid w:val="00FF2FE4"/>
    <w:rsid w:val="00FF4126"/>
    <w:rsid w:val="00FF5511"/>
    <w:rsid w:val="00FF59D8"/>
    <w:rsid w:val="00FF62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AFF"/>
    <w:pPr>
      <w:tabs>
        <w:tab w:val="center" w:pos="4536"/>
        <w:tab w:val="right" w:pos="9072"/>
      </w:tabs>
    </w:pPr>
  </w:style>
  <w:style w:type="character" w:customStyle="1" w:styleId="HeaderChar">
    <w:name w:val="Header Char"/>
    <w:basedOn w:val="DefaultParagraphFont"/>
    <w:link w:val="Header"/>
    <w:rsid w:val="005D5AFF"/>
    <w:rPr>
      <w:sz w:val="24"/>
      <w:szCs w:val="24"/>
    </w:rPr>
  </w:style>
  <w:style w:type="paragraph" w:styleId="Footer">
    <w:name w:val="footer"/>
    <w:basedOn w:val="Normal"/>
    <w:link w:val="FooterChar"/>
    <w:uiPriority w:val="99"/>
    <w:rsid w:val="005D5AFF"/>
    <w:pPr>
      <w:tabs>
        <w:tab w:val="center" w:pos="4536"/>
        <w:tab w:val="right" w:pos="9072"/>
      </w:tabs>
    </w:pPr>
  </w:style>
  <w:style w:type="character" w:customStyle="1" w:styleId="FooterChar">
    <w:name w:val="Footer Char"/>
    <w:basedOn w:val="DefaultParagraphFont"/>
    <w:link w:val="Footer"/>
    <w:uiPriority w:val="99"/>
    <w:rsid w:val="005D5AFF"/>
    <w:rPr>
      <w:sz w:val="24"/>
      <w:szCs w:val="24"/>
    </w:rPr>
  </w:style>
  <w:style w:type="table" w:styleId="TableGrid">
    <w:name w:val="Table Grid"/>
    <w:basedOn w:val="TableNormal"/>
    <w:uiPriority w:val="59"/>
    <w:rsid w:val="00F27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6D5"/>
    <w:pPr>
      <w:ind w:left="720"/>
      <w:contextualSpacing/>
    </w:pPr>
  </w:style>
  <w:style w:type="paragraph" w:styleId="BalloonText">
    <w:name w:val="Balloon Text"/>
    <w:basedOn w:val="Normal"/>
    <w:link w:val="BalloonTextChar"/>
    <w:rsid w:val="00A43273"/>
    <w:rPr>
      <w:rFonts w:ascii="Tahoma" w:hAnsi="Tahoma" w:cs="Tahoma"/>
      <w:sz w:val="16"/>
      <w:szCs w:val="16"/>
    </w:rPr>
  </w:style>
  <w:style w:type="character" w:customStyle="1" w:styleId="BalloonTextChar">
    <w:name w:val="Balloon Text Char"/>
    <w:basedOn w:val="DefaultParagraphFont"/>
    <w:link w:val="BalloonText"/>
    <w:rsid w:val="00A43273"/>
    <w:rPr>
      <w:rFonts w:ascii="Tahoma" w:hAnsi="Tahoma" w:cs="Tahoma"/>
      <w:sz w:val="16"/>
      <w:szCs w:val="16"/>
    </w:rPr>
  </w:style>
  <w:style w:type="character" w:styleId="Hyperlink">
    <w:name w:val="Hyperlink"/>
    <w:basedOn w:val="DefaultParagraphFont"/>
    <w:rsid w:val="000D3AAB"/>
    <w:rPr>
      <w:color w:val="0000FF" w:themeColor="hyperlink"/>
      <w:u w:val="single"/>
    </w:rPr>
  </w:style>
  <w:style w:type="paragraph" w:styleId="EndnoteText">
    <w:name w:val="endnote text"/>
    <w:basedOn w:val="Normal"/>
    <w:link w:val="EndnoteTextChar"/>
    <w:rsid w:val="00020D4C"/>
    <w:rPr>
      <w:sz w:val="20"/>
      <w:szCs w:val="20"/>
    </w:rPr>
  </w:style>
  <w:style w:type="character" w:customStyle="1" w:styleId="EndnoteTextChar">
    <w:name w:val="Endnote Text Char"/>
    <w:basedOn w:val="DefaultParagraphFont"/>
    <w:link w:val="EndnoteText"/>
    <w:rsid w:val="00020D4C"/>
  </w:style>
  <w:style w:type="character" w:styleId="EndnoteReference">
    <w:name w:val="endnote reference"/>
    <w:basedOn w:val="DefaultParagraphFont"/>
    <w:rsid w:val="00020D4C"/>
    <w:rPr>
      <w:vertAlign w:val="superscript"/>
    </w:rPr>
  </w:style>
  <w:style w:type="paragraph" w:styleId="PlainText">
    <w:name w:val="Plain Text"/>
    <w:basedOn w:val="Normal"/>
    <w:link w:val="PlainTextChar"/>
    <w:uiPriority w:val="99"/>
    <w:unhideWhenUsed/>
    <w:rsid w:val="00F0613D"/>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rsid w:val="00F0613D"/>
    <w:rPr>
      <w:rFonts w:ascii="Calibri" w:eastAsiaTheme="minorHAnsi" w:hAnsi="Calibri" w:cstheme="minorBidi"/>
      <w:sz w:val="22"/>
      <w:szCs w:val="21"/>
      <w:lang w:val="nl-NL"/>
    </w:rPr>
  </w:style>
  <w:style w:type="paragraph" w:styleId="NoSpacing">
    <w:name w:val="No Spacing"/>
    <w:uiPriority w:val="99"/>
    <w:qFormat/>
    <w:rsid w:val="002D79AD"/>
    <w:rPr>
      <w:rFonts w:ascii="Calibri" w:hAnsi="Calibri"/>
      <w:sz w:val="22"/>
      <w:szCs w:val="22"/>
      <w:lang w:val="nl-NL"/>
    </w:rPr>
  </w:style>
  <w:style w:type="paragraph" w:customStyle="1" w:styleId="Default">
    <w:name w:val="Default"/>
    <w:rsid w:val="00B81018"/>
    <w:pPr>
      <w:autoSpaceDE w:val="0"/>
      <w:autoSpaceDN w:val="0"/>
      <w:adjustRightInd w:val="0"/>
    </w:pPr>
    <w:rPr>
      <w:color w:val="000000"/>
      <w:sz w:val="24"/>
      <w:szCs w:val="24"/>
      <w:lang w:val="nl-NL"/>
    </w:rPr>
  </w:style>
  <w:style w:type="paragraph" w:styleId="DocumentMap">
    <w:name w:val="Document Map"/>
    <w:basedOn w:val="Normal"/>
    <w:link w:val="DocumentMapChar"/>
    <w:rsid w:val="00ED1F89"/>
    <w:pPr>
      <w:spacing w:line="240" w:lineRule="auto"/>
    </w:pPr>
    <w:rPr>
      <w:rFonts w:ascii="Lucida Grande" w:hAnsi="Lucida Grande"/>
    </w:rPr>
  </w:style>
  <w:style w:type="character" w:customStyle="1" w:styleId="DocumentMapChar">
    <w:name w:val="Document Map Char"/>
    <w:basedOn w:val="DefaultParagraphFont"/>
    <w:link w:val="DocumentMap"/>
    <w:rsid w:val="00ED1F89"/>
    <w:rPr>
      <w:rFonts w:ascii="Lucida Grande" w:hAnsi="Lucida Grande"/>
      <w:sz w:val="24"/>
      <w:szCs w:val="24"/>
    </w:rPr>
  </w:style>
  <w:style w:type="paragraph" w:styleId="FootnoteText">
    <w:name w:val="footnote text"/>
    <w:basedOn w:val="Normal"/>
    <w:link w:val="FootnoteTextChar"/>
    <w:rsid w:val="004A5CE5"/>
    <w:pPr>
      <w:spacing w:line="240" w:lineRule="auto"/>
    </w:pPr>
    <w:rPr>
      <w:sz w:val="20"/>
      <w:szCs w:val="20"/>
    </w:rPr>
  </w:style>
  <w:style w:type="character" w:customStyle="1" w:styleId="FootnoteTextChar">
    <w:name w:val="Footnote Text Char"/>
    <w:basedOn w:val="DefaultParagraphFont"/>
    <w:link w:val="FootnoteText"/>
    <w:rsid w:val="004A5CE5"/>
  </w:style>
  <w:style w:type="character" w:styleId="FootnoteReference">
    <w:name w:val="footnote reference"/>
    <w:basedOn w:val="DefaultParagraphFont"/>
    <w:rsid w:val="004A5CE5"/>
    <w:rPr>
      <w:vertAlign w:val="superscript"/>
    </w:rPr>
  </w:style>
  <w:style w:type="character" w:styleId="CommentReference">
    <w:name w:val="annotation reference"/>
    <w:basedOn w:val="DefaultParagraphFont"/>
    <w:semiHidden/>
    <w:unhideWhenUsed/>
    <w:rsid w:val="00B80FC7"/>
    <w:rPr>
      <w:sz w:val="16"/>
      <w:szCs w:val="16"/>
    </w:rPr>
  </w:style>
  <w:style w:type="paragraph" w:styleId="CommentText">
    <w:name w:val="annotation text"/>
    <w:basedOn w:val="Normal"/>
    <w:link w:val="CommentTextChar"/>
    <w:semiHidden/>
    <w:unhideWhenUsed/>
    <w:rsid w:val="00B80FC7"/>
    <w:pPr>
      <w:spacing w:line="240" w:lineRule="auto"/>
    </w:pPr>
    <w:rPr>
      <w:sz w:val="20"/>
      <w:szCs w:val="20"/>
    </w:rPr>
  </w:style>
  <w:style w:type="character" w:customStyle="1" w:styleId="CommentTextChar">
    <w:name w:val="Comment Text Char"/>
    <w:basedOn w:val="DefaultParagraphFont"/>
    <w:link w:val="CommentText"/>
    <w:semiHidden/>
    <w:rsid w:val="00B80FC7"/>
  </w:style>
  <w:style w:type="paragraph" w:styleId="CommentSubject">
    <w:name w:val="annotation subject"/>
    <w:basedOn w:val="CommentText"/>
    <w:next w:val="CommentText"/>
    <w:link w:val="CommentSubjectChar"/>
    <w:semiHidden/>
    <w:unhideWhenUsed/>
    <w:rsid w:val="00B80FC7"/>
    <w:rPr>
      <w:b/>
      <w:bCs/>
    </w:rPr>
  </w:style>
  <w:style w:type="character" w:customStyle="1" w:styleId="CommentSubjectChar">
    <w:name w:val="Comment Subject Char"/>
    <w:basedOn w:val="CommentTextChar"/>
    <w:link w:val="CommentSubject"/>
    <w:semiHidden/>
    <w:rsid w:val="00B80F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5AFF"/>
    <w:pPr>
      <w:tabs>
        <w:tab w:val="center" w:pos="4536"/>
        <w:tab w:val="right" w:pos="9072"/>
      </w:tabs>
    </w:pPr>
  </w:style>
  <w:style w:type="character" w:customStyle="1" w:styleId="HeaderChar">
    <w:name w:val="Header Char"/>
    <w:basedOn w:val="DefaultParagraphFont"/>
    <w:link w:val="Header"/>
    <w:rsid w:val="005D5AFF"/>
    <w:rPr>
      <w:sz w:val="24"/>
      <w:szCs w:val="24"/>
    </w:rPr>
  </w:style>
  <w:style w:type="paragraph" w:styleId="Footer">
    <w:name w:val="footer"/>
    <w:basedOn w:val="Normal"/>
    <w:link w:val="FooterChar"/>
    <w:uiPriority w:val="99"/>
    <w:rsid w:val="005D5AFF"/>
    <w:pPr>
      <w:tabs>
        <w:tab w:val="center" w:pos="4536"/>
        <w:tab w:val="right" w:pos="9072"/>
      </w:tabs>
    </w:pPr>
  </w:style>
  <w:style w:type="character" w:customStyle="1" w:styleId="FooterChar">
    <w:name w:val="Footer Char"/>
    <w:basedOn w:val="DefaultParagraphFont"/>
    <w:link w:val="Footer"/>
    <w:uiPriority w:val="99"/>
    <w:rsid w:val="005D5AFF"/>
    <w:rPr>
      <w:sz w:val="24"/>
      <w:szCs w:val="24"/>
    </w:rPr>
  </w:style>
  <w:style w:type="table" w:styleId="TableGrid">
    <w:name w:val="Table Grid"/>
    <w:basedOn w:val="TableNormal"/>
    <w:uiPriority w:val="59"/>
    <w:rsid w:val="00F27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6D5"/>
    <w:pPr>
      <w:ind w:left="720"/>
      <w:contextualSpacing/>
    </w:pPr>
  </w:style>
  <w:style w:type="paragraph" w:styleId="BalloonText">
    <w:name w:val="Balloon Text"/>
    <w:basedOn w:val="Normal"/>
    <w:link w:val="BalloonTextChar"/>
    <w:rsid w:val="00A43273"/>
    <w:rPr>
      <w:rFonts w:ascii="Tahoma" w:hAnsi="Tahoma" w:cs="Tahoma"/>
      <w:sz w:val="16"/>
      <w:szCs w:val="16"/>
    </w:rPr>
  </w:style>
  <w:style w:type="character" w:customStyle="1" w:styleId="BalloonTextChar">
    <w:name w:val="Balloon Text Char"/>
    <w:basedOn w:val="DefaultParagraphFont"/>
    <w:link w:val="BalloonText"/>
    <w:rsid w:val="00A43273"/>
    <w:rPr>
      <w:rFonts w:ascii="Tahoma" w:hAnsi="Tahoma" w:cs="Tahoma"/>
      <w:sz w:val="16"/>
      <w:szCs w:val="16"/>
    </w:rPr>
  </w:style>
  <w:style w:type="character" w:styleId="Hyperlink">
    <w:name w:val="Hyperlink"/>
    <w:basedOn w:val="DefaultParagraphFont"/>
    <w:rsid w:val="000D3AAB"/>
    <w:rPr>
      <w:color w:val="0000FF" w:themeColor="hyperlink"/>
      <w:u w:val="single"/>
    </w:rPr>
  </w:style>
  <w:style w:type="paragraph" w:styleId="EndnoteText">
    <w:name w:val="endnote text"/>
    <w:basedOn w:val="Normal"/>
    <w:link w:val="EndnoteTextChar"/>
    <w:rsid w:val="00020D4C"/>
    <w:rPr>
      <w:sz w:val="20"/>
      <w:szCs w:val="20"/>
    </w:rPr>
  </w:style>
  <w:style w:type="character" w:customStyle="1" w:styleId="EndnoteTextChar">
    <w:name w:val="Endnote Text Char"/>
    <w:basedOn w:val="DefaultParagraphFont"/>
    <w:link w:val="EndnoteText"/>
    <w:rsid w:val="00020D4C"/>
  </w:style>
  <w:style w:type="character" w:styleId="EndnoteReference">
    <w:name w:val="endnote reference"/>
    <w:basedOn w:val="DefaultParagraphFont"/>
    <w:rsid w:val="00020D4C"/>
    <w:rPr>
      <w:vertAlign w:val="superscript"/>
    </w:rPr>
  </w:style>
  <w:style w:type="paragraph" w:styleId="PlainText">
    <w:name w:val="Plain Text"/>
    <w:basedOn w:val="Normal"/>
    <w:link w:val="PlainTextChar"/>
    <w:uiPriority w:val="99"/>
    <w:unhideWhenUsed/>
    <w:rsid w:val="00F0613D"/>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rsid w:val="00F0613D"/>
    <w:rPr>
      <w:rFonts w:ascii="Calibri" w:eastAsiaTheme="minorHAnsi" w:hAnsi="Calibri" w:cstheme="minorBidi"/>
      <w:sz w:val="22"/>
      <w:szCs w:val="21"/>
      <w:lang w:val="nl-NL"/>
    </w:rPr>
  </w:style>
  <w:style w:type="paragraph" w:styleId="NoSpacing">
    <w:name w:val="No Spacing"/>
    <w:uiPriority w:val="99"/>
    <w:qFormat/>
    <w:rsid w:val="002D79AD"/>
    <w:rPr>
      <w:rFonts w:ascii="Calibri" w:hAnsi="Calibri"/>
      <w:sz w:val="22"/>
      <w:szCs w:val="22"/>
      <w:lang w:val="nl-NL"/>
    </w:rPr>
  </w:style>
  <w:style w:type="paragraph" w:customStyle="1" w:styleId="Default">
    <w:name w:val="Default"/>
    <w:rsid w:val="00B81018"/>
    <w:pPr>
      <w:autoSpaceDE w:val="0"/>
      <w:autoSpaceDN w:val="0"/>
      <w:adjustRightInd w:val="0"/>
    </w:pPr>
    <w:rPr>
      <w:color w:val="000000"/>
      <w:sz w:val="24"/>
      <w:szCs w:val="24"/>
      <w:lang w:val="nl-NL"/>
    </w:rPr>
  </w:style>
  <w:style w:type="paragraph" w:styleId="DocumentMap">
    <w:name w:val="Document Map"/>
    <w:basedOn w:val="Normal"/>
    <w:link w:val="DocumentMapChar"/>
    <w:rsid w:val="00ED1F89"/>
    <w:pPr>
      <w:spacing w:line="240" w:lineRule="auto"/>
    </w:pPr>
    <w:rPr>
      <w:rFonts w:ascii="Lucida Grande" w:hAnsi="Lucida Grande"/>
    </w:rPr>
  </w:style>
  <w:style w:type="character" w:customStyle="1" w:styleId="DocumentMapChar">
    <w:name w:val="Document Map Char"/>
    <w:basedOn w:val="DefaultParagraphFont"/>
    <w:link w:val="DocumentMap"/>
    <w:rsid w:val="00ED1F89"/>
    <w:rPr>
      <w:rFonts w:ascii="Lucida Grande" w:hAnsi="Lucida Grande"/>
      <w:sz w:val="24"/>
      <w:szCs w:val="24"/>
    </w:rPr>
  </w:style>
  <w:style w:type="paragraph" w:styleId="FootnoteText">
    <w:name w:val="footnote text"/>
    <w:basedOn w:val="Normal"/>
    <w:link w:val="FootnoteTextChar"/>
    <w:rsid w:val="004A5CE5"/>
    <w:pPr>
      <w:spacing w:line="240" w:lineRule="auto"/>
    </w:pPr>
    <w:rPr>
      <w:sz w:val="20"/>
      <w:szCs w:val="20"/>
    </w:rPr>
  </w:style>
  <w:style w:type="character" w:customStyle="1" w:styleId="FootnoteTextChar">
    <w:name w:val="Footnote Text Char"/>
    <w:basedOn w:val="DefaultParagraphFont"/>
    <w:link w:val="FootnoteText"/>
    <w:rsid w:val="004A5CE5"/>
  </w:style>
  <w:style w:type="character" w:styleId="FootnoteReference">
    <w:name w:val="footnote reference"/>
    <w:basedOn w:val="DefaultParagraphFont"/>
    <w:rsid w:val="004A5CE5"/>
    <w:rPr>
      <w:vertAlign w:val="superscript"/>
    </w:rPr>
  </w:style>
  <w:style w:type="character" w:styleId="CommentReference">
    <w:name w:val="annotation reference"/>
    <w:basedOn w:val="DefaultParagraphFont"/>
    <w:semiHidden/>
    <w:unhideWhenUsed/>
    <w:rsid w:val="00B80FC7"/>
    <w:rPr>
      <w:sz w:val="16"/>
      <w:szCs w:val="16"/>
    </w:rPr>
  </w:style>
  <w:style w:type="paragraph" w:styleId="CommentText">
    <w:name w:val="annotation text"/>
    <w:basedOn w:val="Normal"/>
    <w:link w:val="CommentTextChar"/>
    <w:semiHidden/>
    <w:unhideWhenUsed/>
    <w:rsid w:val="00B80FC7"/>
    <w:pPr>
      <w:spacing w:line="240" w:lineRule="auto"/>
    </w:pPr>
    <w:rPr>
      <w:sz w:val="20"/>
      <w:szCs w:val="20"/>
    </w:rPr>
  </w:style>
  <w:style w:type="character" w:customStyle="1" w:styleId="CommentTextChar">
    <w:name w:val="Comment Text Char"/>
    <w:basedOn w:val="DefaultParagraphFont"/>
    <w:link w:val="CommentText"/>
    <w:semiHidden/>
    <w:rsid w:val="00B80FC7"/>
  </w:style>
  <w:style w:type="paragraph" w:styleId="CommentSubject">
    <w:name w:val="annotation subject"/>
    <w:basedOn w:val="CommentText"/>
    <w:next w:val="CommentText"/>
    <w:link w:val="CommentSubjectChar"/>
    <w:semiHidden/>
    <w:unhideWhenUsed/>
    <w:rsid w:val="00B80FC7"/>
    <w:rPr>
      <w:b/>
      <w:bCs/>
    </w:rPr>
  </w:style>
  <w:style w:type="character" w:customStyle="1" w:styleId="CommentSubjectChar">
    <w:name w:val="Comment Subject Char"/>
    <w:basedOn w:val="CommentTextChar"/>
    <w:link w:val="CommentSubject"/>
    <w:semiHidden/>
    <w:rsid w:val="00B8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hagedoorn@maastrichtuniversity.n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nn_zobel@haas.berkeley.edu" TargetMode="External"/><Relationship Id="rId11" Type="http://schemas.openxmlformats.org/officeDocument/2006/relationships/hyperlink" Target="http://en.wikipedia.org/wiki/Intangible_asset" TargetMode="External"/><Relationship Id="rId12" Type="http://schemas.openxmlformats.org/officeDocument/2006/relationships/hyperlink" Target="http://en.wikipedia.org/wiki/Patent" TargetMode="External"/><Relationship Id="rId13" Type="http://schemas.openxmlformats.org/officeDocument/2006/relationships/hyperlink" Target="http://en.wikipedia.org/wiki/Trademark" TargetMode="External"/><Relationship Id="rId14" Type="http://schemas.openxmlformats.org/officeDocument/2006/relationships/hyperlink" Target="http://en.wikipedia.org/wiki/Copyright" TargetMode="External"/><Relationship Id="rId15" Type="http://schemas.openxmlformats.org/officeDocument/2006/relationships/hyperlink" Target="http://en.wikipedia.org/wiki/Industrial_design_right" TargetMode="External"/><Relationship Id="rId16" Type="http://schemas.openxmlformats.org/officeDocument/2006/relationships/hyperlink" Target="http://en.wikipedia.org/wiki/Trade_secret" TargetMode="External"/><Relationship Id="rId17" Type="http://schemas.openxmlformats.org/officeDocument/2006/relationships/hyperlink" Target="http://elsa.berkeley.edu/~bhhall/papers/HHRS12_IP_choice_lit_survey.pdf" TargetMode="External"/><Relationship Id="rId18" Type="http://schemas.openxmlformats.org/officeDocument/2006/relationships/hyperlink" Target="http://ssrn.com/abstract=132568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130E-4F97-084C-A379-EE6488CF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9595</Words>
  <Characters>54698</Characters>
  <Application>Microsoft Macintosh Word</Application>
  <DocSecurity>0</DocSecurity>
  <Lines>455</Lines>
  <Paragraphs>128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Maastricht</Company>
  <LinksUpToDate>false</LinksUpToDate>
  <CharactersWithSpaces>64165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J.Hagedoorn</dc:creator>
  <cp:lastModifiedBy>John Hagedoorn</cp:lastModifiedBy>
  <cp:revision>2</cp:revision>
  <cp:lastPrinted>2015-04-10T08:48:00Z</cp:lastPrinted>
  <dcterms:created xsi:type="dcterms:W3CDTF">2015-05-16T13:33:00Z</dcterms:created>
  <dcterms:modified xsi:type="dcterms:W3CDTF">2015-05-16T13:33:00Z</dcterms:modified>
</cp:coreProperties>
</file>