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D7" w:rsidRDefault="006B2FD7" w:rsidP="003321B6">
      <w:pPr>
        <w:jc w:val="center"/>
        <w:rPr>
          <w:b/>
          <w:lang w:val="en-GB"/>
        </w:rPr>
      </w:pPr>
    </w:p>
    <w:p w:rsidR="00A708F1" w:rsidRDefault="00A708F1" w:rsidP="003321B6">
      <w:pPr>
        <w:jc w:val="center"/>
        <w:rPr>
          <w:b/>
          <w:lang w:val="en-GB"/>
        </w:rPr>
      </w:pPr>
    </w:p>
    <w:p w:rsidR="00A708F1" w:rsidRDefault="00A708F1" w:rsidP="003321B6">
      <w:pPr>
        <w:jc w:val="center"/>
        <w:rPr>
          <w:b/>
          <w:lang w:val="en-GB"/>
        </w:rPr>
      </w:pPr>
    </w:p>
    <w:p w:rsidR="00325DD4" w:rsidRDefault="00325DD4" w:rsidP="003321B6">
      <w:pPr>
        <w:jc w:val="center"/>
        <w:rPr>
          <w:b/>
          <w:lang w:val="en-GB"/>
        </w:rPr>
      </w:pPr>
    </w:p>
    <w:p w:rsidR="00325DD4" w:rsidRDefault="00325DD4" w:rsidP="003321B6">
      <w:pPr>
        <w:jc w:val="center"/>
        <w:rPr>
          <w:b/>
          <w:lang w:val="en-GB"/>
        </w:rPr>
      </w:pPr>
    </w:p>
    <w:p w:rsidR="00325DD4" w:rsidRDefault="00325DD4" w:rsidP="003321B6">
      <w:pPr>
        <w:jc w:val="center"/>
        <w:rPr>
          <w:b/>
          <w:lang w:val="en-GB"/>
        </w:rPr>
      </w:pPr>
    </w:p>
    <w:p w:rsidR="00325DD4" w:rsidRDefault="00325DD4" w:rsidP="003321B6">
      <w:pPr>
        <w:jc w:val="center"/>
        <w:rPr>
          <w:b/>
          <w:lang w:val="en-GB"/>
        </w:rPr>
      </w:pPr>
    </w:p>
    <w:p w:rsidR="00E17F0D" w:rsidRDefault="00E17F0D" w:rsidP="003321B6">
      <w:pPr>
        <w:jc w:val="center"/>
        <w:rPr>
          <w:b/>
          <w:lang w:val="en-GB"/>
        </w:rPr>
      </w:pPr>
    </w:p>
    <w:p w:rsidR="00E17F0D" w:rsidRDefault="00E17F0D" w:rsidP="003321B6">
      <w:pPr>
        <w:jc w:val="center"/>
        <w:rPr>
          <w:b/>
          <w:lang w:val="en-GB"/>
        </w:rPr>
      </w:pPr>
    </w:p>
    <w:p w:rsidR="00E37277" w:rsidRDefault="006A64EA" w:rsidP="003321B6">
      <w:pPr>
        <w:jc w:val="center"/>
        <w:rPr>
          <w:b/>
          <w:lang w:val="en-GB"/>
        </w:rPr>
      </w:pPr>
      <w:r>
        <w:rPr>
          <w:b/>
          <w:lang w:val="en-GB"/>
        </w:rPr>
        <w:t>Is There A Taste For Racial Discrimination Among Employers?</w:t>
      </w:r>
    </w:p>
    <w:p w:rsidR="00B81624" w:rsidRDefault="00B81624" w:rsidP="003321B6">
      <w:pPr>
        <w:jc w:val="center"/>
        <w:rPr>
          <w:b/>
          <w:lang w:val="en-GB"/>
        </w:rPr>
      </w:pPr>
    </w:p>
    <w:p w:rsidR="003321B6" w:rsidRDefault="003321B6" w:rsidP="003321B6">
      <w:pPr>
        <w:jc w:val="center"/>
        <w:rPr>
          <w:b/>
          <w:lang w:val="en-GB"/>
        </w:rPr>
      </w:pPr>
    </w:p>
    <w:p w:rsidR="003321B6" w:rsidRDefault="003321B6" w:rsidP="003321B6">
      <w:pPr>
        <w:jc w:val="center"/>
        <w:rPr>
          <w:lang w:val="en-GB"/>
        </w:rPr>
      </w:pPr>
    </w:p>
    <w:p w:rsidR="003321B6" w:rsidRDefault="003321B6" w:rsidP="003321B6">
      <w:pPr>
        <w:jc w:val="center"/>
        <w:rPr>
          <w:lang w:val="en-GB"/>
        </w:rPr>
      </w:pPr>
      <w:r>
        <w:rPr>
          <w:lang w:val="en-GB"/>
        </w:rPr>
        <w:t>Alex Bryson</w:t>
      </w:r>
    </w:p>
    <w:p w:rsidR="003321B6" w:rsidRDefault="003321B6" w:rsidP="003321B6">
      <w:pPr>
        <w:jc w:val="center"/>
        <w:rPr>
          <w:lang w:val="en-GB"/>
        </w:rPr>
      </w:pPr>
    </w:p>
    <w:p w:rsidR="006A64EA" w:rsidRDefault="003321B6" w:rsidP="00B32BFA">
      <w:pPr>
        <w:jc w:val="center"/>
        <w:rPr>
          <w:lang w:val="en-GB"/>
        </w:rPr>
      </w:pPr>
      <w:r>
        <w:rPr>
          <w:lang w:val="en-GB"/>
        </w:rPr>
        <w:t>National Institute of Economic and Social Research</w:t>
      </w:r>
      <w:r w:rsidR="006F41DC">
        <w:rPr>
          <w:rStyle w:val="FootnoteReference"/>
          <w:lang w:val="en-GB"/>
        </w:rPr>
        <w:footnoteReference w:customMarkFollows="1" w:id="1"/>
        <w:sym w:font="Symbol" w:char="F0AA"/>
      </w:r>
      <w:r w:rsidR="001C2D92">
        <w:rPr>
          <w:lang w:val="en-GB"/>
        </w:rPr>
        <w:t xml:space="preserve"> </w:t>
      </w:r>
    </w:p>
    <w:p w:rsidR="003321B6" w:rsidRDefault="003321B6" w:rsidP="003321B6">
      <w:pPr>
        <w:jc w:val="center"/>
        <w:rPr>
          <w:lang w:val="en-GB"/>
        </w:rPr>
      </w:pPr>
    </w:p>
    <w:p w:rsidR="003321B6" w:rsidRDefault="003321B6" w:rsidP="003321B6">
      <w:pPr>
        <w:jc w:val="center"/>
        <w:rPr>
          <w:lang w:val="en-GB"/>
        </w:rPr>
      </w:pPr>
    </w:p>
    <w:p w:rsidR="006B2FD7" w:rsidRDefault="006B2FD7" w:rsidP="003321B6">
      <w:pPr>
        <w:jc w:val="center"/>
        <w:rPr>
          <w:lang w:val="en-GB"/>
        </w:rPr>
      </w:pPr>
    </w:p>
    <w:p w:rsidR="003321B6" w:rsidRPr="00AB3094" w:rsidRDefault="00844000" w:rsidP="003321B6">
      <w:pPr>
        <w:jc w:val="center"/>
        <w:rPr>
          <w:lang w:val="en-GB"/>
        </w:rPr>
      </w:pPr>
      <w:r w:rsidRPr="00AB3094">
        <w:rPr>
          <w:lang w:val="en-GB"/>
        </w:rPr>
        <w:t>Arnaud Chevalier</w:t>
      </w:r>
      <w:r w:rsidR="00ED3611" w:rsidRPr="00ED3611">
        <w:rPr>
          <w:rStyle w:val="FootnoteReference"/>
          <w:lang w:val="en-GB"/>
        </w:rPr>
        <w:footnoteReference w:customMarkFollows="1" w:id="2"/>
        <w:sym w:font="Symbol" w:char="F0A8"/>
      </w:r>
    </w:p>
    <w:p w:rsidR="003321B6" w:rsidRPr="00AB3094" w:rsidRDefault="003321B6" w:rsidP="003321B6">
      <w:pPr>
        <w:jc w:val="center"/>
        <w:rPr>
          <w:lang w:val="en-GB"/>
        </w:rPr>
      </w:pPr>
    </w:p>
    <w:p w:rsidR="00876545" w:rsidRPr="007E0CCC" w:rsidRDefault="00876545" w:rsidP="003321B6">
      <w:pPr>
        <w:jc w:val="center"/>
        <w:rPr>
          <w:lang w:val="de-DE"/>
        </w:rPr>
      </w:pPr>
      <w:r w:rsidRPr="007E0CCC">
        <w:rPr>
          <w:lang w:val="de-DE"/>
        </w:rPr>
        <w:t>IZA</w:t>
      </w:r>
      <w:r w:rsidR="00ED3611">
        <w:rPr>
          <w:lang w:val="de-DE"/>
        </w:rPr>
        <w:t xml:space="preserve"> - Bonn</w:t>
      </w:r>
    </w:p>
    <w:p w:rsidR="003321B6" w:rsidRPr="007E0CCC" w:rsidRDefault="003321B6" w:rsidP="003321B6">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B81624" w:rsidRPr="007E0CCC" w:rsidRDefault="00B81624" w:rsidP="00B81624">
      <w:pPr>
        <w:jc w:val="center"/>
        <w:rPr>
          <w:b/>
          <w:lang w:val="de-DE"/>
        </w:rPr>
      </w:pPr>
    </w:p>
    <w:p w:rsidR="00B81624" w:rsidRPr="007E0CCC" w:rsidRDefault="004E0B68" w:rsidP="00B81624">
      <w:pPr>
        <w:jc w:val="center"/>
        <w:rPr>
          <w:b/>
          <w:lang w:val="de-DE"/>
        </w:rPr>
      </w:pPr>
      <w:r>
        <w:rPr>
          <w:b/>
          <w:lang w:val="de-DE"/>
        </w:rPr>
        <w:t>January 2015</w:t>
      </w:r>
    </w:p>
    <w:p w:rsidR="00B81624" w:rsidRPr="007E0CCC" w:rsidRDefault="00B81624" w:rsidP="00B81624">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3321B6" w:rsidRPr="007E0CCC" w:rsidRDefault="003321B6" w:rsidP="003321B6">
      <w:pPr>
        <w:jc w:val="center"/>
        <w:rPr>
          <w:lang w:val="de-DE"/>
        </w:rPr>
      </w:pPr>
    </w:p>
    <w:p w:rsidR="00325ACB" w:rsidRPr="007E0CCC" w:rsidRDefault="00325ACB" w:rsidP="003321B6">
      <w:pPr>
        <w:jc w:val="center"/>
        <w:rPr>
          <w:lang w:val="de-DE"/>
        </w:rPr>
      </w:pPr>
    </w:p>
    <w:p w:rsidR="00325ACB" w:rsidRPr="007E0CCC" w:rsidRDefault="00325ACB" w:rsidP="003321B6">
      <w:pPr>
        <w:jc w:val="center"/>
        <w:rPr>
          <w:lang w:val="de-DE"/>
        </w:rPr>
      </w:pPr>
    </w:p>
    <w:p w:rsidR="00325ACB" w:rsidRPr="007E0CCC" w:rsidRDefault="00325ACB" w:rsidP="003321B6">
      <w:pPr>
        <w:jc w:val="center"/>
        <w:rPr>
          <w:lang w:val="de-DE"/>
        </w:rPr>
      </w:pPr>
    </w:p>
    <w:p w:rsidR="00325ACB" w:rsidRPr="007E0CCC" w:rsidRDefault="00325ACB" w:rsidP="003321B6">
      <w:pPr>
        <w:jc w:val="center"/>
        <w:rPr>
          <w:lang w:val="de-DE"/>
        </w:rPr>
      </w:pPr>
    </w:p>
    <w:p w:rsidR="00876545" w:rsidRPr="007E0CCC" w:rsidRDefault="00876545">
      <w:pPr>
        <w:rPr>
          <w:lang w:val="de-DE"/>
        </w:rPr>
      </w:pPr>
      <w:r w:rsidRPr="007E0CCC">
        <w:rPr>
          <w:lang w:val="de-DE"/>
        </w:rPr>
        <w:br w:type="page"/>
      </w:r>
    </w:p>
    <w:p w:rsidR="003321B6" w:rsidRDefault="003321B6" w:rsidP="003321B6">
      <w:pPr>
        <w:rPr>
          <w:b/>
          <w:lang w:val="en-GB"/>
        </w:rPr>
      </w:pPr>
      <w:r>
        <w:rPr>
          <w:b/>
          <w:lang w:val="en-GB"/>
        </w:rPr>
        <w:lastRenderedPageBreak/>
        <w:t>ABSTRACT</w:t>
      </w:r>
    </w:p>
    <w:p w:rsidR="000C250F" w:rsidRDefault="000C250F" w:rsidP="00C41DEE">
      <w:pPr>
        <w:spacing w:line="360" w:lineRule="auto"/>
        <w:rPr>
          <w:lang w:val="en-GB"/>
        </w:rPr>
      </w:pPr>
    </w:p>
    <w:p w:rsidR="00103D3C" w:rsidRDefault="00876545" w:rsidP="00103D3C">
      <w:pPr>
        <w:spacing w:line="480" w:lineRule="auto"/>
        <w:rPr>
          <w:lang w:val="en-GB"/>
        </w:rPr>
      </w:pPr>
      <w:r>
        <w:t xml:space="preserve">Research on employers’ </w:t>
      </w:r>
      <w:r w:rsidR="00EC15B5">
        <w:t xml:space="preserve">hiring </w:t>
      </w:r>
      <w:r>
        <w:t xml:space="preserve">discrimination is limited by the unlawfulness of such activity. </w:t>
      </w:r>
      <w:r w:rsidR="00DC5D2A">
        <w:t>Consequently</w:t>
      </w:r>
      <w:r>
        <w:t xml:space="preserve">, researchers have focused on </w:t>
      </w:r>
      <w:r w:rsidR="002372DD">
        <w:t xml:space="preserve">the </w:t>
      </w:r>
      <w:r>
        <w:t>intention to hire. Instead, we rely on a virtual labour market</w:t>
      </w:r>
      <w:r w:rsidR="002372DD">
        <w:t xml:space="preserve">, </w:t>
      </w:r>
      <w:r w:rsidR="006B5E06">
        <w:rPr>
          <w:lang w:val="en-GB"/>
        </w:rPr>
        <w:t xml:space="preserve">the </w:t>
      </w:r>
      <w:r w:rsidR="00A70D2E">
        <w:rPr>
          <w:lang w:val="en-GB"/>
        </w:rPr>
        <w:t>Fantasy</w:t>
      </w:r>
      <w:r w:rsidR="00A26A80">
        <w:rPr>
          <w:lang w:val="en-GB"/>
        </w:rPr>
        <w:t xml:space="preserve"> </w:t>
      </w:r>
      <w:r w:rsidR="0031439F">
        <w:rPr>
          <w:lang w:val="en-GB"/>
        </w:rPr>
        <w:t>Football Premier League</w:t>
      </w:r>
      <w:r w:rsidR="002372DD">
        <w:rPr>
          <w:lang w:val="en-GB"/>
        </w:rPr>
        <w:t>, where</w:t>
      </w:r>
      <w:r>
        <w:rPr>
          <w:lang w:val="en-GB"/>
        </w:rPr>
        <w:t xml:space="preserve"> employers can </w:t>
      </w:r>
      <w:r w:rsidR="00D31C83">
        <w:rPr>
          <w:lang w:val="en-GB"/>
        </w:rPr>
        <w:t xml:space="preserve">freely exercise their taste for </w:t>
      </w:r>
      <w:r w:rsidR="00D31C83">
        <w:t xml:space="preserve">racial </w:t>
      </w:r>
      <w:r w:rsidR="0065121C" w:rsidRPr="0065121C">
        <w:t>discrimination</w:t>
      </w:r>
      <w:r w:rsidR="00D31C83">
        <w:t xml:space="preserve"> in terms of hiring</w:t>
      </w:r>
      <w:r w:rsidR="00EC15B5">
        <w:t xml:space="preserve"> and</w:t>
      </w:r>
      <w:r w:rsidR="002372DD">
        <w:t xml:space="preserve"> firing</w:t>
      </w:r>
      <w:r w:rsidR="0065121C" w:rsidRPr="0065121C">
        <w:t>.</w:t>
      </w:r>
      <w:r w:rsidR="00103D3C" w:rsidRPr="00103D3C">
        <w:rPr>
          <w:lang w:val="en-GB"/>
        </w:rPr>
        <w:t xml:space="preserve"> </w:t>
      </w:r>
      <w:r w:rsidR="00FA3B38">
        <w:rPr>
          <w:lang w:val="en-GB"/>
        </w:rPr>
        <w:t>The setting</w:t>
      </w:r>
      <w:r w:rsidR="002130F7">
        <w:rPr>
          <w:lang w:val="en-GB"/>
        </w:rPr>
        <w:t xml:space="preserve"> allows us to eliminate</w:t>
      </w:r>
      <w:r w:rsidR="00DC5D2A">
        <w:rPr>
          <w:lang w:val="en-GB"/>
        </w:rPr>
        <w:t xml:space="preserve"> co-worker, consumer-based</w:t>
      </w:r>
      <w:r w:rsidR="00FA3B38">
        <w:rPr>
          <w:lang w:val="en-GB"/>
        </w:rPr>
        <w:t xml:space="preserve"> and statistical discrimination</w:t>
      </w:r>
      <w:r w:rsidR="002130F7">
        <w:rPr>
          <w:lang w:val="en-GB"/>
        </w:rPr>
        <w:t xml:space="preserve"> as potential sources of discrimination,</w:t>
      </w:r>
      <w:r w:rsidR="007562D1">
        <w:rPr>
          <w:lang w:val="en-GB"/>
        </w:rPr>
        <w:t xml:space="preserve"> thus isolating the effect</w:t>
      </w:r>
      <w:r w:rsidR="00DC5D2A">
        <w:rPr>
          <w:lang w:val="en-GB"/>
        </w:rPr>
        <w:t xml:space="preserve"> of taste-based discrimination</w:t>
      </w:r>
      <w:r w:rsidR="00FD1FD3">
        <w:rPr>
          <w:lang w:val="en-GB"/>
        </w:rPr>
        <w:t xml:space="preserve">. </w:t>
      </w:r>
      <w:r w:rsidR="002130F7">
        <w:rPr>
          <w:lang w:val="en-GB"/>
        </w:rPr>
        <w:t xml:space="preserve">We find </w:t>
      </w:r>
      <w:r w:rsidR="00C763D2">
        <w:rPr>
          <w:lang w:val="en-GB"/>
        </w:rPr>
        <w:t xml:space="preserve">no evidence of racial discrimination, either in initial hiring or through the season, in a context where </w:t>
      </w:r>
      <w:r w:rsidR="002130F7">
        <w:rPr>
          <w:lang w:val="en-GB"/>
        </w:rPr>
        <w:t>employers are</w:t>
      </w:r>
      <w:r w:rsidR="00C763D2">
        <w:rPr>
          <w:lang w:val="en-GB"/>
        </w:rPr>
        <w:t xml:space="preserve"> fully aware of </w:t>
      </w:r>
      <w:r w:rsidR="00DE7D92">
        <w:rPr>
          <w:lang w:val="en-GB"/>
        </w:rPr>
        <w:t xml:space="preserve">current and prospective </w:t>
      </w:r>
      <w:r w:rsidR="00C763D2">
        <w:rPr>
          <w:lang w:val="en-GB"/>
        </w:rPr>
        <w:t>workers’ productivity</w:t>
      </w:r>
      <w:r w:rsidR="008C72A6">
        <w:rPr>
          <w:lang w:val="en-GB"/>
        </w:rPr>
        <w:t xml:space="preserve">. </w:t>
      </w:r>
    </w:p>
    <w:p w:rsidR="0065121C" w:rsidRPr="0065121C" w:rsidRDefault="0065121C" w:rsidP="0065121C">
      <w:pPr>
        <w:spacing w:line="360" w:lineRule="auto"/>
      </w:pPr>
    </w:p>
    <w:p w:rsidR="004435A1" w:rsidRDefault="004435A1" w:rsidP="00C41DEE">
      <w:pPr>
        <w:spacing w:line="360" w:lineRule="auto"/>
        <w:rPr>
          <w:lang w:val="en-GB"/>
        </w:rPr>
      </w:pPr>
    </w:p>
    <w:p w:rsidR="00812002" w:rsidRDefault="00812002">
      <w:pPr>
        <w:rPr>
          <w:lang w:val="en-GB"/>
        </w:rPr>
      </w:pPr>
    </w:p>
    <w:p w:rsidR="00812002" w:rsidRDefault="00812002">
      <w:pPr>
        <w:rPr>
          <w:lang w:val="en-GB"/>
        </w:rPr>
      </w:pPr>
      <w:r>
        <w:rPr>
          <w:lang w:val="en-GB"/>
        </w:rPr>
        <w:t xml:space="preserve">Key words: </w:t>
      </w:r>
      <w:r w:rsidR="004435A1">
        <w:rPr>
          <w:lang w:val="en-GB"/>
        </w:rPr>
        <w:t xml:space="preserve">race; </w:t>
      </w:r>
      <w:r w:rsidR="00272F6E">
        <w:rPr>
          <w:lang w:val="en-GB"/>
        </w:rPr>
        <w:t xml:space="preserve">labour market </w:t>
      </w:r>
      <w:r w:rsidR="004435A1">
        <w:rPr>
          <w:lang w:val="en-GB"/>
        </w:rPr>
        <w:t>discrimination</w:t>
      </w:r>
      <w:r w:rsidR="00C41DEE">
        <w:rPr>
          <w:lang w:val="en-GB"/>
        </w:rPr>
        <w:t>;</w:t>
      </w:r>
      <w:r>
        <w:rPr>
          <w:lang w:val="en-GB"/>
        </w:rPr>
        <w:t xml:space="preserve"> </w:t>
      </w:r>
      <w:r w:rsidR="00EB213E">
        <w:rPr>
          <w:lang w:val="en-GB"/>
        </w:rPr>
        <w:t>football</w:t>
      </w:r>
    </w:p>
    <w:p w:rsidR="001A34B7" w:rsidRDefault="001A34B7">
      <w:pPr>
        <w:rPr>
          <w:lang w:val="en-GB"/>
        </w:rPr>
      </w:pPr>
    </w:p>
    <w:p w:rsidR="006A3EBE" w:rsidRDefault="00812002">
      <w:pPr>
        <w:rPr>
          <w:lang w:val="en-GB"/>
        </w:rPr>
      </w:pPr>
      <w:r>
        <w:rPr>
          <w:lang w:val="en-GB"/>
        </w:rPr>
        <w:t xml:space="preserve">JEL: </w:t>
      </w:r>
      <w:r w:rsidR="000829B5">
        <w:rPr>
          <w:lang w:val="en-GB"/>
        </w:rPr>
        <w:t>J15; J23; J24; J71; M51</w:t>
      </w:r>
    </w:p>
    <w:p w:rsidR="006A3EBE" w:rsidRDefault="006A3EBE">
      <w:pPr>
        <w:rPr>
          <w:lang w:val="en-GB"/>
        </w:rPr>
      </w:pPr>
    </w:p>
    <w:p w:rsidR="00F06925" w:rsidRPr="00091691" w:rsidRDefault="00F06925">
      <w:pPr>
        <w:rPr>
          <w:i/>
          <w:lang w:val="en-GB"/>
        </w:rPr>
      </w:pPr>
      <w:r w:rsidRPr="00091691">
        <w:rPr>
          <w:i/>
          <w:lang w:val="en-GB"/>
        </w:rPr>
        <w:t>Acknowledgements</w:t>
      </w:r>
    </w:p>
    <w:p w:rsidR="00F06925" w:rsidRDefault="00F06925">
      <w:pPr>
        <w:rPr>
          <w:lang w:val="en-GB"/>
        </w:rPr>
      </w:pPr>
      <w:r>
        <w:rPr>
          <w:lang w:val="en-GB"/>
        </w:rPr>
        <w:t xml:space="preserve">We thank </w:t>
      </w:r>
      <w:r w:rsidR="002604EF">
        <w:rPr>
          <w:lang w:val="en-GB"/>
        </w:rPr>
        <w:t xml:space="preserve">Wiktor Piotrowski for research assistance and </w:t>
      </w:r>
      <w:r>
        <w:rPr>
          <w:lang w:val="en-GB"/>
        </w:rPr>
        <w:t xml:space="preserve">participants at the Work, Pensions and Economics Group (WPEG) Conference </w:t>
      </w:r>
      <w:r w:rsidR="00091691">
        <w:rPr>
          <w:lang w:val="en-GB"/>
        </w:rPr>
        <w:t xml:space="preserve">2012 </w:t>
      </w:r>
      <w:r w:rsidR="002130F7">
        <w:rPr>
          <w:lang w:val="en-GB"/>
        </w:rPr>
        <w:t>in Sheffield,</w:t>
      </w:r>
      <w:r>
        <w:rPr>
          <w:lang w:val="en-GB"/>
        </w:rPr>
        <w:t xml:space="preserve"> the European Society of Pop</w:t>
      </w:r>
      <w:r w:rsidR="002130F7">
        <w:rPr>
          <w:lang w:val="en-GB"/>
        </w:rPr>
        <w:t>ulation Economics 2013 in Aarhus, the Royal Economic Society 2014 in Manchester</w:t>
      </w:r>
      <w:r w:rsidR="00ED3611">
        <w:rPr>
          <w:lang w:val="en-GB"/>
        </w:rPr>
        <w:t>, EALE 2014</w:t>
      </w:r>
      <w:r w:rsidR="00903370">
        <w:rPr>
          <w:lang w:val="en-GB"/>
        </w:rPr>
        <w:t xml:space="preserve"> in</w:t>
      </w:r>
      <w:r w:rsidR="00ED3611">
        <w:rPr>
          <w:lang w:val="en-GB"/>
        </w:rPr>
        <w:t xml:space="preserve"> L</w:t>
      </w:r>
      <w:r w:rsidR="007562D1">
        <w:rPr>
          <w:lang w:val="en-GB"/>
        </w:rPr>
        <w:t>ju</w:t>
      </w:r>
      <w:r w:rsidR="00ED3611">
        <w:rPr>
          <w:lang w:val="en-GB"/>
        </w:rPr>
        <w:t>b</w:t>
      </w:r>
      <w:r w:rsidR="007562D1">
        <w:rPr>
          <w:lang w:val="en-GB"/>
        </w:rPr>
        <w:t>ljana,</w:t>
      </w:r>
      <w:r>
        <w:rPr>
          <w:lang w:val="en-GB"/>
        </w:rPr>
        <w:t xml:space="preserve"> </w:t>
      </w:r>
      <w:r w:rsidR="002130F7">
        <w:rPr>
          <w:lang w:val="en-GB"/>
        </w:rPr>
        <w:t xml:space="preserve">and seminars at the Centre </w:t>
      </w:r>
      <w:r>
        <w:rPr>
          <w:lang w:val="en-GB"/>
        </w:rPr>
        <w:t>for</w:t>
      </w:r>
      <w:r w:rsidR="00B5239B">
        <w:rPr>
          <w:lang w:val="en-GB"/>
        </w:rPr>
        <w:t xml:space="preserve"> Economic Performance</w:t>
      </w:r>
      <w:r w:rsidR="00903370">
        <w:rPr>
          <w:lang w:val="en-GB"/>
        </w:rPr>
        <w:t>,</w:t>
      </w:r>
      <w:r w:rsidR="00C763D2">
        <w:rPr>
          <w:lang w:val="en-GB"/>
        </w:rPr>
        <w:t xml:space="preserve"> the Deutsche Sporthochs</w:t>
      </w:r>
      <w:r w:rsidR="002130F7">
        <w:rPr>
          <w:lang w:val="en-GB"/>
        </w:rPr>
        <w:t>chule (Koeln)</w:t>
      </w:r>
      <w:r w:rsidR="00903370">
        <w:rPr>
          <w:lang w:val="en-GB"/>
        </w:rPr>
        <w:t>,</w:t>
      </w:r>
      <w:r w:rsidR="00DE3A5B">
        <w:rPr>
          <w:lang w:val="en-GB"/>
        </w:rPr>
        <w:t xml:space="preserve"> Sussex University</w:t>
      </w:r>
      <w:r w:rsidR="0060289B">
        <w:rPr>
          <w:lang w:val="en-GB"/>
        </w:rPr>
        <w:t>, Bath University</w:t>
      </w:r>
      <w:r w:rsidR="00903370">
        <w:rPr>
          <w:lang w:val="en-GB"/>
        </w:rPr>
        <w:t xml:space="preserve"> and IZA</w:t>
      </w:r>
      <w:r w:rsidR="00DE3A5B">
        <w:rPr>
          <w:lang w:val="en-GB"/>
        </w:rPr>
        <w:t xml:space="preserve"> </w:t>
      </w:r>
      <w:r w:rsidR="002130F7">
        <w:rPr>
          <w:lang w:val="en-GB"/>
        </w:rPr>
        <w:t>for</w:t>
      </w:r>
      <w:r>
        <w:rPr>
          <w:lang w:val="en-GB"/>
        </w:rPr>
        <w:t xml:space="preserve"> valuable comments.</w:t>
      </w:r>
      <w:r w:rsidR="007D72B6">
        <w:rPr>
          <w:lang w:val="en-GB"/>
        </w:rPr>
        <w:t xml:space="preserve"> Alex Bryson would like to thank the Norwegian Research Council (grant number </w:t>
      </w:r>
      <w:r w:rsidR="00F66DE0" w:rsidRPr="00F66DE0">
        <w:rPr>
          <w:lang w:val="en-GB"/>
        </w:rPr>
        <w:t>202647)</w:t>
      </w:r>
      <w:r w:rsidR="00F66DE0">
        <w:rPr>
          <w:lang w:val="en-GB"/>
        </w:rPr>
        <w:t>.</w:t>
      </w:r>
      <w:r w:rsidR="0083742B">
        <w:rPr>
          <w:lang w:val="en-GB"/>
        </w:rPr>
        <w:t xml:space="preserve"> Both authors thank the Centre for Economic Performance for seed money for this research.</w:t>
      </w:r>
    </w:p>
    <w:p w:rsidR="001C2D92" w:rsidRDefault="001C2D92">
      <w:pPr>
        <w:rPr>
          <w:lang w:val="en-GB"/>
        </w:rPr>
      </w:pPr>
      <w:r>
        <w:rPr>
          <w:lang w:val="en-GB"/>
        </w:rPr>
        <w:br w:type="page"/>
      </w:r>
    </w:p>
    <w:p w:rsidR="003321B6" w:rsidRPr="00882481" w:rsidRDefault="00110C11" w:rsidP="00C148CF">
      <w:pPr>
        <w:spacing w:after="120" w:line="480" w:lineRule="auto"/>
        <w:jc w:val="both"/>
        <w:rPr>
          <w:b/>
          <w:lang w:val="en-GB"/>
        </w:rPr>
      </w:pPr>
      <w:r>
        <w:rPr>
          <w:b/>
          <w:lang w:val="en-GB"/>
        </w:rPr>
        <w:lastRenderedPageBreak/>
        <w:t>1.</w:t>
      </w:r>
      <w:r>
        <w:rPr>
          <w:b/>
          <w:lang w:val="en-GB"/>
        </w:rPr>
        <w:tab/>
      </w:r>
      <w:r w:rsidR="00882481" w:rsidRPr="00882481">
        <w:rPr>
          <w:b/>
          <w:lang w:val="en-GB"/>
        </w:rPr>
        <w:t>INTRODUCTION</w:t>
      </w:r>
    </w:p>
    <w:p w:rsidR="00A73563" w:rsidRDefault="007B3AEC" w:rsidP="007E0CCC">
      <w:pPr>
        <w:spacing w:after="120" w:line="480" w:lineRule="auto"/>
        <w:ind w:firstLine="720"/>
        <w:jc w:val="both"/>
        <w:rPr>
          <w:lang w:val="en-GB"/>
        </w:rPr>
      </w:pPr>
      <w:r>
        <w:rPr>
          <w:lang w:val="en-GB"/>
        </w:rPr>
        <w:t>In most advanced economies it is unlawful for employers to discriminate against individuals either directly or indirectly on grounds of race, either in their recruitment practices or once an individual has become an employee.</w:t>
      </w:r>
      <w:r w:rsidR="00F8733D">
        <w:rPr>
          <w:rStyle w:val="FootnoteReference"/>
          <w:lang w:val="en-GB"/>
        </w:rPr>
        <w:footnoteReference w:id="3"/>
      </w:r>
      <w:r>
        <w:rPr>
          <w:lang w:val="en-GB"/>
        </w:rPr>
        <w:t xml:space="preserve">  </w:t>
      </w:r>
      <w:r w:rsidR="001F67BD">
        <w:rPr>
          <w:lang w:val="en-GB"/>
        </w:rPr>
        <w:t xml:space="preserve">Despite anti-discrimination legislation numerous studies suggest that employers </w:t>
      </w:r>
      <w:r w:rsidR="00A26A80">
        <w:rPr>
          <w:lang w:val="en-GB"/>
        </w:rPr>
        <w:t xml:space="preserve">do </w:t>
      </w:r>
      <w:r w:rsidR="001F67BD">
        <w:rPr>
          <w:lang w:val="en-GB"/>
        </w:rPr>
        <w:t xml:space="preserve">discriminate on grounds of race. </w:t>
      </w:r>
      <w:r w:rsidR="006104F3">
        <w:rPr>
          <w:lang w:val="en-GB"/>
        </w:rPr>
        <w:t xml:space="preserve">One set of studies identifies discrimination by seeking to control for differences across workers in wage regressions, treating remaining racial differences </w:t>
      </w:r>
      <w:r w:rsidR="00DE7D92">
        <w:rPr>
          <w:lang w:val="en-GB"/>
        </w:rPr>
        <w:t xml:space="preserve">as evidence of discrimination. </w:t>
      </w:r>
      <w:r w:rsidR="006104F3">
        <w:rPr>
          <w:lang w:val="en-GB"/>
        </w:rPr>
        <w:t>Another set use</w:t>
      </w:r>
      <w:r w:rsidR="00070A0E">
        <w:rPr>
          <w:lang w:val="en-GB"/>
        </w:rPr>
        <w:t>s</w:t>
      </w:r>
      <w:r w:rsidR="006104F3">
        <w:rPr>
          <w:lang w:val="en-GB"/>
        </w:rPr>
        <w:t xml:space="preserve"> </w:t>
      </w:r>
      <w:r w:rsidR="006104F3">
        <w:t>audit studies/field experi</w:t>
      </w:r>
      <w:r w:rsidR="006104F3" w:rsidRPr="008B0BBE">
        <w:t>ments</w:t>
      </w:r>
      <w:r w:rsidR="006104F3" w:rsidRPr="008B0BBE">
        <w:rPr>
          <w:lang w:val="en-GB"/>
        </w:rPr>
        <w:t xml:space="preserve"> </w:t>
      </w:r>
      <w:r w:rsidR="006104F3">
        <w:rPr>
          <w:lang w:val="en-GB"/>
        </w:rPr>
        <w:t xml:space="preserve">to identify employer discrimination in recruitment by submitting made-up curricula vitae differing only by </w:t>
      </w:r>
      <w:r w:rsidR="002604EF">
        <w:rPr>
          <w:lang w:val="en-GB"/>
        </w:rPr>
        <w:t xml:space="preserve">implied </w:t>
      </w:r>
      <w:r w:rsidR="006104F3">
        <w:rPr>
          <w:lang w:val="en-GB"/>
        </w:rPr>
        <w:t>race to real job vacancies</w:t>
      </w:r>
      <w:r w:rsidR="00A73563">
        <w:rPr>
          <w:lang w:val="en-GB"/>
        </w:rPr>
        <w:t>.</w:t>
      </w:r>
      <w:r w:rsidR="00DE7D92">
        <w:rPr>
          <w:lang w:val="en-GB"/>
        </w:rPr>
        <w:t xml:space="preserve"> </w:t>
      </w:r>
      <w:r w:rsidR="006104F3">
        <w:rPr>
          <w:lang w:val="en-GB"/>
        </w:rPr>
        <w:t>Those studies identify a reduced likelihood of an employer "call back" for black applicants relative to identical candidates whose race can be inferred as "white". However, the first type of study is often limited by the lack of individual level productivity measures, while the second type only identify possib</w:t>
      </w:r>
      <w:r w:rsidR="00A26A80">
        <w:rPr>
          <w:lang w:val="en-GB"/>
        </w:rPr>
        <w:t>le discrimination at one early</w:t>
      </w:r>
      <w:r w:rsidR="006104F3">
        <w:rPr>
          <w:lang w:val="en-GB"/>
        </w:rPr>
        <w:t xml:space="preserve"> stage in the hiring process. </w:t>
      </w:r>
    </w:p>
    <w:p w:rsidR="00CF6645" w:rsidRDefault="00431945" w:rsidP="007E0CCC">
      <w:pPr>
        <w:spacing w:after="120" w:line="480" w:lineRule="auto"/>
        <w:ind w:firstLine="720"/>
        <w:jc w:val="both"/>
        <w:rPr>
          <w:lang w:val="en-GB"/>
        </w:rPr>
      </w:pPr>
      <w:r>
        <w:rPr>
          <w:lang w:val="en-GB"/>
        </w:rPr>
        <w:t xml:space="preserve">There are various sources </w:t>
      </w:r>
      <w:r w:rsidR="00A73563">
        <w:rPr>
          <w:lang w:val="en-GB"/>
        </w:rPr>
        <w:t>of</w:t>
      </w:r>
      <w:r>
        <w:rPr>
          <w:lang w:val="en-GB"/>
        </w:rPr>
        <w:t xml:space="preserve"> discrimination in the labour market. Be</w:t>
      </w:r>
      <w:r w:rsidR="00A26A80">
        <w:rPr>
          <w:lang w:val="en-GB"/>
        </w:rPr>
        <w:t>cker (1957) emphasises employer</w:t>
      </w:r>
      <w:r>
        <w:rPr>
          <w:lang w:val="en-GB"/>
        </w:rPr>
        <w:t>s</w:t>
      </w:r>
      <w:r w:rsidR="00A26A80">
        <w:rPr>
          <w:lang w:val="en-GB"/>
        </w:rPr>
        <w:t>'</w:t>
      </w:r>
      <w:r>
        <w:rPr>
          <w:lang w:val="en-GB"/>
        </w:rPr>
        <w:t xml:space="preserve"> taste-base</w:t>
      </w:r>
      <w:r w:rsidR="004120EE">
        <w:rPr>
          <w:lang w:val="en-GB"/>
        </w:rPr>
        <w:t>d</w:t>
      </w:r>
      <w:r>
        <w:rPr>
          <w:lang w:val="en-GB"/>
        </w:rPr>
        <w:t xml:space="preserve"> discrimination</w:t>
      </w:r>
      <w:r w:rsidR="00AC60AD">
        <w:rPr>
          <w:lang w:val="en-GB"/>
        </w:rPr>
        <w:t>,</w:t>
      </w:r>
      <w:r>
        <w:rPr>
          <w:lang w:val="en-GB"/>
        </w:rPr>
        <w:t xml:space="preserve"> but also not</w:t>
      </w:r>
      <w:r w:rsidR="006104F3">
        <w:rPr>
          <w:lang w:val="en-GB"/>
        </w:rPr>
        <w:t>e</w:t>
      </w:r>
      <w:r w:rsidR="00A73563">
        <w:rPr>
          <w:lang w:val="en-GB"/>
        </w:rPr>
        <w:t>s</w:t>
      </w:r>
      <w:r>
        <w:rPr>
          <w:lang w:val="en-GB"/>
        </w:rPr>
        <w:t xml:space="preserve"> that customers </w:t>
      </w:r>
      <w:r w:rsidR="00261D03">
        <w:rPr>
          <w:lang w:val="en-GB"/>
        </w:rPr>
        <w:t>and</w:t>
      </w:r>
      <w:r>
        <w:rPr>
          <w:lang w:val="en-GB"/>
        </w:rPr>
        <w:t xml:space="preserve"> employe</w:t>
      </w:r>
      <w:r w:rsidR="0031439F">
        <w:rPr>
          <w:lang w:val="en-GB"/>
        </w:rPr>
        <w:t>es may discriminate. Arrow (1972, 1973</w:t>
      </w:r>
      <w:r>
        <w:rPr>
          <w:lang w:val="en-GB"/>
        </w:rPr>
        <w:t xml:space="preserve">) and Phelps (1972) </w:t>
      </w:r>
      <w:r w:rsidR="00A73563">
        <w:rPr>
          <w:lang w:val="en-GB"/>
        </w:rPr>
        <w:t>emphasise</w:t>
      </w:r>
      <w:r>
        <w:rPr>
          <w:lang w:val="en-GB"/>
        </w:rPr>
        <w:t xml:space="preserve"> asymmetry of inform</w:t>
      </w:r>
      <w:r w:rsidR="006104F3">
        <w:rPr>
          <w:lang w:val="en-GB"/>
        </w:rPr>
        <w:t>ation as a source of discrimination</w:t>
      </w:r>
      <w:r>
        <w:rPr>
          <w:lang w:val="en-GB"/>
        </w:rPr>
        <w:t>.</w:t>
      </w:r>
      <w:r w:rsidR="00261D03">
        <w:rPr>
          <w:rStyle w:val="FootnoteReference"/>
          <w:lang w:val="en-GB"/>
        </w:rPr>
        <w:footnoteReference w:id="4"/>
      </w:r>
      <w:r>
        <w:rPr>
          <w:lang w:val="en-GB"/>
        </w:rPr>
        <w:t xml:space="preserve"> In the absence of information on the productivity of prospective employees, employers rely on group statistics </w:t>
      </w:r>
      <w:r w:rsidR="00A73563">
        <w:rPr>
          <w:lang w:val="en-GB"/>
        </w:rPr>
        <w:t xml:space="preserve">as </w:t>
      </w:r>
      <w:r>
        <w:rPr>
          <w:lang w:val="en-GB"/>
        </w:rPr>
        <w:t>evidence</w:t>
      </w:r>
      <w:r w:rsidR="00AC60AD">
        <w:rPr>
          <w:lang w:val="en-GB"/>
        </w:rPr>
        <w:t xml:space="preserve"> </w:t>
      </w:r>
      <w:r w:rsidR="00A73563">
        <w:rPr>
          <w:lang w:val="en-GB"/>
        </w:rPr>
        <w:t xml:space="preserve">on which </w:t>
      </w:r>
      <w:r w:rsidR="00AC60AD">
        <w:rPr>
          <w:lang w:val="en-GB"/>
        </w:rPr>
        <w:t xml:space="preserve">to base their hiring decisions. </w:t>
      </w:r>
      <w:r w:rsidR="006104F3">
        <w:rPr>
          <w:lang w:val="en-GB"/>
        </w:rPr>
        <w:t>A</w:t>
      </w:r>
      <w:r w:rsidR="00F539AA" w:rsidRPr="00AC60AD">
        <w:rPr>
          <w:lang w:val="en-GB"/>
        </w:rPr>
        <w:t>s noted by Levitt (2004</w:t>
      </w:r>
      <w:r w:rsidR="00261D03">
        <w:rPr>
          <w:lang w:val="en-GB"/>
        </w:rPr>
        <w:t xml:space="preserve">: </w:t>
      </w:r>
      <w:r w:rsidR="00F539AA" w:rsidRPr="00AC60AD">
        <w:rPr>
          <w:lang w:val="en-GB"/>
        </w:rPr>
        <w:t>433) “</w:t>
      </w:r>
      <w:r w:rsidR="00A73563">
        <w:t>i</w:t>
      </w:r>
      <w:r w:rsidR="00F539AA" w:rsidRPr="00AC60AD">
        <w:t xml:space="preserve">n </w:t>
      </w:r>
      <w:r w:rsidR="00F539AA" w:rsidRPr="00AC60AD">
        <w:lastRenderedPageBreak/>
        <w:t>general, empirical tests have a difficult time distinguishing between taste-based and information-based models</w:t>
      </w:r>
      <w:r w:rsidR="00261D03">
        <w:t xml:space="preserve"> of discrimination</w:t>
      </w:r>
      <w:r w:rsidR="00F539AA" w:rsidRPr="00AC60AD">
        <w:t>”.</w:t>
      </w:r>
      <w:r w:rsidR="00F539AA">
        <w:rPr>
          <w:sz w:val="26"/>
          <w:szCs w:val="26"/>
        </w:rPr>
        <w:t xml:space="preserve">  </w:t>
      </w:r>
    </w:p>
    <w:p w:rsidR="00AE4CD7" w:rsidRDefault="001E7B6C" w:rsidP="007E0CCC">
      <w:pPr>
        <w:spacing w:after="120" w:line="480" w:lineRule="auto"/>
        <w:ind w:firstLine="720"/>
        <w:jc w:val="both"/>
        <w:rPr>
          <w:lang w:val="en-GB"/>
        </w:rPr>
      </w:pPr>
      <w:r>
        <w:rPr>
          <w:lang w:val="en-GB"/>
        </w:rPr>
        <w:t xml:space="preserve">This paper contributes to the literature </w:t>
      </w:r>
      <w:r w:rsidR="00DE7D92">
        <w:rPr>
          <w:lang w:val="en-GB"/>
        </w:rPr>
        <w:t>as</w:t>
      </w:r>
      <w:r>
        <w:rPr>
          <w:lang w:val="en-GB"/>
        </w:rPr>
        <w:t xml:space="preserve"> we are able to </w:t>
      </w:r>
      <w:r w:rsidR="00F539AA">
        <w:rPr>
          <w:lang w:val="en-GB"/>
        </w:rPr>
        <w:t xml:space="preserve">differentiate between </w:t>
      </w:r>
      <w:r w:rsidR="00DE7D92">
        <w:rPr>
          <w:lang w:val="en-GB"/>
        </w:rPr>
        <w:t>taste-based and statistical discrimination</w:t>
      </w:r>
      <w:r w:rsidR="00F539AA">
        <w:rPr>
          <w:lang w:val="en-GB"/>
        </w:rPr>
        <w:t xml:space="preserve"> theories in a labour market context</w:t>
      </w:r>
      <w:r w:rsidR="00244B80">
        <w:rPr>
          <w:lang w:val="en-GB"/>
        </w:rPr>
        <w:t xml:space="preserve">. </w:t>
      </w:r>
      <w:r w:rsidR="0025786F">
        <w:rPr>
          <w:lang w:val="en-GB"/>
        </w:rPr>
        <w:t xml:space="preserve">Charles and Guryan (2008) </w:t>
      </w:r>
      <w:r w:rsidR="007562D1">
        <w:rPr>
          <w:lang w:val="en-GB"/>
        </w:rPr>
        <w:t>and Rode and Shukla (2013)</w:t>
      </w:r>
      <w:r w:rsidR="0071331B">
        <w:rPr>
          <w:lang w:val="en-GB"/>
        </w:rPr>
        <w:t xml:space="preserve"> </w:t>
      </w:r>
      <w:r w:rsidR="0025786F">
        <w:rPr>
          <w:lang w:val="en-GB"/>
        </w:rPr>
        <w:t>provide evidence that at the State level, prejudice matters and negatively affect</w:t>
      </w:r>
      <w:r w:rsidR="00A26A80">
        <w:rPr>
          <w:lang w:val="en-GB"/>
        </w:rPr>
        <w:t>s</w:t>
      </w:r>
      <w:r w:rsidR="0025786F">
        <w:rPr>
          <w:lang w:val="en-GB"/>
        </w:rPr>
        <w:t xml:space="preserve"> the wages of black workers.</w:t>
      </w:r>
      <w:r w:rsidR="00112B7E">
        <w:rPr>
          <w:lang w:val="en-GB"/>
        </w:rPr>
        <w:t xml:space="preserve"> In our set-up we can directly identify employer taste-based discrimination since </w:t>
      </w:r>
      <w:r w:rsidR="00F539AA">
        <w:rPr>
          <w:lang w:val="en-GB"/>
        </w:rPr>
        <w:t xml:space="preserve">productivity </w:t>
      </w:r>
      <w:r w:rsidR="00A745C2">
        <w:rPr>
          <w:lang w:val="en-GB"/>
        </w:rPr>
        <w:t>is measured at no cost</w:t>
      </w:r>
      <w:r w:rsidR="00112B7E">
        <w:rPr>
          <w:lang w:val="en-GB"/>
        </w:rPr>
        <w:t xml:space="preserve"> for each potential employee,</w:t>
      </w:r>
      <w:r w:rsidR="00A745C2">
        <w:rPr>
          <w:lang w:val="en-GB"/>
        </w:rPr>
        <w:t xml:space="preserve"> wages are </w:t>
      </w:r>
      <w:r w:rsidR="00FD185F">
        <w:rPr>
          <w:lang w:val="en-GB"/>
        </w:rPr>
        <w:t>set outside the firm</w:t>
      </w:r>
      <w:r w:rsidR="0031439F">
        <w:rPr>
          <w:lang w:val="en-GB"/>
        </w:rPr>
        <w:t>,</w:t>
      </w:r>
      <w:r w:rsidR="00112B7E">
        <w:rPr>
          <w:lang w:val="en-GB"/>
        </w:rPr>
        <w:t xml:space="preserve"> firm production is simply additive in each worker</w:t>
      </w:r>
      <w:r w:rsidR="00F265AB">
        <w:rPr>
          <w:lang w:val="en-GB"/>
        </w:rPr>
        <w:t>,</w:t>
      </w:r>
      <w:r w:rsidR="0031439F">
        <w:rPr>
          <w:lang w:val="en-GB"/>
        </w:rPr>
        <w:t xml:space="preserve"> and firms do not have customers</w:t>
      </w:r>
      <w:r w:rsidR="00A745C2">
        <w:rPr>
          <w:lang w:val="en-GB"/>
        </w:rPr>
        <w:t>.</w:t>
      </w:r>
      <w:r w:rsidR="00112B7E">
        <w:rPr>
          <w:lang w:val="en-GB"/>
        </w:rPr>
        <w:t xml:space="preserve"> As such, all the potential channel</w:t>
      </w:r>
      <w:r w:rsidR="00564517">
        <w:rPr>
          <w:lang w:val="en-GB"/>
        </w:rPr>
        <w:t>s</w:t>
      </w:r>
      <w:r w:rsidR="00112B7E">
        <w:rPr>
          <w:lang w:val="en-GB"/>
        </w:rPr>
        <w:t xml:space="preserve"> of discrimination are blocked apart from</w:t>
      </w:r>
      <w:r w:rsidR="00AE4CD7">
        <w:rPr>
          <w:lang w:val="en-GB"/>
        </w:rPr>
        <w:t xml:space="preserve"> employer taste-base</w:t>
      </w:r>
      <w:r w:rsidR="004120EE">
        <w:rPr>
          <w:lang w:val="en-GB"/>
        </w:rPr>
        <w:t>d</w:t>
      </w:r>
      <w:r w:rsidR="00AE4CD7">
        <w:rPr>
          <w:lang w:val="en-GB"/>
        </w:rPr>
        <w:t xml:space="preserve"> discrimination</w:t>
      </w:r>
      <w:r w:rsidR="00564517">
        <w:rPr>
          <w:lang w:val="en-GB"/>
        </w:rPr>
        <w:t>,</w:t>
      </w:r>
      <w:r w:rsidR="00AE4CD7">
        <w:rPr>
          <w:lang w:val="en-GB"/>
        </w:rPr>
        <w:t xml:space="preserve"> which in this environment is not unlawful (information regarding the workers employed remains private to the firm) and can be fully satisfied. T</w:t>
      </w:r>
      <w:r w:rsidR="00112B7E">
        <w:rPr>
          <w:lang w:val="en-GB"/>
        </w:rPr>
        <w:t>he environment is similar to a lab</w:t>
      </w:r>
      <w:r w:rsidR="00EE7468">
        <w:rPr>
          <w:lang w:val="en-GB"/>
        </w:rPr>
        <w:t>oratory</w:t>
      </w:r>
      <w:r w:rsidR="00112B7E">
        <w:rPr>
          <w:lang w:val="en-GB"/>
        </w:rPr>
        <w:t xml:space="preserve"> experiment but with the advantage that employers’ decisions are observed for months</w:t>
      </w:r>
      <w:r w:rsidR="00564517">
        <w:rPr>
          <w:lang w:val="en-GB"/>
        </w:rPr>
        <w:t xml:space="preserve">. </w:t>
      </w:r>
      <w:r w:rsidR="00F265AB">
        <w:rPr>
          <w:lang w:val="en-GB"/>
        </w:rPr>
        <w:t>Moreover, w</w:t>
      </w:r>
      <w:r w:rsidR="00AE4CD7">
        <w:rPr>
          <w:lang w:val="en-GB"/>
        </w:rPr>
        <w:t>e observe the dynamic of discriminatory behaviour</w:t>
      </w:r>
      <w:r w:rsidR="00C148CF">
        <w:rPr>
          <w:lang w:val="en-GB"/>
        </w:rPr>
        <w:t>,</w:t>
      </w:r>
      <w:r w:rsidR="00AE4CD7">
        <w:rPr>
          <w:lang w:val="en-GB"/>
        </w:rPr>
        <w:t xml:space="preserve"> as more information on potential workers’ productivity is revealed</w:t>
      </w:r>
      <w:r w:rsidR="0031439F">
        <w:rPr>
          <w:lang w:val="en-GB"/>
        </w:rPr>
        <w:t xml:space="preserve"> overtime</w:t>
      </w:r>
      <w:r w:rsidR="00DE7D92">
        <w:rPr>
          <w:lang w:val="en-GB"/>
        </w:rPr>
        <w:t>, and workers can be sacked/hired at low cost</w:t>
      </w:r>
      <w:r w:rsidR="00112B7E">
        <w:rPr>
          <w:lang w:val="en-GB"/>
        </w:rPr>
        <w:t xml:space="preserve">. </w:t>
      </w:r>
    </w:p>
    <w:p w:rsidR="00032EC3" w:rsidRDefault="00C148CF" w:rsidP="007E0CCC">
      <w:pPr>
        <w:spacing w:after="120" w:line="480" w:lineRule="auto"/>
        <w:ind w:firstLine="720"/>
        <w:jc w:val="both"/>
        <w:rPr>
          <w:lang w:val="en-GB"/>
        </w:rPr>
      </w:pPr>
      <w:r>
        <w:rPr>
          <w:lang w:val="en-GB"/>
        </w:rPr>
        <w:t>Our</w:t>
      </w:r>
      <w:r w:rsidR="00112B7E">
        <w:rPr>
          <w:lang w:val="en-GB"/>
        </w:rPr>
        <w:t xml:space="preserve"> study </w:t>
      </w:r>
      <w:r>
        <w:rPr>
          <w:lang w:val="en-GB"/>
        </w:rPr>
        <w:t xml:space="preserve">is based on the analysis of </w:t>
      </w:r>
      <w:r w:rsidR="00112B7E">
        <w:rPr>
          <w:lang w:val="en-GB"/>
        </w:rPr>
        <w:t>the virtual labour market created by</w:t>
      </w:r>
      <w:r w:rsidR="00FD185F">
        <w:rPr>
          <w:lang w:val="en-GB"/>
        </w:rPr>
        <w:t xml:space="preserve"> </w:t>
      </w:r>
      <w:r w:rsidR="00D03BD6">
        <w:rPr>
          <w:lang w:val="en-GB"/>
        </w:rPr>
        <w:t xml:space="preserve">the Fantasy </w:t>
      </w:r>
      <w:r>
        <w:rPr>
          <w:lang w:val="en-GB"/>
        </w:rPr>
        <w:t>Premier League (FPL)</w:t>
      </w:r>
      <w:r w:rsidR="00A70D2E">
        <w:rPr>
          <w:lang w:val="en-GB"/>
        </w:rPr>
        <w:t>, a</w:t>
      </w:r>
      <w:r w:rsidR="00244B80">
        <w:rPr>
          <w:lang w:val="en-GB"/>
        </w:rPr>
        <w:t>n on-line</w:t>
      </w:r>
      <w:r w:rsidR="00A70D2E">
        <w:rPr>
          <w:lang w:val="en-GB"/>
        </w:rPr>
        <w:t xml:space="preserve"> </w:t>
      </w:r>
      <w:r w:rsidR="00D03BD6">
        <w:rPr>
          <w:lang w:val="en-GB"/>
        </w:rPr>
        <w:t>competition</w:t>
      </w:r>
      <w:r w:rsidR="0031439F">
        <w:rPr>
          <w:lang w:val="en-GB"/>
        </w:rPr>
        <w:t xml:space="preserve"> based on the English football Premier League</w:t>
      </w:r>
      <w:r w:rsidR="00D03BD6">
        <w:rPr>
          <w:lang w:val="en-GB"/>
        </w:rPr>
        <w:t xml:space="preserve"> entered by </w:t>
      </w:r>
      <w:r w:rsidR="00851D44">
        <w:rPr>
          <w:lang w:val="en-GB"/>
        </w:rPr>
        <w:t xml:space="preserve">about </w:t>
      </w:r>
      <w:r w:rsidR="004B554F">
        <w:rPr>
          <w:lang w:val="en-GB"/>
        </w:rPr>
        <w:t>2</w:t>
      </w:r>
      <w:r w:rsidR="00851D44">
        <w:rPr>
          <w:lang w:val="en-GB"/>
        </w:rPr>
        <w:t>.5</w:t>
      </w:r>
      <w:r w:rsidR="004B554F">
        <w:rPr>
          <w:lang w:val="en-GB"/>
        </w:rPr>
        <w:t xml:space="preserve"> million </w:t>
      </w:r>
      <w:r w:rsidR="00D03BD6">
        <w:rPr>
          <w:lang w:val="en-GB"/>
        </w:rPr>
        <w:t>individuals each season</w:t>
      </w:r>
      <w:r w:rsidR="00A26A80">
        <w:rPr>
          <w:lang w:val="en-GB"/>
        </w:rPr>
        <w:t>.</w:t>
      </w:r>
      <w:r w:rsidR="0031439F">
        <w:rPr>
          <w:rStyle w:val="FootnoteReference"/>
          <w:lang w:val="en-GB"/>
        </w:rPr>
        <w:footnoteReference w:id="5"/>
      </w:r>
      <w:r w:rsidR="00D03BD6">
        <w:rPr>
          <w:lang w:val="en-GB"/>
        </w:rPr>
        <w:t xml:space="preserve"> The </w:t>
      </w:r>
      <w:r w:rsidR="000F2ACD">
        <w:rPr>
          <w:lang w:val="en-GB"/>
        </w:rPr>
        <w:t>aim of</w:t>
      </w:r>
      <w:r w:rsidR="000453DA">
        <w:rPr>
          <w:lang w:val="en-GB"/>
        </w:rPr>
        <w:t xml:space="preserve"> participant</w:t>
      </w:r>
      <w:r w:rsidR="00244B80">
        <w:rPr>
          <w:lang w:val="en-GB"/>
        </w:rPr>
        <w:t>s</w:t>
      </w:r>
      <w:r>
        <w:rPr>
          <w:lang w:val="en-GB"/>
        </w:rPr>
        <w:t xml:space="preserve"> </w:t>
      </w:r>
      <w:r w:rsidR="000F2ACD">
        <w:rPr>
          <w:lang w:val="en-GB"/>
        </w:rPr>
        <w:t>in</w:t>
      </w:r>
      <w:r>
        <w:rPr>
          <w:lang w:val="en-GB"/>
        </w:rPr>
        <w:t xml:space="preserve"> the FPL</w:t>
      </w:r>
      <w:r w:rsidR="00244B80">
        <w:rPr>
          <w:lang w:val="en-GB"/>
        </w:rPr>
        <w:t xml:space="preserve"> is to</w:t>
      </w:r>
      <w:r w:rsidR="00AE4CD7">
        <w:rPr>
          <w:lang w:val="en-GB"/>
        </w:rPr>
        <w:t xml:space="preserve"> assemble and</w:t>
      </w:r>
      <w:r w:rsidR="00244B80">
        <w:rPr>
          <w:lang w:val="en-GB"/>
        </w:rPr>
        <w:t xml:space="preserve"> manage</w:t>
      </w:r>
      <w:r w:rsidR="00D03BD6">
        <w:rPr>
          <w:lang w:val="en-GB"/>
        </w:rPr>
        <w:t xml:space="preserve"> the best performing team in the</w:t>
      </w:r>
      <w:r w:rsidR="00275450">
        <w:rPr>
          <w:lang w:val="en-GB"/>
        </w:rPr>
        <w:t xml:space="preserve"> fantasy</w:t>
      </w:r>
      <w:r w:rsidR="00D03BD6">
        <w:rPr>
          <w:lang w:val="en-GB"/>
        </w:rPr>
        <w:t xml:space="preserve"> league, something that is achieved by </w:t>
      </w:r>
      <w:r w:rsidR="00275450">
        <w:rPr>
          <w:lang w:val="en-GB"/>
        </w:rPr>
        <w:t>accumulating points related to the performance of professional footballers on the pitch</w:t>
      </w:r>
      <w:r w:rsidR="00D03BD6">
        <w:rPr>
          <w:lang w:val="en-GB"/>
        </w:rPr>
        <w:t xml:space="preserve">. </w:t>
      </w:r>
      <w:r w:rsidR="001550E7">
        <w:rPr>
          <w:lang w:val="en-GB"/>
        </w:rPr>
        <w:t>Participants can thus be considered like e</w:t>
      </w:r>
      <w:r w:rsidR="002539E5">
        <w:rPr>
          <w:lang w:val="en-GB"/>
        </w:rPr>
        <w:t xml:space="preserve">mployers </w:t>
      </w:r>
      <w:r w:rsidR="001550E7">
        <w:rPr>
          <w:lang w:val="en-GB"/>
        </w:rPr>
        <w:lastRenderedPageBreak/>
        <w:t xml:space="preserve">who </w:t>
      </w:r>
      <w:r w:rsidR="002539E5">
        <w:rPr>
          <w:lang w:val="en-GB"/>
        </w:rPr>
        <w:t xml:space="preserve">hire their initial team and subsequently </w:t>
      </w:r>
      <w:r w:rsidR="003C0491">
        <w:rPr>
          <w:lang w:val="en-GB"/>
        </w:rPr>
        <w:t xml:space="preserve">buy and sell </w:t>
      </w:r>
      <w:r w:rsidR="002539E5">
        <w:rPr>
          <w:lang w:val="en-GB"/>
        </w:rPr>
        <w:t>players in any game week</w:t>
      </w:r>
      <w:r w:rsidR="000453DA">
        <w:rPr>
          <w:lang w:val="en-GB"/>
        </w:rPr>
        <w:t xml:space="preserve"> during the </w:t>
      </w:r>
      <w:r w:rsidR="00C024F1">
        <w:rPr>
          <w:lang w:val="en-GB"/>
        </w:rPr>
        <w:t xml:space="preserve">38 week </w:t>
      </w:r>
      <w:r w:rsidR="000453DA">
        <w:rPr>
          <w:lang w:val="en-GB"/>
        </w:rPr>
        <w:t>season</w:t>
      </w:r>
      <w:r w:rsidR="00903370">
        <w:rPr>
          <w:lang w:val="en-GB"/>
        </w:rPr>
        <w:t xml:space="preserve"> so as to maximise the production of points</w:t>
      </w:r>
      <w:r w:rsidR="002539E5">
        <w:rPr>
          <w:lang w:val="en-GB"/>
        </w:rPr>
        <w:t xml:space="preserve">. </w:t>
      </w:r>
      <w:r w:rsidR="00032EC3">
        <w:rPr>
          <w:lang w:val="en-GB"/>
        </w:rPr>
        <w:t xml:space="preserve">This initial squad choice at the start of the season is the focus of our first set of analyses. </w:t>
      </w:r>
      <w:r w:rsidR="006229E7">
        <w:rPr>
          <w:lang w:val="en-GB"/>
        </w:rPr>
        <w:t xml:space="preserve">The data at our disposal is the number of times a given </w:t>
      </w:r>
      <w:r w:rsidR="00F265AB">
        <w:rPr>
          <w:lang w:val="en-GB"/>
        </w:rPr>
        <w:t xml:space="preserve">professional </w:t>
      </w:r>
      <w:r w:rsidR="006229E7">
        <w:rPr>
          <w:lang w:val="en-GB"/>
        </w:rPr>
        <w:t>footballer</w:t>
      </w:r>
      <w:r w:rsidR="00F265AB">
        <w:rPr>
          <w:lang w:val="en-GB"/>
        </w:rPr>
        <w:t xml:space="preserve"> playing in the Premier League</w:t>
      </w:r>
      <w:r w:rsidR="006229E7">
        <w:rPr>
          <w:lang w:val="en-GB"/>
        </w:rPr>
        <w:t xml:space="preserve"> has been hired –this is equivalent to audit studies whereby the number of “call backs” are computed</w:t>
      </w:r>
      <w:r w:rsidR="00F265AB">
        <w:rPr>
          <w:lang w:val="en-GB"/>
        </w:rPr>
        <w:t>, but with an extended choice of CVs</w:t>
      </w:r>
      <w:r w:rsidR="002604EF">
        <w:rPr>
          <w:lang w:val="en-GB"/>
        </w:rPr>
        <w:t xml:space="preserve"> and firms</w:t>
      </w:r>
      <w:r w:rsidR="0013785A">
        <w:rPr>
          <w:lang w:val="en-GB"/>
        </w:rPr>
        <w:t>, and perfect information on workers’ productivity</w:t>
      </w:r>
      <w:r w:rsidR="006229E7">
        <w:rPr>
          <w:lang w:val="en-GB"/>
        </w:rPr>
        <w:t>.</w:t>
      </w:r>
      <w:r w:rsidR="00032EC3">
        <w:rPr>
          <w:lang w:val="en-GB"/>
        </w:rPr>
        <w:t xml:space="preserve"> Our first dependent variable is</w:t>
      </w:r>
      <w:r w:rsidR="006229E7">
        <w:rPr>
          <w:lang w:val="en-GB"/>
        </w:rPr>
        <w:t xml:space="preserve"> thus the number of times a football</w:t>
      </w:r>
      <w:r w:rsidR="00032EC3">
        <w:rPr>
          <w:lang w:val="en-GB"/>
        </w:rPr>
        <w:t>er is hired</w:t>
      </w:r>
      <w:r w:rsidR="00F265AB">
        <w:rPr>
          <w:lang w:val="en-GB"/>
        </w:rPr>
        <w:t xml:space="preserve"> in the initial week</w:t>
      </w:r>
      <w:r w:rsidR="00032EC3">
        <w:rPr>
          <w:lang w:val="en-GB"/>
        </w:rPr>
        <w:t>. For subsequent week</w:t>
      </w:r>
      <w:r w:rsidR="00C024F1">
        <w:rPr>
          <w:lang w:val="en-GB"/>
        </w:rPr>
        <w:t>s</w:t>
      </w:r>
      <w:r w:rsidR="00032EC3">
        <w:rPr>
          <w:lang w:val="en-GB"/>
        </w:rPr>
        <w:t xml:space="preserve"> the data at our disposal </w:t>
      </w:r>
      <w:r w:rsidR="00C024F1">
        <w:rPr>
          <w:lang w:val="en-GB"/>
        </w:rPr>
        <w:t>are</w:t>
      </w:r>
      <w:r w:rsidR="00032EC3">
        <w:rPr>
          <w:lang w:val="en-GB"/>
        </w:rPr>
        <w:t xml:space="preserve"> the</w:t>
      </w:r>
      <w:r w:rsidR="0031439F">
        <w:rPr>
          <w:lang w:val="en-GB"/>
        </w:rPr>
        <w:t xml:space="preserve"> weekly</w:t>
      </w:r>
      <w:r w:rsidR="00032EC3">
        <w:rPr>
          <w:lang w:val="en-GB"/>
        </w:rPr>
        <w:t xml:space="preserve"> net demand for a given player </w:t>
      </w:r>
      <w:r w:rsidR="0031439F">
        <w:rPr>
          <w:lang w:val="en-GB"/>
        </w:rPr>
        <w:t xml:space="preserve">after productivity information and price </w:t>
      </w:r>
      <w:r w:rsidR="00F265AB">
        <w:rPr>
          <w:lang w:val="en-GB"/>
        </w:rPr>
        <w:t xml:space="preserve">for all potential workers </w:t>
      </w:r>
      <w:r w:rsidR="0031439F">
        <w:rPr>
          <w:lang w:val="en-GB"/>
        </w:rPr>
        <w:t>have been updated</w:t>
      </w:r>
      <w:r w:rsidR="00032EC3">
        <w:rPr>
          <w:lang w:val="en-GB"/>
        </w:rPr>
        <w:t>.</w:t>
      </w:r>
    </w:p>
    <w:p w:rsidR="003B70DC" w:rsidRDefault="001E0ABD" w:rsidP="007E0CCC">
      <w:pPr>
        <w:spacing w:after="120" w:line="480" w:lineRule="auto"/>
        <w:ind w:firstLine="720"/>
        <w:jc w:val="both"/>
        <w:rPr>
          <w:lang w:val="en-GB"/>
        </w:rPr>
      </w:pPr>
      <w:r>
        <w:rPr>
          <w:lang w:val="en-GB"/>
        </w:rPr>
        <w:t xml:space="preserve">Our analyses </w:t>
      </w:r>
      <w:r w:rsidR="00D20E6B">
        <w:rPr>
          <w:lang w:val="en-GB"/>
        </w:rPr>
        <w:t xml:space="preserve">examine what role, if any, workers' race plays in employers' </w:t>
      </w:r>
      <w:r w:rsidR="003B70DC">
        <w:rPr>
          <w:lang w:val="en-GB"/>
        </w:rPr>
        <w:t xml:space="preserve">choice of their squad at the start of the season and their subsequent </w:t>
      </w:r>
      <w:r w:rsidR="00D20E6B">
        <w:rPr>
          <w:lang w:val="en-GB"/>
        </w:rPr>
        <w:t xml:space="preserve">decisions to recruit and retain </w:t>
      </w:r>
      <w:r w:rsidR="006229E7">
        <w:rPr>
          <w:lang w:val="en-GB"/>
        </w:rPr>
        <w:t>football</w:t>
      </w:r>
      <w:r w:rsidR="003B70DC">
        <w:rPr>
          <w:lang w:val="en-GB"/>
        </w:rPr>
        <w:t>ers each week of the season</w:t>
      </w:r>
      <w:r w:rsidR="00D20E6B">
        <w:rPr>
          <w:lang w:val="en-GB"/>
        </w:rPr>
        <w:t>, conditional on their productivity</w:t>
      </w:r>
      <w:r w:rsidR="006229E7">
        <w:rPr>
          <w:lang w:val="en-GB"/>
        </w:rPr>
        <w:t>, price</w:t>
      </w:r>
      <w:r w:rsidR="00D20E6B">
        <w:rPr>
          <w:lang w:val="en-GB"/>
        </w:rPr>
        <w:t xml:space="preserve"> and other factors</w:t>
      </w:r>
      <w:r w:rsidR="0003363A">
        <w:rPr>
          <w:lang w:val="en-GB"/>
        </w:rPr>
        <w:t>.</w:t>
      </w:r>
      <w:r w:rsidR="006229E7">
        <w:rPr>
          <w:lang w:val="en-GB"/>
        </w:rPr>
        <w:t xml:space="preserve"> </w:t>
      </w:r>
      <w:r w:rsidR="003B70DC">
        <w:rPr>
          <w:lang w:val="en-GB"/>
        </w:rPr>
        <w:t>W</w:t>
      </w:r>
      <w:r w:rsidR="005F5FAB">
        <w:rPr>
          <w:lang w:val="en-GB"/>
        </w:rPr>
        <w:t>hile the popular press has reported cases of racial discrimination between footballers and from fans in English football, w</w:t>
      </w:r>
      <w:r w:rsidR="003B70DC">
        <w:rPr>
          <w:lang w:val="en-GB"/>
        </w:rPr>
        <w:t>e find no racial differential in employers' choice of their squ</w:t>
      </w:r>
      <w:r w:rsidR="00016636">
        <w:rPr>
          <w:lang w:val="en-GB"/>
        </w:rPr>
        <w:t xml:space="preserve">ad </w:t>
      </w:r>
      <w:r w:rsidR="0031439F">
        <w:rPr>
          <w:lang w:val="en-GB"/>
        </w:rPr>
        <w:t xml:space="preserve">either </w:t>
      </w:r>
      <w:r w:rsidR="00016636">
        <w:rPr>
          <w:lang w:val="en-GB"/>
        </w:rPr>
        <w:t>for the start of the season or in subsequent weeks as more accurate productivity information becomes available.</w:t>
      </w:r>
      <w:r w:rsidR="00DE7D92">
        <w:rPr>
          <w:lang w:val="en-GB"/>
        </w:rPr>
        <w:t xml:space="preserve"> </w:t>
      </w:r>
      <w:r w:rsidR="00C024F1">
        <w:rPr>
          <w:lang w:val="en-GB"/>
        </w:rPr>
        <w:t>These results suggest</w:t>
      </w:r>
      <w:r w:rsidR="0003483D">
        <w:rPr>
          <w:lang w:val="en-GB"/>
        </w:rPr>
        <w:t xml:space="preserve"> that in an environment with perfect information on productivity,</w:t>
      </w:r>
      <w:r w:rsidR="00C024F1">
        <w:rPr>
          <w:lang w:val="en-GB"/>
        </w:rPr>
        <w:t xml:space="preserve"> taste-based discrimination is absent when fantasy league employers hire workers</w:t>
      </w:r>
      <w:r w:rsidR="006229E7">
        <w:rPr>
          <w:lang w:val="en-GB"/>
        </w:rPr>
        <w:t xml:space="preserve">, even </w:t>
      </w:r>
      <w:r w:rsidR="003C47D6">
        <w:rPr>
          <w:lang w:val="en-GB"/>
        </w:rPr>
        <w:t>though</w:t>
      </w:r>
      <w:r w:rsidR="006229E7">
        <w:rPr>
          <w:lang w:val="en-GB"/>
        </w:rPr>
        <w:t xml:space="preserve"> such activity </w:t>
      </w:r>
      <w:r w:rsidR="003C47D6">
        <w:rPr>
          <w:lang w:val="en-GB"/>
        </w:rPr>
        <w:t>would</w:t>
      </w:r>
      <w:r w:rsidR="006229E7">
        <w:rPr>
          <w:lang w:val="en-GB"/>
        </w:rPr>
        <w:t xml:space="preserve"> not </w:t>
      </w:r>
      <w:r w:rsidR="003C47D6">
        <w:rPr>
          <w:lang w:val="en-GB"/>
        </w:rPr>
        <w:t xml:space="preserve">be </w:t>
      </w:r>
      <w:r w:rsidR="006229E7">
        <w:rPr>
          <w:lang w:val="en-GB"/>
        </w:rPr>
        <w:t xml:space="preserve">unlawful and </w:t>
      </w:r>
      <w:r w:rsidR="003C47D6">
        <w:rPr>
          <w:lang w:val="en-GB"/>
        </w:rPr>
        <w:t>others would be unaware of it</w:t>
      </w:r>
      <w:r w:rsidR="00C024F1">
        <w:rPr>
          <w:lang w:val="en-GB"/>
        </w:rPr>
        <w:t xml:space="preserve">. </w:t>
      </w:r>
      <w:r w:rsidR="00070A0E">
        <w:rPr>
          <w:lang w:val="en-GB"/>
        </w:rPr>
        <w:t>Whether one can generalise from these results to other labour market settings is discussed later.</w:t>
      </w:r>
    </w:p>
    <w:p w:rsidR="0038499A" w:rsidRDefault="0038499A" w:rsidP="007E0CCC">
      <w:pPr>
        <w:spacing w:after="120" w:line="480" w:lineRule="auto"/>
        <w:ind w:firstLine="720"/>
        <w:jc w:val="both"/>
        <w:rPr>
          <w:lang w:val="en-GB"/>
        </w:rPr>
      </w:pPr>
      <w:r>
        <w:rPr>
          <w:lang w:val="en-GB"/>
        </w:rPr>
        <w:t xml:space="preserve">The remainder of the paper is set out as follows. Section Two reviews the previous literature on </w:t>
      </w:r>
      <w:r w:rsidR="00817D31">
        <w:rPr>
          <w:lang w:val="en-GB"/>
        </w:rPr>
        <w:t>racial discrimination in the labour market</w:t>
      </w:r>
      <w:r w:rsidR="007D72B6">
        <w:rPr>
          <w:lang w:val="en-GB"/>
        </w:rPr>
        <w:t xml:space="preserve"> and other markets</w:t>
      </w:r>
      <w:r w:rsidR="006E420A">
        <w:rPr>
          <w:lang w:val="en-GB"/>
        </w:rPr>
        <w:t xml:space="preserve">.  </w:t>
      </w:r>
      <w:r w:rsidR="006E420A">
        <w:rPr>
          <w:lang w:val="en-GB"/>
        </w:rPr>
        <w:lastRenderedPageBreak/>
        <w:t xml:space="preserve">Section Three </w:t>
      </w:r>
      <w:r w:rsidR="00EC13AA">
        <w:rPr>
          <w:lang w:val="en-GB"/>
        </w:rPr>
        <w:t>presents</w:t>
      </w:r>
      <w:r>
        <w:rPr>
          <w:lang w:val="en-GB"/>
        </w:rPr>
        <w:t xml:space="preserve"> our data and the institutional setting for the empirical analysis. Section </w:t>
      </w:r>
      <w:r w:rsidR="00817D31">
        <w:rPr>
          <w:lang w:val="en-GB"/>
        </w:rPr>
        <w:t xml:space="preserve">Four </w:t>
      </w:r>
      <w:r>
        <w:rPr>
          <w:lang w:val="en-GB"/>
        </w:rPr>
        <w:t xml:space="preserve">outlines our empirical strategy. Section </w:t>
      </w:r>
      <w:r w:rsidR="00817D31">
        <w:rPr>
          <w:lang w:val="en-GB"/>
        </w:rPr>
        <w:t xml:space="preserve">Five </w:t>
      </w:r>
      <w:r>
        <w:rPr>
          <w:lang w:val="en-GB"/>
        </w:rPr>
        <w:t xml:space="preserve">presents results and Section </w:t>
      </w:r>
      <w:r w:rsidR="00817D31">
        <w:rPr>
          <w:lang w:val="en-GB"/>
        </w:rPr>
        <w:t xml:space="preserve">Six </w:t>
      </w:r>
      <w:r>
        <w:rPr>
          <w:lang w:val="en-GB"/>
        </w:rPr>
        <w:t>concludes.</w:t>
      </w:r>
    </w:p>
    <w:p w:rsidR="009E3CDA" w:rsidRDefault="009E3CDA" w:rsidP="007E0CCC">
      <w:pPr>
        <w:spacing w:after="120" w:line="480" w:lineRule="auto"/>
        <w:ind w:firstLine="720"/>
        <w:jc w:val="both"/>
        <w:rPr>
          <w:lang w:val="en-GB"/>
        </w:rPr>
      </w:pPr>
    </w:p>
    <w:p w:rsidR="0036326E" w:rsidRPr="0036326E" w:rsidRDefault="002220FD" w:rsidP="007E0CCC">
      <w:pPr>
        <w:spacing w:after="120" w:line="480" w:lineRule="auto"/>
        <w:jc w:val="both"/>
        <w:rPr>
          <w:b/>
          <w:lang w:val="en-GB"/>
        </w:rPr>
      </w:pPr>
      <w:r>
        <w:rPr>
          <w:b/>
          <w:lang w:val="en-GB"/>
        </w:rPr>
        <w:t>2.</w:t>
      </w:r>
      <w:r>
        <w:rPr>
          <w:b/>
          <w:lang w:val="en-GB"/>
        </w:rPr>
        <w:tab/>
        <w:t>PREVIOUS LITERATURE</w:t>
      </w:r>
    </w:p>
    <w:p w:rsidR="003F3E1C" w:rsidRDefault="003F3E1C" w:rsidP="007E0CCC">
      <w:pPr>
        <w:spacing w:after="120" w:line="480" w:lineRule="auto"/>
        <w:ind w:firstLine="720"/>
        <w:jc w:val="both"/>
        <w:rPr>
          <w:lang w:val="en-GB"/>
        </w:rPr>
      </w:pPr>
      <w:r>
        <w:rPr>
          <w:lang w:val="en-GB"/>
        </w:rPr>
        <w:t xml:space="preserve">There are a variety of reasons as to why employers discriminate on grounds of race. Profit maximising employers may exploit the labour market vulnerability of certain groups of workers, such as illegal migrants, by offering them employment at lower wages than other workers vying for the same positions, leading to an increased propensity to be taken on but at a lower wage than might otherwise be the case. Alternatively, employers may have a "taste" for employing individuals "like" themselves, in which case white employers are engaged in what Becker (1957) termed "taste-based discrimination" when they offer jobs to whites before non-whites regardless of their aptitude for the job. In such circumstances, employers may pay a price for their taste-based discrimination if their recruitment or promotion procedures are based on skin colour rather than aptitude or productivity. </w:t>
      </w:r>
      <w:r w:rsidR="00290080">
        <w:rPr>
          <w:lang w:val="en-GB"/>
        </w:rPr>
        <w:t>Becker argued that the</w:t>
      </w:r>
      <w:r w:rsidR="002E3651">
        <w:rPr>
          <w:lang w:val="en-GB"/>
        </w:rPr>
        <w:t xml:space="preserve"> price of such discrimination i</w:t>
      </w:r>
      <w:r w:rsidR="00290080">
        <w:rPr>
          <w:lang w:val="en-GB"/>
        </w:rPr>
        <w:t xml:space="preserve">s not sustainable in the long-run in competitive markets. </w:t>
      </w:r>
      <w:r>
        <w:rPr>
          <w:lang w:val="en-GB"/>
        </w:rPr>
        <w:t>A</w:t>
      </w:r>
      <w:r w:rsidR="00F72E25">
        <w:rPr>
          <w:lang w:val="en-GB"/>
        </w:rPr>
        <w:t>nother possibility is that</w:t>
      </w:r>
      <w:r>
        <w:rPr>
          <w:lang w:val="en-GB"/>
        </w:rPr>
        <w:t>, in the absence of information on prospective employees</w:t>
      </w:r>
      <w:r w:rsidR="00F72E25">
        <w:rPr>
          <w:lang w:val="en-GB"/>
        </w:rPr>
        <w:t>' worth</w:t>
      </w:r>
      <w:r>
        <w:rPr>
          <w:lang w:val="en-GB"/>
        </w:rPr>
        <w:t>, employers may judge the quality of applicants based on group characteristics, such as age or race, resulting in what has been termed "statistical discrimination"</w:t>
      </w:r>
      <w:r w:rsidR="00290080">
        <w:rPr>
          <w:lang w:val="en-GB"/>
        </w:rPr>
        <w:t xml:space="preserve"> (Arrow, 1972, 1973</w:t>
      </w:r>
      <w:r w:rsidR="00517A72">
        <w:rPr>
          <w:lang w:val="en-GB"/>
        </w:rPr>
        <w:t>; Phelps, 1972</w:t>
      </w:r>
      <w:r w:rsidR="00F72E25">
        <w:rPr>
          <w:lang w:val="en-GB"/>
        </w:rPr>
        <w:t>).</w:t>
      </w:r>
    </w:p>
    <w:p w:rsidR="004120EE" w:rsidRDefault="002D5F9C" w:rsidP="007E0CCC">
      <w:pPr>
        <w:spacing w:after="120" w:line="480" w:lineRule="auto"/>
        <w:ind w:firstLine="720"/>
        <w:jc w:val="both"/>
        <w:rPr>
          <w:lang w:val="en-GB"/>
        </w:rPr>
      </w:pPr>
      <w:r>
        <w:rPr>
          <w:lang w:val="en-GB"/>
        </w:rPr>
        <w:t xml:space="preserve">Studies capturing perceptions of racial discrimination in the labour market suggest it remains commonplace, a finding which is supported by </w:t>
      </w:r>
      <w:r w:rsidR="00C90D01">
        <w:rPr>
          <w:lang w:val="en-GB"/>
        </w:rPr>
        <w:t>in-</w:t>
      </w:r>
      <w:r>
        <w:rPr>
          <w:lang w:val="en-GB"/>
        </w:rPr>
        <w:t>depth interviews with employers themselves (see Pager and Shepherd</w:t>
      </w:r>
      <w:r w:rsidR="00F72E25">
        <w:rPr>
          <w:lang w:val="en-GB"/>
        </w:rPr>
        <w:t xml:space="preserve"> (</w:t>
      </w:r>
      <w:r>
        <w:rPr>
          <w:lang w:val="en-GB"/>
        </w:rPr>
        <w:t>2008</w:t>
      </w:r>
      <w:r w:rsidR="00F72E25">
        <w:rPr>
          <w:lang w:val="en-GB"/>
        </w:rPr>
        <w:t>)</w:t>
      </w:r>
      <w:r>
        <w:rPr>
          <w:lang w:val="en-GB"/>
        </w:rPr>
        <w:t xml:space="preserve"> for a review</w:t>
      </w:r>
      <w:r w:rsidR="00F72E25">
        <w:rPr>
          <w:lang w:val="en-GB"/>
        </w:rPr>
        <w:t>)</w:t>
      </w:r>
      <w:r w:rsidR="004120EE">
        <w:rPr>
          <w:lang w:val="en-GB"/>
        </w:rPr>
        <w:t xml:space="preserve">. </w:t>
      </w:r>
      <w:r w:rsidR="0047373C">
        <w:rPr>
          <w:lang w:val="en-GB"/>
        </w:rPr>
        <w:t xml:space="preserve">Reviewing audit </w:t>
      </w:r>
      <w:r w:rsidR="0047373C">
        <w:rPr>
          <w:lang w:val="en-GB"/>
        </w:rPr>
        <w:lastRenderedPageBreak/>
        <w:t>studies which identify racial differentials in hiring rates Altonji and Blank (1999: 3194) conclude</w:t>
      </w:r>
      <w:r w:rsidR="00DD5759">
        <w:rPr>
          <w:lang w:val="en-GB"/>
        </w:rPr>
        <w:t>:</w:t>
      </w:r>
      <w:r w:rsidR="0047373C">
        <w:rPr>
          <w:lang w:val="en-GB"/>
        </w:rPr>
        <w:t xml:space="preserve"> "the studies to date generally suggest that hiring discrimination continues to occur".</w:t>
      </w:r>
      <w:r w:rsidR="00F07566">
        <w:rPr>
          <w:lang w:val="en-GB"/>
        </w:rPr>
        <w:t xml:space="preserve"> </w:t>
      </w:r>
      <w:r w:rsidR="00FC65AC">
        <w:rPr>
          <w:lang w:val="en-GB"/>
        </w:rPr>
        <w:t>These studies typically send CVs that differ only in the implied race of the applicant to real job opening</w:t>
      </w:r>
      <w:r w:rsidR="00DD5759">
        <w:rPr>
          <w:lang w:val="en-GB"/>
        </w:rPr>
        <w:t>s</w:t>
      </w:r>
      <w:r w:rsidR="00FC65AC">
        <w:rPr>
          <w:lang w:val="en-GB"/>
        </w:rPr>
        <w:t xml:space="preserve">. </w:t>
      </w:r>
      <w:r w:rsidR="00F07566">
        <w:rPr>
          <w:lang w:val="en-GB"/>
        </w:rPr>
        <w:t xml:space="preserve">Bertrand and Mullainathan (2004) </w:t>
      </w:r>
      <w:r w:rsidR="00FC65AC">
        <w:rPr>
          <w:lang w:val="en-GB"/>
        </w:rPr>
        <w:t xml:space="preserve">for example, </w:t>
      </w:r>
      <w:r w:rsidR="00F07566">
        <w:rPr>
          <w:lang w:val="en-GB"/>
        </w:rPr>
        <w:t>find substantial racial discrimination in call</w:t>
      </w:r>
      <w:r w:rsidR="00B46C38">
        <w:rPr>
          <w:lang w:val="en-GB"/>
        </w:rPr>
        <w:t>-</w:t>
      </w:r>
      <w:r w:rsidR="00F07566">
        <w:rPr>
          <w:lang w:val="en-GB"/>
        </w:rPr>
        <w:t>backs</w:t>
      </w:r>
      <w:r w:rsidR="00FC65AC">
        <w:rPr>
          <w:lang w:val="en-GB"/>
        </w:rPr>
        <w:t>,</w:t>
      </w:r>
      <w:r w:rsidR="00F07566">
        <w:rPr>
          <w:lang w:val="en-GB"/>
        </w:rPr>
        <w:t xml:space="preserve"> which is uniform across occupation, industry and employer size.</w:t>
      </w:r>
      <w:r w:rsidR="00FC65AC">
        <w:rPr>
          <w:lang w:val="en-GB"/>
        </w:rPr>
        <w:t xml:space="preserve"> This finding has been replicated in studies using a similar set-up.</w:t>
      </w:r>
      <w:r w:rsidR="00820B38">
        <w:rPr>
          <w:rStyle w:val="FootnoteReference"/>
          <w:lang w:val="en-GB"/>
        </w:rPr>
        <w:footnoteReference w:id="6"/>
      </w:r>
      <w:r w:rsidR="00FC65AC">
        <w:rPr>
          <w:lang w:val="en-GB"/>
        </w:rPr>
        <w:t xml:space="preserve"> </w:t>
      </w:r>
      <w:r w:rsidR="00F07566">
        <w:rPr>
          <w:lang w:val="en-GB"/>
        </w:rPr>
        <w:t xml:space="preserve"> </w:t>
      </w:r>
      <w:r w:rsidR="00563ECE">
        <w:rPr>
          <w:lang w:val="en-GB"/>
        </w:rPr>
        <w:t>These field experiment studies are clean in the sense that they are able to isolate the role of race on hiring through the manipulation of curricula vitae, but they suffer from the fact that no actual hiring takes place. What they observe instead are 'call-backs' or offers</w:t>
      </w:r>
      <w:r w:rsidR="00A77625">
        <w:rPr>
          <w:lang w:val="en-GB"/>
        </w:rPr>
        <w:t>; i.e. discrimination at an early stage of the recruitment process</w:t>
      </w:r>
      <w:r w:rsidR="00563ECE">
        <w:rPr>
          <w:lang w:val="en-GB"/>
        </w:rPr>
        <w:t>.  In our data real hires occur.</w:t>
      </w:r>
      <w:r w:rsidR="007E7F2C">
        <w:rPr>
          <w:rStyle w:val="FootnoteReference"/>
          <w:lang w:val="en-GB"/>
        </w:rPr>
        <w:footnoteReference w:id="7"/>
      </w:r>
      <w:r w:rsidR="00C751F1">
        <w:rPr>
          <w:lang w:val="en-GB"/>
        </w:rPr>
        <w:t xml:space="preserve"> In this sense, our setting is similar to Goldin and Rouse's (2000) study which used real auditions for musicians and found women were more likely to be hired in a blind audition when the employers could not see the sex of the musician.</w:t>
      </w:r>
      <w:r w:rsidR="004120EE">
        <w:rPr>
          <w:lang w:val="en-GB"/>
        </w:rPr>
        <w:t xml:space="preserve"> In a laboratory experiment </w:t>
      </w:r>
      <w:r w:rsidR="004120EE" w:rsidRPr="008941A1">
        <w:rPr>
          <w:lang w:val="en-GB"/>
        </w:rPr>
        <w:t>Dovidio and Gaertner (2000)</w:t>
      </w:r>
      <w:r w:rsidR="004120EE">
        <w:rPr>
          <w:lang w:val="en-GB"/>
        </w:rPr>
        <w:t xml:space="preserve"> find employers discriminate on racial grounds, but only in the case of applicants whose qualifications mean the hiring decision is a difficult one.</w:t>
      </w:r>
      <w:r w:rsidR="009E3CDA">
        <w:rPr>
          <w:rStyle w:val="FootnoteReference"/>
          <w:lang w:val="en-GB"/>
        </w:rPr>
        <w:footnoteReference w:id="8"/>
      </w:r>
      <w:r w:rsidR="004120EE">
        <w:rPr>
          <w:lang w:val="en-GB"/>
        </w:rPr>
        <w:t xml:space="preserve"> </w:t>
      </w:r>
    </w:p>
    <w:p w:rsidR="00726CF6" w:rsidRDefault="00726CF6" w:rsidP="007E0CCC">
      <w:pPr>
        <w:spacing w:after="120" w:line="480" w:lineRule="auto"/>
        <w:ind w:firstLine="720"/>
        <w:jc w:val="both"/>
        <w:rPr>
          <w:lang w:val="en-GB"/>
        </w:rPr>
      </w:pPr>
      <w:r>
        <w:rPr>
          <w:lang w:val="en-GB"/>
        </w:rPr>
        <w:t xml:space="preserve">It is only recently that discrimination studies have sought to distinguish between statistical and taste-based discrimination. List (2004) shows sports-card traders from minority groups receive lower initial and final offers than those from majority groups.  In four complementary follow-up experiments exogenously manipulating information on </w:t>
      </w:r>
      <w:r>
        <w:rPr>
          <w:lang w:val="en-GB"/>
        </w:rPr>
        <w:lastRenderedPageBreak/>
        <w:t xml:space="preserve">race he finds the observable differences in treatment are due to statistical discrimination.  </w:t>
      </w:r>
      <w:r w:rsidR="00AD7257">
        <w:rPr>
          <w:lang w:val="en-GB"/>
        </w:rPr>
        <w:t>Similarly, Zussman (2013) experimentally manipulates information on the race of online car buyers and sellers in Israel and</w:t>
      </w:r>
      <w:r w:rsidR="00B60CF6">
        <w:rPr>
          <w:lang w:val="en-GB"/>
        </w:rPr>
        <w:t xml:space="preserve"> combine</w:t>
      </w:r>
      <w:r w:rsidR="0071759E">
        <w:rPr>
          <w:lang w:val="en-GB"/>
        </w:rPr>
        <w:t>s</w:t>
      </w:r>
      <w:r w:rsidR="00B60CF6">
        <w:rPr>
          <w:lang w:val="en-GB"/>
        </w:rPr>
        <w:t xml:space="preserve"> it with sellers’ interview</w:t>
      </w:r>
      <w:r w:rsidR="0071759E">
        <w:rPr>
          <w:lang w:val="en-GB"/>
        </w:rPr>
        <w:t>s</w:t>
      </w:r>
      <w:r w:rsidR="00B60CF6">
        <w:rPr>
          <w:lang w:val="en-GB"/>
        </w:rPr>
        <w:t xml:space="preserve"> aimed at revealing the origin of racial prejudice. He finds</w:t>
      </w:r>
      <w:r w:rsidR="00AD7257">
        <w:rPr>
          <w:lang w:val="en-GB"/>
        </w:rPr>
        <w:t xml:space="preserve"> discrimination against Arab buyers and sellers is statistical rather than tast</w:t>
      </w:r>
      <w:r w:rsidR="00B60CF6">
        <w:rPr>
          <w:lang w:val="en-GB"/>
        </w:rPr>
        <w:t xml:space="preserve">e-based. </w:t>
      </w:r>
      <w:r w:rsidR="00AD7257">
        <w:rPr>
          <w:lang w:val="en-GB"/>
        </w:rPr>
        <w:t xml:space="preserve">Doleac and Stein (2013) </w:t>
      </w:r>
      <w:r w:rsidR="00B60CF6">
        <w:rPr>
          <w:lang w:val="en-GB"/>
        </w:rPr>
        <w:t xml:space="preserve">manipulate pictures of online sellers </w:t>
      </w:r>
      <w:r w:rsidR="00AD7257">
        <w:rPr>
          <w:lang w:val="en-GB"/>
        </w:rPr>
        <w:t>of iPods in the United States: they conclude that discrimination against black sellers is due to statistical discrimination rather than taste-based discrimination. Both Zussman (2013) and Doleac and Stein (2013) point to distrust across groups as the caus</w:t>
      </w:r>
      <w:r w:rsidR="00AC165A">
        <w:rPr>
          <w:lang w:val="en-GB"/>
        </w:rPr>
        <w:t>e of such behaviour, which is also consistent with Pope and Sydnor</w:t>
      </w:r>
      <w:r w:rsidR="00DD5759">
        <w:rPr>
          <w:lang w:val="en-GB"/>
        </w:rPr>
        <w:t>'s</w:t>
      </w:r>
      <w:r w:rsidR="00AC165A">
        <w:rPr>
          <w:lang w:val="en-GB"/>
        </w:rPr>
        <w:t xml:space="preserve"> (2011) evidence </w:t>
      </w:r>
      <w:r w:rsidR="00DD5759">
        <w:rPr>
          <w:lang w:val="en-GB"/>
        </w:rPr>
        <w:t>that</w:t>
      </w:r>
      <w:r w:rsidR="00AC165A">
        <w:rPr>
          <w:lang w:val="en-GB"/>
        </w:rPr>
        <w:t xml:space="preserve"> black </w:t>
      </w:r>
      <w:r w:rsidR="00DD5759">
        <w:rPr>
          <w:lang w:val="en-GB"/>
        </w:rPr>
        <w:t xml:space="preserve">borrowers </w:t>
      </w:r>
      <w:r w:rsidR="00AC165A">
        <w:rPr>
          <w:lang w:val="en-GB"/>
        </w:rPr>
        <w:t>fac</w:t>
      </w:r>
      <w:r w:rsidR="00DD5759">
        <w:rPr>
          <w:lang w:val="en-GB"/>
        </w:rPr>
        <w:t>e</w:t>
      </w:r>
      <w:r w:rsidR="00AC165A">
        <w:rPr>
          <w:lang w:val="en-GB"/>
        </w:rPr>
        <w:t xml:space="preserve"> higher interest rate</w:t>
      </w:r>
      <w:r w:rsidR="00DD5759">
        <w:rPr>
          <w:lang w:val="en-GB"/>
        </w:rPr>
        <w:t>s</w:t>
      </w:r>
      <w:r w:rsidR="00AC165A">
        <w:rPr>
          <w:lang w:val="en-GB"/>
        </w:rPr>
        <w:t xml:space="preserve"> in peer to peer lending.</w:t>
      </w:r>
      <w:r w:rsidR="001D5730">
        <w:rPr>
          <w:lang w:val="en-GB"/>
        </w:rPr>
        <w:t xml:space="preserve"> To our knowledge, our study is the first to seek to isolate taste-based discrimination in a labour market setting.</w:t>
      </w:r>
      <w:r w:rsidR="0013785A">
        <w:rPr>
          <w:lang w:val="en-GB"/>
        </w:rPr>
        <w:t xml:space="preserve"> </w:t>
      </w:r>
      <w:r w:rsidR="00070A0E">
        <w:rPr>
          <w:lang w:val="en-GB"/>
        </w:rPr>
        <w:t>Our setting differs in other important respects from these earlier studies. For instance, most entail market trading where trust relationships are important. What is important for our purposes, however, is that they all point to statistical discrimination as the primary source of racial discrimination.</w:t>
      </w:r>
    </w:p>
    <w:p w:rsidR="00837667" w:rsidRDefault="004B554F" w:rsidP="007E0CCC">
      <w:pPr>
        <w:spacing w:after="120" w:line="480" w:lineRule="auto"/>
        <w:ind w:firstLine="720"/>
        <w:jc w:val="both"/>
        <w:rPr>
          <w:lang w:val="en-GB"/>
        </w:rPr>
      </w:pPr>
      <w:r>
        <w:rPr>
          <w:lang w:val="en-GB"/>
        </w:rPr>
        <w:t xml:space="preserve">Turning to the sports literature on racial discrimination, </w:t>
      </w:r>
      <w:r w:rsidR="00837667">
        <w:rPr>
          <w:lang w:val="en-GB"/>
        </w:rPr>
        <w:t xml:space="preserve">the consensus is that racial discrimination has declined over time. Reviewing the wage discrimination literature for the United States, Rosen and Sanderson (2001: </w:t>
      </w:r>
      <w:r w:rsidR="00037D6F">
        <w:rPr>
          <w:lang w:val="en-GB"/>
        </w:rPr>
        <w:t>F58) suggest that the discrimination which "was easily detected in the initial studies of the 1960s and 1970s...had mostly disappeared by the 1990s...It is difficult to find a negative coefficient on race in US data these days". Kahn (</w:t>
      </w:r>
      <w:r w:rsidR="00937DFC">
        <w:rPr>
          <w:lang w:val="en-GB"/>
        </w:rPr>
        <w:t>2009</w:t>
      </w:r>
      <w:r w:rsidR="00037D6F">
        <w:rPr>
          <w:lang w:val="en-GB"/>
        </w:rPr>
        <w:t xml:space="preserve">) suggests that the racial discrimination on compensation in basketball found in early studies disappeared over time, although there is some evidence of an unexplained black-white salary shortfall among elite players </w:t>
      </w:r>
      <w:r w:rsidR="00037D6F">
        <w:rPr>
          <w:lang w:val="en-GB"/>
        </w:rPr>
        <w:lastRenderedPageBreak/>
        <w:t>(Hamilton, 1997). Further, two studies on hiring decisions for marginal workers suggest no racial bias against players or coaches in basketball (Brown et al., 1991; Kahn, 2006). However, in their review of the sports literature through to the late 1990s</w:t>
      </w:r>
      <w:r w:rsidR="00837667">
        <w:rPr>
          <w:lang w:val="en-GB"/>
        </w:rPr>
        <w:t xml:space="preserve"> Altonji and Blank (1999: 3196) argue that there is evidence of salary discrimination, especially in professional basketball, some customer discrimination against minority players, and "some hiring discrimination, although these results depend on the sport and position</w:t>
      </w:r>
      <w:r w:rsidR="00DE4CAA">
        <w:rPr>
          <w:lang w:val="en-GB"/>
        </w:rPr>
        <w:t xml:space="preserve"> [of the player on the field]</w:t>
      </w:r>
      <w:r w:rsidR="00837667">
        <w:rPr>
          <w:lang w:val="en-GB"/>
        </w:rPr>
        <w:t>".</w:t>
      </w:r>
    </w:p>
    <w:p w:rsidR="00837667" w:rsidRDefault="00AC165A" w:rsidP="007E0CCC">
      <w:pPr>
        <w:spacing w:after="120" w:line="480" w:lineRule="auto"/>
        <w:ind w:firstLine="720"/>
        <w:jc w:val="both"/>
        <w:rPr>
          <w:lang w:val="en-GB"/>
        </w:rPr>
      </w:pPr>
      <w:r>
        <w:rPr>
          <w:lang w:val="en-GB"/>
        </w:rPr>
        <w:t>There also</w:t>
      </w:r>
      <w:r w:rsidR="00037D6F">
        <w:rPr>
          <w:lang w:val="en-GB"/>
        </w:rPr>
        <w:t xml:space="preserve"> appears to be some diminution in the degree of customer discrimination. An early study identified racial discrimination in the value of baseball cards traded by individual collectors (Nardinelli and Simon, 1990). The price paid for black and Hispanic retired baseball players is lower than that for whites conditional on career performance statistics.</w:t>
      </w:r>
      <w:r w:rsidR="00037D6F">
        <w:rPr>
          <w:rStyle w:val="FootnoteReference"/>
          <w:lang w:val="en-GB"/>
        </w:rPr>
        <w:footnoteReference w:id="9"/>
      </w:r>
      <w:r w:rsidR="00037D6F">
        <w:rPr>
          <w:lang w:val="en-GB"/>
        </w:rPr>
        <w:t xml:space="preserve">  However, a more recent paper finds no such price differential (Bodvarsson and Brastow, 1999). </w:t>
      </w:r>
    </w:p>
    <w:p w:rsidR="007E1AE6" w:rsidRDefault="00037D6F" w:rsidP="007E0CCC">
      <w:pPr>
        <w:spacing w:after="120" w:line="480" w:lineRule="auto"/>
        <w:ind w:firstLine="720"/>
        <w:jc w:val="both"/>
        <w:rPr>
          <w:lang w:val="en-GB"/>
        </w:rPr>
      </w:pPr>
      <w:r>
        <w:rPr>
          <w:lang w:val="en-GB"/>
        </w:rPr>
        <w:t xml:space="preserve">Racial discrimination may be less apparent than it used to be because black players have been integrated into </w:t>
      </w:r>
      <w:r w:rsidR="007E1AE6">
        <w:rPr>
          <w:lang w:val="en-GB"/>
        </w:rPr>
        <w:t xml:space="preserve">North American </w:t>
      </w:r>
      <w:r>
        <w:rPr>
          <w:lang w:val="en-GB"/>
        </w:rPr>
        <w:t xml:space="preserve">professional sports. </w:t>
      </w:r>
      <w:r w:rsidR="00A22C60">
        <w:rPr>
          <w:lang w:val="en-GB"/>
        </w:rPr>
        <w:t xml:space="preserve">Goff et al. (2002) </w:t>
      </w:r>
      <w:r w:rsidR="003C5597">
        <w:rPr>
          <w:lang w:val="en-GB"/>
        </w:rPr>
        <w:t xml:space="preserve">treat the integration of black players into North American baseball and basketball as akin to the diffusion of a productivity-enhancing technology. Consistent with this proposition they show black players were more productive than white players during the quarter century over which sports moved from a segregated to an integrated equilibrium. The productivity differential dissipates post-diffusion. </w:t>
      </w:r>
    </w:p>
    <w:p w:rsidR="00F87A14" w:rsidRDefault="007E1AE6" w:rsidP="007E0CCC">
      <w:pPr>
        <w:spacing w:after="120" w:line="480" w:lineRule="auto"/>
        <w:ind w:firstLine="720"/>
        <w:jc w:val="both"/>
        <w:rPr>
          <w:lang w:val="en-GB"/>
        </w:rPr>
      </w:pPr>
      <w:r>
        <w:rPr>
          <w:lang w:val="en-GB"/>
        </w:rPr>
        <w:lastRenderedPageBreak/>
        <w:t>Most of the empirical studies of racial discrimination focus on North American labour markets, especially the sports literature. However, there is one study that focuses directly on racial discrimination in English professional soccer.  Szymanski (2000) shows that teams with a higher share of black players have higher performance controlling for payroll expenditures, a finding which is consistent with racial discrimination.</w:t>
      </w:r>
      <w:r w:rsidR="004A016A">
        <w:rPr>
          <w:lang w:val="en-GB"/>
        </w:rPr>
        <w:t xml:space="preserve"> Whereas Szymanski uses payroll expenditures to proxy for talent, we have direct match-by-match time-varying data on individuals' on-field labour productivity, measured across a variety of dimensions.</w:t>
      </w:r>
    </w:p>
    <w:p w:rsidR="009902E7" w:rsidRPr="00052789" w:rsidRDefault="009902E7" w:rsidP="007E0CCC">
      <w:pPr>
        <w:spacing w:after="120" w:line="480" w:lineRule="auto"/>
        <w:jc w:val="both"/>
        <w:rPr>
          <w:b/>
          <w:lang w:val="en-GB"/>
        </w:rPr>
      </w:pPr>
      <w:r>
        <w:rPr>
          <w:b/>
          <w:lang w:val="en-GB"/>
        </w:rPr>
        <w:t>3.</w:t>
      </w:r>
      <w:r>
        <w:rPr>
          <w:b/>
          <w:lang w:val="en-GB"/>
        </w:rPr>
        <w:tab/>
        <w:t>DATA AND INSTITUTIONAL SETTING</w:t>
      </w:r>
    </w:p>
    <w:p w:rsidR="00567FFC" w:rsidRPr="00567FFC" w:rsidRDefault="00567FFC" w:rsidP="007E0CCC">
      <w:pPr>
        <w:spacing w:after="120" w:line="480" w:lineRule="auto"/>
        <w:ind w:firstLine="720"/>
        <w:jc w:val="both"/>
        <w:rPr>
          <w:i/>
          <w:lang w:val="en-GB"/>
        </w:rPr>
      </w:pPr>
      <w:r w:rsidRPr="00567FFC">
        <w:rPr>
          <w:i/>
          <w:lang w:val="en-GB"/>
        </w:rPr>
        <w:t>3.1 Institutional Set-up</w:t>
      </w:r>
    </w:p>
    <w:p w:rsidR="000E01A2" w:rsidRPr="0044430E" w:rsidRDefault="000E01A2" w:rsidP="007E0CCC">
      <w:pPr>
        <w:spacing w:after="120" w:line="480" w:lineRule="auto"/>
        <w:ind w:firstLine="720"/>
        <w:jc w:val="both"/>
      </w:pPr>
      <w:r>
        <w:rPr>
          <w:lang w:val="en-GB"/>
        </w:rPr>
        <w:t xml:space="preserve">We analyse the virtual market of the Fantasy Premier League (FPL); an on-line game based on the Barclays Premier League, which is the top flight of professional football in England. FPL is played by about 2.5 million individuals who sign up to play the game in the course of a season. Participation in the </w:t>
      </w:r>
      <w:r w:rsidR="00DE4CAA">
        <w:rPr>
          <w:lang w:val="en-GB"/>
        </w:rPr>
        <w:t>FPL</w:t>
      </w:r>
      <w:r>
        <w:rPr>
          <w:lang w:val="en-GB"/>
        </w:rPr>
        <w:t xml:space="preserve"> is free. On subscribing,</w:t>
      </w:r>
      <w:r w:rsidR="00A77625">
        <w:rPr>
          <w:lang w:val="en-GB"/>
        </w:rPr>
        <w:t xml:space="preserve"> participant</w:t>
      </w:r>
      <w:r>
        <w:rPr>
          <w:lang w:val="en-GB"/>
        </w:rPr>
        <w:t>s are given a fictional budget of £100 million from which they must purchase a squad of fifteen professional footballers playing in the league</w:t>
      </w:r>
      <w:r w:rsidR="001C2101">
        <w:rPr>
          <w:rStyle w:val="FootnoteReference"/>
          <w:lang w:val="en-GB"/>
        </w:rPr>
        <w:footnoteReference w:id="10"/>
      </w:r>
      <w:r>
        <w:rPr>
          <w:lang w:val="en-GB"/>
        </w:rPr>
        <w:t xml:space="preserve">. The price of players </w:t>
      </w:r>
      <w:r w:rsidR="00DE4CAA">
        <w:rPr>
          <w:lang w:val="en-GB"/>
        </w:rPr>
        <w:t>is</w:t>
      </w:r>
      <w:r>
        <w:rPr>
          <w:lang w:val="en-GB"/>
        </w:rPr>
        <w:t xml:space="preserve"> set by the FPL and reviewed every week. Like in a real firm, different positions must be filled. Here, a team must consist of two goalkeepers, five defenders, five midfielders and three strikers. These players are real footballers playing professional football in the Barclays Premier League</w:t>
      </w:r>
      <w:r w:rsidR="00AD33A2">
        <w:rPr>
          <w:lang w:val="en-GB"/>
        </w:rPr>
        <w:t xml:space="preserve">; their actions on the pitch </w:t>
      </w:r>
      <w:r w:rsidR="00554945">
        <w:rPr>
          <w:lang w:val="en-GB"/>
        </w:rPr>
        <w:t>are</w:t>
      </w:r>
      <w:r w:rsidR="00AD33A2">
        <w:rPr>
          <w:lang w:val="en-GB"/>
        </w:rPr>
        <w:t xml:space="preserve"> rewarded in fantasy points</w:t>
      </w:r>
      <w:r>
        <w:rPr>
          <w:lang w:val="en-GB"/>
        </w:rPr>
        <w:t xml:space="preserve">. Participants </w:t>
      </w:r>
      <w:r w:rsidR="00DE4CAA">
        <w:rPr>
          <w:lang w:val="en-GB"/>
        </w:rPr>
        <w:t>in the FPL</w:t>
      </w:r>
      <w:r>
        <w:rPr>
          <w:lang w:val="en-GB"/>
        </w:rPr>
        <w:t xml:space="preserve"> are employers in the sense that they buy and sell the players they </w:t>
      </w:r>
      <w:r>
        <w:rPr>
          <w:lang w:val="en-GB"/>
        </w:rPr>
        <w:lastRenderedPageBreak/>
        <w:t xml:space="preserve">need in order to produce points and win the </w:t>
      </w:r>
      <w:r w:rsidR="00CF70B4">
        <w:rPr>
          <w:lang w:val="en-GB"/>
        </w:rPr>
        <w:t>FPL</w:t>
      </w:r>
      <w:r>
        <w:rPr>
          <w:lang w:val="en-GB"/>
        </w:rPr>
        <w:t xml:space="preserve">. The overall winner is the team with </w:t>
      </w:r>
      <w:r w:rsidR="00DE4CAA">
        <w:rPr>
          <w:lang w:val="en-GB"/>
        </w:rPr>
        <w:t>the most</w:t>
      </w:r>
      <w:r>
        <w:rPr>
          <w:lang w:val="en-GB"/>
        </w:rPr>
        <w:t xml:space="preserve"> points </w:t>
      </w:r>
      <w:r w:rsidR="00DE4CAA">
        <w:rPr>
          <w:lang w:val="en-GB"/>
        </w:rPr>
        <w:t>at the end</w:t>
      </w:r>
      <w:r>
        <w:rPr>
          <w:lang w:val="en-GB"/>
        </w:rPr>
        <w:t xml:space="preserve"> of the season, or over a month for the monthly prizes.</w:t>
      </w:r>
      <w:r w:rsidRPr="0044430E">
        <w:t xml:space="preserve"> It is also possible to enter teams in private leagues, so as to compete amongst friends</w:t>
      </w:r>
      <w:r w:rsidR="005A76D7">
        <w:t>.</w:t>
      </w:r>
      <w:r w:rsidR="00903370">
        <w:rPr>
          <w:rStyle w:val="FootnoteReference"/>
        </w:rPr>
        <w:footnoteReference w:id="11"/>
      </w:r>
      <w:r w:rsidRPr="0044430E">
        <w:t xml:space="preserve"> These </w:t>
      </w:r>
      <w:r>
        <w:t xml:space="preserve">competitions </w:t>
      </w:r>
      <w:r w:rsidRPr="0044430E">
        <w:t xml:space="preserve">create incentives for </w:t>
      </w:r>
      <w:r>
        <w:t>FPL participants</w:t>
      </w:r>
      <w:r w:rsidRPr="0044430E">
        <w:t xml:space="preserve"> to maximize the number of points scored throughout the season</w:t>
      </w:r>
      <w:r>
        <w:t>,</w:t>
      </w:r>
      <w:r w:rsidRPr="0044430E">
        <w:t xml:space="preserve"> even when an overall win is no longer possible.</w:t>
      </w:r>
    </w:p>
    <w:p w:rsidR="000E01A2" w:rsidRDefault="000E01A2" w:rsidP="007E0CCC">
      <w:pPr>
        <w:spacing w:after="120" w:line="480" w:lineRule="auto"/>
        <w:ind w:firstLine="720"/>
        <w:jc w:val="both"/>
        <w:rPr>
          <w:lang w:val="en-GB"/>
        </w:rPr>
      </w:pPr>
      <w:r>
        <w:rPr>
          <w:lang w:val="en-GB"/>
        </w:rPr>
        <w:t>As well as selecting their initial squad, employers are able to fire and hire new workers after each game, subject to budget constrai</w:t>
      </w:r>
      <w:r w:rsidR="001C2101">
        <w:rPr>
          <w:lang w:val="en-GB"/>
        </w:rPr>
        <w:t>nts</w:t>
      </w:r>
      <w:r>
        <w:rPr>
          <w:lang w:val="en-GB"/>
        </w:rPr>
        <w:t>.  The cost of a hire is the value of the incoming player plus the gap between the value of the outgoing player on the open market and the value the employer recovers on sale (which is not the full market price</w:t>
      </w:r>
      <w:r w:rsidR="00DE4CAA">
        <w:rPr>
          <w:lang w:val="en-GB"/>
        </w:rPr>
        <w:t>).</w:t>
      </w:r>
      <w:r>
        <w:rPr>
          <w:rStyle w:val="FootnoteReference"/>
          <w:lang w:val="en-GB"/>
        </w:rPr>
        <w:footnoteReference w:id="12"/>
      </w:r>
      <w:r>
        <w:rPr>
          <w:lang w:val="en-GB"/>
        </w:rPr>
        <w:t xml:space="preserve"> Employers are permitted one transfer per week which does not </w:t>
      </w:r>
      <w:r w:rsidR="00AC165A">
        <w:rPr>
          <w:lang w:val="en-GB"/>
        </w:rPr>
        <w:t>affect their accumulated point</w:t>
      </w:r>
      <w:r w:rsidR="00DE4CAA">
        <w:rPr>
          <w:lang w:val="en-GB"/>
        </w:rPr>
        <w:t>s</w:t>
      </w:r>
      <w:r w:rsidR="001C2101">
        <w:rPr>
          <w:lang w:val="en-GB"/>
        </w:rPr>
        <w:t xml:space="preserve"> </w:t>
      </w:r>
      <w:r>
        <w:rPr>
          <w:lang w:val="en-GB"/>
        </w:rPr>
        <w:t xml:space="preserve">total. </w:t>
      </w:r>
      <w:r w:rsidR="001C2101">
        <w:rPr>
          <w:lang w:val="en-GB"/>
        </w:rPr>
        <w:t xml:space="preserve">Any </w:t>
      </w:r>
      <w:r>
        <w:rPr>
          <w:lang w:val="en-GB"/>
        </w:rPr>
        <w:t xml:space="preserve">additional transfers entail a deduction of four points, which must be added to the financial cost of making a transfer. Once a year, FPL participants are allowed to hire an unlimited number of footballers </w:t>
      </w:r>
      <w:r w:rsidR="004E3170">
        <w:rPr>
          <w:lang w:val="en-GB"/>
        </w:rPr>
        <w:t>with</w:t>
      </w:r>
      <w:r>
        <w:rPr>
          <w:lang w:val="en-GB"/>
        </w:rPr>
        <w:t xml:space="preserve"> no point penalty. </w:t>
      </w:r>
    </w:p>
    <w:p w:rsidR="000E01A2" w:rsidRDefault="009902E7" w:rsidP="007E0CCC">
      <w:pPr>
        <w:spacing w:after="120" w:line="480" w:lineRule="auto"/>
        <w:ind w:firstLine="720"/>
        <w:jc w:val="both"/>
        <w:rPr>
          <w:lang w:val="en-GB"/>
        </w:rPr>
      </w:pPr>
      <w:r>
        <w:rPr>
          <w:lang w:val="en-GB"/>
        </w:rPr>
        <w:t xml:space="preserve">The points scoring system, i.e. the production function of our firms, is presented in Appendix Table A1. </w:t>
      </w:r>
      <w:r w:rsidR="000E01A2">
        <w:rPr>
          <w:lang w:val="en-GB"/>
        </w:rPr>
        <w:t xml:space="preserve">Footballers score points for playing </w:t>
      </w:r>
      <w:r w:rsidR="00AC165A">
        <w:rPr>
          <w:lang w:val="en-GB"/>
        </w:rPr>
        <w:t xml:space="preserve">in </w:t>
      </w:r>
      <w:r w:rsidR="000E01A2">
        <w:rPr>
          <w:lang w:val="en-GB"/>
        </w:rPr>
        <w:t xml:space="preserve">that particular week, for the time spent on the pitch, and for the actions they perform (positive points for goal scoring, assists and the like, and negative points for own goals, and disciplinary offences leading to red and yellow cards) and bonus points for overall performance. </w:t>
      </w:r>
      <w:r w:rsidR="00B26EC3">
        <w:rPr>
          <w:lang w:val="en-GB"/>
        </w:rPr>
        <w:t xml:space="preserve">Bonus points are awarded to the best three players </w:t>
      </w:r>
      <w:r w:rsidR="004E3170">
        <w:rPr>
          <w:lang w:val="en-GB"/>
        </w:rPr>
        <w:t>in</w:t>
      </w:r>
      <w:r w:rsidR="00B26EC3">
        <w:rPr>
          <w:lang w:val="en-GB"/>
        </w:rPr>
        <w:t xml:space="preserve"> each game, again based on some pre-determined metrics (see Table A1).</w:t>
      </w:r>
      <w:r w:rsidR="00300EF1">
        <w:rPr>
          <w:lang w:val="en-GB"/>
        </w:rPr>
        <w:t xml:space="preserve"> </w:t>
      </w:r>
      <w:r w:rsidR="000E01A2">
        <w:rPr>
          <w:lang w:val="en-GB"/>
        </w:rPr>
        <w:t>Productivity is thus objectively measured</w:t>
      </w:r>
      <w:r w:rsidR="00300EF1">
        <w:rPr>
          <w:lang w:val="en-GB"/>
        </w:rPr>
        <w:t xml:space="preserve"> for all workers and </w:t>
      </w:r>
      <w:r w:rsidR="00300EF1">
        <w:rPr>
          <w:lang w:val="en-GB"/>
        </w:rPr>
        <w:lastRenderedPageBreak/>
        <w:t>potential employees</w:t>
      </w:r>
      <w:r w:rsidR="000E01A2">
        <w:rPr>
          <w:lang w:val="en-GB"/>
        </w:rPr>
        <w:t xml:space="preserve">. </w:t>
      </w:r>
      <w:r w:rsidR="001550E7">
        <w:rPr>
          <w:lang w:val="en-GB"/>
        </w:rPr>
        <w:t>The productivity measure is largely independent of the referee – apart from disciplinary offences</w:t>
      </w:r>
      <w:r w:rsidR="005A76D7">
        <w:rPr>
          <w:lang w:val="en-GB"/>
        </w:rPr>
        <w:t xml:space="preserve"> - so</w:t>
      </w:r>
      <w:r w:rsidR="001550E7">
        <w:rPr>
          <w:lang w:val="en-GB"/>
        </w:rPr>
        <w:t xml:space="preserve"> the behaviour of players </w:t>
      </w:r>
      <w:r w:rsidR="005A76D7">
        <w:rPr>
          <w:lang w:val="en-GB"/>
        </w:rPr>
        <w:t>is</w:t>
      </w:r>
      <w:r w:rsidR="001550E7">
        <w:rPr>
          <w:lang w:val="en-GB"/>
        </w:rPr>
        <w:t xml:space="preserve"> unlikely to be directly affected by referees discrimination (Parsons, Sulaeman, Yates and Hamermesh, 2011)</w:t>
      </w:r>
      <w:r w:rsidR="005A76D7">
        <w:rPr>
          <w:lang w:val="en-GB"/>
        </w:rPr>
        <w:t>.</w:t>
      </w:r>
    </w:p>
    <w:p w:rsidR="000E01A2" w:rsidRDefault="000E01A2" w:rsidP="007E0CCC">
      <w:pPr>
        <w:spacing w:after="120" w:line="480" w:lineRule="auto"/>
        <w:ind w:firstLine="720"/>
        <w:jc w:val="both"/>
        <w:rPr>
          <w:lang w:val="en-GB"/>
        </w:rPr>
      </w:pPr>
      <w:r>
        <w:rPr>
          <w:lang w:val="en-GB"/>
        </w:rPr>
        <w:t>Demand for particular players reflects what is known about their on-field performance, i.e. their productivity, as well as their cost to the employer – as determined by the market value of the player set by F</w:t>
      </w:r>
      <w:r w:rsidR="00B26EC3">
        <w:rPr>
          <w:lang w:val="en-GB"/>
        </w:rPr>
        <w:t>PL</w:t>
      </w:r>
      <w:r>
        <w:rPr>
          <w:lang w:val="en-GB"/>
        </w:rPr>
        <w:t xml:space="preserve"> – and employers’ personal preferences. Employers have excellent information on each </w:t>
      </w:r>
      <w:r w:rsidR="00CF70B4">
        <w:rPr>
          <w:lang w:val="en-GB"/>
        </w:rPr>
        <w:t>footballer’s</w:t>
      </w:r>
      <w:r>
        <w:rPr>
          <w:lang w:val="en-GB"/>
        </w:rPr>
        <w:t xml:space="preserve"> performance across the dimensions described in Table A1, </w:t>
      </w:r>
      <w:r w:rsidR="004E3170">
        <w:rPr>
          <w:lang w:val="en-GB"/>
        </w:rPr>
        <w:t>both</w:t>
      </w:r>
      <w:r>
        <w:rPr>
          <w:lang w:val="en-GB"/>
        </w:rPr>
        <w:t xml:space="preserve"> in previous years when the season starts </w:t>
      </w:r>
      <w:r w:rsidR="004E3170">
        <w:rPr>
          <w:lang w:val="en-GB"/>
        </w:rPr>
        <w:t>and</w:t>
      </w:r>
      <w:r>
        <w:rPr>
          <w:lang w:val="en-GB"/>
        </w:rPr>
        <w:t xml:space="preserve"> in the past games as the season progresses. </w:t>
      </w:r>
      <w:r w:rsidR="001C2101">
        <w:rPr>
          <w:lang w:val="en-GB"/>
        </w:rPr>
        <w:t>As such</w:t>
      </w:r>
      <w:r w:rsidR="004E3170">
        <w:rPr>
          <w:lang w:val="en-GB"/>
        </w:rPr>
        <w:t>,</w:t>
      </w:r>
      <w:r w:rsidR="001C2101">
        <w:rPr>
          <w:lang w:val="en-GB"/>
        </w:rPr>
        <w:t xml:space="preserve"> information about the productivity of each potential worker improves over time, and is available to all firms. </w:t>
      </w:r>
      <w:r>
        <w:rPr>
          <w:lang w:val="en-GB"/>
        </w:rPr>
        <w:t>Importantly to study racial discrimination, the summary information presented for each footballer contains a colour picture, as well as his position, team, the proportion of other employers who have that player in their squad, his performance in recent matche</w:t>
      </w:r>
      <w:r w:rsidR="00681819">
        <w:rPr>
          <w:lang w:val="en-GB"/>
        </w:rPr>
        <w:t>s, his current market value,</w:t>
      </w:r>
      <w:r>
        <w:rPr>
          <w:lang w:val="en-GB"/>
        </w:rPr>
        <w:t xml:space="preserve"> upcoming fixtures</w:t>
      </w:r>
      <w:r w:rsidR="00681819">
        <w:rPr>
          <w:lang w:val="en-GB"/>
        </w:rPr>
        <w:t xml:space="preserve">, the number of games the player is scheduled to play this week (usually one, but </w:t>
      </w:r>
      <w:r w:rsidR="00CF70B4">
        <w:rPr>
          <w:lang w:val="en-GB"/>
        </w:rPr>
        <w:t>occasionally</w:t>
      </w:r>
      <w:r w:rsidR="00681819">
        <w:rPr>
          <w:lang w:val="en-GB"/>
        </w:rPr>
        <w:t xml:space="preserve"> zero or two) and </w:t>
      </w:r>
      <w:r w:rsidR="004E3170">
        <w:rPr>
          <w:lang w:val="en-GB"/>
        </w:rPr>
        <w:t xml:space="preserve">an </w:t>
      </w:r>
      <w:r w:rsidR="00681819">
        <w:rPr>
          <w:lang w:val="en-GB"/>
        </w:rPr>
        <w:t xml:space="preserve">injuries update. </w:t>
      </w:r>
      <w:r>
        <w:rPr>
          <w:lang w:val="en-GB"/>
        </w:rPr>
        <w:t xml:space="preserve">This is illustrated in </w:t>
      </w:r>
      <w:commentRangeStart w:id="0"/>
      <w:r>
        <w:rPr>
          <w:lang w:val="en-GB"/>
        </w:rPr>
        <w:t>Figure A1</w:t>
      </w:r>
      <w:commentRangeEnd w:id="0"/>
      <w:r w:rsidR="00965064">
        <w:rPr>
          <w:rStyle w:val="CommentReference"/>
        </w:rPr>
        <w:commentReference w:id="0"/>
      </w:r>
      <w:r>
        <w:rPr>
          <w:lang w:val="en-GB"/>
        </w:rPr>
        <w:t xml:space="preserve"> for Emmanuel Adebayor. These pictures were used to determine the race of each footballer</w:t>
      </w:r>
      <w:r w:rsidR="00CF70B4">
        <w:rPr>
          <w:lang w:val="en-GB"/>
        </w:rPr>
        <w:t xml:space="preserve"> via face recognition software</w:t>
      </w:r>
      <w:r>
        <w:rPr>
          <w:lang w:val="en-GB"/>
        </w:rPr>
        <w:t>, using a dichotomous categorisation: white, non-white.</w:t>
      </w:r>
      <w:r w:rsidR="00993EDD">
        <w:rPr>
          <w:rStyle w:val="FootnoteReference"/>
          <w:lang w:val="en-GB"/>
        </w:rPr>
        <w:footnoteReference w:id="13"/>
      </w:r>
      <w:r>
        <w:rPr>
          <w:lang w:val="en-GB"/>
        </w:rPr>
        <w:t xml:space="preserve"> </w:t>
      </w:r>
    </w:p>
    <w:p w:rsidR="000E01A2" w:rsidRDefault="009902E7" w:rsidP="007E0CCC">
      <w:pPr>
        <w:spacing w:after="120" w:line="480" w:lineRule="auto"/>
        <w:ind w:firstLine="720"/>
        <w:jc w:val="both"/>
        <w:rPr>
          <w:lang w:val="en-GB"/>
        </w:rPr>
      </w:pPr>
      <w:r>
        <w:rPr>
          <w:lang w:val="en-GB"/>
        </w:rPr>
        <w:t xml:space="preserve">Seven features of this setting mean that we can recover more precise estimates of racial discrimination in relation to hiring than is possible in other settings.  First, we are able to identify the effects of taste-based employer discrimination, as opposed to the </w:t>
      </w:r>
      <w:r>
        <w:rPr>
          <w:lang w:val="en-GB"/>
        </w:rPr>
        <w:lastRenderedPageBreak/>
        <w:t>effects of customer, co-worker or statistical discrimination. There is no possibility of customer discrimination since employers do not have clients.</w:t>
      </w:r>
      <w:r>
        <w:rPr>
          <w:rStyle w:val="FootnoteReference"/>
          <w:lang w:val="en-GB"/>
        </w:rPr>
        <w:footnoteReference w:id="14"/>
      </w:r>
      <w:r w:rsidRPr="00DA27DF">
        <w:rPr>
          <w:lang w:val="en-GB"/>
        </w:rPr>
        <w:t xml:space="preserve"> </w:t>
      </w:r>
      <w:r>
        <w:rPr>
          <w:lang w:val="en-GB"/>
        </w:rPr>
        <w:t xml:space="preserve">Team production is simply additive in individual workers' production; the absence of co-worker relations means there is no co-worker discrimination. It also means that we can ignore the importance of productivity spill-over across </w:t>
      </w:r>
      <w:r w:rsidR="002979C7">
        <w:rPr>
          <w:lang w:val="en-GB"/>
        </w:rPr>
        <w:t>work</w:t>
      </w:r>
      <w:r>
        <w:rPr>
          <w:lang w:val="en-GB"/>
        </w:rPr>
        <w:t xml:space="preserve">ers, which would complicate recruitment and retention decisions by bringing in factors other than individual talent. Employers have access to very comprehensive weekly data on the productivity histories of all workers in the industry, together with their market prices, so their information set regarding worker value is much richer than would ordinarily be the case. Since </w:t>
      </w:r>
      <w:r w:rsidR="009F707E">
        <w:rPr>
          <w:lang w:val="en-GB"/>
        </w:rPr>
        <w:t xml:space="preserve">the productivity of each </w:t>
      </w:r>
      <w:r>
        <w:rPr>
          <w:lang w:val="en-GB"/>
        </w:rPr>
        <w:t xml:space="preserve">worker </w:t>
      </w:r>
      <w:r w:rsidR="009F707E">
        <w:rPr>
          <w:lang w:val="en-GB"/>
        </w:rPr>
        <w:t xml:space="preserve">(not only of employees) </w:t>
      </w:r>
      <w:r>
        <w:rPr>
          <w:lang w:val="en-GB"/>
        </w:rPr>
        <w:t>is perfectly known</w:t>
      </w:r>
      <w:r w:rsidR="000E01A2">
        <w:rPr>
          <w:lang w:val="en-GB"/>
        </w:rPr>
        <w:t>, at least as the season progresses,</w:t>
      </w:r>
      <w:r>
        <w:rPr>
          <w:lang w:val="en-GB"/>
        </w:rPr>
        <w:t xml:space="preserve"> there is no scope for statistical discrimination. Employers also know the skin colour of all workers in the population of potential recruits</w:t>
      </w:r>
      <w:r w:rsidR="007A143E">
        <w:rPr>
          <w:lang w:val="en-GB"/>
        </w:rPr>
        <w:t>: it is not</w:t>
      </w:r>
      <w:r>
        <w:rPr>
          <w:lang w:val="en-GB"/>
        </w:rPr>
        <w:t xml:space="preserve"> just prox</w:t>
      </w:r>
      <w:r w:rsidR="007A143E">
        <w:rPr>
          <w:lang w:val="en-GB"/>
        </w:rPr>
        <w:t>ied</w:t>
      </w:r>
      <w:r>
        <w:rPr>
          <w:lang w:val="en-GB"/>
        </w:rPr>
        <w:t xml:space="preserve"> by name as in most field experiments (Bertrand et al, Mulainathan, 2004, for example).  They are therefore able to account fully for the performance of workers and their race in decisions concerning recruitment and retention.  Thus, if there are any indications of racial bias, they are unlikely to reflect anything but employer taste-based discrimination.</w:t>
      </w:r>
      <w:r w:rsidRPr="00D65237">
        <w:rPr>
          <w:lang w:val="en-GB"/>
        </w:rPr>
        <w:t xml:space="preserve"> </w:t>
      </w:r>
    </w:p>
    <w:p w:rsidR="009902E7" w:rsidRDefault="000E01A2" w:rsidP="007E0CCC">
      <w:pPr>
        <w:spacing w:after="120" w:line="480" w:lineRule="auto"/>
        <w:ind w:firstLine="720"/>
        <w:jc w:val="both"/>
        <w:rPr>
          <w:lang w:val="en-GB"/>
        </w:rPr>
      </w:pPr>
      <w:r>
        <w:rPr>
          <w:lang w:val="en-GB"/>
        </w:rPr>
        <w:t>Second, employers are free to discriminate in their hiring and firing behaviour. In this sense we are "turning back the clock" to a time when employers faced no legal impediments to discrimination</w:t>
      </w:r>
      <w:r w:rsidR="007A143E">
        <w:rPr>
          <w:lang w:val="en-GB"/>
        </w:rPr>
        <w:t>.  T</w:t>
      </w:r>
      <w:r>
        <w:rPr>
          <w:lang w:val="en-GB"/>
        </w:rPr>
        <w:t>he</w:t>
      </w:r>
      <w:r w:rsidR="007A143E">
        <w:rPr>
          <w:lang w:val="en-GB"/>
        </w:rPr>
        <w:t>refore the</w:t>
      </w:r>
      <w:r>
        <w:rPr>
          <w:lang w:val="en-GB"/>
        </w:rPr>
        <w:t xml:space="preserve"> costs of discrimination are low and we can thus identify an unbiased taste for discrimination.  </w:t>
      </w:r>
    </w:p>
    <w:p w:rsidR="000E01A2" w:rsidRDefault="009902E7" w:rsidP="007E0CCC">
      <w:pPr>
        <w:spacing w:after="120" w:line="480" w:lineRule="auto"/>
        <w:ind w:firstLine="720"/>
        <w:jc w:val="both"/>
        <w:rPr>
          <w:lang w:val="en-GB"/>
        </w:rPr>
      </w:pPr>
      <w:r>
        <w:rPr>
          <w:lang w:val="en-GB"/>
        </w:rPr>
        <w:t>Third, the setting is a single occupation in a sing</w:t>
      </w:r>
      <w:r w:rsidR="00B26EC3">
        <w:rPr>
          <w:lang w:val="en-GB"/>
        </w:rPr>
        <w:t>le industry, so workers are perfectly substitutable</w:t>
      </w:r>
      <w:r>
        <w:rPr>
          <w:lang w:val="en-GB"/>
        </w:rPr>
        <w:t xml:space="preserve"> for one another</w:t>
      </w:r>
      <w:r w:rsidR="000E01A2">
        <w:rPr>
          <w:lang w:val="en-GB"/>
        </w:rPr>
        <w:t xml:space="preserve"> (within a position</w:t>
      </w:r>
      <w:r w:rsidR="007A143E">
        <w:rPr>
          <w:lang w:val="en-GB"/>
        </w:rPr>
        <w:t xml:space="preserve"> on the field</w:t>
      </w:r>
      <w:r w:rsidR="000E01A2">
        <w:rPr>
          <w:lang w:val="en-GB"/>
        </w:rPr>
        <w:t>)</w:t>
      </w:r>
      <w:r>
        <w:rPr>
          <w:lang w:val="en-GB"/>
        </w:rPr>
        <w:t xml:space="preserve">, and the full </w:t>
      </w:r>
      <w:r>
        <w:rPr>
          <w:lang w:val="en-GB"/>
        </w:rPr>
        <w:lastRenderedPageBreak/>
        <w:t>productivity history of workers is available at no cost</w:t>
      </w:r>
      <w:r w:rsidR="000E01A2">
        <w:rPr>
          <w:lang w:val="en-GB"/>
        </w:rPr>
        <w:t>; i.e. there is no monitoring cost</w:t>
      </w:r>
      <w:r>
        <w:rPr>
          <w:lang w:val="en-GB"/>
        </w:rPr>
        <w:t xml:space="preserve">. Thus, this study can overcome the problem that, in many observational studies, it is difficult to compare "like-for-like" workers.  </w:t>
      </w:r>
      <w:r w:rsidR="002979C7">
        <w:rPr>
          <w:lang w:val="en-GB"/>
        </w:rPr>
        <w:t>There could still be an issue that black and white players are not perfect substitute if there is discrimination on the pitch: i.e. coaches are less likely to select black players or leave them on the pitch for shorter periods of time. We will demonstrate below that this is not the case.</w:t>
      </w:r>
    </w:p>
    <w:p w:rsidR="009902E7" w:rsidRDefault="009902E7" w:rsidP="007E0CCC">
      <w:pPr>
        <w:spacing w:after="120" w:line="480" w:lineRule="auto"/>
        <w:ind w:firstLine="720"/>
        <w:jc w:val="both"/>
        <w:rPr>
          <w:lang w:val="en-GB"/>
        </w:rPr>
      </w:pPr>
      <w:r>
        <w:rPr>
          <w:lang w:val="en-GB"/>
        </w:rPr>
        <w:t xml:space="preserve">Fourth, as in a laboratory experiment, the firms are identical in size, </w:t>
      </w:r>
      <w:r w:rsidR="000770CC">
        <w:rPr>
          <w:lang w:val="en-GB"/>
        </w:rPr>
        <w:t xml:space="preserve">technology and initial budget. </w:t>
      </w:r>
      <w:r>
        <w:rPr>
          <w:lang w:val="en-GB"/>
        </w:rPr>
        <w:t>In assembling the workers required by the firm</w:t>
      </w:r>
      <w:r w:rsidR="00B26EC3">
        <w:rPr>
          <w:lang w:val="en-GB"/>
        </w:rPr>
        <w:t>,</w:t>
      </w:r>
      <w:r>
        <w:rPr>
          <w:lang w:val="en-GB"/>
        </w:rPr>
        <w:t xml:space="preserve"> employers must fill identical job slots within the firm. At the beginning of the year all employers face the same budget constraint, so their ability to recruit a mix of more and less talented workers is identical at the outset, although budgets vary as the season progresses due to value added (destroyed) when selling workers. </w:t>
      </w:r>
    </w:p>
    <w:p w:rsidR="000E01A2" w:rsidRDefault="009902E7" w:rsidP="007E0CCC">
      <w:pPr>
        <w:spacing w:after="120" w:line="480" w:lineRule="auto"/>
        <w:ind w:firstLine="720"/>
        <w:jc w:val="both"/>
        <w:rPr>
          <w:lang w:val="en-GB"/>
        </w:rPr>
      </w:pPr>
      <w:r>
        <w:rPr>
          <w:lang w:val="en-GB"/>
        </w:rPr>
        <w:t xml:space="preserve">Fifth, although firms are in competition with one another, workers are able to work at more than one firm simultaneously so that firms are not in direct competition with one another for worker talent. Thus, in principle, all workers are available for hire, subject to firms' budget constraints. </w:t>
      </w:r>
    </w:p>
    <w:p w:rsidR="000E01A2" w:rsidRDefault="009902E7" w:rsidP="007E0CCC">
      <w:pPr>
        <w:spacing w:after="120" w:line="480" w:lineRule="auto"/>
        <w:ind w:firstLine="720"/>
        <w:jc w:val="both"/>
        <w:rPr>
          <w:lang w:val="en-GB"/>
        </w:rPr>
      </w:pPr>
      <w:r>
        <w:rPr>
          <w:lang w:val="en-GB"/>
        </w:rPr>
        <w:t>Sixth, workers have no say in the firms they join</w:t>
      </w:r>
      <w:r w:rsidR="007E0CCC">
        <w:rPr>
          <w:lang w:val="en-GB"/>
        </w:rPr>
        <w:t xml:space="preserve"> and can only exit if fired</w:t>
      </w:r>
      <w:r>
        <w:rPr>
          <w:lang w:val="en-GB"/>
        </w:rPr>
        <w:t>, so there is no selection of workers into more (less) discriminating firms.</w:t>
      </w:r>
      <w:r>
        <w:rPr>
          <w:rStyle w:val="FootnoteReference"/>
          <w:lang w:val="en-GB"/>
        </w:rPr>
        <w:footnoteReference w:id="15"/>
      </w:r>
      <w:r>
        <w:rPr>
          <w:lang w:val="en-GB"/>
        </w:rPr>
        <w:t xml:space="preserve"> </w:t>
      </w:r>
    </w:p>
    <w:p w:rsidR="009902E7" w:rsidRDefault="009902E7" w:rsidP="007E0CCC">
      <w:pPr>
        <w:spacing w:after="120" w:line="480" w:lineRule="auto"/>
        <w:ind w:firstLine="720"/>
        <w:jc w:val="both"/>
        <w:rPr>
          <w:lang w:val="en-GB"/>
        </w:rPr>
      </w:pPr>
      <w:r>
        <w:rPr>
          <w:lang w:val="en-GB"/>
        </w:rPr>
        <w:t>Finally, employers are price takers: the price of recruiting individual workers</w:t>
      </w:r>
      <w:r w:rsidR="00B26EC3">
        <w:rPr>
          <w:lang w:val="en-GB"/>
        </w:rPr>
        <w:t>, i.e. a sign-on fee</w:t>
      </w:r>
      <w:r w:rsidR="009A3054">
        <w:rPr>
          <w:lang w:val="en-GB"/>
        </w:rPr>
        <w:t>,</w:t>
      </w:r>
      <w:r>
        <w:rPr>
          <w:lang w:val="en-GB"/>
        </w:rPr>
        <w:t xml:space="preserve"> varies substantially but individual employers are u</w:t>
      </w:r>
      <w:r w:rsidR="00FD3ED3">
        <w:rPr>
          <w:lang w:val="en-GB"/>
        </w:rPr>
        <w:t>nable to influence these prices. P</w:t>
      </w:r>
      <w:r>
        <w:rPr>
          <w:lang w:val="en-GB"/>
        </w:rPr>
        <w:t>rice</w:t>
      </w:r>
      <w:r w:rsidR="00FD3ED3">
        <w:rPr>
          <w:lang w:val="en-GB"/>
        </w:rPr>
        <w:t>s attached to workers are</w:t>
      </w:r>
      <w:r>
        <w:rPr>
          <w:lang w:val="en-GB"/>
        </w:rPr>
        <w:t xml:space="preserve"> ex</w:t>
      </w:r>
      <w:r w:rsidR="003B7CF8">
        <w:rPr>
          <w:lang w:val="en-GB"/>
        </w:rPr>
        <w:t>ogenous to the firm, but relate</w:t>
      </w:r>
      <w:r>
        <w:rPr>
          <w:lang w:val="en-GB"/>
        </w:rPr>
        <w:t xml:space="preserve"> very strongly to </w:t>
      </w:r>
      <w:r>
        <w:rPr>
          <w:lang w:val="en-GB"/>
        </w:rPr>
        <w:lastRenderedPageBreak/>
        <w:t>worker performance, as we shall see. As such, firms cannot exploit minority wo</w:t>
      </w:r>
      <w:r w:rsidR="009A3054">
        <w:rPr>
          <w:lang w:val="en-GB"/>
        </w:rPr>
        <w:t>rkers by offering them lower sign on fe</w:t>
      </w:r>
      <w:r>
        <w:rPr>
          <w:lang w:val="en-GB"/>
        </w:rPr>
        <w:t>es.</w:t>
      </w:r>
      <w:r w:rsidR="009A3054">
        <w:rPr>
          <w:lang w:val="en-GB"/>
        </w:rPr>
        <w:t xml:space="preserve"> Once signed, there are no wages in our set up. </w:t>
      </w:r>
    </w:p>
    <w:p w:rsidR="001016BE" w:rsidRDefault="001016BE" w:rsidP="007E0CCC">
      <w:pPr>
        <w:spacing w:after="120" w:line="480" w:lineRule="auto"/>
        <w:ind w:firstLine="720"/>
        <w:jc w:val="both"/>
        <w:rPr>
          <w:lang w:val="en-GB"/>
        </w:rPr>
      </w:pPr>
    </w:p>
    <w:p w:rsidR="00567FFC" w:rsidRPr="00AB590B" w:rsidRDefault="00567FFC" w:rsidP="00567FFC">
      <w:pPr>
        <w:spacing w:after="120" w:line="480" w:lineRule="auto"/>
        <w:ind w:firstLine="720"/>
        <w:jc w:val="both"/>
        <w:rPr>
          <w:i/>
          <w:lang w:val="en-GB"/>
        </w:rPr>
      </w:pPr>
      <w:r>
        <w:rPr>
          <w:i/>
          <w:lang w:val="en-GB"/>
        </w:rPr>
        <w:t>3.2</w:t>
      </w:r>
      <w:r w:rsidRPr="00AB590B">
        <w:rPr>
          <w:i/>
          <w:lang w:val="en-GB"/>
        </w:rPr>
        <w:tab/>
        <w:t xml:space="preserve">Does the </w:t>
      </w:r>
      <w:r w:rsidR="003B7CF8">
        <w:rPr>
          <w:i/>
          <w:lang w:val="en-GB"/>
        </w:rPr>
        <w:t>FPL</w:t>
      </w:r>
      <w:r w:rsidRPr="00AB590B">
        <w:rPr>
          <w:i/>
          <w:lang w:val="en-GB"/>
        </w:rPr>
        <w:t xml:space="preserve"> </w:t>
      </w:r>
      <w:r w:rsidR="003B7CF8">
        <w:rPr>
          <w:i/>
          <w:lang w:val="en-GB"/>
        </w:rPr>
        <w:t>f</w:t>
      </w:r>
      <w:r w:rsidRPr="00AB590B">
        <w:rPr>
          <w:i/>
          <w:lang w:val="en-GB"/>
        </w:rPr>
        <w:t>unction like a normal labour market?</w:t>
      </w:r>
    </w:p>
    <w:p w:rsidR="00567FFC" w:rsidRDefault="00567FFC" w:rsidP="00D95957">
      <w:pPr>
        <w:spacing w:after="120" w:line="480" w:lineRule="auto"/>
        <w:ind w:firstLine="720"/>
        <w:jc w:val="both"/>
        <w:rPr>
          <w:lang w:val="en-GB"/>
        </w:rPr>
      </w:pPr>
      <w:r>
        <w:rPr>
          <w:lang w:val="en-GB"/>
        </w:rPr>
        <w:t>Before we investigate the racial differences in player hires we need to establish whether the F</w:t>
      </w:r>
      <w:r w:rsidR="003B7CF8">
        <w:rPr>
          <w:lang w:val="en-GB"/>
        </w:rPr>
        <w:t>PL</w:t>
      </w:r>
      <w:r w:rsidR="00B26EC3">
        <w:rPr>
          <w:lang w:val="en-GB"/>
        </w:rPr>
        <w:t xml:space="preserve"> functions like a</w:t>
      </w:r>
      <w:r>
        <w:rPr>
          <w:lang w:val="en-GB"/>
        </w:rPr>
        <w:t xml:space="preserve"> labour market. Evidence to this effect is presented in Figure 1.  Panel A shows </w:t>
      </w:r>
      <w:r w:rsidR="00B26EC3">
        <w:rPr>
          <w:lang w:val="en-GB"/>
        </w:rPr>
        <w:t xml:space="preserve">that </w:t>
      </w:r>
      <w:r>
        <w:rPr>
          <w:lang w:val="en-GB"/>
        </w:rPr>
        <w:t>better performing players in the previous season are valued more highly at the start of the new season. Panel B shows that demand for players, as measured by the number of times a player is picked for initial squads, rises steeply with performance in the previous season.  The steep non-monotonic rise in price and demand for high-performing players evident in Panels A and B is consistent with a market for superstars</w:t>
      </w:r>
      <w:r w:rsidR="00B26EC3">
        <w:rPr>
          <w:lang w:val="en-GB"/>
        </w:rPr>
        <w:t>,</w:t>
      </w:r>
      <w:r>
        <w:rPr>
          <w:lang w:val="en-GB"/>
        </w:rPr>
        <w:t xml:space="preserve"> as originally conceived by Rosen (1981). The discontinuity is at 180 points, which represents the top 10% </w:t>
      </w:r>
      <w:r w:rsidR="009F6AB3">
        <w:rPr>
          <w:lang w:val="en-GB"/>
        </w:rPr>
        <w:t xml:space="preserve">of </w:t>
      </w:r>
      <w:r>
        <w:rPr>
          <w:lang w:val="en-GB"/>
        </w:rPr>
        <w:t>performers. Unsurprisingly, the initial demand/initial price plot follows a similar, albeit smoother, trajectory (Panel C). The remaining two panels</w:t>
      </w:r>
      <w:r w:rsidR="00D95957">
        <w:rPr>
          <w:lang w:val="en-GB"/>
        </w:rPr>
        <w:t xml:space="preserve"> (D and E)</w:t>
      </w:r>
      <w:r>
        <w:rPr>
          <w:lang w:val="en-GB"/>
        </w:rPr>
        <w:t xml:space="preserve"> </w:t>
      </w:r>
      <w:r w:rsidR="00D95957">
        <w:rPr>
          <w:lang w:val="en-GB"/>
        </w:rPr>
        <w:t>look at the same relationships as the season progresses. Previous week productivity is positively correlated with demand and change in price. Overall, the FPL appears to behave like a labour market, where more productive workers are in higher demand and command higher fees</w:t>
      </w:r>
      <w:r w:rsidR="00D24479">
        <w:rPr>
          <w:lang w:val="en-GB"/>
        </w:rPr>
        <w:t>.</w:t>
      </w:r>
      <w:r>
        <w:rPr>
          <w:lang w:val="en-GB"/>
        </w:rPr>
        <w:t xml:space="preserve"> </w:t>
      </w:r>
    </w:p>
    <w:p w:rsidR="00D95957" w:rsidRDefault="00D95957" w:rsidP="00D95957">
      <w:pPr>
        <w:spacing w:after="120" w:line="480" w:lineRule="auto"/>
        <w:ind w:firstLine="720"/>
        <w:jc w:val="both"/>
        <w:rPr>
          <w:lang w:val="en-GB"/>
        </w:rPr>
      </w:pPr>
      <w:r>
        <w:rPr>
          <w:lang w:val="en-GB"/>
        </w:rPr>
        <w:t>[FIGURE 1]</w:t>
      </w:r>
    </w:p>
    <w:p w:rsidR="0050481A" w:rsidRDefault="009F6AB3" w:rsidP="00D95957">
      <w:pPr>
        <w:spacing w:after="120" w:line="480" w:lineRule="auto"/>
        <w:ind w:firstLine="720"/>
        <w:jc w:val="both"/>
        <w:rPr>
          <w:lang w:val="en-GB"/>
        </w:rPr>
      </w:pPr>
      <w:r>
        <w:rPr>
          <w:lang w:val="en-GB"/>
        </w:rPr>
        <w:t xml:space="preserve">One might question whether </w:t>
      </w:r>
      <w:r w:rsidR="00D24479">
        <w:rPr>
          <w:lang w:val="en-GB"/>
        </w:rPr>
        <w:t xml:space="preserve">employers would express their discriminatory preferences in </w:t>
      </w:r>
      <w:r>
        <w:rPr>
          <w:lang w:val="en-GB"/>
        </w:rPr>
        <w:t>a</w:t>
      </w:r>
      <w:r w:rsidR="00D24479">
        <w:rPr>
          <w:lang w:val="en-GB"/>
        </w:rPr>
        <w:t xml:space="preserve"> set-up </w:t>
      </w:r>
      <w:r>
        <w:rPr>
          <w:lang w:val="en-GB"/>
        </w:rPr>
        <w:t>like</w:t>
      </w:r>
      <w:r w:rsidR="00D24479">
        <w:rPr>
          <w:lang w:val="en-GB"/>
        </w:rPr>
        <w:t xml:space="preserve"> the FPL since there is no physical interaction between employers and employees. </w:t>
      </w:r>
      <w:r>
        <w:rPr>
          <w:lang w:val="en-GB"/>
        </w:rPr>
        <w:t>However,</w:t>
      </w:r>
      <w:r w:rsidR="001E6840">
        <w:rPr>
          <w:lang w:val="en-GB"/>
        </w:rPr>
        <w:t xml:space="preserve"> it is not </w:t>
      </w:r>
      <w:r>
        <w:rPr>
          <w:lang w:val="en-GB"/>
        </w:rPr>
        <w:t xml:space="preserve">always the case </w:t>
      </w:r>
      <w:r w:rsidR="001E6840">
        <w:rPr>
          <w:lang w:val="en-GB"/>
        </w:rPr>
        <w:t xml:space="preserve"> that in large firms most of </w:t>
      </w:r>
      <w:r w:rsidR="001E6840">
        <w:rPr>
          <w:lang w:val="en-GB"/>
        </w:rPr>
        <w:lastRenderedPageBreak/>
        <w:t xml:space="preserve">the individuals involved in the hiring decision will have to meet an employee later on. </w:t>
      </w:r>
      <w:r>
        <w:rPr>
          <w:lang w:val="en-GB"/>
        </w:rPr>
        <w:t>But, perhaps more importantly,</w:t>
      </w:r>
      <w:r w:rsidR="001E6840">
        <w:rPr>
          <w:lang w:val="en-GB"/>
        </w:rPr>
        <w:t xml:space="preserve"> psychologists have shown that pictures of unknown out-of-group individuals trigger</w:t>
      </w:r>
      <w:r w:rsidR="00C52255">
        <w:rPr>
          <w:lang w:val="en-GB"/>
        </w:rPr>
        <w:t xml:space="preserve"> more </w:t>
      </w:r>
      <w:r w:rsidR="001E6840">
        <w:rPr>
          <w:lang w:val="en-GB"/>
        </w:rPr>
        <w:t xml:space="preserve"> activity in the amygdala, a subcortical structure of the brain involved in emotional learning and in particular danger</w:t>
      </w:r>
      <w:r w:rsidR="00C52255">
        <w:rPr>
          <w:lang w:val="en-GB"/>
        </w:rPr>
        <w:t>, than pictures on unknown in-group members (Hart et al., 2000)</w:t>
      </w:r>
      <w:r w:rsidR="001E6840">
        <w:rPr>
          <w:lang w:val="en-GB"/>
        </w:rPr>
        <w:t xml:space="preserve">. </w:t>
      </w:r>
      <w:r w:rsidR="005D7093">
        <w:rPr>
          <w:lang w:val="en-GB"/>
        </w:rPr>
        <w:t>This activity was positively correlated with other measures of unconscious racial bias, such as the Implicit Association Tests, or eyeblink startle, but not to the modern racism scale</w:t>
      </w:r>
      <w:r w:rsidR="00C52255">
        <w:rPr>
          <w:lang w:val="en-GB"/>
        </w:rPr>
        <w:t xml:space="preserve"> (Phelps et al., 2000)</w:t>
      </w:r>
      <w:r w:rsidR="005D7093">
        <w:rPr>
          <w:lang w:val="en-GB"/>
        </w:rPr>
        <w:t xml:space="preserve">. This indicates that </w:t>
      </w:r>
      <w:r w:rsidR="008A3F56">
        <w:rPr>
          <w:lang w:val="en-GB"/>
        </w:rPr>
        <w:t xml:space="preserve">individuals may discriminate unconsciously against out-of-group individuals, even when they are not physically proximate. However, since it is likely that the costs of </w:t>
      </w:r>
      <w:r w:rsidR="008A3F56" w:rsidRPr="008A3F56">
        <w:rPr>
          <w:lang w:val="en-GB"/>
        </w:rPr>
        <w:t xml:space="preserve">hiring those for whom you have distaste rise with the amount of physical contact you anticipate having with </w:t>
      </w:r>
      <w:r w:rsidR="005768C9">
        <w:rPr>
          <w:lang w:val="en-GB"/>
        </w:rPr>
        <w:t>them</w:t>
      </w:r>
      <w:r w:rsidR="008A3F56" w:rsidRPr="008A3F56">
        <w:rPr>
          <w:lang w:val="en-GB"/>
        </w:rPr>
        <w:t xml:space="preserve">, </w:t>
      </w:r>
      <w:r w:rsidR="008A3F56">
        <w:rPr>
          <w:lang w:val="en-GB"/>
        </w:rPr>
        <w:t xml:space="preserve">our test using Fantasy Football data means </w:t>
      </w:r>
      <w:r w:rsidR="008A3F56" w:rsidRPr="008A3F56">
        <w:rPr>
          <w:lang w:val="en-GB"/>
        </w:rPr>
        <w:t xml:space="preserve">we are </w:t>
      </w:r>
      <w:r w:rsidR="008A3F56">
        <w:rPr>
          <w:lang w:val="en-GB"/>
        </w:rPr>
        <w:t xml:space="preserve">probably </w:t>
      </w:r>
      <w:r w:rsidR="008A3F56" w:rsidRPr="008A3F56">
        <w:rPr>
          <w:lang w:val="en-GB"/>
        </w:rPr>
        <w:t>recovering a lower bound estimate</w:t>
      </w:r>
      <w:r w:rsidR="008A3F56">
        <w:rPr>
          <w:lang w:val="en-GB"/>
        </w:rPr>
        <w:t xml:space="preserve"> of taste-based discrimination</w:t>
      </w:r>
      <w:r w:rsidR="008A3F56" w:rsidRPr="008A3F56">
        <w:rPr>
          <w:lang w:val="en-GB"/>
        </w:rPr>
        <w:t>.</w:t>
      </w:r>
      <w:r w:rsidR="0050481A">
        <w:rPr>
          <w:rStyle w:val="FootnoteReference"/>
          <w:lang w:val="en-GB"/>
        </w:rPr>
        <w:footnoteReference w:id="16"/>
      </w:r>
    </w:p>
    <w:p w:rsidR="00D24479" w:rsidRDefault="008A3F56" w:rsidP="00D95957">
      <w:pPr>
        <w:spacing w:after="120" w:line="480" w:lineRule="auto"/>
        <w:ind w:firstLine="720"/>
        <w:jc w:val="both"/>
        <w:rPr>
          <w:lang w:val="en-GB"/>
        </w:rPr>
      </w:pPr>
      <w:r w:rsidRPr="008A3F56">
        <w:rPr>
          <w:lang w:val="en-GB"/>
        </w:rPr>
        <w:t xml:space="preserve">  </w:t>
      </w:r>
    </w:p>
    <w:p w:rsidR="00743AFB" w:rsidRDefault="008C0F50" w:rsidP="007E0CCC">
      <w:pPr>
        <w:spacing w:after="120" w:line="480" w:lineRule="auto"/>
        <w:ind w:firstLine="720"/>
        <w:jc w:val="both"/>
        <w:rPr>
          <w:lang w:val="en-GB"/>
        </w:rPr>
      </w:pPr>
      <w:r>
        <w:rPr>
          <w:lang w:val="en-GB"/>
        </w:rPr>
        <w:t>Finally, our set-up differs from traditional labour market in the personal knowledge</w:t>
      </w:r>
      <w:r>
        <w:t xml:space="preserve"> employers </w:t>
      </w:r>
      <w:r>
        <w:rPr>
          <w:lang w:val="en-GB"/>
        </w:rPr>
        <w:t>may have about their potential employees; being football fans they may admire/dislike some players in a way that could limit their racial bias. However, we would argue tha</w:t>
      </w:r>
      <w:r>
        <w:t>t while true for high performing</w:t>
      </w:r>
      <w:r>
        <w:rPr>
          <w:lang w:val="en-GB"/>
        </w:rPr>
        <w:t xml:space="preserve"> footballers, the budget constraint of the game is such that only a small numbers of football superstars can be bought within the budget constraints and that the rest of the team has to be composed of less famous players which are unlikely to generate much admiration. We come back to this issue when </w:t>
      </w:r>
      <w:r>
        <w:rPr>
          <w:lang w:val="en-GB"/>
        </w:rPr>
        <w:lastRenderedPageBreak/>
        <w:t>presenting results of discriminatory behaviour at different point of the popularity distribution</w:t>
      </w:r>
    </w:p>
    <w:p w:rsidR="00567FFC" w:rsidRPr="00567FFC" w:rsidRDefault="00567FFC" w:rsidP="007E0CCC">
      <w:pPr>
        <w:spacing w:after="120" w:line="480" w:lineRule="auto"/>
        <w:ind w:firstLine="720"/>
        <w:jc w:val="both"/>
        <w:rPr>
          <w:i/>
          <w:lang w:val="en-GB"/>
        </w:rPr>
      </w:pPr>
      <w:r w:rsidRPr="00567FFC">
        <w:rPr>
          <w:i/>
          <w:lang w:val="en-GB"/>
        </w:rPr>
        <w:t>3.</w:t>
      </w:r>
      <w:r>
        <w:rPr>
          <w:i/>
          <w:lang w:val="en-GB"/>
        </w:rPr>
        <w:t>3</w:t>
      </w:r>
      <w:r w:rsidRPr="00567FFC">
        <w:rPr>
          <w:i/>
          <w:lang w:val="en-GB"/>
        </w:rPr>
        <w:t>: Data Description</w:t>
      </w:r>
    </w:p>
    <w:p w:rsidR="00F57728" w:rsidRDefault="00F57728" w:rsidP="007E0CCC">
      <w:pPr>
        <w:spacing w:after="120" w:line="480" w:lineRule="auto"/>
        <w:ind w:firstLine="720"/>
        <w:jc w:val="both"/>
        <w:rPr>
          <w:lang w:val="en-GB"/>
        </w:rPr>
      </w:pPr>
      <w:r>
        <w:rPr>
          <w:lang w:val="en-GB"/>
        </w:rPr>
        <w:t>Each week, the FPL participants select the 11 players</w:t>
      </w:r>
      <w:r w:rsidR="00B26EC3">
        <w:rPr>
          <w:lang w:val="en-GB"/>
        </w:rPr>
        <w:t xml:space="preserve"> from their 15 m</w:t>
      </w:r>
      <w:r w:rsidR="003B7CF8">
        <w:rPr>
          <w:lang w:val="en-GB"/>
        </w:rPr>
        <w:t>an squad</w:t>
      </w:r>
      <w:r>
        <w:rPr>
          <w:lang w:val="en-GB"/>
        </w:rPr>
        <w:t xml:space="preserve"> who will score points for their fantasy team depending upon their performance in real football games played that week, as well as a captain whose productivity will be doubled. </w:t>
      </w:r>
      <w:r w:rsidR="00FD3ED3">
        <w:rPr>
          <w:lang w:val="en-GB"/>
        </w:rPr>
        <w:t>T</w:t>
      </w:r>
      <w:r>
        <w:rPr>
          <w:lang w:val="en-GB"/>
        </w:rPr>
        <w:t>he data available to us only cover the number of employers who have a given footballer on their books, not whether this player has been selected to score points for the team. In that sense, our set up is similar to audit studies</w:t>
      </w:r>
      <w:r w:rsidR="003B7CF8">
        <w:rPr>
          <w:lang w:val="en-GB"/>
        </w:rPr>
        <w:t xml:space="preserve"> </w:t>
      </w:r>
      <w:r w:rsidR="00DD3542">
        <w:rPr>
          <w:lang w:val="en-GB"/>
        </w:rPr>
        <w:t>in that we have</w:t>
      </w:r>
      <w:r>
        <w:rPr>
          <w:lang w:val="en-GB"/>
        </w:rPr>
        <w:t xml:space="preserve"> information </w:t>
      </w:r>
      <w:r w:rsidR="00DD3542">
        <w:rPr>
          <w:lang w:val="en-GB"/>
        </w:rPr>
        <w:t xml:space="preserve">on </w:t>
      </w:r>
      <w:r w:rsidR="00DC37B4">
        <w:rPr>
          <w:lang w:val="en-GB"/>
        </w:rPr>
        <w:t xml:space="preserve">potential </w:t>
      </w:r>
      <w:r>
        <w:rPr>
          <w:lang w:val="en-GB"/>
        </w:rPr>
        <w:t>employee</w:t>
      </w:r>
      <w:r w:rsidR="00DC37B4">
        <w:rPr>
          <w:lang w:val="en-GB"/>
        </w:rPr>
        <w:t>s</w:t>
      </w:r>
      <w:r>
        <w:rPr>
          <w:lang w:val="en-GB"/>
        </w:rPr>
        <w:t xml:space="preserve"> not </w:t>
      </w:r>
      <w:r w:rsidR="00DD3542">
        <w:rPr>
          <w:lang w:val="en-GB"/>
        </w:rPr>
        <w:t>employers</w:t>
      </w:r>
      <w:r>
        <w:rPr>
          <w:lang w:val="en-GB"/>
        </w:rPr>
        <w:t>. We share with these studies the lack of knowledge on the characteristics of employers, but survey evidence amongst the population of fans attending Premier League games during the season 2008/09 suggest that 8% were non-white, while ethnic minorities represent 14% of the UK population</w:t>
      </w:r>
      <w:r w:rsidR="00DD3542">
        <w:rPr>
          <w:lang w:val="en-GB"/>
        </w:rPr>
        <w:t>.</w:t>
      </w:r>
      <w:r>
        <w:rPr>
          <w:rStyle w:val="FootnoteReference"/>
          <w:lang w:val="en-GB"/>
        </w:rPr>
        <w:footnoteReference w:id="17"/>
      </w:r>
      <w:r>
        <w:rPr>
          <w:lang w:val="en-GB"/>
        </w:rPr>
        <w:t xml:space="preserve"> Football fans </w:t>
      </w:r>
      <w:r w:rsidR="00FD3ED3">
        <w:rPr>
          <w:lang w:val="en-GB"/>
        </w:rPr>
        <w:t xml:space="preserve">in England </w:t>
      </w:r>
      <w:r>
        <w:rPr>
          <w:lang w:val="en-GB"/>
        </w:rPr>
        <w:t>are thus disproportionally white. However, while based on the English Premier League, the FPL is open to anybody.</w:t>
      </w:r>
      <w:r w:rsidR="00B75C1F">
        <w:rPr>
          <w:lang w:val="en-GB"/>
        </w:rPr>
        <w:t xml:space="preserve"> We collected data on the distribution of fantasy league participants in 2013, at which points the FPL had expended to 3.5 million players and gone more international (the website now list</w:t>
      </w:r>
      <w:r w:rsidR="0038064E">
        <w:rPr>
          <w:lang w:val="en-GB"/>
        </w:rPr>
        <w:t>s</w:t>
      </w:r>
      <w:r w:rsidR="00B75C1F">
        <w:rPr>
          <w:lang w:val="en-GB"/>
        </w:rPr>
        <w:t xml:space="preserve"> 6 different languages). However, even at this later date, 48% listed the UK as their country of residence, with an additional 17.5% and 9.8% residing in Europe and the West respectively. As such we can be confident that the majority of participants are white</w:t>
      </w:r>
      <w:r w:rsidR="004B2B19">
        <w:rPr>
          <w:lang w:val="en-GB"/>
        </w:rPr>
        <w:t>.</w:t>
      </w:r>
      <w:r w:rsidR="00903370">
        <w:rPr>
          <w:rStyle w:val="FootnoteReference"/>
          <w:lang w:val="en-GB"/>
        </w:rPr>
        <w:footnoteReference w:id="18"/>
      </w:r>
    </w:p>
    <w:p w:rsidR="009902E7" w:rsidRDefault="000E01A2" w:rsidP="007E0CCC">
      <w:pPr>
        <w:spacing w:after="120" w:line="480" w:lineRule="auto"/>
        <w:ind w:firstLine="720"/>
        <w:jc w:val="both"/>
        <w:rPr>
          <w:lang w:val="en-GB"/>
        </w:rPr>
      </w:pPr>
      <w:r>
        <w:rPr>
          <w:lang w:val="en-GB"/>
        </w:rPr>
        <w:lastRenderedPageBreak/>
        <w:t xml:space="preserve">We have match-by-match data on </w:t>
      </w:r>
      <w:r w:rsidR="00DD3542">
        <w:rPr>
          <w:lang w:val="en-GB"/>
        </w:rPr>
        <w:t>players'</w:t>
      </w:r>
      <w:r>
        <w:rPr>
          <w:lang w:val="en-GB"/>
        </w:rPr>
        <w:t xml:space="preserve"> performance</w:t>
      </w:r>
      <w:r w:rsidR="00DD3542">
        <w:rPr>
          <w:lang w:val="en-GB"/>
        </w:rPr>
        <w:t xml:space="preserve"> as indicated by </w:t>
      </w:r>
      <w:r>
        <w:rPr>
          <w:lang w:val="en-GB"/>
        </w:rPr>
        <w:t>the FPL scoring system of all footballers registered in one of the 24 football teams playing in the Premier League in the three seasons 2008/09, 2009/10 and 2010/11</w:t>
      </w:r>
      <w:r w:rsidR="00DD3542">
        <w:rPr>
          <w:lang w:val="en-GB"/>
        </w:rPr>
        <w:t>.</w:t>
      </w:r>
      <w:r>
        <w:rPr>
          <w:rStyle w:val="FootnoteReference"/>
          <w:lang w:val="en-GB"/>
        </w:rPr>
        <w:footnoteReference w:id="19"/>
      </w:r>
      <w:r>
        <w:rPr>
          <w:lang w:val="en-GB"/>
        </w:rPr>
        <w:t xml:space="preserve"> This gives us a total of 1,767 fo</w:t>
      </w:r>
      <w:r w:rsidR="00AA5BD3">
        <w:rPr>
          <w:lang w:val="en-GB"/>
        </w:rPr>
        <w:t>otballers, about 600 per season</w:t>
      </w:r>
      <w:r>
        <w:rPr>
          <w:lang w:val="en-GB"/>
        </w:rPr>
        <w:t>. Since the Premier league starts before the transfer window for professional footballers is closed, not all footballers are available to be picked for the first game. Subsequently, professional teams can transfer players in January, and players from their academy may join the league during the season. As such, only 1,327 players are available for pick in week 1</w:t>
      </w:r>
      <w:r w:rsidR="00AA5BD3">
        <w:rPr>
          <w:lang w:val="en-GB"/>
        </w:rPr>
        <w:t>.</w:t>
      </w:r>
      <w:r>
        <w:rPr>
          <w:rStyle w:val="FootnoteReference"/>
          <w:lang w:val="en-GB"/>
        </w:rPr>
        <w:footnoteReference w:id="20"/>
      </w:r>
      <w:r>
        <w:rPr>
          <w:lang w:val="en-GB"/>
        </w:rPr>
        <w:t xml:space="preserve"> Each club plays 38 games in the season. We have thus an unbalanced panel of 60,086 player-match observations. </w:t>
      </w:r>
      <w:r w:rsidR="00AA5BD3">
        <w:rPr>
          <w:lang w:val="en-GB"/>
        </w:rPr>
        <w:t>Thirty-six</w:t>
      </w:r>
      <w:r w:rsidR="00FD3ED3">
        <w:rPr>
          <w:lang w:val="en-GB"/>
        </w:rPr>
        <w:t xml:space="preserve"> per cent of potential employees are non-white,</w:t>
      </w:r>
      <w:r w:rsidR="0016182C">
        <w:rPr>
          <w:lang w:val="en-GB"/>
        </w:rPr>
        <w:t xml:space="preserve"> two and half times </w:t>
      </w:r>
      <w:r w:rsidR="00FD3ED3">
        <w:rPr>
          <w:lang w:val="en-GB"/>
        </w:rPr>
        <w:t>above the percentage of non-white in the English population as a whole</w:t>
      </w:r>
      <w:r w:rsidR="00AA5BD3">
        <w:rPr>
          <w:lang w:val="en-GB"/>
        </w:rPr>
        <w:t>.</w:t>
      </w:r>
      <w:r w:rsidR="00FD3ED3">
        <w:rPr>
          <w:rStyle w:val="FootnoteReference"/>
          <w:lang w:val="en-GB"/>
        </w:rPr>
        <w:footnoteReference w:id="21"/>
      </w:r>
      <w:r w:rsidR="00FD3ED3">
        <w:rPr>
          <w:lang w:val="en-GB"/>
        </w:rPr>
        <w:t xml:space="preserve"> </w:t>
      </w:r>
    </w:p>
    <w:p w:rsidR="009902E7" w:rsidRDefault="009902E7" w:rsidP="007E0CCC">
      <w:pPr>
        <w:spacing w:after="120" w:line="480" w:lineRule="auto"/>
        <w:ind w:firstLine="720"/>
        <w:jc w:val="both"/>
        <w:rPr>
          <w:lang w:val="en-GB"/>
        </w:rPr>
      </w:pPr>
      <w:r>
        <w:rPr>
          <w:lang w:val="en-GB"/>
        </w:rPr>
        <w:t>The player p</w:t>
      </w:r>
      <w:r w:rsidR="00FD3ED3">
        <w:rPr>
          <w:lang w:val="en-GB"/>
        </w:rPr>
        <w:t>erformance data available to all</w:t>
      </w:r>
      <w:r>
        <w:rPr>
          <w:lang w:val="en-GB"/>
        </w:rPr>
        <w:t xml:space="preserve"> employers comes from </w:t>
      </w:r>
      <w:r w:rsidR="00FD3ED3">
        <w:rPr>
          <w:lang w:val="en-GB"/>
        </w:rPr>
        <w:t>FPL,</w:t>
      </w:r>
      <w:r>
        <w:rPr>
          <w:lang w:val="en-GB"/>
        </w:rPr>
        <w:t xml:space="preserve"> wh</w:t>
      </w:r>
      <w:r w:rsidR="00FD3ED3">
        <w:rPr>
          <w:lang w:val="en-GB"/>
        </w:rPr>
        <w:t>ich</w:t>
      </w:r>
      <w:r>
        <w:rPr>
          <w:lang w:val="en-GB"/>
        </w:rPr>
        <w:t xml:space="preserve"> run</w:t>
      </w:r>
      <w:r w:rsidR="00FD3ED3">
        <w:rPr>
          <w:lang w:val="en-GB"/>
        </w:rPr>
        <w:t>s</w:t>
      </w:r>
      <w:r>
        <w:rPr>
          <w:lang w:val="en-GB"/>
        </w:rPr>
        <w:t xml:space="preserve"> the </w:t>
      </w:r>
      <w:r w:rsidR="00B26EC3">
        <w:rPr>
          <w:lang w:val="en-GB"/>
        </w:rPr>
        <w:t xml:space="preserve">fantasy </w:t>
      </w:r>
      <w:r>
        <w:rPr>
          <w:lang w:val="en-GB"/>
        </w:rPr>
        <w:t>league. Players' productivity is based on rudimentary objectively verifiable data of their performance in a game, as explained above and in Appendix Table A1. Individual points in a given week range between -6 and +32 with a mean of 1.50.</w:t>
      </w:r>
      <w:r>
        <w:rPr>
          <w:rStyle w:val="FootnoteReference"/>
          <w:lang w:val="en-GB"/>
        </w:rPr>
        <w:footnoteReference w:id="22"/>
      </w:r>
      <w:r>
        <w:rPr>
          <w:lang w:val="en-GB"/>
        </w:rPr>
        <w:t xml:space="preserve"> Points scored by players is of interest in its own right since we can establish to what extent there are any racial differences in the productivity of </w:t>
      </w:r>
      <w:r w:rsidR="00977390">
        <w:rPr>
          <w:lang w:val="en-GB"/>
        </w:rPr>
        <w:t xml:space="preserve">football </w:t>
      </w:r>
      <w:r>
        <w:rPr>
          <w:lang w:val="en-GB"/>
        </w:rPr>
        <w:t>players</w:t>
      </w:r>
      <w:r w:rsidR="00B26EC3">
        <w:rPr>
          <w:lang w:val="en-GB"/>
        </w:rPr>
        <w:t xml:space="preserve">. Table 1 and Figure </w:t>
      </w:r>
      <w:r w:rsidR="000F0F97">
        <w:rPr>
          <w:lang w:val="en-GB"/>
        </w:rPr>
        <w:t>2</w:t>
      </w:r>
      <w:r w:rsidR="00963B07">
        <w:rPr>
          <w:lang w:val="en-GB"/>
        </w:rPr>
        <w:t xml:space="preserve">D report no difference in weekly </w:t>
      </w:r>
      <w:r w:rsidR="00732AB0">
        <w:rPr>
          <w:lang w:val="en-GB"/>
        </w:rPr>
        <w:t xml:space="preserve">points </w:t>
      </w:r>
      <w:r w:rsidR="00963B07">
        <w:rPr>
          <w:lang w:val="en-GB"/>
        </w:rPr>
        <w:t xml:space="preserve">by race. Over the full season, total productivity is also very similar between white and non-white players, with the average </w:t>
      </w:r>
      <w:r w:rsidR="00963B07">
        <w:rPr>
          <w:lang w:val="en-GB"/>
        </w:rPr>
        <w:lastRenderedPageBreak/>
        <w:t>player scorin</w:t>
      </w:r>
      <w:r w:rsidR="00AA5BD3">
        <w:rPr>
          <w:lang w:val="en-GB"/>
        </w:rPr>
        <w:t>g about 40 points. Note however</w:t>
      </w:r>
      <w:r w:rsidR="00963B07">
        <w:rPr>
          <w:lang w:val="en-GB"/>
        </w:rPr>
        <w:t xml:space="preserve"> that the superstar footballers</w:t>
      </w:r>
      <w:r w:rsidR="007122A2">
        <w:rPr>
          <w:lang w:val="en-GB"/>
        </w:rPr>
        <w:t xml:space="preserve"> are disproportionally white</w:t>
      </w:r>
      <w:r w:rsidR="00AA5BD3">
        <w:rPr>
          <w:lang w:val="en-GB"/>
        </w:rPr>
        <w:t>: whites</w:t>
      </w:r>
      <w:r w:rsidR="007122A2">
        <w:rPr>
          <w:lang w:val="en-GB"/>
        </w:rPr>
        <w:t xml:space="preserve"> represent 78% of the top 1% performers </w:t>
      </w:r>
      <w:r w:rsidR="00B26EC3">
        <w:rPr>
          <w:lang w:val="en-GB"/>
        </w:rPr>
        <w:t xml:space="preserve">(Figure </w:t>
      </w:r>
      <w:r w:rsidR="000F0F97">
        <w:rPr>
          <w:lang w:val="en-GB"/>
        </w:rPr>
        <w:t>2</w:t>
      </w:r>
      <w:r w:rsidR="007122A2">
        <w:rPr>
          <w:lang w:val="en-GB"/>
        </w:rPr>
        <w:t xml:space="preserve">A). </w:t>
      </w:r>
    </w:p>
    <w:p w:rsidR="000F0F97" w:rsidRDefault="00B26EC3" w:rsidP="000F0F97">
      <w:pPr>
        <w:spacing w:after="120" w:line="480" w:lineRule="auto"/>
        <w:ind w:firstLine="720"/>
        <w:jc w:val="both"/>
        <w:rPr>
          <w:lang w:val="en-GB"/>
        </w:rPr>
      </w:pPr>
      <w:r>
        <w:rPr>
          <w:lang w:val="en-GB"/>
        </w:rPr>
        <w:t>[TABLE 1]</w:t>
      </w:r>
    </w:p>
    <w:p w:rsidR="000F0F97" w:rsidRDefault="000F0F97" w:rsidP="000F0F97">
      <w:pPr>
        <w:spacing w:after="120" w:line="480" w:lineRule="auto"/>
        <w:ind w:firstLine="720"/>
        <w:jc w:val="both"/>
        <w:rPr>
          <w:lang w:val="en-GB"/>
        </w:rPr>
      </w:pPr>
      <w:r>
        <w:rPr>
          <w:lang w:val="en-GB"/>
        </w:rPr>
        <w:t>[FIGURE 2]</w:t>
      </w:r>
    </w:p>
    <w:p w:rsidR="009902E7" w:rsidRDefault="009902E7" w:rsidP="007E0CCC">
      <w:pPr>
        <w:spacing w:after="120" w:line="480" w:lineRule="auto"/>
        <w:ind w:firstLine="720"/>
        <w:jc w:val="both"/>
        <w:rPr>
          <w:lang w:val="en-GB"/>
        </w:rPr>
      </w:pPr>
      <w:r>
        <w:rPr>
          <w:lang w:val="en-GB"/>
        </w:rPr>
        <w:t>Time on</w:t>
      </w:r>
      <w:r w:rsidR="00CF5F8C">
        <w:rPr>
          <w:lang w:val="en-GB"/>
        </w:rPr>
        <w:t xml:space="preserve"> the</w:t>
      </w:r>
      <w:r>
        <w:rPr>
          <w:lang w:val="en-GB"/>
        </w:rPr>
        <w:t xml:space="preserve"> pitch enters our performance metric. But this could itself be a function, in part, of racial discrimination among "real world" Premiership coaches if their decisions regarding who to play and how long to play them for are racially biased, either because they are responding to customer preferences for white players, or because they are indulging their own taste-based discrimination or statistical discrimination.</w:t>
      </w:r>
      <w:r w:rsidR="00CF5F8C">
        <w:rPr>
          <w:lang w:val="en-GB"/>
        </w:rPr>
        <w:t xml:space="preserve"> There is</w:t>
      </w:r>
      <w:r w:rsidR="00B4397B">
        <w:rPr>
          <w:lang w:val="en-GB"/>
        </w:rPr>
        <w:t xml:space="preserve">, however, </w:t>
      </w:r>
      <w:r w:rsidR="00CF5F8C">
        <w:rPr>
          <w:lang w:val="en-GB"/>
        </w:rPr>
        <w:t xml:space="preserve">little evidence of </w:t>
      </w:r>
      <w:r w:rsidR="00B4397B">
        <w:rPr>
          <w:lang w:val="en-GB"/>
        </w:rPr>
        <w:t>racial differences</w:t>
      </w:r>
      <w:r w:rsidR="00CF5F8C">
        <w:rPr>
          <w:lang w:val="en-GB"/>
        </w:rPr>
        <w:t xml:space="preserve"> in playing times; white</w:t>
      </w:r>
      <w:r w:rsidR="003E7645">
        <w:rPr>
          <w:lang w:val="en-GB"/>
        </w:rPr>
        <w:t>s</w:t>
      </w:r>
      <w:r w:rsidR="00CF5F8C">
        <w:rPr>
          <w:lang w:val="en-GB"/>
        </w:rPr>
        <w:t xml:space="preserve"> are marginally less likely to play but conditional on playing</w:t>
      </w:r>
      <w:r w:rsidR="003E7645">
        <w:rPr>
          <w:lang w:val="en-GB"/>
        </w:rPr>
        <w:t>,</w:t>
      </w:r>
      <w:r w:rsidR="00CF5F8C">
        <w:rPr>
          <w:lang w:val="en-GB"/>
        </w:rPr>
        <w:t xml:space="preserve"> play for a few more minutes. These two inputs appear to compensate </w:t>
      </w:r>
      <w:r w:rsidR="00B4397B">
        <w:rPr>
          <w:lang w:val="en-GB"/>
        </w:rPr>
        <w:t>for one</w:t>
      </w:r>
      <w:r w:rsidR="00CF5F8C">
        <w:rPr>
          <w:lang w:val="en-GB"/>
        </w:rPr>
        <w:t xml:space="preserve"> other so th</w:t>
      </w:r>
      <w:r w:rsidR="00B4397B">
        <w:rPr>
          <w:lang w:val="en-GB"/>
        </w:rPr>
        <w:t>ey are unlikely to contribute to any</w:t>
      </w:r>
      <w:r w:rsidR="00CF5F8C">
        <w:rPr>
          <w:lang w:val="en-GB"/>
        </w:rPr>
        <w:t xml:space="preserve"> variation in</w:t>
      </w:r>
      <w:r w:rsidR="003E7645">
        <w:rPr>
          <w:lang w:val="en-GB"/>
        </w:rPr>
        <w:t xml:space="preserve"> overall</w:t>
      </w:r>
      <w:r w:rsidR="00CF5F8C">
        <w:rPr>
          <w:lang w:val="en-GB"/>
        </w:rPr>
        <w:t xml:space="preserve"> productivity.</w:t>
      </w:r>
    </w:p>
    <w:p w:rsidR="001D5629" w:rsidRDefault="009E161A" w:rsidP="007E0CCC">
      <w:pPr>
        <w:spacing w:after="120" w:line="480" w:lineRule="auto"/>
        <w:ind w:firstLine="720"/>
        <w:jc w:val="both"/>
        <w:rPr>
          <w:lang w:val="en-GB"/>
        </w:rPr>
      </w:pPr>
      <w:r>
        <w:rPr>
          <w:lang w:val="en-GB"/>
        </w:rPr>
        <w:t>W</w:t>
      </w:r>
      <w:r w:rsidR="00CF5F8C">
        <w:rPr>
          <w:lang w:val="en-GB"/>
        </w:rPr>
        <w:t>e find little evidence of difference</w:t>
      </w:r>
      <w:r>
        <w:rPr>
          <w:lang w:val="en-GB"/>
        </w:rPr>
        <w:t>s</w:t>
      </w:r>
      <w:r w:rsidR="00CF5F8C">
        <w:rPr>
          <w:lang w:val="en-GB"/>
        </w:rPr>
        <w:t xml:space="preserve"> in productivity between players of different races, supporting Goff et al.</w:t>
      </w:r>
      <w:r>
        <w:rPr>
          <w:lang w:val="en-GB"/>
        </w:rPr>
        <w:t>'s</w:t>
      </w:r>
      <w:r w:rsidR="00CF5F8C">
        <w:rPr>
          <w:lang w:val="en-GB"/>
        </w:rPr>
        <w:t xml:space="preserve"> (2002) </w:t>
      </w:r>
      <w:r w:rsidR="002D5401">
        <w:rPr>
          <w:lang w:val="en-GB"/>
        </w:rPr>
        <w:t>observation</w:t>
      </w:r>
      <w:r w:rsidR="00CF5F8C">
        <w:rPr>
          <w:lang w:val="en-GB"/>
        </w:rPr>
        <w:t xml:space="preserve"> that top-flight professional sports are racially integrated</w:t>
      </w:r>
      <w:r w:rsidR="00B5759B">
        <w:rPr>
          <w:lang w:val="en-GB"/>
        </w:rPr>
        <w:t xml:space="preserve"> (see below)</w:t>
      </w:r>
      <w:r w:rsidR="00CF5F8C">
        <w:rPr>
          <w:lang w:val="en-GB"/>
        </w:rPr>
        <w:t>.</w:t>
      </w:r>
      <w:r w:rsidR="00CF5F8C">
        <w:rPr>
          <w:rStyle w:val="CommentReference"/>
        </w:rPr>
        <w:t xml:space="preserve"> </w:t>
      </w:r>
      <w:r w:rsidR="00CF5F8C">
        <w:rPr>
          <w:lang w:val="en-GB"/>
        </w:rPr>
        <w:t>The second main determinant of demand for a pl</w:t>
      </w:r>
      <w:r w:rsidR="009902E7">
        <w:rPr>
          <w:lang w:val="en-GB"/>
        </w:rPr>
        <w:t>ayer is</w:t>
      </w:r>
      <w:r w:rsidR="00CF5F8C">
        <w:rPr>
          <w:lang w:val="en-GB"/>
        </w:rPr>
        <w:t xml:space="preserve"> </w:t>
      </w:r>
      <w:r w:rsidR="009902E7">
        <w:rPr>
          <w:lang w:val="en-GB"/>
        </w:rPr>
        <w:t>price</w:t>
      </w:r>
      <w:r w:rsidR="00CF5F8C">
        <w:rPr>
          <w:lang w:val="en-GB"/>
        </w:rPr>
        <w:t>.</w:t>
      </w:r>
      <w:r w:rsidR="009902E7">
        <w:rPr>
          <w:lang w:val="en-GB"/>
        </w:rPr>
        <w:t xml:space="preserve"> </w:t>
      </w:r>
      <w:r w:rsidR="003E7645">
        <w:rPr>
          <w:lang w:val="en-GB"/>
        </w:rPr>
        <w:t>Prices</w:t>
      </w:r>
      <w:r w:rsidR="00CF5F8C">
        <w:rPr>
          <w:lang w:val="en-GB"/>
        </w:rPr>
        <w:t xml:space="preserve"> are set by </w:t>
      </w:r>
      <w:r w:rsidR="002D5401">
        <w:rPr>
          <w:lang w:val="en-GB"/>
        </w:rPr>
        <w:t xml:space="preserve">the </w:t>
      </w:r>
      <w:r w:rsidR="00CF5F8C">
        <w:rPr>
          <w:lang w:val="en-GB"/>
        </w:rPr>
        <w:t xml:space="preserve">FPL and appear to be a function of performance and net demand (see below). </w:t>
      </w:r>
      <w:r w:rsidR="00B25E4C">
        <w:rPr>
          <w:lang w:val="en-GB"/>
        </w:rPr>
        <w:t>At the beginning of the season, price range</w:t>
      </w:r>
      <w:r w:rsidR="002D5401">
        <w:rPr>
          <w:lang w:val="en-GB"/>
        </w:rPr>
        <w:t>s</w:t>
      </w:r>
      <w:r w:rsidR="00B25E4C">
        <w:rPr>
          <w:lang w:val="en-GB"/>
        </w:rPr>
        <w:t xml:space="preserve"> between £3.9 million and £14</w:t>
      </w:r>
      <w:r w:rsidR="009902E7">
        <w:rPr>
          <w:lang w:val="en-GB"/>
        </w:rPr>
        <w:t xml:space="preserve"> mil</w:t>
      </w:r>
      <w:r w:rsidR="00B25E4C">
        <w:rPr>
          <w:lang w:val="en-GB"/>
        </w:rPr>
        <w:t>lion (Christiano Ronaldo</w:t>
      </w:r>
      <w:r w:rsidR="009902E7">
        <w:rPr>
          <w:lang w:val="en-GB"/>
        </w:rPr>
        <w:t>)</w:t>
      </w:r>
      <w:r w:rsidR="00B25E4C">
        <w:rPr>
          <w:lang w:val="en-GB"/>
        </w:rPr>
        <w:t xml:space="preserve"> and</w:t>
      </w:r>
      <w:r w:rsidR="002D5401">
        <w:rPr>
          <w:lang w:val="en-GB"/>
        </w:rPr>
        <w:t>,</w:t>
      </w:r>
      <w:r w:rsidR="00B25E4C">
        <w:rPr>
          <w:lang w:val="en-GB"/>
        </w:rPr>
        <w:t xml:space="preserve"> on average, non-white players are marginally more expensive at the </w:t>
      </w:r>
      <w:r w:rsidR="002D5401">
        <w:rPr>
          <w:lang w:val="en-GB"/>
        </w:rPr>
        <w:t>out</w:t>
      </w:r>
      <w:r w:rsidR="00B25E4C">
        <w:rPr>
          <w:lang w:val="en-GB"/>
        </w:rPr>
        <w:t>set.</w:t>
      </w:r>
      <w:r w:rsidR="000F0F97">
        <w:rPr>
          <w:lang w:val="en-GB"/>
        </w:rPr>
        <w:t xml:space="preserve"> Indeed the distribution of initial price is slightly shifted to the right for non-white players (Figure 2B)</w:t>
      </w:r>
      <w:r w:rsidR="00B5759B">
        <w:rPr>
          <w:lang w:val="en-GB"/>
        </w:rPr>
        <w:t>.</w:t>
      </w:r>
      <w:r w:rsidR="00B25E4C">
        <w:rPr>
          <w:lang w:val="en-GB"/>
        </w:rPr>
        <w:t xml:space="preserve"> This is surprising considering that there is no difference in productivity but may reflect </w:t>
      </w:r>
      <w:r w:rsidR="002D5401">
        <w:rPr>
          <w:lang w:val="en-GB"/>
        </w:rPr>
        <w:t xml:space="preserve">the fact </w:t>
      </w:r>
      <w:r w:rsidR="00B25E4C">
        <w:rPr>
          <w:lang w:val="en-GB"/>
        </w:rPr>
        <w:t>that players differ along racial line</w:t>
      </w:r>
      <w:r w:rsidR="00710999">
        <w:rPr>
          <w:lang w:val="en-GB"/>
        </w:rPr>
        <w:t>s</w:t>
      </w:r>
      <w:r w:rsidR="00B25E4C">
        <w:rPr>
          <w:lang w:val="en-GB"/>
        </w:rPr>
        <w:t xml:space="preserve"> on observable characteristics. Non-white</w:t>
      </w:r>
      <w:r w:rsidR="003E7645">
        <w:rPr>
          <w:lang w:val="en-GB"/>
        </w:rPr>
        <w:t>s</w:t>
      </w:r>
      <w:r w:rsidR="00B25E4C">
        <w:rPr>
          <w:lang w:val="en-GB"/>
        </w:rPr>
        <w:t xml:space="preserve"> are more likely to have been present in the league </w:t>
      </w:r>
      <w:r w:rsidR="00B25E4C">
        <w:rPr>
          <w:lang w:val="en-GB"/>
        </w:rPr>
        <w:lastRenderedPageBreak/>
        <w:t>last season, as such there is less uncertainty about their productivity</w:t>
      </w:r>
      <w:r w:rsidR="002D5401">
        <w:rPr>
          <w:lang w:val="en-GB"/>
        </w:rPr>
        <w:t>.  They are also</w:t>
      </w:r>
      <w:r w:rsidR="00B25E4C">
        <w:rPr>
          <w:lang w:val="en-GB"/>
        </w:rPr>
        <w:t xml:space="preserve"> more likely to be non-British nationals, more likely to have played for their national team and to play</w:t>
      </w:r>
      <w:r w:rsidR="003E7645">
        <w:rPr>
          <w:lang w:val="en-GB"/>
        </w:rPr>
        <w:t xml:space="preserve"> at least once in the season. </w:t>
      </w:r>
      <w:r w:rsidR="00B25E4C">
        <w:rPr>
          <w:lang w:val="en-GB"/>
        </w:rPr>
        <w:t>More importantly, they play in different position</w:t>
      </w:r>
      <w:r w:rsidR="002D5401">
        <w:rPr>
          <w:lang w:val="en-GB"/>
        </w:rPr>
        <w:t>s</w:t>
      </w:r>
      <w:r w:rsidR="00B25E4C">
        <w:rPr>
          <w:lang w:val="en-GB"/>
        </w:rPr>
        <w:t xml:space="preserve">. Non-whites are more likely to play as forwards, the most expensive players on average and </w:t>
      </w:r>
      <w:r w:rsidR="002D5401">
        <w:rPr>
          <w:lang w:val="en-GB"/>
        </w:rPr>
        <w:t xml:space="preserve">they are </w:t>
      </w:r>
      <w:r w:rsidR="00B25E4C">
        <w:rPr>
          <w:lang w:val="en-GB"/>
        </w:rPr>
        <w:t>least likely to be goalkeepers, the least expensive players on average</w:t>
      </w:r>
      <w:r w:rsidR="002D5401">
        <w:rPr>
          <w:lang w:val="en-GB"/>
        </w:rPr>
        <w:t>.</w:t>
      </w:r>
      <w:r w:rsidR="003E7645">
        <w:rPr>
          <w:rStyle w:val="FootnoteReference"/>
          <w:lang w:val="en-GB"/>
        </w:rPr>
        <w:footnoteReference w:id="23"/>
      </w:r>
      <w:r w:rsidR="00B25E4C">
        <w:rPr>
          <w:lang w:val="en-GB"/>
        </w:rPr>
        <w:t xml:space="preserve"> Below we come back to this issue of whether the set prices are fair. After the initial valuation, players’ prices are reviewed on a weekly basis. In any week, 80% of prices remain the same, and </w:t>
      </w:r>
      <w:r w:rsidR="003E7645">
        <w:rPr>
          <w:lang w:val="en-GB"/>
        </w:rPr>
        <w:t>weekly price adjustments</w:t>
      </w:r>
      <w:r w:rsidR="00B25E4C">
        <w:rPr>
          <w:lang w:val="en-GB"/>
        </w:rPr>
        <w:t xml:space="preserve"> are in general small</w:t>
      </w:r>
      <w:r w:rsidR="00B5759B">
        <w:rPr>
          <w:lang w:val="en-GB"/>
        </w:rPr>
        <w:t xml:space="preserve">. </w:t>
      </w:r>
      <w:r w:rsidR="00C65161">
        <w:rPr>
          <w:lang w:val="en-GB"/>
        </w:rPr>
        <w:t>T</w:t>
      </w:r>
      <w:r w:rsidR="000F0F97">
        <w:rPr>
          <w:lang w:val="en-GB"/>
        </w:rPr>
        <w:t>hese distributions are almost identical by race (Figure 2E) but</w:t>
      </w:r>
      <w:r w:rsidR="00B25E4C">
        <w:rPr>
          <w:lang w:val="en-GB"/>
        </w:rPr>
        <w:t xml:space="preserve"> </w:t>
      </w:r>
      <w:r w:rsidR="000F0F97">
        <w:rPr>
          <w:lang w:val="en-GB"/>
        </w:rPr>
        <w:t>non-w</w:t>
      </w:r>
      <w:r w:rsidR="001D5629">
        <w:rPr>
          <w:lang w:val="en-GB"/>
        </w:rPr>
        <w:t>hites loose marginally more value than white players</w:t>
      </w:r>
      <w:r w:rsidR="000F0F97">
        <w:rPr>
          <w:lang w:val="en-GB"/>
        </w:rPr>
        <w:t xml:space="preserve"> in any given week</w:t>
      </w:r>
      <w:r w:rsidR="001D5629">
        <w:rPr>
          <w:lang w:val="en-GB"/>
        </w:rPr>
        <w:t xml:space="preserve"> (-0.007 vs -0.005).</w:t>
      </w:r>
    </w:p>
    <w:p w:rsidR="001D5629" w:rsidRDefault="001D5629" w:rsidP="007E0CCC">
      <w:pPr>
        <w:spacing w:after="120" w:line="480" w:lineRule="auto"/>
        <w:ind w:firstLine="720"/>
        <w:jc w:val="both"/>
        <w:rPr>
          <w:lang w:val="en-GB"/>
        </w:rPr>
      </w:pPr>
      <w:r>
        <w:rPr>
          <w:lang w:val="en-GB"/>
        </w:rPr>
        <w:t>Table 1 also reports the mean of the two outcomes of interest: initial demand and weekly net flow. T</w:t>
      </w:r>
      <w:r w:rsidR="009902E7">
        <w:rPr>
          <w:lang w:val="en-GB"/>
        </w:rPr>
        <w:t xml:space="preserve">he number of times a player is chosen by employers in their initial squad </w:t>
      </w:r>
      <w:r>
        <w:rPr>
          <w:lang w:val="en-GB"/>
        </w:rPr>
        <w:t xml:space="preserve">is only available for the 2009 and 2010 seasons. On average, there are 70,000 picks for a white player and 60,000 for a non-white but this difference is not statistically significant. </w:t>
      </w:r>
      <w:r w:rsidR="000F0F97">
        <w:rPr>
          <w:lang w:val="en-GB"/>
        </w:rPr>
        <w:t>The distributions of initial demand are almost indistinguishable but note that at the</w:t>
      </w:r>
      <w:r w:rsidR="00B5759B">
        <w:rPr>
          <w:lang w:val="en-GB"/>
        </w:rPr>
        <w:t xml:space="preserve"> very</w:t>
      </w:r>
      <w:r w:rsidR="000F0F97">
        <w:rPr>
          <w:lang w:val="en-GB"/>
        </w:rPr>
        <w:t xml:space="preserve"> top end, there are only white players. There is</w:t>
      </w:r>
      <w:r>
        <w:rPr>
          <w:lang w:val="en-GB"/>
        </w:rPr>
        <w:t xml:space="preserve"> no difference in net transfer</w:t>
      </w:r>
      <w:r w:rsidR="00C65161">
        <w:rPr>
          <w:lang w:val="en-GB"/>
        </w:rPr>
        <w:t>s</w:t>
      </w:r>
      <w:r w:rsidR="000F0F97">
        <w:rPr>
          <w:lang w:val="en-GB"/>
        </w:rPr>
        <w:t xml:space="preserve"> and the distributions are perfectly super-imposed</w:t>
      </w:r>
      <w:r w:rsidR="00C65161">
        <w:rPr>
          <w:lang w:val="en-GB"/>
        </w:rPr>
        <w:t>.</w:t>
      </w:r>
      <w:r>
        <w:rPr>
          <w:rStyle w:val="FootnoteReference"/>
          <w:lang w:val="en-GB"/>
        </w:rPr>
        <w:footnoteReference w:id="24"/>
      </w:r>
      <w:r>
        <w:rPr>
          <w:lang w:val="en-GB"/>
        </w:rPr>
        <w:t xml:space="preserve"> Based on these descriptive statistics there appear</w:t>
      </w:r>
      <w:r w:rsidR="00C65161">
        <w:rPr>
          <w:lang w:val="en-GB"/>
        </w:rPr>
        <w:t>s</w:t>
      </w:r>
      <w:r>
        <w:rPr>
          <w:lang w:val="en-GB"/>
        </w:rPr>
        <w:t xml:space="preserve"> to be little </w:t>
      </w:r>
      <w:r w:rsidR="00C65161">
        <w:rPr>
          <w:lang w:val="en-GB"/>
        </w:rPr>
        <w:t>evidence of</w:t>
      </w:r>
      <w:r>
        <w:rPr>
          <w:lang w:val="en-GB"/>
        </w:rPr>
        <w:t xml:space="preserve"> discriminatory behaviour amongst </w:t>
      </w:r>
      <w:r w:rsidR="00C65161">
        <w:rPr>
          <w:lang w:val="en-GB"/>
        </w:rPr>
        <w:t xml:space="preserve">FPL </w:t>
      </w:r>
      <w:r>
        <w:rPr>
          <w:lang w:val="en-GB"/>
        </w:rPr>
        <w:t>participants.</w:t>
      </w:r>
    </w:p>
    <w:p w:rsidR="00710999" w:rsidRDefault="00710999" w:rsidP="007E0CCC">
      <w:pPr>
        <w:spacing w:after="120" w:line="480" w:lineRule="auto"/>
        <w:ind w:firstLine="720"/>
        <w:jc w:val="both"/>
        <w:rPr>
          <w:b/>
          <w:lang w:val="en-GB"/>
        </w:rPr>
      </w:pPr>
    </w:p>
    <w:p w:rsidR="009902E7" w:rsidRDefault="009902E7" w:rsidP="007E0CCC">
      <w:pPr>
        <w:spacing w:after="120" w:line="480" w:lineRule="auto"/>
        <w:ind w:firstLine="720"/>
        <w:jc w:val="both"/>
        <w:rPr>
          <w:b/>
          <w:lang w:val="en-GB"/>
        </w:rPr>
      </w:pPr>
      <w:r>
        <w:rPr>
          <w:b/>
          <w:lang w:val="en-GB"/>
        </w:rPr>
        <w:t>4.</w:t>
      </w:r>
      <w:r>
        <w:rPr>
          <w:b/>
          <w:lang w:val="en-GB"/>
        </w:rPr>
        <w:tab/>
        <w:t>EMPIRICAL STRATEGY</w:t>
      </w:r>
    </w:p>
    <w:p w:rsidR="009902E7" w:rsidRDefault="009902E7" w:rsidP="007E0CCC">
      <w:pPr>
        <w:spacing w:after="120" w:line="480" w:lineRule="auto"/>
        <w:ind w:firstLine="720"/>
        <w:jc w:val="both"/>
        <w:rPr>
          <w:lang w:val="en-GB"/>
        </w:rPr>
      </w:pPr>
      <w:r>
        <w:rPr>
          <w:lang w:val="en-GB"/>
        </w:rPr>
        <w:lastRenderedPageBreak/>
        <w:t>We investigate two potential dimensions along which racial discrimination may occur, namely initial hires at the start of the season and transfers during the course of the season. There may be discrimination in the labour market if, conditional on performance, employers are sim</w:t>
      </w:r>
      <w:r w:rsidR="009A3054">
        <w:rPr>
          <w:lang w:val="en-GB"/>
        </w:rPr>
        <w:t>ply less likely to purchase non-white players at a given price</w:t>
      </w:r>
      <w:r>
        <w:rPr>
          <w:lang w:val="en-GB"/>
        </w:rPr>
        <w:t xml:space="preserve">. </w:t>
      </w:r>
      <w:r w:rsidR="009A3054">
        <w:rPr>
          <w:lang w:val="en-GB"/>
        </w:rPr>
        <w:t>Since all other channels of discrimination are blocked, r</w:t>
      </w:r>
      <w:r>
        <w:rPr>
          <w:lang w:val="en-GB"/>
        </w:rPr>
        <w:t>acial differences in hires will arise through tast</w:t>
      </w:r>
      <w:r w:rsidR="009A3054">
        <w:rPr>
          <w:lang w:val="en-GB"/>
        </w:rPr>
        <w:t>e-based discrimination in the way</w:t>
      </w:r>
      <w:r>
        <w:rPr>
          <w:lang w:val="en-GB"/>
        </w:rPr>
        <w:t xml:space="preserve"> Becker envisaged (see</w:t>
      </w:r>
      <w:r w:rsidR="009A3054">
        <w:rPr>
          <w:lang w:val="en-GB"/>
        </w:rPr>
        <w:t xml:space="preserve"> Altonji and Blank, 1999: 3170). </w:t>
      </w:r>
      <w:r w:rsidRPr="00555BA4">
        <w:rPr>
          <w:lang w:val="en-GB"/>
        </w:rPr>
        <w:t>As Kahn (</w:t>
      </w:r>
      <w:r w:rsidR="00937DFC">
        <w:rPr>
          <w:lang w:val="en-GB"/>
        </w:rPr>
        <w:t>2009</w:t>
      </w:r>
      <w:r w:rsidRPr="00555BA4">
        <w:rPr>
          <w:lang w:val="en-GB"/>
        </w:rPr>
        <w:t xml:space="preserve">: 14-15) notes, identification of racial bias in hiring and firing decisions is best investigated using performance differences of marginal workers, as opposed to the average worker because only the former is informative about the margin where the hiring/firing decision is made. This is precisely what we observe in our data since all players are available for hire by all employers at any point in time, and can be dismissed </w:t>
      </w:r>
      <w:r w:rsidR="00580DFF">
        <w:rPr>
          <w:lang w:val="en-GB"/>
        </w:rPr>
        <w:t>with the low dismissal costs described in Section Three</w:t>
      </w:r>
      <w:r w:rsidRPr="00555BA4">
        <w:rPr>
          <w:lang w:val="en-GB"/>
        </w:rPr>
        <w:t>.</w:t>
      </w:r>
    </w:p>
    <w:p w:rsidR="009902E7" w:rsidRDefault="009902E7" w:rsidP="007E0CCC">
      <w:pPr>
        <w:spacing w:after="120" w:line="480" w:lineRule="auto"/>
        <w:ind w:firstLine="720"/>
        <w:jc w:val="both"/>
        <w:rPr>
          <w:lang w:val="en-GB"/>
        </w:rPr>
      </w:pPr>
      <w:r>
        <w:rPr>
          <w:lang w:val="en-GB"/>
        </w:rPr>
        <w:t>First we investigate whether there are any racial differences in employers' squad choice for the start of the season and, if so, whether they can be accounted for by perfo</w:t>
      </w:r>
      <w:r w:rsidR="009A3054">
        <w:rPr>
          <w:lang w:val="en-GB"/>
        </w:rPr>
        <w:t>rmance in the previous season</w:t>
      </w:r>
      <w:r w:rsidR="003C269E">
        <w:rPr>
          <w:lang w:val="en-GB"/>
        </w:rPr>
        <w:t xml:space="preserve">, </w:t>
      </w:r>
      <w:r w:rsidR="009F707E">
        <w:rPr>
          <w:lang w:val="en-GB"/>
        </w:rPr>
        <w:t xml:space="preserve">initial </w:t>
      </w:r>
      <w:r w:rsidR="003C269E">
        <w:rPr>
          <w:lang w:val="en-GB"/>
        </w:rPr>
        <w:t>price and other observable characteristic</w:t>
      </w:r>
      <w:r w:rsidR="00710999">
        <w:rPr>
          <w:lang w:val="en-GB"/>
        </w:rPr>
        <w:t>s</w:t>
      </w:r>
      <w:r w:rsidR="003C269E">
        <w:rPr>
          <w:lang w:val="en-GB"/>
        </w:rPr>
        <w:t xml:space="preserve"> of the player</w:t>
      </w:r>
      <w:r w:rsidR="009A3054">
        <w:rPr>
          <w:lang w:val="en-GB"/>
        </w:rPr>
        <w:t xml:space="preserve">. </w:t>
      </w:r>
      <w:r>
        <w:rPr>
          <w:lang w:val="en-GB"/>
        </w:rPr>
        <w:t>If a player is new to the league and has no information on performance in the prior season</w:t>
      </w:r>
      <w:r w:rsidR="009F707E">
        <w:rPr>
          <w:lang w:val="en-GB"/>
        </w:rPr>
        <w:t>,</w:t>
      </w:r>
      <w:r>
        <w:rPr>
          <w:lang w:val="en-GB"/>
        </w:rPr>
        <w:t xml:space="preserve"> values for previous season metrics are set to zero and the observations identified with a dummy variable </w:t>
      </w:r>
      <w:r w:rsidR="009A3054">
        <w:rPr>
          <w:lang w:val="en-GB"/>
        </w:rPr>
        <w:t xml:space="preserve">set to unity for </w:t>
      </w:r>
      <w:r>
        <w:rPr>
          <w:lang w:val="en-GB"/>
        </w:rPr>
        <w:t>player</w:t>
      </w:r>
      <w:r w:rsidR="009A3054">
        <w:rPr>
          <w:lang w:val="en-GB"/>
        </w:rPr>
        <w:t>s new to the league. This category is a mix of young players, players who used to play in lower leagues (especially those of promoted teams) and players who previously played abroad.</w:t>
      </w:r>
      <w:r>
        <w:rPr>
          <w:lang w:val="en-GB"/>
        </w:rPr>
        <w:t xml:space="preserve"> </w:t>
      </w:r>
      <w:r w:rsidR="009A3054">
        <w:rPr>
          <w:lang w:val="en-GB"/>
        </w:rPr>
        <w:t xml:space="preserve">We thus estimate a </w:t>
      </w:r>
      <w:r w:rsidR="003C269E">
        <w:rPr>
          <w:lang w:val="en-GB"/>
        </w:rPr>
        <w:t>regression of the (log) number of initial picks</w:t>
      </w:r>
      <w:r w:rsidR="009F707E">
        <w:rPr>
          <w:lang w:val="en-GB"/>
        </w:rPr>
        <w:t xml:space="preserve"> for each professional footballer</w:t>
      </w:r>
      <w:r w:rsidR="003C269E">
        <w:rPr>
          <w:lang w:val="en-GB"/>
        </w:rPr>
        <w:t>, accounting for race, a quadratic in price, a quadratic in previous year performance</w:t>
      </w:r>
      <w:r w:rsidR="00A160A8">
        <w:rPr>
          <w:lang w:val="en-GB"/>
        </w:rPr>
        <w:t xml:space="preserve"> and </w:t>
      </w:r>
      <w:r w:rsidR="00204715">
        <w:rPr>
          <w:lang w:val="en-GB"/>
        </w:rPr>
        <w:t xml:space="preserve">the </w:t>
      </w:r>
      <w:r w:rsidR="00A160A8">
        <w:rPr>
          <w:lang w:val="en-GB"/>
        </w:rPr>
        <w:t>player’s characteristics.</w:t>
      </w:r>
      <w:r w:rsidR="003C269E">
        <w:rPr>
          <w:lang w:val="en-GB"/>
        </w:rPr>
        <w:t xml:space="preserve"> </w:t>
      </w:r>
    </w:p>
    <w:p w:rsidR="009902E7" w:rsidRDefault="009902E7" w:rsidP="007E0CCC">
      <w:pPr>
        <w:spacing w:after="120" w:line="480" w:lineRule="auto"/>
        <w:jc w:val="both"/>
        <w:rPr>
          <w:lang w:val="en-GB"/>
        </w:rPr>
      </w:pPr>
      <m:oMath>
        <m:r>
          <w:rPr>
            <w:rFonts w:ascii="Cambria Math" w:hAnsi="Cambria Math"/>
            <w:lang w:val="en-GB"/>
          </w:rPr>
          <w:lastRenderedPageBreak/>
          <m:t>ln</m:t>
        </m:r>
        <m:sSub>
          <m:sSubPr>
            <m:ctrlPr>
              <w:rPr>
                <w:rFonts w:ascii="Cambria Math" w:hAnsi="Cambria Math"/>
                <w:i/>
                <w:lang w:val="en-GB"/>
              </w:rPr>
            </m:ctrlPr>
          </m:sSubPr>
          <m:e>
            <m:r>
              <w:rPr>
                <w:rFonts w:ascii="Cambria Math" w:hAnsi="Cambria Math"/>
                <w:lang w:val="en-GB"/>
              </w:rPr>
              <m:t>Pick</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Fees</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Sup>
          <m:sSubSupPr>
            <m:ctrlPr>
              <w:rPr>
                <w:rFonts w:ascii="Cambria Math" w:hAnsi="Cambria Math"/>
                <w:i/>
                <w:lang w:val="en-GB"/>
              </w:rPr>
            </m:ctrlPr>
          </m:sSubSupPr>
          <m:e>
            <m:r>
              <w:rPr>
                <w:rFonts w:ascii="Cambria Math" w:hAnsi="Cambria Math"/>
                <w:lang w:val="en-GB"/>
              </w:rPr>
              <m:t>Fees</m:t>
            </m:r>
          </m:e>
          <m:sub>
            <m:r>
              <w:rPr>
                <w:rFonts w:ascii="Cambria Math" w:hAnsi="Cambria Math"/>
                <w:lang w:val="en-GB"/>
              </w:rPr>
              <m:t>i</m:t>
            </m:r>
          </m:sub>
          <m:sup>
            <m:r>
              <w:rPr>
                <w:rFonts w:ascii="Cambria Math" w:hAnsi="Cambria Math"/>
                <w:lang w:val="en-GB"/>
              </w:rPr>
              <m:t>2</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sSubSup>
          <m:sSubSupPr>
            <m:ctrlPr>
              <w:rPr>
                <w:rFonts w:ascii="Cambria Math" w:hAnsi="Cambria Math"/>
                <w:i/>
                <w:lang w:val="en-GB"/>
              </w:rPr>
            </m:ctrlPr>
          </m:sSubSupPr>
          <m:e>
            <m:r>
              <w:rPr>
                <w:rFonts w:ascii="Cambria Math" w:hAnsi="Cambria Math"/>
                <w:lang w:val="en-GB"/>
              </w:rPr>
              <m:t>Perf</m:t>
            </m:r>
          </m:e>
          <m:sub>
            <m:r>
              <w:rPr>
                <w:rFonts w:ascii="Cambria Math" w:hAnsi="Cambria Math"/>
                <w:lang w:val="en-GB"/>
              </w:rPr>
              <m:t>i</m:t>
            </m:r>
          </m:sub>
          <m:sup>
            <m:r>
              <w:rPr>
                <w:rFonts w:ascii="Cambria Math" w:hAnsi="Cambria Math"/>
                <w:lang w:val="en-GB"/>
              </w:rPr>
              <m:t>2</m:t>
            </m:r>
          </m:sup>
        </m:sSubSup>
        <m:r>
          <w:rPr>
            <w:rFonts w:ascii="Cambria Math" w:hAnsi="Cambria Math"/>
            <w:lang w:val="en-GB"/>
          </w:rPr>
          <m:t>+β</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m:t>
            </m:r>
          </m:sub>
        </m:sSub>
      </m:oMath>
      <w:r w:rsidR="003C269E">
        <w:rPr>
          <w:lang w:val="en-GB"/>
        </w:rPr>
        <w:tab/>
      </w:r>
      <w:r>
        <w:rPr>
          <w:lang w:val="en-GB"/>
        </w:rPr>
        <w:t>(1)</w:t>
      </w:r>
    </w:p>
    <w:p w:rsidR="009902E7" w:rsidRDefault="00A160A8" w:rsidP="007E0CCC">
      <w:pPr>
        <w:spacing w:after="120" w:line="480" w:lineRule="auto"/>
        <w:ind w:firstLine="720"/>
        <w:jc w:val="both"/>
        <w:rPr>
          <w:lang w:val="en-GB"/>
        </w:rPr>
      </w:pPr>
      <w:r>
        <w:rPr>
          <w:lang w:val="en-GB"/>
        </w:rPr>
        <w:t>Standard errors are clustered at the individual level, so as to capture correlation in the popularity of a player</w:t>
      </w:r>
      <w:r w:rsidR="00993EDD">
        <w:rPr>
          <w:lang w:val="en-GB"/>
        </w:rPr>
        <w:t xml:space="preserve"> between seasons. Additional robustness checks estimate this model using quantile regressions rather than ordinary least square</w:t>
      </w:r>
      <w:r w:rsidR="00145A56">
        <w:rPr>
          <w:lang w:val="en-GB"/>
        </w:rPr>
        <w:t>, to assess whether discriminatory behaviour differ</w:t>
      </w:r>
      <w:r w:rsidR="00ED538B">
        <w:rPr>
          <w:lang w:val="en-GB"/>
        </w:rPr>
        <w:t>s</w:t>
      </w:r>
      <w:r w:rsidR="00145A56">
        <w:rPr>
          <w:lang w:val="en-GB"/>
        </w:rPr>
        <w:t xml:space="preserve"> at different point</w:t>
      </w:r>
      <w:r w:rsidR="00ED538B">
        <w:rPr>
          <w:lang w:val="en-GB"/>
        </w:rPr>
        <w:t>s</w:t>
      </w:r>
      <w:r w:rsidR="00145A56">
        <w:rPr>
          <w:lang w:val="en-GB"/>
        </w:rPr>
        <w:t xml:space="preserve"> </w:t>
      </w:r>
      <w:r w:rsidR="00ED538B">
        <w:rPr>
          <w:lang w:val="en-GB"/>
        </w:rPr>
        <w:t xml:space="preserve">in </w:t>
      </w:r>
      <w:r w:rsidR="00145A56">
        <w:rPr>
          <w:lang w:val="en-GB"/>
        </w:rPr>
        <w:t xml:space="preserve">the hiring distribution; for example </w:t>
      </w:r>
      <w:r w:rsidR="00ED538B">
        <w:rPr>
          <w:lang w:val="en-GB"/>
        </w:rPr>
        <w:t xml:space="preserve">if </w:t>
      </w:r>
      <w:r w:rsidR="00145A56">
        <w:rPr>
          <w:lang w:val="en-GB"/>
        </w:rPr>
        <w:t xml:space="preserve">the costs of discriminating </w:t>
      </w:r>
      <w:r w:rsidR="00ED538B">
        <w:rPr>
          <w:lang w:val="en-GB"/>
        </w:rPr>
        <w:t xml:space="preserve">against </w:t>
      </w:r>
      <w:r w:rsidR="00145A56">
        <w:rPr>
          <w:lang w:val="en-GB"/>
        </w:rPr>
        <w:t xml:space="preserve">high performing players </w:t>
      </w:r>
      <w:r w:rsidR="00ED538B">
        <w:rPr>
          <w:lang w:val="en-GB"/>
        </w:rPr>
        <w:t xml:space="preserve">is </w:t>
      </w:r>
      <w:r w:rsidR="00145A56">
        <w:rPr>
          <w:lang w:val="en-GB"/>
        </w:rPr>
        <w:t>higher, we could expect lower discrimination at the top end of the distribution than at the bottom</w:t>
      </w:r>
      <w:r w:rsidR="00993EDD">
        <w:rPr>
          <w:lang w:val="en-GB"/>
        </w:rPr>
        <w:t>.</w:t>
      </w:r>
    </w:p>
    <w:p w:rsidR="00D95957" w:rsidRDefault="009902E7" w:rsidP="00F57A64">
      <w:pPr>
        <w:spacing w:after="120" w:line="480" w:lineRule="auto"/>
        <w:ind w:firstLine="720"/>
        <w:jc w:val="both"/>
        <w:rPr>
          <w:lang w:val="en-GB"/>
        </w:rPr>
      </w:pPr>
      <w:r>
        <w:rPr>
          <w:lang w:val="en-GB"/>
        </w:rPr>
        <w:t xml:space="preserve">Second, </w:t>
      </w:r>
      <w:r w:rsidR="00145A56">
        <w:rPr>
          <w:lang w:val="en-GB"/>
        </w:rPr>
        <w:t>we are in the unique position to observe the dynamics of discrimination over 38 periods. As employers re-optimise their teams on a weekly basis, w</w:t>
      </w:r>
      <w:r>
        <w:rPr>
          <w:lang w:val="en-GB"/>
        </w:rPr>
        <w:t xml:space="preserve">e investigate </w:t>
      </w:r>
      <w:r w:rsidR="00993EDD">
        <w:rPr>
          <w:lang w:val="en-GB"/>
        </w:rPr>
        <w:t xml:space="preserve">the </w:t>
      </w:r>
      <w:r>
        <w:rPr>
          <w:lang w:val="en-GB"/>
        </w:rPr>
        <w:t xml:space="preserve">determinants of employers' net demand for players, that is, the difference between the number of hires and the number of fires a player is subject to </w:t>
      </w:r>
      <w:r w:rsidR="009F707E">
        <w:rPr>
          <w:lang w:val="en-GB"/>
        </w:rPr>
        <w:t>each week</w:t>
      </w:r>
      <w:r w:rsidR="00ED538B">
        <w:rPr>
          <w:lang w:val="en-GB"/>
        </w:rPr>
        <w:t>.</w:t>
      </w:r>
      <w:r w:rsidR="003A16F3">
        <w:rPr>
          <w:rStyle w:val="FootnoteReference"/>
          <w:lang w:val="en-GB"/>
        </w:rPr>
        <w:footnoteReference w:id="25"/>
      </w:r>
      <w:r>
        <w:rPr>
          <w:lang w:val="en-GB"/>
        </w:rPr>
        <w:t xml:space="preserve"> </w:t>
      </w:r>
      <w:r w:rsidR="00B0370B">
        <w:rPr>
          <w:lang w:val="en-GB"/>
        </w:rPr>
        <w:t>We normalise net demand on a weekly basis so that estimates can be interpreted as deviation</w:t>
      </w:r>
      <w:r w:rsidR="004A6656">
        <w:rPr>
          <w:lang w:val="en-GB"/>
        </w:rPr>
        <w:t>s</w:t>
      </w:r>
      <w:r w:rsidR="00B0370B">
        <w:rPr>
          <w:lang w:val="en-GB"/>
        </w:rPr>
        <w:t xml:space="preserve"> from one standard deviation.</w:t>
      </w:r>
    </w:p>
    <w:p w:rsidR="00F57A64" w:rsidRDefault="00F57A64" w:rsidP="00F57A64">
      <w:pPr>
        <w:spacing w:after="120" w:line="480" w:lineRule="auto"/>
        <w:ind w:firstLine="720"/>
        <w:jc w:val="both"/>
      </w:pPr>
      <w:r>
        <w:rPr>
          <w:lang w:val="en-GB"/>
        </w:rPr>
        <w:t xml:space="preserve">There are three reasons to suspect that discriminatory behaviour of employers may diminish over the course of the season. First, as Antonovic et al. (2005: 923) note in the context of </w:t>
      </w:r>
      <w:r>
        <w:rPr>
          <w:i/>
          <w:lang w:val="en-GB"/>
        </w:rPr>
        <w:t xml:space="preserve">The </w:t>
      </w:r>
      <w:r w:rsidRPr="00982BB7">
        <w:rPr>
          <w:i/>
          <w:lang w:val="en-GB"/>
        </w:rPr>
        <w:t>Weakest Link</w:t>
      </w:r>
      <w:r>
        <w:rPr>
          <w:lang w:val="en-GB"/>
        </w:rPr>
        <w:t xml:space="preserve"> TV show, "the implicit cost of taste-based discrimination rises as the game progresses (because one's probability of winning the game is higher in later rounds) discriminatory outcomes due to taste-based discrimination should diminish over time". Inte</w:t>
      </w:r>
      <w:r w:rsidR="00977390">
        <w:rPr>
          <w:lang w:val="en-GB"/>
        </w:rPr>
        <w:t>nsified competition should reduce discriminatory</w:t>
      </w:r>
      <w:r>
        <w:rPr>
          <w:lang w:val="en-GB"/>
        </w:rPr>
        <w:t xml:space="preserve"> behaviour </w:t>
      </w:r>
      <w:r w:rsidR="00977390">
        <w:rPr>
          <w:lang w:val="en-GB"/>
        </w:rPr>
        <w:t xml:space="preserve">over time </w:t>
      </w:r>
      <w:r>
        <w:rPr>
          <w:lang w:val="en-GB"/>
        </w:rPr>
        <w:t xml:space="preserve">in </w:t>
      </w:r>
      <w:r w:rsidR="00204715">
        <w:rPr>
          <w:lang w:val="en-GB"/>
        </w:rPr>
        <w:t>the FPL</w:t>
      </w:r>
      <w:r>
        <w:rPr>
          <w:lang w:val="en-GB"/>
        </w:rPr>
        <w:t xml:space="preserve"> for the same reasons. Second, whereas at the start of the season employers must rely on player performance information from the previous season, employer information </w:t>
      </w:r>
      <w:r>
        <w:rPr>
          <w:lang w:val="en-GB"/>
        </w:rPr>
        <w:lastRenderedPageBreak/>
        <w:t xml:space="preserve">about player performance is continually up-dated throughout the season </w:t>
      </w:r>
      <w:r>
        <w:t>such that, if there is any uncertainty regarding productivity at the outset that could induce some statistical discrimination, this dissi</w:t>
      </w:r>
      <w:r w:rsidR="009F707E">
        <w:t>pates over time as employers observe</w:t>
      </w:r>
      <w:r>
        <w:t xml:space="preserve"> player</w:t>
      </w:r>
      <w:r w:rsidR="009F707E">
        <w:t>’s</w:t>
      </w:r>
      <w:r>
        <w:t xml:space="preserve"> "form"</w:t>
      </w:r>
      <w:r w:rsidR="009F707E">
        <w:t xml:space="preserve">, including </w:t>
      </w:r>
      <w:r w:rsidR="00204715">
        <w:t xml:space="preserve">that of </w:t>
      </w:r>
      <w:r w:rsidR="009F707E">
        <w:t xml:space="preserve">footballers </w:t>
      </w:r>
      <w:r w:rsidR="00204715">
        <w:t xml:space="preserve">they have </w:t>
      </w:r>
      <w:r w:rsidR="009F707E">
        <w:t xml:space="preserve">not </w:t>
      </w:r>
      <w:r w:rsidR="00204715">
        <w:t>selected such that</w:t>
      </w:r>
      <w:r w:rsidR="009F707E">
        <w:t xml:space="preserve"> the information on productivity is perfect and covers the full set of employees and potential employees</w:t>
      </w:r>
      <w:r w:rsidR="00AE05AD">
        <w:t xml:space="preserve">. </w:t>
      </w:r>
      <w:r>
        <w:t>Third, there may be attrition in the employers remaining active in the league if, for example, it is those who are most committed to winning, or have the greatest chance of winning, who continue to hire and fire to the end of the season.</w:t>
      </w:r>
      <w:r w:rsidR="00AE05AD">
        <w:t xml:space="preserve"> </w:t>
      </w:r>
      <w:r w:rsidR="00D95957">
        <w:rPr>
          <w:lang w:val="en-GB"/>
        </w:rPr>
        <w:t xml:space="preserve">Figure </w:t>
      </w:r>
      <w:r w:rsidR="000F0F97">
        <w:rPr>
          <w:lang w:val="en-GB"/>
        </w:rPr>
        <w:t>3</w:t>
      </w:r>
      <w:r w:rsidR="00D95957">
        <w:rPr>
          <w:lang w:val="en-GB"/>
        </w:rPr>
        <w:t xml:space="preserve"> shows movement in the net demand for players over the course of the 38 week season for the pooled seasons.  It is apparent that market activity declines over the course of the season, perhaps reflecting falling effort as most employers find they are unable to win, or growing employer perceptions that they have optimised in the face of budget constraints</w:t>
      </w:r>
      <w:r w:rsidR="00204715">
        <w:rPr>
          <w:lang w:val="en-GB"/>
        </w:rPr>
        <w:t>.</w:t>
      </w:r>
      <w:r w:rsidR="009F707E">
        <w:rPr>
          <w:rStyle w:val="FootnoteReference"/>
        </w:rPr>
        <w:footnoteReference w:id="26"/>
      </w:r>
      <w:r w:rsidR="00D95957">
        <w:rPr>
          <w:lang w:val="en-GB"/>
        </w:rPr>
        <w:t xml:space="preserve"> The sudden drop before week 20 is likely due to the Christmas holiday season</w:t>
      </w:r>
      <w:r>
        <w:t>.</w:t>
      </w:r>
      <w:r w:rsidR="009F707E">
        <w:t xml:space="preserve"> </w:t>
      </w:r>
      <w:r>
        <w:t>If we assume that discr</w:t>
      </w:r>
      <w:r w:rsidR="00D95957">
        <w:t xml:space="preserve">iminatory behaviour is </w:t>
      </w:r>
      <w:r>
        <w:t>costl</w:t>
      </w:r>
      <w:r w:rsidR="00D95957">
        <w:t>ier</w:t>
      </w:r>
      <w:r>
        <w:t xml:space="preserve"> for these employers still playing towards the end of the season (since under-performance via discrimination is most keenly felt by these employers) differential attrition should mean discrimination declines over the season.</w:t>
      </w:r>
      <w:r w:rsidR="003F1631">
        <w:t xml:space="preserve"> A</w:t>
      </w:r>
      <w:r>
        <w:t xml:space="preserve">s well as flexibly controlling for time, we run robustness check splitting the season into four periods. </w:t>
      </w:r>
    </w:p>
    <w:p w:rsidR="00F57A64" w:rsidRDefault="000F0F97" w:rsidP="000F0F97">
      <w:pPr>
        <w:spacing w:after="120" w:line="480" w:lineRule="auto"/>
        <w:jc w:val="both"/>
      </w:pPr>
      <w:r>
        <w:t>[FIGURE 3</w:t>
      </w:r>
      <w:r w:rsidR="00F57A64">
        <w:t>]</w:t>
      </w:r>
    </w:p>
    <w:p w:rsidR="006824BB" w:rsidRDefault="006824BB" w:rsidP="000F0F97">
      <w:pPr>
        <w:spacing w:after="120" w:line="480" w:lineRule="auto"/>
        <w:jc w:val="both"/>
      </w:pPr>
      <w:r>
        <w:tab/>
        <w:t xml:space="preserve">Additionally, </w:t>
      </w:r>
      <w:r w:rsidR="00A66A6C">
        <w:t>every two years, the Africa</w:t>
      </w:r>
      <w:r>
        <w:t xml:space="preserve"> Cup of Nations takes place. Unlike other international tournament</w:t>
      </w:r>
      <w:r w:rsidR="004A6656">
        <w:t>s</w:t>
      </w:r>
      <w:r>
        <w:t xml:space="preserve">, it </w:t>
      </w:r>
      <w:r w:rsidR="004A6656">
        <w:t>occurs</w:t>
      </w:r>
      <w:r>
        <w:t xml:space="preserve"> during the regular </w:t>
      </w:r>
      <w:r w:rsidR="00A66A6C">
        <w:t xml:space="preserve">European </w:t>
      </w:r>
      <w:r>
        <w:t xml:space="preserve">season, so that international players from participating nations become unavailable to play for their teams. Our data straddle the 2010 competition which took place </w:t>
      </w:r>
      <w:r w:rsidR="00A66A6C">
        <w:t xml:space="preserve">in Angola between the </w:t>
      </w:r>
      <w:r w:rsidR="00A66A6C">
        <w:lastRenderedPageBreak/>
        <w:t>10</w:t>
      </w:r>
      <w:r w:rsidR="00844000" w:rsidRPr="00844000">
        <w:rPr>
          <w:vertAlign w:val="superscript"/>
        </w:rPr>
        <w:t>th</w:t>
      </w:r>
      <w:r w:rsidR="00A66A6C">
        <w:t xml:space="preserve"> and 31th of January. To account for the non-availability of </w:t>
      </w:r>
      <w:r w:rsidR="004A6656">
        <w:t xml:space="preserve">players </w:t>
      </w:r>
      <w:r w:rsidR="00A66A6C">
        <w:t xml:space="preserve">from participating nations we include a dummy for international players </w:t>
      </w:r>
      <w:r w:rsidR="004A6656">
        <w:t>from the</w:t>
      </w:r>
      <w:r w:rsidR="00A66A6C">
        <w:t xml:space="preserve"> qualif</w:t>
      </w:r>
      <w:r w:rsidR="004A6656">
        <w:t>ying</w:t>
      </w:r>
      <w:r w:rsidR="00A66A6C">
        <w:t xml:space="preserve"> nations. The dummy is switched on two weeks before the beginning of the tournament and up to three days after the end of the national team</w:t>
      </w:r>
      <w:r w:rsidR="004A6656">
        <w:t>'s</w:t>
      </w:r>
      <w:r w:rsidR="00A66A6C">
        <w:t xml:space="preserve"> participation</w:t>
      </w:r>
      <w:r w:rsidR="004A6656">
        <w:t>.</w:t>
      </w:r>
      <w:r w:rsidR="00A66A6C">
        <w:rPr>
          <w:rStyle w:val="FootnoteReference"/>
        </w:rPr>
        <w:footnoteReference w:id="27"/>
      </w:r>
    </w:p>
    <w:p w:rsidR="009902E7" w:rsidRDefault="009902E7" w:rsidP="007E0CCC">
      <w:pPr>
        <w:spacing w:after="120" w:line="480" w:lineRule="auto"/>
        <w:ind w:firstLine="720"/>
        <w:jc w:val="both"/>
      </w:pPr>
      <w:r>
        <w:rPr>
          <w:lang w:val="en-GB"/>
        </w:rPr>
        <w:t xml:space="preserve">We isolate race-related differences with a dummy variable identifying </w:t>
      </w:r>
      <w:r w:rsidR="00993EDD">
        <w:rPr>
          <w:lang w:val="en-GB"/>
        </w:rPr>
        <w:t>non-white</w:t>
      </w:r>
      <w:r>
        <w:rPr>
          <w:lang w:val="en-GB"/>
        </w:rPr>
        <w:t xml:space="preserve"> players</w:t>
      </w:r>
      <w:r w:rsidR="00993EDD">
        <w:rPr>
          <w:lang w:val="en-GB"/>
        </w:rPr>
        <w:t xml:space="preserve">. </w:t>
      </w:r>
      <w:r w:rsidR="00571616">
        <w:rPr>
          <w:lang w:val="en-GB"/>
        </w:rPr>
        <w:t>The specification includes the same individual characteristics as in (1), plus</w:t>
      </w:r>
      <w:r w:rsidR="005C11CE">
        <w:rPr>
          <w:lang w:val="en-GB"/>
        </w:rPr>
        <w:t xml:space="preserve"> </w:t>
      </w:r>
      <w:r w:rsidR="00571616">
        <w:rPr>
          <w:lang w:val="en-GB"/>
        </w:rPr>
        <w:t>indicators of weeks of play, to capture potential fluctuation in participants’ interest through the season,</w:t>
      </w:r>
      <w:r w:rsidR="00B0370B">
        <w:rPr>
          <w:lang w:val="en-GB"/>
        </w:rPr>
        <w:t xml:space="preserve"> an indicator of participating to the 2010 Africa Cup of Nations, </w:t>
      </w:r>
      <w:r w:rsidR="00571616">
        <w:rPr>
          <w:lang w:val="en-GB"/>
        </w:rPr>
        <w:t>and</w:t>
      </w:r>
      <w:r w:rsidR="003F1631">
        <w:rPr>
          <w:lang w:val="en-GB"/>
        </w:rPr>
        <w:t xml:space="preserve"> an</w:t>
      </w:r>
      <w:r w:rsidR="00571616">
        <w:rPr>
          <w:lang w:val="en-GB"/>
        </w:rPr>
        <w:t xml:space="preserve"> indicator on</w:t>
      </w:r>
      <w:r w:rsidR="003F1631">
        <w:rPr>
          <w:lang w:val="en-GB"/>
        </w:rPr>
        <w:t xml:space="preserve"> the</w:t>
      </w:r>
      <w:r w:rsidR="00571616">
        <w:rPr>
          <w:lang w:val="en-GB"/>
        </w:rPr>
        <w:t xml:space="preserve"> number of games sc</w:t>
      </w:r>
      <w:r w:rsidR="003F1631">
        <w:rPr>
          <w:lang w:val="en-GB"/>
        </w:rPr>
        <w:t>heduled to play during the week</w:t>
      </w:r>
      <w:r w:rsidR="00571616">
        <w:rPr>
          <w:lang w:val="en-GB"/>
        </w:rPr>
        <w:t xml:space="preserve">. </w:t>
      </w:r>
      <w:r w:rsidR="00F57A64">
        <w:rPr>
          <w:lang w:val="en-GB"/>
        </w:rPr>
        <w:t>F</w:t>
      </w:r>
      <w:r w:rsidR="00571616">
        <w:rPr>
          <w:lang w:val="en-GB"/>
        </w:rPr>
        <w:t>ees are the updated values after last performance. The measures of productivity capture various time dimensions</w:t>
      </w:r>
      <w:r w:rsidR="003F1631">
        <w:rPr>
          <w:lang w:val="en-GB"/>
        </w:rPr>
        <w:t>. A priori, employers may use different productivity metrics, and face a trade-off between using recent productivity which may capture some random luck component, or use a long term average which may fail to capture recent change in player’s form. We include three, covering different periods</w:t>
      </w:r>
      <w:r w:rsidR="00571616">
        <w:rPr>
          <w:lang w:val="en-GB"/>
        </w:rPr>
        <w:t xml:space="preserve">: the immediate productivity (last period performance), the three previous periods, and the overall performance since </w:t>
      </w:r>
      <w:r w:rsidR="00204715">
        <w:rPr>
          <w:lang w:val="en-GB"/>
        </w:rPr>
        <w:t xml:space="preserve">the </w:t>
      </w:r>
      <w:r w:rsidR="00571616">
        <w:rPr>
          <w:lang w:val="en-GB"/>
        </w:rPr>
        <w:t xml:space="preserve">season started. </w:t>
      </w:r>
      <w:r w:rsidR="007E0CCC">
        <w:rPr>
          <w:lang w:val="en-GB"/>
        </w:rPr>
        <w:t>Considering that we have repeat observation for players, standard errors are again clustered at the player level</w:t>
      </w:r>
      <w:r w:rsidR="00204715">
        <w:rPr>
          <w:lang w:val="en-GB"/>
        </w:rPr>
        <w:t>.</w:t>
      </w:r>
      <w:r w:rsidR="003F1631">
        <w:rPr>
          <w:rStyle w:val="FootnoteReference"/>
          <w:lang w:val="en-GB"/>
        </w:rPr>
        <w:footnoteReference w:id="28"/>
      </w:r>
    </w:p>
    <w:p w:rsidR="009902E7" w:rsidRDefault="00DF4547" w:rsidP="007E0CCC">
      <w:pPr>
        <w:spacing w:after="120" w:line="480" w:lineRule="auto"/>
        <w:jc w:val="both"/>
        <w:rPr>
          <w:lang w:val="en-GB"/>
        </w:rPr>
      </w:pPr>
      <m:oMath>
        <m:sSub>
          <m:sSubPr>
            <m:ctrlPr>
              <w:rPr>
                <w:rFonts w:ascii="Cambria Math" w:hAnsi="Cambria Math"/>
                <w:i/>
                <w:lang w:val="en-GB"/>
              </w:rPr>
            </m:ctrlPr>
          </m:sSubPr>
          <m:e>
            <m:r>
              <w:rPr>
                <w:rFonts w:ascii="Cambria Math" w:hAnsi="Cambria Math"/>
                <w:lang w:val="en-GB"/>
              </w:rPr>
              <m:t>∆Pick</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Fees</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it-2/4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i1/t-1</m:t>
            </m:r>
          </m:sub>
        </m:sSub>
        <m:r>
          <w:rPr>
            <w:rFonts w:ascii="Cambria Math" w:hAnsi="Cambria Math"/>
            <w:lang w:val="en-GB"/>
          </w:rPr>
          <m:t>+β</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+f</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it</m:t>
            </m:r>
          </m:sub>
        </m:sSub>
      </m:oMath>
      <w:r w:rsidR="009902E7">
        <w:rPr>
          <w:lang w:val="en-GB"/>
        </w:rPr>
        <w:tab/>
      </w:r>
      <w:r w:rsidR="009902E7">
        <w:rPr>
          <w:lang w:val="en-GB"/>
        </w:rPr>
        <w:tab/>
      </w:r>
      <w:r w:rsidR="009902E7">
        <w:rPr>
          <w:lang w:val="en-GB"/>
        </w:rPr>
        <w:tab/>
      </w:r>
      <w:r w:rsidR="009902E7">
        <w:rPr>
          <w:lang w:val="en-GB"/>
        </w:rPr>
        <w:tab/>
      </w:r>
      <w:r w:rsidR="009902E7">
        <w:rPr>
          <w:lang w:val="en-GB"/>
        </w:rPr>
        <w:tab/>
      </w:r>
      <w:r w:rsidR="00571616">
        <w:rPr>
          <w:lang w:val="en-GB"/>
        </w:rPr>
        <w:tab/>
      </w:r>
      <w:r w:rsidR="00571616">
        <w:rPr>
          <w:lang w:val="en-GB"/>
        </w:rPr>
        <w:tab/>
      </w:r>
      <w:r w:rsidR="00571616">
        <w:rPr>
          <w:lang w:val="en-GB"/>
        </w:rPr>
        <w:tab/>
      </w:r>
      <w:r w:rsidR="00571616">
        <w:rPr>
          <w:lang w:val="en-GB"/>
        </w:rPr>
        <w:tab/>
      </w:r>
      <w:r w:rsidR="009902E7">
        <w:rPr>
          <w:lang w:val="en-GB"/>
        </w:rPr>
        <w:t>(2)</w:t>
      </w:r>
    </w:p>
    <w:p w:rsidR="009902E7" w:rsidRDefault="007E0CCC" w:rsidP="007E0CCC">
      <w:pPr>
        <w:spacing w:after="120" w:line="480" w:lineRule="auto"/>
        <w:ind w:firstLine="720"/>
        <w:jc w:val="both"/>
        <w:rPr>
          <w:lang w:val="en-GB"/>
        </w:rPr>
      </w:pPr>
      <w:r>
        <w:rPr>
          <w:lang w:val="en-GB"/>
        </w:rPr>
        <w:t>Finally, to absorb any remaining characteristics of the player that may not be captured by these observables, we also estimate a player</w:t>
      </w:r>
      <w:r w:rsidR="005C11CE">
        <w:rPr>
          <w:lang w:val="en-GB"/>
        </w:rPr>
        <w:t>/season</w:t>
      </w:r>
      <w:r>
        <w:rPr>
          <w:lang w:val="en-GB"/>
        </w:rPr>
        <w:t xml:space="preserve"> level fixed effect</w:t>
      </w:r>
      <w:r w:rsidR="005C11CE">
        <w:rPr>
          <w:lang w:val="en-GB"/>
        </w:rPr>
        <w:t xml:space="preserve">. The </w:t>
      </w:r>
      <w:r w:rsidR="005C11CE">
        <w:rPr>
          <w:lang w:val="en-GB"/>
        </w:rPr>
        <w:lastRenderedPageBreak/>
        <w:t>race effect is</w:t>
      </w:r>
      <w:r w:rsidR="003F1631">
        <w:rPr>
          <w:lang w:val="en-GB"/>
        </w:rPr>
        <w:t xml:space="preserve"> then</w:t>
      </w:r>
      <w:r w:rsidR="005C11CE">
        <w:rPr>
          <w:lang w:val="en-GB"/>
        </w:rPr>
        <w:t xml:space="preserve"> identified </w:t>
      </w:r>
      <w:r w:rsidR="00204715">
        <w:rPr>
          <w:lang w:val="en-GB"/>
        </w:rPr>
        <w:t>through</w:t>
      </w:r>
      <w:r w:rsidR="005C11CE">
        <w:rPr>
          <w:lang w:val="en-GB"/>
        </w:rPr>
        <w:t xml:space="preserve"> its i</w:t>
      </w:r>
      <w:r w:rsidR="003F1631">
        <w:rPr>
          <w:lang w:val="en-GB"/>
        </w:rPr>
        <w:t>nteraction with performance and</w:t>
      </w:r>
      <w:r w:rsidR="005C11CE">
        <w:rPr>
          <w:lang w:val="en-GB"/>
        </w:rPr>
        <w:t xml:space="preserve"> price; i.e. are non-white players more likely to be traded than white player</w:t>
      </w:r>
      <w:r w:rsidR="00204715">
        <w:rPr>
          <w:lang w:val="en-GB"/>
        </w:rPr>
        <w:t>s</w:t>
      </w:r>
      <w:r w:rsidR="005C11CE">
        <w:rPr>
          <w:lang w:val="en-GB"/>
        </w:rPr>
        <w:t xml:space="preserve"> at a given level of recent performance or price</w:t>
      </w:r>
      <w:r w:rsidR="00ED538B">
        <w:rPr>
          <w:lang w:val="en-GB"/>
        </w:rPr>
        <w:t>?</w:t>
      </w:r>
      <w:r w:rsidR="005C11CE">
        <w:rPr>
          <w:lang w:val="en-GB"/>
        </w:rPr>
        <w:t xml:space="preserve"> </w:t>
      </w:r>
    </w:p>
    <w:p w:rsidR="005C11CE" w:rsidRPr="005C11CE" w:rsidRDefault="00DF4547" w:rsidP="005C11CE">
      <w:pPr>
        <w:spacing w:after="120" w:line="480" w:lineRule="auto"/>
        <w:jc w:val="both"/>
        <w:rPr>
          <w:lang w:val="en-GB"/>
        </w:rPr>
      </w:pPr>
      <m:oMathPara>
        <m:oMath>
          <m:sSub>
            <m:sSubPr>
              <m:ctrlPr>
                <w:rPr>
                  <w:rFonts w:ascii="Cambria Math" w:hAnsi="Cambria Math"/>
                  <w:i/>
                  <w:lang w:val="en-GB"/>
                </w:rPr>
              </m:ctrlPr>
            </m:sSubPr>
            <m:e>
              <m:r>
                <w:rPr>
                  <w:rFonts w:ascii="Cambria Math" w:hAnsi="Cambria Math"/>
                  <w:lang w:val="en-GB"/>
                </w:rPr>
                <m:t>∆Pick</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Fees</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m:t>
              </m:r>
              <m:f>
                <m:fPr>
                  <m:type m:val="lin"/>
                  <m:ctrlPr>
                    <w:rPr>
                      <w:rFonts w:ascii="Cambria Math" w:hAnsi="Cambria Math"/>
                      <w:i/>
                      <w:lang w:val="en-GB"/>
                    </w:rPr>
                  </m:ctrlPr>
                </m:fPr>
                <m:num>
                  <m:r>
                    <w:rPr>
                      <w:rFonts w:ascii="Cambria Math" w:hAnsi="Cambria Math"/>
                      <w:lang w:val="en-GB"/>
                    </w:rPr>
                    <m:t>2</m:t>
                  </m:r>
                </m:num>
                <m:den>
                  <m:r>
                    <w:rPr>
                      <w:rFonts w:ascii="Cambria Math" w:hAnsi="Cambria Math"/>
                      <w:lang w:val="en-GB"/>
                    </w:rPr>
                    <m:t>4</m:t>
                  </m:r>
                </m:den>
              </m:f>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 1/t -1</m:t>
              </m:r>
            </m:sub>
          </m:sSub>
          <m:r>
            <w:rPr>
              <w:rFonts w:ascii="Cambria Math" w:hAnsi="Cambria Math"/>
              <w:lang w:val="en-GB"/>
            </w:rPr>
            <m:t>+</m:t>
          </m:r>
        </m:oMath>
      </m:oMathPara>
    </w:p>
    <w:p w:rsidR="005C11CE" w:rsidRDefault="00DF4547" w:rsidP="005C11CE">
      <w:pPr>
        <w:spacing w:after="120" w:line="480" w:lineRule="auto"/>
        <w:jc w:val="both"/>
        <w:rPr>
          <w:lang w:val="en-GB"/>
        </w:rPr>
      </w:pP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Fees</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it-2/4</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Perf</m:t>
            </m:r>
          </m:e>
          <m:sub>
            <m:r>
              <w:rPr>
                <w:rFonts w:ascii="Cambria Math" w:hAnsi="Cambria Math"/>
                <w:lang w:val="en-GB"/>
              </w:rPr>
              <m:t>i1/t-1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Race</m:t>
            </m:r>
          </m:e>
          <m:sub>
            <m:r>
              <w:rPr>
                <w:rFonts w:ascii="Cambria Math" w:hAnsi="Cambria Math"/>
                <w:lang w:val="en-GB"/>
              </w:rPr>
              <m:t>i</m:t>
            </m:r>
          </m:sub>
        </m:sSub>
        <m:r>
          <w:rPr>
            <w:rFonts w:ascii="Cambria Math" w:hAnsi="Cambria Math"/>
            <w:lang w:val="en-GB"/>
          </w:rPr>
          <m:t>+β</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m:t>
            </m:r>
          </m:sub>
        </m:sSub>
        <m:r>
          <w:rPr>
            <w:rFonts w:ascii="Cambria Math" w:hAnsi="Cambria Math"/>
            <w:lang w:val="en-GB"/>
          </w:rPr>
          <m:t>+f</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i</m:t>
            </m:r>
            <m:r>
              <w:rPr>
                <w:rFonts w:ascii="Cambria Math" w:hAnsi="Cambria Math"/>
                <w:lang w:val="en-GB"/>
              </w:rPr>
              <m:t>t</m:t>
            </m:r>
          </m:sub>
        </m:sSub>
      </m:oMath>
      <w:r w:rsidR="00F57A64">
        <w:rPr>
          <w:lang w:val="en-GB"/>
        </w:rPr>
        <w:tab/>
      </w:r>
      <w:r w:rsidR="00F57A64">
        <w:rPr>
          <w:lang w:val="en-GB"/>
        </w:rPr>
        <w:tab/>
      </w:r>
      <w:r w:rsidR="00F57A64">
        <w:rPr>
          <w:lang w:val="en-GB"/>
        </w:rPr>
        <w:tab/>
      </w:r>
      <w:r w:rsidR="00F57A64">
        <w:rPr>
          <w:lang w:val="en-GB"/>
        </w:rPr>
        <w:tab/>
      </w:r>
      <w:r w:rsidR="00F57A64">
        <w:rPr>
          <w:lang w:val="en-GB"/>
        </w:rPr>
        <w:tab/>
      </w:r>
      <w:r w:rsidR="00F57A64">
        <w:rPr>
          <w:lang w:val="en-GB"/>
        </w:rPr>
        <w:tab/>
        <w:t>(3)</w:t>
      </w:r>
    </w:p>
    <w:p w:rsidR="005C11CE" w:rsidRPr="00AB41AA" w:rsidRDefault="005C11CE" w:rsidP="007E0CCC">
      <w:pPr>
        <w:spacing w:after="120" w:line="480" w:lineRule="auto"/>
        <w:ind w:firstLine="720"/>
        <w:jc w:val="both"/>
        <w:rPr>
          <w:lang w:val="en-GB"/>
        </w:rPr>
      </w:pPr>
    </w:p>
    <w:p w:rsidR="002220FD" w:rsidRPr="00580DFF" w:rsidRDefault="00C9017A" w:rsidP="00F57A64">
      <w:pPr>
        <w:spacing w:after="120"/>
        <w:jc w:val="both"/>
        <w:rPr>
          <w:b/>
          <w:lang w:val="en-GB"/>
        </w:rPr>
      </w:pPr>
      <w:r w:rsidRPr="00580DFF">
        <w:rPr>
          <w:b/>
          <w:lang w:val="en-GB"/>
        </w:rPr>
        <w:t>5</w:t>
      </w:r>
      <w:r w:rsidR="002220FD" w:rsidRPr="00580DFF">
        <w:rPr>
          <w:b/>
          <w:lang w:val="en-GB"/>
        </w:rPr>
        <w:t>.</w:t>
      </w:r>
      <w:r w:rsidR="002220FD" w:rsidRPr="00580DFF">
        <w:rPr>
          <w:b/>
          <w:lang w:val="en-GB"/>
        </w:rPr>
        <w:tab/>
        <w:t>RESULTS</w:t>
      </w:r>
    </w:p>
    <w:p w:rsidR="00580DFF" w:rsidRDefault="001016BE" w:rsidP="007E0CCC">
      <w:pPr>
        <w:spacing w:after="120" w:line="480" w:lineRule="auto"/>
        <w:ind w:firstLine="720"/>
        <w:jc w:val="both"/>
        <w:rPr>
          <w:i/>
          <w:lang w:val="en-GB"/>
        </w:rPr>
      </w:pPr>
      <w:r>
        <w:rPr>
          <w:i/>
          <w:lang w:val="en-GB"/>
        </w:rPr>
        <w:t>5.1</w:t>
      </w:r>
      <w:r>
        <w:rPr>
          <w:i/>
          <w:lang w:val="en-GB"/>
        </w:rPr>
        <w:tab/>
        <w:t>Graphical Evidence</w:t>
      </w:r>
    </w:p>
    <w:p w:rsidR="001016BE" w:rsidRDefault="000F0F97" w:rsidP="001016BE">
      <w:pPr>
        <w:spacing w:after="120" w:line="480" w:lineRule="auto"/>
        <w:ind w:firstLine="720"/>
        <w:jc w:val="both"/>
        <w:rPr>
          <w:lang w:val="en-GB"/>
        </w:rPr>
      </w:pPr>
      <w:r>
        <w:rPr>
          <w:lang w:val="en-GB"/>
        </w:rPr>
        <w:t>Figure 4</w:t>
      </w:r>
      <w:r w:rsidR="001016BE">
        <w:rPr>
          <w:lang w:val="en-GB"/>
        </w:rPr>
        <w:t xml:space="preserve"> presents information on the </w:t>
      </w:r>
      <w:r>
        <w:rPr>
          <w:lang w:val="en-GB"/>
        </w:rPr>
        <w:t xml:space="preserve">relationship between </w:t>
      </w:r>
      <w:r w:rsidR="001016BE">
        <w:rPr>
          <w:lang w:val="en-GB"/>
        </w:rPr>
        <w:t>performance, price and demand for players by race</w:t>
      </w:r>
      <w:r w:rsidR="003F1631">
        <w:rPr>
          <w:lang w:val="en-GB"/>
        </w:rPr>
        <w:t>,</w:t>
      </w:r>
      <w:r w:rsidR="001016BE">
        <w:rPr>
          <w:lang w:val="en-GB"/>
        </w:rPr>
        <w:t xml:space="preserve"> both at the start of the season and during the season.  </w:t>
      </w:r>
      <w:r>
        <w:rPr>
          <w:lang w:val="en-GB"/>
        </w:rPr>
        <w:t>As shown from Figure 2,</w:t>
      </w:r>
      <w:r w:rsidR="001016BE">
        <w:rPr>
          <w:lang w:val="en-GB"/>
        </w:rPr>
        <w:t xml:space="preserve"> it is notable that there are only white players towards the very top of the rankings in terms of last season's performance, raising questions as to whether one can recover a white-</w:t>
      </w:r>
      <w:r w:rsidR="009F7427">
        <w:rPr>
          <w:lang w:val="en-GB"/>
        </w:rPr>
        <w:t>nonwhite</w:t>
      </w:r>
      <w:r w:rsidR="001016BE">
        <w:rPr>
          <w:lang w:val="en-GB"/>
        </w:rPr>
        <w:t xml:space="preserve"> differential in demand conditional on performance at the very</w:t>
      </w:r>
      <w:r w:rsidR="003F1631">
        <w:rPr>
          <w:lang w:val="en-GB"/>
        </w:rPr>
        <w:t xml:space="preserve"> top of the performance scale. </w:t>
      </w:r>
      <w:r w:rsidR="001016BE">
        <w:rPr>
          <w:lang w:val="en-GB"/>
        </w:rPr>
        <w:t>Where there appears to be common support the association between initial demand for players at the start of the season and their performance in the previous season appears v</w:t>
      </w:r>
      <w:r>
        <w:rPr>
          <w:lang w:val="en-GB"/>
        </w:rPr>
        <w:t>ery similar by race (Panel A</w:t>
      </w:r>
      <w:r w:rsidR="003F1631">
        <w:rPr>
          <w:lang w:val="en-GB"/>
        </w:rPr>
        <w:t xml:space="preserve">). Note that while the relation between performance and pick is linear there is a definite kink for top performers. </w:t>
      </w:r>
      <w:r w:rsidR="001016BE">
        <w:rPr>
          <w:lang w:val="en-GB"/>
        </w:rPr>
        <w:t xml:space="preserve">The same is also true during the course of the season, with demand rising with points for both whites and </w:t>
      </w:r>
      <w:r w:rsidR="009F7427">
        <w:rPr>
          <w:lang w:val="en-GB"/>
        </w:rPr>
        <w:t>non</w:t>
      </w:r>
      <w:r w:rsidR="000F328D">
        <w:rPr>
          <w:lang w:val="en-GB"/>
        </w:rPr>
        <w:t>-</w:t>
      </w:r>
      <w:r w:rsidR="009F7427">
        <w:rPr>
          <w:lang w:val="en-GB"/>
        </w:rPr>
        <w:t>whites</w:t>
      </w:r>
      <w:r w:rsidR="001016BE">
        <w:rPr>
          <w:lang w:val="en-GB"/>
        </w:rPr>
        <w:t xml:space="preserve"> in a similar fashion, at least up to the higher reaches of the points distribution, after which point the number of player obs</w:t>
      </w:r>
      <w:r>
        <w:rPr>
          <w:lang w:val="en-GB"/>
        </w:rPr>
        <w:t>ervations is very small (Panel C</w:t>
      </w:r>
      <w:r w:rsidR="001016BE">
        <w:rPr>
          <w:lang w:val="en-GB"/>
        </w:rPr>
        <w:t>). Similarly, throughout most of the point</w:t>
      </w:r>
      <w:r w:rsidR="00204715">
        <w:rPr>
          <w:lang w:val="en-GB"/>
        </w:rPr>
        <w:t>s</w:t>
      </w:r>
      <w:r w:rsidR="001016BE">
        <w:rPr>
          <w:lang w:val="en-GB"/>
        </w:rPr>
        <w:t xml:space="preserve"> distribution the association between player performance and price is similar by race, both at </w:t>
      </w:r>
      <w:r>
        <w:rPr>
          <w:lang w:val="en-GB"/>
        </w:rPr>
        <w:t xml:space="preserve">the start of the season </w:t>
      </w:r>
      <w:r>
        <w:rPr>
          <w:lang w:val="en-GB"/>
        </w:rPr>
        <w:lastRenderedPageBreak/>
        <w:t>(Panel B</w:t>
      </w:r>
      <w:r w:rsidR="001016BE">
        <w:rPr>
          <w:lang w:val="en-GB"/>
        </w:rPr>
        <w:t>) and during t</w:t>
      </w:r>
      <w:r>
        <w:rPr>
          <w:lang w:val="en-GB"/>
        </w:rPr>
        <w:t>he course of the season (Panel D</w:t>
      </w:r>
      <w:r w:rsidR="001016BE">
        <w:rPr>
          <w:lang w:val="en-GB"/>
        </w:rPr>
        <w:t xml:space="preserve">), but </w:t>
      </w:r>
      <w:r w:rsidR="008F2E2D">
        <w:rPr>
          <w:lang w:val="en-GB"/>
        </w:rPr>
        <w:t>while the pricing of performance is linear</w:t>
      </w:r>
      <w:r w:rsidR="00204715">
        <w:rPr>
          <w:lang w:val="en-GB"/>
        </w:rPr>
        <w:t xml:space="preserve"> for whites</w:t>
      </w:r>
      <w:r w:rsidR="008F2E2D">
        <w:rPr>
          <w:lang w:val="en-GB"/>
        </w:rPr>
        <w:t>, for non-white</w:t>
      </w:r>
      <w:r w:rsidR="00204715">
        <w:rPr>
          <w:lang w:val="en-GB"/>
        </w:rPr>
        <w:t>s</w:t>
      </w:r>
      <w:r w:rsidR="008F2E2D">
        <w:rPr>
          <w:lang w:val="en-GB"/>
        </w:rPr>
        <w:t xml:space="preserve"> it </w:t>
      </w:r>
      <w:r w:rsidR="00204715">
        <w:rPr>
          <w:lang w:val="en-GB"/>
        </w:rPr>
        <w:t>tails</w:t>
      </w:r>
      <w:r w:rsidR="008F2E2D">
        <w:rPr>
          <w:lang w:val="en-GB"/>
        </w:rPr>
        <w:t xml:space="preserve"> off at very high </w:t>
      </w:r>
      <w:r w:rsidR="001016BE">
        <w:rPr>
          <w:lang w:val="en-GB"/>
        </w:rPr>
        <w:t xml:space="preserve">weekly </w:t>
      </w:r>
      <w:r w:rsidR="008F2E2D">
        <w:rPr>
          <w:lang w:val="en-GB"/>
        </w:rPr>
        <w:t>productivity level</w:t>
      </w:r>
      <w:r w:rsidR="00204715">
        <w:rPr>
          <w:lang w:val="en-GB"/>
        </w:rPr>
        <w:t>s</w:t>
      </w:r>
      <w:r w:rsidR="004B634E">
        <w:rPr>
          <w:lang w:val="en-GB"/>
        </w:rPr>
        <w:t>, but again there are very few observations in this range</w:t>
      </w:r>
      <w:r w:rsidR="001016BE">
        <w:rPr>
          <w:lang w:val="en-GB"/>
        </w:rPr>
        <w:t xml:space="preserve">.  </w:t>
      </w:r>
    </w:p>
    <w:p w:rsidR="001016BE" w:rsidRPr="008F2E2D" w:rsidRDefault="000F0F97" w:rsidP="001016BE">
      <w:pPr>
        <w:spacing w:after="120" w:line="480" w:lineRule="auto"/>
        <w:ind w:firstLine="720"/>
        <w:jc w:val="both"/>
        <w:rPr>
          <w:lang w:val="en-GB"/>
        </w:rPr>
      </w:pPr>
      <w:r>
        <w:rPr>
          <w:lang w:val="en-GB"/>
        </w:rPr>
        <w:t>[FIGURE 4</w:t>
      </w:r>
      <w:r w:rsidR="008F2E2D" w:rsidRPr="008F2E2D">
        <w:rPr>
          <w:lang w:val="en-GB"/>
        </w:rPr>
        <w:t>]</w:t>
      </w:r>
    </w:p>
    <w:p w:rsidR="00C66233" w:rsidRPr="00C66233" w:rsidRDefault="00C66233" w:rsidP="00F23115">
      <w:pPr>
        <w:spacing w:after="120" w:line="480" w:lineRule="auto"/>
        <w:jc w:val="both"/>
        <w:rPr>
          <w:i/>
          <w:lang w:val="en-GB"/>
        </w:rPr>
      </w:pPr>
      <w:r>
        <w:rPr>
          <w:i/>
          <w:lang w:val="en-GB"/>
        </w:rPr>
        <w:t>5.2</w:t>
      </w:r>
      <w:r>
        <w:rPr>
          <w:i/>
          <w:lang w:val="en-GB"/>
        </w:rPr>
        <w:tab/>
        <w:t>Racial Differences in Outcomes Other than Employer Demand for Players</w:t>
      </w:r>
    </w:p>
    <w:p w:rsidR="00C66233" w:rsidRDefault="00F23115" w:rsidP="00F23115">
      <w:pPr>
        <w:spacing w:after="120" w:line="480" w:lineRule="auto"/>
        <w:ind w:firstLine="720"/>
        <w:jc w:val="both"/>
        <w:rPr>
          <w:lang w:val="en-GB"/>
        </w:rPr>
      </w:pPr>
      <w:r>
        <w:rPr>
          <w:lang w:val="en-GB"/>
        </w:rPr>
        <w:t>A</w:t>
      </w:r>
      <w:r w:rsidR="00C66233">
        <w:rPr>
          <w:lang w:val="en-GB"/>
        </w:rPr>
        <w:t>s Table 1 shows, white and non-white players differ in observable traits in ways which may also influence players' propensity to be chosen for starting squads.  It is therefore sensible to move to a multivariate framework in which we can control for racial differences in observable traits which might obscure employers' propensity to discriminate.</w:t>
      </w:r>
      <w:r>
        <w:rPr>
          <w:lang w:val="en-GB"/>
        </w:rPr>
        <w:t xml:space="preserve"> </w:t>
      </w:r>
      <w:r w:rsidR="00C66233">
        <w:rPr>
          <w:lang w:val="en-GB"/>
        </w:rPr>
        <w:t>Table 2 presents results for eight different outcomes - four related to players at the beginning of the season, and four outcomes that unfold during the course of the season.</w:t>
      </w:r>
      <w:r w:rsidR="00E300C1">
        <w:rPr>
          <w:lang w:val="en-GB"/>
        </w:rPr>
        <w:t xml:space="preserve"> It is apparent that, conditioning on the observable player and team traits displayed at the bottom of the table, there are no racial differentials with respect to </w:t>
      </w:r>
      <w:r w:rsidR="006637F9">
        <w:rPr>
          <w:lang w:val="en-GB"/>
        </w:rPr>
        <w:t xml:space="preserve">the </w:t>
      </w:r>
      <w:r>
        <w:rPr>
          <w:lang w:val="en-GB"/>
        </w:rPr>
        <w:t xml:space="preserve">various dimensions of </w:t>
      </w:r>
      <w:r w:rsidR="006637F9">
        <w:rPr>
          <w:lang w:val="en-GB"/>
        </w:rPr>
        <w:t xml:space="preserve">footballers’ </w:t>
      </w:r>
      <w:r>
        <w:rPr>
          <w:lang w:val="en-GB"/>
        </w:rPr>
        <w:t>productivity</w:t>
      </w:r>
      <w:r w:rsidR="00225B5F">
        <w:rPr>
          <w:lang w:val="en-GB"/>
        </w:rPr>
        <w:t>.</w:t>
      </w:r>
      <w:r w:rsidR="003F1631">
        <w:rPr>
          <w:rStyle w:val="FootnoteReference"/>
          <w:lang w:val="en-GB"/>
        </w:rPr>
        <w:footnoteReference w:id="29"/>
      </w:r>
      <w:r w:rsidR="006637F9">
        <w:rPr>
          <w:lang w:val="en-GB"/>
        </w:rPr>
        <w:t xml:space="preserve"> </w:t>
      </w:r>
      <w:r w:rsidR="00E300C1">
        <w:rPr>
          <w:lang w:val="en-GB"/>
        </w:rPr>
        <w:t xml:space="preserve">The only statistically significant differential is that </w:t>
      </w:r>
      <w:r w:rsidR="009F7427">
        <w:rPr>
          <w:lang w:val="en-GB"/>
        </w:rPr>
        <w:t>non</w:t>
      </w:r>
      <w:r w:rsidR="00225B5F">
        <w:rPr>
          <w:lang w:val="en-GB"/>
        </w:rPr>
        <w:t>-</w:t>
      </w:r>
      <w:r w:rsidR="009F7427">
        <w:rPr>
          <w:lang w:val="en-GB"/>
        </w:rPr>
        <w:t>white</w:t>
      </w:r>
      <w:r w:rsidR="00E300C1">
        <w:rPr>
          <w:lang w:val="en-GB"/>
        </w:rPr>
        <w:t xml:space="preserve"> players are valued at around 2 per cent less than observationally equivalent white players at the beginning of the season (row 1), something that </w:t>
      </w:r>
      <w:r>
        <w:rPr>
          <w:lang w:val="en-GB"/>
        </w:rPr>
        <w:t xml:space="preserve">remains over the season, since there is no difference in price change </w:t>
      </w:r>
      <w:r w:rsidR="00E300C1">
        <w:rPr>
          <w:lang w:val="en-GB"/>
        </w:rPr>
        <w:t>as the season unfolds (row 5)</w:t>
      </w:r>
      <w:r w:rsidR="00225B5F">
        <w:rPr>
          <w:lang w:val="en-GB"/>
        </w:rPr>
        <w:t>.</w:t>
      </w:r>
      <w:r w:rsidR="00617E6F">
        <w:rPr>
          <w:rStyle w:val="FootnoteReference"/>
          <w:lang w:val="en-GB"/>
        </w:rPr>
        <w:footnoteReference w:id="30"/>
      </w:r>
      <w:r w:rsidR="00E300C1">
        <w:rPr>
          <w:lang w:val="en-GB"/>
        </w:rPr>
        <w:t xml:space="preserve">  </w:t>
      </w:r>
      <w:r w:rsidR="00617E6F">
        <w:rPr>
          <w:lang w:val="en-GB"/>
        </w:rPr>
        <w:t xml:space="preserve">Since we control for </w:t>
      </w:r>
      <w:r w:rsidR="004A3913">
        <w:rPr>
          <w:lang w:val="en-GB"/>
        </w:rPr>
        <w:t xml:space="preserve">initial </w:t>
      </w:r>
      <w:r w:rsidR="00617E6F">
        <w:rPr>
          <w:lang w:val="en-GB"/>
        </w:rPr>
        <w:t xml:space="preserve">price in </w:t>
      </w:r>
      <w:r w:rsidR="004A3913">
        <w:rPr>
          <w:lang w:val="en-GB"/>
        </w:rPr>
        <w:t xml:space="preserve">most </w:t>
      </w:r>
      <w:r w:rsidR="00617E6F">
        <w:rPr>
          <w:lang w:val="en-GB"/>
        </w:rPr>
        <w:t>regressions, this differential will not affect our estimates of discrimination in hiring</w:t>
      </w:r>
      <w:r w:rsidR="00E300C1">
        <w:rPr>
          <w:lang w:val="en-GB"/>
        </w:rPr>
        <w:t>.</w:t>
      </w:r>
    </w:p>
    <w:p w:rsidR="00C66233" w:rsidRDefault="003F1631" w:rsidP="007E0CCC">
      <w:pPr>
        <w:spacing w:after="120" w:line="480" w:lineRule="auto"/>
        <w:ind w:firstLine="720"/>
        <w:jc w:val="both"/>
        <w:rPr>
          <w:lang w:val="en-GB"/>
        </w:rPr>
      </w:pPr>
      <w:r>
        <w:rPr>
          <w:lang w:val="en-GB"/>
        </w:rPr>
        <w:t>[TABLE 2]</w:t>
      </w:r>
    </w:p>
    <w:p w:rsidR="008B1C5B" w:rsidRDefault="008B1C5B" w:rsidP="007E0CCC">
      <w:pPr>
        <w:spacing w:after="120" w:line="480" w:lineRule="auto"/>
        <w:ind w:firstLine="720"/>
        <w:jc w:val="both"/>
        <w:rPr>
          <w:lang w:val="en-GB"/>
        </w:rPr>
      </w:pPr>
      <w:r w:rsidRPr="00AB590B">
        <w:rPr>
          <w:i/>
          <w:lang w:val="en-GB"/>
        </w:rPr>
        <w:t>5.</w:t>
      </w:r>
      <w:r w:rsidR="00F4042B">
        <w:rPr>
          <w:i/>
          <w:lang w:val="en-GB"/>
        </w:rPr>
        <w:t>3</w:t>
      </w:r>
      <w:r w:rsidRPr="00AB590B">
        <w:rPr>
          <w:i/>
          <w:lang w:val="en-GB"/>
        </w:rPr>
        <w:tab/>
      </w:r>
      <w:r w:rsidR="000540FB">
        <w:rPr>
          <w:i/>
          <w:lang w:val="en-GB"/>
        </w:rPr>
        <w:t>Initial Squad Selection</w:t>
      </w:r>
    </w:p>
    <w:p w:rsidR="00384612" w:rsidRDefault="00384612" w:rsidP="007E0CCC">
      <w:pPr>
        <w:spacing w:after="120" w:line="480" w:lineRule="auto"/>
        <w:ind w:firstLine="720"/>
        <w:jc w:val="both"/>
        <w:rPr>
          <w:lang w:val="en-GB"/>
        </w:rPr>
      </w:pPr>
      <w:r>
        <w:rPr>
          <w:lang w:val="en-GB"/>
        </w:rPr>
        <w:lastRenderedPageBreak/>
        <w:t xml:space="preserve">Table 3 presents our first main set of findings on log hires at the start of the season. There is no racial differential in initial hires when comparing raw hiring rates (column 1), a </w:t>
      </w:r>
      <w:r w:rsidR="00687CE4">
        <w:rPr>
          <w:lang w:val="en-GB"/>
        </w:rPr>
        <w:t xml:space="preserve">finding </w:t>
      </w:r>
      <w:r>
        <w:rPr>
          <w:lang w:val="en-GB"/>
        </w:rPr>
        <w:t xml:space="preserve">that </w:t>
      </w:r>
      <w:r w:rsidR="00687CE4">
        <w:rPr>
          <w:lang w:val="en-GB"/>
        </w:rPr>
        <w:t xml:space="preserve">holds conditioning on </w:t>
      </w:r>
      <w:r>
        <w:rPr>
          <w:lang w:val="en-GB"/>
        </w:rPr>
        <w:t xml:space="preserve">player's position, age, </w:t>
      </w:r>
      <w:r w:rsidR="005B75E4">
        <w:rPr>
          <w:lang w:val="en-GB"/>
        </w:rPr>
        <w:t>birth place,</w:t>
      </w:r>
      <w:r>
        <w:rPr>
          <w:lang w:val="en-GB"/>
        </w:rPr>
        <w:t xml:space="preserve"> international caps status </w:t>
      </w:r>
      <w:r w:rsidR="005B75E4">
        <w:rPr>
          <w:lang w:val="en-GB"/>
        </w:rPr>
        <w:t xml:space="preserve">and club playing for in the Premier League </w:t>
      </w:r>
      <w:r>
        <w:rPr>
          <w:lang w:val="en-GB"/>
        </w:rPr>
        <w:t>(column 2).  However, initial price plays a big part in whether a player is selected by employers</w:t>
      </w:r>
      <w:r w:rsidR="00AA17EF">
        <w:rPr>
          <w:lang w:val="en-GB"/>
        </w:rPr>
        <w:t xml:space="preserve"> for their initial squad</w:t>
      </w:r>
      <w:r>
        <w:rPr>
          <w:lang w:val="en-GB"/>
        </w:rPr>
        <w:t xml:space="preserve">, as we saw </w:t>
      </w:r>
      <w:r w:rsidR="00AA17EF">
        <w:rPr>
          <w:lang w:val="en-GB"/>
        </w:rPr>
        <w:t xml:space="preserve">in Figure 1 Panel C.  When we condition on initial price we find </w:t>
      </w:r>
      <w:r w:rsidR="00B93122">
        <w:rPr>
          <w:lang w:val="en-GB"/>
        </w:rPr>
        <w:t>non-white</w:t>
      </w:r>
      <w:r w:rsidR="00AA17EF">
        <w:rPr>
          <w:lang w:val="en-GB"/>
        </w:rPr>
        <w:t xml:space="preserve"> players are </w:t>
      </w:r>
      <w:r w:rsidR="002604EF">
        <w:rPr>
          <w:lang w:val="en-GB"/>
        </w:rPr>
        <w:t xml:space="preserve">20% </w:t>
      </w:r>
      <w:r w:rsidR="00AA17EF" w:rsidRPr="00C95378">
        <w:rPr>
          <w:i/>
          <w:lang w:val="en-GB"/>
        </w:rPr>
        <w:t>more</w:t>
      </w:r>
      <w:r w:rsidR="00AA17EF">
        <w:rPr>
          <w:lang w:val="en-GB"/>
        </w:rPr>
        <w:t xml:space="preserve"> likely to be selected than white players</w:t>
      </w:r>
      <w:r w:rsidR="005B75E4">
        <w:rPr>
          <w:lang w:val="en-GB"/>
        </w:rPr>
        <w:t xml:space="preserve">.  This positive discrimination </w:t>
      </w:r>
      <w:r w:rsidR="000F328D">
        <w:rPr>
          <w:lang w:val="en-GB"/>
        </w:rPr>
        <w:t>might be</w:t>
      </w:r>
      <w:r w:rsidR="005B75E4">
        <w:rPr>
          <w:lang w:val="en-GB"/>
        </w:rPr>
        <w:t xml:space="preserve"> related to the initial under-pricing of non-white </w:t>
      </w:r>
      <w:r w:rsidR="00225B5F">
        <w:rPr>
          <w:lang w:val="en-GB"/>
        </w:rPr>
        <w:t>player</w:t>
      </w:r>
      <w:r w:rsidR="005B75E4">
        <w:rPr>
          <w:lang w:val="en-GB"/>
        </w:rPr>
        <w:t>s</w:t>
      </w:r>
      <w:r w:rsidR="00280DDF">
        <w:rPr>
          <w:rStyle w:val="FootnoteReference"/>
          <w:lang w:val="en-GB"/>
        </w:rPr>
        <w:footnoteReference w:id="31"/>
      </w:r>
      <w:r w:rsidR="00AA17EF">
        <w:rPr>
          <w:lang w:val="en-GB"/>
        </w:rPr>
        <w:t xml:space="preserve">.  However, the non-white coefficient falls in size with the addition of </w:t>
      </w:r>
      <w:r w:rsidR="0019666E">
        <w:rPr>
          <w:lang w:val="en-GB"/>
        </w:rPr>
        <w:t>past productivity information</w:t>
      </w:r>
      <w:r w:rsidR="00AA17EF">
        <w:rPr>
          <w:lang w:val="en-GB"/>
        </w:rPr>
        <w:t xml:space="preserve">, such that the </w:t>
      </w:r>
      <w:r w:rsidR="00B93122">
        <w:rPr>
          <w:lang w:val="en-GB"/>
        </w:rPr>
        <w:t>racial</w:t>
      </w:r>
      <w:r w:rsidR="00AA17EF">
        <w:rPr>
          <w:lang w:val="en-GB"/>
        </w:rPr>
        <w:t xml:space="preserve"> differential is no longer statistically significant (column 5).</w:t>
      </w:r>
      <w:r w:rsidR="00B93122">
        <w:rPr>
          <w:lang w:val="en-GB"/>
        </w:rPr>
        <w:t xml:space="preserve"> </w:t>
      </w:r>
      <w:r w:rsidR="005B75E4">
        <w:rPr>
          <w:lang w:val="en-GB"/>
        </w:rPr>
        <w:t>When including both price</w:t>
      </w:r>
      <w:r w:rsidR="000F328D">
        <w:rPr>
          <w:lang w:val="en-GB"/>
        </w:rPr>
        <w:t>,</w:t>
      </w:r>
      <w:r w:rsidR="005B75E4">
        <w:rPr>
          <w:lang w:val="en-GB"/>
        </w:rPr>
        <w:t xml:space="preserve"> and productivity measures, </w:t>
      </w:r>
      <w:r w:rsidR="00B93122">
        <w:rPr>
          <w:lang w:val="en-GB"/>
        </w:rPr>
        <w:t>initial demand is driven by past productivity but not price. However, players for which past productivity is unknown, because they did not play in the Premier League last season, are also more popu</w:t>
      </w:r>
      <w:r w:rsidR="005B75E4">
        <w:rPr>
          <w:lang w:val="en-GB"/>
        </w:rPr>
        <w:t>lar. This may be driven by well-</w:t>
      </w:r>
      <w:r w:rsidR="00B93122">
        <w:rPr>
          <w:lang w:val="en-GB"/>
        </w:rPr>
        <w:t>known foreign players joining the league</w:t>
      </w:r>
      <w:r w:rsidR="005B75E4">
        <w:rPr>
          <w:lang w:val="en-GB"/>
        </w:rPr>
        <w:t xml:space="preserve"> and benefiting from a hal</w:t>
      </w:r>
      <w:r w:rsidR="00225B5F">
        <w:rPr>
          <w:lang w:val="en-GB"/>
        </w:rPr>
        <w:t>o</w:t>
      </w:r>
      <w:r w:rsidR="005B75E4">
        <w:rPr>
          <w:lang w:val="en-GB"/>
        </w:rPr>
        <w:t xml:space="preserve"> effect</w:t>
      </w:r>
      <w:r w:rsidR="00B93122">
        <w:rPr>
          <w:lang w:val="en-GB"/>
        </w:rPr>
        <w:t>.</w:t>
      </w:r>
    </w:p>
    <w:p w:rsidR="00AA232C" w:rsidRDefault="00AB41AA" w:rsidP="007E0CCC">
      <w:pPr>
        <w:spacing w:after="120" w:line="480" w:lineRule="auto"/>
        <w:ind w:firstLine="720"/>
        <w:jc w:val="both"/>
        <w:rPr>
          <w:lang w:val="en-GB"/>
        </w:rPr>
      </w:pPr>
      <w:r>
        <w:rPr>
          <w:lang w:val="en-GB"/>
        </w:rPr>
        <w:t xml:space="preserve"> </w:t>
      </w:r>
      <w:r w:rsidR="00C95378">
        <w:rPr>
          <w:lang w:val="en-GB"/>
        </w:rPr>
        <w:t>[TABLE 3]</w:t>
      </w:r>
    </w:p>
    <w:p w:rsidR="00122DC1" w:rsidRDefault="00B93122" w:rsidP="007E0CCC">
      <w:pPr>
        <w:spacing w:after="120" w:line="480" w:lineRule="auto"/>
        <w:ind w:firstLine="720"/>
        <w:jc w:val="both"/>
        <w:rPr>
          <w:lang w:val="en-GB"/>
        </w:rPr>
      </w:pPr>
      <w:r>
        <w:rPr>
          <w:lang w:val="en-GB"/>
        </w:rPr>
        <w:t xml:space="preserve">The distribution of initial pick is characterised by a </w:t>
      </w:r>
      <w:r w:rsidR="005B75E4">
        <w:rPr>
          <w:lang w:val="en-GB"/>
        </w:rPr>
        <w:t>large bulk</w:t>
      </w:r>
      <w:r>
        <w:rPr>
          <w:lang w:val="en-GB"/>
        </w:rPr>
        <w:t xml:space="preserve"> of players with </w:t>
      </w:r>
      <w:r w:rsidR="002617A2">
        <w:rPr>
          <w:lang w:val="en-GB"/>
        </w:rPr>
        <w:t xml:space="preserve">a </w:t>
      </w:r>
      <w:r>
        <w:rPr>
          <w:lang w:val="en-GB"/>
        </w:rPr>
        <w:t xml:space="preserve">very low number of </w:t>
      </w:r>
      <w:r w:rsidR="004A6656">
        <w:rPr>
          <w:lang w:val="en-GB"/>
        </w:rPr>
        <w:t xml:space="preserve">hires </w:t>
      </w:r>
      <w:r>
        <w:rPr>
          <w:lang w:val="en-GB"/>
        </w:rPr>
        <w:t xml:space="preserve">and a </w:t>
      </w:r>
      <w:r w:rsidR="005B75E4">
        <w:rPr>
          <w:lang w:val="en-GB"/>
        </w:rPr>
        <w:t>long tail</w:t>
      </w:r>
      <w:r>
        <w:rPr>
          <w:lang w:val="en-GB"/>
        </w:rPr>
        <w:t xml:space="preserve"> of super-stars attracting a large fraction of participants – note that the pricing is such that participants can only afford a few super-stars due </w:t>
      </w:r>
      <w:r w:rsidR="005B75E4">
        <w:rPr>
          <w:lang w:val="en-GB"/>
        </w:rPr>
        <w:t xml:space="preserve">to their budget constraint. Thus, </w:t>
      </w:r>
      <w:r>
        <w:rPr>
          <w:lang w:val="en-GB"/>
        </w:rPr>
        <w:t xml:space="preserve">we assess whether the racial differential in hiring differs at different points of the hiring distribution. </w:t>
      </w:r>
      <w:r w:rsidR="00122DC1">
        <w:rPr>
          <w:lang w:val="en-GB"/>
        </w:rPr>
        <w:t>T</w:t>
      </w:r>
      <w:r w:rsidR="005B75E4">
        <w:rPr>
          <w:lang w:val="en-GB"/>
        </w:rPr>
        <w:t>able 4</w:t>
      </w:r>
      <w:r>
        <w:rPr>
          <w:lang w:val="en-GB"/>
        </w:rPr>
        <w:t xml:space="preserve"> report</w:t>
      </w:r>
      <w:r w:rsidR="005B75E4">
        <w:rPr>
          <w:lang w:val="en-GB"/>
        </w:rPr>
        <w:t>s</w:t>
      </w:r>
      <w:r>
        <w:rPr>
          <w:lang w:val="en-GB"/>
        </w:rPr>
        <w:t xml:space="preserve"> estimates of quantile regressions estimated for the following quantile: 10, 25, 50, 75 and 90. </w:t>
      </w:r>
      <w:r w:rsidR="00280DDF">
        <w:rPr>
          <w:lang w:val="en-GB"/>
        </w:rPr>
        <w:t xml:space="preserve">Apart </w:t>
      </w:r>
      <w:r w:rsidR="00280DDF">
        <w:rPr>
          <w:lang w:val="en-GB"/>
        </w:rPr>
        <w:lastRenderedPageBreak/>
        <w:t>from the 90</w:t>
      </w:r>
      <w:r w:rsidR="00280DDF" w:rsidRPr="00280DDF">
        <w:rPr>
          <w:vertAlign w:val="superscript"/>
          <w:lang w:val="en-GB"/>
        </w:rPr>
        <w:t>th</w:t>
      </w:r>
      <w:r w:rsidR="00280DDF">
        <w:rPr>
          <w:lang w:val="en-GB"/>
        </w:rPr>
        <w:t xml:space="preserve"> percentile, all coefficients are positive, albeit non-statistically significant. At the 90</w:t>
      </w:r>
      <w:r w:rsidR="00280DDF" w:rsidRPr="00280DDF">
        <w:rPr>
          <w:vertAlign w:val="superscript"/>
          <w:lang w:val="en-GB"/>
        </w:rPr>
        <w:t>th</w:t>
      </w:r>
      <w:r w:rsidR="00280DDF">
        <w:rPr>
          <w:lang w:val="en-GB"/>
        </w:rPr>
        <w:t xml:space="preserve"> percentile, we potentially observe </w:t>
      </w:r>
      <w:r>
        <w:rPr>
          <w:lang w:val="en-GB"/>
        </w:rPr>
        <w:t>some discrimination h</w:t>
      </w:r>
      <w:r w:rsidR="00280DDF">
        <w:rPr>
          <w:lang w:val="en-GB"/>
        </w:rPr>
        <w:t>appening amongst the superstars, maybe driven by the relative shortage of non-white superstars.</w:t>
      </w:r>
      <w:r>
        <w:rPr>
          <w:lang w:val="en-GB"/>
        </w:rPr>
        <w:t xml:space="preserve"> </w:t>
      </w:r>
      <w:r w:rsidR="00280DDF">
        <w:rPr>
          <w:lang w:val="en-GB"/>
        </w:rPr>
        <w:t>This difference</w:t>
      </w:r>
      <w:r w:rsidR="00385EAA">
        <w:rPr>
          <w:lang w:val="en-GB"/>
        </w:rPr>
        <w:t xml:space="preserve"> </w:t>
      </w:r>
      <w:r w:rsidR="00280DDF">
        <w:rPr>
          <w:lang w:val="en-GB"/>
        </w:rPr>
        <w:t>is</w:t>
      </w:r>
      <w:r w:rsidR="00385EAA">
        <w:rPr>
          <w:lang w:val="en-GB"/>
        </w:rPr>
        <w:t xml:space="preserve"> not statistically significant.</w:t>
      </w:r>
      <w:r w:rsidR="00122DC1">
        <w:rPr>
          <w:lang w:val="en-GB"/>
        </w:rPr>
        <w:t xml:space="preserve"> </w:t>
      </w:r>
      <w:r w:rsidR="00385EAA">
        <w:rPr>
          <w:lang w:val="en-GB"/>
        </w:rPr>
        <w:t>Note that the positive effect of not having a productivity record is driven by very popular players</w:t>
      </w:r>
      <w:r w:rsidR="002617A2">
        <w:rPr>
          <w:lang w:val="en-GB"/>
        </w:rPr>
        <w:t>, that is,</w:t>
      </w:r>
      <w:r w:rsidR="000F328D">
        <w:rPr>
          <w:lang w:val="en-GB"/>
        </w:rPr>
        <w:t xml:space="preserve"> superstars from foreign leagues coming to play in England</w:t>
      </w:r>
      <w:r w:rsidR="00385EAA">
        <w:rPr>
          <w:lang w:val="en-GB"/>
        </w:rPr>
        <w:t xml:space="preserve">. </w:t>
      </w:r>
      <w:r w:rsidR="000F328D">
        <w:rPr>
          <w:lang w:val="en-GB"/>
        </w:rPr>
        <w:t>As such, their expected productivity is likely to be high.</w:t>
      </w:r>
    </w:p>
    <w:p w:rsidR="00122DC1" w:rsidRDefault="00122DC1" w:rsidP="007E0CCC">
      <w:pPr>
        <w:spacing w:after="120" w:line="480" w:lineRule="auto"/>
        <w:ind w:firstLine="720"/>
        <w:jc w:val="both"/>
        <w:rPr>
          <w:lang w:val="en-GB"/>
        </w:rPr>
      </w:pPr>
      <w:r>
        <w:rPr>
          <w:lang w:val="en-GB"/>
        </w:rPr>
        <w:t>[TABLE 4]</w:t>
      </w:r>
    </w:p>
    <w:p w:rsidR="00105B95" w:rsidRDefault="005B75E4" w:rsidP="007E0CCC">
      <w:pPr>
        <w:spacing w:after="120" w:line="480" w:lineRule="auto"/>
        <w:ind w:firstLine="720"/>
        <w:jc w:val="both"/>
        <w:rPr>
          <w:lang w:val="en-GB"/>
        </w:rPr>
      </w:pPr>
      <w:r>
        <w:rPr>
          <w:lang w:val="en-GB"/>
        </w:rPr>
        <w:t>Finally, we estimate</w:t>
      </w:r>
      <w:r w:rsidR="002A6F16">
        <w:rPr>
          <w:lang w:val="en-GB"/>
        </w:rPr>
        <w:t xml:space="preserve"> our favoured specification (Table 3, Column 5) for different subsamples. First, we differentiate for having played in the Premier League previously. Our prior would be that for individuals who haven’t played, there is more uncertainty about their productivity </w:t>
      </w:r>
      <w:r w:rsidR="00225B5F">
        <w:rPr>
          <w:lang w:val="en-GB"/>
        </w:rPr>
        <w:t>such</w:t>
      </w:r>
      <w:r w:rsidR="002A6F16">
        <w:rPr>
          <w:lang w:val="en-GB"/>
        </w:rPr>
        <w:t xml:space="preserve"> that potential employers may revert to some type of statistical discrimination. Second, we split the sample by previous productivity to test whether variation in the penalty for discrimination faced by employers (in term of lost inputs) affects their discriminatory behaviour. Third, we split the sample by position on the field since productivity and racial composition differ by position. Lastly, we split the panel by nationality, as employers may be more likely to discriminate against non-white foreigners than against </w:t>
      </w:r>
      <w:r w:rsidR="00225B5F">
        <w:rPr>
          <w:lang w:val="en-GB"/>
        </w:rPr>
        <w:t xml:space="preserve">non-white </w:t>
      </w:r>
      <w:r w:rsidR="002A6F16">
        <w:rPr>
          <w:lang w:val="en-GB"/>
        </w:rPr>
        <w:t xml:space="preserve">nationals. </w:t>
      </w:r>
      <w:r w:rsidR="00105B95">
        <w:rPr>
          <w:lang w:val="en-GB"/>
        </w:rPr>
        <w:t xml:space="preserve">Table 5 </w:t>
      </w:r>
      <w:r w:rsidR="002A6F16">
        <w:rPr>
          <w:lang w:val="en-GB"/>
        </w:rPr>
        <w:t xml:space="preserve">displays the results of these tests of </w:t>
      </w:r>
      <w:r w:rsidR="00105B95">
        <w:rPr>
          <w:lang w:val="en-GB"/>
        </w:rPr>
        <w:t xml:space="preserve">heterogeneity in </w:t>
      </w:r>
      <w:r w:rsidR="002A6F16">
        <w:rPr>
          <w:lang w:val="en-GB"/>
        </w:rPr>
        <w:t xml:space="preserve">the </w:t>
      </w:r>
      <w:r w:rsidR="00105B95">
        <w:rPr>
          <w:lang w:val="en-GB"/>
        </w:rPr>
        <w:t>racial</w:t>
      </w:r>
      <w:r w:rsidR="002A6F16">
        <w:rPr>
          <w:lang w:val="en-GB"/>
        </w:rPr>
        <w:t xml:space="preserve"> gap in hiring</w:t>
      </w:r>
      <w:r w:rsidR="00105B95">
        <w:rPr>
          <w:lang w:val="en-GB"/>
        </w:rPr>
        <w:t xml:space="preserve">. In most instances the </w:t>
      </w:r>
      <w:r w:rsidR="002A6F16">
        <w:rPr>
          <w:lang w:val="en-GB"/>
        </w:rPr>
        <w:t xml:space="preserve">non-white </w:t>
      </w:r>
      <w:r w:rsidR="00105B95">
        <w:rPr>
          <w:lang w:val="en-GB"/>
        </w:rPr>
        <w:t>coefficient is positive but it is only statistically significant in the bottom quartile of last year's performance distribution</w:t>
      </w:r>
      <w:r>
        <w:rPr>
          <w:lang w:val="en-GB"/>
        </w:rPr>
        <w:t xml:space="preserve"> where non-white players are substantially more likely to be picked</w:t>
      </w:r>
      <w:r w:rsidR="00105B95">
        <w:rPr>
          <w:lang w:val="en-GB"/>
        </w:rPr>
        <w:t xml:space="preserve">. </w:t>
      </w:r>
      <w:r w:rsidR="002A6F16">
        <w:rPr>
          <w:lang w:val="en-GB"/>
        </w:rPr>
        <w:t xml:space="preserve">Overall, we </w:t>
      </w:r>
      <w:r w:rsidR="007A0489">
        <w:rPr>
          <w:lang w:val="en-GB"/>
        </w:rPr>
        <w:t>find</w:t>
      </w:r>
      <w:r w:rsidR="002A6F16">
        <w:rPr>
          <w:lang w:val="en-GB"/>
        </w:rPr>
        <w:t xml:space="preserve"> </w:t>
      </w:r>
      <w:r w:rsidR="00105B95">
        <w:rPr>
          <w:lang w:val="en-GB"/>
        </w:rPr>
        <w:t>no evidence to suggest that employers are discriminating on grounds of race when making their first hires for the season</w:t>
      </w:r>
      <w:r w:rsidR="00280DDF">
        <w:rPr>
          <w:lang w:val="en-GB"/>
        </w:rPr>
        <w:t xml:space="preserve"> and if anything, they may favour non-white players</w:t>
      </w:r>
      <w:r w:rsidR="00105B95">
        <w:rPr>
          <w:lang w:val="en-GB"/>
        </w:rPr>
        <w:t>.</w:t>
      </w:r>
    </w:p>
    <w:p w:rsidR="00105B95" w:rsidRDefault="00105B95" w:rsidP="007E0CCC">
      <w:pPr>
        <w:spacing w:after="120" w:line="480" w:lineRule="auto"/>
        <w:ind w:firstLine="720"/>
        <w:jc w:val="both"/>
        <w:rPr>
          <w:lang w:val="en-GB"/>
        </w:rPr>
      </w:pPr>
      <w:r>
        <w:rPr>
          <w:lang w:val="en-GB"/>
        </w:rPr>
        <w:lastRenderedPageBreak/>
        <w:t>[TABLE 5]</w:t>
      </w:r>
    </w:p>
    <w:p w:rsidR="00D368E5" w:rsidRDefault="00D368E5" w:rsidP="007E0CCC">
      <w:pPr>
        <w:spacing w:after="120" w:line="480" w:lineRule="auto"/>
        <w:ind w:firstLine="720"/>
        <w:jc w:val="both"/>
      </w:pPr>
      <w:r>
        <w:rPr>
          <w:i/>
        </w:rPr>
        <w:t>5.</w:t>
      </w:r>
      <w:r w:rsidR="00105B95">
        <w:rPr>
          <w:i/>
        </w:rPr>
        <w:t>4</w:t>
      </w:r>
      <w:r>
        <w:rPr>
          <w:i/>
        </w:rPr>
        <w:tab/>
        <w:t>Net employer demand for players</w:t>
      </w:r>
    </w:p>
    <w:p w:rsidR="003E79D1" w:rsidRDefault="002A6F16" w:rsidP="007E0CCC">
      <w:pPr>
        <w:spacing w:after="120" w:line="480" w:lineRule="auto"/>
        <w:ind w:firstLine="720"/>
        <w:jc w:val="both"/>
      </w:pPr>
      <w:r>
        <w:t xml:space="preserve">We now </w:t>
      </w:r>
      <w:r w:rsidR="00105B95">
        <w:t>turn to net employer demand for players</w:t>
      </w:r>
      <w:r w:rsidR="0019463F">
        <w:t xml:space="preserve"> over the course of the season. </w:t>
      </w:r>
      <w:r w:rsidR="005469E3">
        <w:t>An advantage of our set-up is that we can observe the dynamics of hiring and firing. This is important since as more information about contemporaneous productivity of employees and prospective employees become available, employers may revise their hiring decision</w:t>
      </w:r>
      <w:r w:rsidR="007A0489">
        <w:t>s</w:t>
      </w:r>
      <w:r w:rsidR="005469E3">
        <w:t xml:space="preserve">. </w:t>
      </w:r>
    </w:p>
    <w:p w:rsidR="0059019F" w:rsidRDefault="0059019F" w:rsidP="007E0CCC">
      <w:pPr>
        <w:spacing w:after="120" w:line="480" w:lineRule="auto"/>
        <w:ind w:firstLine="720"/>
        <w:jc w:val="both"/>
      </w:pPr>
      <w:r>
        <w:t>[</w:t>
      </w:r>
      <w:r w:rsidR="0019463F">
        <w:t>TABLE 6]</w:t>
      </w:r>
    </w:p>
    <w:p w:rsidR="00A7617D" w:rsidRDefault="0019463F" w:rsidP="007E0CCC">
      <w:pPr>
        <w:spacing w:after="120" w:line="480" w:lineRule="auto"/>
        <w:ind w:firstLine="720"/>
        <w:jc w:val="both"/>
      </w:pPr>
      <w:r>
        <w:t xml:space="preserve">Although net demand for </w:t>
      </w:r>
      <w:r w:rsidR="003E79D1">
        <w:t xml:space="preserve">non-white </w:t>
      </w:r>
      <w:r>
        <w:t xml:space="preserve">players is lower than it is for white players, </w:t>
      </w:r>
      <w:r w:rsidR="00280DDF">
        <w:t xml:space="preserve">in the absence of controls, </w:t>
      </w:r>
      <w:r>
        <w:t>the difference is quantitatively small</w:t>
      </w:r>
      <w:r w:rsidR="00280DDF">
        <w:t xml:space="preserve"> (</w:t>
      </w:r>
      <w:r w:rsidR="00A7617D">
        <w:t xml:space="preserve">-0.01 of a standard deviation or </w:t>
      </w:r>
      <w:r w:rsidR="00280DDF">
        <w:t>50</w:t>
      </w:r>
      <w:r w:rsidR="00A7617D">
        <w:t xml:space="preserve"> employers</w:t>
      </w:r>
      <w:r w:rsidR="00280DDF">
        <w:t>)</w:t>
      </w:r>
      <w:r>
        <w:t xml:space="preserve"> and</w:t>
      </w:r>
      <w:r w:rsidR="00280DDF">
        <w:t xml:space="preserve"> not </w:t>
      </w:r>
      <w:r>
        <w:t>statistically significant (Table 6, column 1).</w:t>
      </w:r>
      <w:r w:rsidR="00280DDF">
        <w:t xml:space="preserve"> </w:t>
      </w:r>
      <w:r w:rsidR="00192554">
        <w:t xml:space="preserve">The </w:t>
      </w:r>
      <w:r w:rsidR="00A7617D">
        <w:t>conclusions remain the same</w:t>
      </w:r>
      <w:r w:rsidR="00192554">
        <w:t xml:space="preserve"> when we introduce controls </w:t>
      </w:r>
      <w:r w:rsidR="009A7780">
        <w:t xml:space="preserve">for player characteristics and three measures of productivity: </w:t>
      </w:r>
      <w:r w:rsidR="00192554">
        <w:t xml:space="preserve">performance in the last game, performance in the previous three games, and total points accumulated in the </w:t>
      </w:r>
      <w:r w:rsidR="000F328D">
        <w:t>season</w:t>
      </w:r>
      <w:r w:rsidR="00192554">
        <w:t xml:space="preserve"> up until that point. </w:t>
      </w:r>
      <w:r w:rsidR="005B75E4">
        <w:t>Note that hiring/firing</w:t>
      </w:r>
      <w:r w:rsidR="007A0489">
        <w:t xml:space="preserve"> decisions appear to be primaril</w:t>
      </w:r>
      <w:r w:rsidR="005B75E4">
        <w:t>y based on the most contemporaneous measure of productivity</w:t>
      </w:r>
      <w:r w:rsidR="00BB11D5">
        <w:t>, even so this measure, to a large extent, may be affected by chance.</w:t>
      </w:r>
      <w:r w:rsidR="00192554">
        <w:t xml:space="preserve"> </w:t>
      </w:r>
      <w:r w:rsidR="00A7617D">
        <w:t xml:space="preserve">A point in the last game leads to 4 times more trading than a point in the previous three games. Productivity from periods past t-4 </w:t>
      </w:r>
      <w:r w:rsidR="004A6656">
        <w:t>are</w:t>
      </w:r>
      <w:r w:rsidR="00A7617D">
        <w:t xml:space="preserve"> largely discounted</w:t>
      </w:r>
      <w:r w:rsidR="000770F6">
        <w:t>; p</w:t>
      </w:r>
      <w:r w:rsidR="00A7617D">
        <w:t>articipants in the FPL base their hiring</w:t>
      </w:r>
      <w:r w:rsidR="000770F6">
        <w:t>/firing</w:t>
      </w:r>
      <w:r w:rsidR="00A7617D">
        <w:t xml:space="preserve"> decisions on productivity </w:t>
      </w:r>
      <w:r w:rsidR="000770F6">
        <w:t>shocks</w:t>
      </w:r>
      <w:r w:rsidR="00A7617D">
        <w:t>.</w:t>
      </w:r>
    </w:p>
    <w:p w:rsidR="0019463F" w:rsidRDefault="00192554" w:rsidP="007E0CCC">
      <w:pPr>
        <w:spacing w:after="120" w:line="480" w:lineRule="auto"/>
        <w:ind w:firstLine="720"/>
        <w:jc w:val="both"/>
      </w:pPr>
      <w:r>
        <w:t xml:space="preserve">The </w:t>
      </w:r>
      <w:r w:rsidR="00A7617D">
        <w:t xml:space="preserve">non-white </w:t>
      </w:r>
      <w:r>
        <w:t xml:space="preserve">coefficient </w:t>
      </w:r>
      <w:r w:rsidR="00A7617D">
        <w:t xml:space="preserve">remains at the same level and insignificant </w:t>
      </w:r>
      <w:r w:rsidR="005B75E4">
        <w:t xml:space="preserve">when </w:t>
      </w:r>
      <w:r>
        <w:t xml:space="preserve">conditioning on player price </w:t>
      </w:r>
      <w:r w:rsidR="00A7617D">
        <w:t>(</w:t>
      </w:r>
      <w:r>
        <w:t>column 3</w:t>
      </w:r>
      <w:r w:rsidR="00A7617D">
        <w:t>) or initial pick</w:t>
      </w:r>
      <w:r>
        <w:t xml:space="preserve"> at the start of the season</w:t>
      </w:r>
      <w:r w:rsidR="00A7617D">
        <w:t xml:space="preserve"> </w:t>
      </w:r>
      <w:r>
        <w:t>(column 4).</w:t>
      </w:r>
      <w:r w:rsidR="009A7780">
        <w:t xml:space="preserve"> In column (5) we test whether employer demand react</w:t>
      </w:r>
      <w:r w:rsidR="008A0373">
        <w:t>s</w:t>
      </w:r>
      <w:r w:rsidR="009A7780">
        <w:t xml:space="preserve"> differently to productivity </w:t>
      </w:r>
      <w:r w:rsidR="009A7780">
        <w:lastRenderedPageBreak/>
        <w:t>information depending on the race of the player. None of the interaction</w:t>
      </w:r>
      <w:r w:rsidR="008A0373">
        <w:t>s are</w:t>
      </w:r>
      <w:r w:rsidR="009A7780">
        <w:t xml:space="preserve"> significant </w:t>
      </w:r>
      <w:r w:rsidR="000770F6">
        <w:t>and the main coefficients thus remain at the same non-significant level</w:t>
      </w:r>
      <w:r w:rsidR="009A7780">
        <w:t xml:space="preserve">. Finally, </w:t>
      </w:r>
      <w:r w:rsidR="000770F6">
        <w:t>estimating</w:t>
      </w:r>
      <w:r w:rsidR="009A7780">
        <w:t xml:space="preserve"> a fixe</w:t>
      </w:r>
      <w:r w:rsidR="00BB11D5">
        <w:t>d effect</w:t>
      </w:r>
      <w:r w:rsidR="008A0373">
        <w:t>s</w:t>
      </w:r>
      <w:r w:rsidR="00BB11D5">
        <w:t xml:space="preserve"> model (Column 6),</w:t>
      </w:r>
      <w:r w:rsidR="009A7780">
        <w:t xml:space="preserve"> </w:t>
      </w:r>
      <w:r w:rsidR="00BB11D5">
        <w:t xml:space="preserve">a small negative </w:t>
      </w:r>
      <w:r w:rsidR="004A6656">
        <w:t xml:space="preserve">association </w:t>
      </w:r>
      <w:r w:rsidR="00BB11D5">
        <w:t>between being non-white</w:t>
      </w:r>
      <w:r w:rsidR="004F1295">
        <w:t xml:space="preserve"> and accumulated points in the </w:t>
      </w:r>
      <w:r w:rsidR="000770F6">
        <w:t xml:space="preserve">past three games </w:t>
      </w:r>
      <w:r w:rsidR="004F1295">
        <w:t xml:space="preserve">is apparent </w:t>
      </w:r>
      <w:r w:rsidR="000770F6">
        <w:t xml:space="preserve">but </w:t>
      </w:r>
      <w:r w:rsidR="004A6656">
        <w:t xml:space="preserve">it is </w:t>
      </w:r>
      <w:r w:rsidR="000770F6">
        <w:t>not economically significant</w:t>
      </w:r>
      <w:r w:rsidR="004F1295">
        <w:t>.</w:t>
      </w:r>
      <w:r w:rsidR="00B749EB">
        <w:t xml:space="preserve">  </w:t>
      </w:r>
    </w:p>
    <w:p w:rsidR="009A7780" w:rsidRDefault="00B64A86" w:rsidP="007E0CCC">
      <w:pPr>
        <w:spacing w:after="120" w:line="480" w:lineRule="auto"/>
        <w:ind w:firstLine="720"/>
        <w:jc w:val="both"/>
      </w:pPr>
      <w:r>
        <w:t>T</w:t>
      </w:r>
      <w:r w:rsidR="00B749EB">
        <w:t xml:space="preserve">here is </w:t>
      </w:r>
      <w:r>
        <w:t xml:space="preserve">little </w:t>
      </w:r>
      <w:r w:rsidR="00B749EB">
        <w:t xml:space="preserve">evidence of racial differentials at the mean, </w:t>
      </w:r>
      <w:r>
        <w:t xml:space="preserve">and </w:t>
      </w:r>
      <w:r w:rsidR="004839DF">
        <w:t>none</w:t>
      </w:r>
      <w:r>
        <w:t xml:space="preserve"> at any of the quantile</w:t>
      </w:r>
      <w:r w:rsidR="00211520">
        <w:t>s</w:t>
      </w:r>
      <w:r>
        <w:t xml:space="preserve"> in the net transfer distribution</w:t>
      </w:r>
      <w:r w:rsidR="00211520">
        <w:t xml:space="preserve"> (Table 7)</w:t>
      </w:r>
      <w:r w:rsidR="004839DF">
        <w:t>, with most of the coefficients being zero</w:t>
      </w:r>
      <w:r>
        <w:t xml:space="preserve">. </w:t>
      </w:r>
    </w:p>
    <w:p w:rsidR="00BB11D5" w:rsidRDefault="00BB11D5" w:rsidP="00BB11D5">
      <w:pPr>
        <w:spacing w:after="120" w:line="480" w:lineRule="auto"/>
        <w:ind w:firstLine="720"/>
        <w:jc w:val="both"/>
      </w:pPr>
      <w:r>
        <w:t>[TABLE 7]</w:t>
      </w:r>
    </w:p>
    <w:p w:rsidR="00B749EB" w:rsidRDefault="00B64A86" w:rsidP="007E0CCC">
      <w:pPr>
        <w:spacing w:after="120" w:line="480" w:lineRule="auto"/>
        <w:ind w:firstLine="720"/>
        <w:jc w:val="both"/>
      </w:pPr>
      <w:r>
        <w:t>Finally,</w:t>
      </w:r>
      <w:r w:rsidR="00211520">
        <w:t xml:space="preserve"> in Table 8</w:t>
      </w:r>
      <w:r>
        <w:t xml:space="preserve"> we test for h</w:t>
      </w:r>
      <w:r w:rsidR="00B749EB">
        <w:t xml:space="preserve">eterogeneous effects </w:t>
      </w:r>
      <w:r w:rsidR="000D1829">
        <w:t xml:space="preserve">in discrimination </w:t>
      </w:r>
      <w:r w:rsidR="00B749EB">
        <w:t>across sub-populations</w:t>
      </w:r>
      <w:r w:rsidR="000D1829">
        <w:t xml:space="preserve"> using specification 3 of Table 6</w:t>
      </w:r>
      <w:r w:rsidR="00B749EB">
        <w:t xml:space="preserve">. </w:t>
      </w:r>
      <w:r w:rsidR="000D1829">
        <w:t xml:space="preserve">First, we restrict the sample to footballers who actually </w:t>
      </w:r>
      <w:r w:rsidR="00BB11D5">
        <w:t xml:space="preserve">played at least once </w:t>
      </w:r>
      <w:r w:rsidR="000D1829">
        <w:t>in the league during the season. Second, we assess whether individuals for whom less information on past productivity was available</w:t>
      </w:r>
      <w:r w:rsidR="00211520">
        <w:t xml:space="preserve"> (</w:t>
      </w:r>
      <w:r w:rsidR="000D1829">
        <w:t>because they did not participate in the league in the previous season</w:t>
      </w:r>
      <w:r w:rsidR="00211520">
        <w:t>)</w:t>
      </w:r>
      <w:r w:rsidR="000D1829">
        <w:t xml:space="preserve"> are more</w:t>
      </w:r>
      <w:r w:rsidR="00211520">
        <w:t xml:space="preserve"> or less</w:t>
      </w:r>
      <w:r w:rsidR="000D1829">
        <w:t xml:space="preserve"> likely to be discriminated </w:t>
      </w:r>
      <w:r w:rsidR="00211520">
        <w:t xml:space="preserve">against </w:t>
      </w:r>
      <w:r w:rsidR="000D1829">
        <w:t>as productivity information is revealed. Third, initial pick is likely to affect the potential subsequent net transfers</w:t>
      </w:r>
      <w:r w:rsidR="00211520">
        <w:t xml:space="preserve"> so</w:t>
      </w:r>
      <w:r w:rsidR="000D1829">
        <w:t xml:space="preserve"> we </w:t>
      </w:r>
      <w:r w:rsidR="00211520">
        <w:t>split</w:t>
      </w:r>
      <w:r w:rsidR="000D1829">
        <w:t xml:space="preserve"> the sample into quart</w:t>
      </w:r>
      <w:r w:rsidR="00211520">
        <w:t>iles</w:t>
      </w:r>
      <w:r w:rsidR="000D1829">
        <w:t xml:space="preserve"> of initial picks. Fourth, since the racial composition differs by position, we separately estimate the regression for each position. Fifth, we split the sample between national and non-national players. Sixth, we test whether, as expected, discrimination decreases over time for reasons presented above: costs of discrimination, selection of participant, more valid prod</w:t>
      </w:r>
      <w:r w:rsidR="00211520">
        <w:t>uctivity information. On all these dimensions</w:t>
      </w:r>
      <w:r w:rsidR="000D1829">
        <w:t xml:space="preserve"> we find little evidence of racial discrimination</w:t>
      </w:r>
      <w:r w:rsidR="00BB11D5">
        <w:t xml:space="preserve"> (Table 8)</w:t>
      </w:r>
      <w:r w:rsidR="000D1829">
        <w:t xml:space="preserve">. </w:t>
      </w:r>
      <w:r w:rsidR="00B749EB">
        <w:t>The only statistically significant effect</w:t>
      </w:r>
      <w:r w:rsidR="000D1829">
        <w:t>s</w:t>
      </w:r>
      <w:r w:rsidR="00B749EB">
        <w:t xml:space="preserve"> </w:t>
      </w:r>
      <w:r w:rsidR="000D1829">
        <w:t>are</w:t>
      </w:r>
      <w:r w:rsidR="00B749EB">
        <w:t xml:space="preserve"> the lower likelihood of </w:t>
      </w:r>
      <w:r w:rsidR="001854CD">
        <w:t xml:space="preserve">keeping </w:t>
      </w:r>
      <w:r w:rsidR="000D1829">
        <w:t xml:space="preserve">non-white </w:t>
      </w:r>
      <w:r w:rsidR="00B749EB">
        <w:t>players among</w:t>
      </w:r>
      <w:r w:rsidR="001854CD">
        <w:t xml:space="preserve"> i)</w:t>
      </w:r>
      <w:r w:rsidR="00B749EB">
        <w:t xml:space="preserve"> those in the</w:t>
      </w:r>
      <w:r w:rsidR="0083742B">
        <w:t xml:space="preserve"> second and</w:t>
      </w:r>
      <w:r w:rsidR="00B749EB">
        <w:t xml:space="preserve"> third </w:t>
      </w:r>
      <w:r w:rsidR="00B749EB">
        <w:lastRenderedPageBreak/>
        <w:t>quartile of the distribution of the initial squad demand</w:t>
      </w:r>
      <w:r w:rsidR="001854CD">
        <w:t>, ii) those for which no productivity information was available at the beginning of the season</w:t>
      </w:r>
      <w:r w:rsidR="0083742B">
        <w:t>, and iii) forward players</w:t>
      </w:r>
      <w:r w:rsidR="00B749EB">
        <w:t xml:space="preserve">. </w:t>
      </w:r>
      <w:r w:rsidR="0083742B">
        <w:t>In all cases, t</w:t>
      </w:r>
      <w:r w:rsidR="001854CD">
        <w:t xml:space="preserve">hese effects are small. </w:t>
      </w:r>
      <w:r w:rsidR="00B749EB">
        <w:t>Although there are theoretical grounds for suspecting the race coefficient to vary over the course of the season, there is no empirical support for this proposition.</w:t>
      </w:r>
    </w:p>
    <w:p w:rsidR="00B749EB" w:rsidRDefault="00B749EB" w:rsidP="007E0CCC">
      <w:pPr>
        <w:spacing w:after="120" w:line="480" w:lineRule="auto"/>
        <w:ind w:firstLine="720"/>
        <w:jc w:val="both"/>
      </w:pPr>
      <w:r>
        <w:t>[TABLE 8]</w:t>
      </w:r>
    </w:p>
    <w:p w:rsidR="00EF5538" w:rsidRDefault="00EF5538" w:rsidP="007E0CCC">
      <w:pPr>
        <w:spacing w:after="120" w:line="480" w:lineRule="auto"/>
        <w:ind w:firstLine="720"/>
        <w:jc w:val="both"/>
      </w:pPr>
    </w:p>
    <w:p w:rsidR="00147D6D" w:rsidRDefault="00C9017A" w:rsidP="0017414F">
      <w:pPr>
        <w:spacing w:after="120" w:line="480" w:lineRule="auto"/>
        <w:jc w:val="both"/>
        <w:rPr>
          <w:b/>
          <w:lang w:val="en-GB"/>
        </w:rPr>
      </w:pPr>
      <w:r>
        <w:rPr>
          <w:b/>
          <w:lang w:val="en-GB"/>
        </w:rPr>
        <w:t>6</w:t>
      </w:r>
      <w:r w:rsidR="00147D6D">
        <w:rPr>
          <w:b/>
          <w:lang w:val="en-GB"/>
        </w:rPr>
        <w:t>.</w:t>
      </w:r>
      <w:r w:rsidR="00147D6D">
        <w:rPr>
          <w:b/>
          <w:lang w:val="en-GB"/>
        </w:rPr>
        <w:tab/>
        <w:t>CONCLUSIONS</w:t>
      </w:r>
    </w:p>
    <w:p w:rsidR="00614EAF" w:rsidRDefault="0017414F" w:rsidP="0017414F">
      <w:pPr>
        <w:spacing w:after="120" w:line="480" w:lineRule="auto"/>
        <w:ind w:firstLine="720"/>
        <w:jc w:val="both"/>
      </w:pPr>
      <w:r>
        <w:t>We hav</w:t>
      </w:r>
      <w:r w:rsidR="00BB11D5">
        <w:t>e examined whether there are</w:t>
      </w:r>
      <w:r>
        <w:t xml:space="preserve"> racial differences in hiring rates in a setting where we can discount the possibility of discrimination on grounds other than taste-based discrimination.  This setting is a virtual labour market for professional football players.  The players are real: the</w:t>
      </w:r>
      <w:r w:rsidR="00062465">
        <w:t>y</w:t>
      </w:r>
      <w:r>
        <w:t xml:space="preserve"> play each week in England's top professional league, the Barclays Premier League</w:t>
      </w:r>
      <w:r w:rsidR="00062465">
        <w:t>. However</w:t>
      </w:r>
      <w:r>
        <w:t>, the market for their services is virtual: it is an on-line game where participants operate as employers, buying and selling players in order to win the fantasy football league. The setting is particularly attractive because the football players do not play together once picked, so there is no opportunity for co-worker discrimination; the employers have no customers, so there is no consumer-based discrimination; and employers have perfect knowledge of individual players' time-varying labour productivity, precluding the possibility of statistical discrimination. What is more, there is no legal bar to employers exercising any taste for discrimination they may possess, making the costs of such discrimination lower than they are in the real world</w:t>
      </w:r>
      <w:r w:rsidR="00BB11D5">
        <w:t xml:space="preserve">. </w:t>
      </w:r>
      <w:r>
        <w:t xml:space="preserve">If taste-based discrimination is an important component in employers' hiring decisions, </w:t>
      </w:r>
      <w:r w:rsidR="00614EAF">
        <w:t xml:space="preserve">the low costs of indulging that taste might suggest that </w:t>
      </w:r>
      <w:r>
        <w:t xml:space="preserve">we would therefore find </w:t>
      </w:r>
      <w:r>
        <w:lastRenderedPageBreak/>
        <w:t xml:space="preserve">it here. </w:t>
      </w:r>
      <w:r w:rsidR="00614EAF">
        <w:t>Having said that, the absence of physical contact between fantasy football employers and the players they hire means the experienced disutility of hiring out-of-group players may be lower than in a "real" world setting in which employers may expect to spend some time in physical proximity to those they hire.</w:t>
      </w:r>
    </w:p>
    <w:p w:rsidR="0017414F" w:rsidRDefault="0017414F" w:rsidP="0017414F">
      <w:pPr>
        <w:spacing w:after="120" w:line="480" w:lineRule="auto"/>
        <w:ind w:firstLine="720"/>
        <w:jc w:val="both"/>
      </w:pPr>
      <w:r>
        <w:t>In addition to our ability to isolate the impact of taste-based discrimination, our setting has a number of other very attractive features including identical firms with identical budgetary constraints; the substitutability of football players for one another (at least within position on the pitch); players are simultaneously available for hire by multiple firms;</w:t>
      </w:r>
      <w:r w:rsidR="00BB11D5">
        <w:t xml:space="preserve"> fees for employees are exogenously given;</w:t>
      </w:r>
      <w:r>
        <w:t xml:space="preserve"> and players have no choice as to whether they are hired by an employer or not.</w:t>
      </w:r>
    </w:p>
    <w:p w:rsidR="0017414F" w:rsidRDefault="0017414F" w:rsidP="0017414F">
      <w:pPr>
        <w:spacing w:after="120" w:line="480" w:lineRule="auto"/>
        <w:ind w:firstLine="720"/>
        <w:jc w:val="both"/>
      </w:pPr>
      <w:r>
        <w:t>We find no evidence of racial discrimination in hires, either at the start of the season</w:t>
      </w:r>
      <w:r w:rsidR="00BB11D5">
        <w:t>,</w:t>
      </w:r>
      <w:r>
        <w:t xml:space="preserve"> when employers pick their initial squad, nor during the course of the season. Productivity is the main driver of hiring/firing decisions. A rare occurrence of discrimination is in the hiring/firing of employees who are new to the league and for which productivity information at the beginning of the season was not available. </w:t>
      </w:r>
      <w:r w:rsidR="000075BC">
        <w:t>This is consistent with our interpretation that when productivity information is available there is no discrimination.</w:t>
      </w:r>
    </w:p>
    <w:p w:rsidR="0017414F" w:rsidRDefault="000075BC" w:rsidP="0017414F">
      <w:pPr>
        <w:spacing w:after="120" w:line="480" w:lineRule="auto"/>
        <w:ind w:firstLine="720"/>
        <w:jc w:val="both"/>
      </w:pPr>
      <w:r>
        <w:t xml:space="preserve">One could assume that our results indicate that football is a non-discriminating environment, but there </w:t>
      </w:r>
      <w:r w:rsidR="009D4165">
        <w:t xml:space="preserve">is </w:t>
      </w:r>
      <w:r>
        <w:t xml:space="preserve">ample evidence of racial discrimination between players and from fans. </w:t>
      </w:r>
      <w:r w:rsidR="0017414F">
        <w:t>The finding of no discriminatory behavior against non-white</w:t>
      </w:r>
      <w:r w:rsidR="00062465">
        <w:t>s</w:t>
      </w:r>
      <w:r w:rsidR="0017414F">
        <w:t xml:space="preserve"> is consistent with other studies which suggest that racial differences in market outcomes are not driven by tas</w:t>
      </w:r>
      <w:r w:rsidR="00BB11D5">
        <w:t xml:space="preserve">te considerations. </w:t>
      </w:r>
      <w:r w:rsidR="0017414F">
        <w:t xml:space="preserve">Instead other factors are at play. For example, a number of studies point to the importance of statistical discrimination (List, 2004; Zussman, 2013; </w:t>
      </w:r>
      <w:r w:rsidR="0017414F">
        <w:rPr>
          <w:lang w:val="en-GB"/>
        </w:rPr>
        <w:lastRenderedPageBreak/>
        <w:t xml:space="preserve">Doleac and Stein, 2013) </w:t>
      </w:r>
      <w:r w:rsidR="0017414F">
        <w:t xml:space="preserve">while others, such as Plug et al. (2014), emphasize the importance of worker sorting based on perceptions of discrimination in certain occupations or among particular types of employer. Since those channels are closed in our setting, it is perhaps unsurprising that we do not find </w:t>
      </w:r>
      <w:r w:rsidR="00062465">
        <w:t>an</w:t>
      </w:r>
      <w:r w:rsidR="0017414F">
        <w:t>y evidence of discrimination</w:t>
      </w:r>
      <w:r w:rsidR="004B2B19">
        <w:t>:</w:t>
      </w:r>
      <w:r w:rsidR="00732AB0">
        <w:t xml:space="preserve"> taste</w:t>
      </w:r>
      <w:r w:rsidR="004B2B19">
        <w:t>-</w:t>
      </w:r>
      <w:r w:rsidR="00732AB0">
        <w:t>base</w:t>
      </w:r>
      <w:r w:rsidR="004B2B19">
        <w:t>d</w:t>
      </w:r>
      <w:r w:rsidR="00732AB0">
        <w:t xml:space="preserve"> discrimination is low enough that employers do not want to bear the costs in term of reduced productivity</w:t>
      </w:r>
      <w:r w:rsidR="0017414F">
        <w:t>.  Our findings are also consistent with studies which point to a diminution in the extent of racial discrimination in sports on the part of employers and fans.</w:t>
      </w:r>
      <w:r w:rsidR="00BB11D5">
        <w:t xml:space="preserve"> The difference in discriminatory behaviour between the sport context and the general labour market is likely to be driven by the </w:t>
      </w:r>
      <w:r w:rsidR="00B04369">
        <w:t>availability of good productivity measures for all possible employees in the sports labour market</w:t>
      </w:r>
      <w:r w:rsidR="00732AB0">
        <w:t>.</w:t>
      </w:r>
      <w:r w:rsidR="00B04369">
        <w:t xml:space="preserve"> </w:t>
      </w:r>
      <w:r w:rsidR="00732AB0">
        <w:t>P</w:t>
      </w:r>
      <w:r w:rsidR="00C74753">
        <w:t>olicies improving the dissemination of workers’ productivity</w:t>
      </w:r>
      <w:r w:rsidR="00B04369">
        <w:t xml:space="preserve"> in the general labour market</w:t>
      </w:r>
      <w:r w:rsidR="00C74753">
        <w:t xml:space="preserve"> could thus reduce discriminatory behaviour</w:t>
      </w:r>
      <w:r w:rsidR="00B04369">
        <w:t>.</w:t>
      </w:r>
      <w:r w:rsidR="008D71B8">
        <w:t xml:space="preserve"> This is not to say that taste-based discrimination is absent in "real" labour markets where employers are often in close physical proximity to their workers. This is an issue worthy of further investigation. </w:t>
      </w:r>
    </w:p>
    <w:p w:rsidR="00BB11D5" w:rsidRDefault="00BB11D5">
      <w:pPr>
        <w:rPr>
          <w:b/>
          <w:lang w:val="en-GB"/>
        </w:rPr>
      </w:pPr>
      <w:r>
        <w:rPr>
          <w:b/>
          <w:lang w:val="en-GB"/>
        </w:rPr>
        <w:br w:type="page"/>
      </w:r>
    </w:p>
    <w:p w:rsidR="003321B6" w:rsidRPr="000551A5" w:rsidRDefault="00D12628" w:rsidP="007E0CCC">
      <w:pPr>
        <w:spacing w:after="240" w:line="360" w:lineRule="auto"/>
        <w:ind w:left="833" w:hanging="720"/>
        <w:jc w:val="both"/>
        <w:rPr>
          <w:b/>
          <w:lang w:val="en-GB"/>
        </w:rPr>
      </w:pPr>
      <w:r w:rsidRPr="000551A5">
        <w:rPr>
          <w:b/>
          <w:lang w:val="en-GB"/>
        </w:rPr>
        <w:lastRenderedPageBreak/>
        <w:t>References</w:t>
      </w:r>
    </w:p>
    <w:p w:rsidR="00B04490" w:rsidRDefault="00B04490" w:rsidP="007E0CCC">
      <w:pPr>
        <w:spacing w:after="240" w:line="360" w:lineRule="auto"/>
        <w:ind w:left="833" w:hanging="720"/>
        <w:jc w:val="both"/>
        <w:rPr>
          <w:lang w:val="en-GB"/>
        </w:rPr>
      </w:pPr>
      <w:r>
        <w:rPr>
          <w:lang w:val="en-GB"/>
        </w:rPr>
        <w:t>Altonji, J. G. and</w:t>
      </w:r>
      <w:r w:rsidR="001C1422">
        <w:rPr>
          <w:lang w:val="en-GB"/>
        </w:rPr>
        <w:t xml:space="preserve"> Blank, R. M. (1999) "Race and gender in the labor m</w:t>
      </w:r>
      <w:r>
        <w:rPr>
          <w:lang w:val="en-GB"/>
        </w:rPr>
        <w:t xml:space="preserve">arket", Chapter 48, </w:t>
      </w:r>
      <w:r>
        <w:rPr>
          <w:i/>
          <w:lang w:val="en-GB"/>
        </w:rPr>
        <w:t>Handbook of Labor Economics</w:t>
      </w:r>
      <w:r w:rsidR="00D55278">
        <w:rPr>
          <w:lang w:val="en-GB"/>
        </w:rPr>
        <w:t xml:space="preserve">, vol. 3, </w:t>
      </w:r>
      <w:r>
        <w:rPr>
          <w:lang w:val="en-GB"/>
        </w:rPr>
        <w:t>3143-3259</w:t>
      </w:r>
    </w:p>
    <w:p w:rsidR="00B5239B" w:rsidRPr="003A09F2" w:rsidRDefault="00B5239B" w:rsidP="007E0CCC">
      <w:pPr>
        <w:spacing w:after="240" w:line="360" w:lineRule="auto"/>
        <w:ind w:left="833" w:hanging="720"/>
        <w:jc w:val="both"/>
        <w:rPr>
          <w:lang w:val="en-GB"/>
        </w:rPr>
      </w:pPr>
      <w:r>
        <w:rPr>
          <w:lang w:val="en-GB"/>
        </w:rPr>
        <w:t xml:space="preserve">Antonovics, K., </w:t>
      </w:r>
      <w:r w:rsidR="003A09F2">
        <w:rPr>
          <w:lang w:val="en-GB"/>
        </w:rPr>
        <w:t xml:space="preserve">Arcidiacono, P. and Walsh, R. (2005) "Games and Discrimination: Lessons from </w:t>
      </w:r>
      <w:r w:rsidR="003A09F2">
        <w:rPr>
          <w:i/>
          <w:lang w:val="en-GB"/>
        </w:rPr>
        <w:t>The Weakest Link</w:t>
      </w:r>
      <w:r w:rsidR="003A09F2">
        <w:rPr>
          <w:lang w:val="en-GB"/>
        </w:rPr>
        <w:t xml:space="preserve">", </w:t>
      </w:r>
      <w:r w:rsidR="003A09F2">
        <w:rPr>
          <w:i/>
          <w:lang w:val="en-GB"/>
        </w:rPr>
        <w:t>The Journal of Human Resources</w:t>
      </w:r>
      <w:r w:rsidR="003A09F2">
        <w:rPr>
          <w:lang w:val="en-GB"/>
        </w:rPr>
        <w:t>, XL, 4: 918-947</w:t>
      </w:r>
    </w:p>
    <w:p w:rsidR="00914C86" w:rsidRDefault="00914C86" w:rsidP="007E0CCC">
      <w:pPr>
        <w:spacing w:after="240" w:line="360" w:lineRule="auto"/>
        <w:ind w:left="833" w:hanging="720"/>
        <w:jc w:val="both"/>
        <w:rPr>
          <w:lang w:val="en-GB"/>
        </w:rPr>
      </w:pPr>
      <w:r>
        <w:rPr>
          <w:lang w:val="en-GB"/>
        </w:rPr>
        <w:t xml:space="preserve">Arrow, K. J. (1972) "Models of job discrimination" in A. H. Pascal (ed.) </w:t>
      </w:r>
      <w:r>
        <w:rPr>
          <w:i/>
          <w:lang w:val="en-GB"/>
        </w:rPr>
        <w:t>Discrimination in Economic Life</w:t>
      </w:r>
      <w:r>
        <w:rPr>
          <w:lang w:val="en-GB"/>
        </w:rPr>
        <w:t>, pp. 83-102, Lexington, MA: Lexington Books</w:t>
      </w:r>
    </w:p>
    <w:p w:rsidR="00914C86" w:rsidRPr="00914C86" w:rsidRDefault="00914C86" w:rsidP="007E0CCC">
      <w:pPr>
        <w:spacing w:after="240" w:line="360" w:lineRule="auto"/>
        <w:ind w:left="833" w:hanging="720"/>
        <w:jc w:val="both"/>
        <w:rPr>
          <w:lang w:val="en-GB"/>
        </w:rPr>
      </w:pPr>
      <w:r>
        <w:rPr>
          <w:lang w:val="en-GB"/>
        </w:rPr>
        <w:t xml:space="preserve">Arrow, K. J. (1973) "The Theory of Discrimination" in O. Ashenfelter and A. Rees (eds.) </w:t>
      </w:r>
      <w:r>
        <w:rPr>
          <w:i/>
          <w:lang w:val="en-GB"/>
        </w:rPr>
        <w:t>Discrimination in Labor Markets</w:t>
      </w:r>
      <w:r>
        <w:rPr>
          <w:lang w:val="en-GB"/>
        </w:rPr>
        <w:t>, pp. 3-33, Princeton, NJ, Princeton University Press</w:t>
      </w:r>
    </w:p>
    <w:p w:rsidR="00903370" w:rsidRDefault="00903370" w:rsidP="007E0CCC">
      <w:pPr>
        <w:spacing w:after="240" w:line="360" w:lineRule="auto"/>
        <w:ind w:left="833" w:hanging="720"/>
        <w:jc w:val="both"/>
        <w:rPr>
          <w:lang w:val="en-GB"/>
        </w:rPr>
      </w:pPr>
      <w:r>
        <w:rPr>
          <w:lang w:val="en-GB"/>
        </w:rPr>
        <w:t xml:space="preserve">Baerg, A. (2009) “Just a Fantasy? Exploring Fantasy Sports”. </w:t>
      </w:r>
      <w:r w:rsidR="00813CC0" w:rsidRPr="00813CC0">
        <w:rPr>
          <w:i/>
          <w:lang w:val="en-GB"/>
        </w:rPr>
        <w:t>Electronic Journal of Communication</w:t>
      </w:r>
      <w:r>
        <w:rPr>
          <w:lang w:val="en-GB"/>
        </w:rPr>
        <w:t>, 19, 3.</w:t>
      </w:r>
    </w:p>
    <w:p w:rsidR="00A11E6A" w:rsidRDefault="00A11E6A" w:rsidP="007E0CCC">
      <w:pPr>
        <w:spacing w:after="240" w:line="360" w:lineRule="auto"/>
        <w:ind w:left="833" w:hanging="720"/>
        <w:jc w:val="both"/>
        <w:rPr>
          <w:lang w:val="en-GB"/>
        </w:rPr>
      </w:pPr>
      <w:r>
        <w:rPr>
          <w:lang w:val="en-GB"/>
        </w:rPr>
        <w:t xml:space="preserve">Becker, G. S. (1957) </w:t>
      </w:r>
      <w:r>
        <w:rPr>
          <w:i/>
          <w:lang w:val="en-GB"/>
        </w:rPr>
        <w:t>The Economics of Discrimination</w:t>
      </w:r>
      <w:r>
        <w:rPr>
          <w:lang w:val="en-GB"/>
        </w:rPr>
        <w:t>, Chicago: Chicago University Press</w:t>
      </w:r>
    </w:p>
    <w:p w:rsidR="00B65185" w:rsidRDefault="00820B38" w:rsidP="007E0CCC">
      <w:pPr>
        <w:spacing w:after="240" w:line="360" w:lineRule="auto"/>
        <w:ind w:left="833" w:hanging="720"/>
        <w:jc w:val="both"/>
        <w:rPr>
          <w:lang w:val="en-GB"/>
        </w:rPr>
      </w:pPr>
      <w:r w:rsidRPr="00820B38">
        <w:rPr>
          <w:lang w:val="en-GB"/>
        </w:rPr>
        <w:t>Bendick, M</w:t>
      </w:r>
      <w:r>
        <w:rPr>
          <w:lang w:val="en-GB"/>
        </w:rPr>
        <w:t>.</w:t>
      </w:r>
      <w:r w:rsidRPr="00820B38">
        <w:rPr>
          <w:lang w:val="en-GB"/>
        </w:rPr>
        <w:t xml:space="preserve">, Jr. </w:t>
      </w:r>
      <w:r>
        <w:rPr>
          <w:lang w:val="en-GB"/>
        </w:rPr>
        <w:t>(</w:t>
      </w:r>
      <w:r w:rsidRPr="00820B38">
        <w:rPr>
          <w:lang w:val="en-GB"/>
        </w:rPr>
        <w:t>2007</w:t>
      </w:r>
      <w:r>
        <w:rPr>
          <w:lang w:val="en-GB"/>
        </w:rPr>
        <w:t>) "</w:t>
      </w:r>
      <w:r w:rsidRPr="00820B38">
        <w:rPr>
          <w:lang w:val="en-GB"/>
        </w:rPr>
        <w:t>Situation Testing for Employment Discrimination in the United</w:t>
      </w:r>
      <w:r w:rsidR="009445DE">
        <w:rPr>
          <w:lang w:val="en-GB"/>
        </w:rPr>
        <w:t xml:space="preserve"> </w:t>
      </w:r>
      <w:r w:rsidRPr="00820B38">
        <w:rPr>
          <w:lang w:val="en-GB"/>
        </w:rPr>
        <w:t>States of America"</w:t>
      </w:r>
      <w:r>
        <w:rPr>
          <w:lang w:val="en-GB"/>
        </w:rPr>
        <w:t xml:space="preserve">, </w:t>
      </w:r>
      <w:r w:rsidRPr="00820B38">
        <w:rPr>
          <w:lang w:val="en-GB"/>
        </w:rPr>
        <w:t xml:space="preserve"> </w:t>
      </w:r>
      <w:r w:rsidRPr="00820B38">
        <w:rPr>
          <w:i/>
          <w:lang w:val="en-GB"/>
        </w:rPr>
        <w:t>Horizons Strategiques</w:t>
      </w:r>
      <w:r>
        <w:rPr>
          <w:lang w:val="en-GB"/>
        </w:rPr>
        <w:t>, 3(5): 17-39</w:t>
      </w:r>
    </w:p>
    <w:p w:rsidR="00416CD6" w:rsidRDefault="003B63B9" w:rsidP="007E0CCC">
      <w:pPr>
        <w:spacing w:after="240" w:line="360" w:lineRule="auto"/>
        <w:ind w:left="833" w:hanging="720"/>
        <w:jc w:val="both"/>
      </w:pPr>
      <w:r>
        <w:t xml:space="preserve">Bertrand, M. and Mullainathan, S. (2004) </w:t>
      </w:r>
      <w:r w:rsidRPr="003B63B9">
        <w:t>"</w:t>
      </w:r>
      <w:r w:rsidRPr="003B63B9">
        <w:rPr>
          <w:bCs/>
        </w:rPr>
        <w:t>Are Emily and Greg More Employable Than Lakisha and Jamal? A Field Experiment on Labor Market Discrimination</w:t>
      </w:r>
      <w:r w:rsidRPr="003B63B9">
        <w:t>"</w:t>
      </w:r>
      <w:r>
        <w:t>,</w:t>
      </w:r>
      <w:r w:rsidRPr="003B63B9">
        <w:t xml:space="preserve"> </w:t>
      </w:r>
      <w:r w:rsidRPr="003B63B9">
        <w:rPr>
          <w:i/>
          <w:iCs/>
        </w:rPr>
        <w:t>American Economic Review</w:t>
      </w:r>
      <w:r w:rsidRPr="003B63B9">
        <w:t xml:space="preserve">, </w:t>
      </w:r>
      <w:r w:rsidRPr="003B63B9">
        <w:rPr>
          <w:i/>
          <w:iCs/>
        </w:rPr>
        <w:t>94</w:t>
      </w:r>
      <w:r w:rsidRPr="003B63B9">
        <w:t>(4)</w:t>
      </w:r>
      <w:r>
        <w:t>:</w:t>
      </w:r>
      <w:r w:rsidRPr="003B63B9">
        <w:t xml:space="preserve"> 991</w:t>
      </w:r>
      <w:r>
        <w:t>-1013</w:t>
      </w:r>
    </w:p>
    <w:p w:rsidR="00E82ACF" w:rsidRDefault="00E82ACF" w:rsidP="007E0CCC">
      <w:pPr>
        <w:spacing w:after="240" w:line="360" w:lineRule="auto"/>
        <w:ind w:left="833" w:hanging="720"/>
        <w:jc w:val="both"/>
        <w:rPr>
          <w:lang w:val="en-GB"/>
        </w:rPr>
      </w:pPr>
      <w:r>
        <w:t xml:space="preserve">Bodvarsson, O. B. and Brastow, R. T. (1999) "A Test of Employer Discrimination in the NBA", </w:t>
      </w:r>
      <w:r>
        <w:rPr>
          <w:i/>
        </w:rPr>
        <w:t>Contemporary Economic Policy</w:t>
      </w:r>
      <w:r>
        <w:t>, 17, 2: 243-244</w:t>
      </w:r>
    </w:p>
    <w:p w:rsidR="00CB41A7" w:rsidRDefault="00CB41A7" w:rsidP="007E0CCC">
      <w:pPr>
        <w:spacing w:after="240" w:line="360" w:lineRule="auto"/>
        <w:ind w:left="833" w:hanging="720"/>
        <w:jc w:val="both"/>
        <w:rPr>
          <w:lang w:val="en-GB"/>
        </w:rPr>
      </w:pPr>
      <w:r>
        <w:rPr>
          <w:lang w:val="en-GB"/>
        </w:rPr>
        <w:t>Brown</w:t>
      </w:r>
      <w:r w:rsidR="001019D2">
        <w:rPr>
          <w:lang w:val="en-GB"/>
        </w:rPr>
        <w:t xml:space="preserve">, E, Spiro, R. and Keenan, D. (1991) "Wage and Nonwage Discrimination in Professional Basketball: Do Fans Affect It?", </w:t>
      </w:r>
      <w:r w:rsidR="001019D2">
        <w:rPr>
          <w:i/>
          <w:lang w:val="en-GB"/>
        </w:rPr>
        <w:t>American Journal of Economics and Sociology</w:t>
      </w:r>
      <w:r w:rsidR="001019D2">
        <w:rPr>
          <w:lang w:val="en-GB"/>
        </w:rPr>
        <w:t>, 50, 3: 333-345</w:t>
      </w:r>
    </w:p>
    <w:p w:rsidR="00CD5ED3" w:rsidRDefault="00CD5ED3" w:rsidP="007E0CCC">
      <w:pPr>
        <w:spacing w:after="240" w:line="360" w:lineRule="auto"/>
        <w:ind w:left="833" w:hanging="720"/>
        <w:jc w:val="both"/>
        <w:rPr>
          <w:lang w:val="en-GB"/>
        </w:rPr>
      </w:pPr>
      <w:r w:rsidRPr="00CD5ED3">
        <w:rPr>
          <w:lang w:val="en-GB"/>
        </w:rPr>
        <w:lastRenderedPageBreak/>
        <w:t xml:space="preserve">Bryson, A., Rossi, G. </w:t>
      </w:r>
      <w:r>
        <w:rPr>
          <w:lang w:val="en-GB"/>
        </w:rPr>
        <w:t>and Simmons, R. (2014) "</w:t>
      </w:r>
      <w:r w:rsidRPr="00CD5ED3">
        <w:rPr>
          <w:lang w:val="en-GB"/>
        </w:rPr>
        <w:t>The Migrant Wage Premium in Professional Football: A Superstar Effect?</w:t>
      </w:r>
      <w:r>
        <w:rPr>
          <w:lang w:val="en-GB"/>
        </w:rPr>
        <w:t>"</w:t>
      </w:r>
      <w:r w:rsidRPr="00CD5ED3">
        <w:rPr>
          <w:lang w:val="en-GB"/>
        </w:rPr>
        <w:t xml:space="preserve">, </w:t>
      </w:r>
      <w:r w:rsidRPr="00CD5ED3">
        <w:rPr>
          <w:i/>
          <w:lang w:val="en-GB"/>
        </w:rPr>
        <w:t>Kyklos</w:t>
      </w:r>
      <w:r w:rsidRPr="00CD5ED3">
        <w:rPr>
          <w:lang w:val="en-GB"/>
        </w:rPr>
        <w:t xml:space="preserve">, 67, 1: 12-28 </w:t>
      </w:r>
    </w:p>
    <w:p w:rsidR="00A73563" w:rsidRDefault="00083993" w:rsidP="007E0CCC">
      <w:pPr>
        <w:spacing w:after="240" w:line="360" w:lineRule="auto"/>
        <w:ind w:left="833" w:hanging="720"/>
        <w:jc w:val="both"/>
        <w:rPr>
          <w:lang w:val="en-GB"/>
        </w:rPr>
      </w:pPr>
      <w:r w:rsidRPr="00083993">
        <w:rPr>
          <w:lang w:val="en-GB"/>
        </w:rPr>
        <w:t>Charles, K</w:t>
      </w:r>
      <w:r>
        <w:rPr>
          <w:lang w:val="en-GB"/>
        </w:rPr>
        <w:t>.</w:t>
      </w:r>
      <w:r w:rsidRPr="00083993">
        <w:rPr>
          <w:lang w:val="en-GB"/>
        </w:rPr>
        <w:t xml:space="preserve"> and Guryan</w:t>
      </w:r>
      <w:r>
        <w:rPr>
          <w:lang w:val="en-GB"/>
        </w:rPr>
        <w:t>, J. (</w:t>
      </w:r>
      <w:r w:rsidRPr="00083993">
        <w:rPr>
          <w:lang w:val="en-GB"/>
        </w:rPr>
        <w:t>2008</w:t>
      </w:r>
      <w:r>
        <w:rPr>
          <w:lang w:val="en-GB"/>
        </w:rPr>
        <w:t>) "</w:t>
      </w:r>
      <w:r w:rsidRPr="00083993">
        <w:rPr>
          <w:lang w:val="en-GB"/>
        </w:rPr>
        <w:t>Prejudi</w:t>
      </w:r>
      <w:r>
        <w:rPr>
          <w:lang w:val="en-GB"/>
        </w:rPr>
        <w:t>ce and The Economics of Discrim</w:t>
      </w:r>
      <w:r w:rsidRPr="00083993">
        <w:rPr>
          <w:lang w:val="en-GB"/>
        </w:rPr>
        <w:t>ination"</w:t>
      </w:r>
      <w:r>
        <w:rPr>
          <w:lang w:val="en-GB"/>
        </w:rPr>
        <w:t>,</w:t>
      </w:r>
      <w:r w:rsidRPr="00083993">
        <w:rPr>
          <w:lang w:val="en-GB"/>
        </w:rPr>
        <w:t xml:space="preserve"> </w:t>
      </w:r>
      <w:r w:rsidRPr="00083993">
        <w:rPr>
          <w:i/>
          <w:lang w:val="en-GB"/>
        </w:rPr>
        <w:t>Journal of Political Economy</w:t>
      </w:r>
      <w:r w:rsidRPr="00083993">
        <w:rPr>
          <w:lang w:val="en-GB"/>
        </w:rPr>
        <w:t>, 116(5): 773-809.</w:t>
      </w:r>
    </w:p>
    <w:p w:rsidR="00A73563" w:rsidRPr="00190C56" w:rsidRDefault="00A73563" w:rsidP="007E0CCC">
      <w:pPr>
        <w:spacing w:after="240" w:line="360" w:lineRule="auto"/>
        <w:ind w:left="833" w:hanging="720"/>
        <w:jc w:val="both"/>
        <w:rPr>
          <w:i/>
          <w:lang w:val="en-GB"/>
        </w:rPr>
      </w:pPr>
      <w:r>
        <w:rPr>
          <w:lang w:val="en-GB"/>
        </w:rPr>
        <w:t>Charness</w:t>
      </w:r>
      <w:r w:rsidR="00190C56">
        <w:rPr>
          <w:lang w:val="en-GB"/>
        </w:rPr>
        <w:t>, G.</w:t>
      </w:r>
      <w:r>
        <w:rPr>
          <w:lang w:val="en-GB"/>
        </w:rPr>
        <w:t xml:space="preserve"> and Kuhn</w:t>
      </w:r>
      <w:r w:rsidR="00190C56">
        <w:rPr>
          <w:lang w:val="en-GB"/>
        </w:rPr>
        <w:t xml:space="preserve">, P. J. (2010)  "Lab Labor: What Can Labor Economists Learn from the Lab?", </w:t>
      </w:r>
      <w:r w:rsidR="00190C56">
        <w:rPr>
          <w:i/>
          <w:lang w:val="en-GB"/>
        </w:rPr>
        <w:t>NBER Working Paper No. 15913</w:t>
      </w:r>
    </w:p>
    <w:p w:rsidR="0050481A" w:rsidRPr="0050481A" w:rsidRDefault="0050481A" w:rsidP="007E0CCC">
      <w:pPr>
        <w:spacing w:after="240" w:line="360" w:lineRule="auto"/>
        <w:ind w:left="833" w:hanging="720"/>
        <w:jc w:val="both"/>
        <w:rPr>
          <w:lang w:val="en-GB"/>
        </w:rPr>
      </w:pPr>
      <w:r>
        <w:rPr>
          <w:lang w:val="en-GB"/>
        </w:rPr>
        <w:t xml:space="preserve">Dasgupta, N. and Greenwald, A. G. (2001) "On the Malleability of Automatic Attitudes: Combating Automatic Prejudice With Images of Admired and Disliked Individuals", </w:t>
      </w:r>
      <w:r>
        <w:rPr>
          <w:i/>
          <w:lang w:val="en-GB"/>
        </w:rPr>
        <w:t>Journal of Personality and Social Psychology</w:t>
      </w:r>
      <w:r>
        <w:rPr>
          <w:lang w:val="en-GB"/>
        </w:rPr>
        <w:t>, 81, 5: 800-814</w:t>
      </w:r>
    </w:p>
    <w:p w:rsidR="00914C86" w:rsidRPr="00914C86" w:rsidRDefault="00914C86" w:rsidP="007E0CCC">
      <w:pPr>
        <w:spacing w:after="240" w:line="360" w:lineRule="auto"/>
        <w:ind w:left="833" w:hanging="720"/>
        <w:jc w:val="both"/>
        <w:rPr>
          <w:lang w:val="en-GB"/>
        </w:rPr>
      </w:pPr>
      <w:r>
        <w:rPr>
          <w:lang w:val="en-GB"/>
        </w:rPr>
        <w:t xml:space="preserve">Doleac, J. L. and Stein, L. C. D. (2013) "The Visible Hand: Race and Online Market Outcomes", </w:t>
      </w:r>
      <w:r>
        <w:rPr>
          <w:i/>
          <w:lang w:val="en-GB"/>
        </w:rPr>
        <w:t>The Economic Journal</w:t>
      </w:r>
      <w:r>
        <w:rPr>
          <w:lang w:val="en-GB"/>
        </w:rPr>
        <w:t>, 123, F469-F492</w:t>
      </w:r>
    </w:p>
    <w:p w:rsidR="00416CD6" w:rsidRDefault="008941A1" w:rsidP="007E0CCC">
      <w:pPr>
        <w:spacing w:after="240" w:line="360" w:lineRule="auto"/>
        <w:ind w:left="833" w:hanging="720"/>
        <w:jc w:val="both"/>
        <w:rPr>
          <w:lang w:val="en-GB"/>
        </w:rPr>
      </w:pPr>
      <w:r w:rsidRPr="008941A1">
        <w:rPr>
          <w:lang w:val="en-GB"/>
        </w:rPr>
        <w:t>Dovidio J</w:t>
      </w:r>
      <w:r>
        <w:rPr>
          <w:lang w:val="en-GB"/>
        </w:rPr>
        <w:t xml:space="preserve">. </w:t>
      </w:r>
      <w:r w:rsidRPr="008941A1">
        <w:rPr>
          <w:lang w:val="en-GB"/>
        </w:rPr>
        <w:t xml:space="preserve">F, </w:t>
      </w:r>
      <w:r>
        <w:rPr>
          <w:lang w:val="en-GB"/>
        </w:rPr>
        <w:t xml:space="preserve">and </w:t>
      </w:r>
      <w:r w:rsidRPr="008941A1">
        <w:rPr>
          <w:lang w:val="en-GB"/>
        </w:rPr>
        <w:t>Gaertner</w:t>
      </w:r>
      <w:r>
        <w:rPr>
          <w:lang w:val="en-GB"/>
        </w:rPr>
        <w:t>,</w:t>
      </w:r>
      <w:r w:rsidRPr="008941A1">
        <w:rPr>
          <w:lang w:val="en-GB"/>
        </w:rPr>
        <w:t xml:space="preserve"> S</w:t>
      </w:r>
      <w:r>
        <w:rPr>
          <w:lang w:val="en-GB"/>
        </w:rPr>
        <w:t>.L (2</w:t>
      </w:r>
      <w:r w:rsidRPr="008941A1">
        <w:rPr>
          <w:lang w:val="en-GB"/>
        </w:rPr>
        <w:t>000</w:t>
      </w:r>
      <w:r>
        <w:rPr>
          <w:lang w:val="en-GB"/>
        </w:rPr>
        <w:t>) "</w:t>
      </w:r>
      <w:r w:rsidRPr="008941A1">
        <w:rPr>
          <w:lang w:val="en-GB"/>
        </w:rPr>
        <w:t>Aversive racism and selection decisions</w:t>
      </w:r>
      <w:r>
        <w:rPr>
          <w:lang w:val="en-GB"/>
        </w:rPr>
        <w:t xml:space="preserve">", </w:t>
      </w:r>
      <w:r w:rsidRPr="008941A1">
        <w:rPr>
          <w:lang w:val="en-GB"/>
        </w:rPr>
        <w:t xml:space="preserve"> </w:t>
      </w:r>
      <w:r w:rsidRPr="008941A1">
        <w:rPr>
          <w:i/>
          <w:iCs/>
          <w:lang w:val="en-GB"/>
        </w:rPr>
        <w:t>Psychol</w:t>
      </w:r>
      <w:r>
        <w:rPr>
          <w:i/>
          <w:iCs/>
          <w:lang w:val="en-GB"/>
        </w:rPr>
        <w:t xml:space="preserve">ogical </w:t>
      </w:r>
      <w:r w:rsidRPr="008941A1">
        <w:rPr>
          <w:i/>
          <w:iCs/>
          <w:lang w:val="en-GB"/>
        </w:rPr>
        <w:t xml:space="preserve"> Sci</w:t>
      </w:r>
      <w:r>
        <w:rPr>
          <w:i/>
          <w:iCs/>
          <w:lang w:val="en-GB"/>
        </w:rPr>
        <w:t>ence,</w:t>
      </w:r>
      <w:r w:rsidRPr="008941A1">
        <w:rPr>
          <w:i/>
          <w:iCs/>
          <w:lang w:val="en-GB"/>
        </w:rPr>
        <w:t xml:space="preserve"> </w:t>
      </w:r>
      <w:r w:rsidRPr="008941A1">
        <w:rPr>
          <w:lang w:val="en-GB"/>
        </w:rPr>
        <w:t>11(4):315–19</w:t>
      </w:r>
    </w:p>
    <w:p w:rsidR="006D2F70" w:rsidRPr="006D2F70" w:rsidRDefault="006D2F70" w:rsidP="007E0CCC">
      <w:pPr>
        <w:spacing w:after="240" w:line="360" w:lineRule="auto"/>
        <w:ind w:left="833" w:hanging="720"/>
        <w:jc w:val="both"/>
        <w:rPr>
          <w:i/>
          <w:lang w:val="en-GB"/>
        </w:rPr>
      </w:pPr>
      <w:r>
        <w:rPr>
          <w:lang w:val="en-GB"/>
        </w:rPr>
        <w:t xml:space="preserve">Feld, J., Salamanca, N. and Hamermesh, D. S. (2013) "Endophilia or Exophobia: Beyond Discrimination", </w:t>
      </w:r>
      <w:r>
        <w:rPr>
          <w:i/>
          <w:lang w:val="en-GB"/>
        </w:rPr>
        <w:t>NBER Working Paper No. 19471</w:t>
      </w:r>
    </w:p>
    <w:p w:rsidR="003C5597" w:rsidRDefault="003C5597" w:rsidP="007E0CCC">
      <w:pPr>
        <w:spacing w:after="240" w:line="360" w:lineRule="auto"/>
        <w:ind w:left="833" w:hanging="720"/>
        <w:jc w:val="both"/>
        <w:rPr>
          <w:lang w:val="en-GB"/>
        </w:rPr>
      </w:pPr>
      <w:r>
        <w:rPr>
          <w:lang w:val="en-GB"/>
        </w:rPr>
        <w:t xml:space="preserve">Goff, B. L., McCormick, R. E., and Tollison, R. D. (2002) </w:t>
      </w:r>
      <w:r w:rsidR="001B79E8">
        <w:rPr>
          <w:lang w:val="en-GB"/>
        </w:rPr>
        <w:t xml:space="preserve">“Racial Integration as an Innovation: Empirical Evidence from Sports Leagues”, </w:t>
      </w:r>
      <w:r w:rsidR="001B79E8">
        <w:rPr>
          <w:i/>
          <w:lang w:val="en-GB"/>
        </w:rPr>
        <w:t>The American Economic Review</w:t>
      </w:r>
      <w:r w:rsidR="001B79E8">
        <w:rPr>
          <w:lang w:val="en-GB"/>
        </w:rPr>
        <w:t>, 92, 1: 16-26</w:t>
      </w:r>
    </w:p>
    <w:p w:rsidR="00527EC4" w:rsidRPr="00527EC4" w:rsidRDefault="00527EC4" w:rsidP="007E0CCC">
      <w:pPr>
        <w:spacing w:after="240" w:line="360" w:lineRule="auto"/>
        <w:ind w:left="833" w:hanging="720"/>
        <w:jc w:val="both"/>
        <w:rPr>
          <w:lang w:val="en-GB"/>
        </w:rPr>
      </w:pPr>
      <w:r>
        <w:rPr>
          <w:lang w:val="en-GB"/>
        </w:rPr>
        <w:t xml:space="preserve">Goldin, C. and Rouse, C. (2000) "Orchestrating impartiality: the impact of 'blind' auditions on female musicians",  </w:t>
      </w:r>
      <w:r>
        <w:rPr>
          <w:i/>
          <w:lang w:val="en-GB"/>
        </w:rPr>
        <w:t>American Economic Review</w:t>
      </w:r>
      <w:r>
        <w:rPr>
          <w:lang w:val="en-GB"/>
        </w:rPr>
        <w:t>, 90, 4: 715-741</w:t>
      </w:r>
    </w:p>
    <w:p w:rsidR="001019D2" w:rsidRDefault="001C1422" w:rsidP="007E0CCC">
      <w:pPr>
        <w:spacing w:after="240" w:line="360" w:lineRule="auto"/>
        <w:ind w:left="833" w:hanging="720"/>
        <w:jc w:val="both"/>
        <w:rPr>
          <w:lang w:val="en-GB"/>
        </w:rPr>
      </w:pPr>
      <w:r>
        <w:rPr>
          <w:lang w:val="en-GB"/>
        </w:rPr>
        <w:t>Hamilton, B. H. (</w:t>
      </w:r>
      <w:r w:rsidR="00CB41A7">
        <w:rPr>
          <w:lang w:val="en-GB"/>
        </w:rPr>
        <w:t>1997</w:t>
      </w:r>
      <w:r>
        <w:rPr>
          <w:lang w:val="en-GB"/>
        </w:rPr>
        <w:t>) "</w:t>
      </w:r>
      <w:r w:rsidR="001019D2">
        <w:rPr>
          <w:lang w:val="en-GB"/>
        </w:rPr>
        <w:t xml:space="preserve">Racial Discrimination and Professional Basketball Salaries in the 1990s", </w:t>
      </w:r>
      <w:r w:rsidR="001019D2" w:rsidRPr="00DD5759">
        <w:rPr>
          <w:i/>
          <w:lang w:val="en-GB"/>
        </w:rPr>
        <w:t>Applied Economics</w:t>
      </w:r>
      <w:r w:rsidR="001019D2">
        <w:rPr>
          <w:lang w:val="en-GB"/>
        </w:rPr>
        <w:t>, 29, 3: 287-296</w:t>
      </w:r>
    </w:p>
    <w:p w:rsidR="000075BC" w:rsidRDefault="000075BC" w:rsidP="007E0CCC">
      <w:pPr>
        <w:spacing w:after="240" w:line="360" w:lineRule="auto"/>
        <w:ind w:left="833" w:hanging="720"/>
        <w:jc w:val="both"/>
        <w:rPr>
          <w:lang w:val="en-GB"/>
        </w:rPr>
      </w:pPr>
      <w:r>
        <w:rPr>
          <w:lang w:val="en-GB"/>
        </w:rPr>
        <w:t xml:space="preserve">Hart, A., P. Whalen, L. Shin, S. McInerney, H. Fischer and Rauch S. (2000) Differential response in the human amygdala to racisal outgroup vs ingroup face stimuli. </w:t>
      </w:r>
      <w:r w:rsidRPr="000075BC">
        <w:rPr>
          <w:i/>
          <w:lang w:val="en-GB"/>
        </w:rPr>
        <w:t>Neuroreport</w:t>
      </w:r>
      <w:r>
        <w:rPr>
          <w:lang w:val="en-GB"/>
        </w:rPr>
        <w:t xml:space="preserve">, 11, 2351-2354 </w:t>
      </w:r>
    </w:p>
    <w:p w:rsidR="00AB0A35" w:rsidRDefault="00AB0A35" w:rsidP="007E0CCC">
      <w:pPr>
        <w:spacing w:after="240" w:line="360" w:lineRule="auto"/>
        <w:ind w:left="833" w:hanging="720"/>
        <w:jc w:val="both"/>
        <w:rPr>
          <w:lang w:val="en-GB"/>
        </w:rPr>
      </w:pPr>
      <w:r>
        <w:rPr>
          <w:lang w:val="en-GB"/>
        </w:rPr>
        <w:lastRenderedPageBreak/>
        <w:t>Kahn, L. M. (2006) “</w:t>
      </w:r>
      <w:r w:rsidRPr="00AB0A35">
        <w:rPr>
          <w:bCs/>
          <w:lang w:val="en-GB" w:eastAsia="en-GB"/>
        </w:rPr>
        <w:t xml:space="preserve">Race, Performance, Pay, and Retention Among National Basketball Association Head Coaches”, </w:t>
      </w:r>
      <w:r w:rsidRPr="00DD5759">
        <w:rPr>
          <w:bCs/>
          <w:i/>
          <w:lang w:val="en-GB" w:eastAsia="en-GB"/>
        </w:rPr>
        <w:t>Journal of Sports Economics</w:t>
      </w:r>
      <w:r w:rsidRPr="00AB0A35">
        <w:rPr>
          <w:bCs/>
          <w:lang w:val="en-GB" w:eastAsia="en-GB"/>
        </w:rPr>
        <w:t>, 7: 119-149</w:t>
      </w:r>
    </w:p>
    <w:p w:rsidR="00A11E6A" w:rsidRPr="00A11E6A" w:rsidRDefault="00A11E6A" w:rsidP="007E0CCC">
      <w:pPr>
        <w:spacing w:after="240" w:line="360" w:lineRule="auto"/>
        <w:ind w:left="833" w:hanging="720"/>
        <w:jc w:val="both"/>
        <w:rPr>
          <w:i/>
          <w:lang w:val="en-GB"/>
        </w:rPr>
      </w:pPr>
      <w:r>
        <w:rPr>
          <w:lang w:val="en-GB"/>
        </w:rPr>
        <w:t xml:space="preserve">Kahn, L. M. (2009) "The Economics of Discrimination: Evidence from Baseball", </w:t>
      </w:r>
      <w:r>
        <w:rPr>
          <w:i/>
          <w:lang w:val="en-GB"/>
        </w:rPr>
        <w:t>IZA Discussion Paper No. 3987</w:t>
      </w:r>
    </w:p>
    <w:p w:rsidR="005315F3" w:rsidRDefault="00EE7468" w:rsidP="007E0CCC">
      <w:pPr>
        <w:spacing w:after="240" w:line="360" w:lineRule="auto"/>
        <w:ind w:left="833" w:hanging="720"/>
        <w:jc w:val="both"/>
        <w:rPr>
          <w:lang w:val="en-GB"/>
        </w:rPr>
      </w:pPr>
      <w:r>
        <w:rPr>
          <w:lang w:val="en-GB"/>
        </w:rPr>
        <w:t xml:space="preserve">Lang, K. and Lehmann, J. K. (2011) "Racial Discrimination in the Labor Market: Theory and Empirics", </w:t>
      </w:r>
      <w:r w:rsidRPr="00EE7468">
        <w:rPr>
          <w:i/>
          <w:lang w:val="en-GB"/>
        </w:rPr>
        <w:t>NBER Working Paper Number 17450</w:t>
      </w:r>
    </w:p>
    <w:p w:rsidR="00E10006" w:rsidRDefault="003A09F2" w:rsidP="007E0CCC">
      <w:pPr>
        <w:spacing w:after="240" w:line="360" w:lineRule="auto"/>
        <w:ind w:left="833" w:hanging="720"/>
        <w:jc w:val="both"/>
        <w:rPr>
          <w:lang w:val="en-GB"/>
        </w:rPr>
      </w:pPr>
      <w:r w:rsidRPr="003A09F2">
        <w:rPr>
          <w:lang w:val="en-GB"/>
        </w:rPr>
        <w:t xml:space="preserve">Levitt, S </w:t>
      </w:r>
      <w:r>
        <w:rPr>
          <w:lang w:val="en-GB"/>
        </w:rPr>
        <w:t>(</w:t>
      </w:r>
      <w:r w:rsidRPr="003A09F2">
        <w:rPr>
          <w:lang w:val="en-GB"/>
        </w:rPr>
        <w:t>2004</w:t>
      </w:r>
      <w:r>
        <w:rPr>
          <w:lang w:val="en-GB"/>
        </w:rPr>
        <w:t>)</w:t>
      </w:r>
      <w:r w:rsidRPr="003A09F2">
        <w:rPr>
          <w:lang w:val="en-GB"/>
        </w:rPr>
        <w:t xml:space="preserve"> “Testing Theories of Discrimination: Evidence from </w:t>
      </w:r>
      <w:r w:rsidRPr="003A09F2">
        <w:rPr>
          <w:i/>
          <w:iCs/>
          <w:lang w:val="en-GB"/>
        </w:rPr>
        <w:t>The Weakest Link</w:t>
      </w:r>
      <w:r w:rsidRPr="003A09F2">
        <w:rPr>
          <w:lang w:val="en-GB"/>
        </w:rPr>
        <w:t>.”</w:t>
      </w:r>
      <w:r w:rsidR="007E0CCC">
        <w:rPr>
          <w:lang w:val="en-GB"/>
        </w:rPr>
        <w:t xml:space="preserve"> </w:t>
      </w:r>
      <w:r w:rsidRPr="003A09F2">
        <w:rPr>
          <w:i/>
          <w:iCs/>
          <w:lang w:val="en-GB"/>
        </w:rPr>
        <w:t>Journal of Law and Economics</w:t>
      </w:r>
      <w:r>
        <w:rPr>
          <w:iCs/>
          <w:lang w:val="en-GB"/>
        </w:rPr>
        <w:t>,</w:t>
      </w:r>
      <w:r w:rsidRPr="003A09F2">
        <w:rPr>
          <w:i/>
          <w:iCs/>
          <w:lang w:val="en-GB"/>
        </w:rPr>
        <w:t xml:space="preserve"> </w:t>
      </w:r>
      <w:r w:rsidRPr="003A09F2">
        <w:rPr>
          <w:lang w:val="en-GB"/>
        </w:rPr>
        <w:t>47(2):</w:t>
      </w:r>
      <w:r>
        <w:rPr>
          <w:lang w:val="en-GB"/>
        </w:rPr>
        <w:t xml:space="preserve"> </w:t>
      </w:r>
      <w:r w:rsidRPr="003A09F2">
        <w:rPr>
          <w:lang w:val="en-GB"/>
        </w:rPr>
        <w:t>431–52</w:t>
      </w:r>
    </w:p>
    <w:p w:rsidR="003A3B7A" w:rsidRPr="003A3B7A" w:rsidRDefault="003A3B7A" w:rsidP="007E0CCC">
      <w:pPr>
        <w:spacing w:after="240" w:line="360" w:lineRule="auto"/>
        <w:ind w:left="833" w:hanging="720"/>
        <w:jc w:val="both"/>
        <w:rPr>
          <w:lang w:val="en-GB"/>
        </w:rPr>
      </w:pPr>
      <w:r>
        <w:rPr>
          <w:lang w:val="en-GB"/>
        </w:rPr>
        <w:t xml:space="preserve">List, J. A. (2004) "The Nature and Extent of Discrimination in the Marketplace: Evidence from the Field", </w:t>
      </w:r>
      <w:r>
        <w:rPr>
          <w:i/>
          <w:lang w:val="en-GB"/>
        </w:rPr>
        <w:t>The Quarterly Journal of Economics</w:t>
      </w:r>
      <w:r>
        <w:rPr>
          <w:lang w:val="en-GB"/>
        </w:rPr>
        <w:t>, 119, 1: 49-89</w:t>
      </w:r>
    </w:p>
    <w:p w:rsidR="00CF1C75" w:rsidRPr="00CF1C75" w:rsidRDefault="00CF1C75" w:rsidP="007E0CCC">
      <w:pPr>
        <w:spacing w:after="240" w:line="360" w:lineRule="auto"/>
        <w:ind w:left="833" w:hanging="720"/>
        <w:jc w:val="both"/>
        <w:rPr>
          <w:lang w:val="en-GB"/>
        </w:rPr>
      </w:pPr>
      <w:r>
        <w:rPr>
          <w:lang w:val="en-GB"/>
        </w:rPr>
        <w:t xml:space="preserve">Nardinelli, C. and Simon, C. (1990) "Customer racial discrimination in the market for memorabilia: the case of baseball", </w:t>
      </w:r>
      <w:r>
        <w:rPr>
          <w:i/>
          <w:lang w:val="en-GB"/>
        </w:rPr>
        <w:t>The Quarterly Journal of Economics</w:t>
      </w:r>
      <w:r>
        <w:rPr>
          <w:lang w:val="en-GB"/>
        </w:rPr>
        <w:t>, 105, 3: 575-595</w:t>
      </w:r>
    </w:p>
    <w:p w:rsidR="00B4065E" w:rsidRDefault="00B4065E" w:rsidP="007E0CCC">
      <w:pPr>
        <w:spacing w:after="240" w:line="360" w:lineRule="auto"/>
        <w:ind w:left="833" w:hanging="720"/>
        <w:jc w:val="both"/>
        <w:rPr>
          <w:lang w:val="en-GB"/>
        </w:rPr>
      </w:pPr>
      <w:r>
        <w:rPr>
          <w:lang w:val="en-GB"/>
        </w:rPr>
        <w:t xml:space="preserve">Pager, D. and Shepherd, H. (2008) "The Sociology of Discrimination: Racial Discrimination in Employment, Housing, Credit and Consumer Markets", </w:t>
      </w:r>
      <w:r>
        <w:rPr>
          <w:i/>
          <w:lang w:val="en-GB"/>
        </w:rPr>
        <w:t>Annual Review of Sociology</w:t>
      </w:r>
      <w:r>
        <w:rPr>
          <w:lang w:val="en-GB"/>
        </w:rPr>
        <w:t>, 1, 34: 181-209</w:t>
      </w:r>
    </w:p>
    <w:p w:rsidR="001550E7" w:rsidRDefault="001550E7" w:rsidP="007E0CCC">
      <w:pPr>
        <w:spacing w:after="240" w:line="360" w:lineRule="auto"/>
        <w:ind w:left="833" w:hanging="720"/>
        <w:jc w:val="both"/>
        <w:rPr>
          <w:lang w:val="en-GB"/>
        </w:rPr>
      </w:pPr>
      <w:r>
        <w:rPr>
          <w:lang w:val="en-GB"/>
        </w:rPr>
        <w:t xml:space="preserve">Parson, C., Sulaeman, J., Yates, M. and Hamermesh, D. (2011) Strike Three: Discrimination, Incentives and Evaluation. </w:t>
      </w:r>
      <w:r w:rsidR="00813CC0" w:rsidRPr="00813CC0">
        <w:rPr>
          <w:i/>
          <w:lang w:val="en-GB"/>
        </w:rPr>
        <w:t>American Economic Review</w:t>
      </w:r>
      <w:r>
        <w:rPr>
          <w:lang w:val="en-GB"/>
        </w:rPr>
        <w:t>, 101, 1410-1435</w:t>
      </w:r>
    </w:p>
    <w:p w:rsidR="00F56437" w:rsidRPr="008D3DFC" w:rsidRDefault="00F56437" w:rsidP="00F56437">
      <w:pPr>
        <w:pStyle w:val="Default"/>
        <w:spacing w:after="240" w:line="360" w:lineRule="auto"/>
        <w:ind w:left="720" w:hanging="720"/>
        <w:rPr>
          <w:rFonts w:ascii="Times New Roman" w:hAnsi="Times New Roman" w:cs="Times New Roman"/>
        </w:rPr>
      </w:pPr>
      <w:r w:rsidRPr="008D3DFC">
        <w:rPr>
          <w:rFonts w:ascii="Times New Roman" w:hAnsi="Times New Roman" w:cs="Times New Roman"/>
        </w:rPr>
        <w:t xml:space="preserve">Phelps, E. (1972) “ The Statistical Theory of Racism and Sexism”, </w:t>
      </w:r>
      <w:r w:rsidRPr="00DD5759">
        <w:rPr>
          <w:rFonts w:ascii="Times New Roman" w:hAnsi="Times New Roman" w:cs="Times New Roman"/>
          <w:i/>
        </w:rPr>
        <w:t>American Economic Review</w:t>
      </w:r>
      <w:r w:rsidRPr="008D3DFC">
        <w:rPr>
          <w:rFonts w:ascii="Times New Roman" w:hAnsi="Times New Roman" w:cs="Times New Roman"/>
        </w:rPr>
        <w:t>, 62, 4:659-661</w:t>
      </w:r>
    </w:p>
    <w:p w:rsidR="006A4039" w:rsidRDefault="001C17D7" w:rsidP="007E0CCC">
      <w:pPr>
        <w:spacing w:after="240" w:line="360" w:lineRule="auto"/>
        <w:ind w:left="833" w:hanging="720"/>
        <w:jc w:val="both"/>
        <w:rPr>
          <w:lang w:val="en-GB"/>
        </w:rPr>
      </w:pPr>
      <w:r>
        <w:rPr>
          <w:lang w:val="en-GB"/>
        </w:rPr>
        <w:t xml:space="preserve">Phelps, E., K. O’Connor, W. Cunnignham, E. Funayama, C. Gatenby. J. Gore and Banaji, M. (2000) Performance on Indirect Measures of Race Evaluation Predict Amygdala Activation. </w:t>
      </w:r>
      <w:r w:rsidRPr="001C17D7">
        <w:rPr>
          <w:i/>
          <w:lang w:val="en-GB"/>
        </w:rPr>
        <w:t>Journal of Cognitive Neuroscience</w:t>
      </w:r>
      <w:r>
        <w:rPr>
          <w:lang w:val="en-GB"/>
        </w:rPr>
        <w:t>, 12, 729-738</w:t>
      </w:r>
    </w:p>
    <w:p w:rsidR="00226FEB" w:rsidRPr="00226FEB" w:rsidRDefault="00226FEB" w:rsidP="007E0CCC">
      <w:pPr>
        <w:spacing w:after="240" w:line="360" w:lineRule="auto"/>
        <w:ind w:left="833" w:hanging="720"/>
        <w:jc w:val="both"/>
        <w:rPr>
          <w:lang w:val="en-GB"/>
        </w:rPr>
      </w:pPr>
      <w:r>
        <w:rPr>
          <w:lang w:val="en-GB"/>
        </w:rPr>
        <w:lastRenderedPageBreak/>
        <w:t xml:space="preserve">Plug, E., Webbink, D. and Martin, N. (2014) "Sexual Orientation, Prejudice and Segregation", </w:t>
      </w:r>
      <w:r>
        <w:rPr>
          <w:i/>
          <w:lang w:val="en-GB"/>
        </w:rPr>
        <w:t>Journal of Labor Economics</w:t>
      </w:r>
      <w:r>
        <w:rPr>
          <w:lang w:val="en-GB"/>
        </w:rPr>
        <w:t>, 32, 1: 123-159</w:t>
      </w:r>
    </w:p>
    <w:p w:rsidR="009445DE" w:rsidRDefault="009445DE" w:rsidP="007E0CCC">
      <w:pPr>
        <w:spacing w:after="240" w:line="360" w:lineRule="auto"/>
        <w:ind w:left="833" w:hanging="720"/>
        <w:jc w:val="both"/>
        <w:rPr>
          <w:lang w:val="en-GB"/>
        </w:rPr>
      </w:pPr>
      <w:r>
        <w:rPr>
          <w:lang w:val="en-GB"/>
        </w:rPr>
        <w:t xml:space="preserve">Pope, D., and Sydnor, J. (2011) “What’s in a picture? Evidence of Discrimination from Prosper.com”, </w:t>
      </w:r>
      <w:r w:rsidRPr="00DD5759">
        <w:rPr>
          <w:i/>
          <w:lang w:val="en-GB"/>
        </w:rPr>
        <w:t>Journal of Human Resources</w:t>
      </w:r>
      <w:r>
        <w:rPr>
          <w:lang w:val="en-GB"/>
        </w:rPr>
        <w:t xml:space="preserve">, 46, </w:t>
      </w:r>
      <w:r w:rsidR="000C2540">
        <w:rPr>
          <w:lang w:val="en-GB"/>
        </w:rPr>
        <w:t>1: 53-92</w:t>
      </w:r>
    </w:p>
    <w:p w:rsidR="00642E61" w:rsidRDefault="009060BE" w:rsidP="007E0CCC">
      <w:pPr>
        <w:spacing w:after="240" w:line="360" w:lineRule="auto"/>
        <w:ind w:left="833" w:hanging="720"/>
        <w:jc w:val="both"/>
        <w:rPr>
          <w:lang w:val="en-GB"/>
        </w:rPr>
      </w:pPr>
      <w:r w:rsidRPr="009060BE">
        <w:rPr>
          <w:lang w:val="en-GB"/>
        </w:rPr>
        <w:t>Rosen, S</w:t>
      </w:r>
      <w:r>
        <w:rPr>
          <w:lang w:val="en-GB"/>
        </w:rPr>
        <w:t>. (1981)</w:t>
      </w:r>
      <w:r w:rsidRPr="009060BE">
        <w:rPr>
          <w:lang w:val="en-GB"/>
        </w:rPr>
        <w:t xml:space="preserve"> </w:t>
      </w:r>
      <w:r>
        <w:rPr>
          <w:lang w:val="en-GB"/>
        </w:rPr>
        <w:t>"</w:t>
      </w:r>
      <w:r w:rsidRPr="009060BE">
        <w:rPr>
          <w:lang w:val="en-GB"/>
        </w:rPr>
        <w:t>The economics of superstars</w:t>
      </w:r>
      <w:r>
        <w:rPr>
          <w:lang w:val="en-GB"/>
        </w:rPr>
        <w:t>",</w:t>
      </w:r>
      <w:r w:rsidRPr="009060BE">
        <w:rPr>
          <w:lang w:val="en-GB"/>
        </w:rPr>
        <w:t xml:space="preserve"> </w:t>
      </w:r>
      <w:r w:rsidRPr="009060BE">
        <w:rPr>
          <w:i/>
          <w:iCs/>
          <w:lang w:val="en-GB"/>
        </w:rPr>
        <w:t>American Economic Review</w:t>
      </w:r>
      <w:r>
        <w:rPr>
          <w:lang w:val="en-GB"/>
        </w:rPr>
        <w:t>. 71; 845–858</w:t>
      </w:r>
    </w:p>
    <w:p w:rsidR="009060BE" w:rsidRPr="00E37277" w:rsidRDefault="009060BE" w:rsidP="007E0CCC">
      <w:pPr>
        <w:spacing w:after="240" w:line="360" w:lineRule="auto"/>
        <w:ind w:left="833" w:hanging="720"/>
        <w:jc w:val="both"/>
        <w:rPr>
          <w:lang w:val="en-GB"/>
        </w:rPr>
      </w:pPr>
      <w:r>
        <w:rPr>
          <w:lang w:val="en-GB"/>
        </w:rPr>
        <w:t xml:space="preserve">Rosen, S. and Sanderson, A. (2001) "Labour Markets in Professional Sports", </w:t>
      </w:r>
      <w:r>
        <w:rPr>
          <w:i/>
          <w:lang w:val="en-GB"/>
        </w:rPr>
        <w:t>The Economic Journal</w:t>
      </w:r>
      <w:r>
        <w:rPr>
          <w:lang w:val="en-GB"/>
        </w:rPr>
        <w:t>, 111, F47-F68</w:t>
      </w:r>
    </w:p>
    <w:p w:rsidR="004A016A" w:rsidRPr="004A016A" w:rsidRDefault="004A016A" w:rsidP="007E0CCC">
      <w:pPr>
        <w:spacing w:after="240" w:line="360" w:lineRule="auto"/>
        <w:ind w:left="833" w:hanging="720"/>
        <w:jc w:val="both"/>
        <w:rPr>
          <w:lang w:val="en-GB"/>
        </w:rPr>
      </w:pPr>
      <w:r>
        <w:rPr>
          <w:lang w:val="en-GB"/>
        </w:rPr>
        <w:t xml:space="preserve">Szymanski, S. (2000) "A market test of discrimination in the English Soccer Leagues", </w:t>
      </w:r>
      <w:r>
        <w:rPr>
          <w:i/>
          <w:lang w:val="en-GB"/>
        </w:rPr>
        <w:t>Journal of Political Economy</w:t>
      </w:r>
      <w:r>
        <w:rPr>
          <w:lang w:val="en-GB"/>
        </w:rPr>
        <w:t>, 108: 590-603</w:t>
      </w:r>
    </w:p>
    <w:p w:rsidR="00552E03" w:rsidRDefault="00527EC4" w:rsidP="00B64A86">
      <w:pPr>
        <w:spacing w:after="240" w:line="360" w:lineRule="auto"/>
        <w:ind w:left="833" w:hanging="720"/>
        <w:jc w:val="both"/>
        <w:rPr>
          <w:b/>
        </w:rPr>
      </w:pPr>
      <w:r>
        <w:rPr>
          <w:lang w:val="en-GB"/>
        </w:rPr>
        <w:t xml:space="preserve">Zussman, A. (2013) "Ethnic Discrimination: Lessons from the Israeli Online Market for Used Cars", </w:t>
      </w:r>
      <w:r>
        <w:rPr>
          <w:i/>
          <w:lang w:val="en-GB"/>
        </w:rPr>
        <w:t>The Economic Journal</w:t>
      </w:r>
      <w:r>
        <w:rPr>
          <w:lang w:val="en-GB"/>
        </w:rPr>
        <w:t>, 123, F433-F468</w:t>
      </w:r>
      <w:r w:rsidR="00552E03">
        <w:rPr>
          <w:b/>
        </w:rPr>
        <w:br w:type="page"/>
      </w:r>
    </w:p>
    <w:p w:rsidR="00552E03" w:rsidRDefault="00552E03" w:rsidP="00552E03">
      <w:pPr>
        <w:spacing w:line="480" w:lineRule="auto"/>
        <w:rPr>
          <w:b/>
        </w:rPr>
        <w:sectPr w:rsidR="00552E03" w:rsidSect="00552E03">
          <w:footerReference w:type="default" r:id="rId10"/>
          <w:type w:val="nextColumn"/>
          <w:pgSz w:w="12240" w:h="15840"/>
          <w:pgMar w:top="1440" w:right="1800" w:bottom="1440" w:left="1800" w:header="708" w:footer="708" w:gutter="0"/>
          <w:pgNumType w:start="0"/>
          <w:cols w:space="720"/>
        </w:sectPr>
      </w:pPr>
    </w:p>
    <w:p w:rsidR="00552E03" w:rsidRDefault="009902E7" w:rsidP="00552E03">
      <w:pPr>
        <w:spacing w:line="480" w:lineRule="auto"/>
        <w:rPr>
          <w:b/>
        </w:rPr>
      </w:pPr>
      <w:r>
        <w:rPr>
          <w:b/>
        </w:rPr>
        <w:lastRenderedPageBreak/>
        <w:t>Figure 1: Does Fantasy League function like a market</w:t>
      </w:r>
    </w:p>
    <w:p w:rsidR="00552E03" w:rsidRDefault="00552E03" w:rsidP="00552E03">
      <w:pPr>
        <w:spacing w:line="480" w:lineRule="auto"/>
        <w:rPr>
          <w:b/>
        </w:rPr>
        <w:sectPr w:rsidR="00552E03" w:rsidSect="00552E03">
          <w:type w:val="continuous"/>
          <w:pgSz w:w="12240" w:h="15840"/>
          <w:pgMar w:top="1440" w:right="1800" w:bottom="1440" w:left="1800" w:header="708" w:footer="708" w:gutter="0"/>
          <w:pgNumType w:start="0"/>
          <w:cols w:space="720"/>
        </w:sectPr>
      </w:pPr>
    </w:p>
    <w:p w:rsidR="00B036F2" w:rsidRDefault="00B036F2" w:rsidP="00B036F2">
      <w:r>
        <w:lastRenderedPageBreak/>
        <w:t>A</w:t>
      </w:r>
      <w:r w:rsidR="00710999">
        <w:t>]</w:t>
      </w:r>
      <w:r>
        <w:t xml:space="preserve"> Last year Productivity and Initial Price</w:t>
      </w:r>
    </w:p>
    <w:p w:rsidR="00B036F2" w:rsidRDefault="00871C79" w:rsidP="00B036F2">
      <w:r>
        <w:rPr>
          <w:noProof/>
          <w:lang w:val="en-GB" w:eastAsia="en-GB"/>
        </w:rPr>
        <w:drawing>
          <wp:inline distT="0" distB="0" distL="0" distR="0">
            <wp:extent cx="2629046"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862" cy="1926111"/>
                    </a:xfrm>
                    <a:prstGeom prst="rect">
                      <a:avLst/>
                    </a:prstGeom>
                    <a:noFill/>
                    <a:ln>
                      <a:noFill/>
                    </a:ln>
                  </pic:spPr>
                </pic:pic>
              </a:graphicData>
            </a:graphic>
          </wp:inline>
        </w:drawing>
      </w:r>
    </w:p>
    <w:p w:rsidR="00B036F2" w:rsidRDefault="00B036F2" w:rsidP="00B036F2"/>
    <w:p w:rsidR="00B036F2" w:rsidRDefault="00B036F2" w:rsidP="00B036F2">
      <w:r>
        <w:t>B</w:t>
      </w:r>
      <w:r w:rsidR="00710999">
        <w:t>]</w:t>
      </w:r>
      <w:r>
        <w:t xml:space="preserve"> Last year productivity and Initial Demand</w:t>
      </w:r>
    </w:p>
    <w:p w:rsidR="00B036F2" w:rsidRDefault="0067334B" w:rsidP="00B036F2">
      <w:r>
        <w:rPr>
          <w:noProof/>
          <w:lang w:val="en-GB" w:eastAsia="en-GB"/>
        </w:rPr>
        <w:drawing>
          <wp:inline distT="0" distB="0" distL="0" distR="0">
            <wp:extent cx="2603016" cy="1905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804" cy="1907040"/>
                    </a:xfrm>
                    <a:prstGeom prst="rect">
                      <a:avLst/>
                    </a:prstGeom>
                    <a:noFill/>
                    <a:ln>
                      <a:noFill/>
                    </a:ln>
                  </pic:spPr>
                </pic:pic>
              </a:graphicData>
            </a:graphic>
          </wp:inline>
        </w:drawing>
      </w:r>
    </w:p>
    <w:p w:rsidR="00B036F2" w:rsidRDefault="00B036F2" w:rsidP="00B036F2"/>
    <w:p w:rsidR="00B036F2" w:rsidRDefault="00B036F2" w:rsidP="00B036F2">
      <w:r>
        <w:t>C] Initial Price and Initial Demand</w:t>
      </w:r>
    </w:p>
    <w:p w:rsidR="00B036F2" w:rsidRDefault="0067334B" w:rsidP="00B036F2">
      <w:r>
        <w:rPr>
          <w:noProof/>
          <w:lang w:val="en-GB" w:eastAsia="en-GB"/>
        </w:rPr>
        <w:drawing>
          <wp:inline distT="0" distB="0" distL="0" distR="0">
            <wp:extent cx="2514600" cy="184029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840294"/>
                    </a:xfrm>
                    <a:prstGeom prst="rect">
                      <a:avLst/>
                    </a:prstGeom>
                    <a:noFill/>
                    <a:ln>
                      <a:noFill/>
                    </a:ln>
                  </pic:spPr>
                </pic:pic>
              </a:graphicData>
            </a:graphic>
          </wp:inline>
        </w:drawing>
      </w:r>
    </w:p>
    <w:p w:rsidR="00B036F2" w:rsidRDefault="00B036F2" w:rsidP="00B036F2"/>
    <w:p w:rsidR="00B036F2" w:rsidRDefault="00B036F2" w:rsidP="00B036F2"/>
    <w:p w:rsidR="00B036F2" w:rsidRDefault="00B036F2" w:rsidP="00B036F2">
      <w:pPr>
        <w:rPr>
          <w:sz w:val="20"/>
          <w:szCs w:val="20"/>
        </w:rPr>
      </w:pPr>
      <w:r>
        <w:rPr>
          <w:sz w:val="20"/>
          <w:szCs w:val="20"/>
        </w:rPr>
        <w:t>Note: Own calculation based on Fantasy Football League 2008/09, 2009/10 2010/11</w:t>
      </w:r>
    </w:p>
    <w:p w:rsidR="00B036F2" w:rsidRDefault="000C2540" w:rsidP="00B036F2">
      <w:pPr>
        <w:rPr>
          <w:sz w:val="20"/>
          <w:szCs w:val="20"/>
        </w:rPr>
      </w:pPr>
      <w:r>
        <w:rPr>
          <w:sz w:val="20"/>
          <w:szCs w:val="20"/>
        </w:rPr>
        <w:t xml:space="preserve"> Shaded area represent</w:t>
      </w:r>
      <w:r w:rsidR="00B036F2">
        <w:rPr>
          <w:sz w:val="20"/>
          <w:szCs w:val="20"/>
        </w:rPr>
        <w:t xml:space="preserve"> the 95 per cent confidence interval</w:t>
      </w:r>
    </w:p>
    <w:p w:rsidR="00B036F2" w:rsidRDefault="00B036F2" w:rsidP="00B036F2">
      <w:r>
        <w:lastRenderedPageBreak/>
        <w:t>D</w:t>
      </w:r>
      <w:r w:rsidR="00710999">
        <w:t>]</w:t>
      </w:r>
      <w:r>
        <w:t xml:space="preserve"> Productivity and change in Price:</w:t>
      </w:r>
    </w:p>
    <w:p w:rsidR="00B036F2" w:rsidRDefault="00B036F2" w:rsidP="00B036F2"/>
    <w:p w:rsidR="00B036F2" w:rsidRDefault="00871C79" w:rsidP="00B036F2">
      <w:r>
        <w:rPr>
          <w:noProof/>
          <w:lang w:val="en-GB" w:eastAsia="en-GB"/>
        </w:rPr>
        <w:drawing>
          <wp:inline distT="0" distB="0" distL="0" distR="0">
            <wp:extent cx="2485879"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2050" cy="1986118"/>
                    </a:xfrm>
                    <a:prstGeom prst="rect">
                      <a:avLst/>
                    </a:prstGeom>
                    <a:noFill/>
                    <a:ln>
                      <a:noFill/>
                    </a:ln>
                  </pic:spPr>
                </pic:pic>
              </a:graphicData>
            </a:graphic>
          </wp:inline>
        </w:drawing>
      </w:r>
      <w:r w:rsidRPr="00871C79">
        <w:rPr>
          <w:noProof/>
          <w:lang w:val="en-GB" w:eastAsia="en-GB"/>
        </w:rPr>
        <w:t xml:space="preserve"> </w:t>
      </w:r>
    </w:p>
    <w:p w:rsidR="00B036F2" w:rsidRDefault="00B036F2" w:rsidP="00B036F2"/>
    <w:p w:rsidR="00B036F2" w:rsidRDefault="00B036F2" w:rsidP="00B036F2">
      <w:r>
        <w:t>E</w:t>
      </w:r>
      <w:r w:rsidR="00710999">
        <w:t>]</w:t>
      </w:r>
      <w:r>
        <w:t xml:space="preserve"> Productivity and net employer demand</w:t>
      </w:r>
    </w:p>
    <w:p w:rsidR="00B036F2" w:rsidRDefault="00B036F2" w:rsidP="00B036F2">
      <w:r>
        <w:rPr>
          <w:noProof/>
          <w:lang w:val="en-GB" w:eastAsia="en-GB"/>
        </w:rPr>
        <w:drawing>
          <wp:inline distT="0" distB="0" distL="0" distR="0">
            <wp:extent cx="2454852" cy="1800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4852" cy="1800225"/>
                    </a:xfrm>
                    <a:prstGeom prst="rect">
                      <a:avLst/>
                    </a:prstGeom>
                    <a:noFill/>
                    <a:ln>
                      <a:noFill/>
                    </a:ln>
                  </pic:spPr>
                </pic:pic>
              </a:graphicData>
            </a:graphic>
          </wp:inline>
        </w:drawing>
      </w:r>
    </w:p>
    <w:p w:rsidR="00B036F2" w:rsidRDefault="00B036F2" w:rsidP="00B036F2"/>
    <w:p w:rsidR="00B036F2" w:rsidRDefault="00B036F2" w:rsidP="00B036F2"/>
    <w:p w:rsidR="00B036F2" w:rsidRDefault="00B036F2" w:rsidP="00B036F2">
      <w:pPr>
        <w:sectPr w:rsidR="00B036F2" w:rsidSect="007E0CCC">
          <w:type w:val="continuous"/>
          <w:pgSz w:w="12240" w:h="15840"/>
          <w:pgMar w:top="1440" w:right="1800" w:bottom="1440" w:left="1800" w:header="708" w:footer="708" w:gutter="0"/>
          <w:pgNumType w:start="0"/>
          <w:cols w:num="2" w:space="720"/>
        </w:sectPr>
      </w:pPr>
    </w:p>
    <w:p w:rsidR="00B036F2" w:rsidRDefault="001016BE" w:rsidP="00B036F2">
      <w:pPr>
        <w:rPr>
          <w:b/>
        </w:rPr>
      </w:pPr>
      <w:r>
        <w:rPr>
          <w:b/>
        </w:rPr>
        <w:lastRenderedPageBreak/>
        <w:t xml:space="preserve">Figure </w:t>
      </w:r>
      <w:r w:rsidR="00127AAB">
        <w:rPr>
          <w:b/>
        </w:rPr>
        <w:t>2</w:t>
      </w:r>
      <w:r w:rsidR="00B036F2">
        <w:rPr>
          <w:b/>
        </w:rPr>
        <w:t xml:space="preserve">: Racial Differences in </w:t>
      </w:r>
      <w:r w:rsidR="00EC3A4D">
        <w:rPr>
          <w:b/>
        </w:rPr>
        <w:t>Performance, Price and Demand</w:t>
      </w:r>
      <w:r w:rsidR="00B036F2">
        <w:rPr>
          <w:b/>
        </w:rPr>
        <w:t>:</w:t>
      </w:r>
    </w:p>
    <w:p w:rsidR="00B036F2" w:rsidRDefault="00B036F2" w:rsidP="00B036F2"/>
    <w:p w:rsidR="00B036F2" w:rsidRDefault="00B036F2" w:rsidP="00B036F2">
      <w:pPr>
        <w:sectPr w:rsidR="00B036F2" w:rsidSect="00B036F2">
          <w:type w:val="nextColumn"/>
          <w:pgSz w:w="12240" w:h="15840"/>
          <w:pgMar w:top="1440" w:right="1800" w:bottom="1440" w:left="1800" w:header="708" w:footer="708" w:gutter="0"/>
          <w:pgNumType w:start="0"/>
          <w:cols w:space="720"/>
        </w:sectPr>
      </w:pPr>
    </w:p>
    <w:p w:rsidR="00B036F2" w:rsidRDefault="00B036F2" w:rsidP="00B036F2">
      <w:r>
        <w:lastRenderedPageBreak/>
        <w:t>A] Last Year Performance by Race</w:t>
      </w:r>
    </w:p>
    <w:p w:rsidR="00B036F2" w:rsidRDefault="00B036F2" w:rsidP="00B036F2">
      <w:r>
        <w:rPr>
          <w:noProof/>
          <w:lang w:val="en-GB" w:eastAsia="en-GB"/>
        </w:rPr>
        <w:drawing>
          <wp:inline distT="0" distB="0" distL="0" distR="0">
            <wp:extent cx="2518410" cy="184308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B036F2" w:rsidRDefault="00B036F2" w:rsidP="00B036F2"/>
    <w:p w:rsidR="00EC0F76" w:rsidRDefault="00B036F2" w:rsidP="00B036F2">
      <w:r>
        <w:t xml:space="preserve">B] </w:t>
      </w:r>
      <w:r w:rsidR="00EC0F76">
        <w:t>Initial Price by Race</w:t>
      </w:r>
    </w:p>
    <w:p w:rsidR="00EC0F76" w:rsidRDefault="00EC0F76" w:rsidP="00B036F2">
      <w:r>
        <w:rPr>
          <w:noProof/>
          <w:lang w:val="en-GB" w:eastAsia="en-GB"/>
        </w:rPr>
        <w:drawing>
          <wp:inline distT="0" distB="0" distL="0" distR="0">
            <wp:extent cx="2518410" cy="184308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EC0F76" w:rsidRDefault="00EC0F76" w:rsidP="00B036F2"/>
    <w:p w:rsidR="00EC0F76" w:rsidRDefault="00EC0F76" w:rsidP="00B036F2">
      <w:r>
        <w:t>C] Initial Demand by Race</w:t>
      </w:r>
    </w:p>
    <w:p w:rsidR="00EC0F76" w:rsidRDefault="00EC0F76" w:rsidP="00B036F2">
      <w:r>
        <w:rPr>
          <w:noProof/>
          <w:lang w:val="en-GB" w:eastAsia="en-GB"/>
        </w:rPr>
        <w:drawing>
          <wp:inline distT="0" distB="0" distL="0" distR="0">
            <wp:extent cx="2518410" cy="183965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8410" cy="1839656"/>
                    </a:xfrm>
                    <a:prstGeom prst="rect">
                      <a:avLst/>
                    </a:prstGeom>
                    <a:noFill/>
                    <a:ln>
                      <a:noFill/>
                    </a:ln>
                  </pic:spPr>
                </pic:pic>
              </a:graphicData>
            </a:graphic>
          </wp:inline>
        </w:drawing>
      </w:r>
    </w:p>
    <w:p w:rsidR="00EC0F76" w:rsidRDefault="00EC0F76" w:rsidP="00B036F2"/>
    <w:p w:rsidR="00B036F2" w:rsidRDefault="00B036F2" w:rsidP="00B036F2"/>
    <w:p w:rsidR="00EC3A4D" w:rsidRDefault="00EC3A4D" w:rsidP="00B036F2"/>
    <w:p w:rsidR="00EC3A4D" w:rsidRDefault="00EC3A4D" w:rsidP="00B036F2"/>
    <w:p w:rsidR="00EC3A4D" w:rsidRDefault="00F574D8" w:rsidP="00B036F2">
      <w:r>
        <w:t xml:space="preserve">Source: </w:t>
      </w:r>
      <w:r>
        <w:rPr>
          <w:sz w:val="20"/>
          <w:szCs w:val="20"/>
        </w:rPr>
        <w:t>Fantasy Football League 2008/09, 2009/10 2010/11</w:t>
      </w:r>
    </w:p>
    <w:p w:rsidR="00EC3A4D" w:rsidRDefault="00EC3A4D" w:rsidP="00B036F2"/>
    <w:p w:rsidR="00B036F2" w:rsidRDefault="00B036F2" w:rsidP="00B036F2"/>
    <w:p w:rsidR="00B036F2" w:rsidRDefault="00B036F2" w:rsidP="00B036F2">
      <w:r>
        <w:lastRenderedPageBreak/>
        <w:t>D] Weekly Performance by Race</w:t>
      </w:r>
    </w:p>
    <w:p w:rsidR="00B036F2" w:rsidRDefault="00B036F2" w:rsidP="00B036F2">
      <w:r>
        <w:rPr>
          <w:noProof/>
          <w:lang w:val="en-GB" w:eastAsia="en-GB"/>
        </w:rPr>
        <w:drawing>
          <wp:inline distT="0" distB="0" distL="0" distR="0">
            <wp:extent cx="2533650" cy="1857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650" cy="1857375"/>
                    </a:xfrm>
                    <a:prstGeom prst="rect">
                      <a:avLst/>
                    </a:prstGeom>
                    <a:noFill/>
                    <a:ln>
                      <a:noFill/>
                    </a:ln>
                  </pic:spPr>
                </pic:pic>
              </a:graphicData>
            </a:graphic>
          </wp:inline>
        </w:drawing>
      </w:r>
    </w:p>
    <w:p w:rsidR="00B036F2" w:rsidRDefault="00B036F2" w:rsidP="00B036F2">
      <w:pPr>
        <w:rPr>
          <w:lang w:val="en-GB"/>
        </w:rPr>
      </w:pPr>
    </w:p>
    <w:p w:rsidR="00EC0F76" w:rsidRDefault="00EC0F76" w:rsidP="00B036F2">
      <w:pPr>
        <w:rPr>
          <w:lang w:val="en-GB"/>
        </w:rPr>
      </w:pPr>
      <w:r>
        <w:rPr>
          <w:lang w:val="en-GB"/>
        </w:rPr>
        <w:t xml:space="preserve">E] </w:t>
      </w:r>
      <w:r w:rsidR="00EC3A4D">
        <w:rPr>
          <w:lang w:val="en-GB"/>
        </w:rPr>
        <w:t xml:space="preserve">Weekly </w:t>
      </w:r>
      <w:r>
        <w:rPr>
          <w:lang w:val="en-GB"/>
        </w:rPr>
        <w:t>Price Change by Race</w:t>
      </w:r>
    </w:p>
    <w:p w:rsidR="00EC0F76" w:rsidRDefault="00EC0F76" w:rsidP="00B036F2">
      <w:pPr>
        <w:rPr>
          <w:lang w:val="en-GB"/>
        </w:rPr>
      </w:pPr>
      <w:r>
        <w:rPr>
          <w:noProof/>
          <w:lang w:val="en-GB" w:eastAsia="en-GB"/>
        </w:rPr>
        <w:drawing>
          <wp:inline distT="0" distB="0" distL="0" distR="0">
            <wp:extent cx="2518410" cy="184308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EC0F76" w:rsidRDefault="00EC0F76" w:rsidP="00B036F2">
      <w:pPr>
        <w:rPr>
          <w:lang w:val="en-GB"/>
        </w:rPr>
      </w:pPr>
    </w:p>
    <w:p w:rsidR="00EC3A4D" w:rsidRDefault="003B7CF8" w:rsidP="00B036F2">
      <w:pPr>
        <w:rPr>
          <w:lang w:val="en-GB"/>
        </w:rPr>
      </w:pPr>
      <w:r>
        <w:rPr>
          <w:lang w:val="en-GB"/>
        </w:rPr>
        <w:t>F</w:t>
      </w:r>
      <w:r w:rsidR="00B036F2">
        <w:rPr>
          <w:lang w:val="en-GB"/>
        </w:rPr>
        <w:t xml:space="preserve">]: </w:t>
      </w:r>
      <w:r w:rsidR="00EC3A4D">
        <w:rPr>
          <w:lang w:val="en-GB"/>
        </w:rPr>
        <w:t>Weekly Net Demand by Race</w:t>
      </w:r>
    </w:p>
    <w:p w:rsidR="00EC3A4D" w:rsidRDefault="00EC3A4D" w:rsidP="00B036F2">
      <w:pPr>
        <w:rPr>
          <w:lang w:val="en-GB"/>
        </w:rPr>
      </w:pPr>
      <w:r>
        <w:rPr>
          <w:noProof/>
          <w:lang w:val="en-GB" w:eastAsia="en-GB"/>
        </w:rPr>
        <w:drawing>
          <wp:inline distT="0" distB="0" distL="0" distR="0">
            <wp:extent cx="2518410" cy="184308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EC3A4D" w:rsidRDefault="00EC3A4D" w:rsidP="00B036F2">
      <w:pPr>
        <w:rPr>
          <w:lang w:val="en-GB"/>
        </w:rPr>
      </w:pPr>
    </w:p>
    <w:p w:rsidR="00EC3A4D" w:rsidRDefault="00EC3A4D" w:rsidP="00B036F2">
      <w:pPr>
        <w:rPr>
          <w:lang w:val="en-GB"/>
        </w:rPr>
      </w:pPr>
    </w:p>
    <w:p w:rsidR="00EC3A4D" w:rsidRDefault="00EC3A4D">
      <w:pPr>
        <w:rPr>
          <w:lang w:val="en-GB"/>
        </w:rPr>
      </w:pPr>
    </w:p>
    <w:p w:rsidR="00EC3A4D" w:rsidRDefault="00EC3A4D" w:rsidP="00EC3A4D">
      <w:pPr>
        <w:rPr>
          <w:b/>
        </w:rPr>
      </w:pPr>
    </w:p>
    <w:p w:rsidR="00F574D8" w:rsidRDefault="00F574D8" w:rsidP="00EC3A4D">
      <w:pPr>
        <w:rPr>
          <w:b/>
        </w:rPr>
        <w:sectPr w:rsidR="00F574D8">
          <w:type w:val="continuous"/>
          <w:pgSz w:w="12240" w:h="15840"/>
          <w:pgMar w:top="1440" w:right="1800" w:bottom="1440" w:left="1800" w:header="708" w:footer="708" w:gutter="0"/>
          <w:pgNumType w:start="0"/>
          <w:cols w:num="2" w:space="708"/>
        </w:sectPr>
      </w:pPr>
    </w:p>
    <w:p w:rsidR="00127AAB" w:rsidRDefault="00127AAB" w:rsidP="00127AAB">
      <w:pPr>
        <w:rPr>
          <w:b/>
        </w:rPr>
      </w:pPr>
      <w:r>
        <w:rPr>
          <w:b/>
        </w:rPr>
        <w:lastRenderedPageBreak/>
        <w:t>Figure 3: Market activity per week</w:t>
      </w:r>
    </w:p>
    <w:p w:rsidR="00127AAB" w:rsidRDefault="00127AAB" w:rsidP="00127AAB">
      <w:pPr>
        <w:rPr>
          <w:b/>
        </w:rPr>
      </w:pPr>
    </w:p>
    <w:p w:rsidR="00127AAB" w:rsidRDefault="00127AAB" w:rsidP="00127AAB">
      <w:pPr>
        <w:rPr>
          <w:lang w:val="en-GB"/>
        </w:rPr>
      </w:pPr>
      <w:r>
        <w:rPr>
          <w:noProof/>
          <w:lang w:val="en-GB" w:eastAsia="en-GB"/>
        </w:rPr>
        <w:drawing>
          <wp:inline distT="0" distB="0" distL="0" distR="0">
            <wp:extent cx="3352800" cy="245745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0" cy="2457450"/>
                    </a:xfrm>
                    <a:prstGeom prst="rect">
                      <a:avLst/>
                    </a:prstGeom>
                    <a:noFill/>
                    <a:ln>
                      <a:noFill/>
                    </a:ln>
                  </pic:spPr>
                </pic:pic>
              </a:graphicData>
            </a:graphic>
          </wp:inline>
        </w:drawing>
      </w:r>
    </w:p>
    <w:p w:rsidR="00127AAB" w:rsidRDefault="00127AAB" w:rsidP="00127AAB">
      <w:pPr>
        <w:rPr>
          <w:sz w:val="20"/>
          <w:szCs w:val="20"/>
        </w:rPr>
      </w:pPr>
      <w:r w:rsidRPr="001016BE">
        <w:rPr>
          <w:sz w:val="20"/>
          <w:szCs w:val="20"/>
        </w:rPr>
        <w:t xml:space="preserve">Note: </w:t>
      </w:r>
      <w:r>
        <w:rPr>
          <w:sz w:val="20"/>
          <w:szCs w:val="20"/>
        </w:rPr>
        <w:t>Own calculation based on Fantasy Football League 2008/09, 2009/10 2010/11.</w:t>
      </w:r>
    </w:p>
    <w:p w:rsidR="00127AAB" w:rsidRDefault="00127AAB" w:rsidP="00127AAB">
      <w:pPr>
        <w:rPr>
          <w:sz w:val="20"/>
          <w:szCs w:val="20"/>
        </w:rPr>
      </w:pPr>
      <w:r>
        <w:rPr>
          <w:sz w:val="20"/>
          <w:szCs w:val="20"/>
        </w:rPr>
        <w:t>Market activity is the sum of all the absolute net transfers in a given week</w:t>
      </w:r>
    </w:p>
    <w:p w:rsidR="00127AAB" w:rsidRPr="001016BE" w:rsidRDefault="00127AAB" w:rsidP="00127AAB">
      <w:pPr>
        <w:rPr>
          <w:sz w:val="20"/>
          <w:szCs w:val="20"/>
        </w:rPr>
      </w:pPr>
      <w:r w:rsidRPr="001016BE">
        <w:rPr>
          <w:sz w:val="20"/>
          <w:szCs w:val="20"/>
        </w:rPr>
        <w:br w:type="page"/>
      </w:r>
    </w:p>
    <w:p w:rsidR="00EC3A4D" w:rsidRDefault="00EC3A4D" w:rsidP="00EC3A4D">
      <w:pPr>
        <w:rPr>
          <w:b/>
        </w:rPr>
      </w:pPr>
      <w:r>
        <w:rPr>
          <w:b/>
        </w:rPr>
        <w:lastRenderedPageBreak/>
        <w:t>Figure 4: Racial Differences in market relationship:</w:t>
      </w:r>
    </w:p>
    <w:p w:rsidR="00EC3A4D" w:rsidRDefault="00EC3A4D" w:rsidP="00EC3A4D">
      <w:pPr>
        <w:rPr>
          <w:lang w:val="en-GB"/>
        </w:rPr>
      </w:pPr>
    </w:p>
    <w:p w:rsidR="00383422" w:rsidRDefault="00383422" w:rsidP="00EC3A4D">
      <w:pPr>
        <w:rPr>
          <w:lang w:val="en-GB"/>
        </w:rPr>
        <w:sectPr w:rsidR="00383422" w:rsidSect="00EC3A4D">
          <w:type w:val="continuous"/>
          <w:pgSz w:w="12240" w:h="15840"/>
          <w:pgMar w:top="1440" w:right="1800" w:bottom="1440" w:left="1800" w:header="708" w:footer="708" w:gutter="0"/>
          <w:pgNumType w:start="0"/>
          <w:cols w:space="708"/>
        </w:sectPr>
      </w:pPr>
    </w:p>
    <w:p w:rsidR="00383422" w:rsidRDefault="00383422" w:rsidP="00383422">
      <w:r>
        <w:lastRenderedPageBreak/>
        <w:t>A] First Picks by Race and Previous season</w:t>
      </w:r>
      <w:r w:rsidR="00710999">
        <w:t>'</w:t>
      </w:r>
      <w:r>
        <w:t xml:space="preserve">s Points </w:t>
      </w:r>
    </w:p>
    <w:p w:rsidR="00383422" w:rsidRDefault="00383422" w:rsidP="00383422">
      <w:r>
        <w:rPr>
          <w:noProof/>
          <w:lang w:val="en-GB" w:eastAsia="en-GB"/>
        </w:rPr>
        <w:drawing>
          <wp:inline distT="0" distB="0" distL="0" distR="0">
            <wp:extent cx="2514600" cy="1838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0" cy="1838325"/>
                    </a:xfrm>
                    <a:prstGeom prst="rect">
                      <a:avLst/>
                    </a:prstGeom>
                    <a:noFill/>
                    <a:ln>
                      <a:noFill/>
                    </a:ln>
                  </pic:spPr>
                </pic:pic>
              </a:graphicData>
            </a:graphic>
          </wp:inline>
        </w:drawing>
      </w:r>
    </w:p>
    <w:p w:rsidR="00383422" w:rsidRDefault="00383422" w:rsidP="00383422"/>
    <w:p w:rsidR="00383422" w:rsidRDefault="00383422" w:rsidP="00383422">
      <w:r>
        <w:t>B] Initial Price and last year performance by race</w:t>
      </w:r>
    </w:p>
    <w:p w:rsidR="00383422" w:rsidRDefault="00383422" w:rsidP="00383422">
      <w:r>
        <w:rPr>
          <w:noProof/>
          <w:lang w:val="en-GB" w:eastAsia="en-GB"/>
        </w:rPr>
        <w:drawing>
          <wp:inline distT="0" distB="0" distL="0" distR="0">
            <wp:extent cx="2518410" cy="18430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383422" w:rsidRDefault="00383422" w:rsidP="00383422"/>
    <w:p w:rsidR="00383422" w:rsidRDefault="00F574D8" w:rsidP="00383422">
      <w:r>
        <w:rPr>
          <w:sz w:val="20"/>
          <w:szCs w:val="20"/>
        </w:rPr>
        <w:t>Fantasy Football League 2008/09, 2009/10 2010/11</w:t>
      </w:r>
    </w:p>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383422" w:rsidRDefault="00383422" w:rsidP="00383422"/>
    <w:p w:rsidR="00EC3A4D" w:rsidRDefault="00383422" w:rsidP="00EC3A4D">
      <w:pPr>
        <w:rPr>
          <w:lang w:val="en-GB"/>
        </w:rPr>
      </w:pPr>
      <w:r>
        <w:rPr>
          <w:lang w:val="en-GB"/>
        </w:rPr>
        <w:lastRenderedPageBreak/>
        <w:t xml:space="preserve">C] </w:t>
      </w:r>
      <w:r w:rsidR="00EC3A4D">
        <w:rPr>
          <w:lang w:val="en-GB"/>
        </w:rPr>
        <w:t>Net Demand and Performance</w:t>
      </w:r>
    </w:p>
    <w:p w:rsidR="00EC3A4D" w:rsidRDefault="00EC3A4D" w:rsidP="00EC3A4D">
      <w:pPr>
        <w:rPr>
          <w:lang w:val="en-GB"/>
        </w:rPr>
      </w:pPr>
    </w:p>
    <w:p w:rsidR="00EC3A4D" w:rsidRDefault="00EC3A4D" w:rsidP="00EC3A4D">
      <w:pPr>
        <w:rPr>
          <w:lang w:val="en-GB"/>
        </w:rPr>
      </w:pPr>
      <w:r>
        <w:rPr>
          <w:noProof/>
          <w:lang w:val="en-GB" w:eastAsia="en-GB"/>
        </w:rPr>
        <w:drawing>
          <wp:inline distT="0" distB="0" distL="0" distR="0">
            <wp:extent cx="2514600" cy="1838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1838325"/>
                    </a:xfrm>
                    <a:prstGeom prst="rect">
                      <a:avLst/>
                    </a:prstGeom>
                    <a:noFill/>
                    <a:ln>
                      <a:noFill/>
                    </a:ln>
                  </pic:spPr>
                </pic:pic>
              </a:graphicData>
            </a:graphic>
          </wp:inline>
        </w:drawing>
      </w:r>
    </w:p>
    <w:p w:rsidR="00EC3A4D" w:rsidRDefault="00EC3A4D" w:rsidP="00EC3A4D">
      <w:pPr>
        <w:rPr>
          <w:lang w:val="en-GB"/>
        </w:rPr>
      </w:pPr>
    </w:p>
    <w:p w:rsidR="00EC3A4D" w:rsidRDefault="00383422" w:rsidP="00EC3A4D">
      <w:r>
        <w:t>D</w:t>
      </w:r>
      <w:r w:rsidR="00EC3A4D">
        <w:t>] Change in Price and Performance</w:t>
      </w:r>
    </w:p>
    <w:p w:rsidR="00EC3A4D" w:rsidRDefault="00EC3A4D" w:rsidP="00EC3A4D"/>
    <w:p w:rsidR="00EC3A4D" w:rsidRDefault="00EC3A4D" w:rsidP="00EC3A4D">
      <w:r>
        <w:rPr>
          <w:noProof/>
          <w:lang w:val="en-GB" w:eastAsia="en-GB"/>
        </w:rPr>
        <w:drawing>
          <wp:inline distT="0" distB="0" distL="0" distR="0">
            <wp:extent cx="2518410" cy="18430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8410" cy="1843082"/>
                    </a:xfrm>
                    <a:prstGeom prst="rect">
                      <a:avLst/>
                    </a:prstGeom>
                    <a:noFill/>
                    <a:ln>
                      <a:noFill/>
                    </a:ln>
                  </pic:spPr>
                </pic:pic>
              </a:graphicData>
            </a:graphic>
          </wp:inline>
        </w:drawing>
      </w:r>
    </w:p>
    <w:p w:rsidR="00EC3A4D" w:rsidRDefault="00EC3A4D" w:rsidP="00EC3A4D">
      <w:pPr>
        <w:rPr>
          <w:lang w:val="en-GB"/>
        </w:rPr>
      </w:pPr>
    </w:p>
    <w:p w:rsidR="00EC3A4D" w:rsidRDefault="00EC3A4D" w:rsidP="00EC3A4D"/>
    <w:p w:rsidR="00EC3A4D" w:rsidRDefault="00EC3A4D" w:rsidP="00EC3A4D"/>
    <w:p w:rsidR="00EC3A4D" w:rsidRDefault="00EC3A4D" w:rsidP="00EC3A4D">
      <w:pPr>
        <w:rPr>
          <w:lang w:val="en-GB"/>
        </w:rPr>
      </w:pPr>
    </w:p>
    <w:p w:rsidR="00B036F2" w:rsidRDefault="00B036F2" w:rsidP="00B036F2">
      <w:pPr>
        <w:rPr>
          <w:lang w:val="en-GB"/>
        </w:rPr>
      </w:pPr>
    </w:p>
    <w:p w:rsidR="00B036F2" w:rsidRDefault="00B036F2" w:rsidP="00B036F2">
      <w:pPr>
        <w:rPr>
          <w:lang w:val="en-GB"/>
        </w:rPr>
        <w:sectPr w:rsidR="00B036F2">
          <w:type w:val="continuous"/>
          <w:pgSz w:w="12240" w:h="15840"/>
          <w:pgMar w:top="1440" w:right="1800" w:bottom="1440" w:left="1800" w:header="708" w:footer="708" w:gutter="0"/>
          <w:pgNumType w:start="0"/>
          <w:cols w:num="2" w:space="708"/>
        </w:sectPr>
      </w:pPr>
    </w:p>
    <w:p w:rsidR="00B036F2" w:rsidRDefault="00B036F2" w:rsidP="00B036F2">
      <w:pPr>
        <w:rPr>
          <w:b/>
        </w:rPr>
      </w:pPr>
      <w:r>
        <w:rPr>
          <w:b/>
        </w:rPr>
        <w:lastRenderedPageBreak/>
        <w:t>Table 1: Descriptive Statistics:</w:t>
      </w:r>
    </w:p>
    <w:p w:rsidR="00B036F2" w:rsidRDefault="00B036F2" w:rsidP="00B036F2">
      <w:pPr>
        <w:rPr>
          <w:b/>
        </w:rPr>
      </w:pPr>
    </w:p>
    <w:tbl>
      <w:tblPr>
        <w:tblpPr w:leftFromText="180" w:rightFromText="180" w:vertAnchor="text" w:tblpY="1"/>
        <w:tblOverlap w:val="never"/>
        <w:tblW w:w="7950" w:type="dxa"/>
        <w:tblLayout w:type="fixed"/>
        <w:tblLook w:val="04A0" w:firstRow="1" w:lastRow="0" w:firstColumn="1" w:lastColumn="0" w:noHBand="0" w:noVBand="1"/>
      </w:tblPr>
      <w:tblGrid>
        <w:gridCol w:w="2408"/>
        <w:gridCol w:w="585"/>
        <w:gridCol w:w="992"/>
        <w:gridCol w:w="1134"/>
        <w:gridCol w:w="284"/>
        <w:gridCol w:w="1226"/>
        <w:gridCol w:w="1321"/>
      </w:tblGrid>
      <w:tr w:rsidR="00AF1EF5" w:rsidTr="007E0CCC">
        <w:trPr>
          <w:trHeight w:val="300"/>
        </w:trPr>
        <w:tc>
          <w:tcPr>
            <w:tcW w:w="2408" w:type="dxa"/>
            <w:tcBorders>
              <w:top w:val="single" w:sz="4" w:space="0" w:color="auto"/>
              <w:left w:val="nil"/>
              <w:bottom w:val="single" w:sz="4" w:space="0" w:color="auto"/>
              <w:right w:val="nil"/>
            </w:tcBorders>
            <w:noWrap/>
            <w:vAlign w:val="bottom"/>
          </w:tcPr>
          <w:p w:rsidR="00AF1EF5" w:rsidRDefault="00AF1EF5" w:rsidP="00AF1EF5">
            <w:pPr>
              <w:rPr>
                <w:color w:val="000000"/>
              </w:rPr>
            </w:pPr>
          </w:p>
        </w:tc>
        <w:tc>
          <w:tcPr>
            <w:tcW w:w="2711" w:type="dxa"/>
            <w:gridSpan w:val="3"/>
            <w:tcBorders>
              <w:top w:val="single" w:sz="4" w:space="0" w:color="auto"/>
              <w:left w:val="nil"/>
              <w:bottom w:val="single" w:sz="4" w:space="0" w:color="auto"/>
              <w:right w:val="nil"/>
            </w:tcBorders>
            <w:noWrap/>
            <w:vAlign w:val="bottom"/>
            <w:hideMark/>
          </w:tcPr>
          <w:p w:rsidR="00AF1EF5" w:rsidRDefault="00AF1EF5" w:rsidP="00AF1EF5">
            <w:pPr>
              <w:jc w:val="center"/>
              <w:rPr>
                <w:color w:val="000000"/>
              </w:rPr>
            </w:pPr>
            <w:r>
              <w:rPr>
                <w:color w:val="000000"/>
              </w:rPr>
              <w:t>White</w:t>
            </w:r>
          </w:p>
        </w:tc>
        <w:tc>
          <w:tcPr>
            <w:tcW w:w="284" w:type="dxa"/>
            <w:tcBorders>
              <w:top w:val="single" w:sz="4" w:space="0" w:color="auto"/>
              <w:left w:val="nil"/>
              <w:bottom w:val="single" w:sz="4" w:space="0" w:color="auto"/>
              <w:right w:val="nil"/>
            </w:tcBorders>
            <w:noWrap/>
            <w:vAlign w:val="bottom"/>
          </w:tcPr>
          <w:p w:rsidR="00AF1EF5" w:rsidRDefault="00AF1EF5" w:rsidP="00AF1EF5">
            <w:pPr>
              <w:jc w:val="center"/>
              <w:rPr>
                <w:color w:val="000000"/>
              </w:rPr>
            </w:pPr>
          </w:p>
        </w:tc>
        <w:tc>
          <w:tcPr>
            <w:tcW w:w="2547" w:type="dxa"/>
            <w:gridSpan w:val="2"/>
            <w:tcBorders>
              <w:top w:val="single" w:sz="4" w:space="0" w:color="auto"/>
              <w:left w:val="nil"/>
              <w:bottom w:val="single" w:sz="4" w:space="0" w:color="auto"/>
              <w:right w:val="nil"/>
            </w:tcBorders>
            <w:noWrap/>
            <w:vAlign w:val="bottom"/>
            <w:hideMark/>
          </w:tcPr>
          <w:p w:rsidR="00AF1EF5" w:rsidRDefault="00AF1EF5" w:rsidP="00AF1EF5">
            <w:pPr>
              <w:jc w:val="center"/>
              <w:rPr>
                <w:color w:val="000000"/>
              </w:rPr>
            </w:pPr>
            <w:r>
              <w:rPr>
                <w:color w:val="000000"/>
              </w:rPr>
              <w:t>Non-White</w:t>
            </w:r>
          </w:p>
        </w:tc>
      </w:tr>
      <w:tr w:rsidR="00AF1EF5" w:rsidTr="007E0CCC">
        <w:trPr>
          <w:trHeight w:val="300"/>
        </w:trPr>
        <w:tc>
          <w:tcPr>
            <w:tcW w:w="2993" w:type="dxa"/>
            <w:gridSpan w:val="2"/>
            <w:tcBorders>
              <w:top w:val="single" w:sz="4" w:space="0" w:color="auto"/>
              <w:left w:val="nil"/>
              <w:bottom w:val="single" w:sz="4" w:space="0" w:color="auto"/>
              <w:right w:val="nil"/>
            </w:tcBorders>
            <w:noWrap/>
            <w:vAlign w:val="bottom"/>
            <w:hideMark/>
          </w:tcPr>
          <w:p w:rsidR="00AF1EF5" w:rsidRDefault="00AF1EF5" w:rsidP="00AF1EF5">
            <w:pPr>
              <w:spacing w:line="360" w:lineRule="auto"/>
              <w:rPr>
                <w:b/>
                <w:color w:val="000000"/>
              </w:rPr>
            </w:pPr>
            <w:r>
              <w:rPr>
                <w:b/>
                <w:color w:val="000000"/>
              </w:rPr>
              <w:t>Fixed characteristics</w:t>
            </w:r>
          </w:p>
        </w:tc>
        <w:tc>
          <w:tcPr>
            <w:tcW w:w="992" w:type="dxa"/>
            <w:tcBorders>
              <w:top w:val="single" w:sz="4" w:space="0" w:color="auto"/>
              <w:left w:val="nil"/>
              <w:bottom w:val="single" w:sz="4" w:space="0" w:color="auto"/>
              <w:right w:val="nil"/>
            </w:tcBorders>
            <w:noWrap/>
            <w:vAlign w:val="bottom"/>
            <w:hideMark/>
          </w:tcPr>
          <w:p w:rsidR="00AF1EF5" w:rsidRDefault="00AF1EF5" w:rsidP="00AF1EF5">
            <w:pPr>
              <w:jc w:val="right"/>
              <w:rPr>
                <w:color w:val="000000"/>
              </w:rPr>
            </w:pPr>
            <w:r>
              <w:rPr>
                <w:color w:val="000000"/>
              </w:rPr>
              <w:t>mean</w:t>
            </w:r>
          </w:p>
        </w:tc>
        <w:tc>
          <w:tcPr>
            <w:tcW w:w="1134" w:type="dxa"/>
            <w:tcBorders>
              <w:top w:val="single" w:sz="4" w:space="0" w:color="auto"/>
              <w:left w:val="nil"/>
              <w:bottom w:val="single" w:sz="4" w:space="0" w:color="auto"/>
              <w:right w:val="nil"/>
            </w:tcBorders>
            <w:noWrap/>
            <w:vAlign w:val="bottom"/>
            <w:hideMark/>
          </w:tcPr>
          <w:p w:rsidR="00AF1EF5" w:rsidRDefault="00AF1EF5" w:rsidP="00AF1EF5">
            <w:pPr>
              <w:jc w:val="right"/>
              <w:rPr>
                <w:color w:val="000000"/>
              </w:rPr>
            </w:pPr>
            <w:r>
              <w:rPr>
                <w:color w:val="000000"/>
              </w:rPr>
              <w:t>s.d.</w:t>
            </w:r>
          </w:p>
        </w:tc>
        <w:tc>
          <w:tcPr>
            <w:tcW w:w="284" w:type="dxa"/>
            <w:tcBorders>
              <w:top w:val="single" w:sz="4" w:space="0" w:color="auto"/>
              <w:left w:val="nil"/>
              <w:bottom w:val="single" w:sz="4" w:space="0" w:color="auto"/>
              <w:right w:val="nil"/>
            </w:tcBorders>
            <w:noWrap/>
            <w:vAlign w:val="bottom"/>
          </w:tcPr>
          <w:p w:rsidR="00AF1EF5" w:rsidRDefault="00AF1EF5" w:rsidP="00AF1EF5">
            <w:pPr>
              <w:rPr>
                <w:color w:val="000000"/>
              </w:rPr>
            </w:pPr>
          </w:p>
        </w:tc>
        <w:tc>
          <w:tcPr>
            <w:tcW w:w="1226" w:type="dxa"/>
            <w:tcBorders>
              <w:top w:val="single" w:sz="4" w:space="0" w:color="auto"/>
              <w:left w:val="nil"/>
              <w:bottom w:val="single" w:sz="4" w:space="0" w:color="auto"/>
              <w:right w:val="nil"/>
            </w:tcBorders>
            <w:noWrap/>
            <w:vAlign w:val="bottom"/>
            <w:hideMark/>
          </w:tcPr>
          <w:p w:rsidR="00AF1EF5" w:rsidRDefault="00AF1EF5" w:rsidP="00AF1EF5">
            <w:pPr>
              <w:jc w:val="right"/>
              <w:rPr>
                <w:color w:val="000000"/>
              </w:rPr>
            </w:pPr>
            <w:r>
              <w:rPr>
                <w:color w:val="000000"/>
              </w:rPr>
              <w:t>mean</w:t>
            </w:r>
          </w:p>
        </w:tc>
        <w:tc>
          <w:tcPr>
            <w:tcW w:w="1321" w:type="dxa"/>
            <w:tcBorders>
              <w:top w:val="single" w:sz="4" w:space="0" w:color="auto"/>
              <w:left w:val="nil"/>
              <w:bottom w:val="single" w:sz="4" w:space="0" w:color="auto"/>
              <w:right w:val="nil"/>
            </w:tcBorders>
            <w:noWrap/>
            <w:vAlign w:val="bottom"/>
            <w:hideMark/>
          </w:tcPr>
          <w:p w:rsidR="00AF1EF5" w:rsidRDefault="00AF1EF5" w:rsidP="00AF1EF5">
            <w:pPr>
              <w:jc w:val="right"/>
              <w:rPr>
                <w:color w:val="000000"/>
              </w:rPr>
            </w:pPr>
            <w:r>
              <w:rPr>
                <w:color w:val="000000"/>
              </w:rPr>
              <w:t>s.d.</w:t>
            </w:r>
          </w:p>
        </w:tc>
      </w:tr>
      <w:tr w:rsidR="00AF1EF5" w:rsidTr="007E0CCC">
        <w:trPr>
          <w:trHeight w:val="300"/>
        </w:trPr>
        <w:tc>
          <w:tcPr>
            <w:tcW w:w="2993" w:type="dxa"/>
            <w:gridSpan w:val="2"/>
            <w:tcBorders>
              <w:top w:val="single" w:sz="4" w:space="0" w:color="auto"/>
              <w:left w:val="nil"/>
              <w:bottom w:val="nil"/>
              <w:right w:val="nil"/>
            </w:tcBorders>
            <w:noWrap/>
            <w:vAlign w:val="bottom"/>
            <w:hideMark/>
          </w:tcPr>
          <w:p w:rsidR="00AF1EF5" w:rsidRDefault="00AF1EF5" w:rsidP="00AF1EF5">
            <w:pPr>
              <w:spacing w:line="360" w:lineRule="auto"/>
              <w:rPr>
                <w:color w:val="000000"/>
              </w:rPr>
            </w:pPr>
            <w:r>
              <w:rPr>
                <w:color w:val="000000"/>
              </w:rPr>
              <w:t>Price at t=1</w:t>
            </w:r>
          </w:p>
        </w:tc>
        <w:tc>
          <w:tcPr>
            <w:tcW w:w="992" w:type="dxa"/>
            <w:tcBorders>
              <w:top w:val="single" w:sz="4" w:space="0" w:color="auto"/>
              <w:left w:val="nil"/>
              <w:bottom w:val="nil"/>
              <w:right w:val="nil"/>
            </w:tcBorders>
            <w:noWrap/>
            <w:vAlign w:val="bottom"/>
            <w:hideMark/>
          </w:tcPr>
          <w:p w:rsidR="00AF1EF5" w:rsidRDefault="00AF1EF5" w:rsidP="00AF1EF5">
            <w:pPr>
              <w:jc w:val="right"/>
              <w:rPr>
                <w:color w:val="000000"/>
              </w:rPr>
            </w:pPr>
            <w:r>
              <w:rPr>
                <w:color w:val="000000"/>
              </w:rPr>
              <w:t>5.239</w:t>
            </w:r>
          </w:p>
        </w:tc>
        <w:tc>
          <w:tcPr>
            <w:tcW w:w="1134" w:type="dxa"/>
            <w:tcBorders>
              <w:top w:val="single" w:sz="4" w:space="0" w:color="auto"/>
              <w:left w:val="nil"/>
              <w:bottom w:val="nil"/>
              <w:right w:val="nil"/>
            </w:tcBorders>
            <w:noWrap/>
            <w:vAlign w:val="bottom"/>
            <w:hideMark/>
          </w:tcPr>
          <w:p w:rsidR="00AF1EF5" w:rsidRDefault="00AF1EF5" w:rsidP="00AF1EF5">
            <w:pPr>
              <w:jc w:val="right"/>
              <w:rPr>
                <w:color w:val="000000"/>
              </w:rPr>
            </w:pPr>
            <w:r>
              <w:rPr>
                <w:color w:val="000000"/>
              </w:rPr>
              <w:t>1.404</w:t>
            </w:r>
          </w:p>
        </w:tc>
        <w:tc>
          <w:tcPr>
            <w:tcW w:w="284" w:type="dxa"/>
            <w:tcBorders>
              <w:top w:val="single" w:sz="4" w:space="0" w:color="auto"/>
              <w:left w:val="nil"/>
              <w:bottom w:val="nil"/>
              <w:right w:val="nil"/>
            </w:tcBorders>
            <w:noWrap/>
            <w:vAlign w:val="bottom"/>
            <w:hideMark/>
          </w:tcPr>
          <w:p w:rsidR="00AF1EF5" w:rsidRDefault="00AF1EF5" w:rsidP="00AF1EF5">
            <w:pPr>
              <w:rPr>
                <w:sz w:val="20"/>
                <w:szCs w:val="20"/>
                <w:lang w:val="en-GB" w:eastAsia="en-GB"/>
              </w:rPr>
            </w:pPr>
          </w:p>
        </w:tc>
        <w:tc>
          <w:tcPr>
            <w:tcW w:w="1226" w:type="dxa"/>
            <w:tcBorders>
              <w:top w:val="single" w:sz="4" w:space="0" w:color="auto"/>
              <w:left w:val="nil"/>
              <w:bottom w:val="nil"/>
              <w:right w:val="nil"/>
            </w:tcBorders>
            <w:noWrap/>
            <w:vAlign w:val="bottom"/>
            <w:hideMark/>
          </w:tcPr>
          <w:p w:rsidR="00AF1EF5" w:rsidRDefault="00AF1EF5" w:rsidP="00AF1EF5">
            <w:pPr>
              <w:jc w:val="right"/>
              <w:rPr>
                <w:color w:val="000000"/>
              </w:rPr>
            </w:pPr>
            <w:r>
              <w:rPr>
                <w:color w:val="000000"/>
              </w:rPr>
              <w:t>5.403**</w:t>
            </w:r>
          </w:p>
        </w:tc>
        <w:tc>
          <w:tcPr>
            <w:tcW w:w="1321" w:type="dxa"/>
            <w:tcBorders>
              <w:top w:val="single" w:sz="4" w:space="0" w:color="auto"/>
              <w:left w:val="nil"/>
              <w:bottom w:val="nil"/>
              <w:right w:val="nil"/>
            </w:tcBorders>
            <w:noWrap/>
            <w:vAlign w:val="bottom"/>
            <w:hideMark/>
          </w:tcPr>
          <w:p w:rsidR="00AF1EF5" w:rsidRDefault="00AF1EF5" w:rsidP="00AF1EF5">
            <w:pPr>
              <w:jc w:val="right"/>
              <w:rPr>
                <w:color w:val="000000"/>
              </w:rPr>
            </w:pPr>
            <w:r>
              <w:rPr>
                <w:color w:val="000000"/>
              </w:rPr>
              <w:t>1.274</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vertAlign w:val="superscript"/>
              </w:rPr>
            </w:pPr>
            <w:r>
              <w:rPr>
                <w:color w:val="000000"/>
              </w:rPr>
              <w:t>Nbr of picks at t=1</w:t>
            </w:r>
            <w:r>
              <w:rPr>
                <w:color w:val="000000"/>
                <w:vertAlign w:val="superscript"/>
              </w:rPr>
              <w:t>a</w:t>
            </w:r>
          </w:p>
        </w:tc>
        <w:tc>
          <w:tcPr>
            <w:tcW w:w="992" w:type="dxa"/>
            <w:noWrap/>
            <w:vAlign w:val="bottom"/>
            <w:hideMark/>
          </w:tcPr>
          <w:p w:rsidR="00AF1EF5" w:rsidRDefault="00AF1EF5" w:rsidP="00AF1EF5">
            <w:pPr>
              <w:jc w:val="right"/>
              <w:rPr>
                <w:color w:val="000000"/>
              </w:rPr>
            </w:pPr>
            <w:r>
              <w:rPr>
                <w:color w:val="000000"/>
              </w:rPr>
              <w:t>70779</w:t>
            </w:r>
          </w:p>
        </w:tc>
        <w:tc>
          <w:tcPr>
            <w:tcW w:w="1134" w:type="dxa"/>
            <w:noWrap/>
            <w:vAlign w:val="bottom"/>
            <w:hideMark/>
          </w:tcPr>
          <w:p w:rsidR="00AF1EF5" w:rsidRDefault="00AF1EF5" w:rsidP="00AF1EF5">
            <w:pPr>
              <w:jc w:val="right"/>
              <w:rPr>
                <w:color w:val="000000"/>
              </w:rPr>
            </w:pPr>
            <w:r>
              <w:rPr>
                <w:color w:val="000000"/>
              </w:rPr>
              <w:t>129493</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60226</w:t>
            </w:r>
          </w:p>
        </w:tc>
        <w:tc>
          <w:tcPr>
            <w:tcW w:w="1321" w:type="dxa"/>
            <w:noWrap/>
            <w:vAlign w:val="bottom"/>
            <w:hideMark/>
          </w:tcPr>
          <w:p w:rsidR="00AF1EF5" w:rsidRDefault="00AF1EF5" w:rsidP="00AF1EF5">
            <w:pPr>
              <w:jc w:val="right"/>
              <w:rPr>
                <w:color w:val="000000"/>
              </w:rPr>
            </w:pPr>
            <w:r>
              <w:rPr>
                <w:color w:val="000000"/>
              </w:rPr>
              <w:t>100267</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Points last year</w:t>
            </w:r>
          </w:p>
        </w:tc>
        <w:tc>
          <w:tcPr>
            <w:tcW w:w="992" w:type="dxa"/>
            <w:noWrap/>
            <w:vAlign w:val="bottom"/>
            <w:hideMark/>
          </w:tcPr>
          <w:p w:rsidR="00AF1EF5" w:rsidRDefault="00AF1EF5" w:rsidP="00AF1EF5">
            <w:pPr>
              <w:jc w:val="right"/>
              <w:rPr>
                <w:color w:val="000000"/>
              </w:rPr>
            </w:pPr>
            <w:r>
              <w:rPr>
                <w:color w:val="000000"/>
              </w:rPr>
              <w:t>40.751</w:t>
            </w:r>
          </w:p>
        </w:tc>
        <w:tc>
          <w:tcPr>
            <w:tcW w:w="1134" w:type="dxa"/>
            <w:noWrap/>
            <w:vAlign w:val="bottom"/>
            <w:hideMark/>
          </w:tcPr>
          <w:p w:rsidR="00AF1EF5" w:rsidRDefault="00AF1EF5" w:rsidP="00AF1EF5">
            <w:pPr>
              <w:jc w:val="right"/>
              <w:rPr>
                <w:color w:val="000000"/>
              </w:rPr>
            </w:pPr>
            <w:r>
              <w:rPr>
                <w:color w:val="000000"/>
              </w:rPr>
              <w:t>51.833</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42.944</w:t>
            </w:r>
          </w:p>
        </w:tc>
        <w:tc>
          <w:tcPr>
            <w:tcW w:w="1321" w:type="dxa"/>
            <w:noWrap/>
            <w:vAlign w:val="bottom"/>
            <w:hideMark/>
          </w:tcPr>
          <w:p w:rsidR="00AF1EF5" w:rsidRDefault="00AF1EF5" w:rsidP="00AF1EF5">
            <w:pPr>
              <w:jc w:val="right"/>
              <w:rPr>
                <w:color w:val="000000"/>
              </w:rPr>
            </w:pPr>
            <w:r>
              <w:rPr>
                <w:color w:val="000000"/>
              </w:rPr>
              <w:t>48.517</w:t>
            </w:r>
          </w:p>
        </w:tc>
      </w:tr>
      <w:tr w:rsidR="00AF1EF5" w:rsidTr="007E0CCC">
        <w:trPr>
          <w:trHeight w:val="300"/>
        </w:trPr>
        <w:tc>
          <w:tcPr>
            <w:tcW w:w="2993" w:type="dxa"/>
            <w:gridSpan w:val="2"/>
            <w:noWrap/>
            <w:vAlign w:val="bottom"/>
          </w:tcPr>
          <w:p w:rsidR="00AF1EF5" w:rsidRPr="00AB16F1" w:rsidRDefault="00AF1EF5" w:rsidP="00AF1EF5">
            <w:pPr>
              <w:spacing w:line="360" w:lineRule="auto"/>
              <w:rPr>
                <w:color w:val="000000"/>
                <w:vertAlign w:val="superscript"/>
              </w:rPr>
            </w:pPr>
            <w:r>
              <w:rPr>
                <w:color w:val="000000"/>
              </w:rPr>
              <w:t>Top decile points last year</w:t>
            </w:r>
            <w:r>
              <w:rPr>
                <w:color w:val="000000"/>
                <w:vertAlign w:val="superscript"/>
              </w:rPr>
              <w:t>b</w:t>
            </w:r>
          </w:p>
        </w:tc>
        <w:tc>
          <w:tcPr>
            <w:tcW w:w="992" w:type="dxa"/>
            <w:noWrap/>
            <w:vAlign w:val="bottom"/>
          </w:tcPr>
          <w:p w:rsidR="00AF1EF5" w:rsidRDefault="00AF1EF5" w:rsidP="00AF1EF5">
            <w:pPr>
              <w:jc w:val="right"/>
              <w:rPr>
                <w:color w:val="000000"/>
              </w:rPr>
            </w:pPr>
            <w:r>
              <w:rPr>
                <w:color w:val="000000"/>
              </w:rPr>
              <w:t>0.104</w:t>
            </w:r>
          </w:p>
        </w:tc>
        <w:tc>
          <w:tcPr>
            <w:tcW w:w="1134" w:type="dxa"/>
            <w:noWrap/>
            <w:vAlign w:val="bottom"/>
          </w:tcPr>
          <w:p w:rsidR="00AF1EF5" w:rsidRDefault="00AF1EF5" w:rsidP="00AF1EF5">
            <w:pPr>
              <w:jc w:val="right"/>
              <w:rPr>
                <w:color w:val="000000"/>
              </w:rPr>
            </w:pPr>
            <w:r>
              <w:rPr>
                <w:color w:val="000000"/>
              </w:rPr>
              <w:t>0.306</w:t>
            </w:r>
          </w:p>
        </w:tc>
        <w:tc>
          <w:tcPr>
            <w:tcW w:w="284" w:type="dxa"/>
            <w:noWrap/>
            <w:vAlign w:val="bottom"/>
          </w:tcPr>
          <w:p w:rsidR="00AF1EF5" w:rsidRDefault="00AF1EF5" w:rsidP="00AF1EF5">
            <w:pPr>
              <w:rPr>
                <w:sz w:val="20"/>
                <w:szCs w:val="20"/>
                <w:lang w:val="en-GB" w:eastAsia="en-GB"/>
              </w:rPr>
            </w:pPr>
          </w:p>
        </w:tc>
        <w:tc>
          <w:tcPr>
            <w:tcW w:w="1226" w:type="dxa"/>
            <w:noWrap/>
            <w:vAlign w:val="bottom"/>
          </w:tcPr>
          <w:p w:rsidR="00AF1EF5" w:rsidRDefault="00AF1EF5" w:rsidP="00AF1EF5">
            <w:pPr>
              <w:jc w:val="right"/>
              <w:rPr>
                <w:color w:val="000000"/>
              </w:rPr>
            </w:pPr>
            <w:r>
              <w:rPr>
                <w:color w:val="000000"/>
              </w:rPr>
              <w:t>0.070**</w:t>
            </w:r>
          </w:p>
        </w:tc>
        <w:tc>
          <w:tcPr>
            <w:tcW w:w="1321" w:type="dxa"/>
            <w:noWrap/>
            <w:vAlign w:val="bottom"/>
          </w:tcPr>
          <w:p w:rsidR="00AF1EF5" w:rsidRDefault="00AF1EF5" w:rsidP="00AF1EF5">
            <w:pPr>
              <w:jc w:val="right"/>
              <w:rPr>
                <w:color w:val="000000"/>
              </w:rPr>
            </w:pPr>
            <w:r>
              <w:rPr>
                <w:color w:val="000000"/>
              </w:rPr>
              <w:t>0.255</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Not in league last year</w:t>
            </w:r>
          </w:p>
        </w:tc>
        <w:tc>
          <w:tcPr>
            <w:tcW w:w="992" w:type="dxa"/>
            <w:noWrap/>
            <w:vAlign w:val="bottom"/>
            <w:hideMark/>
          </w:tcPr>
          <w:p w:rsidR="00AF1EF5" w:rsidRDefault="00AF1EF5" w:rsidP="00AF1EF5">
            <w:pPr>
              <w:jc w:val="right"/>
              <w:rPr>
                <w:color w:val="000000"/>
              </w:rPr>
            </w:pPr>
            <w:r>
              <w:rPr>
                <w:color w:val="000000"/>
              </w:rPr>
              <w:t>0.367</w:t>
            </w:r>
          </w:p>
        </w:tc>
        <w:tc>
          <w:tcPr>
            <w:tcW w:w="1134" w:type="dxa"/>
            <w:noWrap/>
            <w:vAlign w:val="bottom"/>
            <w:hideMark/>
          </w:tcPr>
          <w:p w:rsidR="00AF1EF5" w:rsidRDefault="00AF1EF5" w:rsidP="00AF1EF5">
            <w:pPr>
              <w:jc w:val="right"/>
              <w:rPr>
                <w:color w:val="000000"/>
              </w:rPr>
            </w:pPr>
            <w:r>
              <w:rPr>
                <w:color w:val="000000"/>
              </w:rPr>
              <w:t>0.482</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0.308**</w:t>
            </w:r>
          </w:p>
        </w:tc>
        <w:tc>
          <w:tcPr>
            <w:tcW w:w="1321" w:type="dxa"/>
            <w:noWrap/>
            <w:vAlign w:val="bottom"/>
            <w:hideMark/>
          </w:tcPr>
          <w:p w:rsidR="00AF1EF5" w:rsidRDefault="00AF1EF5" w:rsidP="00AF1EF5">
            <w:pPr>
              <w:jc w:val="right"/>
              <w:rPr>
                <w:color w:val="000000"/>
              </w:rPr>
            </w:pPr>
            <w:r>
              <w:rPr>
                <w:color w:val="000000"/>
              </w:rPr>
              <w:t>0.462</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Non UK national</w:t>
            </w:r>
          </w:p>
        </w:tc>
        <w:tc>
          <w:tcPr>
            <w:tcW w:w="992" w:type="dxa"/>
            <w:noWrap/>
            <w:vAlign w:val="bottom"/>
            <w:hideMark/>
          </w:tcPr>
          <w:p w:rsidR="00AF1EF5" w:rsidRDefault="00AF1EF5" w:rsidP="00AF1EF5">
            <w:pPr>
              <w:jc w:val="right"/>
              <w:rPr>
                <w:color w:val="000000"/>
              </w:rPr>
            </w:pPr>
            <w:r>
              <w:rPr>
                <w:color w:val="000000"/>
              </w:rPr>
              <w:t>0.482</w:t>
            </w:r>
          </w:p>
        </w:tc>
        <w:tc>
          <w:tcPr>
            <w:tcW w:w="1134" w:type="dxa"/>
            <w:noWrap/>
            <w:vAlign w:val="bottom"/>
            <w:hideMark/>
          </w:tcPr>
          <w:p w:rsidR="00AF1EF5" w:rsidRDefault="00AF1EF5" w:rsidP="00AF1EF5">
            <w:pPr>
              <w:jc w:val="right"/>
              <w:rPr>
                <w:color w:val="000000"/>
              </w:rPr>
            </w:pPr>
            <w:r>
              <w:rPr>
                <w:color w:val="000000"/>
              </w:rPr>
              <w:t>0.500</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0.664***</w:t>
            </w:r>
          </w:p>
        </w:tc>
        <w:tc>
          <w:tcPr>
            <w:tcW w:w="1321" w:type="dxa"/>
            <w:noWrap/>
            <w:vAlign w:val="bottom"/>
            <w:hideMark/>
          </w:tcPr>
          <w:p w:rsidR="00AF1EF5" w:rsidRDefault="00AF1EF5" w:rsidP="00AF1EF5">
            <w:pPr>
              <w:jc w:val="right"/>
              <w:rPr>
                <w:color w:val="000000"/>
              </w:rPr>
            </w:pPr>
            <w:r>
              <w:rPr>
                <w:color w:val="000000"/>
              </w:rPr>
              <w:t>0.473</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Age</w:t>
            </w:r>
          </w:p>
        </w:tc>
        <w:tc>
          <w:tcPr>
            <w:tcW w:w="992" w:type="dxa"/>
            <w:noWrap/>
            <w:vAlign w:val="bottom"/>
            <w:hideMark/>
          </w:tcPr>
          <w:p w:rsidR="00AF1EF5" w:rsidRDefault="00AF1EF5" w:rsidP="00AF1EF5">
            <w:pPr>
              <w:jc w:val="right"/>
              <w:rPr>
                <w:color w:val="000000"/>
              </w:rPr>
            </w:pPr>
            <w:r>
              <w:rPr>
                <w:color w:val="000000"/>
              </w:rPr>
              <w:t>26.610</w:t>
            </w:r>
          </w:p>
        </w:tc>
        <w:tc>
          <w:tcPr>
            <w:tcW w:w="1134" w:type="dxa"/>
            <w:noWrap/>
            <w:vAlign w:val="bottom"/>
            <w:hideMark/>
          </w:tcPr>
          <w:p w:rsidR="00AF1EF5" w:rsidRDefault="00AF1EF5" w:rsidP="00AF1EF5">
            <w:pPr>
              <w:jc w:val="right"/>
              <w:rPr>
                <w:color w:val="000000"/>
              </w:rPr>
            </w:pPr>
            <w:r>
              <w:rPr>
                <w:color w:val="000000"/>
              </w:rPr>
              <w:t>5.131</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26.079**</w:t>
            </w:r>
          </w:p>
        </w:tc>
        <w:tc>
          <w:tcPr>
            <w:tcW w:w="1321" w:type="dxa"/>
            <w:noWrap/>
            <w:vAlign w:val="bottom"/>
            <w:hideMark/>
          </w:tcPr>
          <w:p w:rsidR="00AF1EF5" w:rsidRDefault="00AF1EF5" w:rsidP="00AF1EF5">
            <w:pPr>
              <w:jc w:val="right"/>
              <w:rPr>
                <w:color w:val="000000"/>
              </w:rPr>
            </w:pPr>
            <w:r>
              <w:rPr>
                <w:color w:val="000000"/>
              </w:rPr>
              <w:t>4.505</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International cap</w:t>
            </w:r>
          </w:p>
        </w:tc>
        <w:tc>
          <w:tcPr>
            <w:tcW w:w="992" w:type="dxa"/>
            <w:noWrap/>
            <w:vAlign w:val="bottom"/>
            <w:hideMark/>
          </w:tcPr>
          <w:p w:rsidR="00AF1EF5" w:rsidRDefault="00AF1EF5" w:rsidP="00AF1EF5">
            <w:pPr>
              <w:jc w:val="right"/>
              <w:rPr>
                <w:color w:val="000000"/>
              </w:rPr>
            </w:pPr>
            <w:r>
              <w:rPr>
                <w:color w:val="000000"/>
              </w:rPr>
              <w:t>0.586</w:t>
            </w:r>
          </w:p>
        </w:tc>
        <w:tc>
          <w:tcPr>
            <w:tcW w:w="1134" w:type="dxa"/>
            <w:noWrap/>
            <w:vAlign w:val="bottom"/>
            <w:hideMark/>
          </w:tcPr>
          <w:p w:rsidR="00AF1EF5" w:rsidRDefault="00AF1EF5" w:rsidP="00AF1EF5">
            <w:pPr>
              <w:jc w:val="right"/>
              <w:rPr>
                <w:color w:val="000000"/>
              </w:rPr>
            </w:pPr>
            <w:r>
              <w:rPr>
                <w:color w:val="000000"/>
              </w:rPr>
              <w:t>0.493</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0.651***</w:t>
            </w:r>
          </w:p>
        </w:tc>
        <w:tc>
          <w:tcPr>
            <w:tcW w:w="1321" w:type="dxa"/>
            <w:noWrap/>
            <w:vAlign w:val="bottom"/>
            <w:hideMark/>
          </w:tcPr>
          <w:p w:rsidR="00AF1EF5" w:rsidRDefault="00AF1EF5" w:rsidP="00AF1EF5">
            <w:pPr>
              <w:jc w:val="right"/>
              <w:rPr>
                <w:color w:val="000000"/>
              </w:rPr>
            </w:pPr>
            <w:r>
              <w:rPr>
                <w:color w:val="000000"/>
              </w:rPr>
              <w:t>0.477</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Defender</w:t>
            </w:r>
          </w:p>
        </w:tc>
        <w:tc>
          <w:tcPr>
            <w:tcW w:w="992" w:type="dxa"/>
            <w:noWrap/>
            <w:vAlign w:val="bottom"/>
            <w:hideMark/>
          </w:tcPr>
          <w:p w:rsidR="00AF1EF5" w:rsidRDefault="00AF1EF5" w:rsidP="00AF1EF5">
            <w:pPr>
              <w:jc w:val="right"/>
              <w:rPr>
                <w:color w:val="000000"/>
              </w:rPr>
            </w:pPr>
            <w:r>
              <w:rPr>
                <w:color w:val="000000"/>
              </w:rPr>
              <w:t>0.317</w:t>
            </w:r>
          </w:p>
        </w:tc>
        <w:tc>
          <w:tcPr>
            <w:tcW w:w="1134" w:type="dxa"/>
            <w:noWrap/>
            <w:vAlign w:val="bottom"/>
            <w:hideMark/>
          </w:tcPr>
          <w:p w:rsidR="00AF1EF5" w:rsidRDefault="00AF1EF5" w:rsidP="00AF1EF5">
            <w:pPr>
              <w:jc w:val="right"/>
              <w:rPr>
                <w:color w:val="000000"/>
              </w:rPr>
            </w:pPr>
            <w:r>
              <w:rPr>
                <w:color w:val="000000"/>
              </w:rPr>
              <w:t>0.466</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0.333</w:t>
            </w:r>
          </w:p>
        </w:tc>
        <w:tc>
          <w:tcPr>
            <w:tcW w:w="1321" w:type="dxa"/>
            <w:noWrap/>
            <w:vAlign w:val="bottom"/>
            <w:hideMark/>
          </w:tcPr>
          <w:p w:rsidR="00AF1EF5" w:rsidRDefault="00AF1EF5" w:rsidP="00AF1EF5">
            <w:pPr>
              <w:jc w:val="right"/>
              <w:rPr>
                <w:color w:val="000000"/>
              </w:rPr>
            </w:pPr>
            <w:r>
              <w:rPr>
                <w:color w:val="000000"/>
              </w:rPr>
              <w:t>0.472</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Forward</w:t>
            </w:r>
          </w:p>
        </w:tc>
        <w:tc>
          <w:tcPr>
            <w:tcW w:w="992" w:type="dxa"/>
            <w:noWrap/>
            <w:vAlign w:val="bottom"/>
            <w:hideMark/>
          </w:tcPr>
          <w:p w:rsidR="00AF1EF5" w:rsidRDefault="00AF1EF5" w:rsidP="00AF1EF5">
            <w:pPr>
              <w:jc w:val="right"/>
              <w:rPr>
                <w:color w:val="000000"/>
              </w:rPr>
            </w:pPr>
            <w:r>
              <w:rPr>
                <w:color w:val="000000"/>
              </w:rPr>
              <w:t>0.147</w:t>
            </w:r>
          </w:p>
        </w:tc>
        <w:tc>
          <w:tcPr>
            <w:tcW w:w="1134" w:type="dxa"/>
            <w:noWrap/>
            <w:vAlign w:val="bottom"/>
            <w:hideMark/>
          </w:tcPr>
          <w:p w:rsidR="00AF1EF5" w:rsidRDefault="00AF1EF5" w:rsidP="00AF1EF5">
            <w:pPr>
              <w:jc w:val="right"/>
              <w:rPr>
                <w:color w:val="000000"/>
              </w:rPr>
            </w:pPr>
            <w:r>
              <w:rPr>
                <w:color w:val="000000"/>
              </w:rPr>
              <w:t>0.354</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0.266***</w:t>
            </w:r>
          </w:p>
        </w:tc>
        <w:tc>
          <w:tcPr>
            <w:tcW w:w="1321" w:type="dxa"/>
            <w:noWrap/>
            <w:vAlign w:val="bottom"/>
            <w:hideMark/>
          </w:tcPr>
          <w:p w:rsidR="00AF1EF5" w:rsidRDefault="00AF1EF5" w:rsidP="00AF1EF5">
            <w:pPr>
              <w:jc w:val="right"/>
              <w:rPr>
                <w:color w:val="000000"/>
              </w:rPr>
            </w:pPr>
            <w:r>
              <w:rPr>
                <w:color w:val="000000"/>
              </w:rPr>
              <w:t>0.442</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Goalkeeper</w:t>
            </w:r>
          </w:p>
        </w:tc>
        <w:tc>
          <w:tcPr>
            <w:tcW w:w="992" w:type="dxa"/>
            <w:noWrap/>
            <w:vAlign w:val="bottom"/>
            <w:hideMark/>
          </w:tcPr>
          <w:p w:rsidR="00AF1EF5" w:rsidRDefault="00AF1EF5" w:rsidP="00AF1EF5">
            <w:pPr>
              <w:jc w:val="right"/>
              <w:rPr>
                <w:color w:val="000000"/>
              </w:rPr>
            </w:pPr>
            <w:r>
              <w:rPr>
                <w:color w:val="000000"/>
              </w:rPr>
              <w:t>0.159</w:t>
            </w:r>
          </w:p>
        </w:tc>
        <w:tc>
          <w:tcPr>
            <w:tcW w:w="1134" w:type="dxa"/>
            <w:noWrap/>
            <w:vAlign w:val="bottom"/>
            <w:hideMark/>
          </w:tcPr>
          <w:p w:rsidR="00AF1EF5" w:rsidRDefault="00AF1EF5" w:rsidP="00AF1EF5">
            <w:pPr>
              <w:jc w:val="right"/>
              <w:rPr>
                <w:color w:val="000000"/>
              </w:rPr>
            </w:pPr>
            <w:r>
              <w:rPr>
                <w:color w:val="000000"/>
              </w:rPr>
              <w:t>0.366</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0.030***</w:t>
            </w:r>
          </w:p>
        </w:tc>
        <w:tc>
          <w:tcPr>
            <w:tcW w:w="1321" w:type="dxa"/>
            <w:noWrap/>
            <w:vAlign w:val="bottom"/>
            <w:hideMark/>
          </w:tcPr>
          <w:p w:rsidR="00AF1EF5" w:rsidRDefault="00AF1EF5" w:rsidP="00AF1EF5">
            <w:pPr>
              <w:jc w:val="right"/>
              <w:rPr>
                <w:color w:val="000000"/>
              </w:rPr>
            </w:pPr>
            <w:r>
              <w:rPr>
                <w:color w:val="000000"/>
              </w:rPr>
              <w:t>0.170</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Mid fielder</w:t>
            </w:r>
          </w:p>
        </w:tc>
        <w:tc>
          <w:tcPr>
            <w:tcW w:w="992" w:type="dxa"/>
            <w:noWrap/>
            <w:vAlign w:val="bottom"/>
            <w:hideMark/>
          </w:tcPr>
          <w:p w:rsidR="00AF1EF5" w:rsidRDefault="00AF1EF5" w:rsidP="00AF1EF5">
            <w:pPr>
              <w:jc w:val="right"/>
              <w:rPr>
                <w:color w:val="000000"/>
              </w:rPr>
            </w:pPr>
            <w:r>
              <w:rPr>
                <w:color w:val="000000"/>
              </w:rPr>
              <w:t>0.377</w:t>
            </w:r>
          </w:p>
        </w:tc>
        <w:tc>
          <w:tcPr>
            <w:tcW w:w="1134" w:type="dxa"/>
            <w:noWrap/>
            <w:vAlign w:val="bottom"/>
            <w:hideMark/>
          </w:tcPr>
          <w:p w:rsidR="00AF1EF5" w:rsidRDefault="00AF1EF5" w:rsidP="00AF1EF5">
            <w:pPr>
              <w:jc w:val="right"/>
              <w:rPr>
                <w:color w:val="000000"/>
              </w:rPr>
            </w:pPr>
            <w:r>
              <w:rPr>
                <w:color w:val="000000"/>
              </w:rPr>
              <w:t>0.485</w:t>
            </w:r>
          </w:p>
        </w:tc>
        <w:tc>
          <w:tcPr>
            <w:tcW w:w="284" w:type="dxa"/>
            <w:noWrap/>
            <w:vAlign w:val="bottom"/>
            <w:hideMark/>
          </w:tcPr>
          <w:p w:rsidR="00AF1EF5" w:rsidRDefault="00AF1EF5" w:rsidP="00AF1EF5">
            <w:pPr>
              <w:rPr>
                <w:sz w:val="20"/>
                <w:szCs w:val="20"/>
                <w:lang w:val="en-GB" w:eastAsia="en-GB"/>
              </w:rPr>
            </w:pPr>
          </w:p>
        </w:tc>
        <w:tc>
          <w:tcPr>
            <w:tcW w:w="1226" w:type="dxa"/>
            <w:noWrap/>
            <w:vAlign w:val="bottom"/>
            <w:hideMark/>
          </w:tcPr>
          <w:p w:rsidR="00AF1EF5" w:rsidRDefault="00AF1EF5" w:rsidP="00AF1EF5">
            <w:pPr>
              <w:jc w:val="right"/>
              <w:rPr>
                <w:color w:val="000000"/>
              </w:rPr>
            </w:pPr>
            <w:r>
              <w:rPr>
                <w:color w:val="000000"/>
              </w:rPr>
              <w:t>0.371</w:t>
            </w:r>
          </w:p>
        </w:tc>
        <w:tc>
          <w:tcPr>
            <w:tcW w:w="1321" w:type="dxa"/>
            <w:noWrap/>
            <w:vAlign w:val="bottom"/>
            <w:hideMark/>
          </w:tcPr>
          <w:p w:rsidR="00AF1EF5" w:rsidRDefault="00AF1EF5" w:rsidP="00AF1EF5">
            <w:pPr>
              <w:jc w:val="right"/>
              <w:rPr>
                <w:color w:val="000000"/>
              </w:rPr>
            </w:pPr>
            <w:r>
              <w:rPr>
                <w:color w:val="000000"/>
              </w:rPr>
              <w:t>0.483</w:t>
            </w:r>
          </w:p>
        </w:tc>
      </w:tr>
      <w:tr w:rsidR="00AF1EF5" w:rsidTr="007E0CCC">
        <w:trPr>
          <w:trHeight w:val="300"/>
        </w:trPr>
        <w:tc>
          <w:tcPr>
            <w:tcW w:w="2993" w:type="dxa"/>
            <w:gridSpan w:val="2"/>
            <w:noWrap/>
            <w:vAlign w:val="bottom"/>
            <w:hideMark/>
          </w:tcPr>
          <w:p w:rsidR="00AF1EF5" w:rsidRDefault="00AF1EF5" w:rsidP="00AF1EF5">
            <w:pPr>
              <w:spacing w:line="360" w:lineRule="auto"/>
              <w:rPr>
                <w:color w:val="000000"/>
              </w:rPr>
            </w:pPr>
            <w:r>
              <w:rPr>
                <w:color w:val="000000"/>
              </w:rPr>
              <w:t>Never played in Season</w:t>
            </w:r>
          </w:p>
        </w:tc>
        <w:tc>
          <w:tcPr>
            <w:tcW w:w="992" w:type="dxa"/>
            <w:noWrap/>
            <w:vAlign w:val="bottom"/>
            <w:hideMark/>
          </w:tcPr>
          <w:p w:rsidR="00AF1EF5" w:rsidRDefault="00AF1EF5" w:rsidP="00AF1EF5">
            <w:pPr>
              <w:jc w:val="right"/>
              <w:rPr>
                <w:color w:val="000000"/>
              </w:rPr>
            </w:pPr>
            <w:r>
              <w:rPr>
                <w:color w:val="000000"/>
              </w:rPr>
              <w:t>0.160</w:t>
            </w:r>
          </w:p>
        </w:tc>
        <w:tc>
          <w:tcPr>
            <w:tcW w:w="1134" w:type="dxa"/>
            <w:noWrap/>
            <w:vAlign w:val="bottom"/>
            <w:hideMark/>
          </w:tcPr>
          <w:p w:rsidR="00AF1EF5" w:rsidRDefault="00AF1EF5" w:rsidP="00AF1EF5">
            <w:pPr>
              <w:jc w:val="right"/>
              <w:rPr>
                <w:color w:val="000000"/>
              </w:rPr>
            </w:pPr>
            <w:r>
              <w:rPr>
                <w:color w:val="000000"/>
              </w:rPr>
              <w:t>0.367</w:t>
            </w:r>
          </w:p>
        </w:tc>
        <w:tc>
          <w:tcPr>
            <w:tcW w:w="284" w:type="dxa"/>
            <w:noWrap/>
            <w:vAlign w:val="bottom"/>
          </w:tcPr>
          <w:p w:rsidR="00AF1EF5" w:rsidRDefault="00AF1EF5" w:rsidP="00AF1EF5">
            <w:pPr>
              <w:rPr>
                <w:color w:val="000000"/>
              </w:rPr>
            </w:pPr>
          </w:p>
        </w:tc>
        <w:tc>
          <w:tcPr>
            <w:tcW w:w="1226" w:type="dxa"/>
            <w:noWrap/>
            <w:vAlign w:val="bottom"/>
            <w:hideMark/>
          </w:tcPr>
          <w:p w:rsidR="00AF1EF5" w:rsidRDefault="00AF1EF5" w:rsidP="00AF1EF5">
            <w:pPr>
              <w:jc w:val="right"/>
              <w:rPr>
                <w:color w:val="000000"/>
              </w:rPr>
            </w:pPr>
            <w:r>
              <w:rPr>
                <w:color w:val="000000"/>
              </w:rPr>
              <w:t>0.109***</w:t>
            </w:r>
          </w:p>
        </w:tc>
        <w:tc>
          <w:tcPr>
            <w:tcW w:w="1321" w:type="dxa"/>
            <w:noWrap/>
            <w:vAlign w:val="bottom"/>
            <w:hideMark/>
          </w:tcPr>
          <w:p w:rsidR="00AF1EF5" w:rsidRDefault="00AF1EF5" w:rsidP="00AF1EF5">
            <w:pPr>
              <w:jc w:val="right"/>
              <w:rPr>
                <w:color w:val="000000"/>
              </w:rPr>
            </w:pPr>
            <w:r>
              <w:rPr>
                <w:color w:val="000000"/>
              </w:rPr>
              <w:t>0.312</w:t>
            </w:r>
          </w:p>
        </w:tc>
      </w:tr>
      <w:tr w:rsidR="00AF1EF5" w:rsidTr="007E0CCC">
        <w:trPr>
          <w:trHeight w:val="300"/>
        </w:trPr>
        <w:tc>
          <w:tcPr>
            <w:tcW w:w="2993" w:type="dxa"/>
            <w:gridSpan w:val="2"/>
            <w:tcBorders>
              <w:top w:val="nil"/>
              <w:left w:val="nil"/>
              <w:bottom w:val="single" w:sz="4" w:space="0" w:color="auto"/>
              <w:right w:val="nil"/>
            </w:tcBorders>
            <w:noWrap/>
            <w:vAlign w:val="bottom"/>
            <w:hideMark/>
          </w:tcPr>
          <w:p w:rsidR="00AF1EF5" w:rsidRDefault="00AF1EF5" w:rsidP="00AF1EF5">
            <w:pPr>
              <w:spacing w:line="360" w:lineRule="auto"/>
              <w:rPr>
                <w:color w:val="000000"/>
              </w:rPr>
            </w:pPr>
            <w:r>
              <w:rPr>
                <w:color w:val="000000"/>
              </w:rPr>
              <w:t>Nbr Observations</w:t>
            </w:r>
          </w:p>
        </w:tc>
        <w:tc>
          <w:tcPr>
            <w:tcW w:w="2126" w:type="dxa"/>
            <w:gridSpan w:val="2"/>
            <w:tcBorders>
              <w:top w:val="nil"/>
              <w:left w:val="nil"/>
              <w:bottom w:val="single" w:sz="4" w:space="0" w:color="auto"/>
              <w:right w:val="nil"/>
            </w:tcBorders>
            <w:noWrap/>
            <w:vAlign w:val="bottom"/>
            <w:hideMark/>
          </w:tcPr>
          <w:p w:rsidR="00AF1EF5" w:rsidRDefault="00AF1EF5" w:rsidP="00AF1EF5">
            <w:pPr>
              <w:jc w:val="center"/>
              <w:rPr>
                <w:color w:val="000000"/>
              </w:rPr>
            </w:pPr>
            <w:r>
              <w:rPr>
                <w:color w:val="000000"/>
              </w:rPr>
              <w:t>1125</w:t>
            </w:r>
          </w:p>
        </w:tc>
        <w:tc>
          <w:tcPr>
            <w:tcW w:w="284" w:type="dxa"/>
            <w:tcBorders>
              <w:top w:val="nil"/>
              <w:left w:val="nil"/>
              <w:bottom w:val="single" w:sz="4" w:space="0" w:color="auto"/>
              <w:right w:val="nil"/>
            </w:tcBorders>
            <w:noWrap/>
            <w:vAlign w:val="bottom"/>
          </w:tcPr>
          <w:p w:rsidR="00AF1EF5" w:rsidRDefault="00AF1EF5" w:rsidP="00AF1EF5">
            <w:pPr>
              <w:jc w:val="center"/>
              <w:rPr>
                <w:color w:val="000000"/>
              </w:rPr>
            </w:pPr>
          </w:p>
        </w:tc>
        <w:tc>
          <w:tcPr>
            <w:tcW w:w="2547" w:type="dxa"/>
            <w:gridSpan w:val="2"/>
            <w:tcBorders>
              <w:top w:val="nil"/>
              <w:left w:val="nil"/>
              <w:bottom w:val="single" w:sz="4" w:space="0" w:color="auto"/>
              <w:right w:val="nil"/>
            </w:tcBorders>
            <w:noWrap/>
            <w:vAlign w:val="bottom"/>
            <w:hideMark/>
          </w:tcPr>
          <w:p w:rsidR="00AF1EF5" w:rsidRDefault="00AF1EF5" w:rsidP="00AF1EF5">
            <w:pPr>
              <w:jc w:val="center"/>
              <w:rPr>
                <w:color w:val="000000"/>
              </w:rPr>
            </w:pPr>
            <w:r>
              <w:rPr>
                <w:color w:val="000000"/>
              </w:rPr>
              <w:t>642</w:t>
            </w:r>
          </w:p>
        </w:tc>
      </w:tr>
    </w:tbl>
    <w:p w:rsidR="00AF1EF5" w:rsidRDefault="00AF1EF5" w:rsidP="00AF1EF5">
      <w:pPr>
        <w:rPr>
          <w:b/>
        </w:rPr>
      </w:pPr>
      <w:r>
        <w:br w:type="textWrapping" w:clear="all"/>
      </w:r>
      <w:r>
        <w:rPr>
          <w:b/>
        </w:rPr>
        <w:t>Weekly varying variable</w:t>
      </w:r>
    </w:p>
    <w:tbl>
      <w:tblPr>
        <w:tblpPr w:leftFromText="180" w:rightFromText="180" w:vertAnchor="text" w:tblpY="1"/>
        <w:tblOverlap w:val="never"/>
        <w:tblW w:w="7950" w:type="dxa"/>
        <w:tblLayout w:type="fixed"/>
        <w:tblLook w:val="04A0" w:firstRow="1" w:lastRow="0" w:firstColumn="1" w:lastColumn="0" w:noHBand="0" w:noVBand="1"/>
      </w:tblPr>
      <w:tblGrid>
        <w:gridCol w:w="2993"/>
        <w:gridCol w:w="992"/>
        <w:gridCol w:w="1134"/>
        <w:gridCol w:w="284"/>
        <w:gridCol w:w="1226"/>
        <w:gridCol w:w="1321"/>
      </w:tblGrid>
      <w:tr w:rsidR="00AF1EF5" w:rsidTr="007E0CCC">
        <w:trPr>
          <w:trHeight w:val="300"/>
        </w:trPr>
        <w:tc>
          <w:tcPr>
            <w:tcW w:w="2993" w:type="dxa"/>
            <w:noWrap/>
            <w:vAlign w:val="center"/>
            <w:hideMark/>
          </w:tcPr>
          <w:p w:rsidR="00AF1EF5" w:rsidRDefault="00AF1EF5" w:rsidP="00AF1EF5">
            <w:pPr>
              <w:spacing w:line="360" w:lineRule="auto"/>
              <w:rPr>
                <w:color w:val="000000"/>
              </w:rPr>
            </w:pPr>
            <w:r>
              <w:rPr>
                <w:color w:val="000000"/>
              </w:rPr>
              <w:t>Played in Game</w:t>
            </w:r>
          </w:p>
        </w:tc>
        <w:tc>
          <w:tcPr>
            <w:tcW w:w="992" w:type="dxa"/>
            <w:noWrap/>
            <w:vAlign w:val="center"/>
            <w:hideMark/>
          </w:tcPr>
          <w:p w:rsidR="00AF1EF5" w:rsidRDefault="00AF1EF5" w:rsidP="00AF1EF5">
            <w:pPr>
              <w:jc w:val="right"/>
              <w:rPr>
                <w:color w:val="000000"/>
              </w:rPr>
            </w:pPr>
            <w:r>
              <w:rPr>
                <w:color w:val="000000"/>
              </w:rPr>
              <w:t>0.478</w:t>
            </w:r>
          </w:p>
        </w:tc>
        <w:tc>
          <w:tcPr>
            <w:tcW w:w="1134" w:type="dxa"/>
            <w:noWrap/>
            <w:vAlign w:val="center"/>
            <w:hideMark/>
          </w:tcPr>
          <w:p w:rsidR="00AF1EF5" w:rsidRDefault="00AF1EF5" w:rsidP="00AF1EF5">
            <w:pPr>
              <w:jc w:val="right"/>
              <w:rPr>
                <w:color w:val="000000"/>
              </w:rPr>
            </w:pPr>
            <w:r>
              <w:rPr>
                <w:color w:val="000000"/>
              </w:rPr>
              <w:t>0.500</w:t>
            </w:r>
          </w:p>
        </w:tc>
        <w:tc>
          <w:tcPr>
            <w:tcW w:w="284" w:type="dxa"/>
            <w:noWrap/>
            <w:vAlign w:val="center"/>
            <w:hideMark/>
          </w:tcPr>
          <w:p w:rsidR="00AF1EF5" w:rsidRDefault="00AF1EF5" w:rsidP="00AF1EF5">
            <w:pPr>
              <w:rPr>
                <w:sz w:val="20"/>
                <w:szCs w:val="20"/>
                <w:lang w:val="en-GB" w:eastAsia="en-GB"/>
              </w:rPr>
            </w:pPr>
          </w:p>
        </w:tc>
        <w:tc>
          <w:tcPr>
            <w:tcW w:w="1226" w:type="dxa"/>
            <w:noWrap/>
            <w:vAlign w:val="center"/>
            <w:hideMark/>
          </w:tcPr>
          <w:p w:rsidR="00AF1EF5" w:rsidRDefault="00AF1EF5" w:rsidP="00AF1EF5">
            <w:pPr>
              <w:jc w:val="right"/>
              <w:rPr>
                <w:color w:val="000000"/>
              </w:rPr>
            </w:pPr>
            <w:r>
              <w:rPr>
                <w:color w:val="000000"/>
              </w:rPr>
              <w:t>0.502***</w:t>
            </w:r>
          </w:p>
        </w:tc>
        <w:tc>
          <w:tcPr>
            <w:tcW w:w="1321" w:type="dxa"/>
            <w:noWrap/>
            <w:vAlign w:val="center"/>
            <w:hideMark/>
          </w:tcPr>
          <w:p w:rsidR="00AF1EF5" w:rsidRDefault="00AF1EF5" w:rsidP="00AF1EF5">
            <w:pPr>
              <w:jc w:val="right"/>
              <w:rPr>
                <w:color w:val="000000"/>
              </w:rPr>
            </w:pPr>
            <w:r>
              <w:rPr>
                <w:color w:val="000000"/>
              </w:rPr>
              <w:t>0.500</w:t>
            </w:r>
          </w:p>
        </w:tc>
      </w:tr>
      <w:tr w:rsidR="00AF1EF5" w:rsidTr="007E0CCC">
        <w:trPr>
          <w:trHeight w:val="300"/>
        </w:trPr>
        <w:tc>
          <w:tcPr>
            <w:tcW w:w="2993" w:type="dxa"/>
            <w:noWrap/>
            <w:vAlign w:val="center"/>
          </w:tcPr>
          <w:p w:rsidR="00AF1EF5" w:rsidRDefault="00AF1EF5" w:rsidP="00AF1EF5">
            <w:pPr>
              <w:spacing w:line="360" w:lineRule="auto"/>
              <w:rPr>
                <w:color w:val="000000"/>
              </w:rPr>
            </w:pPr>
            <w:r>
              <w:rPr>
                <w:color w:val="000000"/>
              </w:rPr>
              <w:t>Minutes played \if played</w:t>
            </w:r>
          </w:p>
        </w:tc>
        <w:tc>
          <w:tcPr>
            <w:tcW w:w="992" w:type="dxa"/>
            <w:noWrap/>
            <w:vAlign w:val="center"/>
          </w:tcPr>
          <w:p w:rsidR="00AF1EF5" w:rsidRDefault="00AF1EF5" w:rsidP="00AF1EF5">
            <w:pPr>
              <w:jc w:val="right"/>
              <w:rPr>
                <w:color w:val="000000"/>
              </w:rPr>
            </w:pPr>
            <w:r>
              <w:rPr>
                <w:color w:val="000000"/>
              </w:rPr>
              <w:t>77.15</w:t>
            </w:r>
          </w:p>
        </w:tc>
        <w:tc>
          <w:tcPr>
            <w:tcW w:w="1134" w:type="dxa"/>
            <w:noWrap/>
            <w:vAlign w:val="center"/>
          </w:tcPr>
          <w:p w:rsidR="00AF1EF5" w:rsidRDefault="00AF1EF5" w:rsidP="00AF1EF5">
            <w:pPr>
              <w:jc w:val="right"/>
              <w:rPr>
                <w:color w:val="000000"/>
              </w:rPr>
            </w:pPr>
            <w:r>
              <w:rPr>
                <w:color w:val="000000"/>
              </w:rPr>
              <w:t>0.233</w:t>
            </w:r>
          </w:p>
        </w:tc>
        <w:tc>
          <w:tcPr>
            <w:tcW w:w="284" w:type="dxa"/>
            <w:noWrap/>
            <w:vAlign w:val="center"/>
          </w:tcPr>
          <w:p w:rsidR="00AF1EF5" w:rsidRDefault="00AF1EF5" w:rsidP="00AF1EF5">
            <w:pPr>
              <w:rPr>
                <w:sz w:val="20"/>
                <w:szCs w:val="20"/>
                <w:lang w:val="en-GB" w:eastAsia="en-GB"/>
              </w:rPr>
            </w:pPr>
          </w:p>
        </w:tc>
        <w:tc>
          <w:tcPr>
            <w:tcW w:w="1226" w:type="dxa"/>
            <w:noWrap/>
            <w:vAlign w:val="center"/>
          </w:tcPr>
          <w:p w:rsidR="00AF1EF5" w:rsidRDefault="00AF1EF5" w:rsidP="00AF1EF5">
            <w:pPr>
              <w:jc w:val="right"/>
              <w:rPr>
                <w:color w:val="000000"/>
              </w:rPr>
            </w:pPr>
            <w:r>
              <w:rPr>
                <w:color w:val="000000"/>
              </w:rPr>
              <w:t>73.54***</w:t>
            </w:r>
          </w:p>
        </w:tc>
        <w:tc>
          <w:tcPr>
            <w:tcW w:w="1321" w:type="dxa"/>
            <w:noWrap/>
            <w:vAlign w:val="center"/>
          </w:tcPr>
          <w:p w:rsidR="00AF1EF5" w:rsidRDefault="00AF1EF5" w:rsidP="00AF1EF5">
            <w:pPr>
              <w:jc w:val="right"/>
              <w:rPr>
                <w:color w:val="000000"/>
              </w:rPr>
            </w:pPr>
            <w:r>
              <w:rPr>
                <w:color w:val="000000"/>
              </w:rPr>
              <w:t>0.304</w:t>
            </w:r>
          </w:p>
        </w:tc>
      </w:tr>
      <w:tr w:rsidR="00AF1EF5" w:rsidTr="007E0CCC">
        <w:trPr>
          <w:trHeight w:val="300"/>
        </w:trPr>
        <w:tc>
          <w:tcPr>
            <w:tcW w:w="2993" w:type="dxa"/>
            <w:noWrap/>
            <w:vAlign w:val="center"/>
            <w:hideMark/>
          </w:tcPr>
          <w:p w:rsidR="00AF1EF5" w:rsidRDefault="00AF1EF5" w:rsidP="00AF1EF5">
            <w:pPr>
              <w:spacing w:line="360" w:lineRule="auto"/>
              <w:rPr>
                <w:color w:val="000000"/>
              </w:rPr>
            </w:pPr>
            <w:r>
              <w:rPr>
                <w:color w:val="000000"/>
              </w:rPr>
              <w:t>Points</w:t>
            </w:r>
          </w:p>
        </w:tc>
        <w:tc>
          <w:tcPr>
            <w:tcW w:w="992" w:type="dxa"/>
            <w:noWrap/>
            <w:vAlign w:val="center"/>
            <w:hideMark/>
          </w:tcPr>
          <w:p w:rsidR="00AF1EF5" w:rsidRDefault="00AF1EF5" w:rsidP="00AF1EF5">
            <w:pPr>
              <w:jc w:val="right"/>
              <w:rPr>
                <w:color w:val="000000"/>
              </w:rPr>
            </w:pPr>
            <w:r>
              <w:rPr>
                <w:color w:val="000000"/>
              </w:rPr>
              <w:t>1.508</w:t>
            </w:r>
          </w:p>
        </w:tc>
        <w:tc>
          <w:tcPr>
            <w:tcW w:w="1134" w:type="dxa"/>
            <w:noWrap/>
            <w:vAlign w:val="center"/>
            <w:hideMark/>
          </w:tcPr>
          <w:p w:rsidR="00AF1EF5" w:rsidRDefault="00AF1EF5" w:rsidP="00AF1EF5">
            <w:pPr>
              <w:jc w:val="right"/>
              <w:rPr>
                <w:color w:val="000000"/>
              </w:rPr>
            </w:pPr>
            <w:r>
              <w:rPr>
                <w:color w:val="000000"/>
              </w:rPr>
              <w:t>2.569</w:t>
            </w:r>
          </w:p>
        </w:tc>
        <w:tc>
          <w:tcPr>
            <w:tcW w:w="284" w:type="dxa"/>
            <w:noWrap/>
            <w:vAlign w:val="center"/>
            <w:hideMark/>
          </w:tcPr>
          <w:p w:rsidR="00AF1EF5" w:rsidRDefault="00AF1EF5" w:rsidP="00AF1EF5">
            <w:pPr>
              <w:rPr>
                <w:sz w:val="20"/>
                <w:szCs w:val="20"/>
                <w:lang w:val="en-GB" w:eastAsia="en-GB"/>
              </w:rPr>
            </w:pPr>
          </w:p>
        </w:tc>
        <w:tc>
          <w:tcPr>
            <w:tcW w:w="1226" w:type="dxa"/>
            <w:noWrap/>
            <w:vAlign w:val="center"/>
            <w:hideMark/>
          </w:tcPr>
          <w:p w:rsidR="00AF1EF5" w:rsidRDefault="00AF1EF5" w:rsidP="00AF1EF5">
            <w:pPr>
              <w:jc w:val="right"/>
              <w:rPr>
                <w:color w:val="000000"/>
              </w:rPr>
            </w:pPr>
            <w:r>
              <w:rPr>
                <w:color w:val="000000"/>
              </w:rPr>
              <w:t>1.499</w:t>
            </w:r>
          </w:p>
        </w:tc>
        <w:tc>
          <w:tcPr>
            <w:tcW w:w="1321" w:type="dxa"/>
            <w:noWrap/>
            <w:vAlign w:val="center"/>
            <w:hideMark/>
          </w:tcPr>
          <w:p w:rsidR="00AF1EF5" w:rsidRDefault="00AF1EF5" w:rsidP="00AF1EF5">
            <w:pPr>
              <w:jc w:val="right"/>
              <w:rPr>
                <w:color w:val="000000"/>
              </w:rPr>
            </w:pPr>
            <w:r>
              <w:rPr>
                <w:color w:val="000000"/>
              </w:rPr>
              <w:t>2.525</w:t>
            </w:r>
          </w:p>
        </w:tc>
      </w:tr>
      <w:tr w:rsidR="00AF1EF5" w:rsidTr="007E0CCC">
        <w:trPr>
          <w:trHeight w:val="300"/>
        </w:trPr>
        <w:tc>
          <w:tcPr>
            <w:tcW w:w="2993" w:type="dxa"/>
            <w:noWrap/>
            <w:vAlign w:val="center"/>
            <w:hideMark/>
          </w:tcPr>
          <w:p w:rsidR="00AF1EF5" w:rsidRDefault="00AF1EF5" w:rsidP="00AF1EF5">
            <w:pPr>
              <w:spacing w:line="360" w:lineRule="auto"/>
              <w:rPr>
                <w:color w:val="000000"/>
              </w:rPr>
            </w:pPr>
            <w:r>
              <w:rPr>
                <w:color w:val="000000"/>
              </w:rPr>
              <w:t>Change in Price</w:t>
            </w:r>
          </w:p>
        </w:tc>
        <w:tc>
          <w:tcPr>
            <w:tcW w:w="992" w:type="dxa"/>
            <w:noWrap/>
            <w:vAlign w:val="center"/>
            <w:hideMark/>
          </w:tcPr>
          <w:p w:rsidR="00AF1EF5" w:rsidRDefault="00AF1EF5" w:rsidP="00AF1EF5">
            <w:pPr>
              <w:jc w:val="right"/>
              <w:rPr>
                <w:color w:val="000000"/>
              </w:rPr>
            </w:pPr>
            <w:r>
              <w:rPr>
                <w:color w:val="000000"/>
              </w:rPr>
              <w:t>-0.005</w:t>
            </w:r>
          </w:p>
        </w:tc>
        <w:tc>
          <w:tcPr>
            <w:tcW w:w="1134" w:type="dxa"/>
            <w:noWrap/>
            <w:vAlign w:val="center"/>
            <w:hideMark/>
          </w:tcPr>
          <w:p w:rsidR="00AF1EF5" w:rsidRDefault="00AF1EF5" w:rsidP="00AF1EF5">
            <w:pPr>
              <w:jc w:val="right"/>
              <w:rPr>
                <w:color w:val="000000"/>
              </w:rPr>
            </w:pPr>
            <w:r>
              <w:rPr>
                <w:color w:val="000000"/>
              </w:rPr>
              <w:t>0.037</w:t>
            </w:r>
          </w:p>
        </w:tc>
        <w:tc>
          <w:tcPr>
            <w:tcW w:w="284" w:type="dxa"/>
            <w:noWrap/>
            <w:vAlign w:val="center"/>
            <w:hideMark/>
          </w:tcPr>
          <w:p w:rsidR="00AF1EF5" w:rsidRDefault="00AF1EF5" w:rsidP="00AF1EF5">
            <w:pPr>
              <w:rPr>
                <w:sz w:val="20"/>
                <w:szCs w:val="20"/>
                <w:lang w:val="en-GB" w:eastAsia="en-GB"/>
              </w:rPr>
            </w:pPr>
          </w:p>
        </w:tc>
        <w:tc>
          <w:tcPr>
            <w:tcW w:w="1226" w:type="dxa"/>
            <w:noWrap/>
            <w:vAlign w:val="center"/>
            <w:hideMark/>
          </w:tcPr>
          <w:p w:rsidR="00AF1EF5" w:rsidRDefault="00AF1EF5" w:rsidP="00AF1EF5">
            <w:pPr>
              <w:jc w:val="right"/>
              <w:rPr>
                <w:color w:val="000000"/>
              </w:rPr>
            </w:pPr>
            <w:r>
              <w:rPr>
                <w:color w:val="000000"/>
              </w:rPr>
              <w:t>-0.007***</w:t>
            </w:r>
          </w:p>
        </w:tc>
        <w:tc>
          <w:tcPr>
            <w:tcW w:w="1321" w:type="dxa"/>
            <w:noWrap/>
            <w:vAlign w:val="center"/>
            <w:hideMark/>
          </w:tcPr>
          <w:p w:rsidR="00AF1EF5" w:rsidRDefault="00AF1EF5" w:rsidP="00AF1EF5">
            <w:pPr>
              <w:jc w:val="right"/>
              <w:rPr>
                <w:color w:val="000000"/>
              </w:rPr>
            </w:pPr>
            <w:r>
              <w:rPr>
                <w:color w:val="000000"/>
              </w:rPr>
              <w:t>0.038</w:t>
            </w:r>
          </w:p>
        </w:tc>
      </w:tr>
      <w:tr w:rsidR="00AF1EF5" w:rsidTr="007E0CCC">
        <w:trPr>
          <w:trHeight w:val="300"/>
        </w:trPr>
        <w:tc>
          <w:tcPr>
            <w:tcW w:w="2993" w:type="dxa"/>
            <w:noWrap/>
            <w:vAlign w:val="center"/>
            <w:hideMark/>
          </w:tcPr>
          <w:p w:rsidR="00AF1EF5" w:rsidRDefault="00AF1EF5" w:rsidP="00AF1EF5">
            <w:pPr>
              <w:spacing w:line="360" w:lineRule="auto"/>
              <w:rPr>
                <w:color w:val="000000"/>
              </w:rPr>
            </w:pPr>
            <w:r>
              <w:rPr>
                <w:color w:val="000000"/>
              </w:rPr>
              <w:t>Net Transfer</w:t>
            </w:r>
          </w:p>
        </w:tc>
        <w:tc>
          <w:tcPr>
            <w:tcW w:w="992" w:type="dxa"/>
            <w:noWrap/>
            <w:vAlign w:val="center"/>
            <w:hideMark/>
          </w:tcPr>
          <w:p w:rsidR="00AF1EF5" w:rsidRDefault="00AF1EF5" w:rsidP="00AF1EF5">
            <w:pPr>
              <w:jc w:val="right"/>
              <w:rPr>
                <w:color w:val="000000"/>
              </w:rPr>
            </w:pPr>
            <w:r>
              <w:rPr>
                <w:color w:val="000000"/>
              </w:rPr>
              <w:t>123</w:t>
            </w:r>
          </w:p>
        </w:tc>
        <w:tc>
          <w:tcPr>
            <w:tcW w:w="1134" w:type="dxa"/>
            <w:noWrap/>
            <w:vAlign w:val="center"/>
            <w:hideMark/>
          </w:tcPr>
          <w:p w:rsidR="00AF1EF5" w:rsidRDefault="00AF1EF5" w:rsidP="00AF1EF5">
            <w:pPr>
              <w:jc w:val="right"/>
              <w:rPr>
                <w:color w:val="000000"/>
              </w:rPr>
            </w:pPr>
            <w:r>
              <w:rPr>
                <w:color w:val="000000"/>
              </w:rPr>
              <w:t>11,441</w:t>
            </w:r>
          </w:p>
        </w:tc>
        <w:tc>
          <w:tcPr>
            <w:tcW w:w="284" w:type="dxa"/>
            <w:noWrap/>
            <w:vAlign w:val="center"/>
            <w:hideMark/>
          </w:tcPr>
          <w:p w:rsidR="00AF1EF5" w:rsidRDefault="00AF1EF5" w:rsidP="00AF1EF5">
            <w:pPr>
              <w:rPr>
                <w:sz w:val="20"/>
                <w:szCs w:val="20"/>
                <w:lang w:val="en-GB" w:eastAsia="en-GB"/>
              </w:rPr>
            </w:pPr>
          </w:p>
        </w:tc>
        <w:tc>
          <w:tcPr>
            <w:tcW w:w="1226" w:type="dxa"/>
            <w:noWrap/>
            <w:vAlign w:val="center"/>
            <w:hideMark/>
          </w:tcPr>
          <w:p w:rsidR="00AF1EF5" w:rsidRDefault="00AF1EF5" w:rsidP="00AF1EF5">
            <w:pPr>
              <w:jc w:val="right"/>
              <w:rPr>
                <w:color w:val="000000"/>
              </w:rPr>
            </w:pPr>
            <w:r>
              <w:rPr>
                <w:color w:val="000000"/>
              </w:rPr>
              <w:t>72</w:t>
            </w:r>
          </w:p>
        </w:tc>
        <w:tc>
          <w:tcPr>
            <w:tcW w:w="1321" w:type="dxa"/>
            <w:noWrap/>
            <w:vAlign w:val="center"/>
            <w:hideMark/>
          </w:tcPr>
          <w:p w:rsidR="00AF1EF5" w:rsidRDefault="00AF1EF5" w:rsidP="00AF1EF5">
            <w:pPr>
              <w:jc w:val="right"/>
              <w:rPr>
                <w:color w:val="000000"/>
              </w:rPr>
            </w:pPr>
            <w:r>
              <w:rPr>
                <w:color w:val="000000"/>
              </w:rPr>
              <w:t>10,777</w:t>
            </w:r>
          </w:p>
        </w:tc>
      </w:tr>
      <w:tr w:rsidR="00AF1EF5" w:rsidTr="007E0CCC">
        <w:trPr>
          <w:trHeight w:val="300"/>
        </w:trPr>
        <w:tc>
          <w:tcPr>
            <w:tcW w:w="2993" w:type="dxa"/>
            <w:tcBorders>
              <w:top w:val="nil"/>
              <w:left w:val="nil"/>
              <w:bottom w:val="single" w:sz="4" w:space="0" w:color="auto"/>
              <w:right w:val="nil"/>
            </w:tcBorders>
            <w:noWrap/>
            <w:vAlign w:val="center"/>
            <w:hideMark/>
          </w:tcPr>
          <w:p w:rsidR="00AF1EF5" w:rsidRDefault="00AF1EF5" w:rsidP="00AF1EF5">
            <w:pPr>
              <w:spacing w:line="360" w:lineRule="auto"/>
              <w:rPr>
                <w:color w:val="000000"/>
              </w:rPr>
            </w:pPr>
            <w:r>
              <w:rPr>
                <w:color w:val="000000"/>
              </w:rPr>
              <w:t>Nbr Observations</w:t>
            </w:r>
          </w:p>
        </w:tc>
        <w:tc>
          <w:tcPr>
            <w:tcW w:w="2126" w:type="dxa"/>
            <w:gridSpan w:val="2"/>
            <w:tcBorders>
              <w:top w:val="nil"/>
              <w:left w:val="nil"/>
              <w:bottom w:val="single" w:sz="4" w:space="0" w:color="auto"/>
              <w:right w:val="nil"/>
            </w:tcBorders>
            <w:noWrap/>
            <w:vAlign w:val="center"/>
            <w:hideMark/>
          </w:tcPr>
          <w:p w:rsidR="00AF1EF5" w:rsidRDefault="00AF1EF5" w:rsidP="00AF1EF5">
            <w:pPr>
              <w:jc w:val="center"/>
              <w:rPr>
                <w:color w:val="000000"/>
              </w:rPr>
            </w:pPr>
            <w:r>
              <w:rPr>
                <w:color w:val="000000"/>
              </w:rPr>
              <w:t>38,059</w:t>
            </w:r>
          </w:p>
        </w:tc>
        <w:tc>
          <w:tcPr>
            <w:tcW w:w="284" w:type="dxa"/>
            <w:tcBorders>
              <w:top w:val="nil"/>
              <w:left w:val="nil"/>
              <w:bottom w:val="single" w:sz="4" w:space="0" w:color="auto"/>
              <w:right w:val="nil"/>
            </w:tcBorders>
            <w:noWrap/>
            <w:vAlign w:val="center"/>
          </w:tcPr>
          <w:p w:rsidR="00AF1EF5" w:rsidRDefault="00AF1EF5" w:rsidP="00AF1EF5">
            <w:pPr>
              <w:jc w:val="center"/>
              <w:rPr>
                <w:color w:val="000000"/>
              </w:rPr>
            </w:pPr>
          </w:p>
        </w:tc>
        <w:tc>
          <w:tcPr>
            <w:tcW w:w="2547" w:type="dxa"/>
            <w:gridSpan w:val="2"/>
            <w:tcBorders>
              <w:top w:val="nil"/>
              <w:left w:val="nil"/>
              <w:bottom w:val="single" w:sz="4" w:space="0" w:color="auto"/>
              <w:right w:val="nil"/>
            </w:tcBorders>
            <w:noWrap/>
            <w:vAlign w:val="center"/>
            <w:hideMark/>
          </w:tcPr>
          <w:p w:rsidR="00AF1EF5" w:rsidRDefault="00AF1EF5" w:rsidP="00AF1EF5">
            <w:pPr>
              <w:jc w:val="center"/>
              <w:rPr>
                <w:color w:val="000000"/>
              </w:rPr>
            </w:pPr>
            <w:r>
              <w:rPr>
                <w:color w:val="000000"/>
              </w:rPr>
              <w:t>22,027</w:t>
            </w:r>
          </w:p>
        </w:tc>
      </w:tr>
    </w:tbl>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p w:rsidR="00AF1EF5" w:rsidRDefault="00AF1EF5" w:rsidP="00AF1EF5">
      <w:r>
        <w:t>Source: Fantasy Football league 2008/2011</w:t>
      </w:r>
    </w:p>
    <w:p w:rsidR="00AF1EF5" w:rsidRDefault="00AF1EF5" w:rsidP="00AF1EF5">
      <w:pPr>
        <w:rPr>
          <w:vertAlign w:val="subscript"/>
        </w:rPr>
      </w:pPr>
      <w:r>
        <w:t xml:space="preserve">***, **, * reflect statistical difference of the means for the two groups at the 99%, 95% and 90% confidence </w:t>
      </w:r>
    </w:p>
    <w:p w:rsidR="00AF1EF5" w:rsidRDefault="00AF1EF5" w:rsidP="00AF1EF5">
      <w:r>
        <w:rPr>
          <w:vertAlign w:val="superscript"/>
        </w:rPr>
        <w:t xml:space="preserve">a </w:t>
      </w:r>
      <w:r>
        <w:t>Number of picks is only available for season 2009/10 and 2010/11, the sample size is thus White (751) non White (416).</w:t>
      </w:r>
    </w:p>
    <w:p w:rsidR="00AF1EF5" w:rsidRPr="00AB16F1" w:rsidRDefault="00AF1EF5" w:rsidP="00AF1EF5">
      <w:r>
        <w:rPr>
          <w:vertAlign w:val="superscript"/>
        </w:rPr>
        <w:t>b</w:t>
      </w:r>
      <w:r>
        <w:t xml:space="preserve"> Conditional on being in the league last year: sample size: White (712), non White (444).</w:t>
      </w:r>
    </w:p>
    <w:p w:rsidR="00B036F2" w:rsidRPr="00AB16F1" w:rsidRDefault="00B036F2" w:rsidP="00B036F2"/>
    <w:p w:rsidR="00B036F2" w:rsidRDefault="00B036F2" w:rsidP="00B036F2">
      <w:r>
        <w:br w:type="page"/>
      </w:r>
    </w:p>
    <w:p w:rsidR="008E1135" w:rsidRDefault="008E1135" w:rsidP="008E1135">
      <w:pPr>
        <w:rPr>
          <w:b/>
        </w:rPr>
      </w:pPr>
      <w:r>
        <w:rPr>
          <w:b/>
        </w:rPr>
        <w:lastRenderedPageBreak/>
        <w:t>Table 2: Racial Differences in Outcomes:</w:t>
      </w:r>
    </w:p>
    <w:p w:rsidR="008E1135" w:rsidRDefault="008E1135" w:rsidP="008E113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1296"/>
        <w:gridCol w:w="1418"/>
        <w:gridCol w:w="992"/>
      </w:tblGrid>
      <w:tr w:rsidR="008E1135" w:rsidTr="00610F1F">
        <w:tc>
          <w:tcPr>
            <w:tcW w:w="4624" w:type="dxa"/>
            <w:tcBorders>
              <w:top w:val="single" w:sz="4" w:space="0" w:color="auto"/>
              <w:bottom w:val="single" w:sz="4" w:space="0" w:color="auto"/>
            </w:tcBorders>
          </w:tcPr>
          <w:p w:rsidR="008E1135" w:rsidRDefault="008E1135" w:rsidP="007E0CCC">
            <w:pPr>
              <w:spacing w:line="360" w:lineRule="auto"/>
            </w:pPr>
          </w:p>
        </w:tc>
        <w:tc>
          <w:tcPr>
            <w:tcW w:w="1296" w:type="dxa"/>
            <w:tcBorders>
              <w:top w:val="single" w:sz="4" w:space="0" w:color="auto"/>
              <w:bottom w:val="single" w:sz="4" w:space="0" w:color="auto"/>
            </w:tcBorders>
            <w:hideMark/>
          </w:tcPr>
          <w:p w:rsidR="008E1135" w:rsidRDefault="008E1135" w:rsidP="007E0CCC">
            <w:pPr>
              <w:spacing w:line="360" w:lineRule="auto"/>
              <w:jc w:val="center"/>
            </w:pPr>
            <w:r>
              <w:t>Coefficient</w:t>
            </w:r>
          </w:p>
        </w:tc>
        <w:tc>
          <w:tcPr>
            <w:tcW w:w="1418" w:type="dxa"/>
            <w:tcBorders>
              <w:top w:val="single" w:sz="4" w:space="0" w:color="auto"/>
              <w:bottom w:val="single" w:sz="4" w:space="0" w:color="auto"/>
            </w:tcBorders>
            <w:hideMark/>
          </w:tcPr>
          <w:p w:rsidR="008E1135" w:rsidRDefault="008E1135" w:rsidP="007E0CCC">
            <w:pPr>
              <w:spacing w:line="360" w:lineRule="auto"/>
              <w:jc w:val="center"/>
            </w:pPr>
            <w:r>
              <w:t>s.d.</w:t>
            </w:r>
          </w:p>
        </w:tc>
        <w:tc>
          <w:tcPr>
            <w:tcW w:w="992" w:type="dxa"/>
            <w:tcBorders>
              <w:top w:val="single" w:sz="4" w:space="0" w:color="auto"/>
              <w:bottom w:val="single" w:sz="4" w:space="0" w:color="auto"/>
            </w:tcBorders>
            <w:hideMark/>
          </w:tcPr>
          <w:p w:rsidR="008E1135" w:rsidRDefault="008E1135" w:rsidP="007E0CCC">
            <w:pPr>
              <w:spacing w:line="360" w:lineRule="auto"/>
              <w:jc w:val="center"/>
            </w:pPr>
            <w:r>
              <w:t>R</w:t>
            </w:r>
            <w:r>
              <w:rPr>
                <w:vertAlign w:val="superscript"/>
              </w:rPr>
              <w:t>2</w:t>
            </w:r>
          </w:p>
        </w:tc>
      </w:tr>
      <w:tr w:rsidR="008E1135" w:rsidTr="00610F1F">
        <w:tc>
          <w:tcPr>
            <w:tcW w:w="4624" w:type="dxa"/>
            <w:tcBorders>
              <w:top w:val="single" w:sz="4" w:space="0" w:color="auto"/>
            </w:tcBorders>
            <w:vAlign w:val="bottom"/>
            <w:hideMark/>
          </w:tcPr>
          <w:p w:rsidR="008E1135" w:rsidRDefault="008E1135" w:rsidP="007E0CCC">
            <w:pPr>
              <w:spacing w:line="360" w:lineRule="auto"/>
              <w:rPr>
                <w:b/>
                <w:color w:val="000000"/>
              </w:rPr>
            </w:pPr>
            <w:r>
              <w:rPr>
                <w:b/>
                <w:color w:val="000000"/>
              </w:rPr>
              <w:t>Season fixed variable</w:t>
            </w:r>
          </w:p>
        </w:tc>
        <w:tc>
          <w:tcPr>
            <w:tcW w:w="1296" w:type="dxa"/>
            <w:tcBorders>
              <w:top w:val="single" w:sz="4" w:space="0" w:color="auto"/>
            </w:tcBorders>
            <w:vAlign w:val="bottom"/>
          </w:tcPr>
          <w:p w:rsidR="008E1135" w:rsidRDefault="008E1135" w:rsidP="007E0CCC">
            <w:pPr>
              <w:spacing w:line="360" w:lineRule="auto"/>
              <w:jc w:val="center"/>
              <w:rPr>
                <w:color w:val="000000"/>
              </w:rPr>
            </w:pPr>
          </w:p>
        </w:tc>
        <w:tc>
          <w:tcPr>
            <w:tcW w:w="1418" w:type="dxa"/>
            <w:tcBorders>
              <w:top w:val="single" w:sz="4" w:space="0" w:color="auto"/>
            </w:tcBorders>
            <w:vAlign w:val="bottom"/>
          </w:tcPr>
          <w:p w:rsidR="008E1135" w:rsidRDefault="008E1135" w:rsidP="007E0CCC">
            <w:pPr>
              <w:spacing w:line="360" w:lineRule="auto"/>
              <w:jc w:val="center"/>
              <w:rPr>
                <w:color w:val="000000"/>
              </w:rPr>
            </w:pPr>
          </w:p>
        </w:tc>
        <w:tc>
          <w:tcPr>
            <w:tcW w:w="992" w:type="dxa"/>
            <w:tcBorders>
              <w:top w:val="single" w:sz="4" w:space="0" w:color="auto"/>
            </w:tcBorders>
          </w:tcPr>
          <w:p w:rsidR="008E1135" w:rsidRDefault="008E1135" w:rsidP="007E0CCC">
            <w:pPr>
              <w:spacing w:line="360" w:lineRule="auto"/>
              <w:jc w:val="center"/>
              <w:rPr>
                <w:color w:val="000000"/>
              </w:rPr>
            </w:pPr>
          </w:p>
        </w:tc>
      </w:tr>
      <w:tr w:rsidR="008E1135" w:rsidTr="00610F1F">
        <w:tc>
          <w:tcPr>
            <w:tcW w:w="4624" w:type="dxa"/>
            <w:vAlign w:val="bottom"/>
            <w:hideMark/>
          </w:tcPr>
          <w:p w:rsidR="008E1135" w:rsidRDefault="008E1135" w:rsidP="007E0CCC">
            <w:pPr>
              <w:spacing w:line="360" w:lineRule="auto"/>
              <w:rPr>
                <w:color w:val="000000"/>
              </w:rPr>
            </w:pPr>
            <w:r>
              <w:rPr>
                <w:color w:val="000000"/>
              </w:rPr>
              <w:t>Ln initial Price</w:t>
            </w:r>
          </w:p>
        </w:tc>
        <w:tc>
          <w:tcPr>
            <w:tcW w:w="1296" w:type="dxa"/>
            <w:vAlign w:val="bottom"/>
            <w:hideMark/>
          </w:tcPr>
          <w:p w:rsidR="008E1135" w:rsidRDefault="008E1135" w:rsidP="007E0CCC">
            <w:pPr>
              <w:spacing w:line="360" w:lineRule="auto"/>
              <w:jc w:val="center"/>
              <w:rPr>
                <w:color w:val="000000"/>
              </w:rPr>
            </w:pPr>
            <w:r>
              <w:rPr>
                <w:color w:val="000000"/>
              </w:rPr>
              <w:t>-0.019**</w:t>
            </w:r>
          </w:p>
        </w:tc>
        <w:tc>
          <w:tcPr>
            <w:tcW w:w="1418" w:type="dxa"/>
            <w:vAlign w:val="bottom"/>
            <w:hideMark/>
          </w:tcPr>
          <w:p w:rsidR="008E1135" w:rsidRDefault="000D05D6" w:rsidP="007E0CCC">
            <w:pPr>
              <w:spacing w:line="360" w:lineRule="auto"/>
              <w:jc w:val="center"/>
              <w:rPr>
                <w:color w:val="000000"/>
              </w:rPr>
            </w:pPr>
            <w:r>
              <w:rPr>
                <w:color w:val="000000"/>
              </w:rPr>
              <w:t>0.008</w:t>
            </w:r>
          </w:p>
        </w:tc>
        <w:tc>
          <w:tcPr>
            <w:tcW w:w="992" w:type="dxa"/>
            <w:hideMark/>
          </w:tcPr>
          <w:p w:rsidR="008E1135" w:rsidRDefault="008E1135" w:rsidP="007E0CCC">
            <w:pPr>
              <w:spacing w:line="360" w:lineRule="auto"/>
              <w:jc w:val="center"/>
              <w:rPr>
                <w:color w:val="000000"/>
              </w:rPr>
            </w:pPr>
            <w:r>
              <w:rPr>
                <w:color w:val="000000"/>
              </w:rPr>
              <w:t>0.79</w:t>
            </w:r>
          </w:p>
        </w:tc>
      </w:tr>
      <w:tr w:rsidR="008E1135" w:rsidTr="00610F1F">
        <w:tc>
          <w:tcPr>
            <w:tcW w:w="4624" w:type="dxa"/>
            <w:vAlign w:val="bottom"/>
            <w:hideMark/>
          </w:tcPr>
          <w:p w:rsidR="008E1135" w:rsidRDefault="008E1135" w:rsidP="007E0CCC">
            <w:pPr>
              <w:spacing w:line="360" w:lineRule="auto"/>
              <w:rPr>
                <w:color w:val="000000"/>
              </w:rPr>
            </w:pPr>
            <w:r>
              <w:rPr>
                <w:color w:val="000000"/>
              </w:rPr>
              <w:t>Never played during season</w:t>
            </w:r>
          </w:p>
        </w:tc>
        <w:tc>
          <w:tcPr>
            <w:tcW w:w="1296" w:type="dxa"/>
            <w:vAlign w:val="bottom"/>
            <w:hideMark/>
          </w:tcPr>
          <w:p w:rsidR="008E1135" w:rsidRDefault="008E1135" w:rsidP="007E0CCC">
            <w:pPr>
              <w:spacing w:line="360" w:lineRule="auto"/>
              <w:jc w:val="center"/>
              <w:rPr>
                <w:color w:val="000000"/>
              </w:rPr>
            </w:pPr>
            <w:r>
              <w:rPr>
                <w:color w:val="000000"/>
              </w:rPr>
              <w:t>0.000</w:t>
            </w:r>
          </w:p>
        </w:tc>
        <w:tc>
          <w:tcPr>
            <w:tcW w:w="1418" w:type="dxa"/>
            <w:vAlign w:val="bottom"/>
            <w:hideMark/>
          </w:tcPr>
          <w:p w:rsidR="008E1135" w:rsidRDefault="008E1135" w:rsidP="007E0CCC">
            <w:pPr>
              <w:spacing w:line="360" w:lineRule="auto"/>
              <w:jc w:val="center"/>
              <w:rPr>
                <w:color w:val="000000"/>
              </w:rPr>
            </w:pPr>
            <w:r>
              <w:rPr>
                <w:color w:val="000000"/>
              </w:rPr>
              <w:t>0.014</w:t>
            </w:r>
          </w:p>
        </w:tc>
        <w:tc>
          <w:tcPr>
            <w:tcW w:w="992" w:type="dxa"/>
            <w:hideMark/>
          </w:tcPr>
          <w:p w:rsidR="008E1135" w:rsidRDefault="008E1135" w:rsidP="007E0CCC">
            <w:pPr>
              <w:spacing w:line="360" w:lineRule="auto"/>
              <w:jc w:val="center"/>
              <w:rPr>
                <w:color w:val="000000"/>
              </w:rPr>
            </w:pPr>
            <w:r>
              <w:rPr>
                <w:color w:val="000000"/>
              </w:rPr>
              <w:t>0.19</w:t>
            </w:r>
          </w:p>
        </w:tc>
      </w:tr>
      <w:tr w:rsidR="008E1135" w:rsidTr="00610F1F">
        <w:tc>
          <w:tcPr>
            <w:tcW w:w="4624" w:type="dxa"/>
            <w:vAlign w:val="bottom"/>
            <w:hideMark/>
          </w:tcPr>
          <w:p w:rsidR="008E1135" w:rsidRDefault="008E1135" w:rsidP="007E0CCC">
            <w:pPr>
              <w:spacing w:line="360" w:lineRule="auto"/>
              <w:rPr>
                <w:color w:val="000000"/>
              </w:rPr>
            </w:pPr>
            <w:r>
              <w:rPr>
                <w:color w:val="000000"/>
              </w:rPr>
              <w:t>Duration of play during season</w:t>
            </w:r>
          </w:p>
        </w:tc>
        <w:tc>
          <w:tcPr>
            <w:tcW w:w="1296" w:type="dxa"/>
            <w:vAlign w:val="bottom"/>
            <w:hideMark/>
          </w:tcPr>
          <w:p w:rsidR="008E1135" w:rsidRDefault="008E1135" w:rsidP="007E0CCC">
            <w:pPr>
              <w:spacing w:line="360" w:lineRule="auto"/>
              <w:jc w:val="center"/>
              <w:rPr>
                <w:color w:val="000000"/>
              </w:rPr>
            </w:pPr>
            <w:r>
              <w:rPr>
                <w:color w:val="000000"/>
              </w:rPr>
              <w:t>19.986</w:t>
            </w:r>
          </w:p>
        </w:tc>
        <w:tc>
          <w:tcPr>
            <w:tcW w:w="1418" w:type="dxa"/>
            <w:vAlign w:val="bottom"/>
            <w:hideMark/>
          </w:tcPr>
          <w:p w:rsidR="008E1135" w:rsidRDefault="000D05D6" w:rsidP="000D05D6">
            <w:pPr>
              <w:spacing w:line="360" w:lineRule="auto"/>
              <w:jc w:val="center"/>
              <w:rPr>
                <w:color w:val="000000"/>
              </w:rPr>
            </w:pPr>
            <w:r>
              <w:rPr>
                <w:color w:val="000000"/>
              </w:rPr>
              <w:t>53</w:t>
            </w:r>
            <w:r w:rsidR="008E1135">
              <w:rPr>
                <w:color w:val="000000"/>
              </w:rPr>
              <w:t>.</w:t>
            </w:r>
            <w:r>
              <w:rPr>
                <w:color w:val="000000"/>
              </w:rPr>
              <w:t>296</w:t>
            </w:r>
          </w:p>
        </w:tc>
        <w:tc>
          <w:tcPr>
            <w:tcW w:w="992" w:type="dxa"/>
            <w:hideMark/>
          </w:tcPr>
          <w:p w:rsidR="008E1135" w:rsidRDefault="008E1135" w:rsidP="007E0CCC">
            <w:pPr>
              <w:spacing w:line="360" w:lineRule="auto"/>
              <w:jc w:val="center"/>
              <w:rPr>
                <w:color w:val="000000"/>
              </w:rPr>
            </w:pPr>
            <w:r>
              <w:rPr>
                <w:color w:val="000000"/>
              </w:rPr>
              <w:t>0.34</w:t>
            </w:r>
          </w:p>
        </w:tc>
      </w:tr>
      <w:tr w:rsidR="008E1135" w:rsidTr="00610F1F">
        <w:tc>
          <w:tcPr>
            <w:tcW w:w="4624" w:type="dxa"/>
            <w:vAlign w:val="bottom"/>
            <w:hideMark/>
          </w:tcPr>
          <w:p w:rsidR="008E1135" w:rsidRDefault="008E1135" w:rsidP="007E0CCC">
            <w:pPr>
              <w:spacing w:line="360" w:lineRule="auto"/>
              <w:rPr>
                <w:color w:val="000000"/>
              </w:rPr>
            </w:pPr>
            <w:r>
              <w:rPr>
                <w:color w:val="000000"/>
              </w:rPr>
              <w:t>Total number of points during season</w:t>
            </w:r>
          </w:p>
        </w:tc>
        <w:tc>
          <w:tcPr>
            <w:tcW w:w="1296" w:type="dxa"/>
            <w:vAlign w:val="bottom"/>
            <w:hideMark/>
          </w:tcPr>
          <w:p w:rsidR="008E1135" w:rsidRDefault="008E1135" w:rsidP="007E0CCC">
            <w:pPr>
              <w:spacing w:line="360" w:lineRule="auto"/>
              <w:jc w:val="center"/>
              <w:rPr>
                <w:color w:val="000000"/>
              </w:rPr>
            </w:pPr>
            <w:r>
              <w:rPr>
                <w:color w:val="000000"/>
              </w:rPr>
              <w:t>-2.118</w:t>
            </w:r>
          </w:p>
        </w:tc>
        <w:tc>
          <w:tcPr>
            <w:tcW w:w="1418" w:type="dxa"/>
            <w:vAlign w:val="bottom"/>
            <w:hideMark/>
          </w:tcPr>
          <w:p w:rsidR="008E1135" w:rsidRDefault="000D05D6" w:rsidP="007E0CCC">
            <w:pPr>
              <w:spacing w:line="360" w:lineRule="auto"/>
              <w:jc w:val="center"/>
              <w:rPr>
                <w:color w:val="000000"/>
              </w:rPr>
            </w:pPr>
            <w:r>
              <w:rPr>
                <w:color w:val="000000"/>
              </w:rPr>
              <w:t>2.240</w:t>
            </w:r>
          </w:p>
        </w:tc>
        <w:tc>
          <w:tcPr>
            <w:tcW w:w="992" w:type="dxa"/>
            <w:hideMark/>
          </w:tcPr>
          <w:p w:rsidR="008E1135" w:rsidRDefault="008E1135" w:rsidP="007E0CCC">
            <w:pPr>
              <w:spacing w:line="360" w:lineRule="auto"/>
              <w:jc w:val="center"/>
              <w:rPr>
                <w:color w:val="000000"/>
              </w:rPr>
            </w:pPr>
            <w:r>
              <w:rPr>
                <w:color w:val="000000"/>
              </w:rPr>
              <w:t>0.37</w:t>
            </w:r>
          </w:p>
        </w:tc>
      </w:tr>
      <w:tr w:rsidR="008E1135" w:rsidTr="00610F1F">
        <w:tc>
          <w:tcPr>
            <w:tcW w:w="4624" w:type="dxa"/>
          </w:tcPr>
          <w:p w:rsidR="008E1135" w:rsidRDefault="008E1135" w:rsidP="007E0CCC">
            <w:pPr>
              <w:spacing w:line="360" w:lineRule="auto"/>
            </w:pPr>
          </w:p>
        </w:tc>
        <w:tc>
          <w:tcPr>
            <w:tcW w:w="1296" w:type="dxa"/>
          </w:tcPr>
          <w:p w:rsidR="008E1135" w:rsidRDefault="008E1135" w:rsidP="007E0CCC">
            <w:pPr>
              <w:spacing w:line="360" w:lineRule="auto"/>
              <w:jc w:val="center"/>
            </w:pPr>
          </w:p>
        </w:tc>
        <w:tc>
          <w:tcPr>
            <w:tcW w:w="1418" w:type="dxa"/>
          </w:tcPr>
          <w:p w:rsidR="008E1135" w:rsidRDefault="008E1135" w:rsidP="007E0CCC">
            <w:pPr>
              <w:spacing w:line="360" w:lineRule="auto"/>
              <w:jc w:val="center"/>
            </w:pPr>
          </w:p>
        </w:tc>
        <w:tc>
          <w:tcPr>
            <w:tcW w:w="992" w:type="dxa"/>
          </w:tcPr>
          <w:p w:rsidR="008E1135" w:rsidRDefault="008E1135" w:rsidP="007E0CCC">
            <w:pPr>
              <w:spacing w:line="360" w:lineRule="auto"/>
              <w:jc w:val="center"/>
            </w:pPr>
          </w:p>
        </w:tc>
      </w:tr>
      <w:tr w:rsidR="008E1135" w:rsidTr="00610F1F">
        <w:tc>
          <w:tcPr>
            <w:tcW w:w="4624" w:type="dxa"/>
            <w:hideMark/>
          </w:tcPr>
          <w:p w:rsidR="008E1135" w:rsidRDefault="008E1135" w:rsidP="007E0CCC">
            <w:pPr>
              <w:spacing w:line="360" w:lineRule="auto"/>
              <w:rPr>
                <w:b/>
              </w:rPr>
            </w:pPr>
            <w:r>
              <w:rPr>
                <w:b/>
              </w:rPr>
              <w:t>Time varying variable</w:t>
            </w:r>
          </w:p>
        </w:tc>
        <w:tc>
          <w:tcPr>
            <w:tcW w:w="1296" w:type="dxa"/>
          </w:tcPr>
          <w:p w:rsidR="008E1135" w:rsidRDefault="008E1135" w:rsidP="007E0CCC">
            <w:pPr>
              <w:spacing w:line="360" w:lineRule="auto"/>
              <w:jc w:val="center"/>
            </w:pPr>
          </w:p>
        </w:tc>
        <w:tc>
          <w:tcPr>
            <w:tcW w:w="1418" w:type="dxa"/>
          </w:tcPr>
          <w:p w:rsidR="008E1135" w:rsidRDefault="008E1135" w:rsidP="007E0CCC">
            <w:pPr>
              <w:spacing w:line="360" w:lineRule="auto"/>
              <w:jc w:val="center"/>
            </w:pPr>
          </w:p>
        </w:tc>
        <w:tc>
          <w:tcPr>
            <w:tcW w:w="992" w:type="dxa"/>
          </w:tcPr>
          <w:p w:rsidR="008E1135" w:rsidRDefault="008E1135" w:rsidP="007E0CCC">
            <w:pPr>
              <w:spacing w:line="360" w:lineRule="auto"/>
              <w:jc w:val="center"/>
            </w:pPr>
          </w:p>
        </w:tc>
      </w:tr>
      <w:tr w:rsidR="008E1135" w:rsidTr="00610F1F">
        <w:tc>
          <w:tcPr>
            <w:tcW w:w="4624" w:type="dxa"/>
            <w:vAlign w:val="bottom"/>
            <w:hideMark/>
          </w:tcPr>
          <w:p w:rsidR="008E1135" w:rsidRDefault="008E1135" w:rsidP="007E0CCC">
            <w:pPr>
              <w:spacing w:line="360" w:lineRule="auto"/>
              <w:rPr>
                <w:color w:val="000000"/>
              </w:rPr>
            </w:pPr>
            <w:r>
              <w:rPr>
                <w:color w:val="000000"/>
              </w:rPr>
              <w:t>Weekly change in Price</w:t>
            </w:r>
          </w:p>
        </w:tc>
        <w:tc>
          <w:tcPr>
            <w:tcW w:w="1296" w:type="dxa"/>
            <w:vAlign w:val="bottom"/>
            <w:hideMark/>
          </w:tcPr>
          <w:p w:rsidR="008E1135" w:rsidRDefault="008E1135" w:rsidP="007E0CCC">
            <w:pPr>
              <w:spacing w:line="360" w:lineRule="auto"/>
              <w:jc w:val="center"/>
              <w:rPr>
                <w:color w:val="000000"/>
              </w:rPr>
            </w:pPr>
            <w:r>
              <w:rPr>
                <w:color w:val="000000"/>
              </w:rPr>
              <w:t>-0.0005</w:t>
            </w:r>
          </w:p>
        </w:tc>
        <w:tc>
          <w:tcPr>
            <w:tcW w:w="1418" w:type="dxa"/>
            <w:vAlign w:val="bottom"/>
            <w:hideMark/>
          </w:tcPr>
          <w:p w:rsidR="008E1135" w:rsidRDefault="008E1135" w:rsidP="007E0CCC">
            <w:pPr>
              <w:spacing w:line="360" w:lineRule="auto"/>
              <w:jc w:val="center"/>
              <w:rPr>
                <w:color w:val="000000"/>
              </w:rPr>
            </w:pPr>
            <w:r>
              <w:rPr>
                <w:color w:val="000000"/>
              </w:rPr>
              <w:t>0.0005</w:t>
            </w:r>
          </w:p>
        </w:tc>
        <w:tc>
          <w:tcPr>
            <w:tcW w:w="992" w:type="dxa"/>
            <w:vAlign w:val="bottom"/>
            <w:hideMark/>
          </w:tcPr>
          <w:p w:rsidR="008E1135" w:rsidRDefault="008E1135" w:rsidP="007E0CCC">
            <w:pPr>
              <w:spacing w:line="360" w:lineRule="auto"/>
              <w:jc w:val="center"/>
              <w:rPr>
                <w:color w:val="000000"/>
              </w:rPr>
            </w:pPr>
            <w:r>
              <w:rPr>
                <w:color w:val="000000"/>
              </w:rPr>
              <w:t>0.092</w:t>
            </w:r>
          </w:p>
        </w:tc>
      </w:tr>
      <w:tr w:rsidR="008E1135" w:rsidTr="00610F1F">
        <w:tc>
          <w:tcPr>
            <w:tcW w:w="4624" w:type="dxa"/>
            <w:vAlign w:val="bottom"/>
            <w:hideMark/>
          </w:tcPr>
          <w:p w:rsidR="008E1135" w:rsidRDefault="008E1135" w:rsidP="007E0CCC">
            <w:pPr>
              <w:spacing w:line="360" w:lineRule="auto"/>
              <w:rPr>
                <w:color w:val="000000"/>
              </w:rPr>
            </w:pPr>
            <w:r>
              <w:rPr>
                <w:color w:val="000000"/>
              </w:rPr>
              <w:t>Played this week</w:t>
            </w:r>
          </w:p>
        </w:tc>
        <w:tc>
          <w:tcPr>
            <w:tcW w:w="1296" w:type="dxa"/>
            <w:vAlign w:val="bottom"/>
            <w:hideMark/>
          </w:tcPr>
          <w:p w:rsidR="008E1135" w:rsidRDefault="008E1135" w:rsidP="007E0CCC">
            <w:pPr>
              <w:spacing w:line="360" w:lineRule="auto"/>
              <w:jc w:val="center"/>
              <w:rPr>
                <w:color w:val="000000"/>
              </w:rPr>
            </w:pPr>
            <w:r>
              <w:rPr>
                <w:color w:val="000000"/>
              </w:rPr>
              <w:t>-0.003</w:t>
            </w:r>
          </w:p>
        </w:tc>
        <w:tc>
          <w:tcPr>
            <w:tcW w:w="1418" w:type="dxa"/>
            <w:vAlign w:val="bottom"/>
            <w:hideMark/>
          </w:tcPr>
          <w:p w:rsidR="008E1135" w:rsidRDefault="008E1135" w:rsidP="007E0CCC">
            <w:pPr>
              <w:spacing w:line="360" w:lineRule="auto"/>
              <w:jc w:val="center"/>
              <w:rPr>
                <w:color w:val="000000"/>
              </w:rPr>
            </w:pPr>
            <w:r>
              <w:rPr>
                <w:color w:val="000000"/>
              </w:rPr>
              <w:t>0.018</w:t>
            </w:r>
          </w:p>
        </w:tc>
        <w:tc>
          <w:tcPr>
            <w:tcW w:w="992" w:type="dxa"/>
            <w:vAlign w:val="bottom"/>
            <w:hideMark/>
          </w:tcPr>
          <w:p w:rsidR="008E1135" w:rsidRDefault="008E1135" w:rsidP="007E0CCC">
            <w:pPr>
              <w:spacing w:line="360" w:lineRule="auto"/>
              <w:jc w:val="center"/>
              <w:rPr>
                <w:color w:val="000000"/>
              </w:rPr>
            </w:pPr>
            <w:r>
              <w:rPr>
                <w:color w:val="000000"/>
              </w:rPr>
              <w:t>0.122</w:t>
            </w:r>
          </w:p>
        </w:tc>
      </w:tr>
      <w:tr w:rsidR="008E1135" w:rsidTr="00610F1F">
        <w:tc>
          <w:tcPr>
            <w:tcW w:w="4624" w:type="dxa"/>
            <w:vAlign w:val="bottom"/>
            <w:hideMark/>
          </w:tcPr>
          <w:p w:rsidR="008E1135" w:rsidRDefault="008E1135" w:rsidP="007E0CCC">
            <w:pPr>
              <w:spacing w:line="360" w:lineRule="auto"/>
              <w:rPr>
                <w:color w:val="000000"/>
              </w:rPr>
            </w:pPr>
            <w:r>
              <w:rPr>
                <w:color w:val="000000"/>
              </w:rPr>
              <w:t>Points accrue this week</w:t>
            </w:r>
          </w:p>
        </w:tc>
        <w:tc>
          <w:tcPr>
            <w:tcW w:w="1296" w:type="dxa"/>
            <w:vAlign w:val="bottom"/>
            <w:hideMark/>
          </w:tcPr>
          <w:p w:rsidR="008E1135" w:rsidRDefault="008E1135" w:rsidP="007E0CCC">
            <w:pPr>
              <w:spacing w:line="360" w:lineRule="auto"/>
              <w:jc w:val="center"/>
              <w:rPr>
                <w:color w:val="000000"/>
              </w:rPr>
            </w:pPr>
            <w:r>
              <w:rPr>
                <w:color w:val="000000"/>
              </w:rPr>
              <w:t>-0.104</w:t>
            </w:r>
          </w:p>
        </w:tc>
        <w:tc>
          <w:tcPr>
            <w:tcW w:w="1418" w:type="dxa"/>
            <w:vAlign w:val="bottom"/>
            <w:hideMark/>
          </w:tcPr>
          <w:p w:rsidR="008E1135" w:rsidRDefault="008E1135" w:rsidP="007E0CCC">
            <w:pPr>
              <w:spacing w:line="360" w:lineRule="auto"/>
              <w:jc w:val="center"/>
              <w:rPr>
                <w:color w:val="000000"/>
              </w:rPr>
            </w:pPr>
            <w:r>
              <w:rPr>
                <w:color w:val="000000"/>
              </w:rPr>
              <w:t>0.077</w:t>
            </w:r>
          </w:p>
        </w:tc>
        <w:tc>
          <w:tcPr>
            <w:tcW w:w="992" w:type="dxa"/>
            <w:vAlign w:val="bottom"/>
            <w:hideMark/>
          </w:tcPr>
          <w:p w:rsidR="008E1135" w:rsidRDefault="008E1135" w:rsidP="007E0CCC">
            <w:pPr>
              <w:spacing w:line="360" w:lineRule="auto"/>
              <w:jc w:val="center"/>
              <w:rPr>
                <w:color w:val="000000"/>
              </w:rPr>
            </w:pPr>
            <w:r>
              <w:rPr>
                <w:color w:val="000000"/>
              </w:rPr>
              <w:t>0.076</w:t>
            </w:r>
          </w:p>
        </w:tc>
      </w:tr>
      <w:tr w:rsidR="008E1135" w:rsidTr="00610F1F">
        <w:tc>
          <w:tcPr>
            <w:tcW w:w="4624" w:type="dxa"/>
            <w:tcBorders>
              <w:bottom w:val="single" w:sz="4" w:space="0" w:color="auto"/>
            </w:tcBorders>
            <w:vAlign w:val="bottom"/>
            <w:hideMark/>
          </w:tcPr>
          <w:p w:rsidR="008E1135" w:rsidRDefault="008E1135" w:rsidP="007E0CCC">
            <w:pPr>
              <w:spacing w:line="360" w:lineRule="auto"/>
              <w:rPr>
                <w:color w:val="000000"/>
              </w:rPr>
            </w:pPr>
            <w:r>
              <w:rPr>
                <w:color w:val="000000"/>
              </w:rPr>
              <w:t>Minute played this week</w:t>
            </w:r>
          </w:p>
        </w:tc>
        <w:tc>
          <w:tcPr>
            <w:tcW w:w="1296" w:type="dxa"/>
            <w:tcBorders>
              <w:bottom w:val="single" w:sz="4" w:space="0" w:color="auto"/>
            </w:tcBorders>
            <w:vAlign w:val="bottom"/>
            <w:hideMark/>
          </w:tcPr>
          <w:p w:rsidR="008E1135" w:rsidRDefault="008E1135" w:rsidP="007E0CCC">
            <w:pPr>
              <w:spacing w:line="360" w:lineRule="auto"/>
              <w:jc w:val="center"/>
              <w:rPr>
                <w:color w:val="000000"/>
              </w:rPr>
            </w:pPr>
            <w:r>
              <w:rPr>
                <w:color w:val="000000"/>
              </w:rPr>
              <w:t>-0.470</w:t>
            </w:r>
          </w:p>
        </w:tc>
        <w:tc>
          <w:tcPr>
            <w:tcW w:w="1418" w:type="dxa"/>
            <w:tcBorders>
              <w:bottom w:val="single" w:sz="4" w:space="0" w:color="auto"/>
            </w:tcBorders>
            <w:vAlign w:val="bottom"/>
            <w:hideMark/>
          </w:tcPr>
          <w:p w:rsidR="008E1135" w:rsidRDefault="008E1135" w:rsidP="007E0CCC">
            <w:pPr>
              <w:spacing w:line="360" w:lineRule="auto"/>
              <w:jc w:val="center"/>
              <w:rPr>
                <w:color w:val="000000"/>
              </w:rPr>
            </w:pPr>
            <w:r>
              <w:rPr>
                <w:color w:val="000000"/>
              </w:rPr>
              <w:t>1.772</w:t>
            </w:r>
          </w:p>
        </w:tc>
        <w:tc>
          <w:tcPr>
            <w:tcW w:w="992" w:type="dxa"/>
            <w:tcBorders>
              <w:bottom w:val="single" w:sz="4" w:space="0" w:color="auto"/>
            </w:tcBorders>
            <w:vAlign w:val="bottom"/>
            <w:hideMark/>
          </w:tcPr>
          <w:p w:rsidR="008E1135" w:rsidRDefault="008E1135" w:rsidP="007E0CCC">
            <w:pPr>
              <w:spacing w:line="360" w:lineRule="auto"/>
              <w:jc w:val="center"/>
              <w:rPr>
                <w:color w:val="000000"/>
              </w:rPr>
            </w:pPr>
            <w:r>
              <w:rPr>
                <w:color w:val="000000"/>
              </w:rPr>
              <w:t>0.113</w:t>
            </w:r>
          </w:p>
        </w:tc>
      </w:tr>
    </w:tbl>
    <w:p w:rsidR="008E1135" w:rsidRDefault="008E1135" w:rsidP="008E1135">
      <w:r>
        <w:t xml:space="preserve">Note: Estimate of race effects on separate regressions.  </w:t>
      </w:r>
    </w:p>
    <w:p w:rsidR="008E1135" w:rsidRDefault="008E1135" w:rsidP="008E1135">
      <w:r>
        <w:t xml:space="preserve">The specification for season fixed variables includes: total points last year, value last year, not in league last year, season indicator, a quadratic in player’s age, position, UK nationals, international status (English and other), club indicator. The sample size is then 1327 and the standard errors are clustered at the </w:t>
      </w:r>
      <w:r w:rsidR="00610F1F">
        <w:t>player</w:t>
      </w:r>
      <w:r>
        <w:t xml:space="preserve"> level. </w:t>
      </w:r>
    </w:p>
    <w:p w:rsidR="008E1135" w:rsidRDefault="008E1135" w:rsidP="008E1135">
      <w:r>
        <w:t>The specification for time varying variable include: player’s characteristics, season, game week and number of games played in that week (0, 1, or 2). For weekly change in value, we also include a quadratic in points accrue in the previous week and initial value. Standard errors are then clustered at the player level and sample size is</w:t>
      </w:r>
      <w:r w:rsidR="00495E5F">
        <w:t xml:space="preserve"> 58,759</w:t>
      </w:r>
      <w:r>
        <w:t xml:space="preserve">. </w:t>
      </w:r>
    </w:p>
    <w:p w:rsidR="008E1135" w:rsidRDefault="008E1135" w:rsidP="008E1135"/>
    <w:p w:rsidR="008E1135" w:rsidRDefault="008E1135" w:rsidP="008E1135">
      <w:r>
        <w:br w:type="page"/>
      </w:r>
    </w:p>
    <w:p w:rsidR="009902E7" w:rsidRDefault="008E1135" w:rsidP="008E1135">
      <w:pPr>
        <w:spacing w:line="480" w:lineRule="auto"/>
        <w:jc w:val="both"/>
        <w:rPr>
          <w:b/>
        </w:rPr>
      </w:pPr>
      <w:r>
        <w:rPr>
          <w:b/>
        </w:rPr>
        <w:lastRenderedPageBreak/>
        <w:t>T</w:t>
      </w:r>
      <w:r w:rsidR="009902E7">
        <w:rPr>
          <w:b/>
        </w:rPr>
        <w:t>able 3: OLS- Log Hires at the Start of the Season</w:t>
      </w:r>
    </w:p>
    <w:tbl>
      <w:tblPr>
        <w:tblW w:w="9236" w:type="dxa"/>
        <w:tblInd w:w="-580" w:type="dxa"/>
        <w:tblCellMar>
          <w:left w:w="0" w:type="dxa"/>
          <w:right w:w="0" w:type="dxa"/>
        </w:tblCellMar>
        <w:tblLook w:val="04A0" w:firstRow="1" w:lastRow="0" w:firstColumn="1" w:lastColumn="0" w:noHBand="0" w:noVBand="1"/>
      </w:tblPr>
      <w:tblGrid>
        <w:gridCol w:w="2636"/>
        <w:gridCol w:w="1214"/>
        <w:gridCol w:w="1134"/>
        <w:gridCol w:w="1418"/>
        <w:gridCol w:w="1417"/>
        <w:gridCol w:w="1417"/>
      </w:tblGrid>
      <w:tr w:rsidR="009902E7" w:rsidTr="00F574D8">
        <w:trPr>
          <w:trHeight w:val="480"/>
        </w:trPr>
        <w:tc>
          <w:tcPr>
            <w:tcW w:w="2636"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(1)</w:t>
            </w:r>
          </w:p>
        </w:tc>
        <w:tc>
          <w:tcPr>
            <w:tcW w:w="113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(2)</w:t>
            </w:r>
          </w:p>
        </w:tc>
        <w:tc>
          <w:tcPr>
            <w:tcW w:w="141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(3)</w:t>
            </w:r>
          </w:p>
        </w:tc>
        <w:tc>
          <w:tcPr>
            <w:tcW w:w="141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(4)</w:t>
            </w:r>
          </w:p>
        </w:tc>
        <w:tc>
          <w:tcPr>
            <w:tcW w:w="1417" w:type="dxa"/>
            <w:tcBorders>
              <w:top w:val="single" w:sz="8" w:space="0" w:color="000000"/>
              <w:left w:val="nil"/>
              <w:bottom w:val="nil"/>
              <w:right w:val="nil"/>
            </w:tcBorders>
            <w:hideMark/>
          </w:tcPr>
          <w:p w:rsidR="009902E7" w:rsidRDefault="009902E7" w:rsidP="009A7C04">
            <w:pPr>
              <w:spacing w:line="360" w:lineRule="auto"/>
              <w:jc w:val="center"/>
              <w:rPr>
                <w:lang w:val="en-GB"/>
              </w:rPr>
            </w:pPr>
            <w:r>
              <w:rPr>
                <w:lang w:val="en-GB"/>
              </w:rPr>
              <w:t>(5)</w:t>
            </w:r>
          </w:p>
        </w:tc>
      </w:tr>
      <w:tr w:rsidR="009902E7" w:rsidTr="00F574D8">
        <w:trPr>
          <w:trHeight w:val="480"/>
        </w:trPr>
        <w:tc>
          <w:tcPr>
            <w:tcW w:w="2636"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13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7" w:type="dxa"/>
            <w:tcBorders>
              <w:top w:val="single" w:sz="8" w:space="0" w:color="000000"/>
              <w:left w:val="nil"/>
              <w:bottom w:val="nil"/>
              <w:right w:val="nil"/>
            </w:tcBorders>
          </w:tcPr>
          <w:p w:rsidR="009902E7" w:rsidRDefault="009902E7" w:rsidP="009A7C04">
            <w:pPr>
              <w:spacing w:line="360" w:lineRule="auto"/>
              <w:jc w:val="center"/>
              <w:rPr>
                <w:lang w:val="en-GB"/>
              </w:rPr>
            </w:pPr>
          </w:p>
        </w:tc>
      </w:tr>
      <w:tr w:rsidR="009902E7" w:rsidTr="008E16BE">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Non-White</w:t>
            </w:r>
          </w:p>
        </w:tc>
        <w:tc>
          <w:tcPr>
            <w:tcW w:w="1214" w:type="dxa"/>
            <w:tcMar>
              <w:top w:w="15" w:type="dxa"/>
              <w:left w:w="75" w:type="dxa"/>
              <w:bottom w:w="0" w:type="dxa"/>
              <w:right w:w="75" w:type="dxa"/>
            </w:tcMar>
            <w:vAlign w:val="bottom"/>
            <w:hideMark/>
          </w:tcPr>
          <w:p w:rsidR="009902E7" w:rsidRDefault="009902E7" w:rsidP="0083742B">
            <w:pPr>
              <w:spacing w:line="360" w:lineRule="auto"/>
              <w:jc w:val="center"/>
              <w:rPr>
                <w:color w:val="000000"/>
              </w:rPr>
            </w:pPr>
            <w:r>
              <w:rPr>
                <w:color w:val="000000"/>
              </w:rPr>
              <w:t>0.025</w:t>
            </w:r>
          </w:p>
        </w:tc>
        <w:tc>
          <w:tcPr>
            <w:tcW w:w="1134" w:type="dxa"/>
            <w:tcMar>
              <w:top w:w="15" w:type="dxa"/>
              <w:left w:w="75" w:type="dxa"/>
              <w:bottom w:w="0" w:type="dxa"/>
              <w:right w:w="75" w:type="dxa"/>
            </w:tcMar>
            <w:vAlign w:val="bottom"/>
            <w:hideMark/>
          </w:tcPr>
          <w:p w:rsidR="009902E7" w:rsidRDefault="009902E7" w:rsidP="0083742B">
            <w:pPr>
              <w:spacing w:line="360" w:lineRule="auto"/>
              <w:jc w:val="center"/>
              <w:rPr>
                <w:color w:val="000000"/>
              </w:rPr>
            </w:pPr>
            <w:r>
              <w:rPr>
                <w:color w:val="000000"/>
              </w:rPr>
              <w:t>0.095</w:t>
            </w:r>
          </w:p>
        </w:tc>
        <w:tc>
          <w:tcPr>
            <w:tcW w:w="1418" w:type="dxa"/>
            <w:tcMar>
              <w:top w:w="15" w:type="dxa"/>
              <w:left w:w="75" w:type="dxa"/>
              <w:bottom w:w="0" w:type="dxa"/>
              <w:right w:w="75" w:type="dxa"/>
            </w:tcMar>
            <w:vAlign w:val="bottom"/>
            <w:hideMark/>
          </w:tcPr>
          <w:p w:rsidR="009902E7" w:rsidRDefault="009902E7" w:rsidP="0083742B">
            <w:pPr>
              <w:spacing w:line="360" w:lineRule="auto"/>
              <w:jc w:val="center"/>
              <w:rPr>
                <w:color w:val="000000"/>
              </w:rPr>
            </w:pPr>
            <w:r>
              <w:rPr>
                <w:color w:val="000000"/>
              </w:rPr>
              <w:t>0.214**</w:t>
            </w:r>
          </w:p>
        </w:tc>
        <w:tc>
          <w:tcPr>
            <w:tcW w:w="1417" w:type="dxa"/>
            <w:tcMar>
              <w:top w:w="15" w:type="dxa"/>
              <w:left w:w="75" w:type="dxa"/>
              <w:bottom w:w="0" w:type="dxa"/>
              <w:right w:w="75" w:type="dxa"/>
            </w:tcMar>
            <w:vAlign w:val="bottom"/>
            <w:hideMark/>
          </w:tcPr>
          <w:p w:rsidR="009902E7" w:rsidRDefault="009902E7" w:rsidP="0083742B">
            <w:pPr>
              <w:spacing w:line="360" w:lineRule="auto"/>
              <w:jc w:val="center"/>
              <w:rPr>
                <w:color w:val="000000"/>
              </w:rPr>
            </w:pPr>
            <w:r>
              <w:rPr>
                <w:color w:val="000000"/>
              </w:rPr>
              <w:t>0.073</w:t>
            </w:r>
          </w:p>
        </w:tc>
        <w:tc>
          <w:tcPr>
            <w:tcW w:w="1417" w:type="dxa"/>
            <w:vAlign w:val="bottom"/>
            <w:hideMark/>
          </w:tcPr>
          <w:p w:rsidR="009902E7" w:rsidRDefault="009902E7" w:rsidP="0083742B">
            <w:pPr>
              <w:spacing w:line="360" w:lineRule="auto"/>
              <w:jc w:val="center"/>
              <w:rPr>
                <w:color w:val="000000"/>
              </w:rPr>
            </w:pPr>
            <w:r>
              <w:rPr>
                <w:color w:val="000000"/>
              </w:rPr>
              <w:t>0.102</w:t>
            </w:r>
          </w:p>
        </w:tc>
      </w:tr>
      <w:tr w:rsidR="009902E7" w:rsidTr="008E16BE">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83742B">
            <w:pPr>
              <w:spacing w:line="360" w:lineRule="auto"/>
              <w:jc w:val="center"/>
              <w:rPr>
                <w:color w:val="000000"/>
              </w:rPr>
            </w:pPr>
            <w:r>
              <w:rPr>
                <w:color w:val="000000"/>
              </w:rPr>
              <w:t>(0.127)</w:t>
            </w:r>
          </w:p>
        </w:tc>
        <w:tc>
          <w:tcPr>
            <w:tcW w:w="1134" w:type="dxa"/>
            <w:tcMar>
              <w:top w:w="15" w:type="dxa"/>
              <w:left w:w="75" w:type="dxa"/>
              <w:bottom w:w="0" w:type="dxa"/>
              <w:right w:w="75" w:type="dxa"/>
            </w:tcMar>
            <w:hideMark/>
          </w:tcPr>
          <w:p w:rsidR="009902E7" w:rsidRDefault="009902E7" w:rsidP="0083742B">
            <w:pPr>
              <w:spacing w:line="360" w:lineRule="auto"/>
              <w:jc w:val="center"/>
              <w:rPr>
                <w:color w:val="000000"/>
              </w:rPr>
            </w:pPr>
            <w:r>
              <w:rPr>
                <w:color w:val="000000"/>
              </w:rPr>
              <w:t>(0.119)</w:t>
            </w:r>
          </w:p>
        </w:tc>
        <w:tc>
          <w:tcPr>
            <w:tcW w:w="1418" w:type="dxa"/>
            <w:tcMar>
              <w:top w:w="15" w:type="dxa"/>
              <w:left w:w="75" w:type="dxa"/>
              <w:bottom w:w="0" w:type="dxa"/>
              <w:right w:w="75" w:type="dxa"/>
            </w:tcMar>
            <w:hideMark/>
          </w:tcPr>
          <w:p w:rsidR="009902E7" w:rsidRDefault="009902E7" w:rsidP="0083742B">
            <w:pPr>
              <w:spacing w:line="360" w:lineRule="auto"/>
              <w:jc w:val="center"/>
              <w:rPr>
                <w:color w:val="000000"/>
              </w:rPr>
            </w:pPr>
            <w:r>
              <w:rPr>
                <w:color w:val="000000"/>
              </w:rPr>
              <w:t>(0.102)</w:t>
            </w:r>
          </w:p>
        </w:tc>
        <w:tc>
          <w:tcPr>
            <w:tcW w:w="1417" w:type="dxa"/>
            <w:tcMar>
              <w:top w:w="15" w:type="dxa"/>
              <w:left w:w="75" w:type="dxa"/>
              <w:bottom w:w="0" w:type="dxa"/>
              <w:right w:w="75" w:type="dxa"/>
            </w:tcMar>
            <w:hideMark/>
          </w:tcPr>
          <w:p w:rsidR="009902E7" w:rsidRDefault="009902E7" w:rsidP="0083742B">
            <w:pPr>
              <w:spacing w:line="360" w:lineRule="auto"/>
              <w:jc w:val="center"/>
              <w:rPr>
                <w:color w:val="000000"/>
              </w:rPr>
            </w:pPr>
            <w:r>
              <w:rPr>
                <w:color w:val="000000"/>
              </w:rPr>
              <w:t>(0.087)</w:t>
            </w:r>
          </w:p>
        </w:tc>
        <w:tc>
          <w:tcPr>
            <w:tcW w:w="1417" w:type="dxa"/>
            <w:hideMark/>
          </w:tcPr>
          <w:p w:rsidR="009902E7" w:rsidRDefault="009902E7" w:rsidP="0083742B">
            <w:pPr>
              <w:spacing w:line="360" w:lineRule="auto"/>
              <w:jc w:val="center"/>
              <w:rPr>
                <w:color w:val="000000"/>
              </w:rPr>
            </w:pPr>
            <w:r>
              <w:rPr>
                <w:color w:val="000000"/>
              </w:rPr>
              <w:t>(0.087)</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Initial Price</w:t>
            </w:r>
          </w:p>
        </w:tc>
        <w:tc>
          <w:tcPr>
            <w:tcW w:w="1214"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134"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418"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1.396***</w:t>
            </w:r>
          </w:p>
        </w:tc>
        <w:tc>
          <w:tcPr>
            <w:tcW w:w="1417"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417" w:type="dxa"/>
            <w:vAlign w:val="bottom"/>
            <w:hideMark/>
          </w:tcPr>
          <w:p w:rsidR="009902E7" w:rsidRDefault="009902E7" w:rsidP="009A7C04">
            <w:pPr>
              <w:spacing w:line="360" w:lineRule="auto"/>
              <w:jc w:val="center"/>
              <w:rPr>
                <w:color w:val="000000"/>
              </w:rPr>
            </w:pPr>
            <w:r>
              <w:rPr>
                <w:color w:val="000000"/>
              </w:rPr>
              <w:t>0.152</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rPr>
                <w:sz w:val="20"/>
                <w:szCs w:val="20"/>
                <w:lang w:val="en-GB" w:eastAsia="en-GB"/>
              </w:rPr>
            </w:pPr>
          </w:p>
        </w:tc>
        <w:tc>
          <w:tcPr>
            <w:tcW w:w="1134" w:type="dxa"/>
            <w:tcMar>
              <w:top w:w="15" w:type="dxa"/>
              <w:left w:w="75" w:type="dxa"/>
              <w:bottom w:w="0" w:type="dxa"/>
              <w:right w:w="75" w:type="dxa"/>
            </w:tcMar>
            <w:hideMark/>
          </w:tcPr>
          <w:p w:rsidR="009902E7" w:rsidRDefault="009902E7" w:rsidP="009A7C04">
            <w:pPr>
              <w:rPr>
                <w:sz w:val="20"/>
                <w:szCs w:val="20"/>
                <w:lang w:val="en-GB" w:eastAsia="en-GB"/>
              </w:rPr>
            </w:pPr>
          </w:p>
        </w:tc>
        <w:tc>
          <w:tcPr>
            <w:tcW w:w="1418"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(0.181)</w:t>
            </w:r>
          </w:p>
        </w:tc>
        <w:tc>
          <w:tcPr>
            <w:tcW w:w="1417" w:type="dxa"/>
            <w:tcMar>
              <w:top w:w="15" w:type="dxa"/>
              <w:left w:w="75" w:type="dxa"/>
              <w:bottom w:w="0" w:type="dxa"/>
              <w:right w:w="75" w:type="dxa"/>
            </w:tcMar>
            <w:hideMark/>
          </w:tcPr>
          <w:p w:rsidR="009902E7" w:rsidRDefault="009902E7" w:rsidP="009A7C04">
            <w:pPr>
              <w:rPr>
                <w:sz w:val="20"/>
                <w:szCs w:val="20"/>
                <w:lang w:val="en-GB" w:eastAsia="en-GB"/>
              </w:rPr>
            </w:pPr>
          </w:p>
        </w:tc>
        <w:tc>
          <w:tcPr>
            <w:tcW w:w="1417" w:type="dxa"/>
            <w:hideMark/>
          </w:tcPr>
          <w:p w:rsidR="009902E7" w:rsidRDefault="009902E7" w:rsidP="009A7C04">
            <w:pPr>
              <w:spacing w:line="360" w:lineRule="auto"/>
              <w:jc w:val="center"/>
              <w:rPr>
                <w:color w:val="000000"/>
              </w:rPr>
            </w:pPr>
            <w:r>
              <w:rPr>
                <w:color w:val="000000"/>
              </w:rPr>
              <w:t>(0.193)</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Initial Price Square</w:t>
            </w:r>
          </w:p>
        </w:tc>
        <w:tc>
          <w:tcPr>
            <w:tcW w:w="1214"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134"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418"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-0.050***</w:t>
            </w:r>
          </w:p>
        </w:tc>
        <w:tc>
          <w:tcPr>
            <w:tcW w:w="1417" w:type="dxa"/>
            <w:tcMar>
              <w:top w:w="15" w:type="dxa"/>
              <w:left w:w="75" w:type="dxa"/>
              <w:bottom w:w="0" w:type="dxa"/>
              <w:right w:w="75" w:type="dxa"/>
            </w:tcMar>
            <w:vAlign w:val="bottom"/>
            <w:hideMark/>
          </w:tcPr>
          <w:p w:rsidR="009902E7" w:rsidRDefault="009902E7" w:rsidP="009A7C04">
            <w:pPr>
              <w:rPr>
                <w:sz w:val="20"/>
                <w:szCs w:val="20"/>
                <w:lang w:val="en-GB" w:eastAsia="en-GB"/>
              </w:rPr>
            </w:pPr>
          </w:p>
        </w:tc>
        <w:tc>
          <w:tcPr>
            <w:tcW w:w="1417" w:type="dxa"/>
            <w:vAlign w:val="bottom"/>
            <w:hideMark/>
          </w:tcPr>
          <w:p w:rsidR="009902E7" w:rsidRDefault="009902E7" w:rsidP="009A7C04">
            <w:pPr>
              <w:spacing w:line="360" w:lineRule="auto"/>
              <w:jc w:val="center"/>
              <w:rPr>
                <w:color w:val="000000"/>
              </w:rPr>
            </w:pPr>
            <w:r>
              <w:rPr>
                <w:color w:val="000000"/>
              </w:rPr>
              <w:t>0.002</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rPr>
                <w:sz w:val="20"/>
                <w:szCs w:val="20"/>
                <w:lang w:val="en-GB" w:eastAsia="en-GB"/>
              </w:rPr>
            </w:pPr>
          </w:p>
        </w:tc>
        <w:tc>
          <w:tcPr>
            <w:tcW w:w="1134" w:type="dxa"/>
            <w:tcMar>
              <w:top w:w="15" w:type="dxa"/>
              <w:left w:w="75" w:type="dxa"/>
              <w:bottom w:w="0" w:type="dxa"/>
              <w:right w:w="75" w:type="dxa"/>
            </w:tcMar>
            <w:hideMark/>
          </w:tcPr>
          <w:p w:rsidR="009902E7" w:rsidRDefault="009902E7" w:rsidP="009A7C04">
            <w:pPr>
              <w:rPr>
                <w:sz w:val="20"/>
                <w:szCs w:val="20"/>
                <w:lang w:val="en-GB" w:eastAsia="en-GB"/>
              </w:rPr>
            </w:pPr>
          </w:p>
        </w:tc>
        <w:tc>
          <w:tcPr>
            <w:tcW w:w="1418"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(0.010)</w:t>
            </w:r>
          </w:p>
        </w:tc>
        <w:tc>
          <w:tcPr>
            <w:tcW w:w="1417" w:type="dxa"/>
            <w:tcMar>
              <w:top w:w="15" w:type="dxa"/>
              <w:left w:w="75" w:type="dxa"/>
              <w:bottom w:w="0" w:type="dxa"/>
              <w:right w:w="75" w:type="dxa"/>
            </w:tcMar>
            <w:hideMark/>
          </w:tcPr>
          <w:p w:rsidR="009902E7" w:rsidRDefault="009902E7" w:rsidP="009A7C04">
            <w:pPr>
              <w:rPr>
                <w:sz w:val="20"/>
                <w:szCs w:val="20"/>
                <w:lang w:val="en-GB" w:eastAsia="en-GB"/>
              </w:rPr>
            </w:pPr>
          </w:p>
        </w:tc>
        <w:tc>
          <w:tcPr>
            <w:tcW w:w="1417" w:type="dxa"/>
            <w:hideMark/>
          </w:tcPr>
          <w:p w:rsidR="009902E7" w:rsidRDefault="009902E7" w:rsidP="009A7C04">
            <w:pPr>
              <w:spacing w:line="360" w:lineRule="auto"/>
              <w:jc w:val="center"/>
              <w:rPr>
                <w:color w:val="000000"/>
              </w:rPr>
            </w:pPr>
            <w:r>
              <w:rPr>
                <w:color w:val="000000"/>
              </w:rPr>
              <w:t>(0.011)</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Points previous season</w:t>
            </w:r>
          </w:p>
        </w:tc>
        <w:tc>
          <w:tcPr>
            <w:tcW w:w="121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13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8"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7"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0.025***</w:t>
            </w:r>
          </w:p>
        </w:tc>
        <w:tc>
          <w:tcPr>
            <w:tcW w:w="1417" w:type="dxa"/>
            <w:vAlign w:val="bottom"/>
            <w:hideMark/>
          </w:tcPr>
          <w:p w:rsidR="009902E7" w:rsidRDefault="009902E7" w:rsidP="009A7C04">
            <w:pPr>
              <w:spacing w:line="360" w:lineRule="auto"/>
              <w:jc w:val="center"/>
              <w:rPr>
                <w:color w:val="000000"/>
              </w:rPr>
            </w:pPr>
            <w:r>
              <w:rPr>
                <w:color w:val="000000"/>
              </w:rPr>
              <w:t>0.025***</w:t>
            </w:r>
          </w:p>
        </w:tc>
      </w:tr>
      <w:tr w:rsidR="009902E7" w:rsidTr="00F574D8">
        <w:trPr>
          <w:trHeight w:val="480"/>
        </w:trPr>
        <w:tc>
          <w:tcPr>
            <w:tcW w:w="2636" w:type="dxa"/>
            <w:tcMar>
              <w:top w:w="15" w:type="dxa"/>
              <w:left w:w="75" w:type="dxa"/>
              <w:bottom w:w="0" w:type="dxa"/>
              <w:right w:w="75" w:type="dxa"/>
            </w:tcMar>
          </w:tcPr>
          <w:p w:rsidR="009902E7" w:rsidRDefault="009902E7" w:rsidP="009A7C04">
            <w:pPr>
              <w:spacing w:line="360" w:lineRule="auto"/>
              <w:rPr>
                <w:color w:val="000000"/>
              </w:rPr>
            </w:pPr>
          </w:p>
        </w:tc>
        <w:tc>
          <w:tcPr>
            <w:tcW w:w="1214" w:type="dxa"/>
            <w:tcMar>
              <w:top w:w="15" w:type="dxa"/>
              <w:left w:w="75" w:type="dxa"/>
              <w:bottom w:w="0" w:type="dxa"/>
              <w:right w:w="75" w:type="dxa"/>
            </w:tcMar>
          </w:tcPr>
          <w:p w:rsidR="009902E7" w:rsidRDefault="009902E7" w:rsidP="009A7C04">
            <w:pPr>
              <w:spacing w:line="360" w:lineRule="auto"/>
              <w:jc w:val="center"/>
              <w:rPr>
                <w:lang w:val="en-GB"/>
              </w:rPr>
            </w:pPr>
          </w:p>
        </w:tc>
        <w:tc>
          <w:tcPr>
            <w:tcW w:w="1134" w:type="dxa"/>
            <w:tcMar>
              <w:top w:w="15" w:type="dxa"/>
              <w:left w:w="75" w:type="dxa"/>
              <w:bottom w:w="0" w:type="dxa"/>
              <w:right w:w="75" w:type="dxa"/>
            </w:tcMar>
          </w:tcPr>
          <w:p w:rsidR="009902E7" w:rsidRDefault="009902E7" w:rsidP="009A7C04">
            <w:pPr>
              <w:spacing w:line="360" w:lineRule="auto"/>
              <w:jc w:val="center"/>
              <w:rPr>
                <w:lang w:val="en-GB"/>
              </w:rPr>
            </w:pPr>
          </w:p>
        </w:tc>
        <w:tc>
          <w:tcPr>
            <w:tcW w:w="1418" w:type="dxa"/>
            <w:tcMar>
              <w:top w:w="15" w:type="dxa"/>
              <w:left w:w="75" w:type="dxa"/>
              <w:bottom w:w="0" w:type="dxa"/>
              <w:right w:w="75" w:type="dxa"/>
            </w:tcMar>
          </w:tcPr>
          <w:p w:rsidR="009902E7" w:rsidRDefault="009902E7" w:rsidP="009A7C04">
            <w:pPr>
              <w:spacing w:line="360" w:lineRule="auto"/>
              <w:jc w:val="center"/>
              <w:rPr>
                <w:lang w:val="en-GB"/>
              </w:rPr>
            </w:pPr>
          </w:p>
        </w:tc>
        <w:tc>
          <w:tcPr>
            <w:tcW w:w="1417"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(0.002)</w:t>
            </w:r>
          </w:p>
        </w:tc>
        <w:tc>
          <w:tcPr>
            <w:tcW w:w="1417" w:type="dxa"/>
            <w:hideMark/>
          </w:tcPr>
          <w:p w:rsidR="009902E7" w:rsidRDefault="009902E7" w:rsidP="009A7C04">
            <w:pPr>
              <w:spacing w:line="360" w:lineRule="auto"/>
              <w:jc w:val="center"/>
              <w:rPr>
                <w:color w:val="000000"/>
              </w:rPr>
            </w:pPr>
            <w:r>
              <w:rPr>
                <w:color w:val="000000"/>
              </w:rPr>
              <w:t>(0.003)</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vertAlign w:val="subscript"/>
              </w:rPr>
            </w:pPr>
            <w:r>
              <w:rPr>
                <w:color w:val="000000"/>
              </w:rPr>
              <w:t xml:space="preserve">Points previous </w:t>
            </w:r>
          </w:p>
        </w:tc>
        <w:tc>
          <w:tcPr>
            <w:tcW w:w="121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13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8"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7"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-0.024*</w:t>
            </w:r>
          </w:p>
        </w:tc>
        <w:tc>
          <w:tcPr>
            <w:tcW w:w="1417" w:type="dxa"/>
            <w:vAlign w:val="bottom"/>
            <w:hideMark/>
          </w:tcPr>
          <w:p w:rsidR="009902E7" w:rsidRDefault="009902E7" w:rsidP="009A7C04">
            <w:pPr>
              <w:spacing w:line="360" w:lineRule="auto"/>
              <w:jc w:val="center"/>
              <w:rPr>
                <w:color w:val="000000"/>
              </w:rPr>
            </w:pPr>
            <w:r>
              <w:rPr>
                <w:color w:val="000000"/>
              </w:rPr>
              <w:t>-0.042***</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spacing w:line="360" w:lineRule="auto"/>
              <w:rPr>
                <w:color w:val="000000"/>
              </w:rPr>
            </w:pPr>
            <w:r>
              <w:rPr>
                <w:color w:val="000000"/>
              </w:rPr>
              <w:t>season</w:t>
            </w:r>
            <w:r>
              <w:rPr>
                <w:color w:val="000000"/>
                <w:vertAlign w:val="superscript"/>
              </w:rPr>
              <w:t>2</w:t>
            </w:r>
            <w:r>
              <w:rPr>
                <w:color w:val="000000"/>
                <w:vertAlign w:val="subscript"/>
              </w:rPr>
              <w:t>/1000</w:t>
            </w:r>
          </w:p>
        </w:tc>
        <w:tc>
          <w:tcPr>
            <w:tcW w:w="1214" w:type="dxa"/>
            <w:tcMar>
              <w:top w:w="15" w:type="dxa"/>
              <w:left w:w="75" w:type="dxa"/>
              <w:bottom w:w="0" w:type="dxa"/>
              <w:right w:w="75" w:type="dxa"/>
            </w:tcMar>
          </w:tcPr>
          <w:p w:rsidR="009902E7" w:rsidRDefault="009902E7" w:rsidP="009A7C04">
            <w:pPr>
              <w:spacing w:line="360" w:lineRule="auto"/>
              <w:jc w:val="center"/>
              <w:rPr>
                <w:lang w:val="en-GB"/>
              </w:rPr>
            </w:pPr>
          </w:p>
        </w:tc>
        <w:tc>
          <w:tcPr>
            <w:tcW w:w="1134" w:type="dxa"/>
            <w:tcMar>
              <w:top w:w="15" w:type="dxa"/>
              <w:left w:w="75" w:type="dxa"/>
              <w:bottom w:w="0" w:type="dxa"/>
              <w:right w:w="75" w:type="dxa"/>
            </w:tcMar>
          </w:tcPr>
          <w:p w:rsidR="009902E7" w:rsidRDefault="009902E7" w:rsidP="009A7C04">
            <w:pPr>
              <w:spacing w:line="360" w:lineRule="auto"/>
              <w:jc w:val="center"/>
              <w:rPr>
                <w:lang w:val="en-GB"/>
              </w:rPr>
            </w:pPr>
          </w:p>
        </w:tc>
        <w:tc>
          <w:tcPr>
            <w:tcW w:w="1418" w:type="dxa"/>
            <w:tcMar>
              <w:top w:w="15" w:type="dxa"/>
              <w:left w:w="75" w:type="dxa"/>
              <w:bottom w:w="0" w:type="dxa"/>
              <w:right w:w="75" w:type="dxa"/>
            </w:tcMar>
          </w:tcPr>
          <w:p w:rsidR="009902E7" w:rsidRDefault="009902E7" w:rsidP="009A7C04">
            <w:pPr>
              <w:spacing w:line="360" w:lineRule="auto"/>
              <w:jc w:val="center"/>
              <w:rPr>
                <w:lang w:val="en-GB"/>
              </w:rPr>
            </w:pPr>
          </w:p>
        </w:tc>
        <w:tc>
          <w:tcPr>
            <w:tcW w:w="1417"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(0.012)</w:t>
            </w:r>
          </w:p>
        </w:tc>
        <w:tc>
          <w:tcPr>
            <w:tcW w:w="1417" w:type="dxa"/>
            <w:hideMark/>
          </w:tcPr>
          <w:p w:rsidR="009902E7" w:rsidRDefault="009902E7" w:rsidP="009A7C04">
            <w:pPr>
              <w:spacing w:line="360" w:lineRule="auto"/>
              <w:jc w:val="center"/>
              <w:rPr>
                <w:color w:val="000000"/>
              </w:rPr>
            </w:pPr>
            <w:r>
              <w:rPr>
                <w:color w:val="000000"/>
              </w:rPr>
              <w:t>(0.005)</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Not in league last year</w:t>
            </w:r>
          </w:p>
        </w:tc>
        <w:tc>
          <w:tcPr>
            <w:tcW w:w="121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134"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8" w:type="dxa"/>
            <w:tcMar>
              <w:top w:w="15" w:type="dxa"/>
              <w:left w:w="75" w:type="dxa"/>
              <w:bottom w:w="0" w:type="dxa"/>
              <w:right w:w="75" w:type="dxa"/>
            </w:tcMar>
            <w:vAlign w:val="bottom"/>
          </w:tcPr>
          <w:p w:rsidR="009902E7" w:rsidRDefault="009902E7" w:rsidP="009A7C04">
            <w:pPr>
              <w:spacing w:line="360" w:lineRule="auto"/>
              <w:jc w:val="center"/>
              <w:rPr>
                <w:lang w:val="en-GB"/>
              </w:rPr>
            </w:pPr>
          </w:p>
        </w:tc>
        <w:tc>
          <w:tcPr>
            <w:tcW w:w="1417"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0.785***</w:t>
            </w:r>
          </w:p>
        </w:tc>
        <w:tc>
          <w:tcPr>
            <w:tcW w:w="1417" w:type="dxa"/>
            <w:vAlign w:val="bottom"/>
            <w:hideMark/>
          </w:tcPr>
          <w:p w:rsidR="009902E7" w:rsidRDefault="009902E7" w:rsidP="009A7C04">
            <w:pPr>
              <w:spacing w:line="360" w:lineRule="auto"/>
              <w:jc w:val="center"/>
              <w:rPr>
                <w:color w:val="000000"/>
              </w:rPr>
            </w:pPr>
            <w:r>
              <w:rPr>
                <w:color w:val="000000"/>
              </w:rPr>
              <w:t>0.738***</w:t>
            </w:r>
          </w:p>
        </w:tc>
      </w:tr>
      <w:tr w:rsidR="009902E7" w:rsidTr="00F574D8">
        <w:trPr>
          <w:trHeight w:val="480"/>
        </w:trPr>
        <w:tc>
          <w:tcPr>
            <w:tcW w:w="2636" w:type="dxa"/>
            <w:tcMar>
              <w:top w:w="15" w:type="dxa"/>
              <w:left w:w="75" w:type="dxa"/>
              <w:bottom w:w="0" w:type="dxa"/>
              <w:right w:w="75" w:type="dxa"/>
            </w:tcMar>
          </w:tcPr>
          <w:p w:rsidR="009902E7" w:rsidRDefault="009902E7" w:rsidP="009A7C04">
            <w:pPr>
              <w:spacing w:line="360" w:lineRule="auto"/>
              <w:rPr>
                <w:color w:val="000000"/>
              </w:rPr>
            </w:pPr>
          </w:p>
        </w:tc>
        <w:tc>
          <w:tcPr>
            <w:tcW w:w="1214" w:type="dxa"/>
            <w:tcMar>
              <w:top w:w="15" w:type="dxa"/>
              <w:left w:w="75" w:type="dxa"/>
              <w:bottom w:w="0" w:type="dxa"/>
              <w:right w:w="75" w:type="dxa"/>
            </w:tcMar>
          </w:tcPr>
          <w:p w:rsidR="009902E7" w:rsidRDefault="009902E7" w:rsidP="009A7C04">
            <w:pPr>
              <w:spacing w:line="360" w:lineRule="auto"/>
              <w:jc w:val="center"/>
              <w:rPr>
                <w:lang w:val="en-GB"/>
              </w:rPr>
            </w:pPr>
          </w:p>
        </w:tc>
        <w:tc>
          <w:tcPr>
            <w:tcW w:w="1134" w:type="dxa"/>
            <w:tcMar>
              <w:top w:w="15" w:type="dxa"/>
              <w:left w:w="75" w:type="dxa"/>
              <w:bottom w:w="0" w:type="dxa"/>
              <w:right w:w="75" w:type="dxa"/>
            </w:tcMar>
          </w:tcPr>
          <w:p w:rsidR="009902E7" w:rsidRDefault="009902E7" w:rsidP="009A7C04">
            <w:pPr>
              <w:spacing w:line="360" w:lineRule="auto"/>
              <w:jc w:val="center"/>
              <w:rPr>
                <w:lang w:val="en-GB"/>
              </w:rPr>
            </w:pPr>
          </w:p>
        </w:tc>
        <w:tc>
          <w:tcPr>
            <w:tcW w:w="1418" w:type="dxa"/>
            <w:tcMar>
              <w:top w:w="15" w:type="dxa"/>
              <w:left w:w="75" w:type="dxa"/>
              <w:bottom w:w="0" w:type="dxa"/>
              <w:right w:w="75" w:type="dxa"/>
            </w:tcMar>
          </w:tcPr>
          <w:p w:rsidR="009902E7" w:rsidRDefault="009902E7" w:rsidP="009A7C04">
            <w:pPr>
              <w:spacing w:line="360" w:lineRule="auto"/>
              <w:jc w:val="center"/>
              <w:rPr>
                <w:lang w:val="en-GB"/>
              </w:rPr>
            </w:pPr>
          </w:p>
        </w:tc>
        <w:tc>
          <w:tcPr>
            <w:tcW w:w="1417"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(0.180)</w:t>
            </w:r>
          </w:p>
        </w:tc>
        <w:tc>
          <w:tcPr>
            <w:tcW w:w="1417" w:type="dxa"/>
            <w:hideMark/>
          </w:tcPr>
          <w:p w:rsidR="009902E7" w:rsidRDefault="009902E7" w:rsidP="009A7C04">
            <w:pPr>
              <w:spacing w:line="360" w:lineRule="auto"/>
              <w:jc w:val="center"/>
              <w:rPr>
                <w:color w:val="000000"/>
              </w:rPr>
            </w:pPr>
            <w:r>
              <w:rPr>
                <w:color w:val="000000"/>
              </w:rPr>
              <w:t>(0.185)</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lang w:val="en-GB"/>
              </w:rPr>
            </w:pPr>
            <w:r>
              <w:rPr>
                <w:lang w:val="en-GB"/>
              </w:rPr>
              <w:t xml:space="preserve">Constant </w:t>
            </w:r>
          </w:p>
        </w:tc>
        <w:tc>
          <w:tcPr>
            <w:tcW w:w="1214"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10.333***</w:t>
            </w:r>
          </w:p>
        </w:tc>
        <w:tc>
          <w:tcPr>
            <w:tcW w:w="1134"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-0.424</w:t>
            </w:r>
          </w:p>
        </w:tc>
        <w:tc>
          <w:tcPr>
            <w:tcW w:w="1418"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-0.119</w:t>
            </w:r>
          </w:p>
        </w:tc>
        <w:tc>
          <w:tcPr>
            <w:tcW w:w="1417"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5.429***</w:t>
            </w:r>
          </w:p>
        </w:tc>
        <w:tc>
          <w:tcPr>
            <w:tcW w:w="1417" w:type="dxa"/>
            <w:vAlign w:val="bottom"/>
            <w:hideMark/>
          </w:tcPr>
          <w:p w:rsidR="009902E7" w:rsidRDefault="009902E7" w:rsidP="009A7C04">
            <w:pPr>
              <w:spacing w:line="360" w:lineRule="auto"/>
              <w:jc w:val="center"/>
              <w:rPr>
                <w:color w:val="000000"/>
              </w:rPr>
            </w:pPr>
            <w:r>
              <w:rPr>
                <w:color w:val="000000"/>
              </w:rPr>
              <w:t>5.467***</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(0.080)</w:t>
            </w:r>
          </w:p>
        </w:tc>
        <w:tc>
          <w:tcPr>
            <w:tcW w:w="1134"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(1.747)</w:t>
            </w:r>
          </w:p>
        </w:tc>
        <w:tc>
          <w:tcPr>
            <w:tcW w:w="1418"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(1.504)</w:t>
            </w:r>
          </w:p>
        </w:tc>
        <w:tc>
          <w:tcPr>
            <w:tcW w:w="1417" w:type="dxa"/>
            <w:tcMar>
              <w:top w:w="15" w:type="dxa"/>
              <w:left w:w="75" w:type="dxa"/>
              <w:bottom w:w="0" w:type="dxa"/>
              <w:right w:w="75" w:type="dxa"/>
            </w:tcMar>
            <w:hideMark/>
          </w:tcPr>
          <w:p w:rsidR="009902E7" w:rsidRDefault="009902E7" w:rsidP="009A7C04">
            <w:pPr>
              <w:spacing w:line="360" w:lineRule="auto"/>
              <w:jc w:val="center"/>
              <w:rPr>
                <w:color w:val="000000"/>
              </w:rPr>
            </w:pPr>
            <w:r>
              <w:rPr>
                <w:color w:val="000000"/>
              </w:rPr>
              <w:t>(1.313)</w:t>
            </w:r>
          </w:p>
        </w:tc>
        <w:tc>
          <w:tcPr>
            <w:tcW w:w="1417" w:type="dxa"/>
            <w:hideMark/>
          </w:tcPr>
          <w:p w:rsidR="009902E7" w:rsidRDefault="009902E7" w:rsidP="009A7C04">
            <w:pPr>
              <w:spacing w:line="360" w:lineRule="auto"/>
              <w:jc w:val="center"/>
              <w:rPr>
                <w:color w:val="000000"/>
              </w:rPr>
            </w:pPr>
            <w:r>
              <w:rPr>
                <w:color w:val="000000"/>
              </w:rPr>
              <w:t>(1.447)</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spacing w:line="360" w:lineRule="auto"/>
              <w:rPr>
                <w:lang w:val="en-GB"/>
              </w:rPr>
            </w:pPr>
            <w:r>
              <w:rPr>
                <w:lang w:val="en-GB"/>
              </w:rPr>
              <w:t xml:space="preserve">Controls? </w:t>
            </w:r>
          </w:p>
        </w:tc>
        <w:tc>
          <w:tcPr>
            <w:tcW w:w="1214" w:type="dxa"/>
            <w:tcMar>
              <w:top w:w="15" w:type="dxa"/>
              <w:left w:w="75" w:type="dxa"/>
              <w:bottom w:w="0" w:type="dxa"/>
              <w:right w:w="75" w:type="dxa"/>
            </w:tcMar>
            <w:hideMark/>
          </w:tcPr>
          <w:p w:rsidR="009902E7" w:rsidRDefault="009902E7" w:rsidP="009A7C04">
            <w:pPr>
              <w:spacing w:line="360" w:lineRule="auto"/>
              <w:jc w:val="center"/>
              <w:rPr>
                <w:lang w:val="en-GB"/>
              </w:rPr>
            </w:pPr>
            <w:r>
              <w:rPr>
                <w:lang w:val="en-GB"/>
              </w:rPr>
              <w:t>No</w:t>
            </w:r>
          </w:p>
        </w:tc>
        <w:tc>
          <w:tcPr>
            <w:tcW w:w="1134" w:type="dxa"/>
            <w:tcMar>
              <w:top w:w="15" w:type="dxa"/>
              <w:left w:w="75" w:type="dxa"/>
              <w:bottom w:w="0" w:type="dxa"/>
              <w:right w:w="75" w:type="dxa"/>
            </w:tcMar>
            <w:hideMark/>
          </w:tcPr>
          <w:p w:rsidR="009902E7" w:rsidRDefault="009902E7" w:rsidP="009A7C04">
            <w:pPr>
              <w:spacing w:line="360" w:lineRule="auto"/>
              <w:jc w:val="center"/>
              <w:rPr>
                <w:lang w:val="en-GB"/>
              </w:rPr>
            </w:pPr>
            <w:r>
              <w:rPr>
                <w:lang w:val="en-GB"/>
              </w:rPr>
              <w:t>Yes</w:t>
            </w:r>
          </w:p>
        </w:tc>
        <w:tc>
          <w:tcPr>
            <w:tcW w:w="1418" w:type="dxa"/>
            <w:tcMar>
              <w:top w:w="15" w:type="dxa"/>
              <w:left w:w="75" w:type="dxa"/>
              <w:bottom w:w="0" w:type="dxa"/>
              <w:right w:w="75" w:type="dxa"/>
            </w:tcMar>
            <w:hideMark/>
          </w:tcPr>
          <w:p w:rsidR="009902E7" w:rsidRDefault="009902E7" w:rsidP="009A7C04">
            <w:pPr>
              <w:spacing w:line="360" w:lineRule="auto"/>
              <w:jc w:val="center"/>
              <w:rPr>
                <w:lang w:val="en-GB"/>
              </w:rPr>
            </w:pPr>
            <w:r>
              <w:rPr>
                <w:lang w:val="en-GB"/>
              </w:rPr>
              <w:t>Yes</w:t>
            </w:r>
          </w:p>
        </w:tc>
        <w:tc>
          <w:tcPr>
            <w:tcW w:w="1417" w:type="dxa"/>
            <w:tcMar>
              <w:top w:w="15" w:type="dxa"/>
              <w:left w:w="75" w:type="dxa"/>
              <w:bottom w:w="0" w:type="dxa"/>
              <w:right w:w="75" w:type="dxa"/>
            </w:tcMar>
            <w:hideMark/>
          </w:tcPr>
          <w:p w:rsidR="009902E7" w:rsidRDefault="009902E7" w:rsidP="009A7C04">
            <w:pPr>
              <w:spacing w:line="360" w:lineRule="auto"/>
              <w:jc w:val="center"/>
              <w:rPr>
                <w:lang w:val="en-GB"/>
              </w:rPr>
            </w:pPr>
            <w:r>
              <w:rPr>
                <w:lang w:val="en-GB"/>
              </w:rPr>
              <w:t>Yes</w:t>
            </w:r>
          </w:p>
        </w:tc>
        <w:tc>
          <w:tcPr>
            <w:tcW w:w="1417" w:type="dxa"/>
            <w:hideMark/>
          </w:tcPr>
          <w:p w:rsidR="009902E7" w:rsidRDefault="009902E7" w:rsidP="009A7C04">
            <w:pPr>
              <w:spacing w:line="360" w:lineRule="auto"/>
              <w:jc w:val="center"/>
              <w:rPr>
                <w:lang w:val="en-GB"/>
              </w:rPr>
            </w:pPr>
            <w:r>
              <w:rPr>
                <w:lang w:val="en-GB"/>
              </w:rPr>
              <w:t>Yes</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spacing w:line="360" w:lineRule="auto"/>
              <w:rPr>
                <w:lang w:val="en-GB"/>
              </w:rPr>
            </w:pPr>
            <w:r>
              <w:rPr>
                <w:lang w:val="en-GB"/>
              </w:rPr>
              <w:t xml:space="preserve">Observations </w:t>
            </w:r>
          </w:p>
        </w:tc>
        <w:tc>
          <w:tcPr>
            <w:tcW w:w="1214"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883</w:t>
            </w:r>
          </w:p>
        </w:tc>
        <w:tc>
          <w:tcPr>
            <w:tcW w:w="1134"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883</w:t>
            </w:r>
          </w:p>
        </w:tc>
        <w:tc>
          <w:tcPr>
            <w:tcW w:w="1418"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883</w:t>
            </w:r>
          </w:p>
        </w:tc>
        <w:tc>
          <w:tcPr>
            <w:tcW w:w="1417" w:type="dxa"/>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883</w:t>
            </w:r>
          </w:p>
        </w:tc>
        <w:tc>
          <w:tcPr>
            <w:tcW w:w="1417" w:type="dxa"/>
            <w:vAlign w:val="bottom"/>
            <w:hideMark/>
          </w:tcPr>
          <w:p w:rsidR="009902E7" w:rsidRDefault="009902E7" w:rsidP="009A7C04">
            <w:pPr>
              <w:spacing w:line="360" w:lineRule="auto"/>
              <w:jc w:val="center"/>
              <w:rPr>
                <w:color w:val="000000"/>
              </w:rPr>
            </w:pPr>
            <w:r>
              <w:rPr>
                <w:color w:val="000000"/>
              </w:rPr>
              <w:t>883</w:t>
            </w:r>
          </w:p>
        </w:tc>
      </w:tr>
      <w:tr w:rsidR="009902E7" w:rsidTr="00F574D8">
        <w:trPr>
          <w:trHeight w:val="480"/>
        </w:trPr>
        <w:tc>
          <w:tcPr>
            <w:tcW w:w="2636" w:type="dxa"/>
            <w:tcBorders>
              <w:top w:val="nil"/>
              <w:left w:val="nil"/>
              <w:bottom w:val="single" w:sz="8" w:space="0" w:color="000000"/>
              <w:right w:val="nil"/>
            </w:tcBorders>
            <w:tcMar>
              <w:top w:w="15" w:type="dxa"/>
              <w:left w:w="75" w:type="dxa"/>
              <w:bottom w:w="0" w:type="dxa"/>
              <w:right w:w="75" w:type="dxa"/>
            </w:tcMar>
            <w:hideMark/>
          </w:tcPr>
          <w:p w:rsidR="009902E7" w:rsidRDefault="009902E7" w:rsidP="009A7C04">
            <w:pPr>
              <w:spacing w:line="360" w:lineRule="auto"/>
              <w:rPr>
                <w:lang w:val="en-GB"/>
              </w:rPr>
            </w:pPr>
            <w:r>
              <w:rPr>
                <w:lang w:val="en-GB"/>
              </w:rPr>
              <w:t xml:space="preserve">R-squared </w:t>
            </w:r>
          </w:p>
        </w:tc>
        <w:tc>
          <w:tcPr>
            <w:tcW w:w="1214"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0.00</w:t>
            </w:r>
          </w:p>
        </w:tc>
        <w:tc>
          <w:tcPr>
            <w:tcW w:w="1134"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0.21</w:t>
            </w:r>
          </w:p>
        </w:tc>
        <w:tc>
          <w:tcPr>
            <w:tcW w:w="1418"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0.37</w:t>
            </w:r>
          </w:p>
        </w:tc>
        <w:tc>
          <w:tcPr>
            <w:tcW w:w="1417"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0.50</w:t>
            </w:r>
          </w:p>
        </w:tc>
        <w:tc>
          <w:tcPr>
            <w:tcW w:w="1417" w:type="dxa"/>
            <w:tcBorders>
              <w:top w:val="nil"/>
              <w:left w:val="nil"/>
              <w:bottom w:val="single" w:sz="8" w:space="0" w:color="000000"/>
              <w:right w:val="nil"/>
            </w:tcBorders>
            <w:vAlign w:val="bottom"/>
            <w:hideMark/>
          </w:tcPr>
          <w:p w:rsidR="009902E7" w:rsidRDefault="009902E7" w:rsidP="009A7C04">
            <w:pPr>
              <w:spacing w:line="360" w:lineRule="auto"/>
              <w:jc w:val="center"/>
              <w:rPr>
                <w:color w:val="000000"/>
              </w:rPr>
            </w:pPr>
            <w:r>
              <w:rPr>
                <w:color w:val="000000"/>
              </w:rPr>
              <w:t>0.51</w:t>
            </w:r>
          </w:p>
        </w:tc>
      </w:tr>
    </w:tbl>
    <w:p w:rsidR="009902E7" w:rsidRDefault="009902E7" w:rsidP="009902E7">
      <w:pPr>
        <w:rPr>
          <w:lang w:val="en-GB"/>
        </w:rPr>
      </w:pPr>
      <w:r>
        <w:t>Note: OLS estimates: Controls are: season dummy; player's position; quadratic in age; UK born; England international; international of another country</w:t>
      </w:r>
      <w:r w:rsidR="003C269E">
        <w:t>, and club at which playing</w:t>
      </w:r>
      <w:r>
        <w:t>.</w:t>
      </w:r>
      <w:r>
        <w:rPr>
          <w:rFonts w:eastAsiaTheme="minorEastAsia"/>
          <w:lang w:val="en-GB" w:eastAsia="en-GB"/>
        </w:rPr>
        <w:t xml:space="preserve"> S</w:t>
      </w:r>
      <w:r>
        <w:rPr>
          <w:lang w:val="en-GB"/>
        </w:rPr>
        <w:t>tandard errors clustered at the individual level in parentheses</w:t>
      </w:r>
      <w:r w:rsidR="003C269E">
        <w:rPr>
          <w:lang w:val="en-GB"/>
        </w:rPr>
        <w:t>.</w:t>
      </w:r>
    </w:p>
    <w:p w:rsidR="009902E7" w:rsidRDefault="009902E7" w:rsidP="009902E7">
      <w:pPr>
        <w:rPr>
          <w:lang w:val="en-GB"/>
        </w:rPr>
      </w:pPr>
      <w:r>
        <w:rPr>
          <w:lang w:val="en-GB"/>
        </w:rPr>
        <w:t>*** p&lt;0.01, ** p&lt;0.05, * p&lt;0.1</w:t>
      </w:r>
    </w:p>
    <w:p w:rsidR="009902E7" w:rsidRDefault="009902E7" w:rsidP="009902E7">
      <w:r>
        <w:br w:type="page"/>
      </w:r>
    </w:p>
    <w:p w:rsidR="009902E7" w:rsidRDefault="009902E7" w:rsidP="009902E7">
      <w:pPr>
        <w:rPr>
          <w:b/>
        </w:rPr>
      </w:pPr>
      <w:r>
        <w:rPr>
          <w:b/>
        </w:rPr>
        <w:lastRenderedPageBreak/>
        <w:t>Table 4: Quantile Regression of log Initial Hire</w:t>
      </w:r>
    </w:p>
    <w:p w:rsidR="009902E7" w:rsidRDefault="009902E7" w:rsidP="009902E7">
      <w:pPr>
        <w:rPr>
          <w:b/>
        </w:rPr>
      </w:pPr>
    </w:p>
    <w:tbl>
      <w:tblPr>
        <w:tblW w:w="9236" w:type="dxa"/>
        <w:tblInd w:w="-580" w:type="dxa"/>
        <w:tblCellMar>
          <w:left w:w="0" w:type="dxa"/>
          <w:right w:w="0" w:type="dxa"/>
        </w:tblCellMar>
        <w:tblLook w:val="04A0" w:firstRow="1" w:lastRow="0" w:firstColumn="1" w:lastColumn="0" w:noHBand="0" w:noVBand="1"/>
      </w:tblPr>
      <w:tblGrid>
        <w:gridCol w:w="2636"/>
        <w:gridCol w:w="1214"/>
        <w:gridCol w:w="1134"/>
        <w:gridCol w:w="1418"/>
        <w:gridCol w:w="1417"/>
        <w:gridCol w:w="1417"/>
      </w:tblGrid>
      <w:tr w:rsidR="009902E7" w:rsidTr="00F574D8">
        <w:trPr>
          <w:trHeight w:val="480"/>
        </w:trPr>
        <w:tc>
          <w:tcPr>
            <w:tcW w:w="2636"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Q10</w:t>
            </w:r>
          </w:p>
        </w:tc>
        <w:tc>
          <w:tcPr>
            <w:tcW w:w="113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Q25</w:t>
            </w:r>
          </w:p>
        </w:tc>
        <w:tc>
          <w:tcPr>
            <w:tcW w:w="141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Q50</w:t>
            </w:r>
          </w:p>
        </w:tc>
        <w:tc>
          <w:tcPr>
            <w:tcW w:w="141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Q75</w:t>
            </w:r>
          </w:p>
        </w:tc>
        <w:tc>
          <w:tcPr>
            <w:tcW w:w="1417" w:type="dxa"/>
            <w:tcBorders>
              <w:top w:val="single" w:sz="8" w:space="0" w:color="000000"/>
              <w:left w:val="nil"/>
              <w:bottom w:val="nil"/>
              <w:right w:val="nil"/>
            </w:tcBorders>
            <w:hideMark/>
          </w:tcPr>
          <w:p w:rsidR="009902E7" w:rsidRDefault="009902E7" w:rsidP="009A7C04">
            <w:pPr>
              <w:spacing w:line="360" w:lineRule="auto"/>
              <w:jc w:val="center"/>
              <w:rPr>
                <w:lang w:val="en-GB"/>
              </w:rPr>
            </w:pPr>
            <w:r>
              <w:rPr>
                <w:lang w:val="en-GB"/>
              </w:rPr>
              <w:t>Q90</w:t>
            </w:r>
          </w:p>
        </w:tc>
      </w:tr>
      <w:tr w:rsidR="009902E7" w:rsidTr="00F574D8">
        <w:trPr>
          <w:trHeight w:val="480"/>
        </w:trPr>
        <w:tc>
          <w:tcPr>
            <w:tcW w:w="2636"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13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417" w:type="dxa"/>
            <w:tcBorders>
              <w:top w:val="single" w:sz="8" w:space="0" w:color="000000"/>
              <w:left w:val="nil"/>
              <w:bottom w:val="nil"/>
              <w:right w:val="nil"/>
            </w:tcBorders>
          </w:tcPr>
          <w:p w:rsidR="009902E7" w:rsidRDefault="009902E7" w:rsidP="009A7C04">
            <w:pPr>
              <w:spacing w:line="360" w:lineRule="auto"/>
              <w:jc w:val="center"/>
              <w:rPr>
                <w:lang w:val="en-GB"/>
              </w:rPr>
            </w:pP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Non-White</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0.142</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0.128</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0.162</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0.068</w:t>
            </w:r>
          </w:p>
        </w:tc>
        <w:tc>
          <w:tcPr>
            <w:tcW w:w="1417" w:type="dxa"/>
            <w:vAlign w:val="bottom"/>
            <w:hideMark/>
          </w:tcPr>
          <w:p w:rsidR="009902E7" w:rsidRDefault="009902E7" w:rsidP="009A7C04">
            <w:pPr>
              <w:jc w:val="center"/>
              <w:rPr>
                <w:color w:val="000000"/>
              </w:rPr>
            </w:pPr>
            <w:r>
              <w:rPr>
                <w:color w:val="000000"/>
              </w:rPr>
              <w:t>-0.256</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(0.148)</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(0.127)</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(0.105)</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(0.130)</w:t>
            </w:r>
          </w:p>
        </w:tc>
        <w:tc>
          <w:tcPr>
            <w:tcW w:w="1417" w:type="dxa"/>
            <w:hideMark/>
          </w:tcPr>
          <w:p w:rsidR="009902E7" w:rsidRDefault="009902E7" w:rsidP="009A7C04">
            <w:pPr>
              <w:jc w:val="center"/>
              <w:rPr>
                <w:color w:val="000000"/>
              </w:rPr>
            </w:pPr>
            <w:r>
              <w:rPr>
                <w:color w:val="000000"/>
              </w:rPr>
              <w:t>(0.174)</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Initial Price</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0.617*</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0.653**</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0.190</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-0.148</w:t>
            </w:r>
          </w:p>
        </w:tc>
        <w:tc>
          <w:tcPr>
            <w:tcW w:w="1417" w:type="dxa"/>
            <w:vAlign w:val="bottom"/>
            <w:hideMark/>
          </w:tcPr>
          <w:p w:rsidR="009902E7" w:rsidRDefault="009902E7" w:rsidP="009A7C04">
            <w:pPr>
              <w:jc w:val="center"/>
              <w:rPr>
                <w:color w:val="000000"/>
              </w:rPr>
            </w:pPr>
            <w:r>
              <w:rPr>
                <w:color w:val="000000"/>
              </w:rPr>
              <w:t>0.002</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(0.409)</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(0.277)</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(0.264)</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(0.274)</w:t>
            </w:r>
          </w:p>
        </w:tc>
        <w:tc>
          <w:tcPr>
            <w:tcW w:w="1417" w:type="dxa"/>
            <w:hideMark/>
          </w:tcPr>
          <w:p w:rsidR="009902E7" w:rsidRDefault="009902E7" w:rsidP="009A7C04">
            <w:pPr>
              <w:jc w:val="center"/>
              <w:rPr>
                <w:color w:val="000000"/>
              </w:rPr>
            </w:pPr>
            <w:r>
              <w:rPr>
                <w:color w:val="000000"/>
              </w:rPr>
              <w:t>(0.313)</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Initial Price Square</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-0.023</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-0.028*</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-0.003</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0.018</w:t>
            </w:r>
          </w:p>
        </w:tc>
        <w:tc>
          <w:tcPr>
            <w:tcW w:w="1417" w:type="dxa"/>
            <w:vAlign w:val="bottom"/>
            <w:hideMark/>
          </w:tcPr>
          <w:p w:rsidR="009902E7" w:rsidRDefault="009902E7" w:rsidP="009A7C04">
            <w:pPr>
              <w:jc w:val="center"/>
              <w:rPr>
                <w:color w:val="000000"/>
              </w:rPr>
            </w:pPr>
            <w:r>
              <w:rPr>
                <w:color w:val="000000"/>
              </w:rPr>
              <w:t>0.007</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(0.023)</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(0.017)</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(0.016)</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(0.016)</w:t>
            </w:r>
          </w:p>
        </w:tc>
        <w:tc>
          <w:tcPr>
            <w:tcW w:w="1417" w:type="dxa"/>
            <w:hideMark/>
          </w:tcPr>
          <w:p w:rsidR="009902E7" w:rsidRDefault="009902E7" w:rsidP="009A7C04">
            <w:pPr>
              <w:jc w:val="center"/>
              <w:rPr>
                <w:color w:val="000000"/>
              </w:rPr>
            </w:pPr>
            <w:r>
              <w:rPr>
                <w:color w:val="000000"/>
              </w:rPr>
              <w:t>(0.018)</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Points previous season</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0.020***</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0.025***</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0.029***</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0.030***</w:t>
            </w:r>
          </w:p>
        </w:tc>
        <w:tc>
          <w:tcPr>
            <w:tcW w:w="1417" w:type="dxa"/>
            <w:vAlign w:val="bottom"/>
            <w:hideMark/>
          </w:tcPr>
          <w:p w:rsidR="009902E7" w:rsidRDefault="009902E7" w:rsidP="009A7C04">
            <w:pPr>
              <w:jc w:val="center"/>
              <w:rPr>
                <w:color w:val="000000"/>
              </w:rPr>
            </w:pPr>
            <w:r>
              <w:rPr>
                <w:color w:val="000000"/>
              </w:rPr>
              <w:t>0.029***</w:t>
            </w:r>
          </w:p>
        </w:tc>
      </w:tr>
      <w:tr w:rsidR="009902E7" w:rsidTr="00F574D8">
        <w:trPr>
          <w:trHeight w:val="480"/>
        </w:trPr>
        <w:tc>
          <w:tcPr>
            <w:tcW w:w="2636" w:type="dxa"/>
            <w:tcMar>
              <w:top w:w="15" w:type="dxa"/>
              <w:left w:w="75" w:type="dxa"/>
              <w:bottom w:w="0" w:type="dxa"/>
              <w:right w:w="75" w:type="dxa"/>
            </w:tcMar>
          </w:tcPr>
          <w:p w:rsidR="009902E7" w:rsidRDefault="009902E7" w:rsidP="009A7C04">
            <w:pPr>
              <w:spacing w:line="360" w:lineRule="auto"/>
              <w:rPr>
                <w:color w:val="000000"/>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(0.004)</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(0.004)</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(0.005)</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(0.004)</w:t>
            </w:r>
          </w:p>
        </w:tc>
        <w:tc>
          <w:tcPr>
            <w:tcW w:w="1417" w:type="dxa"/>
            <w:hideMark/>
          </w:tcPr>
          <w:p w:rsidR="009902E7" w:rsidRDefault="009902E7" w:rsidP="009A7C04">
            <w:pPr>
              <w:jc w:val="center"/>
              <w:rPr>
                <w:color w:val="000000"/>
              </w:rPr>
            </w:pPr>
            <w:r>
              <w:rPr>
                <w:color w:val="000000"/>
              </w:rPr>
              <w:t>(0.004)</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vertAlign w:val="subscript"/>
              </w:rPr>
            </w:pPr>
            <w:r>
              <w:rPr>
                <w:color w:val="000000"/>
              </w:rPr>
              <w:t xml:space="preserve">Points previous </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-0.009</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-0.034*</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-0056**</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-0.081***</w:t>
            </w:r>
          </w:p>
        </w:tc>
        <w:tc>
          <w:tcPr>
            <w:tcW w:w="1417" w:type="dxa"/>
            <w:vAlign w:val="bottom"/>
            <w:hideMark/>
          </w:tcPr>
          <w:p w:rsidR="009902E7" w:rsidRDefault="009902E7" w:rsidP="009A7C04">
            <w:pPr>
              <w:jc w:val="center"/>
              <w:rPr>
                <w:color w:val="000000"/>
              </w:rPr>
            </w:pPr>
            <w:r>
              <w:rPr>
                <w:color w:val="000000"/>
              </w:rPr>
              <w:t>-0.076***</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spacing w:line="360" w:lineRule="auto"/>
              <w:rPr>
                <w:color w:val="000000"/>
              </w:rPr>
            </w:pPr>
            <w:r>
              <w:rPr>
                <w:color w:val="000000"/>
              </w:rPr>
              <w:t>season</w:t>
            </w:r>
            <w:r>
              <w:rPr>
                <w:color w:val="000000"/>
                <w:vertAlign w:val="superscript"/>
              </w:rPr>
              <w:t>2</w:t>
            </w:r>
            <w:r>
              <w:rPr>
                <w:color w:val="000000"/>
                <w:vertAlign w:val="subscript"/>
              </w:rPr>
              <w:t>/1000</w:t>
            </w: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(0.024)</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(0.019)</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(0.022)</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(0.021)</w:t>
            </w:r>
          </w:p>
        </w:tc>
        <w:tc>
          <w:tcPr>
            <w:tcW w:w="1417" w:type="dxa"/>
            <w:hideMark/>
          </w:tcPr>
          <w:p w:rsidR="009902E7" w:rsidRDefault="009902E7" w:rsidP="009A7C04">
            <w:pPr>
              <w:jc w:val="center"/>
              <w:rPr>
                <w:color w:val="000000"/>
              </w:rPr>
            </w:pPr>
            <w:r>
              <w:rPr>
                <w:color w:val="000000"/>
              </w:rPr>
              <w:t>(0.021)</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Not in league last year</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0.138</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0.423</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0.845***</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0.959***</w:t>
            </w:r>
          </w:p>
        </w:tc>
        <w:tc>
          <w:tcPr>
            <w:tcW w:w="1417" w:type="dxa"/>
            <w:vAlign w:val="bottom"/>
            <w:hideMark/>
          </w:tcPr>
          <w:p w:rsidR="009902E7" w:rsidRDefault="009902E7" w:rsidP="009A7C04">
            <w:pPr>
              <w:jc w:val="center"/>
              <w:rPr>
                <w:color w:val="000000"/>
              </w:rPr>
            </w:pPr>
            <w:r>
              <w:rPr>
                <w:color w:val="000000"/>
              </w:rPr>
              <w:t>1.228***</w:t>
            </w:r>
          </w:p>
        </w:tc>
      </w:tr>
      <w:tr w:rsidR="009902E7" w:rsidTr="00F574D8">
        <w:trPr>
          <w:trHeight w:val="480"/>
        </w:trPr>
        <w:tc>
          <w:tcPr>
            <w:tcW w:w="2636" w:type="dxa"/>
            <w:tcMar>
              <w:top w:w="15" w:type="dxa"/>
              <w:left w:w="75" w:type="dxa"/>
              <w:bottom w:w="0" w:type="dxa"/>
              <w:right w:w="75" w:type="dxa"/>
            </w:tcMar>
          </w:tcPr>
          <w:p w:rsidR="009902E7" w:rsidRDefault="009902E7" w:rsidP="009A7C04">
            <w:pPr>
              <w:spacing w:line="360" w:lineRule="auto"/>
              <w:rPr>
                <w:color w:val="000000"/>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(0.238)</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(0.263)</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(0.310)</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(0.293)</w:t>
            </w:r>
          </w:p>
        </w:tc>
        <w:tc>
          <w:tcPr>
            <w:tcW w:w="1417" w:type="dxa"/>
            <w:hideMark/>
          </w:tcPr>
          <w:p w:rsidR="009902E7" w:rsidRDefault="009902E7" w:rsidP="009A7C04">
            <w:pPr>
              <w:jc w:val="center"/>
              <w:rPr>
                <w:color w:val="000000"/>
              </w:rPr>
            </w:pPr>
            <w:r>
              <w:rPr>
                <w:color w:val="000000"/>
              </w:rPr>
              <w:t>(0.346)</w:t>
            </w:r>
          </w:p>
        </w:tc>
      </w:tr>
      <w:tr w:rsidR="009902E7" w:rsidTr="00F574D8">
        <w:trPr>
          <w:trHeight w:val="480"/>
        </w:trPr>
        <w:tc>
          <w:tcPr>
            <w:tcW w:w="2636" w:type="dxa"/>
            <w:tcMar>
              <w:top w:w="15" w:type="dxa"/>
              <w:left w:w="75" w:type="dxa"/>
              <w:bottom w:w="0" w:type="dxa"/>
              <w:right w:w="75" w:type="dxa"/>
            </w:tcMar>
            <w:vAlign w:val="bottom"/>
            <w:hideMark/>
          </w:tcPr>
          <w:p w:rsidR="009902E7" w:rsidRDefault="009902E7" w:rsidP="009A7C04">
            <w:pPr>
              <w:spacing w:line="360" w:lineRule="auto"/>
              <w:rPr>
                <w:lang w:val="en-GB"/>
              </w:rPr>
            </w:pPr>
            <w:r>
              <w:rPr>
                <w:lang w:val="en-GB"/>
              </w:rPr>
              <w:t xml:space="preserve">Constant </w:t>
            </w:r>
          </w:p>
        </w:tc>
        <w:tc>
          <w:tcPr>
            <w:tcW w:w="121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2.517</w:t>
            </w:r>
          </w:p>
        </w:tc>
        <w:tc>
          <w:tcPr>
            <w:tcW w:w="1134"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5.044***</w:t>
            </w:r>
          </w:p>
        </w:tc>
        <w:tc>
          <w:tcPr>
            <w:tcW w:w="141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6.105***</w:t>
            </w:r>
          </w:p>
        </w:tc>
        <w:tc>
          <w:tcPr>
            <w:tcW w:w="1417"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7.000***</w:t>
            </w:r>
          </w:p>
        </w:tc>
        <w:tc>
          <w:tcPr>
            <w:tcW w:w="1417" w:type="dxa"/>
            <w:vAlign w:val="bottom"/>
            <w:hideMark/>
          </w:tcPr>
          <w:p w:rsidR="009902E7" w:rsidRDefault="009902E7" w:rsidP="009A7C04">
            <w:pPr>
              <w:jc w:val="center"/>
              <w:rPr>
                <w:color w:val="000000"/>
              </w:rPr>
            </w:pPr>
            <w:r>
              <w:rPr>
                <w:color w:val="000000"/>
              </w:rPr>
              <w:t>9.637***</w:t>
            </w:r>
          </w:p>
        </w:tc>
      </w:tr>
      <w:tr w:rsidR="009902E7" w:rsidTr="00F574D8">
        <w:trPr>
          <w:trHeight w:val="480"/>
        </w:trPr>
        <w:tc>
          <w:tcPr>
            <w:tcW w:w="2636" w:type="dxa"/>
            <w:tcMar>
              <w:top w:w="15" w:type="dxa"/>
              <w:left w:w="75" w:type="dxa"/>
              <w:bottom w:w="0" w:type="dxa"/>
              <w:right w:w="75" w:type="dxa"/>
            </w:tcMar>
            <w:hideMark/>
          </w:tcPr>
          <w:p w:rsidR="009902E7" w:rsidRDefault="009902E7" w:rsidP="009A7C04">
            <w:pPr>
              <w:rPr>
                <w:sz w:val="20"/>
                <w:szCs w:val="20"/>
                <w:lang w:val="en-GB" w:eastAsia="en-GB"/>
              </w:rPr>
            </w:pPr>
          </w:p>
        </w:tc>
        <w:tc>
          <w:tcPr>
            <w:tcW w:w="1214" w:type="dxa"/>
            <w:tcMar>
              <w:top w:w="15" w:type="dxa"/>
              <w:left w:w="75" w:type="dxa"/>
              <w:bottom w:w="0" w:type="dxa"/>
              <w:right w:w="75" w:type="dxa"/>
            </w:tcMar>
            <w:hideMark/>
          </w:tcPr>
          <w:p w:rsidR="009902E7" w:rsidRDefault="009902E7" w:rsidP="009A7C04">
            <w:pPr>
              <w:jc w:val="center"/>
              <w:rPr>
                <w:color w:val="000000"/>
              </w:rPr>
            </w:pPr>
            <w:r>
              <w:rPr>
                <w:color w:val="000000"/>
              </w:rPr>
              <w:t>(2.273)</w:t>
            </w:r>
          </w:p>
        </w:tc>
        <w:tc>
          <w:tcPr>
            <w:tcW w:w="1134" w:type="dxa"/>
            <w:tcMar>
              <w:top w:w="15" w:type="dxa"/>
              <w:left w:w="75" w:type="dxa"/>
              <w:bottom w:w="0" w:type="dxa"/>
              <w:right w:w="75" w:type="dxa"/>
            </w:tcMar>
            <w:hideMark/>
          </w:tcPr>
          <w:p w:rsidR="009902E7" w:rsidRDefault="009902E7" w:rsidP="009A7C04">
            <w:pPr>
              <w:jc w:val="center"/>
              <w:rPr>
                <w:color w:val="000000"/>
              </w:rPr>
            </w:pPr>
            <w:r>
              <w:rPr>
                <w:color w:val="000000"/>
              </w:rPr>
              <w:t>(1.804)</w:t>
            </w:r>
          </w:p>
        </w:tc>
        <w:tc>
          <w:tcPr>
            <w:tcW w:w="1418" w:type="dxa"/>
            <w:tcMar>
              <w:top w:w="15" w:type="dxa"/>
              <w:left w:w="75" w:type="dxa"/>
              <w:bottom w:w="0" w:type="dxa"/>
              <w:right w:w="75" w:type="dxa"/>
            </w:tcMar>
            <w:hideMark/>
          </w:tcPr>
          <w:p w:rsidR="009902E7" w:rsidRDefault="009902E7" w:rsidP="009A7C04">
            <w:pPr>
              <w:jc w:val="center"/>
              <w:rPr>
                <w:color w:val="000000"/>
              </w:rPr>
            </w:pPr>
            <w:r>
              <w:rPr>
                <w:color w:val="000000"/>
              </w:rPr>
              <w:t>(1.17)</w:t>
            </w:r>
          </w:p>
        </w:tc>
        <w:tc>
          <w:tcPr>
            <w:tcW w:w="1417" w:type="dxa"/>
            <w:tcMar>
              <w:top w:w="15" w:type="dxa"/>
              <w:left w:w="75" w:type="dxa"/>
              <w:bottom w:w="0" w:type="dxa"/>
              <w:right w:w="75" w:type="dxa"/>
            </w:tcMar>
            <w:hideMark/>
          </w:tcPr>
          <w:p w:rsidR="009902E7" w:rsidRDefault="009902E7" w:rsidP="009A7C04">
            <w:pPr>
              <w:jc w:val="center"/>
              <w:rPr>
                <w:color w:val="000000"/>
              </w:rPr>
            </w:pPr>
            <w:r>
              <w:rPr>
                <w:color w:val="000000"/>
              </w:rPr>
              <w:t>(2.107)</w:t>
            </w:r>
          </w:p>
        </w:tc>
        <w:tc>
          <w:tcPr>
            <w:tcW w:w="1417" w:type="dxa"/>
            <w:hideMark/>
          </w:tcPr>
          <w:p w:rsidR="009902E7" w:rsidRDefault="009902E7" w:rsidP="009A7C04">
            <w:pPr>
              <w:jc w:val="center"/>
              <w:rPr>
                <w:color w:val="000000"/>
              </w:rPr>
            </w:pPr>
            <w:r>
              <w:rPr>
                <w:color w:val="000000"/>
              </w:rPr>
              <w:t>(2.412)</w:t>
            </w:r>
          </w:p>
        </w:tc>
      </w:tr>
      <w:tr w:rsidR="009902E7" w:rsidTr="00F574D8">
        <w:trPr>
          <w:trHeight w:val="480"/>
        </w:trPr>
        <w:tc>
          <w:tcPr>
            <w:tcW w:w="2636" w:type="dxa"/>
            <w:tcBorders>
              <w:top w:val="nil"/>
              <w:left w:val="nil"/>
              <w:bottom w:val="single" w:sz="8" w:space="0" w:color="000000"/>
              <w:right w:val="nil"/>
            </w:tcBorders>
            <w:tcMar>
              <w:top w:w="15" w:type="dxa"/>
              <w:left w:w="75" w:type="dxa"/>
              <w:bottom w:w="0" w:type="dxa"/>
              <w:right w:w="75" w:type="dxa"/>
            </w:tcMar>
            <w:hideMark/>
          </w:tcPr>
          <w:p w:rsidR="009902E7" w:rsidRDefault="009902E7" w:rsidP="009A7C04">
            <w:pPr>
              <w:spacing w:line="360" w:lineRule="auto"/>
              <w:rPr>
                <w:lang w:val="en-GB"/>
              </w:rPr>
            </w:pPr>
            <w:r>
              <w:rPr>
                <w:lang w:val="en-GB"/>
              </w:rPr>
              <w:t xml:space="preserve">Pseudo R-squared </w:t>
            </w:r>
          </w:p>
        </w:tc>
        <w:tc>
          <w:tcPr>
            <w:tcW w:w="1214"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0.33</w:t>
            </w:r>
          </w:p>
        </w:tc>
        <w:tc>
          <w:tcPr>
            <w:tcW w:w="1134"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0.35</w:t>
            </w:r>
          </w:p>
        </w:tc>
        <w:tc>
          <w:tcPr>
            <w:tcW w:w="1418"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0.35</w:t>
            </w:r>
          </w:p>
        </w:tc>
        <w:tc>
          <w:tcPr>
            <w:tcW w:w="1417"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0.31</w:t>
            </w:r>
          </w:p>
        </w:tc>
        <w:tc>
          <w:tcPr>
            <w:tcW w:w="1417" w:type="dxa"/>
            <w:tcBorders>
              <w:top w:val="nil"/>
              <w:left w:val="nil"/>
              <w:bottom w:val="single" w:sz="8" w:space="0" w:color="000000"/>
              <w:right w:val="nil"/>
            </w:tcBorders>
            <w:vAlign w:val="bottom"/>
            <w:hideMark/>
          </w:tcPr>
          <w:p w:rsidR="009902E7" w:rsidRDefault="009902E7" w:rsidP="009A7C04">
            <w:pPr>
              <w:spacing w:line="360" w:lineRule="auto"/>
              <w:jc w:val="center"/>
              <w:rPr>
                <w:color w:val="000000"/>
              </w:rPr>
            </w:pPr>
            <w:r>
              <w:rPr>
                <w:color w:val="000000"/>
              </w:rPr>
              <w:t>0.27</w:t>
            </w:r>
          </w:p>
        </w:tc>
      </w:tr>
    </w:tbl>
    <w:p w:rsidR="009902E7" w:rsidRDefault="009902E7" w:rsidP="009902E7">
      <w:pPr>
        <w:rPr>
          <w:lang w:val="en-GB"/>
        </w:rPr>
      </w:pPr>
      <w:r>
        <w:t>Note: Quantile estimates are estimated simultaneously: Controls are: season dummy; player's position; quadratic in age; UK born; England international; international of another country</w:t>
      </w:r>
      <w:r w:rsidR="006D3E5D">
        <w:t>, and club at which playing</w:t>
      </w:r>
      <w:r>
        <w:t>.</w:t>
      </w:r>
      <w:r>
        <w:rPr>
          <w:rFonts w:eastAsiaTheme="minorEastAsia"/>
          <w:lang w:val="en-GB" w:eastAsia="en-GB"/>
        </w:rPr>
        <w:t xml:space="preserve"> S</w:t>
      </w:r>
      <w:r>
        <w:rPr>
          <w:lang w:val="en-GB"/>
        </w:rPr>
        <w:t>tandard errors are obtained by bootstrap (100 replications)</w:t>
      </w:r>
    </w:p>
    <w:p w:rsidR="009902E7" w:rsidRDefault="009902E7" w:rsidP="009902E7">
      <w:pPr>
        <w:rPr>
          <w:lang w:val="en-GB"/>
        </w:rPr>
      </w:pPr>
      <w:r>
        <w:rPr>
          <w:lang w:val="en-GB"/>
        </w:rPr>
        <w:t>*** p&lt;0.01, ** p&lt;0.05, * p&lt;0.1. Sample size: N=883.</w:t>
      </w:r>
    </w:p>
    <w:p w:rsidR="009902E7" w:rsidRDefault="009902E7" w:rsidP="009902E7">
      <w:pPr>
        <w:rPr>
          <w:lang w:val="en-GB"/>
        </w:rPr>
      </w:pPr>
    </w:p>
    <w:p w:rsidR="009902E7" w:rsidRDefault="009902E7" w:rsidP="009902E7"/>
    <w:p w:rsidR="009902E7" w:rsidRDefault="009902E7" w:rsidP="009902E7">
      <w:r>
        <w:br w:type="page"/>
      </w:r>
    </w:p>
    <w:p w:rsidR="009902E7" w:rsidRDefault="009902E7" w:rsidP="009902E7">
      <w:pPr>
        <w:rPr>
          <w:b/>
        </w:rPr>
      </w:pPr>
      <w:r>
        <w:rPr>
          <w:b/>
        </w:rPr>
        <w:lastRenderedPageBreak/>
        <w:t xml:space="preserve">Table 5: OLS – Log Initial Hire – Test for Heterogeneity </w:t>
      </w:r>
    </w:p>
    <w:p w:rsidR="009902E7" w:rsidRDefault="009902E7" w:rsidP="009902E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18"/>
        <w:gridCol w:w="1275"/>
        <w:gridCol w:w="1134"/>
      </w:tblGrid>
      <w:tr w:rsidR="009902E7" w:rsidTr="009A7C04">
        <w:tc>
          <w:tcPr>
            <w:tcW w:w="4786" w:type="dxa"/>
            <w:tcBorders>
              <w:top w:val="single" w:sz="4" w:space="0" w:color="auto"/>
              <w:left w:val="nil"/>
              <w:bottom w:val="single" w:sz="4" w:space="0" w:color="auto"/>
              <w:right w:val="nil"/>
            </w:tcBorders>
            <w:hideMark/>
          </w:tcPr>
          <w:p w:rsidR="009902E7" w:rsidRDefault="009902E7" w:rsidP="009A7C04">
            <w:pPr>
              <w:spacing w:after="180"/>
              <w:rPr>
                <w:color w:val="000000" w:themeColor="text1"/>
                <w:kern w:val="24"/>
                <w:lang w:val="en-GB"/>
              </w:rPr>
            </w:pPr>
            <w:r>
              <w:rPr>
                <w:color w:val="000000" w:themeColor="text1"/>
                <w:kern w:val="24"/>
                <w:lang w:val="en-GB"/>
              </w:rPr>
              <w:t>Population</w:t>
            </w:r>
          </w:p>
        </w:tc>
        <w:tc>
          <w:tcPr>
            <w:tcW w:w="1418" w:type="dxa"/>
            <w:tcBorders>
              <w:top w:val="single" w:sz="4" w:space="0" w:color="auto"/>
              <w:left w:val="nil"/>
              <w:bottom w:val="single" w:sz="4" w:space="0" w:color="auto"/>
              <w:right w:val="nil"/>
            </w:tcBorders>
            <w:hideMark/>
          </w:tcPr>
          <w:p w:rsidR="009902E7" w:rsidRDefault="009902E7" w:rsidP="009A7C04">
            <w:pPr>
              <w:spacing w:after="180"/>
              <w:rPr>
                <w:color w:val="000000" w:themeColor="text1"/>
                <w:kern w:val="24"/>
                <w:lang w:val="en-GB"/>
              </w:rPr>
            </w:pPr>
            <w:r>
              <w:rPr>
                <w:color w:val="000000" w:themeColor="text1"/>
                <w:kern w:val="24"/>
                <w:lang w:val="en-GB"/>
              </w:rPr>
              <w:t>Non-White</w:t>
            </w:r>
          </w:p>
        </w:tc>
        <w:tc>
          <w:tcPr>
            <w:tcW w:w="1275" w:type="dxa"/>
            <w:tcBorders>
              <w:top w:val="single" w:sz="4" w:space="0" w:color="auto"/>
              <w:left w:val="nil"/>
              <w:bottom w:val="single" w:sz="4" w:space="0" w:color="auto"/>
              <w:right w:val="nil"/>
            </w:tcBorders>
            <w:hideMark/>
          </w:tcPr>
          <w:p w:rsidR="009902E7" w:rsidRDefault="009902E7" w:rsidP="009A7C04">
            <w:pPr>
              <w:spacing w:after="180"/>
              <w:rPr>
                <w:color w:val="000000" w:themeColor="text1"/>
                <w:kern w:val="24"/>
                <w:vertAlign w:val="superscript"/>
                <w:lang w:val="en-GB"/>
              </w:rPr>
            </w:pPr>
            <w:r>
              <w:rPr>
                <w:color w:val="000000" w:themeColor="text1"/>
                <w:kern w:val="24"/>
                <w:lang w:val="en-GB"/>
              </w:rPr>
              <w:t>R</w:t>
            </w:r>
            <w:r>
              <w:rPr>
                <w:color w:val="000000" w:themeColor="text1"/>
                <w:kern w:val="24"/>
                <w:vertAlign w:val="superscript"/>
                <w:lang w:val="en-GB"/>
              </w:rPr>
              <w:t>2</w:t>
            </w:r>
          </w:p>
        </w:tc>
        <w:tc>
          <w:tcPr>
            <w:tcW w:w="1134" w:type="dxa"/>
            <w:tcBorders>
              <w:top w:val="single" w:sz="4" w:space="0" w:color="auto"/>
              <w:left w:val="nil"/>
              <w:bottom w:val="single" w:sz="4" w:space="0" w:color="auto"/>
              <w:right w:val="nil"/>
            </w:tcBorders>
            <w:hideMark/>
          </w:tcPr>
          <w:p w:rsidR="009902E7" w:rsidRDefault="009902E7" w:rsidP="009A7C04">
            <w:pPr>
              <w:spacing w:after="180"/>
              <w:rPr>
                <w:color w:val="000000" w:themeColor="text1"/>
                <w:kern w:val="24"/>
                <w:lang w:val="en-GB"/>
              </w:rPr>
            </w:pPr>
            <w:r>
              <w:rPr>
                <w:color w:val="000000" w:themeColor="text1"/>
                <w:kern w:val="24"/>
                <w:lang w:val="en-GB"/>
              </w:rPr>
              <w:t>N</w:t>
            </w:r>
          </w:p>
        </w:tc>
      </w:tr>
      <w:tr w:rsidR="009902E7" w:rsidTr="009A7C04">
        <w:tc>
          <w:tcPr>
            <w:tcW w:w="4786" w:type="dxa"/>
            <w:tcBorders>
              <w:top w:val="single" w:sz="4" w:space="0" w:color="auto"/>
              <w:left w:val="nil"/>
              <w:bottom w:val="nil"/>
              <w:right w:val="nil"/>
            </w:tcBorders>
            <w:vAlign w:val="center"/>
            <w:hideMark/>
          </w:tcPr>
          <w:p w:rsidR="009902E7" w:rsidRDefault="009902E7" w:rsidP="009A7C04">
            <w:pPr>
              <w:spacing w:after="180"/>
              <w:rPr>
                <w:color w:val="000000" w:themeColor="text1"/>
                <w:kern w:val="24"/>
                <w:lang w:val="en-GB"/>
              </w:rPr>
            </w:pPr>
            <w:r>
              <w:rPr>
                <w:color w:val="000000" w:themeColor="text1"/>
                <w:kern w:val="24"/>
                <w:lang w:val="en-GB"/>
              </w:rPr>
              <w:t>Played in FF last season</w:t>
            </w:r>
          </w:p>
        </w:tc>
        <w:tc>
          <w:tcPr>
            <w:tcW w:w="1418" w:type="dxa"/>
            <w:tcBorders>
              <w:top w:val="single" w:sz="4" w:space="0" w:color="auto"/>
              <w:left w:val="nil"/>
              <w:bottom w:val="nil"/>
              <w:right w:val="nil"/>
            </w:tcBorders>
            <w:vAlign w:val="center"/>
          </w:tcPr>
          <w:p w:rsidR="009902E7" w:rsidRDefault="009902E7" w:rsidP="009A7C04">
            <w:pPr>
              <w:spacing w:after="180"/>
              <w:rPr>
                <w:color w:val="000000" w:themeColor="text1"/>
                <w:kern w:val="24"/>
                <w:lang w:val="en-GB"/>
              </w:rPr>
            </w:pPr>
            <w:r>
              <w:rPr>
                <w:color w:val="000000" w:themeColor="text1"/>
                <w:kern w:val="24"/>
                <w:lang w:val="en-GB"/>
              </w:rPr>
              <w:t>0.119 (0.091)</w:t>
            </w:r>
          </w:p>
        </w:tc>
        <w:tc>
          <w:tcPr>
            <w:tcW w:w="1275" w:type="dxa"/>
            <w:tcBorders>
              <w:top w:val="single" w:sz="4" w:space="0" w:color="auto"/>
              <w:left w:val="nil"/>
              <w:bottom w:val="nil"/>
              <w:right w:val="nil"/>
            </w:tcBorders>
            <w:vAlign w:val="center"/>
          </w:tcPr>
          <w:p w:rsidR="009902E7" w:rsidRDefault="009902E7" w:rsidP="009A7C04">
            <w:pPr>
              <w:spacing w:after="180"/>
              <w:rPr>
                <w:color w:val="000000" w:themeColor="text1"/>
                <w:kern w:val="24"/>
                <w:lang w:val="en-GB"/>
              </w:rPr>
            </w:pPr>
            <w:r>
              <w:rPr>
                <w:color w:val="000000" w:themeColor="text1"/>
                <w:kern w:val="24"/>
                <w:lang w:val="en-GB"/>
              </w:rPr>
              <w:t>0.57</w:t>
            </w:r>
          </w:p>
        </w:tc>
        <w:tc>
          <w:tcPr>
            <w:tcW w:w="1134" w:type="dxa"/>
            <w:tcBorders>
              <w:top w:val="single" w:sz="4" w:space="0" w:color="auto"/>
              <w:left w:val="nil"/>
              <w:bottom w:val="nil"/>
              <w:right w:val="nil"/>
            </w:tcBorders>
            <w:vAlign w:val="center"/>
          </w:tcPr>
          <w:p w:rsidR="009902E7" w:rsidRDefault="009902E7" w:rsidP="009A7C04">
            <w:pPr>
              <w:spacing w:after="180"/>
              <w:rPr>
                <w:color w:val="000000" w:themeColor="text1"/>
                <w:kern w:val="24"/>
                <w:lang w:val="en-GB"/>
              </w:rPr>
            </w:pPr>
            <w:r>
              <w:rPr>
                <w:color w:val="000000" w:themeColor="text1"/>
                <w:kern w:val="24"/>
                <w:lang w:val="en-GB"/>
              </w:rPr>
              <w:t>706</w:t>
            </w:r>
          </w:p>
        </w:tc>
      </w:tr>
      <w:tr w:rsidR="009902E7" w:rsidTr="009A7C04">
        <w:tc>
          <w:tcPr>
            <w:tcW w:w="4786" w:type="dxa"/>
            <w:vAlign w:val="center"/>
          </w:tcPr>
          <w:p w:rsidR="009902E7" w:rsidRDefault="009902E7" w:rsidP="009A7C04">
            <w:pPr>
              <w:spacing w:after="180"/>
              <w:rPr>
                <w:color w:val="000000" w:themeColor="text1"/>
                <w:kern w:val="24"/>
                <w:lang w:val="en-GB"/>
              </w:rPr>
            </w:pPr>
            <w:r>
              <w:rPr>
                <w:color w:val="000000" w:themeColor="text1"/>
                <w:kern w:val="24"/>
                <w:lang w:val="en-GB"/>
              </w:rPr>
              <w:t>Did not Play in FF last season</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0.084 (0.307)</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0.35</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177</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Points last season: Quartile 1</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0.625*** (0.232)</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0.41</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137</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Points last season: Quartile 2</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0.209 (0.173)</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0.36</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190</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Points last season: Quartile 3</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0.217 (0.238)</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0.35</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180</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Points last season: Quartile 4</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0.014 (0.135)</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0.44</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199</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Defender</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0.039 (0.147)</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0.48</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304</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Forward</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0.037 (0.238)</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0.63</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154</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Goalkeeper</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-0.001 (0.529)</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0.74</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99</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Midfielder</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0.203 (0.147)</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0.53</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326</w:t>
            </w:r>
          </w:p>
        </w:tc>
      </w:tr>
      <w:tr w:rsidR="009902E7" w:rsidTr="009A7C04">
        <w:tc>
          <w:tcPr>
            <w:tcW w:w="4786" w:type="dxa"/>
            <w:vAlign w:val="center"/>
            <w:hideMark/>
          </w:tcPr>
          <w:p w:rsidR="009902E7" w:rsidRDefault="009902E7" w:rsidP="009A7C04">
            <w:pPr>
              <w:spacing w:after="180"/>
              <w:rPr>
                <w:color w:val="000000" w:themeColor="text1"/>
                <w:kern w:val="24"/>
                <w:lang w:val="en-GB"/>
              </w:rPr>
            </w:pPr>
            <w:r>
              <w:rPr>
                <w:color w:val="000000" w:themeColor="text1"/>
                <w:kern w:val="24"/>
                <w:lang w:val="en-GB"/>
              </w:rPr>
              <w:t>UK national</w:t>
            </w:r>
          </w:p>
        </w:tc>
        <w:tc>
          <w:tcPr>
            <w:tcW w:w="1418" w:type="dxa"/>
            <w:vAlign w:val="center"/>
          </w:tcPr>
          <w:p w:rsidR="009902E7" w:rsidRDefault="009902E7" w:rsidP="009A7C04">
            <w:pPr>
              <w:spacing w:after="180"/>
              <w:rPr>
                <w:color w:val="000000" w:themeColor="text1"/>
                <w:kern w:val="24"/>
                <w:lang w:val="en-GB"/>
              </w:rPr>
            </w:pPr>
            <w:r>
              <w:rPr>
                <w:color w:val="000000" w:themeColor="text1"/>
                <w:kern w:val="24"/>
                <w:lang w:val="en-GB"/>
              </w:rPr>
              <w:t>0.054 (0.148)</w:t>
            </w:r>
          </w:p>
        </w:tc>
        <w:tc>
          <w:tcPr>
            <w:tcW w:w="1275" w:type="dxa"/>
            <w:vAlign w:val="center"/>
          </w:tcPr>
          <w:p w:rsidR="009902E7" w:rsidRDefault="009902E7" w:rsidP="009A7C04">
            <w:pPr>
              <w:spacing w:after="180"/>
              <w:rPr>
                <w:color w:val="000000" w:themeColor="text1"/>
                <w:kern w:val="24"/>
                <w:lang w:val="en-GB"/>
              </w:rPr>
            </w:pPr>
            <w:r>
              <w:rPr>
                <w:color w:val="000000" w:themeColor="text1"/>
                <w:kern w:val="24"/>
                <w:lang w:val="en-GB"/>
              </w:rPr>
              <w:t>0.52</w:t>
            </w:r>
          </w:p>
        </w:tc>
        <w:tc>
          <w:tcPr>
            <w:tcW w:w="1134" w:type="dxa"/>
            <w:vAlign w:val="center"/>
          </w:tcPr>
          <w:p w:rsidR="009902E7" w:rsidRDefault="009902E7" w:rsidP="009A7C04">
            <w:pPr>
              <w:spacing w:after="180"/>
              <w:rPr>
                <w:color w:val="000000" w:themeColor="text1"/>
                <w:kern w:val="24"/>
                <w:lang w:val="en-GB"/>
              </w:rPr>
            </w:pPr>
            <w:r>
              <w:rPr>
                <w:color w:val="000000" w:themeColor="text1"/>
                <w:kern w:val="24"/>
                <w:lang w:val="en-GB"/>
              </w:rPr>
              <w:t>402</w:t>
            </w:r>
          </w:p>
        </w:tc>
      </w:tr>
      <w:tr w:rsidR="009902E7" w:rsidTr="009A7C04">
        <w:tc>
          <w:tcPr>
            <w:tcW w:w="4786" w:type="dxa"/>
            <w:tcBorders>
              <w:bottom w:val="single" w:sz="4" w:space="0" w:color="auto"/>
            </w:tcBorders>
            <w:vAlign w:val="center"/>
            <w:hideMark/>
          </w:tcPr>
          <w:p w:rsidR="009902E7" w:rsidRDefault="009902E7" w:rsidP="009A7C04">
            <w:pPr>
              <w:spacing w:after="180"/>
              <w:rPr>
                <w:color w:val="000000" w:themeColor="text1"/>
                <w:kern w:val="24"/>
                <w:lang w:val="en-GB"/>
              </w:rPr>
            </w:pPr>
            <w:r>
              <w:rPr>
                <w:color w:val="000000" w:themeColor="text1"/>
                <w:kern w:val="24"/>
                <w:lang w:val="en-GB"/>
              </w:rPr>
              <w:t>Non-UK national</w:t>
            </w:r>
          </w:p>
        </w:tc>
        <w:tc>
          <w:tcPr>
            <w:tcW w:w="1418" w:type="dxa"/>
            <w:tcBorders>
              <w:bottom w:val="single" w:sz="4" w:space="0" w:color="auto"/>
            </w:tcBorders>
            <w:vAlign w:val="center"/>
          </w:tcPr>
          <w:p w:rsidR="009902E7" w:rsidRDefault="009902E7" w:rsidP="009A7C04">
            <w:pPr>
              <w:spacing w:after="180"/>
              <w:rPr>
                <w:color w:val="000000" w:themeColor="text1"/>
                <w:kern w:val="24"/>
                <w:lang w:val="en-GB"/>
              </w:rPr>
            </w:pPr>
            <w:r>
              <w:rPr>
                <w:color w:val="000000" w:themeColor="text1"/>
                <w:kern w:val="24"/>
                <w:lang w:val="en-GB"/>
              </w:rPr>
              <w:t>0.120 (0.113)</w:t>
            </w:r>
          </w:p>
        </w:tc>
        <w:tc>
          <w:tcPr>
            <w:tcW w:w="1275" w:type="dxa"/>
            <w:tcBorders>
              <w:bottom w:val="single" w:sz="4" w:space="0" w:color="auto"/>
            </w:tcBorders>
            <w:vAlign w:val="center"/>
          </w:tcPr>
          <w:p w:rsidR="009902E7" w:rsidRDefault="009902E7" w:rsidP="009A7C04">
            <w:pPr>
              <w:spacing w:after="180"/>
              <w:rPr>
                <w:color w:val="000000" w:themeColor="text1"/>
                <w:kern w:val="24"/>
                <w:lang w:val="en-GB"/>
              </w:rPr>
            </w:pPr>
            <w:r>
              <w:rPr>
                <w:color w:val="000000" w:themeColor="text1"/>
                <w:kern w:val="24"/>
                <w:lang w:val="en-GB"/>
              </w:rPr>
              <w:t>0.54</w:t>
            </w:r>
          </w:p>
        </w:tc>
        <w:tc>
          <w:tcPr>
            <w:tcW w:w="1134" w:type="dxa"/>
            <w:tcBorders>
              <w:bottom w:val="single" w:sz="4" w:space="0" w:color="auto"/>
            </w:tcBorders>
            <w:vAlign w:val="center"/>
          </w:tcPr>
          <w:p w:rsidR="009902E7" w:rsidRDefault="009902E7" w:rsidP="009A7C04">
            <w:pPr>
              <w:spacing w:after="180"/>
              <w:rPr>
                <w:color w:val="000000" w:themeColor="text1"/>
                <w:kern w:val="24"/>
                <w:lang w:val="en-GB"/>
              </w:rPr>
            </w:pPr>
            <w:r>
              <w:rPr>
                <w:color w:val="000000" w:themeColor="text1"/>
                <w:kern w:val="24"/>
                <w:lang w:val="en-GB"/>
              </w:rPr>
              <w:t>481</w:t>
            </w:r>
          </w:p>
        </w:tc>
      </w:tr>
    </w:tbl>
    <w:p w:rsidR="009902E7" w:rsidRDefault="009902E7" w:rsidP="009902E7">
      <w:r>
        <w:rPr>
          <w:color w:val="000000" w:themeColor="text1"/>
          <w:kern w:val="24"/>
          <w:lang w:val="en-GB" w:eastAsia="en-GB"/>
        </w:rPr>
        <w:t>N</w:t>
      </w:r>
      <w:r>
        <w:t xml:space="preserve">ote: The non-White column reports the estimates on the coefficient for non-white players in a log initial hire model whose specification is identical to the one defined in Table 3, column(5). </w:t>
      </w:r>
      <w:r>
        <w:rPr>
          <w:lang w:val="en-GB"/>
        </w:rPr>
        <w:t>Standard errors, in parentheses, account for clustering at the player level: *** p&lt;0.01, ** p&lt;0.05, * p&lt;0.1</w:t>
      </w:r>
      <w:r>
        <w:br w:type="page"/>
      </w:r>
    </w:p>
    <w:p w:rsidR="009902E7" w:rsidRDefault="009902E7" w:rsidP="009902E7">
      <w:pPr>
        <w:rPr>
          <w:b/>
        </w:rPr>
      </w:pPr>
      <w:r>
        <w:rPr>
          <w:b/>
        </w:rPr>
        <w:lastRenderedPageBreak/>
        <w:t xml:space="preserve">Table 6: OLS </w:t>
      </w:r>
      <w:r w:rsidR="008E16BE">
        <w:rPr>
          <w:b/>
        </w:rPr>
        <w:t>–</w:t>
      </w:r>
      <w:r>
        <w:rPr>
          <w:b/>
        </w:rPr>
        <w:t xml:space="preserve"> N</w:t>
      </w:r>
      <w:r w:rsidR="008E16BE">
        <w:rPr>
          <w:b/>
        </w:rPr>
        <w:t>ormalised N</w:t>
      </w:r>
      <w:r>
        <w:rPr>
          <w:b/>
        </w:rPr>
        <w:t>et Employer Demand for Players</w:t>
      </w:r>
    </w:p>
    <w:tbl>
      <w:tblPr>
        <w:tblW w:w="9282" w:type="dxa"/>
        <w:tblInd w:w="-506" w:type="dxa"/>
        <w:tblLayout w:type="fixed"/>
        <w:tblCellMar>
          <w:left w:w="0" w:type="dxa"/>
          <w:right w:w="0" w:type="dxa"/>
        </w:tblCellMar>
        <w:tblLook w:val="04A0" w:firstRow="1" w:lastRow="0" w:firstColumn="1" w:lastColumn="0" w:noHBand="0" w:noVBand="1"/>
      </w:tblPr>
      <w:tblGrid>
        <w:gridCol w:w="1422"/>
        <w:gridCol w:w="992"/>
        <w:gridCol w:w="1305"/>
        <w:gridCol w:w="1403"/>
        <w:gridCol w:w="1403"/>
        <w:gridCol w:w="1403"/>
        <w:gridCol w:w="1354"/>
      </w:tblGrid>
      <w:tr w:rsidR="005F6592" w:rsidTr="00880774">
        <w:trPr>
          <w:trHeight w:val="432"/>
        </w:trPr>
        <w:tc>
          <w:tcPr>
            <w:tcW w:w="1422"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rPr>
                <w:sz w:val="20"/>
                <w:szCs w:val="20"/>
                <w:lang w:val="en-GB" w:eastAsia="en-GB"/>
              </w:rPr>
            </w:pPr>
          </w:p>
        </w:tc>
        <w:tc>
          <w:tcPr>
            <w:tcW w:w="992"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(1)</w:t>
            </w:r>
          </w:p>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 xml:space="preserve">OLS </w:t>
            </w:r>
          </w:p>
        </w:tc>
        <w:tc>
          <w:tcPr>
            <w:tcW w:w="1305"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(2)</w:t>
            </w:r>
          </w:p>
          <w:p w:rsidR="009902E7" w:rsidRDefault="009902E7" w:rsidP="009A7C04">
            <w:pPr>
              <w:spacing w:line="276" w:lineRule="auto"/>
              <w:jc w:val="center"/>
              <w:rPr>
                <w:color w:val="000000" w:themeColor="text1"/>
                <w:lang w:val="en-GB" w:eastAsia="en-GB"/>
              </w:rPr>
            </w:pPr>
            <w:r>
              <w:rPr>
                <w:color w:val="000000" w:themeColor="text1"/>
                <w:kern w:val="24"/>
                <w:lang w:val="en-GB" w:eastAsia="en-GB"/>
              </w:rPr>
              <w:t xml:space="preserve">OLS </w:t>
            </w:r>
          </w:p>
        </w:tc>
        <w:tc>
          <w:tcPr>
            <w:tcW w:w="1403"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(3)</w:t>
            </w:r>
          </w:p>
          <w:p w:rsidR="009902E7" w:rsidRDefault="009902E7" w:rsidP="009A7C04">
            <w:pPr>
              <w:spacing w:line="276" w:lineRule="auto"/>
              <w:jc w:val="center"/>
              <w:rPr>
                <w:color w:val="000000" w:themeColor="text1"/>
                <w:lang w:val="en-GB" w:eastAsia="en-GB"/>
              </w:rPr>
            </w:pPr>
            <w:r>
              <w:rPr>
                <w:color w:val="000000" w:themeColor="text1"/>
                <w:kern w:val="24"/>
                <w:lang w:val="en-GB" w:eastAsia="en-GB"/>
              </w:rPr>
              <w:t xml:space="preserve">OLS </w:t>
            </w:r>
          </w:p>
        </w:tc>
        <w:tc>
          <w:tcPr>
            <w:tcW w:w="1403"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(4)</w:t>
            </w:r>
          </w:p>
          <w:p w:rsidR="009902E7" w:rsidRDefault="009902E7" w:rsidP="009A7C04">
            <w:pPr>
              <w:spacing w:line="276" w:lineRule="auto"/>
              <w:jc w:val="center"/>
              <w:rPr>
                <w:color w:val="000000" w:themeColor="text1"/>
                <w:lang w:val="en-GB" w:eastAsia="en-GB"/>
              </w:rPr>
            </w:pPr>
            <w:r>
              <w:rPr>
                <w:color w:val="000000" w:themeColor="text1"/>
                <w:kern w:val="24"/>
                <w:lang w:val="en-GB" w:eastAsia="en-GB"/>
              </w:rPr>
              <w:t xml:space="preserve">OLS </w:t>
            </w:r>
          </w:p>
        </w:tc>
        <w:tc>
          <w:tcPr>
            <w:tcW w:w="1403"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(5)</w:t>
            </w:r>
          </w:p>
          <w:p w:rsidR="009902E7" w:rsidRDefault="009902E7" w:rsidP="009A7C04">
            <w:pPr>
              <w:spacing w:line="276" w:lineRule="auto"/>
              <w:jc w:val="center"/>
              <w:rPr>
                <w:color w:val="000000" w:themeColor="text1"/>
                <w:lang w:val="en-GB" w:eastAsia="en-GB"/>
              </w:rPr>
            </w:pPr>
            <w:r>
              <w:rPr>
                <w:color w:val="000000" w:themeColor="text1"/>
                <w:kern w:val="24"/>
                <w:lang w:val="en-GB" w:eastAsia="en-GB"/>
              </w:rPr>
              <w:t xml:space="preserve">OLS </w:t>
            </w:r>
          </w:p>
        </w:tc>
        <w:tc>
          <w:tcPr>
            <w:tcW w:w="1354" w:type="dxa"/>
            <w:tcBorders>
              <w:top w:val="single" w:sz="8" w:space="0" w:color="000000"/>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kern w:val="24"/>
                <w:lang w:val="en-GB" w:eastAsia="en-GB"/>
              </w:rPr>
            </w:pPr>
            <w:r>
              <w:rPr>
                <w:color w:val="000000" w:themeColor="text1"/>
                <w:kern w:val="24"/>
                <w:lang w:val="en-GB" w:eastAsia="en-GB"/>
              </w:rPr>
              <w:t>(6)</w:t>
            </w:r>
          </w:p>
          <w:p w:rsidR="009902E7" w:rsidRDefault="009902E7" w:rsidP="009A7C04">
            <w:pPr>
              <w:spacing w:line="276" w:lineRule="auto"/>
              <w:jc w:val="center"/>
              <w:rPr>
                <w:color w:val="000000" w:themeColor="text1"/>
                <w:lang w:val="en-GB" w:eastAsia="en-GB"/>
              </w:rPr>
            </w:pPr>
            <w:r>
              <w:rPr>
                <w:color w:val="000000" w:themeColor="text1"/>
                <w:kern w:val="24"/>
                <w:lang w:val="en-GB" w:eastAsia="en-GB"/>
              </w:rPr>
              <w:t xml:space="preserve">FE </w:t>
            </w:r>
          </w:p>
        </w:tc>
      </w:tr>
      <w:tr w:rsidR="005F6592" w:rsidTr="00880774">
        <w:trPr>
          <w:trHeight w:val="432"/>
        </w:trPr>
        <w:tc>
          <w:tcPr>
            <w:tcW w:w="1422"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Non White</w:t>
            </w:r>
          </w:p>
        </w:tc>
        <w:tc>
          <w:tcPr>
            <w:tcW w:w="992"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8E16BE">
              <w:rPr>
                <w:color w:val="000000" w:themeColor="text1"/>
                <w:lang w:val="en-GB" w:eastAsia="en-GB"/>
              </w:rPr>
              <w:t>0</w:t>
            </w:r>
            <w:r>
              <w:rPr>
                <w:color w:val="000000" w:themeColor="text1"/>
                <w:lang w:val="en-GB" w:eastAsia="en-GB"/>
              </w:rPr>
              <w:t>.</w:t>
            </w:r>
            <w:r w:rsidR="008E16BE">
              <w:rPr>
                <w:color w:val="000000" w:themeColor="text1"/>
                <w:lang w:val="en-GB" w:eastAsia="en-GB"/>
              </w:rPr>
              <w:t>013</w:t>
            </w:r>
          </w:p>
        </w:tc>
        <w:tc>
          <w:tcPr>
            <w:tcW w:w="1305"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8E16BE" w:rsidP="0083742B">
            <w:pPr>
              <w:spacing w:line="276" w:lineRule="auto"/>
              <w:jc w:val="center"/>
              <w:rPr>
                <w:color w:val="000000" w:themeColor="text1"/>
                <w:lang w:val="en-GB" w:eastAsia="en-GB"/>
              </w:rPr>
            </w:pPr>
            <w:r>
              <w:rPr>
                <w:color w:val="000000" w:themeColor="text1"/>
                <w:lang w:val="en-GB" w:eastAsia="en-GB"/>
              </w:rPr>
              <w:t>-0</w:t>
            </w:r>
            <w:r w:rsidR="009902E7">
              <w:rPr>
                <w:color w:val="000000" w:themeColor="text1"/>
                <w:lang w:val="en-GB" w:eastAsia="en-GB"/>
              </w:rPr>
              <w:t>.0</w:t>
            </w:r>
            <w:r>
              <w:rPr>
                <w:color w:val="000000" w:themeColor="text1"/>
                <w:lang w:val="en-GB" w:eastAsia="en-GB"/>
              </w:rPr>
              <w:t>03</w:t>
            </w:r>
          </w:p>
        </w:tc>
        <w:tc>
          <w:tcPr>
            <w:tcW w:w="1403"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w:t>
            </w:r>
            <w:r>
              <w:rPr>
                <w:color w:val="000000" w:themeColor="text1"/>
                <w:lang w:val="en-GB" w:eastAsia="en-GB"/>
              </w:rPr>
              <w:t>.</w:t>
            </w:r>
            <w:r w:rsidR="00BF4F68">
              <w:rPr>
                <w:color w:val="000000" w:themeColor="text1"/>
                <w:lang w:val="en-GB" w:eastAsia="en-GB"/>
              </w:rPr>
              <w:t>013</w:t>
            </w:r>
          </w:p>
        </w:tc>
        <w:tc>
          <w:tcPr>
            <w:tcW w:w="1403"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0.011</w:t>
            </w:r>
          </w:p>
        </w:tc>
        <w:tc>
          <w:tcPr>
            <w:tcW w:w="1403" w:type="dxa"/>
            <w:tcBorders>
              <w:top w:val="single" w:sz="8" w:space="0" w:color="000000"/>
              <w:left w:val="nil"/>
              <w:bottom w:val="nil"/>
              <w:right w:val="nil"/>
            </w:tcBorders>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0.019</w:t>
            </w:r>
          </w:p>
        </w:tc>
        <w:tc>
          <w:tcPr>
            <w:tcW w:w="1354" w:type="dxa"/>
            <w:tcBorders>
              <w:top w:val="single" w:sz="8" w:space="0" w:color="000000"/>
              <w:left w:val="nil"/>
              <w:bottom w:val="nil"/>
              <w:right w:val="nil"/>
            </w:tcBorders>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rPr>
                <w:sz w:val="20"/>
                <w:szCs w:val="20"/>
                <w:lang w:val="en-GB" w:eastAsia="en-GB"/>
              </w:rPr>
            </w:pPr>
          </w:p>
        </w:tc>
        <w:tc>
          <w:tcPr>
            <w:tcW w:w="992"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8E16BE">
              <w:rPr>
                <w:color w:val="000000" w:themeColor="text1"/>
                <w:lang w:val="en-GB" w:eastAsia="en-GB"/>
              </w:rPr>
              <w:t>0.009</w:t>
            </w:r>
            <w:r>
              <w:rPr>
                <w:color w:val="000000" w:themeColor="text1"/>
                <w:lang w:val="en-GB" w:eastAsia="en-GB"/>
              </w:rPr>
              <w:t>)</w:t>
            </w:r>
          </w:p>
        </w:tc>
        <w:tc>
          <w:tcPr>
            <w:tcW w:w="1305"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8E16BE">
              <w:rPr>
                <w:color w:val="000000" w:themeColor="text1"/>
                <w:lang w:val="en-GB" w:eastAsia="en-GB"/>
              </w:rPr>
              <w:t>0.010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0.010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0.012</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0.109</w:t>
            </w:r>
            <w:r>
              <w:rPr>
                <w:color w:val="000000" w:themeColor="text1"/>
                <w:lang w:val="en-GB" w:eastAsia="en-GB"/>
              </w:rPr>
              <w:t>)</w:t>
            </w:r>
          </w:p>
        </w:tc>
        <w:tc>
          <w:tcPr>
            <w:tcW w:w="1354"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Points last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hideMark/>
          </w:tcPr>
          <w:p w:rsidR="009902E7" w:rsidRDefault="008E16BE" w:rsidP="009A7C04">
            <w:pPr>
              <w:spacing w:line="276" w:lineRule="auto"/>
              <w:jc w:val="center"/>
              <w:rPr>
                <w:color w:val="000000" w:themeColor="text1"/>
                <w:lang w:val="en-GB" w:eastAsia="en-GB"/>
              </w:rPr>
            </w:pPr>
            <w:r>
              <w:rPr>
                <w:color w:val="000000" w:themeColor="text1"/>
                <w:lang w:val="en-GB" w:eastAsia="en-GB"/>
              </w:rPr>
              <w:t>0.114</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BF4F68" w:rsidP="009A7C04">
            <w:pPr>
              <w:spacing w:line="276" w:lineRule="auto"/>
              <w:jc w:val="center"/>
              <w:rPr>
                <w:color w:val="000000" w:themeColor="text1"/>
                <w:lang w:val="en-GB" w:eastAsia="en-GB"/>
              </w:rPr>
            </w:pPr>
            <w:r>
              <w:rPr>
                <w:color w:val="000000" w:themeColor="text1"/>
                <w:lang w:val="en-GB" w:eastAsia="en-GB"/>
              </w:rPr>
              <w:t>0.114</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400F0D" w:rsidP="0083742B">
            <w:pPr>
              <w:spacing w:line="276" w:lineRule="auto"/>
              <w:jc w:val="center"/>
              <w:rPr>
                <w:color w:val="000000" w:themeColor="text1"/>
                <w:lang w:val="en-GB" w:eastAsia="en-GB"/>
              </w:rPr>
            </w:pPr>
            <w:r>
              <w:rPr>
                <w:color w:val="000000" w:themeColor="text1"/>
                <w:lang w:val="en-GB" w:eastAsia="en-GB"/>
              </w:rPr>
              <w:t>0.104</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400F0D" w:rsidP="009A7C04">
            <w:pPr>
              <w:spacing w:line="276" w:lineRule="auto"/>
              <w:jc w:val="center"/>
              <w:rPr>
                <w:color w:val="000000" w:themeColor="text1"/>
                <w:lang w:val="en-GB" w:eastAsia="en-GB"/>
              </w:rPr>
            </w:pPr>
            <w:r>
              <w:rPr>
                <w:color w:val="000000" w:themeColor="text1"/>
                <w:lang w:val="en-GB" w:eastAsia="en-GB"/>
              </w:rPr>
              <w:t>0.109</w:t>
            </w:r>
            <w:r w:rsidR="009902E7">
              <w:rPr>
                <w:color w:val="000000" w:themeColor="text1"/>
                <w:lang w:val="en-GB" w:eastAsia="en-GB"/>
              </w:rPr>
              <w:t>***</w:t>
            </w:r>
          </w:p>
        </w:tc>
        <w:tc>
          <w:tcPr>
            <w:tcW w:w="1354" w:type="dxa"/>
            <w:tcMar>
              <w:top w:w="15" w:type="dxa"/>
              <w:left w:w="65" w:type="dxa"/>
              <w:bottom w:w="0" w:type="dxa"/>
              <w:right w:w="65" w:type="dxa"/>
            </w:tcMar>
            <w:vAlign w:val="bottom"/>
            <w:hideMark/>
          </w:tcPr>
          <w:p w:rsidR="009902E7" w:rsidRDefault="005F6592" w:rsidP="009A7C04">
            <w:pPr>
              <w:spacing w:line="276" w:lineRule="auto"/>
              <w:jc w:val="center"/>
              <w:rPr>
                <w:color w:val="000000" w:themeColor="text1"/>
                <w:lang w:val="en-GB" w:eastAsia="en-GB"/>
              </w:rPr>
            </w:pPr>
            <w:r>
              <w:rPr>
                <w:color w:val="000000" w:themeColor="text1"/>
                <w:lang w:val="en-GB" w:eastAsia="en-GB"/>
              </w:rPr>
              <w:t>0.103</w:t>
            </w:r>
            <w:r w:rsidR="009902E7">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rPr>
                <w:color w:val="000000" w:themeColor="text1"/>
                <w:lang w:val="en-GB" w:eastAsia="en-GB"/>
              </w:rPr>
            </w:pPr>
            <w:r>
              <w:rPr>
                <w:color w:val="000000" w:themeColor="text1"/>
                <w:kern w:val="24"/>
                <w:lang w:val="en-GB" w:eastAsia="en-GB"/>
              </w:rPr>
              <w:t>game</w:t>
            </w: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8E16BE">
              <w:rPr>
                <w:color w:val="000000" w:themeColor="text1"/>
                <w:lang w:val="en-GB" w:eastAsia="en-GB"/>
              </w:rPr>
              <w:t>0.009</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0.009</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0.010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0.012</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0.011</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rPr>
                <w:color w:val="000000" w:themeColor="text1"/>
                <w:kern w:val="24"/>
                <w:lang w:val="en-GB" w:eastAsia="en-GB"/>
              </w:rPr>
            </w:pPr>
            <w:r>
              <w:rPr>
                <w:color w:val="000000" w:themeColor="text1"/>
                <w:kern w:val="24"/>
                <w:lang w:val="en-GB" w:eastAsia="en-GB"/>
              </w:rPr>
              <w:t>-- *non-white</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400F0D" w:rsidP="009A7C04">
            <w:pPr>
              <w:spacing w:line="276" w:lineRule="auto"/>
              <w:jc w:val="center"/>
              <w:rPr>
                <w:color w:val="000000" w:themeColor="text1"/>
                <w:lang w:val="en-GB" w:eastAsia="en-GB"/>
              </w:rPr>
            </w:pPr>
            <w:r>
              <w:rPr>
                <w:color w:val="000000" w:themeColor="text1"/>
                <w:lang w:val="en-GB" w:eastAsia="en-GB"/>
              </w:rPr>
              <w:t>0.014</w:t>
            </w:r>
          </w:p>
        </w:tc>
        <w:tc>
          <w:tcPr>
            <w:tcW w:w="1354" w:type="dxa"/>
            <w:tcMar>
              <w:top w:w="15" w:type="dxa"/>
              <w:left w:w="65" w:type="dxa"/>
              <w:bottom w:w="0" w:type="dxa"/>
              <w:right w:w="65" w:type="dxa"/>
            </w:tcMar>
            <w:vAlign w:val="bottom"/>
            <w:hideMark/>
          </w:tcPr>
          <w:p w:rsidR="009902E7" w:rsidRDefault="005F6592" w:rsidP="009A7C04">
            <w:pPr>
              <w:spacing w:line="276" w:lineRule="auto"/>
              <w:jc w:val="center"/>
              <w:rPr>
                <w:color w:val="000000" w:themeColor="text1"/>
                <w:lang w:val="en-GB" w:eastAsia="en-GB"/>
              </w:rPr>
            </w:pPr>
            <w:r>
              <w:rPr>
                <w:color w:val="000000" w:themeColor="text1"/>
                <w:lang w:val="en-GB" w:eastAsia="en-GB"/>
              </w:rPr>
              <w:t>0.012</w:t>
            </w:r>
          </w:p>
        </w:tc>
      </w:tr>
      <w:tr w:rsidR="005F6592" w:rsidTr="00880774">
        <w:trPr>
          <w:trHeight w:val="432"/>
        </w:trPr>
        <w:tc>
          <w:tcPr>
            <w:tcW w:w="1422" w:type="dxa"/>
            <w:tcMar>
              <w:top w:w="15" w:type="dxa"/>
              <w:left w:w="65" w:type="dxa"/>
              <w:bottom w:w="0" w:type="dxa"/>
              <w:right w:w="65" w:type="dxa"/>
            </w:tcMar>
          </w:tcPr>
          <w:p w:rsidR="009902E7" w:rsidRDefault="009902E7" w:rsidP="009A7C04">
            <w:pPr>
              <w:rPr>
                <w:color w:val="000000" w:themeColor="text1"/>
                <w:kern w:val="24"/>
                <w:lang w:val="en-GB" w:eastAsia="en-GB"/>
              </w:rPr>
            </w:pP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0.017</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0.016</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Points in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hideMark/>
          </w:tcPr>
          <w:p w:rsidR="009902E7" w:rsidRDefault="008E16BE" w:rsidP="009A7C04">
            <w:pPr>
              <w:spacing w:line="276" w:lineRule="auto"/>
              <w:jc w:val="center"/>
              <w:rPr>
                <w:color w:val="000000" w:themeColor="text1"/>
                <w:lang w:val="en-GB" w:eastAsia="en-GB"/>
              </w:rPr>
            </w:pPr>
            <w:r>
              <w:rPr>
                <w:color w:val="000000" w:themeColor="text1"/>
                <w:lang w:val="en-GB" w:eastAsia="en-GB"/>
              </w:rPr>
              <w:t>0.025</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BF4F68" w:rsidP="009A7C04">
            <w:pPr>
              <w:spacing w:line="276" w:lineRule="auto"/>
              <w:jc w:val="center"/>
              <w:rPr>
                <w:color w:val="000000" w:themeColor="text1"/>
                <w:lang w:val="en-GB" w:eastAsia="en-GB"/>
              </w:rPr>
            </w:pPr>
            <w:r>
              <w:rPr>
                <w:color w:val="000000" w:themeColor="text1"/>
                <w:lang w:val="en-GB" w:eastAsia="en-GB"/>
              </w:rPr>
              <w:t>0.026</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400F0D" w:rsidP="009A7C04">
            <w:pPr>
              <w:spacing w:line="276" w:lineRule="auto"/>
              <w:jc w:val="center"/>
              <w:rPr>
                <w:color w:val="000000" w:themeColor="text1"/>
                <w:lang w:val="en-GB" w:eastAsia="en-GB"/>
              </w:rPr>
            </w:pPr>
            <w:r>
              <w:rPr>
                <w:color w:val="000000" w:themeColor="text1"/>
                <w:lang w:val="en-GB" w:eastAsia="en-GB"/>
              </w:rPr>
              <w:t>0.025</w:t>
            </w:r>
            <w:r w:rsidR="009902E7">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400F0D" w:rsidP="009A7C04">
            <w:pPr>
              <w:spacing w:line="276" w:lineRule="auto"/>
              <w:jc w:val="center"/>
              <w:rPr>
                <w:color w:val="000000" w:themeColor="text1"/>
                <w:lang w:val="en-GB" w:eastAsia="en-GB"/>
              </w:rPr>
            </w:pPr>
            <w:r>
              <w:rPr>
                <w:color w:val="000000" w:themeColor="text1"/>
                <w:lang w:val="en-GB" w:eastAsia="en-GB"/>
              </w:rPr>
              <w:t>0.025</w:t>
            </w:r>
            <w:r w:rsidR="009902E7">
              <w:rPr>
                <w:color w:val="000000" w:themeColor="text1"/>
                <w:lang w:val="en-GB" w:eastAsia="en-GB"/>
              </w:rPr>
              <w:t>***</w:t>
            </w:r>
          </w:p>
        </w:tc>
        <w:tc>
          <w:tcPr>
            <w:tcW w:w="1354" w:type="dxa"/>
            <w:tcMar>
              <w:top w:w="15" w:type="dxa"/>
              <w:left w:w="65" w:type="dxa"/>
              <w:bottom w:w="0" w:type="dxa"/>
              <w:right w:w="65" w:type="dxa"/>
            </w:tcMar>
            <w:vAlign w:val="bottom"/>
            <w:hideMark/>
          </w:tcPr>
          <w:p w:rsidR="009902E7" w:rsidRDefault="005F6592" w:rsidP="009A7C04">
            <w:pPr>
              <w:spacing w:line="276" w:lineRule="auto"/>
              <w:jc w:val="center"/>
              <w:rPr>
                <w:color w:val="000000" w:themeColor="text1"/>
                <w:lang w:val="en-GB" w:eastAsia="en-GB"/>
              </w:rPr>
            </w:pPr>
            <w:r>
              <w:rPr>
                <w:color w:val="000000" w:themeColor="text1"/>
                <w:lang w:val="en-GB" w:eastAsia="en-GB"/>
              </w:rPr>
              <w:t>0.026</w:t>
            </w:r>
            <w:r w:rsidR="009902E7">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rPr>
                <w:color w:val="000000" w:themeColor="text1"/>
                <w:lang w:val="en-GB" w:eastAsia="en-GB"/>
              </w:rPr>
            </w:pPr>
            <w:r>
              <w:rPr>
                <w:color w:val="000000" w:themeColor="text1"/>
                <w:kern w:val="24"/>
                <w:lang w:val="en-GB" w:eastAsia="en-GB"/>
              </w:rPr>
              <w:t>previous 3 games</w:t>
            </w: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8E16BE">
              <w:rPr>
                <w:color w:val="000000" w:themeColor="text1"/>
                <w:lang w:val="en-GB" w:eastAsia="en-GB"/>
              </w:rPr>
              <w:t>0.003</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0.003</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0.004</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0.004</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0.004</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rPr>
                <w:color w:val="000000" w:themeColor="text1"/>
                <w:kern w:val="24"/>
                <w:lang w:val="en-GB" w:eastAsia="en-GB"/>
              </w:rPr>
            </w:pPr>
            <w:r>
              <w:rPr>
                <w:color w:val="000000" w:themeColor="text1"/>
                <w:kern w:val="24"/>
                <w:lang w:val="en-GB" w:eastAsia="en-GB"/>
              </w:rPr>
              <w:t>-- *non-white</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400F0D" w:rsidP="009A7C04">
            <w:pPr>
              <w:spacing w:line="276" w:lineRule="auto"/>
              <w:jc w:val="center"/>
              <w:rPr>
                <w:color w:val="000000" w:themeColor="text1"/>
                <w:lang w:val="en-GB" w:eastAsia="en-GB"/>
              </w:rPr>
            </w:pPr>
            <w:r>
              <w:rPr>
                <w:color w:val="000000" w:themeColor="text1"/>
                <w:lang w:val="en-GB" w:eastAsia="en-GB"/>
              </w:rPr>
              <w:t>0.003</w:t>
            </w:r>
          </w:p>
        </w:tc>
        <w:tc>
          <w:tcPr>
            <w:tcW w:w="1354" w:type="dxa"/>
            <w:tcMar>
              <w:top w:w="15" w:type="dxa"/>
              <w:left w:w="65" w:type="dxa"/>
              <w:bottom w:w="0" w:type="dxa"/>
              <w:right w:w="65" w:type="dxa"/>
            </w:tcMar>
            <w:vAlign w:val="bottom"/>
            <w:hideMark/>
          </w:tcPr>
          <w:p w:rsidR="009902E7" w:rsidRDefault="005F6592" w:rsidP="009A7C04">
            <w:pPr>
              <w:spacing w:line="276" w:lineRule="auto"/>
              <w:jc w:val="center"/>
              <w:rPr>
                <w:color w:val="000000" w:themeColor="text1"/>
                <w:lang w:val="en-GB" w:eastAsia="en-GB"/>
              </w:rPr>
            </w:pPr>
            <w:r>
              <w:rPr>
                <w:color w:val="000000" w:themeColor="text1"/>
                <w:lang w:val="en-GB" w:eastAsia="en-GB"/>
              </w:rPr>
              <w:t>0.007</w:t>
            </w:r>
          </w:p>
        </w:tc>
      </w:tr>
      <w:tr w:rsidR="005F6592" w:rsidTr="00880774">
        <w:trPr>
          <w:trHeight w:val="432"/>
        </w:trPr>
        <w:tc>
          <w:tcPr>
            <w:tcW w:w="1422" w:type="dxa"/>
            <w:tcMar>
              <w:top w:w="15" w:type="dxa"/>
              <w:left w:w="65" w:type="dxa"/>
              <w:bottom w:w="0" w:type="dxa"/>
              <w:right w:w="65" w:type="dxa"/>
            </w:tcMar>
          </w:tcPr>
          <w:p w:rsidR="009902E7" w:rsidRDefault="009902E7" w:rsidP="009A7C04">
            <w:pPr>
              <w:rPr>
                <w:color w:val="000000" w:themeColor="text1"/>
                <w:kern w:val="24"/>
                <w:lang w:val="en-GB" w:eastAsia="en-GB"/>
              </w:rPr>
            </w:pP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0.007</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0.007</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5F6592" w:rsidP="009A7C04">
            <w:pPr>
              <w:spacing w:line="276" w:lineRule="auto"/>
              <w:rPr>
                <w:color w:val="000000" w:themeColor="text1"/>
                <w:lang w:val="en-GB" w:eastAsia="en-GB"/>
              </w:rPr>
            </w:pPr>
            <w:r>
              <w:rPr>
                <w:color w:val="000000" w:themeColor="text1"/>
                <w:kern w:val="24"/>
                <w:lang w:val="en-GB" w:eastAsia="en-GB"/>
              </w:rPr>
              <w:t xml:space="preserve">Total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-0.</w:t>
            </w:r>
            <w:r w:rsidR="00BF4F68">
              <w:rPr>
                <w:color w:val="000000" w:themeColor="text1"/>
                <w:lang w:val="en-GB" w:eastAsia="en-GB"/>
              </w:rPr>
              <w:t>006</w:t>
            </w:r>
            <w:r>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w:t>
            </w:r>
            <w:r>
              <w:rPr>
                <w:color w:val="000000" w:themeColor="text1"/>
                <w:lang w:val="en-GB" w:eastAsia="en-GB"/>
              </w:rPr>
              <w:t>.</w:t>
            </w:r>
            <w:r w:rsidR="00BF4F68">
              <w:rPr>
                <w:color w:val="000000" w:themeColor="text1"/>
                <w:lang w:val="en-GB" w:eastAsia="en-GB"/>
              </w:rPr>
              <w:t>005</w:t>
            </w:r>
            <w:r>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0.003</w:t>
            </w:r>
            <w:r>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0.004</w:t>
            </w:r>
            <w:r>
              <w:rPr>
                <w:color w:val="000000" w:themeColor="text1"/>
                <w:lang w:val="en-GB" w:eastAsia="en-GB"/>
              </w:rPr>
              <w:t>***</w:t>
            </w:r>
          </w:p>
        </w:tc>
        <w:tc>
          <w:tcPr>
            <w:tcW w:w="1354"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w:t>
            </w:r>
            <w:r w:rsidR="005F6592">
              <w:rPr>
                <w:color w:val="000000" w:themeColor="text1"/>
                <w:lang w:val="en-GB" w:eastAsia="en-GB"/>
              </w:rPr>
              <w:t>000</w:t>
            </w:r>
          </w:p>
        </w:tc>
      </w:tr>
      <w:tr w:rsidR="005F6592" w:rsidTr="00880774">
        <w:trPr>
          <w:trHeight w:val="432"/>
        </w:trPr>
        <w:tc>
          <w:tcPr>
            <w:tcW w:w="1422" w:type="dxa"/>
            <w:tcMar>
              <w:top w:w="15" w:type="dxa"/>
              <w:left w:w="65" w:type="dxa"/>
              <w:bottom w:w="0" w:type="dxa"/>
              <w:right w:w="65" w:type="dxa"/>
            </w:tcMar>
            <w:hideMark/>
          </w:tcPr>
          <w:p w:rsidR="009902E7" w:rsidRDefault="005F6592" w:rsidP="0083742B">
            <w:pPr>
              <w:rPr>
                <w:color w:val="000000" w:themeColor="text1"/>
                <w:lang w:val="en-GB" w:eastAsia="en-GB"/>
              </w:rPr>
            </w:pPr>
            <w:r>
              <w:rPr>
                <w:color w:val="000000" w:themeColor="text1"/>
                <w:kern w:val="24"/>
                <w:lang w:val="en-GB" w:eastAsia="en-GB"/>
              </w:rPr>
              <w:t>Points</w:t>
            </w:r>
            <w:r w:rsidR="00EF5B0D">
              <w:rPr>
                <w:color w:val="000000" w:themeColor="text1"/>
                <w:kern w:val="24"/>
                <w:lang w:val="en-GB" w:eastAsia="en-GB"/>
              </w:rPr>
              <w:t xml:space="preserve"> by t-4</w:t>
            </w: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0.000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0.000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w:t>
            </w:r>
            <w:r>
              <w:rPr>
                <w:color w:val="000000" w:themeColor="text1"/>
                <w:lang w:val="en-GB" w:eastAsia="en-GB"/>
              </w:rPr>
              <w:t>1)</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0.001</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0.001</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rPr>
                <w:color w:val="000000" w:themeColor="text1"/>
                <w:kern w:val="24"/>
                <w:lang w:val="en-GB" w:eastAsia="en-GB"/>
              </w:rPr>
            </w:pPr>
            <w:r>
              <w:rPr>
                <w:color w:val="000000" w:themeColor="text1"/>
                <w:kern w:val="24"/>
                <w:lang w:val="en-GB" w:eastAsia="en-GB"/>
              </w:rPr>
              <w:t xml:space="preserve">-- *non-white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0.001</w:t>
            </w:r>
          </w:p>
        </w:tc>
        <w:tc>
          <w:tcPr>
            <w:tcW w:w="1354"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0.002*</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tcPr>
          <w:p w:rsidR="009902E7" w:rsidRDefault="009902E7" w:rsidP="009A7C04">
            <w:pPr>
              <w:rPr>
                <w:color w:val="000000" w:themeColor="text1"/>
                <w:kern w:val="24"/>
                <w:lang w:val="en-GB" w:eastAsia="en-GB"/>
              </w:rPr>
            </w:pP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0.001</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0.001</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Player price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0.444</w:t>
            </w:r>
            <w:r>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0.358</w:t>
            </w:r>
            <w:r>
              <w:rPr>
                <w:color w:val="000000" w:themeColor="text1"/>
                <w:lang w:val="en-GB" w:eastAsia="en-GB"/>
              </w:rPr>
              <w:t>***</w:t>
            </w:r>
          </w:p>
        </w:tc>
        <w:tc>
          <w:tcPr>
            <w:tcW w:w="1403"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0.444</w:t>
            </w:r>
            <w:r>
              <w:rPr>
                <w:color w:val="000000" w:themeColor="text1"/>
                <w:lang w:val="en-GB" w:eastAsia="en-GB"/>
              </w:rPr>
              <w:t>***</w:t>
            </w:r>
          </w:p>
        </w:tc>
        <w:tc>
          <w:tcPr>
            <w:tcW w:w="1354"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6.652</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rPr>
                <w:color w:val="000000" w:themeColor="text1"/>
                <w:lang w:val="en-GB" w:eastAsia="en-GB"/>
              </w:rPr>
            </w:pPr>
            <w:r>
              <w:rPr>
                <w:color w:val="000000" w:themeColor="text1"/>
                <w:kern w:val="24"/>
                <w:lang w:val="en-GB" w:eastAsia="en-GB"/>
              </w:rPr>
              <w:t>after last game</w:t>
            </w: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83742B">
            <w:pPr>
              <w:spacing w:line="276" w:lineRule="auto"/>
              <w:jc w:val="center"/>
              <w:rPr>
                <w:color w:val="000000" w:themeColor="text1"/>
                <w:lang w:val="en-GB" w:eastAsia="en-GB"/>
              </w:rPr>
            </w:pPr>
            <w:r>
              <w:rPr>
                <w:color w:val="000000" w:themeColor="text1"/>
                <w:lang w:val="en-GB" w:eastAsia="en-GB"/>
              </w:rPr>
              <w:t>(</w:t>
            </w:r>
            <w:r w:rsidR="00BF4F68">
              <w:rPr>
                <w:color w:val="000000" w:themeColor="text1"/>
                <w:lang w:val="en-GB" w:eastAsia="en-GB"/>
              </w:rPr>
              <w:t>0.050</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0.058</w:t>
            </w:r>
            <w:r>
              <w:rPr>
                <w:color w:val="000000" w:themeColor="text1"/>
                <w:lang w:val="en-GB" w:eastAsia="en-GB"/>
              </w:rPr>
              <w:t>)</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0.057</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0.054</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rPr>
                <w:color w:val="000000" w:themeColor="text1"/>
                <w:kern w:val="24"/>
                <w:lang w:val="en-GB" w:eastAsia="en-GB"/>
              </w:rPr>
            </w:pPr>
            <w:r>
              <w:rPr>
                <w:color w:val="000000" w:themeColor="text1"/>
                <w:kern w:val="24"/>
                <w:lang w:val="en-GB" w:eastAsia="en-GB"/>
              </w:rPr>
              <w:t xml:space="preserve">-- *non-white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400F0D" w:rsidP="0083742B">
            <w:pPr>
              <w:spacing w:line="276" w:lineRule="auto"/>
              <w:jc w:val="center"/>
              <w:rPr>
                <w:color w:val="000000" w:themeColor="text1"/>
                <w:lang w:val="en-GB" w:eastAsia="en-GB"/>
              </w:rPr>
            </w:pPr>
            <w:r>
              <w:rPr>
                <w:color w:val="000000" w:themeColor="text1"/>
                <w:lang w:val="en-GB" w:eastAsia="en-GB"/>
              </w:rPr>
              <w:t>0.001</w:t>
            </w:r>
          </w:p>
        </w:tc>
        <w:tc>
          <w:tcPr>
            <w:tcW w:w="1354" w:type="dxa"/>
            <w:tcMar>
              <w:top w:w="15" w:type="dxa"/>
              <w:left w:w="65" w:type="dxa"/>
              <w:bottom w:w="0" w:type="dxa"/>
              <w:right w:w="65" w:type="dxa"/>
            </w:tcMar>
            <w:vAlign w:val="bottom"/>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1.187</w:t>
            </w:r>
          </w:p>
        </w:tc>
      </w:tr>
      <w:tr w:rsidR="005F6592" w:rsidTr="00880774">
        <w:trPr>
          <w:trHeight w:val="432"/>
        </w:trPr>
        <w:tc>
          <w:tcPr>
            <w:tcW w:w="1422" w:type="dxa"/>
            <w:tcMar>
              <w:top w:w="15" w:type="dxa"/>
              <w:left w:w="65" w:type="dxa"/>
              <w:bottom w:w="0" w:type="dxa"/>
              <w:right w:w="65" w:type="dxa"/>
            </w:tcMar>
          </w:tcPr>
          <w:p w:rsidR="009902E7" w:rsidRDefault="009902E7" w:rsidP="009A7C04">
            <w:pPr>
              <w:rPr>
                <w:color w:val="000000" w:themeColor="text1"/>
                <w:kern w:val="24"/>
                <w:lang w:val="en-GB" w:eastAsia="en-GB"/>
              </w:rPr>
            </w:pP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400F0D">
              <w:rPr>
                <w:color w:val="000000" w:themeColor="text1"/>
                <w:lang w:val="en-GB" w:eastAsia="en-GB"/>
              </w:rPr>
              <w:t>0.073</w:t>
            </w:r>
            <w:r>
              <w:rPr>
                <w:color w:val="000000" w:themeColor="text1"/>
                <w:lang w:val="en-GB" w:eastAsia="en-GB"/>
              </w:rPr>
              <w:t>)</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w:t>
            </w:r>
            <w:r w:rsidR="005F6592">
              <w:rPr>
                <w:color w:val="000000" w:themeColor="text1"/>
                <w:lang w:val="en-GB" w:eastAsia="en-GB"/>
              </w:rPr>
              <w:t>0.880</w:t>
            </w:r>
            <w:r>
              <w:rPr>
                <w:color w:val="000000" w:themeColor="text1"/>
                <w:lang w:val="en-GB" w:eastAsia="en-GB"/>
              </w:rPr>
              <w:t>)</w:t>
            </w:r>
          </w:p>
        </w:tc>
      </w:tr>
      <w:tr w:rsidR="005F6592" w:rsidTr="00880774">
        <w:trPr>
          <w:trHeight w:val="432"/>
        </w:trPr>
        <w:tc>
          <w:tcPr>
            <w:tcW w:w="1422" w:type="dxa"/>
            <w:tcMar>
              <w:top w:w="15" w:type="dxa"/>
              <w:left w:w="65" w:type="dxa"/>
              <w:bottom w:w="0" w:type="dxa"/>
              <w:right w:w="65" w:type="dxa"/>
            </w:tcMar>
            <w:vAlign w:val="bottom"/>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N picks for </w:t>
            </w:r>
          </w:p>
        </w:tc>
        <w:tc>
          <w:tcPr>
            <w:tcW w:w="992"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403"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vAlign w:val="bottom"/>
            <w:hideMark/>
          </w:tcPr>
          <w:p w:rsidR="009902E7" w:rsidRDefault="009902E7" w:rsidP="009A7C04">
            <w:pPr>
              <w:rPr>
                <w:color w:val="000000" w:themeColor="text1"/>
                <w:lang w:val="en-GB" w:eastAsia="en-GB"/>
              </w:rPr>
            </w:pPr>
            <w:r>
              <w:rPr>
                <w:color w:val="000000" w:themeColor="text1"/>
                <w:lang w:val="en-GB" w:eastAsia="en-GB"/>
              </w:rPr>
              <w:t>-</w:t>
            </w:r>
            <w:r w:rsidR="00400F0D">
              <w:rPr>
                <w:color w:val="000000" w:themeColor="text1"/>
                <w:lang w:val="en-GB" w:eastAsia="en-GB"/>
              </w:rPr>
              <w:t>0.033</w:t>
            </w:r>
            <w:r>
              <w:rPr>
                <w:color w:val="000000" w:themeColor="text1"/>
                <w:lang w:val="en-GB" w:eastAsia="en-GB"/>
              </w:rPr>
              <w:t>***</w:t>
            </w:r>
          </w:p>
        </w:tc>
        <w:tc>
          <w:tcPr>
            <w:tcW w:w="1403" w:type="dxa"/>
            <w:tcMar>
              <w:top w:w="15" w:type="dxa"/>
              <w:left w:w="65" w:type="dxa"/>
              <w:bottom w:w="0" w:type="dxa"/>
              <w:right w:w="65" w:type="dxa"/>
            </w:tcMar>
            <w:vAlign w:val="bottom"/>
          </w:tcPr>
          <w:p w:rsidR="009902E7" w:rsidRDefault="009902E7" w:rsidP="009A7C04">
            <w:pPr>
              <w:rPr>
                <w:color w:val="000000" w:themeColor="text1"/>
                <w:lang w:val="en-GB" w:eastAsia="en-GB"/>
              </w:rPr>
            </w:pPr>
          </w:p>
        </w:tc>
        <w:tc>
          <w:tcPr>
            <w:tcW w:w="1354" w:type="dxa"/>
            <w:tcMar>
              <w:top w:w="15" w:type="dxa"/>
              <w:left w:w="65" w:type="dxa"/>
              <w:bottom w:w="0" w:type="dxa"/>
              <w:right w:w="65" w:type="dxa"/>
            </w:tcMar>
            <w:vAlign w:val="bottom"/>
          </w:tcPr>
          <w:p w:rsidR="009902E7" w:rsidRDefault="009902E7" w:rsidP="009A7C04">
            <w:pPr>
              <w:spacing w:line="276" w:lineRule="auto"/>
              <w:jc w:val="center"/>
              <w:rPr>
                <w:color w:val="000000" w:themeColor="text1"/>
                <w:lang w:val="en-GB" w:eastAsia="en-GB"/>
              </w:rPr>
            </w:pP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rPr>
                <w:color w:val="000000" w:themeColor="text1"/>
                <w:lang w:val="en-GB" w:eastAsia="en-GB"/>
              </w:rPr>
            </w:pPr>
            <w:r>
              <w:rPr>
                <w:color w:val="000000" w:themeColor="text1"/>
                <w:kern w:val="24"/>
                <w:lang w:val="en-GB" w:eastAsia="en-GB"/>
              </w:rPr>
              <w:t>starting squads</w:t>
            </w:r>
          </w:p>
        </w:tc>
        <w:tc>
          <w:tcPr>
            <w:tcW w:w="992" w:type="dxa"/>
            <w:tcMar>
              <w:top w:w="15" w:type="dxa"/>
              <w:left w:w="65" w:type="dxa"/>
              <w:bottom w:w="0" w:type="dxa"/>
              <w:right w:w="65" w:type="dxa"/>
            </w:tcMar>
          </w:tcPr>
          <w:p w:rsidR="009902E7" w:rsidRDefault="009902E7" w:rsidP="009A7C04">
            <w:pPr>
              <w:rPr>
                <w:color w:val="000000" w:themeColor="text1"/>
                <w:lang w:val="en-GB" w:eastAsia="en-GB"/>
              </w:rPr>
            </w:pPr>
          </w:p>
        </w:tc>
        <w:tc>
          <w:tcPr>
            <w:tcW w:w="1305" w:type="dxa"/>
            <w:tcMar>
              <w:top w:w="15" w:type="dxa"/>
              <w:left w:w="65" w:type="dxa"/>
              <w:bottom w:w="0" w:type="dxa"/>
              <w:right w:w="65" w:type="dxa"/>
            </w:tcMar>
          </w:tcPr>
          <w:p w:rsidR="009902E7" w:rsidRDefault="009902E7" w:rsidP="009A7C04">
            <w:pPr>
              <w:rPr>
                <w:color w:val="000000" w:themeColor="text1"/>
                <w:lang w:val="en-GB" w:eastAsia="en-GB"/>
              </w:rPr>
            </w:pPr>
          </w:p>
        </w:tc>
        <w:tc>
          <w:tcPr>
            <w:tcW w:w="1403"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c>
          <w:tcPr>
            <w:tcW w:w="1403" w:type="dxa"/>
            <w:tcMar>
              <w:top w:w="15" w:type="dxa"/>
              <w:left w:w="65" w:type="dxa"/>
              <w:bottom w:w="0" w:type="dxa"/>
              <w:right w:w="65" w:type="dxa"/>
            </w:tcMar>
            <w:hideMark/>
          </w:tcPr>
          <w:p w:rsidR="009902E7" w:rsidRDefault="009902E7" w:rsidP="009A7C04">
            <w:pPr>
              <w:rPr>
                <w:color w:val="000000" w:themeColor="text1"/>
                <w:lang w:val="en-GB" w:eastAsia="en-GB"/>
              </w:rPr>
            </w:pPr>
            <w:r>
              <w:rPr>
                <w:color w:val="000000" w:themeColor="text1"/>
                <w:lang w:val="en-GB" w:eastAsia="en-GB"/>
              </w:rPr>
              <w:t>(</w:t>
            </w:r>
            <w:r w:rsidR="00400F0D">
              <w:rPr>
                <w:color w:val="000000" w:themeColor="text1"/>
                <w:lang w:val="en-GB" w:eastAsia="en-GB"/>
              </w:rPr>
              <w:t>0.006</w:t>
            </w:r>
            <w:r>
              <w:rPr>
                <w:color w:val="000000" w:themeColor="text1"/>
                <w:lang w:val="en-GB" w:eastAsia="en-GB"/>
              </w:rPr>
              <w:t>)</w:t>
            </w:r>
          </w:p>
        </w:tc>
        <w:tc>
          <w:tcPr>
            <w:tcW w:w="1403" w:type="dxa"/>
            <w:tcMar>
              <w:top w:w="15" w:type="dxa"/>
              <w:left w:w="65" w:type="dxa"/>
              <w:bottom w:w="0" w:type="dxa"/>
              <w:right w:w="65" w:type="dxa"/>
            </w:tcMar>
          </w:tcPr>
          <w:p w:rsidR="009902E7" w:rsidRDefault="009902E7" w:rsidP="009A7C04">
            <w:pPr>
              <w:rPr>
                <w:color w:val="000000" w:themeColor="text1"/>
                <w:lang w:val="en-GB" w:eastAsia="en-GB"/>
              </w:rPr>
            </w:pPr>
          </w:p>
        </w:tc>
        <w:tc>
          <w:tcPr>
            <w:tcW w:w="1354" w:type="dxa"/>
            <w:tcMar>
              <w:top w:w="15" w:type="dxa"/>
              <w:left w:w="65" w:type="dxa"/>
              <w:bottom w:w="0" w:type="dxa"/>
              <w:right w:w="65" w:type="dxa"/>
            </w:tcMar>
          </w:tcPr>
          <w:p w:rsidR="009902E7" w:rsidRDefault="009902E7" w:rsidP="009A7C04">
            <w:pPr>
              <w:spacing w:line="276" w:lineRule="auto"/>
              <w:jc w:val="center"/>
              <w:rPr>
                <w:color w:val="000000" w:themeColor="text1"/>
                <w:lang w:val="en-GB" w:eastAsia="en-GB"/>
              </w:rPr>
            </w:pPr>
          </w:p>
        </w:tc>
      </w:tr>
      <w:tr w:rsidR="005F6592" w:rsidTr="00880774">
        <w:trPr>
          <w:trHeight w:val="432"/>
        </w:trPr>
        <w:tc>
          <w:tcPr>
            <w:tcW w:w="1422" w:type="dxa"/>
            <w:tcMar>
              <w:top w:w="15" w:type="dxa"/>
              <w:left w:w="65" w:type="dxa"/>
              <w:bottom w:w="0" w:type="dxa"/>
              <w:right w:w="65" w:type="dxa"/>
            </w:tcMar>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Controls </w:t>
            </w:r>
          </w:p>
        </w:tc>
        <w:tc>
          <w:tcPr>
            <w:tcW w:w="992"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No</w:t>
            </w:r>
          </w:p>
        </w:tc>
        <w:tc>
          <w:tcPr>
            <w:tcW w:w="1305"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Yes</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Yes</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Yes</w:t>
            </w:r>
          </w:p>
        </w:tc>
        <w:tc>
          <w:tcPr>
            <w:tcW w:w="1403"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Yes</w:t>
            </w:r>
          </w:p>
        </w:tc>
        <w:tc>
          <w:tcPr>
            <w:tcW w:w="1354" w:type="dxa"/>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Yes</w:t>
            </w:r>
          </w:p>
        </w:tc>
      </w:tr>
      <w:tr w:rsidR="005F6592" w:rsidTr="00880774">
        <w:trPr>
          <w:trHeight w:val="432"/>
        </w:trPr>
        <w:tc>
          <w:tcPr>
            <w:tcW w:w="1422"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rPr>
                <w:color w:val="000000" w:themeColor="text1"/>
                <w:lang w:val="en-GB" w:eastAsia="en-GB"/>
              </w:rPr>
            </w:pPr>
            <w:r>
              <w:rPr>
                <w:color w:val="000000" w:themeColor="text1"/>
                <w:kern w:val="24"/>
                <w:lang w:val="en-GB" w:eastAsia="en-GB"/>
              </w:rPr>
              <w:t xml:space="preserve">R-squared </w:t>
            </w:r>
          </w:p>
        </w:tc>
        <w:tc>
          <w:tcPr>
            <w:tcW w:w="992"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0.00</w:t>
            </w:r>
          </w:p>
        </w:tc>
        <w:tc>
          <w:tcPr>
            <w:tcW w:w="1305"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0.1</w:t>
            </w:r>
            <w:r w:rsidR="008E16BE">
              <w:rPr>
                <w:color w:val="000000" w:themeColor="text1"/>
                <w:lang w:val="en-GB" w:eastAsia="en-GB"/>
              </w:rPr>
              <w:t>2</w:t>
            </w:r>
          </w:p>
        </w:tc>
        <w:tc>
          <w:tcPr>
            <w:tcW w:w="1403"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0.1</w:t>
            </w:r>
            <w:r w:rsidR="00BF4F68">
              <w:rPr>
                <w:color w:val="000000" w:themeColor="text1"/>
                <w:lang w:val="en-GB" w:eastAsia="en-GB"/>
              </w:rPr>
              <w:t>3</w:t>
            </w:r>
          </w:p>
        </w:tc>
        <w:tc>
          <w:tcPr>
            <w:tcW w:w="1403"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0.1</w:t>
            </w:r>
            <w:r w:rsidR="00BF4F68">
              <w:rPr>
                <w:color w:val="000000" w:themeColor="text1"/>
                <w:lang w:val="en-GB" w:eastAsia="en-GB"/>
              </w:rPr>
              <w:t>2</w:t>
            </w:r>
          </w:p>
        </w:tc>
        <w:tc>
          <w:tcPr>
            <w:tcW w:w="1403"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0.1</w:t>
            </w:r>
            <w:r w:rsidR="00400F0D">
              <w:rPr>
                <w:color w:val="000000" w:themeColor="text1"/>
                <w:lang w:val="en-GB" w:eastAsia="en-GB"/>
              </w:rPr>
              <w:t>3</w:t>
            </w:r>
          </w:p>
        </w:tc>
        <w:tc>
          <w:tcPr>
            <w:tcW w:w="1354" w:type="dxa"/>
            <w:tcBorders>
              <w:top w:val="nil"/>
              <w:left w:val="nil"/>
              <w:bottom w:val="single" w:sz="8" w:space="0" w:color="000000"/>
              <w:right w:val="nil"/>
            </w:tcBorders>
            <w:tcMar>
              <w:top w:w="15" w:type="dxa"/>
              <w:left w:w="65" w:type="dxa"/>
              <w:bottom w:w="0" w:type="dxa"/>
              <w:right w:w="65" w:type="dxa"/>
            </w:tcMar>
            <w:hideMark/>
          </w:tcPr>
          <w:p w:rsidR="009902E7" w:rsidRDefault="009902E7" w:rsidP="009A7C04">
            <w:pPr>
              <w:spacing w:line="276" w:lineRule="auto"/>
              <w:jc w:val="center"/>
              <w:rPr>
                <w:color w:val="000000" w:themeColor="text1"/>
                <w:lang w:val="en-GB" w:eastAsia="en-GB"/>
              </w:rPr>
            </w:pPr>
            <w:r>
              <w:rPr>
                <w:color w:val="000000" w:themeColor="text1"/>
                <w:lang w:val="en-GB" w:eastAsia="en-GB"/>
              </w:rPr>
              <w:t>0.1</w:t>
            </w:r>
            <w:r w:rsidR="00400F0D">
              <w:rPr>
                <w:color w:val="000000" w:themeColor="text1"/>
                <w:lang w:val="en-GB" w:eastAsia="en-GB"/>
              </w:rPr>
              <w:t>5</w:t>
            </w:r>
          </w:p>
        </w:tc>
      </w:tr>
    </w:tbl>
    <w:p w:rsidR="009902E7" w:rsidRPr="006D3E5D" w:rsidRDefault="009902E7" w:rsidP="009902E7">
      <w:pPr>
        <w:rPr>
          <w:b/>
          <w:sz w:val="20"/>
          <w:szCs w:val="20"/>
        </w:rPr>
      </w:pPr>
      <w:r w:rsidRPr="006D3E5D">
        <w:rPr>
          <w:sz w:val="20"/>
          <w:szCs w:val="20"/>
        </w:rPr>
        <w:t>Note: Controls are season dummy; player's position; quadratic in age; UK born; England international; international of another country</w:t>
      </w:r>
      <w:r w:rsidR="006D3E5D" w:rsidRPr="006D3E5D">
        <w:rPr>
          <w:sz w:val="20"/>
          <w:szCs w:val="20"/>
        </w:rPr>
        <w:t>, club at which playing,</w:t>
      </w:r>
      <w:r w:rsidRPr="006D3E5D">
        <w:rPr>
          <w:sz w:val="20"/>
          <w:szCs w:val="20"/>
        </w:rPr>
        <w:t xml:space="preserve"> </w:t>
      </w:r>
      <w:r w:rsidRPr="006D3E5D">
        <w:rPr>
          <w:sz w:val="20"/>
          <w:szCs w:val="20"/>
          <w:lang w:val="en-GB"/>
        </w:rPr>
        <w:t>game week,</w:t>
      </w:r>
      <w:r w:rsidR="008E16BE">
        <w:rPr>
          <w:sz w:val="20"/>
          <w:szCs w:val="20"/>
          <w:lang w:val="en-GB"/>
        </w:rPr>
        <w:t xml:space="preserve"> African Cup of Nations, </w:t>
      </w:r>
      <w:r w:rsidRPr="006D3E5D">
        <w:rPr>
          <w:sz w:val="20"/>
          <w:szCs w:val="20"/>
          <w:lang w:val="en-GB"/>
        </w:rPr>
        <w:t xml:space="preserve"> indicators of number of games played in the week. Nbr of observations = 58,</w:t>
      </w:r>
      <w:r w:rsidR="008E16BE">
        <w:rPr>
          <w:sz w:val="20"/>
          <w:szCs w:val="20"/>
          <w:lang w:val="en-GB"/>
        </w:rPr>
        <w:t>31</w:t>
      </w:r>
      <w:r w:rsidRPr="006D3E5D">
        <w:rPr>
          <w:sz w:val="20"/>
          <w:szCs w:val="20"/>
          <w:lang w:val="en-GB"/>
        </w:rPr>
        <w:t>9 or 38,511 in (4)</w:t>
      </w:r>
      <w:r w:rsidR="006D3E5D" w:rsidRPr="006D3E5D">
        <w:rPr>
          <w:sz w:val="20"/>
          <w:szCs w:val="20"/>
          <w:lang w:val="en-GB"/>
        </w:rPr>
        <w:t xml:space="preserve">. </w:t>
      </w:r>
      <w:r w:rsidRPr="006D3E5D">
        <w:rPr>
          <w:sz w:val="20"/>
          <w:szCs w:val="20"/>
          <w:lang w:val="en-GB"/>
        </w:rPr>
        <w:t>Standard errors are clustered at the football player level. *** p&lt;0.01, ** p&lt;0.05, * p&lt;0.1</w:t>
      </w:r>
      <w:r w:rsidRPr="006D3E5D">
        <w:rPr>
          <w:b/>
          <w:sz w:val="20"/>
          <w:szCs w:val="20"/>
        </w:rPr>
        <w:br w:type="page"/>
      </w:r>
    </w:p>
    <w:p w:rsidR="009902E7" w:rsidRDefault="009902E7" w:rsidP="009902E7">
      <w:pPr>
        <w:rPr>
          <w:b/>
        </w:rPr>
      </w:pPr>
      <w:r>
        <w:rPr>
          <w:b/>
        </w:rPr>
        <w:lastRenderedPageBreak/>
        <w:t xml:space="preserve">Table 7: Quantile Regression: Net Employer Demand for Players </w:t>
      </w:r>
    </w:p>
    <w:p w:rsidR="009902E7" w:rsidRDefault="009902E7" w:rsidP="009902E7">
      <w:pPr>
        <w:rPr>
          <w:b/>
        </w:rPr>
      </w:pPr>
    </w:p>
    <w:tbl>
      <w:tblPr>
        <w:tblW w:w="9236" w:type="dxa"/>
        <w:tblInd w:w="-580" w:type="dxa"/>
        <w:tblCellMar>
          <w:left w:w="0" w:type="dxa"/>
          <w:right w:w="0" w:type="dxa"/>
        </w:tblCellMar>
        <w:tblLook w:val="04A0" w:firstRow="1" w:lastRow="0" w:firstColumn="1" w:lastColumn="0" w:noHBand="0" w:noVBand="1"/>
      </w:tblPr>
      <w:tblGrid>
        <w:gridCol w:w="2374"/>
        <w:gridCol w:w="1710"/>
        <w:gridCol w:w="1170"/>
        <w:gridCol w:w="1338"/>
        <w:gridCol w:w="1337"/>
        <w:gridCol w:w="1307"/>
      </w:tblGrid>
      <w:tr w:rsidR="00B33CC0" w:rsidTr="00B33CC0">
        <w:trPr>
          <w:trHeight w:val="480"/>
        </w:trPr>
        <w:tc>
          <w:tcPr>
            <w:tcW w:w="237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710"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Q10</w:t>
            </w:r>
          </w:p>
        </w:tc>
        <w:tc>
          <w:tcPr>
            <w:tcW w:w="1170"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Q25</w:t>
            </w:r>
          </w:p>
        </w:tc>
        <w:tc>
          <w:tcPr>
            <w:tcW w:w="133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Q50</w:t>
            </w:r>
          </w:p>
        </w:tc>
        <w:tc>
          <w:tcPr>
            <w:tcW w:w="133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spacing w:line="360" w:lineRule="auto"/>
              <w:jc w:val="center"/>
              <w:rPr>
                <w:lang w:val="en-GB"/>
              </w:rPr>
            </w:pPr>
            <w:r>
              <w:rPr>
                <w:lang w:val="en-GB"/>
              </w:rPr>
              <w:t>Q75</w:t>
            </w:r>
          </w:p>
        </w:tc>
        <w:tc>
          <w:tcPr>
            <w:tcW w:w="1307" w:type="dxa"/>
            <w:tcBorders>
              <w:top w:val="single" w:sz="8" w:space="0" w:color="000000"/>
              <w:left w:val="nil"/>
              <w:bottom w:val="nil"/>
              <w:right w:val="nil"/>
            </w:tcBorders>
            <w:hideMark/>
          </w:tcPr>
          <w:p w:rsidR="009902E7" w:rsidRDefault="009902E7" w:rsidP="009A7C04">
            <w:pPr>
              <w:spacing w:line="360" w:lineRule="auto"/>
              <w:jc w:val="center"/>
              <w:rPr>
                <w:lang w:val="en-GB"/>
              </w:rPr>
            </w:pPr>
            <w:r>
              <w:rPr>
                <w:lang w:val="en-GB"/>
              </w:rPr>
              <w:t>Q90</w:t>
            </w:r>
          </w:p>
        </w:tc>
      </w:tr>
      <w:tr w:rsidR="00B33CC0" w:rsidTr="00B33CC0">
        <w:trPr>
          <w:trHeight w:val="480"/>
        </w:trPr>
        <w:tc>
          <w:tcPr>
            <w:tcW w:w="2374"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710"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170"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338"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337" w:type="dxa"/>
            <w:tcBorders>
              <w:top w:val="single" w:sz="8" w:space="0" w:color="000000"/>
              <w:left w:val="nil"/>
              <w:bottom w:val="nil"/>
              <w:right w:val="nil"/>
            </w:tcBorders>
            <w:tcMar>
              <w:top w:w="15" w:type="dxa"/>
              <w:left w:w="75" w:type="dxa"/>
              <w:bottom w:w="0" w:type="dxa"/>
              <w:right w:w="75" w:type="dxa"/>
            </w:tcMar>
            <w:hideMark/>
          </w:tcPr>
          <w:p w:rsidR="009902E7" w:rsidRDefault="009902E7" w:rsidP="009A7C04">
            <w:pPr>
              <w:rPr>
                <w:sz w:val="20"/>
                <w:szCs w:val="20"/>
                <w:lang w:val="en-GB" w:eastAsia="en-GB"/>
              </w:rPr>
            </w:pPr>
          </w:p>
        </w:tc>
        <w:tc>
          <w:tcPr>
            <w:tcW w:w="1307" w:type="dxa"/>
            <w:tcBorders>
              <w:top w:val="single" w:sz="8" w:space="0" w:color="000000"/>
              <w:left w:val="nil"/>
              <w:bottom w:val="nil"/>
              <w:right w:val="nil"/>
            </w:tcBorders>
          </w:tcPr>
          <w:p w:rsidR="009902E7" w:rsidRDefault="009902E7" w:rsidP="009A7C04">
            <w:pPr>
              <w:spacing w:line="360" w:lineRule="auto"/>
              <w:jc w:val="center"/>
              <w:rPr>
                <w:lang w:val="en-GB"/>
              </w:rPr>
            </w:pPr>
          </w:p>
        </w:tc>
      </w:tr>
      <w:tr w:rsidR="00B33CC0" w:rsidTr="00B33CC0">
        <w:trPr>
          <w:trHeight w:val="480"/>
        </w:trPr>
        <w:tc>
          <w:tcPr>
            <w:tcW w:w="2374" w:type="dxa"/>
            <w:tcMar>
              <w:top w:w="15" w:type="dxa"/>
              <w:left w:w="75" w:type="dxa"/>
              <w:bottom w:w="0" w:type="dxa"/>
              <w:right w:w="75" w:type="dxa"/>
            </w:tcMar>
            <w:vAlign w:val="bottom"/>
            <w:hideMark/>
          </w:tcPr>
          <w:p w:rsidR="009902E7" w:rsidRDefault="009902E7" w:rsidP="009A7C04">
            <w:pPr>
              <w:spacing w:line="360" w:lineRule="auto"/>
              <w:rPr>
                <w:color w:val="000000"/>
              </w:rPr>
            </w:pPr>
            <w:r>
              <w:rPr>
                <w:color w:val="000000"/>
              </w:rPr>
              <w:t>Non-White</w:t>
            </w:r>
          </w:p>
        </w:tc>
        <w:tc>
          <w:tcPr>
            <w:tcW w:w="1710" w:type="dxa"/>
            <w:tcMar>
              <w:top w:w="15" w:type="dxa"/>
              <w:left w:w="75" w:type="dxa"/>
              <w:bottom w:w="0" w:type="dxa"/>
              <w:right w:w="75" w:type="dxa"/>
            </w:tcMar>
            <w:vAlign w:val="bottom"/>
            <w:hideMark/>
          </w:tcPr>
          <w:p w:rsidR="009902E7" w:rsidRDefault="009902E7" w:rsidP="004839DF">
            <w:pPr>
              <w:jc w:val="center"/>
              <w:rPr>
                <w:color w:val="000000"/>
              </w:rPr>
            </w:pPr>
            <w:r>
              <w:rPr>
                <w:color w:val="000000"/>
              </w:rPr>
              <w:t>-</w:t>
            </w:r>
            <w:r w:rsidR="00B33CC0">
              <w:rPr>
                <w:color w:val="000000"/>
              </w:rPr>
              <w:t>0.003</w:t>
            </w:r>
          </w:p>
        </w:tc>
        <w:tc>
          <w:tcPr>
            <w:tcW w:w="1170"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0.000</w:t>
            </w:r>
          </w:p>
        </w:tc>
        <w:tc>
          <w:tcPr>
            <w:tcW w:w="133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w:t>
            </w:r>
            <w:r w:rsidR="00B33CC0">
              <w:rPr>
                <w:color w:val="000000"/>
              </w:rPr>
              <w:t>0.001</w:t>
            </w:r>
          </w:p>
        </w:tc>
        <w:tc>
          <w:tcPr>
            <w:tcW w:w="1337"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-0.000</w:t>
            </w:r>
          </w:p>
        </w:tc>
        <w:tc>
          <w:tcPr>
            <w:tcW w:w="1307" w:type="dxa"/>
            <w:vAlign w:val="bottom"/>
            <w:hideMark/>
          </w:tcPr>
          <w:p w:rsidR="009902E7" w:rsidRDefault="00B33CC0" w:rsidP="004839DF">
            <w:pPr>
              <w:jc w:val="center"/>
              <w:rPr>
                <w:color w:val="000000"/>
              </w:rPr>
            </w:pPr>
            <w:r>
              <w:rPr>
                <w:color w:val="000000"/>
              </w:rPr>
              <w:t>-0.000</w:t>
            </w:r>
          </w:p>
        </w:tc>
      </w:tr>
      <w:tr w:rsidR="00B33CC0" w:rsidTr="00B33CC0">
        <w:trPr>
          <w:trHeight w:val="480"/>
        </w:trPr>
        <w:tc>
          <w:tcPr>
            <w:tcW w:w="2374" w:type="dxa"/>
            <w:tcMar>
              <w:top w:w="15" w:type="dxa"/>
              <w:left w:w="75" w:type="dxa"/>
              <w:bottom w:w="0" w:type="dxa"/>
              <w:right w:w="75" w:type="dxa"/>
            </w:tcMar>
            <w:hideMark/>
          </w:tcPr>
          <w:p w:rsidR="009902E7" w:rsidRDefault="009902E7" w:rsidP="009A7C04">
            <w:pPr>
              <w:rPr>
                <w:sz w:val="20"/>
                <w:szCs w:val="20"/>
                <w:lang w:val="en-GB" w:eastAsia="en-GB"/>
              </w:rPr>
            </w:pPr>
          </w:p>
        </w:tc>
        <w:tc>
          <w:tcPr>
            <w:tcW w:w="1710"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0.002</w:t>
            </w:r>
            <w:r>
              <w:rPr>
                <w:color w:val="000000"/>
              </w:rPr>
              <w:t>)</w:t>
            </w:r>
          </w:p>
        </w:tc>
        <w:tc>
          <w:tcPr>
            <w:tcW w:w="1170"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0.001</w:t>
            </w:r>
            <w:r>
              <w:rPr>
                <w:color w:val="000000"/>
              </w:rPr>
              <w:t>)</w:t>
            </w:r>
          </w:p>
        </w:tc>
        <w:tc>
          <w:tcPr>
            <w:tcW w:w="1338"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0.000</w:t>
            </w:r>
            <w:r>
              <w:rPr>
                <w:color w:val="000000"/>
              </w:rPr>
              <w:t>)</w:t>
            </w:r>
          </w:p>
        </w:tc>
        <w:tc>
          <w:tcPr>
            <w:tcW w:w="1337"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0.000</w:t>
            </w:r>
            <w:r>
              <w:rPr>
                <w:color w:val="000000"/>
              </w:rPr>
              <w:t>)</w:t>
            </w:r>
          </w:p>
        </w:tc>
        <w:tc>
          <w:tcPr>
            <w:tcW w:w="1307" w:type="dxa"/>
            <w:hideMark/>
          </w:tcPr>
          <w:p w:rsidR="009902E7" w:rsidRDefault="009902E7" w:rsidP="009A7C04">
            <w:pPr>
              <w:jc w:val="center"/>
              <w:rPr>
                <w:color w:val="000000"/>
              </w:rPr>
            </w:pPr>
            <w:r>
              <w:rPr>
                <w:color w:val="000000"/>
              </w:rPr>
              <w:t>(0.</w:t>
            </w:r>
            <w:r w:rsidR="00A714E3">
              <w:rPr>
                <w:color w:val="000000"/>
              </w:rPr>
              <w:t>000</w:t>
            </w:r>
            <w:r>
              <w:rPr>
                <w:color w:val="000000"/>
              </w:rPr>
              <w:t>)</w:t>
            </w:r>
          </w:p>
        </w:tc>
      </w:tr>
      <w:tr w:rsidR="00B33CC0" w:rsidTr="00B33CC0">
        <w:trPr>
          <w:trHeight w:val="480"/>
        </w:trPr>
        <w:tc>
          <w:tcPr>
            <w:tcW w:w="2374" w:type="dxa"/>
            <w:tcMar>
              <w:top w:w="15" w:type="dxa"/>
              <w:left w:w="75" w:type="dxa"/>
              <w:bottom w:w="0" w:type="dxa"/>
              <w:right w:w="75" w:type="dxa"/>
            </w:tcMar>
            <w:vAlign w:val="bottom"/>
            <w:hideMark/>
          </w:tcPr>
          <w:p w:rsidR="009902E7" w:rsidRDefault="00880774" w:rsidP="009A7C04">
            <w:pPr>
              <w:spacing w:line="360" w:lineRule="auto"/>
              <w:rPr>
                <w:color w:val="000000"/>
              </w:rPr>
            </w:pPr>
            <w:r>
              <w:rPr>
                <w:color w:val="000000"/>
              </w:rPr>
              <w:t>Points last game</w:t>
            </w:r>
          </w:p>
        </w:tc>
        <w:tc>
          <w:tcPr>
            <w:tcW w:w="1710"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0.045</w:t>
            </w:r>
            <w:r w:rsidR="009902E7">
              <w:rPr>
                <w:color w:val="000000"/>
              </w:rPr>
              <w:t>***</w:t>
            </w:r>
          </w:p>
        </w:tc>
        <w:tc>
          <w:tcPr>
            <w:tcW w:w="1170"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0.022</w:t>
            </w:r>
            <w:r w:rsidR="009902E7">
              <w:rPr>
                <w:color w:val="000000"/>
              </w:rPr>
              <w:t>***</w:t>
            </w:r>
          </w:p>
        </w:tc>
        <w:tc>
          <w:tcPr>
            <w:tcW w:w="1338"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0.017</w:t>
            </w:r>
            <w:r w:rsidR="009902E7">
              <w:rPr>
                <w:color w:val="000000"/>
              </w:rPr>
              <w:t>***</w:t>
            </w:r>
          </w:p>
        </w:tc>
        <w:tc>
          <w:tcPr>
            <w:tcW w:w="1337"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0.062</w:t>
            </w:r>
            <w:r w:rsidR="009902E7">
              <w:rPr>
                <w:color w:val="000000"/>
              </w:rPr>
              <w:t>**</w:t>
            </w:r>
          </w:p>
        </w:tc>
        <w:tc>
          <w:tcPr>
            <w:tcW w:w="1307" w:type="dxa"/>
            <w:vAlign w:val="bottom"/>
            <w:hideMark/>
          </w:tcPr>
          <w:p w:rsidR="009902E7" w:rsidRDefault="00B33CC0" w:rsidP="009A7C04">
            <w:pPr>
              <w:jc w:val="center"/>
              <w:rPr>
                <w:color w:val="000000"/>
              </w:rPr>
            </w:pPr>
            <w:r>
              <w:rPr>
                <w:color w:val="000000"/>
              </w:rPr>
              <w:t>0.156</w:t>
            </w:r>
            <w:r w:rsidR="009902E7">
              <w:rPr>
                <w:color w:val="000000"/>
              </w:rPr>
              <w:t>***</w:t>
            </w:r>
          </w:p>
        </w:tc>
      </w:tr>
      <w:tr w:rsidR="00B33CC0" w:rsidTr="00B33CC0">
        <w:trPr>
          <w:trHeight w:val="480"/>
        </w:trPr>
        <w:tc>
          <w:tcPr>
            <w:tcW w:w="2374" w:type="dxa"/>
            <w:tcMar>
              <w:top w:w="15" w:type="dxa"/>
              <w:left w:w="75" w:type="dxa"/>
              <w:bottom w:w="0" w:type="dxa"/>
              <w:right w:w="75" w:type="dxa"/>
            </w:tcMar>
            <w:hideMark/>
          </w:tcPr>
          <w:p w:rsidR="009902E7" w:rsidRDefault="009902E7" w:rsidP="009A7C04">
            <w:pPr>
              <w:rPr>
                <w:sz w:val="20"/>
                <w:szCs w:val="20"/>
                <w:lang w:val="en-GB" w:eastAsia="en-GB"/>
              </w:rPr>
            </w:pPr>
          </w:p>
        </w:tc>
        <w:tc>
          <w:tcPr>
            <w:tcW w:w="1710"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0.002</w:t>
            </w:r>
            <w:r>
              <w:rPr>
                <w:color w:val="000000"/>
              </w:rPr>
              <w:t>)</w:t>
            </w:r>
          </w:p>
        </w:tc>
        <w:tc>
          <w:tcPr>
            <w:tcW w:w="1170"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0.001</w:t>
            </w:r>
            <w:r>
              <w:rPr>
                <w:color w:val="000000"/>
              </w:rPr>
              <w:t>)</w:t>
            </w:r>
          </w:p>
        </w:tc>
        <w:tc>
          <w:tcPr>
            <w:tcW w:w="1338"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0.001</w:t>
            </w:r>
            <w:r>
              <w:rPr>
                <w:color w:val="000000"/>
              </w:rPr>
              <w:t>)</w:t>
            </w:r>
          </w:p>
        </w:tc>
        <w:tc>
          <w:tcPr>
            <w:tcW w:w="1337"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0.003</w:t>
            </w:r>
            <w:r>
              <w:rPr>
                <w:color w:val="000000"/>
              </w:rPr>
              <w:t>)</w:t>
            </w:r>
          </w:p>
        </w:tc>
        <w:tc>
          <w:tcPr>
            <w:tcW w:w="1307" w:type="dxa"/>
            <w:hideMark/>
          </w:tcPr>
          <w:p w:rsidR="009902E7" w:rsidRDefault="009902E7" w:rsidP="009A7C04">
            <w:pPr>
              <w:jc w:val="center"/>
              <w:rPr>
                <w:color w:val="000000"/>
              </w:rPr>
            </w:pPr>
            <w:r>
              <w:rPr>
                <w:color w:val="000000"/>
              </w:rPr>
              <w:t>(</w:t>
            </w:r>
            <w:r w:rsidR="00A714E3">
              <w:rPr>
                <w:color w:val="000000"/>
              </w:rPr>
              <w:t>0.0</w:t>
            </w:r>
            <w:r>
              <w:rPr>
                <w:color w:val="000000"/>
              </w:rPr>
              <w:t>10)</w:t>
            </w:r>
          </w:p>
        </w:tc>
      </w:tr>
      <w:tr w:rsidR="00B33CC0" w:rsidTr="00B33CC0">
        <w:trPr>
          <w:trHeight w:val="480"/>
        </w:trPr>
        <w:tc>
          <w:tcPr>
            <w:tcW w:w="2374" w:type="dxa"/>
            <w:tcMar>
              <w:top w:w="15" w:type="dxa"/>
              <w:left w:w="75" w:type="dxa"/>
              <w:bottom w:w="0" w:type="dxa"/>
              <w:right w:w="75" w:type="dxa"/>
            </w:tcMar>
            <w:vAlign w:val="bottom"/>
            <w:hideMark/>
          </w:tcPr>
          <w:p w:rsidR="00880774" w:rsidRDefault="00880774" w:rsidP="009A7C04">
            <w:pPr>
              <w:spacing w:line="360" w:lineRule="auto"/>
              <w:rPr>
                <w:color w:val="000000"/>
              </w:rPr>
            </w:pPr>
            <w:r>
              <w:rPr>
                <w:color w:val="000000"/>
              </w:rPr>
              <w:t xml:space="preserve">Points in previous 3 </w:t>
            </w:r>
          </w:p>
        </w:tc>
        <w:tc>
          <w:tcPr>
            <w:tcW w:w="1710"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-0.000</w:t>
            </w:r>
          </w:p>
        </w:tc>
        <w:tc>
          <w:tcPr>
            <w:tcW w:w="1170"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0.001</w:t>
            </w:r>
            <w:r w:rsidR="00880774">
              <w:rPr>
                <w:color w:val="000000"/>
              </w:rPr>
              <w:t>***</w:t>
            </w:r>
          </w:p>
        </w:tc>
        <w:tc>
          <w:tcPr>
            <w:tcW w:w="1338"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0.002</w:t>
            </w:r>
            <w:r w:rsidR="00880774">
              <w:rPr>
                <w:color w:val="000000"/>
              </w:rPr>
              <w:t>***</w:t>
            </w:r>
          </w:p>
        </w:tc>
        <w:tc>
          <w:tcPr>
            <w:tcW w:w="1337"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0.006</w:t>
            </w:r>
            <w:r w:rsidR="00880774">
              <w:rPr>
                <w:color w:val="000000"/>
              </w:rPr>
              <w:t>***</w:t>
            </w:r>
          </w:p>
        </w:tc>
        <w:tc>
          <w:tcPr>
            <w:tcW w:w="1307" w:type="dxa"/>
            <w:vAlign w:val="bottom"/>
            <w:hideMark/>
          </w:tcPr>
          <w:p w:rsidR="00880774" w:rsidRDefault="00B33CC0" w:rsidP="009A7C04">
            <w:pPr>
              <w:jc w:val="center"/>
              <w:rPr>
                <w:color w:val="000000"/>
              </w:rPr>
            </w:pPr>
            <w:r>
              <w:rPr>
                <w:color w:val="000000"/>
              </w:rPr>
              <w:t>0.042</w:t>
            </w:r>
            <w:r w:rsidR="00880774">
              <w:rPr>
                <w:color w:val="000000"/>
              </w:rPr>
              <w:t>***</w:t>
            </w:r>
          </w:p>
        </w:tc>
      </w:tr>
      <w:tr w:rsidR="00B33CC0" w:rsidTr="00B33CC0">
        <w:trPr>
          <w:trHeight w:val="480"/>
        </w:trPr>
        <w:tc>
          <w:tcPr>
            <w:tcW w:w="2374" w:type="dxa"/>
            <w:tcMar>
              <w:top w:w="15" w:type="dxa"/>
              <w:left w:w="75" w:type="dxa"/>
              <w:bottom w:w="0" w:type="dxa"/>
              <w:right w:w="75" w:type="dxa"/>
            </w:tcMar>
            <w:hideMark/>
          </w:tcPr>
          <w:p w:rsidR="00880774" w:rsidRDefault="00880774" w:rsidP="009A7C04">
            <w:pPr>
              <w:rPr>
                <w:sz w:val="20"/>
                <w:szCs w:val="20"/>
                <w:lang w:val="en-GB" w:eastAsia="en-GB"/>
              </w:rPr>
            </w:pPr>
            <w:r>
              <w:rPr>
                <w:color w:val="000000"/>
              </w:rPr>
              <w:t>games</w:t>
            </w:r>
          </w:p>
        </w:tc>
        <w:tc>
          <w:tcPr>
            <w:tcW w:w="1710"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0.001</w:t>
            </w:r>
            <w:r>
              <w:rPr>
                <w:color w:val="000000"/>
              </w:rPr>
              <w:t>)</w:t>
            </w:r>
          </w:p>
        </w:tc>
        <w:tc>
          <w:tcPr>
            <w:tcW w:w="1170"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338"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337"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0.001</w:t>
            </w:r>
            <w:r>
              <w:rPr>
                <w:color w:val="000000"/>
              </w:rPr>
              <w:t>)</w:t>
            </w:r>
          </w:p>
        </w:tc>
        <w:tc>
          <w:tcPr>
            <w:tcW w:w="1307" w:type="dxa"/>
            <w:hideMark/>
          </w:tcPr>
          <w:p w:rsidR="00880774" w:rsidRDefault="00880774" w:rsidP="009A7C04">
            <w:pPr>
              <w:jc w:val="center"/>
              <w:rPr>
                <w:color w:val="000000"/>
              </w:rPr>
            </w:pPr>
            <w:r>
              <w:rPr>
                <w:color w:val="000000"/>
              </w:rPr>
              <w:t>(</w:t>
            </w:r>
            <w:r w:rsidR="00A714E3">
              <w:rPr>
                <w:color w:val="000000"/>
              </w:rPr>
              <w:t>0.003</w:t>
            </w:r>
            <w:r>
              <w:rPr>
                <w:color w:val="000000"/>
              </w:rPr>
              <w:t>)</w:t>
            </w:r>
          </w:p>
        </w:tc>
      </w:tr>
      <w:tr w:rsidR="00B33CC0" w:rsidTr="00B33CC0">
        <w:trPr>
          <w:trHeight w:val="480"/>
        </w:trPr>
        <w:tc>
          <w:tcPr>
            <w:tcW w:w="2374" w:type="dxa"/>
            <w:tcMar>
              <w:top w:w="15" w:type="dxa"/>
              <w:left w:w="75" w:type="dxa"/>
              <w:bottom w:w="0" w:type="dxa"/>
              <w:right w:w="75" w:type="dxa"/>
            </w:tcMar>
            <w:vAlign w:val="bottom"/>
            <w:hideMark/>
          </w:tcPr>
          <w:p w:rsidR="00880774" w:rsidRDefault="00880774" w:rsidP="009A7C04">
            <w:pPr>
              <w:spacing w:line="360" w:lineRule="auto"/>
              <w:rPr>
                <w:color w:val="000000"/>
              </w:rPr>
            </w:pPr>
            <w:r>
              <w:rPr>
                <w:color w:val="000000"/>
              </w:rPr>
              <w:t xml:space="preserve">Total Points up to </w:t>
            </w:r>
          </w:p>
        </w:tc>
        <w:tc>
          <w:tcPr>
            <w:tcW w:w="1710"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-0.007</w:t>
            </w:r>
            <w:r w:rsidR="00880774">
              <w:rPr>
                <w:color w:val="000000"/>
              </w:rPr>
              <w:t>*</w:t>
            </w:r>
            <w:r w:rsidR="00A714E3">
              <w:rPr>
                <w:color w:val="000000"/>
              </w:rPr>
              <w:t>**</w:t>
            </w:r>
          </w:p>
        </w:tc>
        <w:tc>
          <w:tcPr>
            <w:tcW w:w="1170"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-0.003</w:t>
            </w:r>
            <w:r w:rsidR="00A714E3">
              <w:rPr>
                <w:color w:val="000000"/>
              </w:rPr>
              <w:t>***</w:t>
            </w:r>
          </w:p>
        </w:tc>
        <w:tc>
          <w:tcPr>
            <w:tcW w:w="1338"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-0.001</w:t>
            </w:r>
            <w:r w:rsidR="00880774">
              <w:rPr>
                <w:color w:val="000000"/>
              </w:rPr>
              <w:t>***</w:t>
            </w:r>
          </w:p>
        </w:tc>
        <w:tc>
          <w:tcPr>
            <w:tcW w:w="1337" w:type="dxa"/>
            <w:tcMar>
              <w:top w:w="15" w:type="dxa"/>
              <w:left w:w="75" w:type="dxa"/>
              <w:bottom w:w="0" w:type="dxa"/>
              <w:right w:w="75" w:type="dxa"/>
            </w:tcMar>
            <w:vAlign w:val="bottom"/>
            <w:hideMark/>
          </w:tcPr>
          <w:p w:rsidR="00880774" w:rsidRDefault="00B33CC0" w:rsidP="009A7C04">
            <w:pPr>
              <w:jc w:val="center"/>
              <w:rPr>
                <w:color w:val="000000"/>
              </w:rPr>
            </w:pPr>
            <w:r>
              <w:rPr>
                <w:color w:val="000000"/>
              </w:rPr>
              <w:t>-0.000</w:t>
            </w:r>
            <w:r w:rsidR="00880774">
              <w:rPr>
                <w:color w:val="000000"/>
              </w:rPr>
              <w:t>***</w:t>
            </w:r>
          </w:p>
        </w:tc>
        <w:tc>
          <w:tcPr>
            <w:tcW w:w="1307" w:type="dxa"/>
            <w:vAlign w:val="bottom"/>
            <w:hideMark/>
          </w:tcPr>
          <w:p w:rsidR="00880774" w:rsidRDefault="00B33CC0" w:rsidP="009A7C04">
            <w:pPr>
              <w:jc w:val="center"/>
              <w:rPr>
                <w:color w:val="000000"/>
              </w:rPr>
            </w:pPr>
            <w:r>
              <w:rPr>
                <w:color w:val="000000"/>
              </w:rPr>
              <w:t>-0.000</w:t>
            </w:r>
            <w:r w:rsidR="00880774">
              <w:rPr>
                <w:color w:val="000000"/>
              </w:rPr>
              <w:t>***</w:t>
            </w:r>
          </w:p>
        </w:tc>
      </w:tr>
      <w:tr w:rsidR="00B33CC0" w:rsidTr="00B33CC0">
        <w:trPr>
          <w:trHeight w:val="480"/>
        </w:trPr>
        <w:tc>
          <w:tcPr>
            <w:tcW w:w="2374" w:type="dxa"/>
            <w:tcMar>
              <w:top w:w="15" w:type="dxa"/>
              <w:left w:w="75" w:type="dxa"/>
              <w:bottom w:w="0" w:type="dxa"/>
              <w:right w:w="75" w:type="dxa"/>
            </w:tcMar>
            <w:hideMark/>
          </w:tcPr>
          <w:p w:rsidR="00880774" w:rsidRDefault="00880774" w:rsidP="009A7C04">
            <w:pPr>
              <w:spacing w:line="360" w:lineRule="auto"/>
              <w:rPr>
                <w:color w:val="000000"/>
              </w:rPr>
            </w:pPr>
            <w:r>
              <w:rPr>
                <w:color w:val="000000"/>
              </w:rPr>
              <w:t>t-4</w:t>
            </w:r>
          </w:p>
        </w:tc>
        <w:tc>
          <w:tcPr>
            <w:tcW w:w="1710"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170"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338"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337" w:type="dxa"/>
            <w:tcMar>
              <w:top w:w="15" w:type="dxa"/>
              <w:left w:w="75" w:type="dxa"/>
              <w:bottom w:w="0" w:type="dxa"/>
              <w:right w:w="75" w:type="dxa"/>
            </w:tcMar>
            <w:hideMark/>
          </w:tcPr>
          <w:p w:rsidR="00880774" w:rsidRDefault="00880774" w:rsidP="009A7C04">
            <w:pPr>
              <w:jc w:val="center"/>
              <w:rPr>
                <w:color w:val="000000"/>
              </w:rPr>
            </w:pPr>
            <w:r>
              <w:rPr>
                <w:color w:val="000000"/>
              </w:rPr>
              <w:t>(</w:t>
            </w:r>
            <w:r w:rsidR="00A714E3">
              <w:rPr>
                <w:color w:val="000000"/>
              </w:rPr>
              <w:t>0.000</w:t>
            </w:r>
            <w:r>
              <w:rPr>
                <w:color w:val="000000"/>
              </w:rPr>
              <w:t>)</w:t>
            </w:r>
          </w:p>
        </w:tc>
        <w:tc>
          <w:tcPr>
            <w:tcW w:w="1307" w:type="dxa"/>
            <w:hideMark/>
          </w:tcPr>
          <w:p w:rsidR="00880774" w:rsidRDefault="00880774" w:rsidP="009A7C04">
            <w:pPr>
              <w:jc w:val="center"/>
              <w:rPr>
                <w:color w:val="000000"/>
              </w:rPr>
            </w:pPr>
            <w:r>
              <w:rPr>
                <w:color w:val="000000"/>
              </w:rPr>
              <w:t>(</w:t>
            </w:r>
            <w:r w:rsidR="00A714E3">
              <w:rPr>
                <w:color w:val="000000"/>
              </w:rPr>
              <w:t>0.000</w:t>
            </w:r>
            <w:r>
              <w:rPr>
                <w:color w:val="000000"/>
              </w:rPr>
              <w:t>)</w:t>
            </w:r>
          </w:p>
        </w:tc>
      </w:tr>
      <w:tr w:rsidR="00B33CC0" w:rsidTr="00B33CC0">
        <w:trPr>
          <w:trHeight w:val="480"/>
        </w:trPr>
        <w:tc>
          <w:tcPr>
            <w:tcW w:w="2374" w:type="dxa"/>
            <w:tcMar>
              <w:top w:w="15" w:type="dxa"/>
              <w:left w:w="75" w:type="dxa"/>
              <w:bottom w:w="0" w:type="dxa"/>
              <w:right w:w="75" w:type="dxa"/>
            </w:tcMar>
            <w:vAlign w:val="bottom"/>
            <w:hideMark/>
          </w:tcPr>
          <w:p w:rsidR="009902E7" w:rsidRDefault="00880774" w:rsidP="009A7C04">
            <w:pPr>
              <w:spacing w:line="360" w:lineRule="auto"/>
              <w:rPr>
                <w:color w:val="000000"/>
                <w:vertAlign w:val="subscript"/>
              </w:rPr>
            </w:pPr>
            <w:r>
              <w:rPr>
                <w:color w:val="000000"/>
              </w:rPr>
              <w:t>Price at t-1</w:t>
            </w:r>
          </w:p>
        </w:tc>
        <w:tc>
          <w:tcPr>
            <w:tcW w:w="1710"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w:t>
            </w:r>
            <w:r w:rsidR="00B33CC0">
              <w:rPr>
                <w:color w:val="000000"/>
              </w:rPr>
              <w:t>1.040</w:t>
            </w:r>
            <w:r>
              <w:rPr>
                <w:color w:val="000000"/>
              </w:rPr>
              <w:t>***</w:t>
            </w:r>
          </w:p>
        </w:tc>
        <w:tc>
          <w:tcPr>
            <w:tcW w:w="1170"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w:t>
            </w:r>
            <w:r w:rsidR="00B33CC0">
              <w:rPr>
                <w:color w:val="000000"/>
              </w:rPr>
              <w:t>0.284</w:t>
            </w:r>
            <w:r>
              <w:rPr>
                <w:color w:val="000000"/>
              </w:rPr>
              <w:t>***</w:t>
            </w:r>
          </w:p>
        </w:tc>
        <w:tc>
          <w:tcPr>
            <w:tcW w:w="1338" w:type="dxa"/>
            <w:tcMar>
              <w:top w:w="15" w:type="dxa"/>
              <w:left w:w="75" w:type="dxa"/>
              <w:bottom w:w="0" w:type="dxa"/>
              <w:right w:w="75" w:type="dxa"/>
            </w:tcMar>
            <w:vAlign w:val="bottom"/>
            <w:hideMark/>
          </w:tcPr>
          <w:p w:rsidR="009902E7" w:rsidRDefault="009902E7" w:rsidP="009A7C04">
            <w:pPr>
              <w:jc w:val="center"/>
              <w:rPr>
                <w:color w:val="000000"/>
              </w:rPr>
            </w:pPr>
            <w:r>
              <w:rPr>
                <w:color w:val="000000"/>
              </w:rPr>
              <w:t>-</w:t>
            </w:r>
            <w:r w:rsidR="00B33CC0">
              <w:rPr>
                <w:color w:val="000000"/>
              </w:rPr>
              <w:t>0.062</w:t>
            </w:r>
            <w:r>
              <w:rPr>
                <w:color w:val="000000"/>
              </w:rPr>
              <w:t>***</w:t>
            </w:r>
          </w:p>
        </w:tc>
        <w:tc>
          <w:tcPr>
            <w:tcW w:w="1337" w:type="dxa"/>
            <w:tcMar>
              <w:top w:w="15" w:type="dxa"/>
              <w:left w:w="75" w:type="dxa"/>
              <w:bottom w:w="0" w:type="dxa"/>
              <w:right w:w="75" w:type="dxa"/>
            </w:tcMar>
            <w:vAlign w:val="bottom"/>
            <w:hideMark/>
          </w:tcPr>
          <w:p w:rsidR="009902E7" w:rsidRDefault="00B33CC0" w:rsidP="009A7C04">
            <w:pPr>
              <w:jc w:val="center"/>
              <w:rPr>
                <w:color w:val="000000"/>
              </w:rPr>
            </w:pPr>
            <w:r>
              <w:rPr>
                <w:color w:val="000000"/>
              </w:rPr>
              <w:t>0.000</w:t>
            </w:r>
          </w:p>
        </w:tc>
        <w:tc>
          <w:tcPr>
            <w:tcW w:w="1307" w:type="dxa"/>
            <w:vAlign w:val="bottom"/>
            <w:hideMark/>
          </w:tcPr>
          <w:p w:rsidR="009902E7" w:rsidRDefault="00B33CC0" w:rsidP="009A7C04">
            <w:pPr>
              <w:jc w:val="center"/>
              <w:rPr>
                <w:color w:val="000000"/>
              </w:rPr>
            </w:pPr>
            <w:r>
              <w:rPr>
                <w:color w:val="000000"/>
              </w:rPr>
              <w:t>0.010</w:t>
            </w:r>
            <w:r w:rsidR="009902E7">
              <w:rPr>
                <w:color w:val="000000"/>
              </w:rPr>
              <w:t>***</w:t>
            </w:r>
          </w:p>
        </w:tc>
      </w:tr>
      <w:tr w:rsidR="00B33CC0" w:rsidTr="00B33CC0">
        <w:trPr>
          <w:trHeight w:val="480"/>
        </w:trPr>
        <w:tc>
          <w:tcPr>
            <w:tcW w:w="2374" w:type="dxa"/>
            <w:tcMar>
              <w:top w:w="15" w:type="dxa"/>
              <w:left w:w="75" w:type="dxa"/>
              <w:bottom w:w="0" w:type="dxa"/>
              <w:right w:w="75" w:type="dxa"/>
            </w:tcMar>
            <w:hideMark/>
          </w:tcPr>
          <w:p w:rsidR="009902E7" w:rsidRDefault="009902E7" w:rsidP="009A7C04">
            <w:pPr>
              <w:spacing w:line="360" w:lineRule="auto"/>
              <w:rPr>
                <w:color w:val="000000"/>
              </w:rPr>
            </w:pPr>
          </w:p>
        </w:tc>
        <w:tc>
          <w:tcPr>
            <w:tcW w:w="1710" w:type="dxa"/>
            <w:tcMar>
              <w:top w:w="15" w:type="dxa"/>
              <w:left w:w="75" w:type="dxa"/>
              <w:bottom w:w="0" w:type="dxa"/>
              <w:right w:w="75" w:type="dxa"/>
            </w:tcMar>
            <w:hideMark/>
          </w:tcPr>
          <w:p w:rsidR="009902E7" w:rsidRDefault="009902E7" w:rsidP="009A7C04">
            <w:pPr>
              <w:jc w:val="center"/>
              <w:rPr>
                <w:color w:val="000000"/>
              </w:rPr>
            </w:pPr>
            <w:r>
              <w:rPr>
                <w:color w:val="000000"/>
              </w:rPr>
              <w:t>(</w:t>
            </w:r>
            <w:r w:rsidR="00A714E3">
              <w:rPr>
                <w:color w:val="000000"/>
              </w:rPr>
              <w:t>0.031</w:t>
            </w:r>
            <w:r>
              <w:rPr>
                <w:color w:val="000000"/>
              </w:rPr>
              <w:t>)</w:t>
            </w:r>
          </w:p>
        </w:tc>
        <w:tc>
          <w:tcPr>
            <w:tcW w:w="1170" w:type="dxa"/>
            <w:tcMar>
              <w:top w:w="15" w:type="dxa"/>
              <w:left w:w="75" w:type="dxa"/>
              <w:bottom w:w="0" w:type="dxa"/>
              <w:right w:w="75" w:type="dxa"/>
            </w:tcMar>
            <w:hideMark/>
          </w:tcPr>
          <w:p w:rsidR="009902E7" w:rsidRDefault="009902E7" w:rsidP="009A7C04">
            <w:pPr>
              <w:jc w:val="center"/>
              <w:rPr>
                <w:color w:val="000000"/>
              </w:rPr>
            </w:pPr>
            <w:r>
              <w:rPr>
                <w:color w:val="000000"/>
              </w:rPr>
              <w:t>(0.</w:t>
            </w:r>
            <w:r w:rsidR="00A714E3">
              <w:rPr>
                <w:color w:val="000000"/>
              </w:rPr>
              <w:t>011</w:t>
            </w:r>
            <w:r>
              <w:rPr>
                <w:color w:val="000000"/>
              </w:rPr>
              <w:t>)</w:t>
            </w:r>
          </w:p>
        </w:tc>
        <w:tc>
          <w:tcPr>
            <w:tcW w:w="1338" w:type="dxa"/>
            <w:tcMar>
              <w:top w:w="15" w:type="dxa"/>
              <w:left w:w="75" w:type="dxa"/>
              <w:bottom w:w="0" w:type="dxa"/>
              <w:right w:w="75" w:type="dxa"/>
            </w:tcMar>
            <w:hideMark/>
          </w:tcPr>
          <w:p w:rsidR="009902E7" w:rsidRDefault="009902E7" w:rsidP="009A7C04">
            <w:pPr>
              <w:jc w:val="center"/>
              <w:rPr>
                <w:color w:val="000000"/>
              </w:rPr>
            </w:pPr>
            <w:r>
              <w:rPr>
                <w:color w:val="000000"/>
              </w:rPr>
              <w:t>(0.</w:t>
            </w:r>
            <w:r w:rsidR="00A714E3">
              <w:rPr>
                <w:color w:val="000000"/>
              </w:rPr>
              <w:t>004</w:t>
            </w:r>
            <w:r>
              <w:rPr>
                <w:color w:val="000000"/>
              </w:rPr>
              <w:t>)</w:t>
            </w:r>
          </w:p>
        </w:tc>
        <w:tc>
          <w:tcPr>
            <w:tcW w:w="1337" w:type="dxa"/>
            <w:tcMar>
              <w:top w:w="15" w:type="dxa"/>
              <w:left w:w="75" w:type="dxa"/>
              <w:bottom w:w="0" w:type="dxa"/>
              <w:right w:w="75" w:type="dxa"/>
            </w:tcMar>
            <w:hideMark/>
          </w:tcPr>
          <w:p w:rsidR="009902E7" w:rsidRDefault="009902E7" w:rsidP="009A7C04">
            <w:pPr>
              <w:jc w:val="center"/>
              <w:rPr>
                <w:color w:val="000000"/>
              </w:rPr>
            </w:pPr>
            <w:r>
              <w:rPr>
                <w:color w:val="000000"/>
              </w:rPr>
              <w:t>(0.</w:t>
            </w:r>
            <w:r w:rsidR="00A714E3">
              <w:rPr>
                <w:color w:val="000000"/>
              </w:rPr>
              <w:t>0.002</w:t>
            </w:r>
            <w:r>
              <w:rPr>
                <w:color w:val="000000"/>
              </w:rPr>
              <w:t>)</w:t>
            </w:r>
          </w:p>
        </w:tc>
        <w:tc>
          <w:tcPr>
            <w:tcW w:w="1307" w:type="dxa"/>
            <w:hideMark/>
          </w:tcPr>
          <w:p w:rsidR="009902E7" w:rsidRDefault="009902E7" w:rsidP="009A7C04">
            <w:pPr>
              <w:jc w:val="center"/>
              <w:rPr>
                <w:color w:val="000000"/>
              </w:rPr>
            </w:pPr>
            <w:r>
              <w:rPr>
                <w:color w:val="000000"/>
              </w:rPr>
              <w:t>(0.</w:t>
            </w:r>
            <w:r w:rsidR="00A714E3">
              <w:rPr>
                <w:color w:val="000000"/>
              </w:rPr>
              <w:t>00</w:t>
            </w:r>
            <w:r>
              <w:rPr>
                <w:color w:val="000000"/>
              </w:rPr>
              <w:t>2)</w:t>
            </w:r>
          </w:p>
        </w:tc>
      </w:tr>
      <w:tr w:rsidR="00B33CC0" w:rsidTr="00B33CC0">
        <w:trPr>
          <w:trHeight w:val="480"/>
        </w:trPr>
        <w:tc>
          <w:tcPr>
            <w:tcW w:w="2374" w:type="dxa"/>
            <w:tcBorders>
              <w:top w:val="nil"/>
              <w:left w:val="nil"/>
              <w:bottom w:val="single" w:sz="8" w:space="0" w:color="000000"/>
              <w:right w:val="nil"/>
            </w:tcBorders>
            <w:tcMar>
              <w:top w:w="15" w:type="dxa"/>
              <w:left w:w="75" w:type="dxa"/>
              <w:bottom w:w="0" w:type="dxa"/>
              <w:right w:w="75" w:type="dxa"/>
            </w:tcMar>
            <w:hideMark/>
          </w:tcPr>
          <w:p w:rsidR="009902E7" w:rsidRDefault="009902E7" w:rsidP="009A7C04">
            <w:pPr>
              <w:spacing w:line="360" w:lineRule="auto"/>
              <w:rPr>
                <w:lang w:val="en-GB"/>
              </w:rPr>
            </w:pPr>
            <w:r>
              <w:rPr>
                <w:lang w:val="en-GB"/>
              </w:rPr>
              <w:t xml:space="preserve">Pseudo R-squared </w:t>
            </w:r>
          </w:p>
        </w:tc>
        <w:tc>
          <w:tcPr>
            <w:tcW w:w="1710"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0.1</w:t>
            </w:r>
            <w:r w:rsidR="00B33CC0">
              <w:rPr>
                <w:color w:val="000000"/>
              </w:rPr>
              <w:t>8</w:t>
            </w:r>
          </w:p>
        </w:tc>
        <w:tc>
          <w:tcPr>
            <w:tcW w:w="1170"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w:t>
            </w:r>
            <w:r w:rsidR="00B33CC0">
              <w:rPr>
                <w:color w:val="000000"/>
              </w:rPr>
              <w:t>7</w:t>
            </w:r>
          </w:p>
        </w:tc>
        <w:tc>
          <w:tcPr>
            <w:tcW w:w="1338"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w:t>
            </w:r>
            <w:r w:rsidR="00B33CC0">
              <w:rPr>
                <w:color w:val="000000"/>
              </w:rPr>
              <w:t>3</w:t>
            </w:r>
          </w:p>
        </w:tc>
        <w:tc>
          <w:tcPr>
            <w:tcW w:w="1337" w:type="dxa"/>
            <w:tcBorders>
              <w:top w:val="nil"/>
              <w:left w:val="nil"/>
              <w:bottom w:val="single" w:sz="8" w:space="0" w:color="000000"/>
              <w:right w:val="nil"/>
            </w:tcBorders>
            <w:tcMar>
              <w:top w:w="15" w:type="dxa"/>
              <w:left w:w="75" w:type="dxa"/>
              <w:bottom w:w="0" w:type="dxa"/>
              <w:right w:w="75" w:type="dxa"/>
            </w:tcMar>
            <w:vAlign w:val="bottom"/>
            <w:hideMark/>
          </w:tcPr>
          <w:p w:rsidR="009902E7" w:rsidRDefault="009902E7" w:rsidP="009A7C04">
            <w:pPr>
              <w:spacing w:line="360" w:lineRule="auto"/>
              <w:jc w:val="center"/>
              <w:rPr>
                <w:color w:val="000000"/>
              </w:rPr>
            </w:pPr>
            <w:r>
              <w:rPr>
                <w:color w:val="000000"/>
              </w:rPr>
              <w:t>0.08</w:t>
            </w:r>
          </w:p>
        </w:tc>
        <w:tc>
          <w:tcPr>
            <w:tcW w:w="1307" w:type="dxa"/>
            <w:tcBorders>
              <w:top w:val="nil"/>
              <w:left w:val="nil"/>
              <w:bottom w:val="single" w:sz="8" w:space="0" w:color="000000"/>
              <w:right w:val="nil"/>
            </w:tcBorders>
            <w:vAlign w:val="bottom"/>
            <w:hideMark/>
          </w:tcPr>
          <w:p w:rsidR="009902E7" w:rsidRDefault="009902E7" w:rsidP="009A7C04">
            <w:pPr>
              <w:spacing w:line="360" w:lineRule="auto"/>
              <w:jc w:val="center"/>
              <w:rPr>
                <w:color w:val="000000"/>
              </w:rPr>
            </w:pPr>
            <w:r>
              <w:rPr>
                <w:color w:val="000000"/>
              </w:rPr>
              <w:t>0.2</w:t>
            </w:r>
            <w:r w:rsidR="00B33CC0">
              <w:rPr>
                <w:color w:val="000000"/>
              </w:rPr>
              <w:t>9</w:t>
            </w:r>
          </w:p>
        </w:tc>
      </w:tr>
    </w:tbl>
    <w:p w:rsidR="009902E7" w:rsidRPr="004839DF" w:rsidRDefault="00844000" w:rsidP="009902E7">
      <w:pPr>
        <w:rPr>
          <w:sz w:val="20"/>
          <w:szCs w:val="20"/>
          <w:lang w:val="en-GB"/>
        </w:rPr>
      </w:pPr>
      <w:r w:rsidRPr="00844000">
        <w:rPr>
          <w:sz w:val="20"/>
          <w:szCs w:val="20"/>
        </w:rPr>
        <w:t xml:space="preserve">Note: Quantile estimates are estimated simultaneously: Controls are season dummy; player's position; quadratic in age; UK born; England international; international of another country, club at which playing. </w:t>
      </w:r>
      <w:r w:rsidRPr="00844000">
        <w:rPr>
          <w:sz w:val="20"/>
          <w:szCs w:val="20"/>
          <w:lang w:val="en-GB"/>
        </w:rPr>
        <w:t>game week and indicators of number of games played in the week. Nbr of observations = 58,319</w:t>
      </w:r>
    </w:p>
    <w:p w:rsidR="009902E7" w:rsidRPr="004839DF" w:rsidRDefault="00844000" w:rsidP="009902E7">
      <w:pPr>
        <w:rPr>
          <w:sz w:val="20"/>
          <w:szCs w:val="20"/>
          <w:lang w:val="en-GB"/>
        </w:rPr>
      </w:pPr>
      <w:r w:rsidRPr="00844000">
        <w:rPr>
          <w:rFonts w:eastAsiaTheme="minorEastAsia"/>
          <w:sz w:val="20"/>
          <w:szCs w:val="20"/>
          <w:lang w:val="en-GB" w:eastAsia="en-GB"/>
        </w:rPr>
        <w:t>S</w:t>
      </w:r>
      <w:r w:rsidRPr="00844000">
        <w:rPr>
          <w:sz w:val="20"/>
          <w:szCs w:val="20"/>
          <w:lang w:val="en-GB"/>
        </w:rPr>
        <w:t>tandard errors are obtained by bootstrap (100 replications)</w:t>
      </w:r>
    </w:p>
    <w:p w:rsidR="009902E7" w:rsidRPr="004839DF" w:rsidRDefault="00844000" w:rsidP="009902E7">
      <w:pPr>
        <w:rPr>
          <w:sz w:val="20"/>
          <w:szCs w:val="20"/>
          <w:lang w:val="en-GB"/>
        </w:rPr>
      </w:pPr>
      <w:r w:rsidRPr="00844000">
        <w:rPr>
          <w:sz w:val="20"/>
          <w:szCs w:val="20"/>
          <w:lang w:val="en-GB"/>
        </w:rPr>
        <w:t xml:space="preserve">*** p&lt;0.01, ** p&lt;0.05, * p&lt;0.1. </w:t>
      </w:r>
    </w:p>
    <w:p w:rsidR="009902E7" w:rsidRPr="004839DF" w:rsidRDefault="009902E7" w:rsidP="009902E7">
      <w:pPr>
        <w:rPr>
          <w:sz w:val="20"/>
          <w:szCs w:val="20"/>
          <w:lang w:val="en-GB"/>
        </w:rPr>
      </w:pPr>
    </w:p>
    <w:p w:rsidR="009902E7" w:rsidRDefault="009902E7" w:rsidP="009902E7">
      <w:pPr>
        <w:rPr>
          <w:b/>
        </w:rPr>
      </w:pPr>
    </w:p>
    <w:p w:rsidR="009902E7" w:rsidRDefault="009902E7" w:rsidP="009902E7">
      <w:pPr>
        <w:rPr>
          <w:b/>
        </w:rPr>
      </w:pPr>
      <w:r>
        <w:rPr>
          <w:b/>
        </w:rPr>
        <w:br w:type="page"/>
      </w:r>
    </w:p>
    <w:p w:rsidR="009902E7" w:rsidRDefault="009902E7" w:rsidP="009902E7">
      <w:pPr>
        <w:rPr>
          <w:b/>
        </w:rPr>
      </w:pPr>
      <w:r>
        <w:rPr>
          <w:b/>
        </w:rPr>
        <w:lastRenderedPageBreak/>
        <w:t xml:space="preserve">Table 8: OLS - Net Employer Demand for Players – Test for Heterogeneity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18"/>
        <w:gridCol w:w="1275"/>
        <w:gridCol w:w="1134"/>
      </w:tblGrid>
      <w:tr w:rsidR="009902E7" w:rsidTr="00615578">
        <w:tc>
          <w:tcPr>
            <w:tcW w:w="4786" w:type="dxa"/>
            <w:tcBorders>
              <w:top w:val="single" w:sz="4" w:space="0" w:color="auto"/>
              <w:left w:val="nil"/>
              <w:bottom w:val="single" w:sz="4" w:space="0" w:color="auto"/>
              <w:right w:val="nil"/>
            </w:tcBorders>
            <w:vAlign w:val="center"/>
            <w:hideMark/>
          </w:tcPr>
          <w:p w:rsidR="009902E7" w:rsidRDefault="009902E7" w:rsidP="00615578">
            <w:pPr>
              <w:spacing w:after="120"/>
              <w:rPr>
                <w:color w:val="000000" w:themeColor="text1"/>
                <w:kern w:val="24"/>
                <w:lang w:val="en-GB"/>
              </w:rPr>
            </w:pPr>
            <w:r>
              <w:rPr>
                <w:color w:val="000000" w:themeColor="text1"/>
                <w:kern w:val="24"/>
                <w:lang w:val="en-GB"/>
              </w:rPr>
              <w:t>Population</w:t>
            </w:r>
          </w:p>
        </w:tc>
        <w:tc>
          <w:tcPr>
            <w:tcW w:w="1418" w:type="dxa"/>
            <w:tcBorders>
              <w:top w:val="single" w:sz="4" w:space="0" w:color="auto"/>
              <w:left w:val="nil"/>
              <w:bottom w:val="single" w:sz="4" w:space="0" w:color="auto"/>
              <w:right w:val="nil"/>
            </w:tcBorders>
            <w:vAlign w:val="center"/>
            <w:hideMark/>
          </w:tcPr>
          <w:p w:rsidR="009902E7" w:rsidRDefault="009902E7" w:rsidP="00615578">
            <w:pPr>
              <w:spacing w:after="120"/>
              <w:rPr>
                <w:color w:val="000000" w:themeColor="text1"/>
                <w:kern w:val="24"/>
                <w:lang w:val="en-GB"/>
              </w:rPr>
            </w:pPr>
            <w:r>
              <w:rPr>
                <w:color w:val="000000" w:themeColor="text1"/>
                <w:kern w:val="24"/>
                <w:lang w:val="en-GB"/>
              </w:rPr>
              <w:t>Non-White</w:t>
            </w:r>
          </w:p>
        </w:tc>
        <w:tc>
          <w:tcPr>
            <w:tcW w:w="1275" w:type="dxa"/>
            <w:tcBorders>
              <w:top w:val="single" w:sz="4" w:space="0" w:color="auto"/>
              <w:left w:val="nil"/>
              <w:bottom w:val="single" w:sz="4" w:space="0" w:color="auto"/>
              <w:right w:val="nil"/>
            </w:tcBorders>
            <w:vAlign w:val="center"/>
            <w:hideMark/>
          </w:tcPr>
          <w:p w:rsidR="009902E7" w:rsidRDefault="009902E7" w:rsidP="00615578">
            <w:pPr>
              <w:spacing w:after="120"/>
              <w:rPr>
                <w:color w:val="000000" w:themeColor="text1"/>
                <w:kern w:val="24"/>
                <w:vertAlign w:val="superscript"/>
                <w:lang w:val="en-GB"/>
              </w:rPr>
            </w:pPr>
            <w:r>
              <w:rPr>
                <w:color w:val="000000" w:themeColor="text1"/>
                <w:kern w:val="24"/>
                <w:lang w:val="en-GB"/>
              </w:rPr>
              <w:t>R</w:t>
            </w:r>
            <w:r>
              <w:rPr>
                <w:color w:val="000000" w:themeColor="text1"/>
                <w:kern w:val="24"/>
                <w:vertAlign w:val="superscript"/>
                <w:lang w:val="en-GB"/>
              </w:rPr>
              <w:t>2</w:t>
            </w:r>
          </w:p>
        </w:tc>
        <w:tc>
          <w:tcPr>
            <w:tcW w:w="1134" w:type="dxa"/>
            <w:tcBorders>
              <w:top w:val="single" w:sz="4" w:space="0" w:color="auto"/>
              <w:left w:val="nil"/>
              <w:bottom w:val="single" w:sz="4" w:space="0" w:color="auto"/>
              <w:right w:val="nil"/>
            </w:tcBorders>
            <w:vAlign w:val="center"/>
            <w:hideMark/>
          </w:tcPr>
          <w:p w:rsidR="009902E7" w:rsidRDefault="009902E7" w:rsidP="00615578">
            <w:pPr>
              <w:spacing w:after="120"/>
              <w:rPr>
                <w:color w:val="000000" w:themeColor="text1"/>
                <w:kern w:val="24"/>
                <w:lang w:val="en-GB"/>
              </w:rPr>
            </w:pPr>
            <w:r>
              <w:rPr>
                <w:color w:val="000000" w:themeColor="text1"/>
                <w:kern w:val="24"/>
                <w:lang w:val="en-GB"/>
              </w:rPr>
              <w:t>N</w:t>
            </w:r>
          </w:p>
        </w:tc>
      </w:tr>
      <w:tr w:rsidR="009902E7" w:rsidTr="009A7C04">
        <w:tc>
          <w:tcPr>
            <w:tcW w:w="4786" w:type="dxa"/>
            <w:tcBorders>
              <w:top w:val="single" w:sz="4" w:space="0" w:color="auto"/>
              <w:left w:val="nil"/>
              <w:bottom w:val="nil"/>
              <w:right w:val="nil"/>
            </w:tcBorders>
            <w:vAlign w:val="center"/>
            <w:hideMark/>
          </w:tcPr>
          <w:p w:rsidR="009902E7" w:rsidRDefault="009902E7" w:rsidP="00615578">
            <w:pPr>
              <w:spacing w:after="160"/>
              <w:rPr>
                <w:color w:val="000000" w:themeColor="text1"/>
                <w:kern w:val="24"/>
                <w:lang w:val="en-GB"/>
              </w:rPr>
            </w:pPr>
            <w:r>
              <w:rPr>
                <w:color w:val="000000" w:themeColor="text1"/>
                <w:kern w:val="24"/>
                <w:lang w:val="en-GB"/>
              </w:rPr>
              <w:t>Played at least once during season</w:t>
            </w:r>
          </w:p>
        </w:tc>
        <w:tc>
          <w:tcPr>
            <w:tcW w:w="1418" w:type="dxa"/>
            <w:tcBorders>
              <w:top w:val="single" w:sz="4" w:space="0" w:color="auto"/>
              <w:left w:val="nil"/>
              <w:bottom w:val="nil"/>
              <w:right w:val="nil"/>
            </w:tcBorders>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D159A7">
              <w:rPr>
                <w:color w:val="000000" w:themeColor="text1"/>
                <w:kern w:val="24"/>
                <w:lang w:val="en-GB"/>
              </w:rPr>
              <w:t>0.016</w:t>
            </w:r>
            <w:r>
              <w:rPr>
                <w:color w:val="000000" w:themeColor="text1"/>
                <w:kern w:val="24"/>
                <w:lang w:val="en-GB"/>
              </w:rPr>
              <w:t xml:space="preserve"> </w:t>
            </w:r>
            <w:r w:rsidR="00D159A7">
              <w:rPr>
                <w:color w:val="000000" w:themeColor="text1"/>
                <w:kern w:val="24"/>
                <w:lang w:val="en-GB"/>
              </w:rPr>
              <w:t xml:space="preserve">    </w:t>
            </w:r>
            <w:r>
              <w:rPr>
                <w:color w:val="000000" w:themeColor="text1"/>
                <w:kern w:val="24"/>
                <w:lang w:val="en-GB"/>
              </w:rPr>
              <w:t>(</w:t>
            </w:r>
            <w:r w:rsidR="00D159A7">
              <w:rPr>
                <w:color w:val="000000" w:themeColor="text1"/>
                <w:kern w:val="24"/>
                <w:lang w:val="en-GB"/>
              </w:rPr>
              <w:t>0.011</w:t>
            </w:r>
            <w:r>
              <w:rPr>
                <w:color w:val="000000" w:themeColor="text1"/>
                <w:kern w:val="24"/>
                <w:lang w:val="en-GB"/>
              </w:rPr>
              <w:t>)</w:t>
            </w:r>
          </w:p>
        </w:tc>
        <w:tc>
          <w:tcPr>
            <w:tcW w:w="1275" w:type="dxa"/>
            <w:tcBorders>
              <w:top w:val="single" w:sz="4" w:space="0" w:color="auto"/>
              <w:left w:val="nil"/>
              <w:bottom w:val="nil"/>
              <w:right w:val="nil"/>
            </w:tcBorders>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D159A7">
              <w:rPr>
                <w:color w:val="000000" w:themeColor="text1"/>
                <w:kern w:val="24"/>
                <w:lang w:val="en-GB"/>
              </w:rPr>
              <w:t>3</w:t>
            </w:r>
          </w:p>
        </w:tc>
        <w:tc>
          <w:tcPr>
            <w:tcW w:w="1134" w:type="dxa"/>
            <w:tcBorders>
              <w:top w:val="single" w:sz="4" w:space="0" w:color="auto"/>
              <w:left w:val="nil"/>
              <w:bottom w:val="nil"/>
              <w:right w:val="nil"/>
            </w:tcBorders>
            <w:vAlign w:val="center"/>
            <w:hideMark/>
          </w:tcPr>
          <w:p w:rsidR="009902E7" w:rsidRDefault="009902E7" w:rsidP="00615578">
            <w:pPr>
              <w:spacing w:after="160"/>
              <w:rPr>
                <w:color w:val="000000" w:themeColor="text1"/>
                <w:kern w:val="24"/>
                <w:lang w:val="en-GB"/>
              </w:rPr>
            </w:pPr>
            <w:r>
              <w:rPr>
                <w:color w:val="000000" w:themeColor="text1"/>
                <w:kern w:val="24"/>
                <w:lang w:val="en-GB"/>
              </w:rPr>
              <w:t>52,275</w:t>
            </w:r>
          </w:p>
        </w:tc>
      </w:tr>
      <w:tr w:rsidR="00175001" w:rsidTr="009A7C04">
        <w:tc>
          <w:tcPr>
            <w:tcW w:w="4786" w:type="dxa"/>
            <w:vAlign w:val="center"/>
          </w:tcPr>
          <w:p w:rsidR="00175001" w:rsidRDefault="00175001" w:rsidP="00615578">
            <w:pPr>
              <w:spacing w:after="160"/>
              <w:rPr>
                <w:color w:val="000000" w:themeColor="text1"/>
                <w:kern w:val="24"/>
                <w:lang w:val="en-GB"/>
              </w:rPr>
            </w:pPr>
            <w:r>
              <w:rPr>
                <w:color w:val="000000" w:themeColor="text1"/>
                <w:kern w:val="24"/>
                <w:lang w:val="en-GB"/>
              </w:rPr>
              <w:t>Not in league last year</w:t>
            </w:r>
          </w:p>
        </w:tc>
        <w:tc>
          <w:tcPr>
            <w:tcW w:w="1418" w:type="dxa"/>
            <w:vAlign w:val="center"/>
          </w:tcPr>
          <w:p w:rsidR="00175001" w:rsidRDefault="00175001" w:rsidP="0083742B">
            <w:pPr>
              <w:spacing w:after="160"/>
              <w:rPr>
                <w:color w:val="000000" w:themeColor="text1"/>
                <w:kern w:val="24"/>
                <w:lang w:val="en-GB"/>
              </w:rPr>
            </w:pPr>
            <w:r>
              <w:rPr>
                <w:color w:val="000000" w:themeColor="text1"/>
                <w:kern w:val="24"/>
                <w:lang w:val="en-GB"/>
              </w:rPr>
              <w:t>-</w:t>
            </w:r>
            <w:r w:rsidR="00D159A7">
              <w:rPr>
                <w:color w:val="000000" w:themeColor="text1"/>
                <w:kern w:val="24"/>
                <w:lang w:val="en-GB"/>
              </w:rPr>
              <w:t>0.026</w:t>
            </w:r>
            <w:r>
              <w:rPr>
                <w:color w:val="000000" w:themeColor="text1"/>
                <w:kern w:val="24"/>
                <w:lang w:val="en-GB"/>
              </w:rPr>
              <w:t xml:space="preserve">* </w:t>
            </w:r>
            <w:r w:rsidR="00D159A7">
              <w:rPr>
                <w:color w:val="000000" w:themeColor="text1"/>
                <w:kern w:val="24"/>
                <w:lang w:val="en-GB"/>
              </w:rPr>
              <w:t xml:space="preserve">  </w:t>
            </w:r>
            <w:r>
              <w:rPr>
                <w:color w:val="000000" w:themeColor="text1"/>
                <w:kern w:val="24"/>
                <w:lang w:val="en-GB"/>
              </w:rPr>
              <w:t>(</w:t>
            </w:r>
            <w:r w:rsidR="00D159A7">
              <w:rPr>
                <w:color w:val="000000" w:themeColor="text1"/>
                <w:kern w:val="24"/>
                <w:lang w:val="en-GB"/>
              </w:rPr>
              <w:t>0.014</w:t>
            </w:r>
            <w:r>
              <w:rPr>
                <w:color w:val="000000" w:themeColor="text1"/>
                <w:kern w:val="24"/>
                <w:lang w:val="en-GB"/>
              </w:rPr>
              <w:t>)</w:t>
            </w:r>
          </w:p>
        </w:tc>
        <w:tc>
          <w:tcPr>
            <w:tcW w:w="1275" w:type="dxa"/>
            <w:vAlign w:val="center"/>
          </w:tcPr>
          <w:p w:rsidR="00175001" w:rsidRDefault="00175001" w:rsidP="00615578">
            <w:pPr>
              <w:spacing w:after="160"/>
              <w:rPr>
                <w:color w:val="000000" w:themeColor="text1"/>
                <w:kern w:val="24"/>
                <w:lang w:val="en-GB"/>
              </w:rPr>
            </w:pPr>
            <w:r>
              <w:rPr>
                <w:color w:val="000000" w:themeColor="text1"/>
                <w:kern w:val="24"/>
                <w:lang w:val="en-GB"/>
              </w:rPr>
              <w:t>0.1</w:t>
            </w:r>
            <w:r w:rsidR="00D159A7">
              <w:rPr>
                <w:color w:val="000000" w:themeColor="text1"/>
                <w:kern w:val="24"/>
                <w:lang w:val="en-GB"/>
              </w:rPr>
              <w:t>5</w:t>
            </w:r>
          </w:p>
        </w:tc>
        <w:tc>
          <w:tcPr>
            <w:tcW w:w="1134" w:type="dxa"/>
            <w:vAlign w:val="center"/>
          </w:tcPr>
          <w:p w:rsidR="00175001" w:rsidRDefault="00175001" w:rsidP="00615578">
            <w:pPr>
              <w:spacing w:after="160"/>
              <w:rPr>
                <w:color w:val="000000" w:themeColor="text1"/>
                <w:kern w:val="24"/>
                <w:lang w:val="en-GB"/>
              </w:rPr>
            </w:pPr>
            <w:r>
              <w:rPr>
                <w:color w:val="000000" w:themeColor="text1"/>
                <w:kern w:val="24"/>
                <w:lang w:val="en-GB"/>
              </w:rPr>
              <w:t>16,913</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Initial Selection: Quartile 1</w:t>
            </w:r>
          </w:p>
        </w:tc>
        <w:tc>
          <w:tcPr>
            <w:tcW w:w="1418" w:type="dxa"/>
            <w:vAlign w:val="center"/>
            <w:hideMark/>
          </w:tcPr>
          <w:p w:rsidR="009902E7" w:rsidRDefault="00D159A7" w:rsidP="00615578">
            <w:pPr>
              <w:spacing w:after="160"/>
              <w:rPr>
                <w:color w:val="000000" w:themeColor="text1"/>
                <w:kern w:val="24"/>
                <w:lang w:val="en-GB"/>
              </w:rPr>
            </w:pPr>
            <w:r>
              <w:rPr>
                <w:color w:val="000000" w:themeColor="text1"/>
                <w:kern w:val="24"/>
                <w:lang w:val="en-GB"/>
              </w:rPr>
              <w:t xml:space="preserve">0.006     </w:t>
            </w:r>
            <w:r w:rsidR="009902E7">
              <w:rPr>
                <w:color w:val="000000" w:themeColor="text1"/>
                <w:kern w:val="24"/>
                <w:lang w:val="en-GB"/>
              </w:rPr>
              <w:t xml:space="preserve"> (</w:t>
            </w:r>
            <w:r>
              <w:rPr>
                <w:color w:val="000000" w:themeColor="text1"/>
                <w:kern w:val="24"/>
                <w:lang w:val="en-GB"/>
              </w:rPr>
              <w:t>0.006</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0.0</w:t>
            </w:r>
            <w:r w:rsidR="00D159A7">
              <w:rPr>
                <w:color w:val="000000" w:themeColor="text1"/>
                <w:kern w:val="24"/>
                <w:lang w:val="en-GB"/>
              </w:rPr>
              <w:t>8</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9,556</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Initial Selection: Quartile 2</w:t>
            </w:r>
          </w:p>
        </w:tc>
        <w:tc>
          <w:tcPr>
            <w:tcW w:w="1418" w:type="dxa"/>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D159A7">
              <w:rPr>
                <w:color w:val="000000" w:themeColor="text1"/>
                <w:kern w:val="24"/>
                <w:lang w:val="en-GB"/>
              </w:rPr>
              <w:t xml:space="preserve">0.007*   </w:t>
            </w:r>
            <w:r>
              <w:rPr>
                <w:color w:val="000000" w:themeColor="text1"/>
                <w:kern w:val="24"/>
                <w:lang w:val="en-GB"/>
              </w:rPr>
              <w:t xml:space="preserve"> (</w:t>
            </w:r>
            <w:r w:rsidR="00D159A7">
              <w:rPr>
                <w:color w:val="000000" w:themeColor="text1"/>
                <w:kern w:val="24"/>
                <w:lang w:val="en-GB"/>
              </w:rPr>
              <w:t>0.004</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0.0</w:t>
            </w:r>
            <w:r w:rsidR="00D159A7">
              <w:rPr>
                <w:color w:val="000000" w:themeColor="text1"/>
                <w:kern w:val="24"/>
                <w:lang w:val="en-GB"/>
              </w:rPr>
              <w:t>9</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9,654</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Initial Selection: Quartile 3</w:t>
            </w:r>
          </w:p>
        </w:tc>
        <w:tc>
          <w:tcPr>
            <w:tcW w:w="1418"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w:t>
            </w:r>
            <w:r w:rsidR="00D159A7">
              <w:rPr>
                <w:color w:val="000000" w:themeColor="text1"/>
                <w:kern w:val="24"/>
                <w:lang w:val="en-GB"/>
              </w:rPr>
              <w:t>0.027</w:t>
            </w:r>
            <w:r>
              <w:rPr>
                <w:color w:val="000000" w:themeColor="text1"/>
                <w:kern w:val="24"/>
                <w:lang w:val="en-GB"/>
              </w:rPr>
              <w:t>** (</w:t>
            </w:r>
            <w:r w:rsidR="00D159A7">
              <w:rPr>
                <w:color w:val="000000" w:themeColor="text1"/>
                <w:kern w:val="24"/>
                <w:lang w:val="en-GB"/>
              </w:rPr>
              <w:t>0.011</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0.13</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9,673</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Initial Selection: Quartile 4</w:t>
            </w:r>
          </w:p>
        </w:tc>
        <w:tc>
          <w:tcPr>
            <w:tcW w:w="1418" w:type="dxa"/>
            <w:vAlign w:val="center"/>
            <w:hideMark/>
          </w:tcPr>
          <w:p w:rsidR="009902E7" w:rsidRDefault="00D159A7" w:rsidP="00615578">
            <w:pPr>
              <w:spacing w:after="160"/>
              <w:rPr>
                <w:color w:val="000000" w:themeColor="text1"/>
                <w:kern w:val="24"/>
                <w:lang w:val="en-GB"/>
              </w:rPr>
            </w:pPr>
            <w:r>
              <w:rPr>
                <w:color w:val="000000" w:themeColor="text1"/>
                <w:kern w:val="24"/>
                <w:lang w:val="en-GB"/>
              </w:rPr>
              <w:t xml:space="preserve">0.012   </w:t>
            </w:r>
            <w:r w:rsidR="009902E7">
              <w:rPr>
                <w:color w:val="000000" w:themeColor="text1"/>
                <w:kern w:val="24"/>
                <w:lang w:val="en-GB"/>
              </w:rPr>
              <w:t xml:space="preserve"> </w:t>
            </w:r>
            <w:r>
              <w:rPr>
                <w:color w:val="000000" w:themeColor="text1"/>
                <w:kern w:val="24"/>
                <w:lang w:val="en-GB"/>
              </w:rPr>
              <w:t xml:space="preserve">  </w:t>
            </w:r>
            <w:r w:rsidR="009902E7">
              <w:rPr>
                <w:color w:val="000000" w:themeColor="text1"/>
                <w:kern w:val="24"/>
                <w:lang w:val="en-GB"/>
              </w:rPr>
              <w:t>(</w:t>
            </w:r>
            <w:r>
              <w:rPr>
                <w:color w:val="000000" w:themeColor="text1"/>
                <w:kern w:val="24"/>
                <w:lang w:val="en-GB"/>
              </w:rPr>
              <w:t>0.042</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D159A7">
              <w:rPr>
                <w:color w:val="000000" w:themeColor="text1"/>
                <w:kern w:val="24"/>
                <w:lang w:val="en-GB"/>
              </w:rPr>
              <w:t>9</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9,628</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Defender</w:t>
            </w:r>
          </w:p>
        </w:tc>
        <w:tc>
          <w:tcPr>
            <w:tcW w:w="1418" w:type="dxa"/>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D159A7">
              <w:rPr>
                <w:color w:val="000000" w:themeColor="text1"/>
                <w:kern w:val="24"/>
                <w:lang w:val="en-GB"/>
              </w:rPr>
              <w:t xml:space="preserve">0.011  </w:t>
            </w:r>
            <w:r>
              <w:rPr>
                <w:color w:val="000000" w:themeColor="text1"/>
                <w:kern w:val="24"/>
                <w:lang w:val="en-GB"/>
              </w:rPr>
              <w:t xml:space="preserve"> </w:t>
            </w:r>
            <w:r w:rsidR="00D159A7">
              <w:rPr>
                <w:color w:val="000000" w:themeColor="text1"/>
                <w:kern w:val="24"/>
                <w:lang w:val="en-GB"/>
              </w:rPr>
              <w:t xml:space="preserve">  </w:t>
            </w:r>
            <w:r>
              <w:rPr>
                <w:color w:val="000000" w:themeColor="text1"/>
                <w:kern w:val="24"/>
                <w:lang w:val="en-GB"/>
              </w:rPr>
              <w:t>(</w:t>
            </w:r>
            <w:r w:rsidR="00D159A7">
              <w:rPr>
                <w:color w:val="000000" w:themeColor="text1"/>
                <w:kern w:val="24"/>
                <w:lang w:val="en-GB"/>
              </w:rPr>
              <w:t>0.012</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0.14</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19,425</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Forward</w:t>
            </w:r>
          </w:p>
        </w:tc>
        <w:tc>
          <w:tcPr>
            <w:tcW w:w="1418"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w:t>
            </w:r>
            <w:r w:rsidR="00130728">
              <w:rPr>
                <w:color w:val="000000" w:themeColor="text1"/>
                <w:kern w:val="24"/>
                <w:lang w:val="en-GB"/>
              </w:rPr>
              <w:t xml:space="preserve">0.042*  </w:t>
            </w:r>
            <w:r>
              <w:rPr>
                <w:color w:val="000000" w:themeColor="text1"/>
                <w:kern w:val="24"/>
                <w:lang w:val="en-GB"/>
              </w:rPr>
              <w:t xml:space="preserve"> </w:t>
            </w:r>
            <w:r w:rsidR="00130728">
              <w:rPr>
                <w:color w:val="000000" w:themeColor="text1"/>
                <w:kern w:val="24"/>
                <w:lang w:val="en-GB"/>
              </w:rPr>
              <w:t xml:space="preserve">  </w:t>
            </w:r>
            <w:r>
              <w:rPr>
                <w:color w:val="000000" w:themeColor="text1"/>
                <w:kern w:val="24"/>
                <w:lang w:val="en-GB"/>
              </w:rPr>
              <w:t>(</w:t>
            </w:r>
            <w:r w:rsidR="00130728">
              <w:rPr>
                <w:color w:val="000000" w:themeColor="text1"/>
                <w:kern w:val="24"/>
                <w:lang w:val="en-GB"/>
              </w:rPr>
              <w:t>0.024</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130728">
              <w:rPr>
                <w:color w:val="000000" w:themeColor="text1"/>
                <w:kern w:val="24"/>
                <w:lang w:val="en-GB"/>
              </w:rPr>
              <w:t>5</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10,907</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Goalkeeper</w:t>
            </w:r>
          </w:p>
        </w:tc>
        <w:tc>
          <w:tcPr>
            <w:tcW w:w="1418" w:type="dxa"/>
            <w:vAlign w:val="center"/>
            <w:hideMark/>
          </w:tcPr>
          <w:p w:rsidR="009902E7" w:rsidRDefault="00130728" w:rsidP="0083742B">
            <w:pPr>
              <w:spacing w:after="160"/>
              <w:rPr>
                <w:color w:val="000000" w:themeColor="text1"/>
                <w:kern w:val="24"/>
                <w:lang w:val="en-GB"/>
              </w:rPr>
            </w:pPr>
            <w:r>
              <w:rPr>
                <w:color w:val="000000" w:themeColor="text1"/>
                <w:kern w:val="24"/>
                <w:lang w:val="en-GB"/>
              </w:rPr>
              <w:t>0.002</w:t>
            </w:r>
            <w:r w:rsidR="009902E7">
              <w:rPr>
                <w:color w:val="000000" w:themeColor="text1"/>
                <w:kern w:val="24"/>
                <w:lang w:val="en-GB"/>
              </w:rPr>
              <w:t xml:space="preserve"> </w:t>
            </w:r>
            <w:r>
              <w:rPr>
                <w:color w:val="000000" w:themeColor="text1"/>
                <w:kern w:val="24"/>
                <w:lang w:val="en-GB"/>
              </w:rPr>
              <w:t xml:space="preserve">     </w:t>
            </w:r>
            <w:r w:rsidR="009902E7">
              <w:rPr>
                <w:color w:val="000000" w:themeColor="text1"/>
                <w:kern w:val="24"/>
                <w:lang w:val="en-GB"/>
              </w:rPr>
              <w:t>(</w:t>
            </w:r>
            <w:r>
              <w:rPr>
                <w:color w:val="000000" w:themeColor="text1"/>
                <w:kern w:val="24"/>
                <w:lang w:val="en-GB"/>
              </w:rPr>
              <w:t>0.020</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130728">
              <w:rPr>
                <w:color w:val="000000" w:themeColor="text1"/>
                <w:kern w:val="24"/>
                <w:lang w:val="en-GB"/>
              </w:rPr>
              <w:t>5</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6,516</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Midfielder</w:t>
            </w:r>
          </w:p>
        </w:tc>
        <w:tc>
          <w:tcPr>
            <w:tcW w:w="1418" w:type="dxa"/>
            <w:vAlign w:val="center"/>
            <w:hideMark/>
          </w:tcPr>
          <w:p w:rsidR="009902E7" w:rsidRDefault="00130728" w:rsidP="0083742B">
            <w:pPr>
              <w:spacing w:after="160"/>
              <w:rPr>
                <w:color w:val="000000" w:themeColor="text1"/>
                <w:kern w:val="24"/>
                <w:lang w:val="en-GB"/>
              </w:rPr>
            </w:pPr>
            <w:r>
              <w:rPr>
                <w:color w:val="000000" w:themeColor="text1"/>
                <w:kern w:val="24"/>
                <w:lang w:val="en-GB"/>
              </w:rPr>
              <w:t xml:space="preserve">-0.006   </w:t>
            </w:r>
            <w:r w:rsidR="009902E7">
              <w:rPr>
                <w:color w:val="000000" w:themeColor="text1"/>
                <w:kern w:val="24"/>
                <w:lang w:val="en-GB"/>
              </w:rPr>
              <w:t xml:space="preserve"> </w:t>
            </w:r>
            <w:r>
              <w:rPr>
                <w:color w:val="000000" w:themeColor="text1"/>
                <w:kern w:val="24"/>
                <w:lang w:val="en-GB"/>
              </w:rPr>
              <w:t xml:space="preserve"> </w:t>
            </w:r>
            <w:r w:rsidR="009902E7">
              <w:rPr>
                <w:color w:val="000000" w:themeColor="text1"/>
                <w:kern w:val="24"/>
                <w:lang w:val="en-GB"/>
              </w:rPr>
              <w:t>(</w:t>
            </w:r>
            <w:r>
              <w:rPr>
                <w:color w:val="000000" w:themeColor="text1"/>
                <w:kern w:val="24"/>
                <w:lang w:val="en-GB"/>
              </w:rPr>
              <w:t>0.017</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130728">
              <w:rPr>
                <w:color w:val="000000" w:themeColor="text1"/>
                <w:kern w:val="24"/>
                <w:lang w:val="en-GB"/>
              </w:rPr>
              <w:t>4</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21,471</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UK national</w:t>
            </w:r>
          </w:p>
        </w:tc>
        <w:tc>
          <w:tcPr>
            <w:tcW w:w="1418" w:type="dxa"/>
            <w:vAlign w:val="center"/>
            <w:hideMark/>
          </w:tcPr>
          <w:p w:rsidR="009902E7" w:rsidRDefault="00130728" w:rsidP="0083742B">
            <w:pPr>
              <w:spacing w:after="160"/>
              <w:rPr>
                <w:color w:val="000000" w:themeColor="text1"/>
                <w:kern w:val="24"/>
                <w:lang w:val="en-GB"/>
              </w:rPr>
            </w:pPr>
            <w:r>
              <w:rPr>
                <w:color w:val="000000" w:themeColor="text1"/>
                <w:kern w:val="24"/>
                <w:lang w:val="en-GB"/>
              </w:rPr>
              <w:t xml:space="preserve">-0.007    </w:t>
            </w:r>
            <w:r w:rsidR="009902E7">
              <w:rPr>
                <w:color w:val="000000" w:themeColor="text1"/>
                <w:kern w:val="24"/>
                <w:lang w:val="en-GB"/>
              </w:rPr>
              <w:t xml:space="preserve"> (</w:t>
            </w:r>
            <w:r>
              <w:rPr>
                <w:color w:val="000000" w:themeColor="text1"/>
                <w:kern w:val="24"/>
                <w:lang w:val="en-GB"/>
              </w:rPr>
              <w:t>0.012</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0.12</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26,005</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Non-UK national</w:t>
            </w:r>
          </w:p>
        </w:tc>
        <w:tc>
          <w:tcPr>
            <w:tcW w:w="1418" w:type="dxa"/>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130728">
              <w:rPr>
                <w:color w:val="000000" w:themeColor="text1"/>
                <w:kern w:val="24"/>
                <w:lang w:val="en-GB"/>
              </w:rPr>
              <w:t xml:space="preserve">0.017    </w:t>
            </w:r>
            <w:r>
              <w:rPr>
                <w:color w:val="000000" w:themeColor="text1"/>
                <w:kern w:val="24"/>
                <w:lang w:val="en-GB"/>
              </w:rPr>
              <w:t xml:space="preserve"> (</w:t>
            </w:r>
            <w:r w:rsidR="00130728">
              <w:rPr>
                <w:color w:val="000000" w:themeColor="text1"/>
                <w:kern w:val="24"/>
                <w:lang w:val="en-GB"/>
              </w:rPr>
              <w:t>0.014</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130728">
              <w:rPr>
                <w:color w:val="000000" w:themeColor="text1"/>
                <w:kern w:val="24"/>
                <w:lang w:val="en-GB"/>
              </w:rPr>
              <w:t>3</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32,314</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Week 2-10</w:t>
            </w:r>
          </w:p>
        </w:tc>
        <w:tc>
          <w:tcPr>
            <w:tcW w:w="1418" w:type="dxa"/>
            <w:vAlign w:val="center"/>
            <w:hideMark/>
          </w:tcPr>
          <w:p w:rsidR="009902E7" w:rsidRDefault="00130728" w:rsidP="0083742B">
            <w:pPr>
              <w:spacing w:after="160"/>
              <w:rPr>
                <w:color w:val="000000" w:themeColor="text1"/>
                <w:kern w:val="24"/>
                <w:lang w:val="en-GB"/>
              </w:rPr>
            </w:pPr>
            <w:r>
              <w:rPr>
                <w:color w:val="000000" w:themeColor="text1"/>
                <w:kern w:val="24"/>
                <w:lang w:val="en-GB"/>
              </w:rPr>
              <w:t xml:space="preserve">0.025     </w:t>
            </w:r>
            <w:r w:rsidR="009902E7">
              <w:rPr>
                <w:color w:val="000000" w:themeColor="text1"/>
                <w:kern w:val="24"/>
                <w:lang w:val="en-GB"/>
              </w:rPr>
              <w:t xml:space="preserve"> (</w:t>
            </w:r>
            <w:r>
              <w:rPr>
                <w:color w:val="000000" w:themeColor="text1"/>
                <w:kern w:val="24"/>
                <w:lang w:val="en-GB"/>
              </w:rPr>
              <w:t>0.027</w:t>
            </w:r>
            <w:r w:rsidR="009902E7">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0.2</w:t>
            </w:r>
            <w:r w:rsidR="00130728">
              <w:rPr>
                <w:color w:val="000000" w:themeColor="text1"/>
                <w:kern w:val="24"/>
                <w:lang w:val="en-GB"/>
              </w:rPr>
              <w:t>4</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12,898</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Week 11-19</w:t>
            </w:r>
          </w:p>
        </w:tc>
        <w:tc>
          <w:tcPr>
            <w:tcW w:w="1418" w:type="dxa"/>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130728">
              <w:rPr>
                <w:color w:val="000000" w:themeColor="text1"/>
                <w:kern w:val="24"/>
                <w:lang w:val="en-GB"/>
              </w:rPr>
              <w:t xml:space="preserve">0.035    </w:t>
            </w:r>
            <w:r>
              <w:rPr>
                <w:color w:val="000000" w:themeColor="text1"/>
                <w:kern w:val="24"/>
                <w:lang w:val="en-GB"/>
              </w:rPr>
              <w:t xml:space="preserve"> (</w:t>
            </w:r>
            <w:r w:rsidR="00130728">
              <w:rPr>
                <w:color w:val="000000" w:themeColor="text1"/>
                <w:kern w:val="24"/>
                <w:lang w:val="en-GB"/>
              </w:rPr>
              <w:t>0.022</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130728">
              <w:rPr>
                <w:color w:val="000000" w:themeColor="text1"/>
                <w:kern w:val="24"/>
                <w:lang w:val="en-GB"/>
              </w:rPr>
              <w:t>4</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13,746</w:t>
            </w:r>
          </w:p>
        </w:tc>
      </w:tr>
      <w:tr w:rsidR="009902E7" w:rsidTr="009A7C04">
        <w:tc>
          <w:tcPr>
            <w:tcW w:w="4786"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Week 20-29</w:t>
            </w:r>
          </w:p>
        </w:tc>
        <w:tc>
          <w:tcPr>
            <w:tcW w:w="1418" w:type="dxa"/>
            <w:vAlign w:val="center"/>
            <w:hideMark/>
          </w:tcPr>
          <w:p w:rsidR="009902E7" w:rsidRDefault="009902E7" w:rsidP="0083742B">
            <w:pPr>
              <w:spacing w:after="160"/>
              <w:rPr>
                <w:color w:val="000000" w:themeColor="text1"/>
                <w:kern w:val="24"/>
                <w:lang w:val="en-GB"/>
              </w:rPr>
            </w:pPr>
            <w:r>
              <w:rPr>
                <w:color w:val="000000" w:themeColor="text1"/>
                <w:kern w:val="24"/>
                <w:lang w:val="en-GB"/>
              </w:rPr>
              <w:t>-</w:t>
            </w:r>
            <w:r w:rsidR="00130728">
              <w:rPr>
                <w:color w:val="000000" w:themeColor="text1"/>
                <w:kern w:val="24"/>
                <w:lang w:val="en-GB"/>
              </w:rPr>
              <w:t xml:space="preserve">0.036    </w:t>
            </w:r>
            <w:r>
              <w:rPr>
                <w:color w:val="000000" w:themeColor="text1"/>
                <w:kern w:val="24"/>
                <w:lang w:val="en-GB"/>
              </w:rPr>
              <w:t xml:space="preserve"> (</w:t>
            </w:r>
            <w:r w:rsidR="00130728">
              <w:rPr>
                <w:color w:val="000000" w:themeColor="text1"/>
                <w:kern w:val="24"/>
                <w:lang w:val="en-GB"/>
              </w:rPr>
              <w:t>0.023</w:t>
            </w:r>
            <w:r>
              <w:rPr>
                <w:color w:val="000000" w:themeColor="text1"/>
                <w:kern w:val="24"/>
                <w:lang w:val="en-GB"/>
              </w:rPr>
              <w:t>)</w:t>
            </w:r>
          </w:p>
        </w:tc>
        <w:tc>
          <w:tcPr>
            <w:tcW w:w="1275"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0.1</w:t>
            </w:r>
            <w:r w:rsidR="006A00FA">
              <w:rPr>
                <w:color w:val="000000" w:themeColor="text1"/>
                <w:kern w:val="24"/>
                <w:lang w:val="en-GB"/>
              </w:rPr>
              <w:t>1</w:t>
            </w:r>
          </w:p>
        </w:tc>
        <w:tc>
          <w:tcPr>
            <w:tcW w:w="1134" w:type="dxa"/>
            <w:vAlign w:val="center"/>
            <w:hideMark/>
          </w:tcPr>
          <w:p w:rsidR="009902E7" w:rsidRDefault="009902E7" w:rsidP="00615578">
            <w:pPr>
              <w:spacing w:after="160"/>
              <w:rPr>
                <w:color w:val="000000" w:themeColor="text1"/>
                <w:kern w:val="24"/>
                <w:lang w:val="en-GB"/>
              </w:rPr>
            </w:pPr>
            <w:r>
              <w:rPr>
                <w:color w:val="000000" w:themeColor="text1"/>
                <w:kern w:val="24"/>
                <w:lang w:val="en-GB"/>
              </w:rPr>
              <w:t>16,202</w:t>
            </w:r>
          </w:p>
        </w:tc>
      </w:tr>
      <w:tr w:rsidR="009902E7" w:rsidTr="009A7C04">
        <w:tc>
          <w:tcPr>
            <w:tcW w:w="4786" w:type="dxa"/>
            <w:tcBorders>
              <w:top w:val="nil"/>
              <w:left w:val="nil"/>
              <w:bottom w:val="single" w:sz="4" w:space="0" w:color="auto"/>
              <w:right w:val="nil"/>
            </w:tcBorders>
            <w:vAlign w:val="center"/>
            <w:hideMark/>
          </w:tcPr>
          <w:p w:rsidR="009902E7" w:rsidRDefault="009902E7" w:rsidP="00615578">
            <w:pPr>
              <w:rPr>
                <w:color w:val="000000" w:themeColor="text1"/>
                <w:kern w:val="24"/>
                <w:lang w:val="en-GB"/>
              </w:rPr>
            </w:pPr>
            <w:r>
              <w:rPr>
                <w:color w:val="000000" w:themeColor="text1"/>
                <w:kern w:val="24"/>
                <w:lang w:val="en-GB"/>
              </w:rPr>
              <w:t>Week 30-38</w:t>
            </w:r>
          </w:p>
        </w:tc>
        <w:tc>
          <w:tcPr>
            <w:tcW w:w="1418" w:type="dxa"/>
            <w:tcBorders>
              <w:top w:val="nil"/>
              <w:left w:val="nil"/>
              <w:bottom w:val="single" w:sz="4" w:space="0" w:color="auto"/>
              <w:right w:val="nil"/>
            </w:tcBorders>
            <w:vAlign w:val="center"/>
            <w:hideMark/>
          </w:tcPr>
          <w:p w:rsidR="009902E7" w:rsidRDefault="006A00FA" w:rsidP="0083742B">
            <w:pPr>
              <w:rPr>
                <w:color w:val="000000" w:themeColor="text1"/>
                <w:kern w:val="24"/>
                <w:lang w:val="en-GB"/>
              </w:rPr>
            </w:pPr>
            <w:r>
              <w:rPr>
                <w:color w:val="000000" w:themeColor="text1"/>
                <w:kern w:val="24"/>
                <w:lang w:val="en-GB"/>
              </w:rPr>
              <w:t xml:space="preserve">-0.001   </w:t>
            </w:r>
            <w:r w:rsidR="009902E7">
              <w:rPr>
                <w:color w:val="000000" w:themeColor="text1"/>
                <w:kern w:val="24"/>
                <w:lang w:val="en-GB"/>
              </w:rPr>
              <w:t xml:space="preserve"> </w:t>
            </w:r>
            <w:r>
              <w:rPr>
                <w:color w:val="000000" w:themeColor="text1"/>
                <w:kern w:val="24"/>
                <w:lang w:val="en-GB"/>
              </w:rPr>
              <w:t xml:space="preserve"> </w:t>
            </w:r>
            <w:r w:rsidR="009902E7">
              <w:rPr>
                <w:color w:val="000000" w:themeColor="text1"/>
                <w:kern w:val="24"/>
                <w:lang w:val="en-GB"/>
              </w:rPr>
              <w:t>(</w:t>
            </w:r>
            <w:r>
              <w:rPr>
                <w:color w:val="000000" w:themeColor="text1"/>
                <w:kern w:val="24"/>
                <w:lang w:val="en-GB"/>
              </w:rPr>
              <w:t>0.0</w:t>
            </w:r>
            <w:r w:rsidR="009902E7">
              <w:rPr>
                <w:color w:val="000000" w:themeColor="text1"/>
                <w:kern w:val="24"/>
                <w:lang w:val="en-GB"/>
              </w:rPr>
              <w:t>18)</w:t>
            </w:r>
          </w:p>
        </w:tc>
        <w:tc>
          <w:tcPr>
            <w:tcW w:w="1275" w:type="dxa"/>
            <w:tcBorders>
              <w:top w:val="nil"/>
              <w:left w:val="nil"/>
              <w:bottom w:val="single" w:sz="4" w:space="0" w:color="auto"/>
              <w:right w:val="nil"/>
            </w:tcBorders>
            <w:vAlign w:val="center"/>
            <w:hideMark/>
          </w:tcPr>
          <w:p w:rsidR="009902E7" w:rsidRDefault="009902E7" w:rsidP="00615578">
            <w:pPr>
              <w:rPr>
                <w:color w:val="000000" w:themeColor="text1"/>
                <w:kern w:val="24"/>
                <w:lang w:val="en-GB"/>
              </w:rPr>
            </w:pPr>
            <w:r>
              <w:rPr>
                <w:color w:val="000000" w:themeColor="text1"/>
                <w:kern w:val="24"/>
                <w:lang w:val="en-GB"/>
              </w:rPr>
              <w:t>0.0</w:t>
            </w:r>
            <w:r w:rsidR="006A00FA">
              <w:rPr>
                <w:color w:val="000000" w:themeColor="text1"/>
                <w:kern w:val="24"/>
                <w:lang w:val="en-GB"/>
              </w:rPr>
              <w:t>9</w:t>
            </w:r>
          </w:p>
        </w:tc>
        <w:tc>
          <w:tcPr>
            <w:tcW w:w="1134" w:type="dxa"/>
            <w:tcBorders>
              <w:top w:val="nil"/>
              <w:left w:val="nil"/>
              <w:bottom w:val="single" w:sz="4" w:space="0" w:color="auto"/>
              <w:right w:val="nil"/>
            </w:tcBorders>
            <w:vAlign w:val="center"/>
            <w:hideMark/>
          </w:tcPr>
          <w:p w:rsidR="009902E7" w:rsidRDefault="009902E7" w:rsidP="00615578">
            <w:pPr>
              <w:rPr>
                <w:color w:val="000000" w:themeColor="text1"/>
                <w:kern w:val="24"/>
                <w:lang w:val="en-GB"/>
              </w:rPr>
            </w:pPr>
            <w:r>
              <w:rPr>
                <w:color w:val="000000" w:themeColor="text1"/>
                <w:kern w:val="24"/>
                <w:lang w:val="en-GB"/>
              </w:rPr>
              <w:t>15,473</w:t>
            </w:r>
          </w:p>
        </w:tc>
      </w:tr>
    </w:tbl>
    <w:p w:rsidR="009902E7" w:rsidRPr="00615578" w:rsidRDefault="009902E7" w:rsidP="009902E7">
      <w:pPr>
        <w:rPr>
          <w:sz w:val="20"/>
          <w:szCs w:val="20"/>
          <w:lang w:val="en-GB"/>
        </w:rPr>
      </w:pPr>
      <w:r w:rsidRPr="00615578">
        <w:rPr>
          <w:color w:val="000000" w:themeColor="text1"/>
          <w:kern w:val="24"/>
          <w:sz w:val="20"/>
          <w:szCs w:val="20"/>
          <w:lang w:val="en-GB" w:eastAsia="en-GB"/>
        </w:rPr>
        <w:t>N</w:t>
      </w:r>
      <w:r w:rsidRPr="00615578">
        <w:rPr>
          <w:sz w:val="20"/>
          <w:szCs w:val="20"/>
        </w:rPr>
        <w:t>ote: The non-White column reports the estimates on the coefficient for non-white players in a net-transfer model whose specification is identical to the one defined in Table 5, column(3</w:t>
      </w:r>
      <w:r w:rsidR="006A00FA">
        <w:rPr>
          <w:sz w:val="20"/>
          <w:szCs w:val="20"/>
        </w:rPr>
        <w:t>)</w:t>
      </w:r>
      <w:r w:rsidRPr="00615578">
        <w:rPr>
          <w:sz w:val="20"/>
          <w:szCs w:val="20"/>
        </w:rPr>
        <w:t xml:space="preserve">. </w:t>
      </w:r>
      <w:r w:rsidRPr="00615578">
        <w:rPr>
          <w:sz w:val="20"/>
          <w:szCs w:val="20"/>
          <w:lang w:val="en-GB"/>
        </w:rPr>
        <w:t>Standard errors, in parentheses, account for clustering at the player level: *** p&lt;0.01, ** p&lt;0.05, * p&lt;0.1</w:t>
      </w:r>
      <w:r w:rsidRPr="00615578">
        <w:rPr>
          <w:sz w:val="20"/>
          <w:szCs w:val="20"/>
          <w:lang w:val="en-GB"/>
        </w:rPr>
        <w:br w:type="page"/>
      </w:r>
    </w:p>
    <w:p w:rsidR="009902E7" w:rsidRDefault="009902E7" w:rsidP="009902E7">
      <w:pPr>
        <w:rPr>
          <w:caps/>
          <w:lang w:val="en-GB"/>
        </w:rPr>
      </w:pPr>
      <w:r>
        <w:rPr>
          <w:caps/>
          <w:lang w:val="en-GB"/>
        </w:rPr>
        <w:lastRenderedPageBreak/>
        <w:t>APPENDIX</w:t>
      </w:r>
    </w:p>
    <w:p w:rsidR="009902E7" w:rsidRDefault="009902E7" w:rsidP="009902E7">
      <w:pPr>
        <w:rPr>
          <w:caps/>
          <w:lang w:val="en-GB"/>
        </w:rPr>
      </w:pPr>
    </w:p>
    <w:p w:rsidR="009902E7" w:rsidRDefault="009902E7" w:rsidP="009902E7">
      <w:pPr>
        <w:rPr>
          <w:caps/>
          <w:lang w:val="en-GB"/>
        </w:rPr>
      </w:pPr>
      <w:r>
        <w:rPr>
          <w:caps/>
          <w:lang w:val="en-GB"/>
        </w:rPr>
        <w:t>TABLE A1: POINTS SYSTEM IN FANTASY FOOTBALL</w:t>
      </w:r>
    </w:p>
    <w:p w:rsidR="009902E7" w:rsidRDefault="009902E7" w:rsidP="009902E7">
      <w:pPr>
        <w:rPr>
          <w:caps/>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1057"/>
      </w:tblGrid>
      <w:tr w:rsidR="009902E7" w:rsidRPr="000A3EC2" w:rsidTr="009A7C04">
        <w:trPr>
          <w:jc w:val="center"/>
        </w:trPr>
        <w:tc>
          <w:tcPr>
            <w:tcW w:w="6759" w:type="dxa"/>
            <w:tcBorders>
              <w:top w:val="single" w:sz="4" w:space="0" w:color="auto"/>
              <w:bottom w:val="single" w:sz="4" w:space="0" w:color="auto"/>
            </w:tcBorders>
          </w:tcPr>
          <w:p w:rsidR="009902E7" w:rsidRPr="000A3EC2" w:rsidRDefault="009902E7" w:rsidP="009A7C04">
            <w:pPr>
              <w:ind w:left="720"/>
              <w:rPr>
                <w:caps/>
                <w:lang w:val="en-GB"/>
              </w:rPr>
            </w:pPr>
            <w:r>
              <w:rPr>
                <w:caps/>
                <w:lang w:val="en-GB"/>
              </w:rPr>
              <w:t>Action</w:t>
            </w:r>
          </w:p>
        </w:tc>
        <w:tc>
          <w:tcPr>
            <w:tcW w:w="993" w:type="dxa"/>
            <w:tcBorders>
              <w:top w:val="single" w:sz="4" w:space="0" w:color="auto"/>
              <w:bottom w:val="single" w:sz="4" w:space="0" w:color="auto"/>
            </w:tcBorders>
          </w:tcPr>
          <w:p w:rsidR="009902E7" w:rsidRPr="000A3EC2" w:rsidRDefault="009902E7" w:rsidP="009A7C04">
            <w:pPr>
              <w:rPr>
                <w:caps/>
                <w:lang w:val="en-GB"/>
              </w:rPr>
            </w:pPr>
            <w:r>
              <w:rPr>
                <w:caps/>
                <w:lang w:val="en-GB"/>
              </w:rPr>
              <w:t>Points</w:t>
            </w:r>
          </w:p>
        </w:tc>
      </w:tr>
      <w:tr w:rsidR="009902E7" w:rsidRPr="000A3EC2" w:rsidTr="009A7C04">
        <w:trPr>
          <w:jc w:val="center"/>
        </w:trPr>
        <w:tc>
          <w:tcPr>
            <w:tcW w:w="6759" w:type="dxa"/>
            <w:tcBorders>
              <w:top w:val="single" w:sz="4" w:space="0" w:color="auto"/>
            </w:tcBorders>
          </w:tcPr>
          <w:p w:rsidR="009902E7" w:rsidRPr="000A3EC2" w:rsidRDefault="009902E7" w:rsidP="009A7C04">
            <w:r>
              <w:t>P</w:t>
            </w:r>
            <w:r w:rsidRPr="000A3EC2">
              <w:t xml:space="preserve">laying up to 60 minutes </w:t>
            </w:r>
          </w:p>
        </w:tc>
        <w:tc>
          <w:tcPr>
            <w:tcW w:w="993" w:type="dxa"/>
            <w:tcBorders>
              <w:top w:val="single" w:sz="4" w:space="0" w:color="auto"/>
            </w:tcBorders>
          </w:tcPr>
          <w:p w:rsidR="009902E7" w:rsidRPr="000A3EC2" w:rsidRDefault="009902E7" w:rsidP="009A7C04">
            <w:pPr>
              <w:rPr>
                <w:caps/>
                <w:lang w:val="en-GB"/>
              </w:rPr>
            </w:pPr>
            <w:r>
              <w:rPr>
                <w:caps/>
                <w:lang w:val="en-GB"/>
              </w:rPr>
              <w:t>1</w:t>
            </w:r>
          </w:p>
        </w:tc>
      </w:tr>
      <w:tr w:rsidR="009902E7" w:rsidRPr="000A3EC2" w:rsidTr="009A7C04">
        <w:trPr>
          <w:jc w:val="center"/>
        </w:trPr>
        <w:tc>
          <w:tcPr>
            <w:tcW w:w="6759" w:type="dxa"/>
          </w:tcPr>
          <w:p w:rsidR="009902E7" w:rsidRPr="000A3EC2" w:rsidRDefault="009902E7" w:rsidP="009A7C04">
            <w:pPr>
              <w:rPr>
                <w:lang w:val="en-GB"/>
              </w:rPr>
            </w:pPr>
            <w:r>
              <w:rPr>
                <w:lang w:val="en-GB"/>
              </w:rPr>
              <w:t>P</w:t>
            </w:r>
            <w:r w:rsidRPr="000A3EC2">
              <w:rPr>
                <w:lang w:val="en-GB"/>
              </w:rPr>
              <w:t xml:space="preserve">laying 60 minutes or more  </w:t>
            </w:r>
          </w:p>
        </w:tc>
        <w:tc>
          <w:tcPr>
            <w:tcW w:w="993" w:type="dxa"/>
          </w:tcPr>
          <w:p w:rsidR="009902E7" w:rsidRPr="000A3EC2" w:rsidRDefault="009902E7" w:rsidP="009A7C04">
            <w:pPr>
              <w:rPr>
                <w:caps/>
                <w:lang w:val="en-GB"/>
              </w:rPr>
            </w:pPr>
            <w:r>
              <w:rPr>
                <w:caps/>
                <w:lang w:val="en-GB"/>
              </w:rPr>
              <w:t>2</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goal scored by a goalkeeper or defender </w:t>
            </w:r>
          </w:p>
        </w:tc>
        <w:tc>
          <w:tcPr>
            <w:tcW w:w="993" w:type="dxa"/>
          </w:tcPr>
          <w:p w:rsidR="009902E7" w:rsidRPr="000A3EC2" w:rsidRDefault="009902E7" w:rsidP="009A7C04">
            <w:pPr>
              <w:rPr>
                <w:caps/>
                <w:lang w:val="en-GB"/>
              </w:rPr>
            </w:pPr>
            <w:r>
              <w:rPr>
                <w:caps/>
                <w:lang w:val="en-GB"/>
              </w:rPr>
              <w:t>6</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goal scored by a midfielder </w:t>
            </w:r>
          </w:p>
        </w:tc>
        <w:tc>
          <w:tcPr>
            <w:tcW w:w="993" w:type="dxa"/>
          </w:tcPr>
          <w:p w:rsidR="009902E7" w:rsidRPr="000A3EC2" w:rsidRDefault="009902E7" w:rsidP="009A7C04">
            <w:pPr>
              <w:rPr>
                <w:caps/>
                <w:lang w:val="en-GB"/>
              </w:rPr>
            </w:pPr>
            <w:r>
              <w:rPr>
                <w:caps/>
                <w:lang w:val="en-GB"/>
              </w:rPr>
              <w:t>5</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goal scored by a forward </w:t>
            </w:r>
          </w:p>
        </w:tc>
        <w:tc>
          <w:tcPr>
            <w:tcW w:w="993" w:type="dxa"/>
          </w:tcPr>
          <w:p w:rsidR="009902E7" w:rsidRPr="000A3EC2" w:rsidRDefault="009902E7" w:rsidP="009A7C04">
            <w:pPr>
              <w:rPr>
                <w:caps/>
                <w:lang w:val="en-GB"/>
              </w:rPr>
            </w:pPr>
            <w:r>
              <w:rPr>
                <w:caps/>
                <w:lang w:val="en-GB"/>
              </w:rPr>
              <w:t>4</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goal assist </w:t>
            </w:r>
          </w:p>
        </w:tc>
        <w:tc>
          <w:tcPr>
            <w:tcW w:w="993" w:type="dxa"/>
          </w:tcPr>
          <w:p w:rsidR="009902E7" w:rsidRPr="000A3EC2" w:rsidRDefault="009902E7" w:rsidP="009A7C04">
            <w:pPr>
              <w:rPr>
                <w:caps/>
                <w:lang w:val="en-GB"/>
              </w:rPr>
            </w:pPr>
            <w:r>
              <w:rPr>
                <w:caps/>
                <w:lang w:val="en-GB"/>
              </w:rPr>
              <w:t>3</w:t>
            </w:r>
          </w:p>
        </w:tc>
      </w:tr>
      <w:tr w:rsidR="009902E7" w:rsidRPr="000A3EC2" w:rsidTr="009A7C04">
        <w:trPr>
          <w:jc w:val="center"/>
        </w:trPr>
        <w:tc>
          <w:tcPr>
            <w:tcW w:w="6759" w:type="dxa"/>
          </w:tcPr>
          <w:p w:rsidR="009902E7" w:rsidRPr="000A3EC2" w:rsidRDefault="009902E7" w:rsidP="009A7C04">
            <w:pPr>
              <w:rPr>
                <w:lang w:val="en-GB"/>
              </w:rPr>
            </w:pPr>
            <w:r>
              <w:rPr>
                <w:lang w:val="en-GB"/>
              </w:rPr>
              <w:t>C</w:t>
            </w:r>
            <w:r w:rsidRPr="000A3EC2">
              <w:rPr>
                <w:lang w:val="en-GB"/>
              </w:rPr>
              <w:t xml:space="preserve">lean sheet by a goalkeeper or defender </w:t>
            </w:r>
          </w:p>
        </w:tc>
        <w:tc>
          <w:tcPr>
            <w:tcW w:w="993" w:type="dxa"/>
          </w:tcPr>
          <w:p w:rsidR="009902E7" w:rsidRPr="000A3EC2" w:rsidRDefault="009902E7" w:rsidP="009A7C04">
            <w:pPr>
              <w:rPr>
                <w:caps/>
                <w:lang w:val="en-GB"/>
              </w:rPr>
            </w:pPr>
            <w:r>
              <w:rPr>
                <w:caps/>
                <w:lang w:val="en-GB"/>
              </w:rPr>
              <w:t>4</w:t>
            </w:r>
          </w:p>
        </w:tc>
      </w:tr>
      <w:tr w:rsidR="009902E7" w:rsidRPr="000A3EC2" w:rsidTr="009A7C04">
        <w:trPr>
          <w:jc w:val="center"/>
        </w:trPr>
        <w:tc>
          <w:tcPr>
            <w:tcW w:w="6759" w:type="dxa"/>
          </w:tcPr>
          <w:p w:rsidR="009902E7" w:rsidRPr="000A3EC2" w:rsidRDefault="009902E7" w:rsidP="009A7C04">
            <w:pPr>
              <w:rPr>
                <w:lang w:val="en-GB"/>
              </w:rPr>
            </w:pPr>
            <w:r>
              <w:rPr>
                <w:lang w:val="en-GB"/>
              </w:rPr>
              <w:t>C</w:t>
            </w:r>
            <w:r w:rsidRPr="000A3EC2">
              <w:rPr>
                <w:lang w:val="en-GB"/>
              </w:rPr>
              <w:t xml:space="preserve">lean sheet by a midfielder </w:t>
            </w:r>
          </w:p>
        </w:tc>
        <w:tc>
          <w:tcPr>
            <w:tcW w:w="993" w:type="dxa"/>
          </w:tcPr>
          <w:p w:rsidR="009902E7" w:rsidRPr="000A3EC2" w:rsidRDefault="009902E7" w:rsidP="009A7C04">
            <w:pPr>
              <w:rPr>
                <w:caps/>
                <w:lang w:val="en-GB"/>
              </w:rPr>
            </w:pPr>
            <w:r>
              <w:rPr>
                <w:caps/>
                <w:lang w:val="en-GB"/>
              </w:rPr>
              <w:t>1</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every 3 shot saves by a goalkeeper  </w:t>
            </w:r>
          </w:p>
        </w:tc>
        <w:tc>
          <w:tcPr>
            <w:tcW w:w="993" w:type="dxa"/>
          </w:tcPr>
          <w:p w:rsidR="009902E7" w:rsidRPr="000A3EC2" w:rsidRDefault="009902E7" w:rsidP="009A7C04">
            <w:pPr>
              <w:rPr>
                <w:caps/>
                <w:lang w:val="en-GB"/>
              </w:rPr>
            </w:pPr>
            <w:r>
              <w:rPr>
                <w:caps/>
                <w:lang w:val="en-GB"/>
              </w:rPr>
              <w:t>1</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penalty save </w:t>
            </w:r>
          </w:p>
        </w:tc>
        <w:tc>
          <w:tcPr>
            <w:tcW w:w="993" w:type="dxa"/>
          </w:tcPr>
          <w:p w:rsidR="009902E7" w:rsidRPr="000A3EC2" w:rsidRDefault="009902E7" w:rsidP="009A7C04">
            <w:pPr>
              <w:rPr>
                <w:caps/>
                <w:lang w:val="en-GB"/>
              </w:rPr>
            </w:pPr>
            <w:r>
              <w:rPr>
                <w:caps/>
                <w:lang w:val="en-GB"/>
              </w:rPr>
              <w:t>5</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For each penalty miss -</w:t>
            </w:r>
          </w:p>
        </w:tc>
        <w:tc>
          <w:tcPr>
            <w:tcW w:w="993" w:type="dxa"/>
          </w:tcPr>
          <w:p w:rsidR="009902E7" w:rsidRPr="000A3EC2" w:rsidRDefault="009902E7" w:rsidP="009A7C04">
            <w:pPr>
              <w:rPr>
                <w:caps/>
                <w:lang w:val="en-GB"/>
              </w:rPr>
            </w:pPr>
            <w:r>
              <w:rPr>
                <w:caps/>
                <w:lang w:val="en-GB"/>
              </w:rPr>
              <w:t>-2</w:t>
            </w:r>
          </w:p>
        </w:tc>
      </w:tr>
      <w:tr w:rsidR="009902E7" w:rsidRPr="000A3EC2" w:rsidTr="009A7C04">
        <w:trPr>
          <w:jc w:val="center"/>
        </w:trPr>
        <w:tc>
          <w:tcPr>
            <w:tcW w:w="6759" w:type="dxa"/>
          </w:tcPr>
          <w:p w:rsidR="009902E7" w:rsidRPr="000A3EC2" w:rsidRDefault="009902E7" w:rsidP="009A7C04">
            <w:pPr>
              <w:rPr>
                <w:lang w:val="en-GB"/>
              </w:rPr>
            </w:pPr>
          </w:p>
        </w:tc>
        <w:tc>
          <w:tcPr>
            <w:tcW w:w="993" w:type="dxa"/>
          </w:tcPr>
          <w:p w:rsidR="009902E7" w:rsidRPr="000A3EC2" w:rsidRDefault="009902E7" w:rsidP="009A7C04">
            <w:pPr>
              <w:rPr>
                <w:caps/>
                <w:lang w:val="en-GB"/>
              </w:rPr>
            </w:pP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For every 2 goals conceded by a goalkeeper or defender</w:t>
            </w:r>
          </w:p>
        </w:tc>
        <w:tc>
          <w:tcPr>
            <w:tcW w:w="993" w:type="dxa"/>
          </w:tcPr>
          <w:p w:rsidR="009902E7" w:rsidRPr="000A3EC2" w:rsidRDefault="009902E7" w:rsidP="009A7C04">
            <w:pPr>
              <w:rPr>
                <w:caps/>
                <w:lang w:val="en-GB"/>
              </w:rPr>
            </w:pPr>
            <w:r>
              <w:rPr>
                <w:caps/>
                <w:lang w:val="en-GB"/>
              </w:rPr>
              <w:t>-1</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yellow card </w:t>
            </w:r>
          </w:p>
        </w:tc>
        <w:tc>
          <w:tcPr>
            <w:tcW w:w="993" w:type="dxa"/>
          </w:tcPr>
          <w:p w:rsidR="009902E7" w:rsidRPr="000A3EC2" w:rsidRDefault="009902E7" w:rsidP="009A7C04">
            <w:pPr>
              <w:rPr>
                <w:caps/>
                <w:lang w:val="en-GB"/>
              </w:rPr>
            </w:pPr>
            <w:r>
              <w:rPr>
                <w:caps/>
                <w:lang w:val="en-GB"/>
              </w:rPr>
              <w:t>-1</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red card </w:t>
            </w:r>
          </w:p>
        </w:tc>
        <w:tc>
          <w:tcPr>
            <w:tcW w:w="993" w:type="dxa"/>
          </w:tcPr>
          <w:p w:rsidR="009902E7" w:rsidRPr="000A3EC2" w:rsidRDefault="009902E7" w:rsidP="009A7C04">
            <w:pPr>
              <w:rPr>
                <w:caps/>
                <w:lang w:val="en-GB"/>
              </w:rPr>
            </w:pPr>
            <w:r>
              <w:rPr>
                <w:caps/>
                <w:lang w:val="en-GB"/>
              </w:rPr>
              <w:t>-3</w:t>
            </w:r>
          </w:p>
        </w:tc>
      </w:tr>
      <w:tr w:rsidR="009902E7" w:rsidRPr="000A3EC2" w:rsidTr="009A7C04">
        <w:trPr>
          <w:jc w:val="center"/>
        </w:trPr>
        <w:tc>
          <w:tcPr>
            <w:tcW w:w="6759" w:type="dxa"/>
          </w:tcPr>
          <w:p w:rsidR="009902E7" w:rsidRPr="000A3EC2" w:rsidRDefault="009902E7" w:rsidP="009A7C04">
            <w:pPr>
              <w:rPr>
                <w:lang w:val="en-GB"/>
              </w:rPr>
            </w:pPr>
            <w:r w:rsidRPr="000A3EC2">
              <w:rPr>
                <w:lang w:val="en-GB"/>
              </w:rPr>
              <w:t xml:space="preserve">For each own goal </w:t>
            </w:r>
          </w:p>
        </w:tc>
        <w:tc>
          <w:tcPr>
            <w:tcW w:w="993" w:type="dxa"/>
          </w:tcPr>
          <w:p w:rsidR="009902E7" w:rsidRPr="000A3EC2" w:rsidRDefault="009902E7" w:rsidP="009A7C04">
            <w:pPr>
              <w:rPr>
                <w:caps/>
                <w:lang w:val="en-GB"/>
              </w:rPr>
            </w:pPr>
            <w:r>
              <w:rPr>
                <w:caps/>
                <w:lang w:val="en-GB"/>
              </w:rPr>
              <w:t>-2</w:t>
            </w:r>
          </w:p>
        </w:tc>
      </w:tr>
      <w:tr w:rsidR="009902E7" w:rsidRPr="000A3EC2" w:rsidTr="009A7C04">
        <w:trPr>
          <w:jc w:val="center"/>
        </w:trPr>
        <w:tc>
          <w:tcPr>
            <w:tcW w:w="6759" w:type="dxa"/>
            <w:tcBorders>
              <w:bottom w:val="single" w:sz="4" w:space="0" w:color="auto"/>
            </w:tcBorders>
          </w:tcPr>
          <w:p w:rsidR="009902E7" w:rsidRPr="000A3EC2" w:rsidRDefault="009902E7" w:rsidP="009A7C04">
            <w:pPr>
              <w:rPr>
                <w:lang w:val="en-GB"/>
              </w:rPr>
            </w:pPr>
            <w:r w:rsidRPr="000A3EC2">
              <w:rPr>
                <w:lang w:val="en-GB"/>
              </w:rPr>
              <w:t>Bonus points for the best players in a match</w:t>
            </w:r>
          </w:p>
        </w:tc>
        <w:tc>
          <w:tcPr>
            <w:tcW w:w="993" w:type="dxa"/>
            <w:tcBorders>
              <w:bottom w:val="single" w:sz="4" w:space="0" w:color="auto"/>
            </w:tcBorders>
          </w:tcPr>
          <w:p w:rsidR="009902E7" w:rsidRDefault="009902E7" w:rsidP="009A7C04">
            <w:pPr>
              <w:rPr>
                <w:caps/>
                <w:lang w:val="en-GB"/>
              </w:rPr>
            </w:pPr>
            <w:r>
              <w:rPr>
                <w:caps/>
                <w:lang w:val="en-GB"/>
              </w:rPr>
              <w:t>1/3</w:t>
            </w:r>
          </w:p>
        </w:tc>
      </w:tr>
    </w:tbl>
    <w:p w:rsidR="009902E7" w:rsidRDefault="009902E7" w:rsidP="009902E7">
      <w:pPr>
        <w:rPr>
          <w:caps/>
          <w:lang w:val="en-GB"/>
        </w:rPr>
      </w:pPr>
    </w:p>
    <w:p w:rsidR="009902E7" w:rsidRDefault="009902E7" w:rsidP="009902E7">
      <w:pPr>
        <w:rPr>
          <w:caps/>
          <w:lang w:val="en-GB"/>
        </w:rPr>
      </w:pPr>
    </w:p>
    <w:p w:rsidR="009902E7" w:rsidRDefault="009902E7" w:rsidP="009902E7">
      <w:pPr>
        <w:rPr>
          <w:caps/>
          <w:lang w:val="en-GB"/>
        </w:rPr>
      </w:pPr>
      <w:r>
        <w:rPr>
          <w:caps/>
          <w:lang w:val="en-GB"/>
        </w:rPr>
        <w:t>Bonus Points:</w:t>
      </w:r>
    </w:p>
    <w:p w:rsidR="009902E7" w:rsidRDefault="009902E7" w:rsidP="009902E7">
      <w:pPr>
        <w:pStyle w:val="ismanswer"/>
      </w:pPr>
      <w:r>
        <w:t>The three best performing players in each match according to the Bonus Points System will receive additional bonus points. 3 points will be awarded to the highest scoring player, 2 to the second best and 1 to the third. The Bonus Points System is based on statistics on various dimensions of the player’s performance collected by OPTA (</w:t>
      </w:r>
      <w:r w:rsidRPr="000A3EC2">
        <w:t>http://www.optasports.com/</w:t>
      </w:r>
      <w:r>
        <w:t>).</w:t>
      </w:r>
    </w:p>
    <w:p w:rsidR="009902E7" w:rsidRDefault="009902E7" w:rsidP="009902E7">
      <w:pPr>
        <w:rPr>
          <w:caps/>
          <w:lang w:val="en-GB"/>
        </w:rPr>
      </w:pPr>
      <w:r>
        <w:rPr>
          <w:caps/>
          <w:lang w:val="en-GB"/>
        </w:rPr>
        <w:br w:type="page"/>
      </w:r>
    </w:p>
    <w:p w:rsidR="00CD1019" w:rsidRDefault="00CD1019" w:rsidP="00CD1019">
      <w:pPr>
        <w:rPr>
          <w:caps/>
          <w:lang w:val="en-GB"/>
        </w:rPr>
      </w:pPr>
      <w:r>
        <w:rPr>
          <w:caps/>
          <w:lang w:val="en-GB"/>
        </w:rPr>
        <w:lastRenderedPageBreak/>
        <w:t>Appendix Figure a1</w:t>
      </w:r>
    </w:p>
    <w:p w:rsidR="00CD1019" w:rsidRDefault="00CD1019" w:rsidP="00CD1019">
      <w:pPr>
        <w:rPr>
          <w:caps/>
          <w:lang w:val="en-GB"/>
        </w:rPr>
      </w:pPr>
    </w:p>
    <w:p w:rsidR="00CD1019" w:rsidRDefault="00CD1019" w:rsidP="00CD1019">
      <w:pPr>
        <w:rPr>
          <w:caps/>
          <w:lang w:val="en-GB"/>
        </w:rPr>
      </w:pPr>
      <w:r>
        <w:rPr>
          <w:caps/>
          <w:noProof/>
          <w:lang w:val="en-GB" w:eastAsia="en-GB"/>
        </w:rPr>
        <w:drawing>
          <wp:inline distT="0" distB="0" distL="0" distR="0">
            <wp:extent cx="5486400" cy="4391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4391025"/>
                    </a:xfrm>
                    <a:prstGeom prst="rect">
                      <a:avLst/>
                    </a:prstGeom>
                    <a:noFill/>
                    <a:ln>
                      <a:noFill/>
                    </a:ln>
                  </pic:spPr>
                </pic:pic>
              </a:graphicData>
            </a:graphic>
          </wp:inline>
        </w:drawing>
      </w:r>
      <w:r>
        <w:rPr>
          <w:caps/>
          <w:lang w:val="en-GB"/>
        </w:rPr>
        <w:t>1</w:t>
      </w:r>
    </w:p>
    <w:p w:rsidR="00477D51" w:rsidRDefault="00477D51" w:rsidP="00CD1019">
      <w:pPr>
        <w:spacing w:line="480" w:lineRule="auto"/>
        <w:rPr>
          <w:caps/>
          <w:lang w:val="en-GB"/>
        </w:rPr>
      </w:pPr>
    </w:p>
    <w:sectPr w:rsidR="00477D51" w:rsidSect="009902E7">
      <w:footerReference w:type="default" r:id="rId28"/>
      <w:type w:val="nextColumn"/>
      <w:pgSz w:w="12240" w:h="15840"/>
      <w:pgMar w:top="1440" w:right="1797" w:bottom="1440" w:left="1797" w:header="709" w:footer="709" w:gutter="0"/>
      <w:pgNumType w:start="3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rnaud" w:date="2015-03-13T09:03:00Z" w:initials="a">
    <w:p w:rsidR="00965064" w:rsidRDefault="00965064">
      <w:pPr>
        <w:pStyle w:val="CommentText"/>
      </w:pPr>
      <w:r>
        <w:rPr>
          <w:rStyle w:val="CommentReference"/>
        </w:rPr>
        <w:annotationRef/>
      </w:r>
      <w:r>
        <w:t>Drop this sentence and the Figure A1 in the proofs</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47" w:rsidRDefault="00DF4547" w:rsidP="003C0AF6">
      <w:r>
        <w:separator/>
      </w:r>
    </w:p>
  </w:endnote>
  <w:endnote w:type="continuationSeparator" w:id="0">
    <w:p w:rsidR="00DF4547" w:rsidRDefault="00DF4547" w:rsidP="003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87672"/>
      <w:docPartObj>
        <w:docPartGallery w:val="Page Numbers (Bottom of Page)"/>
        <w:docPartUnique/>
      </w:docPartObj>
    </w:sdtPr>
    <w:sdtEndPr/>
    <w:sdtContent>
      <w:p w:rsidR="0060289B" w:rsidRDefault="0060289B">
        <w:pPr>
          <w:pStyle w:val="Footer"/>
          <w:jc w:val="center"/>
        </w:pPr>
        <w:r>
          <w:fldChar w:fldCharType="begin"/>
        </w:r>
        <w:r>
          <w:instrText xml:space="preserve"> PAGE   \* MERGEFORMAT </w:instrText>
        </w:r>
        <w:r>
          <w:fldChar w:fldCharType="separate"/>
        </w:r>
        <w:r w:rsidR="00965064">
          <w:rPr>
            <w:noProof/>
          </w:rPr>
          <w:t>12</w:t>
        </w:r>
        <w:r>
          <w:rPr>
            <w:noProof/>
          </w:rPr>
          <w:fldChar w:fldCharType="end"/>
        </w:r>
      </w:p>
    </w:sdtContent>
  </w:sdt>
  <w:p w:rsidR="0060289B" w:rsidRDefault="00602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87673"/>
      <w:docPartObj>
        <w:docPartGallery w:val="Page Numbers (Bottom of Page)"/>
        <w:docPartUnique/>
      </w:docPartObj>
    </w:sdtPr>
    <w:sdtEndPr/>
    <w:sdtContent>
      <w:p w:rsidR="0060289B" w:rsidRDefault="0060289B">
        <w:pPr>
          <w:pStyle w:val="Footer"/>
          <w:jc w:val="center"/>
        </w:pPr>
        <w:r>
          <w:fldChar w:fldCharType="begin"/>
        </w:r>
        <w:r>
          <w:instrText xml:space="preserve"> PAGE   \* MERGEFORMAT </w:instrText>
        </w:r>
        <w:r>
          <w:fldChar w:fldCharType="separate"/>
        </w:r>
        <w:r w:rsidR="00965064">
          <w:rPr>
            <w:noProof/>
          </w:rPr>
          <w:t>40</w:t>
        </w:r>
        <w:r>
          <w:rPr>
            <w:noProof/>
          </w:rPr>
          <w:fldChar w:fldCharType="end"/>
        </w:r>
      </w:p>
    </w:sdtContent>
  </w:sdt>
  <w:p w:rsidR="0060289B" w:rsidRDefault="0060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47" w:rsidRDefault="00DF4547" w:rsidP="003C0AF6">
      <w:r>
        <w:separator/>
      </w:r>
    </w:p>
  </w:footnote>
  <w:footnote w:type="continuationSeparator" w:id="0">
    <w:p w:rsidR="00DF4547" w:rsidRDefault="00DF4547" w:rsidP="003C0AF6">
      <w:r>
        <w:continuationSeparator/>
      </w:r>
    </w:p>
  </w:footnote>
  <w:footnote w:id="1">
    <w:p w:rsidR="0060289B" w:rsidRPr="00ED3611" w:rsidRDefault="0060289B" w:rsidP="006A64EA">
      <w:pPr>
        <w:pStyle w:val="FootnoteText"/>
        <w:rPr>
          <w:lang w:val="en-GB"/>
        </w:rPr>
      </w:pPr>
      <w:r w:rsidRPr="003C47D6">
        <w:rPr>
          <w:rStyle w:val="FootnoteReference"/>
        </w:rPr>
        <w:sym w:font="Symbol" w:char="F0AA"/>
      </w:r>
      <w:r>
        <w:t xml:space="preserve"> Bryson is also affiliated with the Centre for Economic Performance (LSE) and IZA (Bonn) </w:t>
      </w:r>
    </w:p>
  </w:footnote>
  <w:footnote w:id="2">
    <w:p w:rsidR="0060289B" w:rsidRPr="00ED3611" w:rsidRDefault="0060289B">
      <w:pPr>
        <w:pStyle w:val="FootnoteText"/>
        <w:rPr>
          <w:lang w:val="en-GB"/>
        </w:rPr>
      </w:pPr>
      <w:r w:rsidRPr="00ED3611">
        <w:rPr>
          <w:rStyle w:val="FootnoteReference"/>
        </w:rPr>
        <w:sym w:font="Symbol" w:char="F0A8"/>
      </w:r>
      <w:r>
        <w:t xml:space="preserve"> Chevalier is also affiliated with Royal Holloway, London, </w:t>
      </w:r>
      <w:r w:rsidRPr="007E0CCC">
        <w:rPr>
          <w:lang w:val="de-DE"/>
        </w:rPr>
        <w:t>Deutsche Sporthochschule (Koeln)</w:t>
      </w:r>
      <w:r>
        <w:t xml:space="preserve">, and SFI (Copenhagen) </w:t>
      </w:r>
    </w:p>
  </w:footnote>
  <w:footnote w:id="3">
    <w:p w:rsidR="0060289B" w:rsidRPr="00F8733D" w:rsidRDefault="0060289B">
      <w:pPr>
        <w:pStyle w:val="FootnoteText"/>
        <w:rPr>
          <w:lang w:val="en-GB"/>
        </w:rPr>
      </w:pPr>
      <w:r>
        <w:rPr>
          <w:rStyle w:val="FootnoteReference"/>
        </w:rPr>
        <w:footnoteRef/>
      </w:r>
      <w:r>
        <w:t xml:space="preserve"> </w:t>
      </w:r>
      <w:r>
        <w:rPr>
          <w:lang w:val="en-GB"/>
        </w:rPr>
        <w:t>There are exceptions. Policies of "positive discrimination" and "affirmative action" may permit employers to discriminate in favour of minority groups who are identified as particularly disadvantaged in the labour market.</w:t>
      </w:r>
    </w:p>
  </w:footnote>
  <w:footnote w:id="4">
    <w:p w:rsidR="0060289B" w:rsidRPr="00261D03" w:rsidRDefault="0060289B">
      <w:pPr>
        <w:pStyle w:val="FootnoteText"/>
        <w:rPr>
          <w:lang w:val="en-GB"/>
        </w:rPr>
      </w:pPr>
      <w:r>
        <w:rPr>
          <w:rStyle w:val="FootnoteReference"/>
        </w:rPr>
        <w:footnoteRef/>
      </w:r>
      <w:r>
        <w:t xml:space="preserve"> </w:t>
      </w:r>
      <w:r>
        <w:rPr>
          <w:lang w:val="en-GB"/>
        </w:rPr>
        <w:t>For a recent review of these theories and their ability to account for racial differences in labour market outcomes see Lang and Lehmann (2011). As the authors point out, the presence of prejudiced employers can lead to differential impact of search frictions across race groups, helping to explain black-white differences in equilibrium unemployment and employment.</w:t>
      </w:r>
    </w:p>
  </w:footnote>
  <w:footnote w:id="5">
    <w:p w:rsidR="0060289B" w:rsidRPr="0031439F" w:rsidRDefault="0060289B">
      <w:pPr>
        <w:pStyle w:val="FootnoteText"/>
      </w:pPr>
      <w:r>
        <w:rPr>
          <w:rStyle w:val="FootnoteReference"/>
        </w:rPr>
        <w:footnoteRef/>
      </w:r>
      <w:r>
        <w:t xml:space="preserve"> For further details check: http://fantasy.premierleague.com/</w:t>
      </w:r>
    </w:p>
  </w:footnote>
  <w:footnote w:id="6">
    <w:p w:rsidR="0060289B" w:rsidRPr="00820B38" w:rsidRDefault="0060289B">
      <w:pPr>
        <w:pStyle w:val="FootnoteText"/>
        <w:rPr>
          <w:lang w:val="en-GB"/>
        </w:rPr>
      </w:pPr>
      <w:r>
        <w:rPr>
          <w:rStyle w:val="FootnoteReference"/>
        </w:rPr>
        <w:footnoteRef/>
      </w:r>
      <w:r>
        <w:t xml:space="preserve"> </w:t>
      </w:r>
      <w:r>
        <w:rPr>
          <w:lang w:val="en-GB"/>
        </w:rPr>
        <w:t>See Bendick (2007) for a review of audit studies providing evidence of employment discrimination on grounds of race.</w:t>
      </w:r>
    </w:p>
  </w:footnote>
  <w:footnote w:id="7">
    <w:p w:rsidR="0060289B" w:rsidRPr="007E7F2C" w:rsidRDefault="0060289B">
      <w:pPr>
        <w:pStyle w:val="FootnoteText"/>
        <w:rPr>
          <w:lang w:val="en-GB"/>
        </w:rPr>
      </w:pPr>
      <w:r>
        <w:rPr>
          <w:rStyle w:val="FootnoteReference"/>
        </w:rPr>
        <w:footnoteRef/>
      </w:r>
      <w:r>
        <w:t xml:space="preserve"> </w:t>
      </w:r>
      <w:r>
        <w:rPr>
          <w:lang w:val="en-GB"/>
        </w:rPr>
        <w:t>As in the case of most audit and correspondence studies, we lack information on the identity of the employer so we are unable to test for exophobia and endopheilia (Feld et al., 2013).</w:t>
      </w:r>
    </w:p>
  </w:footnote>
  <w:footnote w:id="8">
    <w:p w:rsidR="0060289B" w:rsidRPr="00B661FA" w:rsidRDefault="0060289B" w:rsidP="009E3CDA">
      <w:pPr>
        <w:pStyle w:val="FootnoteText"/>
      </w:pPr>
      <w:r>
        <w:rPr>
          <w:rStyle w:val="FootnoteReference"/>
        </w:rPr>
        <w:footnoteRef/>
      </w:r>
      <w:r>
        <w:t xml:space="preserve"> Charness and Kuhn (2011) summarize the experimental literature on discrimination. In the laboratory, racial discrimination appears to stem mostly from stereotyping.</w:t>
      </w:r>
    </w:p>
  </w:footnote>
  <w:footnote w:id="9">
    <w:p w:rsidR="0060289B" w:rsidRPr="00037D6F" w:rsidRDefault="0060289B" w:rsidP="00037D6F">
      <w:pPr>
        <w:pStyle w:val="FootnoteText"/>
        <w:rPr>
          <w:lang w:val="en-GB"/>
        </w:rPr>
      </w:pPr>
      <w:r>
        <w:rPr>
          <w:rStyle w:val="FootnoteReference"/>
        </w:rPr>
        <w:footnoteRef/>
      </w:r>
      <w:r>
        <w:t xml:space="preserve"> </w:t>
      </w:r>
      <w:r>
        <w:rPr>
          <w:lang w:val="en-GB"/>
        </w:rPr>
        <w:t>Unlike</w:t>
      </w:r>
      <w:r w:rsidRPr="00037D6F">
        <w:rPr>
          <w:lang w:val="en-GB"/>
        </w:rPr>
        <w:t xml:space="preserve"> their study which captures customer discrimination, our private individuals are picking players in order to win and they are in competition with others.</w:t>
      </w:r>
    </w:p>
    <w:p w:rsidR="0060289B" w:rsidRPr="00037D6F" w:rsidRDefault="0060289B">
      <w:pPr>
        <w:pStyle w:val="FootnoteText"/>
        <w:rPr>
          <w:lang w:val="en-GB"/>
        </w:rPr>
      </w:pPr>
    </w:p>
  </w:footnote>
  <w:footnote w:id="10">
    <w:p w:rsidR="0060289B" w:rsidRPr="001C2101" w:rsidRDefault="0060289B">
      <w:pPr>
        <w:pStyle w:val="FootnoteText"/>
      </w:pPr>
      <w:r>
        <w:rPr>
          <w:rStyle w:val="FootnoteReference"/>
        </w:rPr>
        <w:footnoteRef/>
      </w:r>
      <w:r>
        <w:t xml:space="preserve"> There are roughly 600 players to choose from in a given season.  They cannot hire more than three footballers playing for the same club in the Premier league.</w:t>
      </w:r>
    </w:p>
  </w:footnote>
  <w:footnote w:id="11">
    <w:p w:rsidR="0060289B" w:rsidRPr="00903370" w:rsidRDefault="0060289B">
      <w:pPr>
        <w:pStyle w:val="FootnoteText"/>
      </w:pPr>
      <w:r>
        <w:rPr>
          <w:rStyle w:val="FootnoteReference"/>
        </w:rPr>
        <w:footnoteRef/>
      </w:r>
      <w:r>
        <w:t xml:space="preserve"> A 2008 survey of fantasy league participants in the US reveals that the three main reasons to participate are enjoyment, competition with others and pressure from peers. (Baerg, 2009).</w:t>
      </w:r>
    </w:p>
  </w:footnote>
  <w:footnote w:id="12">
    <w:p w:rsidR="0060289B" w:rsidRPr="00333A35" w:rsidRDefault="0060289B" w:rsidP="000E01A2">
      <w:pPr>
        <w:pStyle w:val="FootnoteText"/>
      </w:pPr>
      <w:r>
        <w:rPr>
          <w:rStyle w:val="FootnoteReference"/>
        </w:rPr>
        <w:footnoteRef/>
      </w:r>
      <w:r>
        <w:t xml:space="preserve"> There is a gap between the buying and selling prices of players. This margin is half of the difference between the current price and the price at which the player was bought; this can be thought as a tax on the value added. As such, transferring players has a financial cost and leads to a reduction in the firms’ budget. So firms may not always optimize their teams and may refrain from using their weekly transfer. </w:t>
      </w:r>
    </w:p>
  </w:footnote>
  <w:footnote w:id="13">
    <w:p w:rsidR="0060289B" w:rsidRPr="000E5241" w:rsidRDefault="0060289B" w:rsidP="00993EDD">
      <w:pPr>
        <w:pStyle w:val="FootnoteText"/>
      </w:pPr>
      <w:r>
        <w:rPr>
          <w:rStyle w:val="FootnoteReference"/>
        </w:rPr>
        <w:footnoteRef/>
      </w:r>
      <w:r>
        <w:t xml:space="preserve"> There are few players defined as other races – for the analysis they have been grouped with black players. When ambiguities arose the ethnicity variable was defined by three individuals and a simple majority rule.</w:t>
      </w:r>
    </w:p>
  </w:footnote>
  <w:footnote w:id="14">
    <w:p w:rsidR="0060289B" w:rsidRPr="00CD5ED3" w:rsidRDefault="0060289B" w:rsidP="009902E7">
      <w:pPr>
        <w:pStyle w:val="FootnoteText"/>
        <w:rPr>
          <w:lang w:val="en-GB"/>
        </w:rPr>
      </w:pPr>
      <w:r>
        <w:rPr>
          <w:rStyle w:val="FootnoteReference"/>
        </w:rPr>
        <w:footnoteRef/>
      </w:r>
      <w:r>
        <w:t xml:space="preserve"> In a real world setting </w:t>
      </w:r>
      <w:r>
        <w:rPr>
          <w:lang w:val="en-GB"/>
        </w:rPr>
        <w:t>customer discrimination can affect team selection via crowd attendance at games (Bryson et al., 2014).</w:t>
      </w:r>
    </w:p>
  </w:footnote>
  <w:footnote w:id="15">
    <w:p w:rsidR="0060289B" w:rsidRPr="00226FEB" w:rsidRDefault="0060289B" w:rsidP="009902E7">
      <w:pPr>
        <w:pStyle w:val="FootnoteText"/>
        <w:rPr>
          <w:lang w:val="en-GB"/>
        </w:rPr>
      </w:pPr>
      <w:r>
        <w:rPr>
          <w:rStyle w:val="FootnoteReference"/>
        </w:rPr>
        <w:footnoteRef/>
      </w:r>
      <w:r>
        <w:t xml:space="preserve"> Worker selection based on perceptions of discriminatory tendencies in particular occupations or among certain employers may contribute to wage discrimination.  For example, </w:t>
      </w:r>
      <w:r>
        <w:rPr>
          <w:lang w:val="en-GB"/>
        </w:rPr>
        <w:t>Plug et al. (2014) find gays and lesbians in Australia shy away from more prejudiced occupations.</w:t>
      </w:r>
    </w:p>
  </w:footnote>
  <w:footnote w:id="16">
    <w:p w:rsidR="0060289B" w:rsidRPr="00AB3094" w:rsidRDefault="0060289B">
      <w:pPr>
        <w:pStyle w:val="FootnoteText"/>
        <w:rPr>
          <w:lang w:val="en-GB"/>
        </w:rPr>
      </w:pPr>
      <w:r>
        <w:rPr>
          <w:rStyle w:val="FootnoteReference"/>
        </w:rPr>
        <w:footnoteRef/>
      </w:r>
      <w:r>
        <w:t xml:space="preserve"> </w:t>
      </w:r>
      <w:r>
        <w:rPr>
          <w:lang w:val="en-GB"/>
        </w:rPr>
        <w:t>Dasgupta and Greenwald (2001) point to a short-term attenuation in individuals' propensity to discriminate in favour of disliked "in-group" individuals compared to admired "out-of-group" individuals. It is conceivable that FPL participants' hiring decisions are influenced by how much they admire or dislike players, eg. on the basis of their club allegiances.  These preferences, which are not observable to us, are likely to cross racial lines so it is unclear what effect they may have on the results presented in this paper.</w:t>
      </w:r>
    </w:p>
  </w:footnote>
  <w:footnote w:id="17">
    <w:p w:rsidR="0060289B" w:rsidRPr="00681819" w:rsidRDefault="0060289B" w:rsidP="00F57728">
      <w:pPr>
        <w:pStyle w:val="FootnoteText"/>
      </w:pPr>
      <w:r>
        <w:rPr>
          <w:rStyle w:val="FootnoteReference"/>
        </w:rPr>
        <w:footnoteRef/>
      </w:r>
      <w:r>
        <w:t xml:space="preserve"> </w:t>
      </w:r>
      <w:hyperlink r:id="rId1" w:history="1">
        <w:r w:rsidRPr="00F50B34">
          <w:rPr>
            <w:rStyle w:val="Hyperlink"/>
          </w:rPr>
          <w:t>http://www.epfl-europeanleagues.com/changing_face.htm</w:t>
        </w:r>
      </w:hyperlink>
      <w:r>
        <w:t xml:space="preserve"> and </w:t>
      </w:r>
      <w:hyperlink r:id="rId2" w:history="1">
        <w:r w:rsidRPr="00F50B34">
          <w:rPr>
            <w:rStyle w:val="Hyperlink"/>
          </w:rPr>
          <w:t>http://www.ons.gov.uk/ons/rel/census/2011-census/key-statistics-for-local-authorities-in-england-and-wales/rpt-ethnicity.html</w:t>
        </w:r>
      </w:hyperlink>
      <w:r>
        <w:t>.</w:t>
      </w:r>
    </w:p>
  </w:footnote>
  <w:footnote w:id="18">
    <w:p w:rsidR="0060289B" w:rsidRPr="00903370" w:rsidRDefault="0060289B">
      <w:pPr>
        <w:pStyle w:val="FootnoteText"/>
      </w:pPr>
      <w:r>
        <w:rPr>
          <w:rStyle w:val="FootnoteReference"/>
        </w:rPr>
        <w:footnoteRef/>
      </w:r>
      <w:r>
        <w:t xml:space="preserve"> Participants in fantasy sports leagues in the United States in 2008 were 80% male, 90% Caucasian, 78% with a college degree. (Baerg, 2009)</w:t>
      </w:r>
    </w:p>
  </w:footnote>
  <w:footnote w:id="19">
    <w:p w:rsidR="0060289B" w:rsidRPr="00406EC0" w:rsidRDefault="0060289B" w:rsidP="000E01A2">
      <w:pPr>
        <w:pStyle w:val="FootnoteText"/>
      </w:pPr>
      <w:r>
        <w:rPr>
          <w:rStyle w:val="FootnoteReference"/>
        </w:rPr>
        <w:footnoteRef/>
      </w:r>
      <w:r>
        <w:t xml:space="preserve"> The English Premier League is composed of 20 clubs each season.  At the end of the season, the bottom three are dropped (relegated) and replaced by the best performing teams from the Championship league.  We only observe 24 teams since Newcastle United and West Bromwich Albion were relegated at the end of the 2008/09 season but gained promotion to play in the 2010/11 season.</w:t>
      </w:r>
    </w:p>
  </w:footnote>
  <w:footnote w:id="20">
    <w:p w:rsidR="0060289B" w:rsidRPr="00476418" w:rsidRDefault="0060289B" w:rsidP="000E01A2">
      <w:pPr>
        <w:pStyle w:val="FootnoteText"/>
      </w:pPr>
      <w:r>
        <w:rPr>
          <w:rStyle w:val="FootnoteReference"/>
        </w:rPr>
        <w:footnoteRef/>
      </w:r>
      <w:r>
        <w:t xml:space="preserve"> That is 444 players in season 2008/09 and 2009/10 and 239 in season 2010/11.</w:t>
      </w:r>
    </w:p>
  </w:footnote>
  <w:footnote w:id="21">
    <w:p w:rsidR="0060289B" w:rsidRPr="00FD3ED3" w:rsidRDefault="0060289B">
      <w:pPr>
        <w:pStyle w:val="FootnoteText"/>
      </w:pPr>
      <w:r>
        <w:rPr>
          <w:rStyle w:val="FootnoteReference"/>
        </w:rPr>
        <w:footnoteRef/>
      </w:r>
      <w:r>
        <w:t xml:space="preserve"> </w:t>
      </w:r>
      <w:r>
        <w:rPr>
          <w:lang w:val="en-GB"/>
        </w:rPr>
        <w:t>Szymanski (2000: 597) notes that there were only 4 black players playing in the 38 English professional football clubs in his data in 1974.  By 1993 black players were much more common, accounting for around 8 per cent of his sample.</w:t>
      </w:r>
    </w:p>
  </w:footnote>
  <w:footnote w:id="22">
    <w:p w:rsidR="0060289B" w:rsidRPr="00843C91" w:rsidRDefault="0060289B" w:rsidP="009902E7">
      <w:pPr>
        <w:pStyle w:val="FootnoteText"/>
      </w:pPr>
      <w:r>
        <w:rPr>
          <w:rStyle w:val="FootnoteReference"/>
        </w:rPr>
        <w:footnoteRef/>
      </w:r>
      <w:r>
        <w:t xml:space="preserve"> </w:t>
      </w:r>
      <w:r>
        <w:rPr>
          <w:lang w:val="en-GB"/>
        </w:rPr>
        <w:t>Not all footballers play in a given week, so the mode score is actually zero.</w:t>
      </w:r>
    </w:p>
  </w:footnote>
  <w:footnote w:id="23">
    <w:p w:rsidR="0060289B" w:rsidRPr="003E7645" w:rsidRDefault="0060289B">
      <w:pPr>
        <w:pStyle w:val="FootnoteText"/>
      </w:pPr>
      <w:r>
        <w:rPr>
          <w:rStyle w:val="FootnoteReference"/>
        </w:rPr>
        <w:footnoteRef/>
      </w:r>
      <w:r>
        <w:t xml:space="preserve"> Lang and Lehmann (2011) discuss constraints on employer ability to discriminate when potential working populations are heavily skewed racially. Even for the most racially biased position, goalkeeper, non-whites represent 10% of the potential employees.</w:t>
      </w:r>
    </w:p>
  </w:footnote>
  <w:footnote w:id="24">
    <w:p w:rsidR="0060289B" w:rsidRPr="001D5629" w:rsidRDefault="0060289B">
      <w:pPr>
        <w:pStyle w:val="FootnoteText"/>
      </w:pPr>
      <w:r>
        <w:rPr>
          <w:rStyle w:val="FootnoteReference"/>
        </w:rPr>
        <w:footnoteRef/>
      </w:r>
      <w:r>
        <w:t xml:space="preserve"> The mean net transfer is positive as some participants join the FPL during the season. Those late participants buy 15 players and do not sell any, leading to a small positive net demand overall.</w:t>
      </w:r>
    </w:p>
  </w:footnote>
  <w:footnote w:id="25">
    <w:p w:rsidR="0060289B" w:rsidRPr="003A16F3" w:rsidRDefault="0060289B">
      <w:pPr>
        <w:pStyle w:val="FootnoteText"/>
      </w:pPr>
      <w:r>
        <w:rPr>
          <w:rStyle w:val="FootnoteReference"/>
        </w:rPr>
        <w:footnoteRef/>
      </w:r>
      <w:r>
        <w:t xml:space="preserve"> Only the stock of picks is available in the data at hand, and we cannot distinguish between the inflow (hire) and outflow (fire).</w:t>
      </w:r>
    </w:p>
  </w:footnote>
  <w:footnote w:id="26">
    <w:p w:rsidR="0060289B" w:rsidRPr="00C36EFF" w:rsidRDefault="0060289B" w:rsidP="009F707E">
      <w:pPr>
        <w:pStyle w:val="FootnoteText"/>
        <w:rPr>
          <w:lang w:val="en-GB"/>
        </w:rPr>
      </w:pPr>
      <w:r>
        <w:rPr>
          <w:rStyle w:val="FootnoteReference"/>
        </w:rPr>
        <w:footnoteRef/>
      </w:r>
      <w:r>
        <w:t xml:space="preserve"> </w:t>
      </w:r>
      <w:r>
        <w:rPr>
          <w:lang w:val="en-GB"/>
        </w:rPr>
        <w:t>We are unable to identify individual employers in our data so we are unable to assess the direct effects of employer attrition.</w:t>
      </w:r>
    </w:p>
  </w:footnote>
  <w:footnote w:id="27">
    <w:p w:rsidR="0060289B" w:rsidRPr="0083742B" w:rsidRDefault="0060289B">
      <w:pPr>
        <w:pStyle w:val="FootnoteText"/>
      </w:pPr>
      <w:r>
        <w:rPr>
          <w:rStyle w:val="FootnoteReference"/>
        </w:rPr>
        <w:footnoteRef/>
      </w:r>
      <w:r>
        <w:t xml:space="preserve"> Players from teams eliminated after the first round would be back at their British clubs by the 21</w:t>
      </w:r>
      <w:r w:rsidRPr="00844000">
        <w:rPr>
          <w:vertAlign w:val="superscript"/>
        </w:rPr>
        <w:t>st</w:t>
      </w:r>
      <w:r>
        <w:t xml:space="preserve"> January, while those participating in the finals are only back on 3</w:t>
      </w:r>
      <w:r w:rsidRPr="00844000">
        <w:rPr>
          <w:vertAlign w:val="superscript"/>
        </w:rPr>
        <w:t>rd</w:t>
      </w:r>
      <w:r>
        <w:t xml:space="preserve"> February.</w:t>
      </w:r>
    </w:p>
  </w:footnote>
  <w:footnote w:id="28">
    <w:p w:rsidR="0060289B" w:rsidRPr="003F1631" w:rsidRDefault="0060289B">
      <w:pPr>
        <w:pStyle w:val="FootnoteText"/>
      </w:pPr>
      <w:r>
        <w:rPr>
          <w:rStyle w:val="FootnoteReference"/>
        </w:rPr>
        <w:footnoteRef/>
      </w:r>
      <w:r>
        <w:t xml:space="preserve"> We also estimated models with standard errors clustered at the player/season level, but results were very similar and are not reported here.</w:t>
      </w:r>
    </w:p>
  </w:footnote>
  <w:footnote w:id="29">
    <w:p w:rsidR="0060289B" w:rsidRPr="003F1631" w:rsidRDefault="0060289B">
      <w:pPr>
        <w:pStyle w:val="FootnoteText"/>
      </w:pPr>
      <w:r>
        <w:rPr>
          <w:rStyle w:val="FootnoteReference"/>
        </w:rPr>
        <w:footnoteRef/>
      </w:r>
      <w:r>
        <w:t xml:space="preserve"> For points accrued this week and minutes played conditioning on having played does not alter these conclusions.</w:t>
      </w:r>
    </w:p>
  </w:footnote>
  <w:footnote w:id="30">
    <w:p w:rsidR="0060289B" w:rsidRDefault="0060289B">
      <w:pPr>
        <w:pStyle w:val="FootnoteText"/>
      </w:pPr>
      <w:r>
        <w:rPr>
          <w:rStyle w:val="FootnoteReference"/>
        </w:rPr>
        <w:footnoteRef/>
      </w:r>
      <w:r>
        <w:t xml:space="preserve"> We are not privy to the algorithm used by FPL to determine prices.</w:t>
      </w:r>
    </w:p>
  </w:footnote>
  <w:footnote w:id="31">
    <w:p w:rsidR="0060289B" w:rsidRPr="002604EF" w:rsidRDefault="0060289B" w:rsidP="00280DDF">
      <w:pPr>
        <w:pStyle w:val="FootnoteText"/>
        <w:rPr>
          <w:lang w:val="en-GB"/>
        </w:rPr>
      </w:pPr>
      <w:r>
        <w:rPr>
          <w:rStyle w:val="FootnoteReference"/>
        </w:rPr>
        <w:footnoteRef/>
      </w:r>
      <w:r>
        <w:t xml:space="preserve"> </w:t>
      </w:r>
      <w:r>
        <w:rPr>
          <w:lang w:val="en-GB"/>
        </w:rPr>
        <w:t>Based on this result a price difference of 0.16 would make participants indifferent between a white and a non-white player, this is remarkably similar to the observed price differential.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82"/>
    <w:multiLevelType w:val="hybridMultilevel"/>
    <w:tmpl w:val="36941450"/>
    <w:lvl w:ilvl="0" w:tplc="C8064824">
      <w:start w:val="1"/>
      <w:numFmt w:val="bullet"/>
      <w:lvlText w:val="•"/>
      <w:lvlJc w:val="left"/>
      <w:pPr>
        <w:tabs>
          <w:tab w:val="num" w:pos="720"/>
        </w:tabs>
        <w:ind w:left="720" w:hanging="360"/>
      </w:pPr>
      <w:rPr>
        <w:rFonts w:ascii="Arial" w:hAnsi="Arial" w:hint="default"/>
      </w:rPr>
    </w:lvl>
    <w:lvl w:ilvl="1" w:tplc="20C6C7B8" w:tentative="1">
      <w:start w:val="1"/>
      <w:numFmt w:val="bullet"/>
      <w:lvlText w:val="•"/>
      <w:lvlJc w:val="left"/>
      <w:pPr>
        <w:tabs>
          <w:tab w:val="num" w:pos="1440"/>
        </w:tabs>
        <w:ind w:left="1440" w:hanging="360"/>
      </w:pPr>
      <w:rPr>
        <w:rFonts w:ascii="Arial" w:hAnsi="Arial" w:hint="default"/>
      </w:rPr>
    </w:lvl>
    <w:lvl w:ilvl="2" w:tplc="6060A080" w:tentative="1">
      <w:start w:val="1"/>
      <w:numFmt w:val="bullet"/>
      <w:lvlText w:val="•"/>
      <w:lvlJc w:val="left"/>
      <w:pPr>
        <w:tabs>
          <w:tab w:val="num" w:pos="2160"/>
        </w:tabs>
        <w:ind w:left="2160" w:hanging="360"/>
      </w:pPr>
      <w:rPr>
        <w:rFonts w:ascii="Arial" w:hAnsi="Arial" w:hint="default"/>
      </w:rPr>
    </w:lvl>
    <w:lvl w:ilvl="3" w:tplc="F2CC2AEE" w:tentative="1">
      <w:start w:val="1"/>
      <w:numFmt w:val="bullet"/>
      <w:lvlText w:val="•"/>
      <w:lvlJc w:val="left"/>
      <w:pPr>
        <w:tabs>
          <w:tab w:val="num" w:pos="2880"/>
        </w:tabs>
        <w:ind w:left="2880" w:hanging="360"/>
      </w:pPr>
      <w:rPr>
        <w:rFonts w:ascii="Arial" w:hAnsi="Arial" w:hint="default"/>
      </w:rPr>
    </w:lvl>
    <w:lvl w:ilvl="4" w:tplc="513A7948" w:tentative="1">
      <w:start w:val="1"/>
      <w:numFmt w:val="bullet"/>
      <w:lvlText w:val="•"/>
      <w:lvlJc w:val="left"/>
      <w:pPr>
        <w:tabs>
          <w:tab w:val="num" w:pos="3600"/>
        </w:tabs>
        <w:ind w:left="3600" w:hanging="360"/>
      </w:pPr>
      <w:rPr>
        <w:rFonts w:ascii="Arial" w:hAnsi="Arial" w:hint="default"/>
      </w:rPr>
    </w:lvl>
    <w:lvl w:ilvl="5" w:tplc="3AEA8E48" w:tentative="1">
      <w:start w:val="1"/>
      <w:numFmt w:val="bullet"/>
      <w:lvlText w:val="•"/>
      <w:lvlJc w:val="left"/>
      <w:pPr>
        <w:tabs>
          <w:tab w:val="num" w:pos="4320"/>
        </w:tabs>
        <w:ind w:left="4320" w:hanging="360"/>
      </w:pPr>
      <w:rPr>
        <w:rFonts w:ascii="Arial" w:hAnsi="Arial" w:hint="default"/>
      </w:rPr>
    </w:lvl>
    <w:lvl w:ilvl="6" w:tplc="CB60B1A2" w:tentative="1">
      <w:start w:val="1"/>
      <w:numFmt w:val="bullet"/>
      <w:lvlText w:val="•"/>
      <w:lvlJc w:val="left"/>
      <w:pPr>
        <w:tabs>
          <w:tab w:val="num" w:pos="5040"/>
        </w:tabs>
        <w:ind w:left="5040" w:hanging="360"/>
      </w:pPr>
      <w:rPr>
        <w:rFonts w:ascii="Arial" w:hAnsi="Arial" w:hint="default"/>
      </w:rPr>
    </w:lvl>
    <w:lvl w:ilvl="7" w:tplc="4126D43E" w:tentative="1">
      <w:start w:val="1"/>
      <w:numFmt w:val="bullet"/>
      <w:lvlText w:val="•"/>
      <w:lvlJc w:val="left"/>
      <w:pPr>
        <w:tabs>
          <w:tab w:val="num" w:pos="5760"/>
        </w:tabs>
        <w:ind w:left="5760" w:hanging="360"/>
      </w:pPr>
      <w:rPr>
        <w:rFonts w:ascii="Arial" w:hAnsi="Arial" w:hint="default"/>
      </w:rPr>
    </w:lvl>
    <w:lvl w:ilvl="8" w:tplc="D6843BA6" w:tentative="1">
      <w:start w:val="1"/>
      <w:numFmt w:val="bullet"/>
      <w:lvlText w:val="•"/>
      <w:lvlJc w:val="left"/>
      <w:pPr>
        <w:tabs>
          <w:tab w:val="num" w:pos="6480"/>
        </w:tabs>
        <w:ind w:left="6480" w:hanging="360"/>
      </w:pPr>
      <w:rPr>
        <w:rFonts w:ascii="Arial" w:hAnsi="Arial" w:hint="default"/>
      </w:rPr>
    </w:lvl>
  </w:abstractNum>
  <w:abstractNum w:abstractNumId="1">
    <w:nsid w:val="0B335F62"/>
    <w:multiLevelType w:val="hybridMultilevel"/>
    <w:tmpl w:val="F5BA839C"/>
    <w:lvl w:ilvl="0" w:tplc="705049C6">
      <w:start w:val="1"/>
      <w:numFmt w:val="bullet"/>
      <w:lvlText w:val="•"/>
      <w:lvlJc w:val="left"/>
      <w:pPr>
        <w:tabs>
          <w:tab w:val="num" w:pos="720"/>
        </w:tabs>
        <w:ind w:left="720" w:hanging="360"/>
      </w:pPr>
      <w:rPr>
        <w:rFonts w:ascii="Arial" w:hAnsi="Arial" w:hint="default"/>
      </w:rPr>
    </w:lvl>
    <w:lvl w:ilvl="1" w:tplc="B3EE4A2C" w:tentative="1">
      <w:start w:val="1"/>
      <w:numFmt w:val="bullet"/>
      <w:lvlText w:val="•"/>
      <w:lvlJc w:val="left"/>
      <w:pPr>
        <w:tabs>
          <w:tab w:val="num" w:pos="1440"/>
        </w:tabs>
        <w:ind w:left="1440" w:hanging="360"/>
      </w:pPr>
      <w:rPr>
        <w:rFonts w:ascii="Arial" w:hAnsi="Arial" w:hint="default"/>
      </w:rPr>
    </w:lvl>
    <w:lvl w:ilvl="2" w:tplc="0A0CC712" w:tentative="1">
      <w:start w:val="1"/>
      <w:numFmt w:val="bullet"/>
      <w:lvlText w:val="•"/>
      <w:lvlJc w:val="left"/>
      <w:pPr>
        <w:tabs>
          <w:tab w:val="num" w:pos="2160"/>
        </w:tabs>
        <w:ind w:left="2160" w:hanging="360"/>
      </w:pPr>
      <w:rPr>
        <w:rFonts w:ascii="Arial" w:hAnsi="Arial" w:hint="default"/>
      </w:rPr>
    </w:lvl>
    <w:lvl w:ilvl="3" w:tplc="A692B154" w:tentative="1">
      <w:start w:val="1"/>
      <w:numFmt w:val="bullet"/>
      <w:lvlText w:val="•"/>
      <w:lvlJc w:val="left"/>
      <w:pPr>
        <w:tabs>
          <w:tab w:val="num" w:pos="2880"/>
        </w:tabs>
        <w:ind w:left="2880" w:hanging="360"/>
      </w:pPr>
      <w:rPr>
        <w:rFonts w:ascii="Arial" w:hAnsi="Arial" w:hint="default"/>
      </w:rPr>
    </w:lvl>
    <w:lvl w:ilvl="4" w:tplc="68C6E776" w:tentative="1">
      <w:start w:val="1"/>
      <w:numFmt w:val="bullet"/>
      <w:lvlText w:val="•"/>
      <w:lvlJc w:val="left"/>
      <w:pPr>
        <w:tabs>
          <w:tab w:val="num" w:pos="3600"/>
        </w:tabs>
        <w:ind w:left="3600" w:hanging="360"/>
      </w:pPr>
      <w:rPr>
        <w:rFonts w:ascii="Arial" w:hAnsi="Arial" w:hint="default"/>
      </w:rPr>
    </w:lvl>
    <w:lvl w:ilvl="5" w:tplc="3EEC7904" w:tentative="1">
      <w:start w:val="1"/>
      <w:numFmt w:val="bullet"/>
      <w:lvlText w:val="•"/>
      <w:lvlJc w:val="left"/>
      <w:pPr>
        <w:tabs>
          <w:tab w:val="num" w:pos="4320"/>
        </w:tabs>
        <w:ind w:left="4320" w:hanging="360"/>
      </w:pPr>
      <w:rPr>
        <w:rFonts w:ascii="Arial" w:hAnsi="Arial" w:hint="default"/>
      </w:rPr>
    </w:lvl>
    <w:lvl w:ilvl="6" w:tplc="F562309E" w:tentative="1">
      <w:start w:val="1"/>
      <w:numFmt w:val="bullet"/>
      <w:lvlText w:val="•"/>
      <w:lvlJc w:val="left"/>
      <w:pPr>
        <w:tabs>
          <w:tab w:val="num" w:pos="5040"/>
        </w:tabs>
        <w:ind w:left="5040" w:hanging="360"/>
      </w:pPr>
      <w:rPr>
        <w:rFonts w:ascii="Arial" w:hAnsi="Arial" w:hint="default"/>
      </w:rPr>
    </w:lvl>
    <w:lvl w:ilvl="7" w:tplc="6EAEA7A4" w:tentative="1">
      <w:start w:val="1"/>
      <w:numFmt w:val="bullet"/>
      <w:lvlText w:val="•"/>
      <w:lvlJc w:val="left"/>
      <w:pPr>
        <w:tabs>
          <w:tab w:val="num" w:pos="5760"/>
        </w:tabs>
        <w:ind w:left="5760" w:hanging="360"/>
      </w:pPr>
      <w:rPr>
        <w:rFonts w:ascii="Arial" w:hAnsi="Arial" w:hint="default"/>
      </w:rPr>
    </w:lvl>
    <w:lvl w:ilvl="8" w:tplc="C38EA316" w:tentative="1">
      <w:start w:val="1"/>
      <w:numFmt w:val="bullet"/>
      <w:lvlText w:val="•"/>
      <w:lvlJc w:val="left"/>
      <w:pPr>
        <w:tabs>
          <w:tab w:val="num" w:pos="6480"/>
        </w:tabs>
        <w:ind w:left="6480" w:hanging="360"/>
      </w:pPr>
      <w:rPr>
        <w:rFonts w:ascii="Arial" w:hAnsi="Arial" w:hint="default"/>
      </w:rPr>
    </w:lvl>
  </w:abstractNum>
  <w:abstractNum w:abstractNumId="2">
    <w:nsid w:val="12B96EEE"/>
    <w:multiLevelType w:val="hybridMultilevel"/>
    <w:tmpl w:val="C046F368"/>
    <w:lvl w:ilvl="0" w:tplc="93B2799E">
      <w:start w:val="1"/>
      <w:numFmt w:val="bullet"/>
      <w:lvlText w:val="•"/>
      <w:lvlJc w:val="left"/>
      <w:pPr>
        <w:tabs>
          <w:tab w:val="num" w:pos="720"/>
        </w:tabs>
        <w:ind w:left="720" w:hanging="360"/>
      </w:pPr>
      <w:rPr>
        <w:rFonts w:ascii="Times New Roman" w:hAnsi="Times New Roman" w:hint="default"/>
      </w:rPr>
    </w:lvl>
    <w:lvl w:ilvl="1" w:tplc="2178683C">
      <w:start w:val="1"/>
      <w:numFmt w:val="bullet"/>
      <w:lvlText w:val="•"/>
      <w:lvlJc w:val="left"/>
      <w:pPr>
        <w:tabs>
          <w:tab w:val="num" w:pos="1440"/>
        </w:tabs>
        <w:ind w:left="1440" w:hanging="360"/>
      </w:pPr>
      <w:rPr>
        <w:rFonts w:ascii="Times New Roman" w:hAnsi="Times New Roman" w:hint="default"/>
      </w:rPr>
    </w:lvl>
    <w:lvl w:ilvl="2" w:tplc="2D8CC698" w:tentative="1">
      <w:start w:val="1"/>
      <w:numFmt w:val="bullet"/>
      <w:lvlText w:val="•"/>
      <w:lvlJc w:val="left"/>
      <w:pPr>
        <w:tabs>
          <w:tab w:val="num" w:pos="2160"/>
        </w:tabs>
        <w:ind w:left="2160" w:hanging="360"/>
      </w:pPr>
      <w:rPr>
        <w:rFonts w:ascii="Times New Roman" w:hAnsi="Times New Roman" w:hint="default"/>
      </w:rPr>
    </w:lvl>
    <w:lvl w:ilvl="3" w:tplc="5888C5B2" w:tentative="1">
      <w:start w:val="1"/>
      <w:numFmt w:val="bullet"/>
      <w:lvlText w:val="•"/>
      <w:lvlJc w:val="left"/>
      <w:pPr>
        <w:tabs>
          <w:tab w:val="num" w:pos="2880"/>
        </w:tabs>
        <w:ind w:left="2880" w:hanging="360"/>
      </w:pPr>
      <w:rPr>
        <w:rFonts w:ascii="Times New Roman" w:hAnsi="Times New Roman" w:hint="default"/>
      </w:rPr>
    </w:lvl>
    <w:lvl w:ilvl="4" w:tplc="D9D0AE9E" w:tentative="1">
      <w:start w:val="1"/>
      <w:numFmt w:val="bullet"/>
      <w:lvlText w:val="•"/>
      <w:lvlJc w:val="left"/>
      <w:pPr>
        <w:tabs>
          <w:tab w:val="num" w:pos="3600"/>
        </w:tabs>
        <w:ind w:left="3600" w:hanging="360"/>
      </w:pPr>
      <w:rPr>
        <w:rFonts w:ascii="Times New Roman" w:hAnsi="Times New Roman" w:hint="default"/>
      </w:rPr>
    </w:lvl>
    <w:lvl w:ilvl="5" w:tplc="80302A5C" w:tentative="1">
      <w:start w:val="1"/>
      <w:numFmt w:val="bullet"/>
      <w:lvlText w:val="•"/>
      <w:lvlJc w:val="left"/>
      <w:pPr>
        <w:tabs>
          <w:tab w:val="num" w:pos="4320"/>
        </w:tabs>
        <w:ind w:left="4320" w:hanging="360"/>
      </w:pPr>
      <w:rPr>
        <w:rFonts w:ascii="Times New Roman" w:hAnsi="Times New Roman" w:hint="default"/>
      </w:rPr>
    </w:lvl>
    <w:lvl w:ilvl="6" w:tplc="71A40DB8" w:tentative="1">
      <w:start w:val="1"/>
      <w:numFmt w:val="bullet"/>
      <w:lvlText w:val="•"/>
      <w:lvlJc w:val="left"/>
      <w:pPr>
        <w:tabs>
          <w:tab w:val="num" w:pos="5040"/>
        </w:tabs>
        <w:ind w:left="5040" w:hanging="360"/>
      </w:pPr>
      <w:rPr>
        <w:rFonts w:ascii="Times New Roman" w:hAnsi="Times New Roman" w:hint="default"/>
      </w:rPr>
    </w:lvl>
    <w:lvl w:ilvl="7" w:tplc="B9242544" w:tentative="1">
      <w:start w:val="1"/>
      <w:numFmt w:val="bullet"/>
      <w:lvlText w:val="•"/>
      <w:lvlJc w:val="left"/>
      <w:pPr>
        <w:tabs>
          <w:tab w:val="num" w:pos="5760"/>
        </w:tabs>
        <w:ind w:left="5760" w:hanging="360"/>
      </w:pPr>
      <w:rPr>
        <w:rFonts w:ascii="Times New Roman" w:hAnsi="Times New Roman" w:hint="default"/>
      </w:rPr>
    </w:lvl>
    <w:lvl w:ilvl="8" w:tplc="27BA96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8B2F90"/>
    <w:multiLevelType w:val="hybridMultilevel"/>
    <w:tmpl w:val="B9EAE6A0"/>
    <w:lvl w:ilvl="0" w:tplc="15BAE0CE">
      <w:start w:val="1"/>
      <w:numFmt w:val="bullet"/>
      <w:lvlText w:val="•"/>
      <w:lvlJc w:val="left"/>
      <w:pPr>
        <w:tabs>
          <w:tab w:val="num" w:pos="720"/>
        </w:tabs>
        <w:ind w:left="720" w:hanging="360"/>
      </w:pPr>
      <w:rPr>
        <w:rFonts w:ascii="Arial" w:hAnsi="Arial" w:hint="default"/>
      </w:rPr>
    </w:lvl>
    <w:lvl w:ilvl="1" w:tplc="FC8C0B2C" w:tentative="1">
      <w:start w:val="1"/>
      <w:numFmt w:val="bullet"/>
      <w:lvlText w:val="•"/>
      <w:lvlJc w:val="left"/>
      <w:pPr>
        <w:tabs>
          <w:tab w:val="num" w:pos="1440"/>
        </w:tabs>
        <w:ind w:left="1440" w:hanging="360"/>
      </w:pPr>
      <w:rPr>
        <w:rFonts w:ascii="Arial" w:hAnsi="Arial" w:hint="default"/>
      </w:rPr>
    </w:lvl>
    <w:lvl w:ilvl="2" w:tplc="EBE67E42" w:tentative="1">
      <w:start w:val="1"/>
      <w:numFmt w:val="bullet"/>
      <w:lvlText w:val="•"/>
      <w:lvlJc w:val="left"/>
      <w:pPr>
        <w:tabs>
          <w:tab w:val="num" w:pos="2160"/>
        </w:tabs>
        <w:ind w:left="2160" w:hanging="360"/>
      </w:pPr>
      <w:rPr>
        <w:rFonts w:ascii="Arial" w:hAnsi="Arial" w:hint="default"/>
      </w:rPr>
    </w:lvl>
    <w:lvl w:ilvl="3" w:tplc="183867BE" w:tentative="1">
      <w:start w:val="1"/>
      <w:numFmt w:val="bullet"/>
      <w:lvlText w:val="•"/>
      <w:lvlJc w:val="left"/>
      <w:pPr>
        <w:tabs>
          <w:tab w:val="num" w:pos="2880"/>
        </w:tabs>
        <w:ind w:left="2880" w:hanging="360"/>
      </w:pPr>
      <w:rPr>
        <w:rFonts w:ascii="Arial" w:hAnsi="Arial" w:hint="default"/>
      </w:rPr>
    </w:lvl>
    <w:lvl w:ilvl="4" w:tplc="4A90D948" w:tentative="1">
      <w:start w:val="1"/>
      <w:numFmt w:val="bullet"/>
      <w:lvlText w:val="•"/>
      <w:lvlJc w:val="left"/>
      <w:pPr>
        <w:tabs>
          <w:tab w:val="num" w:pos="3600"/>
        </w:tabs>
        <w:ind w:left="3600" w:hanging="360"/>
      </w:pPr>
      <w:rPr>
        <w:rFonts w:ascii="Arial" w:hAnsi="Arial" w:hint="default"/>
      </w:rPr>
    </w:lvl>
    <w:lvl w:ilvl="5" w:tplc="56546626" w:tentative="1">
      <w:start w:val="1"/>
      <w:numFmt w:val="bullet"/>
      <w:lvlText w:val="•"/>
      <w:lvlJc w:val="left"/>
      <w:pPr>
        <w:tabs>
          <w:tab w:val="num" w:pos="4320"/>
        </w:tabs>
        <w:ind w:left="4320" w:hanging="360"/>
      </w:pPr>
      <w:rPr>
        <w:rFonts w:ascii="Arial" w:hAnsi="Arial" w:hint="default"/>
      </w:rPr>
    </w:lvl>
    <w:lvl w:ilvl="6" w:tplc="60309140" w:tentative="1">
      <w:start w:val="1"/>
      <w:numFmt w:val="bullet"/>
      <w:lvlText w:val="•"/>
      <w:lvlJc w:val="left"/>
      <w:pPr>
        <w:tabs>
          <w:tab w:val="num" w:pos="5040"/>
        </w:tabs>
        <w:ind w:left="5040" w:hanging="360"/>
      </w:pPr>
      <w:rPr>
        <w:rFonts w:ascii="Arial" w:hAnsi="Arial" w:hint="default"/>
      </w:rPr>
    </w:lvl>
    <w:lvl w:ilvl="7" w:tplc="AB66EA62" w:tentative="1">
      <w:start w:val="1"/>
      <w:numFmt w:val="bullet"/>
      <w:lvlText w:val="•"/>
      <w:lvlJc w:val="left"/>
      <w:pPr>
        <w:tabs>
          <w:tab w:val="num" w:pos="5760"/>
        </w:tabs>
        <w:ind w:left="5760" w:hanging="360"/>
      </w:pPr>
      <w:rPr>
        <w:rFonts w:ascii="Arial" w:hAnsi="Arial" w:hint="default"/>
      </w:rPr>
    </w:lvl>
    <w:lvl w:ilvl="8" w:tplc="32762D42" w:tentative="1">
      <w:start w:val="1"/>
      <w:numFmt w:val="bullet"/>
      <w:lvlText w:val="•"/>
      <w:lvlJc w:val="left"/>
      <w:pPr>
        <w:tabs>
          <w:tab w:val="num" w:pos="6480"/>
        </w:tabs>
        <w:ind w:left="6480" w:hanging="360"/>
      </w:pPr>
      <w:rPr>
        <w:rFonts w:ascii="Arial" w:hAnsi="Arial" w:hint="default"/>
      </w:rPr>
    </w:lvl>
  </w:abstractNum>
  <w:abstractNum w:abstractNumId="4">
    <w:nsid w:val="1D7F361F"/>
    <w:multiLevelType w:val="hybridMultilevel"/>
    <w:tmpl w:val="F5B27370"/>
    <w:lvl w:ilvl="0" w:tplc="2E20EE5A">
      <w:start w:val="1"/>
      <w:numFmt w:val="bullet"/>
      <w:lvlText w:val="•"/>
      <w:lvlJc w:val="left"/>
      <w:pPr>
        <w:tabs>
          <w:tab w:val="num" w:pos="720"/>
        </w:tabs>
        <w:ind w:left="720" w:hanging="360"/>
      </w:pPr>
      <w:rPr>
        <w:rFonts w:ascii="Arial" w:hAnsi="Arial" w:hint="default"/>
      </w:rPr>
    </w:lvl>
    <w:lvl w:ilvl="1" w:tplc="AC7A5010" w:tentative="1">
      <w:start w:val="1"/>
      <w:numFmt w:val="bullet"/>
      <w:lvlText w:val="•"/>
      <w:lvlJc w:val="left"/>
      <w:pPr>
        <w:tabs>
          <w:tab w:val="num" w:pos="1440"/>
        </w:tabs>
        <w:ind w:left="1440" w:hanging="360"/>
      </w:pPr>
      <w:rPr>
        <w:rFonts w:ascii="Arial" w:hAnsi="Arial" w:hint="default"/>
      </w:rPr>
    </w:lvl>
    <w:lvl w:ilvl="2" w:tplc="E82C6E0C" w:tentative="1">
      <w:start w:val="1"/>
      <w:numFmt w:val="bullet"/>
      <w:lvlText w:val="•"/>
      <w:lvlJc w:val="left"/>
      <w:pPr>
        <w:tabs>
          <w:tab w:val="num" w:pos="2160"/>
        </w:tabs>
        <w:ind w:left="2160" w:hanging="360"/>
      </w:pPr>
      <w:rPr>
        <w:rFonts w:ascii="Arial" w:hAnsi="Arial" w:hint="default"/>
      </w:rPr>
    </w:lvl>
    <w:lvl w:ilvl="3" w:tplc="3E0E26FC" w:tentative="1">
      <w:start w:val="1"/>
      <w:numFmt w:val="bullet"/>
      <w:lvlText w:val="•"/>
      <w:lvlJc w:val="left"/>
      <w:pPr>
        <w:tabs>
          <w:tab w:val="num" w:pos="2880"/>
        </w:tabs>
        <w:ind w:left="2880" w:hanging="360"/>
      </w:pPr>
      <w:rPr>
        <w:rFonts w:ascii="Arial" w:hAnsi="Arial" w:hint="default"/>
      </w:rPr>
    </w:lvl>
    <w:lvl w:ilvl="4" w:tplc="1C88F5EE" w:tentative="1">
      <w:start w:val="1"/>
      <w:numFmt w:val="bullet"/>
      <w:lvlText w:val="•"/>
      <w:lvlJc w:val="left"/>
      <w:pPr>
        <w:tabs>
          <w:tab w:val="num" w:pos="3600"/>
        </w:tabs>
        <w:ind w:left="3600" w:hanging="360"/>
      </w:pPr>
      <w:rPr>
        <w:rFonts w:ascii="Arial" w:hAnsi="Arial" w:hint="default"/>
      </w:rPr>
    </w:lvl>
    <w:lvl w:ilvl="5" w:tplc="6AD60936" w:tentative="1">
      <w:start w:val="1"/>
      <w:numFmt w:val="bullet"/>
      <w:lvlText w:val="•"/>
      <w:lvlJc w:val="left"/>
      <w:pPr>
        <w:tabs>
          <w:tab w:val="num" w:pos="4320"/>
        </w:tabs>
        <w:ind w:left="4320" w:hanging="360"/>
      </w:pPr>
      <w:rPr>
        <w:rFonts w:ascii="Arial" w:hAnsi="Arial" w:hint="default"/>
      </w:rPr>
    </w:lvl>
    <w:lvl w:ilvl="6" w:tplc="CA409446" w:tentative="1">
      <w:start w:val="1"/>
      <w:numFmt w:val="bullet"/>
      <w:lvlText w:val="•"/>
      <w:lvlJc w:val="left"/>
      <w:pPr>
        <w:tabs>
          <w:tab w:val="num" w:pos="5040"/>
        </w:tabs>
        <w:ind w:left="5040" w:hanging="360"/>
      </w:pPr>
      <w:rPr>
        <w:rFonts w:ascii="Arial" w:hAnsi="Arial" w:hint="default"/>
      </w:rPr>
    </w:lvl>
    <w:lvl w:ilvl="7" w:tplc="CB5C36EE" w:tentative="1">
      <w:start w:val="1"/>
      <w:numFmt w:val="bullet"/>
      <w:lvlText w:val="•"/>
      <w:lvlJc w:val="left"/>
      <w:pPr>
        <w:tabs>
          <w:tab w:val="num" w:pos="5760"/>
        </w:tabs>
        <w:ind w:left="5760" w:hanging="360"/>
      </w:pPr>
      <w:rPr>
        <w:rFonts w:ascii="Arial" w:hAnsi="Arial" w:hint="default"/>
      </w:rPr>
    </w:lvl>
    <w:lvl w:ilvl="8" w:tplc="BFBACD98" w:tentative="1">
      <w:start w:val="1"/>
      <w:numFmt w:val="bullet"/>
      <w:lvlText w:val="•"/>
      <w:lvlJc w:val="left"/>
      <w:pPr>
        <w:tabs>
          <w:tab w:val="num" w:pos="6480"/>
        </w:tabs>
        <w:ind w:left="6480" w:hanging="360"/>
      </w:pPr>
      <w:rPr>
        <w:rFonts w:ascii="Arial" w:hAnsi="Arial" w:hint="default"/>
      </w:rPr>
    </w:lvl>
  </w:abstractNum>
  <w:abstractNum w:abstractNumId="5">
    <w:nsid w:val="21E91719"/>
    <w:multiLevelType w:val="hybridMultilevel"/>
    <w:tmpl w:val="15A83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371262"/>
    <w:multiLevelType w:val="hybridMultilevel"/>
    <w:tmpl w:val="F648C21A"/>
    <w:lvl w:ilvl="0" w:tplc="F63282F2">
      <w:start w:val="1"/>
      <w:numFmt w:val="bullet"/>
      <w:lvlText w:val=""/>
      <w:lvlJc w:val="left"/>
      <w:pPr>
        <w:tabs>
          <w:tab w:val="num" w:pos="720"/>
        </w:tabs>
        <w:ind w:left="720" w:hanging="360"/>
      </w:pPr>
      <w:rPr>
        <w:rFonts w:ascii="Wingdings 2" w:hAnsi="Wingdings 2" w:hint="default"/>
      </w:rPr>
    </w:lvl>
    <w:lvl w:ilvl="1" w:tplc="DD709676" w:tentative="1">
      <w:start w:val="1"/>
      <w:numFmt w:val="bullet"/>
      <w:lvlText w:val=""/>
      <w:lvlJc w:val="left"/>
      <w:pPr>
        <w:tabs>
          <w:tab w:val="num" w:pos="1440"/>
        </w:tabs>
        <w:ind w:left="1440" w:hanging="360"/>
      </w:pPr>
      <w:rPr>
        <w:rFonts w:ascii="Wingdings 2" w:hAnsi="Wingdings 2" w:hint="default"/>
      </w:rPr>
    </w:lvl>
    <w:lvl w:ilvl="2" w:tplc="B8923EEA" w:tentative="1">
      <w:start w:val="1"/>
      <w:numFmt w:val="bullet"/>
      <w:lvlText w:val=""/>
      <w:lvlJc w:val="left"/>
      <w:pPr>
        <w:tabs>
          <w:tab w:val="num" w:pos="2160"/>
        </w:tabs>
        <w:ind w:left="2160" w:hanging="360"/>
      </w:pPr>
      <w:rPr>
        <w:rFonts w:ascii="Wingdings 2" w:hAnsi="Wingdings 2" w:hint="default"/>
      </w:rPr>
    </w:lvl>
    <w:lvl w:ilvl="3" w:tplc="208CE20A" w:tentative="1">
      <w:start w:val="1"/>
      <w:numFmt w:val="bullet"/>
      <w:lvlText w:val=""/>
      <w:lvlJc w:val="left"/>
      <w:pPr>
        <w:tabs>
          <w:tab w:val="num" w:pos="2880"/>
        </w:tabs>
        <w:ind w:left="2880" w:hanging="360"/>
      </w:pPr>
      <w:rPr>
        <w:rFonts w:ascii="Wingdings 2" w:hAnsi="Wingdings 2" w:hint="default"/>
      </w:rPr>
    </w:lvl>
    <w:lvl w:ilvl="4" w:tplc="3732DFF2" w:tentative="1">
      <w:start w:val="1"/>
      <w:numFmt w:val="bullet"/>
      <w:lvlText w:val=""/>
      <w:lvlJc w:val="left"/>
      <w:pPr>
        <w:tabs>
          <w:tab w:val="num" w:pos="3600"/>
        </w:tabs>
        <w:ind w:left="3600" w:hanging="360"/>
      </w:pPr>
      <w:rPr>
        <w:rFonts w:ascii="Wingdings 2" w:hAnsi="Wingdings 2" w:hint="default"/>
      </w:rPr>
    </w:lvl>
    <w:lvl w:ilvl="5" w:tplc="FC84DBF8" w:tentative="1">
      <w:start w:val="1"/>
      <w:numFmt w:val="bullet"/>
      <w:lvlText w:val=""/>
      <w:lvlJc w:val="left"/>
      <w:pPr>
        <w:tabs>
          <w:tab w:val="num" w:pos="4320"/>
        </w:tabs>
        <w:ind w:left="4320" w:hanging="360"/>
      </w:pPr>
      <w:rPr>
        <w:rFonts w:ascii="Wingdings 2" w:hAnsi="Wingdings 2" w:hint="default"/>
      </w:rPr>
    </w:lvl>
    <w:lvl w:ilvl="6" w:tplc="4794807E" w:tentative="1">
      <w:start w:val="1"/>
      <w:numFmt w:val="bullet"/>
      <w:lvlText w:val=""/>
      <w:lvlJc w:val="left"/>
      <w:pPr>
        <w:tabs>
          <w:tab w:val="num" w:pos="5040"/>
        </w:tabs>
        <w:ind w:left="5040" w:hanging="360"/>
      </w:pPr>
      <w:rPr>
        <w:rFonts w:ascii="Wingdings 2" w:hAnsi="Wingdings 2" w:hint="default"/>
      </w:rPr>
    </w:lvl>
    <w:lvl w:ilvl="7" w:tplc="C548D5B4" w:tentative="1">
      <w:start w:val="1"/>
      <w:numFmt w:val="bullet"/>
      <w:lvlText w:val=""/>
      <w:lvlJc w:val="left"/>
      <w:pPr>
        <w:tabs>
          <w:tab w:val="num" w:pos="5760"/>
        </w:tabs>
        <w:ind w:left="5760" w:hanging="360"/>
      </w:pPr>
      <w:rPr>
        <w:rFonts w:ascii="Wingdings 2" w:hAnsi="Wingdings 2" w:hint="default"/>
      </w:rPr>
    </w:lvl>
    <w:lvl w:ilvl="8" w:tplc="13EEEAEE" w:tentative="1">
      <w:start w:val="1"/>
      <w:numFmt w:val="bullet"/>
      <w:lvlText w:val=""/>
      <w:lvlJc w:val="left"/>
      <w:pPr>
        <w:tabs>
          <w:tab w:val="num" w:pos="6480"/>
        </w:tabs>
        <w:ind w:left="6480" w:hanging="360"/>
      </w:pPr>
      <w:rPr>
        <w:rFonts w:ascii="Wingdings 2" w:hAnsi="Wingdings 2" w:hint="default"/>
      </w:rPr>
    </w:lvl>
  </w:abstractNum>
  <w:abstractNum w:abstractNumId="7">
    <w:nsid w:val="48F17FB0"/>
    <w:multiLevelType w:val="multilevel"/>
    <w:tmpl w:val="CAA4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02343"/>
    <w:multiLevelType w:val="hybridMultilevel"/>
    <w:tmpl w:val="7A2086BA"/>
    <w:lvl w:ilvl="0" w:tplc="37C6F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42384"/>
    <w:multiLevelType w:val="hybridMultilevel"/>
    <w:tmpl w:val="56568062"/>
    <w:lvl w:ilvl="0" w:tplc="A26699E8">
      <w:start w:val="1"/>
      <w:numFmt w:val="bullet"/>
      <w:lvlText w:val="•"/>
      <w:lvlJc w:val="left"/>
      <w:pPr>
        <w:tabs>
          <w:tab w:val="num" w:pos="720"/>
        </w:tabs>
        <w:ind w:left="720" w:hanging="360"/>
      </w:pPr>
      <w:rPr>
        <w:rFonts w:ascii="Arial" w:hAnsi="Arial" w:hint="default"/>
      </w:rPr>
    </w:lvl>
    <w:lvl w:ilvl="1" w:tplc="CABAD5EC" w:tentative="1">
      <w:start w:val="1"/>
      <w:numFmt w:val="bullet"/>
      <w:lvlText w:val="•"/>
      <w:lvlJc w:val="left"/>
      <w:pPr>
        <w:tabs>
          <w:tab w:val="num" w:pos="1440"/>
        </w:tabs>
        <w:ind w:left="1440" w:hanging="360"/>
      </w:pPr>
      <w:rPr>
        <w:rFonts w:ascii="Arial" w:hAnsi="Arial" w:hint="default"/>
      </w:rPr>
    </w:lvl>
    <w:lvl w:ilvl="2" w:tplc="64A0A606" w:tentative="1">
      <w:start w:val="1"/>
      <w:numFmt w:val="bullet"/>
      <w:lvlText w:val="•"/>
      <w:lvlJc w:val="left"/>
      <w:pPr>
        <w:tabs>
          <w:tab w:val="num" w:pos="2160"/>
        </w:tabs>
        <w:ind w:left="2160" w:hanging="360"/>
      </w:pPr>
      <w:rPr>
        <w:rFonts w:ascii="Arial" w:hAnsi="Arial" w:hint="default"/>
      </w:rPr>
    </w:lvl>
    <w:lvl w:ilvl="3" w:tplc="B3F8A486" w:tentative="1">
      <w:start w:val="1"/>
      <w:numFmt w:val="bullet"/>
      <w:lvlText w:val="•"/>
      <w:lvlJc w:val="left"/>
      <w:pPr>
        <w:tabs>
          <w:tab w:val="num" w:pos="2880"/>
        </w:tabs>
        <w:ind w:left="2880" w:hanging="360"/>
      </w:pPr>
      <w:rPr>
        <w:rFonts w:ascii="Arial" w:hAnsi="Arial" w:hint="default"/>
      </w:rPr>
    </w:lvl>
    <w:lvl w:ilvl="4" w:tplc="19E24D44" w:tentative="1">
      <w:start w:val="1"/>
      <w:numFmt w:val="bullet"/>
      <w:lvlText w:val="•"/>
      <w:lvlJc w:val="left"/>
      <w:pPr>
        <w:tabs>
          <w:tab w:val="num" w:pos="3600"/>
        </w:tabs>
        <w:ind w:left="3600" w:hanging="360"/>
      </w:pPr>
      <w:rPr>
        <w:rFonts w:ascii="Arial" w:hAnsi="Arial" w:hint="default"/>
      </w:rPr>
    </w:lvl>
    <w:lvl w:ilvl="5" w:tplc="87D81400" w:tentative="1">
      <w:start w:val="1"/>
      <w:numFmt w:val="bullet"/>
      <w:lvlText w:val="•"/>
      <w:lvlJc w:val="left"/>
      <w:pPr>
        <w:tabs>
          <w:tab w:val="num" w:pos="4320"/>
        </w:tabs>
        <w:ind w:left="4320" w:hanging="360"/>
      </w:pPr>
      <w:rPr>
        <w:rFonts w:ascii="Arial" w:hAnsi="Arial" w:hint="default"/>
      </w:rPr>
    </w:lvl>
    <w:lvl w:ilvl="6" w:tplc="BE94CEAE" w:tentative="1">
      <w:start w:val="1"/>
      <w:numFmt w:val="bullet"/>
      <w:lvlText w:val="•"/>
      <w:lvlJc w:val="left"/>
      <w:pPr>
        <w:tabs>
          <w:tab w:val="num" w:pos="5040"/>
        </w:tabs>
        <w:ind w:left="5040" w:hanging="360"/>
      </w:pPr>
      <w:rPr>
        <w:rFonts w:ascii="Arial" w:hAnsi="Arial" w:hint="default"/>
      </w:rPr>
    </w:lvl>
    <w:lvl w:ilvl="7" w:tplc="887CA67A" w:tentative="1">
      <w:start w:val="1"/>
      <w:numFmt w:val="bullet"/>
      <w:lvlText w:val="•"/>
      <w:lvlJc w:val="left"/>
      <w:pPr>
        <w:tabs>
          <w:tab w:val="num" w:pos="5760"/>
        </w:tabs>
        <w:ind w:left="5760" w:hanging="360"/>
      </w:pPr>
      <w:rPr>
        <w:rFonts w:ascii="Arial" w:hAnsi="Arial" w:hint="default"/>
      </w:rPr>
    </w:lvl>
    <w:lvl w:ilvl="8" w:tplc="0960F8BA" w:tentative="1">
      <w:start w:val="1"/>
      <w:numFmt w:val="bullet"/>
      <w:lvlText w:val="•"/>
      <w:lvlJc w:val="left"/>
      <w:pPr>
        <w:tabs>
          <w:tab w:val="num" w:pos="6480"/>
        </w:tabs>
        <w:ind w:left="6480" w:hanging="360"/>
      </w:pPr>
      <w:rPr>
        <w:rFonts w:ascii="Arial" w:hAnsi="Arial" w:hint="default"/>
      </w:rPr>
    </w:lvl>
  </w:abstractNum>
  <w:abstractNum w:abstractNumId="10">
    <w:nsid w:val="5674733A"/>
    <w:multiLevelType w:val="hybridMultilevel"/>
    <w:tmpl w:val="9216EE96"/>
    <w:lvl w:ilvl="0" w:tplc="B714E91A">
      <w:start w:val="1"/>
      <w:numFmt w:val="bullet"/>
      <w:lvlText w:val="•"/>
      <w:lvlJc w:val="left"/>
      <w:pPr>
        <w:tabs>
          <w:tab w:val="num" w:pos="720"/>
        </w:tabs>
        <w:ind w:left="720" w:hanging="360"/>
      </w:pPr>
      <w:rPr>
        <w:rFonts w:ascii="Arial" w:hAnsi="Arial" w:hint="default"/>
      </w:rPr>
    </w:lvl>
    <w:lvl w:ilvl="1" w:tplc="2C505656" w:tentative="1">
      <w:start w:val="1"/>
      <w:numFmt w:val="bullet"/>
      <w:lvlText w:val="•"/>
      <w:lvlJc w:val="left"/>
      <w:pPr>
        <w:tabs>
          <w:tab w:val="num" w:pos="1440"/>
        </w:tabs>
        <w:ind w:left="1440" w:hanging="360"/>
      </w:pPr>
      <w:rPr>
        <w:rFonts w:ascii="Arial" w:hAnsi="Arial" w:hint="default"/>
      </w:rPr>
    </w:lvl>
    <w:lvl w:ilvl="2" w:tplc="7C0073CA" w:tentative="1">
      <w:start w:val="1"/>
      <w:numFmt w:val="bullet"/>
      <w:lvlText w:val="•"/>
      <w:lvlJc w:val="left"/>
      <w:pPr>
        <w:tabs>
          <w:tab w:val="num" w:pos="2160"/>
        </w:tabs>
        <w:ind w:left="2160" w:hanging="360"/>
      </w:pPr>
      <w:rPr>
        <w:rFonts w:ascii="Arial" w:hAnsi="Arial" w:hint="default"/>
      </w:rPr>
    </w:lvl>
    <w:lvl w:ilvl="3" w:tplc="7C0660EA" w:tentative="1">
      <w:start w:val="1"/>
      <w:numFmt w:val="bullet"/>
      <w:lvlText w:val="•"/>
      <w:lvlJc w:val="left"/>
      <w:pPr>
        <w:tabs>
          <w:tab w:val="num" w:pos="2880"/>
        </w:tabs>
        <w:ind w:left="2880" w:hanging="360"/>
      </w:pPr>
      <w:rPr>
        <w:rFonts w:ascii="Arial" w:hAnsi="Arial" w:hint="default"/>
      </w:rPr>
    </w:lvl>
    <w:lvl w:ilvl="4" w:tplc="61488EE4" w:tentative="1">
      <w:start w:val="1"/>
      <w:numFmt w:val="bullet"/>
      <w:lvlText w:val="•"/>
      <w:lvlJc w:val="left"/>
      <w:pPr>
        <w:tabs>
          <w:tab w:val="num" w:pos="3600"/>
        </w:tabs>
        <w:ind w:left="3600" w:hanging="360"/>
      </w:pPr>
      <w:rPr>
        <w:rFonts w:ascii="Arial" w:hAnsi="Arial" w:hint="default"/>
      </w:rPr>
    </w:lvl>
    <w:lvl w:ilvl="5" w:tplc="4E686C4A" w:tentative="1">
      <w:start w:val="1"/>
      <w:numFmt w:val="bullet"/>
      <w:lvlText w:val="•"/>
      <w:lvlJc w:val="left"/>
      <w:pPr>
        <w:tabs>
          <w:tab w:val="num" w:pos="4320"/>
        </w:tabs>
        <w:ind w:left="4320" w:hanging="360"/>
      </w:pPr>
      <w:rPr>
        <w:rFonts w:ascii="Arial" w:hAnsi="Arial" w:hint="default"/>
      </w:rPr>
    </w:lvl>
    <w:lvl w:ilvl="6" w:tplc="C9C2D5D8" w:tentative="1">
      <w:start w:val="1"/>
      <w:numFmt w:val="bullet"/>
      <w:lvlText w:val="•"/>
      <w:lvlJc w:val="left"/>
      <w:pPr>
        <w:tabs>
          <w:tab w:val="num" w:pos="5040"/>
        </w:tabs>
        <w:ind w:left="5040" w:hanging="360"/>
      </w:pPr>
      <w:rPr>
        <w:rFonts w:ascii="Arial" w:hAnsi="Arial" w:hint="default"/>
      </w:rPr>
    </w:lvl>
    <w:lvl w:ilvl="7" w:tplc="3E164EC4" w:tentative="1">
      <w:start w:val="1"/>
      <w:numFmt w:val="bullet"/>
      <w:lvlText w:val="•"/>
      <w:lvlJc w:val="left"/>
      <w:pPr>
        <w:tabs>
          <w:tab w:val="num" w:pos="5760"/>
        </w:tabs>
        <w:ind w:left="5760" w:hanging="360"/>
      </w:pPr>
      <w:rPr>
        <w:rFonts w:ascii="Arial" w:hAnsi="Arial" w:hint="default"/>
      </w:rPr>
    </w:lvl>
    <w:lvl w:ilvl="8" w:tplc="21BC886C" w:tentative="1">
      <w:start w:val="1"/>
      <w:numFmt w:val="bullet"/>
      <w:lvlText w:val="•"/>
      <w:lvlJc w:val="left"/>
      <w:pPr>
        <w:tabs>
          <w:tab w:val="num" w:pos="6480"/>
        </w:tabs>
        <w:ind w:left="6480" w:hanging="360"/>
      </w:pPr>
      <w:rPr>
        <w:rFonts w:ascii="Arial" w:hAnsi="Arial" w:hint="default"/>
      </w:rPr>
    </w:lvl>
  </w:abstractNum>
  <w:abstractNum w:abstractNumId="11">
    <w:nsid w:val="56D7433B"/>
    <w:multiLevelType w:val="hybridMultilevel"/>
    <w:tmpl w:val="299A478E"/>
    <w:lvl w:ilvl="0" w:tplc="668EE180">
      <w:start w:val="1"/>
      <w:numFmt w:val="bullet"/>
      <w:lvlText w:val="•"/>
      <w:lvlJc w:val="left"/>
      <w:pPr>
        <w:tabs>
          <w:tab w:val="num" w:pos="720"/>
        </w:tabs>
        <w:ind w:left="720" w:hanging="360"/>
      </w:pPr>
      <w:rPr>
        <w:rFonts w:ascii="Arial" w:hAnsi="Arial" w:hint="default"/>
      </w:rPr>
    </w:lvl>
    <w:lvl w:ilvl="1" w:tplc="6AA832C2" w:tentative="1">
      <w:start w:val="1"/>
      <w:numFmt w:val="bullet"/>
      <w:lvlText w:val="•"/>
      <w:lvlJc w:val="left"/>
      <w:pPr>
        <w:tabs>
          <w:tab w:val="num" w:pos="1440"/>
        </w:tabs>
        <w:ind w:left="1440" w:hanging="360"/>
      </w:pPr>
      <w:rPr>
        <w:rFonts w:ascii="Arial" w:hAnsi="Arial" w:hint="default"/>
      </w:rPr>
    </w:lvl>
    <w:lvl w:ilvl="2" w:tplc="9F6ECA8C" w:tentative="1">
      <w:start w:val="1"/>
      <w:numFmt w:val="bullet"/>
      <w:lvlText w:val="•"/>
      <w:lvlJc w:val="left"/>
      <w:pPr>
        <w:tabs>
          <w:tab w:val="num" w:pos="2160"/>
        </w:tabs>
        <w:ind w:left="2160" w:hanging="360"/>
      </w:pPr>
      <w:rPr>
        <w:rFonts w:ascii="Arial" w:hAnsi="Arial" w:hint="default"/>
      </w:rPr>
    </w:lvl>
    <w:lvl w:ilvl="3" w:tplc="FC7EFBF2" w:tentative="1">
      <w:start w:val="1"/>
      <w:numFmt w:val="bullet"/>
      <w:lvlText w:val="•"/>
      <w:lvlJc w:val="left"/>
      <w:pPr>
        <w:tabs>
          <w:tab w:val="num" w:pos="2880"/>
        </w:tabs>
        <w:ind w:left="2880" w:hanging="360"/>
      </w:pPr>
      <w:rPr>
        <w:rFonts w:ascii="Arial" w:hAnsi="Arial" w:hint="default"/>
      </w:rPr>
    </w:lvl>
    <w:lvl w:ilvl="4" w:tplc="09D23004" w:tentative="1">
      <w:start w:val="1"/>
      <w:numFmt w:val="bullet"/>
      <w:lvlText w:val="•"/>
      <w:lvlJc w:val="left"/>
      <w:pPr>
        <w:tabs>
          <w:tab w:val="num" w:pos="3600"/>
        </w:tabs>
        <w:ind w:left="3600" w:hanging="360"/>
      </w:pPr>
      <w:rPr>
        <w:rFonts w:ascii="Arial" w:hAnsi="Arial" w:hint="default"/>
      </w:rPr>
    </w:lvl>
    <w:lvl w:ilvl="5" w:tplc="616A85BE" w:tentative="1">
      <w:start w:val="1"/>
      <w:numFmt w:val="bullet"/>
      <w:lvlText w:val="•"/>
      <w:lvlJc w:val="left"/>
      <w:pPr>
        <w:tabs>
          <w:tab w:val="num" w:pos="4320"/>
        </w:tabs>
        <w:ind w:left="4320" w:hanging="360"/>
      </w:pPr>
      <w:rPr>
        <w:rFonts w:ascii="Arial" w:hAnsi="Arial" w:hint="default"/>
      </w:rPr>
    </w:lvl>
    <w:lvl w:ilvl="6" w:tplc="5B8455EA" w:tentative="1">
      <w:start w:val="1"/>
      <w:numFmt w:val="bullet"/>
      <w:lvlText w:val="•"/>
      <w:lvlJc w:val="left"/>
      <w:pPr>
        <w:tabs>
          <w:tab w:val="num" w:pos="5040"/>
        </w:tabs>
        <w:ind w:left="5040" w:hanging="360"/>
      </w:pPr>
      <w:rPr>
        <w:rFonts w:ascii="Arial" w:hAnsi="Arial" w:hint="default"/>
      </w:rPr>
    </w:lvl>
    <w:lvl w:ilvl="7" w:tplc="80C2143E" w:tentative="1">
      <w:start w:val="1"/>
      <w:numFmt w:val="bullet"/>
      <w:lvlText w:val="•"/>
      <w:lvlJc w:val="left"/>
      <w:pPr>
        <w:tabs>
          <w:tab w:val="num" w:pos="5760"/>
        </w:tabs>
        <w:ind w:left="5760" w:hanging="360"/>
      </w:pPr>
      <w:rPr>
        <w:rFonts w:ascii="Arial" w:hAnsi="Arial" w:hint="default"/>
      </w:rPr>
    </w:lvl>
    <w:lvl w:ilvl="8" w:tplc="F7C63270" w:tentative="1">
      <w:start w:val="1"/>
      <w:numFmt w:val="bullet"/>
      <w:lvlText w:val="•"/>
      <w:lvlJc w:val="left"/>
      <w:pPr>
        <w:tabs>
          <w:tab w:val="num" w:pos="6480"/>
        </w:tabs>
        <w:ind w:left="6480" w:hanging="360"/>
      </w:pPr>
      <w:rPr>
        <w:rFonts w:ascii="Arial" w:hAnsi="Arial" w:hint="default"/>
      </w:rPr>
    </w:lvl>
  </w:abstractNum>
  <w:abstractNum w:abstractNumId="12">
    <w:nsid w:val="5A384C82"/>
    <w:multiLevelType w:val="hybridMultilevel"/>
    <w:tmpl w:val="D682BF2C"/>
    <w:lvl w:ilvl="0" w:tplc="B36CB020">
      <w:start w:val="1"/>
      <w:numFmt w:val="bullet"/>
      <w:lvlText w:val="•"/>
      <w:lvlJc w:val="left"/>
      <w:pPr>
        <w:tabs>
          <w:tab w:val="num" w:pos="720"/>
        </w:tabs>
        <w:ind w:left="720" w:hanging="360"/>
      </w:pPr>
      <w:rPr>
        <w:rFonts w:ascii="Arial" w:hAnsi="Arial" w:hint="default"/>
      </w:rPr>
    </w:lvl>
    <w:lvl w:ilvl="1" w:tplc="56124E78" w:tentative="1">
      <w:start w:val="1"/>
      <w:numFmt w:val="bullet"/>
      <w:lvlText w:val="•"/>
      <w:lvlJc w:val="left"/>
      <w:pPr>
        <w:tabs>
          <w:tab w:val="num" w:pos="1440"/>
        </w:tabs>
        <w:ind w:left="1440" w:hanging="360"/>
      </w:pPr>
      <w:rPr>
        <w:rFonts w:ascii="Arial" w:hAnsi="Arial" w:hint="default"/>
      </w:rPr>
    </w:lvl>
    <w:lvl w:ilvl="2" w:tplc="C3C2939C" w:tentative="1">
      <w:start w:val="1"/>
      <w:numFmt w:val="bullet"/>
      <w:lvlText w:val="•"/>
      <w:lvlJc w:val="left"/>
      <w:pPr>
        <w:tabs>
          <w:tab w:val="num" w:pos="2160"/>
        </w:tabs>
        <w:ind w:left="2160" w:hanging="360"/>
      </w:pPr>
      <w:rPr>
        <w:rFonts w:ascii="Arial" w:hAnsi="Arial" w:hint="default"/>
      </w:rPr>
    </w:lvl>
    <w:lvl w:ilvl="3" w:tplc="4E6010E6" w:tentative="1">
      <w:start w:val="1"/>
      <w:numFmt w:val="bullet"/>
      <w:lvlText w:val="•"/>
      <w:lvlJc w:val="left"/>
      <w:pPr>
        <w:tabs>
          <w:tab w:val="num" w:pos="2880"/>
        </w:tabs>
        <w:ind w:left="2880" w:hanging="360"/>
      </w:pPr>
      <w:rPr>
        <w:rFonts w:ascii="Arial" w:hAnsi="Arial" w:hint="default"/>
      </w:rPr>
    </w:lvl>
    <w:lvl w:ilvl="4" w:tplc="CAD4CEA8" w:tentative="1">
      <w:start w:val="1"/>
      <w:numFmt w:val="bullet"/>
      <w:lvlText w:val="•"/>
      <w:lvlJc w:val="left"/>
      <w:pPr>
        <w:tabs>
          <w:tab w:val="num" w:pos="3600"/>
        </w:tabs>
        <w:ind w:left="3600" w:hanging="360"/>
      </w:pPr>
      <w:rPr>
        <w:rFonts w:ascii="Arial" w:hAnsi="Arial" w:hint="default"/>
      </w:rPr>
    </w:lvl>
    <w:lvl w:ilvl="5" w:tplc="B9C68694" w:tentative="1">
      <w:start w:val="1"/>
      <w:numFmt w:val="bullet"/>
      <w:lvlText w:val="•"/>
      <w:lvlJc w:val="left"/>
      <w:pPr>
        <w:tabs>
          <w:tab w:val="num" w:pos="4320"/>
        </w:tabs>
        <w:ind w:left="4320" w:hanging="360"/>
      </w:pPr>
      <w:rPr>
        <w:rFonts w:ascii="Arial" w:hAnsi="Arial" w:hint="default"/>
      </w:rPr>
    </w:lvl>
    <w:lvl w:ilvl="6" w:tplc="4104C600" w:tentative="1">
      <w:start w:val="1"/>
      <w:numFmt w:val="bullet"/>
      <w:lvlText w:val="•"/>
      <w:lvlJc w:val="left"/>
      <w:pPr>
        <w:tabs>
          <w:tab w:val="num" w:pos="5040"/>
        </w:tabs>
        <w:ind w:left="5040" w:hanging="360"/>
      </w:pPr>
      <w:rPr>
        <w:rFonts w:ascii="Arial" w:hAnsi="Arial" w:hint="default"/>
      </w:rPr>
    </w:lvl>
    <w:lvl w:ilvl="7" w:tplc="A7F84C7C" w:tentative="1">
      <w:start w:val="1"/>
      <w:numFmt w:val="bullet"/>
      <w:lvlText w:val="•"/>
      <w:lvlJc w:val="left"/>
      <w:pPr>
        <w:tabs>
          <w:tab w:val="num" w:pos="5760"/>
        </w:tabs>
        <w:ind w:left="5760" w:hanging="360"/>
      </w:pPr>
      <w:rPr>
        <w:rFonts w:ascii="Arial" w:hAnsi="Arial" w:hint="default"/>
      </w:rPr>
    </w:lvl>
    <w:lvl w:ilvl="8" w:tplc="7FA2DCE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4"/>
  </w:num>
  <w:num w:numId="4">
    <w:abstractNumId w:val="0"/>
  </w:num>
  <w:num w:numId="5">
    <w:abstractNumId w:val="11"/>
  </w:num>
  <w:num w:numId="6">
    <w:abstractNumId w:val="3"/>
  </w:num>
  <w:num w:numId="7">
    <w:abstractNumId w:val="10"/>
  </w:num>
  <w:num w:numId="8">
    <w:abstractNumId w:val="1"/>
  </w:num>
  <w:num w:numId="9">
    <w:abstractNumId w:val="9"/>
  </w:num>
  <w:num w:numId="10">
    <w:abstractNumId w:val="12"/>
  </w:num>
  <w:num w:numId="11">
    <w:abstractNumId w:val="6"/>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1B6"/>
    <w:rsid w:val="00000AF2"/>
    <w:rsid w:val="000031A4"/>
    <w:rsid w:val="00004FF0"/>
    <w:rsid w:val="000075BC"/>
    <w:rsid w:val="00010B38"/>
    <w:rsid w:val="000128AF"/>
    <w:rsid w:val="0001561C"/>
    <w:rsid w:val="00016636"/>
    <w:rsid w:val="00017E3E"/>
    <w:rsid w:val="000200F2"/>
    <w:rsid w:val="0003067F"/>
    <w:rsid w:val="00030C0E"/>
    <w:rsid w:val="00032BAA"/>
    <w:rsid w:val="00032EC3"/>
    <w:rsid w:val="0003363A"/>
    <w:rsid w:val="0003483D"/>
    <w:rsid w:val="00034E0B"/>
    <w:rsid w:val="00036B56"/>
    <w:rsid w:val="00037D6F"/>
    <w:rsid w:val="000400F1"/>
    <w:rsid w:val="00043360"/>
    <w:rsid w:val="000453DA"/>
    <w:rsid w:val="00045613"/>
    <w:rsid w:val="00052789"/>
    <w:rsid w:val="00053B06"/>
    <w:rsid w:val="000540FB"/>
    <w:rsid w:val="000551A5"/>
    <w:rsid w:val="00056318"/>
    <w:rsid w:val="00056D43"/>
    <w:rsid w:val="00057095"/>
    <w:rsid w:val="00061002"/>
    <w:rsid w:val="0006188D"/>
    <w:rsid w:val="00062465"/>
    <w:rsid w:val="000625B5"/>
    <w:rsid w:val="00067855"/>
    <w:rsid w:val="00070A0E"/>
    <w:rsid w:val="00071702"/>
    <w:rsid w:val="00071813"/>
    <w:rsid w:val="000723B1"/>
    <w:rsid w:val="00072973"/>
    <w:rsid w:val="00073966"/>
    <w:rsid w:val="000759F5"/>
    <w:rsid w:val="00077052"/>
    <w:rsid w:val="000770CC"/>
    <w:rsid w:val="000770F6"/>
    <w:rsid w:val="000819A7"/>
    <w:rsid w:val="000829B5"/>
    <w:rsid w:val="00083853"/>
    <w:rsid w:val="00083993"/>
    <w:rsid w:val="00085292"/>
    <w:rsid w:val="000862C2"/>
    <w:rsid w:val="0009101C"/>
    <w:rsid w:val="00091691"/>
    <w:rsid w:val="0009657A"/>
    <w:rsid w:val="000A0BC4"/>
    <w:rsid w:val="000A2774"/>
    <w:rsid w:val="000A3BCF"/>
    <w:rsid w:val="000A47BE"/>
    <w:rsid w:val="000A4ACA"/>
    <w:rsid w:val="000A61C9"/>
    <w:rsid w:val="000A679A"/>
    <w:rsid w:val="000A7B1F"/>
    <w:rsid w:val="000A7F27"/>
    <w:rsid w:val="000B014D"/>
    <w:rsid w:val="000B459A"/>
    <w:rsid w:val="000B4D77"/>
    <w:rsid w:val="000B4DB1"/>
    <w:rsid w:val="000B595F"/>
    <w:rsid w:val="000C20E5"/>
    <w:rsid w:val="000C2299"/>
    <w:rsid w:val="000C250F"/>
    <w:rsid w:val="000C2540"/>
    <w:rsid w:val="000C311F"/>
    <w:rsid w:val="000C3518"/>
    <w:rsid w:val="000C44C0"/>
    <w:rsid w:val="000C48D2"/>
    <w:rsid w:val="000C4FCB"/>
    <w:rsid w:val="000C79AB"/>
    <w:rsid w:val="000D05D6"/>
    <w:rsid w:val="000D15AA"/>
    <w:rsid w:val="000D1829"/>
    <w:rsid w:val="000D58FA"/>
    <w:rsid w:val="000D639E"/>
    <w:rsid w:val="000D6740"/>
    <w:rsid w:val="000D7EAF"/>
    <w:rsid w:val="000E01A2"/>
    <w:rsid w:val="000E0DE6"/>
    <w:rsid w:val="000E2CE0"/>
    <w:rsid w:val="000E38BC"/>
    <w:rsid w:val="000E7E4B"/>
    <w:rsid w:val="000F0709"/>
    <w:rsid w:val="000F0F97"/>
    <w:rsid w:val="000F1835"/>
    <w:rsid w:val="000F2ACD"/>
    <w:rsid w:val="000F328D"/>
    <w:rsid w:val="000F3D11"/>
    <w:rsid w:val="000F718E"/>
    <w:rsid w:val="001016BE"/>
    <w:rsid w:val="001019D2"/>
    <w:rsid w:val="00102B0F"/>
    <w:rsid w:val="00103D3C"/>
    <w:rsid w:val="0010402F"/>
    <w:rsid w:val="00105B95"/>
    <w:rsid w:val="00105E61"/>
    <w:rsid w:val="00105F40"/>
    <w:rsid w:val="00107A02"/>
    <w:rsid w:val="00110090"/>
    <w:rsid w:val="00110AE8"/>
    <w:rsid w:val="00110C11"/>
    <w:rsid w:val="0011207F"/>
    <w:rsid w:val="00112B7E"/>
    <w:rsid w:val="001173E2"/>
    <w:rsid w:val="00120A7A"/>
    <w:rsid w:val="00120BC0"/>
    <w:rsid w:val="00122DC1"/>
    <w:rsid w:val="001230F7"/>
    <w:rsid w:val="001230F8"/>
    <w:rsid w:val="0012498F"/>
    <w:rsid w:val="00125FB0"/>
    <w:rsid w:val="00126769"/>
    <w:rsid w:val="00127AAB"/>
    <w:rsid w:val="00130728"/>
    <w:rsid w:val="001336D4"/>
    <w:rsid w:val="0013380A"/>
    <w:rsid w:val="0013493A"/>
    <w:rsid w:val="0013592B"/>
    <w:rsid w:val="00136849"/>
    <w:rsid w:val="00136FBE"/>
    <w:rsid w:val="0013785A"/>
    <w:rsid w:val="00137ECD"/>
    <w:rsid w:val="00140CCD"/>
    <w:rsid w:val="00144BA0"/>
    <w:rsid w:val="00145A56"/>
    <w:rsid w:val="001465EA"/>
    <w:rsid w:val="00146B0C"/>
    <w:rsid w:val="00147D6D"/>
    <w:rsid w:val="00150DFB"/>
    <w:rsid w:val="00153E5A"/>
    <w:rsid w:val="0015502F"/>
    <w:rsid w:val="001550E7"/>
    <w:rsid w:val="00157A7B"/>
    <w:rsid w:val="00160316"/>
    <w:rsid w:val="0016182C"/>
    <w:rsid w:val="00162975"/>
    <w:rsid w:val="00163116"/>
    <w:rsid w:val="001648AD"/>
    <w:rsid w:val="00165025"/>
    <w:rsid w:val="00165BDB"/>
    <w:rsid w:val="00166D2F"/>
    <w:rsid w:val="00166E76"/>
    <w:rsid w:val="001718BB"/>
    <w:rsid w:val="0017198B"/>
    <w:rsid w:val="00174113"/>
    <w:rsid w:val="0017414F"/>
    <w:rsid w:val="00175001"/>
    <w:rsid w:val="00175EE4"/>
    <w:rsid w:val="001810EE"/>
    <w:rsid w:val="001854CD"/>
    <w:rsid w:val="001869FE"/>
    <w:rsid w:val="00186D0E"/>
    <w:rsid w:val="001909A6"/>
    <w:rsid w:val="00190C56"/>
    <w:rsid w:val="00192554"/>
    <w:rsid w:val="0019463F"/>
    <w:rsid w:val="0019666E"/>
    <w:rsid w:val="001A0015"/>
    <w:rsid w:val="001A0B7D"/>
    <w:rsid w:val="001A102F"/>
    <w:rsid w:val="001A1C12"/>
    <w:rsid w:val="001A34B7"/>
    <w:rsid w:val="001A61B8"/>
    <w:rsid w:val="001B0134"/>
    <w:rsid w:val="001B2A0A"/>
    <w:rsid w:val="001B3514"/>
    <w:rsid w:val="001B5EED"/>
    <w:rsid w:val="001B79E8"/>
    <w:rsid w:val="001B7F0F"/>
    <w:rsid w:val="001C1422"/>
    <w:rsid w:val="001C17D7"/>
    <w:rsid w:val="001C2101"/>
    <w:rsid w:val="001C2D92"/>
    <w:rsid w:val="001C30DF"/>
    <w:rsid w:val="001C66A7"/>
    <w:rsid w:val="001D0F79"/>
    <w:rsid w:val="001D1360"/>
    <w:rsid w:val="001D3BDE"/>
    <w:rsid w:val="001D5629"/>
    <w:rsid w:val="001D5730"/>
    <w:rsid w:val="001D5EB7"/>
    <w:rsid w:val="001E0ABD"/>
    <w:rsid w:val="001E3374"/>
    <w:rsid w:val="001E6840"/>
    <w:rsid w:val="001E69F6"/>
    <w:rsid w:val="001E7B6C"/>
    <w:rsid w:val="001F1CCD"/>
    <w:rsid w:val="001F2D80"/>
    <w:rsid w:val="001F67BD"/>
    <w:rsid w:val="00200379"/>
    <w:rsid w:val="00204715"/>
    <w:rsid w:val="00207C77"/>
    <w:rsid w:val="00210F8E"/>
    <w:rsid w:val="0021130C"/>
    <w:rsid w:val="00211520"/>
    <w:rsid w:val="00212022"/>
    <w:rsid w:val="002130F7"/>
    <w:rsid w:val="00213BD9"/>
    <w:rsid w:val="00213DE4"/>
    <w:rsid w:val="0021438A"/>
    <w:rsid w:val="0021473C"/>
    <w:rsid w:val="0021579A"/>
    <w:rsid w:val="002220FD"/>
    <w:rsid w:val="0022317D"/>
    <w:rsid w:val="00223CC4"/>
    <w:rsid w:val="00224DF7"/>
    <w:rsid w:val="00225B5F"/>
    <w:rsid w:val="002264C2"/>
    <w:rsid w:val="00226EFD"/>
    <w:rsid w:val="00226FEB"/>
    <w:rsid w:val="00230AE3"/>
    <w:rsid w:val="002372DD"/>
    <w:rsid w:val="00237F62"/>
    <w:rsid w:val="0024212F"/>
    <w:rsid w:val="00242646"/>
    <w:rsid w:val="00243133"/>
    <w:rsid w:val="0024491D"/>
    <w:rsid w:val="00244B80"/>
    <w:rsid w:val="00247A90"/>
    <w:rsid w:val="00251FDC"/>
    <w:rsid w:val="002532EE"/>
    <w:rsid w:val="00253952"/>
    <w:rsid w:val="002539E5"/>
    <w:rsid w:val="00253BBF"/>
    <w:rsid w:val="002544B9"/>
    <w:rsid w:val="00255D4C"/>
    <w:rsid w:val="00255FA3"/>
    <w:rsid w:val="00256804"/>
    <w:rsid w:val="00256A4A"/>
    <w:rsid w:val="0025710C"/>
    <w:rsid w:val="0025786F"/>
    <w:rsid w:val="002603D8"/>
    <w:rsid w:val="002604EF"/>
    <w:rsid w:val="002617A2"/>
    <w:rsid w:val="00261D03"/>
    <w:rsid w:val="002660A6"/>
    <w:rsid w:val="0027046C"/>
    <w:rsid w:val="002709CE"/>
    <w:rsid w:val="00272F6E"/>
    <w:rsid w:val="00274DD6"/>
    <w:rsid w:val="00275450"/>
    <w:rsid w:val="002762D8"/>
    <w:rsid w:val="0027711E"/>
    <w:rsid w:val="002808D0"/>
    <w:rsid w:val="00280DDF"/>
    <w:rsid w:val="00282663"/>
    <w:rsid w:val="00283465"/>
    <w:rsid w:val="0028474E"/>
    <w:rsid w:val="00284D60"/>
    <w:rsid w:val="00290080"/>
    <w:rsid w:val="00291615"/>
    <w:rsid w:val="00291A76"/>
    <w:rsid w:val="00291D62"/>
    <w:rsid w:val="00292412"/>
    <w:rsid w:val="00292D38"/>
    <w:rsid w:val="00293BA1"/>
    <w:rsid w:val="00293D06"/>
    <w:rsid w:val="002976F2"/>
    <w:rsid w:val="002979C7"/>
    <w:rsid w:val="002A6475"/>
    <w:rsid w:val="002A6A95"/>
    <w:rsid w:val="002A6D4F"/>
    <w:rsid w:val="002A6F16"/>
    <w:rsid w:val="002B145B"/>
    <w:rsid w:val="002B29BB"/>
    <w:rsid w:val="002B6036"/>
    <w:rsid w:val="002B7084"/>
    <w:rsid w:val="002B7FC5"/>
    <w:rsid w:val="002C6038"/>
    <w:rsid w:val="002C65B9"/>
    <w:rsid w:val="002D0A53"/>
    <w:rsid w:val="002D11EC"/>
    <w:rsid w:val="002D2CB4"/>
    <w:rsid w:val="002D4886"/>
    <w:rsid w:val="002D5401"/>
    <w:rsid w:val="002D5F9C"/>
    <w:rsid w:val="002D6161"/>
    <w:rsid w:val="002E09F2"/>
    <w:rsid w:val="002E2AAB"/>
    <w:rsid w:val="002E3651"/>
    <w:rsid w:val="002E3865"/>
    <w:rsid w:val="002E4CDB"/>
    <w:rsid w:val="002E586C"/>
    <w:rsid w:val="002E61CB"/>
    <w:rsid w:val="002F45DF"/>
    <w:rsid w:val="002F6402"/>
    <w:rsid w:val="002F668F"/>
    <w:rsid w:val="00300EF1"/>
    <w:rsid w:val="00301A1E"/>
    <w:rsid w:val="00302467"/>
    <w:rsid w:val="00304033"/>
    <w:rsid w:val="0030474E"/>
    <w:rsid w:val="00306373"/>
    <w:rsid w:val="00310400"/>
    <w:rsid w:val="003128FE"/>
    <w:rsid w:val="0031439F"/>
    <w:rsid w:val="00315FE2"/>
    <w:rsid w:val="003162CD"/>
    <w:rsid w:val="003255E2"/>
    <w:rsid w:val="00325ACB"/>
    <w:rsid w:val="00325DD4"/>
    <w:rsid w:val="00326882"/>
    <w:rsid w:val="00330417"/>
    <w:rsid w:val="00331199"/>
    <w:rsid w:val="003321B6"/>
    <w:rsid w:val="003323BA"/>
    <w:rsid w:val="00332523"/>
    <w:rsid w:val="003342DA"/>
    <w:rsid w:val="00335449"/>
    <w:rsid w:val="0034081F"/>
    <w:rsid w:val="00340979"/>
    <w:rsid w:val="00340FCC"/>
    <w:rsid w:val="00341A21"/>
    <w:rsid w:val="003465EF"/>
    <w:rsid w:val="00347199"/>
    <w:rsid w:val="00350EF3"/>
    <w:rsid w:val="003511C3"/>
    <w:rsid w:val="00353C43"/>
    <w:rsid w:val="00355DB8"/>
    <w:rsid w:val="003603DC"/>
    <w:rsid w:val="00361AD6"/>
    <w:rsid w:val="00362C26"/>
    <w:rsid w:val="0036326E"/>
    <w:rsid w:val="00365DD6"/>
    <w:rsid w:val="003671B6"/>
    <w:rsid w:val="003675C7"/>
    <w:rsid w:val="00371195"/>
    <w:rsid w:val="00371362"/>
    <w:rsid w:val="00371A9C"/>
    <w:rsid w:val="00372572"/>
    <w:rsid w:val="00372B02"/>
    <w:rsid w:val="00374513"/>
    <w:rsid w:val="00376ABF"/>
    <w:rsid w:val="0037711D"/>
    <w:rsid w:val="0038064E"/>
    <w:rsid w:val="003819F2"/>
    <w:rsid w:val="00383422"/>
    <w:rsid w:val="0038379E"/>
    <w:rsid w:val="00383D46"/>
    <w:rsid w:val="00384612"/>
    <w:rsid w:val="0038499A"/>
    <w:rsid w:val="00384BE7"/>
    <w:rsid w:val="003858EB"/>
    <w:rsid w:val="00385EAA"/>
    <w:rsid w:val="00385FFC"/>
    <w:rsid w:val="003863C0"/>
    <w:rsid w:val="00386D45"/>
    <w:rsid w:val="003870E3"/>
    <w:rsid w:val="00390A0B"/>
    <w:rsid w:val="00390D33"/>
    <w:rsid w:val="00392468"/>
    <w:rsid w:val="00392DAC"/>
    <w:rsid w:val="00393475"/>
    <w:rsid w:val="00394072"/>
    <w:rsid w:val="00394BBE"/>
    <w:rsid w:val="00395C63"/>
    <w:rsid w:val="003A095C"/>
    <w:rsid w:val="003A09F2"/>
    <w:rsid w:val="003A16F3"/>
    <w:rsid w:val="003A19E3"/>
    <w:rsid w:val="003A28DB"/>
    <w:rsid w:val="003A3B7A"/>
    <w:rsid w:val="003A46F0"/>
    <w:rsid w:val="003A4720"/>
    <w:rsid w:val="003A6403"/>
    <w:rsid w:val="003A6D3D"/>
    <w:rsid w:val="003A7517"/>
    <w:rsid w:val="003B2ABD"/>
    <w:rsid w:val="003B34E7"/>
    <w:rsid w:val="003B3FD3"/>
    <w:rsid w:val="003B5D09"/>
    <w:rsid w:val="003B63B9"/>
    <w:rsid w:val="003B70DC"/>
    <w:rsid w:val="003B7CF8"/>
    <w:rsid w:val="003C0491"/>
    <w:rsid w:val="003C0AF6"/>
    <w:rsid w:val="003C269E"/>
    <w:rsid w:val="003C2B63"/>
    <w:rsid w:val="003C3128"/>
    <w:rsid w:val="003C31A8"/>
    <w:rsid w:val="003C47D6"/>
    <w:rsid w:val="003C5597"/>
    <w:rsid w:val="003C6E36"/>
    <w:rsid w:val="003D5D3F"/>
    <w:rsid w:val="003D633C"/>
    <w:rsid w:val="003D6461"/>
    <w:rsid w:val="003D732B"/>
    <w:rsid w:val="003E4394"/>
    <w:rsid w:val="003E7645"/>
    <w:rsid w:val="003E79D1"/>
    <w:rsid w:val="003F11CD"/>
    <w:rsid w:val="003F1631"/>
    <w:rsid w:val="003F1C43"/>
    <w:rsid w:val="003F1C6B"/>
    <w:rsid w:val="003F3454"/>
    <w:rsid w:val="003F3E1C"/>
    <w:rsid w:val="003F4A5C"/>
    <w:rsid w:val="003F4B0C"/>
    <w:rsid w:val="003F7B6E"/>
    <w:rsid w:val="00400F0D"/>
    <w:rsid w:val="00401B36"/>
    <w:rsid w:val="00402D58"/>
    <w:rsid w:val="004052D6"/>
    <w:rsid w:val="00411F39"/>
    <w:rsid w:val="004120EE"/>
    <w:rsid w:val="00412183"/>
    <w:rsid w:val="00414373"/>
    <w:rsid w:val="00414E63"/>
    <w:rsid w:val="0041681A"/>
    <w:rsid w:val="00416CD6"/>
    <w:rsid w:val="004170FC"/>
    <w:rsid w:val="00422078"/>
    <w:rsid w:val="00422552"/>
    <w:rsid w:val="0042431C"/>
    <w:rsid w:val="004307DF"/>
    <w:rsid w:val="00431945"/>
    <w:rsid w:val="004435A1"/>
    <w:rsid w:val="0044430E"/>
    <w:rsid w:val="00447FE5"/>
    <w:rsid w:val="004541CB"/>
    <w:rsid w:val="0045497B"/>
    <w:rsid w:val="00460416"/>
    <w:rsid w:val="0046149B"/>
    <w:rsid w:val="00462340"/>
    <w:rsid w:val="00464976"/>
    <w:rsid w:val="0046522A"/>
    <w:rsid w:val="00470C6E"/>
    <w:rsid w:val="00471E7A"/>
    <w:rsid w:val="00472823"/>
    <w:rsid w:val="00472A87"/>
    <w:rsid w:val="0047373C"/>
    <w:rsid w:val="00474896"/>
    <w:rsid w:val="00474E25"/>
    <w:rsid w:val="004760C5"/>
    <w:rsid w:val="0047627A"/>
    <w:rsid w:val="00476EBA"/>
    <w:rsid w:val="00477AC8"/>
    <w:rsid w:val="00477D51"/>
    <w:rsid w:val="00480E62"/>
    <w:rsid w:val="00482598"/>
    <w:rsid w:val="00483205"/>
    <w:rsid w:val="004832F6"/>
    <w:rsid w:val="004839DF"/>
    <w:rsid w:val="0048433A"/>
    <w:rsid w:val="00485B47"/>
    <w:rsid w:val="00486A8E"/>
    <w:rsid w:val="004877E6"/>
    <w:rsid w:val="00490771"/>
    <w:rsid w:val="00490C67"/>
    <w:rsid w:val="004948F0"/>
    <w:rsid w:val="00495E5F"/>
    <w:rsid w:val="0049606C"/>
    <w:rsid w:val="004A016A"/>
    <w:rsid w:val="004A3913"/>
    <w:rsid w:val="004A6656"/>
    <w:rsid w:val="004B1174"/>
    <w:rsid w:val="004B20DD"/>
    <w:rsid w:val="004B2924"/>
    <w:rsid w:val="004B2AC9"/>
    <w:rsid w:val="004B2B19"/>
    <w:rsid w:val="004B3541"/>
    <w:rsid w:val="004B4263"/>
    <w:rsid w:val="004B554F"/>
    <w:rsid w:val="004B634E"/>
    <w:rsid w:val="004B77A1"/>
    <w:rsid w:val="004C0145"/>
    <w:rsid w:val="004C24CB"/>
    <w:rsid w:val="004C3B7A"/>
    <w:rsid w:val="004C56A4"/>
    <w:rsid w:val="004C6BAA"/>
    <w:rsid w:val="004D095F"/>
    <w:rsid w:val="004D2102"/>
    <w:rsid w:val="004D218A"/>
    <w:rsid w:val="004D2FF8"/>
    <w:rsid w:val="004D56FC"/>
    <w:rsid w:val="004D638E"/>
    <w:rsid w:val="004D652C"/>
    <w:rsid w:val="004E0B68"/>
    <w:rsid w:val="004E289C"/>
    <w:rsid w:val="004E3170"/>
    <w:rsid w:val="004E7173"/>
    <w:rsid w:val="004E7F8D"/>
    <w:rsid w:val="004F1295"/>
    <w:rsid w:val="004F2338"/>
    <w:rsid w:val="004F3092"/>
    <w:rsid w:val="004F4427"/>
    <w:rsid w:val="004F46FB"/>
    <w:rsid w:val="004F6D30"/>
    <w:rsid w:val="005009D0"/>
    <w:rsid w:val="00500BEC"/>
    <w:rsid w:val="00500DA2"/>
    <w:rsid w:val="00501D30"/>
    <w:rsid w:val="00503907"/>
    <w:rsid w:val="0050481A"/>
    <w:rsid w:val="005052E9"/>
    <w:rsid w:val="00512E4D"/>
    <w:rsid w:val="00514202"/>
    <w:rsid w:val="005157AA"/>
    <w:rsid w:val="00517A72"/>
    <w:rsid w:val="0052256D"/>
    <w:rsid w:val="005242B4"/>
    <w:rsid w:val="005242C8"/>
    <w:rsid w:val="005243BB"/>
    <w:rsid w:val="00527EC4"/>
    <w:rsid w:val="0053016F"/>
    <w:rsid w:val="0053087A"/>
    <w:rsid w:val="005315F3"/>
    <w:rsid w:val="00532337"/>
    <w:rsid w:val="00536BAC"/>
    <w:rsid w:val="005430C5"/>
    <w:rsid w:val="00543E1A"/>
    <w:rsid w:val="00543E70"/>
    <w:rsid w:val="0054534F"/>
    <w:rsid w:val="005458A9"/>
    <w:rsid w:val="005469E3"/>
    <w:rsid w:val="00547C4E"/>
    <w:rsid w:val="00547C57"/>
    <w:rsid w:val="0055242A"/>
    <w:rsid w:val="00552E03"/>
    <w:rsid w:val="00554945"/>
    <w:rsid w:val="00554D8F"/>
    <w:rsid w:val="00555BA4"/>
    <w:rsid w:val="00556941"/>
    <w:rsid w:val="00561155"/>
    <w:rsid w:val="00562860"/>
    <w:rsid w:val="00563327"/>
    <w:rsid w:val="00563716"/>
    <w:rsid w:val="00563ECE"/>
    <w:rsid w:val="005644AB"/>
    <w:rsid w:val="00564517"/>
    <w:rsid w:val="0056549E"/>
    <w:rsid w:val="005667A4"/>
    <w:rsid w:val="00567FFC"/>
    <w:rsid w:val="00571339"/>
    <w:rsid w:val="00571616"/>
    <w:rsid w:val="00574C30"/>
    <w:rsid w:val="00575AC4"/>
    <w:rsid w:val="005768C9"/>
    <w:rsid w:val="00580DFF"/>
    <w:rsid w:val="00581C21"/>
    <w:rsid w:val="00581E53"/>
    <w:rsid w:val="005838A6"/>
    <w:rsid w:val="00583983"/>
    <w:rsid w:val="00583B14"/>
    <w:rsid w:val="0058448B"/>
    <w:rsid w:val="00584E2F"/>
    <w:rsid w:val="0059019F"/>
    <w:rsid w:val="00594639"/>
    <w:rsid w:val="005A1BF6"/>
    <w:rsid w:val="005A23A2"/>
    <w:rsid w:val="005A3208"/>
    <w:rsid w:val="005A76D7"/>
    <w:rsid w:val="005A7CB8"/>
    <w:rsid w:val="005B071C"/>
    <w:rsid w:val="005B31DA"/>
    <w:rsid w:val="005B3740"/>
    <w:rsid w:val="005B3905"/>
    <w:rsid w:val="005B4225"/>
    <w:rsid w:val="005B607F"/>
    <w:rsid w:val="005B734D"/>
    <w:rsid w:val="005B75E4"/>
    <w:rsid w:val="005C11CE"/>
    <w:rsid w:val="005C1927"/>
    <w:rsid w:val="005C2DAA"/>
    <w:rsid w:val="005C367A"/>
    <w:rsid w:val="005D0FE4"/>
    <w:rsid w:val="005D1D9E"/>
    <w:rsid w:val="005D4F1F"/>
    <w:rsid w:val="005D6C1E"/>
    <w:rsid w:val="005D7093"/>
    <w:rsid w:val="005D71D1"/>
    <w:rsid w:val="005D7942"/>
    <w:rsid w:val="005E12C7"/>
    <w:rsid w:val="005E2808"/>
    <w:rsid w:val="005F144B"/>
    <w:rsid w:val="005F2014"/>
    <w:rsid w:val="005F3895"/>
    <w:rsid w:val="005F3DF3"/>
    <w:rsid w:val="005F5FAB"/>
    <w:rsid w:val="005F6592"/>
    <w:rsid w:val="005F65AC"/>
    <w:rsid w:val="005F6752"/>
    <w:rsid w:val="0060031B"/>
    <w:rsid w:val="0060289B"/>
    <w:rsid w:val="00603F84"/>
    <w:rsid w:val="006104F3"/>
    <w:rsid w:val="00610707"/>
    <w:rsid w:val="00610F1F"/>
    <w:rsid w:val="00613E81"/>
    <w:rsid w:val="00614EAF"/>
    <w:rsid w:val="00615578"/>
    <w:rsid w:val="00617E6F"/>
    <w:rsid w:val="006217E8"/>
    <w:rsid w:val="006229E7"/>
    <w:rsid w:val="00625561"/>
    <w:rsid w:val="00627562"/>
    <w:rsid w:val="00630DC3"/>
    <w:rsid w:val="00632E55"/>
    <w:rsid w:val="0063567B"/>
    <w:rsid w:val="00636D58"/>
    <w:rsid w:val="006373B6"/>
    <w:rsid w:val="00637BEA"/>
    <w:rsid w:val="00640445"/>
    <w:rsid w:val="0064142E"/>
    <w:rsid w:val="00642E61"/>
    <w:rsid w:val="00645067"/>
    <w:rsid w:val="00645092"/>
    <w:rsid w:val="00645547"/>
    <w:rsid w:val="00646745"/>
    <w:rsid w:val="0065121C"/>
    <w:rsid w:val="00651937"/>
    <w:rsid w:val="006545A9"/>
    <w:rsid w:val="0066155D"/>
    <w:rsid w:val="006637F9"/>
    <w:rsid w:val="006664F3"/>
    <w:rsid w:val="00666EDB"/>
    <w:rsid w:val="006703B4"/>
    <w:rsid w:val="0067334B"/>
    <w:rsid w:val="00677738"/>
    <w:rsid w:val="006777E3"/>
    <w:rsid w:val="00677902"/>
    <w:rsid w:val="0068045B"/>
    <w:rsid w:val="00680C4F"/>
    <w:rsid w:val="00681819"/>
    <w:rsid w:val="00681A45"/>
    <w:rsid w:val="006824BB"/>
    <w:rsid w:val="00683FCC"/>
    <w:rsid w:val="00685657"/>
    <w:rsid w:val="00687CE4"/>
    <w:rsid w:val="006912D8"/>
    <w:rsid w:val="006930AF"/>
    <w:rsid w:val="00693E30"/>
    <w:rsid w:val="006946FF"/>
    <w:rsid w:val="00695018"/>
    <w:rsid w:val="0069580A"/>
    <w:rsid w:val="006961E0"/>
    <w:rsid w:val="006964B9"/>
    <w:rsid w:val="00696C18"/>
    <w:rsid w:val="006A00FA"/>
    <w:rsid w:val="006A1382"/>
    <w:rsid w:val="006A2223"/>
    <w:rsid w:val="006A28AF"/>
    <w:rsid w:val="006A3EBE"/>
    <w:rsid w:val="006A4039"/>
    <w:rsid w:val="006A40C7"/>
    <w:rsid w:val="006A411B"/>
    <w:rsid w:val="006A64EA"/>
    <w:rsid w:val="006A65EA"/>
    <w:rsid w:val="006B2FD7"/>
    <w:rsid w:val="006B4022"/>
    <w:rsid w:val="006B5E06"/>
    <w:rsid w:val="006C2A8C"/>
    <w:rsid w:val="006C35D0"/>
    <w:rsid w:val="006D2096"/>
    <w:rsid w:val="006D27EB"/>
    <w:rsid w:val="006D2CE2"/>
    <w:rsid w:val="006D2F70"/>
    <w:rsid w:val="006D3E5D"/>
    <w:rsid w:val="006D51EE"/>
    <w:rsid w:val="006D6C03"/>
    <w:rsid w:val="006D6CD7"/>
    <w:rsid w:val="006E24DC"/>
    <w:rsid w:val="006E3E74"/>
    <w:rsid w:val="006E420A"/>
    <w:rsid w:val="006F2148"/>
    <w:rsid w:val="006F234E"/>
    <w:rsid w:val="006F41DC"/>
    <w:rsid w:val="006F58D9"/>
    <w:rsid w:val="006F6115"/>
    <w:rsid w:val="00701166"/>
    <w:rsid w:val="00701181"/>
    <w:rsid w:val="007043FF"/>
    <w:rsid w:val="00704640"/>
    <w:rsid w:val="007063E5"/>
    <w:rsid w:val="00707DF3"/>
    <w:rsid w:val="00707F31"/>
    <w:rsid w:val="0071045E"/>
    <w:rsid w:val="007108B0"/>
    <w:rsid w:val="00710999"/>
    <w:rsid w:val="00711097"/>
    <w:rsid w:val="007122A2"/>
    <w:rsid w:val="00712769"/>
    <w:rsid w:val="0071331B"/>
    <w:rsid w:val="00714BFC"/>
    <w:rsid w:val="00715C8F"/>
    <w:rsid w:val="0071759E"/>
    <w:rsid w:val="00722663"/>
    <w:rsid w:val="00723420"/>
    <w:rsid w:val="00723E3D"/>
    <w:rsid w:val="00726235"/>
    <w:rsid w:val="00726CF6"/>
    <w:rsid w:val="0072773C"/>
    <w:rsid w:val="00730785"/>
    <w:rsid w:val="00732AB0"/>
    <w:rsid w:val="00732E1D"/>
    <w:rsid w:val="007357AE"/>
    <w:rsid w:val="007371CD"/>
    <w:rsid w:val="00743AFB"/>
    <w:rsid w:val="00744BA8"/>
    <w:rsid w:val="007472F3"/>
    <w:rsid w:val="00750FFB"/>
    <w:rsid w:val="0075366B"/>
    <w:rsid w:val="00753DF0"/>
    <w:rsid w:val="007562D1"/>
    <w:rsid w:val="007617EB"/>
    <w:rsid w:val="00761884"/>
    <w:rsid w:val="00761AC9"/>
    <w:rsid w:val="00762397"/>
    <w:rsid w:val="0076241F"/>
    <w:rsid w:val="00762794"/>
    <w:rsid w:val="00763216"/>
    <w:rsid w:val="00764E88"/>
    <w:rsid w:val="00764FA1"/>
    <w:rsid w:val="00765086"/>
    <w:rsid w:val="007716E6"/>
    <w:rsid w:val="00771E8B"/>
    <w:rsid w:val="00775A75"/>
    <w:rsid w:val="00784708"/>
    <w:rsid w:val="00784A31"/>
    <w:rsid w:val="00790F02"/>
    <w:rsid w:val="007A02B8"/>
    <w:rsid w:val="007A0489"/>
    <w:rsid w:val="007A143E"/>
    <w:rsid w:val="007A451C"/>
    <w:rsid w:val="007A55DD"/>
    <w:rsid w:val="007A5BEE"/>
    <w:rsid w:val="007A6004"/>
    <w:rsid w:val="007B38CD"/>
    <w:rsid w:val="007B3AEC"/>
    <w:rsid w:val="007B4801"/>
    <w:rsid w:val="007B4ED9"/>
    <w:rsid w:val="007B5122"/>
    <w:rsid w:val="007B6540"/>
    <w:rsid w:val="007B7CC7"/>
    <w:rsid w:val="007C1934"/>
    <w:rsid w:val="007C30D8"/>
    <w:rsid w:val="007C4A38"/>
    <w:rsid w:val="007D14F1"/>
    <w:rsid w:val="007D26FE"/>
    <w:rsid w:val="007D2E5A"/>
    <w:rsid w:val="007D3EB6"/>
    <w:rsid w:val="007D4BBE"/>
    <w:rsid w:val="007D63F1"/>
    <w:rsid w:val="007D72B6"/>
    <w:rsid w:val="007E0CCC"/>
    <w:rsid w:val="007E10CA"/>
    <w:rsid w:val="007E1AE6"/>
    <w:rsid w:val="007E5708"/>
    <w:rsid w:val="007E7F2C"/>
    <w:rsid w:val="007F045B"/>
    <w:rsid w:val="007F0828"/>
    <w:rsid w:val="007F0D9B"/>
    <w:rsid w:val="007F1A81"/>
    <w:rsid w:val="007F2A6F"/>
    <w:rsid w:val="007F7308"/>
    <w:rsid w:val="00800625"/>
    <w:rsid w:val="008006AD"/>
    <w:rsid w:val="00803758"/>
    <w:rsid w:val="008077AA"/>
    <w:rsid w:val="0081190D"/>
    <w:rsid w:val="00812002"/>
    <w:rsid w:val="0081271F"/>
    <w:rsid w:val="00812F15"/>
    <w:rsid w:val="00813CC0"/>
    <w:rsid w:val="0081509E"/>
    <w:rsid w:val="008168F3"/>
    <w:rsid w:val="00817D31"/>
    <w:rsid w:val="00820151"/>
    <w:rsid w:val="00820B38"/>
    <w:rsid w:val="0082101B"/>
    <w:rsid w:val="00821A20"/>
    <w:rsid w:val="00823C77"/>
    <w:rsid w:val="00823D0C"/>
    <w:rsid w:val="00823EF3"/>
    <w:rsid w:val="0083147A"/>
    <w:rsid w:val="0083302E"/>
    <w:rsid w:val="00833729"/>
    <w:rsid w:val="00834107"/>
    <w:rsid w:val="00834EBE"/>
    <w:rsid w:val="0083619F"/>
    <w:rsid w:val="00836B83"/>
    <w:rsid w:val="0083742B"/>
    <w:rsid w:val="00837667"/>
    <w:rsid w:val="00837AFA"/>
    <w:rsid w:val="0084019C"/>
    <w:rsid w:val="008426A6"/>
    <w:rsid w:val="00844000"/>
    <w:rsid w:val="00847CDD"/>
    <w:rsid w:val="00851D44"/>
    <w:rsid w:val="00852EF0"/>
    <w:rsid w:val="00853606"/>
    <w:rsid w:val="008548A0"/>
    <w:rsid w:val="00856CB7"/>
    <w:rsid w:val="00857A8B"/>
    <w:rsid w:val="00861ED9"/>
    <w:rsid w:val="00863141"/>
    <w:rsid w:val="0086316D"/>
    <w:rsid w:val="00864E9B"/>
    <w:rsid w:val="00866235"/>
    <w:rsid w:val="00866550"/>
    <w:rsid w:val="008678F3"/>
    <w:rsid w:val="00871C79"/>
    <w:rsid w:val="00872924"/>
    <w:rsid w:val="00876545"/>
    <w:rsid w:val="00880774"/>
    <w:rsid w:val="00881197"/>
    <w:rsid w:val="00882481"/>
    <w:rsid w:val="0088652C"/>
    <w:rsid w:val="00886A8F"/>
    <w:rsid w:val="0088748C"/>
    <w:rsid w:val="008902DD"/>
    <w:rsid w:val="008906CD"/>
    <w:rsid w:val="00892030"/>
    <w:rsid w:val="008941A1"/>
    <w:rsid w:val="0089484B"/>
    <w:rsid w:val="008A0373"/>
    <w:rsid w:val="008A10FE"/>
    <w:rsid w:val="008A3F56"/>
    <w:rsid w:val="008A6641"/>
    <w:rsid w:val="008A7914"/>
    <w:rsid w:val="008B0BBE"/>
    <w:rsid w:val="008B0CC3"/>
    <w:rsid w:val="008B1C5B"/>
    <w:rsid w:val="008B2E50"/>
    <w:rsid w:val="008B306E"/>
    <w:rsid w:val="008C0F50"/>
    <w:rsid w:val="008C2280"/>
    <w:rsid w:val="008C72A6"/>
    <w:rsid w:val="008C7B53"/>
    <w:rsid w:val="008D096D"/>
    <w:rsid w:val="008D1E28"/>
    <w:rsid w:val="008D3DFC"/>
    <w:rsid w:val="008D40B4"/>
    <w:rsid w:val="008D4742"/>
    <w:rsid w:val="008D71B8"/>
    <w:rsid w:val="008E1135"/>
    <w:rsid w:val="008E12BC"/>
    <w:rsid w:val="008E16BE"/>
    <w:rsid w:val="008E4242"/>
    <w:rsid w:val="008E4E15"/>
    <w:rsid w:val="008E758F"/>
    <w:rsid w:val="008F01DB"/>
    <w:rsid w:val="008F0B16"/>
    <w:rsid w:val="008F2E2D"/>
    <w:rsid w:val="008F40B3"/>
    <w:rsid w:val="008F4FF3"/>
    <w:rsid w:val="008F5BA5"/>
    <w:rsid w:val="008F7E0C"/>
    <w:rsid w:val="00903370"/>
    <w:rsid w:val="0090339A"/>
    <w:rsid w:val="00903635"/>
    <w:rsid w:val="009056DC"/>
    <w:rsid w:val="00905CE5"/>
    <w:rsid w:val="009060BE"/>
    <w:rsid w:val="009067D4"/>
    <w:rsid w:val="009071B2"/>
    <w:rsid w:val="00910DCD"/>
    <w:rsid w:val="009118DD"/>
    <w:rsid w:val="00914C86"/>
    <w:rsid w:val="00924B27"/>
    <w:rsid w:val="00926332"/>
    <w:rsid w:val="00926891"/>
    <w:rsid w:val="00926B26"/>
    <w:rsid w:val="00930AE1"/>
    <w:rsid w:val="00932337"/>
    <w:rsid w:val="00932CB0"/>
    <w:rsid w:val="00932FCA"/>
    <w:rsid w:val="00934797"/>
    <w:rsid w:val="00936592"/>
    <w:rsid w:val="0093671E"/>
    <w:rsid w:val="009375E7"/>
    <w:rsid w:val="00937BA5"/>
    <w:rsid w:val="00937DFC"/>
    <w:rsid w:val="0094067B"/>
    <w:rsid w:val="00942177"/>
    <w:rsid w:val="00942263"/>
    <w:rsid w:val="0094232C"/>
    <w:rsid w:val="00943501"/>
    <w:rsid w:val="009445DE"/>
    <w:rsid w:val="00944602"/>
    <w:rsid w:val="009456E7"/>
    <w:rsid w:val="00947175"/>
    <w:rsid w:val="00950CE5"/>
    <w:rsid w:val="00951019"/>
    <w:rsid w:val="00951126"/>
    <w:rsid w:val="00953EB2"/>
    <w:rsid w:val="0095586B"/>
    <w:rsid w:val="0095784A"/>
    <w:rsid w:val="00957C0C"/>
    <w:rsid w:val="00960D6E"/>
    <w:rsid w:val="00962253"/>
    <w:rsid w:val="009623B1"/>
    <w:rsid w:val="00962756"/>
    <w:rsid w:val="00962E73"/>
    <w:rsid w:val="00963B07"/>
    <w:rsid w:val="00965064"/>
    <w:rsid w:val="00965EFB"/>
    <w:rsid w:val="00967523"/>
    <w:rsid w:val="009701C5"/>
    <w:rsid w:val="00976EDF"/>
    <w:rsid w:val="00977390"/>
    <w:rsid w:val="00981398"/>
    <w:rsid w:val="009816CD"/>
    <w:rsid w:val="00981755"/>
    <w:rsid w:val="00982BB7"/>
    <w:rsid w:val="00983C49"/>
    <w:rsid w:val="00984959"/>
    <w:rsid w:val="00984ED7"/>
    <w:rsid w:val="0098623E"/>
    <w:rsid w:val="00986A91"/>
    <w:rsid w:val="009902E7"/>
    <w:rsid w:val="00992446"/>
    <w:rsid w:val="00993EDD"/>
    <w:rsid w:val="0099416C"/>
    <w:rsid w:val="009A061A"/>
    <w:rsid w:val="009A0E0F"/>
    <w:rsid w:val="009A3054"/>
    <w:rsid w:val="009A3991"/>
    <w:rsid w:val="009A4414"/>
    <w:rsid w:val="009A56EE"/>
    <w:rsid w:val="009A6FD9"/>
    <w:rsid w:val="009A7780"/>
    <w:rsid w:val="009A79A0"/>
    <w:rsid w:val="009A7C04"/>
    <w:rsid w:val="009B506D"/>
    <w:rsid w:val="009B6ED8"/>
    <w:rsid w:val="009B7865"/>
    <w:rsid w:val="009B7AD3"/>
    <w:rsid w:val="009B7E71"/>
    <w:rsid w:val="009C472E"/>
    <w:rsid w:val="009C4830"/>
    <w:rsid w:val="009C631D"/>
    <w:rsid w:val="009C78C7"/>
    <w:rsid w:val="009C7DD0"/>
    <w:rsid w:val="009D07B5"/>
    <w:rsid w:val="009D1C63"/>
    <w:rsid w:val="009D39FA"/>
    <w:rsid w:val="009D4165"/>
    <w:rsid w:val="009D7E7C"/>
    <w:rsid w:val="009E161A"/>
    <w:rsid w:val="009E174E"/>
    <w:rsid w:val="009E213C"/>
    <w:rsid w:val="009E2CF2"/>
    <w:rsid w:val="009E3115"/>
    <w:rsid w:val="009E38DA"/>
    <w:rsid w:val="009E3CDA"/>
    <w:rsid w:val="009E3F11"/>
    <w:rsid w:val="009E5F11"/>
    <w:rsid w:val="009E60A1"/>
    <w:rsid w:val="009E6443"/>
    <w:rsid w:val="009F3423"/>
    <w:rsid w:val="009F3544"/>
    <w:rsid w:val="009F38A4"/>
    <w:rsid w:val="009F6AB3"/>
    <w:rsid w:val="009F707E"/>
    <w:rsid w:val="009F7427"/>
    <w:rsid w:val="00A0030E"/>
    <w:rsid w:val="00A00DEA"/>
    <w:rsid w:val="00A01A1F"/>
    <w:rsid w:val="00A02F7A"/>
    <w:rsid w:val="00A04218"/>
    <w:rsid w:val="00A05010"/>
    <w:rsid w:val="00A06B32"/>
    <w:rsid w:val="00A10091"/>
    <w:rsid w:val="00A11E6A"/>
    <w:rsid w:val="00A12313"/>
    <w:rsid w:val="00A12435"/>
    <w:rsid w:val="00A125BB"/>
    <w:rsid w:val="00A1450C"/>
    <w:rsid w:val="00A14D60"/>
    <w:rsid w:val="00A160A8"/>
    <w:rsid w:val="00A16ABF"/>
    <w:rsid w:val="00A21E8C"/>
    <w:rsid w:val="00A22C60"/>
    <w:rsid w:val="00A23B66"/>
    <w:rsid w:val="00A23CEA"/>
    <w:rsid w:val="00A243E0"/>
    <w:rsid w:val="00A249FC"/>
    <w:rsid w:val="00A256B5"/>
    <w:rsid w:val="00A26A80"/>
    <w:rsid w:val="00A26B77"/>
    <w:rsid w:val="00A26F41"/>
    <w:rsid w:val="00A2715B"/>
    <w:rsid w:val="00A27A90"/>
    <w:rsid w:val="00A30D02"/>
    <w:rsid w:val="00A34954"/>
    <w:rsid w:val="00A42C86"/>
    <w:rsid w:val="00A42F5E"/>
    <w:rsid w:val="00A46251"/>
    <w:rsid w:val="00A462A9"/>
    <w:rsid w:val="00A50471"/>
    <w:rsid w:val="00A50A00"/>
    <w:rsid w:val="00A55D85"/>
    <w:rsid w:val="00A56A82"/>
    <w:rsid w:val="00A61344"/>
    <w:rsid w:val="00A61B5E"/>
    <w:rsid w:val="00A62F14"/>
    <w:rsid w:val="00A63811"/>
    <w:rsid w:val="00A63B40"/>
    <w:rsid w:val="00A644AB"/>
    <w:rsid w:val="00A6561A"/>
    <w:rsid w:val="00A6637D"/>
    <w:rsid w:val="00A66A6C"/>
    <w:rsid w:val="00A708F1"/>
    <w:rsid w:val="00A70D2E"/>
    <w:rsid w:val="00A71168"/>
    <w:rsid w:val="00A714E3"/>
    <w:rsid w:val="00A73563"/>
    <w:rsid w:val="00A745C2"/>
    <w:rsid w:val="00A74DB0"/>
    <w:rsid w:val="00A7617D"/>
    <w:rsid w:val="00A77625"/>
    <w:rsid w:val="00A82746"/>
    <w:rsid w:val="00A90738"/>
    <w:rsid w:val="00A908CB"/>
    <w:rsid w:val="00A90F56"/>
    <w:rsid w:val="00A92A3B"/>
    <w:rsid w:val="00A93166"/>
    <w:rsid w:val="00A93C50"/>
    <w:rsid w:val="00A94137"/>
    <w:rsid w:val="00A94FF6"/>
    <w:rsid w:val="00A95685"/>
    <w:rsid w:val="00A969A4"/>
    <w:rsid w:val="00AA175D"/>
    <w:rsid w:val="00AA17EF"/>
    <w:rsid w:val="00AA232C"/>
    <w:rsid w:val="00AA5BD3"/>
    <w:rsid w:val="00AA6D84"/>
    <w:rsid w:val="00AA6EED"/>
    <w:rsid w:val="00AB0A35"/>
    <w:rsid w:val="00AB1D26"/>
    <w:rsid w:val="00AB3094"/>
    <w:rsid w:val="00AB3271"/>
    <w:rsid w:val="00AB41AA"/>
    <w:rsid w:val="00AB4CB4"/>
    <w:rsid w:val="00AB590B"/>
    <w:rsid w:val="00AB6D06"/>
    <w:rsid w:val="00AB7A1B"/>
    <w:rsid w:val="00AC165A"/>
    <w:rsid w:val="00AC25EE"/>
    <w:rsid w:val="00AC2942"/>
    <w:rsid w:val="00AC2BC5"/>
    <w:rsid w:val="00AC3C20"/>
    <w:rsid w:val="00AC60AD"/>
    <w:rsid w:val="00AC6A2F"/>
    <w:rsid w:val="00AC7D71"/>
    <w:rsid w:val="00AD33A2"/>
    <w:rsid w:val="00AD5302"/>
    <w:rsid w:val="00AD7257"/>
    <w:rsid w:val="00AD7F14"/>
    <w:rsid w:val="00AE05AD"/>
    <w:rsid w:val="00AE362C"/>
    <w:rsid w:val="00AE4CD7"/>
    <w:rsid w:val="00AE6359"/>
    <w:rsid w:val="00AF0A6B"/>
    <w:rsid w:val="00AF1EF5"/>
    <w:rsid w:val="00AF28E3"/>
    <w:rsid w:val="00AF45C1"/>
    <w:rsid w:val="00B0220A"/>
    <w:rsid w:val="00B036F2"/>
    <w:rsid w:val="00B0370B"/>
    <w:rsid w:val="00B04369"/>
    <w:rsid w:val="00B04490"/>
    <w:rsid w:val="00B04767"/>
    <w:rsid w:val="00B11FA3"/>
    <w:rsid w:val="00B122DF"/>
    <w:rsid w:val="00B16256"/>
    <w:rsid w:val="00B225E0"/>
    <w:rsid w:val="00B23166"/>
    <w:rsid w:val="00B24BFA"/>
    <w:rsid w:val="00B25E4C"/>
    <w:rsid w:val="00B260E3"/>
    <w:rsid w:val="00B26EC3"/>
    <w:rsid w:val="00B30367"/>
    <w:rsid w:val="00B32BFA"/>
    <w:rsid w:val="00B3347C"/>
    <w:rsid w:val="00B33CC0"/>
    <w:rsid w:val="00B3465D"/>
    <w:rsid w:val="00B348CF"/>
    <w:rsid w:val="00B4065E"/>
    <w:rsid w:val="00B4323E"/>
    <w:rsid w:val="00B43470"/>
    <w:rsid w:val="00B4397B"/>
    <w:rsid w:val="00B46C38"/>
    <w:rsid w:val="00B50395"/>
    <w:rsid w:val="00B5239B"/>
    <w:rsid w:val="00B533CA"/>
    <w:rsid w:val="00B53FD5"/>
    <w:rsid w:val="00B56D02"/>
    <w:rsid w:val="00B57347"/>
    <w:rsid w:val="00B5759B"/>
    <w:rsid w:val="00B57FAE"/>
    <w:rsid w:val="00B601E4"/>
    <w:rsid w:val="00B60B1F"/>
    <w:rsid w:val="00B60CF6"/>
    <w:rsid w:val="00B60DC0"/>
    <w:rsid w:val="00B62A04"/>
    <w:rsid w:val="00B63134"/>
    <w:rsid w:val="00B63DE4"/>
    <w:rsid w:val="00B64A86"/>
    <w:rsid w:val="00B64ADE"/>
    <w:rsid w:val="00B65185"/>
    <w:rsid w:val="00B6553F"/>
    <w:rsid w:val="00B661FA"/>
    <w:rsid w:val="00B66C8F"/>
    <w:rsid w:val="00B72B43"/>
    <w:rsid w:val="00B749EB"/>
    <w:rsid w:val="00B7510B"/>
    <w:rsid w:val="00B75472"/>
    <w:rsid w:val="00B75C1F"/>
    <w:rsid w:val="00B760E4"/>
    <w:rsid w:val="00B81624"/>
    <w:rsid w:val="00B84338"/>
    <w:rsid w:val="00B85E18"/>
    <w:rsid w:val="00B8656C"/>
    <w:rsid w:val="00B8792D"/>
    <w:rsid w:val="00B90411"/>
    <w:rsid w:val="00B91B3B"/>
    <w:rsid w:val="00B9229F"/>
    <w:rsid w:val="00B93122"/>
    <w:rsid w:val="00B977D7"/>
    <w:rsid w:val="00BA3C3A"/>
    <w:rsid w:val="00BB11D5"/>
    <w:rsid w:val="00BB29F9"/>
    <w:rsid w:val="00BB31C0"/>
    <w:rsid w:val="00BB3E94"/>
    <w:rsid w:val="00BC1B24"/>
    <w:rsid w:val="00BC2F92"/>
    <w:rsid w:val="00BC378A"/>
    <w:rsid w:val="00BC4EDF"/>
    <w:rsid w:val="00BC6AA6"/>
    <w:rsid w:val="00BC7C23"/>
    <w:rsid w:val="00BD24B3"/>
    <w:rsid w:val="00BD3394"/>
    <w:rsid w:val="00BD387D"/>
    <w:rsid w:val="00BD3C05"/>
    <w:rsid w:val="00BD3C8A"/>
    <w:rsid w:val="00BD733D"/>
    <w:rsid w:val="00BE62F7"/>
    <w:rsid w:val="00BF31DC"/>
    <w:rsid w:val="00BF41C3"/>
    <w:rsid w:val="00BF4F68"/>
    <w:rsid w:val="00BF6307"/>
    <w:rsid w:val="00C00B41"/>
    <w:rsid w:val="00C01E0E"/>
    <w:rsid w:val="00C024F1"/>
    <w:rsid w:val="00C03581"/>
    <w:rsid w:val="00C0404D"/>
    <w:rsid w:val="00C04BBB"/>
    <w:rsid w:val="00C0596B"/>
    <w:rsid w:val="00C11E53"/>
    <w:rsid w:val="00C148CF"/>
    <w:rsid w:val="00C149CD"/>
    <w:rsid w:val="00C208E7"/>
    <w:rsid w:val="00C20936"/>
    <w:rsid w:val="00C25235"/>
    <w:rsid w:val="00C25340"/>
    <w:rsid w:val="00C255FB"/>
    <w:rsid w:val="00C25832"/>
    <w:rsid w:val="00C27EB0"/>
    <w:rsid w:val="00C32A12"/>
    <w:rsid w:val="00C32ACB"/>
    <w:rsid w:val="00C332D6"/>
    <w:rsid w:val="00C3404C"/>
    <w:rsid w:val="00C34C65"/>
    <w:rsid w:val="00C34E78"/>
    <w:rsid w:val="00C36ED6"/>
    <w:rsid w:val="00C36EFF"/>
    <w:rsid w:val="00C370AD"/>
    <w:rsid w:val="00C378D8"/>
    <w:rsid w:val="00C40B67"/>
    <w:rsid w:val="00C41301"/>
    <w:rsid w:val="00C41DEE"/>
    <w:rsid w:val="00C43DA7"/>
    <w:rsid w:val="00C466BE"/>
    <w:rsid w:val="00C469C1"/>
    <w:rsid w:val="00C52255"/>
    <w:rsid w:val="00C53BCB"/>
    <w:rsid w:val="00C54772"/>
    <w:rsid w:val="00C55C13"/>
    <w:rsid w:val="00C56045"/>
    <w:rsid w:val="00C57976"/>
    <w:rsid w:val="00C60003"/>
    <w:rsid w:val="00C60F14"/>
    <w:rsid w:val="00C61737"/>
    <w:rsid w:val="00C63272"/>
    <w:rsid w:val="00C63937"/>
    <w:rsid w:val="00C64595"/>
    <w:rsid w:val="00C65161"/>
    <w:rsid w:val="00C66233"/>
    <w:rsid w:val="00C71662"/>
    <w:rsid w:val="00C74753"/>
    <w:rsid w:val="00C751F1"/>
    <w:rsid w:val="00C758C1"/>
    <w:rsid w:val="00C763D2"/>
    <w:rsid w:val="00C8229C"/>
    <w:rsid w:val="00C83A3E"/>
    <w:rsid w:val="00C84499"/>
    <w:rsid w:val="00C852CA"/>
    <w:rsid w:val="00C87314"/>
    <w:rsid w:val="00C87BFD"/>
    <w:rsid w:val="00C87CFD"/>
    <w:rsid w:val="00C9017A"/>
    <w:rsid w:val="00C90D01"/>
    <w:rsid w:val="00C91964"/>
    <w:rsid w:val="00C933D4"/>
    <w:rsid w:val="00C95378"/>
    <w:rsid w:val="00C9608C"/>
    <w:rsid w:val="00C97F85"/>
    <w:rsid w:val="00CA4DE3"/>
    <w:rsid w:val="00CA5DC7"/>
    <w:rsid w:val="00CB299F"/>
    <w:rsid w:val="00CB41A7"/>
    <w:rsid w:val="00CB479C"/>
    <w:rsid w:val="00CB6D86"/>
    <w:rsid w:val="00CC4CCB"/>
    <w:rsid w:val="00CC6586"/>
    <w:rsid w:val="00CD0CA4"/>
    <w:rsid w:val="00CD1019"/>
    <w:rsid w:val="00CD1E9E"/>
    <w:rsid w:val="00CD2336"/>
    <w:rsid w:val="00CD2FF4"/>
    <w:rsid w:val="00CD5ED3"/>
    <w:rsid w:val="00CE5FCA"/>
    <w:rsid w:val="00CF087A"/>
    <w:rsid w:val="00CF1C75"/>
    <w:rsid w:val="00CF2BD1"/>
    <w:rsid w:val="00CF36CD"/>
    <w:rsid w:val="00CF5AC6"/>
    <w:rsid w:val="00CF5F8C"/>
    <w:rsid w:val="00CF6645"/>
    <w:rsid w:val="00CF70B4"/>
    <w:rsid w:val="00D004F5"/>
    <w:rsid w:val="00D0234E"/>
    <w:rsid w:val="00D03BD6"/>
    <w:rsid w:val="00D0568F"/>
    <w:rsid w:val="00D12628"/>
    <w:rsid w:val="00D159A7"/>
    <w:rsid w:val="00D17168"/>
    <w:rsid w:val="00D20252"/>
    <w:rsid w:val="00D20E6B"/>
    <w:rsid w:val="00D21A72"/>
    <w:rsid w:val="00D227CD"/>
    <w:rsid w:val="00D24479"/>
    <w:rsid w:val="00D24FFC"/>
    <w:rsid w:val="00D2628B"/>
    <w:rsid w:val="00D31701"/>
    <w:rsid w:val="00D31AFE"/>
    <w:rsid w:val="00D31C83"/>
    <w:rsid w:val="00D35F39"/>
    <w:rsid w:val="00D368E5"/>
    <w:rsid w:val="00D408A3"/>
    <w:rsid w:val="00D4230C"/>
    <w:rsid w:val="00D4239C"/>
    <w:rsid w:val="00D4475D"/>
    <w:rsid w:val="00D44B9F"/>
    <w:rsid w:val="00D44F62"/>
    <w:rsid w:val="00D458FA"/>
    <w:rsid w:val="00D53B9A"/>
    <w:rsid w:val="00D53D3F"/>
    <w:rsid w:val="00D53D54"/>
    <w:rsid w:val="00D55278"/>
    <w:rsid w:val="00D5559B"/>
    <w:rsid w:val="00D55BEB"/>
    <w:rsid w:val="00D61AE6"/>
    <w:rsid w:val="00D65237"/>
    <w:rsid w:val="00D6654D"/>
    <w:rsid w:val="00D7543D"/>
    <w:rsid w:val="00D762B0"/>
    <w:rsid w:val="00D76ECD"/>
    <w:rsid w:val="00D77F4C"/>
    <w:rsid w:val="00D8639D"/>
    <w:rsid w:val="00D86DCB"/>
    <w:rsid w:val="00D904CC"/>
    <w:rsid w:val="00D91101"/>
    <w:rsid w:val="00D93FC6"/>
    <w:rsid w:val="00D95957"/>
    <w:rsid w:val="00D95BBA"/>
    <w:rsid w:val="00D97054"/>
    <w:rsid w:val="00DA257F"/>
    <w:rsid w:val="00DA258C"/>
    <w:rsid w:val="00DA27DF"/>
    <w:rsid w:val="00DA2D01"/>
    <w:rsid w:val="00DA35AB"/>
    <w:rsid w:val="00DA7750"/>
    <w:rsid w:val="00DA7C0E"/>
    <w:rsid w:val="00DB249E"/>
    <w:rsid w:val="00DB2DAF"/>
    <w:rsid w:val="00DB4041"/>
    <w:rsid w:val="00DB4634"/>
    <w:rsid w:val="00DB50BE"/>
    <w:rsid w:val="00DB607D"/>
    <w:rsid w:val="00DB60EA"/>
    <w:rsid w:val="00DB6A1F"/>
    <w:rsid w:val="00DB7FB8"/>
    <w:rsid w:val="00DC2C99"/>
    <w:rsid w:val="00DC2EB5"/>
    <w:rsid w:val="00DC37B4"/>
    <w:rsid w:val="00DC4CE3"/>
    <w:rsid w:val="00DC5D2A"/>
    <w:rsid w:val="00DC730F"/>
    <w:rsid w:val="00DC7669"/>
    <w:rsid w:val="00DD2B4A"/>
    <w:rsid w:val="00DD3542"/>
    <w:rsid w:val="00DD5759"/>
    <w:rsid w:val="00DE2E48"/>
    <w:rsid w:val="00DE3A5B"/>
    <w:rsid w:val="00DE431D"/>
    <w:rsid w:val="00DE4CAA"/>
    <w:rsid w:val="00DE5756"/>
    <w:rsid w:val="00DE5757"/>
    <w:rsid w:val="00DE5A25"/>
    <w:rsid w:val="00DE7D92"/>
    <w:rsid w:val="00DF151A"/>
    <w:rsid w:val="00DF42D0"/>
    <w:rsid w:val="00DF4387"/>
    <w:rsid w:val="00DF4547"/>
    <w:rsid w:val="00E01744"/>
    <w:rsid w:val="00E03B40"/>
    <w:rsid w:val="00E05A89"/>
    <w:rsid w:val="00E10006"/>
    <w:rsid w:val="00E104E1"/>
    <w:rsid w:val="00E1177A"/>
    <w:rsid w:val="00E16D96"/>
    <w:rsid w:val="00E17F0D"/>
    <w:rsid w:val="00E206A6"/>
    <w:rsid w:val="00E21849"/>
    <w:rsid w:val="00E255AE"/>
    <w:rsid w:val="00E2643B"/>
    <w:rsid w:val="00E26806"/>
    <w:rsid w:val="00E300C1"/>
    <w:rsid w:val="00E330BF"/>
    <w:rsid w:val="00E33349"/>
    <w:rsid w:val="00E33B2C"/>
    <w:rsid w:val="00E3682F"/>
    <w:rsid w:val="00E37277"/>
    <w:rsid w:val="00E3790F"/>
    <w:rsid w:val="00E43816"/>
    <w:rsid w:val="00E43C2B"/>
    <w:rsid w:val="00E4668E"/>
    <w:rsid w:val="00E4671F"/>
    <w:rsid w:val="00E46943"/>
    <w:rsid w:val="00E46B2A"/>
    <w:rsid w:val="00E5169C"/>
    <w:rsid w:val="00E51B5B"/>
    <w:rsid w:val="00E541A8"/>
    <w:rsid w:val="00E55C02"/>
    <w:rsid w:val="00E5678D"/>
    <w:rsid w:val="00E56A70"/>
    <w:rsid w:val="00E60A16"/>
    <w:rsid w:val="00E6181E"/>
    <w:rsid w:val="00E619C3"/>
    <w:rsid w:val="00E639C9"/>
    <w:rsid w:val="00E63E19"/>
    <w:rsid w:val="00E715E8"/>
    <w:rsid w:val="00E73751"/>
    <w:rsid w:val="00E77113"/>
    <w:rsid w:val="00E82ACF"/>
    <w:rsid w:val="00E84032"/>
    <w:rsid w:val="00E84B3F"/>
    <w:rsid w:val="00E85CE9"/>
    <w:rsid w:val="00E913F5"/>
    <w:rsid w:val="00E91638"/>
    <w:rsid w:val="00E91CBE"/>
    <w:rsid w:val="00E92AC5"/>
    <w:rsid w:val="00E93A40"/>
    <w:rsid w:val="00E94C8A"/>
    <w:rsid w:val="00E96D69"/>
    <w:rsid w:val="00EA13B7"/>
    <w:rsid w:val="00EA2D92"/>
    <w:rsid w:val="00EA2F24"/>
    <w:rsid w:val="00EA41FC"/>
    <w:rsid w:val="00EA6BBD"/>
    <w:rsid w:val="00EB213E"/>
    <w:rsid w:val="00EB3A36"/>
    <w:rsid w:val="00EB412B"/>
    <w:rsid w:val="00EB6432"/>
    <w:rsid w:val="00EC0F2F"/>
    <w:rsid w:val="00EC0F76"/>
    <w:rsid w:val="00EC13AA"/>
    <w:rsid w:val="00EC15B5"/>
    <w:rsid w:val="00EC3A4D"/>
    <w:rsid w:val="00EC4CD0"/>
    <w:rsid w:val="00EC5DBF"/>
    <w:rsid w:val="00EC7C9E"/>
    <w:rsid w:val="00ED12FB"/>
    <w:rsid w:val="00ED3611"/>
    <w:rsid w:val="00ED538B"/>
    <w:rsid w:val="00ED5813"/>
    <w:rsid w:val="00ED5C2A"/>
    <w:rsid w:val="00EE1F80"/>
    <w:rsid w:val="00EE7468"/>
    <w:rsid w:val="00EF0A76"/>
    <w:rsid w:val="00EF1CFD"/>
    <w:rsid w:val="00EF4A42"/>
    <w:rsid w:val="00EF5538"/>
    <w:rsid w:val="00EF5B0D"/>
    <w:rsid w:val="00EF6EAF"/>
    <w:rsid w:val="00EF73CC"/>
    <w:rsid w:val="00F02FDD"/>
    <w:rsid w:val="00F04CE2"/>
    <w:rsid w:val="00F05FD4"/>
    <w:rsid w:val="00F06925"/>
    <w:rsid w:val="00F07566"/>
    <w:rsid w:val="00F07CBF"/>
    <w:rsid w:val="00F10850"/>
    <w:rsid w:val="00F116C8"/>
    <w:rsid w:val="00F17721"/>
    <w:rsid w:val="00F20638"/>
    <w:rsid w:val="00F229B0"/>
    <w:rsid w:val="00F23115"/>
    <w:rsid w:val="00F256A5"/>
    <w:rsid w:val="00F265AB"/>
    <w:rsid w:val="00F27C7C"/>
    <w:rsid w:val="00F3009E"/>
    <w:rsid w:val="00F3375B"/>
    <w:rsid w:val="00F34E88"/>
    <w:rsid w:val="00F3568D"/>
    <w:rsid w:val="00F4042B"/>
    <w:rsid w:val="00F42EA7"/>
    <w:rsid w:val="00F444F7"/>
    <w:rsid w:val="00F44F66"/>
    <w:rsid w:val="00F456E7"/>
    <w:rsid w:val="00F47B8E"/>
    <w:rsid w:val="00F5155F"/>
    <w:rsid w:val="00F5196A"/>
    <w:rsid w:val="00F5368C"/>
    <w:rsid w:val="00F539AA"/>
    <w:rsid w:val="00F54EFF"/>
    <w:rsid w:val="00F56437"/>
    <w:rsid w:val="00F57497"/>
    <w:rsid w:val="00F574D8"/>
    <w:rsid w:val="00F57728"/>
    <w:rsid w:val="00F57A64"/>
    <w:rsid w:val="00F66DE0"/>
    <w:rsid w:val="00F701D0"/>
    <w:rsid w:val="00F70F6D"/>
    <w:rsid w:val="00F71708"/>
    <w:rsid w:val="00F71C9E"/>
    <w:rsid w:val="00F72E25"/>
    <w:rsid w:val="00F73132"/>
    <w:rsid w:val="00F73AB9"/>
    <w:rsid w:val="00F75E32"/>
    <w:rsid w:val="00F83BEE"/>
    <w:rsid w:val="00F84348"/>
    <w:rsid w:val="00F8733D"/>
    <w:rsid w:val="00F87A14"/>
    <w:rsid w:val="00F87D9A"/>
    <w:rsid w:val="00F90CBA"/>
    <w:rsid w:val="00F945D9"/>
    <w:rsid w:val="00F966D8"/>
    <w:rsid w:val="00F97A5B"/>
    <w:rsid w:val="00FA174D"/>
    <w:rsid w:val="00FA3B38"/>
    <w:rsid w:val="00FA4099"/>
    <w:rsid w:val="00FA442C"/>
    <w:rsid w:val="00FB0048"/>
    <w:rsid w:val="00FB0213"/>
    <w:rsid w:val="00FB0738"/>
    <w:rsid w:val="00FB3D10"/>
    <w:rsid w:val="00FB4371"/>
    <w:rsid w:val="00FC2264"/>
    <w:rsid w:val="00FC4FE3"/>
    <w:rsid w:val="00FC5AB8"/>
    <w:rsid w:val="00FC6133"/>
    <w:rsid w:val="00FC65AC"/>
    <w:rsid w:val="00FD16A2"/>
    <w:rsid w:val="00FD185F"/>
    <w:rsid w:val="00FD1E11"/>
    <w:rsid w:val="00FD1FD3"/>
    <w:rsid w:val="00FD295A"/>
    <w:rsid w:val="00FD35D5"/>
    <w:rsid w:val="00FD3B67"/>
    <w:rsid w:val="00FD3ED3"/>
    <w:rsid w:val="00FD6D21"/>
    <w:rsid w:val="00FE0030"/>
    <w:rsid w:val="00FE03F6"/>
    <w:rsid w:val="00FE45E0"/>
    <w:rsid w:val="00FE4C9F"/>
    <w:rsid w:val="00FF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C9F"/>
    <w:rPr>
      <w:sz w:val="24"/>
      <w:szCs w:val="24"/>
      <w:lang w:val="en-US" w:eastAsia="en-US"/>
    </w:rPr>
  </w:style>
  <w:style w:type="paragraph" w:styleId="Heading1">
    <w:name w:val="heading 1"/>
    <w:basedOn w:val="Normal"/>
    <w:next w:val="Normal"/>
    <w:link w:val="Heading1Char"/>
    <w:qFormat/>
    <w:rsid w:val="001C2D9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92"/>
    <w:rPr>
      <w:rFonts w:ascii="Cambria" w:eastAsia="Times New Roman" w:hAnsi="Cambria" w:cs="Times New Roman"/>
      <w:b/>
      <w:bCs/>
      <w:color w:val="365F91"/>
      <w:sz w:val="28"/>
      <w:szCs w:val="28"/>
    </w:rPr>
  </w:style>
  <w:style w:type="paragraph" w:styleId="FootnoteText">
    <w:name w:val="footnote text"/>
    <w:basedOn w:val="Normal"/>
    <w:link w:val="FootnoteTextChar"/>
    <w:rsid w:val="003C0AF6"/>
    <w:rPr>
      <w:sz w:val="20"/>
      <w:szCs w:val="20"/>
    </w:rPr>
  </w:style>
  <w:style w:type="character" w:customStyle="1" w:styleId="FootnoteTextChar">
    <w:name w:val="Footnote Text Char"/>
    <w:basedOn w:val="DefaultParagraphFont"/>
    <w:link w:val="FootnoteText"/>
    <w:rsid w:val="003C0AF6"/>
    <w:rPr>
      <w:lang w:val="en-US" w:eastAsia="en-US"/>
    </w:rPr>
  </w:style>
  <w:style w:type="character" w:styleId="FootnoteReference">
    <w:name w:val="footnote reference"/>
    <w:basedOn w:val="DefaultParagraphFont"/>
    <w:uiPriority w:val="99"/>
    <w:rsid w:val="003C0AF6"/>
    <w:rPr>
      <w:vertAlign w:val="superscript"/>
    </w:rPr>
  </w:style>
  <w:style w:type="paragraph" w:styleId="Header">
    <w:name w:val="header"/>
    <w:basedOn w:val="Normal"/>
    <w:link w:val="HeaderChar"/>
    <w:rsid w:val="00C40B67"/>
    <w:pPr>
      <w:tabs>
        <w:tab w:val="center" w:pos="4513"/>
        <w:tab w:val="right" w:pos="9026"/>
      </w:tabs>
    </w:pPr>
  </w:style>
  <w:style w:type="character" w:customStyle="1" w:styleId="HeaderChar">
    <w:name w:val="Header Char"/>
    <w:basedOn w:val="DefaultParagraphFont"/>
    <w:link w:val="Header"/>
    <w:rsid w:val="00C40B67"/>
    <w:rPr>
      <w:sz w:val="24"/>
      <w:szCs w:val="24"/>
      <w:lang w:val="en-US" w:eastAsia="en-US"/>
    </w:rPr>
  </w:style>
  <w:style w:type="paragraph" w:styleId="Footer">
    <w:name w:val="footer"/>
    <w:basedOn w:val="Normal"/>
    <w:link w:val="FooterChar"/>
    <w:uiPriority w:val="99"/>
    <w:rsid w:val="00C40B67"/>
    <w:pPr>
      <w:tabs>
        <w:tab w:val="center" w:pos="4513"/>
        <w:tab w:val="right" w:pos="9026"/>
      </w:tabs>
    </w:pPr>
  </w:style>
  <w:style w:type="character" w:customStyle="1" w:styleId="FooterChar">
    <w:name w:val="Footer Char"/>
    <w:basedOn w:val="DefaultParagraphFont"/>
    <w:link w:val="Footer"/>
    <w:uiPriority w:val="99"/>
    <w:rsid w:val="00C40B67"/>
    <w:rPr>
      <w:sz w:val="24"/>
      <w:szCs w:val="24"/>
      <w:lang w:val="en-US" w:eastAsia="en-US"/>
    </w:rPr>
  </w:style>
  <w:style w:type="paragraph" w:styleId="EndnoteText">
    <w:name w:val="endnote text"/>
    <w:basedOn w:val="Normal"/>
    <w:link w:val="EndnoteTextChar"/>
    <w:rsid w:val="005F144B"/>
    <w:rPr>
      <w:sz w:val="20"/>
      <w:szCs w:val="20"/>
    </w:rPr>
  </w:style>
  <w:style w:type="character" w:customStyle="1" w:styleId="EndnoteTextChar">
    <w:name w:val="Endnote Text Char"/>
    <w:basedOn w:val="DefaultParagraphFont"/>
    <w:link w:val="EndnoteText"/>
    <w:rsid w:val="005F144B"/>
  </w:style>
  <w:style w:type="character" w:styleId="EndnoteReference">
    <w:name w:val="endnote reference"/>
    <w:basedOn w:val="DefaultParagraphFont"/>
    <w:rsid w:val="005F144B"/>
    <w:rPr>
      <w:vertAlign w:val="superscript"/>
    </w:rPr>
  </w:style>
  <w:style w:type="character" w:styleId="Hyperlink">
    <w:name w:val="Hyperlink"/>
    <w:basedOn w:val="DefaultParagraphFont"/>
    <w:rsid w:val="00153E5A"/>
    <w:rPr>
      <w:color w:val="0000FF"/>
      <w:u w:val="single"/>
    </w:rPr>
  </w:style>
  <w:style w:type="character" w:styleId="CommentReference">
    <w:name w:val="annotation reference"/>
    <w:basedOn w:val="DefaultParagraphFont"/>
    <w:rsid w:val="00DA7C0E"/>
    <w:rPr>
      <w:sz w:val="16"/>
      <w:szCs w:val="16"/>
    </w:rPr>
  </w:style>
  <w:style w:type="paragraph" w:styleId="CommentText">
    <w:name w:val="annotation text"/>
    <w:basedOn w:val="Normal"/>
    <w:link w:val="CommentTextChar"/>
    <w:rsid w:val="00DA7C0E"/>
    <w:rPr>
      <w:sz w:val="20"/>
      <w:szCs w:val="20"/>
    </w:rPr>
  </w:style>
  <w:style w:type="character" w:customStyle="1" w:styleId="CommentTextChar">
    <w:name w:val="Comment Text Char"/>
    <w:basedOn w:val="DefaultParagraphFont"/>
    <w:link w:val="CommentText"/>
    <w:rsid w:val="00DA7C0E"/>
    <w:rPr>
      <w:lang w:val="en-US" w:eastAsia="en-US"/>
    </w:rPr>
  </w:style>
  <w:style w:type="paragraph" w:styleId="CommentSubject">
    <w:name w:val="annotation subject"/>
    <w:basedOn w:val="CommentText"/>
    <w:next w:val="CommentText"/>
    <w:link w:val="CommentSubjectChar"/>
    <w:rsid w:val="00DA7C0E"/>
    <w:rPr>
      <w:b/>
      <w:bCs/>
    </w:rPr>
  </w:style>
  <w:style w:type="character" w:customStyle="1" w:styleId="CommentSubjectChar">
    <w:name w:val="Comment Subject Char"/>
    <w:basedOn w:val="CommentTextChar"/>
    <w:link w:val="CommentSubject"/>
    <w:rsid w:val="00DA7C0E"/>
    <w:rPr>
      <w:b/>
      <w:bCs/>
      <w:lang w:val="en-US" w:eastAsia="en-US"/>
    </w:rPr>
  </w:style>
  <w:style w:type="paragraph" w:styleId="BalloonText">
    <w:name w:val="Balloon Text"/>
    <w:basedOn w:val="Normal"/>
    <w:link w:val="BalloonTextChar"/>
    <w:rsid w:val="00DA7C0E"/>
    <w:rPr>
      <w:rFonts w:ascii="Tahoma" w:hAnsi="Tahoma" w:cs="Tahoma"/>
      <w:sz w:val="16"/>
      <w:szCs w:val="16"/>
    </w:rPr>
  </w:style>
  <w:style w:type="character" w:customStyle="1" w:styleId="BalloonTextChar">
    <w:name w:val="Balloon Text Char"/>
    <w:basedOn w:val="DefaultParagraphFont"/>
    <w:link w:val="BalloonText"/>
    <w:rsid w:val="00DA7C0E"/>
    <w:rPr>
      <w:rFonts w:ascii="Tahoma" w:hAnsi="Tahoma" w:cs="Tahoma"/>
      <w:sz w:val="16"/>
      <w:szCs w:val="16"/>
      <w:lang w:val="en-US" w:eastAsia="en-US"/>
    </w:rPr>
  </w:style>
  <w:style w:type="paragraph" w:styleId="NoSpacing">
    <w:name w:val="No Spacing"/>
    <w:link w:val="NoSpacingChar"/>
    <w:uiPriority w:val="1"/>
    <w:qFormat/>
    <w:rsid w:val="006373B6"/>
    <w:rPr>
      <w:rFonts w:ascii="Calibri" w:hAnsi="Calibri"/>
      <w:sz w:val="22"/>
      <w:szCs w:val="22"/>
      <w:lang w:val="en-US" w:eastAsia="en-US"/>
    </w:rPr>
  </w:style>
  <w:style w:type="character" w:customStyle="1" w:styleId="NoSpacingChar">
    <w:name w:val="No Spacing Char"/>
    <w:basedOn w:val="DefaultParagraphFont"/>
    <w:link w:val="NoSpacing"/>
    <w:uiPriority w:val="1"/>
    <w:rsid w:val="006373B6"/>
    <w:rPr>
      <w:rFonts w:ascii="Calibri" w:hAnsi="Calibri"/>
      <w:sz w:val="22"/>
      <w:szCs w:val="22"/>
      <w:lang w:val="en-US" w:eastAsia="en-US" w:bidi="ar-SA"/>
    </w:rPr>
  </w:style>
  <w:style w:type="table" w:styleId="TableGrid">
    <w:name w:val="Table Grid"/>
    <w:basedOn w:val="TableNormal"/>
    <w:uiPriority w:val="59"/>
    <w:rsid w:val="0022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23"/>
    <w:pPr>
      <w:ind w:left="720"/>
      <w:contextualSpacing/>
    </w:pPr>
    <w:rPr>
      <w:lang w:val="en-GB" w:eastAsia="en-GB"/>
    </w:rPr>
  </w:style>
  <w:style w:type="character" w:styleId="FollowedHyperlink">
    <w:name w:val="FollowedHyperlink"/>
    <w:basedOn w:val="DefaultParagraphFont"/>
    <w:uiPriority w:val="99"/>
    <w:rsid w:val="00486A8E"/>
    <w:rPr>
      <w:color w:val="800080"/>
      <w:u w:val="single"/>
    </w:rPr>
  </w:style>
  <w:style w:type="paragraph" w:styleId="PlainText">
    <w:name w:val="Plain Text"/>
    <w:basedOn w:val="Normal"/>
    <w:link w:val="PlainTextChar"/>
    <w:uiPriority w:val="99"/>
    <w:unhideWhenUsed/>
    <w:rsid w:val="00036B56"/>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036B56"/>
    <w:rPr>
      <w:rFonts w:ascii="Consolas" w:eastAsiaTheme="minorHAnsi" w:hAnsi="Consolas" w:cs="Consolas"/>
      <w:sz w:val="21"/>
      <w:szCs w:val="21"/>
      <w:lang w:eastAsia="en-US"/>
    </w:rPr>
  </w:style>
  <w:style w:type="table" w:customStyle="1" w:styleId="TableGrid1">
    <w:name w:val="Table Grid1"/>
    <w:basedOn w:val="TableNormal"/>
    <w:next w:val="TableGrid"/>
    <w:uiPriority w:val="59"/>
    <w:rsid w:val="00330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721"/>
    <w:rPr>
      <w:color w:val="808080"/>
    </w:rPr>
  </w:style>
  <w:style w:type="paragraph" w:customStyle="1" w:styleId="ismanswer">
    <w:name w:val="ismanswer"/>
    <w:basedOn w:val="Normal"/>
    <w:rsid w:val="009902E7"/>
    <w:pPr>
      <w:spacing w:before="100" w:beforeAutospacing="1" w:after="100" w:afterAutospacing="1"/>
    </w:pPr>
    <w:rPr>
      <w:lang w:val="en-GB" w:eastAsia="en-GB"/>
    </w:rPr>
  </w:style>
  <w:style w:type="character" w:customStyle="1" w:styleId="algouri">
    <w:name w:val="algouri"/>
    <w:basedOn w:val="DefaultParagraphFont"/>
    <w:rsid w:val="0031439F"/>
    <w:rPr>
      <w:strike w:val="0"/>
      <w:dstrike w:val="0"/>
      <w:color w:val="0E7744"/>
      <w:sz w:val="20"/>
      <w:szCs w:val="20"/>
      <w:u w:val="none"/>
      <w:effect w:val="none"/>
    </w:rPr>
  </w:style>
  <w:style w:type="paragraph" w:customStyle="1" w:styleId="Default">
    <w:name w:val="Default"/>
    <w:rsid w:val="008D3DFC"/>
    <w:pPr>
      <w:autoSpaceDE w:val="0"/>
      <w:autoSpaceDN w:val="0"/>
      <w:adjustRightInd w:val="0"/>
    </w:pPr>
    <w:rPr>
      <w:rFonts w:ascii="Code" w:hAnsi="Code" w:cs="Code"/>
      <w:color w:val="000000"/>
      <w:sz w:val="24"/>
      <w:szCs w:val="24"/>
    </w:rPr>
  </w:style>
  <w:style w:type="paragraph" w:styleId="Revision">
    <w:name w:val="Revision"/>
    <w:hidden/>
    <w:uiPriority w:val="99"/>
    <w:semiHidden/>
    <w:rsid w:val="0083742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C9F"/>
    <w:rPr>
      <w:sz w:val="24"/>
      <w:szCs w:val="24"/>
      <w:lang w:val="en-US" w:eastAsia="en-US"/>
    </w:rPr>
  </w:style>
  <w:style w:type="paragraph" w:styleId="Heading1">
    <w:name w:val="heading 1"/>
    <w:basedOn w:val="Normal"/>
    <w:next w:val="Normal"/>
    <w:link w:val="Heading1Char"/>
    <w:qFormat/>
    <w:rsid w:val="001C2D9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92"/>
    <w:rPr>
      <w:rFonts w:ascii="Cambria" w:eastAsia="Times New Roman" w:hAnsi="Cambria" w:cs="Times New Roman"/>
      <w:b/>
      <w:bCs/>
      <w:color w:val="365F91"/>
      <w:sz w:val="28"/>
      <w:szCs w:val="28"/>
    </w:rPr>
  </w:style>
  <w:style w:type="paragraph" w:styleId="FootnoteText">
    <w:name w:val="footnote text"/>
    <w:basedOn w:val="Normal"/>
    <w:link w:val="FootnoteTextChar"/>
    <w:rsid w:val="003C0AF6"/>
    <w:rPr>
      <w:sz w:val="20"/>
      <w:szCs w:val="20"/>
    </w:rPr>
  </w:style>
  <w:style w:type="character" w:customStyle="1" w:styleId="FootnoteTextChar">
    <w:name w:val="Footnote Text Char"/>
    <w:basedOn w:val="DefaultParagraphFont"/>
    <w:link w:val="FootnoteText"/>
    <w:rsid w:val="003C0AF6"/>
    <w:rPr>
      <w:lang w:val="en-US" w:eastAsia="en-US"/>
    </w:rPr>
  </w:style>
  <w:style w:type="character" w:styleId="FootnoteReference">
    <w:name w:val="footnote reference"/>
    <w:basedOn w:val="DefaultParagraphFont"/>
    <w:uiPriority w:val="99"/>
    <w:rsid w:val="003C0AF6"/>
    <w:rPr>
      <w:vertAlign w:val="superscript"/>
    </w:rPr>
  </w:style>
  <w:style w:type="paragraph" w:styleId="Header">
    <w:name w:val="header"/>
    <w:basedOn w:val="Normal"/>
    <w:link w:val="HeaderChar"/>
    <w:rsid w:val="00C40B67"/>
    <w:pPr>
      <w:tabs>
        <w:tab w:val="center" w:pos="4513"/>
        <w:tab w:val="right" w:pos="9026"/>
      </w:tabs>
    </w:pPr>
  </w:style>
  <w:style w:type="character" w:customStyle="1" w:styleId="HeaderChar">
    <w:name w:val="Header Char"/>
    <w:basedOn w:val="DefaultParagraphFont"/>
    <w:link w:val="Header"/>
    <w:rsid w:val="00C40B67"/>
    <w:rPr>
      <w:sz w:val="24"/>
      <w:szCs w:val="24"/>
      <w:lang w:val="en-US" w:eastAsia="en-US"/>
    </w:rPr>
  </w:style>
  <w:style w:type="paragraph" w:styleId="Footer">
    <w:name w:val="footer"/>
    <w:basedOn w:val="Normal"/>
    <w:link w:val="FooterChar"/>
    <w:uiPriority w:val="99"/>
    <w:rsid w:val="00C40B67"/>
    <w:pPr>
      <w:tabs>
        <w:tab w:val="center" w:pos="4513"/>
        <w:tab w:val="right" w:pos="9026"/>
      </w:tabs>
    </w:pPr>
  </w:style>
  <w:style w:type="character" w:customStyle="1" w:styleId="FooterChar">
    <w:name w:val="Footer Char"/>
    <w:basedOn w:val="DefaultParagraphFont"/>
    <w:link w:val="Footer"/>
    <w:uiPriority w:val="99"/>
    <w:rsid w:val="00C40B67"/>
    <w:rPr>
      <w:sz w:val="24"/>
      <w:szCs w:val="24"/>
      <w:lang w:val="en-US" w:eastAsia="en-US"/>
    </w:rPr>
  </w:style>
  <w:style w:type="paragraph" w:styleId="EndnoteText">
    <w:name w:val="endnote text"/>
    <w:basedOn w:val="Normal"/>
    <w:link w:val="EndnoteTextChar"/>
    <w:rsid w:val="005F144B"/>
    <w:rPr>
      <w:sz w:val="20"/>
      <w:szCs w:val="20"/>
    </w:rPr>
  </w:style>
  <w:style w:type="character" w:customStyle="1" w:styleId="EndnoteTextChar">
    <w:name w:val="Endnote Text Char"/>
    <w:basedOn w:val="DefaultParagraphFont"/>
    <w:link w:val="EndnoteText"/>
    <w:rsid w:val="005F144B"/>
  </w:style>
  <w:style w:type="character" w:styleId="EndnoteReference">
    <w:name w:val="endnote reference"/>
    <w:basedOn w:val="DefaultParagraphFont"/>
    <w:rsid w:val="005F144B"/>
    <w:rPr>
      <w:vertAlign w:val="superscript"/>
    </w:rPr>
  </w:style>
  <w:style w:type="character" w:styleId="Hyperlink">
    <w:name w:val="Hyperlink"/>
    <w:basedOn w:val="DefaultParagraphFont"/>
    <w:rsid w:val="00153E5A"/>
    <w:rPr>
      <w:color w:val="0000FF"/>
      <w:u w:val="single"/>
    </w:rPr>
  </w:style>
  <w:style w:type="character" w:styleId="CommentReference">
    <w:name w:val="annotation reference"/>
    <w:basedOn w:val="DefaultParagraphFont"/>
    <w:rsid w:val="00DA7C0E"/>
    <w:rPr>
      <w:sz w:val="16"/>
      <w:szCs w:val="16"/>
    </w:rPr>
  </w:style>
  <w:style w:type="paragraph" w:styleId="CommentText">
    <w:name w:val="annotation text"/>
    <w:basedOn w:val="Normal"/>
    <w:link w:val="CommentTextChar"/>
    <w:rsid w:val="00DA7C0E"/>
    <w:rPr>
      <w:sz w:val="20"/>
      <w:szCs w:val="20"/>
    </w:rPr>
  </w:style>
  <w:style w:type="character" w:customStyle="1" w:styleId="CommentTextChar">
    <w:name w:val="Comment Text Char"/>
    <w:basedOn w:val="DefaultParagraphFont"/>
    <w:link w:val="CommentText"/>
    <w:rsid w:val="00DA7C0E"/>
    <w:rPr>
      <w:lang w:val="en-US" w:eastAsia="en-US"/>
    </w:rPr>
  </w:style>
  <w:style w:type="paragraph" w:styleId="CommentSubject">
    <w:name w:val="annotation subject"/>
    <w:basedOn w:val="CommentText"/>
    <w:next w:val="CommentText"/>
    <w:link w:val="CommentSubjectChar"/>
    <w:rsid w:val="00DA7C0E"/>
    <w:rPr>
      <w:b/>
      <w:bCs/>
    </w:rPr>
  </w:style>
  <w:style w:type="character" w:customStyle="1" w:styleId="CommentSubjectChar">
    <w:name w:val="Comment Subject Char"/>
    <w:basedOn w:val="CommentTextChar"/>
    <w:link w:val="CommentSubject"/>
    <w:rsid w:val="00DA7C0E"/>
    <w:rPr>
      <w:b/>
      <w:bCs/>
      <w:lang w:val="en-US" w:eastAsia="en-US"/>
    </w:rPr>
  </w:style>
  <w:style w:type="paragraph" w:styleId="BalloonText">
    <w:name w:val="Balloon Text"/>
    <w:basedOn w:val="Normal"/>
    <w:link w:val="BalloonTextChar"/>
    <w:rsid w:val="00DA7C0E"/>
    <w:rPr>
      <w:rFonts w:ascii="Tahoma" w:hAnsi="Tahoma" w:cs="Tahoma"/>
      <w:sz w:val="16"/>
      <w:szCs w:val="16"/>
    </w:rPr>
  </w:style>
  <w:style w:type="character" w:customStyle="1" w:styleId="BalloonTextChar">
    <w:name w:val="Balloon Text Char"/>
    <w:basedOn w:val="DefaultParagraphFont"/>
    <w:link w:val="BalloonText"/>
    <w:rsid w:val="00DA7C0E"/>
    <w:rPr>
      <w:rFonts w:ascii="Tahoma" w:hAnsi="Tahoma" w:cs="Tahoma"/>
      <w:sz w:val="16"/>
      <w:szCs w:val="16"/>
      <w:lang w:val="en-US" w:eastAsia="en-US"/>
    </w:rPr>
  </w:style>
  <w:style w:type="paragraph" w:styleId="NoSpacing">
    <w:name w:val="No Spacing"/>
    <w:link w:val="NoSpacingChar"/>
    <w:uiPriority w:val="1"/>
    <w:qFormat/>
    <w:rsid w:val="006373B6"/>
    <w:rPr>
      <w:rFonts w:ascii="Calibri" w:hAnsi="Calibri"/>
      <w:sz w:val="22"/>
      <w:szCs w:val="22"/>
      <w:lang w:val="en-US" w:eastAsia="en-US"/>
    </w:rPr>
  </w:style>
  <w:style w:type="character" w:customStyle="1" w:styleId="NoSpacingChar">
    <w:name w:val="No Spacing Char"/>
    <w:basedOn w:val="DefaultParagraphFont"/>
    <w:link w:val="NoSpacing"/>
    <w:uiPriority w:val="1"/>
    <w:rsid w:val="006373B6"/>
    <w:rPr>
      <w:rFonts w:ascii="Calibri" w:hAnsi="Calibri"/>
      <w:sz w:val="22"/>
      <w:szCs w:val="22"/>
      <w:lang w:val="en-US" w:eastAsia="en-US" w:bidi="ar-SA"/>
    </w:rPr>
  </w:style>
  <w:style w:type="table" w:styleId="TableGrid">
    <w:name w:val="Table Grid"/>
    <w:basedOn w:val="TableNormal"/>
    <w:uiPriority w:val="59"/>
    <w:rsid w:val="0022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23"/>
    <w:pPr>
      <w:ind w:left="720"/>
      <w:contextualSpacing/>
    </w:pPr>
    <w:rPr>
      <w:lang w:val="en-GB" w:eastAsia="en-GB"/>
    </w:rPr>
  </w:style>
  <w:style w:type="character" w:styleId="FollowedHyperlink">
    <w:name w:val="FollowedHyperlink"/>
    <w:basedOn w:val="DefaultParagraphFont"/>
    <w:uiPriority w:val="99"/>
    <w:rsid w:val="00486A8E"/>
    <w:rPr>
      <w:color w:val="800080"/>
      <w:u w:val="single"/>
    </w:rPr>
  </w:style>
  <w:style w:type="paragraph" w:styleId="PlainText">
    <w:name w:val="Plain Text"/>
    <w:basedOn w:val="Normal"/>
    <w:link w:val="PlainTextChar"/>
    <w:uiPriority w:val="99"/>
    <w:unhideWhenUsed/>
    <w:rsid w:val="00036B56"/>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036B56"/>
    <w:rPr>
      <w:rFonts w:ascii="Consolas" w:eastAsiaTheme="minorHAnsi" w:hAnsi="Consolas" w:cs="Consolas"/>
      <w:sz w:val="21"/>
      <w:szCs w:val="21"/>
      <w:lang w:eastAsia="en-US"/>
    </w:rPr>
  </w:style>
  <w:style w:type="table" w:customStyle="1" w:styleId="TableGrid1">
    <w:name w:val="Table Grid1"/>
    <w:basedOn w:val="TableNormal"/>
    <w:next w:val="TableGrid"/>
    <w:uiPriority w:val="59"/>
    <w:rsid w:val="00330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721"/>
    <w:rPr>
      <w:color w:val="808080"/>
    </w:rPr>
  </w:style>
  <w:style w:type="paragraph" w:customStyle="1" w:styleId="ismanswer">
    <w:name w:val="ismanswer"/>
    <w:basedOn w:val="Normal"/>
    <w:rsid w:val="009902E7"/>
    <w:pPr>
      <w:spacing w:before="100" w:beforeAutospacing="1" w:after="100" w:afterAutospacing="1"/>
    </w:pPr>
    <w:rPr>
      <w:lang w:val="en-GB" w:eastAsia="en-GB"/>
    </w:rPr>
  </w:style>
  <w:style w:type="character" w:customStyle="1" w:styleId="algouri">
    <w:name w:val="algouri"/>
    <w:basedOn w:val="DefaultParagraphFont"/>
    <w:rsid w:val="0031439F"/>
    <w:rPr>
      <w:strike w:val="0"/>
      <w:dstrike w:val="0"/>
      <w:color w:val="0E7744"/>
      <w:sz w:val="20"/>
      <w:szCs w:val="20"/>
      <w:u w:val="none"/>
      <w:effect w:val="none"/>
    </w:rPr>
  </w:style>
  <w:style w:type="paragraph" w:customStyle="1" w:styleId="Default">
    <w:name w:val="Default"/>
    <w:rsid w:val="008D3DFC"/>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58">
      <w:bodyDiv w:val="1"/>
      <w:marLeft w:val="0"/>
      <w:marRight w:val="0"/>
      <w:marTop w:val="0"/>
      <w:marBottom w:val="0"/>
      <w:divBdr>
        <w:top w:val="none" w:sz="0" w:space="0" w:color="auto"/>
        <w:left w:val="none" w:sz="0" w:space="0" w:color="auto"/>
        <w:bottom w:val="none" w:sz="0" w:space="0" w:color="auto"/>
        <w:right w:val="none" w:sz="0" w:space="0" w:color="auto"/>
      </w:divBdr>
    </w:div>
    <w:div w:id="65147741">
      <w:bodyDiv w:val="1"/>
      <w:marLeft w:val="0"/>
      <w:marRight w:val="0"/>
      <w:marTop w:val="0"/>
      <w:marBottom w:val="0"/>
      <w:divBdr>
        <w:top w:val="none" w:sz="0" w:space="0" w:color="auto"/>
        <w:left w:val="none" w:sz="0" w:space="0" w:color="auto"/>
        <w:bottom w:val="none" w:sz="0" w:space="0" w:color="auto"/>
        <w:right w:val="none" w:sz="0" w:space="0" w:color="auto"/>
      </w:divBdr>
    </w:div>
    <w:div w:id="97452970">
      <w:bodyDiv w:val="1"/>
      <w:marLeft w:val="0"/>
      <w:marRight w:val="0"/>
      <w:marTop w:val="0"/>
      <w:marBottom w:val="0"/>
      <w:divBdr>
        <w:top w:val="none" w:sz="0" w:space="0" w:color="auto"/>
        <w:left w:val="none" w:sz="0" w:space="0" w:color="auto"/>
        <w:bottom w:val="none" w:sz="0" w:space="0" w:color="auto"/>
        <w:right w:val="none" w:sz="0" w:space="0" w:color="auto"/>
      </w:divBdr>
    </w:div>
    <w:div w:id="134304229">
      <w:bodyDiv w:val="1"/>
      <w:marLeft w:val="0"/>
      <w:marRight w:val="0"/>
      <w:marTop w:val="0"/>
      <w:marBottom w:val="0"/>
      <w:divBdr>
        <w:top w:val="none" w:sz="0" w:space="0" w:color="auto"/>
        <w:left w:val="none" w:sz="0" w:space="0" w:color="auto"/>
        <w:bottom w:val="none" w:sz="0" w:space="0" w:color="auto"/>
        <w:right w:val="none" w:sz="0" w:space="0" w:color="auto"/>
      </w:divBdr>
    </w:div>
    <w:div w:id="256058780">
      <w:bodyDiv w:val="1"/>
      <w:marLeft w:val="0"/>
      <w:marRight w:val="0"/>
      <w:marTop w:val="0"/>
      <w:marBottom w:val="0"/>
      <w:divBdr>
        <w:top w:val="none" w:sz="0" w:space="0" w:color="auto"/>
        <w:left w:val="none" w:sz="0" w:space="0" w:color="auto"/>
        <w:bottom w:val="none" w:sz="0" w:space="0" w:color="auto"/>
        <w:right w:val="none" w:sz="0" w:space="0" w:color="auto"/>
      </w:divBdr>
    </w:div>
    <w:div w:id="300304335">
      <w:bodyDiv w:val="1"/>
      <w:marLeft w:val="0"/>
      <w:marRight w:val="0"/>
      <w:marTop w:val="0"/>
      <w:marBottom w:val="0"/>
      <w:divBdr>
        <w:top w:val="none" w:sz="0" w:space="0" w:color="auto"/>
        <w:left w:val="none" w:sz="0" w:space="0" w:color="auto"/>
        <w:bottom w:val="none" w:sz="0" w:space="0" w:color="auto"/>
        <w:right w:val="none" w:sz="0" w:space="0" w:color="auto"/>
      </w:divBdr>
      <w:divsChild>
        <w:div w:id="1078937255">
          <w:marLeft w:val="0"/>
          <w:marRight w:val="0"/>
          <w:marTop w:val="0"/>
          <w:marBottom w:val="0"/>
          <w:divBdr>
            <w:top w:val="none" w:sz="0" w:space="0" w:color="auto"/>
            <w:left w:val="none" w:sz="0" w:space="0" w:color="auto"/>
            <w:bottom w:val="none" w:sz="0" w:space="0" w:color="auto"/>
            <w:right w:val="none" w:sz="0" w:space="0" w:color="auto"/>
          </w:divBdr>
          <w:divsChild>
            <w:div w:id="612710782">
              <w:marLeft w:val="0"/>
              <w:marRight w:val="0"/>
              <w:marTop w:val="0"/>
              <w:marBottom w:val="0"/>
              <w:divBdr>
                <w:top w:val="none" w:sz="0" w:space="0" w:color="auto"/>
                <w:left w:val="none" w:sz="0" w:space="0" w:color="auto"/>
                <w:bottom w:val="none" w:sz="0" w:space="0" w:color="auto"/>
                <w:right w:val="none" w:sz="0" w:space="0" w:color="auto"/>
              </w:divBdr>
            </w:div>
            <w:div w:id="13489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780">
      <w:bodyDiv w:val="1"/>
      <w:marLeft w:val="0"/>
      <w:marRight w:val="0"/>
      <w:marTop w:val="0"/>
      <w:marBottom w:val="0"/>
      <w:divBdr>
        <w:top w:val="none" w:sz="0" w:space="0" w:color="auto"/>
        <w:left w:val="none" w:sz="0" w:space="0" w:color="auto"/>
        <w:bottom w:val="none" w:sz="0" w:space="0" w:color="auto"/>
        <w:right w:val="none" w:sz="0" w:space="0" w:color="auto"/>
      </w:divBdr>
      <w:divsChild>
        <w:div w:id="553540698">
          <w:marLeft w:val="0"/>
          <w:marRight w:val="0"/>
          <w:marTop w:val="0"/>
          <w:marBottom w:val="0"/>
          <w:divBdr>
            <w:top w:val="none" w:sz="0" w:space="0" w:color="auto"/>
            <w:left w:val="none" w:sz="0" w:space="0" w:color="auto"/>
            <w:bottom w:val="none" w:sz="0" w:space="0" w:color="auto"/>
            <w:right w:val="none" w:sz="0" w:space="0" w:color="auto"/>
          </w:divBdr>
          <w:divsChild>
            <w:div w:id="624242108">
              <w:marLeft w:val="0"/>
              <w:marRight w:val="0"/>
              <w:marTop w:val="0"/>
              <w:marBottom w:val="0"/>
              <w:divBdr>
                <w:top w:val="none" w:sz="0" w:space="0" w:color="auto"/>
                <w:left w:val="none" w:sz="0" w:space="0" w:color="auto"/>
                <w:bottom w:val="none" w:sz="0" w:space="0" w:color="auto"/>
                <w:right w:val="none" w:sz="0" w:space="0" w:color="auto"/>
              </w:divBdr>
              <w:divsChild>
                <w:div w:id="436217142">
                  <w:marLeft w:val="0"/>
                  <w:marRight w:val="0"/>
                  <w:marTop w:val="0"/>
                  <w:marBottom w:val="0"/>
                  <w:divBdr>
                    <w:top w:val="none" w:sz="0" w:space="0" w:color="auto"/>
                    <w:left w:val="none" w:sz="0" w:space="0" w:color="auto"/>
                    <w:bottom w:val="none" w:sz="0" w:space="0" w:color="auto"/>
                    <w:right w:val="none" w:sz="0" w:space="0" w:color="auto"/>
                  </w:divBdr>
                  <w:divsChild>
                    <w:div w:id="956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6370">
      <w:bodyDiv w:val="1"/>
      <w:marLeft w:val="0"/>
      <w:marRight w:val="0"/>
      <w:marTop w:val="0"/>
      <w:marBottom w:val="0"/>
      <w:divBdr>
        <w:top w:val="none" w:sz="0" w:space="0" w:color="auto"/>
        <w:left w:val="none" w:sz="0" w:space="0" w:color="auto"/>
        <w:bottom w:val="none" w:sz="0" w:space="0" w:color="auto"/>
        <w:right w:val="none" w:sz="0" w:space="0" w:color="auto"/>
      </w:divBdr>
    </w:div>
    <w:div w:id="450170741">
      <w:bodyDiv w:val="1"/>
      <w:marLeft w:val="0"/>
      <w:marRight w:val="0"/>
      <w:marTop w:val="0"/>
      <w:marBottom w:val="0"/>
      <w:divBdr>
        <w:top w:val="none" w:sz="0" w:space="0" w:color="auto"/>
        <w:left w:val="none" w:sz="0" w:space="0" w:color="auto"/>
        <w:bottom w:val="none" w:sz="0" w:space="0" w:color="auto"/>
        <w:right w:val="none" w:sz="0" w:space="0" w:color="auto"/>
      </w:divBdr>
      <w:divsChild>
        <w:div w:id="2138796094">
          <w:marLeft w:val="0"/>
          <w:marRight w:val="0"/>
          <w:marTop w:val="0"/>
          <w:marBottom w:val="0"/>
          <w:divBdr>
            <w:top w:val="none" w:sz="0" w:space="0" w:color="auto"/>
            <w:left w:val="none" w:sz="0" w:space="0" w:color="auto"/>
            <w:bottom w:val="none" w:sz="0" w:space="0" w:color="auto"/>
            <w:right w:val="none" w:sz="0" w:space="0" w:color="auto"/>
          </w:divBdr>
          <w:divsChild>
            <w:div w:id="47266513">
              <w:marLeft w:val="0"/>
              <w:marRight w:val="0"/>
              <w:marTop w:val="0"/>
              <w:marBottom w:val="0"/>
              <w:divBdr>
                <w:top w:val="none" w:sz="0" w:space="0" w:color="auto"/>
                <w:left w:val="none" w:sz="0" w:space="0" w:color="auto"/>
                <w:bottom w:val="none" w:sz="0" w:space="0" w:color="auto"/>
                <w:right w:val="none" w:sz="0" w:space="0" w:color="auto"/>
              </w:divBdr>
            </w:div>
            <w:div w:id="740522556">
              <w:marLeft w:val="0"/>
              <w:marRight w:val="0"/>
              <w:marTop w:val="0"/>
              <w:marBottom w:val="0"/>
              <w:divBdr>
                <w:top w:val="none" w:sz="0" w:space="0" w:color="auto"/>
                <w:left w:val="none" w:sz="0" w:space="0" w:color="auto"/>
                <w:bottom w:val="none" w:sz="0" w:space="0" w:color="auto"/>
                <w:right w:val="none" w:sz="0" w:space="0" w:color="auto"/>
              </w:divBdr>
            </w:div>
            <w:div w:id="864565221">
              <w:marLeft w:val="0"/>
              <w:marRight w:val="0"/>
              <w:marTop w:val="0"/>
              <w:marBottom w:val="0"/>
              <w:divBdr>
                <w:top w:val="none" w:sz="0" w:space="0" w:color="auto"/>
                <w:left w:val="none" w:sz="0" w:space="0" w:color="auto"/>
                <w:bottom w:val="none" w:sz="0" w:space="0" w:color="auto"/>
                <w:right w:val="none" w:sz="0" w:space="0" w:color="auto"/>
              </w:divBdr>
            </w:div>
            <w:div w:id="1158570678">
              <w:marLeft w:val="0"/>
              <w:marRight w:val="0"/>
              <w:marTop w:val="0"/>
              <w:marBottom w:val="0"/>
              <w:divBdr>
                <w:top w:val="none" w:sz="0" w:space="0" w:color="auto"/>
                <w:left w:val="none" w:sz="0" w:space="0" w:color="auto"/>
                <w:bottom w:val="none" w:sz="0" w:space="0" w:color="auto"/>
                <w:right w:val="none" w:sz="0" w:space="0" w:color="auto"/>
              </w:divBdr>
            </w:div>
            <w:div w:id="1539851258">
              <w:marLeft w:val="0"/>
              <w:marRight w:val="0"/>
              <w:marTop w:val="0"/>
              <w:marBottom w:val="0"/>
              <w:divBdr>
                <w:top w:val="none" w:sz="0" w:space="0" w:color="auto"/>
                <w:left w:val="none" w:sz="0" w:space="0" w:color="auto"/>
                <w:bottom w:val="none" w:sz="0" w:space="0" w:color="auto"/>
                <w:right w:val="none" w:sz="0" w:space="0" w:color="auto"/>
              </w:divBdr>
            </w:div>
            <w:div w:id="1592203030">
              <w:marLeft w:val="0"/>
              <w:marRight w:val="0"/>
              <w:marTop w:val="0"/>
              <w:marBottom w:val="0"/>
              <w:divBdr>
                <w:top w:val="none" w:sz="0" w:space="0" w:color="auto"/>
                <w:left w:val="none" w:sz="0" w:space="0" w:color="auto"/>
                <w:bottom w:val="none" w:sz="0" w:space="0" w:color="auto"/>
                <w:right w:val="none" w:sz="0" w:space="0" w:color="auto"/>
              </w:divBdr>
            </w:div>
            <w:div w:id="1924950575">
              <w:marLeft w:val="0"/>
              <w:marRight w:val="0"/>
              <w:marTop w:val="0"/>
              <w:marBottom w:val="0"/>
              <w:divBdr>
                <w:top w:val="none" w:sz="0" w:space="0" w:color="auto"/>
                <w:left w:val="none" w:sz="0" w:space="0" w:color="auto"/>
                <w:bottom w:val="none" w:sz="0" w:space="0" w:color="auto"/>
                <w:right w:val="none" w:sz="0" w:space="0" w:color="auto"/>
              </w:divBdr>
            </w:div>
            <w:div w:id="19597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6887">
      <w:bodyDiv w:val="1"/>
      <w:marLeft w:val="0"/>
      <w:marRight w:val="0"/>
      <w:marTop w:val="0"/>
      <w:marBottom w:val="0"/>
      <w:divBdr>
        <w:top w:val="none" w:sz="0" w:space="0" w:color="auto"/>
        <w:left w:val="none" w:sz="0" w:space="0" w:color="auto"/>
        <w:bottom w:val="none" w:sz="0" w:space="0" w:color="auto"/>
        <w:right w:val="none" w:sz="0" w:space="0" w:color="auto"/>
      </w:divBdr>
    </w:div>
    <w:div w:id="637342728">
      <w:bodyDiv w:val="1"/>
      <w:marLeft w:val="0"/>
      <w:marRight w:val="0"/>
      <w:marTop w:val="0"/>
      <w:marBottom w:val="0"/>
      <w:divBdr>
        <w:top w:val="none" w:sz="0" w:space="0" w:color="auto"/>
        <w:left w:val="none" w:sz="0" w:space="0" w:color="auto"/>
        <w:bottom w:val="none" w:sz="0" w:space="0" w:color="auto"/>
        <w:right w:val="none" w:sz="0" w:space="0" w:color="auto"/>
      </w:divBdr>
      <w:divsChild>
        <w:div w:id="2131701080">
          <w:marLeft w:val="547"/>
          <w:marRight w:val="0"/>
          <w:marTop w:val="115"/>
          <w:marBottom w:val="0"/>
          <w:divBdr>
            <w:top w:val="none" w:sz="0" w:space="0" w:color="auto"/>
            <w:left w:val="none" w:sz="0" w:space="0" w:color="auto"/>
            <w:bottom w:val="none" w:sz="0" w:space="0" w:color="auto"/>
            <w:right w:val="none" w:sz="0" w:space="0" w:color="auto"/>
          </w:divBdr>
        </w:div>
      </w:divsChild>
    </w:div>
    <w:div w:id="674038659">
      <w:bodyDiv w:val="1"/>
      <w:marLeft w:val="0"/>
      <w:marRight w:val="0"/>
      <w:marTop w:val="0"/>
      <w:marBottom w:val="0"/>
      <w:divBdr>
        <w:top w:val="none" w:sz="0" w:space="0" w:color="auto"/>
        <w:left w:val="none" w:sz="0" w:space="0" w:color="auto"/>
        <w:bottom w:val="none" w:sz="0" w:space="0" w:color="auto"/>
        <w:right w:val="none" w:sz="0" w:space="0" w:color="auto"/>
      </w:divBdr>
    </w:div>
    <w:div w:id="693267345">
      <w:bodyDiv w:val="1"/>
      <w:marLeft w:val="0"/>
      <w:marRight w:val="0"/>
      <w:marTop w:val="0"/>
      <w:marBottom w:val="0"/>
      <w:divBdr>
        <w:top w:val="none" w:sz="0" w:space="0" w:color="auto"/>
        <w:left w:val="none" w:sz="0" w:space="0" w:color="auto"/>
        <w:bottom w:val="none" w:sz="0" w:space="0" w:color="auto"/>
        <w:right w:val="none" w:sz="0" w:space="0" w:color="auto"/>
      </w:divBdr>
    </w:div>
    <w:div w:id="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249391419">
          <w:marLeft w:val="547"/>
          <w:marRight w:val="0"/>
          <w:marTop w:val="130"/>
          <w:marBottom w:val="0"/>
          <w:divBdr>
            <w:top w:val="none" w:sz="0" w:space="0" w:color="auto"/>
            <w:left w:val="none" w:sz="0" w:space="0" w:color="auto"/>
            <w:bottom w:val="none" w:sz="0" w:space="0" w:color="auto"/>
            <w:right w:val="none" w:sz="0" w:space="0" w:color="auto"/>
          </w:divBdr>
        </w:div>
        <w:div w:id="504394521">
          <w:marLeft w:val="547"/>
          <w:marRight w:val="0"/>
          <w:marTop w:val="130"/>
          <w:marBottom w:val="0"/>
          <w:divBdr>
            <w:top w:val="none" w:sz="0" w:space="0" w:color="auto"/>
            <w:left w:val="none" w:sz="0" w:space="0" w:color="auto"/>
            <w:bottom w:val="none" w:sz="0" w:space="0" w:color="auto"/>
            <w:right w:val="none" w:sz="0" w:space="0" w:color="auto"/>
          </w:divBdr>
        </w:div>
        <w:div w:id="646207285">
          <w:marLeft w:val="547"/>
          <w:marRight w:val="0"/>
          <w:marTop w:val="130"/>
          <w:marBottom w:val="0"/>
          <w:divBdr>
            <w:top w:val="none" w:sz="0" w:space="0" w:color="auto"/>
            <w:left w:val="none" w:sz="0" w:space="0" w:color="auto"/>
            <w:bottom w:val="none" w:sz="0" w:space="0" w:color="auto"/>
            <w:right w:val="none" w:sz="0" w:space="0" w:color="auto"/>
          </w:divBdr>
        </w:div>
        <w:div w:id="1035076545">
          <w:marLeft w:val="547"/>
          <w:marRight w:val="0"/>
          <w:marTop w:val="130"/>
          <w:marBottom w:val="0"/>
          <w:divBdr>
            <w:top w:val="none" w:sz="0" w:space="0" w:color="auto"/>
            <w:left w:val="none" w:sz="0" w:space="0" w:color="auto"/>
            <w:bottom w:val="none" w:sz="0" w:space="0" w:color="auto"/>
            <w:right w:val="none" w:sz="0" w:space="0" w:color="auto"/>
          </w:divBdr>
        </w:div>
        <w:div w:id="1316690490">
          <w:marLeft w:val="547"/>
          <w:marRight w:val="0"/>
          <w:marTop w:val="130"/>
          <w:marBottom w:val="0"/>
          <w:divBdr>
            <w:top w:val="none" w:sz="0" w:space="0" w:color="auto"/>
            <w:left w:val="none" w:sz="0" w:space="0" w:color="auto"/>
            <w:bottom w:val="none" w:sz="0" w:space="0" w:color="auto"/>
            <w:right w:val="none" w:sz="0" w:space="0" w:color="auto"/>
          </w:divBdr>
        </w:div>
        <w:div w:id="1350524870">
          <w:marLeft w:val="547"/>
          <w:marRight w:val="0"/>
          <w:marTop w:val="130"/>
          <w:marBottom w:val="0"/>
          <w:divBdr>
            <w:top w:val="none" w:sz="0" w:space="0" w:color="auto"/>
            <w:left w:val="none" w:sz="0" w:space="0" w:color="auto"/>
            <w:bottom w:val="none" w:sz="0" w:space="0" w:color="auto"/>
            <w:right w:val="none" w:sz="0" w:space="0" w:color="auto"/>
          </w:divBdr>
        </w:div>
      </w:divsChild>
    </w:div>
    <w:div w:id="747651701">
      <w:bodyDiv w:val="1"/>
      <w:marLeft w:val="0"/>
      <w:marRight w:val="0"/>
      <w:marTop w:val="0"/>
      <w:marBottom w:val="0"/>
      <w:divBdr>
        <w:top w:val="none" w:sz="0" w:space="0" w:color="auto"/>
        <w:left w:val="none" w:sz="0" w:space="0" w:color="auto"/>
        <w:bottom w:val="none" w:sz="0" w:space="0" w:color="auto"/>
        <w:right w:val="none" w:sz="0" w:space="0" w:color="auto"/>
      </w:divBdr>
    </w:div>
    <w:div w:id="749155132">
      <w:bodyDiv w:val="1"/>
      <w:marLeft w:val="0"/>
      <w:marRight w:val="0"/>
      <w:marTop w:val="0"/>
      <w:marBottom w:val="0"/>
      <w:divBdr>
        <w:top w:val="none" w:sz="0" w:space="0" w:color="auto"/>
        <w:left w:val="none" w:sz="0" w:space="0" w:color="auto"/>
        <w:bottom w:val="none" w:sz="0" w:space="0" w:color="auto"/>
        <w:right w:val="none" w:sz="0" w:space="0" w:color="auto"/>
      </w:divBdr>
      <w:divsChild>
        <w:div w:id="1624996555">
          <w:marLeft w:val="0"/>
          <w:marRight w:val="0"/>
          <w:marTop w:val="0"/>
          <w:marBottom w:val="0"/>
          <w:divBdr>
            <w:top w:val="none" w:sz="0" w:space="0" w:color="auto"/>
            <w:left w:val="none" w:sz="0" w:space="0" w:color="auto"/>
            <w:bottom w:val="none" w:sz="0" w:space="0" w:color="auto"/>
            <w:right w:val="none" w:sz="0" w:space="0" w:color="auto"/>
          </w:divBdr>
        </w:div>
        <w:div w:id="1744334336">
          <w:marLeft w:val="0"/>
          <w:marRight w:val="0"/>
          <w:marTop w:val="0"/>
          <w:marBottom w:val="0"/>
          <w:divBdr>
            <w:top w:val="none" w:sz="0" w:space="0" w:color="auto"/>
            <w:left w:val="none" w:sz="0" w:space="0" w:color="auto"/>
            <w:bottom w:val="none" w:sz="0" w:space="0" w:color="auto"/>
            <w:right w:val="none" w:sz="0" w:space="0" w:color="auto"/>
          </w:divBdr>
        </w:div>
        <w:div w:id="488403066">
          <w:marLeft w:val="0"/>
          <w:marRight w:val="0"/>
          <w:marTop w:val="0"/>
          <w:marBottom w:val="0"/>
          <w:divBdr>
            <w:top w:val="none" w:sz="0" w:space="0" w:color="auto"/>
            <w:left w:val="none" w:sz="0" w:space="0" w:color="auto"/>
            <w:bottom w:val="none" w:sz="0" w:space="0" w:color="auto"/>
            <w:right w:val="none" w:sz="0" w:space="0" w:color="auto"/>
          </w:divBdr>
        </w:div>
      </w:divsChild>
    </w:div>
    <w:div w:id="772240073">
      <w:bodyDiv w:val="1"/>
      <w:marLeft w:val="0"/>
      <w:marRight w:val="0"/>
      <w:marTop w:val="0"/>
      <w:marBottom w:val="0"/>
      <w:divBdr>
        <w:top w:val="none" w:sz="0" w:space="0" w:color="auto"/>
        <w:left w:val="none" w:sz="0" w:space="0" w:color="auto"/>
        <w:bottom w:val="none" w:sz="0" w:space="0" w:color="auto"/>
        <w:right w:val="none" w:sz="0" w:space="0" w:color="auto"/>
      </w:divBdr>
    </w:div>
    <w:div w:id="793257420">
      <w:bodyDiv w:val="1"/>
      <w:marLeft w:val="0"/>
      <w:marRight w:val="0"/>
      <w:marTop w:val="0"/>
      <w:marBottom w:val="0"/>
      <w:divBdr>
        <w:top w:val="none" w:sz="0" w:space="0" w:color="auto"/>
        <w:left w:val="none" w:sz="0" w:space="0" w:color="auto"/>
        <w:bottom w:val="none" w:sz="0" w:space="0" w:color="auto"/>
        <w:right w:val="none" w:sz="0" w:space="0" w:color="auto"/>
      </w:divBdr>
      <w:divsChild>
        <w:div w:id="1292134672">
          <w:marLeft w:val="547"/>
          <w:marRight w:val="0"/>
          <w:marTop w:val="154"/>
          <w:marBottom w:val="0"/>
          <w:divBdr>
            <w:top w:val="none" w:sz="0" w:space="0" w:color="auto"/>
            <w:left w:val="none" w:sz="0" w:space="0" w:color="auto"/>
            <w:bottom w:val="none" w:sz="0" w:space="0" w:color="auto"/>
            <w:right w:val="none" w:sz="0" w:space="0" w:color="auto"/>
          </w:divBdr>
        </w:div>
      </w:divsChild>
    </w:div>
    <w:div w:id="805204714">
      <w:bodyDiv w:val="1"/>
      <w:marLeft w:val="0"/>
      <w:marRight w:val="0"/>
      <w:marTop w:val="0"/>
      <w:marBottom w:val="0"/>
      <w:divBdr>
        <w:top w:val="none" w:sz="0" w:space="0" w:color="auto"/>
        <w:left w:val="none" w:sz="0" w:space="0" w:color="auto"/>
        <w:bottom w:val="none" w:sz="0" w:space="0" w:color="auto"/>
        <w:right w:val="none" w:sz="0" w:space="0" w:color="auto"/>
      </w:divBdr>
      <w:divsChild>
        <w:div w:id="353189760">
          <w:marLeft w:val="1008"/>
          <w:marRight w:val="0"/>
          <w:marTop w:val="80"/>
          <w:marBottom w:val="0"/>
          <w:divBdr>
            <w:top w:val="none" w:sz="0" w:space="0" w:color="auto"/>
            <w:left w:val="none" w:sz="0" w:space="0" w:color="auto"/>
            <w:bottom w:val="none" w:sz="0" w:space="0" w:color="auto"/>
            <w:right w:val="none" w:sz="0" w:space="0" w:color="auto"/>
          </w:divBdr>
        </w:div>
      </w:divsChild>
    </w:div>
    <w:div w:id="844630385">
      <w:bodyDiv w:val="1"/>
      <w:marLeft w:val="0"/>
      <w:marRight w:val="0"/>
      <w:marTop w:val="0"/>
      <w:marBottom w:val="0"/>
      <w:divBdr>
        <w:top w:val="none" w:sz="0" w:space="0" w:color="auto"/>
        <w:left w:val="none" w:sz="0" w:space="0" w:color="auto"/>
        <w:bottom w:val="none" w:sz="0" w:space="0" w:color="auto"/>
        <w:right w:val="none" w:sz="0" w:space="0" w:color="auto"/>
      </w:divBdr>
    </w:div>
    <w:div w:id="940532468">
      <w:bodyDiv w:val="1"/>
      <w:marLeft w:val="0"/>
      <w:marRight w:val="0"/>
      <w:marTop w:val="0"/>
      <w:marBottom w:val="0"/>
      <w:divBdr>
        <w:top w:val="none" w:sz="0" w:space="0" w:color="auto"/>
        <w:left w:val="none" w:sz="0" w:space="0" w:color="auto"/>
        <w:bottom w:val="none" w:sz="0" w:space="0" w:color="auto"/>
        <w:right w:val="none" w:sz="0" w:space="0" w:color="auto"/>
      </w:divBdr>
      <w:divsChild>
        <w:div w:id="859512235">
          <w:marLeft w:val="0"/>
          <w:marRight w:val="0"/>
          <w:marTop w:val="0"/>
          <w:marBottom w:val="0"/>
          <w:divBdr>
            <w:top w:val="none" w:sz="0" w:space="0" w:color="auto"/>
            <w:left w:val="none" w:sz="0" w:space="0" w:color="auto"/>
            <w:bottom w:val="none" w:sz="0" w:space="0" w:color="auto"/>
            <w:right w:val="none" w:sz="0" w:space="0" w:color="auto"/>
          </w:divBdr>
          <w:divsChild>
            <w:div w:id="941567217">
              <w:marLeft w:val="0"/>
              <w:marRight w:val="0"/>
              <w:marTop w:val="0"/>
              <w:marBottom w:val="0"/>
              <w:divBdr>
                <w:top w:val="none" w:sz="0" w:space="0" w:color="auto"/>
                <w:left w:val="none" w:sz="0" w:space="0" w:color="auto"/>
                <w:bottom w:val="none" w:sz="0" w:space="0" w:color="auto"/>
                <w:right w:val="none" w:sz="0" w:space="0" w:color="auto"/>
              </w:divBdr>
            </w:div>
            <w:div w:id="1924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8931">
      <w:bodyDiv w:val="1"/>
      <w:marLeft w:val="0"/>
      <w:marRight w:val="0"/>
      <w:marTop w:val="0"/>
      <w:marBottom w:val="0"/>
      <w:divBdr>
        <w:top w:val="none" w:sz="0" w:space="0" w:color="auto"/>
        <w:left w:val="none" w:sz="0" w:space="0" w:color="auto"/>
        <w:bottom w:val="none" w:sz="0" w:space="0" w:color="auto"/>
        <w:right w:val="none" w:sz="0" w:space="0" w:color="auto"/>
      </w:divBdr>
    </w:div>
    <w:div w:id="1219516106">
      <w:bodyDiv w:val="1"/>
      <w:marLeft w:val="0"/>
      <w:marRight w:val="0"/>
      <w:marTop w:val="0"/>
      <w:marBottom w:val="0"/>
      <w:divBdr>
        <w:top w:val="none" w:sz="0" w:space="0" w:color="auto"/>
        <w:left w:val="none" w:sz="0" w:space="0" w:color="auto"/>
        <w:bottom w:val="none" w:sz="0" w:space="0" w:color="auto"/>
        <w:right w:val="none" w:sz="0" w:space="0" w:color="auto"/>
      </w:divBdr>
    </w:div>
    <w:div w:id="1304773625">
      <w:bodyDiv w:val="1"/>
      <w:marLeft w:val="0"/>
      <w:marRight w:val="0"/>
      <w:marTop w:val="0"/>
      <w:marBottom w:val="0"/>
      <w:divBdr>
        <w:top w:val="none" w:sz="0" w:space="0" w:color="auto"/>
        <w:left w:val="none" w:sz="0" w:space="0" w:color="auto"/>
        <w:bottom w:val="none" w:sz="0" w:space="0" w:color="auto"/>
        <w:right w:val="none" w:sz="0" w:space="0" w:color="auto"/>
      </w:divBdr>
    </w:div>
    <w:div w:id="1337877080">
      <w:bodyDiv w:val="1"/>
      <w:marLeft w:val="0"/>
      <w:marRight w:val="0"/>
      <w:marTop w:val="0"/>
      <w:marBottom w:val="0"/>
      <w:divBdr>
        <w:top w:val="none" w:sz="0" w:space="0" w:color="auto"/>
        <w:left w:val="none" w:sz="0" w:space="0" w:color="auto"/>
        <w:bottom w:val="none" w:sz="0" w:space="0" w:color="auto"/>
        <w:right w:val="none" w:sz="0" w:space="0" w:color="auto"/>
      </w:divBdr>
      <w:divsChild>
        <w:div w:id="93476733">
          <w:marLeft w:val="547"/>
          <w:marRight w:val="0"/>
          <w:marTop w:val="120"/>
          <w:marBottom w:val="0"/>
          <w:divBdr>
            <w:top w:val="none" w:sz="0" w:space="0" w:color="auto"/>
            <w:left w:val="none" w:sz="0" w:space="0" w:color="auto"/>
            <w:bottom w:val="none" w:sz="0" w:space="0" w:color="auto"/>
            <w:right w:val="none" w:sz="0" w:space="0" w:color="auto"/>
          </w:divBdr>
        </w:div>
        <w:div w:id="338625018">
          <w:marLeft w:val="547"/>
          <w:marRight w:val="0"/>
          <w:marTop w:val="120"/>
          <w:marBottom w:val="0"/>
          <w:divBdr>
            <w:top w:val="none" w:sz="0" w:space="0" w:color="auto"/>
            <w:left w:val="none" w:sz="0" w:space="0" w:color="auto"/>
            <w:bottom w:val="none" w:sz="0" w:space="0" w:color="auto"/>
            <w:right w:val="none" w:sz="0" w:space="0" w:color="auto"/>
          </w:divBdr>
        </w:div>
      </w:divsChild>
    </w:div>
    <w:div w:id="1473064127">
      <w:bodyDiv w:val="1"/>
      <w:marLeft w:val="0"/>
      <w:marRight w:val="0"/>
      <w:marTop w:val="0"/>
      <w:marBottom w:val="0"/>
      <w:divBdr>
        <w:top w:val="none" w:sz="0" w:space="0" w:color="auto"/>
        <w:left w:val="none" w:sz="0" w:space="0" w:color="auto"/>
        <w:bottom w:val="none" w:sz="0" w:space="0" w:color="auto"/>
        <w:right w:val="none" w:sz="0" w:space="0" w:color="auto"/>
      </w:divBdr>
      <w:divsChild>
        <w:div w:id="748648630">
          <w:marLeft w:val="461"/>
          <w:marRight w:val="0"/>
          <w:marTop w:val="0"/>
          <w:marBottom w:val="0"/>
          <w:divBdr>
            <w:top w:val="none" w:sz="0" w:space="0" w:color="auto"/>
            <w:left w:val="none" w:sz="0" w:space="0" w:color="auto"/>
            <w:bottom w:val="none" w:sz="0" w:space="0" w:color="auto"/>
            <w:right w:val="none" w:sz="0" w:space="0" w:color="auto"/>
          </w:divBdr>
        </w:div>
        <w:div w:id="2044623533">
          <w:marLeft w:val="461"/>
          <w:marRight w:val="0"/>
          <w:marTop w:val="0"/>
          <w:marBottom w:val="0"/>
          <w:divBdr>
            <w:top w:val="none" w:sz="0" w:space="0" w:color="auto"/>
            <w:left w:val="none" w:sz="0" w:space="0" w:color="auto"/>
            <w:bottom w:val="none" w:sz="0" w:space="0" w:color="auto"/>
            <w:right w:val="none" w:sz="0" w:space="0" w:color="auto"/>
          </w:divBdr>
        </w:div>
        <w:div w:id="1557548224">
          <w:marLeft w:val="461"/>
          <w:marRight w:val="0"/>
          <w:marTop w:val="0"/>
          <w:marBottom w:val="0"/>
          <w:divBdr>
            <w:top w:val="none" w:sz="0" w:space="0" w:color="auto"/>
            <w:left w:val="none" w:sz="0" w:space="0" w:color="auto"/>
            <w:bottom w:val="none" w:sz="0" w:space="0" w:color="auto"/>
            <w:right w:val="none" w:sz="0" w:space="0" w:color="auto"/>
          </w:divBdr>
        </w:div>
        <w:div w:id="1982495703">
          <w:marLeft w:val="461"/>
          <w:marRight w:val="0"/>
          <w:marTop w:val="0"/>
          <w:marBottom w:val="0"/>
          <w:divBdr>
            <w:top w:val="none" w:sz="0" w:space="0" w:color="auto"/>
            <w:left w:val="none" w:sz="0" w:space="0" w:color="auto"/>
            <w:bottom w:val="none" w:sz="0" w:space="0" w:color="auto"/>
            <w:right w:val="none" w:sz="0" w:space="0" w:color="auto"/>
          </w:divBdr>
        </w:div>
        <w:div w:id="168445599">
          <w:marLeft w:val="461"/>
          <w:marRight w:val="0"/>
          <w:marTop w:val="0"/>
          <w:marBottom w:val="0"/>
          <w:divBdr>
            <w:top w:val="none" w:sz="0" w:space="0" w:color="auto"/>
            <w:left w:val="none" w:sz="0" w:space="0" w:color="auto"/>
            <w:bottom w:val="none" w:sz="0" w:space="0" w:color="auto"/>
            <w:right w:val="none" w:sz="0" w:space="0" w:color="auto"/>
          </w:divBdr>
        </w:div>
        <w:div w:id="1787121907">
          <w:marLeft w:val="461"/>
          <w:marRight w:val="0"/>
          <w:marTop w:val="0"/>
          <w:marBottom w:val="0"/>
          <w:divBdr>
            <w:top w:val="none" w:sz="0" w:space="0" w:color="auto"/>
            <w:left w:val="none" w:sz="0" w:space="0" w:color="auto"/>
            <w:bottom w:val="none" w:sz="0" w:space="0" w:color="auto"/>
            <w:right w:val="none" w:sz="0" w:space="0" w:color="auto"/>
          </w:divBdr>
        </w:div>
        <w:div w:id="576474302">
          <w:marLeft w:val="461"/>
          <w:marRight w:val="0"/>
          <w:marTop w:val="0"/>
          <w:marBottom w:val="0"/>
          <w:divBdr>
            <w:top w:val="none" w:sz="0" w:space="0" w:color="auto"/>
            <w:left w:val="none" w:sz="0" w:space="0" w:color="auto"/>
            <w:bottom w:val="none" w:sz="0" w:space="0" w:color="auto"/>
            <w:right w:val="none" w:sz="0" w:space="0" w:color="auto"/>
          </w:divBdr>
        </w:div>
        <w:div w:id="919481097">
          <w:marLeft w:val="461"/>
          <w:marRight w:val="0"/>
          <w:marTop w:val="0"/>
          <w:marBottom w:val="0"/>
          <w:divBdr>
            <w:top w:val="none" w:sz="0" w:space="0" w:color="auto"/>
            <w:left w:val="none" w:sz="0" w:space="0" w:color="auto"/>
            <w:bottom w:val="none" w:sz="0" w:space="0" w:color="auto"/>
            <w:right w:val="none" w:sz="0" w:space="0" w:color="auto"/>
          </w:divBdr>
        </w:div>
        <w:div w:id="154534099">
          <w:marLeft w:val="461"/>
          <w:marRight w:val="0"/>
          <w:marTop w:val="0"/>
          <w:marBottom w:val="0"/>
          <w:divBdr>
            <w:top w:val="none" w:sz="0" w:space="0" w:color="auto"/>
            <w:left w:val="none" w:sz="0" w:space="0" w:color="auto"/>
            <w:bottom w:val="none" w:sz="0" w:space="0" w:color="auto"/>
            <w:right w:val="none" w:sz="0" w:space="0" w:color="auto"/>
          </w:divBdr>
        </w:div>
        <w:div w:id="776144716">
          <w:marLeft w:val="461"/>
          <w:marRight w:val="0"/>
          <w:marTop w:val="0"/>
          <w:marBottom w:val="0"/>
          <w:divBdr>
            <w:top w:val="none" w:sz="0" w:space="0" w:color="auto"/>
            <w:left w:val="none" w:sz="0" w:space="0" w:color="auto"/>
            <w:bottom w:val="none" w:sz="0" w:space="0" w:color="auto"/>
            <w:right w:val="none" w:sz="0" w:space="0" w:color="auto"/>
          </w:divBdr>
        </w:div>
        <w:div w:id="1957364292">
          <w:marLeft w:val="461"/>
          <w:marRight w:val="0"/>
          <w:marTop w:val="0"/>
          <w:marBottom w:val="0"/>
          <w:divBdr>
            <w:top w:val="none" w:sz="0" w:space="0" w:color="auto"/>
            <w:left w:val="none" w:sz="0" w:space="0" w:color="auto"/>
            <w:bottom w:val="none" w:sz="0" w:space="0" w:color="auto"/>
            <w:right w:val="none" w:sz="0" w:space="0" w:color="auto"/>
          </w:divBdr>
        </w:div>
        <w:div w:id="77409908">
          <w:marLeft w:val="461"/>
          <w:marRight w:val="0"/>
          <w:marTop w:val="0"/>
          <w:marBottom w:val="0"/>
          <w:divBdr>
            <w:top w:val="none" w:sz="0" w:space="0" w:color="auto"/>
            <w:left w:val="none" w:sz="0" w:space="0" w:color="auto"/>
            <w:bottom w:val="none" w:sz="0" w:space="0" w:color="auto"/>
            <w:right w:val="none" w:sz="0" w:space="0" w:color="auto"/>
          </w:divBdr>
        </w:div>
        <w:div w:id="541745669">
          <w:marLeft w:val="461"/>
          <w:marRight w:val="0"/>
          <w:marTop w:val="0"/>
          <w:marBottom w:val="0"/>
          <w:divBdr>
            <w:top w:val="none" w:sz="0" w:space="0" w:color="auto"/>
            <w:left w:val="none" w:sz="0" w:space="0" w:color="auto"/>
            <w:bottom w:val="none" w:sz="0" w:space="0" w:color="auto"/>
            <w:right w:val="none" w:sz="0" w:space="0" w:color="auto"/>
          </w:divBdr>
        </w:div>
        <w:div w:id="1958175119">
          <w:marLeft w:val="461"/>
          <w:marRight w:val="0"/>
          <w:marTop w:val="0"/>
          <w:marBottom w:val="0"/>
          <w:divBdr>
            <w:top w:val="none" w:sz="0" w:space="0" w:color="auto"/>
            <w:left w:val="none" w:sz="0" w:space="0" w:color="auto"/>
            <w:bottom w:val="none" w:sz="0" w:space="0" w:color="auto"/>
            <w:right w:val="none" w:sz="0" w:space="0" w:color="auto"/>
          </w:divBdr>
        </w:div>
        <w:div w:id="1051225556">
          <w:marLeft w:val="461"/>
          <w:marRight w:val="0"/>
          <w:marTop w:val="0"/>
          <w:marBottom w:val="0"/>
          <w:divBdr>
            <w:top w:val="none" w:sz="0" w:space="0" w:color="auto"/>
            <w:left w:val="none" w:sz="0" w:space="0" w:color="auto"/>
            <w:bottom w:val="none" w:sz="0" w:space="0" w:color="auto"/>
            <w:right w:val="none" w:sz="0" w:space="0" w:color="auto"/>
          </w:divBdr>
        </w:div>
        <w:div w:id="2067020403">
          <w:marLeft w:val="461"/>
          <w:marRight w:val="0"/>
          <w:marTop w:val="0"/>
          <w:marBottom w:val="0"/>
          <w:divBdr>
            <w:top w:val="none" w:sz="0" w:space="0" w:color="auto"/>
            <w:left w:val="none" w:sz="0" w:space="0" w:color="auto"/>
            <w:bottom w:val="none" w:sz="0" w:space="0" w:color="auto"/>
            <w:right w:val="none" w:sz="0" w:space="0" w:color="auto"/>
          </w:divBdr>
        </w:div>
      </w:divsChild>
    </w:div>
    <w:div w:id="1512649167">
      <w:bodyDiv w:val="1"/>
      <w:marLeft w:val="0"/>
      <w:marRight w:val="0"/>
      <w:marTop w:val="0"/>
      <w:marBottom w:val="0"/>
      <w:divBdr>
        <w:top w:val="none" w:sz="0" w:space="0" w:color="auto"/>
        <w:left w:val="none" w:sz="0" w:space="0" w:color="auto"/>
        <w:bottom w:val="none" w:sz="0" w:space="0" w:color="auto"/>
        <w:right w:val="none" w:sz="0" w:space="0" w:color="auto"/>
      </w:divBdr>
      <w:divsChild>
        <w:div w:id="1476875392">
          <w:marLeft w:val="0"/>
          <w:marRight w:val="0"/>
          <w:marTop w:val="0"/>
          <w:marBottom w:val="0"/>
          <w:divBdr>
            <w:top w:val="none" w:sz="0" w:space="0" w:color="auto"/>
            <w:left w:val="none" w:sz="0" w:space="0" w:color="auto"/>
            <w:bottom w:val="none" w:sz="0" w:space="0" w:color="auto"/>
            <w:right w:val="none" w:sz="0" w:space="0" w:color="auto"/>
          </w:divBdr>
          <w:divsChild>
            <w:div w:id="1759477191">
              <w:marLeft w:val="0"/>
              <w:marRight w:val="0"/>
              <w:marTop w:val="0"/>
              <w:marBottom w:val="0"/>
              <w:divBdr>
                <w:top w:val="none" w:sz="0" w:space="0" w:color="auto"/>
                <w:left w:val="none" w:sz="0" w:space="0" w:color="auto"/>
                <w:bottom w:val="none" w:sz="0" w:space="0" w:color="auto"/>
                <w:right w:val="none" w:sz="0" w:space="0" w:color="auto"/>
              </w:divBdr>
              <w:divsChild>
                <w:div w:id="1420298950">
                  <w:marLeft w:val="0"/>
                  <w:marRight w:val="0"/>
                  <w:marTop w:val="0"/>
                  <w:marBottom w:val="0"/>
                  <w:divBdr>
                    <w:top w:val="none" w:sz="0" w:space="0" w:color="auto"/>
                    <w:left w:val="none" w:sz="0" w:space="0" w:color="auto"/>
                    <w:bottom w:val="none" w:sz="0" w:space="0" w:color="auto"/>
                    <w:right w:val="none" w:sz="0" w:space="0" w:color="auto"/>
                  </w:divBdr>
                  <w:divsChild>
                    <w:div w:id="330328704">
                      <w:marLeft w:val="0"/>
                      <w:marRight w:val="0"/>
                      <w:marTop w:val="0"/>
                      <w:marBottom w:val="0"/>
                      <w:divBdr>
                        <w:top w:val="none" w:sz="0" w:space="0" w:color="auto"/>
                        <w:left w:val="none" w:sz="0" w:space="0" w:color="auto"/>
                        <w:bottom w:val="none" w:sz="0" w:space="0" w:color="auto"/>
                        <w:right w:val="none" w:sz="0" w:space="0" w:color="auto"/>
                      </w:divBdr>
                      <w:divsChild>
                        <w:div w:id="1973905863">
                          <w:marLeft w:val="0"/>
                          <w:marRight w:val="0"/>
                          <w:marTop w:val="0"/>
                          <w:marBottom w:val="0"/>
                          <w:divBdr>
                            <w:top w:val="none" w:sz="0" w:space="0" w:color="auto"/>
                            <w:left w:val="none" w:sz="0" w:space="0" w:color="auto"/>
                            <w:bottom w:val="none" w:sz="0" w:space="0" w:color="auto"/>
                            <w:right w:val="none" w:sz="0" w:space="0" w:color="auto"/>
                          </w:divBdr>
                          <w:divsChild>
                            <w:div w:id="294987091">
                              <w:marLeft w:val="0"/>
                              <w:marRight w:val="0"/>
                              <w:marTop w:val="0"/>
                              <w:marBottom w:val="0"/>
                              <w:divBdr>
                                <w:top w:val="none" w:sz="0" w:space="0" w:color="auto"/>
                                <w:left w:val="none" w:sz="0" w:space="0" w:color="auto"/>
                                <w:bottom w:val="none" w:sz="0" w:space="0" w:color="auto"/>
                                <w:right w:val="none" w:sz="0" w:space="0" w:color="auto"/>
                              </w:divBdr>
                              <w:divsChild>
                                <w:div w:id="1195583258">
                                  <w:marLeft w:val="0"/>
                                  <w:marRight w:val="0"/>
                                  <w:marTop w:val="0"/>
                                  <w:marBottom w:val="0"/>
                                  <w:divBdr>
                                    <w:top w:val="none" w:sz="0" w:space="0" w:color="auto"/>
                                    <w:left w:val="none" w:sz="0" w:space="0" w:color="auto"/>
                                    <w:bottom w:val="none" w:sz="0" w:space="0" w:color="auto"/>
                                    <w:right w:val="none" w:sz="0" w:space="0" w:color="auto"/>
                                  </w:divBdr>
                                  <w:divsChild>
                                    <w:div w:id="750547654">
                                      <w:marLeft w:val="0"/>
                                      <w:marRight w:val="0"/>
                                      <w:marTop w:val="0"/>
                                      <w:marBottom w:val="0"/>
                                      <w:divBdr>
                                        <w:top w:val="none" w:sz="0" w:space="0" w:color="auto"/>
                                        <w:left w:val="none" w:sz="0" w:space="0" w:color="auto"/>
                                        <w:bottom w:val="none" w:sz="0" w:space="0" w:color="auto"/>
                                        <w:right w:val="none" w:sz="0" w:space="0" w:color="auto"/>
                                      </w:divBdr>
                                      <w:divsChild>
                                        <w:div w:id="775950151">
                                          <w:marLeft w:val="0"/>
                                          <w:marRight w:val="0"/>
                                          <w:marTop w:val="0"/>
                                          <w:marBottom w:val="0"/>
                                          <w:divBdr>
                                            <w:top w:val="none" w:sz="0" w:space="0" w:color="auto"/>
                                            <w:left w:val="none" w:sz="0" w:space="0" w:color="auto"/>
                                            <w:bottom w:val="none" w:sz="0" w:space="0" w:color="auto"/>
                                            <w:right w:val="none" w:sz="0" w:space="0" w:color="auto"/>
                                          </w:divBdr>
                                          <w:divsChild>
                                            <w:div w:id="1013533836">
                                              <w:marLeft w:val="0"/>
                                              <w:marRight w:val="0"/>
                                              <w:marTop w:val="0"/>
                                              <w:marBottom w:val="0"/>
                                              <w:divBdr>
                                                <w:top w:val="none" w:sz="0" w:space="0" w:color="auto"/>
                                                <w:left w:val="none" w:sz="0" w:space="0" w:color="auto"/>
                                                <w:bottom w:val="none" w:sz="0" w:space="0" w:color="auto"/>
                                                <w:right w:val="none" w:sz="0" w:space="0" w:color="auto"/>
                                              </w:divBdr>
                                              <w:divsChild>
                                                <w:div w:id="1074087485">
                                                  <w:marLeft w:val="0"/>
                                                  <w:marRight w:val="0"/>
                                                  <w:marTop w:val="0"/>
                                                  <w:marBottom w:val="0"/>
                                                  <w:divBdr>
                                                    <w:top w:val="none" w:sz="0" w:space="0" w:color="auto"/>
                                                    <w:left w:val="none" w:sz="0" w:space="0" w:color="auto"/>
                                                    <w:bottom w:val="none" w:sz="0" w:space="0" w:color="auto"/>
                                                    <w:right w:val="none" w:sz="0" w:space="0" w:color="auto"/>
                                                  </w:divBdr>
                                                  <w:divsChild>
                                                    <w:div w:id="1541939901">
                                                      <w:marLeft w:val="0"/>
                                                      <w:marRight w:val="0"/>
                                                      <w:marTop w:val="0"/>
                                                      <w:marBottom w:val="0"/>
                                                      <w:divBdr>
                                                        <w:top w:val="none" w:sz="0" w:space="0" w:color="auto"/>
                                                        <w:left w:val="none" w:sz="0" w:space="0" w:color="auto"/>
                                                        <w:bottom w:val="none" w:sz="0" w:space="0" w:color="auto"/>
                                                        <w:right w:val="none" w:sz="0" w:space="0" w:color="auto"/>
                                                      </w:divBdr>
                                                      <w:divsChild>
                                                        <w:div w:id="810444429">
                                                          <w:marLeft w:val="0"/>
                                                          <w:marRight w:val="0"/>
                                                          <w:marTop w:val="0"/>
                                                          <w:marBottom w:val="0"/>
                                                          <w:divBdr>
                                                            <w:top w:val="none" w:sz="0" w:space="0" w:color="auto"/>
                                                            <w:left w:val="none" w:sz="0" w:space="0" w:color="auto"/>
                                                            <w:bottom w:val="none" w:sz="0" w:space="0" w:color="auto"/>
                                                            <w:right w:val="none" w:sz="0" w:space="0" w:color="auto"/>
                                                          </w:divBdr>
                                                          <w:divsChild>
                                                            <w:div w:id="350617945">
                                                              <w:marLeft w:val="0"/>
                                                              <w:marRight w:val="150"/>
                                                              <w:marTop w:val="0"/>
                                                              <w:marBottom w:val="150"/>
                                                              <w:divBdr>
                                                                <w:top w:val="none" w:sz="0" w:space="0" w:color="auto"/>
                                                                <w:left w:val="none" w:sz="0" w:space="0" w:color="auto"/>
                                                                <w:bottom w:val="none" w:sz="0" w:space="0" w:color="auto"/>
                                                                <w:right w:val="none" w:sz="0" w:space="0" w:color="auto"/>
                                                              </w:divBdr>
                                                              <w:divsChild>
                                                                <w:div w:id="1466463130">
                                                                  <w:marLeft w:val="0"/>
                                                                  <w:marRight w:val="0"/>
                                                                  <w:marTop w:val="0"/>
                                                                  <w:marBottom w:val="0"/>
                                                                  <w:divBdr>
                                                                    <w:top w:val="none" w:sz="0" w:space="0" w:color="auto"/>
                                                                    <w:left w:val="none" w:sz="0" w:space="0" w:color="auto"/>
                                                                    <w:bottom w:val="none" w:sz="0" w:space="0" w:color="auto"/>
                                                                    <w:right w:val="none" w:sz="0" w:space="0" w:color="auto"/>
                                                                  </w:divBdr>
                                                                  <w:divsChild>
                                                                    <w:div w:id="1494293918">
                                                                      <w:marLeft w:val="0"/>
                                                                      <w:marRight w:val="0"/>
                                                                      <w:marTop w:val="0"/>
                                                                      <w:marBottom w:val="0"/>
                                                                      <w:divBdr>
                                                                        <w:top w:val="none" w:sz="0" w:space="0" w:color="auto"/>
                                                                        <w:left w:val="none" w:sz="0" w:space="0" w:color="auto"/>
                                                                        <w:bottom w:val="none" w:sz="0" w:space="0" w:color="auto"/>
                                                                        <w:right w:val="none" w:sz="0" w:space="0" w:color="auto"/>
                                                                      </w:divBdr>
                                                                      <w:divsChild>
                                                                        <w:div w:id="1538541252">
                                                                          <w:marLeft w:val="0"/>
                                                                          <w:marRight w:val="0"/>
                                                                          <w:marTop w:val="0"/>
                                                                          <w:marBottom w:val="0"/>
                                                                          <w:divBdr>
                                                                            <w:top w:val="none" w:sz="0" w:space="0" w:color="auto"/>
                                                                            <w:left w:val="none" w:sz="0" w:space="0" w:color="auto"/>
                                                                            <w:bottom w:val="none" w:sz="0" w:space="0" w:color="auto"/>
                                                                            <w:right w:val="none" w:sz="0" w:space="0" w:color="auto"/>
                                                                          </w:divBdr>
                                                                          <w:divsChild>
                                                                            <w:div w:id="509494719">
                                                                              <w:marLeft w:val="0"/>
                                                                              <w:marRight w:val="0"/>
                                                                              <w:marTop w:val="0"/>
                                                                              <w:marBottom w:val="0"/>
                                                                              <w:divBdr>
                                                                                <w:top w:val="none" w:sz="0" w:space="0" w:color="auto"/>
                                                                                <w:left w:val="none" w:sz="0" w:space="0" w:color="auto"/>
                                                                                <w:bottom w:val="none" w:sz="0" w:space="0" w:color="auto"/>
                                                                                <w:right w:val="none" w:sz="0" w:space="0" w:color="auto"/>
                                                                              </w:divBdr>
                                                                              <w:divsChild>
                                                                                <w:div w:id="1802072443">
                                                                                  <w:marLeft w:val="0"/>
                                                                                  <w:marRight w:val="0"/>
                                                                                  <w:marTop w:val="0"/>
                                                                                  <w:marBottom w:val="0"/>
                                                                                  <w:divBdr>
                                                                                    <w:top w:val="none" w:sz="0" w:space="0" w:color="auto"/>
                                                                                    <w:left w:val="none" w:sz="0" w:space="0" w:color="auto"/>
                                                                                    <w:bottom w:val="none" w:sz="0" w:space="0" w:color="auto"/>
                                                                                    <w:right w:val="none" w:sz="0" w:space="0" w:color="auto"/>
                                                                                  </w:divBdr>
                                                                                  <w:divsChild>
                                                                                    <w:div w:id="2075658934">
                                                                                      <w:marLeft w:val="0"/>
                                                                                      <w:marRight w:val="0"/>
                                                                                      <w:marTop w:val="0"/>
                                                                                      <w:marBottom w:val="0"/>
                                                                                      <w:divBdr>
                                                                                        <w:top w:val="none" w:sz="0" w:space="0" w:color="auto"/>
                                                                                        <w:left w:val="none" w:sz="0" w:space="0" w:color="auto"/>
                                                                                        <w:bottom w:val="none" w:sz="0" w:space="0" w:color="auto"/>
                                                                                        <w:right w:val="none" w:sz="0" w:space="0" w:color="auto"/>
                                                                                      </w:divBdr>
                                                                                      <w:divsChild>
                                                                                        <w:div w:id="66851481">
                                                                                          <w:marLeft w:val="0"/>
                                                                                          <w:marRight w:val="0"/>
                                                                                          <w:marTop w:val="0"/>
                                                                                          <w:marBottom w:val="0"/>
                                                                                          <w:divBdr>
                                                                                            <w:top w:val="none" w:sz="0" w:space="0" w:color="auto"/>
                                                                                            <w:left w:val="none" w:sz="0" w:space="0" w:color="auto"/>
                                                                                            <w:bottom w:val="none" w:sz="0" w:space="0" w:color="auto"/>
                                                                                            <w:right w:val="none" w:sz="0" w:space="0" w:color="auto"/>
                                                                                          </w:divBdr>
                                                                                          <w:divsChild>
                                                                                            <w:div w:id="58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8851">
      <w:bodyDiv w:val="1"/>
      <w:marLeft w:val="0"/>
      <w:marRight w:val="0"/>
      <w:marTop w:val="0"/>
      <w:marBottom w:val="0"/>
      <w:divBdr>
        <w:top w:val="none" w:sz="0" w:space="0" w:color="auto"/>
        <w:left w:val="none" w:sz="0" w:space="0" w:color="auto"/>
        <w:bottom w:val="none" w:sz="0" w:space="0" w:color="auto"/>
        <w:right w:val="none" w:sz="0" w:space="0" w:color="auto"/>
      </w:divBdr>
    </w:div>
    <w:div w:id="1607300291">
      <w:bodyDiv w:val="1"/>
      <w:marLeft w:val="0"/>
      <w:marRight w:val="0"/>
      <w:marTop w:val="0"/>
      <w:marBottom w:val="0"/>
      <w:divBdr>
        <w:top w:val="none" w:sz="0" w:space="0" w:color="auto"/>
        <w:left w:val="none" w:sz="0" w:space="0" w:color="auto"/>
        <w:bottom w:val="none" w:sz="0" w:space="0" w:color="auto"/>
        <w:right w:val="none" w:sz="0" w:space="0" w:color="auto"/>
      </w:divBdr>
      <w:divsChild>
        <w:div w:id="1369721570">
          <w:marLeft w:val="0"/>
          <w:marRight w:val="0"/>
          <w:marTop w:val="0"/>
          <w:marBottom w:val="0"/>
          <w:divBdr>
            <w:top w:val="none" w:sz="0" w:space="0" w:color="auto"/>
            <w:left w:val="none" w:sz="0" w:space="0" w:color="auto"/>
            <w:bottom w:val="none" w:sz="0" w:space="0" w:color="auto"/>
            <w:right w:val="none" w:sz="0" w:space="0" w:color="auto"/>
          </w:divBdr>
          <w:divsChild>
            <w:div w:id="128939573">
              <w:marLeft w:val="0"/>
              <w:marRight w:val="0"/>
              <w:marTop w:val="0"/>
              <w:marBottom w:val="0"/>
              <w:divBdr>
                <w:top w:val="none" w:sz="0" w:space="0" w:color="auto"/>
                <w:left w:val="none" w:sz="0" w:space="0" w:color="auto"/>
                <w:bottom w:val="none" w:sz="0" w:space="0" w:color="auto"/>
                <w:right w:val="none" w:sz="0" w:space="0" w:color="auto"/>
              </w:divBdr>
            </w:div>
            <w:div w:id="151993337">
              <w:marLeft w:val="0"/>
              <w:marRight w:val="0"/>
              <w:marTop w:val="0"/>
              <w:marBottom w:val="0"/>
              <w:divBdr>
                <w:top w:val="none" w:sz="0" w:space="0" w:color="auto"/>
                <w:left w:val="none" w:sz="0" w:space="0" w:color="auto"/>
                <w:bottom w:val="none" w:sz="0" w:space="0" w:color="auto"/>
                <w:right w:val="none" w:sz="0" w:space="0" w:color="auto"/>
              </w:divBdr>
            </w:div>
            <w:div w:id="281494226">
              <w:marLeft w:val="0"/>
              <w:marRight w:val="0"/>
              <w:marTop w:val="0"/>
              <w:marBottom w:val="0"/>
              <w:divBdr>
                <w:top w:val="none" w:sz="0" w:space="0" w:color="auto"/>
                <w:left w:val="none" w:sz="0" w:space="0" w:color="auto"/>
                <w:bottom w:val="none" w:sz="0" w:space="0" w:color="auto"/>
                <w:right w:val="none" w:sz="0" w:space="0" w:color="auto"/>
              </w:divBdr>
            </w:div>
            <w:div w:id="340552720">
              <w:marLeft w:val="0"/>
              <w:marRight w:val="0"/>
              <w:marTop w:val="0"/>
              <w:marBottom w:val="0"/>
              <w:divBdr>
                <w:top w:val="none" w:sz="0" w:space="0" w:color="auto"/>
                <w:left w:val="none" w:sz="0" w:space="0" w:color="auto"/>
                <w:bottom w:val="none" w:sz="0" w:space="0" w:color="auto"/>
                <w:right w:val="none" w:sz="0" w:space="0" w:color="auto"/>
              </w:divBdr>
            </w:div>
            <w:div w:id="499851430">
              <w:marLeft w:val="0"/>
              <w:marRight w:val="0"/>
              <w:marTop w:val="0"/>
              <w:marBottom w:val="0"/>
              <w:divBdr>
                <w:top w:val="none" w:sz="0" w:space="0" w:color="auto"/>
                <w:left w:val="none" w:sz="0" w:space="0" w:color="auto"/>
                <w:bottom w:val="none" w:sz="0" w:space="0" w:color="auto"/>
                <w:right w:val="none" w:sz="0" w:space="0" w:color="auto"/>
              </w:divBdr>
            </w:div>
            <w:div w:id="1227182880">
              <w:marLeft w:val="0"/>
              <w:marRight w:val="0"/>
              <w:marTop w:val="0"/>
              <w:marBottom w:val="0"/>
              <w:divBdr>
                <w:top w:val="none" w:sz="0" w:space="0" w:color="auto"/>
                <w:left w:val="none" w:sz="0" w:space="0" w:color="auto"/>
                <w:bottom w:val="none" w:sz="0" w:space="0" w:color="auto"/>
                <w:right w:val="none" w:sz="0" w:space="0" w:color="auto"/>
              </w:divBdr>
            </w:div>
            <w:div w:id="1344435490">
              <w:marLeft w:val="0"/>
              <w:marRight w:val="0"/>
              <w:marTop w:val="0"/>
              <w:marBottom w:val="0"/>
              <w:divBdr>
                <w:top w:val="none" w:sz="0" w:space="0" w:color="auto"/>
                <w:left w:val="none" w:sz="0" w:space="0" w:color="auto"/>
                <w:bottom w:val="none" w:sz="0" w:space="0" w:color="auto"/>
                <w:right w:val="none" w:sz="0" w:space="0" w:color="auto"/>
              </w:divBdr>
            </w:div>
            <w:div w:id="18640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421">
      <w:bodyDiv w:val="1"/>
      <w:marLeft w:val="0"/>
      <w:marRight w:val="0"/>
      <w:marTop w:val="0"/>
      <w:marBottom w:val="0"/>
      <w:divBdr>
        <w:top w:val="none" w:sz="0" w:space="0" w:color="auto"/>
        <w:left w:val="none" w:sz="0" w:space="0" w:color="auto"/>
        <w:bottom w:val="none" w:sz="0" w:space="0" w:color="auto"/>
        <w:right w:val="none" w:sz="0" w:space="0" w:color="auto"/>
      </w:divBdr>
    </w:div>
    <w:div w:id="1753428815">
      <w:bodyDiv w:val="1"/>
      <w:marLeft w:val="0"/>
      <w:marRight w:val="0"/>
      <w:marTop w:val="0"/>
      <w:marBottom w:val="0"/>
      <w:divBdr>
        <w:top w:val="none" w:sz="0" w:space="0" w:color="auto"/>
        <w:left w:val="none" w:sz="0" w:space="0" w:color="auto"/>
        <w:bottom w:val="none" w:sz="0" w:space="0" w:color="auto"/>
        <w:right w:val="none" w:sz="0" w:space="0" w:color="auto"/>
      </w:divBdr>
    </w:div>
    <w:div w:id="1807626635">
      <w:bodyDiv w:val="1"/>
      <w:marLeft w:val="0"/>
      <w:marRight w:val="0"/>
      <w:marTop w:val="0"/>
      <w:marBottom w:val="0"/>
      <w:divBdr>
        <w:top w:val="none" w:sz="0" w:space="0" w:color="auto"/>
        <w:left w:val="none" w:sz="0" w:space="0" w:color="auto"/>
        <w:bottom w:val="none" w:sz="0" w:space="0" w:color="auto"/>
        <w:right w:val="none" w:sz="0" w:space="0" w:color="auto"/>
      </w:divBdr>
    </w:div>
    <w:div w:id="1946647234">
      <w:bodyDiv w:val="1"/>
      <w:marLeft w:val="0"/>
      <w:marRight w:val="0"/>
      <w:marTop w:val="0"/>
      <w:marBottom w:val="0"/>
      <w:divBdr>
        <w:top w:val="none" w:sz="0" w:space="0" w:color="auto"/>
        <w:left w:val="none" w:sz="0" w:space="0" w:color="auto"/>
        <w:bottom w:val="none" w:sz="0" w:space="0" w:color="auto"/>
        <w:right w:val="none" w:sz="0" w:space="0" w:color="auto"/>
      </w:divBdr>
      <w:divsChild>
        <w:div w:id="89129066">
          <w:marLeft w:val="0"/>
          <w:marRight w:val="0"/>
          <w:marTop w:val="0"/>
          <w:marBottom w:val="0"/>
          <w:divBdr>
            <w:top w:val="none" w:sz="0" w:space="0" w:color="auto"/>
            <w:left w:val="none" w:sz="0" w:space="0" w:color="auto"/>
            <w:bottom w:val="none" w:sz="0" w:space="0" w:color="auto"/>
            <w:right w:val="none" w:sz="0" w:space="0" w:color="auto"/>
          </w:divBdr>
          <w:divsChild>
            <w:div w:id="275908215">
              <w:marLeft w:val="0"/>
              <w:marRight w:val="0"/>
              <w:marTop w:val="0"/>
              <w:marBottom w:val="0"/>
              <w:divBdr>
                <w:top w:val="none" w:sz="0" w:space="0" w:color="auto"/>
                <w:left w:val="none" w:sz="0" w:space="0" w:color="auto"/>
                <w:bottom w:val="none" w:sz="0" w:space="0" w:color="auto"/>
                <w:right w:val="none" w:sz="0" w:space="0" w:color="auto"/>
              </w:divBdr>
              <w:divsChild>
                <w:div w:id="293369461">
                  <w:marLeft w:val="0"/>
                  <w:marRight w:val="0"/>
                  <w:marTop w:val="0"/>
                  <w:marBottom w:val="0"/>
                  <w:divBdr>
                    <w:top w:val="none" w:sz="0" w:space="0" w:color="auto"/>
                    <w:left w:val="none" w:sz="0" w:space="0" w:color="auto"/>
                    <w:bottom w:val="none" w:sz="0" w:space="0" w:color="auto"/>
                    <w:right w:val="none" w:sz="0" w:space="0" w:color="auto"/>
                  </w:divBdr>
                  <w:divsChild>
                    <w:div w:id="19478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09563">
      <w:bodyDiv w:val="1"/>
      <w:marLeft w:val="0"/>
      <w:marRight w:val="0"/>
      <w:marTop w:val="0"/>
      <w:marBottom w:val="0"/>
      <w:divBdr>
        <w:top w:val="none" w:sz="0" w:space="0" w:color="auto"/>
        <w:left w:val="none" w:sz="0" w:space="0" w:color="auto"/>
        <w:bottom w:val="none" w:sz="0" w:space="0" w:color="auto"/>
        <w:right w:val="none" w:sz="0" w:space="0" w:color="auto"/>
      </w:divBdr>
    </w:div>
    <w:div w:id="1992439848">
      <w:bodyDiv w:val="1"/>
      <w:marLeft w:val="0"/>
      <w:marRight w:val="0"/>
      <w:marTop w:val="0"/>
      <w:marBottom w:val="0"/>
      <w:divBdr>
        <w:top w:val="none" w:sz="0" w:space="0" w:color="auto"/>
        <w:left w:val="none" w:sz="0" w:space="0" w:color="auto"/>
        <w:bottom w:val="none" w:sz="0" w:space="0" w:color="auto"/>
        <w:right w:val="none" w:sz="0" w:space="0" w:color="auto"/>
      </w:divBdr>
      <w:divsChild>
        <w:div w:id="325522942">
          <w:marLeft w:val="547"/>
          <w:marRight w:val="0"/>
          <w:marTop w:val="144"/>
          <w:marBottom w:val="0"/>
          <w:divBdr>
            <w:top w:val="none" w:sz="0" w:space="0" w:color="auto"/>
            <w:left w:val="none" w:sz="0" w:space="0" w:color="auto"/>
            <w:bottom w:val="none" w:sz="0" w:space="0" w:color="auto"/>
            <w:right w:val="none" w:sz="0" w:space="0" w:color="auto"/>
          </w:divBdr>
        </w:div>
        <w:div w:id="1047493193">
          <w:marLeft w:val="547"/>
          <w:marRight w:val="0"/>
          <w:marTop w:val="144"/>
          <w:marBottom w:val="0"/>
          <w:divBdr>
            <w:top w:val="none" w:sz="0" w:space="0" w:color="auto"/>
            <w:left w:val="none" w:sz="0" w:space="0" w:color="auto"/>
            <w:bottom w:val="none" w:sz="0" w:space="0" w:color="auto"/>
            <w:right w:val="none" w:sz="0" w:space="0" w:color="auto"/>
          </w:divBdr>
        </w:div>
        <w:div w:id="1458179437">
          <w:marLeft w:val="547"/>
          <w:marRight w:val="0"/>
          <w:marTop w:val="144"/>
          <w:marBottom w:val="0"/>
          <w:divBdr>
            <w:top w:val="none" w:sz="0" w:space="0" w:color="auto"/>
            <w:left w:val="none" w:sz="0" w:space="0" w:color="auto"/>
            <w:bottom w:val="none" w:sz="0" w:space="0" w:color="auto"/>
            <w:right w:val="none" w:sz="0" w:space="0" w:color="auto"/>
          </w:divBdr>
        </w:div>
      </w:divsChild>
    </w:div>
    <w:div w:id="2073694503">
      <w:bodyDiv w:val="1"/>
      <w:marLeft w:val="0"/>
      <w:marRight w:val="0"/>
      <w:marTop w:val="0"/>
      <w:marBottom w:val="0"/>
      <w:divBdr>
        <w:top w:val="none" w:sz="0" w:space="0" w:color="auto"/>
        <w:left w:val="none" w:sz="0" w:space="0" w:color="auto"/>
        <w:bottom w:val="none" w:sz="0" w:space="0" w:color="auto"/>
        <w:right w:val="none" w:sz="0" w:space="0" w:color="auto"/>
      </w:divBdr>
      <w:divsChild>
        <w:div w:id="613904863">
          <w:marLeft w:val="547"/>
          <w:marRight w:val="0"/>
          <w:marTop w:val="154"/>
          <w:marBottom w:val="0"/>
          <w:divBdr>
            <w:top w:val="none" w:sz="0" w:space="0" w:color="auto"/>
            <w:left w:val="none" w:sz="0" w:space="0" w:color="auto"/>
            <w:bottom w:val="none" w:sz="0" w:space="0" w:color="auto"/>
            <w:right w:val="none" w:sz="0" w:space="0" w:color="auto"/>
          </w:divBdr>
        </w:div>
        <w:div w:id="686760960">
          <w:marLeft w:val="547"/>
          <w:marRight w:val="0"/>
          <w:marTop w:val="154"/>
          <w:marBottom w:val="0"/>
          <w:divBdr>
            <w:top w:val="none" w:sz="0" w:space="0" w:color="auto"/>
            <w:left w:val="none" w:sz="0" w:space="0" w:color="auto"/>
            <w:bottom w:val="none" w:sz="0" w:space="0" w:color="auto"/>
            <w:right w:val="none" w:sz="0" w:space="0" w:color="auto"/>
          </w:divBdr>
        </w:div>
        <w:div w:id="796459744">
          <w:marLeft w:val="547"/>
          <w:marRight w:val="0"/>
          <w:marTop w:val="154"/>
          <w:marBottom w:val="0"/>
          <w:divBdr>
            <w:top w:val="none" w:sz="0" w:space="0" w:color="auto"/>
            <w:left w:val="none" w:sz="0" w:space="0" w:color="auto"/>
            <w:bottom w:val="none" w:sz="0" w:space="0" w:color="auto"/>
            <w:right w:val="none" w:sz="0" w:space="0" w:color="auto"/>
          </w:divBdr>
        </w:div>
        <w:div w:id="874150758">
          <w:marLeft w:val="547"/>
          <w:marRight w:val="0"/>
          <w:marTop w:val="154"/>
          <w:marBottom w:val="0"/>
          <w:divBdr>
            <w:top w:val="none" w:sz="0" w:space="0" w:color="auto"/>
            <w:left w:val="none" w:sz="0" w:space="0" w:color="auto"/>
            <w:bottom w:val="none" w:sz="0" w:space="0" w:color="auto"/>
            <w:right w:val="none" w:sz="0" w:space="0" w:color="auto"/>
          </w:divBdr>
        </w:div>
        <w:div w:id="895120203">
          <w:marLeft w:val="547"/>
          <w:marRight w:val="0"/>
          <w:marTop w:val="154"/>
          <w:marBottom w:val="0"/>
          <w:divBdr>
            <w:top w:val="none" w:sz="0" w:space="0" w:color="auto"/>
            <w:left w:val="none" w:sz="0" w:space="0" w:color="auto"/>
            <w:bottom w:val="none" w:sz="0" w:space="0" w:color="auto"/>
            <w:right w:val="none" w:sz="0" w:space="0" w:color="auto"/>
          </w:divBdr>
        </w:div>
        <w:div w:id="1249847796">
          <w:marLeft w:val="547"/>
          <w:marRight w:val="0"/>
          <w:marTop w:val="154"/>
          <w:marBottom w:val="0"/>
          <w:divBdr>
            <w:top w:val="none" w:sz="0" w:space="0" w:color="auto"/>
            <w:left w:val="none" w:sz="0" w:space="0" w:color="auto"/>
            <w:bottom w:val="none" w:sz="0" w:space="0" w:color="auto"/>
            <w:right w:val="none" w:sz="0" w:space="0" w:color="auto"/>
          </w:divBdr>
        </w:div>
      </w:divsChild>
    </w:div>
    <w:div w:id="2074691466">
      <w:bodyDiv w:val="1"/>
      <w:marLeft w:val="0"/>
      <w:marRight w:val="0"/>
      <w:marTop w:val="0"/>
      <w:marBottom w:val="0"/>
      <w:divBdr>
        <w:top w:val="none" w:sz="0" w:space="0" w:color="auto"/>
        <w:left w:val="none" w:sz="0" w:space="0" w:color="auto"/>
        <w:bottom w:val="none" w:sz="0" w:space="0" w:color="auto"/>
        <w:right w:val="none" w:sz="0" w:space="0" w:color="auto"/>
      </w:divBdr>
      <w:divsChild>
        <w:div w:id="37519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ns.gov.uk/ons/rel/census/2011-census/key-statistics-for-local-authorities-in-england-and-wales/rpt-ethnicity.html" TargetMode="External"/><Relationship Id="rId1" Type="http://schemas.openxmlformats.org/officeDocument/2006/relationships/hyperlink" Target="http://www.epfl-europeanleagues.com/changing_f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30EA-CA81-4963-B9FE-0DF455F9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51</Pages>
  <Words>10736</Words>
  <Characters>61201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71794</CharactersWithSpaces>
  <SharedDoc>false</SharedDoc>
  <HLinks>
    <vt:vector size="6" baseType="variant">
      <vt:variant>
        <vt:i4>1769541</vt:i4>
      </vt:variant>
      <vt:variant>
        <vt:i4>0</vt:i4>
      </vt:variant>
      <vt:variant>
        <vt:i4>0</vt:i4>
      </vt:variant>
      <vt:variant>
        <vt:i4>5</vt:i4>
      </vt:variant>
      <vt:variant>
        <vt:lpwstr>https://webmail.niesr.ac.uk/exchweb/bin/redir.asp?URL=http://en.wikipedia.org/wiki/Serie_A%23Non-EU_players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arnaud</cp:lastModifiedBy>
  <cp:revision>16</cp:revision>
  <cp:lastPrinted>2015-01-12T16:19:00Z</cp:lastPrinted>
  <dcterms:created xsi:type="dcterms:W3CDTF">2015-01-10T14:20:00Z</dcterms:created>
  <dcterms:modified xsi:type="dcterms:W3CDTF">2015-03-13T09:03:00Z</dcterms:modified>
</cp:coreProperties>
</file>