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70" w:rsidRPr="0048316D" w:rsidRDefault="000C2770" w:rsidP="000C2770">
      <w:pPr>
        <w:spacing w:line="240" w:lineRule="auto"/>
        <w:ind w:firstLine="0"/>
      </w:pPr>
      <w:r w:rsidRPr="0048316D">
        <w:rPr>
          <w:b/>
        </w:rPr>
        <w:t>NOTE:</w:t>
      </w:r>
      <w:r>
        <w:t xml:space="preserve"> This paper has been published in </w:t>
      </w:r>
      <w:r>
        <w:rPr>
          <w:i/>
        </w:rPr>
        <w:t>Journal of Islamic Accounting and Business Research</w:t>
      </w:r>
      <w:r>
        <w:t>, Vol. 1, No. 2, 2010, pp. 92-113. DOI: 10.1108/17590811011086705. The printed version of the paper may differ slightly from the version below: the printed version is definitive.</w:t>
      </w:r>
    </w:p>
    <w:p w:rsidR="00631CC8" w:rsidRDefault="00631CC8" w:rsidP="00C97471"/>
    <w:p w:rsidR="00631CC8" w:rsidRDefault="00631CC8" w:rsidP="00C97471"/>
    <w:p w:rsidR="00631CC8" w:rsidRDefault="00631CC8" w:rsidP="00C97471"/>
    <w:p w:rsidR="00631CC8" w:rsidRDefault="00631CC8" w:rsidP="00C97471"/>
    <w:p w:rsidR="00631CC8" w:rsidRDefault="00631CC8" w:rsidP="00C97471"/>
    <w:p w:rsidR="00631CC8" w:rsidRDefault="00631CC8" w:rsidP="00C97471"/>
    <w:p w:rsidR="00631CC8" w:rsidRDefault="00631CC8" w:rsidP="00290D84">
      <w:pPr>
        <w:pStyle w:val="Heading1"/>
      </w:pPr>
      <w:r>
        <w:t xml:space="preserve">ACCOUNTING, RELIGION </w:t>
      </w:r>
      <w:smartTag w:uri="urn:schemas-microsoft-com:office:smarttags" w:element="stockticker">
        <w:r>
          <w:t>AND</w:t>
        </w:r>
      </w:smartTag>
      <w:r>
        <w:t xml:space="preserve"> ORGANISATIONAL CULTURE: THE CREATION OF </w:t>
      </w:r>
      <w:smartTag w:uri="urn:schemas-microsoft-com:office:smarttags" w:element="place">
        <w:smartTag w:uri="urn:schemas-microsoft-com:office:smarttags" w:element="country-region">
          <w:r>
            <w:t>JORDAN</w:t>
          </w:r>
        </w:smartTag>
      </w:smartTag>
      <w:r>
        <w:t xml:space="preserve"> ISLAMIC BANK</w:t>
      </w:r>
    </w:p>
    <w:p w:rsidR="00631CC8" w:rsidRDefault="00631CC8" w:rsidP="009F3EB3">
      <w:pPr>
        <w:pStyle w:val="Firstpara"/>
        <w:spacing w:after="0" w:line="240" w:lineRule="auto"/>
        <w:jc w:val="center"/>
      </w:pPr>
      <w:smartTag w:uri="urn:schemas-microsoft-com:office:smarttags" w:element="PersonName">
        <w:r w:rsidRPr="009F3EB3">
          <w:rPr>
            <w:i/>
          </w:rPr>
          <w:t xml:space="preserve">Bassam </w:t>
        </w:r>
        <w:r w:rsidRPr="00C51B2E">
          <w:rPr>
            <w:i/>
          </w:rPr>
          <w:t>Maali</w:t>
        </w:r>
      </w:smartTag>
      <w:r>
        <w:t>*</w:t>
      </w:r>
      <w:r w:rsidRPr="009F3EB3">
        <w:rPr>
          <w:i/>
        </w:rPr>
        <w:t xml:space="preserve"> and </w:t>
      </w:r>
      <w:smartTag w:uri="urn:schemas-microsoft-com:office:smarttags" w:element="PersonName">
        <w:r w:rsidRPr="009F3EB3">
          <w:rPr>
            <w:i/>
          </w:rPr>
          <w:t>Christopher Napier</w:t>
        </w:r>
      </w:smartTag>
      <w:r>
        <w:t>†</w:t>
      </w:r>
    </w:p>
    <w:p w:rsidR="00631CC8" w:rsidRDefault="00631CC8" w:rsidP="00C51B2E"/>
    <w:p w:rsidR="00631CC8" w:rsidRDefault="00631CC8" w:rsidP="006A02FA">
      <w:pPr>
        <w:spacing w:after="0" w:line="240" w:lineRule="auto"/>
        <w:ind w:firstLine="0"/>
      </w:pPr>
      <w:r>
        <w:t>*</w:t>
      </w:r>
      <w:r>
        <w:tab/>
        <w:t>Assistant Professor of Accounting,</w:t>
      </w:r>
    </w:p>
    <w:p w:rsidR="00631CC8" w:rsidRDefault="00631CC8" w:rsidP="006A02FA">
      <w:pPr>
        <w:spacing w:after="0" w:line="240" w:lineRule="auto"/>
        <w:ind w:firstLine="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Petra</w:t>
          </w:r>
        </w:smartTag>
      </w:smartTag>
      <w:r>
        <w:t xml:space="preserve">, </w:t>
      </w:r>
      <w:smartTag w:uri="urn:schemas-microsoft-com:office:smarttags" w:element="place">
        <w:smartTag w:uri="urn:schemas-microsoft-com:office:smarttags" w:element="City">
          <w:r>
            <w:t>Amman</w:t>
          </w:r>
        </w:smartTag>
        <w:r>
          <w:t xml:space="preserve">, </w:t>
        </w:r>
        <w:smartTag w:uri="urn:schemas-microsoft-com:office:smarttags" w:element="country-region">
          <w:r>
            <w:t>Jordan</w:t>
          </w:r>
        </w:smartTag>
      </w:smartTag>
    </w:p>
    <w:p w:rsidR="00631CC8" w:rsidRDefault="00631CC8" w:rsidP="006A02FA">
      <w:pPr>
        <w:spacing w:after="0" w:line="240" w:lineRule="auto"/>
        <w:ind w:firstLine="720"/>
      </w:pPr>
      <w:r>
        <w:t>(E-mail: bmaali@uop.edu.jo)</w:t>
      </w:r>
    </w:p>
    <w:p w:rsidR="00631CC8" w:rsidRDefault="00631CC8" w:rsidP="00C51B2E">
      <w:pPr>
        <w:spacing w:after="0" w:line="240" w:lineRule="auto"/>
        <w:ind w:firstLine="0"/>
      </w:pPr>
    </w:p>
    <w:p w:rsidR="00631CC8" w:rsidRDefault="00631CC8" w:rsidP="00C51B2E">
      <w:pPr>
        <w:spacing w:after="0" w:line="240" w:lineRule="auto"/>
        <w:ind w:firstLine="0"/>
      </w:pPr>
      <w:r>
        <w:t>†</w:t>
      </w:r>
      <w:r>
        <w:tab/>
        <w:t>Professor of Accounting</w:t>
      </w:r>
    </w:p>
    <w:p w:rsidR="00631CC8" w:rsidRDefault="00631CC8" w:rsidP="006A02FA">
      <w:pPr>
        <w:spacing w:after="0" w:line="240" w:lineRule="auto"/>
        <w:ind w:firstLine="720"/>
      </w:pPr>
      <w:r>
        <w:t xml:space="preserve">Royal Holloway,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w:t>
      </w:r>
    </w:p>
    <w:p w:rsidR="00631CC8" w:rsidRDefault="00631CC8" w:rsidP="00C51B2E">
      <w:pPr>
        <w:spacing w:after="0" w:line="240" w:lineRule="auto"/>
        <w:ind w:firstLine="0"/>
      </w:pPr>
      <w:r>
        <w:tab/>
      </w:r>
      <w:proofErr w:type="spellStart"/>
      <w:r>
        <w:t>Egham</w:t>
      </w:r>
      <w:proofErr w:type="spellEnd"/>
      <w:r>
        <w:t xml:space="preserve">, </w:t>
      </w:r>
      <w:smartTag w:uri="urn:schemas-microsoft-com:office:smarttags" w:element="place">
        <w:smartTag w:uri="urn:schemas-microsoft-com:office:smarttags" w:element="City">
          <w:r>
            <w:t>Surrey</w:t>
          </w:r>
        </w:smartTag>
        <w:r>
          <w:t xml:space="preserve">, </w:t>
        </w:r>
        <w:smartTag w:uri="urn:schemas-microsoft-com:office:smarttags" w:element="PostalCode">
          <w:r>
            <w:t>TW20 0EX</w:t>
          </w:r>
        </w:smartTag>
        <w:r>
          <w:t xml:space="preserve">, </w:t>
        </w:r>
        <w:smartTag w:uri="urn:schemas-microsoft-com:office:smarttags" w:element="country-region">
          <w:r>
            <w:t>UK</w:t>
          </w:r>
        </w:smartTag>
      </w:smartTag>
    </w:p>
    <w:p w:rsidR="00631CC8" w:rsidRDefault="00631CC8" w:rsidP="00C51B2E">
      <w:pPr>
        <w:spacing w:after="0" w:line="240" w:lineRule="auto"/>
        <w:ind w:firstLine="0"/>
      </w:pPr>
      <w:r>
        <w:tab/>
        <w:t>(Tel: +44(0) 1784 276121)</w:t>
      </w:r>
    </w:p>
    <w:p w:rsidR="00631CC8" w:rsidRDefault="00631CC8" w:rsidP="00C51B2E">
      <w:pPr>
        <w:spacing w:after="0" w:line="240" w:lineRule="auto"/>
        <w:ind w:firstLine="0"/>
      </w:pPr>
      <w:r>
        <w:tab/>
        <w:t>(E-mail: Christopher.Napier@rhul.ac.uk)</w:t>
      </w:r>
    </w:p>
    <w:p w:rsidR="00631CC8" w:rsidRPr="00C51B2E" w:rsidRDefault="00631CC8" w:rsidP="00C51B2E">
      <w:pPr>
        <w:spacing w:after="0" w:line="240" w:lineRule="auto"/>
        <w:ind w:firstLine="0"/>
      </w:pPr>
    </w:p>
    <w:p w:rsidR="00631CC8" w:rsidRDefault="00631CC8" w:rsidP="009F3EB3">
      <w:pPr>
        <w:pStyle w:val="Firstpara"/>
        <w:spacing w:after="0" w:line="240" w:lineRule="auto"/>
      </w:pPr>
    </w:p>
    <w:p w:rsidR="00631CC8" w:rsidRDefault="00631CC8" w:rsidP="009F3EB3">
      <w:pPr>
        <w:pStyle w:val="Firstpara"/>
        <w:spacing w:after="0" w:line="240" w:lineRule="auto"/>
      </w:pPr>
    </w:p>
    <w:p w:rsidR="00631CC8" w:rsidRDefault="00631CC8" w:rsidP="009F3EB3">
      <w:pPr>
        <w:pStyle w:val="Firstpara"/>
        <w:spacing w:after="0" w:line="240" w:lineRule="auto"/>
      </w:pPr>
    </w:p>
    <w:p w:rsidR="00631CC8" w:rsidRDefault="00631CC8" w:rsidP="009F3EB3">
      <w:pPr>
        <w:pStyle w:val="Firstpara"/>
        <w:spacing w:after="0" w:line="240" w:lineRule="auto"/>
      </w:pPr>
    </w:p>
    <w:p w:rsidR="00631CC8" w:rsidRDefault="00631CC8" w:rsidP="009F3EB3">
      <w:pPr>
        <w:pStyle w:val="Firstpara"/>
        <w:spacing w:after="0" w:line="240" w:lineRule="auto"/>
      </w:pPr>
    </w:p>
    <w:p w:rsidR="00631CC8" w:rsidRDefault="00631CC8" w:rsidP="009F3EB3">
      <w:pPr>
        <w:pStyle w:val="Firstpara"/>
        <w:spacing w:after="0" w:line="240" w:lineRule="auto"/>
      </w:pPr>
    </w:p>
    <w:p w:rsidR="00631CC8" w:rsidRDefault="00631CC8" w:rsidP="009F3EB3">
      <w:pPr>
        <w:pStyle w:val="Firstpara"/>
        <w:spacing w:after="0" w:line="240" w:lineRule="auto"/>
      </w:pPr>
    </w:p>
    <w:p w:rsidR="00631CC8" w:rsidRDefault="00631CC8" w:rsidP="009F3EB3">
      <w:pPr>
        <w:pStyle w:val="Firstpara"/>
        <w:spacing w:after="0" w:line="240" w:lineRule="auto"/>
      </w:pPr>
    </w:p>
    <w:p w:rsidR="00631CC8" w:rsidRDefault="00631CC8" w:rsidP="009F3EB3">
      <w:pPr>
        <w:pStyle w:val="Firstpara"/>
        <w:spacing w:after="0" w:line="240" w:lineRule="auto"/>
      </w:pPr>
    </w:p>
    <w:p w:rsidR="00631CC8" w:rsidRDefault="00631CC8" w:rsidP="009F3EB3">
      <w:pPr>
        <w:pStyle w:val="Firstpara"/>
        <w:spacing w:after="0" w:line="240" w:lineRule="auto"/>
      </w:pPr>
    </w:p>
    <w:p w:rsidR="00631CC8" w:rsidRDefault="00631CC8" w:rsidP="009F3EB3">
      <w:pPr>
        <w:pStyle w:val="Firstpara"/>
        <w:spacing w:after="0" w:line="240" w:lineRule="auto"/>
      </w:pPr>
    </w:p>
    <w:p w:rsidR="00631CC8" w:rsidRDefault="00631CC8" w:rsidP="009F3EB3">
      <w:pPr>
        <w:pStyle w:val="Firstpara"/>
        <w:spacing w:after="0" w:line="240" w:lineRule="auto"/>
      </w:pPr>
    </w:p>
    <w:p w:rsidR="00631CC8" w:rsidRDefault="00631CC8" w:rsidP="009F3EB3">
      <w:pPr>
        <w:pStyle w:val="Firstpara"/>
        <w:spacing w:after="0" w:line="240" w:lineRule="auto"/>
      </w:pPr>
    </w:p>
    <w:p w:rsidR="00631CC8" w:rsidRDefault="00631CC8" w:rsidP="007402AE">
      <w:pPr>
        <w:pStyle w:val="Firstpara"/>
        <w:spacing w:after="0" w:line="240" w:lineRule="auto"/>
        <w:jc w:val="center"/>
      </w:pPr>
      <w:r>
        <w:t>Earlier versions of this p</w:t>
      </w:r>
      <w:r w:rsidRPr="009168FF">
        <w:t xml:space="preserve">aper </w:t>
      </w:r>
      <w:r>
        <w:t xml:space="preserve">were presented at the Accounting, Business and Financial History Conference, </w:t>
      </w:r>
      <w:smartTag w:uri="urn:schemas-microsoft-com:office:smarttags" w:element="place">
        <w:smartTag w:uri="urn:schemas-microsoft-com:office:smarttags" w:element="City">
          <w:r>
            <w:t>Cardiff</w:t>
          </w:r>
        </w:smartTag>
      </w:smartTag>
      <w:r>
        <w:t xml:space="preserve">, 2004, and the Global Accounting and Organisational Change Conference, </w:t>
      </w:r>
      <w:smartTag w:uri="urn:schemas-microsoft-com:office:smarttags" w:element="place">
        <w:smartTag w:uri="urn:schemas-microsoft-com:office:smarttags" w:element="City">
          <w:r>
            <w:t>Melbourne</w:t>
          </w:r>
        </w:smartTag>
      </w:smartTag>
      <w:r>
        <w:t>, July 2008.</w:t>
      </w:r>
    </w:p>
    <w:p w:rsidR="00631CC8" w:rsidRDefault="00631CC8" w:rsidP="009F3EB3">
      <w:pPr>
        <w:pStyle w:val="Firstpara"/>
        <w:spacing w:after="0" w:line="240" w:lineRule="auto"/>
      </w:pPr>
    </w:p>
    <w:p w:rsidR="00631CC8" w:rsidRDefault="00631CC8" w:rsidP="00C51B2E">
      <w:pPr>
        <w:pStyle w:val="Heading1"/>
      </w:pPr>
      <w:r>
        <w:br w:type="page"/>
      </w:r>
      <w:r>
        <w:lastRenderedPageBreak/>
        <w:t xml:space="preserve">ACCOUNTING, RELIGION </w:t>
      </w:r>
      <w:smartTag w:uri="urn:schemas-microsoft-com:office:smarttags" w:element="stockticker">
        <w:r>
          <w:t>AND</w:t>
        </w:r>
      </w:smartTag>
      <w:r>
        <w:t xml:space="preserve"> ORGANISATIONAL CULTURE: THE CREATION OF </w:t>
      </w:r>
      <w:smartTag w:uri="urn:schemas-microsoft-com:office:smarttags" w:element="place">
        <w:smartTag w:uri="urn:schemas-microsoft-com:office:smarttags" w:element="country-region">
          <w:r>
            <w:t>JORDAN</w:t>
          </w:r>
        </w:smartTag>
      </w:smartTag>
      <w:r>
        <w:t xml:space="preserve"> ISLAMIC BANK </w:t>
      </w:r>
    </w:p>
    <w:p w:rsidR="00631CC8" w:rsidRPr="00C97471" w:rsidRDefault="00631CC8" w:rsidP="00A71696"/>
    <w:p w:rsidR="00631CC8" w:rsidRPr="00D4501E" w:rsidRDefault="00631CC8" w:rsidP="00C97471">
      <w:pPr>
        <w:pStyle w:val="Heading1"/>
      </w:pPr>
      <w:r>
        <w:t>ABSTRACT</w:t>
      </w:r>
    </w:p>
    <w:p w:rsidR="00631CC8" w:rsidRDefault="00631CC8" w:rsidP="00696CC6">
      <w:pPr>
        <w:pStyle w:val="Firstpara"/>
      </w:pPr>
      <w:r>
        <w:rPr>
          <w:b/>
        </w:rPr>
        <w:t>Purpose:</w:t>
      </w:r>
      <w:r>
        <w:t xml:space="preserve"> The paper examines the cultural factors that shaped the creation of one of the earliest Islamic banks, discussing the tensions that arise between religious and economic aims.</w:t>
      </w:r>
    </w:p>
    <w:p w:rsidR="00631CC8" w:rsidRDefault="00631CC8" w:rsidP="006A02FA">
      <w:pPr>
        <w:pStyle w:val="Firstpara"/>
      </w:pPr>
      <w:r>
        <w:rPr>
          <w:b/>
        </w:rPr>
        <w:t>Design/methodology/approach:</w:t>
      </w:r>
      <w:r>
        <w:t xml:space="preserve"> The research is a case study of a historically significant institution.  The information on which the paper is based was obtained through interviews with participants in the process being analysed, review of archived documents, and observation.  Edgar Schein’s theory of organisational culture and leadership is employed to provide theoretical structure for the analysis.</w:t>
      </w:r>
    </w:p>
    <w:p w:rsidR="00631CC8" w:rsidRDefault="00631CC8" w:rsidP="006A02FA">
      <w:pPr>
        <w:pStyle w:val="Firstpara"/>
      </w:pPr>
      <w:r>
        <w:rPr>
          <w:b/>
        </w:rPr>
        <w:t>Findings</w:t>
      </w:r>
      <w:r>
        <w:t xml:space="preserve">:  The paper shows that creating a new type of organisation – an Islamic bank – in </w:t>
      </w:r>
      <w:smartTag w:uri="urn:schemas-microsoft-com:office:smarttags" w:element="place">
        <w:smartTag w:uri="urn:schemas-microsoft-com:office:smarttags" w:element="country-region">
          <w:r>
            <w:t>Jordan</w:t>
          </w:r>
        </w:smartTag>
      </w:smartTag>
      <w:r>
        <w:t xml:space="preserve"> required special legislation.  A study of the development of this legislation reveals that the bank’s founder needed to convince both the religious and political authorities and potential investors that the bank would comply with </w:t>
      </w:r>
      <w:proofErr w:type="spellStart"/>
      <w:r>
        <w:rPr>
          <w:i/>
        </w:rPr>
        <w:t>Shari’a</w:t>
      </w:r>
      <w:proofErr w:type="spellEnd"/>
      <w:r>
        <w:t xml:space="preserve"> principles while at the same time generating profitable business.  The outcome was to validate transactions that were </w:t>
      </w:r>
      <w:proofErr w:type="spellStart"/>
      <w:r>
        <w:rPr>
          <w:i/>
        </w:rPr>
        <w:t>Shari’a</w:t>
      </w:r>
      <w:proofErr w:type="spellEnd"/>
      <w:r>
        <w:t>-compliant in form but similar in substance to those of conventional banks.</w:t>
      </w:r>
    </w:p>
    <w:p w:rsidR="00631CC8" w:rsidRDefault="00631CC8" w:rsidP="009F7CE1">
      <w:pPr>
        <w:pStyle w:val="Firstpara"/>
      </w:pPr>
      <w:r>
        <w:rPr>
          <w:b/>
        </w:rPr>
        <w:t>Research limitations:</w:t>
      </w:r>
      <w:r>
        <w:t xml:space="preserve"> The study examined one bank, and the findings are not necessarily representative of the experience of other Islamic financial institutions.</w:t>
      </w:r>
    </w:p>
    <w:p w:rsidR="00631CC8" w:rsidRDefault="00631CC8" w:rsidP="009F7CE1">
      <w:pPr>
        <w:pStyle w:val="Firstpara"/>
      </w:pPr>
      <w:r>
        <w:rPr>
          <w:b/>
        </w:rPr>
        <w:t>Practical and social implications:</w:t>
      </w:r>
      <w:r>
        <w:t xml:space="preserve">  The research highlights the problems faced in establishing businesses that seek to follow the moral and economic teachings of Islam.  The paper contributes to the ongoing debate about whether it is possible to establish genuinely Islamic businesses within a conventional economy.</w:t>
      </w:r>
    </w:p>
    <w:p w:rsidR="00631CC8" w:rsidRPr="009F7CE1" w:rsidRDefault="00631CC8" w:rsidP="009F7CE1">
      <w:pPr>
        <w:pStyle w:val="Firstpara"/>
      </w:pPr>
      <w:r>
        <w:rPr>
          <w:b/>
        </w:rPr>
        <w:t>Originality/value:</w:t>
      </w:r>
      <w:r>
        <w:t xml:space="preserve"> This is the first detailed academic study of the creation of an Islamic financial institution to make use of a wide range of documentary and oral evidence, including interviews with insiders.  </w:t>
      </w:r>
    </w:p>
    <w:p w:rsidR="00631CC8" w:rsidRDefault="00631CC8" w:rsidP="007402AE">
      <w:pPr>
        <w:ind w:firstLine="0"/>
      </w:pPr>
      <w:r w:rsidRPr="007402AE">
        <w:rPr>
          <w:b/>
          <w:bCs/>
        </w:rPr>
        <w:t>Key words:</w:t>
      </w:r>
      <w:r>
        <w:t xml:space="preserve"> Islamic banking, </w:t>
      </w:r>
      <w:proofErr w:type="spellStart"/>
      <w:r>
        <w:rPr>
          <w:i/>
        </w:rPr>
        <w:t>Shari’a</w:t>
      </w:r>
      <w:proofErr w:type="spellEnd"/>
      <w:r w:rsidRPr="007402AE">
        <w:t xml:space="preserve">, </w:t>
      </w:r>
      <w:smartTag w:uri="urn:schemas-microsoft-com:office:smarttags" w:element="place">
        <w:smartTag w:uri="urn:schemas-microsoft-com:office:smarttags" w:element="country-region">
          <w:r w:rsidRPr="007402AE">
            <w:t>Jordan</w:t>
          </w:r>
        </w:smartTag>
      </w:smartTag>
      <w:r w:rsidRPr="007402AE">
        <w:t>, bank regulation,</w:t>
      </w:r>
      <w:r>
        <w:t xml:space="preserve"> financial reporting,</w:t>
      </w:r>
      <w:r w:rsidRPr="007402AE">
        <w:t xml:space="preserve"> </w:t>
      </w:r>
      <w:proofErr w:type="spellStart"/>
      <w:r w:rsidRPr="00696CC6">
        <w:rPr>
          <w:i/>
          <w:iCs/>
        </w:rPr>
        <w:t>mudaraba</w:t>
      </w:r>
      <w:proofErr w:type="spellEnd"/>
      <w:r w:rsidRPr="007402AE">
        <w:t xml:space="preserve">, </w:t>
      </w:r>
      <w:proofErr w:type="spellStart"/>
      <w:r>
        <w:rPr>
          <w:i/>
          <w:iCs/>
        </w:rPr>
        <w:t>mura</w:t>
      </w:r>
      <w:r w:rsidRPr="00696CC6">
        <w:rPr>
          <w:i/>
          <w:iCs/>
        </w:rPr>
        <w:t>ba</w:t>
      </w:r>
      <w:r>
        <w:rPr>
          <w:i/>
          <w:iCs/>
        </w:rPr>
        <w:t>ha</w:t>
      </w:r>
      <w:proofErr w:type="spellEnd"/>
    </w:p>
    <w:p w:rsidR="00631CC8" w:rsidRDefault="00631CC8" w:rsidP="007402AE">
      <w:pPr>
        <w:ind w:firstLine="0"/>
      </w:pPr>
      <w:r>
        <w:rPr>
          <w:b/>
        </w:rPr>
        <w:t xml:space="preserve">Category of paper: </w:t>
      </w:r>
      <w:r>
        <w:t>Research paper</w:t>
      </w:r>
    </w:p>
    <w:p w:rsidR="00631CC8" w:rsidRDefault="00631CC8" w:rsidP="007402AE">
      <w:pPr>
        <w:ind w:firstLine="0"/>
        <w:sectPr w:rsidR="00631CC8" w:rsidSect="00421721">
          <w:headerReference w:type="default" r:id="rId7"/>
          <w:endnotePr>
            <w:numFmt w:val="decimal"/>
          </w:endnotePr>
          <w:pgSz w:w="11906" w:h="16838" w:code="9"/>
          <w:pgMar w:top="851" w:right="1418" w:bottom="851" w:left="1418" w:header="709" w:footer="709" w:gutter="0"/>
          <w:pgNumType w:start="1"/>
          <w:cols w:space="708"/>
          <w:titlePg/>
          <w:docGrid w:linePitch="360"/>
        </w:sectPr>
      </w:pPr>
    </w:p>
    <w:p w:rsidR="00631CC8" w:rsidRPr="00421721" w:rsidRDefault="00631CC8" w:rsidP="007402AE">
      <w:pPr>
        <w:ind w:firstLine="0"/>
        <w:rPr>
          <w:rFonts w:ascii="Arial" w:hAnsi="Arial" w:cs="Arial"/>
        </w:rPr>
      </w:pPr>
    </w:p>
    <w:p w:rsidR="00631CC8" w:rsidRDefault="00631CC8" w:rsidP="00C51B2E">
      <w:pPr>
        <w:pStyle w:val="Heading1"/>
      </w:pPr>
      <w:r>
        <w:t xml:space="preserve">ACCOUNTING, RELIGION </w:t>
      </w:r>
      <w:smartTag w:uri="urn:schemas-microsoft-com:office:smarttags" w:element="stockticker">
        <w:r>
          <w:t>AND</w:t>
        </w:r>
      </w:smartTag>
      <w:r>
        <w:t xml:space="preserve"> ORGANISATIONAL CULTURE: THE CREATION OF </w:t>
      </w:r>
      <w:smartTag w:uri="urn:schemas-microsoft-com:office:smarttags" w:element="place">
        <w:smartTag w:uri="urn:schemas-microsoft-com:office:smarttags" w:element="country-region">
          <w:r>
            <w:t>JORDAN</w:t>
          </w:r>
        </w:smartTag>
      </w:smartTag>
      <w:r>
        <w:t xml:space="preserve"> ISLAMIC BANK </w:t>
      </w:r>
    </w:p>
    <w:p w:rsidR="00631CC8" w:rsidRDefault="00631CC8" w:rsidP="009168FF">
      <w:pPr>
        <w:pStyle w:val="Heading1"/>
        <w:jc w:val="left"/>
      </w:pPr>
    </w:p>
    <w:p w:rsidR="00631CC8" w:rsidRDefault="00631CC8" w:rsidP="009168FF">
      <w:pPr>
        <w:pStyle w:val="Heading2"/>
      </w:pPr>
      <w:r>
        <w:t xml:space="preserve">Introduction </w:t>
      </w:r>
    </w:p>
    <w:p w:rsidR="00631CC8" w:rsidRDefault="00631CC8" w:rsidP="005F1FF4">
      <w:pPr>
        <w:pStyle w:val="Firstpara"/>
      </w:pPr>
      <w:r>
        <w:t xml:space="preserve">This is a study of how the assumptions and values of the founder of a comparatively new type of organisation, an Islamic bank, shaped the bank’s accounting and governance structures and processes.  The notion that human groups share assumptions and values, and that not only the survival and success of specific groups, but also differences between groups, can be explained by reference to these shared assumptions and values, has formed the basis of cultural studies within many branches of the social sciences.  </w:t>
      </w:r>
      <w:proofErr w:type="spellStart"/>
      <w:r>
        <w:t>Hofstede</w:t>
      </w:r>
      <w:proofErr w:type="spellEnd"/>
      <w:r>
        <w:t xml:space="preserve"> (1980, p. 25) has labelled “the collective programming of the mind which distinguishes the members of one human group from another” as </w:t>
      </w:r>
      <w:r>
        <w:rPr>
          <w:i/>
          <w:iCs/>
        </w:rPr>
        <w:t>culture</w:t>
      </w:r>
      <w:r>
        <w:t xml:space="preserve">, and his view of national cultures has influenced accounting research through the work of Gray (1988).  Although </w:t>
      </w:r>
      <w:proofErr w:type="spellStart"/>
      <w:r>
        <w:t>Hofstede’s</w:t>
      </w:r>
      <w:proofErr w:type="spellEnd"/>
      <w:r>
        <w:t xml:space="preserve"> notion of national cultures has been criticised, most notably by McSweeney (2002), the concept of “organisational culture” may be more robust (see for example </w:t>
      </w:r>
      <w:proofErr w:type="spellStart"/>
      <w:r>
        <w:t>Alvesson</w:t>
      </w:r>
      <w:proofErr w:type="spellEnd"/>
      <w:r>
        <w:t xml:space="preserve">, 2002; Martin, 2002; Schein, 2004).  As </w:t>
      </w:r>
      <w:proofErr w:type="spellStart"/>
      <w:r>
        <w:t>Alvesson</w:t>
      </w:r>
      <w:proofErr w:type="spellEnd"/>
      <w:r>
        <w:t xml:space="preserve"> (2002, p. 6) observes, cultural phenomena “are related to history and tradition”, “are collective and shared by members of groups”, and “[have] to do with meanings, understandings, beliefs, knowledge, and other intangibles”.</w:t>
      </w:r>
    </w:p>
    <w:p w:rsidR="00631CC8" w:rsidRDefault="00631CC8" w:rsidP="002122CF">
      <w:r>
        <w:t>How are organisational cultures formed?  Several researchers in the field see an important role for human agency in this: founders and subsequent leaders may attempt to inculcate particular assumptions and values within their organisations.  Schein (2004, p. 70) identifies stages of group evolution, the first of which is group formation.  At this stage, group members tend to be dependent on the group’s leader to define the group’s values.  This does not necessarily imply that all group members will unthinkingly share the leader’s values: it is possible that some members will resist (though resistance may mean that they do not remain members of the group for long).  Schein (2004, p. 226) emphasises the impact of founders:</w:t>
      </w:r>
    </w:p>
    <w:p w:rsidR="00631CC8" w:rsidRDefault="00631CC8" w:rsidP="002122CF">
      <w:pPr>
        <w:pStyle w:val="Indenttext"/>
      </w:pPr>
      <w:r>
        <w:t>Founders not only choose the basic mission and the environmental context in which the new group will operate, but they choose the group members and bias the original responses that the group makes in its efforts to succeed in its environment and to integrate itself.</w:t>
      </w:r>
    </w:p>
    <w:p w:rsidR="00631CC8" w:rsidRDefault="00631CC8" w:rsidP="00696CC6">
      <w:pPr>
        <w:pStyle w:val="Firstpara"/>
      </w:pPr>
      <w:r>
        <w:lastRenderedPageBreak/>
        <w:t>Unfortunately, it can be difficult to study the influence of founders on the culture of long-established organisations, because the founders may no longer be associated with the organisations being investigated.  Studies of the influence of founders may have to depend on documentary evidence and oral history, and there is the danger that founders become idealised.  Where founders are still available to be interviewed, the values that they attempted to inculcate, and their strategies for shaping the organisation’s culture, may be investigated more directly, though even here it is necessary to allow for the passage of time and fading of memory as potential distorting factors.</w:t>
      </w:r>
    </w:p>
    <w:p w:rsidR="00631CC8" w:rsidRDefault="00631CC8" w:rsidP="00446120">
      <w:r>
        <w:t xml:space="preserve">Organisational culture is an important factor in forming organisational structures and practices, what Schein (2004, p. 26) refers to as </w:t>
      </w:r>
      <w:r>
        <w:rPr>
          <w:i/>
          <w:iCs/>
        </w:rPr>
        <w:t>artefacts</w:t>
      </w:r>
      <w:r>
        <w:t xml:space="preserve">.  Such artefacts include accounting and governance processes and structures.  Artefacts of organisational culture can be observed, both directly as manifestations of human behaviour and through the testimony of individuals and the witness of documents.  However, it is not always straightforward to identify from surviving artefacts the underlying cultural values that lead to a specific organisational culture.  The aim of this paper is to identify how the values of an organisation’s founder influenced the organisation’s culture, with potentially long-lasting impact.  The organisation under investigation is Jordan Islamic Bank (JIB), established in 1979.  We discovered that establishing an Islamic bank implies the creation of a particular type of organisational culture, where two potentially conflicting forces have to be reconciled.  The first of these is the need to establish a commercially viable enterprise capable of competing with existing banks operating on a standard capitalist model.  For example, the Islamic bank must offer savings and investment products to potential depositors that offer returns comparable to those available in conventional banks.  On the other hand, the bank must be seen to comply with the principles of </w:t>
      </w:r>
      <w:proofErr w:type="spellStart"/>
      <w:r w:rsidRPr="009A79BF">
        <w:rPr>
          <w:i/>
        </w:rPr>
        <w:t>Shari’a</w:t>
      </w:r>
      <w:proofErr w:type="spellEnd"/>
      <w:r>
        <w:t xml:space="preserve">, and this may require the establishment of institutional structures that demonstrate this compliance to customers and outsiders.  In principle, observant Muslims may be prepared to sacrifice </w:t>
      </w:r>
      <w:r w:rsidRPr="00696CC6">
        <w:rPr>
          <w:i/>
          <w:iCs/>
        </w:rPr>
        <w:t>some</w:t>
      </w:r>
      <w:r>
        <w:t xml:space="preserve"> return in exchange for the confidence that their investments are </w:t>
      </w:r>
      <w:proofErr w:type="spellStart"/>
      <w:r w:rsidRPr="009A79BF">
        <w:rPr>
          <w:i/>
        </w:rPr>
        <w:t>Shari’a</w:t>
      </w:r>
      <w:proofErr w:type="spellEnd"/>
      <w:r>
        <w:t xml:space="preserve">-compliant, but it cannot be assumed that any </w:t>
      </w:r>
      <w:r w:rsidRPr="00696CC6">
        <w:rPr>
          <w:i/>
          <w:iCs/>
        </w:rPr>
        <w:t>significant</w:t>
      </w:r>
      <w:r>
        <w:t xml:space="preserve"> sacrifice of return, or security, will be acceptable to the majority of customers over a long period.</w:t>
      </w:r>
    </w:p>
    <w:p w:rsidR="00631CC8" w:rsidRDefault="00631CC8" w:rsidP="00696CC6">
      <w:pPr>
        <w:rPr>
          <w:snapToGrid w:val="0"/>
        </w:rPr>
      </w:pPr>
      <w:r>
        <w:t>JIB was the first Islamic bank anywhere in the world to be established</w:t>
      </w:r>
      <w:r w:rsidRPr="009B482F">
        <w:t xml:space="preserve"> </w:t>
      </w:r>
      <w:r>
        <w:t>through</w:t>
      </w:r>
      <w:r w:rsidRPr="009B482F">
        <w:t xml:space="preserve"> </w:t>
      </w:r>
      <w:r>
        <w:t>specific legislation</w:t>
      </w:r>
      <w:r w:rsidRPr="009B482F">
        <w:t xml:space="preserve"> (</w:t>
      </w:r>
      <w:proofErr w:type="spellStart"/>
      <w:r w:rsidRPr="009B482F">
        <w:t>Shallah</w:t>
      </w:r>
      <w:proofErr w:type="spellEnd"/>
      <w:r w:rsidRPr="009B482F">
        <w:t>, 1989, p. 225).</w:t>
      </w:r>
      <w:r>
        <w:t xml:space="preserve">  The bank’s special act (</w:t>
      </w:r>
      <w:r>
        <w:rPr>
          <w:i/>
        </w:rPr>
        <w:t>The Jordan Islamic Bank for Finance and Investment</w:t>
      </w:r>
      <w:r w:rsidRPr="00696CC6">
        <w:rPr>
          <w:i/>
          <w:iCs/>
        </w:rPr>
        <w:t xml:space="preserve"> Act</w:t>
      </w:r>
      <w:r>
        <w:t xml:space="preserve">, Act No. 13 of 1978) </w:t>
      </w:r>
      <w:r w:rsidRPr="007C42AA">
        <w:t>regulated</w:t>
      </w:r>
      <w:r>
        <w:t xml:space="preserve"> many of its accounting practices and included profit measurement rules.  This was the first time that specific profit measurement rules were included in any Jordanian regulations.</w:t>
      </w:r>
      <w:r>
        <w:rPr>
          <w:rStyle w:val="EndnoteReference"/>
        </w:rPr>
        <w:endnoteReference w:id="2"/>
      </w:r>
      <w:r>
        <w:t xml:space="preserve">  As well as reflecting</w:t>
      </w:r>
      <w:r w:rsidRPr="002A58EC">
        <w:rPr>
          <w:bCs/>
          <w:lang w:val="en-US"/>
        </w:rPr>
        <w:t xml:space="preserve"> </w:t>
      </w:r>
      <w:r>
        <w:rPr>
          <w:bCs/>
          <w:lang w:val="en-US"/>
        </w:rPr>
        <w:t xml:space="preserve">documentary </w:t>
      </w:r>
      <w:r w:rsidRPr="002A58EC">
        <w:rPr>
          <w:bCs/>
          <w:lang w:val="en-US"/>
        </w:rPr>
        <w:t>archival evidence rela</w:t>
      </w:r>
      <w:r>
        <w:rPr>
          <w:bCs/>
          <w:lang w:val="en-US"/>
        </w:rPr>
        <w:t xml:space="preserve">ting to the establishment of JIB, this paper also represents </w:t>
      </w:r>
      <w:r>
        <w:rPr>
          <w:bCs/>
          <w:lang w:val="en-US"/>
        </w:rPr>
        <w:lastRenderedPageBreak/>
        <w:t>an example of oral history in accounting (Hammond, 2003), as it is based on</w:t>
      </w:r>
      <w:r w:rsidRPr="002A58EC">
        <w:rPr>
          <w:bCs/>
          <w:lang w:val="en-US"/>
        </w:rPr>
        <w:t xml:space="preserve"> long interviews</w:t>
      </w:r>
      <w:r>
        <w:rPr>
          <w:bCs/>
          <w:lang w:val="en-US"/>
        </w:rPr>
        <w:t xml:space="preserve"> undertaken by the first author</w:t>
      </w:r>
      <w:r w:rsidRPr="002A58EC">
        <w:rPr>
          <w:bCs/>
          <w:lang w:val="en-US"/>
        </w:rPr>
        <w:t xml:space="preserve"> with the founder of the bank, Dr. Sami </w:t>
      </w:r>
      <w:proofErr w:type="spellStart"/>
      <w:r w:rsidRPr="002A58EC">
        <w:rPr>
          <w:bCs/>
          <w:lang w:val="en-US"/>
        </w:rPr>
        <w:t>H</w:t>
      </w:r>
      <w:r>
        <w:rPr>
          <w:bCs/>
          <w:lang w:val="en-US"/>
        </w:rPr>
        <w:t>a</w:t>
      </w:r>
      <w:r w:rsidRPr="002A58EC">
        <w:rPr>
          <w:bCs/>
          <w:lang w:val="en-US"/>
        </w:rPr>
        <w:t>moud</w:t>
      </w:r>
      <w:proofErr w:type="spellEnd"/>
      <w:r>
        <w:rPr>
          <w:bCs/>
          <w:lang w:val="en-US"/>
        </w:rPr>
        <w:t>,</w:t>
      </w:r>
      <w:r>
        <w:rPr>
          <w:rStyle w:val="EndnoteReference"/>
          <w:bCs/>
          <w:lang w:val="en-US"/>
        </w:rPr>
        <w:endnoteReference w:id="3"/>
      </w:r>
      <w:r w:rsidRPr="002A58EC">
        <w:rPr>
          <w:bCs/>
          <w:lang w:val="en-US"/>
        </w:rPr>
        <w:t xml:space="preserve"> and other</w:t>
      </w:r>
      <w:r>
        <w:rPr>
          <w:bCs/>
          <w:lang w:val="en-US"/>
        </w:rPr>
        <w:t>s</w:t>
      </w:r>
      <w:r w:rsidRPr="002A58EC">
        <w:rPr>
          <w:bCs/>
          <w:lang w:val="en-US"/>
        </w:rPr>
        <w:t xml:space="preserve"> involved in </w:t>
      </w:r>
      <w:r>
        <w:rPr>
          <w:bCs/>
          <w:lang w:val="en-US"/>
        </w:rPr>
        <w:t>developing the</w:t>
      </w:r>
      <w:r w:rsidRPr="002A58EC">
        <w:rPr>
          <w:bCs/>
          <w:lang w:val="en-US"/>
        </w:rPr>
        <w:t xml:space="preserve"> JIB special act</w:t>
      </w:r>
      <w:r>
        <w:rPr>
          <w:bCs/>
          <w:lang w:val="en-US"/>
        </w:rPr>
        <w:t>.  This paper extends the work of</w:t>
      </w:r>
      <w:r w:rsidRPr="00FC7336">
        <w:rPr>
          <w:snapToGrid w:val="0"/>
        </w:rPr>
        <w:t xml:space="preserve"> </w:t>
      </w:r>
      <w:proofErr w:type="spellStart"/>
      <w:r w:rsidRPr="006551E0">
        <w:rPr>
          <w:snapToGrid w:val="0"/>
        </w:rPr>
        <w:t>Malley</w:t>
      </w:r>
      <w:proofErr w:type="spellEnd"/>
      <w:r>
        <w:rPr>
          <w:snapToGrid w:val="0"/>
        </w:rPr>
        <w:t xml:space="preserve"> (2001, 2004</w:t>
      </w:r>
      <w:r w:rsidRPr="006551E0">
        <w:rPr>
          <w:snapToGrid w:val="0"/>
        </w:rPr>
        <w:t>)</w:t>
      </w:r>
      <w:r>
        <w:rPr>
          <w:snapToGrid w:val="0"/>
        </w:rPr>
        <w:t xml:space="preserve">, who discussed the effect of Islamic political parties on JIB, including the establishment stage, and </w:t>
      </w:r>
      <w:r w:rsidRPr="006551E0">
        <w:t>Al-</w:t>
      </w:r>
      <w:proofErr w:type="spellStart"/>
      <w:r w:rsidRPr="006551E0">
        <w:t>Malki</w:t>
      </w:r>
      <w:proofErr w:type="spellEnd"/>
      <w:r>
        <w:t xml:space="preserve"> (1996) who discussed some aspects of the establishment of JIB as part of his analysis of its performance.  However, these studies have not discussed the effect of religion on accounting regulations and practices and the basis for the transactions of JIB.  They have also not considered the different stages involved in creating JIB’s special act.  This paper follows the three stages of developing the JIB special act</w:t>
      </w:r>
      <w:r w:rsidRPr="009B482F">
        <w:rPr>
          <w:snapToGrid w:val="0"/>
        </w:rPr>
        <w:t xml:space="preserve">: </w:t>
      </w:r>
      <w:r>
        <w:rPr>
          <w:snapToGrid w:val="0"/>
        </w:rPr>
        <w:t xml:space="preserve">preparing </w:t>
      </w:r>
      <w:r w:rsidRPr="009B482F">
        <w:rPr>
          <w:snapToGrid w:val="0"/>
        </w:rPr>
        <w:t xml:space="preserve">the first draft </w:t>
      </w:r>
      <w:r>
        <w:rPr>
          <w:snapToGrid w:val="0"/>
        </w:rPr>
        <w:t xml:space="preserve">of the act, </w:t>
      </w:r>
      <w:r w:rsidRPr="009B482F">
        <w:rPr>
          <w:snapToGrid w:val="0"/>
        </w:rPr>
        <w:t xml:space="preserve">the </w:t>
      </w:r>
      <w:r>
        <w:rPr>
          <w:snapToGrid w:val="0"/>
        </w:rPr>
        <w:t>discussion of the act by the Jordanian government’s Fatwa Committee,</w:t>
      </w:r>
      <w:r w:rsidRPr="009B482F">
        <w:rPr>
          <w:snapToGrid w:val="0"/>
        </w:rPr>
        <w:t xml:space="preserve"> and the government</w:t>
      </w:r>
      <w:r>
        <w:rPr>
          <w:snapToGrid w:val="0"/>
        </w:rPr>
        <w:t>’s</w:t>
      </w:r>
      <w:r w:rsidRPr="009B482F">
        <w:rPr>
          <w:snapToGrid w:val="0"/>
        </w:rPr>
        <w:t xml:space="preserve"> modifications </w:t>
      </w:r>
      <w:r>
        <w:rPr>
          <w:snapToGrid w:val="0"/>
        </w:rPr>
        <w:t>to and approval of the act</w:t>
      </w:r>
      <w:r w:rsidRPr="009B482F">
        <w:rPr>
          <w:snapToGrid w:val="0"/>
        </w:rPr>
        <w:t xml:space="preserve">. </w:t>
      </w:r>
    </w:p>
    <w:p w:rsidR="00631CC8" w:rsidRDefault="00631CC8" w:rsidP="009F3EB3">
      <w:pPr>
        <w:rPr>
          <w:lang w:val="en-US"/>
        </w:rPr>
      </w:pPr>
      <w:r>
        <w:rPr>
          <w:snapToGrid w:val="0"/>
        </w:rPr>
        <w:t xml:space="preserve">In the next section of the paper, we briefly review the emergence of Islamic banking and consider the principal banking transactions developed within the framework of the </w:t>
      </w:r>
      <w:proofErr w:type="spellStart"/>
      <w:r w:rsidRPr="009A79BF">
        <w:rPr>
          <w:i/>
          <w:snapToGrid w:val="0"/>
        </w:rPr>
        <w:t>Shari’a</w:t>
      </w:r>
      <w:proofErr w:type="spellEnd"/>
      <w:r>
        <w:rPr>
          <w:snapToGrid w:val="0"/>
        </w:rPr>
        <w:t>.  In the third section, we discuss the initial motivation for</w:t>
      </w:r>
      <w:r w:rsidRPr="009B482F">
        <w:rPr>
          <w:lang w:val="en-US"/>
        </w:rPr>
        <w:t xml:space="preserve"> the establishment of the </w:t>
      </w:r>
      <w:r>
        <w:rPr>
          <w:lang w:val="en-US"/>
        </w:rPr>
        <w:t xml:space="preserve">JIB, with the aim of identifying the potentially conflicting values that </w:t>
      </w:r>
      <w:proofErr w:type="spellStart"/>
      <w:r>
        <w:rPr>
          <w:lang w:val="en-US"/>
        </w:rPr>
        <w:t>Hamoud</w:t>
      </w:r>
      <w:proofErr w:type="spellEnd"/>
      <w:r>
        <w:rPr>
          <w:lang w:val="en-US"/>
        </w:rPr>
        <w:t xml:space="preserve"> attempted to impose on JIB</w:t>
      </w:r>
      <w:r w:rsidRPr="009B482F">
        <w:rPr>
          <w:lang w:val="en-US"/>
        </w:rPr>
        <w:t xml:space="preserve">. </w:t>
      </w:r>
      <w:r>
        <w:rPr>
          <w:lang w:val="en-US"/>
        </w:rPr>
        <w:t>We then consider</w:t>
      </w:r>
      <w:r w:rsidRPr="009B482F">
        <w:rPr>
          <w:lang w:val="en-US"/>
        </w:rPr>
        <w:t xml:space="preserve"> the process of </w:t>
      </w:r>
      <w:r>
        <w:rPr>
          <w:bCs/>
          <w:lang w:val="en-US"/>
        </w:rPr>
        <w:t>establishing</w:t>
      </w:r>
      <w:r w:rsidRPr="009B482F">
        <w:rPr>
          <w:lang w:val="en-US"/>
        </w:rPr>
        <w:t xml:space="preserve"> and regul</w:t>
      </w:r>
      <w:r>
        <w:rPr>
          <w:lang w:val="en-US"/>
        </w:rPr>
        <w:t>ating JIB, examining</w:t>
      </w:r>
      <w:r w:rsidRPr="009B482F">
        <w:rPr>
          <w:lang w:val="en-US"/>
        </w:rPr>
        <w:t xml:space="preserve"> the main </w:t>
      </w:r>
      <w:r>
        <w:rPr>
          <w:lang w:val="en-US"/>
        </w:rPr>
        <w:t xml:space="preserve">accounting-related </w:t>
      </w:r>
      <w:r w:rsidRPr="009B482F">
        <w:rPr>
          <w:lang w:val="en-US"/>
        </w:rPr>
        <w:t xml:space="preserve">issues </w:t>
      </w:r>
      <w:r>
        <w:rPr>
          <w:lang w:val="en-US"/>
        </w:rPr>
        <w:t>dealt with in</w:t>
      </w:r>
      <w:r w:rsidRPr="009B482F">
        <w:rPr>
          <w:lang w:val="en-US"/>
        </w:rPr>
        <w:t xml:space="preserve"> the bank</w:t>
      </w:r>
      <w:r>
        <w:rPr>
          <w:lang w:val="en-US"/>
        </w:rPr>
        <w:t>’s</w:t>
      </w:r>
      <w:r w:rsidRPr="009B482F">
        <w:rPr>
          <w:lang w:val="en-US"/>
        </w:rPr>
        <w:t xml:space="preserve"> </w:t>
      </w:r>
      <w:r>
        <w:rPr>
          <w:lang w:val="en-US"/>
        </w:rPr>
        <w:t>a</w:t>
      </w:r>
      <w:r w:rsidRPr="009B482F">
        <w:rPr>
          <w:lang w:val="en-US"/>
        </w:rPr>
        <w:t>ct</w:t>
      </w:r>
      <w:r>
        <w:rPr>
          <w:lang w:val="en-US"/>
        </w:rPr>
        <w:t>.  Conclusions are set out in the final section.</w:t>
      </w:r>
      <w:r w:rsidRPr="009B482F">
        <w:rPr>
          <w:lang w:val="en-US"/>
        </w:rPr>
        <w:t xml:space="preserve"> </w:t>
      </w:r>
    </w:p>
    <w:p w:rsidR="00631CC8" w:rsidRPr="009B482F" w:rsidRDefault="00631CC8" w:rsidP="009F3EB3">
      <w:pPr>
        <w:rPr>
          <w:lang w:val="en-US"/>
        </w:rPr>
      </w:pPr>
    </w:p>
    <w:p w:rsidR="00631CC8" w:rsidRPr="00DC4F59" w:rsidRDefault="00631CC8" w:rsidP="0053395E">
      <w:pPr>
        <w:pStyle w:val="Heading2"/>
      </w:pPr>
      <w:r>
        <w:t>The Development of Islamic Banking</w:t>
      </w:r>
    </w:p>
    <w:p w:rsidR="00631CC8" w:rsidRDefault="00631CC8" w:rsidP="00107607">
      <w:r>
        <w:t>For centuries,</w:t>
      </w:r>
      <w:r w:rsidRPr="009B482F">
        <w:t xml:space="preserve"> Muslim societ</w:t>
      </w:r>
      <w:r>
        <w:t>ies</w:t>
      </w:r>
      <w:r w:rsidRPr="009B482F">
        <w:t xml:space="preserve"> managed </w:t>
      </w:r>
      <w:r>
        <w:t xml:space="preserve">their </w:t>
      </w:r>
      <w:r w:rsidRPr="009B482F">
        <w:t>econom</w:t>
      </w:r>
      <w:r>
        <w:t>ies</w:t>
      </w:r>
      <w:r w:rsidRPr="009B482F">
        <w:t xml:space="preserve"> and carried on </w:t>
      </w:r>
      <w:r>
        <w:t xml:space="preserve">extensive </w:t>
      </w:r>
      <w:r w:rsidRPr="009B482F">
        <w:t>domestic and international trade without the use of interest.</w:t>
      </w:r>
      <w:r>
        <w:t xml:space="preserve"> </w:t>
      </w:r>
      <w:r w:rsidRPr="009B482F">
        <w:t xml:space="preserve"> Profit sharing and various kinds of participation arrangements served as adequate bases for savings and investment (</w:t>
      </w:r>
      <w:proofErr w:type="spellStart"/>
      <w:r w:rsidRPr="009B482F">
        <w:t>Siddiqi</w:t>
      </w:r>
      <w:proofErr w:type="spellEnd"/>
      <w:r w:rsidRPr="009B482F">
        <w:t>, 1983, p.</w:t>
      </w:r>
      <w:r>
        <w:t> </w:t>
      </w:r>
      <w:r w:rsidRPr="009B482F">
        <w:t xml:space="preserve">9).  </w:t>
      </w:r>
      <w:r>
        <w:t xml:space="preserve">Islamic </w:t>
      </w:r>
      <w:r w:rsidRPr="009B482F">
        <w:t>financiers</w:t>
      </w:r>
      <w:r>
        <w:t xml:space="preserve"> existed to </w:t>
      </w:r>
      <w:r w:rsidRPr="009B482F">
        <w:t>provide financing based on profit sharing (</w:t>
      </w:r>
      <w:proofErr w:type="spellStart"/>
      <w:r>
        <w:t>Chapra</w:t>
      </w:r>
      <w:proofErr w:type="spellEnd"/>
      <w:r>
        <w:t xml:space="preserve"> and Khan,</w:t>
      </w:r>
      <w:r w:rsidRPr="009B482F">
        <w:t xml:space="preserve"> 2000, p.</w:t>
      </w:r>
      <w:r>
        <w:t> </w:t>
      </w:r>
      <w:r w:rsidRPr="009B482F">
        <w:t>1).</w:t>
      </w:r>
      <w:r>
        <w:t xml:space="preserve"> </w:t>
      </w:r>
      <w:r w:rsidRPr="009B482F">
        <w:t xml:space="preserve"> </w:t>
      </w:r>
      <w:r>
        <w:t xml:space="preserve">However, </w:t>
      </w:r>
      <w:r w:rsidRPr="009B482F">
        <w:t>after the fourteenth century</w:t>
      </w:r>
      <w:r>
        <w:t>,</w:t>
      </w:r>
      <w:r w:rsidRPr="009B482F">
        <w:t xml:space="preserve"> for historical and political reasons, the Islamic civili</w:t>
      </w:r>
      <w:r>
        <w:t>s</w:t>
      </w:r>
      <w:r w:rsidRPr="009B482F">
        <w:t xml:space="preserve">ation started to suffer from stagnation. </w:t>
      </w:r>
      <w:r>
        <w:t xml:space="preserve"> </w:t>
      </w:r>
      <w:r w:rsidRPr="009B482F">
        <w:t>Gradually</w:t>
      </w:r>
      <w:r w:rsidRPr="00B579BC">
        <w:rPr>
          <w:bCs/>
        </w:rPr>
        <w:t>,</w:t>
      </w:r>
      <w:r w:rsidRPr="009B482F">
        <w:rPr>
          <w:b/>
          <w:bCs/>
        </w:rPr>
        <w:t xml:space="preserve"> </w:t>
      </w:r>
      <w:r w:rsidRPr="009B482F">
        <w:t xml:space="preserve">the Islamic world lost its </w:t>
      </w:r>
      <w:r>
        <w:t xml:space="preserve">strong </w:t>
      </w:r>
      <w:r w:rsidRPr="009B482F">
        <w:t xml:space="preserve">economic position and became more affected by </w:t>
      </w:r>
      <w:r>
        <w:t>W</w:t>
      </w:r>
      <w:r w:rsidRPr="009B482F">
        <w:t xml:space="preserve">estern </w:t>
      </w:r>
      <w:r>
        <w:t>ideas</w:t>
      </w:r>
      <w:r w:rsidRPr="009B482F">
        <w:t>.</w:t>
      </w:r>
      <w:r>
        <w:t xml:space="preserve"> </w:t>
      </w:r>
      <w:r w:rsidRPr="009B482F">
        <w:t xml:space="preserve"> The nineteenth century witnessed the establishment of </w:t>
      </w:r>
      <w:r>
        <w:t>W</w:t>
      </w:r>
      <w:r w:rsidRPr="009B482F">
        <w:t>estern banks in the Islamic world (Wilson, 1995, p.</w:t>
      </w:r>
      <w:r>
        <w:t> </w:t>
      </w:r>
      <w:r w:rsidRPr="009B482F">
        <w:t>37); the role of Islamic financ</w:t>
      </w:r>
      <w:r>
        <w:t>i</w:t>
      </w:r>
      <w:r w:rsidRPr="009B482F">
        <w:t xml:space="preserve">ers almost </w:t>
      </w:r>
      <w:r>
        <w:t>disappeared</w:t>
      </w:r>
      <w:r w:rsidRPr="009B482F">
        <w:t xml:space="preserve">, and Islamic modes of finance </w:t>
      </w:r>
      <w:r>
        <w:t xml:space="preserve">were </w:t>
      </w:r>
      <w:r w:rsidRPr="009B482F">
        <w:t>replaced by interest</w:t>
      </w:r>
      <w:r>
        <w:t>-</w:t>
      </w:r>
      <w:r w:rsidRPr="009B482F">
        <w:t>based instruments.</w:t>
      </w:r>
    </w:p>
    <w:p w:rsidR="00631CC8" w:rsidRDefault="00631CC8" w:rsidP="00107607">
      <w:r w:rsidRPr="009B482F">
        <w:t xml:space="preserve">The period 1940-1970 witnessed the independence of many Muslim countries around the world, especially in the Middle East. </w:t>
      </w:r>
      <w:r>
        <w:t xml:space="preserve"> </w:t>
      </w:r>
      <w:r w:rsidRPr="009B482F">
        <w:t>This</w:t>
      </w:r>
      <w:r>
        <w:t xml:space="preserve"> process of independence</w:t>
      </w:r>
      <w:r w:rsidRPr="009B482F">
        <w:t xml:space="preserve">, </w:t>
      </w:r>
      <w:r>
        <w:t>reinforced</w:t>
      </w:r>
      <w:r w:rsidRPr="009B482F">
        <w:t xml:space="preserve"> b</w:t>
      </w:r>
      <w:r>
        <w:t xml:space="preserve">y factors such as </w:t>
      </w:r>
      <w:r w:rsidRPr="009B482F">
        <w:t xml:space="preserve">the establishment of international Islamic organisations and the revival of Islamic </w:t>
      </w:r>
      <w:r w:rsidRPr="009B482F">
        <w:lastRenderedPageBreak/>
        <w:t>economic literature</w:t>
      </w:r>
      <w:r>
        <w:t xml:space="preserve"> (El-</w:t>
      </w:r>
      <w:proofErr w:type="spellStart"/>
      <w:r>
        <w:t>Ashker</w:t>
      </w:r>
      <w:proofErr w:type="spellEnd"/>
      <w:r>
        <w:t xml:space="preserve">, </w:t>
      </w:r>
      <w:r w:rsidRPr="009B482F">
        <w:t>1987, p</w:t>
      </w:r>
      <w:r>
        <w:t>p</w:t>
      </w:r>
      <w:r w:rsidRPr="009B482F">
        <w:t>.</w:t>
      </w:r>
      <w:r>
        <w:t xml:space="preserve"> </w:t>
      </w:r>
      <w:r w:rsidRPr="009B482F">
        <w:t xml:space="preserve">28-9), led to </w:t>
      </w:r>
      <w:r>
        <w:t>growth in</w:t>
      </w:r>
      <w:r w:rsidRPr="009B482F">
        <w:t xml:space="preserve"> the number of Muslims who want</w:t>
      </w:r>
      <w:r>
        <w:t>ed</w:t>
      </w:r>
      <w:r w:rsidRPr="009B482F">
        <w:t xml:space="preserve"> to conduct their business transactions according to </w:t>
      </w:r>
      <w:proofErr w:type="spellStart"/>
      <w:r w:rsidRPr="009A79BF">
        <w:rPr>
          <w:i/>
          <w:iCs/>
        </w:rPr>
        <w:t>Shari’a</w:t>
      </w:r>
      <w:proofErr w:type="spellEnd"/>
      <w:r w:rsidRPr="009B482F">
        <w:t xml:space="preserve">. </w:t>
      </w:r>
      <w:r>
        <w:t xml:space="preserve"> </w:t>
      </w:r>
      <w:r w:rsidRPr="009B482F">
        <w:t xml:space="preserve">This was reflected </w:t>
      </w:r>
      <w:r>
        <w:t>in</w:t>
      </w:r>
      <w:r w:rsidRPr="009B482F">
        <w:t xml:space="preserve"> the emergence of Islamic banking. </w:t>
      </w:r>
      <w:r>
        <w:t xml:space="preserve"> </w:t>
      </w:r>
      <w:r w:rsidRPr="009B482F">
        <w:t>The earliest references to the recognition of banking on the bas</w:t>
      </w:r>
      <w:r>
        <w:t>i</w:t>
      </w:r>
      <w:r w:rsidRPr="009B482F">
        <w:t xml:space="preserve">s of profit sharing rather than interest were found in the late </w:t>
      </w:r>
      <w:r>
        <w:t>1940s</w:t>
      </w:r>
      <w:r w:rsidRPr="009B482F">
        <w:t xml:space="preserve"> (</w:t>
      </w:r>
      <w:proofErr w:type="spellStart"/>
      <w:r w:rsidRPr="009B482F">
        <w:t>Siddiqi</w:t>
      </w:r>
      <w:proofErr w:type="spellEnd"/>
      <w:r w:rsidRPr="009B482F">
        <w:t>, 1976, p.</w:t>
      </w:r>
      <w:r>
        <w:t> </w:t>
      </w:r>
      <w:r w:rsidRPr="009B482F">
        <w:t xml:space="preserve">220). </w:t>
      </w:r>
      <w:r>
        <w:t xml:space="preserve"> The </w:t>
      </w:r>
      <w:r w:rsidRPr="009B482F">
        <w:t xml:space="preserve">first Islamic bank, </w:t>
      </w:r>
      <w:r>
        <w:t>t</w:t>
      </w:r>
      <w:r w:rsidRPr="009B482F">
        <w:t>he Farmer</w:t>
      </w:r>
      <w:r>
        <w:t>s’</w:t>
      </w:r>
      <w:r w:rsidRPr="009B482F">
        <w:t xml:space="preserve"> Credit Union, was established in Pakistan in the late 1950s, followed </w:t>
      </w:r>
      <w:r>
        <w:t xml:space="preserve">in Egypt by </w:t>
      </w:r>
      <w:proofErr w:type="spellStart"/>
      <w:r>
        <w:t>Mit</w:t>
      </w:r>
      <w:proofErr w:type="spellEnd"/>
      <w:r>
        <w:t xml:space="preserve"> </w:t>
      </w:r>
      <w:proofErr w:type="spellStart"/>
      <w:r>
        <w:t>Gham</w:t>
      </w:r>
      <w:r w:rsidRPr="009B482F">
        <w:t>r</w:t>
      </w:r>
      <w:proofErr w:type="spellEnd"/>
      <w:r w:rsidRPr="009B482F">
        <w:t xml:space="preserve"> Saving Bank in 1963 and Nasser Social </w:t>
      </w:r>
      <w:r>
        <w:t>B</w:t>
      </w:r>
      <w:r w:rsidRPr="009B482F">
        <w:t>ank</w:t>
      </w:r>
      <w:r>
        <w:t xml:space="preserve">. </w:t>
      </w:r>
      <w:r w:rsidRPr="009B482F">
        <w:t xml:space="preserve"> </w:t>
      </w:r>
      <w:r>
        <w:t>H</w:t>
      </w:r>
      <w:r w:rsidRPr="009B482F">
        <w:t xml:space="preserve">owever, these banks were social welfare organisations rather than commercial banks. </w:t>
      </w:r>
      <w:r>
        <w:t xml:space="preserve"> </w:t>
      </w:r>
      <w:r w:rsidRPr="009B482F">
        <w:t>The oldest commercial Islamic bank</w:t>
      </w:r>
      <w:r>
        <w:t>,</w:t>
      </w:r>
      <w:r w:rsidRPr="009B482F">
        <w:t xml:space="preserve"> Dubai Islamic Bank in United Arab Emirates</w:t>
      </w:r>
      <w:r>
        <w:t>, was</w:t>
      </w:r>
      <w:r w:rsidRPr="009B482F">
        <w:t xml:space="preserve"> established in 1975 (</w:t>
      </w:r>
      <w:proofErr w:type="spellStart"/>
      <w:r w:rsidRPr="009B482F">
        <w:t>Saleh</w:t>
      </w:r>
      <w:proofErr w:type="spellEnd"/>
      <w:r w:rsidRPr="009B482F">
        <w:t xml:space="preserve"> , 1986, p.</w:t>
      </w:r>
      <w:r>
        <w:t> </w:t>
      </w:r>
      <w:r w:rsidRPr="009B482F">
        <w:t xml:space="preserve">87), followed by Faisal Islamic Bank in Sudan and Egypt in 1977, and Jordan Islamic </w:t>
      </w:r>
      <w:r>
        <w:t>B</w:t>
      </w:r>
      <w:r w:rsidRPr="009B482F">
        <w:t xml:space="preserve">ank in 1979. </w:t>
      </w:r>
    </w:p>
    <w:p w:rsidR="00631CC8" w:rsidRDefault="00631CC8" w:rsidP="00694206">
      <w:r w:rsidRPr="009B482F">
        <w:t xml:space="preserve">Islamic banking </w:t>
      </w:r>
      <w:r>
        <w:t xml:space="preserve">has </w:t>
      </w:r>
      <w:r w:rsidRPr="009B482F">
        <w:t>reco</w:t>
      </w:r>
      <w:r>
        <w:t>r</w:t>
      </w:r>
      <w:r w:rsidRPr="009B482F">
        <w:t xml:space="preserve">ded a </w:t>
      </w:r>
      <w:r>
        <w:t>rapid expansion throughout the last 4</w:t>
      </w:r>
      <w:r w:rsidRPr="009B482F">
        <w:t xml:space="preserve">0 years. </w:t>
      </w:r>
      <w:r>
        <w:t xml:space="preserve"> By the start of the new millennium, a</w:t>
      </w:r>
      <w:r w:rsidRPr="009B482F">
        <w:t xml:space="preserve">ccording to data gathered by the </w:t>
      </w:r>
      <w:r>
        <w:t>I</w:t>
      </w:r>
      <w:r w:rsidRPr="009B482F">
        <w:t xml:space="preserve">nstitute of Islamic </w:t>
      </w:r>
      <w:r>
        <w:t>B</w:t>
      </w:r>
      <w:r w:rsidRPr="009B482F">
        <w:t xml:space="preserve">anking and </w:t>
      </w:r>
      <w:r>
        <w:t>I</w:t>
      </w:r>
      <w:r w:rsidRPr="009B482F">
        <w:t>nsurance in London</w:t>
      </w:r>
      <w:r>
        <w:t xml:space="preserve"> (2000), there we</w:t>
      </w:r>
      <w:r w:rsidRPr="009B482F">
        <w:t xml:space="preserve">re more than 200 Islamic financial institutions </w:t>
      </w:r>
      <w:r>
        <w:t xml:space="preserve">(IFIs) </w:t>
      </w:r>
      <w:r w:rsidRPr="009B482F">
        <w:t>operating in 63 countries around the world</w:t>
      </w:r>
      <w:r>
        <w:t>, and the past 10 years have seen continuing growth in the number of IFIs</w:t>
      </w:r>
      <w:r w:rsidRPr="009B482F">
        <w:t xml:space="preserve">. </w:t>
      </w:r>
      <w:r>
        <w:t xml:space="preserve"> </w:t>
      </w:r>
      <w:r w:rsidRPr="009B482F">
        <w:t xml:space="preserve">These </w:t>
      </w:r>
      <w:r>
        <w:t>IFIs</w:t>
      </w:r>
      <w:r w:rsidRPr="009B482F">
        <w:t xml:space="preserve"> </w:t>
      </w:r>
      <w:r>
        <w:t>were managing</w:t>
      </w:r>
      <w:r w:rsidRPr="009B482F">
        <w:t xml:space="preserve"> funds of US$200 billion</w:t>
      </w:r>
      <w:r>
        <w:t xml:space="preserve"> in 2004</w:t>
      </w:r>
      <w:r w:rsidRPr="009B482F">
        <w:t xml:space="preserve"> (El-</w:t>
      </w:r>
      <w:proofErr w:type="spellStart"/>
      <w:r w:rsidRPr="009B482F">
        <w:t>Hawari</w:t>
      </w:r>
      <w:proofErr w:type="spellEnd"/>
      <w:r w:rsidRPr="009B482F">
        <w:t xml:space="preserve"> </w:t>
      </w:r>
      <w:r w:rsidRPr="009B482F">
        <w:rPr>
          <w:i/>
        </w:rPr>
        <w:t>et al</w:t>
      </w:r>
      <w:r w:rsidRPr="009B482F">
        <w:t>, 2004, p.</w:t>
      </w:r>
      <w:r>
        <w:t> </w:t>
      </w:r>
      <w:r w:rsidRPr="009B482F">
        <w:t>1)</w:t>
      </w:r>
      <w:r>
        <w:t>, but by 2008 funds under management had grown to around US$500 billion, with the expectation that this total would double, despite the credit crunch, by the end of 2010 (</w:t>
      </w:r>
      <w:proofErr w:type="spellStart"/>
      <w:r>
        <w:t>Hijazi</w:t>
      </w:r>
      <w:proofErr w:type="spellEnd"/>
      <w:r>
        <w:t>, 2009, p. 14)</w:t>
      </w:r>
      <w:r w:rsidRPr="009B482F">
        <w:t xml:space="preserve">. The industry </w:t>
      </w:r>
      <w:r>
        <w:t xml:space="preserve">has </w:t>
      </w:r>
      <w:r w:rsidRPr="009B482F">
        <w:t xml:space="preserve">attracted </w:t>
      </w:r>
      <w:r>
        <w:t>major Western institutions</w:t>
      </w:r>
      <w:r w:rsidRPr="009B482F">
        <w:t xml:space="preserve"> such as Citi</w:t>
      </w:r>
      <w:r>
        <w:t>b</w:t>
      </w:r>
      <w:r w:rsidRPr="009B482F">
        <w:t xml:space="preserve">ank, </w:t>
      </w:r>
      <w:r>
        <w:t xml:space="preserve">HSBC, </w:t>
      </w:r>
      <w:r w:rsidRPr="009B482F">
        <w:t>BNP-Paribas and D</w:t>
      </w:r>
      <w:r>
        <w:t>e</w:t>
      </w:r>
      <w:r w:rsidRPr="009B482F">
        <w:t>ut</w:t>
      </w:r>
      <w:r>
        <w:t>s</w:t>
      </w:r>
      <w:r w:rsidRPr="009B482F">
        <w:t>ch</w:t>
      </w:r>
      <w:r>
        <w:t>e</w:t>
      </w:r>
      <w:r w:rsidRPr="009B482F">
        <w:t xml:space="preserve"> Bank, which operate </w:t>
      </w:r>
      <w:r>
        <w:t>“</w:t>
      </w:r>
      <w:r w:rsidRPr="009B482F">
        <w:t>Islamic windows within conventional banks</w:t>
      </w:r>
      <w:r>
        <w:t>”</w:t>
      </w:r>
      <w:r w:rsidRPr="009B482F">
        <w:t xml:space="preserve"> (Drummond, 2000, p.</w:t>
      </w:r>
      <w:r>
        <w:t> </w:t>
      </w:r>
      <w:r w:rsidRPr="009B482F">
        <w:t>98).</w:t>
      </w:r>
      <w:r>
        <w:t xml:space="preserve"> </w:t>
      </w:r>
      <w:r w:rsidRPr="009B482F">
        <w:t xml:space="preserve"> The expansion of Islamic banking is no</w:t>
      </w:r>
      <w:r>
        <w:t>t limited to Islamic countries. M</w:t>
      </w:r>
      <w:r w:rsidRPr="009B482F">
        <w:t>any of these institutions now operate in Europe and America</w:t>
      </w:r>
      <w:r>
        <w:t>, two of the more recent being the retail operator Islamic Bank of Britain, established in 2004, and the wholesale operator Bank of London and the Middle East, established in 2006</w:t>
      </w:r>
      <w:r w:rsidRPr="009B482F">
        <w:t>.</w:t>
      </w:r>
    </w:p>
    <w:p w:rsidR="00631CC8" w:rsidRPr="0059000C" w:rsidRDefault="00631CC8" w:rsidP="00694206">
      <w:pPr>
        <w:rPr>
          <w:i/>
        </w:rPr>
      </w:pPr>
      <w:r>
        <w:t xml:space="preserve">For mobilising funds from investors, Islamic banks use a developed model of the </w:t>
      </w:r>
      <w:proofErr w:type="spellStart"/>
      <w:r>
        <w:rPr>
          <w:i/>
        </w:rPr>
        <w:t>m</w:t>
      </w:r>
      <w:r w:rsidRPr="00D86805">
        <w:rPr>
          <w:i/>
        </w:rPr>
        <w:t>udaraba</w:t>
      </w:r>
      <w:proofErr w:type="spellEnd"/>
      <w:r>
        <w:t xml:space="preserve"> contract, which, in its original form, has many similarities with </w:t>
      </w:r>
      <w:proofErr w:type="spellStart"/>
      <w:r>
        <w:t>commenda</w:t>
      </w:r>
      <w:proofErr w:type="spellEnd"/>
      <w:r>
        <w:t xml:space="preserve"> contracts used in Europe in the Middle Ages (</w:t>
      </w:r>
      <w:proofErr w:type="spellStart"/>
      <w:r>
        <w:t>Karim</w:t>
      </w:r>
      <w:proofErr w:type="spellEnd"/>
      <w:r>
        <w:t xml:space="preserve">, 2001, p. 178). The principle of this contract is profit and loss sharing.  Depositors place their funds with the Islamic bank (referred to as the </w:t>
      </w:r>
      <w:proofErr w:type="spellStart"/>
      <w:r>
        <w:rPr>
          <w:i/>
        </w:rPr>
        <w:t>m</w:t>
      </w:r>
      <w:r w:rsidRPr="00A94BB8">
        <w:rPr>
          <w:i/>
        </w:rPr>
        <w:t>udarib</w:t>
      </w:r>
      <w:proofErr w:type="spellEnd"/>
      <w:r>
        <w:t xml:space="preserve">).  </w:t>
      </w:r>
      <w:r w:rsidRPr="0059000C">
        <w:t>The</w:t>
      </w:r>
      <w:r>
        <w:t xml:space="preserve"> bank invests these funds, with the profit from the investments being divided between the bank and the depositors according to a ratio agreed in advance.  In case of loss, the depositors bear the losses and the bank receives nothing for its efforts.  Thus, at least theoretically, there is no guarantee that the deposits will be repaid or that they will generate any returns (except in the case of misconduct on the part of the bank’s management, when depositors are entitled to be compensated for losses). </w:t>
      </w:r>
    </w:p>
    <w:p w:rsidR="00631CC8" w:rsidRDefault="00631CC8" w:rsidP="00694206">
      <w:r>
        <w:lastRenderedPageBreak/>
        <w:t xml:space="preserve">To provide finance to their customers, Islamic banks use profit sharing instruments such as </w:t>
      </w:r>
      <w:proofErr w:type="spellStart"/>
      <w:r>
        <w:rPr>
          <w:i/>
        </w:rPr>
        <w:t>m</w:t>
      </w:r>
      <w:r w:rsidRPr="00A94BB8">
        <w:rPr>
          <w:i/>
        </w:rPr>
        <w:t>usharaka</w:t>
      </w:r>
      <w:proofErr w:type="spellEnd"/>
      <w:r>
        <w:t xml:space="preserve">, which represents a partnership arrangement between the bank and an investor, upon which both parties participate in funding and managing the project and both share the profits and losses.  </w:t>
      </w:r>
      <w:proofErr w:type="spellStart"/>
      <w:r w:rsidRPr="00A94BB8">
        <w:rPr>
          <w:i/>
        </w:rPr>
        <w:t>Mudaraba</w:t>
      </w:r>
      <w:proofErr w:type="spellEnd"/>
      <w:r>
        <w:t xml:space="preserve"> financing is another type of profit sharing arrangement, but in this case the bank provides the funds to an entrepreneur (who is therefore the </w:t>
      </w:r>
      <w:proofErr w:type="spellStart"/>
      <w:r>
        <w:rPr>
          <w:i/>
        </w:rPr>
        <w:t>mudarib</w:t>
      </w:r>
      <w:proofErr w:type="spellEnd"/>
      <w:r>
        <w:t xml:space="preserve">).  The </w:t>
      </w:r>
      <w:proofErr w:type="spellStart"/>
      <w:r>
        <w:rPr>
          <w:i/>
        </w:rPr>
        <w:t>m</w:t>
      </w:r>
      <w:r w:rsidRPr="00623526">
        <w:rPr>
          <w:i/>
        </w:rPr>
        <w:t>udarib</w:t>
      </w:r>
      <w:proofErr w:type="spellEnd"/>
      <w:r>
        <w:t xml:space="preserve"> invests these funds, and the bank cannot interfere in the process of managing the investment.  If the invested funds yield profits, these will be shared between the two parties according to an agreed ratio, but in case of losses the bank bears all the financial losses and the </w:t>
      </w:r>
      <w:proofErr w:type="spellStart"/>
      <w:r>
        <w:rPr>
          <w:i/>
        </w:rPr>
        <w:t>m</w:t>
      </w:r>
      <w:r w:rsidRPr="00A94BB8">
        <w:rPr>
          <w:i/>
        </w:rPr>
        <w:t>udarib</w:t>
      </w:r>
      <w:proofErr w:type="spellEnd"/>
      <w:r>
        <w:t xml:space="preserve"> receives no reward for its efforts in investing the funds.</w:t>
      </w:r>
    </w:p>
    <w:p w:rsidR="00631CC8" w:rsidRPr="00736CAD" w:rsidRDefault="00631CC8" w:rsidP="00696CC6">
      <w:r>
        <w:t xml:space="preserve">In addition to profit sharing instruments, Islamic banks utilise mark up instruments, which are more common in practice.  The best-known instrument is </w:t>
      </w:r>
      <w:proofErr w:type="spellStart"/>
      <w:r>
        <w:rPr>
          <w:i/>
        </w:rPr>
        <w:t>m</w:t>
      </w:r>
      <w:r w:rsidRPr="00BE47D6">
        <w:rPr>
          <w:i/>
        </w:rPr>
        <w:t>urabaha</w:t>
      </w:r>
      <w:proofErr w:type="spellEnd"/>
      <w:r>
        <w:t xml:space="preserve">, which in its original form was a sale of goods with an agreed-on mark up.  The </w:t>
      </w:r>
      <w:proofErr w:type="spellStart"/>
      <w:r>
        <w:rPr>
          <w:i/>
          <w:iCs/>
        </w:rPr>
        <w:t>murabaha</w:t>
      </w:r>
      <w:proofErr w:type="spellEnd"/>
      <w:r>
        <w:rPr>
          <w:i/>
          <w:iCs/>
        </w:rPr>
        <w:t xml:space="preserve"> </w:t>
      </w:r>
      <w:r>
        <w:t>contract is an example of transparency in trade, because the ultimate purchaser knows how much the seller paid the original supplier for goods, and hence can assess whether the seller is attempting to earn an inequitable profit on the transaction.  In the current form as applied by Islamic banks,</w:t>
      </w:r>
      <w:r w:rsidRPr="009B482F">
        <w:t xml:space="preserve"> client</w:t>
      </w:r>
      <w:r>
        <w:t>s who wish to obtain finance</w:t>
      </w:r>
      <w:r w:rsidRPr="009B482F">
        <w:t xml:space="preserve"> specif</w:t>
      </w:r>
      <w:r>
        <w:t xml:space="preserve">y what they </w:t>
      </w:r>
      <w:r w:rsidRPr="009B482F">
        <w:t>w</w:t>
      </w:r>
      <w:r>
        <w:t>ant</w:t>
      </w:r>
      <w:r w:rsidRPr="009B482F">
        <w:t xml:space="preserve"> to acquire, and </w:t>
      </w:r>
      <w:r>
        <w:t>name</w:t>
      </w:r>
      <w:r w:rsidRPr="009B482F">
        <w:t xml:space="preserve"> a particular supplier. The bank </w:t>
      </w:r>
      <w:r>
        <w:t xml:space="preserve">then </w:t>
      </w:r>
      <w:r w:rsidRPr="009B482F">
        <w:t>purchase</w:t>
      </w:r>
      <w:r>
        <w:t>s</w:t>
      </w:r>
      <w:r w:rsidRPr="009B482F">
        <w:t xml:space="preserve"> the goods</w:t>
      </w:r>
      <w:r>
        <w:t xml:space="preserve"> from the supplier for cash</w:t>
      </w:r>
      <w:r w:rsidRPr="009B482F">
        <w:t xml:space="preserve"> and resell</w:t>
      </w:r>
      <w:r>
        <w:t>s</w:t>
      </w:r>
      <w:r w:rsidRPr="009B482F">
        <w:t xml:space="preserve"> them to the client </w:t>
      </w:r>
      <w:r>
        <w:t>at</w:t>
      </w:r>
      <w:r w:rsidRPr="009B482F">
        <w:t xml:space="preserve"> a higher price</w:t>
      </w:r>
      <w:r>
        <w:t xml:space="preserve">. </w:t>
      </w:r>
      <w:r w:rsidRPr="009B482F">
        <w:t xml:space="preserve"> </w:t>
      </w:r>
      <w:r>
        <w:t>T</w:t>
      </w:r>
      <w:r w:rsidRPr="009B482F">
        <w:t xml:space="preserve">he total amount </w:t>
      </w:r>
      <w:r>
        <w:t xml:space="preserve">due from the bank’s client is </w:t>
      </w:r>
      <w:r w:rsidRPr="009B482F">
        <w:t>usually paid by instalments</w:t>
      </w:r>
      <w:r>
        <w:t>.</w:t>
      </w:r>
      <w:r w:rsidRPr="009B482F">
        <w:t xml:space="preserve"> </w:t>
      </w:r>
      <w:r>
        <w:t xml:space="preserve"> T</w:t>
      </w:r>
      <w:r w:rsidRPr="009B482F">
        <w:t xml:space="preserve">he client </w:t>
      </w:r>
      <w:r>
        <w:t xml:space="preserve">must usually enter into a </w:t>
      </w:r>
      <w:r w:rsidRPr="009B482F">
        <w:t>commit</w:t>
      </w:r>
      <w:r>
        <w:t>ment</w:t>
      </w:r>
      <w:r w:rsidRPr="009B482F">
        <w:t xml:space="preserve"> before the commencement of </w:t>
      </w:r>
      <w:r>
        <w:t>the</w:t>
      </w:r>
      <w:r w:rsidRPr="009B482F">
        <w:t xml:space="preserve"> </w:t>
      </w:r>
      <w:r>
        <w:t>transaction to buy the goods after they</w:t>
      </w:r>
      <w:r w:rsidRPr="009B482F">
        <w:t xml:space="preserve"> come</w:t>
      </w:r>
      <w:r>
        <w:t xml:space="preserve"> in</w:t>
      </w:r>
      <w:r w:rsidRPr="009B482F">
        <w:t xml:space="preserve">to </w:t>
      </w:r>
      <w:r>
        <w:t xml:space="preserve">the </w:t>
      </w:r>
      <w:r w:rsidRPr="009B482F">
        <w:t xml:space="preserve">possession of </w:t>
      </w:r>
      <w:r>
        <w:t xml:space="preserve">the bank.  </w:t>
      </w:r>
      <w:r w:rsidRPr="009B482F">
        <w:t>Thus, in the legal form, this transaction includes</w:t>
      </w:r>
      <w:r>
        <w:t xml:space="preserve"> two </w:t>
      </w:r>
      <w:r w:rsidRPr="009B482F">
        <w:t xml:space="preserve">sale transactions, the first between the bank and the </w:t>
      </w:r>
      <w:r>
        <w:t>seller</w:t>
      </w:r>
      <w:r w:rsidRPr="009B482F">
        <w:t>, and the second between the bank and the client</w:t>
      </w:r>
      <w:r>
        <w:t xml:space="preserve">.  This new form of </w:t>
      </w:r>
      <w:proofErr w:type="spellStart"/>
      <w:r>
        <w:rPr>
          <w:i/>
        </w:rPr>
        <w:t>m</w:t>
      </w:r>
      <w:r w:rsidRPr="00C16601">
        <w:rPr>
          <w:i/>
        </w:rPr>
        <w:t>urabaha</w:t>
      </w:r>
      <w:proofErr w:type="spellEnd"/>
      <w:r>
        <w:rPr>
          <w:rStyle w:val="EndnoteReference"/>
        </w:rPr>
        <w:endnoteReference w:id="4"/>
      </w:r>
      <w:r>
        <w:rPr>
          <w:i/>
        </w:rPr>
        <w:t xml:space="preserve"> </w:t>
      </w:r>
      <w:r>
        <w:t xml:space="preserve">was originally suggested by Sami </w:t>
      </w:r>
      <w:proofErr w:type="spellStart"/>
      <w:r>
        <w:t>Hamoud</w:t>
      </w:r>
      <w:proofErr w:type="spellEnd"/>
      <w:r>
        <w:t xml:space="preserve"> </w:t>
      </w:r>
      <w:r w:rsidRPr="009B482F">
        <w:t>(Al-</w:t>
      </w:r>
      <w:proofErr w:type="spellStart"/>
      <w:r w:rsidRPr="009B482F">
        <w:t>Maliqi</w:t>
      </w:r>
      <w:proofErr w:type="spellEnd"/>
      <w:r w:rsidRPr="009B482F">
        <w:t>, 2000, p.</w:t>
      </w:r>
      <w:r>
        <w:t> </w:t>
      </w:r>
      <w:r w:rsidRPr="009B482F">
        <w:t>440</w:t>
      </w:r>
      <w:r>
        <w:t xml:space="preserve">; </w:t>
      </w:r>
      <w:proofErr w:type="spellStart"/>
      <w:r w:rsidRPr="009B482F">
        <w:t>Hassanien</w:t>
      </w:r>
      <w:proofErr w:type="spellEnd"/>
      <w:r w:rsidRPr="009B482F">
        <w:t>, 1996, p.</w:t>
      </w:r>
      <w:r>
        <w:t> </w:t>
      </w:r>
      <w:r w:rsidRPr="009B482F">
        <w:t>21</w:t>
      </w:r>
      <w:r>
        <w:t xml:space="preserve">; </w:t>
      </w:r>
      <w:proofErr w:type="spellStart"/>
      <w:r>
        <w:t>Mu</w:t>
      </w:r>
      <w:r w:rsidRPr="009B482F">
        <w:t>llhem</w:t>
      </w:r>
      <w:proofErr w:type="spellEnd"/>
      <w:r w:rsidRPr="009B482F">
        <w:t>, 1989, p.</w:t>
      </w:r>
      <w:r>
        <w:t> </w:t>
      </w:r>
      <w:r w:rsidRPr="009B482F">
        <w:t>75)</w:t>
      </w:r>
      <w:r>
        <w:t xml:space="preserve">.  It dominates the activities of Islamic banks to the extent that by the end of the 1980s it represented around </w:t>
      </w:r>
      <w:r w:rsidRPr="009B482F">
        <w:t>70% of the</w:t>
      </w:r>
      <w:r>
        <w:t xml:space="preserve"> investment activities of Islamic banks (</w:t>
      </w:r>
      <w:proofErr w:type="spellStart"/>
      <w:r>
        <w:t>Mul</w:t>
      </w:r>
      <w:r w:rsidRPr="009B482F">
        <w:t>lh</w:t>
      </w:r>
      <w:r>
        <w:t>e</w:t>
      </w:r>
      <w:r w:rsidRPr="009B482F">
        <w:t>m</w:t>
      </w:r>
      <w:proofErr w:type="spellEnd"/>
      <w:r w:rsidRPr="009B482F">
        <w:t xml:space="preserve">, 1989, p.89), </w:t>
      </w:r>
      <w:r>
        <w:t>reaching</w:t>
      </w:r>
      <w:r w:rsidRPr="009B482F">
        <w:t xml:space="preserve"> 90% in some </w:t>
      </w:r>
      <w:r>
        <w:t>banks (</w:t>
      </w:r>
      <w:proofErr w:type="spellStart"/>
      <w:r>
        <w:t>Hassanien</w:t>
      </w:r>
      <w:proofErr w:type="spellEnd"/>
      <w:r>
        <w:t xml:space="preserve">, 1996, p.13).  Islamic banks use other mark-up </w:t>
      </w:r>
      <w:r w:rsidRPr="00736CAD">
        <w:t xml:space="preserve">transactions such as </w:t>
      </w:r>
      <w:proofErr w:type="spellStart"/>
      <w:proofErr w:type="gramStart"/>
      <w:r>
        <w:rPr>
          <w:i/>
        </w:rPr>
        <w:t>s</w:t>
      </w:r>
      <w:r w:rsidRPr="00736CAD">
        <w:rPr>
          <w:i/>
        </w:rPr>
        <w:t>alam</w:t>
      </w:r>
      <w:proofErr w:type="spellEnd"/>
      <w:proofErr w:type="gramEnd"/>
      <w:r w:rsidRPr="00736CAD">
        <w:t>, which is a forward sale contract</w:t>
      </w:r>
      <w:r>
        <w:t>,</w:t>
      </w:r>
      <w:r w:rsidRPr="00736CAD">
        <w:t xml:space="preserve"> and long term </w:t>
      </w:r>
      <w:proofErr w:type="spellStart"/>
      <w:r>
        <w:rPr>
          <w:i/>
        </w:rPr>
        <w:t>i</w:t>
      </w:r>
      <w:r w:rsidRPr="00736CAD">
        <w:rPr>
          <w:i/>
        </w:rPr>
        <w:t>jara</w:t>
      </w:r>
      <w:proofErr w:type="spellEnd"/>
      <w:r>
        <w:t>,</w:t>
      </w:r>
      <w:r w:rsidRPr="00736CAD">
        <w:t xml:space="preserve"> which is similar to </w:t>
      </w:r>
      <w:r>
        <w:t xml:space="preserve">a </w:t>
      </w:r>
      <w:r w:rsidRPr="00736CAD">
        <w:t xml:space="preserve">lease. </w:t>
      </w:r>
    </w:p>
    <w:p w:rsidR="00631CC8" w:rsidRDefault="00631CC8" w:rsidP="001B1388">
      <w:pPr>
        <w:pStyle w:val="BodyText"/>
      </w:pPr>
      <w:r w:rsidRPr="00736CAD">
        <w:t xml:space="preserve">Islamic banks are regulated under different arrangements in different countries. </w:t>
      </w:r>
      <w:r>
        <w:t xml:space="preserve"> </w:t>
      </w:r>
      <w:proofErr w:type="spellStart"/>
      <w:r>
        <w:t>Errico</w:t>
      </w:r>
      <w:proofErr w:type="spellEnd"/>
      <w:r>
        <w:t xml:space="preserve"> and </w:t>
      </w:r>
      <w:proofErr w:type="spellStart"/>
      <w:r>
        <w:t>Farahbak</w:t>
      </w:r>
      <w:r w:rsidRPr="00736CAD">
        <w:t>sh</w:t>
      </w:r>
      <w:proofErr w:type="spellEnd"/>
      <w:r w:rsidRPr="00736CAD">
        <w:t xml:space="preserve"> (1998) point out that in the majority of countries in which Islamic banks operate</w:t>
      </w:r>
      <w:r>
        <w:t>,</w:t>
      </w:r>
      <w:r w:rsidRPr="00736CAD">
        <w:t xml:space="preserve"> the same regulatory framework applies to both conventional and Islamic banks. </w:t>
      </w:r>
      <w:r>
        <w:t xml:space="preserve"> </w:t>
      </w:r>
      <w:r w:rsidRPr="00736CAD">
        <w:t>Some countries have</w:t>
      </w:r>
      <w:r>
        <w:t>, however,</w:t>
      </w:r>
      <w:r w:rsidRPr="00736CAD">
        <w:t xml:space="preserve"> </w:t>
      </w:r>
      <w:r>
        <w:t xml:space="preserve">passed laws facilitating (and in some cases requiring) </w:t>
      </w:r>
      <w:r w:rsidRPr="00736CAD">
        <w:t>Islamic banking (</w:t>
      </w:r>
      <w:proofErr w:type="spellStart"/>
      <w:r w:rsidRPr="00736CAD">
        <w:t>Karim</w:t>
      </w:r>
      <w:proofErr w:type="spellEnd"/>
      <w:r w:rsidRPr="00736CAD">
        <w:t>, 2001, p</w:t>
      </w:r>
      <w:r>
        <w:t>p</w:t>
      </w:r>
      <w:r w:rsidRPr="00736CAD">
        <w:t>.</w:t>
      </w:r>
      <w:r>
        <w:t> </w:t>
      </w:r>
      <w:r w:rsidRPr="00736CAD">
        <w:t>182-3).</w:t>
      </w:r>
      <w:r>
        <w:t xml:space="preserve">  </w:t>
      </w:r>
      <w:r w:rsidRPr="009B482F">
        <w:t xml:space="preserve">Islamic banks usually </w:t>
      </w:r>
      <w:r>
        <w:t>make use of</w:t>
      </w:r>
      <w:r w:rsidRPr="009B482F">
        <w:t xml:space="preserve"> </w:t>
      </w:r>
      <w:proofErr w:type="spellStart"/>
      <w:r w:rsidRPr="009A79BF">
        <w:rPr>
          <w:i/>
        </w:rPr>
        <w:t>Shari’a</w:t>
      </w:r>
      <w:proofErr w:type="spellEnd"/>
      <w:r>
        <w:t xml:space="preserve"> Supervisory Boards</w:t>
      </w:r>
      <w:r w:rsidRPr="009B482F">
        <w:t xml:space="preserve"> to </w:t>
      </w:r>
      <w:r>
        <w:t>en</w:t>
      </w:r>
      <w:r w:rsidRPr="009B482F">
        <w:t xml:space="preserve">sure that </w:t>
      </w:r>
      <w:r>
        <w:t>appropriate</w:t>
      </w:r>
      <w:r w:rsidRPr="009B482F">
        <w:t xml:space="preserve"> religious principles have been followed in the banks</w:t>
      </w:r>
      <w:r>
        <w:t>’</w:t>
      </w:r>
      <w:r w:rsidRPr="009B482F">
        <w:t xml:space="preserve"> </w:t>
      </w:r>
      <w:r w:rsidRPr="009B482F">
        <w:lastRenderedPageBreak/>
        <w:t>transactio</w:t>
      </w:r>
      <w:r>
        <w:t xml:space="preserve">ns.  </w:t>
      </w:r>
      <w:r w:rsidRPr="009B482F">
        <w:t xml:space="preserve">Islamic banks around the world </w:t>
      </w:r>
      <w:r>
        <w:t>use</w:t>
      </w:r>
      <w:r w:rsidRPr="009B482F">
        <w:t xml:space="preserve"> </w:t>
      </w:r>
      <w:r>
        <w:t>a variety of</w:t>
      </w:r>
      <w:r w:rsidRPr="009B482F">
        <w:t xml:space="preserve"> accounting </w:t>
      </w:r>
      <w:r>
        <w:t>methods for recording and reporting their transactions</w:t>
      </w:r>
      <w:r w:rsidRPr="009B482F">
        <w:t xml:space="preserve">. </w:t>
      </w:r>
      <w:r>
        <w:t xml:space="preserve"> </w:t>
      </w:r>
      <w:r w:rsidRPr="009B482F">
        <w:t xml:space="preserve">In many cases, they simply follow conventional accounting standards applied in the countries where they operate. </w:t>
      </w:r>
      <w:r>
        <w:t xml:space="preserve"> </w:t>
      </w:r>
      <w:r w:rsidRPr="009B482F">
        <w:t>Some utilise an in-house standard</w:t>
      </w:r>
      <w:r>
        <w:t>-</w:t>
      </w:r>
      <w:r w:rsidRPr="009B482F">
        <w:t xml:space="preserve">setting process, </w:t>
      </w:r>
      <w:r>
        <w:t>in</w:t>
      </w:r>
      <w:r w:rsidRPr="009B482F">
        <w:t xml:space="preserve"> which the </w:t>
      </w:r>
      <w:proofErr w:type="spellStart"/>
      <w:r w:rsidRPr="009A79BF">
        <w:rPr>
          <w:i/>
        </w:rPr>
        <w:t>Shari’a</w:t>
      </w:r>
      <w:proofErr w:type="spellEnd"/>
      <w:r>
        <w:t xml:space="preserve"> Supervisory Board</w:t>
      </w:r>
      <w:r w:rsidRPr="009B482F">
        <w:t xml:space="preserve"> advises the management </w:t>
      </w:r>
      <w:r>
        <w:t>about</w:t>
      </w:r>
      <w:r w:rsidRPr="009B482F">
        <w:t xml:space="preserve"> relevant accounting treatments that do not violate </w:t>
      </w:r>
      <w:proofErr w:type="spellStart"/>
      <w:r w:rsidRPr="009A79BF">
        <w:rPr>
          <w:i/>
        </w:rPr>
        <w:t>Shari’a</w:t>
      </w:r>
      <w:proofErr w:type="spellEnd"/>
      <w:r w:rsidRPr="009B482F">
        <w:t>.</w:t>
      </w:r>
      <w:r>
        <w:t xml:space="preserve"> </w:t>
      </w:r>
      <w:r w:rsidRPr="009B482F">
        <w:t xml:space="preserve"> </w:t>
      </w:r>
      <w:r>
        <w:t>A combination</w:t>
      </w:r>
      <w:r w:rsidRPr="009B482F">
        <w:t xml:space="preserve"> of the</w:t>
      </w:r>
      <w:r>
        <w:t>se</w:t>
      </w:r>
      <w:r w:rsidRPr="009B482F">
        <w:t xml:space="preserve"> two approaches </w:t>
      </w:r>
      <w:r>
        <w:t>is</w:t>
      </w:r>
      <w:r w:rsidRPr="009B482F">
        <w:t xml:space="preserve"> present in some Islamic banks</w:t>
      </w:r>
      <w:r>
        <w:t xml:space="preserve">.  </w:t>
      </w:r>
      <w:r w:rsidRPr="009B482F">
        <w:t xml:space="preserve">There have been arguments </w:t>
      </w:r>
      <w:r w:rsidRPr="009B482F">
        <w:rPr>
          <w:bCs/>
        </w:rPr>
        <w:t>(</w:t>
      </w:r>
      <w:proofErr w:type="spellStart"/>
      <w:r>
        <w:rPr>
          <w:bCs/>
        </w:rPr>
        <w:t>Janahi</w:t>
      </w:r>
      <w:proofErr w:type="spellEnd"/>
      <w:r>
        <w:rPr>
          <w:bCs/>
        </w:rPr>
        <w:t>, 1994</w:t>
      </w:r>
      <w:r w:rsidRPr="009B482F">
        <w:rPr>
          <w:bCs/>
        </w:rPr>
        <w:t xml:space="preserve">; </w:t>
      </w:r>
      <w:proofErr w:type="spellStart"/>
      <w:r w:rsidRPr="009B482F">
        <w:rPr>
          <w:bCs/>
        </w:rPr>
        <w:t>Hamat</w:t>
      </w:r>
      <w:proofErr w:type="spellEnd"/>
      <w:r w:rsidRPr="009B482F">
        <w:rPr>
          <w:bCs/>
        </w:rPr>
        <w:t xml:space="preserve">, 1994; </w:t>
      </w:r>
      <w:proofErr w:type="spellStart"/>
      <w:r w:rsidRPr="009B482F">
        <w:rPr>
          <w:bCs/>
        </w:rPr>
        <w:t>Karim</w:t>
      </w:r>
      <w:proofErr w:type="spellEnd"/>
      <w:r w:rsidRPr="009B482F">
        <w:rPr>
          <w:bCs/>
        </w:rPr>
        <w:t>, 2001</w:t>
      </w:r>
      <w:r w:rsidRPr="009B482F">
        <w:t>) that</w:t>
      </w:r>
      <w:r>
        <w:t>,</w:t>
      </w:r>
      <w:r w:rsidRPr="009B482F">
        <w:t xml:space="preserve"> because of the unique transactions of Islamic banks, </w:t>
      </w:r>
      <w:r>
        <w:t>conventional accounting rules</w:t>
      </w:r>
      <w:r w:rsidRPr="009B482F">
        <w:t xml:space="preserve"> such as Internat</w:t>
      </w:r>
      <w:r>
        <w:t>ional Financial Reporting Standards</w:t>
      </w:r>
      <w:r w:rsidRPr="009B482F">
        <w:t xml:space="preserve"> are not relevant to Islamic banks</w:t>
      </w:r>
      <w:r>
        <w:t xml:space="preserve">.  For example, </w:t>
      </w:r>
      <w:proofErr w:type="spellStart"/>
      <w:r>
        <w:t>Karim</w:t>
      </w:r>
      <w:proofErr w:type="spellEnd"/>
      <w:r w:rsidRPr="009B482F">
        <w:t xml:space="preserve"> </w:t>
      </w:r>
      <w:r>
        <w:t>(</w:t>
      </w:r>
      <w:r w:rsidRPr="009B482F">
        <w:t>2001</w:t>
      </w:r>
      <w:r>
        <w:t xml:space="preserve">) and </w:t>
      </w:r>
      <w:r w:rsidRPr="009B482F">
        <w:t xml:space="preserve">Archer and </w:t>
      </w:r>
      <w:proofErr w:type="spellStart"/>
      <w:r w:rsidRPr="009B482F">
        <w:t>Karim</w:t>
      </w:r>
      <w:proofErr w:type="spellEnd"/>
      <w:r w:rsidRPr="009B482F">
        <w:t xml:space="preserve"> (2001</w:t>
      </w:r>
      <w:r>
        <w:t xml:space="preserve">) argue that, because depositors’ funds are not guaranteed, customer deposits cannot be reported as liabilities in the balance sheets of Islamic banks.  Recently, many Islamic banks have been following the accounting standards set by the Accounting and Auditing Organization for Islamic Financial Institutions (AAOIFI). </w:t>
      </w:r>
    </w:p>
    <w:p w:rsidR="00631CC8" w:rsidRPr="009B482F" w:rsidRDefault="00631CC8" w:rsidP="001B1388">
      <w:pPr>
        <w:pStyle w:val="BodyText"/>
        <w:rPr>
          <w:lang w:val="en-US"/>
        </w:rPr>
      </w:pPr>
    </w:p>
    <w:p w:rsidR="00631CC8" w:rsidRPr="00BB0776" w:rsidRDefault="00631CC8" w:rsidP="00BB0776">
      <w:pPr>
        <w:pStyle w:val="Heading2"/>
      </w:pPr>
      <w:bookmarkStart w:id="0" w:name="_Toc74381904"/>
      <w:bookmarkStart w:id="1" w:name="_Toc74570023"/>
      <w:bookmarkStart w:id="2" w:name="_Toc76909441"/>
      <w:r>
        <w:t xml:space="preserve">The Motivation for Establishing </w:t>
      </w:r>
      <w:r w:rsidRPr="00BB0776">
        <w:t>JIB</w:t>
      </w:r>
      <w:bookmarkEnd w:id="0"/>
      <w:bookmarkEnd w:id="1"/>
      <w:bookmarkEnd w:id="2"/>
    </w:p>
    <w:p w:rsidR="00631CC8" w:rsidRPr="009B482F" w:rsidRDefault="00631CC8" w:rsidP="00F16D35">
      <w:pPr>
        <w:ind w:firstLine="0"/>
        <w:rPr>
          <w:snapToGrid w:val="0"/>
        </w:rPr>
      </w:pPr>
      <w:r>
        <w:rPr>
          <w:lang w:val="en-US"/>
        </w:rPr>
        <w:t xml:space="preserve">Although there had been some earlier interest in Jordan in </w:t>
      </w:r>
      <w:proofErr w:type="spellStart"/>
      <w:r>
        <w:rPr>
          <w:i/>
          <w:lang w:val="en-US"/>
        </w:rPr>
        <w:t>Shari’a</w:t>
      </w:r>
      <w:proofErr w:type="spellEnd"/>
      <w:r>
        <w:rPr>
          <w:lang w:val="en-US"/>
        </w:rPr>
        <w:t>-compliant investment,</w:t>
      </w:r>
      <w:r>
        <w:rPr>
          <w:rStyle w:val="EndnoteReference"/>
          <w:lang w:val="en-US"/>
        </w:rPr>
        <w:endnoteReference w:id="5"/>
      </w:r>
      <w:r>
        <w:rPr>
          <w:lang w:val="en-US"/>
        </w:rPr>
        <w:t xml:space="preserve"> </w:t>
      </w:r>
      <w:r>
        <w:rPr>
          <w:i/>
          <w:lang w:val="en-US"/>
        </w:rPr>
        <w:t xml:space="preserve"> </w:t>
      </w:r>
      <w:r>
        <w:rPr>
          <w:iCs/>
          <w:lang w:val="en-US"/>
        </w:rPr>
        <w:t>t</w:t>
      </w:r>
      <w:r w:rsidRPr="009B482F">
        <w:rPr>
          <w:lang w:val="en-US"/>
        </w:rPr>
        <w:t xml:space="preserve">he first serious attempt to apply Islamic banking in Jordan </w:t>
      </w:r>
      <w:r>
        <w:rPr>
          <w:lang w:val="en-US"/>
        </w:rPr>
        <w:t xml:space="preserve">began with Dr Sami </w:t>
      </w:r>
      <w:proofErr w:type="spellStart"/>
      <w:r>
        <w:rPr>
          <w:lang w:val="en-US"/>
        </w:rPr>
        <w:t>Hamoud</w:t>
      </w:r>
      <w:proofErr w:type="spellEnd"/>
      <w:r>
        <w:rPr>
          <w:lang w:val="en-US"/>
        </w:rPr>
        <w:t>,</w:t>
      </w:r>
      <w:r w:rsidRPr="009B482F">
        <w:rPr>
          <w:lang w:val="en-US"/>
        </w:rPr>
        <w:t xml:space="preserve"> a Jordanian </w:t>
      </w:r>
      <w:r>
        <w:rPr>
          <w:lang w:val="en-US"/>
        </w:rPr>
        <w:t xml:space="preserve">economist. </w:t>
      </w:r>
      <w:r w:rsidRPr="009B482F">
        <w:rPr>
          <w:lang w:val="en-US"/>
        </w:rPr>
        <w:t xml:space="preserve"> </w:t>
      </w:r>
      <w:proofErr w:type="spellStart"/>
      <w:r>
        <w:rPr>
          <w:lang w:val="en-US"/>
        </w:rPr>
        <w:t>Hamoud</w:t>
      </w:r>
      <w:proofErr w:type="spellEnd"/>
      <w:r>
        <w:rPr>
          <w:lang w:val="en-US"/>
        </w:rPr>
        <w:t xml:space="preserve"> had</w:t>
      </w:r>
      <w:r w:rsidRPr="009B482F">
        <w:rPr>
          <w:lang w:val="en-US"/>
        </w:rPr>
        <w:t xml:space="preserve"> worked in the Jordan National Bank, a conventional bank</w:t>
      </w:r>
      <w:r>
        <w:rPr>
          <w:lang w:val="en-US"/>
        </w:rPr>
        <w:t>,</w:t>
      </w:r>
      <w:r w:rsidRPr="009B482F">
        <w:rPr>
          <w:lang w:val="en-US"/>
        </w:rPr>
        <w:t xml:space="preserve"> for 22 years</w:t>
      </w:r>
      <w:r>
        <w:rPr>
          <w:lang w:val="en-US"/>
        </w:rPr>
        <w:t xml:space="preserve"> from 1956</w:t>
      </w:r>
      <w:r w:rsidRPr="009B482F">
        <w:rPr>
          <w:lang w:val="en-US"/>
        </w:rPr>
        <w:t xml:space="preserve">. </w:t>
      </w:r>
      <w:r>
        <w:rPr>
          <w:lang w:val="en-US"/>
        </w:rPr>
        <w:t xml:space="preserve"> He</w:t>
      </w:r>
      <w:r w:rsidRPr="009B482F">
        <w:rPr>
          <w:lang w:val="en-US"/>
        </w:rPr>
        <w:t xml:space="preserve"> notice</w:t>
      </w:r>
      <w:r>
        <w:rPr>
          <w:lang w:val="en-US"/>
        </w:rPr>
        <w:t>d</w:t>
      </w:r>
      <w:r w:rsidRPr="009B482F">
        <w:rPr>
          <w:lang w:val="en-US"/>
        </w:rPr>
        <w:t xml:space="preserve"> many instances in which</w:t>
      </w:r>
      <w:r>
        <w:rPr>
          <w:lang w:val="en-US"/>
        </w:rPr>
        <w:t xml:space="preserve"> the charging of</w:t>
      </w:r>
      <w:r w:rsidRPr="009B482F">
        <w:rPr>
          <w:lang w:val="en-US"/>
        </w:rPr>
        <w:t xml:space="preserve"> interest</w:t>
      </w:r>
      <w:r>
        <w:rPr>
          <w:lang w:val="en-US"/>
        </w:rPr>
        <w:t xml:space="preserve"> on loans</w:t>
      </w:r>
      <w:r w:rsidRPr="009B482F">
        <w:rPr>
          <w:lang w:val="en-US"/>
        </w:rPr>
        <w:t xml:space="preserve"> led to</w:t>
      </w:r>
      <w:r>
        <w:rPr>
          <w:lang w:val="en-US"/>
        </w:rPr>
        <w:t xml:space="preserve"> the</w:t>
      </w:r>
      <w:r w:rsidRPr="009B482F">
        <w:rPr>
          <w:lang w:val="en-US"/>
        </w:rPr>
        <w:t xml:space="preserve"> bankrupt</w:t>
      </w:r>
      <w:r>
        <w:rPr>
          <w:lang w:val="en-US"/>
        </w:rPr>
        <w:t>cy</w:t>
      </w:r>
      <w:r w:rsidRPr="009B482F">
        <w:rPr>
          <w:lang w:val="en-US"/>
        </w:rPr>
        <w:t xml:space="preserve"> of clients and to </w:t>
      </w:r>
      <w:r>
        <w:rPr>
          <w:lang w:val="en-US"/>
        </w:rPr>
        <w:t xml:space="preserve">other </w:t>
      </w:r>
      <w:r w:rsidRPr="009B482F">
        <w:rPr>
          <w:lang w:val="en-US"/>
        </w:rPr>
        <w:t>adverse social and economic consequences</w:t>
      </w:r>
      <w:r>
        <w:rPr>
          <w:lang w:val="en-US"/>
        </w:rPr>
        <w:t>,</w:t>
      </w:r>
      <w:r w:rsidRPr="009B482F">
        <w:rPr>
          <w:lang w:val="en-US"/>
        </w:rPr>
        <w:t xml:space="preserve"> especially </w:t>
      </w:r>
      <w:r>
        <w:rPr>
          <w:lang w:val="en-US"/>
        </w:rPr>
        <w:t>affecting</w:t>
      </w:r>
      <w:r w:rsidRPr="009B482F">
        <w:rPr>
          <w:lang w:val="en-US"/>
        </w:rPr>
        <w:t xml:space="preserve"> poor people. </w:t>
      </w:r>
      <w:r>
        <w:rPr>
          <w:lang w:val="en-US"/>
        </w:rPr>
        <w:t xml:space="preserve"> H</w:t>
      </w:r>
      <w:r w:rsidRPr="009B482F">
        <w:rPr>
          <w:lang w:val="en-US"/>
        </w:rPr>
        <w:t xml:space="preserve">e </w:t>
      </w:r>
      <w:r>
        <w:rPr>
          <w:lang w:val="en-US"/>
        </w:rPr>
        <w:t>also observed</w:t>
      </w:r>
      <w:r w:rsidRPr="009B482F">
        <w:rPr>
          <w:lang w:val="en-US"/>
        </w:rPr>
        <w:t xml:space="preserve"> that many Jordanians refrain</w:t>
      </w:r>
      <w:r>
        <w:rPr>
          <w:lang w:val="en-US"/>
        </w:rPr>
        <w:t>ed</w:t>
      </w:r>
      <w:r w:rsidRPr="009B482F">
        <w:rPr>
          <w:lang w:val="en-US"/>
        </w:rPr>
        <w:t xml:space="preserve"> from depositing their funds in banks because of </w:t>
      </w:r>
      <w:r>
        <w:rPr>
          <w:lang w:val="en-US"/>
        </w:rPr>
        <w:t xml:space="preserve">the </w:t>
      </w:r>
      <w:r w:rsidRPr="009B482F">
        <w:rPr>
          <w:lang w:val="en-US"/>
        </w:rPr>
        <w:t xml:space="preserve">Islamic prohibition of interest. </w:t>
      </w:r>
      <w:r>
        <w:rPr>
          <w:lang w:val="en-US"/>
        </w:rPr>
        <w:t xml:space="preserve"> </w:t>
      </w:r>
      <w:proofErr w:type="spellStart"/>
      <w:r w:rsidRPr="009B482F">
        <w:rPr>
          <w:lang w:val="en-US"/>
        </w:rPr>
        <w:t>H</w:t>
      </w:r>
      <w:r>
        <w:rPr>
          <w:lang w:val="en-US"/>
        </w:rPr>
        <w:t>a</w:t>
      </w:r>
      <w:r w:rsidRPr="009B482F">
        <w:rPr>
          <w:lang w:val="en-US"/>
        </w:rPr>
        <w:t>moud</w:t>
      </w:r>
      <w:proofErr w:type="spellEnd"/>
      <w:r w:rsidRPr="009B482F">
        <w:rPr>
          <w:lang w:val="en-US"/>
        </w:rPr>
        <w:t xml:space="preserve"> </w:t>
      </w:r>
      <w:r>
        <w:rPr>
          <w:lang w:val="en-US"/>
        </w:rPr>
        <w:t>decided to study for a Ph.D. at Cairo University, researching</w:t>
      </w:r>
      <w:r w:rsidRPr="009B482F">
        <w:rPr>
          <w:lang w:val="en-US"/>
        </w:rPr>
        <w:t xml:space="preserve"> how </w:t>
      </w:r>
      <w:r>
        <w:rPr>
          <w:lang w:val="en-US"/>
        </w:rPr>
        <w:t xml:space="preserve">modern banking practices </w:t>
      </w:r>
      <w:r w:rsidRPr="009B482F">
        <w:rPr>
          <w:lang w:val="en-US"/>
        </w:rPr>
        <w:t>comply</w:t>
      </w:r>
      <w:r>
        <w:rPr>
          <w:lang w:val="en-US"/>
        </w:rPr>
        <w:t>ing</w:t>
      </w:r>
      <w:r w:rsidRPr="009B482F">
        <w:rPr>
          <w:lang w:val="en-US"/>
        </w:rPr>
        <w:t xml:space="preserve"> with Islamic principles</w:t>
      </w:r>
      <w:r>
        <w:rPr>
          <w:lang w:val="en-US"/>
        </w:rPr>
        <w:t xml:space="preserve"> could be developed</w:t>
      </w:r>
      <w:r w:rsidRPr="009B482F">
        <w:rPr>
          <w:lang w:val="en-US"/>
        </w:rPr>
        <w:t xml:space="preserve">. </w:t>
      </w:r>
      <w:r>
        <w:rPr>
          <w:lang w:val="en-US"/>
        </w:rPr>
        <w:t xml:space="preserve"> </w:t>
      </w:r>
      <w:proofErr w:type="spellStart"/>
      <w:r>
        <w:rPr>
          <w:lang w:val="en-US"/>
        </w:rPr>
        <w:t>Hamoud’s</w:t>
      </w:r>
      <w:proofErr w:type="spellEnd"/>
      <w:r>
        <w:rPr>
          <w:lang w:val="en-US"/>
        </w:rPr>
        <w:t xml:space="preserve"> thesis</w:t>
      </w:r>
      <w:r w:rsidRPr="009B482F">
        <w:rPr>
          <w:lang w:val="en-US"/>
        </w:rPr>
        <w:t xml:space="preserve"> </w:t>
      </w:r>
      <w:r>
        <w:rPr>
          <w:lang w:val="en-US"/>
        </w:rPr>
        <w:t>(he graduated in 1976) “</w:t>
      </w:r>
      <w:r w:rsidRPr="009B482F">
        <w:rPr>
          <w:lang w:val="en-US"/>
        </w:rPr>
        <w:t>was</w:t>
      </w:r>
      <w:r w:rsidRPr="009B482F">
        <w:rPr>
          <w:snapToGrid w:val="0"/>
        </w:rPr>
        <w:t xml:space="preserve"> widely viewed as the most substantial academic piece on Islamic banking that had been written until that time</w:t>
      </w:r>
      <w:r>
        <w:rPr>
          <w:snapToGrid w:val="0"/>
        </w:rPr>
        <w:t>”</w:t>
      </w:r>
      <w:r w:rsidRPr="009B482F">
        <w:rPr>
          <w:snapToGrid w:val="0"/>
        </w:rPr>
        <w:t xml:space="preserve"> (</w:t>
      </w:r>
      <w:proofErr w:type="spellStart"/>
      <w:r w:rsidRPr="009B482F">
        <w:rPr>
          <w:snapToGrid w:val="0"/>
        </w:rPr>
        <w:t>Malley</w:t>
      </w:r>
      <w:proofErr w:type="spellEnd"/>
      <w:r w:rsidRPr="009B482F">
        <w:rPr>
          <w:snapToGrid w:val="0"/>
        </w:rPr>
        <w:t>, 200</w:t>
      </w:r>
      <w:r>
        <w:rPr>
          <w:snapToGrid w:val="0"/>
        </w:rPr>
        <w:t>4</w:t>
      </w:r>
      <w:r w:rsidRPr="009B482F">
        <w:rPr>
          <w:snapToGrid w:val="0"/>
        </w:rPr>
        <w:t>, p.</w:t>
      </w:r>
      <w:r>
        <w:rPr>
          <w:snapToGrid w:val="0"/>
        </w:rPr>
        <w:t xml:space="preserve"> 192</w:t>
      </w:r>
      <w:r w:rsidRPr="009B482F">
        <w:rPr>
          <w:snapToGrid w:val="0"/>
        </w:rPr>
        <w:t xml:space="preserve">). </w:t>
      </w:r>
      <w:r>
        <w:rPr>
          <w:snapToGrid w:val="0"/>
        </w:rPr>
        <w:t xml:space="preserve">It </w:t>
      </w:r>
      <w:r w:rsidRPr="009B482F">
        <w:rPr>
          <w:lang w:val="en-US"/>
        </w:rPr>
        <w:t xml:space="preserve">became the basis </w:t>
      </w:r>
      <w:r>
        <w:rPr>
          <w:lang w:val="en-US"/>
        </w:rPr>
        <w:t xml:space="preserve">not only </w:t>
      </w:r>
      <w:r w:rsidRPr="009B482F">
        <w:rPr>
          <w:lang w:val="en-US"/>
        </w:rPr>
        <w:t xml:space="preserve">for the act upon which JIB was established </w:t>
      </w:r>
      <w:r>
        <w:rPr>
          <w:lang w:val="en-US"/>
        </w:rPr>
        <w:t>but also for many practices of</w:t>
      </w:r>
      <w:r w:rsidRPr="009B482F">
        <w:rPr>
          <w:lang w:val="en-US"/>
        </w:rPr>
        <w:t xml:space="preserve"> Islamic banks</w:t>
      </w:r>
      <w:r>
        <w:rPr>
          <w:lang w:val="en-US"/>
        </w:rPr>
        <w:t xml:space="preserve"> more generally</w:t>
      </w:r>
      <w:r w:rsidRPr="009B482F">
        <w:rPr>
          <w:lang w:val="en-US"/>
        </w:rPr>
        <w:t xml:space="preserve">. </w:t>
      </w:r>
    </w:p>
    <w:p w:rsidR="00631CC8" w:rsidRPr="009B482F" w:rsidRDefault="00631CC8" w:rsidP="00AB14A3">
      <w:pPr>
        <w:rPr>
          <w:lang w:val="en-US"/>
        </w:rPr>
      </w:pPr>
      <w:r>
        <w:t xml:space="preserve">On his return to Jordan, </w:t>
      </w:r>
      <w:proofErr w:type="spellStart"/>
      <w:r>
        <w:t>Hamoud</w:t>
      </w:r>
      <w:proofErr w:type="spellEnd"/>
      <w:r>
        <w:t xml:space="preserve"> began </w:t>
      </w:r>
      <w:r w:rsidRPr="009B482F">
        <w:t xml:space="preserve">his efforts to establish an Islamic bank, but </w:t>
      </w:r>
      <w:r>
        <w:t>this</w:t>
      </w:r>
      <w:r w:rsidRPr="009B482F">
        <w:t xml:space="preserve"> was not easy to achieve</w:t>
      </w:r>
      <w:r>
        <w:t>.  T</w:t>
      </w:r>
      <w:r w:rsidRPr="009B482F">
        <w:t xml:space="preserve">he governor of </w:t>
      </w:r>
      <w:r>
        <w:t xml:space="preserve">the </w:t>
      </w:r>
      <w:r w:rsidRPr="009B482F">
        <w:t>C</w:t>
      </w:r>
      <w:r>
        <w:t xml:space="preserve">entral </w:t>
      </w:r>
      <w:r w:rsidRPr="009B482F">
        <w:t>B</w:t>
      </w:r>
      <w:r>
        <w:t xml:space="preserve">ank of </w:t>
      </w:r>
      <w:r w:rsidRPr="009B482F">
        <w:t>J</w:t>
      </w:r>
      <w:r>
        <w:t>ordan</w:t>
      </w:r>
      <w:r w:rsidRPr="009B482F">
        <w:t xml:space="preserve"> was sceptical</w:t>
      </w:r>
      <w:r w:rsidRPr="009B482F">
        <w:rPr>
          <w:b/>
          <w:bCs/>
        </w:rPr>
        <w:t xml:space="preserve"> </w:t>
      </w:r>
      <w:r w:rsidRPr="009B482F">
        <w:t>about the idea of establishing an Islamic bank in Jordan at that time (Al-</w:t>
      </w:r>
      <w:proofErr w:type="spellStart"/>
      <w:r w:rsidRPr="009B482F">
        <w:t>Malki</w:t>
      </w:r>
      <w:proofErr w:type="spellEnd"/>
      <w:r w:rsidRPr="009B482F">
        <w:t>, 1996, p. 23)</w:t>
      </w:r>
      <w:r>
        <w:t>, and the large conventional banks in Jordan were also unwilling to support his ideas</w:t>
      </w:r>
      <w:r w:rsidRPr="009B482F">
        <w:t xml:space="preserve">.  </w:t>
      </w:r>
      <w:proofErr w:type="spellStart"/>
      <w:r>
        <w:t>Hamoud</w:t>
      </w:r>
      <w:proofErr w:type="spellEnd"/>
      <w:r>
        <w:t xml:space="preserve"> encouraged public interest in Islamic banking by appearing on television, while at the same time</w:t>
      </w:r>
      <w:r w:rsidRPr="009B482F">
        <w:t xml:space="preserve"> </w:t>
      </w:r>
      <w:r>
        <w:t xml:space="preserve">(1977) he and his </w:t>
      </w:r>
      <w:r w:rsidRPr="009B482F">
        <w:t>supporters established a Preparation Committee</w:t>
      </w:r>
      <w:r>
        <w:t>, to gain</w:t>
      </w:r>
      <w:r w:rsidRPr="009B482F">
        <w:t xml:space="preserve"> political and financial support for the idea of </w:t>
      </w:r>
      <w:r>
        <w:t xml:space="preserve">an </w:t>
      </w:r>
      <w:r w:rsidRPr="009B482F">
        <w:t>Islamic bank in Jordan.</w:t>
      </w:r>
      <w:r>
        <w:t xml:space="preserve"> </w:t>
      </w:r>
      <w:r w:rsidRPr="009B482F">
        <w:t xml:space="preserve"> </w:t>
      </w:r>
      <w:r>
        <w:t>M</w:t>
      </w:r>
      <w:r w:rsidRPr="009B482F">
        <w:t xml:space="preserve">embers of the committee </w:t>
      </w:r>
      <w:r>
        <w:lastRenderedPageBreak/>
        <w:t xml:space="preserve">without strong political or ideological orientations </w:t>
      </w:r>
      <w:r w:rsidRPr="009B482F">
        <w:t>were chosen (Al-</w:t>
      </w:r>
      <w:proofErr w:type="spellStart"/>
      <w:r w:rsidRPr="009B482F">
        <w:t>Malki</w:t>
      </w:r>
      <w:proofErr w:type="spellEnd"/>
      <w:r w:rsidRPr="009B482F">
        <w:t>, 1996, p. 25)</w:t>
      </w:r>
      <w:r>
        <w:t>,</w:t>
      </w:r>
      <w:r w:rsidRPr="009B482F">
        <w:t xml:space="preserve"> because </w:t>
      </w:r>
      <w:r>
        <w:t>it was considered that there would be</w:t>
      </w:r>
      <w:r w:rsidRPr="009B482F">
        <w:t xml:space="preserve"> difficult</w:t>
      </w:r>
      <w:r>
        <w:t>ies in</w:t>
      </w:r>
      <w:r w:rsidRPr="009B482F">
        <w:t xml:space="preserve"> gain</w:t>
      </w:r>
      <w:r>
        <w:t>ing government</w:t>
      </w:r>
      <w:r w:rsidRPr="009B482F">
        <w:t xml:space="preserve"> acceptance</w:t>
      </w:r>
      <w:r>
        <w:t xml:space="preserve"> if the committee were too closely associated with any Islamic party</w:t>
      </w:r>
      <w:r w:rsidRPr="009B482F">
        <w:t xml:space="preserve">. </w:t>
      </w:r>
    </w:p>
    <w:p w:rsidR="00631CC8" w:rsidRPr="009B482F" w:rsidRDefault="00631CC8" w:rsidP="00F16D35">
      <w:proofErr w:type="spellStart"/>
      <w:r>
        <w:t>Hamoud</w:t>
      </w:r>
      <w:proofErr w:type="spellEnd"/>
      <w:r>
        <w:t xml:space="preserve"> made contact with a Saudi prince, Prince Muhamma</w:t>
      </w:r>
      <w:r w:rsidRPr="009B482F">
        <w:t>d Al-Faisal</w:t>
      </w:r>
      <w:r>
        <w:t xml:space="preserve"> Al-Saud,</w:t>
      </w:r>
      <w:r w:rsidRPr="009B482F">
        <w:t xml:space="preserve"> </w:t>
      </w:r>
      <w:r>
        <w:t>who</w:t>
      </w:r>
      <w:r w:rsidRPr="009B482F">
        <w:t xml:space="preserve"> was </w:t>
      </w:r>
      <w:r>
        <w:t>interested in investing in the bank</w:t>
      </w:r>
      <w:r w:rsidRPr="009B482F">
        <w:t>.</w:t>
      </w:r>
      <w:r>
        <w:t xml:space="preserve"> </w:t>
      </w:r>
      <w:r w:rsidRPr="009B482F">
        <w:t xml:space="preserve"> </w:t>
      </w:r>
      <w:r>
        <w:t>Prince Muhamma</w:t>
      </w:r>
      <w:r w:rsidRPr="009B482F">
        <w:t>d use</w:t>
      </w:r>
      <w:r>
        <w:t>d</w:t>
      </w:r>
      <w:r w:rsidRPr="009B482F">
        <w:t xml:space="preserve"> </w:t>
      </w:r>
      <w:r>
        <w:t>hi</w:t>
      </w:r>
      <w:r w:rsidRPr="009B482F">
        <w:t xml:space="preserve">s </w:t>
      </w:r>
      <w:r>
        <w:t>friendship</w:t>
      </w:r>
      <w:r w:rsidRPr="009B482F">
        <w:t xml:space="preserve"> with </w:t>
      </w:r>
      <w:r>
        <w:t>Jordan’s</w:t>
      </w:r>
      <w:r w:rsidRPr="009B482F">
        <w:t xml:space="preserve"> ro</w:t>
      </w:r>
      <w:r>
        <w:t xml:space="preserve">yal family, especially with </w:t>
      </w:r>
      <w:r w:rsidRPr="009B482F">
        <w:t>Crown Prince</w:t>
      </w:r>
      <w:r>
        <w:t xml:space="preserve"> Hassan bin Talal (brother of King Hussein)</w:t>
      </w:r>
      <w:r w:rsidRPr="009B482F">
        <w:t xml:space="preserve">, to </w:t>
      </w:r>
      <w:r>
        <w:t xml:space="preserve">gain </w:t>
      </w:r>
      <w:r w:rsidRPr="009B482F">
        <w:t xml:space="preserve">support </w:t>
      </w:r>
      <w:r>
        <w:t>for the</w:t>
      </w:r>
      <w:r w:rsidRPr="009B482F">
        <w:t xml:space="preserve"> idea and </w:t>
      </w:r>
      <w:r>
        <w:t>encourage</w:t>
      </w:r>
      <w:r w:rsidRPr="009B482F">
        <w:t xml:space="preserve"> acceptance of the presence of Islamic banking in Jordan. </w:t>
      </w:r>
      <w:r>
        <w:t xml:space="preserve"> Prince Mu</w:t>
      </w:r>
      <w:r w:rsidRPr="009B482F">
        <w:t>ham</w:t>
      </w:r>
      <w:r>
        <w:t>ma</w:t>
      </w:r>
      <w:r w:rsidRPr="009B482F">
        <w:t xml:space="preserve">d invited </w:t>
      </w:r>
      <w:proofErr w:type="spellStart"/>
      <w:r w:rsidRPr="009B482F">
        <w:t>H</w:t>
      </w:r>
      <w:r>
        <w:t>a</w:t>
      </w:r>
      <w:r w:rsidRPr="009B482F">
        <w:t>moud</w:t>
      </w:r>
      <w:proofErr w:type="spellEnd"/>
      <w:r w:rsidRPr="009B482F">
        <w:t xml:space="preserve"> to visit him in Jeddah, where he introduced him to Sh</w:t>
      </w:r>
      <w:r>
        <w:t>ei</w:t>
      </w:r>
      <w:r w:rsidRPr="009B482F">
        <w:t xml:space="preserve">kh </w:t>
      </w:r>
      <w:proofErr w:type="spellStart"/>
      <w:r w:rsidRPr="009B482F">
        <w:t>Saleh</w:t>
      </w:r>
      <w:proofErr w:type="spellEnd"/>
      <w:r w:rsidRPr="009B482F">
        <w:t xml:space="preserve"> </w:t>
      </w:r>
      <w:proofErr w:type="spellStart"/>
      <w:r w:rsidRPr="009B482F">
        <w:t>Kamel</w:t>
      </w:r>
      <w:proofErr w:type="spellEnd"/>
      <w:r>
        <w:t xml:space="preserve">, a prominent Saudi investor.  </w:t>
      </w:r>
      <w:proofErr w:type="spellStart"/>
      <w:r>
        <w:t>Kamel</w:t>
      </w:r>
      <w:proofErr w:type="spellEnd"/>
      <w:r>
        <w:t xml:space="preserve"> (through his </w:t>
      </w:r>
      <w:proofErr w:type="spellStart"/>
      <w:r>
        <w:t>Darrah</w:t>
      </w:r>
      <w:proofErr w:type="spellEnd"/>
      <w:r>
        <w:t xml:space="preserve"> Al Baraka group) was</w:t>
      </w:r>
      <w:r w:rsidRPr="009B482F">
        <w:t xml:space="preserve"> later </w:t>
      </w:r>
      <w:r>
        <w:t xml:space="preserve">to </w:t>
      </w:r>
      <w:r w:rsidRPr="009B482F">
        <w:t>bec</w:t>
      </w:r>
      <w:r>
        <w:t>o</w:t>
      </w:r>
      <w:r w:rsidRPr="009B482F">
        <w:t>me</w:t>
      </w:r>
      <w:r>
        <w:t xml:space="preserve"> JIB’s</w:t>
      </w:r>
      <w:r w:rsidRPr="009B482F">
        <w:t xml:space="preserve"> largest shareholder</w:t>
      </w:r>
      <w:r>
        <w:t>.</w:t>
      </w:r>
      <w:r w:rsidRPr="009B482F">
        <w:t xml:space="preserve"> </w:t>
      </w:r>
      <w:r>
        <w:t xml:space="preserve"> Both Prince Muhamma</w:t>
      </w:r>
      <w:r w:rsidRPr="009B482F">
        <w:t xml:space="preserve">d and </w:t>
      </w:r>
      <w:proofErr w:type="spellStart"/>
      <w:r>
        <w:t>Kamel</w:t>
      </w:r>
      <w:proofErr w:type="spellEnd"/>
      <w:r w:rsidRPr="009B482F">
        <w:t xml:space="preserve"> agreed to participate</w:t>
      </w:r>
      <w:r>
        <w:t xml:space="preserve"> in the bank up to</w:t>
      </w:r>
      <w:r w:rsidRPr="009B482F">
        <w:t xml:space="preserve"> 40% of the capital, which </w:t>
      </w:r>
      <w:r>
        <w:t xml:space="preserve">was the maximum </w:t>
      </w:r>
      <w:r w:rsidRPr="009B482F">
        <w:t>foreign participation allowed by Jordanian laws at that time.</w:t>
      </w:r>
      <w:r>
        <w:t xml:space="preserve">  In the end, Prince Muhammad did not invest in the bank, and </w:t>
      </w:r>
      <w:proofErr w:type="spellStart"/>
      <w:r>
        <w:t>Saleh</w:t>
      </w:r>
      <w:proofErr w:type="spellEnd"/>
      <w:r>
        <w:t xml:space="preserve"> </w:t>
      </w:r>
      <w:proofErr w:type="spellStart"/>
      <w:r>
        <w:t>Kamel</w:t>
      </w:r>
      <w:proofErr w:type="spellEnd"/>
      <w:r>
        <w:t xml:space="preserve"> underwrote the Prince’s share of the bank’s capital.</w:t>
      </w:r>
    </w:p>
    <w:p w:rsidR="00631CC8" w:rsidRDefault="00631CC8" w:rsidP="00F16D35">
      <w:r>
        <w:t>T</w:t>
      </w:r>
      <w:r w:rsidRPr="009B482F">
        <w:t xml:space="preserve">he Preparation </w:t>
      </w:r>
      <w:r>
        <w:t>Committee wanted the government to</w:t>
      </w:r>
      <w:r w:rsidRPr="009B482F">
        <w:t xml:space="preserve"> issue a special act for regulating the Islamic bank</w:t>
      </w:r>
      <w:r>
        <w:t>, because</w:t>
      </w:r>
      <w:r w:rsidRPr="009B482F">
        <w:t xml:space="preserve"> subject</w:t>
      </w:r>
      <w:r>
        <w:t>ing the bank</w:t>
      </w:r>
      <w:r w:rsidRPr="009B482F">
        <w:t xml:space="preserve"> to the </w:t>
      </w:r>
      <w:r>
        <w:t xml:space="preserve">provisions of the </w:t>
      </w:r>
      <w:r w:rsidRPr="009B482F">
        <w:t xml:space="preserve">general banking act </w:t>
      </w:r>
      <w:r>
        <w:t>was thought to</w:t>
      </w:r>
      <w:r w:rsidRPr="009B482F">
        <w:t xml:space="preserve"> represent a</w:t>
      </w:r>
      <w:r>
        <w:t xml:space="preserve"> potential</w:t>
      </w:r>
      <w:r w:rsidRPr="009B482F">
        <w:t xml:space="preserve"> threat </w:t>
      </w:r>
      <w:r>
        <w:t>to</w:t>
      </w:r>
      <w:r w:rsidRPr="009B482F">
        <w:t xml:space="preserve"> the bank</w:t>
      </w:r>
      <w:r>
        <w:t>’s continuing</w:t>
      </w:r>
      <w:r w:rsidRPr="009B482F">
        <w:t xml:space="preserve"> presence in the future and </w:t>
      </w:r>
      <w:r>
        <w:t>would not be</w:t>
      </w:r>
      <w:r w:rsidRPr="009B482F">
        <w:t xml:space="preserve"> practical because of the different nature of Islamic banking. </w:t>
      </w:r>
      <w:r>
        <w:t>T</w:t>
      </w:r>
      <w:r w:rsidRPr="009B482F">
        <w:t>he Preparation Committee met the Crown Prince of Jordan, and Pr</w:t>
      </w:r>
      <w:r>
        <w:t xml:space="preserve">ince Muhammad </w:t>
      </w:r>
      <w:r w:rsidRPr="009B482F">
        <w:t>visit</w:t>
      </w:r>
      <w:r>
        <w:t>ed</w:t>
      </w:r>
      <w:r w:rsidRPr="009B482F">
        <w:t xml:space="preserve"> the Crown Prince as well. </w:t>
      </w:r>
      <w:r>
        <w:t xml:space="preserve"> </w:t>
      </w:r>
      <w:r w:rsidRPr="009B482F">
        <w:t xml:space="preserve">To convince the Crown Prince and the government about the idea of </w:t>
      </w:r>
      <w:r>
        <w:t xml:space="preserve">an </w:t>
      </w:r>
      <w:r w:rsidRPr="009B482F">
        <w:t>Islamic bank in Jordan</w:t>
      </w:r>
      <w:r>
        <w:t>,</w:t>
      </w:r>
      <w:r w:rsidRPr="009B482F">
        <w:t xml:space="preserve"> the committee stressed that many Jordanians </w:t>
      </w:r>
      <w:r>
        <w:t xml:space="preserve">were </w:t>
      </w:r>
      <w:r w:rsidRPr="009B482F">
        <w:t>refrain</w:t>
      </w:r>
      <w:r>
        <w:t>ing</w:t>
      </w:r>
      <w:r w:rsidRPr="009B482F">
        <w:t xml:space="preserve"> from dealing with banks because of interest</w:t>
      </w:r>
      <w:r>
        <w:t>, and this</w:t>
      </w:r>
      <w:r w:rsidRPr="009B482F">
        <w:t xml:space="preserve"> led </w:t>
      </w:r>
      <w:r>
        <w:t>t</w:t>
      </w:r>
      <w:r w:rsidRPr="009B482F">
        <w:t xml:space="preserve">o a </w:t>
      </w:r>
      <w:r>
        <w:t>high percentage of</w:t>
      </w:r>
      <w:r w:rsidRPr="009B482F">
        <w:t xml:space="preserve"> idle funds</w:t>
      </w:r>
      <w:r>
        <w:t xml:space="preserve"> in the Jordanian economy</w:t>
      </w:r>
      <w:r w:rsidRPr="009B482F">
        <w:t xml:space="preserve">. </w:t>
      </w:r>
      <w:r>
        <w:t xml:space="preserve"> T</w:t>
      </w:r>
      <w:r w:rsidRPr="009B482F">
        <w:t xml:space="preserve">hey </w:t>
      </w:r>
      <w:r>
        <w:t>pointed out</w:t>
      </w:r>
      <w:r w:rsidRPr="009B482F">
        <w:t xml:space="preserve"> th</w:t>
      </w:r>
      <w:r>
        <w:t>e</w:t>
      </w:r>
      <w:r w:rsidRPr="009B482F">
        <w:t xml:space="preserve"> </w:t>
      </w:r>
      <w:r>
        <w:t>important social role of Islamic banking and in particular the economic and social superiority of profit-sharing arrangements such as</w:t>
      </w:r>
      <w:r w:rsidRPr="009B482F">
        <w:t xml:space="preserve"> </w:t>
      </w:r>
      <w:proofErr w:type="spellStart"/>
      <w:r>
        <w:rPr>
          <w:i/>
          <w:iCs/>
        </w:rPr>
        <w:t>m</w:t>
      </w:r>
      <w:r w:rsidRPr="009B482F">
        <w:rPr>
          <w:i/>
          <w:iCs/>
        </w:rPr>
        <w:t>ushar</w:t>
      </w:r>
      <w:r>
        <w:rPr>
          <w:i/>
          <w:iCs/>
        </w:rPr>
        <w:t>a</w:t>
      </w:r>
      <w:r w:rsidRPr="009B482F">
        <w:rPr>
          <w:i/>
          <w:iCs/>
        </w:rPr>
        <w:t>ka</w:t>
      </w:r>
      <w:proofErr w:type="spellEnd"/>
      <w:r w:rsidRPr="009B482F">
        <w:t xml:space="preserve"> and </w:t>
      </w:r>
      <w:proofErr w:type="spellStart"/>
      <w:r>
        <w:rPr>
          <w:i/>
          <w:iCs/>
        </w:rPr>
        <w:t>m</w:t>
      </w:r>
      <w:r w:rsidRPr="009B482F">
        <w:rPr>
          <w:i/>
          <w:iCs/>
        </w:rPr>
        <w:t>udaraba</w:t>
      </w:r>
      <w:proofErr w:type="spellEnd"/>
      <w:r w:rsidRPr="009B482F">
        <w:t xml:space="preserve"> compared to conventional </w:t>
      </w:r>
      <w:r>
        <w:t xml:space="preserve">interest-based financing. </w:t>
      </w:r>
      <w:r w:rsidRPr="009B482F">
        <w:t xml:space="preserve"> </w:t>
      </w:r>
      <w:proofErr w:type="spellStart"/>
      <w:r>
        <w:t>Hamoud</w:t>
      </w:r>
      <w:proofErr w:type="spellEnd"/>
      <w:r w:rsidRPr="009B482F">
        <w:rPr>
          <w:b/>
          <w:bCs/>
        </w:rPr>
        <w:t xml:space="preserve"> </w:t>
      </w:r>
      <w:r>
        <w:t>emphasised that non-Muslims would be able to participate in and deal with the bank</w:t>
      </w:r>
      <w:r w:rsidRPr="009B482F">
        <w:t xml:space="preserve">. </w:t>
      </w:r>
      <w:r>
        <w:t xml:space="preserve"> </w:t>
      </w:r>
      <w:r w:rsidRPr="009B482F">
        <w:t xml:space="preserve">The Crown Prince responded positively </w:t>
      </w:r>
      <w:r>
        <w:t>to these approaches</w:t>
      </w:r>
      <w:r w:rsidRPr="009B482F">
        <w:t xml:space="preserve">, the Preparation Committee’s request for </w:t>
      </w:r>
      <w:r>
        <w:t xml:space="preserve">a banking </w:t>
      </w:r>
      <w:r w:rsidRPr="009B482F">
        <w:t xml:space="preserve">licence was approved, and </w:t>
      </w:r>
      <w:r>
        <w:t>i</w:t>
      </w:r>
      <w:r w:rsidRPr="009B482F">
        <w:t>n May 1977 the Prime Minist</w:t>
      </w:r>
      <w:r>
        <w:t>e</w:t>
      </w:r>
      <w:r w:rsidRPr="009B482F">
        <w:t>r</w:t>
      </w:r>
      <w:r>
        <w:t>’s Office</w:t>
      </w:r>
      <w:r w:rsidRPr="009B482F">
        <w:rPr>
          <w:b/>
          <w:bCs/>
        </w:rPr>
        <w:t xml:space="preserve"> </w:t>
      </w:r>
      <w:r w:rsidRPr="009B482F">
        <w:t xml:space="preserve">issued </w:t>
      </w:r>
      <w:r>
        <w:t>a</w:t>
      </w:r>
      <w:r w:rsidRPr="009B482F">
        <w:t xml:space="preserve"> decision to establish an Islamic bank based on </w:t>
      </w:r>
      <w:r>
        <w:t xml:space="preserve">a </w:t>
      </w:r>
      <w:r w:rsidRPr="009B482F">
        <w:t>special act.</w:t>
      </w:r>
      <w:r>
        <w:t xml:space="preserve"> </w:t>
      </w:r>
      <w:r w:rsidRPr="009B482F">
        <w:t xml:space="preserve"> The Prime Min</w:t>
      </w:r>
      <w:r>
        <w:t>i</w:t>
      </w:r>
      <w:r w:rsidRPr="009B482F">
        <w:t>ster</w:t>
      </w:r>
      <w:r>
        <w:t>’s</w:t>
      </w:r>
      <w:r w:rsidRPr="009B482F">
        <w:t xml:space="preserve"> Office asked the Preparation Committee to prepare a draft for the special act that </w:t>
      </w:r>
      <w:r>
        <w:t xml:space="preserve">would </w:t>
      </w:r>
      <w:r w:rsidRPr="009B482F">
        <w:t>specif</w:t>
      </w:r>
      <w:r>
        <w:t>y</w:t>
      </w:r>
      <w:r w:rsidRPr="009B482F">
        <w:t xml:space="preserve"> the rules under which the Islamic bank would operate. </w:t>
      </w:r>
    </w:p>
    <w:p w:rsidR="00631CC8" w:rsidRDefault="00631CC8" w:rsidP="00F16D35"/>
    <w:p w:rsidR="00631CC8" w:rsidRPr="00BB0776" w:rsidRDefault="00631CC8" w:rsidP="00BB0776">
      <w:pPr>
        <w:pStyle w:val="Heading2"/>
        <w:rPr>
          <w:szCs w:val="26"/>
        </w:rPr>
      </w:pPr>
      <w:bookmarkStart w:id="3" w:name="_Toc74316134"/>
      <w:bookmarkStart w:id="4" w:name="_Toc74381905"/>
      <w:bookmarkStart w:id="5" w:name="_Toc74570024"/>
      <w:bookmarkStart w:id="6" w:name="_Toc76909442"/>
      <w:r>
        <w:lastRenderedPageBreak/>
        <w:t xml:space="preserve">Developing </w:t>
      </w:r>
      <w:r w:rsidRPr="00BB0776">
        <w:t>JIB’</w:t>
      </w:r>
      <w:r>
        <w:t>s</w:t>
      </w:r>
      <w:r w:rsidRPr="00BB0776">
        <w:t xml:space="preserve"> S</w:t>
      </w:r>
      <w:r>
        <w:t>pecial</w:t>
      </w:r>
      <w:r w:rsidRPr="00BB0776">
        <w:t xml:space="preserve"> A</w:t>
      </w:r>
      <w:r>
        <w:t>ct</w:t>
      </w:r>
      <w:bookmarkEnd w:id="3"/>
      <w:bookmarkEnd w:id="4"/>
      <w:bookmarkEnd w:id="5"/>
      <w:bookmarkEnd w:id="6"/>
    </w:p>
    <w:p w:rsidR="00631CC8" w:rsidRPr="009B482F" w:rsidRDefault="00631CC8" w:rsidP="006B54F1">
      <w:pPr>
        <w:pStyle w:val="Firstpara"/>
        <w:rPr>
          <w:snapToGrid w:val="0"/>
        </w:rPr>
      </w:pPr>
      <w:r>
        <w:t xml:space="preserve">The delegation of the drafting of the special act to the Preparation Committee was the result of a lack of knowledge in the government of Jordan about Islamic banking.  </w:t>
      </w:r>
      <w:r w:rsidRPr="009B482F">
        <w:t>The</w:t>
      </w:r>
      <w:r>
        <w:t xml:space="preserve"> first</w:t>
      </w:r>
      <w:r w:rsidRPr="009B482F">
        <w:t xml:space="preserve"> draft </w:t>
      </w:r>
      <w:r>
        <w:t xml:space="preserve">of the act was mostly the work of </w:t>
      </w:r>
      <w:proofErr w:type="spellStart"/>
      <w:r w:rsidRPr="009B482F">
        <w:t>H</w:t>
      </w:r>
      <w:r>
        <w:t>amoud</w:t>
      </w:r>
      <w:proofErr w:type="spellEnd"/>
      <w:r>
        <w:t>, and his committee colleagues saw him as particularly knowledgeable because of his</w:t>
      </w:r>
      <w:r w:rsidRPr="009B482F">
        <w:t xml:space="preserve"> previous training in banking, his </w:t>
      </w:r>
      <w:r>
        <w:t xml:space="preserve">first </w:t>
      </w:r>
      <w:r w:rsidRPr="009B482F">
        <w:t xml:space="preserve">degree in Law, and his Ph.D. </w:t>
      </w:r>
      <w:r>
        <w:t>i</w:t>
      </w:r>
      <w:r w:rsidRPr="009B482F">
        <w:t>n Islamic banking</w:t>
      </w:r>
      <w:r>
        <w:t>.</w:t>
      </w:r>
      <w:r w:rsidRPr="009B482F">
        <w:t xml:space="preserve"> </w:t>
      </w:r>
      <w:r>
        <w:t xml:space="preserve"> </w:t>
      </w:r>
      <w:r w:rsidRPr="009B482F">
        <w:t xml:space="preserve">Many </w:t>
      </w:r>
      <w:r>
        <w:t xml:space="preserve">paragraphs in the </w:t>
      </w:r>
      <w:r w:rsidRPr="009B482F">
        <w:t xml:space="preserve">first draft </w:t>
      </w:r>
      <w:r>
        <w:t xml:space="preserve">of the act and in </w:t>
      </w:r>
      <w:r w:rsidRPr="009B482F">
        <w:t xml:space="preserve">the </w:t>
      </w:r>
      <w:r>
        <w:t xml:space="preserve">accompanying explanatory notes came directly from </w:t>
      </w:r>
      <w:proofErr w:type="spellStart"/>
      <w:r>
        <w:t>Hamoud’s</w:t>
      </w:r>
      <w:proofErr w:type="spellEnd"/>
      <w:r w:rsidRPr="009B482F">
        <w:t xml:space="preserve"> Ph.D. </w:t>
      </w:r>
      <w:r>
        <w:t>thesis, and he also used wording from</w:t>
      </w:r>
      <w:r w:rsidRPr="009B482F">
        <w:rPr>
          <w:lang w:val="en-US"/>
        </w:rPr>
        <w:t xml:space="preserve"> two </w:t>
      </w:r>
      <w:r>
        <w:rPr>
          <w:lang w:val="en-US"/>
        </w:rPr>
        <w:t xml:space="preserve">earlier </w:t>
      </w:r>
      <w:r w:rsidRPr="009B482F">
        <w:rPr>
          <w:lang w:val="en-US"/>
        </w:rPr>
        <w:t>special acts</w:t>
      </w:r>
      <w:r>
        <w:rPr>
          <w:lang w:val="en-US"/>
        </w:rPr>
        <w:t xml:space="preserve"> for banks</w:t>
      </w:r>
      <w:r w:rsidRPr="009B482F">
        <w:rPr>
          <w:lang w:val="en-US"/>
        </w:rPr>
        <w:t xml:space="preserve">: </w:t>
      </w:r>
      <w:r>
        <w:rPr>
          <w:lang w:val="en-US"/>
        </w:rPr>
        <w:t xml:space="preserve">the </w:t>
      </w:r>
      <w:r w:rsidRPr="009B482F">
        <w:rPr>
          <w:lang w:val="en-US"/>
        </w:rPr>
        <w:t xml:space="preserve">Industrial Development Bank Act </w:t>
      </w:r>
      <w:r>
        <w:rPr>
          <w:lang w:val="en-US"/>
        </w:rPr>
        <w:t>(</w:t>
      </w:r>
      <w:r w:rsidRPr="009B482F">
        <w:rPr>
          <w:lang w:val="en-US"/>
        </w:rPr>
        <w:t>No.</w:t>
      </w:r>
      <w:r>
        <w:rPr>
          <w:lang w:val="en-US"/>
        </w:rPr>
        <w:t> </w:t>
      </w:r>
      <w:r w:rsidRPr="009B482F">
        <w:rPr>
          <w:lang w:val="en-US"/>
        </w:rPr>
        <w:t>5, 1972</w:t>
      </w:r>
      <w:r>
        <w:rPr>
          <w:lang w:val="en-US"/>
        </w:rPr>
        <w:t>)</w:t>
      </w:r>
      <w:r w:rsidRPr="009B482F">
        <w:rPr>
          <w:lang w:val="en-US"/>
        </w:rPr>
        <w:t xml:space="preserve"> and </w:t>
      </w:r>
      <w:r>
        <w:rPr>
          <w:lang w:val="en-US"/>
        </w:rPr>
        <w:t xml:space="preserve">the </w:t>
      </w:r>
      <w:r w:rsidRPr="009B482F">
        <w:rPr>
          <w:lang w:val="en-US"/>
        </w:rPr>
        <w:t xml:space="preserve">Housing Bank Act </w:t>
      </w:r>
      <w:r>
        <w:rPr>
          <w:lang w:val="en-US"/>
        </w:rPr>
        <w:t>(</w:t>
      </w:r>
      <w:r w:rsidRPr="009B482F">
        <w:rPr>
          <w:lang w:val="en-US"/>
        </w:rPr>
        <w:t>No.</w:t>
      </w:r>
      <w:r>
        <w:rPr>
          <w:lang w:val="en-US"/>
        </w:rPr>
        <w:t> </w:t>
      </w:r>
      <w:r w:rsidRPr="009B482F">
        <w:rPr>
          <w:lang w:val="en-US"/>
        </w:rPr>
        <w:t>41, 1973</w:t>
      </w:r>
      <w:r>
        <w:rPr>
          <w:lang w:val="en-US"/>
        </w:rPr>
        <w:t>)</w:t>
      </w:r>
      <w:r w:rsidRPr="009B482F">
        <w:rPr>
          <w:lang w:val="en-US"/>
        </w:rPr>
        <w:t>.</w:t>
      </w:r>
    </w:p>
    <w:p w:rsidR="00631CC8" w:rsidRPr="00F44B04" w:rsidRDefault="00631CC8" w:rsidP="00193AAE">
      <w:r w:rsidRPr="00193AAE">
        <w:t>There were many objections to the first draft of the act, as some Islamic scholars viewed certain articles of the draft as violating Islamic principles.  Therefore, arrangements were made between the Preparation Committee and the Religious Affairs Minister, who was a strong supporter within the government of the idea of an Islamic bank, for a review of the draft act to be undertaken by the Fatwa Committee.  This group of mainly religious scholars had been established by the Jordanian government to issue pronouncements (</w:t>
      </w:r>
      <w:proofErr w:type="spellStart"/>
      <w:r w:rsidRPr="00193AAE">
        <w:t>fatwas</w:t>
      </w:r>
      <w:proofErr w:type="spellEnd"/>
      <w:r w:rsidRPr="00193AAE">
        <w:t xml:space="preserve">) on religious matters, including the application of </w:t>
      </w:r>
      <w:proofErr w:type="spellStart"/>
      <w:r w:rsidRPr="00193AAE">
        <w:rPr>
          <w:i/>
        </w:rPr>
        <w:t>Shari’a</w:t>
      </w:r>
      <w:proofErr w:type="spellEnd"/>
      <w:r w:rsidRPr="00193AAE">
        <w:t xml:space="preserve"> law.  </w:t>
      </w:r>
      <w:r>
        <w:t>To</w:t>
      </w:r>
      <w:r w:rsidRPr="00F44B04">
        <w:t xml:space="preserve"> discus</w:t>
      </w:r>
      <w:r>
        <w:t>s</w:t>
      </w:r>
      <w:r w:rsidRPr="00F44B04">
        <w:t xml:space="preserve"> the draft of </w:t>
      </w:r>
      <w:r>
        <w:t xml:space="preserve">the </w:t>
      </w:r>
      <w:r w:rsidRPr="00F44B04">
        <w:t xml:space="preserve">JIB act, three </w:t>
      </w:r>
      <w:r>
        <w:t xml:space="preserve">additional </w:t>
      </w:r>
      <w:r w:rsidRPr="00F44B04">
        <w:t>members joined the committee</w:t>
      </w:r>
      <w:r>
        <w:t>. T</w:t>
      </w:r>
      <w:r w:rsidRPr="00F44B04">
        <w:t>wo of the</w:t>
      </w:r>
      <w:r>
        <w:t>se (</w:t>
      </w:r>
      <w:r w:rsidRPr="00F44B04">
        <w:t>Sh</w:t>
      </w:r>
      <w:r>
        <w:t>ei</w:t>
      </w:r>
      <w:r w:rsidRPr="00F44B04">
        <w:t>kh Abdul-</w:t>
      </w:r>
      <w:proofErr w:type="spellStart"/>
      <w:r w:rsidRPr="00F44B04">
        <w:t>Hamid</w:t>
      </w:r>
      <w:proofErr w:type="spellEnd"/>
      <w:r w:rsidRPr="00F44B04">
        <w:t xml:space="preserve"> Al-</w:t>
      </w:r>
      <w:proofErr w:type="spellStart"/>
      <w:r w:rsidRPr="00F44B04">
        <w:t>Saih</w:t>
      </w:r>
      <w:proofErr w:type="spellEnd"/>
      <w:r w:rsidRPr="00F44B04">
        <w:t xml:space="preserve"> and Prof</w:t>
      </w:r>
      <w:r>
        <w:t>essor Muhamma</w:t>
      </w:r>
      <w:r w:rsidRPr="00F44B04">
        <w:t xml:space="preserve">d </w:t>
      </w:r>
      <w:proofErr w:type="spellStart"/>
      <w:r w:rsidRPr="00F44B04">
        <w:t>Saqer</w:t>
      </w:r>
      <w:proofErr w:type="spellEnd"/>
      <w:r>
        <w:t>)</w:t>
      </w:r>
      <w:r w:rsidRPr="00F44B04">
        <w:t xml:space="preserve"> </w:t>
      </w:r>
      <w:r>
        <w:t>were</w:t>
      </w:r>
      <w:r w:rsidRPr="00F44B04">
        <w:t xml:space="preserve"> knowledg</w:t>
      </w:r>
      <w:r>
        <w:t>eable</w:t>
      </w:r>
      <w:r w:rsidRPr="00F44B04">
        <w:t xml:space="preserve"> in Islamic economics</w:t>
      </w:r>
      <w:r>
        <w:t>, and the third was</w:t>
      </w:r>
      <w:r w:rsidRPr="00F44B04">
        <w:t xml:space="preserve"> </w:t>
      </w:r>
      <w:proofErr w:type="spellStart"/>
      <w:r w:rsidRPr="00F44B04">
        <w:t>H</w:t>
      </w:r>
      <w:r>
        <w:t>a</w:t>
      </w:r>
      <w:r w:rsidRPr="00F44B04">
        <w:t>moud</w:t>
      </w:r>
      <w:proofErr w:type="spellEnd"/>
      <w:r w:rsidRPr="00F44B04">
        <w:t>.</w:t>
      </w:r>
    </w:p>
    <w:p w:rsidR="00631CC8" w:rsidRDefault="00631CC8" w:rsidP="006C5791">
      <w:pPr>
        <w:rPr>
          <w:snapToGrid w:val="0"/>
        </w:rPr>
      </w:pPr>
      <w:r>
        <w:t>The enlarged Fatwa Committee</w:t>
      </w:r>
      <w:r w:rsidRPr="009B482F">
        <w:t xml:space="preserve"> held 15 extended meetings over </w:t>
      </w:r>
      <w:r>
        <w:t>a period of 10 weeks</w:t>
      </w:r>
      <w:r w:rsidRPr="009B482F">
        <w:t xml:space="preserve"> (6</w:t>
      </w:r>
      <w:r>
        <w:t xml:space="preserve"> July to </w:t>
      </w:r>
      <w:r w:rsidRPr="009B482F">
        <w:t>11</w:t>
      </w:r>
      <w:r>
        <w:t xml:space="preserve"> September </w:t>
      </w:r>
      <w:r w:rsidRPr="009B482F">
        <w:t>1977), and changed some important articles</w:t>
      </w:r>
      <w:r>
        <w:t xml:space="preserve"> in </w:t>
      </w:r>
      <w:proofErr w:type="spellStart"/>
      <w:r>
        <w:t>Hamoud’s</w:t>
      </w:r>
      <w:proofErr w:type="spellEnd"/>
      <w:r>
        <w:t xml:space="preserve"> draft act.</w:t>
      </w:r>
      <w:r w:rsidRPr="009B482F">
        <w:t xml:space="preserve"> </w:t>
      </w:r>
      <w:r>
        <w:t xml:space="preserve"> </w:t>
      </w:r>
      <w:r>
        <w:rPr>
          <w:lang w:val="en-US"/>
        </w:rPr>
        <w:t>The</w:t>
      </w:r>
      <w:r w:rsidRPr="009B482F">
        <w:t xml:space="preserve"> discussions in the C</w:t>
      </w:r>
      <w:r>
        <w:t>ommittee</w:t>
      </w:r>
      <w:r w:rsidRPr="009B482F">
        <w:t xml:space="preserve"> </w:t>
      </w:r>
      <w:r>
        <w:t>and the resulting modifications to the draft act were a source of</w:t>
      </w:r>
      <w:r w:rsidRPr="009B482F">
        <w:t xml:space="preserve"> conflict with </w:t>
      </w:r>
      <w:proofErr w:type="spellStart"/>
      <w:r>
        <w:t>Hamoud</w:t>
      </w:r>
      <w:proofErr w:type="spellEnd"/>
      <w:r>
        <w:t xml:space="preserve"> as they reflected religious opinions different from those he considered most appropriate.</w:t>
      </w:r>
      <w:r w:rsidRPr="009B482F">
        <w:t xml:space="preserve"> </w:t>
      </w:r>
      <w:r>
        <w:t xml:space="preserve">The </w:t>
      </w:r>
      <w:r w:rsidRPr="009B482F">
        <w:rPr>
          <w:lang w:val="en-US"/>
        </w:rPr>
        <w:t>C</w:t>
      </w:r>
      <w:r>
        <w:rPr>
          <w:lang w:val="en-US"/>
        </w:rPr>
        <w:t>ommittee</w:t>
      </w:r>
      <w:r w:rsidRPr="009B482F">
        <w:rPr>
          <w:lang w:val="en-US"/>
        </w:rPr>
        <w:t xml:space="preserve"> </w:t>
      </w:r>
      <w:r w:rsidRPr="009B482F">
        <w:t xml:space="preserve">issued a </w:t>
      </w:r>
      <w:r>
        <w:t xml:space="preserve">corrected </w:t>
      </w:r>
      <w:r w:rsidRPr="009B482F">
        <w:t>second draft of the act which was sent to the Prime Minister</w:t>
      </w:r>
      <w:r>
        <w:t>’s</w:t>
      </w:r>
      <w:r w:rsidRPr="009B482F">
        <w:t xml:space="preserve"> Office for approval. However, the Prime Min</w:t>
      </w:r>
      <w:r>
        <w:t>i</w:t>
      </w:r>
      <w:r w:rsidRPr="009B482F">
        <w:t>ster</w:t>
      </w:r>
      <w:r>
        <w:t>’s</w:t>
      </w:r>
      <w:r w:rsidRPr="009B482F">
        <w:t xml:space="preserve"> Office </w:t>
      </w:r>
      <w:r>
        <w:t xml:space="preserve">made </w:t>
      </w:r>
      <w:r w:rsidRPr="009B482F">
        <w:t xml:space="preserve">other </w:t>
      </w:r>
      <w:r>
        <w:t>changes</w:t>
      </w:r>
      <w:r w:rsidRPr="009B482F">
        <w:t xml:space="preserve"> to the act</w:t>
      </w:r>
      <w:r>
        <w:t>.  These</w:t>
      </w:r>
      <w:r w:rsidRPr="009B482F">
        <w:t xml:space="preserve"> </w:t>
      </w:r>
      <w:r>
        <w:t xml:space="preserve">were </w:t>
      </w:r>
      <w:r w:rsidRPr="009B482F">
        <w:t>m</w:t>
      </w:r>
      <w:r>
        <w:t>ainly</w:t>
      </w:r>
      <w:r w:rsidRPr="009B482F">
        <w:t xml:space="preserve"> benefi</w:t>
      </w:r>
      <w:r>
        <w:t xml:space="preserve">cial to </w:t>
      </w:r>
      <w:proofErr w:type="spellStart"/>
      <w:r>
        <w:t>Hamoud</w:t>
      </w:r>
      <w:proofErr w:type="spellEnd"/>
      <w:r w:rsidRPr="009B482F">
        <w:t xml:space="preserve"> in that t</w:t>
      </w:r>
      <w:r>
        <w:t>hey</w:t>
      </w:r>
      <w:r w:rsidRPr="009B482F">
        <w:t xml:space="preserve"> help</w:t>
      </w:r>
      <w:r>
        <w:t>ed</w:t>
      </w:r>
      <w:r w:rsidRPr="009B482F">
        <w:t xml:space="preserve"> him to reinforce his control over the bank. The </w:t>
      </w:r>
      <w:r>
        <w:t xml:space="preserve">Prime Minister’s Office issued </w:t>
      </w:r>
      <w:r w:rsidRPr="00193AAE">
        <w:rPr>
          <w:i/>
          <w:snapToGrid w:val="0"/>
        </w:rPr>
        <w:t>The Jordan Islamic Bank for Finance and Investment Act</w:t>
      </w:r>
      <w:r w:rsidRPr="009B482F">
        <w:rPr>
          <w:snapToGrid w:val="0"/>
        </w:rPr>
        <w:t xml:space="preserve"> </w:t>
      </w:r>
      <w:r>
        <w:rPr>
          <w:snapToGrid w:val="0"/>
        </w:rPr>
        <w:t xml:space="preserve">(Act </w:t>
      </w:r>
      <w:r w:rsidRPr="009B482F">
        <w:rPr>
          <w:snapToGrid w:val="0"/>
        </w:rPr>
        <w:t>No. 13, 1978</w:t>
      </w:r>
      <w:r>
        <w:rPr>
          <w:snapToGrid w:val="0"/>
        </w:rPr>
        <w:t>) as a temporary act (the act became permanent in 1985),</w:t>
      </w:r>
      <w:r w:rsidRPr="009B482F">
        <w:rPr>
          <w:snapToGrid w:val="0"/>
        </w:rPr>
        <w:t xml:space="preserve"> on</w:t>
      </w:r>
      <w:r>
        <w:rPr>
          <w:snapToGrid w:val="0"/>
        </w:rPr>
        <w:t xml:space="preserve"> the basis of</w:t>
      </w:r>
      <w:r w:rsidRPr="009B482F">
        <w:rPr>
          <w:snapToGrid w:val="0"/>
        </w:rPr>
        <w:t xml:space="preserve"> which the bank started operating on 22</w:t>
      </w:r>
      <w:r>
        <w:rPr>
          <w:snapToGrid w:val="0"/>
        </w:rPr>
        <w:t xml:space="preserve"> September </w:t>
      </w:r>
      <w:r w:rsidRPr="009B482F">
        <w:rPr>
          <w:snapToGrid w:val="0"/>
        </w:rPr>
        <w:t>1979.</w:t>
      </w:r>
    </w:p>
    <w:p w:rsidR="00631CC8" w:rsidRPr="00E64081" w:rsidRDefault="00631CC8" w:rsidP="006C5791">
      <w:pPr>
        <w:rPr>
          <w:snapToGrid w:val="0"/>
        </w:rPr>
      </w:pPr>
      <w:r>
        <w:rPr>
          <w:snapToGrid w:val="0"/>
        </w:rPr>
        <w:t xml:space="preserve">The main sources of disagreement related to the system by which the bank was to receive deposits and reward depositors, the role of religious auditors in the bank and the responsibility for paying </w:t>
      </w:r>
      <w:proofErr w:type="spellStart"/>
      <w:r>
        <w:rPr>
          <w:i/>
          <w:snapToGrid w:val="0"/>
        </w:rPr>
        <w:t>zakah</w:t>
      </w:r>
      <w:proofErr w:type="spellEnd"/>
      <w:r>
        <w:rPr>
          <w:snapToGrid w:val="0"/>
        </w:rPr>
        <w:t xml:space="preserve"> (a religious levy that all Muslims are required to pay).  These issues gave rise to different interpretations of what the </w:t>
      </w:r>
      <w:proofErr w:type="spellStart"/>
      <w:r w:rsidRPr="009A79BF">
        <w:rPr>
          <w:i/>
          <w:snapToGrid w:val="0"/>
        </w:rPr>
        <w:t>Shari’a</w:t>
      </w:r>
      <w:proofErr w:type="spellEnd"/>
      <w:r>
        <w:rPr>
          <w:snapToGrid w:val="0"/>
        </w:rPr>
        <w:t xml:space="preserve"> required, and provided </w:t>
      </w:r>
      <w:proofErr w:type="spellStart"/>
      <w:r>
        <w:rPr>
          <w:snapToGrid w:val="0"/>
        </w:rPr>
        <w:t>Hamoud</w:t>
      </w:r>
      <w:proofErr w:type="spellEnd"/>
      <w:r>
        <w:rPr>
          <w:snapToGrid w:val="0"/>
        </w:rPr>
        <w:t xml:space="preserve"> with </w:t>
      </w:r>
      <w:r>
        <w:rPr>
          <w:snapToGrid w:val="0"/>
        </w:rPr>
        <w:lastRenderedPageBreak/>
        <w:t xml:space="preserve">problems in developing the bank’s act along the lines he had envisaged.  The Committee also discussed the recognition and measurement of revenue, whether the bank’s financial year should be based on the Western solar year or the Islamic lunar year, and the social role of the bank.  To provide illustrations of how </w:t>
      </w:r>
      <w:proofErr w:type="spellStart"/>
      <w:r>
        <w:rPr>
          <w:snapToGrid w:val="0"/>
        </w:rPr>
        <w:t>Hamoud’s</w:t>
      </w:r>
      <w:proofErr w:type="spellEnd"/>
      <w:r>
        <w:rPr>
          <w:snapToGrid w:val="0"/>
        </w:rPr>
        <w:t xml:space="preserve"> personal values influenced the development of the bank’s special act, we consider three issues: the system for deposits, religious audit, and recognition and measurement of revenue.</w:t>
      </w:r>
    </w:p>
    <w:p w:rsidR="00631CC8" w:rsidRDefault="00631CC8" w:rsidP="00724F72">
      <w:pPr>
        <w:pStyle w:val="Heading3"/>
        <w:rPr>
          <w:rFonts w:cs="Times New Roman"/>
          <w:lang w:val="en-US"/>
        </w:rPr>
      </w:pPr>
      <w:bookmarkStart w:id="7" w:name="_Toc74316135"/>
      <w:bookmarkStart w:id="8" w:name="_Toc74381907"/>
      <w:bookmarkStart w:id="9" w:name="_Toc74570026"/>
      <w:bookmarkStart w:id="10" w:name="_Toc76909444"/>
      <w:r>
        <w:rPr>
          <w:rFonts w:cs="Times New Roman"/>
          <w:lang w:val="en-US"/>
        </w:rPr>
        <w:t xml:space="preserve">The </w:t>
      </w:r>
      <w:bookmarkEnd w:id="7"/>
      <w:bookmarkEnd w:id="8"/>
      <w:r>
        <w:rPr>
          <w:rFonts w:cs="Times New Roman"/>
          <w:lang w:val="en-US"/>
        </w:rPr>
        <w:t>System for Deposits</w:t>
      </w:r>
      <w:bookmarkEnd w:id="9"/>
      <w:bookmarkEnd w:id="10"/>
    </w:p>
    <w:p w:rsidR="00631CC8" w:rsidRDefault="00631CC8" w:rsidP="006B54F1">
      <w:pPr>
        <w:pStyle w:val="Firstpara"/>
      </w:pPr>
      <w:r>
        <w:rPr>
          <w:lang w:val="en-US"/>
        </w:rPr>
        <w:t>Islamic banks</w:t>
      </w:r>
      <w:r w:rsidRPr="005A6AEB">
        <w:t xml:space="preserve"> </w:t>
      </w:r>
      <w:r>
        <w:t>obtain funds from</w:t>
      </w:r>
      <w:r>
        <w:rPr>
          <w:lang w:val="en-US"/>
        </w:rPr>
        <w:t xml:space="preserve"> depositors mainly through the use of a developed form of the </w:t>
      </w:r>
      <w:proofErr w:type="spellStart"/>
      <w:r>
        <w:rPr>
          <w:i/>
          <w:lang w:val="en-US"/>
        </w:rPr>
        <w:t>m</w:t>
      </w:r>
      <w:r w:rsidRPr="005A6AEB">
        <w:rPr>
          <w:i/>
          <w:lang w:val="en-US"/>
        </w:rPr>
        <w:t>udaraba</w:t>
      </w:r>
      <w:proofErr w:type="spellEnd"/>
      <w:r>
        <w:rPr>
          <w:lang w:val="en-US"/>
        </w:rPr>
        <w:t xml:space="preserve"> contract. Funds are deposited in “investment accounts”, which represent</w:t>
      </w:r>
      <w:r w:rsidRPr="009B482F">
        <w:t xml:space="preserve"> the major source of funds for Islamic banks</w:t>
      </w:r>
      <w:r>
        <w:t xml:space="preserve"> (Al-</w:t>
      </w:r>
      <w:proofErr w:type="spellStart"/>
      <w:r>
        <w:t>Deehani</w:t>
      </w:r>
      <w:proofErr w:type="spellEnd"/>
      <w:r>
        <w:t xml:space="preserve"> </w:t>
      </w:r>
      <w:r w:rsidRPr="00F259DC">
        <w:rPr>
          <w:i/>
        </w:rPr>
        <w:t>et al</w:t>
      </w:r>
      <w:r>
        <w:t xml:space="preserve">, 1999, p. 249). However, the original form of </w:t>
      </w:r>
      <w:proofErr w:type="spellStart"/>
      <w:r>
        <w:rPr>
          <w:i/>
        </w:rPr>
        <w:t>m</w:t>
      </w:r>
      <w:r w:rsidRPr="00B66300">
        <w:rPr>
          <w:i/>
        </w:rPr>
        <w:t>udaraba</w:t>
      </w:r>
      <w:proofErr w:type="spellEnd"/>
      <w:r>
        <w:t xml:space="preserve"> contract included only two parties, the provider of the funds (</w:t>
      </w:r>
      <w:proofErr w:type="spellStart"/>
      <w:r w:rsidRPr="006B54F1">
        <w:rPr>
          <w:i/>
          <w:iCs/>
        </w:rPr>
        <w:t>rabb</w:t>
      </w:r>
      <w:proofErr w:type="spellEnd"/>
      <w:r w:rsidRPr="006B54F1">
        <w:rPr>
          <w:i/>
          <w:iCs/>
        </w:rPr>
        <w:t xml:space="preserve"> al-mal</w:t>
      </w:r>
      <w:r>
        <w:t xml:space="preserve">) and the </w:t>
      </w:r>
      <w:proofErr w:type="spellStart"/>
      <w:r>
        <w:rPr>
          <w:i/>
        </w:rPr>
        <w:t>m</w:t>
      </w:r>
      <w:r w:rsidRPr="00B66300">
        <w:rPr>
          <w:i/>
        </w:rPr>
        <w:t>udarib</w:t>
      </w:r>
      <w:proofErr w:type="spellEnd"/>
      <w:r>
        <w:t xml:space="preserve"> (the entrepreneur).  Because of the Islamic principle that no return should be earned without the assumption of risk, the traditional </w:t>
      </w:r>
      <w:proofErr w:type="spellStart"/>
      <w:r>
        <w:rPr>
          <w:i/>
        </w:rPr>
        <w:t>mudaraba</w:t>
      </w:r>
      <w:proofErr w:type="spellEnd"/>
      <w:r>
        <w:rPr>
          <w:i/>
        </w:rPr>
        <w:t xml:space="preserve"> </w:t>
      </w:r>
      <w:r>
        <w:t xml:space="preserve">contract stipulates that the </w:t>
      </w:r>
      <w:proofErr w:type="spellStart"/>
      <w:r>
        <w:rPr>
          <w:i/>
        </w:rPr>
        <w:t>m</w:t>
      </w:r>
      <w:r w:rsidRPr="00FF45ED">
        <w:rPr>
          <w:i/>
        </w:rPr>
        <w:t>udarib</w:t>
      </w:r>
      <w:proofErr w:type="spellEnd"/>
      <w:r>
        <w:t xml:space="preserve"> guarantees neither the funds provided by the investor nor any profits.  In addition, t</w:t>
      </w:r>
      <w:r w:rsidRPr="009B482F">
        <w:t xml:space="preserve">he profits </w:t>
      </w:r>
      <w:r>
        <w:t>generated from the investment of the funds are</w:t>
      </w:r>
      <w:r w:rsidRPr="009B482F">
        <w:t xml:space="preserve"> considered </w:t>
      </w:r>
      <w:r>
        <w:t xml:space="preserve">to be </w:t>
      </w:r>
      <w:r w:rsidRPr="009B482F">
        <w:t xml:space="preserve">a recovery </w:t>
      </w:r>
      <w:r>
        <w:t>o</w:t>
      </w:r>
      <w:r w:rsidRPr="009B482F">
        <w:t>f capital</w:t>
      </w:r>
      <w:r>
        <w:t xml:space="preserve"> rather than a return on capital, and</w:t>
      </w:r>
      <w:r w:rsidRPr="009B482F">
        <w:t xml:space="preserve"> cannot be distributed between the entrepreneur and the provider of capital before the liquidation of the investment (Abu-</w:t>
      </w:r>
      <w:proofErr w:type="spellStart"/>
      <w:r w:rsidRPr="009B482F">
        <w:t>Zaid</w:t>
      </w:r>
      <w:proofErr w:type="spellEnd"/>
      <w:r w:rsidRPr="009B482F">
        <w:t>, 1996</w:t>
      </w:r>
      <w:r>
        <w:t xml:space="preserve">, p. 43). </w:t>
      </w:r>
      <w:r w:rsidRPr="009B482F">
        <w:t xml:space="preserve"> </w:t>
      </w:r>
      <w:r>
        <w:t xml:space="preserve">This principle is referred to by Islamic scholars as </w:t>
      </w:r>
      <w:proofErr w:type="spellStart"/>
      <w:r>
        <w:rPr>
          <w:i/>
        </w:rPr>
        <w:t>t</w:t>
      </w:r>
      <w:r w:rsidRPr="00B66300">
        <w:rPr>
          <w:i/>
        </w:rPr>
        <w:t>andid</w:t>
      </w:r>
      <w:proofErr w:type="spellEnd"/>
      <w:r>
        <w:rPr>
          <w:i/>
        </w:rPr>
        <w:t>.</w:t>
      </w:r>
      <w:r>
        <w:t xml:space="preserve">  Furthermore, it is not permissible</w:t>
      </w:r>
      <w:r w:rsidRPr="009B482F">
        <w:t xml:space="preserve"> </w:t>
      </w:r>
      <w:r>
        <w:t>to mix</w:t>
      </w:r>
      <w:r w:rsidRPr="009B482F">
        <w:t xml:space="preserve"> different funds; </w:t>
      </w:r>
      <w:r>
        <w:t>for</w:t>
      </w:r>
      <w:r w:rsidRPr="009B482F">
        <w:t xml:space="preserve"> example, when two parties engage in</w:t>
      </w:r>
      <w:r>
        <w:t xml:space="preserve"> a</w:t>
      </w:r>
      <w:r w:rsidRPr="009B482F">
        <w:t xml:space="preserve"> </w:t>
      </w:r>
      <w:proofErr w:type="spellStart"/>
      <w:r>
        <w:rPr>
          <w:i/>
          <w:iCs/>
        </w:rPr>
        <w:t>m</w:t>
      </w:r>
      <w:r w:rsidRPr="009B482F">
        <w:rPr>
          <w:i/>
          <w:iCs/>
        </w:rPr>
        <w:t>udaraba</w:t>
      </w:r>
      <w:proofErr w:type="spellEnd"/>
      <w:r w:rsidRPr="009B482F">
        <w:t xml:space="preserve"> contract, a third party cannot join after the start of the project</w:t>
      </w:r>
      <w:r>
        <w:t>.</w:t>
      </w:r>
      <w:r>
        <w:rPr>
          <w:rStyle w:val="EndnoteReference"/>
        </w:rPr>
        <w:endnoteReference w:id="6"/>
      </w:r>
    </w:p>
    <w:p w:rsidR="00631CC8" w:rsidRPr="009B482F" w:rsidRDefault="00631CC8" w:rsidP="00F16D35">
      <w:r w:rsidRPr="009B482F">
        <w:rPr>
          <w:lang w:val="en-US"/>
        </w:rPr>
        <w:t>In the first draft of th</w:t>
      </w:r>
      <w:r>
        <w:rPr>
          <w:lang w:val="en-US"/>
        </w:rPr>
        <w:t xml:space="preserve">e act, </w:t>
      </w:r>
      <w:proofErr w:type="spellStart"/>
      <w:r w:rsidRPr="009B482F">
        <w:rPr>
          <w:lang w:val="en-US"/>
        </w:rPr>
        <w:t>H</w:t>
      </w:r>
      <w:r>
        <w:rPr>
          <w:lang w:val="en-US"/>
        </w:rPr>
        <w:t>a</w:t>
      </w:r>
      <w:r w:rsidRPr="009B482F">
        <w:rPr>
          <w:lang w:val="en-US"/>
        </w:rPr>
        <w:t>moud</w:t>
      </w:r>
      <w:proofErr w:type="spellEnd"/>
      <w:r w:rsidRPr="009B482F">
        <w:rPr>
          <w:lang w:val="en-US"/>
        </w:rPr>
        <w:t xml:space="preserve"> relaxed many restrictions and conditions of </w:t>
      </w:r>
      <w:r>
        <w:rPr>
          <w:lang w:val="en-US"/>
        </w:rPr>
        <w:t xml:space="preserve">the </w:t>
      </w:r>
      <w:r w:rsidRPr="009B482F">
        <w:rPr>
          <w:lang w:val="en-US"/>
        </w:rPr>
        <w:t xml:space="preserve">original form of </w:t>
      </w:r>
      <w:r>
        <w:rPr>
          <w:lang w:val="en-US"/>
        </w:rPr>
        <w:t xml:space="preserve">the </w:t>
      </w:r>
      <w:proofErr w:type="spellStart"/>
      <w:r>
        <w:rPr>
          <w:i/>
          <w:iCs/>
          <w:lang w:val="en-US"/>
        </w:rPr>
        <w:t>m</w:t>
      </w:r>
      <w:r w:rsidRPr="009B482F">
        <w:rPr>
          <w:i/>
          <w:iCs/>
          <w:lang w:val="en-US"/>
        </w:rPr>
        <w:t>udaraba</w:t>
      </w:r>
      <w:proofErr w:type="spellEnd"/>
      <w:r w:rsidRPr="009B482F">
        <w:rPr>
          <w:lang w:val="en-US"/>
        </w:rPr>
        <w:t xml:space="preserve"> contract in order to set </w:t>
      </w:r>
      <w:r>
        <w:rPr>
          <w:lang w:val="en-US"/>
        </w:rPr>
        <w:t xml:space="preserve">up </w:t>
      </w:r>
      <w:r w:rsidRPr="009B482F">
        <w:rPr>
          <w:lang w:val="en-US"/>
        </w:rPr>
        <w:t>a deposit system that</w:t>
      </w:r>
      <w:r>
        <w:rPr>
          <w:lang w:val="en-US"/>
        </w:rPr>
        <w:t xml:space="preserve"> he considered</w:t>
      </w:r>
      <w:r w:rsidRPr="009B482F">
        <w:rPr>
          <w:lang w:val="en-US"/>
        </w:rPr>
        <w:t xml:space="preserve"> c</w:t>
      </w:r>
      <w:r>
        <w:rPr>
          <w:lang w:val="en-US"/>
        </w:rPr>
        <w:t>ould</w:t>
      </w:r>
      <w:r w:rsidRPr="009B482F">
        <w:rPr>
          <w:lang w:val="en-US"/>
        </w:rPr>
        <w:t xml:space="preserve"> work as </w:t>
      </w:r>
      <w:r>
        <w:rPr>
          <w:lang w:val="en-US"/>
        </w:rPr>
        <w:t xml:space="preserve">the </w:t>
      </w:r>
      <w:r w:rsidRPr="009B482F">
        <w:rPr>
          <w:lang w:val="en-US"/>
        </w:rPr>
        <w:t>basis for sound Islamic banking</w:t>
      </w:r>
      <w:r>
        <w:rPr>
          <w:lang w:val="en-US"/>
        </w:rPr>
        <w:t>.</w:t>
      </w:r>
      <w:r>
        <w:rPr>
          <w:rStyle w:val="EndnoteReference"/>
          <w:lang w:val="en-US"/>
        </w:rPr>
        <w:endnoteReference w:id="7"/>
      </w:r>
      <w:r w:rsidRPr="009B482F">
        <w:rPr>
          <w:lang w:val="en-US"/>
        </w:rPr>
        <w:t xml:space="preserve"> </w:t>
      </w:r>
      <w:r>
        <w:rPr>
          <w:lang w:val="en-US"/>
        </w:rPr>
        <w:t xml:space="preserve"> </w:t>
      </w:r>
      <w:r w:rsidRPr="009B482F">
        <w:rPr>
          <w:lang w:val="en-US"/>
        </w:rPr>
        <w:t xml:space="preserve">However, one of the </w:t>
      </w:r>
      <w:r>
        <w:rPr>
          <w:lang w:val="en-US"/>
        </w:rPr>
        <w:t>relaxations</w:t>
      </w:r>
      <w:r w:rsidRPr="009B482F">
        <w:rPr>
          <w:lang w:val="en-US"/>
        </w:rPr>
        <w:t xml:space="preserve"> attracted </w:t>
      </w:r>
      <w:r>
        <w:rPr>
          <w:lang w:val="en-US"/>
        </w:rPr>
        <w:t xml:space="preserve">extensive debate.  This was the </w:t>
      </w:r>
      <w:r w:rsidRPr="009B482F">
        <w:rPr>
          <w:lang w:val="en-US"/>
        </w:rPr>
        <w:t>is</w:t>
      </w:r>
      <w:r>
        <w:rPr>
          <w:lang w:val="en-US"/>
        </w:rPr>
        <w:t>sue of</w:t>
      </w:r>
      <w:r w:rsidRPr="009B482F">
        <w:rPr>
          <w:lang w:val="en-US"/>
        </w:rPr>
        <w:t xml:space="preserve"> </w:t>
      </w:r>
      <w:r>
        <w:rPr>
          <w:lang w:val="en-US"/>
        </w:rPr>
        <w:t>whe</w:t>
      </w:r>
      <w:r w:rsidRPr="009B482F">
        <w:rPr>
          <w:lang w:val="en-US"/>
        </w:rPr>
        <w:t>the</w:t>
      </w:r>
      <w:r>
        <w:rPr>
          <w:lang w:val="en-US"/>
        </w:rPr>
        <w:t>r depositors’ funds were</w:t>
      </w:r>
      <w:r w:rsidRPr="009B482F">
        <w:rPr>
          <w:lang w:val="en-US"/>
        </w:rPr>
        <w:t xml:space="preserve"> guarantee</w:t>
      </w:r>
      <w:r>
        <w:rPr>
          <w:lang w:val="en-US"/>
        </w:rPr>
        <w:t>d</w:t>
      </w:r>
      <w:r w:rsidRPr="009B482F">
        <w:rPr>
          <w:lang w:val="en-US"/>
        </w:rPr>
        <w:t xml:space="preserve">.  </w:t>
      </w:r>
      <w:proofErr w:type="spellStart"/>
      <w:r w:rsidRPr="009B482F">
        <w:t>H</w:t>
      </w:r>
      <w:r>
        <w:t>a</w:t>
      </w:r>
      <w:r w:rsidRPr="009B482F">
        <w:t>moud</w:t>
      </w:r>
      <w:proofErr w:type="spellEnd"/>
      <w:r w:rsidRPr="009B482F">
        <w:t xml:space="preserve"> called for </w:t>
      </w:r>
      <w:r>
        <w:t>a</w:t>
      </w:r>
      <w:r w:rsidRPr="009B482F">
        <w:t xml:space="preserve"> guarantee of depositors’ funds, </w:t>
      </w:r>
      <w:r>
        <w:t xml:space="preserve">and </w:t>
      </w:r>
      <w:r w:rsidRPr="009B482F">
        <w:t xml:space="preserve">he based his opinion on religious </w:t>
      </w:r>
      <w:r>
        <w:t>reasoning</w:t>
      </w:r>
      <w:r w:rsidRPr="009B482F">
        <w:t xml:space="preserve">. </w:t>
      </w:r>
      <w:r>
        <w:t>He drew an</w:t>
      </w:r>
      <w:r w:rsidRPr="009B482F">
        <w:t xml:space="preserve"> analogy </w:t>
      </w:r>
      <w:r>
        <w:t>with “</w:t>
      </w:r>
      <w:proofErr w:type="spellStart"/>
      <w:r>
        <w:rPr>
          <w:i/>
        </w:rPr>
        <w:t>ajeer</w:t>
      </w:r>
      <w:proofErr w:type="spellEnd"/>
      <w:r>
        <w:rPr>
          <w:i/>
        </w:rPr>
        <w:t xml:space="preserve"> </w:t>
      </w:r>
      <w:proofErr w:type="spellStart"/>
      <w:r>
        <w:rPr>
          <w:i/>
        </w:rPr>
        <w:t>m</w:t>
      </w:r>
      <w:r w:rsidRPr="009B482F">
        <w:rPr>
          <w:i/>
        </w:rPr>
        <w:t>ushtarak</w:t>
      </w:r>
      <w:proofErr w:type="spellEnd"/>
      <w:r>
        <w:t>”,</w:t>
      </w:r>
      <w:r w:rsidRPr="009B482F">
        <w:t xml:space="preserve"> a provider of </w:t>
      </w:r>
      <w:r>
        <w:t xml:space="preserve">a </w:t>
      </w:r>
      <w:r w:rsidRPr="009B482F">
        <w:t xml:space="preserve">service such as laundry, who is liable, from </w:t>
      </w:r>
      <w:r>
        <w:t xml:space="preserve">an </w:t>
      </w:r>
      <w:r w:rsidRPr="009B482F">
        <w:t xml:space="preserve">Islamic perspective, to </w:t>
      </w:r>
      <w:r>
        <w:t xml:space="preserve">keep and </w:t>
      </w:r>
      <w:r w:rsidRPr="009B482F">
        <w:t>return what he is working on in safe</w:t>
      </w:r>
      <w:r>
        <w:t xml:space="preserve"> condition</w:t>
      </w:r>
      <w:r w:rsidRPr="009B482F">
        <w:t>.</w:t>
      </w:r>
      <w:r>
        <w:t xml:space="preserve">  </w:t>
      </w:r>
      <w:proofErr w:type="spellStart"/>
      <w:r>
        <w:t>Hamoud</w:t>
      </w:r>
      <w:proofErr w:type="spellEnd"/>
      <w:r>
        <w:t xml:space="preserve"> suggested that the bank should also be liable to keep and return a customer’s deposit in safe condition. </w:t>
      </w:r>
      <w:r w:rsidRPr="009B482F">
        <w:t xml:space="preserve"> </w:t>
      </w:r>
      <w:r>
        <w:t xml:space="preserve">To achieve this, </w:t>
      </w:r>
      <w:proofErr w:type="spellStart"/>
      <w:r>
        <w:t>Hamoud</w:t>
      </w:r>
      <w:proofErr w:type="spellEnd"/>
      <w:r w:rsidRPr="009B482F">
        <w:t xml:space="preserve"> suggested the creation of </w:t>
      </w:r>
      <w:r>
        <w:t xml:space="preserve">an </w:t>
      </w:r>
      <w:r w:rsidRPr="009B482F">
        <w:t xml:space="preserve">Investment Risk Provision to cover </w:t>
      </w:r>
      <w:r>
        <w:t>any</w:t>
      </w:r>
      <w:r w:rsidRPr="009B482F">
        <w:t xml:space="preserve"> losses incurred in investing the depositors’ funds in investment accounts. This provision </w:t>
      </w:r>
      <w:r>
        <w:t>was to be created by setting aside</w:t>
      </w:r>
      <w:r w:rsidRPr="009B482F">
        <w:t xml:space="preserve"> 20</w:t>
      </w:r>
      <w:r>
        <w:t xml:space="preserve"> percent</w:t>
      </w:r>
      <w:r w:rsidRPr="009B482F">
        <w:t xml:space="preserve"> of the </w:t>
      </w:r>
      <w:r>
        <w:t xml:space="preserve">profits made from </w:t>
      </w:r>
      <w:r w:rsidRPr="009B482F">
        <w:t>invest</w:t>
      </w:r>
      <w:r>
        <w:t>ing customers’ deposits</w:t>
      </w:r>
      <w:r w:rsidRPr="009B482F">
        <w:t xml:space="preserve"> every year.</w:t>
      </w:r>
      <w:r>
        <w:t xml:space="preserve"> </w:t>
      </w:r>
      <w:r w:rsidRPr="009B482F">
        <w:t xml:space="preserve"> In </w:t>
      </w:r>
      <w:r>
        <w:t xml:space="preserve">the unlikely </w:t>
      </w:r>
      <w:r w:rsidRPr="009B482F">
        <w:t xml:space="preserve">case that losses exceeded what </w:t>
      </w:r>
      <w:r>
        <w:t>wa</w:t>
      </w:r>
      <w:r w:rsidRPr="009B482F">
        <w:t xml:space="preserve">s accumulated in the provision, the </w:t>
      </w:r>
      <w:r>
        <w:t xml:space="preserve">bank’s </w:t>
      </w:r>
      <w:r w:rsidRPr="009B482F">
        <w:t>shareholders</w:t>
      </w:r>
      <w:r>
        <w:t xml:space="preserve"> rather than customers</w:t>
      </w:r>
      <w:r w:rsidRPr="009B482F">
        <w:t xml:space="preserve"> </w:t>
      </w:r>
      <w:r>
        <w:t xml:space="preserve">would </w:t>
      </w:r>
      <w:r w:rsidRPr="009B482F">
        <w:t>bear the losses</w:t>
      </w:r>
      <w:r>
        <w:t>.  T</w:t>
      </w:r>
      <w:r w:rsidRPr="009B482F">
        <w:t xml:space="preserve">hus, </w:t>
      </w:r>
      <w:r>
        <w:t>customers’ deposits were effectively guaranteed.</w:t>
      </w:r>
      <w:r w:rsidRPr="009B482F">
        <w:t xml:space="preserve"> The </w:t>
      </w:r>
      <w:r w:rsidRPr="009B482F">
        <w:lastRenderedPageBreak/>
        <w:t xml:space="preserve">first draft </w:t>
      </w:r>
      <w:r>
        <w:t>of the act set this out in Article 22 (see Appendix I).  In addition, A</w:t>
      </w:r>
      <w:r w:rsidRPr="009B482F">
        <w:t>rticle 23</w:t>
      </w:r>
      <w:r>
        <w:t xml:space="preserve"> of the first draft</w:t>
      </w:r>
      <w:r w:rsidRPr="009B482F">
        <w:t xml:space="preserve"> suggested that in case of liquidation, the depositors </w:t>
      </w:r>
      <w:r>
        <w:t xml:space="preserve">would </w:t>
      </w:r>
      <w:r w:rsidRPr="009B482F">
        <w:t>have priority over the shareholders.</w:t>
      </w:r>
      <w:r>
        <w:t xml:space="preserve"> </w:t>
      </w:r>
      <w:r w:rsidRPr="009B482F">
        <w:t xml:space="preserve"> </w:t>
      </w:r>
      <w:r>
        <w:t>Although there was no</w:t>
      </w:r>
      <w:r w:rsidRPr="009B482F">
        <w:t xml:space="preserve"> explicit reference to </w:t>
      </w:r>
      <w:r>
        <w:t>a</w:t>
      </w:r>
      <w:r w:rsidRPr="009B482F">
        <w:t xml:space="preserve"> guarantee in the first draft, </w:t>
      </w:r>
      <w:r>
        <w:t>the existence of a guarantee</w:t>
      </w:r>
      <w:r w:rsidRPr="009B482F">
        <w:t xml:space="preserve"> was impl</w:t>
      </w:r>
      <w:r>
        <w:t>ied,</w:t>
      </w:r>
      <w:r w:rsidRPr="009B482F">
        <w:t xml:space="preserve"> and was mentioned </w:t>
      </w:r>
      <w:r w:rsidRPr="004967F4">
        <w:t>explicitly</w:t>
      </w:r>
      <w:r w:rsidRPr="009B482F">
        <w:t xml:space="preserve"> in the </w:t>
      </w:r>
      <w:r>
        <w:t>accompanying</w:t>
      </w:r>
      <w:r w:rsidRPr="009B482F">
        <w:t xml:space="preserve"> explanatory notes.  </w:t>
      </w:r>
    </w:p>
    <w:p w:rsidR="00631CC8" w:rsidRDefault="00631CC8" w:rsidP="00BB0776">
      <w:r>
        <w:t xml:space="preserve">While </w:t>
      </w:r>
      <w:proofErr w:type="spellStart"/>
      <w:r>
        <w:t>Hamoud</w:t>
      </w:r>
      <w:proofErr w:type="spellEnd"/>
      <w:r>
        <w:t xml:space="preserve"> was able to present religious grounds for his proposals, these were also affected by pragmatic considerations: </w:t>
      </w:r>
      <w:proofErr w:type="spellStart"/>
      <w:r>
        <w:t>Hamoud</w:t>
      </w:r>
      <w:proofErr w:type="spellEnd"/>
      <w:r>
        <w:t xml:space="preserve"> wanted</w:t>
      </w:r>
      <w:r w:rsidRPr="009B482F">
        <w:t xml:space="preserve"> to have a deposit system th</w:t>
      </w:r>
      <w:r>
        <w:t>at could</w:t>
      </w:r>
      <w:r w:rsidRPr="009B482F">
        <w:t xml:space="preserve"> operate in an environment do</w:t>
      </w:r>
      <w:r>
        <w:t>minated by conventional banking.  In introducing this deposit system, he argued (in the notes accompanying the first draft of the act):</w:t>
      </w:r>
    </w:p>
    <w:p w:rsidR="00631CC8" w:rsidRPr="00F36243" w:rsidRDefault="00631CC8" w:rsidP="00F36243">
      <w:pPr>
        <w:pStyle w:val="Indenttext"/>
      </w:pPr>
      <w:r>
        <w:t>The j</w:t>
      </w:r>
      <w:r w:rsidRPr="00F36243">
        <w:t xml:space="preserve">oint </w:t>
      </w:r>
      <w:proofErr w:type="spellStart"/>
      <w:r>
        <w:rPr>
          <w:i/>
        </w:rPr>
        <w:t>m</w:t>
      </w:r>
      <w:r w:rsidRPr="00F36243">
        <w:rPr>
          <w:i/>
        </w:rPr>
        <w:t>udaraba</w:t>
      </w:r>
      <w:proofErr w:type="spellEnd"/>
      <w:r w:rsidRPr="00F36243">
        <w:t xml:space="preserve"> allows the Islamic bank to compete with</w:t>
      </w:r>
      <w:r>
        <w:t xml:space="preserve"> a</w:t>
      </w:r>
      <w:r w:rsidRPr="00F36243">
        <w:t xml:space="preserve"> </w:t>
      </w:r>
      <w:proofErr w:type="spellStart"/>
      <w:r>
        <w:rPr>
          <w:i/>
        </w:rPr>
        <w:t>r</w:t>
      </w:r>
      <w:r w:rsidRPr="00F36243">
        <w:rPr>
          <w:i/>
        </w:rPr>
        <w:t>iba</w:t>
      </w:r>
      <w:proofErr w:type="spellEnd"/>
      <w:r>
        <w:rPr>
          <w:i/>
        </w:rPr>
        <w:t xml:space="preserve"> </w:t>
      </w:r>
      <w:r>
        <w:rPr>
          <w:iCs/>
        </w:rPr>
        <w:t>[i.e., interest-paying]</w:t>
      </w:r>
      <w:r w:rsidRPr="00F36243">
        <w:t xml:space="preserve"> bank and allows it to operate in the market efficiently and systematically. </w:t>
      </w:r>
      <w:r>
        <w:t xml:space="preserve"> </w:t>
      </w:r>
      <w:r w:rsidRPr="00F36243">
        <w:t>There is nothing</w:t>
      </w:r>
      <w:r>
        <w:t xml:space="preserve"> to</w:t>
      </w:r>
      <w:r w:rsidRPr="00F36243">
        <w:t xml:space="preserve"> prevent benefiting the people from the joint work in guaranteeing their capital.</w:t>
      </w:r>
    </w:p>
    <w:p w:rsidR="00631CC8" w:rsidRPr="009B482F" w:rsidRDefault="00631CC8" w:rsidP="006B54F1">
      <w:pPr>
        <w:ind w:firstLine="0"/>
      </w:pPr>
      <w:r w:rsidRPr="009B482F">
        <w:t>In a</w:t>
      </w:r>
      <w:r>
        <w:t>n</w:t>
      </w:r>
      <w:r w:rsidRPr="009B482F">
        <w:t xml:space="preserve"> interview with the f</w:t>
      </w:r>
      <w:r>
        <w:t>irst author</w:t>
      </w:r>
      <w:r w:rsidRPr="009B482F">
        <w:t xml:space="preserve">, </w:t>
      </w:r>
      <w:proofErr w:type="spellStart"/>
      <w:r>
        <w:t>Hamoud</w:t>
      </w:r>
      <w:proofErr w:type="spellEnd"/>
      <w:r>
        <w:t xml:space="preserve"> observed:</w:t>
      </w:r>
    </w:p>
    <w:p w:rsidR="00631CC8" w:rsidRDefault="00631CC8" w:rsidP="00F36243">
      <w:pPr>
        <w:pStyle w:val="Indenttext"/>
      </w:pPr>
      <w:r w:rsidRPr="0099245E">
        <w:t>I argued with them (the Fatwa Committee) that</w:t>
      </w:r>
      <w:r>
        <w:t>,</w:t>
      </w:r>
      <w:r w:rsidRPr="0099245E">
        <w:t xml:space="preserve"> if the bank does not guarantee the deposits, the bank may become careless about the people’s funds, and the Islamic bank’s reputation will be harmed, and no one will deal with the bank</w:t>
      </w:r>
      <w:r>
        <w:t>.</w:t>
      </w:r>
      <w:r w:rsidRPr="0099245E">
        <w:t xml:space="preserve"> </w:t>
      </w:r>
      <w:r>
        <w:t>(</w:t>
      </w:r>
      <w:r w:rsidRPr="0099245E">
        <w:t>Interview</w:t>
      </w:r>
      <w:r>
        <w:t xml:space="preserve"> </w:t>
      </w:r>
      <w:r w:rsidRPr="0099245E">
        <w:t xml:space="preserve">with Dr Sami </w:t>
      </w:r>
      <w:proofErr w:type="spellStart"/>
      <w:r w:rsidRPr="0099245E">
        <w:t>H</w:t>
      </w:r>
      <w:r>
        <w:t>a</w:t>
      </w:r>
      <w:r w:rsidRPr="0099245E">
        <w:t>moud</w:t>
      </w:r>
      <w:proofErr w:type="spellEnd"/>
      <w:r w:rsidRPr="0099245E">
        <w:t>, Dubai, 25</w:t>
      </w:r>
      <w:r>
        <w:t xml:space="preserve"> December </w:t>
      </w:r>
      <w:r w:rsidRPr="0099245E">
        <w:t>2002</w:t>
      </w:r>
      <w:r>
        <w:t>)</w:t>
      </w:r>
    </w:p>
    <w:p w:rsidR="00631CC8" w:rsidRPr="006B54F1" w:rsidRDefault="00631CC8" w:rsidP="00517BAF">
      <w:pPr>
        <w:pStyle w:val="Firstpara"/>
      </w:pPr>
      <w:r>
        <w:t xml:space="preserve">We can observe here the potential conflict in </w:t>
      </w:r>
      <w:proofErr w:type="spellStart"/>
      <w:r>
        <w:t>Hamoud’s</w:t>
      </w:r>
      <w:proofErr w:type="spellEnd"/>
      <w:r>
        <w:t xml:space="preserve"> values.  The new bank had to be both economically viable and </w:t>
      </w:r>
      <w:proofErr w:type="spellStart"/>
      <w:proofErr w:type="gramStart"/>
      <w:r>
        <w:t>Islamically</w:t>
      </w:r>
      <w:proofErr w:type="spellEnd"/>
      <w:proofErr w:type="gramEnd"/>
      <w:r>
        <w:t xml:space="preserve"> pure.  Economic viability required the bank to be competitive with conventional banks, and </w:t>
      </w:r>
      <w:proofErr w:type="spellStart"/>
      <w:r>
        <w:t>Hamoud</w:t>
      </w:r>
      <w:proofErr w:type="spellEnd"/>
      <w:r>
        <w:t xml:space="preserve"> believed that depositors in Islamic banks would not be willing to bear more risk than those in conventional banks.  </w:t>
      </w:r>
      <w:proofErr w:type="spellStart"/>
      <w:r>
        <w:t>Hamoud</w:t>
      </w:r>
      <w:proofErr w:type="spellEnd"/>
      <w:r>
        <w:t xml:space="preserve"> saw the “agency” problem as being exacerbated in an Islamic bank unless deposits were </w:t>
      </w:r>
      <w:r>
        <w:rPr>
          <w:i/>
          <w:iCs/>
        </w:rPr>
        <w:t>de facto</w:t>
      </w:r>
      <w:r>
        <w:t xml:space="preserve"> guaranteed, but this contradicted the principle that the bank’s transactions were </w:t>
      </w:r>
      <w:proofErr w:type="spellStart"/>
      <w:r w:rsidRPr="009A79BF">
        <w:rPr>
          <w:i/>
          <w:iCs/>
        </w:rPr>
        <w:t>Shari’a</w:t>
      </w:r>
      <w:proofErr w:type="spellEnd"/>
      <w:r>
        <w:t xml:space="preserve">-compliant.  Hence structures needed to be created that placated the Islamic scholars who would report on whether the bank’s arrangements were </w:t>
      </w:r>
      <w:proofErr w:type="spellStart"/>
      <w:r w:rsidRPr="009A79BF">
        <w:rPr>
          <w:i/>
          <w:iCs/>
        </w:rPr>
        <w:t>Shari’a</w:t>
      </w:r>
      <w:proofErr w:type="spellEnd"/>
      <w:r>
        <w:t xml:space="preserve">-compliant while at the same time satisfying what </w:t>
      </w:r>
      <w:proofErr w:type="spellStart"/>
      <w:r>
        <w:t>Hamoud</w:t>
      </w:r>
      <w:proofErr w:type="spellEnd"/>
      <w:r>
        <w:t xml:space="preserve"> perceived to be the demands of potential depositors. </w:t>
      </w:r>
    </w:p>
    <w:p w:rsidR="00631CC8" w:rsidRDefault="00631CC8" w:rsidP="006C5791">
      <w:r w:rsidRPr="009B482F">
        <w:t>Th</w:t>
      </w:r>
      <w:r>
        <w:t xml:space="preserve">e implied guarantee </w:t>
      </w:r>
      <w:r w:rsidRPr="00D54CC4">
        <w:t xml:space="preserve">of </w:t>
      </w:r>
      <w:proofErr w:type="spellStart"/>
      <w:r>
        <w:rPr>
          <w:i/>
        </w:rPr>
        <w:t>m</w:t>
      </w:r>
      <w:r w:rsidRPr="00D54CC4">
        <w:rPr>
          <w:i/>
        </w:rPr>
        <w:t>udaraba</w:t>
      </w:r>
      <w:proofErr w:type="spellEnd"/>
      <w:r>
        <w:t xml:space="preserve"> deposits</w:t>
      </w:r>
      <w:r w:rsidRPr="009B482F">
        <w:t xml:space="preserve"> attracted strong critic</w:t>
      </w:r>
      <w:r>
        <w:t>ism</w:t>
      </w:r>
      <w:r w:rsidRPr="009B482F">
        <w:t xml:space="preserve">s from members of </w:t>
      </w:r>
      <w:r>
        <w:t xml:space="preserve">the </w:t>
      </w:r>
      <w:r w:rsidRPr="009B482F">
        <w:t>F</w:t>
      </w:r>
      <w:r>
        <w:t xml:space="preserve">atwa </w:t>
      </w:r>
      <w:r w:rsidRPr="009B482F">
        <w:t>C</w:t>
      </w:r>
      <w:r>
        <w:t>ommittee</w:t>
      </w:r>
      <w:r w:rsidRPr="009B482F">
        <w:t xml:space="preserve"> and other scholars to the extent that some people accused </w:t>
      </w:r>
      <w:proofErr w:type="spellStart"/>
      <w:r w:rsidRPr="009B482F">
        <w:t>H</w:t>
      </w:r>
      <w:r>
        <w:t>a</w:t>
      </w:r>
      <w:r w:rsidRPr="009B482F">
        <w:t>moud</w:t>
      </w:r>
      <w:proofErr w:type="spellEnd"/>
      <w:r w:rsidRPr="009B482F">
        <w:t xml:space="preserve"> of blasphemy. </w:t>
      </w:r>
      <w:r>
        <w:t xml:space="preserve"> </w:t>
      </w:r>
      <w:r w:rsidRPr="009B482F">
        <w:t xml:space="preserve">The members of </w:t>
      </w:r>
      <w:r>
        <w:t>the Committee</w:t>
      </w:r>
      <w:r w:rsidRPr="009B482F">
        <w:t xml:space="preserve"> spent </w:t>
      </w:r>
      <w:r>
        <w:t xml:space="preserve">a </w:t>
      </w:r>
      <w:r w:rsidRPr="009B482F">
        <w:t xml:space="preserve">long time discussing this issue, and returned to the original </w:t>
      </w:r>
      <w:r>
        <w:t xml:space="preserve">religious references used by </w:t>
      </w:r>
      <w:proofErr w:type="spellStart"/>
      <w:r w:rsidRPr="009B482F">
        <w:t>H</w:t>
      </w:r>
      <w:r>
        <w:t>a</w:t>
      </w:r>
      <w:r w:rsidRPr="009B482F">
        <w:t>moud</w:t>
      </w:r>
      <w:proofErr w:type="spellEnd"/>
      <w:r w:rsidRPr="009B482F">
        <w:t xml:space="preserve"> in </w:t>
      </w:r>
      <w:r>
        <w:t>supporting his proposals</w:t>
      </w:r>
      <w:r w:rsidRPr="009B482F">
        <w:t xml:space="preserve">. </w:t>
      </w:r>
      <w:r>
        <w:t xml:space="preserve"> Members</w:t>
      </w:r>
      <w:r w:rsidRPr="009B482F">
        <w:t xml:space="preserve"> of the </w:t>
      </w:r>
      <w:r>
        <w:t>C</w:t>
      </w:r>
      <w:r w:rsidRPr="009B482F">
        <w:t xml:space="preserve">ommittee </w:t>
      </w:r>
      <w:r>
        <w:t>argued that the analogy with</w:t>
      </w:r>
      <w:r w:rsidRPr="009B482F">
        <w:t xml:space="preserve"> </w:t>
      </w:r>
      <w:proofErr w:type="spellStart"/>
      <w:r>
        <w:rPr>
          <w:i/>
          <w:iCs/>
        </w:rPr>
        <w:t>ajeer</w:t>
      </w:r>
      <w:proofErr w:type="spellEnd"/>
      <w:r>
        <w:rPr>
          <w:i/>
          <w:iCs/>
        </w:rPr>
        <w:t xml:space="preserve"> </w:t>
      </w:r>
      <w:proofErr w:type="spellStart"/>
      <w:r>
        <w:rPr>
          <w:i/>
          <w:iCs/>
        </w:rPr>
        <w:t>m</w:t>
      </w:r>
      <w:r w:rsidRPr="009B482F">
        <w:rPr>
          <w:i/>
          <w:iCs/>
        </w:rPr>
        <w:t>ushtarak</w:t>
      </w:r>
      <w:proofErr w:type="spellEnd"/>
      <w:r>
        <w:rPr>
          <w:iCs/>
        </w:rPr>
        <w:t xml:space="preserve"> did not hold</w:t>
      </w:r>
      <w:r w:rsidRPr="009B482F">
        <w:t>.</w:t>
      </w:r>
      <w:r>
        <w:t xml:space="preserve"> </w:t>
      </w:r>
      <w:r w:rsidRPr="009B482F">
        <w:t xml:space="preserve"> </w:t>
      </w:r>
      <w:r>
        <w:t xml:space="preserve">They </w:t>
      </w:r>
      <w:r>
        <w:lastRenderedPageBreak/>
        <w:t>appealed to</w:t>
      </w:r>
      <w:r w:rsidRPr="009B482F">
        <w:t xml:space="preserve"> the original form of </w:t>
      </w:r>
      <w:proofErr w:type="spellStart"/>
      <w:r>
        <w:rPr>
          <w:i/>
          <w:iCs/>
        </w:rPr>
        <w:t>m</w:t>
      </w:r>
      <w:r w:rsidRPr="009B482F">
        <w:rPr>
          <w:i/>
          <w:iCs/>
        </w:rPr>
        <w:t>udaraba</w:t>
      </w:r>
      <w:proofErr w:type="spellEnd"/>
      <w:r w:rsidRPr="009B482F">
        <w:rPr>
          <w:i/>
          <w:iCs/>
        </w:rPr>
        <w:t xml:space="preserve">, </w:t>
      </w:r>
      <w:r w:rsidRPr="009B482F">
        <w:t xml:space="preserve">which requires no guarantee for the </w:t>
      </w:r>
      <w:r>
        <w:t>investor’s funds</w:t>
      </w:r>
      <w:r w:rsidRPr="009B482F">
        <w:t xml:space="preserve">. </w:t>
      </w:r>
      <w:r>
        <w:t xml:space="preserve"> Although they were prepared to accept</w:t>
      </w:r>
      <w:r w:rsidRPr="009B482F">
        <w:t xml:space="preserve"> the relaxation of other conditions in</w:t>
      </w:r>
      <w:r>
        <w:t xml:space="preserve"> the traditional</w:t>
      </w:r>
      <w:r w:rsidRPr="009B482F">
        <w:t xml:space="preserve"> </w:t>
      </w:r>
      <w:proofErr w:type="spellStart"/>
      <w:r>
        <w:rPr>
          <w:i/>
          <w:iCs/>
        </w:rPr>
        <w:t>m</w:t>
      </w:r>
      <w:r w:rsidRPr="009B482F">
        <w:rPr>
          <w:i/>
          <w:iCs/>
        </w:rPr>
        <w:t>udaraba</w:t>
      </w:r>
      <w:proofErr w:type="spellEnd"/>
      <w:r w:rsidRPr="009B482F">
        <w:t xml:space="preserve"> contract, they did not accept the </w:t>
      </w:r>
      <w:r>
        <w:t>implicit</w:t>
      </w:r>
      <w:r w:rsidRPr="009B482F">
        <w:t xml:space="preserve"> guarantee</w:t>
      </w:r>
      <w:r>
        <w:t>, considering that this</w:t>
      </w:r>
      <w:r w:rsidRPr="009B482F">
        <w:t xml:space="preserve"> would make the </w:t>
      </w:r>
      <w:proofErr w:type="spellStart"/>
      <w:r>
        <w:rPr>
          <w:i/>
          <w:iCs/>
        </w:rPr>
        <w:t>m</w:t>
      </w:r>
      <w:r w:rsidRPr="009B482F">
        <w:rPr>
          <w:i/>
          <w:iCs/>
        </w:rPr>
        <w:t>udaraba</w:t>
      </w:r>
      <w:proofErr w:type="spellEnd"/>
      <w:r w:rsidRPr="009B482F">
        <w:t xml:space="preserve"> deposits the same as the deposits in conventional banks. </w:t>
      </w:r>
      <w:r>
        <w:t xml:space="preserve"> </w:t>
      </w:r>
      <w:proofErr w:type="spellStart"/>
      <w:r w:rsidRPr="009B482F">
        <w:t>H</w:t>
      </w:r>
      <w:r>
        <w:t>a</w:t>
      </w:r>
      <w:r w:rsidRPr="009B482F">
        <w:t>moud</w:t>
      </w:r>
      <w:proofErr w:type="spellEnd"/>
      <w:r w:rsidRPr="009B482F">
        <w:t xml:space="preserve"> </w:t>
      </w:r>
      <w:r>
        <w:t xml:space="preserve">came to </w:t>
      </w:r>
      <w:r w:rsidRPr="009B482F">
        <w:t>a</w:t>
      </w:r>
      <w:r>
        <w:t>ccept</w:t>
      </w:r>
      <w:r w:rsidRPr="009B482F">
        <w:t xml:space="preserve"> the religious opinion of the </w:t>
      </w:r>
      <w:r>
        <w:t>C</w:t>
      </w:r>
      <w:r w:rsidRPr="009B482F">
        <w:t xml:space="preserve">ommittee. The </w:t>
      </w:r>
      <w:r>
        <w:t>a</w:t>
      </w:r>
      <w:r w:rsidRPr="009B482F">
        <w:t xml:space="preserve">ct in its final form, which was approved by </w:t>
      </w:r>
      <w:r>
        <w:t xml:space="preserve">the Fatwa Committee </w:t>
      </w:r>
      <w:r w:rsidRPr="009B482F">
        <w:t>and later by the government, explicit</w:t>
      </w:r>
      <w:r>
        <w:t>ly</w:t>
      </w:r>
      <w:r w:rsidRPr="009B482F">
        <w:t xml:space="preserve"> </w:t>
      </w:r>
      <w:r>
        <w:t>referred</w:t>
      </w:r>
      <w:r w:rsidRPr="009B482F">
        <w:t xml:space="preserve"> to the deposits as not guaranteed</w:t>
      </w:r>
      <w:r>
        <w:t xml:space="preserve"> (see Appendix I)</w:t>
      </w:r>
      <w:r w:rsidRPr="009B482F">
        <w:t xml:space="preserve">. </w:t>
      </w:r>
    </w:p>
    <w:p w:rsidR="00631CC8" w:rsidRPr="009B482F" w:rsidRDefault="00631CC8" w:rsidP="00517BAF">
      <w:pPr>
        <w:rPr>
          <w:lang w:val="en-US"/>
        </w:rPr>
      </w:pPr>
      <w:r w:rsidRPr="009B482F">
        <w:t>Despite the</w:t>
      </w:r>
      <w:r>
        <w:t xml:space="preserve"> inclusion of a </w:t>
      </w:r>
      <w:r w:rsidRPr="009B482F">
        <w:t xml:space="preserve">reference </w:t>
      </w:r>
      <w:r>
        <w:t xml:space="preserve">that deposits were not </w:t>
      </w:r>
      <w:r w:rsidRPr="009B482F">
        <w:t>guarantee</w:t>
      </w:r>
      <w:r>
        <w:t>d</w:t>
      </w:r>
      <w:r w:rsidRPr="009B482F">
        <w:t xml:space="preserve">, the </w:t>
      </w:r>
      <w:r>
        <w:t>C</w:t>
      </w:r>
      <w:r w:rsidRPr="009B482F">
        <w:t>ommittee had</w:t>
      </w:r>
      <w:r>
        <w:t xml:space="preserve">, as a result of pressure from </w:t>
      </w:r>
      <w:proofErr w:type="spellStart"/>
      <w:r>
        <w:t>Hamoud</w:t>
      </w:r>
      <w:proofErr w:type="spellEnd"/>
      <w:r>
        <w:t>,</w:t>
      </w:r>
      <w:r w:rsidRPr="009B482F">
        <w:t xml:space="preserve"> taken many steps to </w:t>
      </w:r>
      <w:r>
        <w:t>e</w:t>
      </w:r>
      <w:r w:rsidRPr="009B482F">
        <w:t>nsure that depositors w</w:t>
      </w:r>
      <w:r>
        <w:t>ould</w:t>
      </w:r>
      <w:r w:rsidRPr="009B482F">
        <w:t xml:space="preserve"> not reach the stage of losing their deposits, such as creating the investment risk provision and </w:t>
      </w:r>
      <w:r>
        <w:t xml:space="preserve">allowing for </w:t>
      </w:r>
      <w:r w:rsidRPr="009B482F">
        <w:t>revaluation of investments financed by joint investment accounts.</w:t>
      </w:r>
      <w:r>
        <w:t xml:space="preserve">  Even though there were no statutory provisions for accounting measurement in any Jordanian act, and no specific accounting standards in force in Jordan in the late 1970s,</w:t>
      </w:r>
      <w:r w:rsidRPr="00FE66FA">
        <w:t xml:space="preserve"> </w:t>
      </w:r>
      <w:r>
        <w:t>r</w:t>
      </w:r>
      <w:r w:rsidRPr="009B482F">
        <w:t>evaluation</w:t>
      </w:r>
      <w:r>
        <w:t xml:space="preserve"> </w:t>
      </w:r>
      <w:r w:rsidRPr="009B482F">
        <w:t xml:space="preserve">of assets was considered a revolutionary accounting </w:t>
      </w:r>
      <w:r>
        <w:t>approach,</w:t>
      </w:r>
      <w:r w:rsidRPr="009B482F">
        <w:t xml:space="preserve"> as historical cost was the only </w:t>
      </w:r>
      <w:r>
        <w:t>valuation method then acceptable in practice to Jordanian accountants</w:t>
      </w:r>
      <w:r w:rsidRPr="009B482F">
        <w:t>.</w:t>
      </w:r>
      <w:r w:rsidRPr="009B482F">
        <w:rPr>
          <w:lang w:val="en-US"/>
        </w:rPr>
        <w:t xml:space="preserve"> </w:t>
      </w:r>
      <w:r>
        <w:rPr>
          <w:lang w:val="en-US"/>
        </w:rPr>
        <w:t xml:space="preserve"> </w:t>
      </w:r>
      <w:r w:rsidRPr="009B482F">
        <w:rPr>
          <w:lang w:val="en-US"/>
        </w:rPr>
        <w:t>However, despite th</w:t>
      </w:r>
      <w:r>
        <w:rPr>
          <w:lang w:val="en-US"/>
        </w:rPr>
        <w:t>e compromise between</w:t>
      </w:r>
      <w:r w:rsidRPr="009B482F">
        <w:rPr>
          <w:lang w:val="en-US"/>
        </w:rPr>
        <w:t xml:space="preserve"> the F</w:t>
      </w:r>
      <w:r>
        <w:rPr>
          <w:lang w:val="en-US"/>
        </w:rPr>
        <w:t xml:space="preserve">atwa </w:t>
      </w:r>
      <w:r w:rsidRPr="009B482F">
        <w:rPr>
          <w:lang w:val="en-US"/>
        </w:rPr>
        <w:t>C</w:t>
      </w:r>
      <w:r>
        <w:rPr>
          <w:lang w:val="en-US"/>
        </w:rPr>
        <w:t>ommittee</w:t>
      </w:r>
      <w:r w:rsidRPr="009B482F">
        <w:rPr>
          <w:lang w:val="en-US"/>
        </w:rPr>
        <w:t xml:space="preserve"> and </w:t>
      </w:r>
      <w:proofErr w:type="spellStart"/>
      <w:r>
        <w:rPr>
          <w:lang w:val="en-US"/>
        </w:rPr>
        <w:t>Hamoud</w:t>
      </w:r>
      <w:proofErr w:type="spellEnd"/>
      <w:r>
        <w:rPr>
          <w:lang w:val="en-US"/>
        </w:rPr>
        <w:t xml:space="preserve"> </w:t>
      </w:r>
      <w:r w:rsidRPr="009B482F">
        <w:rPr>
          <w:lang w:val="en-US"/>
        </w:rPr>
        <w:t>on th</w:t>
      </w:r>
      <w:r>
        <w:rPr>
          <w:lang w:val="en-US"/>
        </w:rPr>
        <w:t>e guarantee</w:t>
      </w:r>
      <w:r w:rsidRPr="009B482F">
        <w:rPr>
          <w:lang w:val="en-US"/>
        </w:rPr>
        <w:t xml:space="preserve"> issue</w:t>
      </w:r>
      <w:r>
        <w:rPr>
          <w:lang w:val="en-US"/>
        </w:rPr>
        <w:t xml:space="preserve">, </w:t>
      </w:r>
      <w:proofErr w:type="spellStart"/>
      <w:r>
        <w:rPr>
          <w:lang w:val="en-US"/>
        </w:rPr>
        <w:t>Hamoud</w:t>
      </w:r>
      <w:proofErr w:type="spellEnd"/>
      <w:r>
        <w:rPr>
          <w:lang w:val="en-US"/>
        </w:rPr>
        <w:t>,</w:t>
      </w:r>
      <w:r w:rsidRPr="009B482F">
        <w:rPr>
          <w:lang w:val="en-US"/>
        </w:rPr>
        <w:t xml:space="preserve"> when</w:t>
      </w:r>
      <w:r>
        <w:rPr>
          <w:lang w:val="en-US"/>
        </w:rPr>
        <w:t xml:space="preserve"> he</w:t>
      </w:r>
      <w:r w:rsidRPr="009B482F">
        <w:rPr>
          <w:lang w:val="en-US"/>
        </w:rPr>
        <w:t xml:space="preserve"> became the first general manager </w:t>
      </w:r>
      <w:r>
        <w:rPr>
          <w:lang w:val="en-US"/>
        </w:rPr>
        <w:t>o</w:t>
      </w:r>
      <w:r w:rsidRPr="009B482F">
        <w:rPr>
          <w:lang w:val="en-US"/>
        </w:rPr>
        <w:t xml:space="preserve">f the bank, continued to consider these deposits as guaranteed, and </w:t>
      </w:r>
      <w:r>
        <w:rPr>
          <w:lang w:val="en-US"/>
        </w:rPr>
        <w:t>conducted</w:t>
      </w:r>
      <w:r w:rsidRPr="009B482F">
        <w:rPr>
          <w:lang w:val="en-US"/>
        </w:rPr>
        <w:t xml:space="preserve"> the operations of the </w:t>
      </w:r>
      <w:r>
        <w:rPr>
          <w:lang w:val="en-US"/>
        </w:rPr>
        <w:t>bank on this basis</w:t>
      </w:r>
      <w:r w:rsidRPr="009B482F">
        <w:rPr>
          <w:lang w:val="en-US"/>
        </w:rPr>
        <w:t xml:space="preserve">. </w:t>
      </w:r>
      <w:r>
        <w:rPr>
          <w:lang w:val="en-US"/>
        </w:rPr>
        <w:t xml:space="preserve"> </w:t>
      </w:r>
      <w:r w:rsidRPr="009B482F">
        <w:rPr>
          <w:lang w:val="en-US"/>
        </w:rPr>
        <w:t>This</w:t>
      </w:r>
      <w:r>
        <w:rPr>
          <w:lang w:val="en-US"/>
        </w:rPr>
        <w:t xml:space="preserve"> </w:t>
      </w:r>
      <w:r w:rsidRPr="009B482F">
        <w:rPr>
          <w:lang w:val="en-US"/>
        </w:rPr>
        <w:t xml:space="preserve">would have implications </w:t>
      </w:r>
      <w:r>
        <w:rPr>
          <w:lang w:val="en-US"/>
        </w:rPr>
        <w:t>for</w:t>
      </w:r>
      <w:r w:rsidRPr="009B482F">
        <w:rPr>
          <w:lang w:val="en-US"/>
        </w:rPr>
        <w:t xml:space="preserve"> the reporting treatments for </w:t>
      </w:r>
      <w:proofErr w:type="spellStart"/>
      <w:r>
        <w:rPr>
          <w:i/>
          <w:lang w:val="en-US"/>
        </w:rPr>
        <w:t>m</w:t>
      </w:r>
      <w:r w:rsidRPr="009B482F">
        <w:rPr>
          <w:i/>
          <w:lang w:val="en-US"/>
        </w:rPr>
        <w:t>udaraba</w:t>
      </w:r>
      <w:proofErr w:type="spellEnd"/>
      <w:r w:rsidRPr="009B482F">
        <w:rPr>
          <w:lang w:val="en-US"/>
        </w:rPr>
        <w:t xml:space="preserve"> deposits</w:t>
      </w:r>
      <w:r>
        <w:rPr>
          <w:lang w:val="en-US"/>
        </w:rPr>
        <w:t>:</w:t>
      </w:r>
      <w:r w:rsidRPr="009B482F">
        <w:rPr>
          <w:lang w:val="en-US"/>
        </w:rPr>
        <w:t xml:space="preserve"> </w:t>
      </w:r>
      <w:r>
        <w:rPr>
          <w:lang w:val="en-US"/>
        </w:rPr>
        <w:t>if there is no meaningful risk that depositors will lose their deposits, then the deposits should be accounted for straightforwardly as liabilities, as proposed by several commentators</w:t>
      </w:r>
      <w:r w:rsidRPr="009B482F">
        <w:t xml:space="preserve"> </w:t>
      </w:r>
      <w:r>
        <w:t xml:space="preserve">(for example, </w:t>
      </w:r>
      <w:proofErr w:type="spellStart"/>
      <w:r w:rsidRPr="009B482F">
        <w:t>Janahi</w:t>
      </w:r>
      <w:proofErr w:type="spellEnd"/>
      <w:r w:rsidRPr="009B482F">
        <w:t xml:space="preserve">, 1994; </w:t>
      </w:r>
      <w:proofErr w:type="spellStart"/>
      <w:r w:rsidRPr="009B482F">
        <w:t>Karim</w:t>
      </w:r>
      <w:proofErr w:type="spellEnd"/>
      <w:r w:rsidRPr="009B482F">
        <w:t>, 2001</w:t>
      </w:r>
      <w:r>
        <w:t>; Khan, 1994</w:t>
      </w:r>
      <w:r w:rsidRPr="009B482F">
        <w:t>).</w:t>
      </w:r>
    </w:p>
    <w:p w:rsidR="00631CC8" w:rsidRDefault="00631CC8" w:rsidP="00D27194">
      <w:pPr>
        <w:rPr>
          <w:lang w:val="en-US"/>
        </w:rPr>
      </w:pPr>
      <w:r>
        <w:rPr>
          <w:lang w:val="en-US"/>
        </w:rPr>
        <w:t>T</w:t>
      </w:r>
      <w:r w:rsidRPr="009B482F">
        <w:rPr>
          <w:lang w:val="en-US"/>
        </w:rPr>
        <w:t xml:space="preserve">he first draft </w:t>
      </w:r>
      <w:r>
        <w:rPr>
          <w:lang w:val="en-US"/>
        </w:rPr>
        <w:t>of the act recommended the creation of</w:t>
      </w:r>
      <w:r w:rsidRPr="009B482F">
        <w:rPr>
          <w:lang w:val="en-US"/>
        </w:rPr>
        <w:t xml:space="preserve"> the investment risk provision</w:t>
      </w:r>
      <w:r>
        <w:rPr>
          <w:lang w:val="en-US"/>
        </w:rPr>
        <w:t xml:space="preserve">. However, </w:t>
      </w:r>
      <w:r w:rsidRPr="009B482F">
        <w:rPr>
          <w:lang w:val="en-US"/>
        </w:rPr>
        <w:t xml:space="preserve">this </w:t>
      </w:r>
      <w:r>
        <w:rPr>
          <w:lang w:val="en-US"/>
        </w:rPr>
        <w:t>was also seen as a problem by the Fatwa Committee.  The difficulty was that transferring</w:t>
      </w:r>
      <w:r w:rsidRPr="009B482F">
        <w:rPr>
          <w:lang w:val="en-US"/>
        </w:rPr>
        <w:t xml:space="preserve"> part of the investment profit in one year (</w:t>
      </w:r>
      <w:r>
        <w:rPr>
          <w:lang w:val="en-US"/>
        </w:rPr>
        <w:t>w</w:t>
      </w:r>
      <w:r w:rsidRPr="009B482F">
        <w:rPr>
          <w:lang w:val="en-US"/>
        </w:rPr>
        <w:t>hen investment</w:t>
      </w:r>
      <w:r>
        <w:rPr>
          <w:lang w:val="en-US"/>
        </w:rPr>
        <w:t>s</w:t>
      </w:r>
      <w:r w:rsidRPr="009B482F">
        <w:rPr>
          <w:lang w:val="en-US"/>
        </w:rPr>
        <w:t xml:space="preserve"> generate profits)</w:t>
      </w:r>
      <w:r>
        <w:rPr>
          <w:lang w:val="en-US"/>
        </w:rPr>
        <w:t xml:space="preserve"> to a provision</w:t>
      </w:r>
      <w:r w:rsidRPr="009B482F">
        <w:rPr>
          <w:lang w:val="en-US"/>
        </w:rPr>
        <w:t xml:space="preserve"> may benefit depositors in other years (</w:t>
      </w:r>
      <w:r>
        <w:rPr>
          <w:lang w:val="en-US"/>
        </w:rPr>
        <w:t>when</w:t>
      </w:r>
      <w:r w:rsidRPr="009B482F">
        <w:rPr>
          <w:lang w:val="en-US"/>
        </w:rPr>
        <w:t xml:space="preserve"> investments yield losses). </w:t>
      </w:r>
      <w:r>
        <w:rPr>
          <w:lang w:val="en-US"/>
        </w:rPr>
        <w:t xml:space="preserve"> </w:t>
      </w:r>
      <w:r w:rsidRPr="009B482F">
        <w:rPr>
          <w:lang w:val="en-US"/>
        </w:rPr>
        <w:t xml:space="preserve">The original </w:t>
      </w:r>
      <w:proofErr w:type="spellStart"/>
      <w:r>
        <w:rPr>
          <w:i/>
          <w:iCs/>
          <w:lang w:val="en-US"/>
        </w:rPr>
        <w:t>m</w:t>
      </w:r>
      <w:r w:rsidRPr="009B482F">
        <w:rPr>
          <w:i/>
          <w:iCs/>
          <w:lang w:val="en-US"/>
        </w:rPr>
        <w:t>udaraba</w:t>
      </w:r>
      <w:proofErr w:type="spellEnd"/>
      <w:r w:rsidRPr="009B482F">
        <w:rPr>
          <w:lang w:val="en-US"/>
        </w:rPr>
        <w:t xml:space="preserve"> contract</w:t>
      </w:r>
      <w:r>
        <w:rPr>
          <w:lang w:val="en-US"/>
        </w:rPr>
        <w:t xml:space="preserve"> involved only two parties and hence</w:t>
      </w:r>
      <w:r w:rsidRPr="009B482F">
        <w:rPr>
          <w:lang w:val="en-US"/>
        </w:rPr>
        <w:t xml:space="preserve"> require</w:t>
      </w:r>
      <w:r>
        <w:rPr>
          <w:lang w:val="en-US"/>
        </w:rPr>
        <w:t>d</w:t>
      </w:r>
      <w:r w:rsidRPr="009B482F">
        <w:rPr>
          <w:lang w:val="en-US"/>
        </w:rPr>
        <w:t xml:space="preserve"> the distribution of profits only between the parties involved in the contract</w:t>
      </w:r>
      <w:r>
        <w:rPr>
          <w:lang w:val="en-US"/>
        </w:rPr>
        <w:t>.  However,</w:t>
      </w:r>
      <w:r w:rsidRPr="009B482F">
        <w:rPr>
          <w:lang w:val="en-US"/>
        </w:rPr>
        <w:t xml:space="preserve"> </w:t>
      </w:r>
      <w:r>
        <w:rPr>
          <w:lang w:val="en-US"/>
        </w:rPr>
        <w:t>in a bank, the depositors constantly change.  D</w:t>
      </w:r>
      <w:r w:rsidRPr="009B482F">
        <w:rPr>
          <w:lang w:val="en-US"/>
        </w:rPr>
        <w:t xml:space="preserve">educting </w:t>
      </w:r>
      <w:r>
        <w:rPr>
          <w:lang w:val="en-US"/>
        </w:rPr>
        <w:t>a</w:t>
      </w:r>
      <w:r w:rsidRPr="009B482F">
        <w:rPr>
          <w:lang w:val="en-US"/>
        </w:rPr>
        <w:t xml:space="preserve"> percentage of profits </w:t>
      </w:r>
      <w:r>
        <w:rPr>
          <w:lang w:val="en-US"/>
        </w:rPr>
        <w:t>to credit the</w:t>
      </w:r>
      <w:r w:rsidRPr="009B482F">
        <w:rPr>
          <w:lang w:val="en-US"/>
        </w:rPr>
        <w:t xml:space="preserve"> investment risk provision means that </w:t>
      </w:r>
      <w:r>
        <w:rPr>
          <w:lang w:val="en-US"/>
        </w:rPr>
        <w:t>t</w:t>
      </w:r>
      <w:r w:rsidRPr="009B482F">
        <w:rPr>
          <w:lang w:val="en-US"/>
        </w:rPr>
        <w:t>hird part</w:t>
      </w:r>
      <w:r>
        <w:rPr>
          <w:lang w:val="en-US"/>
        </w:rPr>
        <w:t>ies</w:t>
      </w:r>
      <w:r w:rsidRPr="009B482F">
        <w:rPr>
          <w:lang w:val="en-US"/>
        </w:rPr>
        <w:t xml:space="preserve"> (</w:t>
      </w:r>
      <w:r>
        <w:rPr>
          <w:lang w:val="en-US"/>
        </w:rPr>
        <w:t xml:space="preserve">future </w:t>
      </w:r>
      <w:r w:rsidRPr="009B482F">
        <w:rPr>
          <w:lang w:val="en-US"/>
        </w:rPr>
        <w:t xml:space="preserve">depositors) may benefit from the profit of </w:t>
      </w:r>
      <w:r>
        <w:rPr>
          <w:lang w:val="en-US"/>
        </w:rPr>
        <w:t xml:space="preserve">the </w:t>
      </w:r>
      <w:r w:rsidRPr="009B482F">
        <w:rPr>
          <w:lang w:val="en-US"/>
        </w:rPr>
        <w:t xml:space="preserve">current year. </w:t>
      </w:r>
      <w:r>
        <w:rPr>
          <w:lang w:val="en-US"/>
        </w:rPr>
        <w:t>The</w:t>
      </w:r>
      <w:r w:rsidRPr="009B482F">
        <w:rPr>
          <w:lang w:val="en-US"/>
        </w:rPr>
        <w:t xml:space="preserve"> </w:t>
      </w:r>
      <w:proofErr w:type="spellStart"/>
      <w:r w:rsidRPr="009B482F">
        <w:rPr>
          <w:i/>
          <w:lang w:val="en-US"/>
        </w:rPr>
        <w:t>Mal</w:t>
      </w:r>
      <w:r>
        <w:rPr>
          <w:i/>
          <w:lang w:val="en-US"/>
        </w:rPr>
        <w:t>i</w:t>
      </w:r>
      <w:r w:rsidRPr="009B482F">
        <w:rPr>
          <w:i/>
          <w:lang w:val="en-US"/>
        </w:rPr>
        <w:t>ki</w:t>
      </w:r>
      <w:proofErr w:type="spellEnd"/>
      <w:r w:rsidRPr="009B482F">
        <w:rPr>
          <w:lang w:val="en-US"/>
        </w:rPr>
        <w:t xml:space="preserve"> School of Islamic </w:t>
      </w:r>
      <w:r>
        <w:rPr>
          <w:lang w:val="en-US"/>
        </w:rPr>
        <w:t>jurisprudence</w:t>
      </w:r>
      <w:r>
        <w:rPr>
          <w:rStyle w:val="EndnoteReference"/>
          <w:lang w:val="en-US"/>
        </w:rPr>
        <w:endnoteReference w:id="8"/>
      </w:r>
      <w:r w:rsidRPr="009B482F">
        <w:rPr>
          <w:lang w:val="en-US"/>
        </w:rPr>
        <w:t xml:space="preserve"> allows for distribution of profit to a third party as a gift</w:t>
      </w:r>
      <w:r>
        <w:rPr>
          <w:lang w:val="en-US"/>
        </w:rPr>
        <w:t>, and</w:t>
      </w:r>
      <w:r w:rsidRPr="009B482F">
        <w:rPr>
          <w:lang w:val="en-US"/>
        </w:rPr>
        <w:t xml:space="preserve"> </w:t>
      </w:r>
      <w:r>
        <w:rPr>
          <w:lang w:val="en-US"/>
        </w:rPr>
        <w:t>t</w:t>
      </w:r>
      <w:r w:rsidRPr="009B482F">
        <w:rPr>
          <w:lang w:val="en-US"/>
        </w:rPr>
        <w:t xml:space="preserve">his was the basis of </w:t>
      </w:r>
      <w:proofErr w:type="spellStart"/>
      <w:r w:rsidRPr="009B482F">
        <w:rPr>
          <w:lang w:val="en-US"/>
        </w:rPr>
        <w:t>H</w:t>
      </w:r>
      <w:r>
        <w:rPr>
          <w:lang w:val="en-US"/>
        </w:rPr>
        <w:t>a</w:t>
      </w:r>
      <w:r w:rsidRPr="009B482F">
        <w:rPr>
          <w:lang w:val="en-US"/>
        </w:rPr>
        <w:t>moud</w:t>
      </w:r>
      <w:r>
        <w:rPr>
          <w:lang w:val="en-US"/>
        </w:rPr>
        <w:t>’s</w:t>
      </w:r>
      <w:proofErr w:type="spellEnd"/>
      <w:r w:rsidRPr="009B482F">
        <w:rPr>
          <w:lang w:val="en-US"/>
        </w:rPr>
        <w:t xml:space="preserve"> argument for the creation of </w:t>
      </w:r>
      <w:r>
        <w:rPr>
          <w:lang w:val="en-US"/>
        </w:rPr>
        <w:t>i</w:t>
      </w:r>
      <w:r w:rsidRPr="009B482F">
        <w:rPr>
          <w:lang w:val="en-US"/>
        </w:rPr>
        <w:t xml:space="preserve">nvestment </w:t>
      </w:r>
      <w:r>
        <w:rPr>
          <w:lang w:val="en-US"/>
        </w:rPr>
        <w:t>r</w:t>
      </w:r>
      <w:r w:rsidRPr="009B482F">
        <w:rPr>
          <w:lang w:val="en-US"/>
        </w:rPr>
        <w:t xml:space="preserve">isk </w:t>
      </w:r>
      <w:r>
        <w:rPr>
          <w:lang w:val="en-US"/>
        </w:rPr>
        <w:t>p</w:t>
      </w:r>
      <w:r w:rsidRPr="009B482F">
        <w:rPr>
          <w:lang w:val="en-US"/>
        </w:rPr>
        <w:t xml:space="preserve">rovision in his </w:t>
      </w:r>
      <w:r>
        <w:rPr>
          <w:lang w:val="en-US"/>
        </w:rPr>
        <w:t>Ph.D. thesis</w:t>
      </w:r>
      <w:r w:rsidRPr="009B482F">
        <w:rPr>
          <w:lang w:val="en-US"/>
        </w:rPr>
        <w:t xml:space="preserve"> and later in the bank </w:t>
      </w:r>
      <w:r>
        <w:rPr>
          <w:lang w:val="en-US"/>
        </w:rPr>
        <w:t>a</w:t>
      </w:r>
      <w:r w:rsidRPr="009B482F">
        <w:rPr>
          <w:lang w:val="en-US"/>
        </w:rPr>
        <w:t xml:space="preserve">ct’s first draft. </w:t>
      </w:r>
      <w:r>
        <w:rPr>
          <w:lang w:val="en-US"/>
        </w:rPr>
        <w:t xml:space="preserve"> I</w:t>
      </w:r>
      <w:r w:rsidRPr="009B482F">
        <w:rPr>
          <w:lang w:val="en-US"/>
        </w:rPr>
        <w:t xml:space="preserve">n Jordan, </w:t>
      </w:r>
      <w:r>
        <w:rPr>
          <w:lang w:val="en-US"/>
        </w:rPr>
        <w:t>though</w:t>
      </w:r>
      <w:r w:rsidRPr="009B482F">
        <w:rPr>
          <w:lang w:val="en-US"/>
        </w:rPr>
        <w:t xml:space="preserve">, the dominant school of Islamic </w:t>
      </w:r>
      <w:r>
        <w:rPr>
          <w:lang w:val="en-US"/>
        </w:rPr>
        <w:t>jurisprudence</w:t>
      </w:r>
      <w:r w:rsidRPr="009B482F">
        <w:rPr>
          <w:lang w:val="en-US"/>
        </w:rPr>
        <w:t xml:space="preserve"> </w:t>
      </w:r>
      <w:r>
        <w:rPr>
          <w:lang w:val="en-US"/>
        </w:rPr>
        <w:t>has historically been</w:t>
      </w:r>
      <w:r w:rsidRPr="009B482F">
        <w:rPr>
          <w:lang w:val="en-US"/>
        </w:rPr>
        <w:t xml:space="preserve"> the </w:t>
      </w:r>
      <w:proofErr w:type="spellStart"/>
      <w:r w:rsidRPr="009B482F">
        <w:rPr>
          <w:i/>
          <w:lang w:val="en-US"/>
        </w:rPr>
        <w:t>Hanafi</w:t>
      </w:r>
      <w:proofErr w:type="spellEnd"/>
      <w:r w:rsidRPr="009B482F">
        <w:rPr>
          <w:lang w:val="en-US"/>
        </w:rPr>
        <w:t xml:space="preserve"> and not the </w:t>
      </w:r>
      <w:proofErr w:type="spellStart"/>
      <w:r w:rsidRPr="009B482F">
        <w:rPr>
          <w:i/>
          <w:lang w:val="en-US"/>
        </w:rPr>
        <w:t>Mal</w:t>
      </w:r>
      <w:r>
        <w:rPr>
          <w:i/>
          <w:lang w:val="en-US"/>
        </w:rPr>
        <w:t>i</w:t>
      </w:r>
      <w:r w:rsidRPr="009B482F">
        <w:rPr>
          <w:i/>
          <w:lang w:val="en-US"/>
        </w:rPr>
        <w:t>ki</w:t>
      </w:r>
      <w:proofErr w:type="spellEnd"/>
      <w:r>
        <w:rPr>
          <w:lang w:val="en-US"/>
        </w:rPr>
        <w:t xml:space="preserve">, </w:t>
      </w:r>
      <w:r>
        <w:rPr>
          <w:lang w:val="en-US"/>
        </w:rPr>
        <w:lastRenderedPageBreak/>
        <w:t>and most</w:t>
      </w:r>
      <w:r w:rsidRPr="009B482F">
        <w:rPr>
          <w:lang w:val="en-US"/>
        </w:rPr>
        <w:t xml:space="preserve"> members of </w:t>
      </w:r>
      <w:r>
        <w:rPr>
          <w:lang w:val="en-US"/>
        </w:rPr>
        <w:t xml:space="preserve">the </w:t>
      </w:r>
      <w:r w:rsidRPr="009B482F">
        <w:rPr>
          <w:lang w:val="en-US"/>
        </w:rPr>
        <w:t>F</w:t>
      </w:r>
      <w:r>
        <w:rPr>
          <w:lang w:val="en-US"/>
        </w:rPr>
        <w:t xml:space="preserve">atwa </w:t>
      </w:r>
      <w:r w:rsidRPr="009B482F">
        <w:rPr>
          <w:lang w:val="en-US"/>
        </w:rPr>
        <w:t>C</w:t>
      </w:r>
      <w:r>
        <w:rPr>
          <w:lang w:val="en-US"/>
        </w:rPr>
        <w:t>ommittee adopted the</w:t>
      </w:r>
      <w:r w:rsidRPr="009B482F">
        <w:rPr>
          <w:lang w:val="en-US"/>
        </w:rPr>
        <w:t xml:space="preserve"> </w:t>
      </w:r>
      <w:proofErr w:type="spellStart"/>
      <w:r w:rsidRPr="009B482F">
        <w:rPr>
          <w:i/>
          <w:lang w:val="en-US"/>
        </w:rPr>
        <w:t>Han</w:t>
      </w:r>
      <w:r>
        <w:rPr>
          <w:i/>
          <w:lang w:val="en-US"/>
        </w:rPr>
        <w:t>a</w:t>
      </w:r>
      <w:r w:rsidRPr="009B482F">
        <w:rPr>
          <w:i/>
          <w:lang w:val="en-US"/>
        </w:rPr>
        <w:t>fi</w:t>
      </w:r>
      <w:proofErr w:type="spellEnd"/>
      <w:r w:rsidRPr="009B482F">
        <w:rPr>
          <w:lang w:val="en-US"/>
        </w:rPr>
        <w:t xml:space="preserve"> view of </w:t>
      </w:r>
      <w:proofErr w:type="spellStart"/>
      <w:r w:rsidRPr="009A79BF">
        <w:rPr>
          <w:i/>
          <w:iCs/>
          <w:lang w:val="en-US"/>
        </w:rPr>
        <w:t>Shari’a</w:t>
      </w:r>
      <w:proofErr w:type="spellEnd"/>
      <w:r w:rsidRPr="009B482F">
        <w:rPr>
          <w:lang w:val="en-US"/>
        </w:rPr>
        <w:t xml:space="preserve">. </w:t>
      </w:r>
      <w:r>
        <w:rPr>
          <w:lang w:val="en-US"/>
        </w:rPr>
        <w:t xml:space="preserve"> </w:t>
      </w:r>
      <w:proofErr w:type="spellStart"/>
      <w:r w:rsidRPr="009B482F">
        <w:rPr>
          <w:lang w:val="en-US"/>
        </w:rPr>
        <w:t>H</w:t>
      </w:r>
      <w:r>
        <w:rPr>
          <w:lang w:val="en-US"/>
        </w:rPr>
        <w:t>a</w:t>
      </w:r>
      <w:r w:rsidRPr="009B482F">
        <w:rPr>
          <w:lang w:val="en-US"/>
        </w:rPr>
        <w:t>moud</w:t>
      </w:r>
      <w:proofErr w:type="spellEnd"/>
      <w:r w:rsidRPr="009B482F">
        <w:rPr>
          <w:lang w:val="en-US"/>
        </w:rPr>
        <w:t xml:space="preserve"> argu</w:t>
      </w:r>
      <w:r>
        <w:rPr>
          <w:lang w:val="en-US"/>
        </w:rPr>
        <w:t>ed</w:t>
      </w:r>
      <w:r w:rsidRPr="009B482F">
        <w:rPr>
          <w:lang w:val="en-US"/>
        </w:rPr>
        <w:t xml:space="preserve"> that </w:t>
      </w:r>
      <w:r>
        <w:rPr>
          <w:lang w:val="en-US"/>
        </w:rPr>
        <w:t>following</w:t>
      </w:r>
      <w:r w:rsidRPr="009B482F">
        <w:rPr>
          <w:lang w:val="en-US"/>
        </w:rPr>
        <w:t xml:space="preserve"> </w:t>
      </w:r>
      <w:r>
        <w:rPr>
          <w:lang w:val="en-US"/>
        </w:rPr>
        <w:t>a single</w:t>
      </w:r>
      <w:r w:rsidRPr="009B482F">
        <w:rPr>
          <w:lang w:val="en-US"/>
        </w:rPr>
        <w:t xml:space="preserve"> school could not provide a sound base for </w:t>
      </w:r>
      <w:r>
        <w:rPr>
          <w:lang w:val="en-US"/>
        </w:rPr>
        <w:t xml:space="preserve">an </w:t>
      </w:r>
      <w:r w:rsidRPr="009B482F">
        <w:rPr>
          <w:lang w:val="en-US"/>
        </w:rPr>
        <w:t>Islamic banking system</w:t>
      </w:r>
      <w:r>
        <w:rPr>
          <w:lang w:val="en-US"/>
        </w:rPr>
        <w:t>, and he drew on different</w:t>
      </w:r>
      <w:r w:rsidRPr="009B482F">
        <w:rPr>
          <w:lang w:val="en-US"/>
        </w:rPr>
        <w:t xml:space="preserve"> school</w:t>
      </w:r>
      <w:r>
        <w:rPr>
          <w:lang w:val="en-US"/>
        </w:rPr>
        <w:t>s</w:t>
      </w:r>
      <w:r w:rsidRPr="009B482F">
        <w:rPr>
          <w:lang w:val="en-US"/>
        </w:rPr>
        <w:t xml:space="preserve"> to </w:t>
      </w:r>
      <w:r>
        <w:rPr>
          <w:lang w:val="en-US"/>
        </w:rPr>
        <w:t xml:space="preserve">demonstrate how </w:t>
      </w:r>
      <w:r w:rsidRPr="009B482F">
        <w:rPr>
          <w:lang w:val="en-US"/>
        </w:rPr>
        <w:t>his thesis</w:t>
      </w:r>
      <w:r>
        <w:rPr>
          <w:lang w:val="en-US"/>
        </w:rPr>
        <w:t xml:space="preserve"> was based on </w:t>
      </w:r>
      <w:proofErr w:type="spellStart"/>
      <w:r w:rsidRPr="009A79BF">
        <w:rPr>
          <w:i/>
          <w:lang w:val="en-US"/>
        </w:rPr>
        <w:t>Shari’a</w:t>
      </w:r>
      <w:proofErr w:type="spellEnd"/>
      <w:r w:rsidRPr="009B482F">
        <w:rPr>
          <w:lang w:val="en-US"/>
        </w:rPr>
        <w:t xml:space="preserve">. </w:t>
      </w:r>
      <w:r>
        <w:rPr>
          <w:lang w:val="en-US"/>
        </w:rPr>
        <w:t xml:space="preserve"> </w:t>
      </w:r>
      <w:r w:rsidRPr="009B482F">
        <w:rPr>
          <w:lang w:val="en-US"/>
        </w:rPr>
        <w:t xml:space="preserve">During the discussions of </w:t>
      </w:r>
      <w:r>
        <w:rPr>
          <w:lang w:val="en-US"/>
        </w:rPr>
        <w:t xml:space="preserve">the </w:t>
      </w:r>
      <w:r w:rsidRPr="009B482F">
        <w:rPr>
          <w:lang w:val="en-US"/>
        </w:rPr>
        <w:t>F</w:t>
      </w:r>
      <w:r>
        <w:rPr>
          <w:lang w:val="en-US"/>
        </w:rPr>
        <w:t xml:space="preserve">atwa </w:t>
      </w:r>
      <w:r w:rsidRPr="009B482F">
        <w:rPr>
          <w:lang w:val="en-US"/>
        </w:rPr>
        <w:t>C</w:t>
      </w:r>
      <w:r>
        <w:rPr>
          <w:lang w:val="en-US"/>
        </w:rPr>
        <w:t>ommittee</w:t>
      </w:r>
      <w:r w:rsidRPr="009B482F">
        <w:rPr>
          <w:lang w:val="en-US"/>
        </w:rPr>
        <w:t xml:space="preserve">, </w:t>
      </w:r>
      <w:proofErr w:type="spellStart"/>
      <w:r w:rsidRPr="009B482F">
        <w:rPr>
          <w:lang w:val="en-US"/>
        </w:rPr>
        <w:t>H</w:t>
      </w:r>
      <w:r>
        <w:rPr>
          <w:lang w:val="en-US"/>
        </w:rPr>
        <w:t>a</w:t>
      </w:r>
      <w:r w:rsidRPr="009B482F">
        <w:rPr>
          <w:lang w:val="en-US"/>
        </w:rPr>
        <w:t>moud</w:t>
      </w:r>
      <w:proofErr w:type="spellEnd"/>
      <w:r w:rsidRPr="009B482F">
        <w:rPr>
          <w:lang w:val="en-US"/>
        </w:rPr>
        <w:t xml:space="preserve"> was able to convince </w:t>
      </w:r>
      <w:r>
        <w:rPr>
          <w:lang w:val="en-US"/>
        </w:rPr>
        <w:t>o</w:t>
      </w:r>
      <w:r w:rsidRPr="009B482F">
        <w:rPr>
          <w:lang w:val="en-US"/>
        </w:rPr>
        <w:t>the</w:t>
      </w:r>
      <w:r>
        <w:rPr>
          <w:lang w:val="en-US"/>
        </w:rPr>
        <w:t>r members</w:t>
      </w:r>
      <w:r w:rsidRPr="009B482F">
        <w:rPr>
          <w:lang w:val="en-US"/>
        </w:rPr>
        <w:t xml:space="preserve"> of </w:t>
      </w:r>
      <w:r>
        <w:rPr>
          <w:lang w:val="en-US"/>
        </w:rPr>
        <w:t>the eclectic approach</w:t>
      </w:r>
      <w:r w:rsidRPr="009B482F">
        <w:rPr>
          <w:lang w:val="en-US"/>
        </w:rPr>
        <w:t xml:space="preserve">, and he gained their acceptance for the </w:t>
      </w:r>
      <w:r>
        <w:rPr>
          <w:lang w:val="en-US"/>
        </w:rPr>
        <w:t>i</w:t>
      </w:r>
      <w:r w:rsidRPr="009B482F">
        <w:rPr>
          <w:lang w:val="en-US"/>
        </w:rPr>
        <w:t xml:space="preserve">nvestment </w:t>
      </w:r>
      <w:r>
        <w:rPr>
          <w:lang w:val="en-US"/>
        </w:rPr>
        <w:t>r</w:t>
      </w:r>
      <w:r w:rsidRPr="009B482F">
        <w:rPr>
          <w:lang w:val="en-US"/>
        </w:rPr>
        <w:t xml:space="preserve">isk </w:t>
      </w:r>
      <w:r>
        <w:rPr>
          <w:lang w:val="en-US"/>
        </w:rPr>
        <w:t>provision</w:t>
      </w:r>
      <w:r w:rsidRPr="009B482F">
        <w:rPr>
          <w:lang w:val="en-US"/>
        </w:rPr>
        <w:t>.</w:t>
      </w:r>
    </w:p>
    <w:p w:rsidR="00631CC8" w:rsidRPr="000D400A" w:rsidRDefault="00631CC8" w:rsidP="007C0478">
      <w:pPr>
        <w:pStyle w:val="Heading3"/>
        <w:rPr>
          <w:rFonts w:cs="Times New Roman"/>
          <w:lang w:val="en-US"/>
        </w:rPr>
      </w:pPr>
      <w:r w:rsidRPr="000D400A">
        <w:rPr>
          <w:rFonts w:cs="Times New Roman"/>
          <w:lang w:val="en-US"/>
        </w:rPr>
        <w:t xml:space="preserve"> </w:t>
      </w:r>
      <w:bookmarkStart w:id="11" w:name="_Toc74316136"/>
      <w:bookmarkStart w:id="12" w:name="_Toc74381908"/>
      <w:bookmarkStart w:id="13" w:name="_Toc74570027"/>
      <w:bookmarkStart w:id="14" w:name="_Toc76909445"/>
      <w:r w:rsidRPr="000D400A">
        <w:rPr>
          <w:rFonts w:cs="Times New Roman"/>
          <w:lang w:val="en-US"/>
        </w:rPr>
        <w:t>The Religious Audit</w:t>
      </w:r>
      <w:bookmarkEnd w:id="11"/>
      <w:bookmarkEnd w:id="12"/>
      <w:bookmarkEnd w:id="13"/>
      <w:bookmarkEnd w:id="14"/>
    </w:p>
    <w:p w:rsidR="00631CC8" w:rsidRDefault="00631CC8" w:rsidP="00064FEC">
      <w:pPr>
        <w:pStyle w:val="Firstpara"/>
        <w:rPr>
          <w:lang w:val="en-US"/>
        </w:rPr>
      </w:pPr>
      <w:r w:rsidRPr="009B482F">
        <w:rPr>
          <w:lang w:val="en-US"/>
        </w:rPr>
        <w:t xml:space="preserve">The conflict between </w:t>
      </w:r>
      <w:proofErr w:type="spellStart"/>
      <w:r>
        <w:rPr>
          <w:lang w:val="en-US"/>
        </w:rPr>
        <w:t>Hamoud</w:t>
      </w:r>
      <w:proofErr w:type="spellEnd"/>
      <w:r>
        <w:rPr>
          <w:lang w:val="en-US"/>
        </w:rPr>
        <w:t xml:space="preserve"> </w:t>
      </w:r>
      <w:r w:rsidRPr="009B482F">
        <w:rPr>
          <w:lang w:val="en-US"/>
        </w:rPr>
        <w:t xml:space="preserve">and the members of </w:t>
      </w:r>
      <w:r>
        <w:rPr>
          <w:lang w:val="en-US"/>
        </w:rPr>
        <w:t xml:space="preserve">the </w:t>
      </w:r>
      <w:r w:rsidRPr="009B482F">
        <w:rPr>
          <w:lang w:val="en-US"/>
        </w:rPr>
        <w:t>F</w:t>
      </w:r>
      <w:r>
        <w:rPr>
          <w:lang w:val="en-US"/>
        </w:rPr>
        <w:t xml:space="preserve">atwa </w:t>
      </w:r>
      <w:r w:rsidRPr="009B482F">
        <w:rPr>
          <w:lang w:val="en-US"/>
        </w:rPr>
        <w:t>C</w:t>
      </w:r>
      <w:r>
        <w:rPr>
          <w:lang w:val="en-US"/>
        </w:rPr>
        <w:t>ommittee</w:t>
      </w:r>
      <w:r w:rsidRPr="009B482F">
        <w:rPr>
          <w:lang w:val="en-US"/>
        </w:rPr>
        <w:t xml:space="preserve"> </w:t>
      </w:r>
      <w:r>
        <w:rPr>
          <w:lang w:val="en-US"/>
        </w:rPr>
        <w:t>over the</w:t>
      </w:r>
      <w:r w:rsidRPr="009B482F">
        <w:rPr>
          <w:lang w:val="en-US"/>
        </w:rPr>
        <w:t xml:space="preserve"> issues of guarantee of deposits, </w:t>
      </w:r>
      <w:r>
        <w:rPr>
          <w:lang w:val="en-US"/>
        </w:rPr>
        <w:t>i</w:t>
      </w:r>
      <w:r w:rsidRPr="009B482F">
        <w:rPr>
          <w:lang w:val="en-US"/>
        </w:rPr>
        <w:t xml:space="preserve">nvestment </w:t>
      </w:r>
      <w:r>
        <w:rPr>
          <w:lang w:val="en-US"/>
        </w:rPr>
        <w:t>r</w:t>
      </w:r>
      <w:r w:rsidRPr="009B482F">
        <w:rPr>
          <w:lang w:val="en-US"/>
        </w:rPr>
        <w:t xml:space="preserve">isk </w:t>
      </w:r>
      <w:r>
        <w:rPr>
          <w:lang w:val="en-US"/>
        </w:rPr>
        <w:t>p</w:t>
      </w:r>
      <w:r w:rsidRPr="009B482F">
        <w:rPr>
          <w:lang w:val="en-US"/>
        </w:rPr>
        <w:t>rovision and other issues had a major effect on the form of religious audit in JIB.</w:t>
      </w:r>
      <w:r>
        <w:rPr>
          <w:lang w:val="en-US"/>
        </w:rPr>
        <w:t xml:space="preserve"> </w:t>
      </w:r>
      <w:r w:rsidRPr="009B482F">
        <w:rPr>
          <w:lang w:val="en-US"/>
        </w:rPr>
        <w:t xml:space="preserve"> </w:t>
      </w:r>
      <w:r>
        <w:rPr>
          <w:lang w:val="en-US"/>
        </w:rPr>
        <w:t>I</w:t>
      </w:r>
      <w:r w:rsidRPr="009B482F">
        <w:rPr>
          <w:lang w:val="en-US"/>
        </w:rPr>
        <w:t xml:space="preserve">n his first draft of the act, </w:t>
      </w:r>
      <w:proofErr w:type="spellStart"/>
      <w:r>
        <w:rPr>
          <w:lang w:val="en-US"/>
        </w:rPr>
        <w:t>Hamoud</w:t>
      </w:r>
      <w:proofErr w:type="spellEnd"/>
      <w:r>
        <w:rPr>
          <w:lang w:val="en-US"/>
        </w:rPr>
        <w:t xml:space="preserve"> </w:t>
      </w:r>
      <w:r w:rsidRPr="009B482F">
        <w:rPr>
          <w:lang w:val="en-US"/>
        </w:rPr>
        <w:t xml:space="preserve">suggested </w:t>
      </w:r>
      <w:r>
        <w:rPr>
          <w:lang w:val="en-US"/>
        </w:rPr>
        <w:t xml:space="preserve">establishing </w:t>
      </w:r>
      <w:r w:rsidRPr="009B482F">
        <w:rPr>
          <w:lang w:val="en-US"/>
        </w:rPr>
        <w:t xml:space="preserve">the position of </w:t>
      </w:r>
      <w:r>
        <w:rPr>
          <w:lang w:val="en-US"/>
        </w:rPr>
        <w:t>“</w:t>
      </w:r>
      <w:proofErr w:type="spellStart"/>
      <w:r w:rsidRPr="009A79BF">
        <w:rPr>
          <w:i/>
          <w:lang w:val="en-US"/>
        </w:rPr>
        <w:t>Shari’a</w:t>
      </w:r>
      <w:proofErr w:type="spellEnd"/>
      <w:r w:rsidRPr="009B482F">
        <w:rPr>
          <w:lang w:val="en-US"/>
        </w:rPr>
        <w:t xml:space="preserve"> Controller</w:t>
      </w:r>
      <w:r>
        <w:rPr>
          <w:lang w:val="en-US"/>
        </w:rPr>
        <w:t>”</w:t>
      </w:r>
      <w:r w:rsidRPr="009B482F">
        <w:rPr>
          <w:lang w:val="en-US"/>
        </w:rPr>
        <w:t xml:space="preserve">, </w:t>
      </w:r>
      <w:r>
        <w:rPr>
          <w:lang w:val="en-US"/>
        </w:rPr>
        <w:t xml:space="preserve">and </w:t>
      </w:r>
      <w:r w:rsidRPr="009B482F">
        <w:rPr>
          <w:lang w:val="en-US"/>
        </w:rPr>
        <w:t xml:space="preserve">he </w:t>
      </w:r>
      <w:r>
        <w:rPr>
          <w:lang w:val="en-US"/>
        </w:rPr>
        <w:t>proposed</w:t>
      </w:r>
      <w:r w:rsidRPr="009B482F">
        <w:rPr>
          <w:lang w:val="en-US"/>
        </w:rPr>
        <w:t xml:space="preserve"> the presence of two independent controllers</w:t>
      </w:r>
      <w:r>
        <w:rPr>
          <w:lang w:val="en-US"/>
        </w:rPr>
        <w:t>, who should both be at least 40 years old with a degree in Islamic religious studies or Islamic law</w:t>
      </w:r>
      <w:r w:rsidRPr="009B482F">
        <w:rPr>
          <w:lang w:val="en-US"/>
        </w:rPr>
        <w:t>.</w:t>
      </w:r>
      <w:r>
        <w:rPr>
          <w:lang w:val="en-US"/>
        </w:rPr>
        <w:t xml:space="preserve"> </w:t>
      </w:r>
      <w:r w:rsidRPr="009B482F">
        <w:rPr>
          <w:lang w:val="en-US"/>
        </w:rPr>
        <w:t xml:space="preserve"> In the </w:t>
      </w:r>
      <w:r>
        <w:rPr>
          <w:lang w:val="en-US"/>
        </w:rPr>
        <w:t>explanatory</w:t>
      </w:r>
      <w:r w:rsidRPr="009B482F">
        <w:rPr>
          <w:lang w:val="en-US"/>
        </w:rPr>
        <w:t xml:space="preserve"> notes to the first draft, he called for </w:t>
      </w:r>
      <w:r>
        <w:rPr>
          <w:lang w:val="en-US"/>
        </w:rPr>
        <w:t>establishing</w:t>
      </w:r>
      <w:r w:rsidRPr="009B482F">
        <w:rPr>
          <w:lang w:val="en-US"/>
        </w:rPr>
        <w:t xml:space="preserve"> this position </w:t>
      </w:r>
      <w:r>
        <w:rPr>
          <w:lang w:val="en-US"/>
        </w:rPr>
        <w:t xml:space="preserve">because </w:t>
      </w:r>
      <w:r w:rsidRPr="009B482F">
        <w:rPr>
          <w:lang w:val="en-US"/>
        </w:rPr>
        <w:t xml:space="preserve">this would provide the necessary assurance for the shareholders that the bank </w:t>
      </w:r>
      <w:r>
        <w:rPr>
          <w:lang w:val="en-US"/>
        </w:rPr>
        <w:t xml:space="preserve">was </w:t>
      </w:r>
      <w:r w:rsidRPr="009B482F">
        <w:rPr>
          <w:lang w:val="en-US"/>
        </w:rPr>
        <w:t>avoid</w:t>
      </w:r>
      <w:r>
        <w:rPr>
          <w:lang w:val="en-US"/>
        </w:rPr>
        <w:t>ing</w:t>
      </w:r>
      <w:r w:rsidRPr="009B482F">
        <w:rPr>
          <w:lang w:val="en-US"/>
        </w:rPr>
        <w:t xml:space="preserve"> </w:t>
      </w:r>
      <w:proofErr w:type="spellStart"/>
      <w:r>
        <w:rPr>
          <w:i/>
          <w:iCs/>
          <w:lang w:val="en-US"/>
        </w:rPr>
        <w:t>r</w:t>
      </w:r>
      <w:r w:rsidRPr="009B482F">
        <w:rPr>
          <w:i/>
          <w:iCs/>
          <w:lang w:val="en-US"/>
        </w:rPr>
        <w:t>iba</w:t>
      </w:r>
      <w:proofErr w:type="spellEnd"/>
      <w:r w:rsidRPr="009B482F">
        <w:rPr>
          <w:lang w:val="en-US"/>
        </w:rPr>
        <w:t xml:space="preserve">.  Article 27 of the first draft </w:t>
      </w:r>
      <w:r>
        <w:rPr>
          <w:lang w:val="en-US"/>
        </w:rPr>
        <w:t xml:space="preserve">(see Appendix I) </w:t>
      </w:r>
      <w:r w:rsidRPr="009B482F">
        <w:rPr>
          <w:lang w:val="en-US"/>
        </w:rPr>
        <w:t>contained the procedures for selecting</w:t>
      </w:r>
      <w:r>
        <w:rPr>
          <w:lang w:val="en-US"/>
        </w:rPr>
        <w:t xml:space="preserve"> the two controllers.  I</w:t>
      </w:r>
      <w:r w:rsidRPr="009B482F">
        <w:rPr>
          <w:lang w:val="en-US"/>
        </w:rPr>
        <w:t>n the first draft</w:t>
      </w:r>
      <w:r>
        <w:rPr>
          <w:lang w:val="en-US"/>
        </w:rPr>
        <w:t xml:space="preserve"> of the act</w:t>
      </w:r>
      <w:r w:rsidRPr="009B482F">
        <w:rPr>
          <w:lang w:val="en-US"/>
        </w:rPr>
        <w:t xml:space="preserve">, </w:t>
      </w:r>
      <w:proofErr w:type="spellStart"/>
      <w:r>
        <w:rPr>
          <w:lang w:val="en-US"/>
        </w:rPr>
        <w:t>Hamoud</w:t>
      </w:r>
      <w:proofErr w:type="spellEnd"/>
      <w:r w:rsidRPr="009B482F">
        <w:rPr>
          <w:lang w:val="en-US"/>
        </w:rPr>
        <w:t xml:space="preserve"> was willing to have relatively independent </w:t>
      </w:r>
      <w:proofErr w:type="spellStart"/>
      <w:r w:rsidRPr="009A79BF">
        <w:rPr>
          <w:i/>
          <w:iCs/>
          <w:lang w:val="en-US"/>
        </w:rPr>
        <w:t>Shari’a</w:t>
      </w:r>
      <w:proofErr w:type="spellEnd"/>
      <w:r w:rsidRPr="009B482F">
        <w:rPr>
          <w:lang w:val="en-US"/>
        </w:rPr>
        <w:t xml:space="preserve"> auditors</w:t>
      </w:r>
      <w:r>
        <w:rPr>
          <w:lang w:val="en-US"/>
        </w:rPr>
        <w:t>:</w:t>
      </w:r>
      <w:r w:rsidRPr="009B482F">
        <w:rPr>
          <w:lang w:val="en-US"/>
        </w:rPr>
        <w:t xml:space="preserve"> appointing the </w:t>
      </w:r>
      <w:proofErr w:type="spellStart"/>
      <w:r w:rsidRPr="009A79BF">
        <w:rPr>
          <w:i/>
          <w:iCs/>
          <w:lang w:val="en-US"/>
        </w:rPr>
        <w:t>Shari’a</w:t>
      </w:r>
      <w:proofErr w:type="spellEnd"/>
      <w:r w:rsidRPr="009B482F">
        <w:rPr>
          <w:lang w:val="en-US"/>
        </w:rPr>
        <w:t xml:space="preserve"> auditor was the </w:t>
      </w:r>
      <w:r>
        <w:rPr>
          <w:lang w:val="en-US"/>
        </w:rPr>
        <w:t xml:space="preserve">responsibility of the </w:t>
      </w:r>
      <w:r w:rsidRPr="009B482F">
        <w:rPr>
          <w:lang w:val="en-US"/>
        </w:rPr>
        <w:t>General Assembly, and the religious auditor report</w:t>
      </w:r>
      <w:r>
        <w:rPr>
          <w:lang w:val="en-US"/>
        </w:rPr>
        <w:t>ed</w:t>
      </w:r>
      <w:r w:rsidRPr="009B482F">
        <w:rPr>
          <w:lang w:val="en-US"/>
        </w:rPr>
        <w:t xml:space="preserve"> directly to the shareholders. </w:t>
      </w:r>
    </w:p>
    <w:p w:rsidR="00631CC8" w:rsidRPr="009B482F" w:rsidRDefault="00631CC8" w:rsidP="00F36243">
      <w:pPr>
        <w:rPr>
          <w:lang w:val="en-US"/>
        </w:rPr>
      </w:pPr>
      <w:r>
        <w:rPr>
          <w:lang w:val="en-US"/>
        </w:rPr>
        <w:t>T</w:t>
      </w:r>
      <w:r w:rsidRPr="009B482F">
        <w:rPr>
          <w:lang w:val="en-US"/>
        </w:rPr>
        <w:t>he F</w:t>
      </w:r>
      <w:r>
        <w:rPr>
          <w:lang w:val="en-US"/>
        </w:rPr>
        <w:t xml:space="preserve">atwa </w:t>
      </w:r>
      <w:r w:rsidRPr="009B482F">
        <w:rPr>
          <w:lang w:val="en-US"/>
        </w:rPr>
        <w:t>C</w:t>
      </w:r>
      <w:r>
        <w:rPr>
          <w:lang w:val="en-US"/>
        </w:rPr>
        <w:t>ommittee</w:t>
      </w:r>
      <w:r w:rsidRPr="009B482F">
        <w:rPr>
          <w:lang w:val="en-US"/>
        </w:rPr>
        <w:t xml:space="preserve"> recommended, in the corrected second draft of the act, changes regarding the number of </w:t>
      </w:r>
      <w:proofErr w:type="spellStart"/>
      <w:r w:rsidRPr="009A79BF">
        <w:rPr>
          <w:i/>
          <w:iCs/>
          <w:lang w:val="en-US"/>
        </w:rPr>
        <w:t>Shari’a</w:t>
      </w:r>
      <w:proofErr w:type="spellEnd"/>
      <w:r w:rsidRPr="009B482F">
        <w:rPr>
          <w:lang w:val="en-US"/>
        </w:rPr>
        <w:t xml:space="preserve"> controllers, their qualifications, and most notably, their duties. </w:t>
      </w:r>
      <w:r>
        <w:rPr>
          <w:lang w:val="en-US"/>
        </w:rPr>
        <w:t xml:space="preserve">The Committee wanted three controllers, with an educational background in Islamic religious studies or law and at least 10 years’ experience as scholars.  The revised </w:t>
      </w:r>
      <w:r w:rsidRPr="009B482F">
        <w:rPr>
          <w:lang w:val="en-US"/>
        </w:rPr>
        <w:t>Article 27</w:t>
      </w:r>
      <w:r>
        <w:rPr>
          <w:lang w:val="en-US"/>
        </w:rPr>
        <w:t xml:space="preserve"> imposed a list of specific duties on the </w:t>
      </w:r>
      <w:proofErr w:type="spellStart"/>
      <w:r>
        <w:rPr>
          <w:i/>
          <w:lang w:val="en-US"/>
        </w:rPr>
        <w:t>Shari’a</w:t>
      </w:r>
      <w:proofErr w:type="spellEnd"/>
      <w:r>
        <w:rPr>
          <w:lang w:val="en-US"/>
        </w:rPr>
        <w:t xml:space="preserve"> controllers, involving both a review of the forms of standard transactions before they were introduced and an assessment of losses on investments financed through </w:t>
      </w:r>
      <w:proofErr w:type="spellStart"/>
      <w:r>
        <w:rPr>
          <w:i/>
          <w:lang w:val="en-US"/>
        </w:rPr>
        <w:t>mudaraba</w:t>
      </w:r>
      <w:proofErr w:type="spellEnd"/>
      <w:r>
        <w:rPr>
          <w:lang w:val="en-US"/>
        </w:rPr>
        <w:t>.  This duty was introduced indirectly through Article 23 of the second draft, which deals with</w:t>
      </w:r>
      <w:r w:rsidRPr="009B482F">
        <w:rPr>
          <w:lang w:val="en-US"/>
        </w:rPr>
        <w:t xml:space="preserve"> cases </w:t>
      </w:r>
      <w:r>
        <w:rPr>
          <w:lang w:val="en-US"/>
        </w:rPr>
        <w:t>when such</w:t>
      </w:r>
      <w:r w:rsidRPr="009B482F">
        <w:rPr>
          <w:lang w:val="en-US"/>
        </w:rPr>
        <w:t xml:space="preserve"> investments yield losses.</w:t>
      </w:r>
      <w:r>
        <w:rPr>
          <w:lang w:val="en-US"/>
        </w:rPr>
        <w:t xml:space="preserve"> </w:t>
      </w:r>
      <w:r w:rsidRPr="009B482F">
        <w:rPr>
          <w:lang w:val="en-US"/>
        </w:rPr>
        <w:t xml:space="preserve"> As there was a conflict regarding the guarantee of deposits, </w:t>
      </w:r>
      <w:r>
        <w:rPr>
          <w:lang w:val="en-US"/>
        </w:rPr>
        <w:t xml:space="preserve">the </w:t>
      </w:r>
      <w:r w:rsidRPr="009B482F">
        <w:rPr>
          <w:lang w:val="en-US"/>
        </w:rPr>
        <w:t>F</w:t>
      </w:r>
      <w:r>
        <w:rPr>
          <w:lang w:val="en-US"/>
        </w:rPr>
        <w:t xml:space="preserve">atwa </w:t>
      </w:r>
      <w:r w:rsidRPr="009B482F">
        <w:rPr>
          <w:lang w:val="en-US"/>
        </w:rPr>
        <w:t>C</w:t>
      </w:r>
      <w:r>
        <w:rPr>
          <w:lang w:val="en-US"/>
        </w:rPr>
        <w:t>ommittee</w:t>
      </w:r>
      <w:r w:rsidRPr="009B482F">
        <w:rPr>
          <w:lang w:val="en-US"/>
        </w:rPr>
        <w:t xml:space="preserve"> was willing to include in the act the necessary assurance that the losses incurred w</w:t>
      </w:r>
      <w:r>
        <w:rPr>
          <w:lang w:val="en-US"/>
        </w:rPr>
        <w:t>ould</w:t>
      </w:r>
      <w:r w:rsidRPr="009B482F">
        <w:rPr>
          <w:lang w:val="en-US"/>
        </w:rPr>
        <w:t xml:space="preserve"> not be assigned to the bank itself unless necessary, </w:t>
      </w:r>
      <w:r>
        <w:rPr>
          <w:lang w:val="en-US"/>
        </w:rPr>
        <w:t>rather than</w:t>
      </w:r>
      <w:r w:rsidRPr="009B482F">
        <w:rPr>
          <w:lang w:val="en-US"/>
        </w:rPr>
        <w:t xml:space="preserve"> to the investment account holders. </w:t>
      </w:r>
      <w:r>
        <w:rPr>
          <w:lang w:val="en-US"/>
        </w:rPr>
        <w:t xml:space="preserve"> </w:t>
      </w:r>
      <w:r w:rsidRPr="009B482F">
        <w:rPr>
          <w:lang w:val="en-US"/>
        </w:rPr>
        <w:t>Th</w:t>
      </w:r>
      <w:r>
        <w:rPr>
          <w:lang w:val="en-US"/>
        </w:rPr>
        <w:t>is was</w:t>
      </w:r>
      <w:r w:rsidRPr="009B482F">
        <w:rPr>
          <w:lang w:val="en-US"/>
        </w:rPr>
        <w:t xml:space="preserve"> another way of assuring that deposits would not be guaranteed, as </w:t>
      </w:r>
      <w:r>
        <w:rPr>
          <w:lang w:val="en-US"/>
        </w:rPr>
        <w:t>it was designed to prevent</w:t>
      </w:r>
      <w:r w:rsidRPr="009B482F">
        <w:rPr>
          <w:lang w:val="en-US"/>
        </w:rPr>
        <w:t xml:space="preserve"> the bank </w:t>
      </w:r>
      <w:r>
        <w:rPr>
          <w:lang w:val="en-US"/>
        </w:rPr>
        <w:t>simply absorbing</w:t>
      </w:r>
      <w:r w:rsidRPr="009B482F">
        <w:rPr>
          <w:lang w:val="en-US"/>
        </w:rPr>
        <w:t xml:space="preserve"> any </w:t>
      </w:r>
      <w:r>
        <w:rPr>
          <w:lang w:val="en-US"/>
        </w:rPr>
        <w:t xml:space="preserve">investment </w:t>
      </w:r>
      <w:r w:rsidRPr="009B482F">
        <w:rPr>
          <w:lang w:val="en-US"/>
        </w:rPr>
        <w:t>losses</w:t>
      </w:r>
      <w:r>
        <w:rPr>
          <w:lang w:val="en-US"/>
        </w:rPr>
        <w:t xml:space="preserve"> rather than allocating them to depositors.</w:t>
      </w:r>
      <w:r w:rsidRPr="009B482F">
        <w:rPr>
          <w:lang w:val="en-US"/>
        </w:rPr>
        <w:t xml:space="preserve"> </w:t>
      </w:r>
      <w:r>
        <w:rPr>
          <w:lang w:val="en-US"/>
        </w:rPr>
        <w:t xml:space="preserve"> T</w:t>
      </w:r>
      <w:r w:rsidRPr="009B482F">
        <w:rPr>
          <w:lang w:val="en-US"/>
        </w:rPr>
        <w:t>he F</w:t>
      </w:r>
      <w:r>
        <w:rPr>
          <w:lang w:val="en-US"/>
        </w:rPr>
        <w:t xml:space="preserve">atwa </w:t>
      </w:r>
      <w:r w:rsidRPr="009B482F">
        <w:rPr>
          <w:lang w:val="en-US"/>
        </w:rPr>
        <w:t>C</w:t>
      </w:r>
      <w:r>
        <w:rPr>
          <w:lang w:val="en-US"/>
        </w:rPr>
        <w:t>ommittee</w:t>
      </w:r>
      <w:r w:rsidRPr="009B482F">
        <w:rPr>
          <w:lang w:val="en-US"/>
        </w:rPr>
        <w:t xml:space="preserve"> recommended that the </w:t>
      </w:r>
      <w:proofErr w:type="spellStart"/>
      <w:r w:rsidRPr="009A79BF">
        <w:rPr>
          <w:i/>
          <w:iCs/>
          <w:lang w:val="en-US"/>
        </w:rPr>
        <w:t>Shari’a</w:t>
      </w:r>
      <w:proofErr w:type="spellEnd"/>
      <w:r w:rsidRPr="009B482F">
        <w:rPr>
          <w:lang w:val="en-US"/>
        </w:rPr>
        <w:t xml:space="preserve"> </w:t>
      </w:r>
      <w:r>
        <w:rPr>
          <w:lang w:val="en-US"/>
        </w:rPr>
        <w:t>C</w:t>
      </w:r>
      <w:r w:rsidRPr="009B482F">
        <w:rPr>
          <w:lang w:val="en-US"/>
        </w:rPr>
        <w:t xml:space="preserve">ontrollers, </w:t>
      </w:r>
      <w:r>
        <w:rPr>
          <w:lang w:val="en-US"/>
        </w:rPr>
        <w:t>bank directors</w:t>
      </w:r>
      <w:r w:rsidRPr="009B482F">
        <w:rPr>
          <w:lang w:val="en-US"/>
        </w:rPr>
        <w:t xml:space="preserve"> and in some cases external experts should examine losses</w:t>
      </w:r>
      <w:r w:rsidRPr="00D87A1E">
        <w:rPr>
          <w:lang w:val="en-US"/>
        </w:rPr>
        <w:t xml:space="preserve"> </w:t>
      </w:r>
      <w:r w:rsidRPr="009B482F">
        <w:rPr>
          <w:lang w:val="en-US"/>
        </w:rPr>
        <w:t xml:space="preserve">in investments financed by investment account </w:t>
      </w:r>
      <w:r w:rsidRPr="009B482F">
        <w:rPr>
          <w:lang w:val="en-US"/>
        </w:rPr>
        <w:lastRenderedPageBreak/>
        <w:t xml:space="preserve">holders. </w:t>
      </w:r>
      <w:r>
        <w:rPr>
          <w:lang w:val="en-US"/>
        </w:rPr>
        <w:t xml:space="preserve"> </w:t>
      </w:r>
      <w:r w:rsidRPr="009B482F">
        <w:rPr>
          <w:lang w:val="en-US"/>
        </w:rPr>
        <w:t xml:space="preserve">The </w:t>
      </w:r>
      <w:proofErr w:type="spellStart"/>
      <w:r w:rsidRPr="009A79BF">
        <w:rPr>
          <w:i/>
          <w:lang w:val="en-US"/>
        </w:rPr>
        <w:t>Shari’a</w:t>
      </w:r>
      <w:proofErr w:type="spellEnd"/>
      <w:r w:rsidRPr="009B482F">
        <w:rPr>
          <w:lang w:val="en-US"/>
        </w:rPr>
        <w:t xml:space="preserve"> Controllers </w:t>
      </w:r>
      <w:r>
        <w:rPr>
          <w:lang w:val="en-US"/>
        </w:rPr>
        <w:t>would be</w:t>
      </w:r>
      <w:r w:rsidRPr="009B482F">
        <w:rPr>
          <w:lang w:val="en-US"/>
        </w:rPr>
        <w:t xml:space="preserve"> responsible </w:t>
      </w:r>
      <w:r>
        <w:rPr>
          <w:lang w:val="en-US"/>
        </w:rPr>
        <w:t>for deciding</w:t>
      </w:r>
      <w:r w:rsidRPr="009B482F">
        <w:rPr>
          <w:lang w:val="en-US"/>
        </w:rPr>
        <w:t xml:space="preserve"> wh</w:t>
      </w:r>
      <w:r>
        <w:rPr>
          <w:lang w:val="en-US"/>
        </w:rPr>
        <w:t>ether the bank or the investors were</w:t>
      </w:r>
      <w:r w:rsidRPr="009B482F">
        <w:rPr>
          <w:lang w:val="en-US"/>
        </w:rPr>
        <w:t xml:space="preserve"> to </w:t>
      </w:r>
      <w:r>
        <w:rPr>
          <w:lang w:val="en-US"/>
        </w:rPr>
        <w:t>bear</w:t>
      </w:r>
      <w:r w:rsidRPr="009B482F">
        <w:rPr>
          <w:lang w:val="en-US"/>
        </w:rPr>
        <w:t xml:space="preserve"> the losses. </w:t>
      </w:r>
    </w:p>
    <w:p w:rsidR="00631CC8" w:rsidRPr="009B482F" w:rsidRDefault="00631CC8" w:rsidP="00F36243">
      <w:pPr>
        <w:rPr>
          <w:lang w:val="en-US"/>
        </w:rPr>
      </w:pPr>
      <w:r w:rsidRPr="009B482F">
        <w:rPr>
          <w:lang w:val="en-US"/>
        </w:rPr>
        <w:t xml:space="preserve">The Members of </w:t>
      </w:r>
      <w:r>
        <w:rPr>
          <w:lang w:val="en-US"/>
        </w:rPr>
        <w:t xml:space="preserve">the </w:t>
      </w:r>
      <w:r w:rsidRPr="009B482F">
        <w:rPr>
          <w:lang w:val="en-US"/>
        </w:rPr>
        <w:t>F</w:t>
      </w:r>
      <w:r>
        <w:rPr>
          <w:lang w:val="en-US"/>
        </w:rPr>
        <w:t xml:space="preserve">atwa </w:t>
      </w:r>
      <w:r w:rsidRPr="009B482F">
        <w:rPr>
          <w:lang w:val="en-US"/>
        </w:rPr>
        <w:t>C</w:t>
      </w:r>
      <w:r>
        <w:rPr>
          <w:lang w:val="en-US"/>
        </w:rPr>
        <w:t>ommittee</w:t>
      </w:r>
      <w:r w:rsidRPr="009B482F">
        <w:rPr>
          <w:lang w:val="en-US"/>
        </w:rPr>
        <w:t xml:space="preserve">, </w:t>
      </w:r>
      <w:proofErr w:type="spellStart"/>
      <w:r>
        <w:rPr>
          <w:lang w:val="en-US"/>
        </w:rPr>
        <w:t>Hamoud</w:t>
      </w:r>
      <w:proofErr w:type="spellEnd"/>
      <w:r>
        <w:rPr>
          <w:lang w:val="en-US"/>
        </w:rPr>
        <w:t>,</w:t>
      </w:r>
      <w:r w:rsidRPr="009B482F">
        <w:rPr>
          <w:lang w:val="en-US"/>
        </w:rPr>
        <w:t xml:space="preserve"> and the Religious Affairs Min</w:t>
      </w:r>
      <w:r>
        <w:rPr>
          <w:lang w:val="en-US"/>
        </w:rPr>
        <w:t>i</w:t>
      </w:r>
      <w:r w:rsidRPr="009B482F">
        <w:rPr>
          <w:lang w:val="en-US"/>
        </w:rPr>
        <w:t xml:space="preserve">ster signed the second draft of the act, </w:t>
      </w:r>
      <w:r>
        <w:rPr>
          <w:lang w:val="en-US"/>
        </w:rPr>
        <w:t>incorporating</w:t>
      </w:r>
      <w:r w:rsidRPr="009B482F">
        <w:rPr>
          <w:lang w:val="en-US"/>
        </w:rPr>
        <w:t xml:space="preserve"> the </w:t>
      </w:r>
      <w:r>
        <w:rPr>
          <w:lang w:val="en-US"/>
        </w:rPr>
        <w:t>amendments</w:t>
      </w:r>
      <w:r w:rsidRPr="009B482F">
        <w:rPr>
          <w:lang w:val="en-US"/>
        </w:rPr>
        <w:t xml:space="preserve"> suggested by </w:t>
      </w:r>
      <w:r>
        <w:rPr>
          <w:lang w:val="en-US"/>
        </w:rPr>
        <w:t xml:space="preserve">the </w:t>
      </w:r>
      <w:r w:rsidRPr="009B482F">
        <w:rPr>
          <w:lang w:val="en-US"/>
        </w:rPr>
        <w:t>C</w:t>
      </w:r>
      <w:r>
        <w:rPr>
          <w:lang w:val="en-US"/>
        </w:rPr>
        <w:t>ommittee</w:t>
      </w:r>
      <w:r w:rsidRPr="009B482F">
        <w:rPr>
          <w:lang w:val="en-US"/>
        </w:rPr>
        <w:t>.</w:t>
      </w:r>
      <w:r>
        <w:rPr>
          <w:lang w:val="en-US"/>
        </w:rPr>
        <w:t xml:space="preserve"> </w:t>
      </w:r>
      <w:r w:rsidRPr="009B482F">
        <w:rPr>
          <w:lang w:val="en-US"/>
        </w:rPr>
        <w:t xml:space="preserve"> </w:t>
      </w:r>
      <w:r>
        <w:rPr>
          <w:lang w:val="en-US"/>
        </w:rPr>
        <w:t>The draft</w:t>
      </w:r>
      <w:r w:rsidRPr="009B482F">
        <w:rPr>
          <w:lang w:val="en-US"/>
        </w:rPr>
        <w:t xml:space="preserve"> was sent to the Prime Minist</w:t>
      </w:r>
      <w:r>
        <w:rPr>
          <w:lang w:val="en-US"/>
        </w:rPr>
        <w:t>e</w:t>
      </w:r>
      <w:r w:rsidRPr="009B482F">
        <w:rPr>
          <w:lang w:val="en-US"/>
        </w:rPr>
        <w:t>r</w:t>
      </w:r>
      <w:r>
        <w:rPr>
          <w:lang w:val="en-US"/>
        </w:rPr>
        <w:t>’s Office</w:t>
      </w:r>
      <w:r w:rsidRPr="009B482F">
        <w:rPr>
          <w:lang w:val="en-US"/>
        </w:rPr>
        <w:t xml:space="preserve"> to be issued as an act.</w:t>
      </w:r>
      <w:r>
        <w:rPr>
          <w:lang w:val="en-US"/>
        </w:rPr>
        <w:t xml:space="preserve"> </w:t>
      </w:r>
      <w:r w:rsidRPr="009B482F">
        <w:rPr>
          <w:lang w:val="en-US"/>
        </w:rPr>
        <w:t xml:space="preserve"> </w:t>
      </w:r>
      <w:r>
        <w:rPr>
          <w:lang w:val="en-US"/>
        </w:rPr>
        <w:t xml:space="preserve">However, when </w:t>
      </w:r>
      <w:r w:rsidRPr="009B482F">
        <w:rPr>
          <w:lang w:val="en-US"/>
        </w:rPr>
        <w:t xml:space="preserve">the </w:t>
      </w:r>
      <w:r>
        <w:rPr>
          <w:lang w:val="en-US"/>
        </w:rPr>
        <w:t>a</w:t>
      </w:r>
      <w:r w:rsidRPr="009B482F">
        <w:rPr>
          <w:lang w:val="en-US"/>
        </w:rPr>
        <w:t xml:space="preserve">ct was issued, </w:t>
      </w:r>
      <w:r>
        <w:rPr>
          <w:lang w:val="en-US"/>
        </w:rPr>
        <w:t xml:space="preserve">there were </w:t>
      </w:r>
      <w:r w:rsidRPr="009B482F">
        <w:rPr>
          <w:lang w:val="en-US"/>
        </w:rPr>
        <w:t xml:space="preserve">many </w:t>
      </w:r>
      <w:r>
        <w:rPr>
          <w:lang w:val="en-US"/>
        </w:rPr>
        <w:t xml:space="preserve">unexpected changes. </w:t>
      </w:r>
      <w:r w:rsidRPr="009B482F">
        <w:rPr>
          <w:lang w:val="en-US"/>
        </w:rPr>
        <w:t xml:space="preserve"> </w:t>
      </w:r>
      <w:r>
        <w:rPr>
          <w:lang w:val="en-US"/>
        </w:rPr>
        <w:t>T</w:t>
      </w:r>
      <w:r w:rsidRPr="009B482F">
        <w:rPr>
          <w:lang w:val="en-US"/>
        </w:rPr>
        <w:t xml:space="preserve">he whole </w:t>
      </w:r>
      <w:r>
        <w:rPr>
          <w:lang w:val="en-US"/>
        </w:rPr>
        <w:t>of A</w:t>
      </w:r>
      <w:r w:rsidRPr="009B482F">
        <w:rPr>
          <w:lang w:val="en-US"/>
        </w:rPr>
        <w:t xml:space="preserve">rticle 23 as suggested by </w:t>
      </w:r>
      <w:r>
        <w:rPr>
          <w:lang w:val="en-US"/>
        </w:rPr>
        <w:t xml:space="preserve">the </w:t>
      </w:r>
      <w:r w:rsidRPr="009B482F">
        <w:rPr>
          <w:lang w:val="en-US"/>
        </w:rPr>
        <w:t>F</w:t>
      </w:r>
      <w:r>
        <w:rPr>
          <w:lang w:val="en-US"/>
        </w:rPr>
        <w:t xml:space="preserve">atwa </w:t>
      </w:r>
      <w:r w:rsidRPr="009B482F">
        <w:rPr>
          <w:lang w:val="en-US"/>
        </w:rPr>
        <w:t>C</w:t>
      </w:r>
      <w:r>
        <w:rPr>
          <w:lang w:val="en-US"/>
        </w:rPr>
        <w:t>ommittee</w:t>
      </w:r>
      <w:r w:rsidRPr="009B482F">
        <w:rPr>
          <w:lang w:val="en-US"/>
        </w:rPr>
        <w:t xml:space="preserve"> </w:t>
      </w:r>
      <w:r>
        <w:rPr>
          <w:lang w:val="en-US"/>
        </w:rPr>
        <w:t>had been</w:t>
      </w:r>
      <w:r w:rsidRPr="009B482F">
        <w:rPr>
          <w:lang w:val="en-US"/>
        </w:rPr>
        <w:t xml:space="preserve"> deleted.</w:t>
      </w:r>
      <w:r>
        <w:rPr>
          <w:lang w:val="en-US"/>
        </w:rPr>
        <w:t xml:space="preserve"> </w:t>
      </w:r>
      <w:r w:rsidRPr="009B482F">
        <w:rPr>
          <w:lang w:val="en-US"/>
        </w:rPr>
        <w:t xml:space="preserve"> More surprisingly, </w:t>
      </w:r>
      <w:r>
        <w:rPr>
          <w:lang w:val="en-US"/>
        </w:rPr>
        <w:t>A</w:t>
      </w:r>
      <w:r w:rsidRPr="009B482F">
        <w:rPr>
          <w:lang w:val="en-US"/>
        </w:rPr>
        <w:t xml:space="preserve">rticle 27 </w:t>
      </w:r>
      <w:r>
        <w:rPr>
          <w:lang w:val="en-US"/>
        </w:rPr>
        <w:t>had been entirely</w:t>
      </w:r>
      <w:r w:rsidRPr="009B482F">
        <w:rPr>
          <w:lang w:val="en-US"/>
        </w:rPr>
        <w:t xml:space="preserve"> changed. </w:t>
      </w:r>
      <w:r>
        <w:rPr>
          <w:lang w:val="en-US"/>
        </w:rPr>
        <w:t xml:space="preserve"> A</w:t>
      </w:r>
      <w:r w:rsidRPr="009B482F">
        <w:rPr>
          <w:lang w:val="en-US"/>
        </w:rPr>
        <w:t xml:space="preserve"> </w:t>
      </w:r>
      <w:r>
        <w:rPr>
          <w:lang w:val="en-US"/>
        </w:rPr>
        <w:t xml:space="preserve">single </w:t>
      </w:r>
      <w:proofErr w:type="spellStart"/>
      <w:r w:rsidRPr="009A79BF">
        <w:rPr>
          <w:i/>
          <w:iCs/>
          <w:lang w:val="en-US"/>
        </w:rPr>
        <w:t>Shari’a</w:t>
      </w:r>
      <w:proofErr w:type="spellEnd"/>
      <w:r w:rsidRPr="009B482F">
        <w:rPr>
          <w:lang w:val="en-US"/>
        </w:rPr>
        <w:t xml:space="preserve"> </w:t>
      </w:r>
      <w:r>
        <w:rPr>
          <w:lang w:val="en-US"/>
        </w:rPr>
        <w:t>C</w:t>
      </w:r>
      <w:r w:rsidRPr="009B482F">
        <w:rPr>
          <w:lang w:val="en-US"/>
        </w:rPr>
        <w:t xml:space="preserve">onsultant </w:t>
      </w:r>
      <w:r>
        <w:rPr>
          <w:lang w:val="en-US"/>
        </w:rPr>
        <w:t xml:space="preserve">appointed (and subject to dismissal) by the Board of Directors </w:t>
      </w:r>
      <w:r w:rsidRPr="009B482F">
        <w:rPr>
          <w:lang w:val="en-US"/>
        </w:rPr>
        <w:t>replaced</w:t>
      </w:r>
      <w:r>
        <w:rPr>
          <w:lang w:val="en-US"/>
        </w:rPr>
        <w:t xml:space="preserve"> three</w:t>
      </w:r>
      <w:r w:rsidRPr="009B482F">
        <w:rPr>
          <w:lang w:val="en-US"/>
        </w:rPr>
        <w:t xml:space="preserve"> </w:t>
      </w:r>
      <w:proofErr w:type="spellStart"/>
      <w:r w:rsidRPr="009A79BF">
        <w:rPr>
          <w:i/>
          <w:iCs/>
          <w:lang w:val="en-US"/>
        </w:rPr>
        <w:t>Shari’a</w:t>
      </w:r>
      <w:proofErr w:type="spellEnd"/>
      <w:r w:rsidRPr="009B482F">
        <w:rPr>
          <w:lang w:val="en-US"/>
        </w:rPr>
        <w:t xml:space="preserve"> Controllers</w:t>
      </w:r>
      <w:r>
        <w:rPr>
          <w:lang w:val="en-US"/>
        </w:rPr>
        <w:t xml:space="preserve"> elected by the General Assembly. The Consultant was</w:t>
      </w:r>
      <w:r w:rsidRPr="009B482F">
        <w:rPr>
          <w:lang w:val="en-US"/>
        </w:rPr>
        <w:t xml:space="preserve"> required to provide an opinion </w:t>
      </w:r>
      <w:r>
        <w:rPr>
          <w:lang w:val="en-US"/>
        </w:rPr>
        <w:t xml:space="preserve">only </w:t>
      </w:r>
      <w:r w:rsidRPr="009B482F">
        <w:rPr>
          <w:lang w:val="en-US"/>
        </w:rPr>
        <w:t>on very specific matters</w:t>
      </w:r>
      <w:r>
        <w:rPr>
          <w:lang w:val="en-US"/>
        </w:rPr>
        <w:t xml:space="preserve">: whether transactions involved </w:t>
      </w:r>
      <w:proofErr w:type="spellStart"/>
      <w:r>
        <w:rPr>
          <w:i/>
          <w:lang w:val="en-US"/>
        </w:rPr>
        <w:t>riba</w:t>
      </w:r>
      <w:proofErr w:type="spellEnd"/>
      <w:r>
        <w:rPr>
          <w:lang w:val="en-US"/>
        </w:rPr>
        <w:t>, and whether there was religious authority in the event that the bank undertook to bear any losses</w:t>
      </w:r>
      <w:r w:rsidRPr="009B482F">
        <w:rPr>
          <w:lang w:val="en-US"/>
        </w:rPr>
        <w:t>.</w:t>
      </w:r>
      <w:r>
        <w:rPr>
          <w:lang w:val="en-US"/>
        </w:rPr>
        <w:t xml:space="preserve">  So why did the government make these radical changes?  According to the interviewees, who included members of the Fatwa Committee as well as the bank’s founder, there was no benefit to the government</w:t>
      </w:r>
      <w:r w:rsidRPr="009B482F">
        <w:rPr>
          <w:lang w:val="en-US"/>
        </w:rPr>
        <w:t xml:space="preserve"> </w:t>
      </w:r>
      <w:r>
        <w:rPr>
          <w:lang w:val="en-US"/>
        </w:rPr>
        <w:t>as a result of</w:t>
      </w:r>
      <w:r w:rsidRPr="009B482F">
        <w:rPr>
          <w:lang w:val="en-US"/>
        </w:rPr>
        <w:t xml:space="preserve"> chang</w:t>
      </w:r>
      <w:r>
        <w:rPr>
          <w:lang w:val="en-US"/>
        </w:rPr>
        <w:t>ing</w:t>
      </w:r>
      <w:r w:rsidRPr="009B482F">
        <w:rPr>
          <w:lang w:val="en-US"/>
        </w:rPr>
        <w:t xml:space="preserve"> the recommendations of the </w:t>
      </w:r>
      <w:r>
        <w:rPr>
          <w:lang w:val="en-US"/>
        </w:rPr>
        <w:t>Committee</w:t>
      </w:r>
      <w:r w:rsidRPr="009B482F">
        <w:rPr>
          <w:lang w:val="en-US"/>
        </w:rPr>
        <w:t xml:space="preserve">. </w:t>
      </w:r>
      <w:r>
        <w:rPr>
          <w:lang w:val="en-US"/>
        </w:rPr>
        <w:t xml:space="preserve"> </w:t>
      </w:r>
      <w:r w:rsidRPr="009B482F">
        <w:rPr>
          <w:lang w:val="en-US"/>
        </w:rPr>
        <w:t xml:space="preserve">The government </w:t>
      </w:r>
      <w:r>
        <w:rPr>
          <w:lang w:val="en-US"/>
        </w:rPr>
        <w:t xml:space="preserve">has no experience in Islamic banking, and </w:t>
      </w:r>
      <w:r w:rsidRPr="009B482F">
        <w:rPr>
          <w:lang w:val="en-US"/>
        </w:rPr>
        <w:t xml:space="preserve">considered </w:t>
      </w:r>
      <w:proofErr w:type="spellStart"/>
      <w:r>
        <w:rPr>
          <w:lang w:val="en-US"/>
        </w:rPr>
        <w:t>Hamoud</w:t>
      </w:r>
      <w:proofErr w:type="spellEnd"/>
      <w:r>
        <w:rPr>
          <w:lang w:val="en-US"/>
        </w:rPr>
        <w:t xml:space="preserve"> and </w:t>
      </w:r>
      <w:r w:rsidRPr="009B482F">
        <w:rPr>
          <w:lang w:val="en-US"/>
        </w:rPr>
        <w:t xml:space="preserve">the </w:t>
      </w:r>
      <w:r>
        <w:rPr>
          <w:lang w:val="en-US"/>
        </w:rPr>
        <w:t xml:space="preserve">Committee to be </w:t>
      </w:r>
      <w:r w:rsidRPr="009B482F">
        <w:rPr>
          <w:lang w:val="en-US"/>
        </w:rPr>
        <w:t>the experts. T</w:t>
      </w:r>
      <w:r>
        <w:rPr>
          <w:lang w:val="en-US"/>
        </w:rPr>
        <w:t xml:space="preserve">he </w:t>
      </w:r>
      <w:r w:rsidRPr="009B482F">
        <w:rPr>
          <w:lang w:val="en-US"/>
        </w:rPr>
        <w:t>major shareholder</w:t>
      </w:r>
      <w:r>
        <w:rPr>
          <w:lang w:val="en-US"/>
        </w:rPr>
        <w:t xml:space="preserve"> (</w:t>
      </w:r>
      <w:proofErr w:type="spellStart"/>
      <w:r>
        <w:rPr>
          <w:lang w:val="en-US"/>
        </w:rPr>
        <w:t>Saleh</w:t>
      </w:r>
      <w:proofErr w:type="spellEnd"/>
      <w:r>
        <w:rPr>
          <w:lang w:val="en-US"/>
        </w:rPr>
        <w:t xml:space="preserve"> </w:t>
      </w:r>
      <w:proofErr w:type="spellStart"/>
      <w:r>
        <w:rPr>
          <w:lang w:val="en-US"/>
        </w:rPr>
        <w:t>Kemal</w:t>
      </w:r>
      <w:proofErr w:type="spellEnd"/>
      <w:r>
        <w:rPr>
          <w:lang w:val="en-US"/>
        </w:rPr>
        <w:t>)</w:t>
      </w:r>
      <w:r w:rsidRPr="009B482F">
        <w:rPr>
          <w:lang w:val="en-US"/>
        </w:rPr>
        <w:t xml:space="preserve"> </w:t>
      </w:r>
      <w:r>
        <w:rPr>
          <w:lang w:val="en-US"/>
        </w:rPr>
        <w:t xml:space="preserve">had only a marginal </w:t>
      </w:r>
      <w:r w:rsidRPr="009B482F">
        <w:rPr>
          <w:lang w:val="en-US"/>
        </w:rPr>
        <w:t>role</w:t>
      </w:r>
      <w:r>
        <w:rPr>
          <w:lang w:val="en-US"/>
        </w:rPr>
        <w:t xml:space="preserve"> </w:t>
      </w:r>
      <w:r w:rsidRPr="009B482F">
        <w:rPr>
          <w:lang w:val="en-US"/>
        </w:rPr>
        <w:t xml:space="preserve">as well, as he </w:t>
      </w:r>
      <w:r>
        <w:rPr>
          <w:lang w:val="en-US"/>
        </w:rPr>
        <w:t>relied on</w:t>
      </w:r>
      <w:r w:rsidRPr="009B482F">
        <w:rPr>
          <w:lang w:val="en-US"/>
        </w:rPr>
        <w:t xml:space="preserve"> </w:t>
      </w:r>
      <w:proofErr w:type="spellStart"/>
      <w:r w:rsidRPr="009B482F">
        <w:rPr>
          <w:lang w:val="en-US"/>
        </w:rPr>
        <w:t>H</w:t>
      </w:r>
      <w:r>
        <w:rPr>
          <w:lang w:val="en-US"/>
        </w:rPr>
        <w:t>a</w:t>
      </w:r>
      <w:r w:rsidRPr="009B482F">
        <w:rPr>
          <w:lang w:val="en-US"/>
        </w:rPr>
        <w:t>moud</w:t>
      </w:r>
      <w:proofErr w:type="spellEnd"/>
      <w:r w:rsidRPr="009B482F">
        <w:rPr>
          <w:lang w:val="en-US"/>
        </w:rPr>
        <w:t xml:space="preserve"> to </w:t>
      </w:r>
      <w:r>
        <w:rPr>
          <w:lang w:val="en-US"/>
        </w:rPr>
        <w:t>prepare the act properly.</w:t>
      </w:r>
      <w:r w:rsidRPr="009B482F">
        <w:rPr>
          <w:lang w:val="en-US"/>
        </w:rPr>
        <w:t xml:space="preserve"> </w:t>
      </w:r>
      <w:r>
        <w:rPr>
          <w:lang w:val="en-US"/>
        </w:rPr>
        <w:t xml:space="preserve"> </w:t>
      </w:r>
      <w:r w:rsidRPr="009B482F">
        <w:rPr>
          <w:lang w:val="en-US"/>
        </w:rPr>
        <w:t xml:space="preserve">However, the conflicts between </w:t>
      </w:r>
      <w:proofErr w:type="spellStart"/>
      <w:r>
        <w:rPr>
          <w:lang w:val="en-US"/>
        </w:rPr>
        <w:t>Hamoud</w:t>
      </w:r>
      <w:proofErr w:type="spellEnd"/>
      <w:r>
        <w:rPr>
          <w:lang w:val="en-US"/>
        </w:rPr>
        <w:t xml:space="preserve"> and other</w:t>
      </w:r>
      <w:r w:rsidRPr="009B482F">
        <w:rPr>
          <w:lang w:val="en-US"/>
        </w:rPr>
        <w:t xml:space="preserve"> members of </w:t>
      </w:r>
      <w:r>
        <w:rPr>
          <w:lang w:val="en-US"/>
        </w:rPr>
        <w:t xml:space="preserve">the </w:t>
      </w:r>
      <w:r w:rsidRPr="009B482F">
        <w:rPr>
          <w:lang w:val="en-US"/>
        </w:rPr>
        <w:t>C</w:t>
      </w:r>
      <w:r>
        <w:rPr>
          <w:lang w:val="en-US"/>
        </w:rPr>
        <w:t>ommittee</w:t>
      </w:r>
      <w:r w:rsidRPr="009B482F">
        <w:rPr>
          <w:lang w:val="en-US"/>
        </w:rPr>
        <w:t xml:space="preserve"> during the discussion of the first draft and </w:t>
      </w:r>
      <w:r>
        <w:rPr>
          <w:lang w:val="en-US"/>
        </w:rPr>
        <w:t>the development of the</w:t>
      </w:r>
      <w:r w:rsidRPr="009B482F">
        <w:rPr>
          <w:lang w:val="en-US"/>
        </w:rPr>
        <w:t xml:space="preserve"> second </w:t>
      </w:r>
      <w:r>
        <w:rPr>
          <w:lang w:val="en-US"/>
        </w:rPr>
        <w:t>draft</w:t>
      </w:r>
      <w:r w:rsidRPr="009B482F">
        <w:rPr>
          <w:lang w:val="en-US"/>
        </w:rPr>
        <w:t xml:space="preserve"> </w:t>
      </w:r>
      <w:r>
        <w:rPr>
          <w:lang w:val="en-US"/>
        </w:rPr>
        <w:t>were of significance here.</w:t>
      </w:r>
      <w:r w:rsidRPr="009B482F">
        <w:rPr>
          <w:lang w:val="en-US"/>
        </w:rPr>
        <w:t xml:space="preserve"> </w:t>
      </w:r>
    </w:p>
    <w:p w:rsidR="00631CC8" w:rsidRPr="009B482F" w:rsidRDefault="00631CC8" w:rsidP="00F36243">
      <w:pPr>
        <w:rPr>
          <w:lang w:val="en-US"/>
        </w:rPr>
      </w:pPr>
      <w:r w:rsidRPr="009B482F">
        <w:rPr>
          <w:lang w:val="en-US"/>
        </w:rPr>
        <w:t xml:space="preserve">After </w:t>
      </w:r>
      <w:r>
        <w:rPr>
          <w:lang w:val="en-US"/>
        </w:rPr>
        <w:t xml:space="preserve">the Fatwa Committee had </w:t>
      </w:r>
      <w:r w:rsidRPr="009B482F">
        <w:rPr>
          <w:lang w:val="en-US"/>
        </w:rPr>
        <w:t>appro</w:t>
      </w:r>
      <w:r>
        <w:rPr>
          <w:lang w:val="en-US"/>
        </w:rPr>
        <w:t>ved</w:t>
      </w:r>
      <w:r w:rsidRPr="009B482F">
        <w:rPr>
          <w:lang w:val="en-US"/>
        </w:rPr>
        <w:t xml:space="preserve"> the second draft</w:t>
      </w:r>
      <w:r>
        <w:rPr>
          <w:lang w:val="en-US"/>
        </w:rPr>
        <w:t>,</w:t>
      </w:r>
      <w:r w:rsidRPr="009B482F">
        <w:rPr>
          <w:lang w:val="en-US"/>
        </w:rPr>
        <w:t xml:space="preserve"> the </w:t>
      </w:r>
      <w:r>
        <w:rPr>
          <w:lang w:val="en-US"/>
        </w:rPr>
        <w:t>government took more than a year to issue the act</w:t>
      </w:r>
      <w:r w:rsidRPr="009B482F">
        <w:rPr>
          <w:lang w:val="en-US"/>
        </w:rPr>
        <w:t xml:space="preserve">. </w:t>
      </w:r>
      <w:r>
        <w:rPr>
          <w:lang w:val="en-US"/>
        </w:rPr>
        <w:t xml:space="preserve"> During this time, </w:t>
      </w:r>
      <w:proofErr w:type="spellStart"/>
      <w:r>
        <w:rPr>
          <w:lang w:val="en-US"/>
        </w:rPr>
        <w:t>Hamoud</w:t>
      </w:r>
      <w:proofErr w:type="spellEnd"/>
      <w:r>
        <w:rPr>
          <w:lang w:val="en-US"/>
        </w:rPr>
        <w:t xml:space="preserve"> </w:t>
      </w:r>
      <w:r w:rsidRPr="009B482F">
        <w:rPr>
          <w:lang w:val="en-US"/>
        </w:rPr>
        <w:t>met the Prime Minster regarding the act and joined the Ministers</w:t>
      </w:r>
      <w:r>
        <w:rPr>
          <w:lang w:val="en-US"/>
        </w:rPr>
        <w:t>’</w:t>
      </w:r>
      <w:r w:rsidRPr="009B482F">
        <w:rPr>
          <w:lang w:val="en-US"/>
        </w:rPr>
        <w:t xml:space="preserve"> meeting </w:t>
      </w:r>
      <w:r>
        <w:rPr>
          <w:lang w:val="en-US"/>
        </w:rPr>
        <w:t xml:space="preserve">at which the act was </w:t>
      </w:r>
      <w:r w:rsidRPr="009B482F">
        <w:rPr>
          <w:lang w:val="en-US"/>
        </w:rPr>
        <w:t>discuss</w:t>
      </w:r>
      <w:r>
        <w:rPr>
          <w:lang w:val="en-US"/>
        </w:rPr>
        <w:t>ed</w:t>
      </w:r>
      <w:r w:rsidRPr="009B482F">
        <w:rPr>
          <w:lang w:val="en-US"/>
        </w:rPr>
        <w:t xml:space="preserve">. </w:t>
      </w:r>
      <w:r>
        <w:rPr>
          <w:lang w:val="en-US"/>
        </w:rPr>
        <w:t xml:space="preserve"> It was d</w:t>
      </w:r>
      <w:r w:rsidRPr="009B482F">
        <w:rPr>
          <w:lang w:val="en-US"/>
        </w:rPr>
        <w:t xml:space="preserve">uring this </w:t>
      </w:r>
      <w:r>
        <w:rPr>
          <w:lang w:val="en-US"/>
        </w:rPr>
        <w:t>period that</w:t>
      </w:r>
      <w:r w:rsidRPr="009B482F">
        <w:rPr>
          <w:lang w:val="en-US"/>
        </w:rPr>
        <w:t xml:space="preserve"> the changes to </w:t>
      </w:r>
      <w:r>
        <w:rPr>
          <w:lang w:val="en-US"/>
        </w:rPr>
        <w:t xml:space="preserve">the form of </w:t>
      </w:r>
      <w:r w:rsidRPr="009B482F">
        <w:rPr>
          <w:lang w:val="en-US"/>
        </w:rPr>
        <w:t xml:space="preserve">religious audit </w:t>
      </w:r>
      <w:r>
        <w:rPr>
          <w:lang w:val="en-US"/>
        </w:rPr>
        <w:t>and the</w:t>
      </w:r>
      <w:r w:rsidRPr="009B482F">
        <w:rPr>
          <w:lang w:val="en-US"/>
        </w:rPr>
        <w:t xml:space="preserve"> </w:t>
      </w:r>
      <w:r>
        <w:rPr>
          <w:lang w:val="en-US"/>
        </w:rPr>
        <w:t xml:space="preserve">rights and </w:t>
      </w:r>
      <w:r w:rsidRPr="009B482F">
        <w:rPr>
          <w:lang w:val="en-US"/>
        </w:rPr>
        <w:t xml:space="preserve">duties </w:t>
      </w:r>
      <w:r>
        <w:rPr>
          <w:lang w:val="en-US"/>
        </w:rPr>
        <w:t xml:space="preserve">of the religious auditor </w:t>
      </w:r>
      <w:r w:rsidRPr="009B482F">
        <w:rPr>
          <w:lang w:val="en-US"/>
        </w:rPr>
        <w:t xml:space="preserve">took place. </w:t>
      </w:r>
      <w:r>
        <w:rPr>
          <w:lang w:val="en-US"/>
        </w:rPr>
        <w:t xml:space="preserve"> </w:t>
      </w:r>
      <w:r w:rsidRPr="009B482F">
        <w:rPr>
          <w:lang w:val="en-US"/>
        </w:rPr>
        <w:t xml:space="preserve">The strong resistance </w:t>
      </w:r>
      <w:r>
        <w:rPr>
          <w:lang w:val="en-US"/>
        </w:rPr>
        <w:t>of the religious experts on the Fatwa Committee over</w:t>
      </w:r>
      <w:r w:rsidRPr="009B482F">
        <w:rPr>
          <w:lang w:val="en-US"/>
        </w:rPr>
        <w:t xml:space="preserve"> many issues</w:t>
      </w:r>
      <w:r>
        <w:rPr>
          <w:lang w:val="en-US"/>
        </w:rPr>
        <w:t xml:space="preserve"> </w:t>
      </w:r>
      <w:r w:rsidRPr="009B482F">
        <w:rPr>
          <w:lang w:val="en-US"/>
        </w:rPr>
        <w:t xml:space="preserve">revealed a possible threat to </w:t>
      </w:r>
      <w:proofErr w:type="spellStart"/>
      <w:r>
        <w:rPr>
          <w:lang w:val="en-US"/>
        </w:rPr>
        <w:t>Hamoud’s</w:t>
      </w:r>
      <w:proofErr w:type="spellEnd"/>
      <w:r>
        <w:rPr>
          <w:lang w:val="en-US"/>
        </w:rPr>
        <w:t xml:space="preserve"> future management discretion,</w:t>
      </w:r>
      <w:r w:rsidRPr="009B482F">
        <w:rPr>
          <w:lang w:val="en-US"/>
        </w:rPr>
        <w:t xml:space="preserve"> as he became the</w:t>
      </w:r>
      <w:r>
        <w:rPr>
          <w:lang w:val="en-US"/>
        </w:rPr>
        <w:t xml:space="preserve"> bank’s</w:t>
      </w:r>
      <w:r w:rsidRPr="009B482F">
        <w:rPr>
          <w:lang w:val="en-US"/>
        </w:rPr>
        <w:t xml:space="preserve"> first general manager. </w:t>
      </w:r>
      <w:r>
        <w:rPr>
          <w:lang w:val="en-US"/>
        </w:rPr>
        <w:t xml:space="preserve"> In interviews with the first author, </w:t>
      </w:r>
      <w:proofErr w:type="spellStart"/>
      <w:r>
        <w:rPr>
          <w:lang w:val="en-US"/>
        </w:rPr>
        <w:t>Hamoud</w:t>
      </w:r>
      <w:proofErr w:type="spellEnd"/>
      <w:r w:rsidRPr="009B482F">
        <w:rPr>
          <w:lang w:val="en-US"/>
        </w:rPr>
        <w:t xml:space="preserve"> indirectly admitted his role in</w:t>
      </w:r>
      <w:r>
        <w:rPr>
          <w:lang w:val="en-US"/>
        </w:rPr>
        <w:t xml:space="preserve"> the</w:t>
      </w:r>
      <w:r w:rsidRPr="009B482F">
        <w:rPr>
          <w:lang w:val="en-US"/>
        </w:rPr>
        <w:t xml:space="preserve"> change by referring to consultation</w:t>
      </w:r>
      <w:r>
        <w:rPr>
          <w:lang w:val="en-US"/>
        </w:rPr>
        <w:t xml:space="preserve"> with him on the religious audit issue</w:t>
      </w:r>
      <w:r w:rsidRPr="009B482F">
        <w:rPr>
          <w:lang w:val="en-US"/>
        </w:rPr>
        <w:t xml:space="preserve"> b</w:t>
      </w:r>
      <w:r>
        <w:rPr>
          <w:lang w:val="en-US"/>
        </w:rPr>
        <w:t>y</w:t>
      </w:r>
      <w:r w:rsidRPr="009B482F">
        <w:rPr>
          <w:lang w:val="en-US"/>
        </w:rPr>
        <w:t xml:space="preserve"> the</w:t>
      </w:r>
      <w:r>
        <w:rPr>
          <w:lang w:val="en-US"/>
        </w:rPr>
        <w:t xml:space="preserve"> </w:t>
      </w:r>
      <w:r w:rsidRPr="009B482F">
        <w:rPr>
          <w:lang w:val="en-US"/>
        </w:rPr>
        <w:t>Prime Min</w:t>
      </w:r>
      <w:r>
        <w:rPr>
          <w:lang w:val="en-US"/>
        </w:rPr>
        <w:t>i</w:t>
      </w:r>
      <w:r w:rsidRPr="009B482F">
        <w:rPr>
          <w:lang w:val="en-US"/>
        </w:rPr>
        <w:t>ster</w:t>
      </w:r>
      <w:r>
        <w:rPr>
          <w:lang w:val="en-US"/>
        </w:rPr>
        <w:t>’s</w:t>
      </w:r>
      <w:r w:rsidRPr="009B482F">
        <w:rPr>
          <w:lang w:val="en-US"/>
        </w:rPr>
        <w:t xml:space="preserve"> Office during the process of approving the act by the government. </w:t>
      </w:r>
      <w:r>
        <w:rPr>
          <w:lang w:val="en-US"/>
        </w:rPr>
        <w:t xml:space="preserve"> </w:t>
      </w:r>
      <w:proofErr w:type="spellStart"/>
      <w:r>
        <w:rPr>
          <w:lang w:val="en-US"/>
        </w:rPr>
        <w:t>Hamoud</w:t>
      </w:r>
      <w:proofErr w:type="spellEnd"/>
      <w:r>
        <w:rPr>
          <w:lang w:val="en-US"/>
        </w:rPr>
        <w:t xml:space="preserve"> described</w:t>
      </w:r>
      <w:r w:rsidRPr="009B482F">
        <w:rPr>
          <w:lang w:val="en-US"/>
        </w:rPr>
        <w:t xml:space="preserve"> the changes </w:t>
      </w:r>
      <w:r>
        <w:rPr>
          <w:lang w:val="en-US"/>
        </w:rPr>
        <w:t xml:space="preserve">to the first draft </w:t>
      </w:r>
      <w:r w:rsidRPr="009B482F">
        <w:rPr>
          <w:lang w:val="en-US"/>
        </w:rPr>
        <w:t>recommended by the F</w:t>
      </w:r>
      <w:r>
        <w:rPr>
          <w:lang w:val="en-US"/>
        </w:rPr>
        <w:t xml:space="preserve">atwa </w:t>
      </w:r>
      <w:r w:rsidRPr="009B482F">
        <w:rPr>
          <w:lang w:val="en-US"/>
        </w:rPr>
        <w:t>C</w:t>
      </w:r>
      <w:r>
        <w:rPr>
          <w:lang w:val="en-US"/>
        </w:rPr>
        <w:t>ommittee</w:t>
      </w:r>
      <w:r w:rsidRPr="009B482F">
        <w:rPr>
          <w:lang w:val="en-US"/>
        </w:rPr>
        <w:t xml:space="preserve"> as </w:t>
      </w:r>
      <w:r>
        <w:rPr>
          <w:lang w:val="en-US"/>
        </w:rPr>
        <w:t>“</w:t>
      </w:r>
      <w:r w:rsidRPr="009B482F">
        <w:rPr>
          <w:lang w:val="en-US"/>
        </w:rPr>
        <w:t xml:space="preserve">unnecessary and were added because of non-relevant opinions by some members of </w:t>
      </w:r>
      <w:r>
        <w:rPr>
          <w:lang w:val="en-US"/>
        </w:rPr>
        <w:t xml:space="preserve">the </w:t>
      </w:r>
      <w:r w:rsidRPr="00197833">
        <w:rPr>
          <w:lang w:val="en-US"/>
        </w:rPr>
        <w:t>Fatwa</w:t>
      </w:r>
      <w:r w:rsidRPr="009B482F">
        <w:rPr>
          <w:lang w:val="en-US"/>
        </w:rPr>
        <w:t xml:space="preserve"> </w:t>
      </w:r>
      <w:r>
        <w:rPr>
          <w:lang w:val="en-US"/>
        </w:rPr>
        <w:t>C</w:t>
      </w:r>
      <w:r w:rsidRPr="009B482F">
        <w:rPr>
          <w:lang w:val="en-US"/>
        </w:rPr>
        <w:t>ommittee</w:t>
      </w:r>
      <w:r>
        <w:rPr>
          <w:lang w:val="en-US"/>
        </w:rPr>
        <w:t>”</w:t>
      </w:r>
      <w:r w:rsidRPr="009B482F">
        <w:rPr>
          <w:lang w:val="en-US"/>
        </w:rPr>
        <w:t>.</w:t>
      </w:r>
      <w:r>
        <w:rPr>
          <w:lang w:val="en-US"/>
        </w:rPr>
        <w:t xml:space="preserve"> </w:t>
      </w:r>
      <w:r w:rsidRPr="009B482F">
        <w:rPr>
          <w:lang w:val="en-US"/>
        </w:rPr>
        <w:t xml:space="preserve"> Regarding the </w:t>
      </w:r>
      <w:r>
        <w:rPr>
          <w:lang w:val="en-US"/>
        </w:rPr>
        <w:t>Committee’s proposed</w:t>
      </w:r>
      <w:r w:rsidRPr="009B482F">
        <w:rPr>
          <w:lang w:val="en-US"/>
        </w:rPr>
        <w:t xml:space="preserve"> </w:t>
      </w:r>
      <w:r>
        <w:rPr>
          <w:lang w:val="en-US"/>
        </w:rPr>
        <w:t>(but finally deleted) Ar</w:t>
      </w:r>
      <w:r w:rsidRPr="009B482F">
        <w:rPr>
          <w:lang w:val="en-US"/>
        </w:rPr>
        <w:t>ticle 2</w:t>
      </w:r>
      <w:r>
        <w:rPr>
          <w:lang w:val="en-US"/>
        </w:rPr>
        <w:t>3</w:t>
      </w:r>
      <w:r w:rsidRPr="009B482F">
        <w:rPr>
          <w:lang w:val="en-US"/>
        </w:rPr>
        <w:t xml:space="preserve"> concerning the role of</w:t>
      </w:r>
      <w:r>
        <w:rPr>
          <w:lang w:val="en-US"/>
        </w:rPr>
        <w:t xml:space="preserve"> the</w:t>
      </w:r>
      <w:r w:rsidRPr="009B482F">
        <w:rPr>
          <w:lang w:val="en-US"/>
        </w:rPr>
        <w:t xml:space="preserve"> </w:t>
      </w:r>
      <w:proofErr w:type="spellStart"/>
      <w:r w:rsidRPr="009A79BF">
        <w:rPr>
          <w:i/>
          <w:iCs/>
          <w:lang w:val="en-US"/>
        </w:rPr>
        <w:t>Shari’a</w:t>
      </w:r>
      <w:proofErr w:type="spellEnd"/>
      <w:r w:rsidRPr="009B482F">
        <w:rPr>
          <w:lang w:val="en-US"/>
        </w:rPr>
        <w:t xml:space="preserve"> Controllers in deciding who </w:t>
      </w:r>
      <w:r>
        <w:rPr>
          <w:lang w:val="en-US"/>
        </w:rPr>
        <w:t>bears investment</w:t>
      </w:r>
      <w:r w:rsidRPr="009B482F">
        <w:rPr>
          <w:lang w:val="en-US"/>
        </w:rPr>
        <w:t xml:space="preserve"> losses, and the changes in the form of religious audit, </w:t>
      </w:r>
      <w:proofErr w:type="spellStart"/>
      <w:r>
        <w:rPr>
          <w:lang w:val="en-US"/>
        </w:rPr>
        <w:t>Hamoud</w:t>
      </w:r>
      <w:proofErr w:type="spellEnd"/>
      <w:r>
        <w:rPr>
          <w:lang w:val="en-US"/>
        </w:rPr>
        <w:t xml:space="preserve"> noted</w:t>
      </w:r>
      <w:r w:rsidRPr="009B482F">
        <w:rPr>
          <w:lang w:val="en-US"/>
        </w:rPr>
        <w:t>:</w:t>
      </w:r>
    </w:p>
    <w:p w:rsidR="00631CC8" w:rsidRPr="00F36243" w:rsidRDefault="00631CC8" w:rsidP="006C6539">
      <w:pPr>
        <w:pStyle w:val="Indenttext"/>
        <w:rPr>
          <w:lang w:val="en-US"/>
        </w:rPr>
      </w:pPr>
      <w:r w:rsidRPr="00F36243">
        <w:rPr>
          <w:lang w:val="en-US"/>
        </w:rPr>
        <w:lastRenderedPageBreak/>
        <w:t>We were afra</w:t>
      </w:r>
      <w:r>
        <w:rPr>
          <w:lang w:val="en-US"/>
        </w:rPr>
        <w:t>id of having different opinions.  I</w:t>
      </w:r>
      <w:r w:rsidRPr="00F36243">
        <w:rPr>
          <w:lang w:val="en-US"/>
        </w:rPr>
        <w:t>n addition, we did not want the bank to incur huge costs. It should be one consultant and not</w:t>
      </w:r>
      <w:r>
        <w:rPr>
          <w:lang w:val="en-US"/>
        </w:rPr>
        <w:t xml:space="preserve"> a</w:t>
      </w:r>
      <w:r w:rsidRPr="00F36243">
        <w:rPr>
          <w:lang w:val="en-US"/>
        </w:rPr>
        <w:t xml:space="preserve"> </w:t>
      </w:r>
      <w:proofErr w:type="spellStart"/>
      <w:r w:rsidRPr="009A79BF">
        <w:rPr>
          <w:i/>
          <w:lang w:val="en-US"/>
        </w:rPr>
        <w:t>Shari’a</w:t>
      </w:r>
      <w:proofErr w:type="spellEnd"/>
      <w:r w:rsidRPr="00F36243">
        <w:rPr>
          <w:lang w:val="en-US"/>
        </w:rPr>
        <w:t xml:space="preserve"> Control Board, because</w:t>
      </w:r>
      <w:r>
        <w:rPr>
          <w:lang w:val="en-US"/>
        </w:rPr>
        <w:t xml:space="preserve"> a</w:t>
      </w:r>
      <w:r w:rsidRPr="00F36243">
        <w:rPr>
          <w:lang w:val="en-US"/>
        </w:rPr>
        <w:t xml:space="preserve"> </w:t>
      </w:r>
      <w:proofErr w:type="spellStart"/>
      <w:r w:rsidRPr="009A79BF">
        <w:rPr>
          <w:i/>
          <w:lang w:val="en-US"/>
        </w:rPr>
        <w:t>Shari’a</w:t>
      </w:r>
      <w:proofErr w:type="spellEnd"/>
      <w:r w:rsidRPr="00F36243">
        <w:rPr>
          <w:lang w:val="en-US"/>
        </w:rPr>
        <w:t xml:space="preserve"> Board would imply that the members have the necessary knowledge. </w:t>
      </w:r>
      <w:r>
        <w:rPr>
          <w:lang w:val="en-US"/>
        </w:rPr>
        <w:t xml:space="preserve"> </w:t>
      </w:r>
      <w:r w:rsidRPr="00F36243">
        <w:rPr>
          <w:lang w:val="en-US"/>
        </w:rPr>
        <w:t xml:space="preserve">The knowledge is an understanding of the details of the work, such as </w:t>
      </w:r>
      <w:r>
        <w:rPr>
          <w:lang w:val="en-US"/>
        </w:rPr>
        <w:t xml:space="preserve">an </w:t>
      </w:r>
      <w:r w:rsidRPr="00F36243">
        <w:rPr>
          <w:lang w:val="en-US"/>
        </w:rPr>
        <w:t xml:space="preserve">accounting audit. </w:t>
      </w:r>
      <w:r>
        <w:rPr>
          <w:lang w:val="en-US"/>
        </w:rPr>
        <w:t xml:space="preserve"> When a Sheikh [senior </w:t>
      </w:r>
      <w:r w:rsidRPr="00F36243">
        <w:rPr>
          <w:lang w:val="en-US"/>
        </w:rPr>
        <w:t>religious person</w:t>
      </w:r>
      <w:r>
        <w:rPr>
          <w:lang w:val="en-US"/>
        </w:rPr>
        <w:t>]</w:t>
      </w:r>
      <w:r w:rsidRPr="00F36243">
        <w:rPr>
          <w:lang w:val="en-US"/>
        </w:rPr>
        <w:t xml:space="preserve"> testifies on a balance sheet that it is correct or not, and he does not know </w:t>
      </w:r>
      <w:r>
        <w:rPr>
          <w:lang w:val="en-US"/>
        </w:rPr>
        <w:t>a</w:t>
      </w:r>
      <w:r w:rsidRPr="00F36243">
        <w:rPr>
          <w:lang w:val="en-US"/>
        </w:rPr>
        <w:t xml:space="preserve"> debit from </w:t>
      </w:r>
      <w:r>
        <w:rPr>
          <w:lang w:val="en-US"/>
        </w:rPr>
        <w:t>a</w:t>
      </w:r>
      <w:r w:rsidRPr="00F36243">
        <w:rPr>
          <w:lang w:val="en-US"/>
        </w:rPr>
        <w:t xml:space="preserve"> credit, or </w:t>
      </w:r>
      <w:r>
        <w:rPr>
          <w:lang w:val="en-US"/>
        </w:rPr>
        <w:t>an</w:t>
      </w:r>
      <w:r w:rsidRPr="00F36243">
        <w:rPr>
          <w:lang w:val="en-US"/>
        </w:rPr>
        <w:t xml:space="preserve"> asset from </w:t>
      </w:r>
      <w:r>
        <w:rPr>
          <w:lang w:val="en-US"/>
        </w:rPr>
        <w:t xml:space="preserve">a </w:t>
      </w:r>
      <w:r w:rsidRPr="00F36243">
        <w:rPr>
          <w:lang w:val="en-US"/>
        </w:rPr>
        <w:t xml:space="preserve">liability, this </w:t>
      </w:r>
      <w:r>
        <w:rPr>
          <w:lang w:val="en-US"/>
        </w:rPr>
        <w:t xml:space="preserve">just </w:t>
      </w:r>
      <w:r w:rsidRPr="00F36243">
        <w:rPr>
          <w:lang w:val="en-US"/>
        </w:rPr>
        <w:t>become</w:t>
      </w:r>
      <w:r>
        <w:rPr>
          <w:lang w:val="en-US"/>
        </w:rPr>
        <w:t>s</w:t>
      </w:r>
      <w:r w:rsidRPr="00F36243">
        <w:rPr>
          <w:lang w:val="en-US"/>
        </w:rPr>
        <w:t xml:space="preserve"> a joke</w:t>
      </w:r>
      <w:r>
        <w:rPr>
          <w:lang w:val="en-US"/>
        </w:rPr>
        <w:t xml:space="preserve">.  </w:t>
      </w:r>
      <w:r w:rsidRPr="00F36243">
        <w:rPr>
          <w:lang w:val="en-US"/>
        </w:rPr>
        <w:t xml:space="preserve">…  </w:t>
      </w:r>
      <w:r>
        <w:rPr>
          <w:lang w:val="en-US"/>
        </w:rPr>
        <w:t>Many Shei</w:t>
      </w:r>
      <w:r w:rsidRPr="00F36243">
        <w:rPr>
          <w:lang w:val="en-US"/>
        </w:rPr>
        <w:t>khs now testify on balance sheets wh</w:t>
      </w:r>
      <w:r>
        <w:rPr>
          <w:lang w:val="en-US"/>
        </w:rPr>
        <w:t>en</w:t>
      </w:r>
      <w:r w:rsidRPr="00F36243">
        <w:rPr>
          <w:lang w:val="en-US"/>
        </w:rPr>
        <w:t xml:space="preserve"> they do not really understa</w:t>
      </w:r>
      <w:r>
        <w:rPr>
          <w:lang w:val="en-US"/>
        </w:rPr>
        <w:t>nd them</w:t>
      </w:r>
      <w:r w:rsidRPr="00F36243">
        <w:rPr>
          <w:lang w:val="en-US"/>
        </w:rPr>
        <w:t xml:space="preserve">. </w:t>
      </w:r>
      <w:r>
        <w:rPr>
          <w:lang w:val="en-US"/>
        </w:rPr>
        <w:t>(</w:t>
      </w:r>
      <w:r w:rsidRPr="00F36243">
        <w:rPr>
          <w:lang w:val="en-US"/>
        </w:rPr>
        <w:t xml:space="preserve">Interview with Dr Sami </w:t>
      </w:r>
      <w:proofErr w:type="spellStart"/>
      <w:r w:rsidRPr="00F36243">
        <w:rPr>
          <w:lang w:val="en-US"/>
        </w:rPr>
        <w:t>H</w:t>
      </w:r>
      <w:r>
        <w:rPr>
          <w:lang w:val="en-US"/>
        </w:rPr>
        <w:t>a</w:t>
      </w:r>
      <w:r w:rsidRPr="00F36243">
        <w:rPr>
          <w:lang w:val="en-US"/>
        </w:rPr>
        <w:t>moud</w:t>
      </w:r>
      <w:proofErr w:type="spellEnd"/>
      <w:r w:rsidRPr="00F36243">
        <w:rPr>
          <w:lang w:val="en-US"/>
        </w:rPr>
        <w:t>, Dubai, 25</w:t>
      </w:r>
      <w:r>
        <w:rPr>
          <w:lang w:val="en-US"/>
        </w:rPr>
        <w:t xml:space="preserve"> December </w:t>
      </w:r>
      <w:r w:rsidRPr="00F36243">
        <w:rPr>
          <w:lang w:val="en-US"/>
        </w:rPr>
        <w:t>2002</w:t>
      </w:r>
      <w:r>
        <w:rPr>
          <w:lang w:val="en-US"/>
        </w:rPr>
        <w:t>)</w:t>
      </w:r>
    </w:p>
    <w:p w:rsidR="00631CC8" w:rsidRPr="00F36243" w:rsidRDefault="00631CC8" w:rsidP="00D27194">
      <w:pPr>
        <w:rPr>
          <w:lang w:val="en-US"/>
        </w:rPr>
      </w:pPr>
      <w:r>
        <w:rPr>
          <w:lang w:val="en-US"/>
        </w:rPr>
        <w:t xml:space="preserve">Although </w:t>
      </w:r>
      <w:proofErr w:type="spellStart"/>
      <w:r>
        <w:rPr>
          <w:lang w:val="en-US"/>
        </w:rPr>
        <w:t>Hamoud</w:t>
      </w:r>
      <w:proofErr w:type="spellEnd"/>
      <w:r>
        <w:rPr>
          <w:lang w:val="en-US"/>
        </w:rPr>
        <w:t xml:space="preserve"> suggested that the change was made to avoid the risk of disagreement, this ignores his own first draft, where</w:t>
      </w:r>
      <w:r w:rsidRPr="009B482F">
        <w:rPr>
          <w:lang w:val="en-US"/>
        </w:rPr>
        <w:t xml:space="preserve"> he recommended two controllers (not consultants)</w:t>
      </w:r>
      <w:r>
        <w:rPr>
          <w:lang w:val="en-US"/>
        </w:rPr>
        <w:t>: this could</w:t>
      </w:r>
      <w:r w:rsidRPr="009B482F">
        <w:rPr>
          <w:lang w:val="en-US"/>
        </w:rPr>
        <w:t xml:space="preserve"> lead to differences </w:t>
      </w:r>
      <w:r>
        <w:rPr>
          <w:lang w:val="en-US"/>
        </w:rPr>
        <w:t>of</w:t>
      </w:r>
      <w:r w:rsidRPr="009B482F">
        <w:rPr>
          <w:lang w:val="en-US"/>
        </w:rPr>
        <w:t xml:space="preserve"> opinion as well.</w:t>
      </w:r>
      <w:r>
        <w:rPr>
          <w:lang w:val="en-US"/>
        </w:rPr>
        <w:t xml:space="preserve"> </w:t>
      </w:r>
      <w:r w:rsidRPr="009B482F">
        <w:rPr>
          <w:lang w:val="en-US"/>
        </w:rPr>
        <w:t xml:space="preserve"> The second </w:t>
      </w:r>
      <w:r>
        <w:rPr>
          <w:lang w:val="en-US"/>
        </w:rPr>
        <w:t>reason</w:t>
      </w:r>
      <w:r w:rsidRPr="009B482F">
        <w:rPr>
          <w:lang w:val="en-US"/>
        </w:rPr>
        <w:t xml:space="preserve"> adv</w:t>
      </w:r>
      <w:r>
        <w:rPr>
          <w:lang w:val="en-US"/>
        </w:rPr>
        <w:t>anc</w:t>
      </w:r>
      <w:r w:rsidRPr="009B482F">
        <w:rPr>
          <w:lang w:val="en-US"/>
        </w:rPr>
        <w:t xml:space="preserve">ed by the founder was that having more than one </w:t>
      </w:r>
      <w:r>
        <w:rPr>
          <w:lang w:val="en-US"/>
        </w:rPr>
        <w:t xml:space="preserve">religious auditor </w:t>
      </w:r>
      <w:r w:rsidRPr="009B482F">
        <w:rPr>
          <w:lang w:val="en-US"/>
        </w:rPr>
        <w:t>would be costly.</w:t>
      </w:r>
      <w:r>
        <w:rPr>
          <w:lang w:val="en-US"/>
        </w:rPr>
        <w:t xml:space="preserve"> </w:t>
      </w:r>
      <w:r w:rsidRPr="009B482F">
        <w:rPr>
          <w:lang w:val="en-US"/>
        </w:rPr>
        <w:t xml:space="preserve"> However, the cost of three religious experts would not be </w:t>
      </w:r>
      <w:r>
        <w:rPr>
          <w:lang w:val="en-US"/>
        </w:rPr>
        <w:t>very high</w:t>
      </w:r>
      <w:r w:rsidRPr="009B482F">
        <w:rPr>
          <w:lang w:val="en-US"/>
        </w:rPr>
        <w:t xml:space="preserve"> as </w:t>
      </w:r>
      <w:r>
        <w:rPr>
          <w:lang w:val="en-US"/>
        </w:rPr>
        <w:t>such experts usually work only on a part-time basis and their remuneration would certainly not be “huge”.</w:t>
      </w:r>
      <w:r w:rsidRPr="009B482F">
        <w:rPr>
          <w:lang w:val="en-US"/>
        </w:rPr>
        <w:t xml:space="preserve"> </w:t>
      </w:r>
      <w:r>
        <w:rPr>
          <w:lang w:val="en-US"/>
        </w:rPr>
        <w:t xml:space="preserve"> </w:t>
      </w:r>
      <w:r w:rsidRPr="009B482F">
        <w:rPr>
          <w:lang w:val="en-US"/>
        </w:rPr>
        <w:t xml:space="preserve">The third </w:t>
      </w:r>
      <w:r>
        <w:rPr>
          <w:lang w:val="en-US"/>
        </w:rPr>
        <w:t>reason</w:t>
      </w:r>
      <w:r w:rsidRPr="009B482F">
        <w:rPr>
          <w:lang w:val="en-US"/>
        </w:rPr>
        <w:t xml:space="preserve"> was that religious controllers </w:t>
      </w:r>
      <w:r>
        <w:rPr>
          <w:lang w:val="en-US"/>
        </w:rPr>
        <w:t>would</w:t>
      </w:r>
      <w:r w:rsidRPr="009B482F">
        <w:rPr>
          <w:lang w:val="en-US"/>
        </w:rPr>
        <w:t xml:space="preserve"> usually lack the necessary knowledge </w:t>
      </w:r>
      <w:r>
        <w:rPr>
          <w:lang w:val="en-US"/>
        </w:rPr>
        <w:t>about</w:t>
      </w:r>
      <w:r w:rsidRPr="009B482F">
        <w:rPr>
          <w:lang w:val="en-US"/>
        </w:rPr>
        <w:t xml:space="preserve"> banking issue</w:t>
      </w:r>
      <w:r>
        <w:rPr>
          <w:lang w:val="en-US"/>
        </w:rPr>
        <w:t>s</w:t>
      </w:r>
      <w:r w:rsidRPr="009B482F">
        <w:rPr>
          <w:lang w:val="en-US"/>
        </w:rPr>
        <w:t xml:space="preserve">. </w:t>
      </w:r>
      <w:r>
        <w:rPr>
          <w:lang w:val="en-US"/>
        </w:rPr>
        <w:t xml:space="preserve"> </w:t>
      </w:r>
      <w:r w:rsidRPr="009B482F">
        <w:rPr>
          <w:lang w:val="en-US"/>
        </w:rPr>
        <w:t>This was largely true at that time; however, the religious controllers c</w:t>
      </w:r>
      <w:r>
        <w:rPr>
          <w:lang w:val="en-US"/>
        </w:rPr>
        <w:t>ould</w:t>
      </w:r>
      <w:r w:rsidRPr="009B482F">
        <w:rPr>
          <w:lang w:val="en-US"/>
        </w:rPr>
        <w:t xml:space="preserve"> overcome </w:t>
      </w:r>
      <w:r>
        <w:rPr>
          <w:lang w:val="en-US"/>
        </w:rPr>
        <w:t>the lack of knowledge</w:t>
      </w:r>
      <w:r w:rsidRPr="009B482F">
        <w:rPr>
          <w:lang w:val="en-US"/>
        </w:rPr>
        <w:t xml:space="preserve"> with training. </w:t>
      </w:r>
      <w:r>
        <w:rPr>
          <w:lang w:val="en-US"/>
        </w:rPr>
        <w:t xml:space="preserve"> </w:t>
      </w:r>
      <w:r w:rsidRPr="009B482F">
        <w:rPr>
          <w:lang w:val="en-US"/>
        </w:rPr>
        <w:t>In addition, not all the</w:t>
      </w:r>
      <w:r>
        <w:rPr>
          <w:lang w:val="en-US"/>
        </w:rPr>
        <w:t xml:space="preserve"> religious audit</w:t>
      </w:r>
      <w:r w:rsidRPr="009B482F">
        <w:rPr>
          <w:lang w:val="en-US"/>
        </w:rPr>
        <w:t xml:space="preserve"> work</w:t>
      </w:r>
      <w:r>
        <w:rPr>
          <w:lang w:val="en-US"/>
        </w:rPr>
        <w:t xml:space="preserve"> would</w:t>
      </w:r>
      <w:r w:rsidRPr="009B482F">
        <w:rPr>
          <w:lang w:val="en-US"/>
        </w:rPr>
        <w:t xml:space="preserve"> require technical </w:t>
      </w:r>
      <w:r>
        <w:rPr>
          <w:lang w:val="en-US"/>
        </w:rPr>
        <w:t xml:space="preserve">banking </w:t>
      </w:r>
      <w:r w:rsidRPr="009B482F">
        <w:rPr>
          <w:lang w:val="en-US"/>
        </w:rPr>
        <w:t>knowledge</w:t>
      </w:r>
      <w:r>
        <w:rPr>
          <w:lang w:val="en-US"/>
        </w:rPr>
        <w:t xml:space="preserve">, indeed, </w:t>
      </w:r>
      <w:r w:rsidRPr="009B482F">
        <w:rPr>
          <w:lang w:val="en-US"/>
        </w:rPr>
        <w:t xml:space="preserve">the members of </w:t>
      </w:r>
      <w:r>
        <w:rPr>
          <w:lang w:val="en-US"/>
        </w:rPr>
        <w:t xml:space="preserve">the </w:t>
      </w:r>
      <w:r w:rsidRPr="009B482F">
        <w:rPr>
          <w:lang w:val="en-US"/>
        </w:rPr>
        <w:t>F</w:t>
      </w:r>
      <w:r>
        <w:rPr>
          <w:lang w:val="en-US"/>
        </w:rPr>
        <w:t xml:space="preserve">atwa </w:t>
      </w:r>
      <w:r w:rsidRPr="009B482F">
        <w:rPr>
          <w:lang w:val="en-US"/>
        </w:rPr>
        <w:t>C</w:t>
      </w:r>
      <w:r>
        <w:rPr>
          <w:lang w:val="en-US"/>
        </w:rPr>
        <w:t>ommittee, most of whom would have similar backgrounds to likely religious auditors</w:t>
      </w:r>
      <w:r w:rsidRPr="009B482F">
        <w:rPr>
          <w:lang w:val="en-US"/>
        </w:rPr>
        <w:t xml:space="preserve">, were able to have extensive </w:t>
      </w:r>
      <w:r>
        <w:rPr>
          <w:lang w:val="en-US"/>
        </w:rPr>
        <w:t xml:space="preserve">and relevant </w:t>
      </w:r>
      <w:r w:rsidRPr="009B482F">
        <w:rPr>
          <w:lang w:val="en-US"/>
        </w:rPr>
        <w:t>discussions</w:t>
      </w:r>
      <w:r>
        <w:rPr>
          <w:lang w:val="en-US"/>
        </w:rPr>
        <w:t xml:space="preserve"> of the first draft of the act </w:t>
      </w:r>
      <w:r w:rsidRPr="009B482F">
        <w:rPr>
          <w:lang w:val="en-US"/>
        </w:rPr>
        <w:t>despite their lack of knowledge</w:t>
      </w:r>
      <w:r>
        <w:rPr>
          <w:lang w:val="en-US"/>
        </w:rPr>
        <w:t xml:space="preserve"> of</w:t>
      </w:r>
      <w:r w:rsidRPr="009B482F">
        <w:rPr>
          <w:lang w:val="en-US"/>
        </w:rPr>
        <w:t xml:space="preserve"> banking transactions. Th</w:t>
      </w:r>
      <w:r>
        <w:rPr>
          <w:lang w:val="en-US"/>
        </w:rPr>
        <w:t>e</w:t>
      </w:r>
      <w:r w:rsidRPr="009B482F">
        <w:rPr>
          <w:lang w:val="en-US"/>
        </w:rPr>
        <w:t xml:space="preserve"> issue </w:t>
      </w:r>
      <w:r>
        <w:rPr>
          <w:lang w:val="en-US"/>
        </w:rPr>
        <w:t xml:space="preserve">of technical knowledge </w:t>
      </w:r>
      <w:r w:rsidRPr="009B482F">
        <w:rPr>
          <w:lang w:val="en-US"/>
        </w:rPr>
        <w:t xml:space="preserve">was </w:t>
      </w:r>
      <w:r>
        <w:rPr>
          <w:lang w:val="en-US"/>
        </w:rPr>
        <w:t xml:space="preserve">probably </w:t>
      </w:r>
      <w:r w:rsidRPr="009B482F">
        <w:rPr>
          <w:lang w:val="en-US"/>
        </w:rPr>
        <w:t xml:space="preserve">more related to </w:t>
      </w:r>
      <w:r>
        <w:rPr>
          <w:lang w:val="en-US"/>
        </w:rPr>
        <w:t xml:space="preserve">the range of </w:t>
      </w:r>
      <w:r w:rsidRPr="009B482F">
        <w:rPr>
          <w:lang w:val="en-US"/>
        </w:rPr>
        <w:t>different religious opinion</w:t>
      </w:r>
      <w:r>
        <w:rPr>
          <w:lang w:val="en-US"/>
        </w:rPr>
        <w:t>s and Islamic schools of thought</w:t>
      </w:r>
      <w:r w:rsidRPr="009B482F">
        <w:rPr>
          <w:lang w:val="en-US"/>
        </w:rPr>
        <w:t xml:space="preserve">, which </w:t>
      </w:r>
      <w:r>
        <w:rPr>
          <w:lang w:val="en-US"/>
        </w:rPr>
        <w:t>could have limited the bank’s</w:t>
      </w:r>
      <w:r w:rsidRPr="009B482F">
        <w:rPr>
          <w:lang w:val="en-US"/>
        </w:rPr>
        <w:t xml:space="preserve"> operations in the future</w:t>
      </w:r>
      <w:r>
        <w:rPr>
          <w:lang w:val="en-US"/>
        </w:rPr>
        <w:t>.  Most significantly</w:t>
      </w:r>
      <w:r w:rsidRPr="009B482F">
        <w:rPr>
          <w:lang w:val="en-US"/>
        </w:rPr>
        <w:t xml:space="preserve">, </w:t>
      </w:r>
      <w:r>
        <w:rPr>
          <w:lang w:val="en-US"/>
        </w:rPr>
        <w:t>given</w:t>
      </w:r>
      <w:r w:rsidRPr="009B482F">
        <w:rPr>
          <w:lang w:val="en-US"/>
        </w:rPr>
        <w:t xml:space="preserve"> the authorit</w:t>
      </w:r>
      <w:r>
        <w:rPr>
          <w:lang w:val="en-US"/>
        </w:rPr>
        <w:t>y</w:t>
      </w:r>
      <w:r w:rsidRPr="009B482F">
        <w:rPr>
          <w:lang w:val="en-US"/>
        </w:rPr>
        <w:t xml:space="preserve"> and independence recommended by the F</w:t>
      </w:r>
      <w:r>
        <w:rPr>
          <w:lang w:val="en-US"/>
        </w:rPr>
        <w:t xml:space="preserve">atwa </w:t>
      </w:r>
      <w:r w:rsidRPr="009B482F">
        <w:rPr>
          <w:lang w:val="en-US"/>
        </w:rPr>
        <w:t>C</w:t>
      </w:r>
      <w:r>
        <w:rPr>
          <w:lang w:val="en-US"/>
        </w:rPr>
        <w:t>ommittee</w:t>
      </w:r>
      <w:r w:rsidRPr="009B482F">
        <w:rPr>
          <w:lang w:val="en-US"/>
        </w:rPr>
        <w:t xml:space="preserve">, the </w:t>
      </w:r>
      <w:r>
        <w:rPr>
          <w:lang w:val="en-US"/>
        </w:rPr>
        <w:t>r</w:t>
      </w:r>
      <w:r w:rsidRPr="009B482F">
        <w:rPr>
          <w:lang w:val="en-US"/>
        </w:rPr>
        <w:t xml:space="preserve">eligious </w:t>
      </w:r>
      <w:r>
        <w:rPr>
          <w:lang w:val="en-US"/>
        </w:rPr>
        <w:t>c</w:t>
      </w:r>
      <w:r w:rsidRPr="009B482F">
        <w:rPr>
          <w:lang w:val="en-US"/>
        </w:rPr>
        <w:t xml:space="preserve">ontrollers </w:t>
      </w:r>
      <w:r>
        <w:rPr>
          <w:lang w:val="en-US"/>
        </w:rPr>
        <w:t>c</w:t>
      </w:r>
      <w:r w:rsidRPr="009B482F">
        <w:rPr>
          <w:lang w:val="en-US"/>
        </w:rPr>
        <w:t xml:space="preserve">ould have </w:t>
      </w:r>
      <w:r>
        <w:rPr>
          <w:lang w:val="en-US"/>
        </w:rPr>
        <w:t xml:space="preserve">had a </w:t>
      </w:r>
      <w:r w:rsidRPr="009B482F">
        <w:rPr>
          <w:lang w:val="en-US"/>
        </w:rPr>
        <w:t xml:space="preserve">very powerful </w:t>
      </w:r>
      <w:r>
        <w:rPr>
          <w:lang w:val="en-US"/>
        </w:rPr>
        <w:t xml:space="preserve">position, </w:t>
      </w:r>
      <w:r w:rsidRPr="009B482F">
        <w:rPr>
          <w:lang w:val="en-US"/>
        </w:rPr>
        <w:t>stronger</w:t>
      </w:r>
      <w:r>
        <w:rPr>
          <w:lang w:val="en-US"/>
        </w:rPr>
        <w:t xml:space="preserve"> even than the General Assembly.</w:t>
      </w:r>
      <w:r w:rsidRPr="009B482F">
        <w:rPr>
          <w:lang w:val="en-US"/>
        </w:rPr>
        <w:t xml:space="preserve"> </w:t>
      </w:r>
      <w:r>
        <w:rPr>
          <w:lang w:val="en-US"/>
        </w:rPr>
        <w:t xml:space="preserve"> This</w:t>
      </w:r>
      <w:r w:rsidRPr="009B482F">
        <w:rPr>
          <w:lang w:val="en-US"/>
        </w:rPr>
        <w:t xml:space="preserve"> </w:t>
      </w:r>
      <w:r>
        <w:rPr>
          <w:lang w:val="en-US"/>
        </w:rPr>
        <w:t>could easily be perceived as a threat to</w:t>
      </w:r>
      <w:r w:rsidRPr="009B482F">
        <w:rPr>
          <w:lang w:val="en-US"/>
        </w:rPr>
        <w:t xml:space="preserve"> power and authority of the </w:t>
      </w:r>
      <w:r>
        <w:rPr>
          <w:lang w:val="en-US"/>
        </w:rPr>
        <w:t xml:space="preserve">bank’s </w:t>
      </w:r>
      <w:r w:rsidRPr="009B482F">
        <w:rPr>
          <w:lang w:val="en-US"/>
        </w:rPr>
        <w:t xml:space="preserve">management, </w:t>
      </w:r>
      <w:r>
        <w:rPr>
          <w:lang w:val="en-US"/>
        </w:rPr>
        <w:t xml:space="preserve">particularly as </w:t>
      </w:r>
      <w:proofErr w:type="spellStart"/>
      <w:r>
        <w:rPr>
          <w:lang w:val="en-US"/>
        </w:rPr>
        <w:t>Hamoud</w:t>
      </w:r>
      <w:proofErr w:type="spellEnd"/>
      <w:r>
        <w:rPr>
          <w:lang w:val="en-US"/>
        </w:rPr>
        <w:t xml:space="preserve">, the bank’s founder, was to become the first general manager of </w:t>
      </w:r>
      <w:r w:rsidRPr="009B482F">
        <w:rPr>
          <w:lang w:val="en-US"/>
        </w:rPr>
        <w:t xml:space="preserve">the bank. </w:t>
      </w:r>
      <w:r>
        <w:rPr>
          <w:lang w:val="en-US"/>
        </w:rPr>
        <w:t xml:space="preserve"> Support for this view comes from a member of the Fatwa Committee:</w:t>
      </w:r>
    </w:p>
    <w:p w:rsidR="00631CC8" w:rsidRPr="00F36243" w:rsidRDefault="00631CC8" w:rsidP="00F36243">
      <w:pPr>
        <w:pStyle w:val="Indenttext"/>
        <w:rPr>
          <w:lang w:val="en-US"/>
        </w:rPr>
      </w:pPr>
      <w:r w:rsidRPr="00F36243">
        <w:rPr>
          <w:lang w:val="en-US"/>
        </w:rPr>
        <w:t xml:space="preserve">They (the founder and Preparation Committee) have felt that the </w:t>
      </w:r>
      <w:proofErr w:type="spellStart"/>
      <w:r>
        <w:rPr>
          <w:i/>
          <w:lang w:val="en-US"/>
        </w:rPr>
        <w:t>f</w:t>
      </w:r>
      <w:r w:rsidRPr="00700B4E">
        <w:rPr>
          <w:i/>
          <w:lang w:val="en-US"/>
        </w:rPr>
        <w:t>uqaha</w:t>
      </w:r>
      <w:proofErr w:type="spellEnd"/>
      <w:r w:rsidRPr="00F36243">
        <w:rPr>
          <w:lang w:val="en-US"/>
        </w:rPr>
        <w:t xml:space="preserve"> (</w:t>
      </w:r>
      <w:r>
        <w:rPr>
          <w:lang w:val="en-US"/>
        </w:rPr>
        <w:t>r</w:t>
      </w:r>
      <w:r w:rsidRPr="00F36243">
        <w:rPr>
          <w:lang w:val="en-US"/>
        </w:rPr>
        <w:t xml:space="preserve">eligious </w:t>
      </w:r>
      <w:r>
        <w:rPr>
          <w:lang w:val="en-US"/>
        </w:rPr>
        <w:t>s</w:t>
      </w:r>
      <w:r w:rsidRPr="00F36243">
        <w:rPr>
          <w:lang w:val="en-US"/>
        </w:rPr>
        <w:t xml:space="preserve">cholars) will restrict them, especially if those </w:t>
      </w:r>
      <w:proofErr w:type="spellStart"/>
      <w:r>
        <w:rPr>
          <w:bCs/>
          <w:i/>
        </w:rPr>
        <w:t>f</w:t>
      </w:r>
      <w:r w:rsidRPr="00700B4E">
        <w:rPr>
          <w:bCs/>
          <w:i/>
        </w:rPr>
        <w:t>uqaha</w:t>
      </w:r>
      <w:proofErr w:type="spellEnd"/>
      <w:r w:rsidRPr="00F36243">
        <w:rPr>
          <w:lang w:val="en-US"/>
        </w:rPr>
        <w:t xml:space="preserve"> have different religious opinions. They said that if we appoint a Religious Control Board, this would represent </w:t>
      </w:r>
      <w:r>
        <w:rPr>
          <w:lang w:val="en-US"/>
        </w:rPr>
        <w:t xml:space="preserve">a </w:t>
      </w:r>
      <w:r w:rsidRPr="00F36243">
        <w:rPr>
          <w:lang w:val="en-US"/>
        </w:rPr>
        <w:t>kind of control on the bank, so they preferred one consultant, wh</w:t>
      </w:r>
      <w:r>
        <w:rPr>
          <w:lang w:val="en-US"/>
        </w:rPr>
        <w:t>ere</w:t>
      </w:r>
      <w:r w:rsidRPr="00F36243">
        <w:rPr>
          <w:lang w:val="en-US"/>
        </w:rPr>
        <w:t xml:space="preserve"> </w:t>
      </w:r>
      <w:r w:rsidRPr="00F36243">
        <w:rPr>
          <w:lang w:val="en-US"/>
        </w:rPr>
        <w:lastRenderedPageBreak/>
        <w:t xml:space="preserve">they might </w:t>
      </w:r>
      <w:r>
        <w:rPr>
          <w:lang w:val="en-US"/>
        </w:rPr>
        <w:t>accept</w:t>
      </w:r>
      <w:r w:rsidRPr="00F36243">
        <w:rPr>
          <w:lang w:val="en-US"/>
        </w:rPr>
        <w:t xml:space="preserve"> his opinion, and might not</w:t>
      </w:r>
      <w:r>
        <w:rPr>
          <w:lang w:val="en-US"/>
        </w:rPr>
        <w:t>.</w:t>
      </w:r>
      <w:r w:rsidRPr="00F36243">
        <w:rPr>
          <w:lang w:val="en-US"/>
        </w:rPr>
        <w:t xml:space="preserve"> </w:t>
      </w:r>
      <w:r>
        <w:rPr>
          <w:lang w:val="en-US"/>
        </w:rPr>
        <w:t>(</w:t>
      </w:r>
      <w:r w:rsidRPr="00F36243">
        <w:rPr>
          <w:lang w:val="en-US"/>
        </w:rPr>
        <w:t>Interview with Dr</w:t>
      </w:r>
      <w:r w:rsidRPr="00F36243">
        <w:t xml:space="preserve"> Abdul-Salam </w:t>
      </w:r>
      <w:r>
        <w:t>Al-</w:t>
      </w:r>
      <w:proofErr w:type="spellStart"/>
      <w:r w:rsidRPr="00F36243">
        <w:t>Abadi</w:t>
      </w:r>
      <w:proofErr w:type="spellEnd"/>
      <w:r w:rsidRPr="00F36243">
        <w:rPr>
          <w:lang w:val="en-US"/>
        </w:rPr>
        <w:t>, Amman, 13</w:t>
      </w:r>
      <w:r>
        <w:rPr>
          <w:lang w:val="en-US"/>
        </w:rPr>
        <w:t xml:space="preserve"> March </w:t>
      </w:r>
      <w:r w:rsidRPr="00F36243">
        <w:rPr>
          <w:lang w:val="en-US"/>
        </w:rPr>
        <w:t>2002</w:t>
      </w:r>
      <w:r>
        <w:rPr>
          <w:lang w:val="en-US"/>
        </w:rPr>
        <w:t>)</w:t>
      </w:r>
    </w:p>
    <w:p w:rsidR="00631CC8" w:rsidRPr="009E7633" w:rsidRDefault="00631CC8" w:rsidP="008E6C9F">
      <w:pPr>
        <w:pStyle w:val="Heading3"/>
        <w:rPr>
          <w:rFonts w:cs="Times New Roman"/>
          <w:lang w:val="en-US"/>
        </w:rPr>
      </w:pPr>
      <w:bookmarkStart w:id="15" w:name="_Toc74381909"/>
      <w:bookmarkStart w:id="16" w:name="_Toc74570028"/>
      <w:bookmarkStart w:id="17" w:name="_Toc76909446"/>
      <w:r>
        <w:rPr>
          <w:rFonts w:cs="Times New Roman"/>
          <w:lang w:val="en-US"/>
        </w:rPr>
        <w:t xml:space="preserve"> </w:t>
      </w:r>
      <w:r w:rsidRPr="009E7633">
        <w:rPr>
          <w:rFonts w:cs="Times New Roman"/>
          <w:lang w:val="en-US"/>
        </w:rPr>
        <w:t>Revenue Measurement and Recognition</w:t>
      </w:r>
      <w:bookmarkEnd w:id="15"/>
      <w:bookmarkEnd w:id="16"/>
      <w:bookmarkEnd w:id="17"/>
      <w:r w:rsidRPr="009E7633">
        <w:rPr>
          <w:rFonts w:cs="Times New Roman"/>
          <w:lang w:val="en-US"/>
        </w:rPr>
        <w:t xml:space="preserve"> </w:t>
      </w:r>
    </w:p>
    <w:p w:rsidR="00631CC8" w:rsidRPr="009B482F" w:rsidRDefault="00631CC8" w:rsidP="00F10A1F">
      <w:pPr>
        <w:pStyle w:val="Firstpara"/>
        <w:rPr>
          <w:lang w:val="en-US"/>
        </w:rPr>
      </w:pPr>
      <w:r>
        <w:rPr>
          <w:lang w:val="en-US"/>
        </w:rPr>
        <w:t>The JIB special act was the first legislation in Jordan to contain specific regulations dealing with accounting measurement.</w:t>
      </w:r>
      <w:r w:rsidRPr="009E7633">
        <w:rPr>
          <w:lang w:val="en-US"/>
        </w:rPr>
        <w:t xml:space="preserve"> </w:t>
      </w:r>
      <w:r>
        <w:rPr>
          <w:lang w:val="en-US"/>
        </w:rPr>
        <w:t xml:space="preserve"> These provisions went well beyond the requirements of earlier acts such as the Companies Act (Act No. 12 of 1964)</w:t>
      </w:r>
      <w:r w:rsidRPr="009B482F">
        <w:rPr>
          <w:lang w:val="en-US"/>
        </w:rPr>
        <w:t xml:space="preserve"> and </w:t>
      </w:r>
      <w:r>
        <w:rPr>
          <w:lang w:val="en-US"/>
        </w:rPr>
        <w:t>t</w:t>
      </w:r>
      <w:r w:rsidRPr="009B482F">
        <w:rPr>
          <w:lang w:val="en-US"/>
        </w:rPr>
        <w:t>he Bank</w:t>
      </w:r>
      <w:r>
        <w:rPr>
          <w:lang w:val="en-US"/>
        </w:rPr>
        <w:t>ing</w:t>
      </w:r>
      <w:r w:rsidRPr="009B482F">
        <w:rPr>
          <w:lang w:val="en-US"/>
        </w:rPr>
        <w:t xml:space="preserve"> Act </w:t>
      </w:r>
      <w:r>
        <w:rPr>
          <w:lang w:val="en-US"/>
        </w:rPr>
        <w:t xml:space="preserve">(Act </w:t>
      </w:r>
      <w:r w:rsidRPr="009B482F">
        <w:rPr>
          <w:lang w:val="en-US"/>
        </w:rPr>
        <w:t>No.</w:t>
      </w:r>
      <w:r>
        <w:rPr>
          <w:lang w:val="en-US"/>
        </w:rPr>
        <w:t xml:space="preserve"> </w:t>
      </w:r>
      <w:r w:rsidRPr="009B482F">
        <w:rPr>
          <w:lang w:val="en-US"/>
        </w:rPr>
        <w:t xml:space="preserve">23 </w:t>
      </w:r>
      <w:r>
        <w:rPr>
          <w:lang w:val="en-US"/>
        </w:rPr>
        <w:t>of</w:t>
      </w:r>
      <w:r w:rsidRPr="009B482F">
        <w:rPr>
          <w:lang w:val="en-US"/>
        </w:rPr>
        <w:t xml:space="preserve"> 1971</w:t>
      </w:r>
      <w:r>
        <w:rPr>
          <w:lang w:val="en-US"/>
        </w:rPr>
        <w:t>).  These acts required balance sheets and income statements, but did not state rules for recognition and measurement of profits.</w:t>
      </w:r>
      <w:r w:rsidRPr="009B482F">
        <w:rPr>
          <w:lang w:val="en-US"/>
        </w:rPr>
        <w:t xml:space="preserve"> </w:t>
      </w:r>
      <w:r>
        <w:rPr>
          <w:lang w:val="en-US"/>
        </w:rPr>
        <w:t xml:space="preserve"> </w:t>
      </w:r>
      <w:proofErr w:type="spellStart"/>
      <w:r>
        <w:rPr>
          <w:lang w:val="en-US"/>
        </w:rPr>
        <w:t>Hamoud</w:t>
      </w:r>
      <w:proofErr w:type="spellEnd"/>
      <w:r>
        <w:rPr>
          <w:lang w:val="en-US"/>
        </w:rPr>
        <w:t xml:space="preserve"> </w:t>
      </w:r>
      <w:r w:rsidRPr="009B482F">
        <w:rPr>
          <w:lang w:val="en-US"/>
        </w:rPr>
        <w:t>fear</w:t>
      </w:r>
      <w:r>
        <w:rPr>
          <w:lang w:val="en-US"/>
        </w:rPr>
        <w:t>ed</w:t>
      </w:r>
      <w:r w:rsidRPr="009B482F">
        <w:rPr>
          <w:lang w:val="en-US"/>
        </w:rPr>
        <w:t xml:space="preserve"> that </w:t>
      </w:r>
      <w:r>
        <w:rPr>
          <w:lang w:val="en-US"/>
        </w:rPr>
        <w:t>the</w:t>
      </w:r>
      <w:r w:rsidRPr="009B482F">
        <w:rPr>
          <w:lang w:val="en-US"/>
        </w:rPr>
        <w:t xml:space="preserve"> accounting practices regarding </w:t>
      </w:r>
      <w:r>
        <w:rPr>
          <w:lang w:val="en-US"/>
        </w:rPr>
        <w:t xml:space="preserve">recognition and </w:t>
      </w:r>
      <w:r w:rsidRPr="009B482F">
        <w:rPr>
          <w:lang w:val="en-US"/>
        </w:rPr>
        <w:t>measurement of profit at that time in Jordan</w:t>
      </w:r>
      <w:r>
        <w:rPr>
          <w:lang w:val="en-US"/>
        </w:rPr>
        <w:t xml:space="preserve"> – although there were </w:t>
      </w:r>
      <w:r w:rsidRPr="009B482F">
        <w:rPr>
          <w:lang w:val="en-US"/>
        </w:rPr>
        <w:t xml:space="preserve">no specific accounting standards at that time, the British and American standards were widely </w:t>
      </w:r>
      <w:r>
        <w:rPr>
          <w:lang w:val="en-US"/>
        </w:rPr>
        <w:t>used</w:t>
      </w:r>
      <w:r w:rsidRPr="009B482F">
        <w:rPr>
          <w:lang w:val="en-US"/>
        </w:rPr>
        <w:t xml:space="preserve"> in Jordan</w:t>
      </w:r>
      <w:r w:rsidRPr="0082008C">
        <w:t xml:space="preserve"> </w:t>
      </w:r>
      <w:r>
        <w:t>(</w:t>
      </w:r>
      <w:r w:rsidRPr="009B482F">
        <w:t>El-</w:t>
      </w:r>
      <w:proofErr w:type="spellStart"/>
      <w:r w:rsidRPr="009B482F">
        <w:t>Issa</w:t>
      </w:r>
      <w:proofErr w:type="spellEnd"/>
      <w:r w:rsidRPr="009B482F">
        <w:t>, 1984, p.</w:t>
      </w:r>
      <w:r>
        <w:t> </w:t>
      </w:r>
      <w:r w:rsidRPr="009B482F">
        <w:t>53</w:t>
      </w:r>
      <w:r>
        <w:t xml:space="preserve">) – </w:t>
      </w:r>
      <w:r>
        <w:rPr>
          <w:lang w:val="en-US"/>
        </w:rPr>
        <w:t>w</w:t>
      </w:r>
      <w:r w:rsidRPr="009B482F">
        <w:rPr>
          <w:lang w:val="en-US"/>
        </w:rPr>
        <w:t xml:space="preserve">ould be applied </w:t>
      </w:r>
      <w:r>
        <w:rPr>
          <w:lang w:val="en-US"/>
        </w:rPr>
        <w:t xml:space="preserve">inappropriately </w:t>
      </w:r>
      <w:r w:rsidRPr="009B482F">
        <w:rPr>
          <w:lang w:val="en-US"/>
        </w:rPr>
        <w:t>to the</w:t>
      </w:r>
      <w:r>
        <w:rPr>
          <w:lang w:val="en-US"/>
        </w:rPr>
        <w:t xml:space="preserve"> new Islamic</w:t>
      </w:r>
      <w:r w:rsidRPr="009B482F">
        <w:rPr>
          <w:lang w:val="en-US"/>
        </w:rPr>
        <w:t xml:space="preserve"> bank </w:t>
      </w:r>
      <w:r>
        <w:rPr>
          <w:lang w:val="en-US"/>
        </w:rPr>
        <w:t xml:space="preserve">unless alternative accounting practices were included in the act.  The Fatwa Committee briefly discussed the provisions included in </w:t>
      </w:r>
      <w:proofErr w:type="spellStart"/>
      <w:r>
        <w:rPr>
          <w:lang w:val="en-US"/>
        </w:rPr>
        <w:t>Hamoud’s</w:t>
      </w:r>
      <w:proofErr w:type="spellEnd"/>
      <w:r>
        <w:rPr>
          <w:lang w:val="en-US"/>
        </w:rPr>
        <w:t xml:space="preserve"> first draft of the act, but found </w:t>
      </w:r>
      <w:proofErr w:type="spellStart"/>
      <w:r>
        <w:rPr>
          <w:lang w:val="en-US"/>
        </w:rPr>
        <w:t>Hamoud’s</w:t>
      </w:r>
      <w:proofErr w:type="spellEnd"/>
      <w:r>
        <w:rPr>
          <w:lang w:val="en-US"/>
        </w:rPr>
        <w:t xml:space="preserve"> arguments convincing, as neither the Fatwa Committee nor the government made any changes to the accounting articles in the final version of the act</w:t>
      </w:r>
      <w:r w:rsidRPr="009B482F">
        <w:rPr>
          <w:lang w:val="en-US"/>
        </w:rPr>
        <w:t xml:space="preserve">. </w:t>
      </w:r>
    </w:p>
    <w:p w:rsidR="00631CC8" w:rsidRDefault="00631CC8" w:rsidP="00F10A1F">
      <w:r>
        <w:rPr>
          <w:lang w:val="en-US"/>
        </w:rPr>
        <w:t>These revenue measurement ru</w:t>
      </w:r>
      <w:r w:rsidRPr="009B482F">
        <w:rPr>
          <w:lang w:val="en-US"/>
        </w:rPr>
        <w:t xml:space="preserve">les </w:t>
      </w:r>
      <w:r>
        <w:rPr>
          <w:lang w:val="en-US"/>
        </w:rPr>
        <w:t xml:space="preserve">covered two aspects.  Article 18 addressed the need to keep separate the accounts of activities financed through </w:t>
      </w:r>
      <w:proofErr w:type="spellStart"/>
      <w:r>
        <w:rPr>
          <w:i/>
          <w:lang w:val="en-US"/>
        </w:rPr>
        <w:t>m</w:t>
      </w:r>
      <w:r w:rsidRPr="001D3699">
        <w:rPr>
          <w:i/>
          <w:lang w:val="en-US"/>
        </w:rPr>
        <w:t>udarab</w:t>
      </w:r>
      <w:r>
        <w:rPr>
          <w:i/>
          <w:lang w:val="en-US"/>
        </w:rPr>
        <w:t>a</w:t>
      </w:r>
      <w:proofErr w:type="spellEnd"/>
      <w:r>
        <w:rPr>
          <w:lang w:val="en-US"/>
        </w:rPr>
        <w:t xml:space="preserve"> deposits from other activities, while Article 19 addressed the point of time at which profits from the bank’s financing activities</w:t>
      </w:r>
      <w:r>
        <w:t xml:space="preserve"> should be recognised.  This article reflected the concept of </w:t>
      </w:r>
      <w:proofErr w:type="spellStart"/>
      <w:r>
        <w:rPr>
          <w:i/>
        </w:rPr>
        <w:t>tandid</w:t>
      </w:r>
      <w:proofErr w:type="spellEnd"/>
      <w:r>
        <w:t xml:space="preserve">, under which profits from </w:t>
      </w:r>
      <w:proofErr w:type="spellStart"/>
      <w:r>
        <w:rPr>
          <w:i/>
        </w:rPr>
        <w:t>mudaraba</w:t>
      </w:r>
      <w:proofErr w:type="spellEnd"/>
      <w:r>
        <w:t xml:space="preserve"> activities should be distributed only on final liquidation of the transaction.  The Articles requi</w:t>
      </w:r>
      <w:r w:rsidRPr="00B7334F">
        <w:t xml:space="preserve">red the separation of the profits and expenses related to operations financed by the investment accounts from those of the bank itself. </w:t>
      </w:r>
      <w:r>
        <w:t xml:space="preserve"> </w:t>
      </w:r>
      <w:r w:rsidRPr="00B7334F">
        <w:t>This differs</w:t>
      </w:r>
      <w:r>
        <w:t xml:space="preserve"> from</w:t>
      </w:r>
      <w:r w:rsidRPr="00B7334F">
        <w:t xml:space="preserve"> the suggestion of Al-</w:t>
      </w:r>
      <w:proofErr w:type="spellStart"/>
      <w:r w:rsidRPr="00B7334F">
        <w:t>Arabi</w:t>
      </w:r>
      <w:proofErr w:type="spellEnd"/>
      <w:r w:rsidRPr="00B7334F">
        <w:t xml:space="preserve"> (1967</w:t>
      </w:r>
      <w:r>
        <w:t xml:space="preserve">, </w:t>
      </w:r>
      <w:r w:rsidRPr="00B7334F">
        <w:t>quoted by Abu-</w:t>
      </w:r>
      <w:proofErr w:type="spellStart"/>
      <w:r w:rsidRPr="00B7334F">
        <w:t>Zaid</w:t>
      </w:r>
      <w:proofErr w:type="spellEnd"/>
      <w:r w:rsidRPr="00B7334F">
        <w:t>, 1996</w:t>
      </w:r>
      <w:r>
        <w:t>)</w:t>
      </w:r>
      <w:r w:rsidRPr="00B7334F">
        <w:t xml:space="preserve">, who called for pooling all </w:t>
      </w:r>
      <w:r>
        <w:t xml:space="preserve">of </w:t>
      </w:r>
      <w:r w:rsidRPr="00B7334F">
        <w:t xml:space="preserve">the bank’s own revenues and investments with those of depositors in investment accounts. </w:t>
      </w:r>
      <w:r>
        <w:t xml:space="preserve"> Although t</w:t>
      </w:r>
      <w:r w:rsidRPr="00B7334F">
        <w:t>h</w:t>
      </w:r>
      <w:r>
        <w:t>e appropriate treatment</w:t>
      </w:r>
      <w:r w:rsidRPr="00B7334F">
        <w:t xml:space="preserve"> was not discussed in detail during the discussions of JIB’s act, </w:t>
      </w:r>
      <w:proofErr w:type="spellStart"/>
      <w:r w:rsidRPr="00B7334F">
        <w:t>H</w:t>
      </w:r>
      <w:r>
        <w:t>a</w:t>
      </w:r>
      <w:r w:rsidRPr="00B7334F">
        <w:t>moud</w:t>
      </w:r>
      <w:proofErr w:type="spellEnd"/>
      <w:r>
        <w:t xml:space="preserve"> had supported in his Ph.D. thesis the accounting method that came to be adopted by JIB.  His support reflected the two value systems within which he was working:</w:t>
      </w:r>
      <w:r w:rsidRPr="00B7334F">
        <w:t xml:space="preserve"> religious and </w:t>
      </w:r>
      <w:r>
        <w:t>commercial/</w:t>
      </w:r>
      <w:r w:rsidRPr="00B7334F">
        <w:t xml:space="preserve">pragmatic. </w:t>
      </w:r>
      <w:r>
        <w:t xml:space="preserve"> </w:t>
      </w:r>
      <w:proofErr w:type="spellStart"/>
      <w:r>
        <w:t>Hamoud</w:t>
      </w:r>
      <w:proofErr w:type="spellEnd"/>
      <w:r w:rsidRPr="00B7334F">
        <w:t xml:space="preserve"> argued that</w:t>
      </w:r>
      <w:r>
        <w:t xml:space="preserve"> all schools of Islamic jurisprudence</w:t>
      </w:r>
      <w:r w:rsidRPr="00B7334F">
        <w:t xml:space="preserve"> (except </w:t>
      </w:r>
      <w:r>
        <w:t xml:space="preserve">the </w:t>
      </w:r>
      <w:proofErr w:type="spellStart"/>
      <w:r w:rsidRPr="008E6C9F">
        <w:rPr>
          <w:i/>
        </w:rPr>
        <w:t>Hanbali</w:t>
      </w:r>
      <w:proofErr w:type="spellEnd"/>
      <w:r w:rsidRPr="00C97471">
        <w:t>) agreed that</w:t>
      </w:r>
      <w:r>
        <w:t xml:space="preserve"> the</w:t>
      </w:r>
      <w:r w:rsidRPr="00C97471">
        <w:t xml:space="preserve"> </w:t>
      </w:r>
      <w:proofErr w:type="spellStart"/>
      <w:r>
        <w:rPr>
          <w:i/>
        </w:rPr>
        <w:t>m</w:t>
      </w:r>
      <w:r w:rsidRPr="008E6C9F">
        <w:rPr>
          <w:i/>
        </w:rPr>
        <w:t>udarib</w:t>
      </w:r>
      <w:proofErr w:type="spellEnd"/>
      <w:r w:rsidRPr="00C97471">
        <w:t xml:space="preserve"> (the entrepreneur) </w:t>
      </w:r>
      <w:r>
        <w:t>wa</w:t>
      </w:r>
      <w:r w:rsidRPr="00C97471">
        <w:t>s not a</w:t>
      </w:r>
      <w:r w:rsidRPr="00B7334F">
        <w:t>llowed to charge his own expenses to</w:t>
      </w:r>
      <w:r>
        <w:t xml:space="preserve"> the</w:t>
      </w:r>
      <w:r w:rsidRPr="00B7334F">
        <w:t xml:space="preserve"> </w:t>
      </w:r>
      <w:proofErr w:type="spellStart"/>
      <w:r>
        <w:rPr>
          <w:i/>
        </w:rPr>
        <w:t>m</w:t>
      </w:r>
      <w:r w:rsidRPr="008E6C9F">
        <w:rPr>
          <w:i/>
        </w:rPr>
        <w:t>udaraba</w:t>
      </w:r>
      <w:proofErr w:type="spellEnd"/>
      <w:r w:rsidRPr="00C97471">
        <w:t xml:space="preserve"> contrac</w:t>
      </w:r>
      <w:r>
        <w:t>t</w:t>
      </w:r>
      <w:r w:rsidRPr="00C97471">
        <w:t xml:space="preserve"> </w:t>
      </w:r>
      <w:r>
        <w:t>(</w:t>
      </w:r>
      <w:r w:rsidRPr="00C97471">
        <w:t>and even</w:t>
      </w:r>
      <w:r>
        <w:t xml:space="preserve"> the</w:t>
      </w:r>
      <w:r w:rsidRPr="00C97471">
        <w:t xml:space="preserve"> </w:t>
      </w:r>
      <w:proofErr w:type="spellStart"/>
      <w:r w:rsidRPr="008E6C9F">
        <w:rPr>
          <w:i/>
        </w:rPr>
        <w:t>Hanbali</w:t>
      </w:r>
      <w:proofErr w:type="spellEnd"/>
      <w:r w:rsidRPr="00C97471">
        <w:t xml:space="preserve"> </w:t>
      </w:r>
      <w:r>
        <w:t>permitted</w:t>
      </w:r>
      <w:r w:rsidRPr="00C97471">
        <w:t xml:space="preserve"> only </w:t>
      </w:r>
      <w:r>
        <w:t>a</w:t>
      </w:r>
      <w:r w:rsidRPr="00C97471">
        <w:t xml:space="preserve"> few </w:t>
      </w:r>
      <w:r>
        <w:t>categories of</w:t>
      </w:r>
      <w:r w:rsidRPr="00C97471">
        <w:t xml:space="preserve"> expense</w:t>
      </w:r>
      <w:r>
        <w:t xml:space="preserve"> to be charged)</w:t>
      </w:r>
      <w:r w:rsidRPr="00C97471">
        <w:t xml:space="preserve">. </w:t>
      </w:r>
      <w:r>
        <w:t xml:space="preserve"> </w:t>
      </w:r>
      <w:r w:rsidRPr="00C97471">
        <w:t xml:space="preserve">In addition, </w:t>
      </w:r>
      <w:proofErr w:type="spellStart"/>
      <w:r>
        <w:t>Hamoud</w:t>
      </w:r>
      <w:proofErr w:type="spellEnd"/>
      <w:r w:rsidRPr="00C97471">
        <w:t xml:space="preserve"> argued that </w:t>
      </w:r>
      <w:r>
        <w:t>“c</w:t>
      </w:r>
      <w:r w:rsidRPr="00C97471">
        <w:t xml:space="preserve">harging </w:t>
      </w:r>
      <w:proofErr w:type="spellStart"/>
      <w:r>
        <w:rPr>
          <w:i/>
        </w:rPr>
        <w:t>m</w:t>
      </w:r>
      <w:r w:rsidRPr="008E6C9F">
        <w:rPr>
          <w:i/>
        </w:rPr>
        <w:t>udaraba</w:t>
      </w:r>
      <w:proofErr w:type="spellEnd"/>
      <w:r w:rsidRPr="00C97471">
        <w:t xml:space="preserve"> with the bank’s own expenses and its employees’ salaries might lead to these expenses and</w:t>
      </w:r>
      <w:r w:rsidRPr="00B7334F">
        <w:t xml:space="preserve"> salaries consum</w:t>
      </w:r>
      <w:r>
        <w:t>ing</w:t>
      </w:r>
      <w:r w:rsidRPr="00B7334F">
        <w:t xml:space="preserve"> all the profits, … and the bank will not be able to attract investors</w:t>
      </w:r>
      <w:r>
        <w:t>”</w:t>
      </w:r>
      <w:r w:rsidRPr="004E47AC">
        <w:t xml:space="preserve"> (</w:t>
      </w:r>
      <w:proofErr w:type="spellStart"/>
      <w:r w:rsidRPr="00C97471">
        <w:t>H</w:t>
      </w:r>
      <w:r>
        <w:t>a</w:t>
      </w:r>
      <w:r w:rsidRPr="00C97471">
        <w:t>moud</w:t>
      </w:r>
      <w:proofErr w:type="spellEnd"/>
      <w:r w:rsidRPr="00C97471">
        <w:t xml:space="preserve">, </w:t>
      </w:r>
      <w:r w:rsidRPr="00C97471">
        <w:lastRenderedPageBreak/>
        <w:t>1982, p.</w:t>
      </w:r>
      <w:r>
        <w:t> </w:t>
      </w:r>
      <w:r w:rsidRPr="00C97471">
        <w:t>445</w:t>
      </w:r>
      <w:r w:rsidRPr="004E47AC">
        <w:t xml:space="preserve">). </w:t>
      </w:r>
      <w:r>
        <w:t xml:space="preserve"> The </w:t>
      </w:r>
      <w:r w:rsidRPr="00B7334F">
        <w:t>difference</w:t>
      </w:r>
      <w:r>
        <w:t xml:space="preserve"> in view</w:t>
      </w:r>
      <w:r w:rsidRPr="00B7334F">
        <w:t xml:space="preserve"> between </w:t>
      </w:r>
      <w:proofErr w:type="spellStart"/>
      <w:r>
        <w:t>Hamoud</w:t>
      </w:r>
      <w:proofErr w:type="spellEnd"/>
      <w:r>
        <w:t xml:space="preserve"> and Al-</w:t>
      </w:r>
      <w:proofErr w:type="spellStart"/>
      <w:r>
        <w:t>Arabi</w:t>
      </w:r>
      <w:proofErr w:type="spellEnd"/>
      <w:r>
        <w:t xml:space="preserve"> has been reflected subsequently by Islamic banks in different countries making use of both methods.</w:t>
      </w:r>
      <w:r w:rsidRPr="00B7334F">
        <w:t xml:space="preserve">   </w:t>
      </w:r>
    </w:p>
    <w:p w:rsidR="00631CC8" w:rsidRPr="00C562A0" w:rsidRDefault="00631CC8" w:rsidP="00F10A1F">
      <w:r>
        <w:t>Article</w:t>
      </w:r>
      <w:r w:rsidRPr="009B482F">
        <w:t xml:space="preserve"> 19 of the act</w:t>
      </w:r>
      <w:r>
        <w:t xml:space="preserve"> made it</w:t>
      </w:r>
      <w:r w:rsidRPr="009B482F">
        <w:t xml:space="preserve"> clear that </w:t>
      </w:r>
      <w:r>
        <w:t xml:space="preserve">the bank should </w:t>
      </w:r>
      <w:r w:rsidRPr="009B482F">
        <w:rPr>
          <w:lang w:val="en-US"/>
        </w:rPr>
        <w:t>not take into account estimated or expected profits</w:t>
      </w:r>
      <w:r>
        <w:rPr>
          <w:lang w:val="en-US"/>
        </w:rPr>
        <w:t xml:space="preserve"> from investment activities</w:t>
      </w:r>
      <w:r>
        <w:t>, by setting</w:t>
      </w:r>
      <w:r w:rsidRPr="009B482F">
        <w:t xml:space="preserve"> specific rules for the recognition of profits </w:t>
      </w:r>
      <w:r>
        <w:t>from</w:t>
      </w:r>
      <w:r w:rsidRPr="009B482F">
        <w:t xml:space="preserve"> the differ</w:t>
      </w:r>
      <w:r>
        <w:t>ent investment</w:t>
      </w:r>
      <w:r w:rsidRPr="009B482F">
        <w:t xml:space="preserve"> activities undertaken by the bank. </w:t>
      </w:r>
      <w:r>
        <w:t xml:space="preserve"> These rules did not apply to the bank’s own financing, and the </w:t>
      </w:r>
      <w:proofErr w:type="spellStart"/>
      <w:r>
        <w:rPr>
          <w:i/>
        </w:rPr>
        <w:t>tandid</w:t>
      </w:r>
      <w:proofErr w:type="spellEnd"/>
      <w:r>
        <w:t xml:space="preserve"> condition was effectively relaxed for the </w:t>
      </w:r>
      <w:proofErr w:type="spellStart"/>
      <w:r>
        <w:rPr>
          <w:i/>
          <w:iCs/>
        </w:rPr>
        <w:t>m</w:t>
      </w:r>
      <w:r w:rsidRPr="009B482F">
        <w:rPr>
          <w:i/>
          <w:iCs/>
        </w:rPr>
        <w:t>udaraba</w:t>
      </w:r>
      <w:proofErr w:type="spellEnd"/>
      <w:r w:rsidRPr="009B482F">
        <w:t xml:space="preserve"> contract</w:t>
      </w:r>
      <w:r>
        <w:t>s</w:t>
      </w:r>
      <w:r w:rsidRPr="009B482F">
        <w:t xml:space="preserve"> upon which </w:t>
      </w:r>
      <w:r>
        <w:t xml:space="preserve">most deposits were based.  Even though the </w:t>
      </w:r>
      <w:proofErr w:type="spellStart"/>
      <w:r>
        <w:rPr>
          <w:i/>
        </w:rPr>
        <w:t>tandid</w:t>
      </w:r>
      <w:proofErr w:type="spellEnd"/>
      <w:r>
        <w:t xml:space="preserve"> principle was considered</w:t>
      </w:r>
      <w:r w:rsidRPr="009B482F">
        <w:t xml:space="preserve"> importan</w:t>
      </w:r>
      <w:r>
        <w:t xml:space="preserve">t, </w:t>
      </w:r>
      <w:r w:rsidRPr="009B482F">
        <w:t>it</w:t>
      </w:r>
      <w:r>
        <w:t>s</w:t>
      </w:r>
      <w:r w:rsidRPr="009B482F">
        <w:t xml:space="preserve"> </w:t>
      </w:r>
      <w:r>
        <w:t>application to the deposit system of Islamic banks was regarded as</w:t>
      </w:r>
      <w:r w:rsidRPr="009B482F">
        <w:t xml:space="preserve"> </w:t>
      </w:r>
      <w:r>
        <w:t>im</w:t>
      </w:r>
      <w:r w:rsidRPr="009B482F">
        <w:t>practical, as the bank c</w:t>
      </w:r>
      <w:r>
        <w:t>ould</w:t>
      </w:r>
      <w:r w:rsidRPr="009B482F">
        <w:t xml:space="preserve"> not liquidate all its investments at the end of each year</w:t>
      </w:r>
      <w:r>
        <w:t xml:space="preserve"> in order to determine and distribute profits</w:t>
      </w:r>
      <w:r w:rsidRPr="009B482F">
        <w:t xml:space="preserve">. </w:t>
      </w:r>
      <w:r>
        <w:t xml:space="preserve"> </w:t>
      </w:r>
      <w:r w:rsidRPr="009B482F">
        <w:t xml:space="preserve">However, in </w:t>
      </w:r>
      <w:proofErr w:type="spellStart"/>
      <w:r>
        <w:rPr>
          <w:i/>
          <w:iCs/>
        </w:rPr>
        <w:t>m</w:t>
      </w:r>
      <w:r w:rsidRPr="009B482F">
        <w:rPr>
          <w:i/>
          <w:iCs/>
        </w:rPr>
        <w:t>udaraba</w:t>
      </w:r>
      <w:proofErr w:type="spellEnd"/>
      <w:r w:rsidRPr="009B482F">
        <w:t xml:space="preserve"> financing</w:t>
      </w:r>
      <w:r>
        <w:t xml:space="preserve"> undertaken by the bank itself</w:t>
      </w:r>
      <w:r w:rsidRPr="009B482F">
        <w:t xml:space="preserve">, </w:t>
      </w:r>
      <w:proofErr w:type="spellStart"/>
      <w:r>
        <w:t>Hamoud</w:t>
      </w:r>
      <w:proofErr w:type="spellEnd"/>
      <w:r w:rsidRPr="009B482F">
        <w:t xml:space="preserve"> </w:t>
      </w:r>
      <w:r>
        <w:t>incorporat</w:t>
      </w:r>
      <w:r w:rsidRPr="009B482F">
        <w:t xml:space="preserve">ed </w:t>
      </w:r>
      <w:proofErr w:type="spellStart"/>
      <w:r>
        <w:rPr>
          <w:i/>
          <w:iCs/>
        </w:rPr>
        <w:t>t</w:t>
      </w:r>
      <w:r w:rsidRPr="009B482F">
        <w:rPr>
          <w:i/>
          <w:iCs/>
        </w:rPr>
        <w:t>andid</w:t>
      </w:r>
      <w:proofErr w:type="spellEnd"/>
      <w:r w:rsidRPr="009B482F">
        <w:t xml:space="preserve"> by requiring </w:t>
      </w:r>
      <w:r>
        <w:t xml:space="preserve">that </w:t>
      </w:r>
      <w:r w:rsidRPr="009B482F">
        <w:rPr>
          <w:lang w:val="en-US"/>
        </w:rPr>
        <w:t>profits sh</w:t>
      </w:r>
      <w:r>
        <w:rPr>
          <w:lang w:val="en-US"/>
        </w:rPr>
        <w:t>ould</w:t>
      </w:r>
      <w:r w:rsidRPr="009B482F">
        <w:rPr>
          <w:lang w:val="en-US"/>
        </w:rPr>
        <w:t xml:space="preserve"> be </w:t>
      </w:r>
      <w:proofErr w:type="spellStart"/>
      <w:r>
        <w:rPr>
          <w:lang w:val="en-US"/>
        </w:rPr>
        <w:t>recognised</w:t>
      </w:r>
      <w:proofErr w:type="spellEnd"/>
      <w:r>
        <w:rPr>
          <w:lang w:val="en-US"/>
        </w:rPr>
        <w:t xml:space="preserve"> only</w:t>
      </w:r>
      <w:r w:rsidRPr="009B482F">
        <w:rPr>
          <w:lang w:val="en-US"/>
        </w:rPr>
        <w:t xml:space="preserve"> on the basis of final settlement of accounts between the bank and the party</w:t>
      </w:r>
      <w:r w:rsidRPr="00BF39F0">
        <w:t xml:space="preserve"> utilising</w:t>
      </w:r>
      <w:r w:rsidRPr="009B482F">
        <w:rPr>
          <w:lang w:val="en-US"/>
        </w:rPr>
        <w:t xml:space="preserve"> the funds</w:t>
      </w:r>
      <w:r>
        <w:rPr>
          <w:lang w:val="en-US"/>
        </w:rPr>
        <w:t>.  A</w:t>
      </w:r>
      <w:r w:rsidRPr="009B482F">
        <w:rPr>
          <w:lang w:val="en-US"/>
        </w:rPr>
        <w:t xml:space="preserve"> similar requirement was set for </w:t>
      </w:r>
      <w:proofErr w:type="spellStart"/>
      <w:r>
        <w:rPr>
          <w:i/>
          <w:iCs/>
          <w:lang w:val="en-US"/>
        </w:rPr>
        <w:t>m</w:t>
      </w:r>
      <w:r w:rsidRPr="009B482F">
        <w:rPr>
          <w:i/>
          <w:iCs/>
          <w:lang w:val="en-US"/>
        </w:rPr>
        <w:t>usharaka</w:t>
      </w:r>
      <w:proofErr w:type="spellEnd"/>
      <w:r w:rsidRPr="009B482F">
        <w:rPr>
          <w:lang w:val="en-US"/>
        </w:rPr>
        <w:t xml:space="preserve"> financing.</w:t>
      </w:r>
      <w:r w:rsidRPr="009B482F">
        <w:t xml:space="preserve"> </w:t>
      </w:r>
      <w:r>
        <w:t xml:space="preserve"> The inclusion of these accounting articles in the JIB act shows how </w:t>
      </w:r>
      <w:proofErr w:type="spellStart"/>
      <w:r>
        <w:t>Hamoud</w:t>
      </w:r>
      <w:proofErr w:type="spellEnd"/>
      <w:r>
        <w:t xml:space="preserve"> perceived it necessary to allow for religious sensibilities by ensuring that the Islamic financing transactions were accounted for in a way consistent with Islamic principles (rather than through an automatic application of essentially Western accounting), while at the same time </w:t>
      </w:r>
      <w:proofErr w:type="spellStart"/>
      <w:r>
        <w:t>Hamoud’s</w:t>
      </w:r>
      <w:proofErr w:type="spellEnd"/>
      <w:r>
        <w:t xml:space="preserve"> eclectic approach to the use of religious argument meant that </w:t>
      </w:r>
      <w:proofErr w:type="spellStart"/>
      <w:r>
        <w:rPr>
          <w:i/>
        </w:rPr>
        <w:t>mudaraba</w:t>
      </w:r>
      <w:proofErr w:type="spellEnd"/>
      <w:r>
        <w:t xml:space="preserve"> transactions where the bank was the </w:t>
      </w:r>
      <w:proofErr w:type="spellStart"/>
      <w:r>
        <w:rPr>
          <w:i/>
        </w:rPr>
        <w:t>mudarib</w:t>
      </w:r>
      <w:proofErr w:type="spellEnd"/>
      <w:r>
        <w:t xml:space="preserve"> would be accounted for differently from those where the bank was the </w:t>
      </w:r>
      <w:proofErr w:type="spellStart"/>
      <w:r>
        <w:rPr>
          <w:i/>
          <w:iCs/>
        </w:rPr>
        <w:t>rabb</w:t>
      </w:r>
      <w:proofErr w:type="spellEnd"/>
      <w:r>
        <w:rPr>
          <w:i/>
          <w:iCs/>
        </w:rPr>
        <w:t xml:space="preserve"> al-mal</w:t>
      </w:r>
      <w:r>
        <w:t>.</w:t>
      </w:r>
    </w:p>
    <w:p w:rsidR="00631CC8" w:rsidRPr="009B482F" w:rsidRDefault="00631CC8" w:rsidP="00F10A1F">
      <w:r w:rsidRPr="009B482F">
        <w:t xml:space="preserve">The </w:t>
      </w:r>
      <w:r>
        <w:t xml:space="preserve">current form of </w:t>
      </w:r>
      <w:proofErr w:type="spellStart"/>
      <w:r>
        <w:rPr>
          <w:i/>
          <w:iCs/>
        </w:rPr>
        <w:t>m</w:t>
      </w:r>
      <w:r w:rsidRPr="009B482F">
        <w:rPr>
          <w:i/>
          <w:iCs/>
        </w:rPr>
        <w:t>urabaha</w:t>
      </w:r>
      <w:proofErr w:type="spellEnd"/>
      <w:r w:rsidRPr="009B482F">
        <w:t xml:space="preserve"> financing was unknown </w:t>
      </w:r>
      <w:r>
        <w:t>to</w:t>
      </w:r>
      <w:r w:rsidRPr="009B482F">
        <w:t xml:space="preserve"> Islamic banks before </w:t>
      </w:r>
      <w:proofErr w:type="spellStart"/>
      <w:r>
        <w:t>Hamoud’s</w:t>
      </w:r>
      <w:proofErr w:type="spellEnd"/>
      <w:r w:rsidRPr="009B482F">
        <w:t xml:space="preserve"> </w:t>
      </w:r>
      <w:r>
        <w:t>Ph.D. thesis</w:t>
      </w:r>
      <w:r w:rsidRPr="009B482F">
        <w:t xml:space="preserve"> in 1976. </w:t>
      </w:r>
      <w:r>
        <w:t xml:space="preserve"> </w:t>
      </w:r>
      <w:proofErr w:type="spellStart"/>
      <w:r w:rsidRPr="009B482F">
        <w:t>H</w:t>
      </w:r>
      <w:r>
        <w:t>amoud</w:t>
      </w:r>
      <w:proofErr w:type="spellEnd"/>
      <w:r w:rsidRPr="009B482F">
        <w:t xml:space="preserve"> </w:t>
      </w:r>
      <w:r>
        <w:t xml:space="preserve">based </w:t>
      </w:r>
      <w:r w:rsidRPr="009B482F">
        <w:t xml:space="preserve">this transaction on </w:t>
      </w:r>
      <w:r>
        <w:t xml:space="preserve">the </w:t>
      </w:r>
      <w:r w:rsidRPr="009B482F">
        <w:t>opinion</w:t>
      </w:r>
      <w:r>
        <w:t>s</w:t>
      </w:r>
      <w:r w:rsidRPr="009B482F">
        <w:t xml:space="preserve"> of Imam</w:t>
      </w:r>
      <w:r>
        <w:t xml:space="preserve"> Muhammad Al-</w:t>
      </w:r>
      <w:proofErr w:type="spellStart"/>
      <w:r>
        <w:t>Shafi’</w:t>
      </w:r>
      <w:r w:rsidRPr="009B482F">
        <w:t>i</w:t>
      </w:r>
      <w:proofErr w:type="spellEnd"/>
      <w:r w:rsidRPr="009B482F">
        <w:t>, the founder of</w:t>
      </w:r>
      <w:r>
        <w:t xml:space="preserve"> the</w:t>
      </w:r>
      <w:r w:rsidRPr="009B482F">
        <w:t xml:space="preserve"> </w:t>
      </w:r>
      <w:proofErr w:type="spellStart"/>
      <w:r>
        <w:rPr>
          <w:i/>
        </w:rPr>
        <w:t>Shafi’</w:t>
      </w:r>
      <w:r w:rsidRPr="009B482F">
        <w:rPr>
          <w:i/>
        </w:rPr>
        <w:t>i</w:t>
      </w:r>
      <w:proofErr w:type="spellEnd"/>
      <w:r w:rsidRPr="009B482F">
        <w:t xml:space="preserve"> </w:t>
      </w:r>
      <w:r>
        <w:t>s</w:t>
      </w:r>
      <w:r w:rsidRPr="009B482F">
        <w:t xml:space="preserve">chool of Islamic </w:t>
      </w:r>
      <w:r>
        <w:t>jurisprudence.</w:t>
      </w:r>
      <w:r w:rsidRPr="009B482F">
        <w:rPr>
          <w:rStyle w:val="EndnoteReference"/>
        </w:rPr>
        <w:endnoteReference w:id="9"/>
      </w:r>
      <w:r w:rsidRPr="009B482F">
        <w:t xml:space="preserve"> </w:t>
      </w:r>
      <w:r>
        <w:t xml:space="preserve"> How should the bank recognise profits from such a transaction?  </w:t>
      </w:r>
      <w:proofErr w:type="spellStart"/>
      <w:r>
        <w:t>Hamoud’s</w:t>
      </w:r>
      <w:proofErr w:type="spellEnd"/>
      <w:r>
        <w:t xml:space="preserve"> </w:t>
      </w:r>
      <w:r w:rsidRPr="009B482F">
        <w:t xml:space="preserve">view was that </w:t>
      </w:r>
      <w:proofErr w:type="spellStart"/>
      <w:r>
        <w:rPr>
          <w:i/>
          <w:iCs/>
        </w:rPr>
        <w:t>m</w:t>
      </w:r>
      <w:r>
        <w:rPr>
          <w:i/>
        </w:rPr>
        <w:t>urabaha</w:t>
      </w:r>
      <w:proofErr w:type="spellEnd"/>
      <w:r w:rsidRPr="009B482F">
        <w:t xml:space="preserve"> is a s</w:t>
      </w:r>
      <w:r>
        <w:t>ing</w:t>
      </w:r>
      <w:r w:rsidRPr="009B482F">
        <w:t>le sale</w:t>
      </w:r>
      <w:r>
        <w:t>s</w:t>
      </w:r>
      <w:r w:rsidRPr="009B482F">
        <w:t xml:space="preserve"> transaction</w:t>
      </w:r>
      <w:r>
        <w:t xml:space="preserve"> (where the bank buys goods, takes the risks of holding them, and sells them at a mark-up to the client)</w:t>
      </w:r>
      <w:r w:rsidRPr="009B482F">
        <w:t xml:space="preserve">, </w:t>
      </w:r>
      <w:r>
        <w:t>and</w:t>
      </w:r>
      <w:r w:rsidRPr="009B482F">
        <w:t xml:space="preserve"> he recommended </w:t>
      </w:r>
      <w:r>
        <w:t>that profit should be recognised when the sale to the client occurs.  However, the</w:t>
      </w:r>
      <w:r w:rsidRPr="009B482F">
        <w:t xml:space="preserve"> </w:t>
      </w:r>
      <w:r>
        <w:t xml:space="preserve">practice of the bank when it started operations reflected the use of </w:t>
      </w:r>
      <w:proofErr w:type="spellStart"/>
      <w:r>
        <w:rPr>
          <w:i/>
        </w:rPr>
        <w:t>murabaha</w:t>
      </w:r>
      <w:proofErr w:type="spellEnd"/>
      <w:r>
        <w:t xml:space="preserve"> as a financing transaction rather than as a sale.  When the bank started providing this transaction, it used (and it still uses) the market interest rate to set the “</w:t>
      </w:r>
      <w:proofErr w:type="spellStart"/>
      <w:r>
        <w:rPr>
          <w:i/>
        </w:rPr>
        <w:t>m</w:t>
      </w:r>
      <w:r w:rsidRPr="001706FB">
        <w:rPr>
          <w:i/>
        </w:rPr>
        <w:t>urabaha</w:t>
      </w:r>
      <w:proofErr w:type="spellEnd"/>
      <w:r>
        <w:t xml:space="preserve"> price”, and</w:t>
      </w:r>
      <w:r w:rsidRPr="009B482F">
        <w:rPr>
          <w:lang w:val="en-US" w:eastAsia="en-US"/>
        </w:rPr>
        <w:t xml:space="preserve"> </w:t>
      </w:r>
      <w:r>
        <w:rPr>
          <w:lang w:val="en-US" w:eastAsia="en-US"/>
        </w:rPr>
        <w:t>this price</w:t>
      </w:r>
      <w:r w:rsidRPr="009B482F">
        <w:rPr>
          <w:lang w:val="en-US" w:eastAsia="en-US"/>
        </w:rPr>
        <w:t xml:space="preserve"> </w:t>
      </w:r>
      <w:r>
        <w:rPr>
          <w:lang w:val="en-US" w:eastAsia="en-US"/>
        </w:rPr>
        <w:t xml:space="preserve">increased </w:t>
      </w:r>
      <w:r w:rsidRPr="009B482F">
        <w:rPr>
          <w:lang w:val="en-US" w:eastAsia="en-US"/>
        </w:rPr>
        <w:t xml:space="preserve">with time in </w:t>
      </w:r>
      <w:r>
        <w:rPr>
          <w:lang w:val="en-US" w:eastAsia="en-US"/>
        </w:rPr>
        <w:t xml:space="preserve">a </w:t>
      </w:r>
      <w:r w:rsidRPr="009B482F">
        <w:rPr>
          <w:lang w:val="en-US" w:eastAsia="en-US"/>
        </w:rPr>
        <w:t>similar way to the increase of interest charges with time</w:t>
      </w:r>
      <w:r>
        <w:t xml:space="preserve">. </w:t>
      </w:r>
      <w:r w:rsidRPr="009B482F">
        <w:t xml:space="preserve"> </w:t>
      </w:r>
      <w:r>
        <w:t xml:space="preserve"> This led </w:t>
      </w:r>
      <w:r w:rsidRPr="009B482F">
        <w:t>in</w:t>
      </w:r>
      <w:r>
        <w:t xml:space="preserve"> 1980, a year after JIB started operating, </w:t>
      </w:r>
      <w:r w:rsidRPr="009B482F">
        <w:t xml:space="preserve">to discussions </w:t>
      </w:r>
      <w:r>
        <w:t>by</w:t>
      </w:r>
      <w:r w:rsidRPr="009B482F">
        <w:t xml:space="preserve"> JIB</w:t>
      </w:r>
      <w:r>
        <w:t>’s Board of Directors</w:t>
      </w:r>
      <w:r w:rsidRPr="009B482F">
        <w:t xml:space="preserve"> regarding different revenue recognition </w:t>
      </w:r>
      <w:r>
        <w:t xml:space="preserve">possibilities, and some of the members suggested proportional allocation of the profit on a time basis over the period of credit, rather than recognising all of the profit when the sale to the client was deemed to take place.  Although recognition on such an “accruals” basis was </w:t>
      </w:r>
      <w:r>
        <w:lastRenderedPageBreak/>
        <w:t xml:space="preserve">not accepted, the debate led to tensions between </w:t>
      </w:r>
      <w:proofErr w:type="spellStart"/>
      <w:r>
        <w:t>Hamoud</w:t>
      </w:r>
      <w:proofErr w:type="spellEnd"/>
      <w:r>
        <w:t xml:space="preserve"> and some directors, and was subsequently one of the factors that led to his resignation from JIB in 1982.</w:t>
      </w:r>
      <w:r w:rsidRPr="009B482F">
        <w:t xml:space="preserve"> </w:t>
      </w:r>
    </w:p>
    <w:p w:rsidR="00631CC8" w:rsidRPr="009B482F" w:rsidRDefault="00631CC8" w:rsidP="006C5791">
      <w:pPr>
        <w:pStyle w:val="BodyText"/>
      </w:pPr>
    </w:p>
    <w:p w:rsidR="00631CC8" w:rsidRPr="009E7633" w:rsidRDefault="00631CC8" w:rsidP="003B5F29">
      <w:pPr>
        <w:pStyle w:val="Heading2"/>
      </w:pPr>
      <w:bookmarkStart w:id="18" w:name="_Toc74381911"/>
      <w:bookmarkStart w:id="19" w:name="_Toc74570030"/>
      <w:bookmarkStart w:id="20" w:name="_Toc76909448"/>
      <w:r w:rsidRPr="009E7633">
        <w:t>Analysis and Discussion</w:t>
      </w:r>
      <w:bookmarkEnd w:id="18"/>
      <w:bookmarkEnd w:id="19"/>
      <w:bookmarkEnd w:id="20"/>
    </w:p>
    <w:p w:rsidR="00631CC8" w:rsidRPr="009B482F" w:rsidRDefault="00631CC8" w:rsidP="003B5F29">
      <w:pPr>
        <w:pStyle w:val="Firstpara"/>
      </w:pPr>
      <w:r>
        <w:rPr>
          <w:bCs/>
        </w:rPr>
        <w:t xml:space="preserve">For an Islamic bank to be possible in the Jordan of the late 1970s, the support of the government was crucial, and this could only be achieved if the government could be assured that such a bank would not be an instrument of Islamist political groupings.  Government support became even more necessary when it was decided to establish the bank through a special act rather than using existing banking law.  Hence </w:t>
      </w:r>
      <w:proofErr w:type="spellStart"/>
      <w:r>
        <w:rPr>
          <w:bCs/>
        </w:rPr>
        <w:t>Hamoud</w:t>
      </w:r>
      <w:proofErr w:type="spellEnd"/>
      <w:r>
        <w:rPr>
          <w:bCs/>
        </w:rPr>
        <w:t>, the founder of the bank, and his allies on the Preparation Committee not only made efforts to gain public support but also contacted powerful</w:t>
      </w:r>
      <w:r w:rsidRPr="009B482F">
        <w:t xml:space="preserve"> fig</w:t>
      </w:r>
      <w:r>
        <w:t>ures such as the Saudi Prince Muhamma</w:t>
      </w:r>
      <w:r w:rsidRPr="009B482F">
        <w:t xml:space="preserve">d Al-Faisal and later the Crown Prince of Jordan. </w:t>
      </w:r>
      <w:r>
        <w:t xml:space="preserve"> The founder and the Preparation Committee stressed the role that an Islamic bank could play in economic development, as well as the bank’s potential social role, to justify the formation of the bank.  The bank’s religious commitments were presented as paramount.</w:t>
      </w:r>
      <w:r w:rsidRPr="009B482F">
        <w:t xml:space="preserve"> </w:t>
      </w:r>
    </w:p>
    <w:p w:rsidR="00631CC8" w:rsidRPr="001E66A9" w:rsidRDefault="00631CC8" w:rsidP="0039770A">
      <w:r>
        <w:t xml:space="preserve">But at the same time, </w:t>
      </w:r>
      <w:proofErr w:type="spellStart"/>
      <w:r>
        <w:t>Hamoud</w:t>
      </w:r>
      <w:proofErr w:type="spellEnd"/>
      <w:r>
        <w:t xml:space="preserve"> wanted a bank that would be successful and would compete with more conventional banks operating on a Western model.  Hence, </w:t>
      </w:r>
      <w:proofErr w:type="spellStart"/>
      <w:r>
        <w:t>Hamoud</w:t>
      </w:r>
      <w:proofErr w:type="spellEnd"/>
      <w:r>
        <w:t xml:space="preserve"> developed a set of banking transactions that, in his opinion, met the requirements of Islam while allowing the bank to operate competitively.  His long experience of conventional banking affected his view of the kinds of transaction that an Islamic bank should undertake.  </w:t>
      </w:r>
      <w:proofErr w:type="spellStart"/>
      <w:r>
        <w:t>Hamoud</w:t>
      </w:r>
      <w:proofErr w:type="spellEnd"/>
      <w:r w:rsidRPr="009B482F">
        <w:t xml:space="preserve"> </w:t>
      </w:r>
      <w:r>
        <w:t>considered</w:t>
      </w:r>
      <w:r w:rsidRPr="009B482F">
        <w:t xml:space="preserve"> that </w:t>
      </w:r>
      <w:proofErr w:type="spellStart"/>
      <w:r>
        <w:rPr>
          <w:i/>
          <w:iCs/>
        </w:rPr>
        <w:t>m</w:t>
      </w:r>
      <w:r w:rsidRPr="009B482F">
        <w:rPr>
          <w:i/>
          <w:iCs/>
        </w:rPr>
        <w:t>udaraba</w:t>
      </w:r>
      <w:proofErr w:type="spellEnd"/>
      <w:r w:rsidRPr="009B482F">
        <w:t xml:space="preserve"> and </w:t>
      </w:r>
      <w:proofErr w:type="spellStart"/>
      <w:r>
        <w:rPr>
          <w:i/>
          <w:iCs/>
        </w:rPr>
        <w:t>m</w:t>
      </w:r>
      <w:r w:rsidRPr="009B482F">
        <w:rPr>
          <w:i/>
          <w:iCs/>
        </w:rPr>
        <w:t>usharaka</w:t>
      </w:r>
      <w:proofErr w:type="spellEnd"/>
      <w:r w:rsidRPr="009B482F">
        <w:t xml:space="preserve"> financing could not serve some financing needs such as consumption loans.</w:t>
      </w:r>
      <w:r>
        <w:t xml:space="preserve"> </w:t>
      </w:r>
      <w:r w:rsidRPr="009B482F">
        <w:t xml:space="preserve"> Before </w:t>
      </w:r>
      <w:r>
        <w:t>he began</w:t>
      </w:r>
      <w:r w:rsidRPr="009B482F">
        <w:t xml:space="preserve"> his </w:t>
      </w:r>
      <w:r>
        <w:t xml:space="preserve">doctoral </w:t>
      </w:r>
      <w:r w:rsidRPr="009B482F">
        <w:t>research</w:t>
      </w:r>
      <w:r>
        <w:t xml:space="preserve">, </w:t>
      </w:r>
      <w:proofErr w:type="spellStart"/>
      <w:r>
        <w:t>Hamoud</w:t>
      </w:r>
      <w:proofErr w:type="spellEnd"/>
      <w:r w:rsidRPr="009B482F">
        <w:t xml:space="preserve"> was searching for a kind of transaction that c</w:t>
      </w:r>
      <w:r>
        <w:t>ould compete with interest-</w:t>
      </w:r>
      <w:r w:rsidRPr="009B482F">
        <w:t xml:space="preserve">bearing consumption loans, and by chance, he found support for his </w:t>
      </w:r>
      <w:r>
        <w:t>interpretation</w:t>
      </w:r>
      <w:r w:rsidRPr="009B482F">
        <w:t xml:space="preserve"> of</w:t>
      </w:r>
      <w:r>
        <w:t xml:space="preserve"> the</w:t>
      </w:r>
      <w:r w:rsidRPr="009B482F">
        <w:t xml:space="preserve"> </w:t>
      </w:r>
      <w:proofErr w:type="spellStart"/>
      <w:r>
        <w:rPr>
          <w:i/>
          <w:iCs/>
        </w:rPr>
        <w:t>m</w:t>
      </w:r>
      <w:r w:rsidRPr="009B482F">
        <w:rPr>
          <w:i/>
          <w:iCs/>
        </w:rPr>
        <w:t>urabaha</w:t>
      </w:r>
      <w:proofErr w:type="spellEnd"/>
      <w:r w:rsidRPr="009B482F">
        <w:t xml:space="preserve"> </w:t>
      </w:r>
      <w:r>
        <w:t xml:space="preserve">mark-up </w:t>
      </w:r>
      <w:r w:rsidRPr="009B482F">
        <w:t>sale in a book written by the founder of</w:t>
      </w:r>
      <w:r>
        <w:t xml:space="preserve"> the</w:t>
      </w:r>
      <w:r w:rsidRPr="009B482F">
        <w:t xml:space="preserve"> </w:t>
      </w:r>
      <w:proofErr w:type="spellStart"/>
      <w:r>
        <w:rPr>
          <w:i/>
        </w:rPr>
        <w:t>Shafi’i</w:t>
      </w:r>
      <w:proofErr w:type="spellEnd"/>
      <w:r>
        <w:t xml:space="preserve"> school of jurisprudence</w:t>
      </w:r>
      <w:r w:rsidRPr="009B482F">
        <w:t>.</w:t>
      </w:r>
      <w:r>
        <w:t xml:space="preserve"> </w:t>
      </w:r>
      <w:r w:rsidRPr="009B482F">
        <w:t xml:space="preserve"> </w:t>
      </w:r>
      <w:r>
        <w:t>Despite the wide adoption of t</w:t>
      </w:r>
      <w:r w:rsidRPr="009B482F">
        <w:t>his transaction by</w:t>
      </w:r>
      <w:r>
        <w:t xml:space="preserve"> the</w:t>
      </w:r>
      <w:r w:rsidRPr="009B482F">
        <w:t xml:space="preserve"> Islamic banking industry around the world, it </w:t>
      </w:r>
      <w:r>
        <w:t>has been</w:t>
      </w:r>
      <w:r w:rsidRPr="009B482F">
        <w:t xml:space="preserve"> viewed as </w:t>
      </w:r>
      <w:r>
        <w:t xml:space="preserve">substantially </w:t>
      </w:r>
      <w:r w:rsidRPr="009B482F">
        <w:t xml:space="preserve">the same as </w:t>
      </w:r>
      <w:r>
        <w:t>an interest-</w:t>
      </w:r>
      <w:r w:rsidRPr="009B482F">
        <w:t>bearing loan (Al-</w:t>
      </w:r>
      <w:proofErr w:type="spellStart"/>
      <w:r w:rsidRPr="009B482F">
        <w:t>Azzizi</w:t>
      </w:r>
      <w:proofErr w:type="spellEnd"/>
      <w:r w:rsidRPr="009B482F">
        <w:t xml:space="preserve">, 2000). </w:t>
      </w:r>
      <w:r>
        <w:t xml:space="preserve"> </w:t>
      </w:r>
      <w:r w:rsidRPr="009B482F">
        <w:t xml:space="preserve">Both the </w:t>
      </w:r>
      <w:proofErr w:type="spellStart"/>
      <w:r>
        <w:rPr>
          <w:i/>
        </w:rPr>
        <w:t>mudaraba</w:t>
      </w:r>
      <w:proofErr w:type="spellEnd"/>
      <w:r>
        <w:t xml:space="preserve"> </w:t>
      </w:r>
      <w:r w:rsidRPr="009B482F">
        <w:t xml:space="preserve">deposit system suggested by </w:t>
      </w:r>
      <w:proofErr w:type="spellStart"/>
      <w:r>
        <w:t>Hamoud</w:t>
      </w:r>
      <w:proofErr w:type="spellEnd"/>
      <w:r w:rsidRPr="009B482F">
        <w:t xml:space="preserve"> and </w:t>
      </w:r>
      <w:proofErr w:type="spellStart"/>
      <w:r>
        <w:rPr>
          <w:i/>
          <w:iCs/>
        </w:rPr>
        <w:t>m</w:t>
      </w:r>
      <w:r w:rsidRPr="009B482F">
        <w:rPr>
          <w:i/>
          <w:iCs/>
        </w:rPr>
        <w:t>urabaha</w:t>
      </w:r>
      <w:proofErr w:type="spellEnd"/>
      <w:r w:rsidRPr="009B482F">
        <w:t xml:space="preserve"> financing </w:t>
      </w:r>
      <w:r>
        <w:t>were</w:t>
      </w:r>
      <w:r w:rsidRPr="009B482F">
        <w:t xml:space="preserve"> </w:t>
      </w:r>
      <w:r>
        <w:t xml:space="preserve">consciously designed to be </w:t>
      </w:r>
      <w:r w:rsidRPr="009B482F">
        <w:t>similar</w:t>
      </w:r>
      <w:r>
        <w:t xml:space="preserve"> to conventional banking practices.</w:t>
      </w:r>
    </w:p>
    <w:p w:rsidR="00631CC8" w:rsidRDefault="00631CC8" w:rsidP="00D27194">
      <w:r>
        <w:t xml:space="preserve">However, there is no evidence that </w:t>
      </w:r>
      <w:proofErr w:type="spellStart"/>
      <w:r>
        <w:t>Hamoud</w:t>
      </w:r>
      <w:proofErr w:type="spellEnd"/>
      <w:r>
        <w:t xml:space="preserve"> and his colleagues on the Preparation Committee regarded the religious structuring of the bank’s main transactions as mere Islamic forms for essentially conventional practices. Different religious opinions were advanced by </w:t>
      </w:r>
      <w:proofErr w:type="spellStart"/>
      <w:r>
        <w:t>Hamoud</w:t>
      </w:r>
      <w:proofErr w:type="spellEnd"/>
      <w:r>
        <w:t xml:space="preserve"> and the other members of the Fatwa Committee to help shape the bank’s special act </w:t>
      </w:r>
      <w:r>
        <w:lastRenderedPageBreak/>
        <w:t xml:space="preserve">and the transactions that the bank was to undertake.  Religious arguments were advanced to support and oppose the effective guarantee of deposits and </w:t>
      </w:r>
      <w:r w:rsidRPr="009B482F">
        <w:t xml:space="preserve">the </w:t>
      </w:r>
      <w:r>
        <w:t>religious concept</w:t>
      </w:r>
      <w:r w:rsidRPr="009B482F">
        <w:t xml:space="preserve"> of </w:t>
      </w:r>
      <w:proofErr w:type="spellStart"/>
      <w:r>
        <w:rPr>
          <w:i/>
        </w:rPr>
        <w:t>t</w:t>
      </w:r>
      <w:r w:rsidRPr="009B482F">
        <w:rPr>
          <w:i/>
        </w:rPr>
        <w:t>andid</w:t>
      </w:r>
      <w:proofErr w:type="spellEnd"/>
      <w:r w:rsidRPr="009B482F">
        <w:t xml:space="preserve"> </w:t>
      </w:r>
      <w:r>
        <w:t xml:space="preserve">was used to determine the measurement of revenue and profits from </w:t>
      </w:r>
      <w:proofErr w:type="spellStart"/>
      <w:r>
        <w:rPr>
          <w:i/>
        </w:rPr>
        <w:t>m</w:t>
      </w:r>
      <w:r w:rsidRPr="009B482F">
        <w:rPr>
          <w:i/>
        </w:rPr>
        <w:t>usharaka</w:t>
      </w:r>
      <w:proofErr w:type="spellEnd"/>
      <w:r w:rsidRPr="009B482F">
        <w:t xml:space="preserve"> and </w:t>
      </w:r>
      <w:proofErr w:type="spellStart"/>
      <w:r>
        <w:rPr>
          <w:i/>
        </w:rPr>
        <w:t>m</w:t>
      </w:r>
      <w:r w:rsidRPr="009B482F">
        <w:rPr>
          <w:i/>
        </w:rPr>
        <w:t>udaraba</w:t>
      </w:r>
      <w:proofErr w:type="spellEnd"/>
      <w:r w:rsidRPr="009B482F">
        <w:t xml:space="preserve"> </w:t>
      </w:r>
      <w:r>
        <w:t>f</w:t>
      </w:r>
      <w:r w:rsidRPr="009B482F">
        <w:t>inan</w:t>
      </w:r>
      <w:r>
        <w:t>cing.</w:t>
      </w:r>
      <w:r w:rsidRPr="009B482F">
        <w:t xml:space="preserve"> </w:t>
      </w:r>
      <w:r>
        <w:t xml:space="preserve"> The existence of different</w:t>
      </w:r>
      <w:r w:rsidRPr="009B482F">
        <w:t xml:space="preserve"> school</w:t>
      </w:r>
      <w:r>
        <w:t>s</w:t>
      </w:r>
      <w:r w:rsidRPr="009B482F">
        <w:t xml:space="preserve"> of </w:t>
      </w:r>
      <w:r>
        <w:t xml:space="preserve">jurisprudence among Sunni Muslims </w:t>
      </w:r>
      <w:r w:rsidRPr="009B482F">
        <w:t xml:space="preserve">presented a problem. </w:t>
      </w:r>
      <w:r>
        <w:t xml:space="preserve"> </w:t>
      </w:r>
      <w:proofErr w:type="spellStart"/>
      <w:r>
        <w:t>Hamoud</w:t>
      </w:r>
      <w:proofErr w:type="spellEnd"/>
      <w:r w:rsidRPr="009B482F">
        <w:t xml:space="preserve"> </w:t>
      </w:r>
      <w:r>
        <w:t>considered</w:t>
      </w:r>
      <w:r w:rsidRPr="009B482F">
        <w:t xml:space="preserve"> that adopting </w:t>
      </w:r>
      <w:r>
        <w:t xml:space="preserve">the opinions of </w:t>
      </w:r>
      <w:r w:rsidRPr="009B482F">
        <w:t>one school</w:t>
      </w:r>
      <w:r>
        <w:t xml:space="preserve"> consistently</w:t>
      </w:r>
      <w:r w:rsidRPr="009B482F">
        <w:t xml:space="preserve"> would not </w:t>
      </w:r>
      <w:r>
        <w:t xml:space="preserve">provide </w:t>
      </w:r>
      <w:r w:rsidRPr="009B482F">
        <w:t xml:space="preserve">a solid </w:t>
      </w:r>
      <w:r>
        <w:t>foundation</w:t>
      </w:r>
      <w:r w:rsidRPr="009B482F">
        <w:t xml:space="preserve"> for Islamic banking systems. </w:t>
      </w:r>
      <w:r>
        <w:t xml:space="preserve"> He therefore selected </w:t>
      </w:r>
      <w:r w:rsidRPr="009B482F">
        <w:t xml:space="preserve">what he </w:t>
      </w:r>
      <w:r>
        <w:t>thought</w:t>
      </w:r>
      <w:r w:rsidRPr="009B482F">
        <w:t xml:space="preserve"> appropriate from each school. </w:t>
      </w:r>
      <w:r>
        <w:t xml:space="preserve"> </w:t>
      </w:r>
      <w:r w:rsidRPr="009B482F">
        <w:t xml:space="preserve">Thus, </w:t>
      </w:r>
      <w:r>
        <w:t>t</w:t>
      </w:r>
      <w:r w:rsidRPr="009B482F">
        <w:t xml:space="preserve">he </w:t>
      </w:r>
      <w:proofErr w:type="spellStart"/>
      <w:r>
        <w:rPr>
          <w:i/>
          <w:iCs/>
        </w:rPr>
        <w:t>murabaha</w:t>
      </w:r>
      <w:proofErr w:type="spellEnd"/>
      <w:r>
        <w:rPr>
          <w:i/>
          <w:iCs/>
        </w:rPr>
        <w:t xml:space="preserve"> for purchase </w:t>
      </w:r>
      <w:proofErr w:type="spellStart"/>
      <w:r>
        <w:rPr>
          <w:i/>
          <w:iCs/>
        </w:rPr>
        <w:t>o</w:t>
      </w:r>
      <w:r w:rsidRPr="009B482F">
        <w:rPr>
          <w:i/>
          <w:iCs/>
        </w:rPr>
        <w:t>rderer</w:t>
      </w:r>
      <w:proofErr w:type="spellEnd"/>
      <w:r>
        <w:rPr>
          <w:i/>
          <w:iCs/>
        </w:rPr>
        <w:t xml:space="preserve"> </w:t>
      </w:r>
      <w:r>
        <w:rPr>
          <w:iCs/>
        </w:rPr>
        <w:t>transaction</w:t>
      </w:r>
      <w:r w:rsidRPr="009B482F">
        <w:t xml:space="preserve">, accepted only by </w:t>
      </w:r>
      <w:r>
        <w:t xml:space="preserve">the </w:t>
      </w:r>
      <w:proofErr w:type="spellStart"/>
      <w:r>
        <w:rPr>
          <w:i/>
        </w:rPr>
        <w:t>Shafi’i</w:t>
      </w:r>
      <w:proofErr w:type="spellEnd"/>
      <w:r>
        <w:t xml:space="preserve"> school, and the extraction of</w:t>
      </w:r>
      <w:r w:rsidRPr="009B482F">
        <w:t xml:space="preserve"> part of </w:t>
      </w:r>
      <w:r>
        <w:t xml:space="preserve">the </w:t>
      </w:r>
      <w:r w:rsidRPr="009B482F">
        <w:t>investment profit</w:t>
      </w:r>
      <w:r>
        <w:t xml:space="preserve"> as a loss provision</w:t>
      </w:r>
      <w:r w:rsidRPr="009B482F">
        <w:t>, accept</w:t>
      </w:r>
      <w:r>
        <w:t>ed only</w:t>
      </w:r>
      <w:r w:rsidRPr="009B482F">
        <w:t xml:space="preserve"> by</w:t>
      </w:r>
      <w:r>
        <w:t xml:space="preserve"> the</w:t>
      </w:r>
      <w:r w:rsidRPr="009B482F">
        <w:t xml:space="preserve"> </w:t>
      </w:r>
      <w:proofErr w:type="spellStart"/>
      <w:r w:rsidRPr="009B482F">
        <w:rPr>
          <w:i/>
        </w:rPr>
        <w:t>Maliki</w:t>
      </w:r>
      <w:proofErr w:type="spellEnd"/>
      <w:r>
        <w:t xml:space="preserve"> school, were important elements of </w:t>
      </w:r>
      <w:proofErr w:type="spellStart"/>
      <w:r>
        <w:t>Hamoud’s</w:t>
      </w:r>
      <w:proofErr w:type="spellEnd"/>
      <w:r>
        <w:t xml:space="preserve"> proposals</w:t>
      </w:r>
      <w:r w:rsidRPr="009B482F">
        <w:t xml:space="preserve">. </w:t>
      </w:r>
      <w:r>
        <w:t xml:space="preserve"> </w:t>
      </w:r>
      <w:r w:rsidRPr="009B482F">
        <w:t xml:space="preserve">However, this represented a problem </w:t>
      </w:r>
      <w:r>
        <w:t xml:space="preserve">to the Fatwa Committee, because Jordan had historically followed the </w:t>
      </w:r>
      <w:proofErr w:type="spellStart"/>
      <w:r w:rsidRPr="009B482F">
        <w:rPr>
          <w:i/>
        </w:rPr>
        <w:t>Han</w:t>
      </w:r>
      <w:r>
        <w:rPr>
          <w:i/>
        </w:rPr>
        <w:t>a</w:t>
      </w:r>
      <w:r w:rsidRPr="009B482F">
        <w:rPr>
          <w:i/>
        </w:rPr>
        <w:t>fi</w:t>
      </w:r>
      <w:proofErr w:type="spellEnd"/>
      <w:r w:rsidRPr="009B482F">
        <w:t xml:space="preserve"> </w:t>
      </w:r>
      <w:proofErr w:type="gramStart"/>
      <w:r>
        <w:t>s</w:t>
      </w:r>
      <w:r w:rsidRPr="009B482F">
        <w:t>chool</w:t>
      </w:r>
      <w:proofErr w:type="gramEnd"/>
      <w:r>
        <w:t xml:space="preserve"> and most Islamic scholars considered that mixing schools was undesirable</w:t>
      </w:r>
      <w:r w:rsidRPr="009B482F">
        <w:t xml:space="preserve">. </w:t>
      </w:r>
    </w:p>
    <w:p w:rsidR="00631CC8" w:rsidRDefault="00631CC8" w:rsidP="003B5F29">
      <w:r>
        <w:t>The existing regulatory framework in Jordan provided a context for the development of the special act.  I</w:t>
      </w:r>
      <w:r w:rsidRPr="009B482F">
        <w:t xml:space="preserve">n many </w:t>
      </w:r>
      <w:r>
        <w:t>a</w:t>
      </w:r>
      <w:r w:rsidRPr="009B482F">
        <w:t xml:space="preserve">spects that </w:t>
      </w:r>
      <w:r>
        <w:t xml:space="preserve">did not </w:t>
      </w:r>
      <w:r w:rsidRPr="009B482F">
        <w:t xml:space="preserve">have </w:t>
      </w:r>
      <w:r>
        <w:t xml:space="preserve">a </w:t>
      </w:r>
      <w:r w:rsidRPr="009B482F">
        <w:t xml:space="preserve">religious background, regulations </w:t>
      </w:r>
      <w:r>
        <w:t>similar to those in p</w:t>
      </w:r>
      <w:r w:rsidRPr="009B482F">
        <w:t xml:space="preserve">revious </w:t>
      </w:r>
      <w:r>
        <w:t xml:space="preserve">special bank </w:t>
      </w:r>
      <w:r w:rsidRPr="009B482F">
        <w:t>acts</w:t>
      </w:r>
      <w:r>
        <w:t xml:space="preserve"> were adopted</w:t>
      </w:r>
      <w:r w:rsidRPr="009B482F">
        <w:t xml:space="preserve">. </w:t>
      </w:r>
      <w:r>
        <w:t xml:space="preserve"> </w:t>
      </w:r>
      <w:r w:rsidRPr="009B482F">
        <w:t xml:space="preserve">However, </w:t>
      </w:r>
      <w:r>
        <w:t xml:space="preserve">because the Jordanian government had to admit that it lacked experience of Islamic banking, it was prepared to delegate the initial development of the special act to </w:t>
      </w:r>
      <w:proofErr w:type="spellStart"/>
      <w:r>
        <w:t>Hamoud</w:t>
      </w:r>
      <w:proofErr w:type="spellEnd"/>
      <w:r>
        <w:t xml:space="preserve"> and the Preparation Committee.  </w:t>
      </w:r>
      <w:proofErr w:type="spellStart"/>
      <w:r>
        <w:t>Hamoud</w:t>
      </w:r>
      <w:proofErr w:type="spellEnd"/>
      <w:r>
        <w:t xml:space="preserve"> </w:t>
      </w:r>
      <w:r w:rsidRPr="009B482F">
        <w:t xml:space="preserve">described that </w:t>
      </w:r>
      <w:r>
        <w:t xml:space="preserve">time </w:t>
      </w:r>
      <w:r w:rsidRPr="009B482F">
        <w:t xml:space="preserve">as </w:t>
      </w:r>
      <w:r>
        <w:t>his “</w:t>
      </w:r>
      <w:r w:rsidRPr="009B482F">
        <w:t>full control period</w:t>
      </w:r>
      <w:r>
        <w:t>”,</w:t>
      </w:r>
      <w:r w:rsidRPr="009B482F">
        <w:t xml:space="preserve"> despite some resistance from</w:t>
      </w:r>
      <w:r>
        <w:t xml:space="preserve"> the</w:t>
      </w:r>
      <w:r w:rsidRPr="009B482F">
        <w:t xml:space="preserve"> F</w:t>
      </w:r>
      <w:r>
        <w:t xml:space="preserve">atwa </w:t>
      </w:r>
      <w:r w:rsidRPr="009B482F">
        <w:t>C</w:t>
      </w:r>
      <w:r>
        <w:t>ommittee</w:t>
      </w:r>
      <w:r w:rsidRPr="009B482F">
        <w:t xml:space="preserve">. </w:t>
      </w:r>
      <w:r>
        <w:t xml:space="preserve"> T</w:t>
      </w:r>
      <w:r w:rsidRPr="009B482F">
        <w:t xml:space="preserve">he </w:t>
      </w:r>
      <w:r>
        <w:t>Fatwa Committee</w:t>
      </w:r>
      <w:r w:rsidRPr="009B482F">
        <w:t xml:space="preserve"> agreed </w:t>
      </w:r>
      <w:r>
        <w:t>with</w:t>
      </w:r>
      <w:r w:rsidRPr="009B482F">
        <w:t xml:space="preserve"> the founder’s suggestions in most </w:t>
      </w:r>
      <w:r>
        <w:t xml:space="preserve">areas, though there was disagreement over </w:t>
      </w:r>
      <w:r w:rsidRPr="009B482F">
        <w:t>the guarantee of deposits</w:t>
      </w:r>
      <w:r>
        <w:t xml:space="preserve">, the </w:t>
      </w:r>
      <w:r w:rsidRPr="009B482F">
        <w:t>form of religious audit</w:t>
      </w:r>
      <w:r>
        <w:t>, and some other minor issues</w:t>
      </w:r>
      <w:r w:rsidRPr="009B482F">
        <w:t xml:space="preserve">. </w:t>
      </w:r>
      <w:r>
        <w:t xml:space="preserve"> Even though</w:t>
      </w:r>
      <w:r w:rsidRPr="009B482F">
        <w:t xml:space="preserve"> </w:t>
      </w:r>
      <w:proofErr w:type="spellStart"/>
      <w:r>
        <w:t>Hamoud</w:t>
      </w:r>
      <w:proofErr w:type="spellEnd"/>
      <w:r w:rsidRPr="009B482F">
        <w:t xml:space="preserve"> agreed </w:t>
      </w:r>
      <w:r>
        <w:t>with</w:t>
      </w:r>
      <w:r w:rsidRPr="009B482F">
        <w:t xml:space="preserve"> the</w:t>
      </w:r>
      <w:r>
        <w:t xml:space="preserve"> Committee’s changes, he was able to obtain the outcome he wanted.  On the religious audit issue, </w:t>
      </w:r>
      <w:proofErr w:type="spellStart"/>
      <w:r>
        <w:t>Hamoud</w:t>
      </w:r>
      <w:proofErr w:type="spellEnd"/>
      <w:r>
        <w:t xml:space="preserve"> was able to secure changes by the Prime Minister’s office so that the final provisions were, if anything, more favourable to the bank’s management than even the first draft.  Although </w:t>
      </w:r>
      <w:proofErr w:type="spellStart"/>
      <w:r>
        <w:t>Hamoud</w:t>
      </w:r>
      <w:proofErr w:type="spellEnd"/>
      <w:r>
        <w:t xml:space="preserve"> concurred in </w:t>
      </w:r>
      <w:r w:rsidRPr="009B482F">
        <w:t xml:space="preserve">the changes to </w:t>
      </w:r>
      <w:r>
        <w:t xml:space="preserve">the </w:t>
      </w:r>
      <w:r w:rsidRPr="009B482F">
        <w:t>guarantee issue recommended by the F</w:t>
      </w:r>
      <w:r>
        <w:t xml:space="preserve">atwa </w:t>
      </w:r>
      <w:r w:rsidRPr="009B482F">
        <w:t>C</w:t>
      </w:r>
      <w:r>
        <w:t>ommittee</w:t>
      </w:r>
      <w:r w:rsidRPr="009B482F">
        <w:t xml:space="preserve">, his position as the </w:t>
      </w:r>
      <w:r>
        <w:t xml:space="preserve">bank’s first </w:t>
      </w:r>
      <w:r w:rsidRPr="009B482F">
        <w:t>general manager</w:t>
      </w:r>
      <w:r>
        <w:t xml:space="preserve"> allowed</w:t>
      </w:r>
      <w:r w:rsidRPr="009B482F">
        <w:t xml:space="preserve"> him to operate the bank on the basis that the</w:t>
      </w:r>
      <w:r>
        <w:t xml:space="preserve"> customers’ </w:t>
      </w:r>
      <w:proofErr w:type="spellStart"/>
      <w:r>
        <w:rPr>
          <w:i/>
        </w:rPr>
        <w:t>mudaraba</w:t>
      </w:r>
      <w:proofErr w:type="spellEnd"/>
      <w:r w:rsidRPr="009B482F">
        <w:t xml:space="preserve"> deposits </w:t>
      </w:r>
      <w:r>
        <w:t>we</w:t>
      </w:r>
      <w:r w:rsidRPr="009B482F">
        <w:t xml:space="preserve">re guaranteed.  </w:t>
      </w:r>
      <w:proofErr w:type="spellStart"/>
      <w:r>
        <w:t>Hamoud</w:t>
      </w:r>
      <w:proofErr w:type="spellEnd"/>
      <w:r>
        <w:t xml:space="preserve"> was also able to ensure that the act</w:t>
      </w:r>
      <w:r w:rsidRPr="009B482F">
        <w:t xml:space="preserve"> contained revenue </w:t>
      </w:r>
      <w:r>
        <w:t xml:space="preserve">recognition and </w:t>
      </w:r>
      <w:r w:rsidRPr="009B482F">
        <w:t>measurement rules</w:t>
      </w:r>
      <w:r>
        <w:t xml:space="preserve">, thus avoiding the application of those Western accounting practices that formed the basis of Jordanian financial reporting at that time. </w:t>
      </w:r>
      <w:r w:rsidRPr="009B482F">
        <w:t xml:space="preserve"> </w:t>
      </w:r>
    </w:p>
    <w:p w:rsidR="00631CC8" w:rsidRDefault="00631CC8" w:rsidP="0039568D">
      <w:r>
        <w:t xml:space="preserve">The creation of Jordan Islamic Bank, and the development of its special act, demonstrates how accounting regulation can emerge as a by-product of the process by which a knowledgeable individual and his allies applied religious ideas within an existing regulatory framework.  Once it was realised that a special act was the most effective way of establishing </w:t>
      </w:r>
      <w:r>
        <w:lastRenderedPageBreak/>
        <w:t xml:space="preserve">an Islamic bank in Jordan, control over drafting the act was crucial.  </w:t>
      </w:r>
      <w:proofErr w:type="spellStart"/>
      <w:r>
        <w:t>Hamoud</w:t>
      </w:r>
      <w:proofErr w:type="spellEnd"/>
      <w:r>
        <w:t xml:space="preserve"> was successful in establishing a bank that could undertake transactions for which religious justification could be demonstrated, yet which at the same time provided fair competition with conventional banking practices.  The organisational culture of JIB was to reflect the potential conflict between the religious and economic values of the founder, </w:t>
      </w:r>
      <w:proofErr w:type="spellStart"/>
      <w:r>
        <w:t>Hamoud</w:t>
      </w:r>
      <w:proofErr w:type="spellEnd"/>
      <w:r>
        <w:t>, as evidenced in the process of establishing what Schein (2004) would refer to as the “artefact” of the bank’s special act.  JIB has grown to be a significant part of the Jordanian banking sector, and has been emulated by many other Islamic banks over the last 30 years.</w:t>
      </w:r>
    </w:p>
    <w:p w:rsidR="00631CC8" w:rsidRDefault="00631CC8" w:rsidP="0039568D">
      <w:r>
        <w:t xml:space="preserve">However, tensions remain over the eclectic intellectual basis of the bank and the mixing of ideas from different schools of Islamic thought within the Sunni Muslim tradition.  The founder’s success was achieved at the cost of a diluted religious audit and acceptance of transactions that could easily become counterparts of conventional interest-based banking transactions.  As </w:t>
      </w:r>
      <w:proofErr w:type="spellStart"/>
      <w:r>
        <w:t>Warde</w:t>
      </w:r>
      <w:proofErr w:type="spellEnd"/>
      <w:r>
        <w:t xml:space="preserve"> (2000, p. 240) concludes, Islamic finance is “a failure insofar as it did not fulfil its original promise of becoming an original and innovative system, based on risk sharing, that would bring social and economic benefits to the Islamic world.”  Though this may be a harsh judgement, the contradictions arising from attempting to create a bank based on contested Islamic principles that was able to compete with more conventional organisations, within a regulatory framework that did not explicitly recognise religious concerns, led to compromises that made it easier for the founder and subsequent managers to emphasise the commercial activities of JIB over the religious goals.  So, while our paper shows how religious considerations were central to the development of the JIB special act, and helped to shape the first specific accounting recognition and measurement rules to appear in any Jordanian law, we also show how it was possible for the founder to advance his own ideas and protect his position as the bank’s first general manager by using the regulatory process creatively.  The organisational culture embedded at the time of the bank’s creation has continued to reflect this compromise between religious and secular goals, with continued use of </w:t>
      </w:r>
      <w:proofErr w:type="spellStart"/>
      <w:r w:rsidRPr="009A79BF">
        <w:rPr>
          <w:i/>
        </w:rPr>
        <w:t>Shari’a</w:t>
      </w:r>
      <w:proofErr w:type="spellEnd"/>
      <w:r>
        <w:t>-compliant transactions, for both deposits in and investments by the bank, whose underlying economic structure, as critics of the current form of Islamic banking such as El-</w:t>
      </w:r>
      <w:proofErr w:type="spellStart"/>
      <w:r>
        <w:t>Gamal</w:t>
      </w:r>
      <w:proofErr w:type="spellEnd"/>
      <w:r>
        <w:t xml:space="preserve"> (2006) observe, is virtually the same as equivalent deposits and loans within conventional Western-style banking.</w:t>
      </w:r>
    </w:p>
    <w:p w:rsidR="00631CC8" w:rsidRDefault="00631CC8" w:rsidP="0069152A">
      <w:pPr>
        <w:pStyle w:val="Heading2"/>
        <w:sectPr w:rsidR="00631CC8" w:rsidSect="00421721">
          <w:headerReference w:type="default" r:id="rId8"/>
          <w:headerReference w:type="first" r:id="rId9"/>
          <w:endnotePr>
            <w:numFmt w:val="decimal"/>
          </w:endnotePr>
          <w:pgSz w:w="11906" w:h="16838" w:code="9"/>
          <w:pgMar w:top="851" w:right="1418" w:bottom="851" w:left="1418" w:header="709" w:footer="709" w:gutter="0"/>
          <w:pgNumType w:start="1"/>
          <w:cols w:space="708"/>
          <w:titlePg/>
          <w:docGrid w:linePitch="360"/>
        </w:sectPr>
      </w:pPr>
      <w:r>
        <w:br w:type="page"/>
      </w:r>
      <w:r>
        <w:lastRenderedPageBreak/>
        <w:t>Notes</w:t>
      </w:r>
    </w:p>
    <w:p w:rsidR="00631CC8" w:rsidRDefault="00631CC8" w:rsidP="00D240B8"/>
    <w:p w:rsidR="00631CC8" w:rsidRPr="00D240B8" w:rsidRDefault="00631CC8" w:rsidP="00C6006B">
      <w:pPr>
        <w:pStyle w:val="Heading2"/>
      </w:pPr>
      <w:bookmarkStart w:id="21" w:name="_Toc74570078"/>
      <w:bookmarkStart w:id="22" w:name="_Toc76909499"/>
      <w:r w:rsidRPr="00D240B8">
        <w:t>References</w:t>
      </w:r>
      <w:bookmarkEnd w:id="21"/>
      <w:bookmarkEnd w:id="22"/>
    </w:p>
    <w:p w:rsidR="00631CC8" w:rsidRDefault="00631CC8" w:rsidP="00C6006B">
      <w:pPr>
        <w:keepNext/>
      </w:pPr>
    </w:p>
    <w:p w:rsidR="00631CC8" w:rsidRPr="00206DBF" w:rsidRDefault="00631CC8" w:rsidP="00C6006B">
      <w:pPr>
        <w:pStyle w:val="Heading2"/>
        <w:rPr>
          <w:i/>
        </w:rPr>
      </w:pPr>
      <w:bookmarkStart w:id="23" w:name="_Toc74570079"/>
      <w:bookmarkStart w:id="24" w:name="_Toc76909500"/>
      <w:r w:rsidRPr="00206DBF">
        <w:rPr>
          <w:rFonts w:cs="Times New Roman"/>
          <w:i/>
        </w:rPr>
        <w:t>Primary</w:t>
      </w:r>
      <w:r w:rsidRPr="00206DBF">
        <w:rPr>
          <w:i/>
        </w:rPr>
        <w:t xml:space="preserve"> </w:t>
      </w:r>
      <w:r w:rsidRPr="00206DBF">
        <w:rPr>
          <w:rFonts w:cs="Times New Roman"/>
          <w:i/>
        </w:rPr>
        <w:t>sources</w:t>
      </w:r>
      <w:bookmarkEnd w:id="23"/>
      <w:bookmarkEnd w:id="24"/>
      <w:r w:rsidRPr="00206DBF">
        <w:rPr>
          <w:i/>
        </w:rPr>
        <w:t xml:space="preserve"> </w:t>
      </w:r>
    </w:p>
    <w:p w:rsidR="00631CC8" w:rsidRPr="00660E3C" w:rsidRDefault="00631CC8" w:rsidP="00660E3C">
      <w:pPr>
        <w:ind w:firstLine="0"/>
        <w:rPr>
          <w:rStyle w:val="Heading2Char"/>
          <w:i/>
          <w:sz w:val="24"/>
        </w:rPr>
      </w:pPr>
      <w:r>
        <w:rPr>
          <w:rStyle w:val="Heading2Char"/>
          <w:i/>
          <w:sz w:val="24"/>
        </w:rPr>
        <w:t xml:space="preserve">(A) </w:t>
      </w:r>
      <w:r w:rsidRPr="00660E3C">
        <w:rPr>
          <w:rStyle w:val="Heading2Char"/>
          <w:i/>
          <w:sz w:val="24"/>
        </w:rPr>
        <w:t>Interviews:</w:t>
      </w:r>
    </w:p>
    <w:p w:rsidR="00631CC8" w:rsidRPr="00402FFB" w:rsidRDefault="00631CC8" w:rsidP="00402FFB">
      <w:pPr>
        <w:pStyle w:val="Reference"/>
        <w:rPr>
          <w:rStyle w:val="Heading2Char"/>
          <w:rFonts w:cs="Times New Roman"/>
          <w:b w:val="0"/>
          <w:bCs w:val="0"/>
          <w:iCs w:val="0"/>
          <w:sz w:val="24"/>
        </w:rPr>
      </w:pPr>
      <w:proofErr w:type="gramStart"/>
      <w:r>
        <w:rPr>
          <w:rStyle w:val="Heading2Char"/>
          <w:rFonts w:cs="Times New Roman"/>
          <w:b w:val="0"/>
          <w:bCs w:val="0"/>
          <w:iCs w:val="0"/>
          <w:sz w:val="24"/>
        </w:rPr>
        <w:t>Al-</w:t>
      </w:r>
      <w:proofErr w:type="spellStart"/>
      <w:r w:rsidRPr="00402FFB">
        <w:rPr>
          <w:rStyle w:val="Heading2Char"/>
          <w:rFonts w:cs="Times New Roman"/>
          <w:b w:val="0"/>
          <w:bCs w:val="0"/>
          <w:iCs w:val="0"/>
          <w:sz w:val="24"/>
        </w:rPr>
        <w:t>Abadi</w:t>
      </w:r>
      <w:proofErr w:type="spellEnd"/>
      <w:r w:rsidRPr="00402FFB">
        <w:rPr>
          <w:rStyle w:val="Heading2Char"/>
          <w:rFonts w:cs="Times New Roman"/>
          <w:b w:val="0"/>
          <w:bCs w:val="0"/>
          <w:iCs w:val="0"/>
          <w:sz w:val="24"/>
        </w:rPr>
        <w:t>, Dr Abdul-Salam, Member of Fatwa Committee (now Head of Jordan Humanitarian Assistance), 13 March 2003, Amman.</w:t>
      </w:r>
      <w:proofErr w:type="gramEnd"/>
    </w:p>
    <w:p w:rsidR="00631CC8" w:rsidRPr="00402FFB" w:rsidRDefault="00631CC8" w:rsidP="00402FFB">
      <w:pPr>
        <w:pStyle w:val="Reference"/>
        <w:rPr>
          <w:rStyle w:val="Heading2Char"/>
          <w:rFonts w:cs="Times New Roman"/>
          <w:b w:val="0"/>
          <w:bCs w:val="0"/>
          <w:iCs w:val="0"/>
          <w:sz w:val="24"/>
        </w:rPr>
      </w:pPr>
      <w:proofErr w:type="spellStart"/>
      <w:proofErr w:type="gramStart"/>
      <w:r w:rsidRPr="00402FFB">
        <w:rPr>
          <w:rStyle w:val="Heading2Char"/>
          <w:rFonts w:cs="Times New Roman"/>
          <w:b w:val="0"/>
          <w:bCs w:val="0"/>
          <w:iCs w:val="0"/>
          <w:sz w:val="24"/>
        </w:rPr>
        <w:t>Daradkah</w:t>
      </w:r>
      <w:proofErr w:type="spellEnd"/>
      <w:r w:rsidRPr="00402FFB">
        <w:rPr>
          <w:rStyle w:val="Heading2Char"/>
          <w:rFonts w:cs="Times New Roman"/>
          <w:b w:val="0"/>
          <w:bCs w:val="0"/>
          <w:iCs w:val="0"/>
          <w:sz w:val="24"/>
        </w:rPr>
        <w:t xml:space="preserve">, Dr </w:t>
      </w:r>
      <w:proofErr w:type="spellStart"/>
      <w:r w:rsidRPr="00402FFB">
        <w:rPr>
          <w:rStyle w:val="Heading2Char"/>
          <w:rFonts w:cs="Times New Roman"/>
          <w:b w:val="0"/>
          <w:bCs w:val="0"/>
          <w:iCs w:val="0"/>
          <w:sz w:val="24"/>
        </w:rPr>
        <w:t>Yasin</w:t>
      </w:r>
      <w:proofErr w:type="spellEnd"/>
      <w:r w:rsidRPr="00402FFB">
        <w:rPr>
          <w:rStyle w:val="Heading2Char"/>
          <w:rFonts w:cs="Times New Roman"/>
          <w:b w:val="0"/>
          <w:bCs w:val="0"/>
          <w:iCs w:val="0"/>
          <w:sz w:val="24"/>
        </w:rPr>
        <w:t>, Member of Fatwa Committee, (now with University of Jordan), 5 November 2002, Amman.</w:t>
      </w:r>
      <w:proofErr w:type="gramEnd"/>
    </w:p>
    <w:p w:rsidR="00631CC8" w:rsidRPr="00402FFB" w:rsidRDefault="00631CC8" w:rsidP="00402FFB">
      <w:pPr>
        <w:pStyle w:val="Reference"/>
        <w:rPr>
          <w:rStyle w:val="Heading2Char"/>
          <w:rFonts w:cs="Times New Roman"/>
          <w:b w:val="0"/>
          <w:bCs w:val="0"/>
          <w:iCs w:val="0"/>
          <w:sz w:val="24"/>
        </w:rPr>
      </w:pPr>
      <w:proofErr w:type="spellStart"/>
      <w:r w:rsidRPr="00402FFB">
        <w:rPr>
          <w:rStyle w:val="Heading2Char"/>
          <w:rFonts w:cs="Times New Roman"/>
          <w:b w:val="0"/>
          <w:bCs w:val="0"/>
          <w:iCs w:val="0"/>
          <w:sz w:val="24"/>
        </w:rPr>
        <w:t>H</w:t>
      </w:r>
      <w:r>
        <w:rPr>
          <w:rStyle w:val="Heading2Char"/>
          <w:rFonts w:cs="Times New Roman"/>
          <w:b w:val="0"/>
          <w:bCs w:val="0"/>
          <w:iCs w:val="0"/>
          <w:sz w:val="24"/>
        </w:rPr>
        <w:t>a</w:t>
      </w:r>
      <w:r w:rsidRPr="00402FFB">
        <w:rPr>
          <w:rStyle w:val="Heading2Char"/>
          <w:rFonts w:cs="Times New Roman"/>
          <w:b w:val="0"/>
          <w:bCs w:val="0"/>
          <w:iCs w:val="0"/>
          <w:sz w:val="24"/>
        </w:rPr>
        <w:t>moud</w:t>
      </w:r>
      <w:proofErr w:type="spellEnd"/>
      <w:r w:rsidRPr="00402FFB">
        <w:rPr>
          <w:rStyle w:val="Heading2Char"/>
          <w:rFonts w:cs="Times New Roman"/>
          <w:b w:val="0"/>
          <w:bCs w:val="0"/>
          <w:iCs w:val="0"/>
          <w:sz w:val="24"/>
        </w:rPr>
        <w:t>, Dr Sami, Founder of JIB and first General Manager (</w:t>
      </w:r>
      <w:r>
        <w:rPr>
          <w:rStyle w:val="Heading2Char"/>
          <w:rFonts w:cs="Times New Roman"/>
          <w:b w:val="0"/>
          <w:bCs w:val="0"/>
          <w:iCs w:val="0"/>
          <w:sz w:val="24"/>
        </w:rPr>
        <w:t>now deceased, lately</w:t>
      </w:r>
      <w:r w:rsidRPr="00402FFB">
        <w:rPr>
          <w:rStyle w:val="Heading2Char"/>
          <w:rFonts w:cs="Times New Roman"/>
          <w:b w:val="0"/>
          <w:bCs w:val="0"/>
          <w:iCs w:val="0"/>
          <w:sz w:val="24"/>
        </w:rPr>
        <w:t xml:space="preserve"> with </w:t>
      </w:r>
      <w:r>
        <w:rPr>
          <w:rStyle w:val="Heading2Char"/>
          <w:rFonts w:cs="Times New Roman"/>
          <w:b w:val="0"/>
          <w:bCs w:val="0"/>
          <w:iCs w:val="0"/>
          <w:sz w:val="24"/>
        </w:rPr>
        <w:t xml:space="preserve">Dubai Islamic Bank, part of the </w:t>
      </w:r>
      <w:proofErr w:type="spellStart"/>
      <w:r>
        <w:rPr>
          <w:rStyle w:val="Heading2Char"/>
          <w:rFonts w:cs="Times New Roman"/>
          <w:b w:val="0"/>
          <w:bCs w:val="0"/>
          <w:iCs w:val="0"/>
          <w:sz w:val="24"/>
        </w:rPr>
        <w:t>Saeed</w:t>
      </w:r>
      <w:proofErr w:type="spellEnd"/>
      <w:r>
        <w:rPr>
          <w:rStyle w:val="Heading2Char"/>
          <w:rFonts w:cs="Times New Roman"/>
          <w:b w:val="0"/>
          <w:bCs w:val="0"/>
          <w:iCs w:val="0"/>
          <w:sz w:val="24"/>
        </w:rPr>
        <w:t xml:space="preserve"> Ahmed </w:t>
      </w:r>
      <w:proofErr w:type="spellStart"/>
      <w:r w:rsidRPr="00402FFB">
        <w:rPr>
          <w:rStyle w:val="Heading2Char"/>
          <w:rFonts w:cs="Times New Roman"/>
          <w:b w:val="0"/>
          <w:bCs w:val="0"/>
          <w:iCs w:val="0"/>
          <w:sz w:val="24"/>
        </w:rPr>
        <w:t>Lootah</w:t>
      </w:r>
      <w:proofErr w:type="spellEnd"/>
      <w:r w:rsidRPr="00402FFB">
        <w:rPr>
          <w:rStyle w:val="Heading2Char"/>
          <w:rFonts w:cs="Times New Roman"/>
          <w:b w:val="0"/>
          <w:bCs w:val="0"/>
          <w:iCs w:val="0"/>
          <w:sz w:val="24"/>
        </w:rPr>
        <w:t xml:space="preserve"> Group), 25 December 2002 (morning and evening), Dubai.</w:t>
      </w:r>
    </w:p>
    <w:p w:rsidR="00631CC8" w:rsidRPr="00402FFB" w:rsidRDefault="00631CC8" w:rsidP="00402FFB">
      <w:pPr>
        <w:pStyle w:val="Reference"/>
        <w:rPr>
          <w:rStyle w:val="Heading2Char"/>
          <w:rFonts w:cs="Times New Roman"/>
          <w:b w:val="0"/>
          <w:bCs w:val="0"/>
          <w:iCs w:val="0"/>
          <w:sz w:val="24"/>
        </w:rPr>
      </w:pPr>
      <w:proofErr w:type="spellStart"/>
      <w:r>
        <w:rPr>
          <w:rStyle w:val="Heading2Char"/>
          <w:rFonts w:cs="Times New Roman"/>
          <w:b w:val="0"/>
          <w:bCs w:val="0"/>
          <w:iCs w:val="0"/>
          <w:sz w:val="24"/>
        </w:rPr>
        <w:t>Saqer</w:t>
      </w:r>
      <w:proofErr w:type="spellEnd"/>
      <w:r>
        <w:rPr>
          <w:rStyle w:val="Heading2Char"/>
          <w:rFonts w:cs="Times New Roman"/>
          <w:b w:val="0"/>
          <w:bCs w:val="0"/>
          <w:iCs w:val="0"/>
          <w:sz w:val="24"/>
        </w:rPr>
        <w:t>, Dr Muhamma</w:t>
      </w:r>
      <w:r w:rsidRPr="00402FFB">
        <w:rPr>
          <w:rStyle w:val="Heading2Char"/>
          <w:rFonts w:cs="Times New Roman"/>
          <w:b w:val="0"/>
          <w:bCs w:val="0"/>
          <w:iCs w:val="0"/>
          <w:sz w:val="24"/>
        </w:rPr>
        <w:t xml:space="preserve">d, Member of Fatwa Committee (now </w:t>
      </w:r>
      <w:r>
        <w:rPr>
          <w:rStyle w:val="Heading2Char"/>
          <w:rFonts w:cs="Times New Roman"/>
          <w:b w:val="0"/>
          <w:bCs w:val="0"/>
          <w:iCs w:val="0"/>
          <w:sz w:val="24"/>
        </w:rPr>
        <w:t>Professor at</w:t>
      </w:r>
      <w:r w:rsidRPr="00402FFB">
        <w:rPr>
          <w:rStyle w:val="Heading2Char"/>
          <w:rFonts w:cs="Times New Roman"/>
          <w:b w:val="0"/>
          <w:bCs w:val="0"/>
          <w:iCs w:val="0"/>
          <w:sz w:val="24"/>
        </w:rPr>
        <w:t xml:space="preserve"> University of Jordan), 20</w:t>
      </w:r>
      <w:r>
        <w:rPr>
          <w:rStyle w:val="Heading2Char"/>
          <w:rFonts w:cs="Times New Roman"/>
          <w:b w:val="0"/>
          <w:bCs w:val="0"/>
          <w:iCs w:val="0"/>
          <w:sz w:val="24"/>
        </w:rPr>
        <w:t> </w:t>
      </w:r>
      <w:r w:rsidRPr="00402FFB">
        <w:rPr>
          <w:rStyle w:val="Heading2Char"/>
          <w:rFonts w:cs="Times New Roman"/>
          <w:b w:val="0"/>
          <w:bCs w:val="0"/>
          <w:iCs w:val="0"/>
          <w:sz w:val="24"/>
        </w:rPr>
        <w:t>October 2002.</w:t>
      </w:r>
    </w:p>
    <w:p w:rsidR="00631CC8" w:rsidRPr="00402FFB" w:rsidRDefault="00631CC8" w:rsidP="00402FFB">
      <w:pPr>
        <w:pStyle w:val="Reference"/>
        <w:rPr>
          <w:rStyle w:val="Heading2Char"/>
          <w:rFonts w:cs="Times New Roman"/>
          <w:b w:val="0"/>
          <w:bCs w:val="0"/>
          <w:iCs w:val="0"/>
          <w:sz w:val="24"/>
        </w:rPr>
      </w:pPr>
      <w:proofErr w:type="gramStart"/>
      <w:r>
        <w:rPr>
          <w:rStyle w:val="Heading2Char"/>
          <w:rFonts w:cs="Times New Roman"/>
          <w:b w:val="0"/>
          <w:bCs w:val="0"/>
          <w:iCs w:val="0"/>
          <w:sz w:val="24"/>
        </w:rPr>
        <w:t>Al-</w:t>
      </w:r>
      <w:proofErr w:type="spellStart"/>
      <w:r w:rsidRPr="00402FFB">
        <w:rPr>
          <w:rStyle w:val="Heading2Char"/>
          <w:rFonts w:cs="Times New Roman"/>
          <w:b w:val="0"/>
          <w:bCs w:val="0"/>
          <w:iCs w:val="0"/>
          <w:sz w:val="24"/>
        </w:rPr>
        <w:t>Shanteer</w:t>
      </w:r>
      <w:proofErr w:type="spellEnd"/>
      <w:r w:rsidRPr="00402FFB">
        <w:rPr>
          <w:rStyle w:val="Heading2Char"/>
          <w:rFonts w:cs="Times New Roman"/>
          <w:b w:val="0"/>
          <w:bCs w:val="0"/>
          <w:iCs w:val="0"/>
          <w:sz w:val="24"/>
        </w:rPr>
        <w:t xml:space="preserve">, </w:t>
      </w:r>
      <w:proofErr w:type="spellStart"/>
      <w:r w:rsidRPr="00402FFB">
        <w:rPr>
          <w:rStyle w:val="Heading2Char"/>
          <w:rFonts w:cs="Times New Roman"/>
          <w:b w:val="0"/>
          <w:bCs w:val="0"/>
          <w:iCs w:val="0"/>
          <w:sz w:val="24"/>
        </w:rPr>
        <w:t>Saleh</w:t>
      </w:r>
      <w:proofErr w:type="spellEnd"/>
      <w:r w:rsidRPr="00402FFB">
        <w:rPr>
          <w:rStyle w:val="Heading2Char"/>
          <w:rFonts w:cs="Times New Roman"/>
          <w:b w:val="0"/>
          <w:bCs w:val="0"/>
          <w:iCs w:val="0"/>
          <w:sz w:val="24"/>
        </w:rPr>
        <w:t>, the first employee of JIB (now with JIB), 12 November 2002, Amman.</w:t>
      </w:r>
      <w:proofErr w:type="gramEnd"/>
    </w:p>
    <w:p w:rsidR="00631CC8" w:rsidRDefault="00631CC8" w:rsidP="00660E3C">
      <w:pPr>
        <w:pStyle w:val="Heading2"/>
        <w:rPr>
          <w:i/>
        </w:rPr>
      </w:pPr>
      <w:r>
        <w:rPr>
          <w:i/>
        </w:rPr>
        <w:t xml:space="preserve">(B) </w:t>
      </w:r>
      <w:r w:rsidRPr="00660E3C">
        <w:rPr>
          <w:i/>
        </w:rPr>
        <w:t>Archives:</w:t>
      </w:r>
    </w:p>
    <w:p w:rsidR="00631CC8" w:rsidRPr="00660E3C" w:rsidRDefault="00631CC8" w:rsidP="00660E3C">
      <w:pPr>
        <w:pStyle w:val="Heading2"/>
        <w:rPr>
          <w:i/>
        </w:rPr>
      </w:pPr>
      <w:r>
        <w:rPr>
          <w:b w:val="0"/>
          <w:bCs w:val="0"/>
          <w:iCs w:val="0"/>
        </w:rPr>
        <w:t>Documents in Jordan Islamic Bank archives:</w:t>
      </w:r>
      <w:r w:rsidRPr="00660E3C">
        <w:rPr>
          <w:i/>
        </w:rPr>
        <w:t xml:space="preserve"> </w:t>
      </w:r>
    </w:p>
    <w:p w:rsidR="00631CC8" w:rsidRDefault="00631CC8" w:rsidP="006141CB">
      <w:pPr>
        <w:pStyle w:val="Reference"/>
      </w:pPr>
      <w:r w:rsidRPr="009B482F">
        <w:t>Prim</w:t>
      </w:r>
      <w:r>
        <w:t>e</w:t>
      </w:r>
      <w:r w:rsidRPr="009B482F">
        <w:t xml:space="preserve"> Min</w:t>
      </w:r>
      <w:r>
        <w:t>i</w:t>
      </w:r>
      <w:r w:rsidRPr="009B482F">
        <w:t>ster</w:t>
      </w:r>
      <w:r>
        <w:t>’s</w:t>
      </w:r>
      <w:r w:rsidRPr="009B482F">
        <w:t xml:space="preserve"> letter to Central Bank</w:t>
      </w:r>
      <w:r>
        <w:t xml:space="preserve"> of Jordan</w:t>
      </w:r>
      <w:r w:rsidRPr="009B482F">
        <w:t xml:space="preserve"> No. 16/34/6393 dated 24</w:t>
      </w:r>
      <w:r>
        <w:t xml:space="preserve"> May </w:t>
      </w:r>
      <w:r w:rsidRPr="009B482F">
        <w:t>1977</w:t>
      </w:r>
      <w:r>
        <w:t xml:space="preserve"> concerning allowing Islamic banks to operate in Jordan</w:t>
      </w:r>
      <w:r w:rsidRPr="009B482F">
        <w:t>.</w:t>
      </w:r>
      <w:r w:rsidRPr="006141CB">
        <w:t xml:space="preserve"> </w:t>
      </w:r>
    </w:p>
    <w:p w:rsidR="00631CC8" w:rsidRDefault="00631CC8" w:rsidP="006141CB">
      <w:pPr>
        <w:pStyle w:val="Reference"/>
      </w:pPr>
      <w:proofErr w:type="gramStart"/>
      <w:r w:rsidRPr="009B482F">
        <w:t>Preparation Committee</w:t>
      </w:r>
      <w:r>
        <w:t xml:space="preserve"> of Jordan Islamic Bank</w:t>
      </w:r>
      <w:r w:rsidRPr="009B482F">
        <w:t>, 1977, Jordan Islamic Bank Act, the Suggested First Draft.</w:t>
      </w:r>
      <w:proofErr w:type="gramEnd"/>
    </w:p>
    <w:p w:rsidR="00631CC8" w:rsidRDefault="00631CC8" w:rsidP="006141CB">
      <w:pPr>
        <w:pStyle w:val="Reference"/>
      </w:pPr>
      <w:r w:rsidRPr="009B482F">
        <w:lastRenderedPageBreak/>
        <w:t>Preparation Committee</w:t>
      </w:r>
      <w:r>
        <w:t xml:space="preserve"> of Jordan Islamic Bank</w:t>
      </w:r>
      <w:r w:rsidRPr="009B482F">
        <w:t xml:space="preserve">, 1977, </w:t>
      </w:r>
      <w:r>
        <w:t>t</w:t>
      </w:r>
      <w:r w:rsidRPr="009B482F">
        <w:t>he Explanatory Notes accompan</w:t>
      </w:r>
      <w:r>
        <w:t>ying</w:t>
      </w:r>
      <w:r w:rsidRPr="009B482F">
        <w:t xml:space="preserve"> Jordan Islamic Bank’s Suggested First Draft of the Act. </w:t>
      </w:r>
    </w:p>
    <w:p w:rsidR="00631CC8" w:rsidRDefault="00631CC8" w:rsidP="006141CB">
      <w:pPr>
        <w:pStyle w:val="Reference"/>
      </w:pPr>
      <w:proofErr w:type="gramStart"/>
      <w:r>
        <w:t xml:space="preserve">Minister of </w:t>
      </w:r>
      <w:r w:rsidRPr="009B482F">
        <w:t>Islamic Affairs</w:t>
      </w:r>
      <w:r>
        <w:t>,</w:t>
      </w:r>
      <w:r w:rsidRPr="009B482F">
        <w:t xml:space="preserve"> letter to </w:t>
      </w:r>
      <w:r>
        <w:t>G</w:t>
      </w:r>
      <w:r w:rsidRPr="009B482F">
        <w:t xml:space="preserve">overnment </w:t>
      </w:r>
      <w:r>
        <w:t xml:space="preserve">of Jordan </w:t>
      </w:r>
      <w:r w:rsidRPr="009B482F">
        <w:t xml:space="preserve">concerning suggested </w:t>
      </w:r>
      <w:r>
        <w:t>act regulating JIB (with attachments) 22 September 1977</w:t>
      </w:r>
      <w:r w:rsidRPr="009B482F">
        <w:t>.</w:t>
      </w:r>
      <w:proofErr w:type="gramEnd"/>
      <w:r w:rsidRPr="009B482F">
        <w:t xml:space="preserve"> </w:t>
      </w:r>
    </w:p>
    <w:p w:rsidR="00631CC8" w:rsidRDefault="00631CC8" w:rsidP="00402FFB">
      <w:pPr>
        <w:pStyle w:val="Reference"/>
      </w:pPr>
      <w:r w:rsidRPr="009B482F">
        <w:t xml:space="preserve">Fatwa </w:t>
      </w:r>
      <w:r>
        <w:t>C</w:t>
      </w:r>
      <w:r w:rsidRPr="009B482F">
        <w:t>ommittee, 1977, Jordan Islamic Bank Act: the Corrected Second Draft.</w:t>
      </w:r>
    </w:p>
    <w:p w:rsidR="00631CC8" w:rsidRDefault="00631CC8" w:rsidP="00402FFB">
      <w:pPr>
        <w:pStyle w:val="Reference"/>
      </w:pPr>
      <w:r w:rsidRPr="009B482F">
        <w:t xml:space="preserve">Fatwa </w:t>
      </w:r>
      <w:r>
        <w:t>C</w:t>
      </w:r>
      <w:r w:rsidRPr="009B482F">
        <w:t>ommittee, 1977, Jordan Islamic Bank Act: the Corrected Second Draft</w:t>
      </w:r>
      <w:r>
        <w:t xml:space="preserve">’s accompanying </w:t>
      </w:r>
      <w:r w:rsidRPr="009B482F">
        <w:t>Explanatory Notes</w:t>
      </w:r>
      <w:r>
        <w:t>.</w:t>
      </w:r>
      <w:r w:rsidRPr="009B482F">
        <w:t xml:space="preserve"> </w:t>
      </w:r>
    </w:p>
    <w:p w:rsidR="00631CC8" w:rsidRPr="00D240B8" w:rsidRDefault="00631CC8" w:rsidP="00D240B8">
      <w:pPr>
        <w:pStyle w:val="Heading2"/>
        <w:rPr>
          <w:i/>
        </w:rPr>
      </w:pPr>
      <w:r>
        <w:rPr>
          <w:i/>
        </w:rPr>
        <w:t xml:space="preserve">(C) </w:t>
      </w:r>
      <w:r w:rsidRPr="00D240B8">
        <w:rPr>
          <w:i/>
        </w:rPr>
        <w:t xml:space="preserve">Governmental Regulations and Acts: </w:t>
      </w:r>
    </w:p>
    <w:p w:rsidR="00631CC8" w:rsidRDefault="00631CC8" w:rsidP="00402FFB">
      <w:pPr>
        <w:pStyle w:val="Reference"/>
      </w:pPr>
      <w:r w:rsidRPr="009B482F">
        <w:t>Government of Jordan (1964) Act No. 12, Companies Act.</w:t>
      </w:r>
    </w:p>
    <w:p w:rsidR="00631CC8" w:rsidRDefault="00631CC8" w:rsidP="00402FFB">
      <w:pPr>
        <w:pStyle w:val="Reference"/>
        <w:rPr>
          <w:lang w:val="en-US"/>
        </w:rPr>
      </w:pPr>
      <w:r w:rsidRPr="009B482F">
        <w:t xml:space="preserve">Government of Jordan (1971) </w:t>
      </w:r>
      <w:r w:rsidRPr="009B482F">
        <w:rPr>
          <w:lang w:val="en-US"/>
        </w:rPr>
        <w:t>Act No.</w:t>
      </w:r>
      <w:r>
        <w:rPr>
          <w:lang w:val="en-US"/>
        </w:rPr>
        <w:t xml:space="preserve"> </w:t>
      </w:r>
      <w:r w:rsidRPr="009B482F">
        <w:rPr>
          <w:lang w:val="en-US"/>
        </w:rPr>
        <w:t>23</w:t>
      </w:r>
      <w:r>
        <w:rPr>
          <w:lang w:val="en-US"/>
        </w:rPr>
        <w:t>, Banking Act.</w:t>
      </w:r>
    </w:p>
    <w:p w:rsidR="00631CC8" w:rsidRPr="000221B4" w:rsidRDefault="00631CC8" w:rsidP="005A00B2">
      <w:pPr>
        <w:pStyle w:val="Reference"/>
        <w:rPr>
          <w:bCs/>
          <w:lang w:val="en-US"/>
        </w:rPr>
      </w:pPr>
      <w:proofErr w:type="gramStart"/>
      <w:r w:rsidRPr="009B482F">
        <w:rPr>
          <w:lang w:val="en-US"/>
        </w:rPr>
        <w:t>Government of Jordan (</w:t>
      </w:r>
      <w:r>
        <w:rPr>
          <w:lang w:val="en-US"/>
        </w:rPr>
        <w:t>1972</w:t>
      </w:r>
      <w:r w:rsidRPr="009B482F">
        <w:rPr>
          <w:lang w:val="en-US"/>
        </w:rPr>
        <w:t>) Act No.</w:t>
      </w:r>
      <w:r>
        <w:rPr>
          <w:lang w:val="en-US"/>
        </w:rPr>
        <w:t xml:space="preserve"> 21, </w:t>
      </w:r>
      <w:r w:rsidRPr="009B482F">
        <w:rPr>
          <w:lang w:val="en-US"/>
        </w:rPr>
        <w:t>Orphans’ Funds Management and Investment Act.</w:t>
      </w:r>
      <w:proofErr w:type="gramEnd"/>
      <w:r w:rsidRPr="009B482F">
        <w:rPr>
          <w:lang w:val="en-US"/>
        </w:rPr>
        <w:t xml:space="preserve"> </w:t>
      </w:r>
    </w:p>
    <w:p w:rsidR="00631CC8" w:rsidRPr="00D240B8" w:rsidRDefault="00631CC8" w:rsidP="00402FFB">
      <w:pPr>
        <w:pStyle w:val="Reference"/>
      </w:pPr>
      <w:proofErr w:type="gramStart"/>
      <w:r w:rsidRPr="009B482F">
        <w:t>Government of Jordan</w:t>
      </w:r>
      <w:r>
        <w:t xml:space="preserve"> (</w:t>
      </w:r>
      <w:r w:rsidRPr="009B482F">
        <w:t>1972</w:t>
      </w:r>
      <w:r>
        <w:t>)</w:t>
      </w:r>
      <w:r w:rsidRPr="009B482F">
        <w:t xml:space="preserve"> </w:t>
      </w:r>
      <w:r>
        <w:t xml:space="preserve">Act No. 5, </w:t>
      </w:r>
      <w:r w:rsidRPr="009B482F">
        <w:rPr>
          <w:lang w:val="en-US"/>
        </w:rPr>
        <w:t>Industrial Development Bank.</w:t>
      </w:r>
      <w:proofErr w:type="gramEnd"/>
      <w:r w:rsidRPr="009B482F">
        <w:rPr>
          <w:lang w:val="en-US"/>
        </w:rPr>
        <w:t xml:space="preserve"> </w:t>
      </w:r>
    </w:p>
    <w:p w:rsidR="00631CC8" w:rsidRDefault="00631CC8" w:rsidP="00402FFB">
      <w:pPr>
        <w:pStyle w:val="Reference"/>
        <w:rPr>
          <w:lang w:val="en-US"/>
        </w:rPr>
      </w:pPr>
      <w:r w:rsidRPr="009B482F">
        <w:t xml:space="preserve">Government of Jordan </w:t>
      </w:r>
      <w:r>
        <w:t>(</w:t>
      </w:r>
      <w:r w:rsidRPr="009B482F">
        <w:t>1973</w:t>
      </w:r>
      <w:r>
        <w:t>)</w:t>
      </w:r>
      <w:r w:rsidRPr="009B482F">
        <w:t xml:space="preserve"> </w:t>
      </w:r>
      <w:r>
        <w:t xml:space="preserve">Act No. 41, </w:t>
      </w:r>
      <w:r w:rsidRPr="009B482F">
        <w:rPr>
          <w:lang w:val="en-US"/>
        </w:rPr>
        <w:t xml:space="preserve">Housing Bank Act. </w:t>
      </w:r>
    </w:p>
    <w:p w:rsidR="00631CC8" w:rsidRPr="009B482F" w:rsidRDefault="00631CC8" w:rsidP="00402FFB">
      <w:pPr>
        <w:pStyle w:val="Reference"/>
      </w:pPr>
      <w:r w:rsidRPr="009B482F">
        <w:t xml:space="preserve">Government of Jordan </w:t>
      </w:r>
      <w:r>
        <w:t>(</w:t>
      </w:r>
      <w:r w:rsidRPr="009B482F">
        <w:t>1978</w:t>
      </w:r>
      <w:r>
        <w:t>)</w:t>
      </w:r>
      <w:r w:rsidRPr="009B482F">
        <w:t xml:space="preserve"> </w:t>
      </w:r>
      <w:r>
        <w:t xml:space="preserve">Act No. 13, </w:t>
      </w:r>
      <w:r w:rsidRPr="009B482F">
        <w:rPr>
          <w:snapToGrid w:val="0"/>
        </w:rPr>
        <w:t xml:space="preserve">The Jordan Islamic Bank </w:t>
      </w:r>
      <w:r>
        <w:rPr>
          <w:snapToGrid w:val="0"/>
        </w:rPr>
        <w:t>for Finance and Investment</w:t>
      </w:r>
      <w:r w:rsidRPr="009B482F">
        <w:rPr>
          <w:snapToGrid w:val="0"/>
        </w:rPr>
        <w:t xml:space="preserve"> </w:t>
      </w:r>
      <w:r>
        <w:rPr>
          <w:snapToGrid w:val="0"/>
        </w:rPr>
        <w:t>Act</w:t>
      </w:r>
      <w:r w:rsidRPr="009B482F">
        <w:t xml:space="preserve">. </w:t>
      </w:r>
    </w:p>
    <w:p w:rsidR="00631CC8" w:rsidRDefault="00631CC8" w:rsidP="00655304">
      <w:pPr>
        <w:pStyle w:val="Heading2"/>
        <w:rPr>
          <w:rFonts w:cs="Times New Roman"/>
          <w:i/>
        </w:rPr>
      </w:pPr>
      <w:r w:rsidRPr="006A3061">
        <w:rPr>
          <w:rFonts w:cs="Times New Roman"/>
          <w:i/>
        </w:rPr>
        <w:t xml:space="preserve">Secondary sources </w:t>
      </w:r>
    </w:p>
    <w:p w:rsidR="00631CC8" w:rsidRPr="00402FFB" w:rsidRDefault="00631CC8" w:rsidP="00402FFB">
      <w:pPr>
        <w:pStyle w:val="Reference"/>
      </w:pPr>
      <w:r w:rsidRPr="00402FFB">
        <w:t>A</w:t>
      </w:r>
      <w:r>
        <w:t xml:space="preserve">ccounting and </w:t>
      </w:r>
      <w:r w:rsidRPr="00402FFB">
        <w:t>A</w:t>
      </w:r>
      <w:r>
        <w:t xml:space="preserve">uditing </w:t>
      </w:r>
      <w:r w:rsidRPr="00402FFB">
        <w:t>O</w:t>
      </w:r>
      <w:r>
        <w:t xml:space="preserve">rganization for </w:t>
      </w:r>
      <w:r w:rsidRPr="00402FFB">
        <w:t>I</w:t>
      </w:r>
      <w:r>
        <w:t xml:space="preserve">slamic </w:t>
      </w:r>
      <w:r w:rsidRPr="00402FFB">
        <w:t>F</w:t>
      </w:r>
      <w:r>
        <w:t xml:space="preserve">inancial </w:t>
      </w:r>
      <w:r w:rsidRPr="00402FFB">
        <w:t>I</w:t>
      </w:r>
      <w:r>
        <w:t>nstitutions</w:t>
      </w:r>
      <w:r w:rsidRPr="00402FFB">
        <w:t xml:space="preserve"> (1999)</w:t>
      </w:r>
      <w:r>
        <w:t>,</w:t>
      </w:r>
      <w:r w:rsidRPr="00402FFB">
        <w:t xml:space="preserve"> </w:t>
      </w:r>
      <w:r w:rsidRPr="00660E3C">
        <w:rPr>
          <w:i/>
        </w:rPr>
        <w:t>Accounting, Auditing and Governance Standards for Islamic Financial Institutions</w:t>
      </w:r>
      <w:r>
        <w:t xml:space="preserve">, </w:t>
      </w:r>
      <w:r w:rsidRPr="00402FFB">
        <w:t>Manamah: AAOIFI.</w:t>
      </w:r>
    </w:p>
    <w:p w:rsidR="00631CC8" w:rsidRDefault="00631CC8" w:rsidP="00402FFB">
      <w:pPr>
        <w:pStyle w:val="Reference"/>
      </w:pPr>
      <w:r>
        <w:t>Abu-</w:t>
      </w:r>
      <w:proofErr w:type="spellStart"/>
      <w:r>
        <w:t>Zaid</w:t>
      </w:r>
      <w:proofErr w:type="spellEnd"/>
      <w:r>
        <w:t>, M. (1996</w:t>
      </w:r>
      <w:r w:rsidRPr="006551E0">
        <w:t>)</w:t>
      </w:r>
      <w:r>
        <w:t>,</w:t>
      </w:r>
      <w:r w:rsidRPr="006551E0">
        <w:t xml:space="preserve"> </w:t>
      </w:r>
      <w:proofErr w:type="spellStart"/>
      <w:r w:rsidRPr="006551E0">
        <w:rPr>
          <w:i/>
        </w:rPr>
        <w:t>Mudaraba</w:t>
      </w:r>
      <w:proofErr w:type="spellEnd"/>
      <w:r w:rsidRPr="006551E0">
        <w:rPr>
          <w:i/>
        </w:rPr>
        <w:t xml:space="preserve"> and its Empirical Applications in Islamic Bank</w:t>
      </w:r>
      <w:r>
        <w:rPr>
          <w:i/>
        </w:rPr>
        <w:t>ing</w:t>
      </w:r>
      <w:r>
        <w:t>,</w:t>
      </w:r>
      <w:r w:rsidRPr="006551E0">
        <w:t xml:space="preserve"> Cairo: The Internation</w:t>
      </w:r>
      <w:r>
        <w:t>al Institute of Islamic Thought</w:t>
      </w:r>
      <w:r w:rsidRPr="006551E0">
        <w:t xml:space="preserve"> [</w:t>
      </w:r>
      <w:r>
        <w:t xml:space="preserve">in </w:t>
      </w:r>
      <w:r w:rsidRPr="006551E0">
        <w:t>Arabic]</w:t>
      </w:r>
      <w:r>
        <w:t>.</w:t>
      </w:r>
      <w:r w:rsidRPr="006551E0">
        <w:t xml:space="preserve"> </w:t>
      </w:r>
    </w:p>
    <w:p w:rsidR="00631CC8" w:rsidRDefault="00631CC8" w:rsidP="00402FFB">
      <w:pPr>
        <w:pStyle w:val="Reference"/>
        <w:rPr>
          <w:b/>
          <w:bCs/>
        </w:rPr>
      </w:pPr>
      <w:proofErr w:type="gramStart"/>
      <w:r w:rsidRPr="006551E0">
        <w:t>Al-</w:t>
      </w:r>
      <w:proofErr w:type="spellStart"/>
      <w:r w:rsidRPr="006551E0">
        <w:t>Abadi</w:t>
      </w:r>
      <w:proofErr w:type="spellEnd"/>
      <w:r w:rsidRPr="006551E0">
        <w:t>, A.</w:t>
      </w:r>
      <w:r>
        <w:t xml:space="preserve"> </w:t>
      </w:r>
      <w:r w:rsidRPr="006551E0">
        <w:t>(1988)</w:t>
      </w:r>
      <w:r>
        <w:t>,</w:t>
      </w:r>
      <w:r w:rsidRPr="006551E0">
        <w:t xml:space="preserve"> </w:t>
      </w:r>
      <w:r>
        <w:t xml:space="preserve">“A comprehensive view for </w:t>
      </w:r>
      <w:proofErr w:type="spellStart"/>
      <w:r>
        <w:t>m</w:t>
      </w:r>
      <w:r w:rsidRPr="006551E0">
        <w:t>urabaha</w:t>
      </w:r>
      <w:proofErr w:type="spellEnd"/>
      <w:r w:rsidRPr="006551E0">
        <w:t xml:space="preserve"> to </w:t>
      </w:r>
      <w:r>
        <w:t>p</w:t>
      </w:r>
      <w:r w:rsidRPr="006551E0">
        <w:t xml:space="preserve">urchase </w:t>
      </w:r>
      <w:proofErr w:type="spellStart"/>
      <w:r w:rsidRPr="006551E0">
        <w:t>orderer</w:t>
      </w:r>
      <w:proofErr w:type="spellEnd"/>
      <w:r>
        <w:t>”, p</w:t>
      </w:r>
      <w:r w:rsidRPr="00660E3C">
        <w:t xml:space="preserve">aper presented </w:t>
      </w:r>
      <w:r>
        <w:t>at</w:t>
      </w:r>
      <w:r w:rsidRPr="00660E3C">
        <w:t xml:space="preserve"> the </w:t>
      </w:r>
      <w:r>
        <w:t>F</w:t>
      </w:r>
      <w:r w:rsidRPr="00660E3C">
        <w:t xml:space="preserve">ifth Islamic </w:t>
      </w:r>
      <w:proofErr w:type="spellStart"/>
      <w:r w:rsidRPr="00660E3C">
        <w:t>Fiqh</w:t>
      </w:r>
      <w:proofErr w:type="spellEnd"/>
      <w:r w:rsidRPr="00660E3C">
        <w:t xml:space="preserve"> Academy Conference</w:t>
      </w:r>
      <w:r w:rsidRPr="006551E0">
        <w:t>, Jeddah</w:t>
      </w:r>
      <w:r>
        <w:t xml:space="preserve"> </w:t>
      </w:r>
      <w:r w:rsidRPr="006551E0">
        <w:t>[</w:t>
      </w:r>
      <w:r>
        <w:t xml:space="preserve">in </w:t>
      </w:r>
      <w:r w:rsidRPr="006551E0">
        <w:t>Arabic]</w:t>
      </w:r>
      <w:r>
        <w:t>.</w:t>
      </w:r>
      <w:proofErr w:type="gramEnd"/>
      <w:r w:rsidRPr="006551E0">
        <w:rPr>
          <w:b/>
          <w:bCs/>
        </w:rPr>
        <w:t xml:space="preserve"> </w:t>
      </w:r>
    </w:p>
    <w:p w:rsidR="00631CC8" w:rsidRDefault="00631CC8" w:rsidP="00402FFB">
      <w:pPr>
        <w:pStyle w:val="Reference"/>
        <w:rPr>
          <w:b/>
          <w:bCs/>
        </w:rPr>
      </w:pPr>
      <w:r w:rsidRPr="006551E0">
        <w:t>Al-</w:t>
      </w:r>
      <w:proofErr w:type="spellStart"/>
      <w:r w:rsidRPr="006551E0">
        <w:t>Azzizi</w:t>
      </w:r>
      <w:proofErr w:type="spellEnd"/>
      <w:r w:rsidRPr="006551E0">
        <w:t>, M. (2000)</w:t>
      </w:r>
      <w:r>
        <w:t>,</w:t>
      </w:r>
      <w:r w:rsidRPr="006551E0">
        <w:t xml:space="preserve"> </w:t>
      </w:r>
      <w:r w:rsidRPr="006551E0">
        <w:rPr>
          <w:i/>
          <w:iCs/>
        </w:rPr>
        <w:t xml:space="preserve">Some </w:t>
      </w:r>
      <w:proofErr w:type="spellStart"/>
      <w:r w:rsidRPr="009A79BF">
        <w:rPr>
          <w:i/>
          <w:iCs/>
        </w:rPr>
        <w:t>Shari’a</w:t>
      </w:r>
      <w:proofErr w:type="spellEnd"/>
      <w:r w:rsidRPr="006551E0">
        <w:rPr>
          <w:i/>
          <w:iCs/>
        </w:rPr>
        <w:t xml:space="preserve"> Violation Aspects in the Investments of Jordan Islamic Bank</w:t>
      </w:r>
      <w:r>
        <w:t>,</w:t>
      </w:r>
      <w:r w:rsidRPr="006551E0">
        <w:t xml:space="preserve"> Amman: Cooperative Press [</w:t>
      </w:r>
      <w:r>
        <w:t xml:space="preserve">in </w:t>
      </w:r>
      <w:r w:rsidRPr="006551E0">
        <w:t>Arabic]</w:t>
      </w:r>
      <w:r>
        <w:t>.</w:t>
      </w:r>
      <w:r w:rsidRPr="006551E0">
        <w:rPr>
          <w:b/>
          <w:bCs/>
        </w:rPr>
        <w:t xml:space="preserve"> </w:t>
      </w:r>
    </w:p>
    <w:p w:rsidR="00631CC8" w:rsidRDefault="00631CC8" w:rsidP="00402FFB">
      <w:pPr>
        <w:pStyle w:val="Reference"/>
        <w:rPr>
          <w:b/>
          <w:bCs/>
        </w:rPr>
      </w:pPr>
      <w:r w:rsidRPr="006551E0">
        <w:t>Al-</w:t>
      </w:r>
      <w:proofErr w:type="spellStart"/>
      <w:r w:rsidRPr="006551E0">
        <w:t>Maliqi</w:t>
      </w:r>
      <w:proofErr w:type="spellEnd"/>
      <w:r w:rsidRPr="006551E0">
        <w:t>, A. (2000)</w:t>
      </w:r>
      <w:r>
        <w:t>,</w:t>
      </w:r>
      <w:r w:rsidRPr="006551E0">
        <w:t xml:space="preserve"> </w:t>
      </w:r>
      <w:r>
        <w:rPr>
          <w:i/>
          <w:iCs/>
        </w:rPr>
        <w:t>Islamic Banks, t</w:t>
      </w:r>
      <w:r w:rsidRPr="006551E0">
        <w:rPr>
          <w:i/>
          <w:iCs/>
        </w:rPr>
        <w:t xml:space="preserve">he Experience between the </w:t>
      </w:r>
      <w:proofErr w:type="spellStart"/>
      <w:r w:rsidRPr="006551E0">
        <w:rPr>
          <w:i/>
          <w:iCs/>
        </w:rPr>
        <w:t>Fiqh</w:t>
      </w:r>
      <w:proofErr w:type="spellEnd"/>
      <w:r w:rsidRPr="006551E0">
        <w:rPr>
          <w:i/>
          <w:iCs/>
        </w:rPr>
        <w:t>, Law, and Application</w:t>
      </w:r>
      <w:r>
        <w:t xml:space="preserve">, </w:t>
      </w:r>
      <w:r w:rsidRPr="006551E0">
        <w:t>Beirut: Arabic Cultural Centre [</w:t>
      </w:r>
      <w:r>
        <w:t xml:space="preserve">in </w:t>
      </w:r>
      <w:r w:rsidRPr="006551E0">
        <w:t>Arabic]</w:t>
      </w:r>
      <w:r>
        <w:t>.</w:t>
      </w:r>
      <w:r w:rsidRPr="006551E0">
        <w:rPr>
          <w:b/>
          <w:bCs/>
        </w:rPr>
        <w:t xml:space="preserve"> </w:t>
      </w:r>
    </w:p>
    <w:p w:rsidR="00631CC8" w:rsidRPr="006551E0" w:rsidRDefault="00631CC8" w:rsidP="005F1FF4">
      <w:pPr>
        <w:pStyle w:val="Reference"/>
      </w:pPr>
      <w:r w:rsidRPr="006551E0">
        <w:lastRenderedPageBreak/>
        <w:t>Al-</w:t>
      </w:r>
      <w:proofErr w:type="spellStart"/>
      <w:r w:rsidRPr="006551E0">
        <w:t>Malki</w:t>
      </w:r>
      <w:proofErr w:type="spellEnd"/>
      <w:r w:rsidRPr="006551E0">
        <w:t>, A. (1996)</w:t>
      </w:r>
      <w:r>
        <w:t>,</w:t>
      </w:r>
      <w:r w:rsidRPr="006551E0">
        <w:t xml:space="preserve"> </w:t>
      </w:r>
      <w:r w:rsidRPr="006551E0">
        <w:rPr>
          <w:bCs/>
          <w:i/>
        </w:rPr>
        <w:t>Enc</w:t>
      </w:r>
      <w:r>
        <w:rPr>
          <w:bCs/>
          <w:i/>
        </w:rPr>
        <w:t>yc</w:t>
      </w:r>
      <w:r w:rsidRPr="006551E0">
        <w:rPr>
          <w:bCs/>
          <w:i/>
        </w:rPr>
        <w:t>l</w:t>
      </w:r>
      <w:r>
        <w:rPr>
          <w:bCs/>
          <w:i/>
        </w:rPr>
        <w:t>o</w:t>
      </w:r>
      <w:r w:rsidRPr="006551E0">
        <w:rPr>
          <w:bCs/>
          <w:i/>
        </w:rPr>
        <w:t>p</w:t>
      </w:r>
      <w:r>
        <w:rPr>
          <w:bCs/>
          <w:i/>
        </w:rPr>
        <w:t>ae</w:t>
      </w:r>
      <w:r w:rsidRPr="006551E0">
        <w:rPr>
          <w:bCs/>
          <w:i/>
        </w:rPr>
        <w:t>d</w:t>
      </w:r>
      <w:r>
        <w:rPr>
          <w:bCs/>
          <w:i/>
        </w:rPr>
        <w:t>i</w:t>
      </w:r>
      <w:r w:rsidRPr="006551E0">
        <w:rPr>
          <w:bCs/>
          <w:i/>
        </w:rPr>
        <w:t>a</w:t>
      </w:r>
      <w:r w:rsidRPr="006551E0">
        <w:rPr>
          <w:i/>
        </w:rPr>
        <w:t xml:space="preserve"> </w:t>
      </w:r>
      <w:r>
        <w:rPr>
          <w:i/>
        </w:rPr>
        <w:t>of</w:t>
      </w:r>
      <w:r w:rsidRPr="006551E0">
        <w:rPr>
          <w:i/>
        </w:rPr>
        <w:t xml:space="preserve"> the History of </w:t>
      </w:r>
      <w:r>
        <w:rPr>
          <w:i/>
        </w:rPr>
        <w:t>t</w:t>
      </w:r>
      <w:r w:rsidRPr="006551E0">
        <w:rPr>
          <w:i/>
        </w:rPr>
        <w:t>he Jordanian Banking System</w:t>
      </w:r>
      <w:r>
        <w:rPr>
          <w:i/>
        </w:rPr>
        <w:t>,</w:t>
      </w:r>
      <w:r w:rsidRPr="006551E0">
        <w:t xml:space="preserve"> Amman: Al-</w:t>
      </w:r>
      <w:proofErr w:type="spellStart"/>
      <w:r w:rsidRPr="006551E0">
        <w:t>Doustor</w:t>
      </w:r>
      <w:proofErr w:type="spellEnd"/>
      <w:r w:rsidRPr="006551E0">
        <w:t xml:space="preserve"> Commercial Prints [</w:t>
      </w:r>
      <w:r>
        <w:t xml:space="preserve">in </w:t>
      </w:r>
      <w:r w:rsidRPr="006551E0">
        <w:t>Arabic</w:t>
      </w:r>
      <w:r>
        <w:t>].</w:t>
      </w:r>
      <w:r w:rsidRPr="006551E0">
        <w:t xml:space="preserve"> </w:t>
      </w:r>
    </w:p>
    <w:p w:rsidR="00631CC8" w:rsidRDefault="00631CC8" w:rsidP="00402FFB">
      <w:pPr>
        <w:pStyle w:val="Reference"/>
      </w:pPr>
      <w:r w:rsidRPr="006551E0">
        <w:t>Al-</w:t>
      </w:r>
      <w:proofErr w:type="spellStart"/>
      <w:r w:rsidRPr="006551E0">
        <w:t>Sader</w:t>
      </w:r>
      <w:proofErr w:type="spellEnd"/>
      <w:r w:rsidRPr="006551E0">
        <w:t>, M. (1974)</w:t>
      </w:r>
      <w:r>
        <w:t>,</w:t>
      </w:r>
      <w:r w:rsidRPr="006551E0">
        <w:t xml:space="preserve"> </w:t>
      </w:r>
      <w:r w:rsidRPr="00660E3C">
        <w:rPr>
          <w:i/>
        </w:rPr>
        <w:t xml:space="preserve">Interest </w:t>
      </w:r>
      <w:r>
        <w:rPr>
          <w:i/>
        </w:rPr>
        <w:t>F</w:t>
      </w:r>
      <w:r w:rsidRPr="00660E3C">
        <w:rPr>
          <w:i/>
        </w:rPr>
        <w:t xml:space="preserve">ree </w:t>
      </w:r>
      <w:r>
        <w:rPr>
          <w:i/>
        </w:rPr>
        <w:t>B</w:t>
      </w:r>
      <w:r w:rsidRPr="00660E3C">
        <w:rPr>
          <w:i/>
        </w:rPr>
        <w:t>ank</w:t>
      </w:r>
      <w:r>
        <w:rPr>
          <w:i/>
        </w:rPr>
        <w:t>ing</w:t>
      </w:r>
      <w:r w:rsidRPr="00660E3C">
        <w:rPr>
          <w:i/>
        </w:rPr>
        <w:t xml:space="preserve"> in Islam</w:t>
      </w:r>
      <w:r>
        <w:t>,</w:t>
      </w:r>
      <w:r w:rsidRPr="006551E0">
        <w:t xml:space="preserve"> Kuwait</w:t>
      </w:r>
      <w:r>
        <w:t>: Jami Al-</w:t>
      </w:r>
      <w:proofErr w:type="spellStart"/>
      <w:r>
        <w:t>N</w:t>
      </w:r>
      <w:r w:rsidRPr="006551E0">
        <w:t>aqi</w:t>
      </w:r>
      <w:proofErr w:type="spellEnd"/>
      <w:r w:rsidRPr="006551E0">
        <w:t xml:space="preserve"> [</w:t>
      </w:r>
      <w:r>
        <w:t xml:space="preserve">in </w:t>
      </w:r>
      <w:r w:rsidRPr="006551E0">
        <w:t>Arabic]</w:t>
      </w:r>
      <w:r>
        <w:t>.</w:t>
      </w:r>
    </w:p>
    <w:p w:rsidR="00631CC8" w:rsidRPr="005F1FF4" w:rsidRDefault="00631CC8" w:rsidP="00402FFB">
      <w:pPr>
        <w:pStyle w:val="Reference"/>
      </w:pPr>
      <w:proofErr w:type="spellStart"/>
      <w:r>
        <w:t>Alvesson</w:t>
      </w:r>
      <w:proofErr w:type="spellEnd"/>
      <w:r>
        <w:t xml:space="preserve">, M. (2002), </w:t>
      </w:r>
      <w:r>
        <w:rPr>
          <w:i/>
          <w:iCs/>
        </w:rPr>
        <w:t>Understanding Organizational Culture</w:t>
      </w:r>
      <w:r>
        <w:t>, London: Sage</w:t>
      </w:r>
    </w:p>
    <w:p w:rsidR="00631CC8" w:rsidRDefault="00631CC8" w:rsidP="00402FFB">
      <w:pPr>
        <w:pStyle w:val="Reference"/>
        <w:rPr>
          <w:bCs/>
          <w:lang w:val="en-US"/>
        </w:rPr>
      </w:pPr>
      <w:r w:rsidRPr="006551E0">
        <w:t xml:space="preserve">Archer, S. and </w:t>
      </w:r>
      <w:proofErr w:type="spellStart"/>
      <w:r w:rsidRPr="006551E0">
        <w:t>Karim</w:t>
      </w:r>
      <w:proofErr w:type="spellEnd"/>
      <w:r w:rsidRPr="006551E0">
        <w:t>, R. (2001)</w:t>
      </w:r>
      <w:r>
        <w:t>, “</w:t>
      </w:r>
      <w:r w:rsidRPr="006551E0">
        <w:rPr>
          <w:lang w:val="en-US"/>
        </w:rPr>
        <w:t xml:space="preserve">Presuppositions behind </w:t>
      </w:r>
      <w:r>
        <w:rPr>
          <w:lang w:val="en-US"/>
        </w:rPr>
        <w:t>a</w:t>
      </w:r>
      <w:r w:rsidRPr="006551E0">
        <w:rPr>
          <w:lang w:val="en-US"/>
        </w:rPr>
        <w:t xml:space="preserve">ccounting </w:t>
      </w:r>
      <w:r>
        <w:rPr>
          <w:lang w:val="en-US"/>
        </w:rPr>
        <w:t>s</w:t>
      </w:r>
      <w:r w:rsidRPr="006551E0">
        <w:rPr>
          <w:lang w:val="en-US"/>
        </w:rPr>
        <w:t xml:space="preserve">tandards and the </w:t>
      </w:r>
      <w:r>
        <w:rPr>
          <w:lang w:val="en-US"/>
        </w:rPr>
        <w:t>i</w:t>
      </w:r>
      <w:r w:rsidRPr="006551E0">
        <w:rPr>
          <w:lang w:val="en-US"/>
        </w:rPr>
        <w:t xml:space="preserve">ssue of </w:t>
      </w:r>
      <w:r>
        <w:rPr>
          <w:lang w:val="en-US"/>
        </w:rPr>
        <w:t>e</w:t>
      </w:r>
      <w:r w:rsidRPr="006551E0">
        <w:rPr>
          <w:lang w:val="en-US"/>
        </w:rPr>
        <w:t xml:space="preserve">conomic </w:t>
      </w:r>
      <w:r>
        <w:rPr>
          <w:lang w:val="en-US"/>
        </w:rPr>
        <w:t>r</w:t>
      </w:r>
      <w:r w:rsidRPr="006551E0">
        <w:rPr>
          <w:lang w:val="en-US"/>
        </w:rPr>
        <w:t xml:space="preserve">eality: </w:t>
      </w:r>
      <w:r>
        <w:rPr>
          <w:lang w:val="en-US"/>
        </w:rPr>
        <w:t>t</w:t>
      </w:r>
      <w:r w:rsidRPr="006551E0">
        <w:rPr>
          <w:lang w:val="en-US"/>
        </w:rPr>
        <w:t xml:space="preserve">he </w:t>
      </w:r>
      <w:r>
        <w:rPr>
          <w:lang w:val="en-US"/>
        </w:rPr>
        <w:t>c</w:t>
      </w:r>
      <w:r w:rsidRPr="006551E0">
        <w:rPr>
          <w:lang w:val="en-US"/>
        </w:rPr>
        <w:t xml:space="preserve">ase of Islamic </w:t>
      </w:r>
      <w:r>
        <w:rPr>
          <w:lang w:val="en-US"/>
        </w:rPr>
        <w:t>f</w:t>
      </w:r>
      <w:r w:rsidRPr="006551E0">
        <w:rPr>
          <w:lang w:val="en-US"/>
        </w:rPr>
        <w:t xml:space="preserve">inancial </w:t>
      </w:r>
      <w:r>
        <w:rPr>
          <w:lang w:val="en-US"/>
        </w:rPr>
        <w:t>i</w:t>
      </w:r>
      <w:r w:rsidRPr="006551E0">
        <w:rPr>
          <w:lang w:val="en-US"/>
        </w:rPr>
        <w:t>nstruments</w:t>
      </w:r>
      <w:r>
        <w:rPr>
          <w:lang w:val="en-US"/>
        </w:rPr>
        <w:t>”, p</w:t>
      </w:r>
      <w:r w:rsidRPr="00660E3C">
        <w:rPr>
          <w:bCs/>
          <w:lang w:val="en-US"/>
        </w:rPr>
        <w:t xml:space="preserve">aper </w:t>
      </w:r>
      <w:r>
        <w:rPr>
          <w:bCs/>
          <w:lang w:val="en-US"/>
        </w:rPr>
        <w:t>presented at</w:t>
      </w:r>
      <w:r w:rsidRPr="00660E3C">
        <w:rPr>
          <w:bCs/>
          <w:lang w:val="en-US"/>
        </w:rPr>
        <w:t xml:space="preserve"> the EIASM Workshop on Accounting and Regulation</w:t>
      </w:r>
      <w:r w:rsidRPr="006551E0">
        <w:rPr>
          <w:bCs/>
          <w:lang w:val="en-US"/>
        </w:rPr>
        <w:t>, Siena.</w:t>
      </w:r>
    </w:p>
    <w:p w:rsidR="00631CC8" w:rsidRDefault="00631CC8" w:rsidP="00F11346">
      <w:pPr>
        <w:pStyle w:val="Reference"/>
      </w:pPr>
      <w:proofErr w:type="spellStart"/>
      <w:proofErr w:type="gramStart"/>
      <w:r>
        <w:t>Chapra</w:t>
      </w:r>
      <w:proofErr w:type="spellEnd"/>
      <w:r>
        <w:t>, M. U. and Khan,</w:t>
      </w:r>
      <w:r w:rsidRPr="006551E0">
        <w:t xml:space="preserve"> </w:t>
      </w:r>
      <w:r>
        <w:t>T</w:t>
      </w:r>
      <w:r w:rsidRPr="006551E0">
        <w:t>. (2000)</w:t>
      </w:r>
      <w:r>
        <w:t>, “R</w:t>
      </w:r>
      <w:r w:rsidRPr="006551E0">
        <w:t>egulation</w:t>
      </w:r>
      <w:r w:rsidRPr="006551E0">
        <w:rPr>
          <w:i/>
          <w:iCs/>
        </w:rPr>
        <w:t xml:space="preserve"> </w:t>
      </w:r>
      <w:r w:rsidRPr="003F6763">
        <w:rPr>
          <w:iCs/>
        </w:rPr>
        <w:t xml:space="preserve">and </w:t>
      </w:r>
      <w:r>
        <w:rPr>
          <w:iCs/>
        </w:rPr>
        <w:t>s</w:t>
      </w:r>
      <w:r w:rsidRPr="003F6763">
        <w:rPr>
          <w:iCs/>
        </w:rPr>
        <w:t xml:space="preserve">upervision of Islamic </w:t>
      </w:r>
      <w:r>
        <w:rPr>
          <w:iCs/>
        </w:rPr>
        <w:t>b</w:t>
      </w:r>
      <w:r w:rsidRPr="003F6763">
        <w:rPr>
          <w:iCs/>
        </w:rPr>
        <w:t>anks</w:t>
      </w:r>
      <w:r>
        <w:t>”, Occasional P</w:t>
      </w:r>
      <w:r w:rsidRPr="003F6763">
        <w:t>aper</w:t>
      </w:r>
      <w:r>
        <w:t xml:space="preserve"> No. 3, Islamic Development B</w:t>
      </w:r>
      <w:r w:rsidRPr="003F6763">
        <w:t>ank</w:t>
      </w:r>
      <w:r w:rsidRPr="006551E0">
        <w:rPr>
          <w:i/>
        </w:rPr>
        <w:t xml:space="preserve">, </w:t>
      </w:r>
      <w:r w:rsidRPr="006551E0">
        <w:t>Jeddah.</w:t>
      </w:r>
      <w:proofErr w:type="gramEnd"/>
    </w:p>
    <w:p w:rsidR="00631CC8" w:rsidRDefault="00631CC8" w:rsidP="00402FFB">
      <w:pPr>
        <w:pStyle w:val="Reference"/>
      </w:pPr>
      <w:r w:rsidRPr="006551E0">
        <w:t>Drummond, J. (2001)</w:t>
      </w:r>
      <w:r>
        <w:t>, “</w:t>
      </w:r>
      <w:r w:rsidRPr="006551E0">
        <w:t xml:space="preserve">A </w:t>
      </w:r>
      <w:r>
        <w:t>r</w:t>
      </w:r>
      <w:r w:rsidRPr="006551E0">
        <w:t xml:space="preserve">isk </w:t>
      </w:r>
      <w:r>
        <w:t>f</w:t>
      </w:r>
      <w:r w:rsidRPr="006551E0">
        <w:t xml:space="preserve">ree </w:t>
      </w:r>
      <w:r>
        <w:t>r</w:t>
      </w:r>
      <w:r w:rsidRPr="006551E0">
        <w:t xml:space="preserve">eturn? </w:t>
      </w:r>
      <w:r>
        <w:t xml:space="preserve"> </w:t>
      </w:r>
      <w:proofErr w:type="gramStart"/>
      <w:r w:rsidRPr="006551E0">
        <w:t xml:space="preserve">It’s </w:t>
      </w:r>
      <w:r>
        <w:t>f</w:t>
      </w:r>
      <w:r w:rsidRPr="006551E0">
        <w:t>orbidden</w:t>
      </w:r>
      <w:r>
        <w:t>”,</w:t>
      </w:r>
      <w:r w:rsidRPr="006551E0">
        <w:t xml:space="preserve"> </w:t>
      </w:r>
      <w:r w:rsidRPr="006551E0">
        <w:rPr>
          <w:i/>
          <w:iCs/>
        </w:rPr>
        <w:t>Accountancy</w:t>
      </w:r>
      <w:r w:rsidRPr="006551E0">
        <w:t>, April, pp.</w:t>
      </w:r>
      <w:r>
        <w:t xml:space="preserve"> </w:t>
      </w:r>
      <w:r w:rsidRPr="006551E0">
        <w:t>98-</w:t>
      </w:r>
      <w:r>
        <w:t>9</w:t>
      </w:r>
      <w:r w:rsidRPr="006551E0">
        <w:t>9.</w:t>
      </w:r>
      <w:proofErr w:type="gramEnd"/>
    </w:p>
    <w:p w:rsidR="00631CC8" w:rsidRDefault="00631CC8" w:rsidP="00402FFB">
      <w:pPr>
        <w:pStyle w:val="Reference"/>
      </w:pPr>
      <w:r w:rsidRPr="006551E0">
        <w:t>El-</w:t>
      </w:r>
      <w:proofErr w:type="spellStart"/>
      <w:r w:rsidRPr="006551E0">
        <w:t>Ashker</w:t>
      </w:r>
      <w:proofErr w:type="spellEnd"/>
      <w:r w:rsidRPr="006551E0">
        <w:t>, A. (1987)</w:t>
      </w:r>
      <w:r>
        <w:t>,</w:t>
      </w:r>
      <w:r w:rsidRPr="006551E0">
        <w:t xml:space="preserve"> </w:t>
      </w:r>
      <w:proofErr w:type="gramStart"/>
      <w:r w:rsidRPr="006551E0">
        <w:rPr>
          <w:i/>
          <w:iCs/>
        </w:rPr>
        <w:t>The</w:t>
      </w:r>
      <w:proofErr w:type="gramEnd"/>
      <w:r w:rsidRPr="006551E0">
        <w:rPr>
          <w:i/>
          <w:iCs/>
        </w:rPr>
        <w:t xml:space="preserve"> Islamic Business Enterprises</w:t>
      </w:r>
      <w:r>
        <w:t xml:space="preserve">, </w:t>
      </w:r>
      <w:r w:rsidRPr="006551E0">
        <w:t xml:space="preserve">Kent: </w:t>
      </w:r>
      <w:proofErr w:type="spellStart"/>
      <w:r w:rsidRPr="006551E0">
        <w:t>Croom</w:t>
      </w:r>
      <w:proofErr w:type="spellEnd"/>
      <w:r w:rsidRPr="006551E0">
        <w:t xml:space="preserve"> Helm. </w:t>
      </w:r>
    </w:p>
    <w:p w:rsidR="00631CC8" w:rsidRPr="00107607" w:rsidRDefault="00631CC8" w:rsidP="00402FFB">
      <w:pPr>
        <w:pStyle w:val="Reference"/>
      </w:pPr>
      <w:r>
        <w:t>El-</w:t>
      </w:r>
      <w:proofErr w:type="spellStart"/>
      <w:r>
        <w:t>Gamal</w:t>
      </w:r>
      <w:proofErr w:type="spellEnd"/>
      <w:r>
        <w:t xml:space="preserve">, M. (2006), </w:t>
      </w:r>
      <w:r>
        <w:rPr>
          <w:i/>
          <w:iCs/>
        </w:rPr>
        <w:t>Islamic Finance: Law, Economics, and Practice</w:t>
      </w:r>
      <w:r>
        <w:t>, New York: Cambridge University Press.</w:t>
      </w:r>
    </w:p>
    <w:p w:rsidR="00631CC8" w:rsidRDefault="00631CC8" w:rsidP="00402FFB">
      <w:pPr>
        <w:pStyle w:val="Reference"/>
      </w:pPr>
      <w:r w:rsidRPr="006551E0">
        <w:rPr>
          <w:bCs/>
        </w:rPr>
        <w:t>El-</w:t>
      </w:r>
      <w:proofErr w:type="spellStart"/>
      <w:r w:rsidRPr="006551E0">
        <w:rPr>
          <w:bCs/>
        </w:rPr>
        <w:t>Hawary</w:t>
      </w:r>
      <w:proofErr w:type="spellEnd"/>
      <w:r w:rsidRPr="006551E0">
        <w:rPr>
          <w:bCs/>
        </w:rPr>
        <w:t xml:space="preserve">, D., </w:t>
      </w:r>
      <w:proofErr w:type="spellStart"/>
      <w:r w:rsidRPr="006551E0">
        <w:rPr>
          <w:bCs/>
        </w:rPr>
        <w:t>Grais</w:t>
      </w:r>
      <w:proofErr w:type="spellEnd"/>
      <w:r w:rsidRPr="006551E0">
        <w:rPr>
          <w:bCs/>
        </w:rPr>
        <w:t>, W. and Iqbal, Z. (2004)</w:t>
      </w:r>
      <w:r>
        <w:rPr>
          <w:bCs/>
        </w:rPr>
        <w:t>, “</w:t>
      </w:r>
      <w:proofErr w:type="gramStart"/>
      <w:r w:rsidRPr="006551E0">
        <w:rPr>
          <w:bCs/>
        </w:rPr>
        <w:t>Regulating</w:t>
      </w:r>
      <w:proofErr w:type="gramEnd"/>
      <w:r w:rsidRPr="006551E0">
        <w:rPr>
          <w:bCs/>
        </w:rPr>
        <w:t xml:space="preserve"> Islamic </w:t>
      </w:r>
      <w:r>
        <w:rPr>
          <w:bCs/>
        </w:rPr>
        <w:t>f</w:t>
      </w:r>
      <w:r w:rsidRPr="006551E0">
        <w:rPr>
          <w:bCs/>
        </w:rPr>
        <w:t xml:space="preserve">inancial </w:t>
      </w:r>
      <w:r>
        <w:rPr>
          <w:bCs/>
        </w:rPr>
        <w:t>i</w:t>
      </w:r>
      <w:r w:rsidRPr="006551E0">
        <w:rPr>
          <w:bCs/>
        </w:rPr>
        <w:t>nstitutions:</w:t>
      </w:r>
      <w:r>
        <w:rPr>
          <w:bCs/>
        </w:rPr>
        <w:t xml:space="preserve"> t</w:t>
      </w:r>
      <w:r w:rsidRPr="006551E0">
        <w:rPr>
          <w:bCs/>
        </w:rPr>
        <w:t xml:space="preserve">he </w:t>
      </w:r>
      <w:r>
        <w:rPr>
          <w:bCs/>
        </w:rPr>
        <w:t>n</w:t>
      </w:r>
      <w:r w:rsidRPr="006551E0">
        <w:rPr>
          <w:bCs/>
        </w:rPr>
        <w:t xml:space="preserve">ature of the </w:t>
      </w:r>
      <w:r>
        <w:rPr>
          <w:bCs/>
        </w:rPr>
        <w:t>r</w:t>
      </w:r>
      <w:r w:rsidRPr="006551E0">
        <w:rPr>
          <w:bCs/>
        </w:rPr>
        <w:t>egulated</w:t>
      </w:r>
      <w:r>
        <w:rPr>
          <w:bCs/>
        </w:rPr>
        <w:t xml:space="preserve">’. </w:t>
      </w:r>
      <w:r w:rsidRPr="006551E0">
        <w:rPr>
          <w:bCs/>
        </w:rPr>
        <w:t xml:space="preserve"> </w:t>
      </w:r>
      <w:r w:rsidRPr="006551E0">
        <w:t>World Bank</w:t>
      </w:r>
      <w:r>
        <w:t xml:space="preserve"> Policy Research Working Papers, Washington: World Bank.</w:t>
      </w:r>
      <w:r w:rsidRPr="006551E0">
        <w:t xml:space="preserve"> </w:t>
      </w:r>
    </w:p>
    <w:p w:rsidR="00631CC8" w:rsidRDefault="00631CC8" w:rsidP="00402FFB">
      <w:pPr>
        <w:pStyle w:val="Reference"/>
      </w:pPr>
      <w:r w:rsidRPr="006551E0">
        <w:t>El-</w:t>
      </w:r>
      <w:proofErr w:type="spellStart"/>
      <w:r w:rsidRPr="006551E0">
        <w:t>Issa</w:t>
      </w:r>
      <w:proofErr w:type="spellEnd"/>
      <w:r w:rsidRPr="006551E0">
        <w:t>, Y. (1984)</w:t>
      </w:r>
      <w:r>
        <w:t>,</w:t>
      </w:r>
      <w:r w:rsidRPr="006551E0">
        <w:t xml:space="preserve"> </w:t>
      </w:r>
      <w:r w:rsidRPr="006551E0">
        <w:rPr>
          <w:i/>
        </w:rPr>
        <w:t>Financial Reporting Requirements and Practice in Jordan</w:t>
      </w:r>
      <w:r>
        <w:t>, u</w:t>
      </w:r>
      <w:r w:rsidRPr="006551E0">
        <w:t xml:space="preserve">npublished M.Sc. thesis, University of Wales, Cardiff. </w:t>
      </w:r>
    </w:p>
    <w:p w:rsidR="00631CC8" w:rsidRPr="006551E0" w:rsidRDefault="00631CC8" w:rsidP="00402FFB">
      <w:pPr>
        <w:pStyle w:val="Reference"/>
      </w:pPr>
      <w:proofErr w:type="spellStart"/>
      <w:r w:rsidRPr="006551E0">
        <w:t>Errico</w:t>
      </w:r>
      <w:proofErr w:type="spellEnd"/>
      <w:r w:rsidRPr="006551E0">
        <w:t>, L. an</w:t>
      </w:r>
      <w:r>
        <w:t xml:space="preserve">d </w:t>
      </w:r>
      <w:proofErr w:type="spellStart"/>
      <w:r>
        <w:t>Farahbak</w:t>
      </w:r>
      <w:r w:rsidRPr="006551E0">
        <w:t>sh</w:t>
      </w:r>
      <w:proofErr w:type="spellEnd"/>
      <w:r>
        <w:t xml:space="preserve">, M. </w:t>
      </w:r>
      <w:r w:rsidRPr="006551E0">
        <w:t>(1998)</w:t>
      </w:r>
      <w:r>
        <w:t>, “</w:t>
      </w:r>
      <w:r w:rsidRPr="000D4C1D">
        <w:rPr>
          <w:iCs/>
        </w:rPr>
        <w:t xml:space="preserve">Islamic </w:t>
      </w:r>
      <w:r>
        <w:rPr>
          <w:iCs/>
        </w:rPr>
        <w:t>b</w:t>
      </w:r>
      <w:r w:rsidRPr="000D4C1D">
        <w:rPr>
          <w:iCs/>
        </w:rPr>
        <w:t xml:space="preserve">anking: issues in </w:t>
      </w:r>
      <w:r>
        <w:rPr>
          <w:iCs/>
        </w:rPr>
        <w:t>pr</w:t>
      </w:r>
      <w:r w:rsidRPr="000D4C1D">
        <w:rPr>
          <w:iCs/>
        </w:rPr>
        <w:t xml:space="preserve">udential </w:t>
      </w:r>
      <w:r>
        <w:rPr>
          <w:iCs/>
        </w:rPr>
        <w:t>r</w:t>
      </w:r>
      <w:r w:rsidRPr="000D4C1D">
        <w:rPr>
          <w:iCs/>
        </w:rPr>
        <w:t xml:space="preserve">egulation and </w:t>
      </w:r>
      <w:r>
        <w:rPr>
          <w:iCs/>
        </w:rPr>
        <w:t>supervision”,</w:t>
      </w:r>
      <w:r>
        <w:t xml:space="preserve"> </w:t>
      </w:r>
      <w:r w:rsidRPr="006551E0">
        <w:t>Working Paper</w:t>
      </w:r>
      <w:r>
        <w:t xml:space="preserve"> WP/98/30</w:t>
      </w:r>
      <w:r w:rsidRPr="006551E0">
        <w:t>, International Monetary Fund</w:t>
      </w:r>
      <w:r>
        <w:t>, Washington</w:t>
      </w:r>
      <w:r w:rsidRPr="006551E0">
        <w:t xml:space="preserve">. </w:t>
      </w:r>
    </w:p>
    <w:p w:rsidR="00631CC8" w:rsidRDefault="00631CC8" w:rsidP="00402FFB">
      <w:pPr>
        <w:pStyle w:val="Reference"/>
      </w:pPr>
      <w:r w:rsidRPr="006551E0">
        <w:t>Gambling, T. (1994)</w:t>
      </w:r>
      <w:r>
        <w:t>, “</w:t>
      </w:r>
      <w:r w:rsidRPr="006551E0">
        <w:t xml:space="preserve">Accounting for Islamic </w:t>
      </w:r>
      <w:r>
        <w:t>b</w:t>
      </w:r>
      <w:r w:rsidRPr="006551E0">
        <w:t>anking</w:t>
      </w:r>
      <w:r>
        <w:t>”, p</w:t>
      </w:r>
      <w:r>
        <w:rPr>
          <w:iCs/>
        </w:rPr>
        <w:t>aper p</w:t>
      </w:r>
      <w:r w:rsidRPr="000D4C1D">
        <w:rPr>
          <w:iCs/>
        </w:rPr>
        <w:t>resented at</w:t>
      </w:r>
      <w:r>
        <w:rPr>
          <w:iCs/>
        </w:rPr>
        <w:t xml:space="preserve"> the International Conference on</w:t>
      </w:r>
      <w:r w:rsidRPr="000D4C1D">
        <w:rPr>
          <w:iCs/>
        </w:rPr>
        <w:t xml:space="preserve"> Developing Accounting Standards for Islamic Banks</w:t>
      </w:r>
      <w:r w:rsidRPr="006551E0">
        <w:t>, London.</w:t>
      </w:r>
    </w:p>
    <w:p w:rsidR="00631CC8" w:rsidRDefault="00631CC8" w:rsidP="00402FFB">
      <w:pPr>
        <w:pStyle w:val="Reference"/>
        <w:rPr>
          <w:bCs/>
        </w:rPr>
      </w:pPr>
      <w:r w:rsidRPr="006551E0">
        <w:rPr>
          <w:bCs/>
        </w:rPr>
        <w:t xml:space="preserve">Gambling, T. and </w:t>
      </w:r>
      <w:proofErr w:type="spellStart"/>
      <w:r w:rsidRPr="006551E0">
        <w:rPr>
          <w:bCs/>
        </w:rPr>
        <w:t>Karim</w:t>
      </w:r>
      <w:proofErr w:type="spellEnd"/>
      <w:r w:rsidRPr="006551E0">
        <w:rPr>
          <w:bCs/>
        </w:rPr>
        <w:t xml:space="preserve"> R. (1991)</w:t>
      </w:r>
      <w:r>
        <w:rPr>
          <w:bCs/>
        </w:rPr>
        <w:t xml:space="preserve">, </w:t>
      </w:r>
      <w:r w:rsidRPr="006551E0">
        <w:rPr>
          <w:bCs/>
          <w:i/>
          <w:iCs/>
        </w:rPr>
        <w:t>Business and Accounting Ethics in Islam</w:t>
      </w:r>
      <w:r>
        <w:rPr>
          <w:bCs/>
          <w:iCs/>
        </w:rPr>
        <w:t xml:space="preserve">, </w:t>
      </w:r>
      <w:r w:rsidRPr="000D4C1D">
        <w:rPr>
          <w:bCs/>
        </w:rPr>
        <w:t>London</w:t>
      </w:r>
      <w:r w:rsidRPr="006551E0">
        <w:rPr>
          <w:bCs/>
        </w:rPr>
        <w:t xml:space="preserve">: </w:t>
      </w:r>
      <w:proofErr w:type="spellStart"/>
      <w:r w:rsidRPr="006551E0">
        <w:rPr>
          <w:bCs/>
        </w:rPr>
        <w:t>Mansell</w:t>
      </w:r>
      <w:proofErr w:type="spellEnd"/>
      <w:r w:rsidRPr="006551E0">
        <w:rPr>
          <w:bCs/>
        </w:rPr>
        <w:t xml:space="preserve"> Publishing Limited. </w:t>
      </w:r>
    </w:p>
    <w:p w:rsidR="00631CC8" w:rsidRPr="00205C7E" w:rsidRDefault="00631CC8" w:rsidP="00402FFB">
      <w:pPr>
        <w:pStyle w:val="Reference"/>
        <w:rPr>
          <w:bCs/>
        </w:rPr>
      </w:pPr>
      <w:proofErr w:type="gramStart"/>
      <w:r>
        <w:rPr>
          <w:bCs/>
        </w:rPr>
        <w:t xml:space="preserve">Gray, S. J. (1988), “Towards a theory of cultural influence on the development of accounting systems internationally”, </w:t>
      </w:r>
      <w:r>
        <w:rPr>
          <w:bCs/>
          <w:i/>
          <w:iCs/>
        </w:rPr>
        <w:t>ABACUS</w:t>
      </w:r>
      <w:r>
        <w:rPr>
          <w:bCs/>
        </w:rPr>
        <w:t>, Vol. 24, No. 1, pp. 1-15.</w:t>
      </w:r>
      <w:proofErr w:type="gramEnd"/>
    </w:p>
    <w:p w:rsidR="00631CC8" w:rsidRDefault="00631CC8" w:rsidP="00402FFB">
      <w:pPr>
        <w:pStyle w:val="Reference"/>
      </w:pPr>
      <w:proofErr w:type="spellStart"/>
      <w:r w:rsidRPr="006551E0">
        <w:lastRenderedPageBreak/>
        <w:t>Hamat</w:t>
      </w:r>
      <w:proofErr w:type="spellEnd"/>
      <w:r w:rsidRPr="006551E0">
        <w:t>, M. (1994)</w:t>
      </w:r>
      <w:r>
        <w:t>, “</w:t>
      </w:r>
      <w:r w:rsidRPr="006551E0">
        <w:t xml:space="preserve">Accounting </w:t>
      </w:r>
      <w:r>
        <w:t>s</w:t>
      </w:r>
      <w:r w:rsidRPr="006551E0">
        <w:t xml:space="preserve">tandards for Islamic </w:t>
      </w:r>
      <w:r>
        <w:t>b</w:t>
      </w:r>
      <w:r w:rsidRPr="006551E0">
        <w:t>anks</w:t>
      </w:r>
      <w:r>
        <w:t>”,</w:t>
      </w:r>
      <w:r w:rsidRPr="006551E0">
        <w:t xml:space="preserve"> </w:t>
      </w:r>
      <w:r>
        <w:rPr>
          <w:iCs/>
        </w:rPr>
        <w:t>paper p</w:t>
      </w:r>
      <w:r w:rsidRPr="000D4C1D">
        <w:rPr>
          <w:iCs/>
        </w:rPr>
        <w:t>resented at</w:t>
      </w:r>
      <w:r>
        <w:rPr>
          <w:iCs/>
        </w:rPr>
        <w:t xml:space="preserve"> the International Conference on</w:t>
      </w:r>
      <w:r w:rsidRPr="000D4C1D">
        <w:rPr>
          <w:iCs/>
        </w:rPr>
        <w:t xml:space="preserve"> Developing Accounting Standards for Islamic Banks</w:t>
      </w:r>
      <w:r w:rsidRPr="006551E0">
        <w:t xml:space="preserve">, London. </w:t>
      </w:r>
    </w:p>
    <w:p w:rsidR="00631CC8" w:rsidRDefault="00631CC8" w:rsidP="00402FFB">
      <w:pPr>
        <w:pStyle w:val="Reference"/>
      </w:pPr>
      <w:proofErr w:type="spellStart"/>
      <w:r w:rsidRPr="006551E0">
        <w:t>Hamid</w:t>
      </w:r>
      <w:proofErr w:type="spellEnd"/>
      <w:r w:rsidRPr="006551E0">
        <w:t>, S., Craig, R. and Clarke, F. (1993)</w:t>
      </w:r>
      <w:r>
        <w:t>, “</w:t>
      </w:r>
      <w:r w:rsidRPr="006551E0">
        <w:t>Religion: a confounding cultural element in the international harmonization of accounting</w:t>
      </w:r>
      <w:r>
        <w:t>”,</w:t>
      </w:r>
      <w:r w:rsidRPr="006551E0">
        <w:t xml:space="preserve"> </w:t>
      </w:r>
      <w:r w:rsidRPr="006551E0">
        <w:rPr>
          <w:i/>
          <w:iCs/>
        </w:rPr>
        <w:t>ABACUS</w:t>
      </w:r>
      <w:r w:rsidRPr="006551E0">
        <w:t>, Vo</w:t>
      </w:r>
      <w:r>
        <w:t>l</w:t>
      </w:r>
      <w:r w:rsidRPr="006551E0">
        <w:t>.</w:t>
      </w:r>
      <w:r>
        <w:t xml:space="preserve"> </w:t>
      </w:r>
      <w:r w:rsidRPr="006551E0">
        <w:t>29, No.</w:t>
      </w:r>
      <w:r>
        <w:t xml:space="preserve"> </w:t>
      </w:r>
      <w:r w:rsidRPr="006551E0">
        <w:t xml:space="preserve">2, pp.131-48. </w:t>
      </w:r>
    </w:p>
    <w:p w:rsidR="00631CC8" w:rsidRPr="00667DAB" w:rsidRDefault="00631CC8" w:rsidP="00F20D0B">
      <w:pPr>
        <w:pStyle w:val="Reference"/>
      </w:pPr>
      <w:r>
        <w:t>Hammond, T. D. (2003), “Histories outside the mainstream: oral history and non-traditional approaches”, in Fleischman, R. K., Radcliffe, V. S. and Shoemaker, P. A. (</w:t>
      </w:r>
      <w:proofErr w:type="spellStart"/>
      <w:r>
        <w:t>eds</w:t>
      </w:r>
      <w:proofErr w:type="spellEnd"/>
      <w:r>
        <w:t xml:space="preserve">) </w:t>
      </w:r>
      <w:r>
        <w:rPr>
          <w:i/>
        </w:rPr>
        <w:t>Doing Accounting History: Contributions to the Development of Accounting Thought</w:t>
      </w:r>
      <w:r>
        <w:t>, Oxford, Elsevier Science, pp. 81-96.</w:t>
      </w:r>
    </w:p>
    <w:p w:rsidR="00631CC8" w:rsidRDefault="00631CC8" w:rsidP="00107607">
      <w:pPr>
        <w:pStyle w:val="Reference"/>
      </w:pPr>
      <w:proofErr w:type="spellStart"/>
      <w:r w:rsidRPr="006551E0">
        <w:t>H</w:t>
      </w:r>
      <w:r>
        <w:t>a</w:t>
      </w:r>
      <w:r w:rsidRPr="006551E0">
        <w:t>moud</w:t>
      </w:r>
      <w:proofErr w:type="spellEnd"/>
      <w:r w:rsidRPr="006551E0">
        <w:t>, S. (</w:t>
      </w:r>
      <w:r>
        <w:t>1982</w:t>
      </w:r>
      <w:r w:rsidRPr="006551E0">
        <w:t>)</w:t>
      </w:r>
      <w:r>
        <w:t>,</w:t>
      </w:r>
      <w:r w:rsidRPr="006551E0">
        <w:t xml:space="preserve"> </w:t>
      </w:r>
      <w:r w:rsidRPr="006551E0">
        <w:rPr>
          <w:i/>
        </w:rPr>
        <w:t xml:space="preserve">Development of Banking Operations to Accommodate the Islamic </w:t>
      </w:r>
      <w:proofErr w:type="spellStart"/>
      <w:r w:rsidRPr="009A79BF">
        <w:rPr>
          <w:i/>
        </w:rPr>
        <w:t>Shari’a</w:t>
      </w:r>
      <w:proofErr w:type="spellEnd"/>
      <w:r>
        <w:t>, Amman: Al-</w:t>
      </w:r>
      <w:proofErr w:type="spellStart"/>
      <w:r>
        <w:t>Sharq</w:t>
      </w:r>
      <w:proofErr w:type="spellEnd"/>
      <w:r>
        <w:t xml:space="preserve"> Print [in Arabic – based on </w:t>
      </w:r>
      <w:r w:rsidRPr="006551E0">
        <w:t>Ph.D. thesis</w:t>
      </w:r>
      <w:r>
        <w:t xml:space="preserve"> (1976)</w:t>
      </w:r>
      <w:r w:rsidRPr="006551E0">
        <w:t>, Cairo University</w:t>
      </w:r>
      <w:r>
        <w:t>].</w:t>
      </w:r>
    </w:p>
    <w:p w:rsidR="00631CC8" w:rsidRDefault="00631CC8" w:rsidP="00402FFB">
      <w:pPr>
        <w:pStyle w:val="Reference"/>
      </w:pPr>
      <w:proofErr w:type="spellStart"/>
      <w:r w:rsidRPr="006551E0">
        <w:t>Hassanien</w:t>
      </w:r>
      <w:proofErr w:type="spellEnd"/>
      <w:r w:rsidRPr="006551E0">
        <w:t>, F.</w:t>
      </w:r>
      <w:r>
        <w:t xml:space="preserve"> </w:t>
      </w:r>
      <w:r w:rsidRPr="006551E0">
        <w:t>(1996)</w:t>
      </w:r>
      <w:r>
        <w:t>,</w:t>
      </w:r>
      <w:r w:rsidRPr="006551E0">
        <w:t xml:space="preserve"> </w:t>
      </w:r>
      <w:proofErr w:type="spellStart"/>
      <w:r w:rsidRPr="006551E0">
        <w:rPr>
          <w:i/>
          <w:iCs/>
        </w:rPr>
        <w:t>Murabaha</w:t>
      </w:r>
      <w:proofErr w:type="spellEnd"/>
      <w:r w:rsidRPr="006551E0">
        <w:rPr>
          <w:i/>
          <w:iCs/>
        </w:rPr>
        <w:t xml:space="preserve"> Sale in Islamic Banks</w:t>
      </w:r>
      <w:r>
        <w:rPr>
          <w:iCs/>
        </w:rPr>
        <w:t>,</w:t>
      </w:r>
      <w:r w:rsidRPr="006551E0">
        <w:t xml:space="preserve"> Cairo: The International Institute of Islamic Thoughts [</w:t>
      </w:r>
      <w:r>
        <w:t>in</w:t>
      </w:r>
      <w:r w:rsidRPr="006551E0">
        <w:t xml:space="preserve"> Arabic]</w:t>
      </w:r>
      <w:r>
        <w:t>.</w:t>
      </w:r>
      <w:r w:rsidRPr="006551E0">
        <w:t xml:space="preserve"> </w:t>
      </w:r>
    </w:p>
    <w:p w:rsidR="00631CC8" w:rsidRPr="00412280" w:rsidRDefault="00631CC8" w:rsidP="00402FFB">
      <w:pPr>
        <w:pStyle w:val="Reference"/>
      </w:pPr>
      <w:proofErr w:type="spellStart"/>
      <w:r>
        <w:t>Hijazi</w:t>
      </w:r>
      <w:proofErr w:type="spellEnd"/>
      <w:r>
        <w:t xml:space="preserve">, S. (2009), “Islamic finance: from east to west”, </w:t>
      </w:r>
      <w:r>
        <w:rPr>
          <w:i/>
          <w:iCs/>
        </w:rPr>
        <w:t>KPMG State of the Investment Management Industry in Europe</w:t>
      </w:r>
      <w:r>
        <w:t xml:space="preserve"> (December), pp. 13-15.</w:t>
      </w:r>
    </w:p>
    <w:p w:rsidR="00631CC8" w:rsidRPr="00205C7E" w:rsidRDefault="00631CC8" w:rsidP="00402FFB">
      <w:pPr>
        <w:pStyle w:val="Reference"/>
      </w:pPr>
      <w:proofErr w:type="spellStart"/>
      <w:r>
        <w:t>Hofstede</w:t>
      </w:r>
      <w:proofErr w:type="spellEnd"/>
      <w:r>
        <w:t xml:space="preserve">, G. (1980), </w:t>
      </w:r>
      <w:r>
        <w:rPr>
          <w:i/>
          <w:iCs/>
        </w:rPr>
        <w:t>Culture’s Consequences</w:t>
      </w:r>
      <w:r>
        <w:t>, London: Sage.</w:t>
      </w:r>
    </w:p>
    <w:p w:rsidR="00631CC8" w:rsidRDefault="00631CC8" w:rsidP="00402FFB">
      <w:pPr>
        <w:pStyle w:val="Reference"/>
      </w:pPr>
      <w:r w:rsidRPr="006551E0">
        <w:t>Institute of Islamic Banking and Insurance (2000)</w:t>
      </w:r>
      <w:r>
        <w:t>,</w:t>
      </w:r>
      <w:r w:rsidRPr="006551E0">
        <w:t xml:space="preserve"> </w:t>
      </w:r>
      <w:r w:rsidRPr="006551E0">
        <w:rPr>
          <w:i/>
          <w:iCs/>
        </w:rPr>
        <w:t>International Directory of Islamic Banks and Institutions</w:t>
      </w:r>
      <w:r>
        <w:t xml:space="preserve">, </w:t>
      </w:r>
      <w:r w:rsidRPr="006551E0">
        <w:t>London: IIBI.</w:t>
      </w:r>
    </w:p>
    <w:p w:rsidR="00631CC8" w:rsidRDefault="00631CC8" w:rsidP="00402FFB">
      <w:pPr>
        <w:pStyle w:val="Reference"/>
      </w:pPr>
      <w:proofErr w:type="spellStart"/>
      <w:r w:rsidRPr="006551E0">
        <w:t>Janahi</w:t>
      </w:r>
      <w:proofErr w:type="spellEnd"/>
      <w:r w:rsidRPr="006551E0">
        <w:t>, K. (1994)</w:t>
      </w:r>
      <w:r>
        <w:t>,</w:t>
      </w:r>
      <w:r w:rsidRPr="006551E0">
        <w:t xml:space="preserve"> </w:t>
      </w:r>
      <w:r>
        <w:t>“</w:t>
      </w:r>
      <w:r w:rsidRPr="006551E0">
        <w:t xml:space="preserve">Auditing of Islamic </w:t>
      </w:r>
      <w:r>
        <w:t>b</w:t>
      </w:r>
      <w:r w:rsidRPr="006551E0">
        <w:t>anks</w:t>
      </w:r>
      <w:r>
        <w:t>:</w:t>
      </w:r>
      <w:r w:rsidRPr="006551E0">
        <w:t xml:space="preserve"> </w:t>
      </w:r>
      <w:r>
        <w:t>a</w:t>
      </w:r>
      <w:r w:rsidRPr="006551E0">
        <w:t xml:space="preserve"> </w:t>
      </w:r>
      <w:r>
        <w:t>p</w:t>
      </w:r>
      <w:r w:rsidRPr="006551E0">
        <w:t>ractitioner’s perspective</w:t>
      </w:r>
      <w:r>
        <w:t>”, p</w:t>
      </w:r>
      <w:r w:rsidRPr="009C7461">
        <w:rPr>
          <w:iCs/>
        </w:rPr>
        <w:t>aper presented at</w:t>
      </w:r>
      <w:r>
        <w:rPr>
          <w:iCs/>
        </w:rPr>
        <w:t xml:space="preserve"> the International Conference on</w:t>
      </w:r>
      <w:r w:rsidRPr="009C7461">
        <w:rPr>
          <w:iCs/>
        </w:rPr>
        <w:t xml:space="preserve"> Developing Accounting Standards for Islamic Banks</w:t>
      </w:r>
      <w:r w:rsidRPr="006551E0">
        <w:t>, London.</w:t>
      </w:r>
    </w:p>
    <w:p w:rsidR="00631CC8" w:rsidRPr="009C7461" w:rsidRDefault="00631CC8" w:rsidP="00402FFB">
      <w:pPr>
        <w:pStyle w:val="Reference"/>
        <w:rPr>
          <w:iCs/>
        </w:rPr>
      </w:pPr>
      <w:proofErr w:type="spellStart"/>
      <w:proofErr w:type="gramStart"/>
      <w:r w:rsidRPr="006551E0">
        <w:t>Karim</w:t>
      </w:r>
      <w:proofErr w:type="spellEnd"/>
      <w:r w:rsidRPr="006551E0">
        <w:t>, R.</w:t>
      </w:r>
      <w:r>
        <w:t xml:space="preserve"> </w:t>
      </w:r>
      <w:r w:rsidRPr="006551E0">
        <w:t>(2001)</w:t>
      </w:r>
      <w:r>
        <w:t>, “</w:t>
      </w:r>
      <w:r w:rsidRPr="006551E0">
        <w:t xml:space="preserve">International </w:t>
      </w:r>
      <w:r>
        <w:t>a</w:t>
      </w:r>
      <w:r w:rsidRPr="006551E0">
        <w:t xml:space="preserve">ccounting </w:t>
      </w:r>
      <w:r>
        <w:t>h</w:t>
      </w:r>
      <w:r w:rsidRPr="006551E0">
        <w:t xml:space="preserve">armonization, </w:t>
      </w:r>
      <w:r>
        <w:t>b</w:t>
      </w:r>
      <w:r w:rsidRPr="006551E0">
        <w:t xml:space="preserve">anking </w:t>
      </w:r>
      <w:r>
        <w:t>r</w:t>
      </w:r>
      <w:r w:rsidRPr="006551E0">
        <w:t xml:space="preserve">egulation, and Islamic </w:t>
      </w:r>
      <w:r>
        <w:t>b</w:t>
      </w:r>
      <w:r w:rsidRPr="006551E0">
        <w:t>anks</w:t>
      </w:r>
      <w:r>
        <w:t xml:space="preserve">”, </w:t>
      </w:r>
      <w:r w:rsidRPr="006551E0">
        <w:rPr>
          <w:i/>
          <w:iCs/>
        </w:rPr>
        <w:t>The International Journal of Accounting</w:t>
      </w:r>
      <w:r>
        <w:rPr>
          <w:iCs/>
        </w:rPr>
        <w:t xml:space="preserve">, </w:t>
      </w:r>
      <w:r w:rsidRPr="009C7461">
        <w:t>Vol</w:t>
      </w:r>
      <w:r w:rsidRPr="006551E0">
        <w:t>. 36</w:t>
      </w:r>
      <w:r>
        <w:rPr>
          <w:iCs/>
        </w:rPr>
        <w:t>,</w:t>
      </w:r>
      <w:r>
        <w:rPr>
          <w:i/>
          <w:iCs/>
        </w:rPr>
        <w:t xml:space="preserve"> </w:t>
      </w:r>
      <w:r w:rsidRPr="00425C78">
        <w:rPr>
          <w:iCs/>
        </w:rPr>
        <w:t>No.</w:t>
      </w:r>
      <w:r>
        <w:rPr>
          <w:iCs/>
        </w:rPr>
        <w:t> </w:t>
      </w:r>
      <w:r w:rsidRPr="00425C78">
        <w:rPr>
          <w:iCs/>
        </w:rPr>
        <w:t>2,</w:t>
      </w:r>
      <w:r>
        <w:rPr>
          <w:iCs/>
        </w:rPr>
        <w:t xml:space="preserve"> </w:t>
      </w:r>
      <w:r w:rsidRPr="006551E0">
        <w:t>pp. 169-93</w:t>
      </w:r>
      <w:r>
        <w:t>.</w:t>
      </w:r>
      <w:proofErr w:type="gramEnd"/>
    </w:p>
    <w:p w:rsidR="00631CC8" w:rsidRPr="006551E0" w:rsidRDefault="00631CC8" w:rsidP="00402FFB">
      <w:pPr>
        <w:pStyle w:val="Reference"/>
      </w:pPr>
      <w:r w:rsidRPr="006551E0">
        <w:t>Khan, M. (1994)</w:t>
      </w:r>
      <w:r>
        <w:t>, “A</w:t>
      </w:r>
      <w:r w:rsidRPr="006551E0">
        <w:t xml:space="preserve">ccounting </w:t>
      </w:r>
      <w:r>
        <w:t>i</w:t>
      </w:r>
      <w:r w:rsidRPr="006551E0">
        <w:t xml:space="preserve">ssues and </w:t>
      </w:r>
      <w:r>
        <w:t>c</w:t>
      </w:r>
      <w:r w:rsidRPr="006551E0">
        <w:t xml:space="preserve">oncepts for Islamic </w:t>
      </w:r>
      <w:r>
        <w:t>b</w:t>
      </w:r>
      <w:r w:rsidRPr="006551E0">
        <w:t>anking</w:t>
      </w:r>
      <w:r>
        <w:t>”, p</w:t>
      </w:r>
      <w:r w:rsidRPr="00425C78">
        <w:rPr>
          <w:iCs/>
        </w:rPr>
        <w:t>aper presented at</w:t>
      </w:r>
      <w:r>
        <w:rPr>
          <w:iCs/>
        </w:rPr>
        <w:t xml:space="preserve"> the International Conference on</w:t>
      </w:r>
      <w:r w:rsidRPr="00425C78">
        <w:rPr>
          <w:iCs/>
        </w:rPr>
        <w:t xml:space="preserve"> Developing Accounting Standards for Islamic Banks</w:t>
      </w:r>
      <w:r w:rsidRPr="006551E0">
        <w:t>, London</w:t>
      </w:r>
      <w:r>
        <w:t>.</w:t>
      </w:r>
    </w:p>
    <w:p w:rsidR="00631CC8" w:rsidRDefault="00631CC8" w:rsidP="007106AA">
      <w:pPr>
        <w:pStyle w:val="Reference"/>
      </w:pPr>
      <w:proofErr w:type="gramStart"/>
      <w:r>
        <w:t>M</w:t>
      </w:r>
      <w:r w:rsidRPr="006551E0">
        <w:t xml:space="preserve">aali, B., </w:t>
      </w:r>
      <w:proofErr w:type="spellStart"/>
      <w:r w:rsidRPr="006551E0">
        <w:t>Casson</w:t>
      </w:r>
      <w:proofErr w:type="spellEnd"/>
      <w:r w:rsidRPr="006551E0">
        <w:t>, P. and Napier, C. (200</w:t>
      </w:r>
      <w:r>
        <w:t>6</w:t>
      </w:r>
      <w:r w:rsidRPr="006551E0">
        <w:t>)</w:t>
      </w:r>
      <w:r>
        <w:t>,</w:t>
      </w:r>
      <w:r w:rsidRPr="006551E0">
        <w:t xml:space="preserve"> </w:t>
      </w:r>
      <w:r>
        <w:t>“</w:t>
      </w:r>
      <w:r w:rsidRPr="006551E0">
        <w:t xml:space="preserve">Social </w:t>
      </w:r>
      <w:r>
        <w:t>r</w:t>
      </w:r>
      <w:r w:rsidRPr="006551E0">
        <w:t xml:space="preserve">eporting </w:t>
      </w:r>
      <w:r>
        <w:t>b</w:t>
      </w:r>
      <w:r w:rsidRPr="006551E0">
        <w:t xml:space="preserve">y Islamic </w:t>
      </w:r>
      <w:r>
        <w:t>b</w:t>
      </w:r>
      <w:r w:rsidRPr="006551E0">
        <w:t>anks</w:t>
      </w:r>
      <w:r>
        <w:t xml:space="preserve">”, </w:t>
      </w:r>
      <w:r>
        <w:rPr>
          <w:i/>
        </w:rPr>
        <w:t>ABACUS</w:t>
      </w:r>
      <w:r>
        <w:t>, Vol. 42, No. 2, pp. 266-89.</w:t>
      </w:r>
      <w:proofErr w:type="gramEnd"/>
    </w:p>
    <w:p w:rsidR="00631CC8" w:rsidRDefault="00631CC8" w:rsidP="00402FFB">
      <w:pPr>
        <w:pStyle w:val="Reference"/>
        <w:rPr>
          <w:snapToGrid w:val="0"/>
        </w:rPr>
      </w:pPr>
      <w:proofErr w:type="spellStart"/>
      <w:r w:rsidRPr="006551E0">
        <w:rPr>
          <w:snapToGrid w:val="0"/>
        </w:rPr>
        <w:lastRenderedPageBreak/>
        <w:t>Malley</w:t>
      </w:r>
      <w:proofErr w:type="spellEnd"/>
      <w:r w:rsidRPr="006551E0">
        <w:rPr>
          <w:snapToGrid w:val="0"/>
        </w:rPr>
        <w:t>, M. (2001)</w:t>
      </w:r>
      <w:r>
        <w:rPr>
          <w:snapToGrid w:val="0"/>
        </w:rPr>
        <w:t>,</w:t>
      </w:r>
      <w:r w:rsidRPr="006551E0">
        <w:rPr>
          <w:snapToGrid w:val="0"/>
        </w:rPr>
        <w:t xml:space="preserve"> </w:t>
      </w:r>
      <w:r>
        <w:rPr>
          <w:snapToGrid w:val="0"/>
        </w:rPr>
        <w:t>“</w:t>
      </w:r>
      <w:r w:rsidRPr="006551E0">
        <w:rPr>
          <w:snapToGrid w:val="0"/>
        </w:rPr>
        <w:t xml:space="preserve">The </w:t>
      </w:r>
      <w:r>
        <w:rPr>
          <w:snapToGrid w:val="0"/>
        </w:rPr>
        <w:t>p</w:t>
      </w:r>
      <w:r w:rsidRPr="006551E0">
        <w:rPr>
          <w:snapToGrid w:val="0"/>
        </w:rPr>
        <w:t xml:space="preserve">olitical </w:t>
      </w:r>
      <w:r>
        <w:rPr>
          <w:snapToGrid w:val="0"/>
        </w:rPr>
        <w:t>i</w:t>
      </w:r>
      <w:r w:rsidRPr="006551E0">
        <w:rPr>
          <w:snapToGrid w:val="0"/>
        </w:rPr>
        <w:t xml:space="preserve">mplications of Islamic </w:t>
      </w:r>
      <w:r>
        <w:rPr>
          <w:snapToGrid w:val="0"/>
        </w:rPr>
        <w:t>f</w:t>
      </w:r>
      <w:r w:rsidRPr="006551E0">
        <w:rPr>
          <w:snapToGrid w:val="0"/>
        </w:rPr>
        <w:t>inance in Jordan</w:t>
      </w:r>
      <w:r>
        <w:rPr>
          <w:snapToGrid w:val="0"/>
        </w:rPr>
        <w:t>”, p</w:t>
      </w:r>
      <w:r w:rsidRPr="00425C78">
        <w:rPr>
          <w:iCs/>
          <w:snapToGrid w:val="0"/>
        </w:rPr>
        <w:t>aper presented at the Annual Meeting of the Middle East Studies Association</w:t>
      </w:r>
      <w:r w:rsidRPr="006551E0">
        <w:rPr>
          <w:snapToGrid w:val="0"/>
        </w:rPr>
        <w:t>, San Francisco.</w:t>
      </w:r>
    </w:p>
    <w:p w:rsidR="00631CC8" w:rsidRDefault="00631CC8" w:rsidP="00F20D0B">
      <w:pPr>
        <w:pStyle w:val="Reference"/>
        <w:rPr>
          <w:snapToGrid w:val="0"/>
        </w:rPr>
      </w:pPr>
      <w:proofErr w:type="spellStart"/>
      <w:r>
        <w:rPr>
          <w:snapToGrid w:val="0"/>
        </w:rPr>
        <w:t>Malley</w:t>
      </w:r>
      <w:proofErr w:type="spellEnd"/>
      <w:r>
        <w:rPr>
          <w:snapToGrid w:val="0"/>
        </w:rPr>
        <w:t>, M. (2004), “Jordan: a case study of the relationship between Islamic finance and Islamist politics”, in Henry, C. M. and Wilson, R. (</w:t>
      </w:r>
      <w:proofErr w:type="spellStart"/>
      <w:proofErr w:type="gramStart"/>
      <w:r>
        <w:rPr>
          <w:snapToGrid w:val="0"/>
        </w:rPr>
        <w:t>eds</w:t>
      </w:r>
      <w:proofErr w:type="spellEnd"/>
      <w:proofErr w:type="gramEnd"/>
      <w:r>
        <w:rPr>
          <w:snapToGrid w:val="0"/>
        </w:rPr>
        <w:t xml:space="preserve">) </w:t>
      </w:r>
      <w:r>
        <w:rPr>
          <w:i/>
          <w:snapToGrid w:val="0"/>
        </w:rPr>
        <w:t>The Politics of Islamic Finance</w:t>
      </w:r>
      <w:r>
        <w:rPr>
          <w:snapToGrid w:val="0"/>
        </w:rPr>
        <w:t>, Edinburgh: Edinburgh University Press, pp. 191-215.</w:t>
      </w:r>
    </w:p>
    <w:p w:rsidR="00631CC8" w:rsidRDefault="00631CC8" w:rsidP="00402FFB">
      <w:pPr>
        <w:pStyle w:val="Reference"/>
        <w:rPr>
          <w:snapToGrid w:val="0"/>
        </w:rPr>
      </w:pPr>
      <w:r>
        <w:rPr>
          <w:snapToGrid w:val="0"/>
        </w:rPr>
        <w:t xml:space="preserve">Martin, J. (2002), </w:t>
      </w:r>
      <w:r>
        <w:rPr>
          <w:i/>
          <w:iCs/>
          <w:snapToGrid w:val="0"/>
        </w:rPr>
        <w:t>Organizational Culture: Mapping the Terrain</w:t>
      </w:r>
      <w:r>
        <w:rPr>
          <w:snapToGrid w:val="0"/>
        </w:rPr>
        <w:t xml:space="preserve">, Thousand Oaks: Sage. </w:t>
      </w:r>
    </w:p>
    <w:p w:rsidR="00631CC8" w:rsidRPr="00205C7E" w:rsidRDefault="00631CC8" w:rsidP="00205C7E">
      <w:pPr>
        <w:pStyle w:val="Reference"/>
        <w:rPr>
          <w:snapToGrid w:val="0"/>
        </w:rPr>
      </w:pPr>
      <w:r>
        <w:rPr>
          <w:snapToGrid w:val="0"/>
        </w:rPr>
        <w:t>McSweeney, B. (2002), “</w:t>
      </w:r>
      <w:proofErr w:type="spellStart"/>
      <w:r>
        <w:t>Hofstede’s</w:t>
      </w:r>
      <w:proofErr w:type="spellEnd"/>
      <w:r>
        <w:t xml:space="preserve"> model of national cultural differences and their consequences: a triumph of f</w:t>
      </w:r>
      <w:r w:rsidRPr="00205C7E">
        <w:t xml:space="preserve">aith </w:t>
      </w:r>
      <w:r>
        <w:t>– a failure of a</w:t>
      </w:r>
      <w:r w:rsidRPr="00205C7E">
        <w:t>nalysis</w:t>
      </w:r>
      <w:r>
        <w:t xml:space="preserve">”, </w:t>
      </w:r>
      <w:r>
        <w:rPr>
          <w:i/>
          <w:iCs/>
        </w:rPr>
        <w:t>Human Relations</w:t>
      </w:r>
      <w:r>
        <w:t>, Vol. 55, No. 1, pp. 89-118.</w:t>
      </w:r>
    </w:p>
    <w:p w:rsidR="00631CC8" w:rsidRDefault="00631CC8" w:rsidP="00402FFB">
      <w:pPr>
        <w:pStyle w:val="Reference"/>
      </w:pPr>
      <w:proofErr w:type="spellStart"/>
      <w:r w:rsidRPr="006551E0">
        <w:rPr>
          <w:lang w:val="en-US"/>
        </w:rPr>
        <w:t>Mullhem</w:t>
      </w:r>
      <w:proofErr w:type="spellEnd"/>
      <w:r w:rsidRPr="006551E0">
        <w:rPr>
          <w:lang w:val="en-US"/>
        </w:rPr>
        <w:t>, A. (1989)</w:t>
      </w:r>
      <w:r>
        <w:rPr>
          <w:lang w:val="en-US"/>
        </w:rPr>
        <w:t>,</w:t>
      </w:r>
      <w:r w:rsidRPr="006551E0">
        <w:rPr>
          <w:lang w:val="en-US"/>
        </w:rPr>
        <w:t xml:space="preserve"> </w:t>
      </w:r>
      <w:proofErr w:type="spellStart"/>
      <w:r w:rsidRPr="006551E0">
        <w:rPr>
          <w:i/>
          <w:lang w:val="en-US"/>
        </w:rPr>
        <w:t>Murabaha</w:t>
      </w:r>
      <w:proofErr w:type="spellEnd"/>
      <w:r w:rsidRPr="006551E0">
        <w:rPr>
          <w:i/>
          <w:lang w:val="en-US"/>
        </w:rPr>
        <w:t xml:space="preserve"> Sale and its </w:t>
      </w:r>
      <w:r>
        <w:rPr>
          <w:i/>
          <w:lang w:val="en-US"/>
        </w:rPr>
        <w:t>A</w:t>
      </w:r>
      <w:r w:rsidRPr="006551E0">
        <w:rPr>
          <w:i/>
          <w:lang w:val="en-US"/>
        </w:rPr>
        <w:t>pplications in Islamic Banks</w:t>
      </w:r>
      <w:r>
        <w:rPr>
          <w:lang w:val="en-US"/>
        </w:rPr>
        <w:t>,</w:t>
      </w:r>
      <w:r w:rsidRPr="006551E0">
        <w:rPr>
          <w:lang w:val="en-US"/>
        </w:rPr>
        <w:t xml:space="preserve"> Amman</w:t>
      </w:r>
      <w:r>
        <w:rPr>
          <w:lang w:val="en-US"/>
        </w:rPr>
        <w:t>:</w:t>
      </w:r>
      <w:r w:rsidRPr="006551E0">
        <w:rPr>
          <w:lang w:val="en-US"/>
        </w:rPr>
        <w:t xml:space="preserve"> </w:t>
      </w:r>
      <w:r>
        <w:rPr>
          <w:lang w:val="en-US"/>
        </w:rPr>
        <w:t>Al-</w:t>
      </w:r>
      <w:proofErr w:type="spellStart"/>
      <w:r>
        <w:rPr>
          <w:lang w:val="en-US"/>
        </w:rPr>
        <w:t>Risalah</w:t>
      </w:r>
      <w:proofErr w:type="spellEnd"/>
      <w:r>
        <w:rPr>
          <w:lang w:val="en-US"/>
        </w:rPr>
        <w:t xml:space="preserve"> Al-</w:t>
      </w:r>
      <w:proofErr w:type="spellStart"/>
      <w:r>
        <w:rPr>
          <w:lang w:val="en-US"/>
        </w:rPr>
        <w:t>Haditha</w:t>
      </w:r>
      <w:proofErr w:type="spellEnd"/>
      <w:r w:rsidRPr="006551E0">
        <w:rPr>
          <w:lang w:val="en-US"/>
        </w:rPr>
        <w:t xml:space="preserve"> </w:t>
      </w:r>
      <w:r w:rsidRPr="006551E0">
        <w:t>[</w:t>
      </w:r>
      <w:r>
        <w:t xml:space="preserve">in </w:t>
      </w:r>
      <w:r w:rsidRPr="006551E0">
        <w:t>Arabic]</w:t>
      </w:r>
      <w:r>
        <w:t>.</w:t>
      </w:r>
    </w:p>
    <w:p w:rsidR="00631CC8" w:rsidRPr="00CF2155" w:rsidRDefault="00631CC8" w:rsidP="00402FFB">
      <w:pPr>
        <w:pStyle w:val="Reference"/>
      </w:pPr>
      <w:r>
        <w:t xml:space="preserve">Ruthven, M. (1997), </w:t>
      </w:r>
      <w:r>
        <w:rPr>
          <w:i/>
        </w:rPr>
        <w:t>Islam: A Very Short Introduction</w:t>
      </w:r>
      <w:r>
        <w:t>, Oxford: Oxford University Press.</w:t>
      </w:r>
    </w:p>
    <w:p w:rsidR="00631CC8" w:rsidRDefault="00631CC8" w:rsidP="00402FFB">
      <w:pPr>
        <w:pStyle w:val="Reference"/>
      </w:pPr>
      <w:proofErr w:type="spellStart"/>
      <w:r w:rsidRPr="006551E0">
        <w:t>Saleh</w:t>
      </w:r>
      <w:proofErr w:type="spellEnd"/>
      <w:r w:rsidRPr="006551E0">
        <w:t>, N. (1986)</w:t>
      </w:r>
      <w:r>
        <w:t>,</w:t>
      </w:r>
      <w:r w:rsidRPr="006551E0">
        <w:t xml:space="preserve"> </w:t>
      </w:r>
      <w:r w:rsidRPr="006551E0">
        <w:rPr>
          <w:i/>
          <w:iCs/>
        </w:rPr>
        <w:t>Unlawful Gain and Legitimate Profit in Islamic Law</w:t>
      </w:r>
      <w:r>
        <w:rPr>
          <w:iCs/>
        </w:rPr>
        <w:t xml:space="preserve">, </w:t>
      </w:r>
      <w:r w:rsidRPr="006551E0">
        <w:t>Cambridge</w:t>
      </w:r>
      <w:r>
        <w:t>: Cambridge University Press</w:t>
      </w:r>
      <w:r w:rsidRPr="006551E0">
        <w:t>.</w:t>
      </w:r>
    </w:p>
    <w:p w:rsidR="00631CC8" w:rsidRPr="005F1FF4" w:rsidRDefault="00631CC8" w:rsidP="00402FFB">
      <w:pPr>
        <w:pStyle w:val="Reference"/>
      </w:pPr>
      <w:r>
        <w:t xml:space="preserve">Schein, E. H. (2004), </w:t>
      </w:r>
      <w:r>
        <w:rPr>
          <w:i/>
          <w:iCs/>
        </w:rPr>
        <w:t>Organizational Culture and Leadership</w:t>
      </w:r>
      <w:r>
        <w:t xml:space="preserve">, San Francisco: </w:t>
      </w:r>
      <w:proofErr w:type="spellStart"/>
      <w:r>
        <w:t>Jossey</w:t>
      </w:r>
      <w:proofErr w:type="spellEnd"/>
      <w:r>
        <w:t xml:space="preserve"> Bass.</w:t>
      </w:r>
    </w:p>
    <w:p w:rsidR="00631CC8" w:rsidRPr="00392053" w:rsidRDefault="00631CC8" w:rsidP="00402FFB">
      <w:pPr>
        <w:pStyle w:val="Reference"/>
      </w:pPr>
      <w:proofErr w:type="spellStart"/>
      <w:proofErr w:type="gramStart"/>
      <w:r>
        <w:t>Shallah</w:t>
      </w:r>
      <w:proofErr w:type="spellEnd"/>
      <w:r>
        <w:t xml:space="preserve">, R. (1989), </w:t>
      </w:r>
      <w:r>
        <w:rPr>
          <w:i/>
        </w:rPr>
        <w:t>Islamic Banking in an Interest-Based Economy: A Case Study of Jordan</w:t>
      </w:r>
      <w:r>
        <w:t>, unpublished PhD thesis, University of Durham.</w:t>
      </w:r>
      <w:proofErr w:type="gramEnd"/>
    </w:p>
    <w:p w:rsidR="00631CC8" w:rsidRDefault="00631CC8" w:rsidP="00402FFB">
      <w:pPr>
        <w:pStyle w:val="Reference"/>
      </w:pPr>
      <w:proofErr w:type="spellStart"/>
      <w:r w:rsidRPr="006551E0">
        <w:t>Siddiqi</w:t>
      </w:r>
      <w:proofErr w:type="spellEnd"/>
      <w:r w:rsidRPr="006551E0">
        <w:t>, M. (1976)</w:t>
      </w:r>
      <w:r>
        <w:t>,</w:t>
      </w:r>
      <w:r w:rsidRPr="006551E0">
        <w:t xml:space="preserve"> </w:t>
      </w:r>
      <w:r>
        <w:t>“</w:t>
      </w:r>
      <w:r w:rsidRPr="006551E0">
        <w:rPr>
          <w:iCs/>
        </w:rPr>
        <w:t xml:space="preserve">Muslim </w:t>
      </w:r>
      <w:r>
        <w:rPr>
          <w:iCs/>
        </w:rPr>
        <w:t>e</w:t>
      </w:r>
      <w:r w:rsidRPr="006551E0">
        <w:rPr>
          <w:iCs/>
        </w:rPr>
        <w:t xml:space="preserve">conomic </w:t>
      </w:r>
      <w:r>
        <w:rPr>
          <w:iCs/>
        </w:rPr>
        <w:t>t</w:t>
      </w:r>
      <w:r w:rsidRPr="006551E0">
        <w:rPr>
          <w:iCs/>
        </w:rPr>
        <w:t xml:space="preserve">hinking: </w:t>
      </w:r>
      <w:r>
        <w:rPr>
          <w:iCs/>
        </w:rPr>
        <w:t>a</w:t>
      </w:r>
      <w:r w:rsidRPr="006551E0">
        <w:rPr>
          <w:iCs/>
        </w:rPr>
        <w:t xml:space="preserve"> </w:t>
      </w:r>
      <w:r>
        <w:rPr>
          <w:iCs/>
        </w:rPr>
        <w:t>s</w:t>
      </w:r>
      <w:r w:rsidRPr="006551E0">
        <w:rPr>
          <w:iCs/>
        </w:rPr>
        <w:t xml:space="preserve">urvey of </w:t>
      </w:r>
      <w:r>
        <w:rPr>
          <w:iCs/>
        </w:rPr>
        <w:t>c</w:t>
      </w:r>
      <w:r w:rsidRPr="006551E0">
        <w:rPr>
          <w:iCs/>
        </w:rPr>
        <w:t xml:space="preserve">ontemporary </w:t>
      </w:r>
      <w:r>
        <w:rPr>
          <w:iCs/>
        </w:rPr>
        <w:t>l</w:t>
      </w:r>
      <w:r w:rsidRPr="006551E0">
        <w:rPr>
          <w:iCs/>
        </w:rPr>
        <w:t>it</w:t>
      </w:r>
      <w:r>
        <w:rPr>
          <w:iCs/>
        </w:rPr>
        <w:t>e</w:t>
      </w:r>
      <w:r w:rsidRPr="006551E0">
        <w:rPr>
          <w:iCs/>
        </w:rPr>
        <w:t>r</w:t>
      </w:r>
      <w:r>
        <w:rPr>
          <w:iCs/>
        </w:rPr>
        <w:t>a</w:t>
      </w:r>
      <w:r w:rsidRPr="006551E0">
        <w:rPr>
          <w:iCs/>
        </w:rPr>
        <w:t>ture</w:t>
      </w:r>
      <w:r>
        <w:t>”, p</w:t>
      </w:r>
      <w:r w:rsidRPr="003F6763">
        <w:t xml:space="preserve">aper presented </w:t>
      </w:r>
      <w:r>
        <w:t>at</w:t>
      </w:r>
      <w:r w:rsidRPr="003F6763">
        <w:t xml:space="preserve"> the </w:t>
      </w:r>
      <w:r>
        <w:t>F</w:t>
      </w:r>
      <w:r w:rsidRPr="003F6763">
        <w:t xml:space="preserve">irst </w:t>
      </w:r>
      <w:r>
        <w:t>I</w:t>
      </w:r>
      <w:r w:rsidRPr="003F6763">
        <w:t xml:space="preserve">nternational </w:t>
      </w:r>
      <w:r>
        <w:t>C</w:t>
      </w:r>
      <w:r w:rsidRPr="003F6763">
        <w:t xml:space="preserve">onference on Islamic </w:t>
      </w:r>
      <w:r>
        <w:t>E</w:t>
      </w:r>
      <w:r w:rsidRPr="003F6763">
        <w:t>conomics</w:t>
      </w:r>
      <w:r w:rsidRPr="006551E0">
        <w:t xml:space="preserve">, </w:t>
      </w:r>
      <w:proofErr w:type="spellStart"/>
      <w:r w:rsidRPr="006551E0">
        <w:t>Makka</w:t>
      </w:r>
      <w:r>
        <w:t>h</w:t>
      </w:r>
      <w:proofErr w:type="spellEnd"/>
      <w:r w:rsidRPr="006551E0">
        <w:t>.</w:t>
      </w:r>
    </w:p>
    <w:p w:rsidR="00631CC8" w:rsidRDefault="00631CC8" w:rsidP="00402FFB">
      <w:pPr>
        <w:pStyle w:val="Reference"/>
      </w:pPr>
      <w:proofErr w:type="spellStart"/>
      <w:proofErr w:type="gramStart"/>
      <w:r w:rsidRPr="006551E0">
        <w:t>Siddiqi</w:t>
      </w:r>
      <w:proofErr w:type="spellEnd"/>
      <w:r w:rsidRPr="006551E0">
        <w:t>, M. (1983)</w:t>
      </w:r>
      <w:r>
        <w:t>,</w:t>
      </w:r>
      <w:r w:rsidRPr="006551E0">
        <w:t xml:space="preserve"> </w:t>
      </w:r>
      <w:r w:rsidRPr="006551E0">
        <w:rPr>
          <w:i/>
          <w:iCs/>
        </w:rPr>
        <w:t>Issues in Islamic Banking</w:t>
      </w:r>
      <w:r>
        <w:t>,</w:t>
      </w:r>
      <w:r w:rsidRPr="006551E0">
        <w:t xml:space="preserve"> Leicester: The Islamic Foundation.</w:t>
      </w:r>
      <w:proofErr w:type="gramEnd"/>
    </w:p>
    <w:p w:rsidR="00631CC8" w:rsidRPr="005F124C" w:rsidRDefault="00631CC8" w:rsidP="00402FFB">
      <w:pPr>
        <w:pStyle w:val="Reference"/>
      </w:pPr>
      <w:proofErr w:type="spellStart"/>
      <w:r>
        <w:t>Warde</w:t>
      </w:r>
      <w:proofErr w:type="spellEnd"/>
      <w:r>
        <w:t xml:space="preserve">, I. (2000), </w:t>
      </w:r>
      <w:r>
        <w:rPr>
          <w:i/>
        </w:rPr>
        <w:t>Islamic Finance in the Global Economy</w:t>
      </w:r>
      <w:r>
        <w:t>, Edinburgh: Edinburgh University Press.</w:t>
      </w:r>
    </w:p>
    <w:p w:rsidR="00631CC8" w:rsidRDefault="00631CC8" w:rsidP="00402FFB">
      <w:pPr>
        <w:pStyle w:val="Reference"/>
      </w:pPr>
      <w:proofErr w:type="gramStart"/>
      <w:r w:rsidRPr="006551E0">
        <w:t>Wilson, R. (1995)</w:t>
      </w:r>
      <w:r>
        <w:t>, “</w:t>
      </w:r>
      <w:r w:rsidRPr="006551E0">
        <w:t xml:space="preserve">Islamic </w:t>
      </w:r>
      <w:r>
        <w:t>b</w:t>
      </w:r>
      <w:r w:rsidRPr="006551E0">
        <w:t xml:space="preserve">anking and </w:t>
      </w:r>
      <w:r>
        <w:t>its i</w:t>
      </w:r>
      <w:r w:rsidRPr="006551E0">
        <w:t xml:space="preserve">mpact on the </w:t>
      </w:r>
      <w:r>
        <w:t>i</w:t>
      </w:r>
      <w:r w:rsidRPr="006551E0">
        <w:t xml:space="preserve">nternational </w:t>
      </w:r>
      <w:r>
        <w:t>f</w:t>
      </w:r>
      <w:r w:rsidRPr="006551E0">
        <w:t xml:space="preserve">inancial </w:t>
      </w:r>
      <w:r>
        <w:t>s</w:t>
      </w:r>
      <w:r w:rsidRPr="006551E0">
        <w:t>cene</w:t>
      </w:r>
      <w:r>
        <w:t>”</w:t>
      </w:r>
      <w:r w:rsidRPr="006551E0">
        <w:t xml:space="preserve">, </w:t>
      </w:r>
      <w:r w:rsidRPr="006551E0">
        <w:rPr>
          <w:i/>
          <w:iCs/>
        </w:rPr>
        <w:t>Journal of International Banking Law</w:t>
      </w:r>
      <w:r w:rsidRPr="006551E0">
        <w:t xml:space="preserve">, </w:t>
      </w:r>
      <w:r>
        <w:t xml:space="preserve">Vol. </w:t>
      </w:r>
      <w:r w:rsidRPr="006551E0">
        <w:t>10</w:t>
      </w:r>
      <w:r>
        <w:t xml:space="preserve">, No. </w:t>
      </w:r>
      <w:r w:rsidRPr="006551E0">
        <w:t>10, pp.</w:t>
      </w:r>
      <w:r>
        <w:t xml:space="preserve"> </w:t>
      </w:r>
      <w:r w:rsidRPr="006551E0">
        <w:t>437-45.</w:t>
      </w:r>
      <w:proofErr w:type="gramEnd"/>
    </w:p>
    <w:p w:rsidR="00631CC8" w:rsidRDefault="00631CC8" w:rsidP="00F20D0B">
      <w:pPr>
        <w:pStyle w:val="Reference"/>
        <w:rPr>
          <w:snapToGrid w:val="0"/>
        </w:rPr>
      </w:pPr>
      <w:proofErr w:type="spellStart"/>
      <w:r>
        <w:t>Yousef</w:t>
      </w:r>
      <w:proofErr w:type="spellEnd"/>
      <w:r>
        <w:t xml:space="preserve">, T. M. (2004), “The </w:t>
      </w:r>
      <w:proofErr w:type="spellStart"/>
      <w:r>
        <w:rPr>
          <w:i/>
        </w:rPr>
        <w:t>murahaba</w:t>
      </w:r>
      <w:proofErr w:type="spellEnd"/>
      <w:r>
        <w:t xml:space="preserve"> syndrome in Islamic finance: laws, institutions and politics”, in </w:t>
      </w:r>
      <w:r>
        <w:rPr>
          <w:snapToGrid w:val="0"/>
        </w:rPr>
        <w:t>Henry, C. M. and Wilson, R. (</w:t>
      </w:r>
      <w:proofErr w:type="spellStart"/>
      <w:proofErr w:type="gramStart"/>
      <w:r>
        <w:rPr>
          <w:snapToGrid w:val="0"/>
        </w:rPr>
        <w:t>eds</w:t>
      </w:r>
      <w:proofErr w:type="spellEnd"/>
      <w:proofErr w:type="gramEnd"/>
      <w:r>
        <w:rPr>
          <w:snapToGrid w:val="0"/>
        </w:rPr>
        <w:t xml:space="preserve">) </w:t>
      </w:r>
      <w:r>
        <w:rPr>
          <w:i/>
          <w:snapToGrid w:val="0"/>
        </w:rPr>
        <w:t>The Politics of Islamic Finance</w:t>
      </w:r>
      <w:r>
        <w:rPr>
          <w:snapToGrid w:val="0"/>
        </w:rPr>
        <w:t xml:space="preserve">, Edinburgh: Edinburgh University Press, pp. 63-80. </w:t>
      </w:r>
    </w:p>
    <w:p w:rsidR="00631CC8" w:rsidRDefault="00631CC8" w:rsidP="003F6763">
      <w:pPr>
        <w:pStyle w:val="Reference"/>
        <w:sectPr w:rsidR="00631CC8" w:rsidSect="00B7334F">
          <w:type w:val="continuous"/>
          <w:pgSz w:w="11906" w:h="16838" w:code="9"/>
          <w:pgMar w:top="851" w:right="1418" w:bottom="851" w:left="1418" w:header="709" w:footer="709" w:gutter="0"/>
          <w:cols w:space="708"/>
          <w:titlePg/>
          <w:docGrid w:linePitch="360"/>
        </w:sectPr>
      </w:pPr>
    </w:p>
    <w:p w:rsidR="00631CC8" w:rsidRDefault="00631CC8" w:rsidP="00D971CC">
      <w:pPr>
        <w:pStyle w:val="Heading1"/>
      </w:pPr>
      <w:r>
        <w:lastRenderedPageBreak/>
        <w:t>APPENDIX I</w:t>
      </w:r>
    </w:p>
    <w:p w:rsidR="00631CC8" w:rsidRDefault="00631CC8" w:rsidP="00D971CC">
      <w:pPr>
        <w:pStyle w:val="Heading1"/>
      </w:pPr>
      <w:r>
        <w:t>EXTRACTS FROM DRAFTS OF JORDAN ISLAMIC BANK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845"/>
        <w:gridCol w:w="4845"/>
        <w:gridCol w:w="4845"/>
      </w:tblGrid>
      <w:tr w:rsidR="00631CC8">
        <w:tc>
          <w:tcPr>
            <w:tcW w:w="817" w:type="dxa"/>
          </w:tcPr>
          <w:p w:rsidR="00631CC8" w:rsidRPr="00D971CC" w:rsidRDefault="00631CC8" w:rsidP="00D971CC">
            <w:pPr>
              <w:pStyle w:val="Tabletext"/>
              <w:spacing w:before="120" w:after="120"/>
              <w:jc w:val="center"/>
              <w:rPr>
                <w:b/>
              </w:rPr>
            </w:pPr>
            <w:r w:rsidRPr="00D971CC">
              <w:rPr>
                <w:b/>
              </w:rPr>
              <w:t>Article</w:t>
            </w:r>
          </w:p>
        </w:tc>
        <w:tc>
          <w:tcPr>
            <w:tcW w:w="4845" w:type="dxa"/>
          </w:tcPr>
          <w:p w:rsidR="00631CC8" w:rsidRPr="00D971CC" w:rsidRDefault="00631CC8" w:rsidP="00D971CC">
            <w:pPr>
              <w:pStyle w:val="Tabletext"/>
              <w:spacing w:before="120" w:after="120"/>
              <w:jc w:val="center"/>
              <w:rPr>
                <w:b/>
              </w:rPr>
            </w:pPr>
            <w:r w:rsidRPr="00D971CC">
              <w:rPr>
                <w:b/>
              </w:rPr>
              <w:t>First Draft</w:t>
            </w:r>
          </w:p>
        </w:tc>
        <w:tc>
          <w:tcPr>
            <w:tcW w:w="4845" w:type="dxa"/>
          </w:tcPr>
          <w:p w:rsidR="00631CC8" w:rsidRPr="00D971CC" w:rsidRDefault="00631CC8" w:rsidP="00D971CC">
            <w:pPr>
              <w:pStyle w:val="Tabletext"/>
              <w:spacing w:before="120" w:after="120"/>
              <w:jc w:val="center"/>
              <w:rPr>
                <w:b/>
              </w:rPr>
            </w:pPr>
            <w:r w:rsidRPr="00D971CC">
              <w:rPr>
                <w:b/>
              </w:rPr>
              <w:t>Second Draft</w:t>
            </w:r>
          </w:p>
        </w:tc>
        <w:tc>
          <w:tcPr>
            <w:tcW w:w="4845" w:type="dxa"/>
          </w:tcPr>
          <w:p w:rsidR="00631CC8" w:rsidRPr="00D971CC" w:rsidRDefault="00631CC8" w:rsidP="00D971CC">
            <w:pPr>
              <w:pStyle w:val="Tabletext"/>
              <w:spacing w:before="120" w:after="120"/>
              <w:jc w:val="center"/>
              <w:rPr>
                <w:b/>
              </w:rPr>
            </w:pPr>
            <w:r w:rsidRPr="00D971CC">
              <w:rPr>
                <w:b/>
              </w:rPr>
              <w:t>Final Act</w:t>
            </w:r>
          </w:p>
        </w:tc>
      </w:tr>
      <w:tr w:rsidR="00631CC8">
        <w:tc>
          <w:tcPr>
            <w:tcW w:w="817" w:type="dxa"/>
          </w:tcPr>
          <w:p w:rsidR="00631CC8" w:rsidRPr="00BA3F1D" w:rsidRDefault="00631CC8" w:rsidP="00BA3F1D">
            <w:pPr>
              <w:pStyle w:val="Tabletext"/>
              <w:jc w:val="center"/>
            </w:pPr>
            <w:r w:rsidRPr="00BA3F1D">
              <w:t>18</w:t>
            </w:r>
          </w:p>
        </w:tc>
        <w:tc>
          <w:tcPr>
            <w:tcW w:w="4845" w:type="dxa"/>
          </w:tcPr>
          <w:p w:rsidR="00631CC8" w:rsidRPr="00BA3F1D" w:rsidRDefault="00631CC8" w:rsidP="00BA3F1D">
            <w:pPr>
              <w:pStyle w:val="Tabletext"/>
            </w:pPr>
            <w:r w:rsidRPr="00BA3F1D">
              <w:t xml:space="preserve">Profits and losses relating to financing and joint investment activities shall be separated in the accounts from the other income and expenditure relating to other activities and services offered by the bank.  The same applies to the income and expenditure from investments for specific purposes, in respect of which separate accounts must be kept for each particular project. </w:t>
            </w:r>
          </w:p>
          <w:p w:rsidR="00631CC8" w:rsidRPr="00BA3F1D" w:rsidRDefault="00631CC8" w:rsidP="00BA3F1D">
            <w:pPr>
              <w:pStyle w:val="Tabletext"/>
            </w:pPr>
          </w:p>
        </w:tc>
        <w:tc>
          <w:tcPr>
            <w:tcW w:w="4845" w:type="dxa"/>
          </w:tcPr>
          <w:p w:rsidR="00631CC8" w:rsidRPr="00BA3F1D" w:rsidRDefault="00631CC8" w:rsidP="00BA3F1D">
            <w:pPr>
              <w:pStyle w:val="Tabletext"/>
            </w:pPr>
            <w:r>
              <w:t>As First Draft.</w:t>
            </w:r>
          </w:p>
        </w:tc>
        <w:tc>
          <w:tcPr>
            <w:tcW w:w="4845" w:type="dxa"/>
          </w:tcPr>
          <w:p w:rsidR="00631CC8" w:rsidRPr="00BA3F1D" w:rsidRDefault="00631CC8" w:rsidP="00BA3F1D">
            <w:pPr>
              <w:pStyle w:val="Tabletext"/>
            </w:pPr>
            <w:r>
              <w:t>As First Draft.</w:t>
            </w:r>
          </w:p>
        </w:tc>
      </w:tr>
      <w:tr w:rsidR="00631CC8">
        <w:tc>
          <w:tcPr>
            <w:tcW w:w="817" w:type="dxa"/>
          </w:tcPr>
          <w:p w:rsidR="00631CC8" w:rsidRPr="00BA3F1D" w:rsidRDefault="00631CC8" w:rsidP="00BA3F1D">
            <w:pPr>
              <w:pStyle w:val="Tabletext"/>
              <w:jc w:val="center"/>
            </w:pPr>
            <w:r>
              <w:t>19</w:t>
            </w:r>
          </w:p>
        </w:tc>
        <w:tc>
          <w:tcPr>
            <w:tcW w:w="4845" w:type="dxa"/>
          </w:tcPr>
          <w:p w:rsidR="00631CC8" w:rsidRPr="00BA3F1D" w:rsidRDefault="00631CC8" w:rsidP="00BA3F1D">
            <w:pPr>
              <w:pStyle w:val="Tabletext"/>
            </w:pPr>
            <w:r w:rsidRPr="00BA3F1D">
              <w:t>In accounting for profit resulting from financing and investment activities, the bank may not adopt a method of accounting that takes into account estimated or expected profits. The bank must confine itself to the profits</w:t>
            </w:r>
            <w:r w:rsidRPr="0013621D">
              <w:t xml:space="preserve"> realised</w:t>
            </w:r>
            <w:r w:rsidRPr="00BA3F1D">
              <w:t xml:space="preserve"> in accordance with the nature of the operation that the bank finances, and in accordance with the following rules: </w:t>
            </w:r>
          </w:p>
          <w:p w:rsidR="00631CC8" w:rsidRPr="00E16289" w:rsidRDefault="00631CC8" w:rsidP="00BA3F1D">
            <w:pPr>
              <w:pStyle w:val="Tabletext"/>
              <w:numPr>
                <w:ilvl w:val="0"/>
                <w:numId w:val="12"/>
              </w:numPr>
              <w:ind w:left="357" w:hanging="357"/>
            </w:pPr>
            <w:r w:rsidRPr="00E16289">
              <w:t xml:space="preserve">In </w:t>
            </w:r>
            <w:r>
              <w:t xml:space="preserve">the </w:t>
            </w:r>
            <w:r w:rsidRPr="00E16289">
              <w:t xml:space="preserve">case of </w:t>
            </w:r>
            <w:proofErr w:type="spellStart"/>
            <w:r w:rsidRPr="00C01EF6">
              <w:rPr>
                <w:i/>
              </w:rPr>
              <w:t>mudaraba</w:t>
            </w:r>
            <w:proofErr w:type="spellEnd"/>
            <w:r w:rsidRPr="00C01EF6">
              <w:rPr>
                <w:i/>
              </w:rPr>
              <w:t xml:space="preserve"> </w:t>
            </w:r>
            <w:r w:rsidRPr="00E16289">
              <w:t>financing, the profits shall be</w:t>
            </w:r>
            <w:r w:rsidRPr="00C4612E">
              <w:t xml:space="preserve"> realised</w:t>
            </w:r>
            <w:r w:rsidRPr="00E16289">
              <w:t xml:space="preserve"> on the basis of final settlement of accounts carried out between the bank and the party</w:t>
            </w:r>
            <w:r w:rsidRPr="00C4612E">
              <w:t xml:space="preserve"> utilising</w:t>
            </w:r>
            <w:r w:rsidRPr="00E16289">
              <w:t xml:space="preserve"> the funds. </w:t>
            </w:r>
            <w:r>
              <w:t xml:space="preserve"> </w:t>
            </w:r>
            <w:r w:rsidRPr="00E16289">
              <w:t>Such settlement should be based on actual receipt of the cash and</w:t>
            </w:r>
            <w:r w:rsidRPr="00C4612E">
              <w:t xml:space="preserve"> realisation</w:t>
            </w:r>
            <w:r w:rsidRPr="00E16289">
              <w:t xml:space="preserve"> of the income and should </w:t>
            </w:r>
            <w:r>
              <w:t xml:space="preserve">be </w:t>
            </w:r>
            <w:r w:rsidRPr="00E16289">
              <w:t xml:space="preserve">duly approved and accepted. The profits of each year shall be entered in the accounts of the year in which such settlement is carried out whether in respect of </w:t>
            </w:r>
            <w:r>
              <w:t xml:space="preserve">the </w:t>
            </w:r>
            <w:r w:rsidRPr="00E16289">
              <w:t xml:space="preserve">complete project or part of it. </w:t>
            </w:r>
          </w:p>
          <w:p w:rsidR="00631CC8" w:rsidRPr="00E16289" w:rsidRDefault="00631CC8" w:rsidP="00BA3F1D">
            <w:pPr>
              <w:pStyle w:val="Tabletext"/>
              <w:numPr>
                <w:ilvl w:val="0"/>
                <w:numId w:val="12"/>
              </w:numPr>
              <w:ind w:left="357" w:hanging="357"/>
            </w:pPr>
            <w:r w:rsidRPr="00E16289">
              <w:t xml:space="preserve">In </w:t>
            </w:r>
            <w:r>
              <w:t xml:space="preserve">the </w:t>
            </w:r>
            <w:r w:rsidRPr="00E16289">
              <w:t xml:space="preserve">case of decreasing </w:t>
            </w:r>
            <w:proofErr w:type="spellStart"/>
            <w:r w:rsidRPr="00C01EF6">
              <w:rPr>
                <w:i/>
              </w:rPr>
              <w:t>musharaka</w:t>
            </w:r>
            <w:proofErr w:type="spellEnd"/>
            <w:r w:rsidRPr="00E16289">
              <w:t>, the profit shall be realised on the basis of the net income derived from the project concerned until the end of financial year, even if such income has not been received in cash.</w:t>
            </w:r>
            <w:r>
              <w:t xml:space="preserve"> </w:t>
            </w:r>
            <w:r w:rsidRPr="00E16289">
              <w:t xml:space="preserve"> </w:t>
            </w:r>
            <w:r>
              <w:t>I</w:t>
            </w:r>
            <w:r w:rsidRPr="00E16289">
              <w:t xml:space="preserve">n such case, the income realised shall be </w:t>
            </w:r>
            <w:r w:rsidRPr="00E16289">
              <w:lastRenderedPageBreak/>
              <w:t>treated as money due but not received.</w:t>
            </w:r>
          </w:p>
          <w:p w:rsidR="00631CC8" w:rsidRPr="00E16289" w:rsidRDefault="00631CC8" w:rsidP="00BA3F1D">
            <w:pPr>
              <w:pStyle w:val="Tabletext"/>
              <w:numPr>
                <w:ilvl w:val="0"/>
                <w:numId w:val="12"/>
              </w:numPr>
              <w:ind w:left="357" w:hanging="357"/>
            </w:pPr>
            <w:r w:rsidRPr="00E16289">
              <w:t xml:space="preserve">In </w:t>
            </w:r>
            <w:r>
              <w:t xml:space="preserve">the </w:t>
            </w:r>
            <w:r w:rsidRPr="00E16289">
              <w:t xml:space="preserve">case of </w:t>
            </w:r>
            <w:proofErr w:type="spellStart"/>
            <w:r w:rsidRPr="00C01EF6">
              <w:rPr>
                <w:i/>
              </w:rPr>
              <w:t>murabaha</w:t>
            </w:r>
            <w:proofErr w:type="spellEnd"/>
            <w:r w:rsidRPr="00E16289">
              <w:t xml:space="preserve"> financing, the profit shall be realised upon the conclusion of the subsequent contract and on the basis of the difference between the actual cost and the price agreed upon with the party who ordered the purchase. </w:t>
            </w:r>
          </w:p>
          <w:p w:rsidR="00631CC8" w:rsidRPr="00E16289" w:rsidRDefault="00631CC8" w:rsidP="00BA3F1D">
            <w:pPr>
              <w:pStyle w:val="Tabletext"/>
              <w:numPr>
                <w:ilvl w:val="0"/>
                <w:numId w:val="12"/>
              </w:numPr>
              <w:ind w:left="357" w:hanging="357"/>
            </w:pPr>
            <w:r w:rsidRPr="00E16289">
              <w:t xml:space="preserve">The various financing operations shall be charged with all the direct expenses and costs arising from them, and should not be charged with any part of the general overhead expenses of the bank. </w:t>
            </w:r>
          </w:p>
          <w:p w:rsidR="00631CC8" w:rsidRPr="00BA3F1D" w:rsidRDefault="00631CC8" w:rsidP="00BA3F1D">
            <w:pPr>
              <w:pStyle w:val="Tabletext"/>
            </w:pPr>
          </w:p>
        </w:tc>
        <w:tc>
          <w:tcPr>
            <w:tcW w:w="4845" w:type="dxa"/>
          </w:tcPr>
          <w:p w:rsidR="00631CC8" w:rsidRPr="00BA3F1D" w:rsidRDefault="00631CC8" w:rsidP="00BA3F1D">
            <w:pPr>
              <w:pStyle w:val="Tabletext"/>
            </w:pPr>
            <w:r>
              <w:lastRenderedPageBreak/>
              <w:t>As First Draft.</w:t>
            </w:r>
          </w:p>
        </w:tc>
        <w:tc>
          <w:tcPr>
            <w:tcW w:w="4845" w:type="dxa"/>
          </w:tcPr>
          <w:p w:rsidR="00631CC8" w:rsidRPr="00BA3F1D" w:rsidRDefault="00631CC8" w:rsidP="00BA3F1D">
            <w:pPr>
              <w:pStyle w:val="Tabletext"/>
            </w:pPr>
            <w:r>
              <w:t>As First Draft.</w:t>
            </w:r>
          </w:p>
        </w:tc>
      </w:tr>
      <w:tr w:rsidR="00631CC8">
        <w:tc>
          <w:tcPr>
            <w:tcW w:w="817" w:type="dxa"/>
          </w:tcPr>
          <w:p w:rsidR="00631CC8" w:rsidRDefault="00631CC8" w:rsidP="00D971CC">
            <w:pPr>
              <w:pStyle w:val="Tabletext"/>
              <w:jc w:val="center"/>
            </w:pPr>
            <w:r>
              <w:lastRenderedPageBreak/>
              <w:t>22</w:t>
            </w:r>
          </w:p>
        </w:tc>
        <w:tc>
          <w:tcPr>
            <w:tcW w:w="4845" w:type="dxa"/>
          </w:tcPr>
          <w:p w:rsidR="00631CC8" w:rsidRPr="009B482F" w:rsidRDefault="00631CC8" w:rsidP="00C01EF6">
            <w:pPr>
              <w:pStyle w:val="Tabletext"/>
              <w:numPr>
                <w:ilvl w:val="0"/>
                <w:numId w:val="20"/>
              </w:numPr>
              <w:ind w:left="357" w:hanging="357"/>
            </w:pPr>
            <w:r w:rsidRPr="009B482F">
              <w:t xml:space="preserve">The </w:t>
            </w:r>
            <w:r>
              <w:t xml:space="preserve">losses incurred on </w:t>
            </w:r>
            <w:r w:rsidRPr="009B482F">
              <w:t xml:space="preserve">investments </w:t>
            </w:r>
            <w:r>
              <w:t>t</w:t>
            </w:r>
            <w:r w:rsidRPr="009B482F">
              <w:t xml:space="preserve">hat exceed the profits generated in any financial year should be deducted from the investment risk provision. </w:t>
            </w:r>
          </w:p>
          <w:p w:rsidR="00631CC8" w:rsidRPr="009B482F" w:rsidRDefault="00631CC8" w:rsidP="00C01EF6">
            <w:pPr>
              <w:pStyle w:val="Tabletext"/>
              <w:numPr>
                <w:ilvl w:val="0"/>
                <w:numId w:val="20"/>
              </w:numPr>
              <w:ind w:left="357" w:hanging="357"/>
            </w:pPr>
            <w:r w:rsidRPr="009B482F">
              <w:t>If the accu</w:t>
            </w:r>
            <w:r>
              <w:t>mulated balance in the investment</w:t>
            </w:r>
            <w:r w:rsidRPr="009B482F">
              <w:t xml:space="preserve"> risk provision </w:t>
            </w:r>
            <w:r>
              <w:t>is</w:t>
            </w:r>
            <w:r w:rsidRPr="009B482F">
              <w:t xml:space="preserve"> not enough to cover the losses incurred from investing the depositors’ funds in the year</w:t>
            </w:r>
            <w:r>
              <w:t>, then</w:t>
            </w:r>
            <w:r w:rsidRPr="009B482F">
              <w:t xml:space="preserve"> </w:t>
            </w:r>
            <w:r>
              <w:t>t</w:t>
            </w:r>
            <w:r w:rsidRPr="009B482F">
              <w:t xml:space="preserve">he Board of Directors </w:t>
            </w:r>
            <w:r>
              <w:t>may carry</w:t>
            </w:r>
            <w:r w:rsidRPr="009B482F">
              <w:t xml:space="preserve"> forw</w:t>
            </w:r>
            <w:r>
              <w:t>a</w:t>
            </w:r>
            <w:r w:rsidRPr="009B482F">
              <w:t>rd the losses to the following years to be covered from the profits of the bank and the investment risk provision funds of the following years.</w:t>
            </w:r>
          </w:p>
          <w:p w:rsidR="00631CC8" w:rsidRDefault="00631CC8" w:rsidP="00C01EF6">
            <w:pPr>
              <w:pStyle w:val="Tabletext"/>
              <w:numPr>
                <w:ilvl w:val="0"/>
                <w:numId w:val="20"/>
              </w:numPr>
              <w:ind w:left="357" w:hanging="357"/>
            </w:pPr>
            <w:r w:rsidRPr="009B482F">
              <w:t xml:space="preserve">If the losses continue in the following years to the extent that </w:t>
            </w:r>
            <w:r>
              <w:t xml:space="preserve">they </w:t>
            </w:r>
            <w:r w:rsidRPr="009B482F">
              <w:t xml:space="preserve">exceed half of the </w:t>
            </w:r>
            <w:r>
              <w:t xml:space="preserve">bank’s </w:t>
            </w:r>
            <w:r w:rsidRPr="009B482F">
              <w:t>capital, the B</w:t>
            </w:r>
            <w:r>
              <w:t>oard of Directors</w:t>
            </w:r>
            <w:r w:rsidRPr="009B482F">
              <w:t xml:space="preserve"> shall call </w:t>
            </w:r>
            <w:r>
              <w:t>a</w:t>
            </w:r>
            <w:r w:rsidRPr="009B482F">
              <w:t xml:space="preserve"> meeting of the general assembly to discuss the possible alternatives to cover the accumulated losses and to make a decision </w:t>
            </w:r>
            <w:r>
              <w:t>about</w:t>
            </w:r>
            <w:r w:rsidRPr="009B482F">
              <w:t xml:space="preserve"> liquidating the bank to reserve the rights of shareholders and depositors.  </w:t>
            </w:r>
          </w:p>
        </w:tc>
        <w:tc>
          <w:tcPr>
            <w:tcW w:w="4845" w:type="dxa"/>
          </w:tcPr>
          <w:p w:rsidR="00631CC8" w:rsidRPr="009B482F" w:rsidRDefault="00631CC8" w:rsidP="00954B73">
            <w:pPr>
              <w:pStyle w:val="Tabletext"/>
              <w:numPr>
                <w:ilvl w:val="0"/>
                <w:numId w:val="13"/>
              </w:numPr>
              <w:ind w:left="357" w:hanging="357"/>
            </w:pPr>
            <w:r w:rsidRPr="009B482F">
              <w:t xml:space="preserve">The bank, as joint </w:t>
            </w:r>
            <w:proofErr w:type="spellStart"/>
            <w:r w:rsidRPr="009B482F">
              <w:t>venturer</w:t>
            </w:r>
            <w:proofErr w:type="spellEnd"/>
            <w:r w:rsidRPr="009B482F">
              <w:t>, shall bear any losses resulting from any cause for which it is legally liable, including any cases where authority is exceeded or insufficient care or caution is exercised by the members of the B</w:t>
            </w:r>
            <w:r>
              <w:t xml:space="preserve">oard of </w:t>
            </w:r>
            <w:r w:rsidRPr="009B482F">
              <w:t>D</w:t>
            </w:r>
            <w:r>
              <w:t>irectors</w:t>
            </w:r>
            <w:r w:rsidRPr="009B482F">
              <w:t xml:space="preserve">, managers, employees or workers of the bank. </w:t>
            </w:r>
            <w:r>
              <w:t xml:space="preserve"> </w:t>
            </w:r>
            <w:r w:rsidRPr="009B482F">
              <w:t xml:space="preserve">Insufficient </w:t>
            </w:r>
            <w:r>
              <w:t>exercise</w:t>
            </w:r>
            <w:r w:rsidRPr="009B482F">
              <w:t xml:space="preserve"> of care for which the bank is answerable shall include any cases of fraud, abuse of trust, collusion and similar forms of misconduct which fall short of the standards of honesty expected in the management of joint venture operations by the bank. </w:t>
            </w:r>
          </w:p>
          <w:p w:rsidR="00631CC8" w:rsidRPr="009B482F" w:rsidRDefault="00631CC8" w:rsidP="00954B73">
            <w:pPr>
              <w:pStyle w:val="Tabletext"/>
              <w:numPr>
                <w:ilvl w:val="0"/>
                <w:numId w:val="13"/>
              </w:numPr>
              <w:ind w:left="357" w:hanging="357"/>
            </w:pPr>
            <w:r w:rsidRPr="009B482F">
              <w:t xml:space="preserve">Losses incurred, which </w:t>
            </w:r>
            <w:r>
              <w:t xml:space="preserve">are </w:t>
            </w:r>
            <w:r w:rsidRPr="009B482F">
              <w:t>not attributable to misconduct</w:t>
            </w:r>
            <w:r>
              <w:t>,</w:t>
            </w:r>
            <w:r w:rsidRPr="009B482F">
              <w:t xml:space="preserve"> shall be deducted from the total profits realised </w:t>
            </w:r>
            <w:r>
              <w:t>in</w:t>
            </w:r>
            <w:r w:rsidRPr="009B482F">
              <w:t xml:space="preserve"> the year in which such losses are incurred. Any excess losses over the profits which were actually realised during that year shall be deducted from the investment risk provision. </w:t>
            </w:r>
          </w:p>
          <w:p w:rsidR="00631CC8" w:rsidRPr="009B482F" w:rsidRDefault="00631CC8" w:rsidP="00954B73">
            <w:pPr>
              <w:pStyle w:val="Tabletext"/>
              <w:numPr>
                <w:ilvl w:val="0"/>
                <w:numId w:val="13"/>
              </w:numPr>
              <w:ind w:left="357" w:hanging="357"/>
            </w:pPr>
            <w:r w:rsidRPr="009B482F">
              <w:t xml:space="preserve">If the total profits realised in the year together with </w:t>
            </w:r>
            <w:r>
              <w:t xml:space="preserve">the </w:t>
            </w:r>
            <w:r w:rsidRPr="009B482F">
              <w:t xml:space="preserve">accumulated </w:t>
            </w:r>
            <w:r>
              <w:t xml:space="preserve">balance of the </w:t>
            </w:r>
            <w:r w:rsidRPr="009B482F">
              <w:t>investment risk provision are not sufficient to cover the incurred losses</w:t>
            </w:r>
            <w:r>
              <w:t>, t</w:t>
            </w:r>
            <w:r w:rsidRPr="009B482F">
              <w:t xml:space="preserve">he bank must </w:t>
            </w:r>
            <w:r>
              <w:t xml:space="preserve">then </w:t>
            </w:r>
            <w:r w:rsidRPr="009B482F">
              <w:t>undertake a comprehensive evaluation of expected profits and losses, based on market prices for the investments financed by venture</w:t>
            </w:r>
            <w:r>
              <w:t>s</w:t>
            </w:r>
            <w:r w:rsidRPr="009B482F">
              <w:t xml:space="preserve"> (joint deposits and bank</w:t>
            </w:r>
            <w:r>
              <w:t>’</w:t>
            </w:r>
            <w:r w:rsidRPr="009B482F">
              <w:t xml:space="preserve">s funds invested together) which had not reached the stage of final settlement by the end of financial year. </w:t>
            </w:r>
          </w:p>
          <w:p w:rsidR="00631CC8" w:rsidRPr="009B482F" w:rsidRDefault="00631CC8" w:rsidP="00954B73">
            <w:pPr>
              <w:pStyle w:val="Tabletext"/>
              <w:numPr>
                <w:ilvl w:val="0"/>
                <w:numId w:val="13"/>
              </w:numPr>
              <w:ind w:left="357" w:hanging="357"/>
            </w:pPr>
            <w:r w:rsidRPr="009B482F">
              <w:t xml:space="preserve">If the result of such evaluation indicates that the estimated profits are sufficient to cover the excess </w:t>
            </w:r>
            <w:r w:rsidRPr="009B482F">
              <w:lastRenderedPageBreak/>
              <w:t>loss</w:t>
            </w:r>
            <w:r>
              <w:t>,</w:t>
            </w:r>
            <w:r w:rsidRPr="009B482F">
              <w:t xml:space="preserve"> </w:t>
            </w:r>
            <w:r>
              <w:t>t</w:t>
            </w:r>
            <w:r w:rsidRPr="009B482F">
              <w:t>he bank must carry forw</w:t>
            </w:r>
            <w:r>
              <w:t>a</w:t>
            </w:r>
            <w:r w:rsidRPr="009B482F">
              <w:t xml:space="preserve">rd the excess loss so that it could be covered from the proceeds of the expected profits when they are realised from the operations which were included in the comprehensive assessment. </w:t>
            </w:r>
          </w:p>
          <w:p w:rsidR="00631CC8" w:rsidRDefault="00631CC8" w:rsidP="00954B73">
            <w:pPr>
              <w:pStyle w:val="Tabletext"/>
              <w:numPr>
                <w:ilvl w:val="0"/>
                <w:numId w:val="13"/>
              </w:numPr>
              <w:ind w:left="357" w:hanging="357"/>
            </w:pPr>
            <w:r w:rsidRPr="009B482F">
              <w:t>If on the other hand the estimated profits are less than the excess loss</w:t>
            </w:r>
            <w:r>
              <w:t>,</w:t>
            </w:r>
            <w:r w:rsidRPr="009B482F">
              <w:t xml:space="preserve"> </w:t>
            </w:r>
            <w:r>
              <w:t>t</w:t>
            </w:r>
            <w:r w:rsidRPr="009B482F">
              <w:t xml:space="preserve">he bank may treat </w:t>
            </w:r>
            <w:r>
              <w:t>the excess loss</w:t>
            </w:r>
            <w:r w:rsidRPr="009B482F">
              <w:t xml:space="preserve"> as </w:t>
            </w:r>
            <w:r>
              <w:t xml:space="preserve">a </w:t>
            </w:r>
            <w:r w:rsidRPr="009B482F">
              <w:t xml:space="preserve">loss carried forward provided that the amounts withdrawn from the joint investment deposits and Joint </w:t>
            </w:r>
            <w:proofErr w:type="spellStart"/>
            <w:r w:rsidRPr="00C01EF6">
              <w:rPr>
                <w:i/>
              </w:rPr>
              <w:t>Mudaraba</w:t>
            </w:r>
            <w:proofErr w:type="spellEnd"/>
            <w:r w:rsidRPr="009B482F">
              <w:t xml:space="preserve"> </w:t>
            </w:r>
            <w:r w:rsidRPr="00F36243">
              <w:t>Bonds shall be charged with a pro-rata part of the excess loss in proportion to the percentage of participation of the amount withdrawn</w:t>
            </w:r>
            <w:r w:rsidRPr="009B482F">
              <w:t xml:space="preserve"> in the investment operations. </w:t>
            </w:r>
          </w:p>
          <w:p w:rsidR="00631CC8" w:rsidRDefault="00631CC8" w:rsidP="00954B73">
            <w:pPr>
              <w:pStyle w:val="Tabletext"/>
              <w:ind w:left="357"/>
            </w:pPr>
          </w:p>
        </w:tc>
        <w:tc>
          <w:tcPr>
            <w:tcW w:w="4845" w:type="dxa"/>
          </w:tcPr>
          <w:p w:rsidR="00631CC8" w:rsidRDefault="00631CC8" w:rsidP="00D971CC">
            <w:pPr>
              <w:pStyle w:val="Tabletext"/>
            </w:pPr>
            <w:r>
              <w:lastRenderedPageBreak/>
              <w:t>As Second Draft.</w:t>
            </w:r>
          </w:p>
        </w:tc>
      </w:tr>
      <w:tr w:rsidR="00631CC8">
        <w:tc>
          <w:tcPr>
            <w:tcW w:w="817" w:type="dxa"/>
          </w:tcPr>
          <w:p w:rsidR="00631CC8" w:rsidRDefault="00631CC8" w:rsidP="00D971CC">
            <w:pPr>
              <w:pStyle w:val="Tabletext"/>
              <w:jc w:val="center"/>
            </w:pPr>
            <w:r>
              <w:lastRenderedPageBreak/>
              <w:t>27</w:t>
            </w:r>
          </w:p>
        </w:tc>
        <w:tc>
          <w:tcPr>
            <w:tcW w:w="4845" w:type="dxa"/>
          </w:tcPr>
          <w:p w:rsidR="00631CC8" w:rsidRPr="00F36243" w:rsidRDefault="00631CC8" w:rsidP="00954B73">
            <w:pPr>
              <w:pStyle w:val="Tabletext"/>
              <w:numPr>
                <w:ilvl w:val="0"/>
                <w:numId w:val="14"/>
              </w:numPr>
              <w:ind w:left="357" w:hanging="357"/>
            </w:pPr>
            <w:r w:rsidRPr="00F36243">
              <w:t xml:space="preserve">The General Assembly of the bank </w:t>
            </w:r>
            <w:r>
              <w:t xml:space="preserve">shall </w:t>
            </w:r>
            <w:r w:rsidRPr="00F36243">
              <w:t xml:space="preserve">select, in the same way as selecting the auditors, two </w:t>
            </w:r>
            <w:proofErr w:type="spellStart"/>
            <w:r w:rsidRPr="00C01EF6">
              <w:rPr>
                <w:i/>
              </w:rPr>
              <w:t>Shari’a</w:t>
            </w:r>
            <w:proofErr w:type="spellEnd"/>
            <w:r w:rsidRPr="00F36243">
              <w:t xml:space="preserve"> controllers. They should be chosen from experts in </w:t>
            </w:r>
            <w:proofErr w:type="spellStart"/>
            <w:r w:rsidRPr="00C01EF6">
              <w:rPr>
                <w:i/>
              </w:rPr>
              <w:t>Shari’a</w:t>
            </w:r>
            <w:proofErr w:type="spellEnd"/>
            <w:r w:rsidRPr="00F36243">
              <w:t xml:space="preserve">. </w:t>
            </w:r>
            <w:r>
              <w:t xml:space="preserve"> </w:t>
            </w:r>
            <w:r w:rsidRPr="00F36243">
              <w:t xml:space="preserve">They should </w:t>
            </w:r>
            <w:r>
              <w:t>undertake</w:t>
            </w:r>
            <w:r w:rsidRPr="00F36243">
              <w:t xml:space="preserve"> the </w:t>
            </w:r>
            <w:r>
              <w:t xml:space="preserve">duties of </w:t>
            </w:r>
            <w:r w:rsidRPr="00F36243">
              <w:t xml:space="preserve">religious audit </w:t>
            </w:r>
            <w:r>
              <w:t>with respect to</w:t>
            </w:r>
            <w:r w:rsidRPr="00F36243">
              <w:t xml:space="preserve"> the bank</w:t>
            </w:r>
            <w:r>
              <w:t>’</w:t>
            </w:r>
            <w:r w:rsidRPr="00F36243">
              <w:t xml:space="preserve">s procedures and transactions to </w:t>
            </w:r>
            <w:r>
              <w:t>en</w:t>
            </w:r>
            <w:r w:rsidRPr="00F36243">
              <w:t xml:space="preserve">sure that </w:t>
            </w:r>
            <w:proofErr w:type="spellStart"/>
            <w:r w:rsidRPr="00C01EF6">
              <w:rPr>
                <w:i/>
              </w:rPr>
              <w:t>riba</w:t>
            </w:r>
            <w:proofErr w:type="spellEnd"/>
            <w:r w:rsidRPr="00F36243">
              <w:t xml:space="preserve"> is to be avoided. </w:t>
            </w:r>
          </w:p>
          <w:p w:rsidR="00631CC8" w:rsidRPr="00F36243" w:rsidRDefault="00631CC8" w:rsidP="00954B73">
            <w:pPr>
              <w:pStyle w:val="Tabletext"/>
              <w:numPr>
                <w:ilvl w:val="0"/>
                <w:numId w:val="14"/>
              </w:numPr>
              <w:ind w:left="357" w:hanging="357"/>
            </w:pPr>
            <w:r>
              <w:t>Each person</w:t>
            </w:r>
            <w:r w:rsidRPr="00F36243">
              <w:t xml:space="preserve"> to be selected </w:t>
            </w:r>
            <w:r>
              <w:t>as</w:t>
            </w:r>
            <w:r w:rsidRPr="00F36243">
              <w:t xml:space="preserve"> a </w:t>
            </w:r>
            <w:proofErr w:type="spellStart"/>
            <w:r w:rsidRPr="00C01EF6">
              <w:rPr>
                <w:i/>
              </w:rPr>
              <w:t>Shari’a</w:t>
            </w:r>
            <w:proofErr w:type="spellEnd"/>
            <w:r w:rsidRPr="00C01EF6">
              <w:rPr>
                <w:i/>
              </w:rPr>
              <w:t xml:space="preserve"> </w:t>
            </w:r>
            <w:r w:rsidRPr="00F36243">
              <w:t xml:space="preserve">controller should be at least 40 years old, and should have at least a bachelor degree in Islamic religious studies or legal studies concerned with Islamic Law. </w:t>
            </w:r>
          </w:p>
          <w:p w:rsidR="00631CC8" w:rsidRPr="00F36243" w:rsidRDefault="00631CC8" w:rsidP="00954B73">
            <w:pPr>
              <w:pStyle w:val="Tabletext"/>
              <w:numPr>
                <w:ilvl w:val="0"/>
                <w:numId w:val="14"/>
              </w:numPr>
              <w:ind w:left="357" w:hanging="357"/>
            </w:pPr>
            <w:r w:rsidRPr="00F36243">
              <w:t xml:space="preserve">The </w:t>
            </w:r>
            <w:proofErr w:type="spellStart"/>
            <w:r w:rsidRPr="00C01EF6">
              <w:rPr>
                <w:i/>
              </w:rPr>
              <w:t>Shari’a</w:t>
            </w:r>
            <w:proofErr w:type="spellEnd"/>
            <w:r w:rsidRPr="00F36243">
              <w:t xml:space="preserve"> controller should cooperate with the B</w:t>
            </w:r>
            <w:r>
              <w:t xml:space="preserve">oard of </w:t>
            </w:r>
            <w:r w:rsidRPr="00F36243">
              <w:t>D</w:t>
            </w:r>
            <w:r>
              <w:t>irectors</w:t>
            </w:r>
            <w:r w:rsidRPr="00F36243">
              <w:t xml:space="preserve">. </w:t>
            </w:r>
            <w:r>
              <w:t xml:space="preserve"> </w:t>
            </w:r>
            <w:r w:rsidRPr="00F36243">
              <w:t xml:space="preserve">He must not reveal any information related to the bank or its transactions except the written report. </w:t>
            </w:r>
            <w:r>
              <w:t xml:space="preserve"> </w:t>
            </w:r>
            <w:r w:rsidRPr="00F36243">
              <w:t xml:space="preserve">The oldest controller </w:t>
            </w:r>
            <w:r>
              <w:t xml:space="preserve">should read this report </w:t>
            </w:r>
            <w:r w:rsidRPr="00F36243">
              <w:t>before the General</w:t>
            </w:r>
            <w:r>
              <w:t xml:space="preserve"> As</w:t>
            </w:r>
            <w:r w:rsidRPr="00F36243">
              <w:t xml:space="preserve">sembly </w:t>
            </w:r>
            <w:r>
              <w:t>at</w:t>
            </w:r>
            <w:r w:rsidRPr="00F36243">
              <w:t xml:space="preserve"> their annual meeting.  </w:t>
            </w:r>
          </w:p>
          <w:p w:rsidR="00631CC8" w:rsidRPr="00F36243" w:rsidRDefault="00631CC8" w:rsidP="00954B73">
            <w:pPr>
              <w:pStyle w:val="Tabletext"/>
              <w:numPr>
                <w:ilvl w:val="0"/>
                <w:numId w:val="14"/>
              </w:numPr>
              <w:ind w:left="357" w:hanging="357"/>
            </w:pPr>
            <w:r w:rsidRPr="00F36243">
              <w:t>The B</w:t>
            </w:r>
            <w:r>
              <w:t xml:space="preserve">oard of </w:t>
            </w:r>
            <w:r w:rsidRPr="00F36243">
              <w:t>D</w:t>
            </w:r>
            <w:r>
              <w:t>irectors</w:t>
            </w:r>
            <w:r w:rsidRPr="00F36243">
              <w:t xml:space="preserve"> </w:t>
            </w:r>
            <w:r>
              <w:t>may</w:t>
            </w:r>
            <w:r w:rsidRPr="00F36243">
              <w:t xml:space="preserve"> terminate the </w:t>
            </w:r>
            <w:proofErr w:type="spellStart"/>
            <w:r w:rsidRPr="00C01EF6">
              <w:rPr>
                <w:i/>
              </w:rPr>
              <w:t>Shari’a</w:t>
            </w:r>
            <w:proofErr w:type="spellEnd"/>
            <w:r w:rsidRPr="00C01EF6">
              <w:rPr>
                <w:i/>
              </w:rPr>
              <w:t xml:space="preserve"> </w:t>
            </w:r>
            <w:r w:rsidRPr="00F36243">
              <w:t xml:space="preserve">controller from work if there are reasonable </w:t>
            </w:r>
            <w:r>
              <w:t>grounds</w:t>
            </w:r>
            <w:r w:rsidRPr="00F36243">
              <w:t>.</w:t>
            </w:r>
            <w:r>
              <w:t xml:space="preserve"> </w:t>
            </w:r>
            <w:r w:rsidRPr="00F36243">
              <w:t xml:space="preserve"> However, the General Assembly should meet in 30 days of that date to choose another controller. </w:t>
            </w:r>
          </w:p>
          <w:p w:rsidR="00631CC8" w:rsidRPr="009B482F" w:rsidRDefault="00631CC8" w:rsidP="00954B73">
            <w:pPr>
              <w:pStyle w:val="Tabletext"/>
              <w:ind w:left="357"/>
            </w:pPr>
          </w:p>
        </w:tc>
        <w:tc>
          <w:tcPr>
            <w:tcW w:w="4845" w:type="dxa"/>
          </w:tcPr>
          <w:p w:rsidR="00631CC8" w:rsidRPr="00F36243" w:rsidRDefault="00631CC8" w:rsidP="00954B73">
            <w:pPr>
              <w:pStyle w:val="Tabletext"/>
              <w:numPr>
                <w:ilvl w:val="0"/>
                <w:numId w:val="15"/>
              </w:numPr>
              <w:ind w:left="357" w:hanging="357"/>
            </w:pPr>
            <w:r w:rsidRPr="00F36243">
              <w:t xml:space="preserve">The General Assembly of the bank </w:t>
            </w:r>
            <w:r>
              <w:t xml:space="preserve">shall </w:t>
            </w:r>
            <w:r w:rsidRPr="00F36243">
              <w:t xml:space="preserve">select, in the same way as selecting the Auditors, </w:t>
            </w:r>
            <w:r w:rsidRPr="00954B73">
              <w:t>three</w:t>
            </w:r>
            <w:r w:rsidRPr="00F36243">
              <w:t xml:space="preserve"> </w:t>
            </w:r>
            <w:proofErr w:type="spellStart"/>
            <w:r w:rsidRPr="00C01EF6">
              <w:rPr>
                <w:i/>
              </w:rPr>
              <w:t>Shari’a</w:t>
            </w:r>
            <w:proofErr w:type="spellEnd"/>
            <w:r w:rsidRPr="00F36243">
              <w:t xml:space="preserve"> Controllers. </w:t>
            </w:r>
            <w:r>
              <w:t xml:space="preserve"> </w:t>
            </w:r>
            <w:r w:rsidRPr="00F36243">
              <w:t>They should be chose</w:t>
            </w:r>
            <w:r>
              <w:t>n</w:t>
            </w:r>
            <w:r w:rsidRPr="00F36243">
              <w:t xml:space="preserve"> from experts in </w:t>
            </w:r>
            <w:proofErr w:type="spellStart"/>
            <w:r w:rsidRPr="00C01EF6">
              <w:rPr>
                <w:i/>
              </w:rPr>
              <w:t>Shari’a</w:t>
            </w:r>
            <w:proofErr w:type="spellEnd"/>
            <w:r w:rsidRPr="00C01EF6">
              <w:rPr>
                <w:i/>
              </w:rPr>
              <w:t>.</w:t>
            </w:r>
            <w:r w:rsidRPr="00F36243">
              <w:t xml:space="preserve"> </w:t>
            </w:r>
            <w:r>
              <w:t xml:space="preserve"> </w:t>
            </w:r>
            <w:r w:rsidRPr="00F36243">
              <w:t xml:space="preserve">They should </w:t>
            </w:r>
            <w:r>
              <w:t>en</w:t>
            </w:r>
            <w:r w:rsidRPr="00F36243">
              <w:t xml:space="preserve">sure that the bank follows Islamic </w:t>
            </w:r>
            <w:proofErr w:type="spellStart"/>
            <w:r w:rsidRPr="00C01EF6">
              <w:rPr>
                <w:i/>
              </w:rPr>
              <w:t>Shari’a</w:t>
            </w:r>
            <w:proofErr w:type="spellEnd"/>
            <w:r w:rsidRPr="00F36243">
              <w:t xml:space="preserve">, especially avoiding </w:t>
            </w:r>
            <w:proofErr w:type="spellStart"/>
            <w:r w:rsidRPr="00C01EF6">
              <w:rPr>
                <w:i/>
              </w:rPr>
              <w:t>riba</w:t>
            </w:r>
            <w:proofErr w:type="spellEnd"/>
            <w:r w:rsidRPr="00F36243">
              <w:t xml:space="preserve">. </w:t>
            </w:r>
          </w:p>
          <w:p w:rsidR="00631CC8" w:rsidRPr="00F36243" w:rsidRDefault="00631CC8" w:rsidP="00954B73">
            <w:pPr>
              <w:pStyle w:val="Tabletext"/>
              <w:numPr>
                <w:ilvl w:val="0"/>
                <w:numId w:val="15"/>
              </w:numPr>
              <w:ind w:left="357" w:hanging="357"/>
            </w:pPr>
            <w:r>
              <w:t>A</w:t>
            </w:r>
            <w:r w:rsidRPr="00F36243">
              <w:t xml:space="preserve"> candidate for this position should:</w:t>
            </w:r>
          </w:p>
          <w:p w:rsidR="00631CC8" w:rsidRPr="00F36243" w:rsidRDefault="00631CC8" w:rsidP="00954B73">
            <w:pPr>
              <w:pStyle w:val="Tabletext"/>
              <w:numPr>
                <w:ilvl w:val="0"/>
                <w:numId w:val="16"/>
              </w:numPr>
            </w:pPr>
            <w:r w:rsidRPr="00F36243">
              <w:t>Ha</w:t>
            </w:r>
            <w:r>
              <w:t>ve</w:t>
            </w:r>
            <w:r w:rsidRPr="00F36243">
              <w:t xml:space="preserve"> at least a bachelor degree in Islamic religious studies or other practical </w:t>
            </w:r>
            <w:proofErr w:type="spellStart"/>
            <w:r w:rsidRPr="00954B73">
              <w:t>Shari’a</w:t>
            </w:r>
            <w:proofErr w:type="spellEnd"/>
            <w:r w:rsidRPr="00F36243">
              <w:t xml:space="preserve"> studies.</w:t>
            </w:r>
          </w:p>
          <w:p w:rsidR="00631CC8" w:rsidRPr="00F36243" w:rsidRDefault="00631CC8" w:rsidP="00954B73">
            <w:pPr>
              <w:pStyle w:val="Tabletext"/>
              <w:numPr>
                <w:ilvl w:val="0"/>
                <w:numId w:val="16"/>
              </w:numPr>
            </w:pPr>
            <w:r w:rsidRPr="00F36243">
              <w:t>Ha</w:t>
            </w:r>
            <w:r>
              <w:t>ve</w:t>
            </w:r>
            <w:r w:rsidRPr="00F36243">
              <w:t xml:space="preserve"> at least 10 years of experience. </w:t>
            </w:r>
          </w:p>
          <w:p w:rsidR="00631CC8" w:rsidRPr="00F36243" w:rsidRDefault="00631CC8" w:rsidP="00954B73">
            <w:pPr>
              <w:pStyle w:val="Tabletext"/>
              <w:numPr>
                <w:ilvl w:val="0"/>
                <w:numId w:val="16"/>
              </w:numPr>
            </w:pPr>
            <w:r w:rsidRPr="00F36243">
              <w:t xml:space="preserve">Be known </w:t>
            </w:r>
            <w:r>
              <w:t>for the</w:t>
            </w:r>
            <w:r w:rsidRPr="00F36243">
              <w:t xml:space="preserve"> ability to make religious opinions based on Islamic </w:t>
            </w:r>
            <w:proofErr w:type="spellStart"/>
            <w:r w:rsidRPr="00C01EF6">
              <w:rPr>
                <w:i/>
              </w:rPr>
              <w:t>Shari’a</w:t>
            </w:r>
            <w:proofErr w:type="spellEnd"/>
            <w:r w:rsidRPr="00F36243">
              <w:t xml:space="preserve">, without being committed to a particular school of thought. </w:t>
            </w:r>
          </w:p>
          <w:p w:rsidR="00631CC8" w:rsidRPr="00F36243" w:rsidRDefault="00631CC8" w:rsidP="00954B73">
            <w:pPr>
              <w:pStyle w:val="Tabletext"/>
              <w:numPr>
                <w:ilvl w:val="0"/>
                <w:numId w:val="15"/>
              </w:numPr>
              <w:ind w:left="357" w:hanging="357"/>
            </w:pPr>
            <w:r w:rsidRPr="00F36243">
              <w:t xml:space="preserve">The duties of </w:t>
            </w:r>
            <w:proofErr w:type="spellStart"/>
            <w:r w:rsidRPr="00C01EF6">
              <w:rPr>
                <w:i/>
              </w:rPr>
              <w:t>Shari’a</w:t>
            </w:r>
            <w:proofErr w:type="spellEnd"/>
            <w:r w:rsidRPr="00F36243">
              <w:t xml:space="preserve"> </w:t>
            </w:r>
            <w:r>
              <w:t>Controllers</w:t>
            </w:r>
            <w:r w:rsidRPr="00F36243">
              <w:t xml:space="preserve"> are: </w:t>
            </w:r>
          </w:p>
          <w:p w:rsidR="00631CC8" w:rsidRPr="00F36243" w:rsidRDefault="00631CC8" w:rsidP="00954B73">
            <w:pPr>
              <w:pStyle w:val="Tabletext"/>
              <w:numPr>
                <w:ilvl w:val="0"/>
                <w:numId w:val="17"/>
              </w:numPr>
            </w:pPr>
            <w:r w:rsidRPr="00F36243">
              <w:t xml:space="preserve">Undertaking the duties described in Article 23 of this Act. </w:t>
            </w:r>
          </w:p>
          <w:p w:rsidR="00631CC8" w:rsidRPr="00F36243" w:rsidRDefault="00631CC8" w:rsidP="00954B73">
            <w:pPr>
              <w:pStyle w:val="Tabletext"/>
              <w:numPr>
                <w:ilvl w:val="0"/>
                <w:numId w:val="17"/>
              </w:numPr>
            </w:pPr>
            <w:r w:rsidRPr="00F36243">
              <w:t xml:space="preserve">Undertaking a comprehensive study </w:t>
            </w:r>
            <w:r>
              <w:t>of</w:t>
            </w:r>
            <w:r w:rsidRPr="00F36243">
              <w:t xml:space="preserve"> the bank’s articles, procedures and </w:t>
            </w:r>
            <w:r>
              <w:t xml:space="preserve">forms of </w:t>
            </w:r>
            <w:r w:rsidRPr="00F36243">
              <w:t xml:space="preserve">contract to make sure that they do not violate Islamic </w:t>
            </w:r>
            <w:proofErr w:type="spellStart"/>
            <w:r w:rsidRPr="00C01EF6">
              <w:rPr>
                <w:i/>
              </w:rPr>
              <w:t>Shari’a</w:t>
            </w:r>
            <w:proofErr w:type="spellEnd"/>
            <w:r w:rsidRPr="00F36243">
              <w:t xml:space="preserve">. </w:t>
            </w:r>
          </w:p>
          <w:p w:rsidR="00631CC8" w:rsidRPr="00F36243" w:rsidRDefault="00631CC8" w:rsidP="00954B73">
            <w:pPr>
              <w:pStyle w:val="Tabletext"/>
              <w:numPr>
                <w:ilvl w:val="0"/>
                <w:numId w:val="17"/>
              </w:numPr>
            </w:pPr>
            <w:r w:rsidRPr="00F36243">
              <w:t xml:space="preserve">The </w:t>
            </w:r>
            <w:proofErr w:type="spellStart"/>
            <w:r w:rsidRPr="00C01EF6">
              <w:rPr>
                <w:i/>
              </w:rPr>
              <w:t>Shari’a</w:t>
            </w:r>
            <w:proofErr w:type="spellEnd"/>
            <w:r w:rsidRPr="00F36243">
              <w:t xml:space="preserve"> controllers </w:t>
            </w:r>
            <w:r>
              <w:t>may</w:t>
            </w:r>
            <w:r w:rsidRPr="00F36243">
              <w:t xml:space="preserve"> ask the B</w:t>
            </w:r>
            <w:r>
              <w:t xml:space="preserve">oard of </w:t>
            </w:r>
            <w:r w:rsidRPr="00F36243">
              <w:t>D</w:t>
            </w:r>
            <w:r>
              <w:t>irectors</w:t>
            </w:r>
            <w:r w:rsidRPr="00F36243">
              <w:t xml:space="preserve"> to provide information about any transaction that they suspect violates Islamic </w:t>
            </w:r>
            <w:proofErr w:type="spellStart"/>
            <w:r w:rsidRPr="00C01EF6">
              <w:rPr>
                <w:i/>
              </w:rPr>
              <w:t>Shari’a</w:t>
            </w:r>
            <w:proofErr w:type="spellEnd"/>
            <w:r w:rsidRPr="00F36243">
              <w:t xml:space="preserve">. </w:t>
            </w:r>
          </w:p>
          <w:p w:rsidR="00631CC8" w:rsidRPr="00F36243" w:rsidRDefault="00631CC8" w:rsidP="00954B73">
            <w:pPr>
              <w:pStyle w:val="Tabletext"/>
              <w:numPr>
                <w:ilvl w:val="0"/>
                <w:numId w:val="17"/>
              </w:numPr>
            </w:pPr>
            <w:r w:rsidRPr="00F36243">
              <w:lastRenderedPageBreak/>
              <w:t xml:space="preserve">In </w:t>
            </w:r>
            <w:r>
              <w:t>the event</w:t>
            </w:r>
            <w:r w:rsidRPr="00F36243">
              <w:t xml:space="preserve"> that the </w:t>
            </w:r>
            <w:proofErr w:type="spellStart"/>
            <w:r w:rsidRPr="004158EF">
              <w:rPr>
                <w:i/>
              </w:rPr>
              <w:t>Shari’a</w:t>
            </w:r>
            <w:proofErr w:type="spellEnd"/>
            <w:r w:rsidRPr="004158EF">
              <w:rPr>
                <w:i/>
              </w:rPr>
              <w:t xml:space="preserve"> </w:t>
            </w:r>
            <w:r w:rsidRPr="00F36243">
              <w:t xml:space="preserve">Controllers agree that there is a </w:t>
            </w:r>
            <w:proofErr w:type="spellStart"/>
            <w:r w:rsidRPr="004158EF">
              <w:rPr>
                <w:i/>
              </w:rPr>
              <w:t>Shari’a</w:t>
            </w:r>
            <w:proofErr w:type="spellEnd"/>
            <w:r w:rsidRPr="00F36243">
              <w:t xml:space="preserve"> violation in any of the above transactions, they should ask the B</w:t>
            </w:r>
            <w:r>
              <w:t xml:space="preserve">oard of </w:t>
            </w:r>
            <w:r w:rsidRPr="00F36243">
              <w:t>D</w:t>
            </w:r>
            <w:r>
              <w:t>irectors</w:t>
            </w:r>
            <w:r w:rsidRPr="00F36243">
              <w:t xml:space="preserve"> to correct the violation. </w:t>
            </w:r>
            <w:r>
              <w:t xml:space="preserve"> </w:t>
            </w:r>
            <w:r w:rsidRPr="00F36243">
              <w:t xml:space="preserve">If no agreement is reached between the </w:t>
            </w:r>
            <w:r>
              <w:t>C</w:t>
            </w:r>
            <w:r w:rsidRPr="00F36243">
              <w:t>ontrollers, it would be enough to inform the B</w:t>
            </w:r>
            <w:r>
              <w:t xml:space="preserve">oard of </w:t>
            </w:r>
            <w:r w:rsidRPr="00F36243">
              <w:t>D</w:t>
            </w:r>
            <w:r>
              <w:t>irectors</w:t>
            </w:r>
            <w:r w:rsidRPr="00F36243">
              <w:t xml:space="preserve"> about the issue. </w:t>
            </w:r>
          </w:p>
          <w:p w:rsidR="00631CC8" w:rsidRPr="00F36243" w:rsidRDefault="00631CC8" w:rsidP="00954B73">
            <w:pPr>
              <w:pStyle w:val="Tabletext"/>
              <w:numPr>
                <w:ilvl w:val="0"/>
                <w:numId w:val="17"/>
              </w:numPr>
            </w:pPr>
            <w:r w:rsidRPr="00F36243">
              <w:t xml:space="preserve">The </w:t>
            </w:r>
            <w:proofErr w:type="spellStart"/>
            <w:r w:rsidRPr="004158EF">
              <w:rPr>
                <w:i/>
              </w:rPr>
              <w:t>Shari’a</w:t>
            </w:r>
            <w:proofErr w:type="spellEnd"/>
            <w:r w:rsidRPr="004158EF">
              <w:rPr>
                <w:i/>
              </w:rPr>
              <w:t xml:space="preserve"> </w:t>
            </w:r>
            <w:r w:rsidRPr="00F36243">
              <w:t xml:space="preserve">Controllers </w:t>
            </w:r>
            <w:r>
              <w:t xml:space="preserve">shall </w:t>
            </w:r>
            <w:r w:rsidRPr="00F36243">
              <w:t xml:space="preserve">issue an annual report, </w:t>
            </w:r>
            <w:r>
              <w:t xml:space="preserve">and </w:t>
            </w:r>
            <w:r w:rsidRPr="00F36243">
              <w:t>it should be read by the oldest member before the General Assembly.</w:t>
            </w:r>
            <w:r>
              <w:t xml:space="preserve"> </w:t>
            </w:r>
            <w:r w:rsidRPr="00F36243">
              <w:t xml:space="preserve"> This should be done before presenting the balance sheet and income statement for discussion. </w:t>
            </w:r>
          </w:p>
          <w:p w:rsidR="00631CC8" w:rsidRPr="00F36243" w:rsidRDefault="00631CC8" w:rsidP="00954B73">
            <w:pPr>
              <w:pStyle w:val="Tabletext"/>
              <w:numPr>
                <w:ilvl w:val="0"/>
                <w:numId w:val="15"/>
              </w:numPr>
              <w:ind w:left="357" w:hanging="357"/>
            </w:pPr>
            <w:r w:rsidRPr="00F36243">
              <w:t xml:space="preserve">The </w:t>
            </w:r>
            <w:proofErr w:type="spellStart"/>
            <w:r w:rsidRPr="004158EF">
              <w:rPr>
                <w:i/>
              </w:rPr>
              <w:t>Shari’a</w:t>
            </w:r>
            <w:proofErr w:type="spellEnd"/>
            <w:r w:rsidRPr="00F36243">
              <w:t xml:space="preserve"> Controllers must not reveal any information regarding the bank’s work or transactions. </w:t>
            </w:r>
          </w:p>
          <w:p w:rsidR="00631CC8" w:rsidRPr="00F36243" w:rsidRDefault="00631CC8" w:rsidP="00954B73">
            <w:pPr>
              <w:pStyle w:val="Tabletext"/>
              <w:numPr>
                <w:ilvl w:val="0"/>
                <w:numId w:val="15"/>
              </w:numPr>
              <w:ind w:left="357" w:hanging="357"/>
            </w:pPr>
            <w:r w:rsidRPr="00F36243">
              <w:t>The B</w:t>
            </w:r>
            <w:r>
              <w:t xml:space="preserve">oard of </w:t>
            </w:r>
            <w:r w:rsidRPr="00F36243">
              <w:t>D</w:t>
            </w:r>
            <w:r>
              <w:t>irectors</w:t>
            </w:r>
            <w:r w:rsidRPr="00F36243">
              <w:t xml:space="preserve"> can terminate any</w:t>
            </w:r>
            <w:r w:rsidRPr="00E70955">
              <w:t xml:space="preserve"> </w:t>
            </w:r>
            <w:proofErr w:type="spellStart"/>
            <w:r w:rsidRPr="004158EF">
              <w:rPr>
                <w:i/>
              </w:rPr>
              <w:t>Shari’a</w:t>
            </w:r>
            <w:proofErr w:type="spellEnd"/>
            <w:r w:rsidRPr="00F36243">
              <w:t xml:space="preserve"> </w:t>
            </w:r>
            <w:r>
              <w:t>C</w:t>
            </w:r>
            <w:r w:rsidRPr="00F36243">
              <w:t xml:space="preserve">ontroller from work if there are reasonable </w:t>
            </w:r>
            <w:r>
              <w:t>grounds</w:t>
            </w:r>
            <w:r w:rsidRPr="00F36243">
              <w:t xml:space="preserve"> to do so. </w:t>
            </w:r>
            <w:r>
              <w:t xml:space="preserve"> </w:t>
            </w:r>
            <w:r w:rsidRPr="00F36243">
              <w:t xml:space="preserve">However, the General Assembly should meet in 30 days of that date in order for the General Assembly to discuss the reasons for such decision. </w:t>
            </w:r>
            <w:r>
              <w:t xml:space="preserve"> </w:t>
            </w:r>
            <w:r w:rsidRPr="00F36243">
              <w:t>If the General Assembly agree</w:t>
            </w:r>
            <w:r>
              <w:t>s</w:t>
            </w:r>
            <w:r w:rsidRPr="00F36243">
              <w:t xml:space="preserve"> on the termination, it should select another </w:t>
            </w:r>
            <w:r>
              <w:t>C</w:t>
            </w:r>
            <w:r w:rsidRPr="00F36243">
              <w:t xml:space="preserve">ontroller to continue for the remaining period. </w:t>
            </w:r>
          </w:p>
          <w:p w:rsidR="00631CC8" w:rsidRPr="009B482F" w:rsidRDefault="00631CC8" w:rsidP="00954B73">
            <w:pPr>
              <w:pStyle w:val="Tabletext"/>
              <w:ind w:left="357"/>
            </w:pPr>
          </w:p>
        </w:tc>
        <w:tc>
          <w:tcPr>
            <w:tcW w:w="4845" w:type="dxa"/>
          </w:tcPr>
          <w:p w:rsidR="00631CC8" w:rsidRPr="00F36243" w:rsidRDefault="00631CC8" w:rsidP="00BA3F1D">
            <w:pPr>
              <w:pStyle w:val="Tabletext"/>
              <w:numPr>
                <w:ilvl w:val="0"/>
                <w:numId w:val="18"/>
              </w:numPr>
              <w:ind w:left="357" w:hanging="357"/>
            </w:pPr>
            <w:r w:rsidRPr="00F36243">
              <w:lastRenderedPageBreak/>
              <w:t>The B</w:t>
            </w:r>
            <w:r>
              <w:t xml:space="preserve">oard of </w:t>
            </w:r>
            <w:r w:rsidRPr="00F36243">
              <w:t>D</w:t>
            </w:r>
            <w:r>
              <w:t>irectors</w:t>
            </w:r>
            <w:r w:rsidRPr="00F36243">
              <w:t xml:space="preserve"> shall appoint, within fifteen days from the date of its selection, an Islamic legal consultant who is learned and speciali</w:t>
            </w:r>
            <w:r>
              <w:t>s</w:t>
            </w:r>
            <w:r w:rsidRPr="00F36243">
              <w:t>ed in the field of practical applications of Islamic Law.</w:t>
            </w:r>
          </w:p>
          <w:p w:rsidR="00631CC8" w:rsidRDefault="00631CC8" w:rsidP="00BA3F1D">
            <w:pPr>
              <w:pStyle w:val="Tabletext"/>
              <w:numPr>
                <w:ilvl w:val="0"/>
                <w:numId w:val="18"/>
              </w:numPr>
              <w:ind w:left="357" w:hanging="357"/>
            </w:pPr>
            <w:r w:rsidRPr="00F36243">
              <w:t xml:space="preserve">The consultant appointed to this post may not be dismissed except on the basis of </w:t>
            </w:r>
            <w:r>
              <w:t xml:space="preserve">a </w:t>
            </w:r>
            <w:r w:rsidRPr="00F36243">
              <w:t>B</w:t>
            </w:r>
            <w:r>
              <w:t xml:space="preserve">oard of </w:t>
            </w:r>
            <w:r w:rsidRPr="00F36243">
              <w:t>D</w:t>
            </w:r>
            <w:r>
              <w:t>irectors’</w:t>
            </w:r>
            <w:r w:rsidRPr="00F36243">
              <w:t xml:space="preserve"> resolution adopted by a two thirds majority of the members at least, and giving the grounds for such dismissal.</w:t>
            </w:r>
          </w:p>
          <w:p w:rsidR="00631CC8" w:rsidRPr="00F36243" w:rsidRDefault="00631CC8" w:rsidP="00BA3F1D">
            <w:pPr>
              <w:pStyle w:val="Tabletext"/>
              <w:ind w:left="357"/>
            </w:pPr>
          </w:p>
          <w:p w:rsidR="00631CC8" w:rsidRDefault="00631CC8" w:rsidP="00BA3F1D">
            <w:pPr>
              <w:pStyle w:val="Tabletext"/>
            </w:pPr>
            <w:r>
              <w:t>N</w:t>
            </w:r>
            <w:r w:rsidRPr="00BA3F1D">
              <w:t>ew Article 28</w:t>
            </w:r>
            <w:r>
              <w:t>:</w:t>
            </w:r>
          </w:p>
          <w:p w:rsidR="00631CC8" w:rsidRDefault="00631CC8" w:rsidP="00BA3F1D">
            <w:pPr>
              <w:pStyle w:val="Tabletext"/>
            </w:pPr>
          </w:p>
          <w:p w:rsidR="00631CC8" w:rsidRPr="00F36243" w:rsidRDefault="00631CC8" w:rsidP="00BA3F1D">
            <w:pPr>
              <w:pStyle w:val="Tabletext"/>
            </w:pPr>
            <w:r w:rsidRPr="00F36243">
              <w:t>The B</w:t>
            </w:r>
            <w:r>
              <w:t xml:space="preserve">oard of </w:t>
            </w:r>
            <w:r w:rsidRPr="00F36243">
              <w:t>D</w:t>
            </w:r>
            <w:r>
              <w:t>irectors</w:t>
            </w:r>
            <w:r w:rsidRPr="00F36243">
              <w:t xml:space="preserve"> shall determine the functions of the aforesaid </w:t>
            </w:r>
            <w:proofErr w:type="spellStart"/>
            <w:r w:rsidRPr="004158EF">
              <w:rPr>
                <w:i/>
              </w:rPr>
              <w:t>Shari’a</w:t>
            </w:r>
            <w:proofErr w:type="spellEnd"/>
            <w:r w:rsidRPr="00F36243">
              <w:t xml:space="preserve"> Consultant on the basis that the B</w:t>
            </w:r>
            <w:r>
              <w:t xml:space="preserve">oard of </w:t>
            </w:r>
            <w:r w:rsidRPr="00F36243">
              <w:t>D</w:t>
            </w:r>
            <w:r>
              <w:t>irectors</w:t>
            </w:r>
            <w:r w:rsidRPr="00F36243">
              <w:t xml:space="preserve"> shall be under the duty to request the opinion of the </w:t>
            </w:r>
            <w:proofErr w:type="spellStart"/>
            <w:r w:rsidRPr="004158EF">
              <w:rPr>
                <w:i/>
              </w:rPr>
              <w:t>Shari’a</w:t>
            </w:r>
            <w:proofErr w:type="spellEnd"/>
            <w:r w:rsidRPr="00F36243">
              <w:t xml:space="preserve"> </w:t>
            </w:r>
            <w:r>
              <w:t>C</w:t>
            </w:r>
            <w:r w:rsidRPr="00F36243">
              <w:t>onsultant regarding the following matters:</w:t>
            </w:r>
          </w:p>
          <w:p w:rsidR="00631CC8" w:rsidRPr="00F36243" w:rsidRDefault="00631CC8" w:rsidP="00BA3F1D">
            <w:pPr>
              <w:pStyle w:val="Tabletext"/>
              <w:numPr>
                <w:ilvl w:val="0"/>
                <w:numId w:val="19"/>
              </w:numPr>
            </w:pPr>
            <w:r w:rsidRPr="00F36243">
              <w:t>Studying the practical regulations and rules applied by the bank in its dealing</w:t>
            </w:r>
            <w:r>
              <w:t>s</w:t>
            </w:r>
            <w:r w:rsidRPr="00F36243">
              <w:t xml:space="preserve"> with others, with a view to ensuring that they do</w:t>
            </w:r>
            <w:r>
              <w:t xml:space="preserve"> </w:t>
            </w:r>
            <w:r w:rsidRPr="00F36243">
              <w:t>n</w:t>
            </w:r>
            <w:r>
              <w:t>o</w:t>
            </w:r>
            <w:r w:rsidRPr="00F36243">
              <w:t xml:space="preserve">t contain any form of </w:t>
            </w:r>
            <w:proofErr w:type="spellStart"/>
            <w:r>
              <w:rPr>
                <w:i/>
              </w:rPr>
              <w:t>r</w:t>
            </w:r>
            <w:r w:rsidRPr="004158EF">
              <w:rPr>
                <w:i/>
              </w:rPr>
              <w:t>iba</w:t>
            </w:r>
            <w:proofErr w:type="spellEnd"/>
            <w:r w:rsidRPr="00F36243">
              <w:t>.</w:t>
            </w:r>
          </w:p>
          <w:p w:rsidR="00631CC8" w:rsidRPr="00F36243" w:rsidRDefault="00631CC8" w:rsidP="00BA3F1D">
            <w:pPr>
              <w:pStyle w:val="Tabletext"/>
              <w:numPr>
                <w:ilvl w:val="0"/>
                <w:numId w:val="19"/>
              </w:numPr>
            </w:pPr>
            <w:r w:rsidRPr="00F36243">
              <w:t>Studying the causes</w:t>
            </w:r>
            <w:r>
              <w:t xml:space="preserve"> that</w:t>
            </w:r>
            <w:r w:rsidRPr="00F36243">
              <w:t xml:space="preserve"> require the bank to bear any losses with a view to finding the legal doctrinal basis to support the resolution of the board in this regard. </w:t>
            </w:r>
          </w:p>
          <w:p w:rsidR="00631CC8" w:rsidRDefault="00631CC8" w:rsidP="00D971CC">
            <w:pPr>
              <w:pStyle w:val="Tabletext"/>
            </w:pPr>
          </w:p>
        </w:tc>
      </w:tr>
    </w:tbl>
    <w:p w:rsidR="00631CC8" w:rsidRPr="00D971CC" w:rsidRDefault="00631CC8" w:rsidP="00D971CC">
      <w:pPr>
        <w:rPr>
          <w:lang w:eastAsia="en-US"/>
        </w:rPr>
      </w:pPr>
    </w:p>
    <w:sectPr w:rsidR="00631CC8" w:rsidRPr="00D971CC" w:rsidSect="009A79BF">
      <w:headerReference w:type="first" r:id="rId10"/>
      <w:pgSz w:w="16838" w:h="11906" w:orient="landscape" w:code="9"/>
      <w:pgMar w:top="1418"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CC8" w:rsidRDefault="00631CC8"/>
  </w:endnote>
  <w:endnote w:type="continuationSeparator" w:id="0">
    <w:p w:rsidR="00631CC8" w:rsidRDefault="00631CC8"/>
  </w:endnote>
  <w:endnote w:type="continuationNotice" w:id="1">
    <w:p w:rsidR="00631CC8" w:rsidRPr="00B7334F" w:rsidRDefault="00631CC8" w:rsidP="00B7334F">
      <w:pPr>
        <w:pStyle w:val="Footer"/>
      </w:pPr>
    </w:p>
  </w:endnote>
  <w:endnote w:id="2">
    <w:p w:rsidR="00631CC8" w:rsidRDefault="00631CC8" w:rsidP="00F44B04">
      <w:pPr>
        <w:pStyle w:val="EndnoteText"/>
        <w:tabs>
          <w:tab w:val="left" w:pos="425"/>
        </w:tabs>
        <w:ind w:firstLine="0"/>
      </w:pPr>
      <w:r w:rsidRPr="00F44B04">
        <w:rPr>
          <w:sz w:val="24"/>
          <w:szCs w:val="24"/>
        </w:rPr>
        <w:endnoteRef/>
      </w:r>
      <w:r>
        <w:rPr>
          <w:sz w:val="24"/>
          <w:szCs w:val="24"/>
        </w:rPr>
        <w:t>.</w:t>
      </w:r>
      <w:r w:rsidRPr="00F44B04">
        <w:rPr>
          <w:sz w:val="24"/>
          <w:szCs w:val="24"/>
        </w:rPr>
        <w:t xml:space="preserve"> </w:t>
      </w:r>
      <w:r w:rsidRPr="00F44B04">
        <w:rPr>
          <w:sz w:val="24"/>
          <w:szCs w:val="24"/>
        </w:rPr>
        <w:tab/>
        <w:t xml:space="preserve">At that time, no specific accounting standards were applied in </w:t>
      </w:r>
      <w:smartTag w:uri="urn:schemas-microsoft-com:office:smarttags" w:element="place">
        <w:smartTag w:uri="urn:schemas-microsoft-com:office:smarttags" w:element="country-region">
          <w:r w:rsidRPr="00F44B04">
            <w:rPr>
              <w:sz w:val="24"/>
              <w:szCs w:val="24"/>
            </w:rPr>
            <w:t>Jordan</w:t>
          </w:r>
        </w:smartTag>
      </w:smartTag>
      <w:r w:rsidRPr="00F44B04">
        <w:rPr>
          <w:sz w:val="24"/>
          <w:szCs w:val="24"/>
        </w:rPr>
        <w:t xml:space="preserve">, and the only accounting regulation was found in the Companies Act (1964, Act No. 12).  This required public shareholding companies to present every year an audited balance sheet and profit and loss account, in addition to notes clarifying revenues and expenses. </w:t>
      </w:r>
    </w:p>
  </w:endnote>
  <w:endnote w:id="3">
    <w:p w:rsidR="00631CC8" w:rsidRDefault="00631CC8" w:rsidP="00F3134F">
      <w:pPr>
        <w:pStyle w:val="EndnoteText"/>
        <w:tabs>
          <w:tab w:val="left" w:pos="425"/>
        </w:tabs>
        <w:ind w:firstLine="0"/>
      </w:pPr>
      <w:r w:rsidRPr="00F3134F">
        <w:rPr>
          <w:rStyle w:val="EndnoteReference"/>
          <w:sz w:val="24"/>
          <w:szCs w:val="24"/>
          <w:vertAlign w:val="baseline"/>
        </w:rPr>
        <w:endnoteRef/>
      </w:r>
      <w:r>
        <w:t xml:space="preserve">. </w:t>
      </w:r>
      <w:r>
        <w:tab/>
      </w:r>
      <w:r>
        <w:rPr>
          <w:sz w:val="24"/>
          <w:szCs w:val="24"/>
        </w:rPr>
        <w:t>This is the most widely used transliteration from Arabic.  Jordan Islamic Bank itself often transliterated the name as ‘</w:t>
      </w:r>
      <w:proofErr w:type="spellStart"/>
      <w:r>
        <w:rPr>
          <w:sz w:val="24"/>
          <w:szCs w:val="24"/>
        </w:rPr>
        <w:t>Hmoud</w:t>
      </w:r>
      <w:proofErr w:type="spellEnd"/>
      <w:r>
        <w:rPr>
          <w:sz w:val="24"/>
          <w:szCs w:val="24"/>
        </w:rPr>
        <w:t>’, while transliteration according to the widely used Library of Congress conventions produces ‘</w:t>
      </w:r>
      <w:proofErr w:type="spellStart"/>
      <w:r>
        <w:rPr>
          <w:sz w:val="24"/>
          <w:szCs w:val="24"/>
        </w:rPr>
        <w:t>Humūd</w:t>
      </w:r>
      <w:proofErr w:type="spellEnd"/>
      <w:r>
        <w:rPr>
          <w:sz w:val="24"/>
          <w:szCs w:val="24"/>
        </w:rPr>
        <w:t>’ (this is used by scholars such as El-</w:t>
      </w:r>
      <w:proofErr w:type="spellStart"/>
      <w:r>
        <w:rPr>
          <w:sz w:val="24"/>
          <w:szCs w:val="24"/>
        </w:rPr>
        <w:t>Gamal</w:t>
      </w:r>
      <w:proofErr w:type="spellEnd"/>
      <w:r>
        <w:rPr>
          <w:sz w:val="24"/>
          <w:szCs w:val="24"/>
        </w:rPr>
        <w:t xml:space="preserve">, 2006). </w:t>
      </w:r>
    </w:p>
  </w:endnote>
  <w:endnote w:id="4">
    <w:p w:rsidR="00631CC8" w:rsidRDefault="00631CC8" w:rsidP="00F44B04">
      <w:pPr>
        <w:pStyle w:val="EndnoteText"/>
        <w:tabs>
          <w:tab w:val="left" w:pos="425"/>
        </w:tabs>
        <w:ind w:firstLine="0"/>
      </w:pPr>
      <w:r w:rsidRPr="0099245E">
        <w:rPr>
          <w:sz w:val="24"/>
          <w:szCs w:val="24"/>
        </w:rPr>
        <w:endnoteRef/>
      </w:r>
      <w:r>
        <w:rPr>
          <w:sz w:val="24"/>
          <w:szCs w:val="24"/>
        </w:rPr>
        <w:t>.</w:t>
      </w:r>
      <w:r w:rsidRPr="00E7299A">
        <w:rPr>
          <w:sz w:val="24"/>
          <w:szCs w:val="24"/>
        </w:rPr>
        <w:t xml:space="preserve"> </w:t>
      </w:r>
      <w:r>
        <w:rPr>
          <w:sz w:val="24"/>
          <w:szCs w:val="24"/>
        </w:rPr>
        <w:tab/>
      </w:r>
      <w:r w:rsidRPr="00E7299A">
        <w:rPr>
          <w:sz w:val="24"/>
          <w:szCs w:val="24"/>
        </w:rPr>
        <w:t xml:space="preserve">This new form of </w:t>
      </w:r>
      <w:proofErr w:type="spellStart"/>
      <w:r>
        <w:rPr>
          <w:i/>
          <w:sz w:val="24"/>
          <w:szCs w:val="24"/>
        </w:rPr>
        <w:t>m</w:t>
      </w:r>
      <w:r w:rsidRPr="00D97E5D">
        <w:rPr>
          <w:i/>
          <w:sz w:val="24"/>
          <w:szCs w:val="24"/>
        </w:rPr>
        <w:t>urabaha</w:t>
      </w:r>
      <w:proofErr w:type="spellEnd"/>
      <w:r w:rsidRPr="00E7299A">
        <w:rPr>
          <w:sz w:val="24"/>
          <w:szCs w:val="24"/>
        </w:rPr>
        <w:t xml:space="preserve"> has been h</w:t>
      </w:r>
      <w:r>
        <w:rPr>
          <w:sz w:val="24"/>
          <w:szCs w:val="24"/>
        </w:rPr>
        <w:t>eavi</w:t>
      </w:r>
      <w:r w:rsidRPr="00E7299A">
        <w:rPr>
          <w:sz w:val="24"/>
          <w:szCs w:val="24"/>
        </w:rPr>
        <w:t>ly criticised by many Islamic scholar</w:t>
      </w:r>
      <w:r>
        <w:rPr>
          <w:sz w:val="24"/>
          <w:szCs w:val="24"/>
        </w:rPr>
        <w:t>s</w:t>
      </w:r>
      <w:r w:rsidRPr="00E7299A">
        <w:rPr>
          <w:sz w:val="24"/>
          <w:szCs w:val="24"/>
        </w:rPr>
        <w:t xml:space="preserve"> (</w:t>
      </w:r>
      <w:r>
        <w:rPr>
          <w:sz w:val="24"/>
          <w:szCs w:val="24"/>
        </w:rPr>
        <w:t>for example,</w:t>
      </w:r>
      <w:r w:rsidRPr="00E7299A">
        <w:rPr>
          <w:sz w:val="24"/>
          <w:szCs w:val="24"/>
        </w:rPr>
        <w:t xml:space="preserve"> </w:t>
      </w:r>
      <w:proofErr w:type="spellStart"/>
      <w:r w:rsidRPr="00E7299A">
        <w:rPr>
          <w:sz w:val="24"/>
          <w:szCs w:val="24"/>
        </w:rPr>
        <w:t>Siddiqi</w:t>
      </w:r>
      <w:proofErr w:type="spellEnd"/>
      <w:r w:rsidRPr="00E7299A">
        <w:rPr>
          <w:sz w:val="24"/>
          <w:szCs w:val="24"/>
        </w:rPr>
        <w:t>, 1983; Al-</w:t>
      </w:r>
      <w:proofErr w:type="spellStart"/>
      <w:r w:rsidRPr="00E7299A">
        <w:rPr>
          <w:sz w:val="24"/>
          <w:szCs w:val="24"/>
        </w:rPr>
        <w:t>Abadi</w:t>
      </w:r>
      <w:proofErr w:type="spellEnd"/>
      <w:r w:rsidRPr="00E7299A">
        <w:rPr>
          <w:sz w:val="24"/>
          <w:szCs w:val="24"/>
        </w:rPr>
        <w:t>, 1988; Al-</w:t>
      </w:r>
      <w:proofErr w:type="spellStart"/>
      <w:r w:rsidRPr="00E7299A">
        <w:rPr>
          <w:sz w:val="24"/>
          <w:szCs w:val="24"/>
        </w:rPr>
        <w:t>Azzizi</w:t>
      </w:r>
      <w:proofErr w:type="spellEnd"/>
      <w:r w:rsidRPr="00E7299A">
        <w:rPr>
          <w:sz w:val="24"/>
          <w:szCs w:val="24"/>
        </w:rPr>
        <w:t>, 2000</w:t>
      </w:r>
      <w:r>
        <w:rPr>
          <w:sz w:val="24"/>
          <w:szCs w:val="24"/>
        </w:rPr>
        <w:t xml:space="preserve">; </w:t>
      </w:r>
      <w:proofErr w:type="spellStart"/>
      <w:r>
        <w:rPr>
          <w:sz w:val="24"/>
          <w:szCs w:val="24"/>
        </w:rPr>
        <w:t>Yousef</w:t>
      </w:r>
      <w:proofErr w:type="spellEnd"/>
      <w:r>
        <w:rPr>
          <w:sz w:val="24"/>
          <w:szCs w:val="24"/>
        </w:rPr>
        <w:t>, 2004</w:t>
      </w:r>
      <w:r w:rsidRPr="00E7299A">
        <w:rPr>
          <w:sz w:val="24"/>
          <w:szCs w:val="24"/>
        </w:rPr>
        <w:t>) on the bas</w:t>
      </w:r>
      <w:r>
        <w:rPr>
          <w:sz w:val="24"/>
          <w:szCs w:val="24"/>
        </w:rPr>
        <w:t>i</w:t>
      </w:r>
      <w:r w:rsidRPr="00E7299A">
        <w:rPr>
          <w:sz w:val="24"/>
          <w:szCs w:val="24"/>
        </w:rPr>
        <w:t>s that in practice, it is similar to loans provid</w:t>
      </w:r>
      <w:r>
        <w:rPr>
          <w:sz w:val="24"/>
          <w:szCs w:val="24"/>
        </w:rPr>
        <w:t>ed by conventional banks in the sense</w:t>
      </w:r>
      <w:r w:rsidRPr="00E7299A">
        <w:rPr>
          <w:sz w:val="24"/>
          <w:szCs w:val="24"/>
        </w:rPr>
        <w:t xml:space="preserve"> that the Islamic bank bears no</w:t>
      </w:r>
      <w:r>
        <w:rPr>
          <w:sz w:val="24"/>
          <w:szCs w:val="24"/>
        </w:rPr>
        <w:t xml:space="preserve"> material commercial</w:t>
      </w:r>
      <w:r w:rsidRPr="00E7299A">
        <w:rPr>
          <w:sz w:val="24"/>
          <w:szCs w:val="24"/>
        </w:rPr>
        <w:t xml:space="preserve"> risk. </w:t>
      </w:r>
    </w:p>
  </w:endnote>
  <w:endnote w:id="5">
    <w:p w:rsidR="00631CC8" w:rsidRDefault="00631CC8" w:rsidP="008C1B0B">
      <w:pPr>
        <w:pStyle w:val="EndnoteText"/>
        <w:tabs>
          <w:tab w:val="left" w:pos="425"/>
        </w:tabs>
        <w:ind w:firstLine="0"/>
      </w:pPr>
      <w:r w:rsidRPr="008C1B0B">
        <w:rPr>
          <w:sz w:val="24"/>
          <w:szCs w:val="24"/>
        </w:rPr>
        <w:t>5.</w:t>
      </w:r>
      <w:r w:rsidRPr="008C1B0B">
        <w:rPr>
          <w:sz w:val="24"/>
          <w:szCs w:val="24"/>
        </w:rPr>
        <w:tab/>
      </w:r>
      <w:r>
        <w:rPr>
          <w:sz w:val="24"/>
          <w:szCs w:val="24"/>
        </w:rPr>
        <w:t>The Orphans’ Funds Management and Investment Act (No. 21 of 1972) required that orphans’ funds should be invested in interest-free transactions.</w:t>
      </w:r>
    </w:p>
  </w:endnote>
  <w:endnote w:id="6">
    <w:p w:rsidR="00631CC8" w:rsidRDefault="00631CC8" w:rsidP="00F44B04">
      <w:pPr>
        <w:pStyle w:val="EndnoteText"/>
        <w:tabs>
          <w:tab w:val="left" w:pos="425"/>
        </w:tabs>
        <w:ind w:firstLine="0"/>
      </w:pPr>
      <w:r w:rsidRPr="0099245E">
        <w:rPr>
          <w:sz w:val="24"/>
          <w:szCs w:val="24"/>
        </w:rPr>
        <w:endnoteRef/>
      </w:r>
      <w:r>
        <w:rPr>
          <w:sz w:val="24"/>
          <w:szCs w:val="24"/>
        </w:rPr>
        <w:t>.</w:t>
      </w:r>
      <w:r w:rsidRPr="00F44B04">
        <w:rPr>
          <w:sz w:val="24"/>
          <w:szCs w:val="24"/>
        </w:rPr>
        <w:t xml:space="preserve"> </w:t>
      </w:r>
      <w:r w:rsidRPr="00F44B04">
        <w:rPr>
          <w:sz w:val="24"/>
          <w:szCs w:val="24"/>
        </w:rPr>
        <w:tab/>
        <w:t xml:space="preserve">The other conditions include: </w:t>
      </w:r>
      <w:r>
        <w:rPr>
          <w:sz w:val="24"/>
          <w:szCs w:val="24"/>
        </w:rPr>
        <w:t>(</w:t>
      </w:r>
      <w:r w:rsidRPr="00F44B04">
        <w:rPr>
          <w:sz w:val="24"/>
          <w:szCs w:val="24"/>
        </w:rPr>
        <w:t>1</w:t>
      </w:r>
      <w:r>
        <w:rPr>
          <w:sz w:val="24"/>
          <w:szCs w:val="24"/>
        </w:rPr>
        <w:t>)</w:t>
      </w:r>
      <w:r w:rsidRPr="00F44B04">
        <w:rPr>
          <w:sz w:val="24"/>
          <w:szCs w:val="24"/>
        </w:rPr>
        <w:t xml:space="preserve"> </w:t>
      </w:r>
      <w:r>
        <w:rPr>
          <w:sz w:val="24"/>
          <w:szCs w:val="24"/>
        </w:rPr>
        <w:t>t</w:t>
      </w:r>
      <w:r w:rsidRPr="00F44B04">
        <w:rPr>
          <w:sz w:val="24"/>
          <w:szCs w:val="24"/>
        </w:rPr>
        <w:t xml:space="preserve">he proportion of </w:t>
      </w:r>
      <w:r>
        <w:rPr>
          <w:sz w:val="24"/>
          <w:szCs w:val="24"/>
        </w:rPr>
        <w:t xml:space="preserve">profits to which </w:t>
      </w:r>
      <w:r w:rsidRPr="00F44B04">
        <w:rPr>
          <w:sz w:val="24"/>
          <w:szCs w:val="24"/>
        </w:rPr>
        <w:t xml:space="preserve">each party </w:t>
      </w:r>
      <w:r>
        <w:rPr>
          <w:sz w:val="24"/>
          <w:szCs w:val="24"/>
        </w:rPr>
        <w:t xml:space="preserve">is entitled </w:t>
      </w:r>
      <w:r w:rsidRPr="00F44B04">
        <w:rPr>
          <w:sz w:val="24"/>
          <w:szCs w:val="24"/>
        </w:rPr>
        <w:t>should be agreed between the two parties when contracting, and should be a percentage, not</w:t>
      </w:r>
      <w:r>
        <w:rPr>
          <w:sz w:val="24"/>
          <w:szCs w:val="24"/>
        </w:rPr>
        <w:t xml:space="preserve"> a</w:t>
      </w:r>
      <w:r w:rsidRPr="00F44B04">
        <w:rPr>
          <w:sz w:val="24"/>
          <w:szCs w:val="24"/>
        </w:rPr>
        <w:t xml:space="preserve"> lump sum</w:t>
      </w:r>
      <w:r>
        <w:rPr>
          <w:sz w:val="24"/>
          <w:szCs w:val="24"/>
        </w:rPr>
        <w:t>;</w:t>
      </w:r>
      <w:r w:rsidRPr="00F44B04">
        <w:rPr>
          <w:sz w:val="24"/>
          <w:szCs w:val="24"/>
        </w:rPr>
        <w:t xml:space="preserve"> </w:t>
      </w:r>
      <w:r>
        <w:rPr>
          <w:sz w:val="24"/>
          <w:szCs w:val="24"/>
        </w:rPr>
        <w:t>(</w:t>
      </w:r>
      <w:r w:rsidRPr="00F44B04">
        <w:rPr>
          <w:sz w:val="24"/>
          <w:szCs w:val="24"/>
        </w:rPr>
        <w:t>2</w:t>
      </w:r>
      <w:r>
        <w:rPr>
          <w:sz w:val="24"/>
          <w:szCs w:val="24"/>
        </w:rPr>
        <w:t>)</w:t>
      </w:r>
      <w:r w:rsidRPr="00F44B04">
        <w:rPr>
          <w:sz w:val="24"/>
          <w:szCs w:val="24"/>
        </w:rPr>
        <w:t xml:space="preserve"> </w:t>
      </w:r>
      <w:r>
        <w:rPr>
          <w:sz w:val="24"/>
          <w:szCs w:val="24"/>
        </w:rPr>
        <w:t>t</w:t>
      </w:r>
      <w:r w:rsidRPr="00F44B04">
        <w:rPr>
          <w:sz w:val="24"/>
          <w:szCs w:val="24"/>
        </w:rPr>
        <w:t xml:space="preserve">he capital provided should be in cash </w:t>
      </w:r>
      <w:r>
        <w:rPr>
          <w:sz w:val="24"/>
          <w:szCs w:val="24"/>
        </w:rPr>
        <w:t>(though</w:t>
      </w:r>
      <w:r w:rsidRPr="00F44B04">
        <w:rPr>
          <w:sz w:val="24"/>
          <w:szCs w:val="24"/>
        </w:rPr>
        <w:t xml:space="preserve"> some Islamic jurists</w:t>
      </w:r>
      <w:r>
        <w:rPr>
          <w:sz w:val="24"/>
          <w:szCs w:val="24"/>
        </w:rPr>
        <w:t xml:space="preserve"> would allow</w:t>
      </w:r>
      <w:r w:rsidRPr="00F44B04">
        <w:rPr>
          <w:sz w:val="24"/>
          <w:szCs w:val="24"/>
        </w:rPr>
        <w:t xml:space="preserve"> it </w:t>
      </w:r>
      <w:r>
        <w:rPr>
          <w:sz w:val="24"/>
          <w:szCs w:val="24"/>
        </w:rPr>
        <w:t xml:space="preserve">to </w:t>
      </w:r>
      <w:r w:rsidRPr="00F44B04">
        <w:rPr>
          <w:sz w:val="24"/>
          <w:szCs w:val="24"/>
        </w:rPr>
        <w:t>be in the form of non-monetary assets, it cannot be in form of debt</w:t>
      </w:r>
      <w:r>
        <w:rPr>
          <w:sz w:val="24"/>
          <w:szCs w:val="24"/>
        </w:rPr>
        <w:t xml:space="preserve"> – </w:t>
      </w:r>
      <w:r w:rsidRPr="00F44B04">
        <w:rPr>
          <w:sz w:val="24"/>
          <w:szCs w:val="24"/>
        </w:rPr>
        <w:t>AAOIFI, 1999, p.</w:t>
      </w:r>
      <w:r>
        <w:rPr>
          <w:sz w:val="24"/>
          <w:szCs w:val="24"/>
        </w:rPr>
        <w:t> </w:t>
      </w:r>
      <w:r w:rsidRPr="00F44B04">
        <w:rPr>
          <w:sz w:val="24"/>
          <w:szCs w:val="24"/>
        </w:rPr>
        <w:t>171)</w:t>
      </w:r>
      <w:r>
        <w:rPr>
          <w:sz w:val="24"/>
          <w:szCs w:val="24"/>
        </w:rPr>
        <w:t>;</w:t>
      </w:r>
      <w:r w:rsidRPr="00F44B04">
        <w:rPr>
          <w:sz w:val="24"/>
          <w:szCs w:val="24"/>
        </w:rPr>
        <w:t xml:space="preserve"> </w:t>
      </w:r>
      <w:r>
        <w:rPr>
          <w:sz w:val="24"/>
          <w:szCs w:val="24"/>
        </w:rPr>
        <w:t>(</w:t>
      </w:r>
      <w:r w:rsidRPr="00F44B04">
        <w:rPr>
          <w:sz w:val="24"/>
          <w:szCs w:val="24"/>
        </w:rPr>
        <w:t>3</w:t>
      </w:r>
      <w:r>
        <w:rPr>
          <w:sz w:val="24"/>
          <w:szCs w:val="24"/>
        </w:rPr>
        <w:t>)</w:t>
      </w:r>
      <w:r w:rsidRPr="00F44B04">
        <w:rPr>
          <w:sz w:val="24"/>
          <w:szCs w:val="24"/>
        </w:rPr>
        <w:t xml:space="preserve"> </w:t>
      </w:r>
      <w:r>
        <w:rPr>
          <w:sz w:val="24"/>
          <w:szCs w:val="24"/>
        </w:rPr>
        <w:t>t</w:t>
      </w:r>
      <w:r w:rsidRPr="00F44B04">
        <w:rPr>
          <w:sz w:val="24"/>
          <w:szCs w:val="24"/>
        </w:rPr>
        <w:t>he entrepreneur is the one who works, not the provider of capital (Abu-</w:t>
      </w:r>
      <w:proofErr w:type="spellStart"/>
      <w:r w:rsidRPr="00F44B04">
        <w:rPr>
          <w:sz w:val="24"/>
          <w:szCs w:val="24"/>
        </w:rPr>
        <w:t>Zaid</w:t>
      </w:r>
      <w:proofErr w:type="spellEnd"/>
      <w:r w:rsidRPr="00F44B04">
        <w:rPr>
          <w:sz w:val="24"/>
          <w:szCs w:val="24"/>
        </w:rPr>
        <w:t>, 1996, p</w:t>
      </w:r>
      <w:r>
        <w:rPr>
          <w:sz w:val="24"/>
          <w:szCs w:val="24"/>
        </w:rPr>
        <w:t>. </w:t>
      </w:r>
      <w:r w:rsidRPr="00F44B04">
        <w:rPr>
          <w:sz w:val="24"/>
          <w:szCs w:val="24"/>
        </w:rPr>
        <w:t>28).</w:t>
      </w:r>
    </w:p>
  </w:endnote>
  <w:endnote w:id="7">
    <w:p w:rsidR="00631CC8" w:rsidRDefault="00631CC8" w:rsidP="00F44B04">
      <w:pPr>
        <w:pStyle w:val="EndnoteText"/>
        <w:tabs>
          <w:tab w:val="left" w:pos="425"/>
        </w:tabs>
        <w:ind w:firstLine="0"/>
      </w:pPr>
      <w:r w:rsidRPr="0099245E">
        <w:rPr>
          <w:sz w:val="24"/>
          <w:szCs w:val="24"/>
        </w:rPr>
        <w:endnoteRef/>
      </w:r>
      <w:r>
        <w:rPr>
          <w:sz w:val="24"/>
          <w:szCs w:val="24"/>
        </w:rPr>
        <w:t>.</w:t>
      </w:r>
      <w:r w:rsidRPr="00E7299A">
        <w:rPr>
          <w:sz w:val="24"/>
          <w:szCs w:val="24"/>
        </w:rPr>
        <w:t xml:space="preserve"> </w:t>
      </w:r>
      <w:r>
        <w:rPr>
          <w:sz w:val="24"/>
          <w:szCs w:val="24"/>
        </w:rPr>
        <w:tab/>
      </w:r>
      <w:proofErr w:type="spellStart"/>
      <w:r w:rsidRPr="00E7299A">
        <w:rPr>
          <w:sz w:val="24"/>
          <w:szCs w:val="24"/>
        </w:rPr>
        <w:t>H</w:t>
      </w:r>
      <w:r>
        <w:rPr>
          <w:sz w:val="24"/>
          <w:szCs w:val="24"/>
        </w:rPr>
        <w:t>a</w:t>
      </w:r>
      <w:r w:rsidRPr="00E7299A">
        <w:rPr>
          <w:sz w:val="24"/>
          <w:szCs w:val="24"/>
        </w:rPr>
        <w:t>moud</w:t>
      </w:r>
      <w:proofErr w:type="spellEnd"/>
      <w:r w:rsidRPr="00E7299A">
        <w:rPr>
          <w:sz w:val="24"/>
          <w:szCs w:val="24"/>
        </w:rPr>
        <w:t xml:space="preserve"> was not the only one to suggest such </w:t>
      </w:r>
      <w:r>
        <w:rPr>
          <w:sz w:val="24"/>
          <w:szCs w:val="24"/>
        </w:rPr>
        <w:t xml:space="preserve">a </w:t>
      </w:r>
      <w:r w:rsidRPr="00E7299A">
        <w:rPr>
          <w:sz w:val="24"/>
          <w:szCs w:val="24"/>
        </w:rPr>
        <w:t>deposit system</w:t>
      </w:r>
      <w:r>
        <w:rPr>
          <w:sz w:val="24"/>
          <w:szCs w:val="24"/>
        </w:rPr>
        <w:t>:</w:t>
      </w:r>
      <w:r w:rsidRPr="00E7299A">
        <w:rPr>
          <w:sz w:val="24"/>
          <w:szCs w:val="24"/>
        </w:rPr>
        <w:t xml:space="preserve"> two other Islamic scholars participated in </w:t>
      </w:r>
      <w:r>
        <w:rPr>
          <w:sz w:val="24"/>
          <w:szCs w:val="24"/>
        </w:rPr>
        <w:t>developing</w:t>
      </w:r>
      <w:r w:rsidRPr="00E7299A">
        <w:rPr>
          <w:sz w:val="24"/>
          <w:szCs w:val="24"/>
        </w:rPr>
        <w:t xml:space="preserve"> such </w:t>
      </w:r>
      <w:r>
        <w:rPr>
          <w:sz w:val="24"/>
          <w:szCs w:val="24"/>
        </w:rPr>
        <w:t>a system, Muhamma</w:t>
      </w:r>
      <w:r w:rsidRPr="00E7299A">
        <w:rPr>
          <w:sz w:val="24"/>
          <w:szCs w:val="24"/>
        </w:rPr>
        <w:t>d al-</w:t>
      </w:r>
      <w:proofErr w:type="spellStart"/>
      <w:r w:rsidRPr="00E7299A">
        <w:rPr>
          <w:sz w:val="24"/>
          <w:szCs w:val="24"/>
        </w:rPr>
        <w:t>Arabi</w:t>
      </w:r>
      <w:proofErr w:type="spellEnd"/>
      <w:r w:rsidRPr="00E7299A">
        <w:rPr>
          <w:sz w:val="24"/>
          <w:szCs w:val="24"/>
        </w:rPr>
        <w:t xml:space="preserve"> in 1967 [quoted </w:t>
      </w:r>
      <w:r>
        <w:rPr>
          <w:sz w:val="24"/>
          <w:szCs w:val="24"/>
        </w:rPr>
        <w:t xml:space="preserve">in </w:t>
      </w:r>
      <w:r w:rsidRPr="00E7299A">
        <w:rPr>
          <w:sz w:val="24"/>
          <w:szCs w:val="24"/>
        </w:rPr>
        <w:t>Abu-</w:t>
      </w:r>
      <w:proofErr w:type="spellStart"/>
      <w:r w:rsidRPr="00E7299A">
        <w:rPr>
          <w:sz w:val="24"/>
          <w:szCs w:val="24"/>
        </w:rPr>
        <w:t>Zaid</w:t>
      </w:r>
      <w:proofErr w:type="spellEnd"/>
      <w:r w:rsidRPr="00E7299A">
        <w:rPr>
          <w:sz w:val="24"/>
          <w:szCs w:val="24"/>
        </w:rPr>
        <w:t>, 1996, p.</w:t>
      </w:r>
      <w:r>
        <w:rPr>
          <w:sz w:val="24"/>
          <w:szCs w:val="24"/>
        </w:rPr>
        <w:t> </w:t>
      </w:r>
      <w:r w:rsidRPr="00E7299A">
        <w:rPr>
          <w:sz w:val="24"/>
          <w:szCs w:val="24"/>
        </w:rPr>
        <w:t>46]</w:t>
      </w:r>
      <w:r>
        <w:rPr>
          <w:sz w:val="24"/>
          <w:szCs w:val="24"/>
        </w:rPr>
        <w:t xml:space="preserve"> and</w:t>
      </w:r>
      <w:r w:rsidRPr="00E7299A">
        <w:rPr>
          <w:sz w:val="24"/>
          <w:szCs w:val="24"/>
        </w:rPr>
        <w:t xml:space="preserve"> Al-</w:t>
      </w:r>
      <w:proofErr w:type="spellStart"/>
      <w:r w:rsidRPr="00E7299A">
        <w:rPr>
          <w:sz w:val="24"/>
          <w:szCs w:val="24"/>
        </w:rPr>
        <w:t>Sader</w:t>
      </w:r>
      <w:proofErr w:type="spellEnd"/>
      <w:r w:rsidRPr="00E7299A">
        <w:rPr>
          <w:sz w:val="24"/>
          <w:szCs w:val="24"/>
        </w:rPr>
        <w:t xml:space="preserve"> (1974).  </w:t>
      </w:r>
    </w:p>
  </w:endnote>
  <w:endnote w:id="8">
    <w:p w:rsidR="00631CC8" w:rsidRDefault="00631CC8" w:rsidP="0039568D">
      <w:pPr>
        <w:pStyle w:val="EndnoteText"/>
        <w:tabs>
          <w:tab w:val="left" w:pos="425"/>
        </w:tabs>
        <w:ind w:firstLine="0"/>
      </w:pPr>
      <w:r w:rsidRPr="00F44B04">
        <w:rPr>
          <w:sz w:val="24"/>
          <w:szCs w:val="24"/>
        </w:rPr>
        <w:endnoteRef/>
      </w:r>
      <w:r>
        <w:rPr>
          <w:sz w:val="24"/>
          <w:szCs w:val="24"/>
        </w:rPr>
        <w:t>.</w:t>
      </w:r>
      <w:r w:rsidRPr="00F44B04">
        <w:rPr>
          <w:sz w:val="24"/>
          <w:szCs w:val="24"/>
        </w:rPr>
        <w:t xml:space="preserve"> </w:t>
      </w:r>
      <w:r w:rsidRPr="00F44B04">
        <w:rPr>
          <w:sz w:val="24"/>
          <w:szCs w:val="24"/>
        </w:rPr>
        <w:tab/>
        <w:t xml:space="preserve">Schools of Islamic </w:t>
      </w:r>
      <w:r>
        <w:rPr>
          <w:sz w:val="24"/>
          <w:szCs w:val="24"/>
        </w:rPr>
        <w:t>jurisprudence)</w:t>
      </w:r>
      <w:r w:rsidRPr="00F44B04">
        <w:rPr>
          <w:sz w:val="24"/>
          <w:szCs w:val="24"/>
        </w:rPr>
        <w:t xml:space="preserve"> </w:t>
      </w:r>
      <w:r>
        <w:rPr>
          <w:sz w:val="24"/>
          <w:szCs w:val="24"/>
        </w:rPr>
        <w:t>(</w:t>
      </w:r>
      <w:proofErr w:type="spellStart"/>
      <w:r>
        <w:rPr>
          <w:i/>
          <w:sz w:val="24"/>
          <w:szCs w:val="24"/>
        </w:rPr>
        <w:t>Madhdab</w:t>
      </w:r>
      <w:proofErr w:type="spellEnd"/>
      <w:r>
        <w:rPr>
          <w:sz w:val="24"/>
          <w:szCs w:val="24"/>
        </w:rPr>
        <w:t>)</w:t>
      </w:r>
      <w:r>
        <w:rPr>
          <w:i/>
          <w:sz w:val="24"/>
          <w:szCs w:val="24"/>
        </w:rPr>
        <w:t xml:space="preserve"> </w:t>
      </w:r>
      <w:r w:rsidRPr="00F44B04">
        <w:rPr>
          <w:sz w:val="24"/>
          <w:szCs w:val="24"/>
        </w:rPr>
        <w:t xml:space="preserve">are different ways of thinking </w:t>
      </w:r>
      <w:r>
        <w:rPr>
          <w:sz w:val="24"/>
          <w:szCs w:val="24"/>
        </w:rPr>
        <w:t xml:space="preserve">about </w:t>
      </w:r>
      <w:r w:rsidRPr="00F44B04">
        <w:rPr>
          <w:sz w:val="24"/>
          <w:szCs w:val="24"/>
        </w:rPr>
        <w:t>and methods of interpretation of</w:t>
      </w:r>
      <w:r>
        <w:rPr>
          <w:sz w:val="24"/>
          <w:szCs w:val="24"/>
        </w:rPr>
        <w:t xml:space="preserve"> the sources of</w:t>
      </w:r>
      <w:r w:rsidRPr="00F44B04">
        <w:rPr>
          <w:sz w:val="24"/>
          <w:szCs w:val="24"/>
        </w:rPr>
        <w:t xml:space="preserve"> </w:t>
      </w:r>
      <w:proofErr w:type="spellStart"/>
      <w:r w:rsidRPr="009A79BF">
        <w:rPr>
          <w:i/>
          <w:sz w:val="24"/>
          <w:szCs w:val="24"/>
        </w:rPr>
        <w:t>Shari’a</w:t>
      </w:r>
      <w:proofErr w:type="spellEnd"/>
      <w:r>
        <w:rPr>
          <w:sz w:val="24"/>
          <w:szCs w:val="24"/>
        </w:rPr>
        <w:t>.</w:t>
      </w:r>
      <w:r w:rsidRPr="00F44B04">
        <w:rPr>
          <w:sz w:val="24"/>
          <w:szCs w:val="24"/>
        </w:rPr>
        <w:t xml:space="preserve"> </w:t>
      </w:r>
      <w:r>
        <w:rPr>
          <w:sz w:val="24"/>
          <w:szCs w:val="24"/>
        </w:rPr>
        <w:t xml:space="preserve"> </w:t>
      </w:r>
      <w:r w:rsidRPr="00F44B04">
        <w:rPr>
          <w:sz w:val="24"/>
          <w:szCs w:val="24"/>
        </w:rPr>
        <w:t>These schools</w:t>
      </w:r>
      <w:r>
        <w:rPr>
          <w:sz w:val="24"/>
          <w:szCs w:val="24"/>
        </w:rPr>
        <w:t>, the most famous of which</w:t>
      </w:r>
      <w:r w:rsidRPr="00F44B04">
        <w:rPr>
          <w:sz w:val="24"/>
          <w:szCs w:val="24"/>
        </w:rPr>
        <w:t xml:space="preserve"> appeared </w:t>
      </w:r>
      <w:r>
        <w:rPr>
          <w:sz w:val="24"/>
          <w:szCs w:val="24"/>
        </w:rPr>
        <w:t xml:space="preserve">in the two centuries </w:t>
      </w:r>
      <w:r w:rsidRPr="00F44B04">
        <w:rPr>
          <w:sz w:val="24"/>
          <w:szCs w:val="24"/>
        </w:rPr>
        <w:t xml:space="preserve">after the death of the prophet </w:t>
      </w:r>
      <w:r>
        <w:rPr>
          <w:sz w:val="24"/>
          <w:szCs w:val="24"/>
        </w:rPr>
        <w:t>Muhammad,</w:t>
      </w:r>
      <w:r w:rsidRPr="00F44B04">
        <w:rPr>
          <w:sz w:val="24"/>
          <w:szCs w:val="24"/>
        </w:rPr>
        <w:t xml:space="preserve"> </w:t>
      </w:r>
      <w:r>
        <w:rPr>
          <w:sz w:val="24"/>
          <w:szCs w:val="24"/>
        </w:rPr>
        <w:t>provide</w:t>
      </w:r>
      <w:r w:rsidRPr="00F44B04">
        <w:rPr>
          <w:sz w:val="24"/>
          <w:szCs w:val="24"/>
        </w:rPr>
        <w:t xml:space="preserve"> different </w:t>
      </w:r>
      <w:r>
        <w:rPr>
          <w:sz w:val="24"/>
          <w:szCs w:val="24"/>
        </w:rPr>
        <w:t>rulings on</w:t>
      </w:r>
      <w:r w:rsidRPr="00F44B04">
        <w:rPr>
          <w:sz w:val="24"/>
          <w:szCs w:val="24"/>
        </w:rPr>
        <w:t xml:space="preserve"> some issues. The </w:t>
      </w:r>
      <w:r>
        <w:rPr>
          <w:sz w:val="24"/>
          <w:szCs w:val="24"/>
        </w:rPr>
        <w:t>four best</w:t>
      </w:r>
      <w:r w:rsidRPr="00F44B04">
        <w:rPr>
          <w:sz w:val="24"/>
          <w:szCs w:val="24"/>
        </w:rPr>
        <w:t xml:space="preserve"> known schools of Islamic thought </w:t>
      </w:r>
      <w:r>
        <w:rPr>
          <w:sz w:val="24"/>
          <w:szCs w:val="24"/>
        </w:rPr>
        <w:t>for</w:t>
      </w:r>
      <w:r w:rsidRPr="00F44B04">
        <w:rPr>
          <w:sz w:val="24"/>
          <w:szCs w:val="24"/>
        </w:rPr>
        <w:t xml:space="preserve"> Sunni Muslims are </w:t>
      </w:r>
      <w:proofErr w:type="spellStart"/>
      <w:r w:rsidRPr="00AA6445">
        <w:rPr>
          <w:i/>
          <w:sz w:val="24"/>
          <w:szCs w:val="24"/>
        </w:rPr>
        <w:t>Maliki</w:t>
      </w:r>
      <w:proofErr w:type="spellEnd"/>
      <w:r w:rsidRPr="00AA6445">
        <w:rPr>
          <w:i/>
          <w:sz w:val="24"/>
          <w:szCs w:val="24"/>
        </w:rPr>
        <w:t>,</w:t>
      </w:r>
      <w:r w:rsidRPr="00F44B04">
        <w:rPr>
          <w:sz w:val="24"/>
          <w:szCs w:val="24"/>
        </w:rPr>
        <w:t xml:space="preserve"> </w:t>
      </w:r>
      <w:proofErr w:type="spellStart"/>
      <w:r w:rsidRPr="00AA6445">
        <w:rPr>
          <w:i/>
          <w:sz w:val="24"/>
          <w:szCs w:val="24"/>
        </w:rPr>
        <w:t>Shaf</w:t>
      </w:r>
      <w:r>
        <w:rPr>
          <w:i/>
          <w:sz w:val="24"/>
          <w:szCs w:val="24"/>
        </w:rPr>
        <w:t>i’i</w:t>
      </w:r>
      <w:proofErr w:type="spellEnd"/>
      <w:r w:rsidRPr="00F44B04">
        <w:rPr>
          <w:sz w:val="24"/>
          <w:szCs w:val="24"/>
        </w:rPr>
        <w:t xml:space="preserve">, </w:t>
      </w:r>
      <w:proofErr w:type="spellStart"/>
      <w:r w:rsidRPr="00AA6445">
        <w:rPr>
          <w:i/>
          <w:sz w:val="24"/>
          <w:szCs w:val="24"/>
        </w:rPr>
        <w:t>Hanafi</w:t>
      </w:r>
      <w:proofErr w:type="spellEnd"/>
      <w:r w:rsidRPr="00F44B04">
        <w:rPr>
          <w:sz w:val="24"/>
          <w:szCs w:val="24"/>
        </w:rPr>
        <w:t xml:space="preserve"> and </w:t>
      </w:r>
      <w:proofErr w:type="spellStart"/>
      <w:r w:rsidRPr="00AA6445">
        <w:rPr>
          <w:i/>
          <w:sz w:val="24"/>
          <w:szCs w:val="24"/>
        </w:rPr>
        <w:t>Hanbali</w:t>
      </w:r>
      <w:proofErr w:type="spellEnd"/>
      <w:r>
        <w:rPr>
          <w:sz w:val="24"/>
          <w:szCs w:val="24"/>
        </w:rPr>
        <w:t xml:space="preserve"> (Ruthven, 1997, p. 78)</w:t>
      </w:r>
      <w:r w:rsidRPr="00F44B04">
        <w:rPr>
          <w:sz w:val="24"/>
          <w:szCs w:val="24"/>
        </w:rPr>
        <w:t xml:space="preserve">. </w:t>
      </w:r>
    </w:p>
  </w:endnote>
  <w:endnote w:id="9">
    <w:p w:rsidR="00631CC8" w:rsidRDefault="00631CC8" w:rsidP="00F20D0B">
      <w:pPr>
        <w:pStyle w:val="EndnoteText"/>
        <w:tabs>
          <w:tab w:val="left" w:pos="425"/>
        </w:tabs>
        <w:ind w:firstLine="0"/>
      </w:pPr>
      <w:r w:rsidRPr="0099245E">
        <w:rPr>
          <w:sz w:val="24"/>
          <w:szCs w:val="24"/>
        </w:rPr>
        <w:endnoteRef/>
      </w:r>
      <w:r>
        <w:rPr>
          <w:sz w:val="24"/>
          <w:szCs w:val="24"/>
        </w:rPr>
        <w:t>.</w:t>
      </w:r>
      <w:r w:rsidRPr="0099245E">
        <w:rPr>
          <w:sz w:val="24"/>
          <w:szCs w:val="24"/>
        </w:rPr>
        <w:t xml:space="preserve"> </w:t>
      </w:r>
      <w:r>
        <w:rPr>
          <w:sz w:val="24"/>
          <w:szCs w:val="24"/>
        </w:rPr>
        <w:tab/>
        <w:t xml:space="preserve">Because </w:t>
      </w:r>
      <w:r w:rsidRPr="00E7299A">
        <w:rPr>
          <w:sz w:val="24"/>
          <w:szCs w:val="24"/>
        </w:rPr>
        <w:t xml:space="preserve">his transaction </w:t>
      </w:r>
      <w:r>
        <w:rPr>
          <w:sz w:val="24"/>
          <w:szCs w:val="24"/>
        </w:rPr>
        <w:t>was</w:t>
      </w:r>
      <w:r w:rsidRPr="00E7299A">
        <w:rPr>
          <w:sz w:val="24"/>
          <w:szCs w:val="24"/>
        </w:rPr>
        <w:t xml:space="preserve"> </w:t>
      </w:r>
      <w:r>
        <w:rPr>
          <w:sz w:val="24"/>
          <w:szCs w:val="24"/>
        </w:rPr>
        <w:t>justified by reference to</w:t>
      </w:r>
      <w:r w:rsidRPr="00E7299A">
        <w:rPr>
          <w:sz w:val="24"/>
          <w:szCs w:val="24"/>
        </w:rPr>
        <w:t xml:space="preserve"> </w:t>
      </w:r>
      <w:r>
        <w:rPr>
          <w:sz w:val="24"/>
          <w:szCs w:val="24"/>
        </w:rPr>
        <w:t xml:space="preserve">the </w:t>
      </w:r>
      <w:proofErr w:type="spellStart"/>
      <w:r>
        <w:rPr>
          <w:i/>
          <w:sz w:val="24"/>
          <w:szCs w:val="24"/>
        </w:rPr>
        <w:t>Shafi’</w:t>
      </w:r>
      <w:r w:rsidRPr="00C562A0">
        <w:rPr>
          <w:i/>
          <w:sz w:val="24"/>
          <w:szCs w:val="24"/>
        </w:rPr>
        <w:t>i</w:t>
      </w:r>
      <w:proofErr w:type="spellEnd"/>
      <w:r w:rsidRPr="00E7299A">
        <w:rPr>
          <w:sz w:val="24"/>
          <w:szCs w:val="24"/>
        </w:rPr>
        <w:t xml:space="preserve"> school</w:t>
      </w:r>
      <w:r>
        <w:rPr>
          <w:sz w:val="24"/>
          <w:szCs w:val="24"/>
        </w:rPr>
        <w:t xml:space="preserve">, </w:t>
      </w:r>
      <w:proofErr w:type="spellStart"/>
      <w:r>
        <w:rPr>
          <w:sz w:val="24"/>
          <w:szCs w:val="24"/>
        </w:rPr>
        <w:t>Hamoud</w:t>
      </w:r>
      <w:proofErr w:type="spellEnd"/>
      <w:r>
        <w:rPr>
          <w:sz w:val="24"/>
          <w:szCs w:val="24"/>
        </w:rPr>
        <w:t xml:space="preserve"> had a similar problem in justifying the transaction to the Fatwa Committee (who tended to follow the </w:t>
      </w:r>
      <w:proofErr w:type="spellStart"/>
      <w:r>
        <w:rPr>
          <w:i/>
          <w:sz w:val="24"/>
          <w:szCs w:val="24"/>
        </w:rPr>
        <w:t>Hanafi</w:t>
      </w:r>
      <w:proofErr w:type="spellEnd"/>
      <w:r>
        <w:rPr>
          <w:sz w:val="24"/>
          <w:szCs w:val="24"/>
        </w:rPr>
        <w:t xml:space="preserve"> school) as he faced over</w:t>
      </w:r>
      <w:r w:rsidRPr="00E7299A">
        <w:rPr>
          <w:sz w:val="24"/>
          <w:szCs w:val="24"/>
        </w:rPr>
        <w:t xml:space="preserve"> </w:t>
      </w:r>
      <w:r>
        <w:rPr>
          <w:sz w:val="24"/>
          <w:szCs w:val="24"/>
        </w:rPr>
        <w:t xml:space="preserve">the </w:t>
      </w:r>
      <w:r w:rsidRPr="00E7299A">
        <w:rPr>
          <w:sz w:val="24"/>
          <w:szCs w:val="24"/>
        </w:rPr>
        <w:t xml:space="preserve">investment risk provision.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CC8" w:rsidRDefault="00631CC8">
      <w:r>
        <w:separator/>
      </w:r>
    </w:p>
  </w:footnote>
  <w:footnote w:type="continuationSeparator" w:id="0">
    <w:p w:rsidR="00631CC8" w:rsidRDefault="00631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C8" w:rsidRDefault="00631CC8" w:rsidP="009A79BF">
    <w:pPr>
      <w:pStyle w:val="Header"/>
      <w:jc w:val="center"/>
    </w:pPr>
    <w:r w:rsidRPr="009A79BF">
      <w:rPr>
        <w:szCs w:val="28"/>
      </w:rPr>
      <w:t xml:space="preserve">~ </w:t>
    </w:r>
    <w:fldSimple w:instr=" PAGE    \* MERGEFORMAT ">
      <w:r w:rsidR="000C2770" w:rsidRPr="000C2770">
        <w:rPr>
          <w:noProof/>
          <w:szCs w:val="28"/>
        </w:rPr>
        <w:t>2</w:t>
      </w:r>
    </w:fldSimple>
    <w:r w:rsidRPr="009A79BF">
      <w:rPr>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C8" w:rsidRDefault="00631CC8" w:rsidP="009A79BF">
    <w:pPr>
      <w:pStyle w:val="Header"/>
      <w:jc w:val="center"/>
    </w:pPr>
    <w:r w:rsidRPr="009A79BF">
      <w:rPr>
        <w:szCs w:val="28"/>
      </w:rPr>
      <w:t xml:space="preserve">~ </w:t>
    </w:r>
    <w:fldSimple w:instr=" PAGE    \* MERGEFORMAT ">
      <w:r w:rsidR="000C2770" w:rsidRPr="000C2770">
        <w:rPr>
          <w:noProof/>
          <w:szCs w:val="28"/>
        </w:rPr>
        <w:t>2</w:t>
      </w:r>
    </w:fldSimple>
    <w:r w:rsidRPr="009A79BF">
      <w:rPr>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C8" w:rsidRDefault="00631CC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C8" w:rsidRDefault="00631CC8" w:rsidP="00D971CC">
    <w:pPr>
      <w:pStyle w:val="Header"/>
      <w:jc w:val="center"/>
    </w:pPr>
    <w:r w:rsidRPr="009A79BF">
      <w:rPr>
        <w:szCs w:val="28"/>
      </w:rPr>
      <w:t xml:space="preserve">~ </w:t>
    </w:r>
    <w:fldSimple w:instr=" PAGE    \* MERGEFORMAT ">
      <w:r w:rsidR="000C2770" w:rsidRPr="000C2770">
        <w:rPr>
          <w:noProof/>
          <w:szCs w:val="28"/>
        </w:rPr>
        <w:t>26</w:t>
      </w:r>
    </w:fldSimple>
    <w:r w:rsidRPr="009A79BF">
      <w:rPr>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00C"/>
    <w:multiLevelType w:val="hybridMultilevel"/>
    <w:tmpl w:val="E60A9542"/>
    <w:lvl w:ilvl="0" w:tplc="D3D6755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3E5433"/>
    <w:multiLevelType w:val="multilevel"/>
    <w:tmpl w:val="69DECEC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Times New Roman" w:hAnsi="Times New Roman" w:cs="Times New Roman" w:hint="default"/>
        <w:b/>
        <w:bCs/>
        <w:i w:val="0"/>
        <w:iCs w:val="0"/>
        <w:caps w:val="0"/>
        <w:smallCaps w:val="0"/>
        <w:strike w:val="0"/>
        <w:dstrike w:val="0"/>
        <w:outline w:val="0"/>
        <w:shadow w:val="0"/>
        <w:emboss w:val="0"/>
        <w:imprint w:val="0"/>
        <w:color w:val="auto"/>
        <w:spacing w:val="0"/>
        <w:w w:val="100"/>
        <w:kern w:val="0"/>
        <w:position w:val="0"/>
        <w:sz w:val="26"/>
        <w:szCs w:val="26"/>
        <w:u w:val="none"/>
        <w:effect w:val="none"/>
      </w:rPr>
    </w:lvl>
    <w:lvl w:ilvl="2">
      <w:start w:val="1"/>
      <w:numFmt w:val="decimal"/>
      <w:lvlText w:val="%1.%2.%3"/>
      <w:lvlJc w:val="left"/>
      <w:pPr>
        <w:tabs>
          <w:tab w:val="num" w:pos="720"/>
        </w:tabs>
        <w:ind w:left="720" w:hanging="720"/>
      </w:pPr>
      <w:rPr>
        <w:rFonts w:ascii="Arial" w:hAnsi="Arial" w:cs="Times New Roman" w:hint="default"/>
        <w:bCs/>
        <w:iCs w:val="0"/>
        <w:dstrike w:val="0"/>
        <w:emboss w:val="0"/>
        <w:imprint w:val="0"/>
        <w:color w:val="auto"/>
        <w:w w:val="100"/>
        <w:effect w:val="no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nsid w:val="10AB1779"/>
    <w:multiLevelType w:val="hybridMultilevel"/>
    <w:tmpl w:val="F89AEEDC"/>
    <w:lvl w:ilvl="0" w:tplc="E48C607C">
      <w:start w:val="5"/>
      <w:numFmt w:val="bullet"/>
      <w:lvlText w:val="-"/>
      <w:lvlJc w:val="left"/>
      <w:pPr>
        <w:ind w:left="785" w:hanging="360"/>
      </w:pPr>
      <w:rPr>
        <w:rFonts w:ascii="Times New Roman" w:eastAsia="Times New Roman" w:hAnsi="Times New Roman" w:hint="default"/>
      </w:rPr>
    </w:lvl>
    <w:lvl w:ilvl="1" w:tplc="08090003" w:tentative="1">
      <w:start w:val="1"/>
      <w:numFmt w:val="bullet"/>
      <w:lvlText w:val="o"/>
      <w:lvlJc w:val="left"/>
      <w:pPr>
        <w:ind w:left="1505" w:hanging="360"/>
      </w:pPr>
      <w:rPr>
        <w:rFonts w:ascii="Courier New" w:hAnsi="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nsid w:val="10DA2C4A"/>
    <w:multiLevelType w:val="hybridMultilevel"/>
    <w:tmpl w:val="0E0AD554"/>
    <w:lvl w:ilvl="0" w:tplc="DFF45652">
      <w:start w:val="1"/>
      <w:numFmt w:val="decimal"/>
      <w:lvlText w:val="%1."/>
      <w:lvlJc w:val="left"/>
      <w:pPr>
        <w:ind w:left="717" w:hanging="360"/>
      </w:pPr>
      <w:rPr>
        <w:rFonts w:cs="Times New Roman" w:hint="default"/>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4">
    <w:nsid w:val="11727BF5"/>
    <w:multiLevelType w:val="hybridMultilevel"/>
    <w:tmpl w:val="5F3E2BC6"/>
    <w:lvl w:ilvl="0" w:tplc="E7F676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5C60A84"/>
    <w:multiLevelType w:val="hybridMultilevel"/>
    <w:tmpl w:val="215C1E1E"/>
    <w:lvl w:ilvl="0" w:tplc="A4B8A70E">
      <w:start w:val="1"/>
      <w:numFmt w:val="lowerLetter"/>
      <w:lvlText w:val="(%1)"/>
      <w:lvlJc w:val="left"/>
      <w:pPr>
        <w:tabs>
          <w:tab w:val="num" w:pos="765"/>
        </w:tabs>
        <w:ind w:left="765" w:hanging="340"/>
      </w:pPr>
      <w:rPr>
        <w:rFonts w:cs="Times New Roman" w:hint="default"/>
      </w:rPr>
    </w:lvl>
    <w:lvl w:ilvl="1" w:tplc="08090019" w:tentative="1">
      <w:start w:val="1"/>
      <w:numFmt w:val="lowerLetter"/>
      <w:lvlText w:val="%2."/>
      <w:lvlJc w:val="left"/>
      <w:pPr>
        <w:tabs>
          <w:tab w:val="num" w:pos="1145"/>
        </w:tabs>
        <w:ind w:left="1145" w:hanging="360"/>
      </w:pPr>
      <w:rPr>
        <w:rFonts w:cs="Times New Roman"/>
      </w:rPr>
    </w:lvl>
    <w:lvl w:ilvl="2" w:tplc="0809001B" w:tentative="1">
      <w:start w:val="1"/>
      <w:numFmt w:val="lowerRoman"/>
      <w:lvlText w:val="%3."/>
      <w:lvlJc w:val="right"/>
      <w:pPr>
        <w:tabs>
          <w:tab w:val="num" w:pos="1865"/>
        </w:tabs>
        <w:ind w:left="1865" w:hanging="180"/>
      </w:pPr>
      <w:rPr>
        <w:rFonts w:cs="Times New Roman"/>
      </w:rPr>
    </w:lvl>
    <w:lvl w:ilvl="3" w:tplc="0809000F" w:tentative="1">
      <w:start w:val="1"/>
      <w:numFmt w:val="decimal"/>
      <w:lvlText w:val="%4."/>
      <w:lvlJc w:val="left"/>
      <w:pPr>
        <w:tabs>
          <w:tab w:val="num" w:pos="2585"/>
        </w:tabs>
        <w:ind w:left="2585" w:hanging="360"/>
      </w:pPr>
      <w:rPr>
        <w:rFonts w:cs="Times New Roman"/>
      </w:rPr>
    </w:lvl>
    <w:lvl w:ilvl="4" w:tplc="08090019" w:tentative="1">
      <w:start w:val="1"/>
      <w:numFmt w:val="lowerLetter"/>
      <w:lvlText w:val="%5."/>
      <w:lvlJc w:val="left"/>
      <w:pPr>
        <w:tabs>
          <w:tab w:val="num" w:pos="3305"/>
        </w:tabs>
        <w:ind w:left="3305" w:hanging="360"/>
      </w:pPr>
      <w:rPr>
        <w:rFonts w:cs="Times New Roman"/>
      </w:rPr>
    </w:lvl>
    <w:lvl w:ilvl="5" w:tplc="0809001B" w:tentative="1">
      <w:start w:val="1"/>
      <w:numFmt w:val="lowerRoman"/>
      <w:lvlText w:val="%6."/>
      <w:lvlJc w:val="right"/>
      <w:pPr>
        <w:tabs>
          <w:tab w:val="num" w:pos="4025"/>
        </w:tabs>
        <w:ind w:left="4025" w:hanging="180"/>
      </w:pPr>
      <w:rPr>
        <w:rFonts w:cs="Times New Roman"/>
      </w:rPr>
    </w:lvl>
    <w:lvl w:ilvl="6" w:tplc="0809000F" w:tentative="1">
      <w:start w:val="1"/>
      <w:numFmt w:val="decimal"/>
      <w:lvlText w:val="%7."/>
      <w:lvlJc w:val="left"/>
      <w:pPr>
        <w:tabs>
          <w:tab w:val="num" w:pos="4745"/>
        </w:tabs>
        <w:ind w:left="4745" w:hanging="360"/>
      </w:pPr>
      <w:rPr>
        <w:rFonts w:cs="Times New Roman"/>
      </w:rPr>
    </w:lvl>
    <w:lvl w:ilvl="7" w:tplc="08090019" w:tentative="1">
      <w:start w:val="1"/>
      <w:numFmt w:val="lowerLetter"/>
      <w:lvlText w:val="%8."/>
      <w:lvlJc w:val="left"/>
      <w:pPr>
        <w:tabs>
          <w:tab w:val="num" w:pos="5465"/>
        </w:tabs>
        <w:ind w:left="5465" w:hanging="360"/>
      </w:pPr>
      <w:rPr>
        <w:rFonts w:cs="Times New Roman"/>
      </w:rPr>
    </w:lvl>
    <w:lvl w:ilvl="8" w:tplc="0809001B" w:tentative="1">
      <w:start w:val="1"/>
      <w:numFmt w:val="lowerRoman"/>
      <w:lvlText w:val="%9."/>
      <w:lvlJc w:val="right"/>
      <w:pPr>
        <w:tabs>
          <w:tab w:val="num" w:pos="6185"/>
        </w:tabs>
        <w:ind w:left="6185" w:hanging="180"/>
      </w:pPr>
      <w:rPr>
        <w:rFonts w:cs="Times New Roman"/>
      </w:rPr>
    </w:lvl>
  </w:abstractNum>
  <w:abstractNum w:abstractNumId="6">
    <w:nsid w:val="1AE27680"/>
    <w:multiLevelType w:val="hybridMultilevel"/>
    <w:tmpl w:val="CDCE13E4"/>
    <w:lvl w:ilvl="0" w:tplc="4B20840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C2F5DDE"/>
    <w:multiLevelType w:val="hybridMultilevel"/>
    <w:tmpl w:val="AC2A354A"/>
    <w:lvl w:ilvl="0" w:tplc="A4B8A70E">
      <w:start w:val="1"/>
      <w:numFmt w:val="lowerLetter"/>
      <w:lvlText w:val="(%1)"/>
      <w:lvlJc w:val="left"/>
      <w:pPr>
        <w:tabs>
          <w:tab w:val="num" w:pos="1060"/>
        </w:tabs>
        <w:ind w:left="106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4F44E41"/>
    <w:multiLevelType w:val="hybridMultilevel"/>
    <w:tmpl w:val="BFA6D0E6"/>
    <w:lvl w:ilvl="0" w:tplc="A4B8A70E">
      <w:start w:val="1"/>
      <w:numFmt w:val="lowerLetter"/>
      <w:lvlText w:val="(%1)"/>
      <w:lvlJc w:val="left"/>
      <w:pPr>
        <w:tabs>
          <w:tab w:val="num" w:pos="765"/>
        </w:tabs>
        <w:ind w:left="765" w:hanging="340"/>
      </w:pPr>
      <w:rPr>
        <w:rFonts w:cs="Times New Roman" w:hint="default"/>
      </w:rPr>
    </w:lvl>
    <w:lvl w:ilvl="1" w:tplc="08090019" w:tentative="1">
      <w:start w:val="1"/>
      <w:numFmt w:val="lowerLetter"/>
      <w:lvlText w:val="%2."/>
      <w:lvlJc w:val="left"/>
      <w:pPr>
        <w:tabs>
          <w:tab w:val="num" w:pos="1145"/>
        </w:tabs>
        <w:ind w:left="1145" w:hanging="360"/>
      </w:pPr>
      <w:rPr>
        <w:rFonts w:cs="Times New Roman"/>
      </w:rPr>
    </w:lvl>
    <w:lvl w:ilvl="2" w:tplc="0809001B" w:tentative="1">
      <w:start w:val="1"/>
      <w:numFmt w:val="lowerRoman"/>
      <w:lvlText w:val="%3."/>
      <w:lvlJc w:val="right"/>
      <w:pPr>
        <w:tabs>
          <w:tab w:val="num" w:pos="1865"/>
        </w:tabs>
        <w:ind w:left="1865" w:hanging="180"/>
      </w:pPr>
      <w:rPr>
        <w:rFonts w:cs="Times New Roman"/>
      </w:rPr>
    </w:lvl>
    <w:lvl w:ilvl="3" w:tplc="0809000F" w:tentative="1">
      <w:start w:val="1"/>
      <w:numFmt w:val="decimal"/>
      <w:lvlText w:val="%4."/>
      <w:lvlJc w:val="left"/>
      <w:pPr>
        <w:tabs>
          <w:tab w:val="num" w:pos="2585"/>
        </w:tabs>
        <w:ind w:left="2585" w:hanging="360"/>
      </w:pPr>
      <w:rPr>
        <w:rFonts w:cs="Times New Roman"/>
      </w:rPr>
    </w:lvl>
    <w:lvl w:ilvl="4" w:tplc="08090019" w:tentative="1">
      <w:start w:val="1"/>
      <w:numFmt w:val="lowerLetter"/>
      <w:lvlText w:val="%5."/>
      <w:lvlJc w:val="left"/>
      <w:pPr>
        <w:tabs>
          <w:tab w:val="num" w:pos="3305"/>
        </w:tabs>
        <w:ind w:left="3305" w:hanging="360"/>
      </w:pPr>
      <w:rPr>
        <w:rFonts w:cs="Times New Roman"/>
      </w:rPr>
    </w:lvl>
    <w:lvl w:ilvl="5" w:tplc="0809001B" w:tentative="1">
      <w:start w:val="1"/>
      <w:numFmt w:val="lowerRoman"/>
      <w:lvlText w:val="%6."/>
      <w:lvlJc w:val="right"/>
      <w:pPr>
        <w:tabs>
          <w:tab w:val="num" w:pos="4025"/>
        </w:tabs>
        <w:ind w:left="4025" w:hanging="180"/>
      </w:pPr>
      <w:rPr>
        <w:rFonts w:cs="Times New Roman"/>
      </w:rPr>
    </w:lvl>
    <w:lvl w:ilvl="6" w:tplc="0809000F" w:tentative="1">
      <w:start w:val="1"/>
      <w:numFmt w:val="decimal"/>
      <w:lvlText w:val="%7."/>
      <w:lvlJc w:val="left"/>
      <w:pPr>
        <w:tabs>
          <w:tab w:val="num" w:pos="4745"/>
        </w:tabs>
        <w:ind w:left="4745" w:hanging="360"/>
      </w:pPr>
      <w:rPr>
        <w:rFonts w:cs="Times New Roman"/>
      </w:rPr>
    </w:lvl>
    <w:lvl w:ilvl="7" w:tplc="08090019" w:tentative="1">
      <w:start w:val="1"/>
      <w:numFmt w:val="lowerLetter"/>
      <w:lvlText w:val="%8."/>
      <w:lvlJc w:val="left"/>
      <w:pPr>
        <w:tabs>
          <w:tab w:val="num" w:pos="5465"/>
        </w:tabs>
        <w:ind w:left="5465" w:hanging="360"/>
      </w:pPr>
      <w:rPr>
        <w:rFonts w:cs="Times New Roman"/>
      </w:rPr>
    </w:lvl>
    <w:lvl w:ilvl="8" w:tplc="0809001B" w:tentative="1">
      <w:start w:val="1"/>
      <w:numFmt w:val="lowerRoman"/>
      <w:lvlText w:val="%9."/>
      <w:lvlJc w:val="right"/>
      <w:pPr>
        <w:tabs>
          <w:tab w:val="num" w:pos="6185"/>
        </w:tabs>
        <w:ind w:left="6185" w:hanging="180"/>
      </w:pPr>
      <w:rPr>
        <w:rFonts w:cs="Times New Roman"/>
      </w:rPr>
    </w:lvl>
  </w:abstractNum>
  <w:abstractNum w:abstractNumId="9">
    <w:nsid w:val="31B814F4"/>
    <w:multiLevelType w:val="hybridMultilevel"/>
    <w:tmpl w:val="FA229EBE"/>
    <w:lvl w:ilvl="0" w:tplc="532E783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C29105C"/>
    <w:multiLevelType w:val="hybridMultilevel"/>
    <w:tmpl w:val="BA8C35CE"/>
    <w:lvl w:ilvl="0" w:tplc="CA7A667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2C21C15"/>
    <w:multiLevelType w:val="hybridMultilevel"/>
    <w:tmpl w:val="FE92E630"/>
    <w:lvl w:ilvl="0" w:tplc="A4B8A70E">
      <w:start w:val="1"/>
      <w:numFmt w:val="lowerLetter"/>
      <w:lvlText w:val="(%1)"/>
      <w:lvlJc w:val="left"/>
      <w:pPr>
        <w:tabs>
          <w:tab w:val="num" w:pos="765"/>
        </w:tabs>
        <w:ind w:left="765" w:hanging="340"/>
      </w:pPr>
      <w:rPr>
        <w:rFonts w:cs="Times New Roman" w:hint="default"/>
      </w:rPr>
    </w:lvl>
    <w:lvl w:ilvl="1" w:tplc="08090019" w:tentative="1">
      <w:start w:val="1"/>
      <w:numFmt w:val="lowerLetter"/>
      <w:lvlText w:val="%2."/>
      <w:lvlJc w:val="left"/>
      <w:pPr>
        <w:tabs>
          <w:tab w:val="num" w:pos="1145"/>
        </w:tabs>
        <w:ind w:left="1145" w:hanging="360"/>
      </w:pPr>
      <w:rPr>
        <w:rFonts w:cs="Times New Roman"/>
      </w:rPr>
    </w:lvl>
    <w:lvl w:ilvl="2" w:tplc="0809001B" w:tentative="1">
      <w:start w:val="1"/>
      <w:numFmt w:val="lowerRoman"/>
      <w:lvlText w:val="%3."/>
      <w:lvlJc w:val="right"/>
      <w:pPr>
        <w:tabs>
          <w:tab w:val="num" w:pos="1865"/>
        </w:tabs>
        <w:ind w:left="1865" w:hanging="180"/>
      </w:pPr>
      <w:rPr>
        <w:rFonts w:cs="Times New Roman"/>
      </w:rPr>
    </w:lvl>
    <w:lvl w:ilvl="3" w:tplc="0809000F" w:tentative="1">
      <w:start w:val="1"/>
      <w:numFmt w:val="decimal"/>
      <w:lvlText w:val="%4."/>
      <w:lvlJc w:val="left"/>
      <w:pPr>
        <w:tabs>
          <w:tab w:val="num" w:pos="2585"/>
        </w:tabs>
        <w:ind w:left="2585" w:hanging="360"/>
      </w:pPr>
      <w:rPr>
        <w:rFonts w:cs="Times New Roman"/>
      </w:rPr>
    </w:lvl>
    <w:lvl w:ilvl="4" w:tplc="08090019" w:tentative="1">
      <w:start w:val="1"/>
      <w:numFmt w:val="lowerLetter"/>
      <w:lvlText w:val="%5."/>
      <w:lvlJc w:val="left"/>
      <w:pPr>
        <w:tabs>
          <w:tab w:val="num" w:pos="3305"/>
        </w:tabs>
        <w:ind w:left="3305" w:hanging="360"/>
      </w:pPr>
      <w:rPr>
        <w:rFonts w:cs="Times New Roman"/>
      </w:rPr>
    </w:lvl>
    <w:lvl w:ilvl="5" w:tplc="0809001B" w:tentative="1">
      <w:start w:val="1"/>
      <w:numFmt w:val="lowerRoman"/>
      <w:lvlText w:val="%6."/>
      <w:lvlJc w:val="right"/>
      <w:pPr>
        <w:tabs>
          <w:tab w:val="num" w:pos="4025"/>
        </w:tabs>
        <w:ind w:left="4025" w:hanging="180"/>
      </w:pPr>
      <w:rPr>
        <w:rFonts w:cs="Times New Roman"/>
      </w:rPr>
    </w:lvl>
    <w:lvl w:ilvl="6" w:tplc="0809000F" w:tentative="1">
      <w:start w:val="1"/>
      <w:numFmt w:val="decimal"/>
      <w:lvlText w:val="%7."/>
      <w:lvlJc w:val="left"/>
      <w:pPr>
        <w:tabs>
          <w:tab w:val="num" w:pos="4745"/>
        </w:tabs>
        <w:ind w:left="4745" w:hanging="360"/>
      </w:pPr>
      <w:rPr>
        <w:rFonts w:cs="Times New Roman"/>
      </w:rPr>
    </w:lvl>
    <w:lvl w:ilvl="7" w:tplc="08090019" w:tentative="1">
      <w:start w:val="1"/>
      <w:numFmt w:val="lowerLetter"/>
      <w:lvlText w:val="%8."/>
      <w:lvlJc w:val="left"/>
      <w:pPr>
        <w:tabs>
          <w:tab w:val="num" w:pos="5465"/>
        </w:tabs>
        <w:ind w:left="5465" w:hanging="360"/>
      </w:pPr>
      <w:rPr>
        <w:rFonts w:cs="Times New Roman"/>
      </w:rPr>
    </w:lvl>
    <w:lvl w:ilvl="8" w:tplc="0809001B" w:tentative="1">
      <w:start w:val="1"/>
      <w:numFmt w:val="lowerRoman"/>
      <w:lvlText w:val="%9."/>
      <w:lvlJc w:val="right"/>
      <w:pPr>
        <w:tabs>
          <w:tab w:val="num" w:pos="6185"/>
        </w:tabs>
        <w:ind w:left="6185" w:hanging="180"/>
      </w:pPr>
      <w:rPr>
        <w:rFonts w:cs="Times New Roman"/>
      </w:rPr>
    </w:lvl>
  </w:abstractNum>
  <w:abstractNum w:abstractNumId="12">
    <w:nsid w:val="52F43254"/>
    <w:multiLevelType w:val="hybridMultilevel"/>
    <w:tmpl w:val="0414C6A4"/>
    <w:lvl w:ilvl="0" w:tplc="A4B8A70E">
      <w:start w:val="1"/>
      <w:numFmt w:val="lowerLetter"/>
      <w:lvlText w:val="(%1)"/>
      <w:lvlJc w:val="left"/>
      <w:pPr>
        <w:tabs>
          <w:tab w:val="num" w:pos="765"/>
        </w:tabs>
        <w:ind w:left="765" w:hanging="340"/>
      </w:pPr>
      <w:rPr>
        <w:rFonts w:cs="Times New Roman" w:hint="default"/>
      </w:rPr>
    </w:lvl>
    <w:lvl w:ilvl="1" w:tplc="08090019" w:tentative="1">
      <w:start w:val="1"/>
      <w:numFmt w:val="lowerLetter"/>
      <w:lvlText w:val="%2."/>
      <w:lvlJc w:val="left"/>
      <w:pPr>
        <w:tabs>
          <w:tab w:val="num" w:pos="1145"/>
        </w:tabs>
        <w:ind w:left="1145" w:hanging="360"/>
      </w:pPr>
      <w:rPr>
        <w:rFonts w:cs="Times New Roman"/>
      </w:rPr>
    </w:lvl>
    <w:lvl w:ilvl="2" w:tplc="0809001B" w:tentative="1">
      <w:start w:val="1"/>
      <w:numFmt w:val="lowerRoman"/>
      <w:lvlText w:val="%3."/>
      <w:lvlJc w:val="right"/>
      <w:pPr>
        <w:tabs>
          <w:tab w:val="num" w:pos="1865"/>
        </w:tabs>
        <w:ind w:left="1865" w:hanging="180"/>
      </w:pPr>
      <w:rPr>
        <w:rFonts w:cs="Times New Roman"/>
      </w:rPr>
    </w:lvl>
    <w:lvl w:ilvl="3" w:tplc="0809000F" w:tentative="1">
      <w:start w:val="1"/>
      <w:numFmt w:val="decimal"/>
      <w:lvlText w:val="%4."/>
      <w:lvlJc w:val="left"/>
      <w:pPr>
        <w:tabs>
          <w:tab w:val="num" w:pos="2585"/>
        </w:tabs>
        <w:ind w:left="2585" w:hanging="360"/>
      </w:pPr>
      <w:rPr>
        <w:rFonts w:cs="Times New Roman"/>
      </w:rPr>
    </w:lvl>
    <w:lvl w:ilvl="4" w:tplc="08090019" w:tentative="1">
      <w:start w:val="1"/>
      <w:numFmt w:val="lowerLetter"/>
      <w:lvlText w:val="%5."/>
      <w:lvlJc w:val="left"/>
      <w:pPr>
        <w:tabs>
          <w:tab w:val="num" w:pos="3305"/>
        </w:tabs>
        <w:ind w:left="3305" w:hanging="360"/>
      </w:pPr>
      <w:rPr>
        <w:rFonts w:cs="Times New Roman"/>
      </w:rPr>
    </w:lvl>
    <w:lvl w:ilvl="5" w:tplc="0809001B" w:tentative="1">
      <w:start w:val="1"/>
      <w:numFmt w:val="lowerRoman"/>
      <w:lvlText w:val="%6."/>
      <w:lvlJc w:val="right"/>
      <w:pPr>
        <w:tabs>
          <w:tab w:val="num" w:pos="4025"/>
        </w:tabs>
        <w:ind w:left="4025" w:hanging="180"/>
      </w:pPr>
      <w:rPr>
        <w:rFonts w:cs="Times New Roman"/>
      </w:rPr>
    </w:lvl>
    <w:lvl w:ilvl="6" w:tplc="0809000F" w:tentative="1">
      <w:start w:val="1"/>
      <w:numFmt w:val="decimal"/>
      <w:lvlText w:val="%7."/>
      <w:lvlJc w:val="left"/>
      <w:pPr>
        <w:tabs>
          <w:tab w:val="num" w:pos="4745"/>
        </w:tabs>
        <w:ind w:left="4745" w:hanging="360"/>
      </w:pPr>
      <w:rPr>
        <w:rFonts w:cs="Times New Roman"/>
      </w:rPr>
    </w:lvl>
    <w:lvl w:ilvl="7" w:tplc="08090019" w:tentative="1">
      <w:start w:val="1"/>
      <w:numFmt w:val="lowerLetter"/>
      <w:lvlText w:val="%8."/>
      <w:lvlJc w:val="left"/>
      <w:pPr>
        <w:tabs>
          <w:tab w:val="num" w:pos="5465"/>
        </w:tabs>
        <w:ind w:left="5465" w:hanging="360"/>
      </w:pPr>
      <w:rPr>
        <w:rFonts w:cs="Times New Roman"/>
      </w:rPr>
    </w:lvl>
    <w:lvl w:ilvl="8" w:tplc="0809001B" w:tentative="1">
      <w:start w:val="1"/>
      <w:numFmt w:val="lowerRoman"/>
      <w:lvlText w:val="%9."/>
      <w:lvlJc w:val="right"/>
      <w:pPr>
        <w:tabs>
          <w:tab w:val="num" w:pos="6185"/>
        </w:tabs>
        <w:ind w:left="6185" w:hanging="180"/>
      </w:pPr>
      <w:rPr>
        <w:rFonts w:cs="Times New Roman"/>
      </w:rPr>
    </w:lvl>
  </w:abstractNum>
  <w:abstractNum w:abstractNumId="13">
    <w:nsid w:val="5A1A5C95"/>
    <w:multiLevelType w:val="hybridMultilevel"/>
    <w:tmpl w:val="F2E01354"/>
    <w:lvl w:ilvl="0" w:tplc="0100C28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46D7F28"/>
    <w:multiLevelType w:val="hybridMultilevel"/>
    <w:tmpl w:val="FAD09C42"/>
    <w:lvl w:ilvl="0" w:tplc="A4B8A70E">
      <w:start w:val="1"/>
      <w:numFmt w:val="lowerLetter"/>
      <w:lvlText w:val="(%1)"/>
      <w:lvlJc w:val="left"/>
      <w:pPr>
        <w:tabs>
          <w:tab w:val="num" w:pos="765"/>
        </w:tabs>
        <w:ind w:left="765" w:hanging="340"/>
      </w:pPr>
      <w:rPr>
        <w:rFonts w:cs="Times New Roman" w:hint="default"/>
      </w:rPr>
    </w:lvl>
    <w:lvl w:ilvl="1" w:tplc="08090019" w:tentative="1">
      <w:start w:val="1"/>
      <w:numFmt w:val="lowerLetter"/>
      <w:lvlText w:val="%2."/>
      <w:lvlJc w:val="left"/>
      <w:pPr>
        <w:tabs>
          <w:tab w:val="num" w:pos="1145"/>
        </w:tabs>
        <w:ind w:left="1145" w:hanging="360"/>
      </w:pPr>
      <w:rPr>
        <w:rFonts w:cs="Times New Roman"/>
      </w:rPr>
    </w:lvl>
    <w:lvl w:ilvl="2" w:tplc="0809001B" w:tentative="1">
      <w:start w:val="1"/>
      <w:numFmt w:val="lowerRoman"/>
      <w:lvlText w:val="%3."/>
      <w:lvlJc w:val="right"/>
      <w:pPr>
        <w:tabs>
          <w:tab w:val="num" w:pos="1865"/>
        </w:tabs>
        <w:ind w:left="1865" w:hanging="180"/>
      </w:pPr>
      <w:rPr>
        <w:rFonts w:cs="Times New Roman"/>
      </w:rPr>
    </w:lvl>
    <w:lvl w:ilvl="3" w:tplc="0809000F" w:tentative="1">
      <w:start w:val="1"/>
      <w:numFmt w:val="decimal"/>
      <w:lvlText w:val="%4."/>
      <w:lvlJc w:val="left"/>
      <w:pPr>
        <w:tabs>
          <w:tab w:val="num" w:pos="2585"/>
        </w:tabs>
        <w:ind w:left="2585" w:hanging="360"/>
      </w:pPr>
      <w:rPr>
        <w:rFonts w:cs="Times New Roman"/>
      </w:rPr>
    </w:lvl>
    <w:lvl w:ilvl="4" w:tplc="08090019" w:tentative="1">
      <w:start w:val="1"/>
      <w:numFmt w:val="lowerLetter"/>
      <w:lvlText w:val="%5."/>
      <w:lvlJc w:val="left"/>
      <w:pPr>
        <w:tabs>
          <w:tab w:val="num" w:pos="3305"/>
        </w:tabs>
        <w:ind w:left="3305" w:hanging="360"/>
      </w:pPr>
      <w:rPr>
        <w:rFonts w:cs="Times New Roman"/>
      </w:rPr>
    </w:lvl>
    <w:lvl w:ilvl="5" w:tplc="0809001B" w:tentative="1">
      <w:start w:val="1"/>
      <w:numFmt w:val="lowerRoman"/>
      <w:lvlText w:val="%6."/>
      <w:lvlJc w:val="right"/>
      <w:pPr>
        <w:tabs>
          <w:tab w:val="num" w:pos="4025"/>
        </w:tabs>
        <w:ind w:left="4025" w:hanging="180"/>
      </w:pPr>
      <w:rPr>
        <w:rFonts w:cs="Times New Roman"/>
      </w:rPr>
    </w:lvl>
    <w:lvl w:ilvl="6" w:tplc="0809000F" w:tentative="1">
      <w:start w:val="1"/>
      <w:numFmt w:val="decimal"/>
      <w:lvlText w:val="%7."/>
      <w:lvlJc w:val="left"/>
      <w:pPr>
        <w:tabs>
          <w:tab w:val="num" w:pos="4745"/>
        </w:tabs>
        <w:ind w:left="4745" w:hanging="360"/>
      </w:pPr>
      <w:rPr>
        <w:rFonts w:cs="Times New Roman"/>
      </w:rPr>
    </w:lvl>
    <w:lvl w:ilvl="7" w:tplc="08090019" w:tentative="1">
      <w:start w:val="1"/>
      <w:numFmt w:val="lowerLetter"/>
      <w:lvlText w:val="%8."/>
      <w:lvlJc w:val="left"/>
      <w:pPr>
        <w:tabs>
          <w:tab w:val="num" w:pos="5465"/>
        </w:tabs>
        <w:ind w:left="5465" w:hanging="360"/>
      </w:pPr>
      <w:rPr>
        <w:rFonts w:cs="Times New Roman"/>
      </w:rPr>
    </w:lvl>
    <w:lvl w:ilvl="8" w:tplc="0809001B" w:tentative="1">
      <w:start w:val="1"/>
      <w:numFmt w:val="lowerRoman"/>
      <w:lvlText w:val="%9."/>
      <w:lvlJc w:val="right"/>
      <w:pPr>
        <w:tabs>
          <w:tab w:val="num" w:pos="6185"/>
        </w:tabs>
        <w:ind w:left="6185" w:hanging="180"/>
      </w:pPr>
      <w:rPr>
        <w:rFonts w:cs="Times New Roman"/>
      </w:rPr>
    </w:lvl>
  </w:abstractNum>
  <w:abstractNum w:abstractNumId="15">
    <w:nsid w:val="6EF56CC4"/>
    <w:multiLevelType w:val="hybridMultilevel"/>
    <w:tmpl w:val="52620FFA"/>
    <w:lvl w:ilvl="0" w:tplc="88EC578E">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2156744"/>
    <w:multiLevelType w:val="hybridMultilevel"/>
    <w:tmpl w:val="DE9E06A6"/>
    <w:lvl w:ilvl="0" w:tplc="0696278E">
      <w:start w:val="1"/>
      <w:numFmt w:val="decimal"/>
      <w:lvlText w:val="%1."/>
      <w:lvlJc w:val="left"/>
      <w:pPr>
        <w:ind w:left="717"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2642506"/>
    <w:multiLevelType w:val="hybridMultilevel"/>
    <w:tmpl w:val="967C90D2"/>
    <w:lvl w:ilvl="0" w:tplc="A4B8A70E">
      <w:start w:val="1"/>
      <w:numFmt w:val="lowerLetter"/>
      <w:lvlText w:val="(%1)"/>
      <w:lvlJc w:val="left"/>
      <w:pPr>
        <w:tabs>
          <w:tab w:val="num" w:pos="765"/>
        </w:tabs>
        <w:ind w:left="765" w:hanging="340"/>
      </w:pPr>
      <w:rPr>
        <w:rFonts w:cs="Times New Roman" w:hint="default"/>
      </w:rPr>
    </w:lvl>
    <w:lvl w:ilvl="1" w:tplc="CFC08988">
      <w:start w:val="1"/>
      <w:numFmt w:val="decimal"/>
      <w:lvlText w:val="%2."/>
      <w:lvlJc w:val="left"/>
      <w:pPr>
        <w:tabs>
          <w:tab w:val="num" w:pos="1220"/>
        </w:tabs>
        <w:ind w:left="1220" w:hanging="435"/>
      </w:pPr>
      <w:rPr>
        <w:rFonts w:ascii="Times New Roman" w:hAnsi="Times New Roman" w:cs="Times New Roman" w:hint="default"/>
        <w:b w:val="0"/>
        <w:i w:val="0"/>
        <w:sz w:val="24"/>
        <w:szCs w:val="24"/>
      </w:rPr>
    </w:lvl>
    <w:lvl w:ilvl="2" w:tplc="0809001B" w:tentative="1">
      <w:start w:val="1"/>
      <w:numFmt w:val="lowerRoman"/>
      <w:lvlText w:val="%3."/>
      <w:lvlJc w:val="right"/>
      <w:pPr>
        <w:tabs>
          <w:tab w:val="num" w:pos="1865"/>
        </w:tabs>
        <w:ind w:left="1865" w:hanging="180"/>
      </w:pPr>
      <w:rPr>
        <w:rFonts w:cs="Times New Roman"/>
      </w:rPr>
    </w:lvl>
    <w:lvl w:ilvl="3" w:tplc="0809000F" w:tentative="1">
      <w:start w:val="1"/>
      <w:numFmt w:val="decimal"/>
      <w:lvlText w:val="%4."/>
      <w:lvlJc w:val="left"/>
      <w:pPr>
        <w:tabs>
          <w:tab w:val="num" w:pos="2585"/>
        </w:tabs>
        <w:ind w:left="2585" w:hanging="360"/>
      </w:pPr>
      <w:rPr>
        <w:rFonts w:cs="Times New Roman"/>
      </w:rPr>
    </w:lvl>
    <w:lvl w:ilvl="4" w:tplc="08090019" w:tentative="1">
      <w:start w:val="1"/>
      <w:numFmt w:val="lowerLetter"/>
      <w:lvlText w:val="%5."/>
      <w:lvlJc w:val="left"/>
      <w:pPr>
        <w:tabs>
          <w:tab w:val="num" w:pos="3305"/>
        </w:tabs>
        <w:ind w:left="3305" w:hanging="360"/>
      </w:pPr>
      <w:rPr>
        <w:rFonts w:cs="Times New Roman"/>
      </w:rPr>
    </w:lvl>
    <w:lvl w:ilvl="5" w:tplc="0809001B" w:tentative="1">
      <w:start w:val="1"/>
      <w:numFmt w:val="lowerRoman"/>
      <w:lvlText w:val="%6."/>
      <w:lvlJc w:val="right"/>
      <w:pPr>
        <w:tabs>
          <w:tab w:val="num" w:pos="4025"/>
        </w:tabs>
        <w:ind w:left="4025" w:hanging="180"/>
      </w:pPr>
      <w:rPr>
        <w:rFonts w:cs="Times New Roman"/>
      </w:rPr>
    </w:lvl>
    <w:lvl w:ilvl="6" w:tplc="0809000F" w:tentative="1">
      <w:start w:val="1"/>
      <w:numFmt w:val="decimal"/>
      <w:lvlText w:val="%7."/>
      <w:lvlJc w:val="left"/>
      <w:pPr>
        <w:tabs>
          <w:tab w:val="num" w:pos="4745"/>
        </w:tabs>
        <w:ind w:left="4745" w:hanging="360"/>
      </w:pPr>
      <w:rPr>
        <w:rFonts w:cs="Times New Roman"/>
      </w:rPr>
    </w:lvl>
    <w:lvl w:ilvl="7" w:tplc="08090019" w:tentative="1">
      <w:start w:val="1"/>
      <w:numFmt w:val="lowerLetter"/>
      <w:lvlText w:val="%8."/>
      <w:lvlJc w:val="left"/>
      <w:pPr>
        <w:tabs>
          <w:tab w:val="num" w:pos="5465"/>
        </w:tabs>
        <w:ind w:left="5465" w:hanging="360"/>
      </w:pPr>
      <w:rPr>
        <w:rFonts w:cs="Times New Roman"/>
      </w:rPr>
    </w:lvl>
    <w:lvl w:ilvl="8" w:tplc="0809001B" w:tentative="1">
      <w:start w:val="1"/>
      <w:numFmt w:val="lowerRoman"/>
      <w:lvlText w:val="%9."/>
      <w:lvlJc w:val="right"/>
      <w:pPr>
        <w:tabs>
          <w:tab w:val="num" w:pos="6185"/>
        </w:tabs>
        <w:ind w:left="6185" w:hanging="180"/>
      </w:pPr>
      <w:rPr>
        <w:rFonts w:cs="Times New Roman"/>
      </w:rPr>
    </w:lvl>
  </w:abstractNum>
  <w:abstractNum w:abstractNumId="18">
    <w:nsid w:val="77874602"/>
    <w:multiLevelType w:val="hybridMultilevel"/>
    <w:tmpl w:val="11044920"/>
    <w:lvl w:ilvl="0" w:tplc="9C665C3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9B868FF"/>
    <w:multiLevelType w:val="hybridMultilevel"/>
    <w:tmpl w:val="9ED25FE2"/>
    <w:lvl w:ilvl="0" w:tplc="A4B8A70E">
      <w:start w:val="1"/>
      <w:numFmt w:val="lowerLetter"/>
      <w:lvlText w:val="(%1)"/>
      <w:lvlJc w:val="left"/>
      <w:pPr>
        <w:tabs>
          <w:tab w:val="num" w:pos="765"/>
        </w:tabs>
        <w:ind w:left="765" w:hanging="340"/>
      </w:pPr>
      <w:rPr>
        <w:rFonts w:cs="Times New Roman" w:hint="default"/>
      </w:rPr>
    </w:lvl>
    <w:lvl w:ilvl="1" w:tplc="08090019" w:tentative="1">
      <w:start w:val="1"/>
      <w:numFmt w:val="lowerLetter"/>
      <w:lvlText w:val="%2."/>
      <w:lvlJc w:val="left"/>
      <w:pPr>
        <w:tabs>
          <w:tab w:val="num" w:pos="1145"/>
        </w:tabs>
        <w:ind w:left="1145" w:hanging="360"/>
      </w:pPr>
      <w:rPr>
        <w:rFonts w:cs="Times New Roman"/>
      </w:rPr>
    </w:lvl>
    <w:lvl w:ilvl="2" w:tplc="0809001B" w:tentative="1">
      <w:start w:val="1"/>
      <w:numFmt w:val="lowerRoman"/>
      <w:lvlText w:val="%3."/>
      <w:lvlJc w:val="right"/>
      <w:pPr>
        <w:tabs>
          <w:tab w:val="num" w:pos="1865"/>
        </w:tabs>
        <w:ind w:left="1865" w:hanging="180"/>
      </w:pPr>
      <w:rPr>
        <w:rFonts w:cs="Times New Roman"/>
      </w:rPr>
    </w:lvl>
    <w:lvl w:ilvl="3" w:tplc="0809000F" w:tentative="1">
      <w:start w:val="1"/>
      <w:numFmt w:val="decimal"/>
      <w:lvlText w:val="%4."/>
      <w:lvlJc w:val="left"/>
      <w:pPr>
        <w:tabs>
          <w:tab w:val="num" w:pos="2585"/>
        </w:tabs>
        <w:ind w:left="2585" w:hanging="360"/>
      </w:pPr>
      <w:rPr>
        <w:rFonts w:cs="Times New Roman"/>
      </w:rPr>
    </w:lvl>
    <w:lvl w:ilvl="4" w:tplc="08090019" w:tentative="1">
      <w:start w:val="1"/>
      <w:numFmt w:val="lowerLetter"/>
      <w:lvlText w:val="%5."/>
      <w:lvlJc w:val="left"/>
      <w:pPr>
        <w:tabs>
          <w:tab w:val="num" w:pos="3305"/>
        </w:tabs>
        <w:ind w:left="3305" w:hanging="360"/>
      </w:pPr>
      <w:rPr>
        <w:rFonts w:cs="Times New Roman"/>
      </w:rPr>
    </w:lvl>
    <w:lvl w:ilvl="5" w:tplc="0809001B" w:tentative="1">
      <w:start w:val="1"/>
      <w:numFmt w:val="lowerRoman"/>
      <w:lvlText w:val="%6."/>
      <w:lvlJc w:val="right"/>
      <w:pPr>
        <w:tabs>
          <w:tab w:val="num" w:pos="4025"/>
        </w:tabs>
        <w:ind w:left="4025" w:hanging="180"/>
      </w:pPr>
      <w:rPr>
        <w:rFonts w:cs="Times New Roman"/>
      </w:rPr>
    </w:lvl>
    <w:lvl w:ilvl="6" w:tplc="0809000F" w:tentative="1">
      <w:start w:val="1"/>
      <w:numFmt w:val="decimal"/>
      <w:lvlText w:val="%7."/>
      <w:lvlJc w:val="left"/>
      <w:pPr>
        <w:tabs>
          <w:tab w:val="num" w:pos="4745"/>
        </w:tabs>
        <w:ind w:left="4745" w:hanging="360"/>
      </w:pPr>
      <w:rPr>
        <w:rFonts w:cs="Times New Roman"/>
      </w:rPr>
    </w:lvl>
    <w:lvl w:ilvl="7" w:tplc="08090019" w:tentative="1">
      <w:start w:val="1"/>
      <w:numFmt w:val="lowerLetter"/>
      <w:lvlText w:val="%8."/>
      <w:lvlJc w:val="left"/>
      <w:pPr>
        <w:tabs>
          <w:tab w:val="num" w:pos="5465"/>
        </w:tabs>
        <w:ind w:left="5465" w:hanging="360"/>
      </w:pPr>
      <w:rPr>
        <w:rFonts w:cs="Times New Roman"/>
      </w:rPr>
    </w:lvl>
    <w:lvl w:ilvl="8" w:tplc="0809001B" w:tentative="1">
      <w:start w:val="1"/>
      <w:numFmt w:val="lowerRoman"/>
      <w:lvlText w:val="%9."/>
      <w:lvlJc w:val="right"/>
      <w:pPr>
        <w:tabs>
          <w:tab w:val="num" w:pos="6185"/>
        </w:tabs>
        <w:ind w:left="6185" w:hanging="180"/>
      </w:pPr>
      <w:rPr>
        <w:rFonts w:cs="Times New Roman"/>
      </w:rPr>
    </w:lvl>
  </w:abstractNum>
  <w:num w:numId="1">
    <w:abstractNumId w:val="1"/>
  </w:num>
  <w:num w:numId="2">
    <w:abstractNumId w:val="12"/>
  </w:num>
  <w:num w:numId="3">
    <w:abstractNumId w:val="14"/>
  </w:num>
  <w:num w:numId="4">
    <w:abstractNumId w:val="19"/>
  </w:num>
  <w:num w:numId="5">
    <w:abstractNumId w:val="17"/>
  </w:num>
  <w:num w:numId="6">
    <w:abstractNumId w:val="5"/>
  </w:num>
  <w:num w:numId="7">
    <w:abstractNumId w:val="8"/>
  </w:num>
  <w:num w:numId="8">
    <w:abstractNumId w:val="11"/>
  </w:num>
  <w:num w:numId="9">
    <w:abstractNumId w:val="7"/>
  </w:num>
  <w:num w:numId="10">
    <w:abstractNumId w:val="15"/>
  </w:num>
  <w:num w:numId="11">
    <w:abstractNumId w:val="2"/>
  </w:num>
  <w:num w:numId="12">
    <w:abstractNumId w:val="13"/>
  </w:num>
  <w:num w:numId="13">
    <w:abstractNumId w:val="0"/>
  </w:num>
  <w:num w:numId="14">
    <w:abstractNumId w:val="18"/>
  </w:num>
  <w:num w:numId="15">
    <w:abstractNumId w:val="10"/>
  </w:num>
  <w:num w:numId="16">
    <w:abstractNumId w:val="3"/>
  </w:num>
  <w:num w:numId="17">
    <w:abstractNumId w:val="16"/>
  </w:num>
  <w:num w:numId="18">
    <w:abstractNumId w:val="6"/>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defaultTabStop w:val="720"/>
  <w:characterSpacingControl w:val="doNotCompress"/>
  <w:doNotValidateAgainstSchema/>
  <w:doNotDemarcateInvalidXml/>
  <w:footnotePr>
    <w:footnote w:id="-1"/>
    <w:footnote w:id="0"/>
  </w:footnotePr>
  <w:endnotePr>
    <w:pos w:val="sectEnd"/>
    <w:numFmt w:val="decimal"/>
    <w:endnote w:id="-1"/>
    <w:endnote w:id="0"/>
    <w:endnote w:id="1"/>
  </w:endnotePr>
  <w:compat/>
  <w:rsids>
    <w:rsidRoot w:val="00A71696"/>
    <w:rsid w:val="0001451B"/>
    <w:rsid w:val="00021055"/>
    <w:rsid w:val="000221B4"/>
    <w:rsid w:val="00042CBB"/>
    <w:rsid w:val="00046022"/>
    <w:rsid w:val="00064FEC"/>
    <w:rsid w:val="000A1455"/>
    <w:rsid w:val="000A29C7"/>
    <w:rsid w:val="000A2F96"/>
    <w:rsid w:val="000A5789"/>
    <w:rsid w:val="000A6A8F"/>
    <w:rsid w:val="000A7534"/>
    <w:rsid w:val="000B0D26"/>
    <w:rsid w:val="000B53D2"/>
    <w:rsid w:val="000C2770"/>
    <w:rsid w:val="000C5BD7"/>
    <w:rsid w:val="000D284C"/>
    <w:rsid w:val="000D400A"/>
    <w:rsid w:val="000D4C1D"/>
    <w:rsid w:val="000E1BD2"/>
    <w:rsid w:val="000F2797"/>
    <w:rsid w:val="000F33DC"/>
    <w:rsid w:val="00107607"/>
    <w:rsid w:val="00110C0A"/>
    <w:rsid w:val="0013621D"/>
    <w:rsid w:val="00143CD8"/>
    <w:rsid w:val="0015232B"/>
    <w:rsid w:val="00156638"/>
    <w:rsid w:val="001706FB"/>
    <w:rsid w:val="001709A4"/>
    <w:rsid w:val="001720B5"/>
    <w:rsid w:val="001758DD"/>
    <w:rsid w:val="001823E8"/>
    <w:rsid w:val="00184E93"/>
    <w:rsid w:val="001867F3"/>
    <w:rsid w:val="00186F6B"/>
    <w:rsid w:val="00193727"/>
    <w:rsid w:val="00193AAE"/>
    <w:rsid w:val="00195369"/>
    <w:rsid w:val="00197833"/>
    <w:rsid w:val="001A6973"/>
    <w:rsid w:val="001B0BEC"/>
    <w:rsid w:val="001B1388"/>
    <w:rsid w:val="001B633E"/>
    <w:rsid w:val="001C3BDC"/>
    <w:rsid w:val="001D3699"/>
    <w:rsid w:val="001E089E"/>
    <w:rsid w:val="001E3A9E"/>
    <w:rsid w:val="001E54C4"/>
    <w:rsid w:val="001E66A9"/>
    <w:rsid w:val="00205C7E"/>
    <w:rsid w:val="00206DBF"/>
    <w:rsid w:val="002122CF"/>
    <w:rsid w:val="00217F1C"/>
    <w:rsid w:val="00231F80"/>
    <w:rsid w:val="00247123"/>
    <w:rsid w:val="0026116F"/>
    <w:rsid w:val="00271855"/>
    <w:rsid w:val="00273051"/>
    <w:rsid w:val="00290D84"/>
    <w:rsid w:val="00294BBA"/>
    <w:rsid w:val="002A58EC"/>
    <w:rsid w:val="002B1E0E"/>
    <w:rsid w:val="002F1400"/>
    <w:rsid w:val="002F1B0E"/>
    <w:rsid w:val="002F633C"/>
    <w:rsid w:val="003029D4"/>
    <w:rsid w:val="0030669D"/>
    <w:rsid w:val="00306E5E"/>
    <w:rsid w:val="00317C85"/>
    <w:rsid w:val="00321158"/>
    <w:rsid w:val="00325951"/>
    <w:rsid w:val="00334D65"/>
    <w:rsid w:val="00335F4A"/>
    <w:rsid w:val="00343C1B"/>
    <w:rsid w:val="00380839"/>
    <w:rsid w:val="003871C6"/>
    <w:rsid w:val="00392053"/>
    <w:rsid w:val="00392D04"/>
    <w:rsid w:val="0039568D"/>
    <w:rsid w:val="0039770A"/>
    <w:rsid w:val="003979D1"/>
    <w:rsid w:val="003A22F8"/>
    <w:rsid w:val="003A3EB2"/>
    <w:rsid w:val="003B5F29"/>
    <w:rsid w:val="003D640D"/>
    <w:rsid w:val="003F34DF"/>
    <w:rsid w:val="003F6763"/>
    <w:rsid w:val="00402FFB"/>
    <w:rsid w:val="00412280"/>
    <w:rsid w:val="004158EF"/>
    <w:rsid w:val="00417E30"/>
    <w:rsid w:val="00421721"/>
    <w:rsid w:val="00424298"/>
    <w:rsid w:val="00425C78"/>
    <w:rsid w:val="00446120"/>
    <w:rsid w:val="0045614A"/>
    <w:rsid w:val="00490369"/>
    <w:rsid w:val="00493540"/>
    <w:rsid w:val="004967F4"/>
    <w:rsid w:val="004A5A3E"/>
    <w:rsid w:val="004C348A"/>
    <w:rsid w:val="004D39DA"/>
    <w:rsid w:val="004E252E"/>
    <w:rsid w:val="004E47AC"/>
    <w:rsid w:val="004E711F"/>
    <w:rsid w:val="004F1EFB"/>
    <w:rsid w:val="004F69B5"/>
    <w:rsid w:val="00501058"/>
    <w:rsid w:val="00512DDC"/>
    <w:rsid w:val="00517BAF"/>
    <w:rsid w:val="0052585A"/>
    <w:rsid w:val="00530D07"/>
    <w:rsid w:val="0053395E"/>
    <w:rsid w:val="00536CC0"/>
    <w:rsid w:val="005553DF"/>
    <w:rsid w:val="00557531"/>
    <w:rsid w:val="0056066F"/>
    <w:rsid w:val="005706E0"/>
    <w:rsid w:val="00572B22"/>
    <w:rsid w:val="0059000C"/>
    <w:rsid w:val="00595DDF"/>
    <w:rsid w:val="005A00B2"/>
    <w:rsid w:val="005A6AEB"/>
    <w:rsid w:val="005C63A8"/>
    <w:rsid w:val="005E5D58"/>
    <w:rsid w:val="005F124C"/>
    <w:rsid w:val="005F1FF4"/>
    <w:rsid w:val="0061294F"/>
    <w:rsid w:val="006141CB"/>
    <w:rsid w:val="00623526"/>
    <w:rsid w:val="00631CC8"/>
    <w:rsid w:val="0063383F"/>
    <w:rsid w:val="00635802"/>
    <w:rsid w:val="006551E0"/>
    <w:rsid w:val="00655304"/>
    <w:rsid w:val="0065677C"/>
    <w:rsid w:val="00660E3C"/>
    <w:rsid w:val="00662F2D"/>
    <w:rsid w:val="00667DAB"/>
    <w:rsid w:val="0069152A"/>
    <w:rsid w:val="00694206"/>
    <w:rsid w:val="00696CC6"/>
    <w:rsid w:val="006A02FA"/>
    <w:rsid w:val="006A1032"/>
    <w:rsid w:val="006A3061"/>
    <w:rsid w:val="006B54F1"/>
    <w:rsid w:val="006B684F"/>
    <w:rsid w:val="006C42D6"/>
    <w:rsid w:val="006C5791"/>
    <w:rsid w:val="006C5943"/>
    <w:rsid w:val="006C6539"/>
    <w:rsid w:val="00700B4E"/>
    <w:rsid w:val="0070723E"/>
    <w:rsid w:val="007106AA"/>
    <w:rsid w:val="007210DC"/>
    <w:rsid w:val="00724F72"/>
    <w:rsid w:val="00736CAD"/>
    <w:rsid w:val="007402AE"/>
    <w:rsid w:val="00750CCE"/>
    <w:rsid w:val="00754AF2"/>
    <w:rsid w:val="00764D56"/>
    <w:rsid w:val="00780CF1"/>
    <w:rsid w:val="007949ED"/>
    <w:rsid w:val="007A40AD"/>
    <w:rsid w:val="007C0478"/>
    <w:rsid w:val="007C42AA"/>
    <w:rsid w:val="007E1C2F"/>
    <w:rsid w:val="007E4652"/>
    <w:rsid w:val="007F359E"/>
    <w:rsid w:val="0082008C"/>
    <w:rsid w:val="00822135"/>
    <w:rsid w:val="008450EE"/>
    <w:rsid w:val="008467FC"/>
    <w:rsid w:val="00854D42"/>
    <w:rsid w:val="00855F54"/>
    <w:rsid w:val="00873986"/>
    <w:rsid w:val="00876CE8"/>
    <w:rsid w:val="00883A70"/>
    <w:rsid w:val="008C1B0B"/>
    <w:rsid w:val="008C4770"/>
    <w:rsid w:val="008C593E"/>
    <w:rsid w:val="008D3501"/>
    <w:rsid w:val="008D6469"/>
    <w:rsid w:val="008E2965"/>
    <w:rsid w:val="008E6C9F"/>
    <w:rsid w:val="008F06DA"/>
    <w:rsid w:val="008F3AD2"/>
    <w:rsid w:val="009168FF"/>
    <w:rsid w:val="00917555"/>
    <w:rsid w:val="009341AC"/>
    <w:rsid w:val="00945328"/>
    <w:rsid w:val="009472E8"/>
    <w:rsid w:val="009511FB"/>
    <w:rsid w:val="00953157"/>
    <w:rsid w:val="00954B73"/>
    <w:rsid w:val="009708EF"/>
    <w:rsid w:val="00976824"/>
    <w:rsid w:val="00980F19"/>
    <w:rsid w:val="00992112"/>
    <w:rsid w:val="0099245E"/>
    <w:rsid w:val="00996BAB"/>
    <w:rsid w:val="009A5960"/>
    <w:rsid w:val="009A79BF"/>
    <w:rsid w:val="009B482F"/>
    <w:rsid w:val="009B5BED"/>
    <w:rsid w:val="009B6691"/>
    <w:rsid w:val="009C7461"/>
    <w:rsid w:val="009E7633"/>
    <w:rsid w:val="009F3EB3"/>
    <w:rsid w:val="009F7CE1"/>
    <w:rsid w:val="00A208A6"/>
    <w:rsid w:val="00A56030"/>
    <w:rsid w:val="00A672DF"/>
    <w:rsid w:val="00A71696"/>
    <w:rsid w:val="00A94BB8"/>
    <w:rsid w:val="00AA6445"/>
    <w:rsid w:val="00AB14A3"/>
    <w:rsid w:val="00AB58EA"/>
    <w:rsid w:val="00AC3D75"/>
    <w:rsid w:val="00AE5B5B"/>
    <w:rsid w:val="00AE75A9"/>
    <w:rsid w:val="00B0159A"/>
    <w:rsid w:val="00B03689"/>
    <w:rsid w:val="00B103B7"/>
    <w:rsid w:val="00B12ECC"/>
    <w:rsid w:val="00B165D0"/>
    <w:rsid w:val="00B17A13"/>
    <w:rsid w:val="00B17A3D"/>
    <w:rsid w:val="00B33D90"/>
    <w:rsid w:val="00B442CB"/>
    <w:rsid w:val="00B44F75"/>
    <w:rsid w:val="00B54BD1"/>
    <w:rsid w:val="00B56214"/>
    <w:rsid w:val="00B56C56"/>
    <w:rsid w:val="00B579BC"/>
    <w:rsid w:val="00B57A22"/>
    <w:rsid w:val="00B64B37"/>
    <w:rsid w:val="00B66300"/>
    <w:rsid w:val="00B70C44"/>
    <w:rsid w:val="00B7334F"/>
    <w:rsid w:val="00B74064"/>
    <w:rsid w:val="00B833FB"/>
    <w:rsid w:val="00B83843"/>
    <w:rsid w:val="00B83E38"/>
    <w:rsid w:val="00B945F3"/>
    <w:rsid w:val="00B953F9"/>
    <w:rsid w:val="00BA3F1D"/>
    <w:rsid w:val="00BA775E"/>
    <w:rsid w:val="00BB0776"/>
    <w:rsid w:val="00BC4726"/>
    <w:rsid w:val="00BE47D6"/>
    <w:rsid w:val="00BF39F0"/>
    <w:rsid w:val="00C01EF6"/>
    <w:rsid w:val="00C05507"/>
    <w:rsid w:val="00C129AB"/>
    <w:rsid w:val="00C16601"/>
    <w:rsid w:val="00C4114F"/>
    <w:rsid w:val="00C4612E"/>
    <w:rsid w:val="00C51B2E"/>
    <w:rsid w:val="00C53000"/>
    <w:rsid w:val="00C562A0"/>
    <w:rsid w:val="00C6006B"/>
    <w:rsid w:val="00C630E5"/>
    <w:rsid w:val="00C66E9C"/>
    <w:rsid w:val="00C727CA"/>
    <w:rsid w:val="00C7352E"/>
    <w:rsid w:val="00C86E83"/>
    <w:rsid w:val="00C87236"/>
    <w:rsid w:val="00C9036D"/>
    <w:rsid w:val="00C92932"/>
    <w:rsid w:val="00C92B4D"/>
    <w:rsid w:val="00C96599"/>
    <w:rsid w:val="00C97471"/>
    <w:rsid w:val="00CA2EFD"/>
    <w:rsid w:val="00CD6BEE"/>
    <w:rsid w:val="00CE32AF"/>
    <w:rsid w:val="00CE5A93"/>
    <w:rsid w:val="00CF2155"/>
    <w:rsid w:val="00D02397"/>
    <w:rsid w:val="00D14D7F"/>
    <w:rsid w:val="00D240B8"/>
    <w:rsid w:val="00D27194"/>
    <w:rsid w:val="00D433B2"/>
    <w:rsid w:val="00D4501E"/>
    <w:rsid w:val="00D54CC4"/>
    <w:rsid w:val="00D62495"/>
    <w:rsid w:val="00D64556"/>
    <w:rsid w:val="00D86805"/>
    <w:rsid w:val="00D87A1E"/>
    <w:rsid w:val="00D971CC"/>
    <w:rsid w:val="00D97E5D"/>
    <w:rsid w:val="00DB77D5"/>
    <w:rsid w:val="00DC1B85"/>
    <w:rsid w:val="00DC4F59"/>
    <w:rsid w:val="00DC7E9E"/>
    <w:rsid w:val="00DD1BB7"/>
    <w:rsid w:val="00DD539D"/>
    <w:rsid w:val="00E024F1"/>
    <w:rsid w:val="00E037EF"/>
    <w:rsid w:val="00E0412F"/>
    <w:rsid w:val="00E16289"/>
    <w:rsid w:val="00E16E2C"/>
    <w:rsid w:val="00E317BE"/>
    <w:rsid w:val="00E47EB0"/>
    <w:rsid w:val="00E63355"/>
    <w:rsid w:val="00E64081"/>
    <w:rsid w:val="00E70955"/>
    <w:rsid w:val="00E7299A"/>
    <w:rsid w:val="00E8588A"/>
    <w:rsid w:val="00E930A0"/>
    <w:rsid w:val="00E95337"/>
    <w:rsid w:val="00EA1AD5"/>
    <w:rsid w:val="00EA7AC4"/>
    <w:rsid w:val="00EB1F96"/>
    <w:rsid w:val="00EB7B4A"/>
    <w:rsid w:val="00EC6C7E"/>
    <w:rsid w:val="00ED3401"/>
    <w:rsid w:val="00F07BBD"/>
    <w:rsid w:val="00F10A1F"/>
    <w:rsid w:val="00F11346"/>
    <w:rsid w:val="00F125A7"/>
    <w:rsid w:val="00F162F6"/>
    <w:rsid w:val="00F16D35"/>
    <w:rsid w:val="00F20D0B"/>
    <w:rsid w:val="00F24FC8"/>
    <w:rsid w:val="00F259DC"/>
    <w:rsid w:val="00F3134F"/>
    <w:rsid w:val="00F34AE5"/>
    <w:rsid w:val="00F36243"/>
    <w:rsid w:val="00F44B04"/>
    <w:rsid w:val="00F57405"/>
    <w:rsid w:val="00F6795B"/>
    <w:rsid w:val="00F71FA9"/>
    <w:rsid w:val="00F72BF5"/>
    <w:rsid w:val="00F819DD"/>
    <w:rsid w:val="00F95741"/>
    <w:rsid w:val="00FC3837"/>
    <w:rsid w:val="00FC6A4D"/>
    <w:rsid w:val="00FC7336"/>
    <w:rsid w:val="00FD5CA5"/>
    <w:rsid w:val="00FD6293"/>
    <w:rsid w:val="00FE66FA"/>
    <w:rsid w:val="00FF45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F3EB3"/>
    <w:pPr>
      <w:spacing w:after="240" w:line="360" w:lineRule="auto"/>
      <w:ind w:firstLine="425"/>
      <w:jc w:val="both"/>
    </w:pPr>
    <w:rPr>
      <w:sz w:val="24"/>
      <w:szCs w:val="24"/>
    </w:rPr>
  </w:style>
  <w:style w:type="paragraph" w:styleId="Heading1">
    <w:name w:val="heading 1"/>
    <w:basedOn w:val="Normal"/>
    <w:next w:val="Normal"/>
    <w:link w:val="Heading1Char"/>
    <w:uiPriority w:val="99"/>
    <w:qFormat/>
    <w:rsid w:val="00290D84"/>
    <w:pPr>
      <w:keepNext/>
      <w:jc w:val="center"/>
      <w:outlineLvl w:val="0"/>
    </w:pPr>
    <w:rPr>
      <w:b/>
      <w:bCs/>
      <w:sz w:val="28"/>
      <w:szCs w:val="28"/>
      <w:lang w:eastAsia="en-US"/>
    </w:rPr>
  </w:style>
  <w:style w:type="paragraph" w:styleId="Heading2">
    <w:name w:val="heading 2"/>
    <w:basedOn w:val="Normal"/>
    <w:next w:val="Normal"/>
    <w:link w:val="Heading2Char"/>
    <w:uiPriority w:val="99"/>
    <w:qFormat/>
    <w:rsid w:val="00660E3C"/>
    <w:pPr>
      <w:keepNext/>
      <w:spacing w:before="240" w:after="60"/>
      <w:ind w:firstLine="0"/>
      <w:outlineLvl w:val="1"/>
    </w:pPr>
    <w:rPr>
      <w:rFonts w:cs="Arial"/>
      <w:b/>
      <w:bCs/>
      <w:iCs/>
      <w:szCs w:val="28"/>
    </w:rPr>
  </w:style>
  <w:style w:type="paragraph" w:styleId="Heading3">
    <w:name w:val="heading 3"/>
    <w:basedOn w:val="Normal"/>
    <w:next w:val="Normal"/>
    <w:link w:val="Heading3Char"/>
    <w:uiPriority w:val="99"/>
    <w:qFormat/>
    <w:rsid w:val="009F3EB3"/>
    <w:pPr>
      <w:keepNext/>
      <w:spacing w:before="240" w:after="60"/>
      <w:ind w:firstLine="0"/>
      <w:outlineLvl w:val="2"/>
    </w:pPr>
    <w:rPr>
      <w:rFonts w:cs="Arial"/>
      <w:bCs/>
      <w:i/>
    </w:rPr>
  </w:style>
  <w:style w:type="paragraph" w:styleId="Heading4">
    <w:name w:val="heading 4"/>
    <w:basedOn w:val="Normal"/>
    <w:next w:val="Normal"/>
    <w:link w:val="Heading4Char"/>
    <w:uiPriority w:val="99"/>
    <w:qFormat/>
    <w:rsid w:val="00C97471"/>
    <w:pPr>
      <w:keepNext/>
      <w:spacing w:before="240" w:after="60"/>
      <w:outlineLvl w:val="3"/>
    </w:pPr>
    <w:rPr>
      <w:b/>
      <w:bCs/>
      <w:sz w:val="28"/>
      <w:szCs w:val="28"/>
    </w:rPr>
  </w:style>
  <w:style w:type="paragraph" w:styleId="Heading5">
    <w:name w:val="heading 5"/>
    <w:basedOn w:val="Normal"/>
    <w:next w:val="Normal"/>
    <w:link w:val="Heading5Char"/>
    <w:uiPriority w:val="99"/>
    <w:qFormat/>
    <w:rsid w:val="00C97471"/>
    <w:pPr>
      <w:spacing w:before="240" w:after="60"/>
      <w:outlineLvl w:val="4"/>
    </w:pPr>
    <w:rPr>
      <w:b/>
      <w:bCs/>
      <w:i/>
      <w:iCs/>
      <w:sz w:val="26"/>
      <w:szCs w:val="26"/>
    </w:rPr>
  </w:style>
  <w:style w:type="paragraph" w:styleId="Heading6">
    <w:name w:val="heading 6"/>
    <w:basedOn w:val="Normal"/>
    <w:next w:val="Normal"/>
    <w:link w:val="Heading6Char"/>
    <w:uiPriority w:val="99"/>
    <w:qFormat/>
    <w:rsid w:val="00C97471"/>
    <w:pPr>
      <w:spacing w:before="240" w:after="60"/>
      <w:outlineLvl w:val="5"/>
    </w:pPr>
    <w:rPr>
      <w:b/>
      <w:bCs/>
      <w:sz w:val="22"/>
      <w:szCs w:val="22"/>
    </w:rPr>
  </w:style>
  <w:style w:type="paragraph" w:styleId="Heading7">
    <w:name w:val="heading 7"/>
    <w:basedOn w:val="Normal"/>
    <w:next w:val="Normal"/>
    <w:link w:val="Heading7Char"/>
    <w:uiPriority w:val="99"/>
    <w:qFormat/>
    <w:rsid w:val="00C97471"/>
    <w:pPr>
      <w:spacing w:before="240" w:after="60"/>
      <w:outlineLvl w:val="6"/>
    </w:pPr>
  </w:style>
  <w:style w:type="paragraph" w:styleId="Heading8">
    <w:name w:val="heading 8"/>
    <w:basedOn w:val="Normal"/>
    <w:next w:val="Normal"/>
    <w:link w:val="Heading8Char"/>
    <w:uiPriority w:val="99"/>
    <w:qFormat/>
    <w:rsid w:val="00C97471"/>
    <w:pPr>
      <w:spacing w:before="240" w:after="60"/>
      <w:outlineLvl w:val="7"/>
    </w:pPr>
    <w:rPr>
      <w:i/>
      <w:iCs/>
    </w:rPr>
  </w:style>
  <w:style w:type="paragraph" w:styleId="Heading9">
    <w:name w:val="heading 9"/>
    <w:basedOn w:val="Normal"/>
    <w:next w:val="Normal"/>
    <w:link w:val="Heading9Char"/>
    <w:uiPriority w:val="99"/>
    <w:qFormat/>
    <w:rsid w:val="006C579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0D84"/>
    <w:rPr>
      <w:rFonts w:cs="Times New Roman"/>
      <w:b/>
      <w:bCs/>
      <w:sz w:val="28"/>
      <w:szCs w:val="28"/>
      <w:lang w:val="en-GB" w:eastAsia="en-US" w:bidi="ar-SA"/>
    </w:rPr>
  </w:style>
  <w:style w:type="character" w:customStyle="1" w:styleId="Heading2Char">
    <w:name w:val="Heading 2 Char"/>
    <w:basedOn w:val="DefaultParagraphFont"/>
    <w:link w:val="Heading2"/>
    <w:uiPriority w:val="99"/>
    <w:rsid w:val="00660E3C"/>
    <w:rPr>
      <w:rFonts w:cs="Arial"/>
      <w:b/>
      <w:bCs/>
      <w:iCs/>
      <w:sz w:val="28"/>
      <w:szCs w:val="28"/>
      <w:lang w:val="en-GB" w:eastAsia="en-GB" w:bidi="ar-SA"/>
    </w:rPr>
  </w:style>
  <w:style w:type="character" w:customStyle="1" w:styleId="Heading3Char">
    <w:name w:val="Heading 3 Char"/>
    <w:basedOn w:val="DefaultParagraphFont"/>
    <w:link w:val="Heading3"/>
    <w:uiPriority w:val="99"/>
    <w:semiHidden/>
    <w:rsid w:val="00E037EF"/>
    <w:rPr>
      <w:rFonts w:ascii="Cambria" w:hAnsi="Cambria" w:cs="Times New Roman"/>
      <w:b/>
      <w:bCs/>
      <w:sz w:val="26"/>
      <w:szCs w:val="26"/>
    </w:rPr>
  </w:style>
  <w:style w:type="character" w:customStyle="1" w:styleId="Heading4Char">
    <w:name w:val="Heading 4 Char"/>
    <w:basedOn w:val="DefaultParagraphFont"/>
    <w:link w:val="Heading4"/>
    <w:uiPriority w:val="99"/>
    <w:semiHidden/>
    <w:rsid w:val="00E037EF"/>
    <w:rPr>
      <w:rFonts w:ascii="Calibri" w:hAnsi="Calibri" w:cs="Times New Roman"/>
      <w:b/>
      <w:bCs/>
      <w:sz w:val="28"/>
      <w:szCs w:val="28"/>
    </w:rPr>
  </w:style>
  <w:style w:type="character" w:customStyle="1" w:styleId="Heading5Char">
    <w:name w:val="Heading 5 Char"/>
    <w:basedOn w:val="DefaultParagraphFont"/>
    <w:link w:val="Heading5"/>
    <w:uiPriority w:val="99"/>
    <w:semiHidden/>
    <w:rsid w:val="00E037E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rsid w:val="00E037EF"/>
    <w:rPr>
      <w:rFonts w:ascii="Calibri" w:hAnsi="Calibri" w:cs="Times New Roman"/>
      <w:b/>
      <w:bCs/>
    </w:rPr>
  </w:style>
  <w:style w:type="character" w:customStyle="1" w:styleId="Heading7Char">
    <w:name w:val="Heading 7 Char"/>
    <w:basedOn w:val="DefaultParagraphFont"/>
    <w:link w:val="Heading7"/>
    <w:uiPriority w:val="99"/>
    <w:semiHidden/>
    <w:rsid w:val="00E037EF"/>
    <w:rPr>
      <w:rFonts w:ascii="Calibri" w:hAnsi="Calibri" w:cs="Times New Roman"/>
      <w:sz w:val="24"/>
      <w:szCs w:val="24"/>
    </w:rPr>
  </w:style>
  <w:style w:type="character" w:customStyle="1" w:styleId="Heading8Char">
    <w:name w:val="Heading 8 Char"/>
    <w:basedOn w:val="DefaultParagraphFont"/>
    <w:link w:val="Heading8"/>
    <w:uiPriority w:val="99"/>
    <w:semiHidden/>
    <w:rsid w:val="00E037EF"/>
    <w:rPr>
      <w:rFonts w:ascii="Calibri" w:hAnsi="Calibri" w:cs="Times New Roman"/>
      <w:i/>
      <w:iCs/>
      <w:sz w:val="24"/>
      <w:szCs w:val="24"/>
    </w:rPr>
  </w:style>
  <w:style w:type="character" w:customStyle="1" w:styleId="Heading9Char">
    <w:name w:val="Heading 9 Char"/>
    <w:basedOn w:val="DefaultParagraphFont"/>
    <w:link w:val="Heading9"/>
    <w:uiPriority w:val="99"/>
    <w:semiHidden/>
    <w:rsid w:val="00E037EF"/>
    <w:rPr>
      <w:rFonts w:ascii="Cambria" w:hAnsi="Cambria" w:cs="Times New Roman"/>
    </w:rPr>
  </w:style>
  <w:style w:type="paragraph" w:styleId="BodyText">
    <w:name w:val="Body Text"/>
    <w:basedOn w:val="Normal"/>
    <w:link w:val="BodyTextChar"/>
    <w:uiPriority w:val="99"/>
    <w:semiHidden/>
    <w:rsid w:val="003A3EB2"/>
    <w:pPr>
      <w:spacing w:after="120"/>
    </w:pPr>
  </w:style>
  <w:style w:type="character" w:customStyle="1" w:styleId="BodyTextChar">
    <w:name w:val="Body Text Char"/>
    <w:basedOn w:val="DefaultParagraphFont"/>
    <w:link w:val="BodyText"/>
    <w:uiPriority w:val="99"/>
    <w:rsid w:val="003A3EB2"/>
    <w:rPr>
      <w:rFonts w:cs="Times New Roman"/>
      <w:sz w:val="24"/>
      <w:szCs w:val="24"/>
      <w:lang w:val="en-GB" w:eastAsia="en-GB" w:bidi="ar-SA"/>
    </w:rPr>
  </w:style>
  <w:style w:type="paragraph" w:styleId="FootnoteText">
    <w:name w:val="footnote text"/>
    <w:basedOn w:val="Normal"/>
    <w:link w:val="FootnoteTextChar"/>
    <w:uiPriority w:val="99"/>
    <w:semiHidden/>
    <w:rsid w:val="003A3EB2"/>
    <w:rPr>
      <w:sz w:val="20"/>
      <w:szCs w:val="20"/>
    </w:rPr>
  </w:style>
  <w:style w:type="character" w:customStyle="1" w:styleId="FootnoteTextChar">
    <w:name w:val="Footnote Text Char"/>
    <w:basedOn w:val="DefaultParagraphFont"/>
    <w:link w:val="FootnoteText"/>
    <w:uiPriority w:val="99"/>
    <w:rsid w:val="00B7334F"/>
    <w:rPr>
      <w:rFonts w:cs="Times New Roman"/>
      <w:lang w:val="en-GB" w:eastAsia="en-GB" w:bidi="ar-SA"/>
    </w:rPr>
  </w:style>
  <w:style w:type="character" w:styleId="FootnoteReference">
    <w:name w:val="footnote reference"/>
    <w:basedOn w:val="DefaultParagraphFont"/>
    <w:uiPriority w:val="99"/>
    <w:semiHidden/>
    <w:rsid w:val="003A3EB2"/>
    <w:rPr>
      <w:rFonts w:cs="Times New Roman"/>
      <w:vertAlign w:val="superscript"/>
    </w:rPr>
  </w:style>
  <w:style w:type="paragraph" w:styleId="Footer">
    <w:name w:val="footer"/>
    <w:basedOn w:val="Normal"/>
    <w:link w:val="FooterChar"/>
    <w:uiPriority w:val="99"/>
    <w:rsid w:val="00FF45ED"/>
    <w:pPr>
      <w:tabs>
        <w:tab w:val="center" w:pos="4153"/>
        <w:tab w:val="right" w:pos="8306"/>
      </w:tabs>
    </w:pPr>
  </w:style>
  <w:style w:type="character" w:customStyle="1" w:styleId="FooterChar">
    <w:name w:val="Footer Char"/>
    <w:basedOn w:val="DefaultParagraphFont"/>
    <w:link w:val="Footer"/>
    <w:uiPriority w:val="99"/>
    <w:semiHidden/>
    <w:rsid w:val="00E037EF"/>
    <w:rPr>
      <w:rFonts w:cs="Times New Roman"/>
      <w:sz w:val="24"/>
      <w:szCs w:val="24"/>
    </w:rPr>
  </w:style>
  <w:style w:type="paragraph" w:styleId="BodyText2">
    <w:name w:val="Body Text 2"/>
    <w:basedOn w:val="Normal"/>
    <w:link w:val="BodyText2Char"/>
    <w:uiPriority w:val="99"/>
    <w:semiHidden/>
    <w:rsid w:val="002F1400"/>
    <w:pPr>
      <w:spacing w:after="120" w:line="480" w:lineRule="auto"/>
    </w:pPr>
  </w:style>
  <w:style w:type="character" w:customStyle="1" w:styleId="BodyText2Char">
    <w:name w:val="Body Text 2 Char"/>
    <w:basedOn w:val="DefaultParagraphFont"/>
    <w:link w:val="BodyText2"/>
    <w:uiPriority w:val="99"/>
    <w:semiHidden/>
    <w:rsid w:val="00E037EF"/>
    <w:rPr>
      <w:rFonts w:cs="Times New Roman"/>
      <w:sz w:val="24"/>
      <w:szCs w:val="24"/>
    </w:rPr>
  </w:style>
  <w:style w:type="table" w:styleId="TableGrid">
    <w:name w:val="Table Grid"/>
    <w:basedOn w:val="TableNormal"/>
    <w:uiPriority w:val="99"/>
    <w:semiHidden/>
    <w:rsid w:val="00D624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2F1400"/>
    <w:pPr>
      <w:spacing w:before="100" w:beforeAutospacing="1" w:after="100" w:afterAutospacing="1"/>
    </w:pPr>
    <w:rPr>
      <w:rFonts w:ascii="Arial Unicode MS" w:eastAsia="Arial Unicode MS" w:hAnsi="Arial Unicode MS" w:cs="Arial Unicode MS"/>
      <w:lang w:eastAsia="en-US"/>
    </w:rPr>
  </w:style>
  <w:style w:type="paragraph" w:styleId="BalloonText">
    <w:name w:val="Balloon Text"/>
    <w:basedOn w:val="Normal"/>
    <w:link w:val="BalloonTextChar"/>
    <w:uiPriority w:val="99"/>
    <w:semiHidden/>
    <w:rsid w:val="00290D84"/>
    <w:rPr>
      <w:rFonts w:ascii="Tahoma" w:hAnsi="Tahoma" w:cs="Tahoma"/>
      <w:sz w:val="16"/>
      <w:szCs w:val="16"/>
    </w:rPr>
  </w:style>
  <w:style w:type="character" w:customStyle="1" w:styleId="BalloonTextChar">
    <w:name w:val="Balloon Text Char"/>
    <w:basedOn w:val="DefaultParagraphFont"/>
    <w:link w:val="BalloonText"/>
    <w:uiPriority w:val="99"/>
    <w:semiHidden/>
    <w:rsid w:val="00E037EF"/>
    <w:rPr>
      <w:rFonts w:cs="Times New Roman"/>
      <w:sz w:val="2"/>
    </w:rPr>
  </w:style>
  <w:style w:type="character" w:styleId="Hyperlink">
    <w:name w:val="Hyperlink"/>
    <w:basedOn w:val="DefaultParagraphFont"/>
    <w:uiPriority w:val="99"/>
    <w:rsid w:val="00290D84"/>
    <w:rPr>
      <w:rFonts w:cs="Times New Roman"/>
      <w:color w:val="0000FF"/>
      <w:u w:val="single"/>
    </w:rPr>
  </w:style>
  <w:style w:type="paragraph" w:styleId="Header">
    <w:name w:val="header"/>
    <w:basedOn w:val="Normal"/>
    <w:link w:val="HeaderChar"/>
    <w:uiPriority w:val="99"/>
    <w:rsid w:val="00D240B8"/>
    <w:pPr>
      <w:tabs>
        <w:tab w:val="center" w:pos="4153"/>
        <w:tab w:val="right" w:pos="8306"/>
      </w:tabs>
    </w:pPr>
  </w:style>
  <w:style w:type="character" w:customStyle="1" w:styleId="HeaderChar">
    <w:name w:val="Header Char"/>
    <w:basedOn w:val="DefaultParagraphFont"/>
    <w:link w:val="Header"/>
    <w:uiPriority w:val="99"/>
    <w:rsid w:val="009A79BF"/>
    <w:rPr>
      <w:rFonts w:cs="Times New Roman"/>
      <w:sz w:val="24"/>
      <w:szCs w:val="24"/>
    </w:rPr>
  </w:style>
  <w:style w:type="character" w:styleId="PageNumber">
    <w:name w:val="page number"/>
    <w:basedOn w:val="DefaultParagraphFont"/>
    <w:uiPriority w:val="99"/>
    <w:rsid w:val="00D240B8"/>
    <w:rPr>
      <w:rFonts w:cs="Times New Roman"/>
    </w:rPr>
  </w:style>
  <w:style w:type="paragraph" w:customStyle="1" w:styleId="Reference">
    <w:name w:val="Reference"/>
    <w:basedOn w:val="Normal"/>
    <w:uiPriority w:val="99"/>
    <w:rsid w:val="009F3EB3"/>
    <w:pPr>
      <w:ind w:left="425" w:hanging="425"/>
    </w:pPr>
  </w:style>
  <w:style w:type="paragraph" w:styleId="E-mailSignature">
    <w:name w:val="E-mail Signature"/>
    <w:basedOn w:val="Normal"/>
    <w:link w:val="E-mailSignatureChar"/>
    <w:uiPriority w:val="99"/>
    <w:rsid w:val="00402FFB"/>
  </w:style>
  <w:style w:type="character" w:customStyle="1" w:styleId="E-mailSignatureChar">
    <w:name w:val="E-mail Signature Char"/>
    <w:basedOn w:val="DefaultParagraphFont"/>
    <w:link w:val="E-mailSignature"/>
    <w:uiPriority w:val="99"/>
    <w:semiHidden/>
    <w:rsid w:val="00E037EF"/>
    <w:rPr>
      <w:rFonts w:cs="Times New Roman"/>
      <w:sz w:val="24"/>
      <w:szCs w:val="24"/>
    </w:rPr>
  </w:style>
  <w:style w:type="paragraph" w:styleId="EndnoteText">
    <w:name w:val="endnote text"/>
    <w:basedOn w:val="Normal"/>
    <w:link w:val="EndnoteTextChar"/>
    <w:uiPriority w:val="99"/>
    <w:semiHidden/>
    <w:rsid w:val="00B7334F"/>
    <w:rPr>
      <w:sz w:val="20"/>
      <w:szCs w:val="20"/>
    </w:rPr>
  </w:style>
  <w:style w:type="character" w:customStyle="1" w:styleId="EndnoteTextChar">
    <w:name w:val="Endnote Text Char"/>
    <w:basedOn w:val="DefaultParagraphFont"/>
    <w:link w:val="EndnoteText"/>
    <w:uiPriority w:val="99"/>
    <w:semiHidden/>
    <w:rsid w:val="00E037EF"/>
    <w:rPr>
      <w:rFonts w:cs="Times New Roman"/>
      <w:sz w:val="20"/>
      <w:szCs w:val="20"/>
    </w:rPr>
  </w:style>
  <w:style w:type="character" w:styleId="EndnoteReference">
    <w:name w:val="endnote reference"/>
    <w:basedOn w:val="DefaultParagraphFont"/>
    <w:uiPriority w:val="99"/>
    <w:semiHidden/>
    <w:rsid w:val="00B7334F"/>
    <w:rPr>
      <w:rFonts w:cs="Times New Roman"/>
      <w:vertAlign w:val="superscript"/>
    </w:rPr>
  </w:style>
  <w:style w:type="paragraph" w:customStyle="1" w:styleId="Firstpara">
    <w:name w:val="First para"/>
    <w:basedOn w:val="Normal"/>
    <w:next w:val="Normal"/>
    <w:uiPriority w:val="99"/>
    <w:rsid w:val="009F3EB3"/>
    <w:pPr>
      <w:ind w:firstLine="0"/>
    </w:pPr>
  </w:style>
  <w:style w:type="paragraph" w:customStyle="1" w:styleId="Indenttext">
    <w:name w:val="Indent text"/>
    <w:basedOn w:val="Normal"/>
    <w:next w:val="Normal"/>
    <w:uiPriority w:val="99"/>
    <w:rsid w:val="00F36243"/>
    <w:pPr>
      <w:ind w:left="567" w:right="567" w:firstLine="0"/>
    </w:pPr>
  </w:style>
  <w:style w:type="paragraph" w:customStyle="1" w:styleId="Tabletext">
    <w:name w:val="Table text"/>
    <w:basedOn w:val="Normal"/>
    <w:uiPriority w:val="99"/>
    <w:rsid w:val="00D971CC"/>
    <w:pPr>
      <w:spacing w:after="0" w:line="240" w:lineRule="auto"/>
      <w:ind w:firstLine="0"/>
      <w:jc w:val="left"/>
    </w:pPr>
    <w:rPr>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11013</Words>
  <Characters>62778</Characters>
  <Application>Microsoft Office Word</Application>
  <DocSecurity>0</DocSecurity>
  <Lines>523</Lines>
  <Paragraphs>147</Paragraphs>
  <ScaleCrop>false</ScaleCrop>
  <Company/>
  <LinksUpToDate>false</LinksUpToDate>
  <CharactersWithSpaces>73644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REGULATION AND ACCOUNTING: THE CREATION OF JORDAN ISLAMIC BANK</dc:title>
  <dc:subject/>
  <dc:creator>bmm2</dc:creator>
  <cp:keywords/>
  <dc:description/>
  <cp:lastModifiedBy>Christopher Napier</cp:lastModifiedBy>
  <cp:revision>2</cp:revision>
  <cp:lastPrinted>2010-02-24T16:19:00Z</cp:lastPrinted>
  <dcterms:created xsi:type="dcterms:W3CDTF">2012-10-08T15:24:00Z</dcterms:created>
  <dcterms:modified xsi:type="dcterms:W3CDTF">2012-10-08T15:24:00Z</dcterms:modified>
</cp:coreProperties>
</file>