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8339" w14:textId="77777777" w:rsidR="00ED0ED5" w:rsidRPr="0022253C" w:rsidRDefault="0090069E" w:rsidP="0090069E">
      <w:pPr>
        <w:spacing w:before="32" w:after="0" w:line="291" w:lineRule="auto"/>
        <w:ind w:right="19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22253C">
        <w:rPr>
          <w:rFonts w:ascii="Arial" w:eastAsia="Arial" w:hAnsi="Arial" w:cs="Arial"/>
          <w:b/>
          <w:bCs/>
          <w:sz w:val="28"/>
          <w:szCs w:val="28"/>
        </w:rPr>
        <w:t>The British Society for Gene and Cell Therapy</w:t>
      </w:r>
      <w:r w:rsidR="00B254FE">
        <w:rPr>
          <w:rFonts w:ascii="Arial" w:eastAsia="Arial" w:hAnsi="Arial" w:cs="Arial"/>
          <w:b/>
          <w:bCs/>
          <w:sz w:val="28"/>
          <w:szCs w:val="28"/>
        </w:rPr>
        <w:t xml:space="preserve"> at 20 (2003-2023)</w:t>
      </w:r>
    </w:p>
    <w:p w14:paraId="2214D63C" w14:textId="77777777" w:rsidR="0090069E" w:rsidRDefault="0090069E" w:rsidP="0090069E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146B7BF0" w14:textId="07C2A6B4" w:rsidR="0090069E" w:rsidRDefault="00B254FE" w:rsidP="0090069E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Len Seymour</w:t>
      </w:r>
      <w:r w:rsidR="00A922DE" w:rsidRPr="0090069E"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>, Adrian Thrasher</w:t>
      </w:r>
      <w:r w:rsidR="00A922DE">
        <w:rPr>
          <w:rFonts w:ascii="Arial" w:eastAsia="Arial" w:hAnsi="Arial" w:cs="Arial"/>
          <w:vertAlign w:val="superscript"/>
        </w:rPr>
        <w:t>2</w:t>
      </w:r>
      <w:r>
        <w:rPr>
          <w:rFonts w:ascii="Arial" w:eastAsia="Arial" w:hAnsi="Arial" w:cs="Arial"/>
        </w:rPr>
        <w:t>, Andrew Baker</w:t>
      </w:r>
      <w:r w:rsidR="00A922DE">
        <w:rPr>
          <w:rFonts w:ascii="Arial" w:eastAsia="Arial" w:hAnsi="Arial" w:cs="Arial"/>
          <w:vertAlign w:val="superscript"/>
        </w:rPr>
        <w:t>3</w:t>
      </w:r>
      <w:r>
        <w:rPr>
          <w:rFonts w:ascii="Arial" w:eastAsia="Arial" w:hAnsi="Arial" w:cs="Arial"/>
        </w:rPr>
        <w:t xml:space="preserve">, </w:t>
      </w:r>
      <w:r w:rsidR="0090069E">
        <w:rPr>
          <w:rFonts w:ascii="Arial" w:eastAsia="Arial" w:hAnsi="Arial" w:cs="Arial"/>
        </w:rPr>
        <w:t>Uta Griesenbach</w:t>
      </w:r>
      <w:r w:rsidR="00A922DE">
        <w:rPr>
          <w:rFonts w:ascii="Arial" w:eastAsia="Arial" w:hAnsi="Arial" w:cs="Arial"/>
          <w:vertAlign w:val="superscript"/>
        </w:rPr>
        <w:t>4</w:t>
      </w:r>
      <w:r w:rsidR="0090069E">
        <w:rPr>
          <w:rFonts w:ascii="Arial" w:eastAsia="Arial" w:hAnsi="Arial" w:cs="Arial"/>
        </w:rPr>
        <w:t xml:space="preserve"> and Rafael J. Yáñez-Muñoz</w:t>
      </w:r>
      <w:r w:rsidR="00A922DE">
        <w:rPr>
          <w:rFonts w:ascii="Arial" w:eastAsia="Arial" w:hAnsi="Arial" w:cs="Arial"/>
          <w:vertAlign w:val="superscript"/>
        </w:rPr>
        <w:t>5</w:t>
      </w:r>
      <w:r w:rsidR="0014400B">
        <w:rPr>
          <w:rFonts w:ascii="Arial" w:eastAsia="Arial" w:hAnsi="Arial" w:cs="Arial"/>
          <w:vertAlign w:val="superscript"/>
        </w:rPr>
        <w:t>,*</w:t>
      </w:r>
    </w:p>
    <w:p w14:paraId="7A7E6C3E" w14:textId="77777777" w:rsidR="0090069E" w:rsidRDefault="0090069E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5F0B805B" w14:textId="49AEBFB5" w:rsidR="00A922DE" w:rsidRDefault="00A922DE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1</w:t>
      </w:r>
      <w:r w:rsidR="0014400B" w:rsidRPr="0014400B">
        <w:rPr>
          <w:rFonts w:ascii="Arial" w:eastAsia="Arial" w:hAnsi="Arial" w:cs="Arial"/>
        </w:rPr>
        <w:t>Dep</w:t>
      </w:r>
      <w:r w:rsidR="0014400B">
        <w:rPr>
          <w:rFonts w:ascii="Arial" w:eastAsia="Arial" w:hAnsi="Arial" w:cs="Arial"/>
        </w:rPr>
        <w:t>artment of</w:t>
      </w:r>
      <w:r w:rsidR="0014400B" w:rsidRPr="0014400B">
        <w:rPr>
          <w:rFonts w:ascii="Arial" w:eastAsia="Arial" w:hAnsi="Arial" w:cs="Arial"/>
        </w:rPr>
        <w:t xml:space="preserve"> Oncology, University of Oxford, </w:t>
      </w:r>
      <w:r w:rsidR="0014400B">
        <w:rPr>
          <w:rFonts w:ascii="Arial" w:eastAsia="Arial" w:hAnsi="Arial" w:cs="Arial"/>
        </w:rPr>
        <w:t>Oxford, United Kingdom</w:t>
      </w:r>
    </w:p>
    <w:p w14:paraId="57480A62" w14:textId="30FFD48E" w:rsidR="00A922DE" w:rsidRDefault="00A922DE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2</w:t>
      </w:r>
      <w:r w:rsidR="0014400B" w:rsidRPr="0014400B">
        <w:rPr>
          <w:rFonts w:ascii="Arial" w:eastAsia="Arial" w:hAnsi="Arial" w:cs="Arial"/>
        </w:rPr>
        <w:t>Great Ormond Street Institute of Child Health, University College London, London, United Kingdom</w:t>
      </w:r>
    </w:p>
    <w:p w14:paraId="01C33DF4" w14:textId="45944816" w:rsidR="00A922DE" w:rsidRDefault="00A922DE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3</w:t>
      </w:r>
      <w:r w:rsidR="0014400B" w:rsidRPr="0014400B">
        <w:rPr>
          <w:rFonts w:ascii="Arial" w:eastAsia="Arial" w:hAnsi="Arial" w:cs="Arial"/>
        </w:rPr>
        <w:t xml:space="preserve">Centre for Cardiovascular </w:t>
      </w:r>
      <w:r w:rsidR="0014400B">
        <w:rPr>
          <w:rFonts w:ascii="Arial" w:eastAsia="Arial" w:hAnsi="Arial" w:cs="Arial"/>
        </w:rPr>
        <w:t>S</w:t>
      </w:r>
      <w:r w:rsidR="0014400B" w:rsidRPr="0014400B">
        <w:rPr>
          <w:rFonts w:ascii="Arial" w:eastAsia="Arial" w:hAnsi="Arial" w:cs="Arial"/>
        </w:rPr>
        <w:t>ciences, Univer</w:t>
      </w:r>
      <w:r w:rsidR="0014400B">
        <w:rPr>
          <w:rFonts w:ascii="Arial" w:eastAsia="Arial" w:hAnsi="Arial" w:cs="Arial"/>
        </w:rPr>
        <w:t>s</w:t>
      </w:r>
      <w:r w:rsidR="0014400B" w:rsidRPr="0014400B">
        <w:rPr>
          <w:rFonts w:ascii="Arial" w:eastAsia="Arial" w:hAnsi="Arial" w:cs="Arial"/>
        </w:rPr>
        <w:t>ity of Edinburgh</w:t>
      </w:r>
      <w:r w:rsidR="0014400B">
        <w:rPr>
          <w:rFonts w:ascii="Arial" w:eastAsia="Arial" w:hAnsi="Arial" w:cs="Arial"/>
        </w:rPr>
        <w:t>, Edinburgh, United Kingdom</w:t>
      </w:r>
    </w:p>
    <w:p w14:paraId="3A2C5FC8" w14:textId="77777777" w:rsidR="0090069E" w:rsidRDefault="00A922DE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4</w:t>
      </w:r>
      <w:r w:rsidR="0090069E" w:rsidRPr="0090069E">
        <w:rPr>
          <w:rFonts w:ascii="Arial" w:eastAsia="Arial" w:hAnsi="Arial" w:cs="Arial"/>
        </w:rPr>
        <w:t>National Heart and Lung Institute, Imperial College London, London, United Kin</w:t>
      </w:r>
      <w:r w:rsidR="0090069E">
        <w:rPr>
          <w:rFonts w:ascii="Arial" w:eastAsia="Arial" w:hAnsi="Arial" w:cs="Arial"/>
        </w:rPr>
        <w:t>gdom</w:t>
      </w:r>
    </w:p>
    <w:p w14:paraId="53634097" w14:textId="5181E9B5" w:rsidR="0090069E" w:rsidRDefault="00A922DE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vertAlign w:val="superscript"/>
        </w:rPr>
        <w:t>5</w:t>
      </w:r>
      <w:r w:rsidR="0090069E">
        <w:rPr>
          <w:rFonts w:ascii="Arial" w:eastAsia="Arial" w:hAnsi="Arial" w:cs="Arial"/>
        </w:rPr>
        <w:t xml:space="preserve">AGCTlab.org, Centre of Gene and Cell Therapy, </w:t>
      </w:r>
      <w:r>
        <w:rPr>
          <w:rFonts w:ascii="Arial" w:eastAsia="Arial" w:hAnsi="Arial" w:cs="Arial"/>
        </w:rPr>
        <w:t>R</w:t>
      </w:r>
      <w:r w:rsidR="0090069E">
        <w:rPr>
          <w:rFonts w:ascii="Arial" w:eastAsia="Arial" w:hAnsi="Arial" w:cs="Arial"/>
        </w:rPr>
        <w:t>oyal Holloway University of London, Egham, United Kingdom</w:t>
      </w:r>
    </w:p>
    <w:p w14:paraId="7FEFA5EF" w14:textId="77777777" w:rsidR="0014400B" w:rsidRDefault="0014400B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645662F4" w14:textId="428986FB" w:rsidR="0014400B" w:rsidRPr="00834862" w:rsidRDefault="0014400B" w:rsidP="0014400B">
      <w:pPr>
        <w:spacing w:before="32" w:after="0" w:line="291" w:lineRule="auto"/>
        <w:ind w:right="19"/>
        <w:jc w:val="both"/>
        <w:rPr>
          <w:rFonts w:ascii="Arial" w:eastAsia="Arial" w:hAnsi="Arial" w:cs="Arial"/>
          <w:i/>
          <w:iCs/>
        </w:rPr>
      </w:pPr>
      <w:r w:rsidRPr="00834862">
        <w:rPr>
          <w:rFonts w:ascii="Arial" w:eastAsia="Arial" w:hAnsi="Arial" w:cs="Arial"/>
          <w:i/>
          <w:iCs/>
          <w:vertAlign w:val="superscript"/>
        </w:rPr>
        <w:t>*</w:t>
      </w:r>
      <w:r w:rsidRPr="00834862">
        <w:rPr>
          <w:rFonts w:ascii="Arial" w:eastAsia="Arial" w:hAnsi="Arial" w:cs="Arial"/>
          <w:i/>
          <w:iCs/>
        </w:rPr>
        <w:t>Correspondence: Prof Rafael J. Yáñez-Muñoz, Department of Biological Sciences, Royal Holloway University of London, Egham, Surrey TW20 0EX, United Kingdom. E-mail: rafael.yanez@royalholloway.ac.uk</w:t>
      </w:r>
    </w:p>
    <w:p w14:paraId="21B1D5E5" w14:textId="77777777" w:rsidR="0090069E" w:rsidRDefault="0090069E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4806F18F" w14:textId="77777777" w:rsidR="00FB4D75" w:rsidRDefault="00FB4D75" w:rsidP="00296450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ABSTRACT</w:t>
      </w:r>
    </w:p>
    <w:p w14:paraId="07EE0D8D" w14:textId="77777777" w:rsidR="00FB4D75" w:rsidRDefault="00FB4D75" w:rsidP="00296450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55C98679" w14:textId="250F371B" w:rsidR="00FB4D75" w:rsidRDefault="00FB4D75" w:rsidP="00296450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2023 marks the 20</w:t>
      </w:r>
      <w:r w:rsidRPr="00FB4D75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anniversary of the British Society for Gene and Cell Therapy. </w:t>
      </w:r>
      <w:r w:rsidR="00027063">
        <w:rPr>
          <w:rFonts w:ascii="Arial" w:eastAsia="Arial" w:hAnsi="Arial" w:cs="Arial"/>
        </w:rPr>
        <w:t>In these 20 years, the field of gene and cell therapy has gone from promising strategy to clinical reality.</w:t>
      </w:r>
      <w:r w:rsidR="00027063" w:rsidRPr="00027063">
        <w:rPr>
          <w:rFonts w:ascii="Arial" w:eastAsia="Arial" w:hAnsi="Arial" w:cs="Arial"/>
        </w:rPr>
        <w:t xml:space="preserve"> </w:t>
      </w:r>
      <w:r w:rsidR="00027063">
        <w:rPr>
          <w:rFonts w:ascii="Arial" w:eastAsia="Arial" w:hAnsi="Arial" w:cs="Arial"/>
        </w:rPr>
        <w:t>This report describes the history, objectives, organisation and activities of BSGCT to advance research and practice of gene and cell therapy in the UK.</w:t>
      </w:r>
    </w:p>
    <w:p w14:paraId="2DB3F351" w14:textId="77777777" w:rsidR="00FB4D75" w:rsidRDefault="00FB4D75" w:rsidP="00296450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3E678164" w14:textId="2F38B63C" w:rsidR="00296450" w:rsidRDefault="00494F92" w:rsidP="00296450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Twenty years ago, gene and cell therapy was still a dream</w:t>
      </w:r>
      <w:r w:rsidR="00817B16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</w:t>
      </w:r>
      <w:r w:rsidR="0030174A">
        <w:rPr>
          <w:rFonts w:ascii="Arial" w:eastAsia="Arial" w:hAnsi="Arial" w:cs="Arial"/>
        </w:rPr>
        <w:t>t</w:t>
      </w:r>
      <w:r w:rsidR="0030174A" w:rsidRPr="00763203">
        <w:rPr>
          <w:rFonts w:ascii="Arial" w:eastAsia="Arial" w:hAnsi="Arial" w:cs="Arial"/>
        </w:rPr>
        <w:t xml:space="preserve">here was </w:t>
      </w:r>
      <w:r w:rsidR="00817B16">
        <w:rPr>
          <w:rFonts w:ascii="Arial" w:eastAsia="Arial" w:hAnsi="Arial" w:cs="Arial"/>
        </w:rPr>
        <w:t xml:space="preserve">a </w:t>
      </w:r>
      <w:r w:rsidR="0030174A" w:rsidRPr="00763203">
        <w:rPr>
          <w:rFonts w:ascii="Arial" w:eastAsia="Arial" w:hAnsi="Arial" w:cs="Arial"/>
        </w:rPr>
        <w:t>clear need for scientists to co-ordinate their activities and to communicate better with the general public</w:t>
      </w:r>
      <w:r w:rsidR="0030174A">
        <w:rPr>
          <w:rFonts w:ascii="Arial" w:eastAsia="Arial" w:hAnsi="Arial" w:cs="Arial"/>
        </w:rPr>
        <w:t xml:space="preserve">. </w:t>
      </w:r>
      <w:r w:rsidR="007D2892">
        <w:rPr>
          <w:rFonts w:ascii="Arial" w:eastAsia="Arial" w:hAnsi="Arial" w:cs="Arial"/>
        </w:rPr>
        <w:t>In the UK, this spe</w:t>
      </w:r>
      <w:r w:rsidR="00296450">
        <w:rPr>
          <w:rFonts w:ascii="Arial" w:eastAsia="Arial" w:hAnsi="Arial" w:cs="Arial"/>
        </w:rPr>
        <w:t>a</w:t>
      </w:r>
      <w:r w:rsidR="007D2892">
        <w:rPr>
          <w:rFonts w:ascii="Arial" w:eastAsia="Arial" w:hAnsi="Arial" w:cs="Arial"/>
        </w:rPr>
        <w:t xml:space="preserve">rheaded </w:t>
      </w:r>
      <w:r w:rsidR="005C30BC">
        <w:rPr>
          <w:rFonts w:ascii="Arial" w:eastAsia="Arial" w:hAnsi="Arial" w:cs="Arial"/>
        </w:rPr>
        <w:t xml:space="preserve">in 2003 </w:t>
      </w:r>
      <w:r w:rsidR="007D2892">
        <w:rPr>
          <w:rFonts w:ascii="Arial" w:eastAsia="Arial" w:hAnsi="Arial" w:cs="Arial"/>
        </w:rPr>
        <w:t>the formation of a</w:t>
      </w:r>
      <w:r w:rsidR="00786521">
        <w:rPr>
          <w:rFonts w:ascii="Arial" w:eastAsia="Arial" w:hAnsi="Arial" w:cs="Arial"/>
        </w:rPr>
        <w:t>n</w:t>
      </w:r>
      <w:r w:rsidR="007D2892">
        <w:rPr>
          <w:rFonts w:ascii="Arial" w:eastAsia="Arial" w:hAnsi="Arial" w:cs="Arial"/>
        </w:rPr>
        <w:t xml:space="preserve"> </w:t>
      </w:r>
      <w:r w:rsidR="00786521">
        <w:rPr>
          <w:rFonts w:ascii="Arial" w:eastAsia="Arial" w:hAnsi="Arial" w:cs="Arial"/>
        </w:rPr>
        <w:t>S</w:t>
      </w:r>
      <w:r w:rsidR="007D2892">
        <w:rPr>
          <w:rFonts w:ascii="Arial" w:eastAsia="Arial" w:hAnsi="Arial" w:cs="Arial"/>
        </w:rPr>
        <w:t xml:space="preserve">teering </w:t>
      </w:r>
      <w:r w:rsidR="00786521">
        <w:rPr>
          <w:rFonts w:ascii="Arial" w:eastAsia="Arial" w:hAnsi="Arial" w:cs="Arial"/>
        </w:rPr>
        <w:t>Executive C</w:t>
      </w:r>
      <w:r w:rsidR="007D2892">
        <w:rPr>
          <w:rFonts w:ascii="Arial" w:eastAsia="Arial" w:hAnsi="Arial" w:cs="Arial"/>
        </w:rPr>
        <w:t xml:space="preserve">ommittee </w:t>
      </w:r>
      <w:r w:rsidR="00296450">
        <w:rPr>
          <w:rFonts w:ascii="Arial" w:eastAsia="Arial" w:hAnsi="Arial" w:cs="Arial"/>
        </w:rPr>
        <w:t xml:space="preserve">including some of us: </w:t>
      </w:r>
      <w:r w:rsidR="00296450" w:rsidRPr="00296450">
        <w:rPr>
          <w:rFonts w:ascii="Arial" w:eastAsia="Arial" w:hAnsi="Arial" w:cs="Arial"/>
        </w:rPr>
        <w:t>Eric Alton, Andrew Baker</w:t>
      </w:r>
      <w:r w:rsidR="005C30BC">
        <w:rPr>
          <w:rFonts w:ascii="Arial" w:eastAsia="Arial" w:hAnsi="Arial" w:cs="Arial"/>
        </w:rPr>
        <w:t xml:space="preserve"> (Treasurer)</w:t>
      </w:r>
      <w:r w:rsidR="00296450" w:rsidRPr="00296450">
        <w:rPr>
          <w:rFonts w:ascii="Arial" w:eastAsia="Arial" w:hAnsi="Arial" w:cs="Arial"/>
        </w:rPr>
        <w:t>, Charles Coutelle,</w:t>
      </w:r>
      <w:r w:rsidR="00296450">
        <w:rPr>
          <w:rFonts w:ascii="Arial" w:eastAsia="Arial" w:hAnsi="Arial" w:cs="Arial"/>
        </w:rPr>
        <w:t xml:space="preserve"> </w:t>
      </w:r>
      <w:r w:rsidR="00296450" w:rsidRPr="00296450">
        <w:rPr>
          <w:rFonts w:ascii="Arial" w:eastAsia="Arial" w:hAnsi="Arial" w:cs="Arial"/>
        </w:rPr>
        <w:t>George Dickson</w:t>
      </w:r>
      <w:r w:rsidR="005C30BC">
        <w:rPr>
          <w:rFonts w:ascii="Arial" w:eastAsia="Arial" w:hAnsi="Arial" w:cs="Arial"/>
        </w:rPr>
        <w:t xml:space="preserve"> (Secretary)</w:t>
      </w:r>
      <w:r w:rsidR="00296450" w:rsidRPr="00296450">
        <w:rPr>
          <w:rFonts w:ascii="Arial" w:eastAsia="Arial" w:hAnsi="Arial" w:cs="Arial"/>
        </w:rPr>
        <w:t>, John Fabre, Nagy Habib,</w:t>
      </w:r>
      <w:r w:rsidR="00296450">
        <w:rPr>
          <w:rFonts w:ascii="Arial" w:eastAsia="Arial" w:hAnsi="Arial" w:cs="Arial"/>
        </w:rPr>
        <w:t xml:space="preserve"> </w:t>
      </w:r>
      <w:r w:rsidR="00296450" w:rsidRPr="00296450">
        <w:rPr>
          <w:rFonts w:ascii="Arial" w:eastAsia="Arial" w:hAnsi="Arial" w:cs="Arial"/>
        </w:rPr>
        <w:t>Richard Harbottle, Susan Kingsman,</w:t>
      </w:r>
      <w:r w:rsidR="00296450">
        <w:rPr>
          <w:rFonts w:ascii="Arial" w:eastAsia="Arial" w:hAnsi="Arial" w:cs="Arial"/>
        </w:rPr>
        <w:t xml:space="preserve"> </w:t>
      </w:r>
      <w:r w:rsidR="00296450" w:rsidRPr="00296450">
        <w:rPr>
          <w:rFonts w:ascii="Arial" w:eastAsia="Arial" w:hAnsi="Arial" w:cs="Arial"/>
        </w:rPr>
        <w:t>Nick Lemoine, Ann Logan, Vivien Mautner,</w:t>
      </w:r>
      <w:r w:rsidR="00296450">
        <w:rPr>
          <w:rFonts w:ascii="Arial" w:eastAsia="Arial" w:hAnsi="Arial" w:cs="Arial"/>
        </w:rPr>
        <w:t xml:space="preserve"> </w:t>
      </w:r>
      <w:r w:rsidR="00296450" w:rsidRPr="00296450">
        <w:rPr>
          <w:rFonts w:ascii="Arial" w:eastAsia="Arial" w:hAnsi="Arial" w:cs="Arial"/>
        </w:rPr>
        <w:t xml:space="preserve">Andrew Mountain, </w:t>
      </w:r>
      <w:r w:rsidR="00296450">
        <w:rPr>
          <w:rFonts w:ascii="Arial" w:eastAsia="Arial" w:hAnsi="Arial" w:cs="Arial"/>
        </w:rPr>
        <w:t>Len Seymour</w:t>
      </w:r>
      <w:r w:rsidR="005C30BC">
        <w:rPr>
          <w:rFonts w:ascii="Arial" w:eastAsia="Arial" w:hAnsi="Arial" w:cs="Arial"/>
        </w:rPr>
        <w:t xml:space="preserve"> (President)</w:t>
      </w:r>
      <w:r w:rsidR="00296450">
        <w:rPr>
          <w:rFonts w:ascii="Arial" w:eastAsia="Arial" w:hAnsi="Arial" w:cs="Arial"/>
        </w:rPr>
        <w:t xml:space="preserve">, </w:t>
      </w:r>
      <w:r w:rsidR="00296450" w:rsidRPr="00296450">
        <w:rPr>
          <w:rFonts w:ascii="Arial" w:eastAsia="Arial" w:hAnsi="Arial" w:cs="Arial"/>
        </w:rPr>
        <w:t>Adrian Thrasher and</w:t>
      </w:r>
      <w:r w:rsidR="00296450">
        <w:rPr>
          <w:rFonts w:ascii="Arial" w:eastAsia="Arial" w:hAnsi="Arial" w:cs="Arial"/>
        </w:rPr>
        <w:t xml:space="preserve"> </w:t>
      </w:r>
      <w:r w:rsidR="00296450" w:rsidRPr="00296450">
        <w:rPr>
          <w:rFonts w:ascii="Arial" w:eastAsia="Arial" w:hAnsi="Arial" w:cs="Arial"/>
        </w:rPr>
        <w:t>Dominic Wells</w:t>
      </w:r>
      <w:r w:rsidR="00786521">
        <w:rPr>
          <w:rFonts w:ascii="Arial" w:eastAsia="Arial" w:hAnsi="Arial" w:cs="Arial"/>
        </w:rPr>
        <w:t>, with inspirational support from Charles Coutelle</w:t>
      </w:r>
      <w:r w:rsidR="00296450">
        <w:rPr>
          <w:rFonts w:ascii="Arial" w:eastAsia="Arial" w:hAnsi="Arial" w:cs="Arial"/>
        </w:rPr>
        <w:t>.</w:t>
      </w:r>
      <w:r w:rsidR="005C30BC">
        <w:rPr>
          <w:rFonts w:ascii="Arial" w:eastAsia="Arial" w:hAnsi="Arial" w:cs="Arial"/>
        </w:rPr>
        <w:t xml:space="preserve"> The same year, this </w:t>
      </w:r>
      <w:r w:rsidR="00786521">
        <w:rPr>
          <w:rFonts w:ascii="Arial" w:eastAsia="Arial" w:hAnsi="Arial" w:cs="Arial"/>
        </w:rPr>
        <w:t>C</w:t>
      </w:r>
      <w:r w:rsidR="005C30BC">
        <w:rPr>
          <w:rFonts w:ascii="Arial" w:eastAsia="Arial" w:hAnsi="Arial" w:cs="Arial"/>
        </w:rPr>
        <w:t>ommittee coordinated the foundation of the British Society for Gene Therapy</w:t>
      </w:r>
      <w:r w:rsidR="005D3A15">
        <w:rPr>
          <w:rFonts w:ascii="Arial" w:eastAsia="Arial" w:hAnsi="Arial" w:cs="Arial"/>
        </w:rPr>
        <w:t xml:space="preserve"> (BSGT)</w:t>
      </w:r>
      <w:r w:rsidR="006336C4">
        <w:rPr>
          <w:rFonts w:ascii="Arial" w:eastAsia="Arial" w:hAnsi="Arial" w:cs="Arial"/>
        </w:rPr>
        <w:t xml:space="preserve">, </w:t>
      </w:r>
      <w:r w:rsidR="00340105">
        <w:rPr>
          <w:rFonts w:ascii="Arial" w:eastAsia="Arial" w:hAnsi="Arial" w:cs="Arial"/>
        </w:rPr>
        <w:t xml:space="preserve">which was </w:t>
      </w:r>
      <w:r w:rsidR="006336C4">
        <w:rPr>
          <w:rFonts w:ascii="Arial" w:eastAsia="Arial" w:hAnsi="Arial" w:cs="Arial"/>
        </w:rPr>
        <w:t>formally registered on November 14th</w:t>
      </w:r>
      <w:r w:rsidR="005C30BC">
        <w:rPr>
          <w:rFonts w:ascii="Arial" w:eastAsia="Arial" w:hAnsi="Arial" w:cs="Arial"/>
        </w:rPr>
        <w:t>.</w:t>
      </w:r>
      <w:r w:rsidR="005D3A15">
        <w:rPr>
          <w:rFonts w:ascii="Arial" w:eastAsia="Arial" w:hAnsi="Arial" w:cs="Arial"/>
        </w:rPr>
        <w:t xml:space="preserve"> </w:t>
      </w:r>
      <w:r w:rsidR="007A1085">
        <w:rPr>
          <w:rFonts w:ascii="Arial" w:eastAsia="Arial" w:hAnsi="Arial" w:cs="Arial"/>
        </w:rPr>
        <w:t xml:space="preserve">In 2004, elections were held, and Len Seymour was elected as founding president of the Society, post in which he served until 2009. Len was followed by </w:t>
      </w:r>
      <w:r w:rsidR="007A1085" w:rsidRPr="007A1085">
        <w:rPr>
          <w:rFonts w:ascii="Arial" w:eastAsia="Arial" w:hAnsi="Arial" w:cs="Arial"/>
        </w:rPr>
        <w:t xml:space="preserve">Adrian Thrasher </w:t>
      </w:r>
      <w:r w:rsidR="007A1085">
        <w:rPr>
          <w:rFonts w:ascii="Arial" w:eastAsia="Arial" w:hAnsi="Arial" w:cs="Arial"/>
        </w:rPr>
        <w:t>(</w:t>
      </w:r>
      <w:r w:rsidR="007A1085" w:rsidRPr="007A1085">
        <w:rPr>
          <w:rFonts w:ascii="Arial" w:eastAsia="Arial" w:hAnsi="Arial" w:cs="Arial"/>
        </w:rPr>
        <w:t>2009-2013</w:t>
      </w:r>
      <w:r w:rsidR="007A1085">
        <w:rPr>
          <w:rFonts w:ascii="Arial" w:eastAsia="Arial" w:hAnsi="Arial" w:cs="Arial"/>
        </w:rPr>
        <w:t>),</w:t>
      </w:r>
      <w:r w:rsidR="007A1085" w:rsidRPr="007A1085">
        <w:rPr>
          <w:rFonts w:ascii="Arial" w:eastAsia="Arial" w:hAnsi="Arial" w:cs="Arial"/>
        </w:rPr>
        <w:t xml:space="preserve"> Andy Baker</w:t>
      </w:r>
      <w:r w:rsidR="007A1085">
        <w:rPr>
          <w:rFonts w:ascii="Arial" w:eastAsia="Arial" w:hAnsi="Arial" w:cs="Arial"/>
        </w:rPr>
        <w:t xml:space="preserve"> (</w:t>
      </w:r>
      <w:r w:rsidR="007A1085" w:rsidRPr="007A1085">
        <w:rPr>
          <w:rFonts w:ascii="Arial" w:eastAsia="Arial" w:hAnsi="Arial" w:cs="Arial"/>
        </w:rPr>
        <w:t>2013-2017</w:t>
      </w:r>
      <w:r w:rsidR="007A1085">
        <w:rPr>
          <w:rFonts w:ascii="Arial" w:eastAsia="Arial" w:hAnsi="Arial" w:cs="Arial"/>
        </w:rPr>
        <w:t xml:space="preserve">), </w:t>
      </w:r>
      <w:r w:rsidR="007A1085" w:rsidRPr="007A1085">
        <w:rPr>
          <w:rFonts w:ascii="Arial" w:eastAsia="Arial" w:hAnsi="Arial" w:cs="Arial"/>
        </w:rPr>
        <w:t>Uta Griesenbach</w:t>
      </w:r>
      <w:r w:rsidR="007A1085">
        <w:rPr>
          <w:rFonts w:ascii="Arial" w:eastAsia="Arial" w:hAnsi="Arial" w:cs="Arial"/>
        </w:rPr>
        <w:t xml:space="preserve"> (</w:t>
      </w:r>
      <w:r w:rsidR="007A1085" w:rsidRPr="007A1085">
        <w:rPr>
          <w:rFonts w:ascii="Arial" w:eastAsia="Arial" w:hAnsi="Arial" w:cs="Arial"/>
        </w:rPr>
        <w:t>2017-2021</w:t>
      </w:r>
      <w:r w:rsidR="007A1085">
        <w:rPr>
          <w:rFonts w:ascii="Arial" w:eastAsia="Arial" w:hAnsi="Arial" w:cs="Arial"/>
        </w:rPr>
        <w:t>) and the current president</w:t>
      </w:r>
      <w:r w:rsidR="007A1085" w:rsidRPr="007A1085">
        <w:rPr>
          <w:rFonts w:ascii="Arial" w:eastAsia="Arial" w:hAnsi="Arial" w:cs="Arial"/>
        </w:rPr>
        <w:t xml:space="preserve"> Rafael Yáñez</w:t>
      </w:r>
      <w:r w:rsidR="007A1085">
        <w:rPr>
          <w:rFonts w:ascii="Arial" w:eastAsia="Arial" w:hAnsi="Arial" w:cs="Arial"/>
        </w:rPr>
        <w:t xml:space="preserve"> (</w:t>
      </w:r>
      <w:r w:rsidR="007A1085" w:rsidRPr="007A1085">
        <w:rPr>
          <w:rFonts w:ascii="Arial" w:eastAsia="Arial" w:hAnsi="Arial" w:cs="Arial"/>
        </w:rPr>
        <w:t>2021-2025</w:t>
      </w:r>
      <w:r w:rsidR="007A1085">
        <w:rPr>
          <w:rFonts w:ascii="Arial" w:eastAsia="Arial" w:hAnsi="Arial" w:cs="Arial"/>
        </w:rPr>
        <w:t xml:space="preserve">). </w:t>
      </w:r>
      <w:r w:rsidR="005D3A15">
        <w:rPr>
          <w:rFonts w:ascii="Arial" w:eastAsia="Arial" w:hAnsi="Arial" w:cs="Arial"/>
        </w:rPr>
        <w:t xml:space="preserve">In 2012, the Society’s membership voted to change the name to </w:t>
      </w:r>
      <w:r w:rsidR="00357B6F">
        <w:rPr>
          <w:rFonts w:ascii="Arial" w:eastAsia="Arial" w:hAnsi="Arial" w:cs="Arial"/>
        </w:rPr>
        <w:t xml:space="preserve">the </w:t>
      </w:r>
      <w:r w:rsidR="005D3A15">
        <w:rPr>
          <w:rFonts w:ascii="Arial" w:eastAsia="Arial" w:hAnsi="Arial" w:cs="Arial"/>
        </w:rPr>
        <w:t>British Society for Gene and Cell Therapy (BSGCT), acknowledging the inextricable intertwining of gene therapy and cell therapy.</w:t>
      </w:r>
      <w:r w:rsidR="00B239E1">
        <w:rPr>
          <w:rFonts w:ascii="Arial" w:eastAsia="Arial" w:hAnsi="Arial" w:cs="Arial"/>
        </w:rPr>
        <w:t xml:space="preserve"> The names of all board members who have served the Society are included in Fig. 1. Photographs of the boards in 2013 (first board picture available, at the 10</w:t>
      </w:r>
      <w:r w:rsidR="00B239E1" w:rsidRPr="00B239E1">
        <w:rPr>
          <w:rFonts w:ascii="Arial" w:eastAsia="Arial" w:hAnsi="Arial" w:cs="Arial"/>
          <w:vertAlign w:val="superscript"/>
        </w:rPr>
        <w:t>th</w:t>
      </w:r>
      <w:r w:rsidR="00B239E1">
        <w:rPr>
          <w:rFonts w:ascii="Arial" w:eastAsia="Arial" w:hAnsi="Arial" w:cs="Arial"/>
        </w:rPr>
        <w:t xml:space="preserve"> anniversary) and 2023 (latest, at the 20</w:t>
      </w:r>
      <w:r w:rsidR="00B239E1" w:rsidRPr="00B239E1">
        <w:rPr>
          <w:rFonts w:ascii="Arial" w:eastAsia="Arial" w:hAnsi="Arial" w:cs="Arial"/>
          <w:vertAlign w:val="superscript"/>
        </w:rPr>
        <w:t>th</w:t>
      </w:r>
      <w:r w:rsidR="00B239E1">
        <w:rPr>
          <w:rFonts w:ascii="Arial" w:eastAsia="Arial" w:hAnsi="Arial" w:cs="Arial"/>
        </w:rPr>
        <w:t xml:space="preserve"> anniversary) are included in Fig. 2.</w:t>
      </w:r>
    </w:p>
    <w:p w14:paraId="23DBB2F2" w14:textId="77777777" w:rsidR="005C30BC" w:rsidRDefault="005C30BC" w:rsidP="00296450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3E6CAAAE" w14:textId="70F31465" w:rsidR="007A1085" w:rsidRPr="007A1085" w:rsidRDefault="00786521" w:rsidP="007A1085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Pr="00763203">
        <w:rPr>
          <w:rFonts w:ascii="Arial" w:eastAsia="Arial" w:hAnsi="Arial" w:cs="Arial"/>
        </w:rPr>
        <w:t>n inaugural</w:t>
      </w:r>
      <w:r>
        <w:rPr>
          <w:rFonts w:ascii="Arial" w:eastAsia="Arial" w:hAnsi="Arial" w:cs="Arial"/>
        </w:rPr>
        <w:t>,</w:t>
      </w:r>
      <w:r w:rsidRPr="00763203">
        <w:rPr>
          <w:rFonts w:ascii="Arial" w:eastAsia="Arial" w:hAnsi="Arial" w:cs="Arial"/>
        </w:rPr>
        <w:t xml:space="preserve"> Dep</w:t>
      </w:r>
      <w:r>
        <w:rPr>
          <w:rFonts w:ascii="Arial" w:eastAsia="Arial" w:hAnsi="Arial" w:cs="Arial"/>
        </w:rPr>
        <w:t>artment of</w:t>
      </w:r>
      <w:r w:rsidRPr="00763203">
        <w:rPr>
          <w:rFonts w:ascii="Arial" w:eastAsia="Arial" w:hAnsi="Arial" w:cs="Arial"/>
        </w:rPr>
        <w:t xml:space="preserve"> Health-sponsored meeting </w:t>
      </w:r>
      <w:r w:rsidR="000B6D19">
        <w:rPr>
          <w:rFonts w:ascii="Arial" w:eastAsia="Arial" w:hAnsi="Arial" w:cs="Arial"/>
        </w:rPr>
        <w:t xml:space="preserve">of the Steering Committee </w:t>
      </w:r>
      <w:r>
        <w:rPr>
          <w:rFonts w:ascii="Arial" w:eastAsia="Arial" w:hAnsi="Arial" w:cs="Arial"/>
        </w:rPr>
        <w:t xml:space="preserve">was held </w:t>
      </w:r>
      <w:r w:rsidR="00F03515">
        <w:rPr>
          <w:rFonts w:ascii="Arial" w:eastAsia="Arial" w:hAnsi="Arial" w:cs="Arial"/>
        </w:rPr>
        <w:lastRenderedPageBreak/>
        <w:t xml:space="preserve">in 2003 </w:t>
      </w:r>
      <w:r w:rsidRPr="00763203">
        <w:rPr>
          <w:rFonts w:ascii="Arial" w:eastAsia="Arial" w:hAnsi="Arial" w:cs="Arial"/>
        </w:rPr>
        <w:t xml:space="preserve">at </w:t>
      </w:r>
      <w:r w:rsidR="00121352">
        <w:rPr>
          <w:rFonts w:ascii="Arial" w:eastAsia="Arial" w:hAnsi="Arial" w:cs="Arial"/>
        </w:rPr>
        <w:t>the Medical Research Council (</w:t>
      </w:r>
      <w:r w:rsidRPr="00763203">
        <w:rPr>
          <w:rFonts w:ascii="Arial" w:eastAsia="Arial" w:hAnsi="Arial" w:cs="Arial"/>
        </w:rPr>
        <w:t>MRC</w:t>
      </w:r>
      <w:r w:rsidR="00121352">
        <w:rPr>
          <w:rFonts w:ascii="Arial" w:eastAsia="Arial" w:hAnsi="Arial" w:cs="Arial"/>
        </w:rPr>
        <w:t>)</w:t>
      </w:r>
      <w:r w:rsidRPr="00763203"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</w:rPr>
        <w:t>ead Office in London</w:t>
      </w:r>
      <w:r w:rsidRPr="00763203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The</w:t>
      </w:r>
      <w:r w:rsidRPr="00763203">
        <w:rPr>
          <w:rFonts w:ascii="Arial" w:eastAsia="Arial" w:hAnsi="Arial" w:cs="Arial"/>
        </w:rPr>
        <w:t xml:space="preserve"> first activity </w:t>
      </w:r>
      <w:r w:rsidR="000B6D19">
        <w:rPr>
          <w:rFonts w:ascii="Arial" w:eastAsia="Arial" w:hAnsi="Arial" w:cs="Arial"/>
        </w:rPr>
        <w:t xml:space="preserve">of the Committee </w:t>
      </w:r>
      <w:r w:rsidRPr="00763203">
        <w:rPr>
          <w:rFonts w:ascii="Arial" w:eastAsia="Arial" w:hAnsi="Arial" w:cs="Arial"/>
        </w:rPr>
        <w:t xml:space="preserve">was </w:t>
      </w:r>
      <w:r>
        <w:rPr>
          <w:rFonts w:ascii="Arial" w:eastAsia="Arial" w:hAnsi="Arial" w:cs="Arial"/>
        </w:rPr>
        <w:t>a</w:t>
      </w:r>
      <w:r w:rsidRPr="00763203">
        <w:rPr>
          <w:rFonts w:ascii="Arial" w:eastAsia="Arial" w:hAnsi="Arial" w:cs="Arial"/>
        </w:rPr>
        <w:t xml:space="preserve"> letter to </w:t>
      </w:r>
      <w:r w:rsidRPr="007B493F">
        <w:rPr>
          <w:rFonts w:ascii="Arial" w:eastAsia="Arial" w:hAnsi="Arial" w:cs="Arial"/>
          <w:i/>
          <w:iCs/>
        </w:rPr>
        <w:t>Lancet</w:t>
      </w:r>
      <w:r w:rsidRPr="0076320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criticising</w:t>
      </w:r>
      <w:r w:rsidRPr="00763203"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</w:rPr>
        <w:t>British Broadcasting Corporation (</w:t>
      </w:r>
      <w:r w:rsidRPr="00763203">
        <w:rPr>
          <w:rFonts w:ascii="Arial" w:eastAsia="Arial" w:hAnsi="Arial" w:cs="Arial"/>
        </w:rPr>
        <w:t>BBC</w:t>
      </w:r>
      <w:r>
        <w:rPr>
          <w:rFonts w:ascii="Arial" w:eastAsia="Arial" w:hAnsi="Arial" w:cs="Arial"/>
        </w:rPr>
        <w:t>)</w:t>
      </w:r>
      <w:r w:rsidRPr="00763203">
        <w:rPr>
          <w:rFonts w:ascii="Arial" w:eastAsia="Arial" w:hAnsi="Arial" w:cs="Arial"/>
        </w:rPr>
        <w:t xml:space="preserve"> for their Horizon programme </w:t>
      </w:r>
      <w:r w:rsidR="007B493F">
        <w:rPr>
          <w:rFonts w:ascii="Arial" w:eastAsia="Arial" w:hAnsi="Arial" w:cs="Arial"/>
        </w:rPr>
        <w:t xml:space="preserve">“Trial and Error”. </w:t>
      </w:r>
      <w:r w:rsidR="00527A64">
        <w:rPr>
          <w:rFonts w:ascii="Arial" w:eastAsia="Arial" w:hAnsi="Arial" w:cs="Arial"/>
        </w:rPr>
        <w:t xml:space="preserve">Following the death of Jesse Gelsinger in 1999, in a clinical trial for </w:t>
      </w:r>
      <w:r w:rsidR="00527A64" w:rsidRPr="00494F92">
        <w:rPr>
          <w:rFonts w:ascii="Arial" w:eastAsia="Arial" w:hAnsi="Arial" w:cs="Arial"/>
        </w:rPr>
        <w:t>ornithine</w:t>
      </w:r>
      <w:r w:rsidR="00527A64">
        <w:rPr>
          <w:rFonts w:ascii="Arial" w:eastAsia="Arial" w:hAnsi="Arial" w:cs="Arial"/>
        </w:rPr>
        <w:t xml:space="preserve"> </w:t>
      </w:r>
      <w:r w:rsidR="00527A64" w:rsidRPr="00494F92">
        <w:rPr>
          <w:rFonts w:ascii="Arial" w:eastAsia="Arial" w:hAnsi="Arial" w:cs="Arial"/>
        </w:rPr>
        <w:t>transcarbamylase deficiency</w:t>
      </w:r>
      <w:r w:rsidR="00527A64">
        <w:rPr>
          <w:rFonts w:ascii="Arial" w:eastAsia="Arial" w:hAnsi="Arial" w:cs="Arial"/>
        </w:rPr>
        <w:t xml:space="preserve"> </w:t>
      </w:r>
      <w:r w:rsidR="00527A64" w:rsidRPr="0030174A">
        <w:rPr>
          <w:rFonts w:ascii="Arial" w:eastAsia="Arial" w:hAnsi="Arial" w:cs="Arial"/>
        </w:rPr>
        <w:t>at the University of Pennsylvania</w:t>
      </w:r>
      <w:r w:rsidR="00527A64">
        <w:rPr>
          <w:rFonts w:ascii="Arial" w:eastAsia="Arial" w:hAnsi="Arial" w:cs="Arial"/>
        </w:rPr>
        <w:t>, t</w:t>
      </w:r>
      <w:r w:rsidR="007B493F">
        <w:rPr>
          <w:rFonts w:ascii="Arial" w:eastAsia="Arial" w:hAnsi="Arial" w:cs="Arial"/>
        </w:rPr>
        <w:t xml:space="preserve">his </w:t>
      </w:r>
      <w:r w:rsidR="00527A64">
        <w:rPr>
          <w:rFonts w:ascii="Arial" w:eastAsia="Arial" w:hAnsi="Arial" w:cs="Arial"/>
        </w:rPr>
        <w:t xml:space="preserve">BBC </w:t>
      </w:r>
      <w:r w:rsidR="007B493F">
        <w:rPr>
          <w:rFonts w:ascii="Arial" w:eastAsia="Arial" w:hAnsi="Arial" w:cs="Arial"/>
        </w:rPr>
        <w:t xml:space="preserve">programme </w:t>
      </w:r>
      <w:r w:rsidR="007B493F" w:rsidRPr="007B493F">
        <w:rPr>
          <w:rFonts w:ascii="Arial" w:eastAsia="Arial" w:hAnsi="Arial" w:cs="Arial"/>
        </w:rPr>
        <w:t>gave the strong and explicit message</w:t>
      </w:r>
      <w:r w:rsidR="007B493F">
        <w:rPr>
          <w:rFonts w:ascii="Arial" w:eastAsia="Arial" w:hAnsi="Arial" w:cs="Arial"/>
        </w:rPr>
        <w:t xml:space="preserve"> </w:t>
      </w:r>
      <w:r w:rsidR="007B493F" w:rsidRPr="007B493F">
        <w:rPr>
          <w:rFonts w:ascii="Arial" w:eastAsia="Arial" w:hAnsi="Arial" w:cs="Arial"/>
        </w:rPr>
        <w:t xml:space="preserve">that gene therapy </w:t>
      </w:r>
      <w:r w:rsidR="007B493F">
        <w:rPr>
          <w:rFonts w:ascii="Arial" w:eastAsia="Arial" w:hAnsi="Arial" w:cs="Arial"/>
        </w:rPr>
        <w:t>was</w:t>
      </w:r>
      <w:r w:rsidR="007B493F" w:rsidRPr="007B493F">
        <w:rPr>
          <w:rFonts w:ascii="Arial" w:eastAsia="Arial" w:hAnsi="Arial" w:cs="Arial"/>
        </w:rPr>
        <w:t xml:space="preserve"> no longer a valid</w:t>
      </w:r>
      <w:r w:rsidR="007B493F">
        <w:rPr>
          <w:rFonts w:ascii="Arial" w:eastAsia="Arial" w:hAnsi="Arial" w:cs="Arial"/>
        </w:rPr>
        <w:t xml:space="preserve"> </w:t>
      </w:r>
      <w:r w:rsidR="007B493F" w:rsidRPr="007B493F">
        <w:rPr>
          <w:rFonts w:ascii="Arial" w:eastAsia="Arial" w:hAnsi="Arial" w:cs="Arial"/>
        </w:rPr>
        <w:t>research area and that all work with</w:t>
      </w:r>
      <w:r w:rsidR="007B493F">
        <w:rPr>
          <w:rFonts w:ascii="Arial" w:eastAsia="Arial" w:hAnsi="Arial" w:cs="Arial"/>
        </w:rPr>
        <w:t xml:space="preserve"> </w:t>
      </w:r>
      <w:r w:rsidR="007B493F" w:rsidRPr="007B493F">
        <w:rPr>
          <w:rFonts w:ascii="Arial" w:eastAsia="Arial" w:hAnsi="Arial" w:cs="Arial"/>
        </w:rPr>
        <w:t>vir</w:t>
      </w:r>
      <w:r w:rsidR="00357B6F">
        <w:rPr>
          <w:rFonts w:ascii="Arial" w:eastAsia="Arial" w:hAnsi="Arial" w:cs="Arial"/>
        </w:rPr>
        <w:t>al</w:t>
      </w:r>
      <w:r w:rsidR="007B493F" w:rsidRPr="007B493F">
        <w:rPr>
          <w:rFonts w:ascii="Arial" w:eastAsia="Arial" w:hAnsi="Arial" w:cs="Arial"/>
        </w:rPr>
        <w:t xml:space="preserve"> vectors ha</w:t>
      </w:r>
      <w:r w:rsidR="007B493F">
        <w:rPr>
          <w:rFonts w:ascii="Arial" w:eastAsia="Arial" w:hAnsi="Arial" w:cs="Arial"/>
        </w:rPr>
        <w:t>d</w:t>
      </w:r>
      <w:r w:rsidR="007B493F" w:rsidRPr="007B493F">
        <w:rPr>
          <w:rFonts w:ascii="Arial" w:eastAsia="Arial" w:hAnsi="Arial" w:cs="Arial"/>
        </w:rPr>
        <w:t xml:space="preserve"> been halted</w:t>
      </w:r>
      <w:r w:rsidR="007B493F">
        <w:rPr>
          <w:rFonts w:ascii="Arial" w:eastAsia="Arial" w:hAnsi="Arial" w:cs="Arial"/>
        </w:rPr>
        <w:t>, which</w:t>
      </w:r>
      <w:r w:rsidR="007B493F" w:rsidRPr="007B493F">
        <w:rPr>
          <w:rFonts w:ascii="Arial" w:eastAsia="Arial" w:hAnsi="Arial" w:cs="Arial"/>
        </w:rPr>
        <w:t xml:space="preserve"> </w:t>
      </w:r>
      <w:r w:rsidR="007B493F">
        <w:rPr>
          <w:rFonts w:ascii="Arial" w:eastAsia="Arial" w:hAnsi="Arial" w:cs="Arial"/>
        </w:rPr>
        <w:t>was</w:t>
      </w:r>
      <w:r w:rsidR="00527A64">
        <w:rPr>
          <w:rFonts w:ascii="Arial" w:eastAsia="Arial" w:hAnsi="Arial" w:cs="Arial"/>
        </w:rPr>
        <w:t xml:space="preserve"> not correct </w:t>
      </w:r>
      <w:r w:rsidR="00FC5ECD">
        <w:rPr>
          <w:rFonts w:ascii="Arial" w:eastAsia="Arial" w:hAnsi="Arial" w:cs="Arial"/>
        </w:rPr>
        <w:fldChar w:fldCharType="begin"/>
      </w:r>
      <w:r w:rsidR="00FC5ECD">
        <w:rPr>
          <w:rFonts w:ascii="Arial" w:eastAsia="Arial" w:hAnsi="Arial" w:cs="Arial"/>
        </w:rPr>
        <w:instrText xml:space="preserve"> ADDIN EN.CITE &lt;EndNote&gt;&lt;Cite&gt;&lt;Author&gt;Seymour&lt;/Author&gt;&lt;Year&gt;2003&lt;/Year&gt;&lt;RecNum&gt;2295&lt;/RecNum&gt;&lt;DisplayText&gt;(1)&lt;/DisplayText&gt;&lt;record&gt;&lt;rec-number&gt;2295&lt;/rec-number&gt;&lt;foreign-keys&gt;&lt;key app="EN" db-id="2wz2ex2dl0fs0oevfvfx5wxrss9e502ztw9s" timestamp="1697212244"&gt;2295&lt;/key&gt;&lt;/foreign-keys&gt;&lt;ref-type name="Journal Article"&gt;17&lt;/ref-type&gt;&lt;contributors&gt;&lt;authors&gt;&lt;author&gt;Seymour, L. W.&lt;/author&gt;&lt;author&gt;Steering Executive Committee of the British Society for Gene, Therapy&lt;/author&gt;&lt;/authors&gt;&lt;/contributors&gt;&lt;titles&gt;&lt;title&gt;Trial and error&lt;/title&gt;&lt;secondary-title&gt;Lancet&lt;/secondary-title&gt;&lt;alt-title&gt;Lancet&lt;/alt-title&gt;&lt;/titles&gt;&lt;periodical&gt;&lt;full-title&gt;Lancet&lt;/full-title&gt;&lt;/periodical&gt;&lt;alt-periodical&gt;&lt;full-title&gt;Lancet&lt;/full-title&gt;&lt;/alt-periodical&gt;&lt;pages&gt;1568&lt;/pages&gt;&lt;volume&gt;361&lt;/volume&gt;&lt;number&gt;9368&lt;/number&gt;&lt;keywords&gt;&lt;keyword&gt;*Adenoviridae&lt;/keyword&gt;&lt;keyword&gt;Clinical Trials as Topic/*standards&lt;/keyword&gt;&lt;keyword&gt;Genetic Therapy/*adverse effects&lt;/keyword&gt;&lt;keyword&gt;Genetic Vectors/*adverse effects&lt;/keyword&gt;&lt;keyword&gt;Humans&lt;/keyword&gt;&lt;keyword&gt;*Television&lt;/keyword&gt;&lt;keyword&gt;United Kingdom&lt;/keyword&gt;&lt;/keywords&gt;&lt;dates&gt;&lt;year&gt;2003&lt;/year&gt;&lt;pub-dates&gt;&lt;date&gt;May 3&lt;/date&gt;&lt;/pub-dates&gt;&lt;/dates&gt;&lt;isbn&gt;0140-6736 (Print)&amp;#xD;0140-6736 (Linking)&lt;/isbn&gt;&lt;accession-num&gt;12737907&lt;/accession-num&gt;&lt;urls&gt;&lt;related-urls&gt;&lt;url&gt;http://www.ncbi.nlm.nih.gov/pubmed/12737907&lt;/url&gt;&lt;/related-urls&gt;&lt;/urls&gt;&lt;electronic-resource-num&gt;10.1016/S0140-6736(03)13210-2&lt;/electronic-resource-num&gt;&lt;/record&gt;&lt;/Cite&gt;&lt;/EndNote&gt;</w:instrText>
      </w:r>
      <w:r w:rsidR="00FC5ECD">
        <w:rPr>
          <w:rFonts w:ascii="Arial" w:eastAsia="Arial" w:hAnsi="Arial" w:cs="Arial"/>
        </w:rPr>
        <w:fldChar w:fldCharType="separate"/>
      </w:r>
      <w:r w:rsidR="00FC5ECD">
        <w:rPr>
          <w:rFonts w:ascii="Arial" w:eastAsia="Arial" w:hAnsi="Arial" w:cs="Arial"/>
          <w:noProof/>
        </w:rPr>
        <w:t>(</w:t>
      </w:r>
      <w:hyperlink w:anchor="_ENREF_1" w:tooltip="Seymour, 2003 #2295" w:history="1">
        <w:r w:rsidR="00FC5ECD">
          <w:rPr>
            <w:rFonts w:ascii="Arial" w:eastAsia="Arial" w:hAnsi="Arial" w:cs="Arial"/>
            <w:noProof/>
          </w:rPr>
          <w:t>1</w:t>
        </w:r>
      </w:hyperlink>
      <w:r w:rsidR="00FC5ECD">
        <w:rPr>
          <w:rFonts w:ascii="Arial" w:eastAsia="Arial" w:hAnsi="Arial" w:cs="Arial"/>
          <w:noProof/>
        </w:rPr>
        <w:t>)</w:t>
      </w:r>
      <w:r w:rsidR="00FC5ECD">
        <w:rPr>
          <w:rFonts w:ascii="Arial" w:eastAsia="Arial" w:hAnsi="Arial" w:cs="Arial"/>
        </w:rPr>
        <w:fldChar w:fldCharType="end"/>
      </w:r>
      <w:r w:rsidR="007B493F">
        <w:rPr>
          <w:rFonts w:ascii="Arial" w:eastAsia="Arial" w:hAnsi="Arial" w:cs="Arial"/>
        </w:rPr>
        <w:t>.</w:t>
      </w:r>
      <w:r w:rsidR="00A922DE">
        <w:rPr>
          <w:rFonts w:ascii="Arial" w:eastAsia="Arial" w:hAnsi="Arial" w:cs="Arial"/>
        </w:rPr>
        <w:t xml:space="preserve"> </w:t>
      </w:r>
    </w:p>
    <w:p w14:paraId="69DCBAF6" w14:textId="77777777" w:rsidR="000B6D19" w:rsidRDefault="000B6D19" w:rsidP="007B493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53FD62D5" w14:textId="64E46E6F" w:rsidR="00D765DF" w:rsidRPr="00D765DF" w:rsidRDefault="00121352" w:rsidP="00D765D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F03515">
        <w:rPr>
          <w:rFonts w:ascii="Arial" w:eastAsia="Arial" w:hAnsi="Arial" w:cs="Arial"/>
        </w:rPr>
        <w:t>S</w:t>
      </w:r>
      <w:r w:rsidR="00D765DF">
        <w:rPr>
          <w:rFonts w:ascii="Arial" w:eastAsia="Arial" w:hAnsi="Arial" w:cs="Arial"/>
        </w:rPr>
        <w:t>ociety is governed by a Memorandum and Articles of Association, which state that t</w:t>
      </w:r>
      <w:r w:rsidR="00D765DF" w:rsidRPr="00D765DF">
        <w:rPr>
          <w:rFonts w:ascii="Arial" w:eastAsia="Arial" w:hAnsi="Arial" w:cs="Arial"/>
        </w:rPr>
        <w:t>he objects of the Society shall be to advance the science and practice of gene therapy for the public benefit, in particular (but not exclusively) by:</w:t>
      </w:r>
    </w:p>
    <w:p w14:paraId="3AC55BB2" w14:textId="77777777" w:rsidR="00D765DF" w:rsidRPr="00D765DF" w:rsidRDefault="00D765DF" w:rsidP="00D765D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405B9F18" w14:textId="77777777" w:rsidR="00D765DF" w:rsidRPr="00D765DF" w:rsidRDefault="007A1085" w:rsidP="00D765D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D765DF" w:rsidRPr="00D765DF">
        <w:rPr>
          <w:rFonts w:ascii="Arial" w:eastAsia="Arial" w:hAnsi="Arial" w:cs="Arial"/>
        </w:rPr>
        <w:t>.</w:t>
      </w:r>
      <w:r w:rsidR="00D765DF" w:rsidRPr="00D765DF">
        <w:rPr>
          <w:rFonts w:ascii="Arial" w:eastAsia="Arial" w:hAnsi="Arial" w:cs="Arial"/>
        </w:rPr>
        <w:tab/>
        <w:t>advancing diffusion of scientific knowledge in the field of gene and cell therapy;</w:t>
      </w:r>
    </w:p>
    <w:p w14:paraId="15F336FC" w14:textId="77777777" w:rsidR="00D765DF" w:rsidRPr="00D765DF" w:rsidRDefault="007A1085" w:rsidP="00D765D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</w:t>
      </w:r>
      <w:r w:rsidR="00D765DF" w:rsidRPr="00D765DF">
        <w:rPr>
          <w:rFonts w:ascii="Arial" w:eastAsia="Arial" w:hAnsi="Arial" w:cs="Arial"/>
        </w:rPr>
        <w:t>.</w:t>
      </w:r>
      <w:r w:rsidR="00D765DF" w:rsidRPr="00D765DF">
        <w:rPr>
          <w:rFonts w:ascii="Arial" w:eastAsia="Arial" w:hAnsi="Arial" w:cs="Arial"/>
        </w:rPr>
        <w:tab/>
        <w:t>facilitating sharing of scientific resources in the field of gene and cell therapy;</w:t>
      </w:r>
    </w:p>
    <w:p w14:paraId="2E911E2A" w14:textId="2A6D83C6" w:rsidR="00D765DF" w:rsidRPr="00D765DF" w:rsidRDefault="007A1085" w:rsidP="00D765D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</w:t>
      </w:r>
      <w:r w:rsidR="00D765DF" w:rsidRPr="00D765DF">
        <w:rPr>
          <w:rFonts w:ascii="Arial" w:eastAsia="Arial" w:hAnsi="Arial" w:cs="Arial"/>
        </w:rPr>
        <w:t>.</w:t>
      </w:r>
      <w:r w:rsidR="00D765DF" w:rsidRPr="00D765DF">
        <w:rPr>
          <w:rFonts w:ascii="Arial" w:eastAsia="Arial" w:hAnsi="Arial" w:cs="Arial"/>
        </w:rPr>
        <w:tab/>
        <w:t>facilitating clinical advancement of gene and cell therapy technology; and</w:t>
      </w:r>
    </w:p>
    <w:p w14:paraId="103F0914" w14:textId="77777777" w:rsidR="00D765DF" w:rsidRDefault="007A1085" w:rsidP="00D765D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</w:t>
      </w:r>
      <w:r w:rsidR="00D765DF" w:rsidRPr="00D765DF">
        <w:rPr>
          <w:rFonts w:ascii="Arial" w:eastAsia="Arial" w:hAnsi="Arial" w:cs="Arial"/>
        </w:rPr>
        <w:t>.</w:t>
      </w:r>
      <w:r w:rsidR="00D765DF" w:rsidRPr="00D765DF">
        <w:rPr>
          <w:rFonts w:ascii="Arial" w:eastAsia="Arial" w:hAnsi="Arial" w:cs="Arial"/>
        </w:rPr>
        <w:tab/>
        <w:t>providing expert advice to strategic, regulatory, ethical and funding bodies in the UK.</w:t>
      </w:r>
    </w:p>
    <w:p w14:paraId="5D4BF33F" w14:textId="77777777" w:rsidR="00D765DF" w:rsidRDefault="00D765DF" w:rsidP="00D765D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45BF8D74" w14:textId="17BB4B4B" w:rsidR="00763203" w:rsidRDefault="00D765DF" w:rsidP="00494F92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Objects </w:t>
      </w:r>
      <w:r w:rsidR="007A1085">
        <w:rPr>
          <w:rFonts w:ascii="Arial" w:eastAsia="Arial" w:hAnsi="Arial" w:cs="Arial"/>
        </w:rPr>
        <w:t>i-iii</w:t>
      </w:r>
      <w:r>
        <w:rPr>
          <w:rFonts w:ascii="Arial" w:eastAsia="Arial" w:hAnsi="Arial" w:cs="Arial"/>
        </w:rPr>
        <w:t xml:space="preserve"> were initially served through the organi</w:t>
      </w:r>
      <w:r w:rsidR="00817B16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ation of annual scientific conference</w:t>
      </w:r>
      <w:r w:rsidR="00027830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and public engagement</w:t>
      </w:r>
      <w:r w:rsidR="00027830">
        <w:rPr>
          <w:rFonts w:ascii="Arial" w:eastAsia="Arial" w:hAnsi="Arial" w:cs="Arial"/>
        </w:rPr>
        <w:t xml:space="preserve"> events. The </w:t>
      </w:r>
      <w:r w:rsidR="00121352">
        <w:rPr>
          <w:rFonts w:ascii="Arial" w:eastAsia="Arial" w:hAnsi="Arial" w:cs="Arial"/>
        </w:rPr>
        <w:t xml:space="preserve">first </w:t>
      </w:r>
      <w:r w:rsidR="00A922DE">
        <w:rPr>
          <w:rFonts w:ascii="Arial" w:eastAsia="Arial" w:hAnsi="Arial" w:cs="Arial"/>
        </w:rPr>
        <w:t xml:space="preserve">annual conference </w:t>
      </w:r>
      <w:r w:rsidR="00027830">
        <w:rPr>
          <w:rFonts w:ascii="Arial" w:eastAsia="Arial" w:hAnsi="Arial" w:cs="Arial"/>
          <w:lang w:val="en-GB"/>
        </w:rPr>
        <w:t>was held</w:t>
      </w:r>
      <w:r w:rsidR="00B254FE" w:rsidRPr="00B254FE">
        <w:rPr>
          <w:rFonts w:ascii="Arial" w:eastAsia="Arial" w:hAnsi="Arial" w:cs="Arial"/>
          <w:lang w:val="en-GB"/>
        </w:rPr>
        <w:t xml:space="preserve"> at Keble College, Oxford </w:t>
      </w:r>
      <w:r w:rsidR="00357B6F">
        <w:rPr>
          <w:rFonts w:ascii="Arial" w:eastAsia="Arial" w:hAnsi="Arial" w:cs="Arial"/>
          <w:lang w:val="en-GB"/>
        </w:rPr>
        <w:t>in</w:t>
      </w:r>
      <w:r w:rsidR="00817B16">
        <w:rPr>
          <w:rFonts w:ascii="Arial" w:eastAsia="Arial" w:hAnsi="Arial" w:cs="Arial"/>
          <w:lang w:val="en-GB"/>
        </w:rPr>
        <w:t xml:space="preserve"> </w:t>
      </w:r>
      <w:r w:rsidR="00804796">
        <w:rPr>
          <w:rFonts w:ascii="Arial" w:eastAsia="Arial" w:hAnsi="Arial" w:cs="Arial"/>
          <w:lang w:val="en-GB"/>
        </w:rPr>
        <w:t>March</w:t>
      </w:r>
      <w:r w:rsidR="00027830">
        <w:rPr>
          <w:rFonts w:ascii="Arial" w:eastAsia="Arial" w:hAnsi="Arial" w:cs="Arial"/>
          <w:lang w:val="en-GB"/>
        </w:rPr>
        <w:t xml:space="preserve"> </w:t>
      </w:r>
      <w:r w:rsidR="00B254FE" w:rsidRPr="00B254FE">
        <w:rPr>
          <w:rFonts w:ascii="Arial" w:eastAsia="Arial" w:hAnsi="Arial" w:cs="Arial"/>
          <w:lang w:val="en-GB"/>
        </w:rPr>
        <w:t>2004</w:t>
      </w:r>
      <w:r w:rsidR="00804796">
        <w:rPr>
          <w:rFonts w:ascii="Arial" w:eastAsia="Arial" w:hAnsi="Arial" w:cs="Arial"/>
          <w:lang w:val="en-GB"/>
        </w:rPr>
        <w:t>, and sponsored by</w:t>
      </w:r>
      <w:r w:rsidR="00834862">
        <w:rPr>
          <w:rFonts w:ascii="Arial" w:eastAsia="Arial" w:hAnsi="Arial" w:cs="Arial"/>
          <w:lang w:val="en-GB"/>
        </w:rPr>
        <w:t xml:space="preserve"> the </w:t>
      </w:r>
      <w:r w:rsidR="00834862" w:rsidRPr="00834862">
        <w:rPr>
          <w:rFonts w:ascii="Arial" w:eastAsia="Arial" w:hAnsi="Arial" w:cs="Arial"/>
          <w:lang w:val="en-GB"/>
        </w:rPr>
        <w:t>International Society for Cell and Gene Therapy of Cancer</w:t>
      </w:r>
      <w:r w:rsidR="00804796">
        <w:rPr>
          <w:rFonts w:ascii="Arial" w:eastAsia="Arial" w:hAnsi="Arial" w:cs="Arial"/>
          <w:lang w:val="en-GB"/>
        </w:rPr>
        <w:t xml:space="preserve"> </w:t>
      </w:r>
      <w:r w:rsidR="00834862">
        <w:rPr>
          <w:rFonts w:ascii="Arial" w:eastAsia="Arial" w:hAnsi="Arial" w:cs="Arial"/>
          <w:lang w:val="en-GB"/>
        </w:rPr>
        <w:t>(</w:t>
      </w:r>
      <w:r w:rsidR="00763203" w:rsidRPr="00763203">
        <w:rPr>
          <w:rFonts w:ascii="Arial" w:eastAsia="Arial" w:hAnsi="Arial" w:cs="Arial"/>
        </w:rPr>
        <w:t>ISCGTC</w:t>
      </w:r>
      <w:r w:rsidR="00834862">
        <w:rPr>
          <w:rFonts w:ascii="Arial" w:eastAsia="Arial" w:hAnsi="Arial" w:cs="Arial"/>
        </w:rPr>
        <w:t>)</w:t>
      </w:r>
      <w:r w:rsidR="00804796">
        <w:rPr>
          <w:rFonts w:ascii="Arial" w:eastAsia="Arial" w:hAnsi="Arial" w:cs="Arial"/>
        </w:rPr>
        <w:t>.</w:t>
      </w:r>
      <w:r w:rsidR="00F03515">
        <w:rPr>
          <w:rFonts w:ascii="Arial" w:eastAsia="Arial" w:hAnsi="Arial" w:cs="Arial"/>
        </w:rPr>
        <w:t xml:space="preserve"> To date, 19 conferences have been held, the annual flow only altered by the organization of two themed conferences in 2018 (on</w:t>
      </w:r>
      <w:r w:rsidR="008371E7">
        <w:rPr>
          <w:rFonts w:ascii="Arial" w:eastAsia="Arial" w:hAnsi="Arial" w:cs="Arial"/>
        </w:rPr>
        <w:t xml:space="preserve"> </w:t>
      </w:r>
      <w:r w:rsidR="005255A4" w:rsidRPr="005255A4">
        <w:rPr>
          <w:rFonts w:ascii="Arial" w:eastAsia="Arial" w:hAnsi="Arial" w:cs="Arial"/>
          <w:i/>
          <w:iCs/>
        </w:rPr>
        <w:t>Lentiviral and other retroviral vectors</w:t>
      </w:r>
      <w:r w:rsidR="005255A4">
        <w:rPr>
          <w:rFonts w:ascii="Arial" w:eastAsia="Arial" w:hAnsi="Arial" w:cs="Arial"/>
        </w:rPr>
        <w:t xml:space="preserve">, and </w:t>
      </w:r>
      <w:r w:rsidR="005255A4" w:rsidRPr="005255A4">
        <w:rPr>
          <w:rFonts w:ascii="Arial" w:eastAsia="Arial" w:hAnsi="Arial" w:cs="Arial"/>
          <w:i/>
          <w:iCs/>
        </w:rPr>
        <w:t>Genome editing for gene and cell therapy</w:t>
      </w:r>
      <w:r w:rsidR="00F03515">
        <w:rPr>
          <w:rFonts w:ascii="Arial" w:eastAsia="Arial" w:hAnsi="Arial" w:cs="Arial"/>
        </w:rPr>
        <w:t xml:space="preserve">), and interrupted by the COVID-19 pandemic, which precluded their celebration in 2020 and 2021. Two of the conferences, </w:t>
      </w:r>
      <w:r w:rsidR="008371E7">
        <w:rPr>
          <w:rFonts w:ascii="Arial" w:eastAsia="Arial" w:hAnsi="Arial" w:cs="Arial"/>
        </w:rPr>
        <w:t xml:space="preserve">Brighton </w:t>
      </w:r>
      <w:r w:rsidR="00F03515">
        <w:rPr>
          <w:rFonts w:ascii="Arial" w:eastAsia="Arial" w:hAnsi="Arial" w:cs="Arial"/>
        </w:rPr>
        <w:t xml:space="preserve">2011 and </w:t>
      </w:r>
      <w:r w:rsidR="008371E7">
        <w:rPr>
          <w:rFonts w:ascii="Arial" w:eastAsia="Arial" w:hAnsi="Arial" w:cs="Arial"/>
        </w:rPr>
        <w:t xml:space="preserve">Edinburgh </w:t>
      </w:r>
      <w:r w:rsidR="00F03515">
        <w:rPr>
          <w:rFonts w:ascii="Arial" w:eastAsia="Arial" w:hAnsi="Arial" w:cs="Arial"/>
        </w:rPr>
        <w:t>2022, were jointly held with the European Society of Gene and Cell Therapy</w:t>
      </w:r>
      <w:r w:rsidR="008371E7">
        <w:rPr>
          <w:rFonts w:ascii="Arial" w:eastAsia="Arial" w:hAnsi="Arial" w:cs="Arial"/>
        </w:rPr>
        <w:t xml:space="preserve"> (ESGCT)</w:t>
      </w:r>
      <w:r w:rsidR="003F2FD5">
        <w:rPr>
          <w:rFonts w:ascii="Arial" w:eastAsia="Arial" w:hAnsi="Arial" w:cs="Arial"/>
        </w:rPr>
        <w:t>. The latter, with around 2,</w:t>
      </w:r>
      <w:r w:rsidR="005D0562">
        <w:rPr>
          <w:rFonts w:ascii="Arial" w:eastAsia="Arial" w:hAnsi="Arial" w:cs="Arial"/>
        </w:rPr>
        <w:t>1</w:t>
      </w:r>
      <w:r w:rsidR="003F2FD5">
        <w:rPr>
          <w:rFonts w:ascii="Arial" w:eastAsia="Arial" w:hAnsi="Arial" w:cs="Arial"/>
        </w:rPr>
        <w:t xml:space="preserve">00 </w:t>
      </w:r>
      <w:r w:rsidR="005D0562">
        <w:rPr>
          <w:rFonts w:ascii="Arial" w:eastAsia="Arial" w:hAnsi="Arial" w:cs="Arial"/>
        </w:rPr>
        <w:t>attendees</w:t>
      </w:r>
      <w:r w:rsidR="008371E7">
        <w:rPr>
          <w:rFonts w:ascii="Arial" w:eastAsia="Arial" w:hAnsi="Arial" w:cs="Arial"/>
        </w:rPr>
        <w:t>,</w:t>
      </w:r>
      <w:r w:rsidR="003F2FD5">
        <w:rPr>
          <w:rFonts w:ascii="Arial" w:eastAsia="Arial" w:hAnsi="Arial" w:cs="Arial"/>
        </w:rPr>
        <w:t xml:space="preserve"> was our largest ever event.</w:t>
      </w:r>
      <w:r w:rsidR="005255A4">
        <w:rPr>
          <w:rFonts w:ascii="Arial" w:eastAsia="Arial" w:hAnsi="Arial" w:cs="Arial"/>
        </w:rPr>
        <w:t xml:space="preserve"> Next year we will celebrate the 20</w:t>
      </w:r>
      <w:r w:rsidR="005255A4" w:rsidRPr="005255A4">
        <w:rPr>
          <w:rFonts w:ascii="Arial" w:eastAsia="Arial" w:hAnsi="Arial" w:cs="Arial"/>
          <w:vertAlign w:val="superscript"/>
        </w:rPr>
        <w:t>th</w:t>
      </w:r>
      <w:r w:rsidR="005255A4">
        <w:rPr>
          <w:rFonts w:ascii="Arial" w:eastAsia="Arial" w:hAnsi="Arial" w:cs="Arial"/>
        </w:rPr>
        <w:t xml:space="preserve"> conference, Oxford 2024.</w:t>
      </w:r>
    </w:p>
    <w:p w14:paraId="60A2859D" w14:textId="77777777" w:rsidR="00F06CFF" w:rsidRPr="00763203" w:rsidRDefault="00F06CFF" w:rsidP="00763203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55ECB625" w14:textId="6CE05C8C" w:rsidR="00763203" w:rsidRDefault="004F67A8" w:rsidP="00763203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engagement was a core goal</w:t>
      </w:r>
      <w:r w:rsidRPr="004F67A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for t</w:t>
      </w:r>
      <w:r w:rsidRPr="00763203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Society from the outset. </w:t>
      </w:r>
      <w:r w:rsidR="003E5F95">
        <w:rPr>
          <w:rFonts w:ascii="Arial" w:eastAsia="Arial" w:hAnsi="Arial" w:cs="Arial"/>
          <w:lang w:val="en-GB"/>
        </w:rPr>
        <w:t>The f</w:t>
      </w:r>
      <w:r w:rsidR="00B254FE" w:rsidRPr="00B254FE">
        <w:rPr>
          <w:rFonts w:ascii="Arial" w:eastAsia="Arial" w:hAnsi="Arial" w:cs="Arial"/>
          <w:lang w:val="en-GB"/>
        </w:rPr>
        <w:t xml:space="preserve">irst outreach event </w:t>
      </w:r>
      <w:r w:rsidR="003E5F95">
        <w:rPr>
          <w:rFonts w:ascii="Arial" w:eastAsia="Arial" w:hAnsi="Arial" w:cs="Arial"/>
          <w:lang w:val="en-GB"/>
        </w:rPr>
        <w:t xml:space="preserve">took the form of a </w:t>
      </w:r>
      <w:r w:rsidR="00B254FE" w:rsidRPr="00B254FE">
        <w:rPr>
          <w:rFonts w:ascii="Arial" w:eastAsia="Arial" w:hAnsi="Arial" w:cs="Arial"/>
          <w:lang w:val="en-GB"/>
        </w:rPr>
        <w:t xml:space="preserve">session </w:t>
      </w:r>
      <w:r w:rsidR="003E5F95">
        <w:rPr>
          <w:rFonts w:ascii="Arial" w:eastAsia="Arial" w:hAnsi="Arial" w:cs="Arial"/>
          <w:lang w:val="en-GB"/>
        </w:rPr>
        <w:t>celebrated at the beginning of the</w:t>
      </w:r>
      <w:r w:rsidR="00B254FE" w:rsidRPr="00B254FE">
        <w:rPr>
          <w:rFonts w:ascii="Arial" w:eastAsia="Arial" w:hAnsi="Arial" w:cs="Arial"/>
          <w:lang w:val="en-GB"/>
        </w:rPr>
        <w:t xml:space="preserve"> Manchester 2005</w:t>
      </w:r>
      <w:r w:rsidR="003E5F95">
        <w:rPr>
          <w:rFonts w:ascii="Arial" w:eastAsia="Arial" w:hAnsi="Arial" w:cs="Arial"/>
          <w:lang w:val="en-GB"/>
        </w:rPr>
        <w:t xml:space="preserve"> annual conference. This quickly evolved to a full day event</w:t>
      </w:r>
      <w:r w:rsidR="00024B92">
        <w:rPr>
          <w:rFonts w:ascii="Arial" w:eastAsia="Arial" w:hAnsi="Arial" w:cs="Arial"/>
          <w:lang w:val="en-GB"/>
        </w:rPr>
        <w:t xml:space="preserve"> under the leadership of Renée Watson</w:t>
      </w:r>
      <w:r w:rsidR="003E5F95">
        <w:rPr>
          <w:rFonts w:ascii="Arial" w:eastAsia="Arial" w:hAnsi="Arial" w:cs="Arial"/>
          <w:lang w:val="en-GB"/>
        </w:rPr>
        <w:t xml:space="preserve">, </w:t>
      </w:r>
      <w:r w:rsidR="00BF51CA">
        <w:rPr>
          <w:rFonts w:ascii="Arial" w:eastAsia="Arial" w:hAnsi="Arial" w:cs="Arial"/>
          <w:lang w:val="en-GB"/>
        </w:rPr>
        <w:t>the first manager of the Society. I</w:t>
      </w:r>
      <w:r w:rsidR="003E5F95">
        <w:rPr>
          <w:rFonts w:ascii="Arial" w:eastAsia="Arial" w:hAnsi="Arial" w:cs="Arial"/>
          <w:lang w:val="en-GB"/>
        </w:rPr>
        <w:t>nitially called</w:t>
      </w:r>
      <w:r w:rsidR="003E5F95" w:rsidRPr="003E5F95">
        <w:rPr>
          <w:rFonts w:ascii="Arial" w:eastAsia="Arial" w:hAnsi="Arial" w:cs="Arial"/>
          <w:i/>
          <w:iCs/>
          <w:lang w:val="en-GB"/>
        </w:rPr>
        <w:t xml:space="preserve"> </w:t>
      </w:r>
      <w:r w:rsidR="00B254FE" w:rsidRPr="00B254FE">
        <w:rPr>
          <w:rFonts w:ascii="Arial" w:eastAsia="Arial" w:hAnsi="Arial" w:cs="Arial"/>
          <w:i/>
          <w:iCs/>
          <w:lang w:val="en-GB"/>
        </w:rPr>
        <w:t>Journeys in the Genetic Jungle</w:t>
      </w:r>
      <w:r w:rsidR="003E5F95" w:rsidRPr="003E5F95">
        <w:rPr>
          <w:rFonts w:ascii="Arial" w:eastAsia="Arial" w:hAnsi="Arial" w:cs="Arial"/>
          <w:lang w:val="en-GB"/>
        </w:rPr>
        <w:t xml:space="preserve"> (JIGJ), the first </w:t>
      </w:r>
      <w:r w:rsidR="00BF51CA">
        <w:rPr>
          <w:rFonts w:ascii="Arial" w:eastAsia="Arial" w:hAnsi="Arial" w:cs="Arial"/>
          <w:lang w:val="en-GB"/>
        </w:rPr>
        <w:t>full day event</w:t>
      </w:r>
      <w:r w:rsidR="003E5F95" w:rsidRPr="003E5F95">
        <w:rPr>
          <w:rFonts w:ascii="Arial" w:eastAsia="Arial" w:hAnsi="Arial" w:cs="Arial"/>
          <w:lang w:val="en-GB"/>
        </w:rPr>
        <w:t xml:space="preserve"> was held </w:t>
      </w:r>
      <w:r w:rsidR="00BF51CA">
        <w:rPr>
          <w:rFonts w:ascii="Arial" w:eastAsia="Arial" w:hAnsi="Arial" w:cs="Arial"/>
          <w:lang w:val="en-GB"/>
        </w:rPr>
        <w:t>ahead</w:t>
      </w:r>
      <w:r w:rsidR="00024B92">
        <w:rPr>
          <w:rFonts w:ascii="Arial" w:eastAsia="Arial" w:hAnsi="Arial" w:cs="Arial"/>
          <w:lang w:val="en-GB"/>
        </w:rPr>
        <w:t xml:space="preserve"> of the annual conference </w:t>
      </w:r>
      <w:r w:rsidR="003E5F95" w:rsidRPr="003E5F95">
        <w:rPr>
          <w:rFonts w:ascii="Arial" w:eastAsia="Arial" w:hAnsi="Arial" w:cs="Arial"/>
          <w:lang w:val="en-GB"/>
        </w:rPr>
        <w:t>at Imperial College in 2006.</w:t>
      </w:r>
      <w:r w:rsidR="002458A3">
        <w:rPr>
          <w:rFonts w:ascii="Arial" w:eastAsia="Arial" w:hAnsi="Arial" w:cs="Arial"/>
          <w:lang w:val="en-GB"/>
        </w:rPr>
        <w:t xml:space="preserve"> Late</w:t>
      </w:r>
      <w:r w:rsidR="00A44968">
        <w:rPr>
          <w:rFonts w:ascii="Arial" w:eastAsia="Arial" w:hAnsi="Arial" w:cs="Arial"/>
          <w:lang w:val="en-GB"/>
        </w:rPr>
        <w:t>r</w:t>
      </w:r>
      <w:r w:rsidR="002458A3">
        <w:rPr>
          <w:rFonts w:ascii="Arial" w:eastAsia="Arial" w:hAnsi="Arial" w:cs="Arial"/>
          <w:lang w:val="en-GB"/>
        </w:rPr>
        <w:t xml:space="preserve"> referred to as the Society’s </w:t>
      </w:r>
      <w:r w:rsidR="002458A3" w:rsidRPr="002458A3">
        <w:rPr>
          <w:rFonts w:ascii="Arial" w:eastAsia="Arial" w:hAnsi="Arial" w:cs="Arial"/>
          <w:i/>
          <w:iCs/>
          <w:lang w:val="en-GB"/>
        </w:rPr>
        <w:t xml:space="preserve">Public </w:t>
      </w:r>
      <w:r w:rsidR="00834862">
        <w:rPr>
          <w:rFonts w:ascii="Arial" w:eastAsia="Arial" w:hAnsi="Arial" w:cs="Arial"/>
          <w:i/>
          <w:iCs/>
          <w:lang w:val="en-GB"/>
        </w:rPr>
        <w:t>Engagement</w:t>
      </w:r>
      <w:r w:rsidR="002458A3" w:rsidRPr="002458A3">
        <w:rPr>
          <w:rFonts w:ascii="Arial" w:eastAsia="Arial" w:hAnsi="Arial" w:cs="Arial"/>
          <w:i/>
          <w:iCs/>
          <w:lang w:val="en-GB"/>
        </w:rPr>
        <w:t xml:space="preserve"> Day</w:t>
      </w:r>
      <w:r w:rsidR="00650DA9">
        <w:rPr>
          <w:rFonts w:ascii="Arial" w:eastAsia="Arial" w:hAnsi="Arial" w:cs="Arial"/>
          <w:i/>
          <w:iCs/>
          <w:lang w:val="en-GB"/>
        </w:rPr>
        <w:t xml:space="preserve"> </w:t>
      </w:r>
      <w:r w:rsidR="00650DA9">
        <w:rPr>
          <w:rFonts w:ascii="Arial" w:eastAsia="Arial" w:hAnsi="Arial" w:cs="Arial"/>
          <w:lang w:val="en-GB"/>
        </w:rPr>
        <w:t>(PED),</w:t>
      </w:r>
      <w:r w:rsidR="002458A3">
        <w:rPr>
          <w:rFonts w:ascii="Arial" w:eastAsia="Arial" w:hAnsi="Arial" w:cs="Arial"/>
          <w:lang w:val="en-GB"/>
        </w:rPr>
        <w:t xml:space="preserve"> it is regularly attended by about 300 secondary school students and other interested </w:t>
      </w:r>
      <w:r w:rsidR="007A1085">
        <w:rPr>
          <w:rFonts w:ascii="Arial" w:eastAsia="Arial" w:hAnsi="Arial" w:cs="Arial"/>
          <w:lang w:val="en-GB"/>
        </w:rPr>
        <w:t>parties</w:t>
      </w:r>
      <w:r w:rsidR="002458A3">
        <w:rPr>
          <w:rFonts w:ascii="Arial" w:eastAsia="Arial" w:hAnsi="Arial" w:cs="Arial"/>
          <w:lang w:val="en-GB"/>
        </w:rPr>
        <w:t xml:space="preserve">. Talks by people affected by genetic diseases or their family members are always a highlight, </w:t>
      </w:r>
      <w:r w:rsidR="00763203" w:rsidRPr="00763203">
        <w:rPr>
          <w:rFonts w:ascii="Arial" w:eastAsia="Arial" w:hAnsi="Arial" w:cs="Arial"/>
        </w:rPr>
        <w:t>to put</w:t>
      </w:r>
      <w:r w:rsidR="00A44968">
        <w:rPr>
          <w:rFonts w:ascii="Arial" w:eastAsia="Arial" w:hAnsi="Arial" w:cs="Arial"/>
        </w:rPr>
        <w:t xml:space="preserve"> research efforts</w:t>
      </w:r>
      <w:r w:rsidR="00763203" w:rsidRPr="00763203">
        <w:rPr>
          <w:rFonts w:ascii="Arial" w:eastAsia="Arial" w:hAnsi="Arial" w:cs="Arial"/>
        </w:rPr>
        <w:t xml:space="preserve"> into context and </w:t>
      </w:r>
      <w:r w:rsidR="002458A3">
        <w:rPr>
          <w:rFonts w:ascii="Arial" w:eastAsia="Arial" w:hAnsi="Arial" w:cs="Arial"/>
        </w:rPr>
        <w:t>discuss</w:t>
      </w:r>
      <w:r w:rsidR="00763203" w:rsidRPr="00763203">
        <w:rPr>
          <w:rFonts w:ascii="Arial" w:eastAsia="Arial" w:hAnsi="Arial" w:cs="Arial"/>
        </w:rPr>
        <w:t xml:space="preserve"> risk/benefit from a much more informed perspective.</w:t>
      </w:r>
      <w:r w:rsidR="005E0962">
        <w:rPr>
          <w:rFonts w:ascii="Arial" w:eastAsia="Arial" w:hAnsi="Arial" w:cs="Arial"/>
        </w:rPr>
        <w:t xml:space="preserve"> The Society has also participated in Rare Disease Day activities from 2011 and developed hands-on outreach materials, like the </w:t>
      </w:r>
      <w:r w:rsidR="005E0962" w:rsidRPr="005E0962">
        <w:rPr>
          <w:rFonts w:ascii="Arial" w:eastAsia="Arial" w:hAnsi="Arial" w:cs="Arial"/>
        </w:rPr>
        <w:t>“Genes in Action Curiosity Box”</w:t>
      </w:r>
      <w:r w:rsidR="005E0962">
        <w:rPr>
          <w:rFonts w:ascii="Arial" w:eastAsia="Arial" w:hAnsi="Arial" w:cs="Arial"/>
        </w:rPr>
        <w:t xml:space="preserve">, in partnership with </w:t>
      </w:r>
      <w:r w:rsidR="005E0962" w:rsidRPr="005E0962">
        <w:rPr>
          <w:rFonts w:ascii="Arial" w:eastAsia="Arial" w:hAnsi="Arial" w:cs="Arial"/>
          <w:i/>
          <w:iCs/>
        </w:rPr>
        <w:t>The Curiosity Box</w:t>
      </w:r>
      <w:r w:rsidR="005E0962">
        <w:rPr>
          <w:rFonts w:ascii="Arial" w:eastAsia="Arial" w:hAnsi="Arial" w:cs="Arial"/>
          <w:i/>
          <w:iCs/>
        </w:rPr>
        <w:t xml:space="preserve"> Ltd</w:t>
      </w:r>
      <w:r w:rsidR="005E0962">
        <w:rPr>
          <w:rFonts w:ascii="Arial" w:eastAsia="Arial" w:hAnsi="Arial" w:cs="Arial"/>
        </w:rPr>
        <w:t>.</w:t>
      </w:r>
      <w:r w:rsidR="0069180A" w:rsidRPr="0069180A">
        <w:rPr>
          <w:rFonts w:ascii="Arial" w:eastAsia="Arial" w:hAnsi="Arial" w:cs="Arial"/>
          <w:lang w:val="en-GB"/>
        </w:rPr>
        <w:t xml:space="preserve"> </w:t>
      </w:r>
      <w:r w:rsidR="0069180A">
        <w:rPr>
          <w:rFonts w:ascii="Arial" w:eastAsia="Arial" w:hAnsi="Arial" w:cs="Arial"/>
          <w:lang w:val="en-GB"/>
        </w:rPr>
        <w:t xml:space="preserve">For many years the Society supported </w:t>
      </w:r>
      <w:r w:rsidR="0069180A" w:rsidRPr="00AF1D97">
        <w:rPr>
          <w:rFonts w:ascii="Arial" w:eastAsia="Arial" w:hAnsi="Arial" w:cs="Arial"/>
          <w:i/>
          <w:iCs/>
          <w:lang w:val="en-GB"/>
        </w:rPr>
        <w:t>In2Science</w:t>
      </w:r>
      <w:r w:rsidR="0069180A">
        <w:rPr>
          <w:rFonts w:ascii="Arial" w:eastAsia="Arial" w:hAnsi="Arial" w:cs="Arial"/>
          <w:lang w:val="en-GB"/>
        </w:rPr>
        <w:t>, thus promoting social mobility and diversity in STEM (Science, Technology, Engineering and Medicine), and more recently this support has been channelled through a yearly programme of BSGCT undergraduate research bursaries.</w:t>
      </w:r>
    </w:p>
    <w:p w14:paraId="751488AC" w14:textId="77777777" w:rsidR="00D95BA4" w:rsidRDefault="00D95BA4" w:rsidP="00763203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2FCC2985" w14:textId="297E5473" w:rsidR="00974A82" w:rsidRDefault="00D95BA4" w:rsidP="00974A82">
      <w:pPr>
        <w:spacing w:before="32" w:after="0" w:line="291" w:lineRule="auto"/>
        <w:ind w:right="1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lastRenderedPageBreak/>
        <w:t xml:space="preserve">The Society has always been </w:t>
      </w:r>
      <w:r w:rsidR="006D2B90">
        <w:rPr>
          <w:rFonts w:ascii="Arial" w:eastAsia="Arial" w:hAnsi="Arial" w:cs="Arial"/>
        </w:rPr>
        <w:t xml:space="preserve">very supportive of Early Career Researchers (ECRs). </w:t>
      </w:r>
      <w:r w:rsidR="00B254FE" w:rsidRPr="00B254FE">
        <w:rPr>
          <w:rFonts w:ascii="Arial" w:eastAsia="Arial" w:hAnsi="Arial" w:cs="Arial"/>
          <w:lang w:val="en-GB"/>
        </w:rPr>
        <w:t xml:space="preserve">ECR representatives </w:t>
      </w:r>
      <w:r w:rsidR="00974A82">
        <w:rPr>
          <w:rFonts w:ascii="Arial" w:eastAsia="Arial" w:hAnsi="Arial" w:cs="Arial"/>
          <w:lang w:val="en-GB"/>
        </w:rPr>
        <w:t>have been s</w:t>
      </w:r>
      <w:r w:rsidR="00B254FE" w:rsidRPr="00B254FE">
        <w:rPr>
          <w:rFonts w:ascii="Arial" w:eastAsia="Arial" w:hAnsi="Arial" w:cs="Arial"/>
          <w:lang w:val="en-GB"/>
        </w:rPr>
        <w:t xml:space="preserve">elected </w:t>
      </w:r>
      <w:r w:rsidR="00974A82">
        <w:rPr>
          <w:rFonts w:ascii="Arial" w:eastAsia="Arial" w:hAnsi="Arial" w:cs="Arial"/>
          <w:lang w:val="en-GB"/>
        </w:rPr>
        <w:t>to serve on the</w:t>
      </w:r>
      <w:r w:rsidR="00B254FE" w:rsidRPr="00B254FE">
        <w:rPr>
          <w:rFonts w:ascii="Arial" w:eastAsia="Arial" w:hAnsi="Arial" w:cs="Arial"/>
          <w:lang w:val="en-GB"/>
        </w:rPr>
        <w:t xml:space="preserve"> Board </w:t>
      </w:r>
      <w:r w:rsidR="00974A82">
        <w:rPr>
          <w:rFonts w:ascii="Arial" w:eastAsia="Arial" w:hAnsi="Arial" w:cs="Arial"/>
          <w:lang w:val="en-GB"/>
        </w:rPr>
        <w:t xml:space="preserve">of the Society </w:t>
      </w:r>
      <w:r w:rsidR="00B254FE" w:rsidRPr="00B254FE">
        <w:rPr>
          <w:rFonts w:ascii="Arial" w:eastAsia="Arial" w:hAnsi="Arial" w:cs="Arial"/>
          <w:lang w:val="en-GB"/>
        </w:rPr>
        <w:t>from 2010</w:t>
      </w:r>
      <w:r w:rsidR="00974A82">
        <w:rPr>
          <w:rFonts w:ascii="Arial" w:eastAsia="Arial" w:hAnsi="Arial" w:cs="Arial"/>
          <w:lang w:val="en-GB"/>
        </w:rPr>
        <w:t xml:space="preserve">, with equal standing to elected members. The Society provides ECRs with </w:t>
      </w:r>
      <w:r w:rsidR="003D6839">
        <w:rPr>
          <w:rFonts w:ascii="Arial" w:eastAsia="Arial" w:hAnsi="Arial" w:cs="Arial"/>
          <w:lang w:val="en-GB"/>
        </w:rPr>
        <w:t xml:space="preserve">multiple </w:t>
      </w:r>
      <w:r w:rsidR="009613A1">
        <w:rPr>
          <w:rFonts w:ascii="Arial" w:eastAsia="Arial" w:hAnsi="Arial" w:cs="Arial"/>
          <w:lang w:val="en-GB"/>
        </w:rPr>
        <w:t xml:space="preserve">career development </w:t>
      </w:r>
      <w:r w:rsidR="00974A82" w:rsidRPr="00974A82">
        <w:rPr>
          <w:rFonts w:ascii="Arial" w:eastAsia="Arial" w:hAnsi="Arial" w:cs="Arial"/>
          <w:lang w:val="en-GB"/>
        </w:rPr>
        <w:t>opportunities</w:t>
      </w:r>
      <w:r w:rsidR="00974A82">
        <w:rPr>
          <w:rFonts w:ascii="Arial" w:eastAsia="Arial" w:hAnsi="Arial" w:cs="Arial"/>
          <w:lang w:val="en-GB"/>
        </w:rPr>
        <w:t xml:space="preserve">, including membership of </w:t>
      </w:r>
      <w:r w:rsidR="009613A1">
        <w:rPr>
          <w:rFonts w:ascii="Arial" w:eastAsia="Arial" w:hAnsi="Arial" w:cs="Arial"/>
          <w:lang w:val="en-GB"/>
        </w:rPr>
        <w:t xml:space="preserve">conference </w:t>
      </w:r>
      <w:r w:rsidR="003D6839">
        <w:rPr>
          <w:rFonts w:ascii="Arial" w:eastAsia="Arial" w:hAnsi="Arial" w:cs="Arial"/>
          <w:lang w:val="en-GB"/>
        </w:rPr>
        <w:t>o</w:t>
      </w:r>
      <w:r w:rsidR="00974A82">
        <w:rPr>
          <w:rFonts w:ascii="Arial" w:eastAsia="Arial" w:hAnsi="Arial" w:cs="Arial"/>
          <w:lang w:val="en-GB"/>
        </w:rPr>
        <w:t xml:space="preserve">rganising </w:t>
      </w:r>
      <w:r w:rsidR="003D6839">
        <w:rPr>
          <w:rFonts w:ascii="Arial" w:eastAsia="Arial" w:hAnsi="Arial" w:cs="Arial"/>
          <w:lang w:val="en-GB"/>
        </w:rPr>
        <w:t>c</w:t>
      </w:r>
      <w:r w:rsidR="00974A82">
        <w:rPr>
          <w:rFonts w:ascii="Arial" w:eastAsia="Arial" w:hAnsi="Arial" w:cs="Arial"/>
          <w:lang w:val="en-GB"/>
        </w:rPr>
        <w:t>ommittee</w:t>
      </w:r>
      <w:r w:rsidR="009613A1">
        <w:rPr>
          <w:rFonts w:ascii="Arial" w:eastAsia="Arial" w:hAnsi="Arial" w:cs="Arial"/>
          <w:lang w:val="en-GB"/>
        </w:rPr>
        <w:t>s</w:t>
      </w:r>
      <w:r w:rsidR="00974A82">
        <w:rPr>
          <w:rFonts w:ascii="Arial" w:eastAsia="Arial" w:hAnsi="Arial" w:cs="Arial"/>
          <w:lang w:val="en-GB"/>
        </w:rPr>
        <w:t>,</w:t>
      </w:r>
      <w:r w:rsidR="00974A82" w:rsidRPr="00974A82">
        <w:rPr>
          <w:rFonts w:ascii="Arial" w:eastAsia="Arial" w:hAnsi="Arial" w:cs="Arial"/>
          <w:lang w:val="en-GB"/>
        </w:rPr>
        <w:t xml:space="preserve"> </w:t>
      </w:r>
      <w:r w:rsidR="00974A82">
        <w:rPr>
          <w:rFonts w:ascii="Arial" w:eastAsia="Arial" w:hAnsi="Arial" w:cs="Arial"/>
          <w:lang w:val="en-GB"/>
        </w:rPr>
        <w:t>co-</w:t>
      </w:r>
      <w:r w:rsidR="00974A82" w:rsidRPr="00974A82">
        <w:rPr>
          <w:rFonts w:ascii="Arial" w:eastAsia="Arial" w:hAnsi="Arial" w:cs="Arial"/>
          <w:lang w:val="en-GB"/>
        </w:rPr>
        <w:t>chairing</w:t>
      </w:r>
      <w:r w:rsidR="009613A1">
        <w:rPr>
          <w:rFonts w:ascii="Arial" w:eastAsia="Arial" w:hAnsi="Arial" w:cs="Arial"/>
          <w:lang w:val="en-GB"/>
        </w:rPr>
        <w:t xml:space="preserve"> of meeting</w:t>
      </w:r>
      <w:r w:rsidR="003D6839">
        <w:rPr>
          <w:rFonts w:ascii="Arial" w:eastAsia="Arial" w:hAnsi="Arial" w:cs="Arial"/>
          <w:lang w:val="en-GB"/>
        </w:rPr>
        <w:t xml:space="preserve"> sessions</w:t>
      </w:r>
      <w:r w:rsidR="00577DE2">
        <w:rPr>
          <w:rFonts w:ascii="Arial" w:eastAsia="Arial" w:hAnsi="Arial" w:cs="Arial"/>
          <w:lang w:val="en-GB"/>
        </w:rPr>
        <w:t xml:space="preserve"> and</w:t>
      </w:r>
      <w:r w:rsidR="00974A82" w:rsidRPr="00974A82">
        <w:rPr>
          <w:rFonts w:ascii="Arial" w:eastAsia="Arial" w:hAnsi="Arial" w:cs="Arial"/>
          <w:lang w:val="en-GB"/>
        </w:rPr>
        <w:t xml:space="preserve"> </w:t>
      </w:r>
      <w:r w:rsidR="00974A82">
        <w:rPr>
          <w:rFonts w:ascii="Arial" w:eastAsia="Arial" w:hAnsi="Arial" w:cs="Arial"/>
          <w:lang w:val="en-GB"/>
        </w:rPr>
        <w:t xml:space="preserve">abstract </w:t>
      </w:r>
      <w:r w:rsidR="00974A82" w:rsidRPr="00974A82">
        <w:rPr>
          <w:rFonts w:ascii="Arial" w:eastAsia="Arial" w:hAnsi="Arial" w:cs="Arial"/>
          <w:lang w:val="en-GB"/>
        </w:rPr>
        <w:t>reviewing</w:t>
      </w:r>
      <w:r w:rsidR="00577DE2">
        <w:rPr>
          <w:rFonts w:ascii="Arial" w:eastAsia="Arial" w:hAnsi="Arial" w:cs="Arial"/>
          <w:lang w:val="en-GB"/>
        </w:rPr>
        <w:t xml:space="preserve">. ECR representatives lead the Society’s Early Career Development and Collaboration </w:t>
      </w:r>
      <w:r w:rsidR="00650DA9">
        <w:rPr>
          <w:rFonts w:ascii="Arial" w:eastAsia="Arial" w:hAnsi="Arial" w:cs="Arial"/>
          <w:lang w:val="en-GB"/>
        </w:rPr>
        <w:t xml:space="preserve">(ECDC) </w:t>
      </w:r>
      <w:r w:rsidR="003D6839">
        <w:rPr>
          <w:rFonts w:ascii="Arial" w:eastAsia="Arial" w:hAnsi="Arial" w:cs="Arial"/>
          <w:lang w:val="en-GB"/>
        </w:rPr>
        <w:t>subc</w:t>
      </w:r>
      <w:r w:rsidR="00577DE2">
        <w:rPr>
          <w:rFonts w:ascii="Arial" w:eastAsia="Arial" w:hAnsi="Arial" w:cs="Arial"/>
          <w:lang w:val="en-GB"/>
        </w:rPr>
        <w:t xml:space="preserve">ommittee, they organise </w:t>
      </w:r>
      <w:r w:rsidR="009613A1">
        <w:rPr>
          <w:rFonts w:ascii="Arial" w:eastAsia="Arial" w:hAnsi="Arial" w:cs="Arial"/>
          <w:lang w:val="en-GB"/>
        </w:rPr>
        <w:t>an annual</w:t>
      </w:r>
      <w:r w:rsidR="00033F3C">
        <w:rPr>
          <w:rFonts w:ascii="Arial" w:eastAsia="Arial" w:hAnsi="Arial" w:cs="Arial"/>
          <w:lang w:val="en-GB"/>
        </w:rPr>
        <w:t xml:space="preserve"> ECR event, </w:t>
      </w:r>
      <w:r w:rsidR="00577DE2">
        <w:rPr>
          <w:rFonts w:ascii="Arial" w:eastAsia="Arial" w:hAnsi="Arial" w:cs="Arial"/>
          <w:lang w:val="en-GB"/>
        </w:rPr>
        <w:t xml:space="preserve">an ECR webinar series </w:t>
      </w:r>
      <w:r w:rsidR="00033F3C">
        <w:rPr>
          <w:rFonts w:ascii="Arial" w:eastAsia="Arial" w:hAnsi="Arial" w:cs="Arial"/>
          <w:lang w:val="en-GB"/>
        </w:rPr>
        <w:t xml:space="preserve">and a writing competition, and </w:t>
      </w:r>
      <w:r w:rsidR="00577DE2">
        <w:rPr>
          <w:rFonts w:ascii="Arial" w:eastAsia="Arial" w:hAnsi="Arial" w:cs="Arial"/>
          <w:lang w:val="en-GB"/>
        </w:rPr>
        <w:t xml:space="preserve">coordinate </w:t>
      </w:r>
      <w:r w:rsidR="009613A1">
        <w:rPr>
          <w:rFonts w:ascii="Arial" w:eastAsia="Arial" w:hAnsi="Arial" w:cs="Arial"/>
          <w:lang w:val="en-GB"/>
        </w:rPr>
        <w:t xml:space="preserve">the BSGCT </w:t>
      </w:r>
      <w:r w:rsidR="00577DE2">
        <w:rPr>
          <w:rFonts w:ascii="Arial" w:eastAsia="Arial" w:hAnsi="Arial" w:cs="Arial"/>
          <w:lang w:val="en-GB"/>
        </w:rPr>
        <w:t>mentoring</w:t>
      </w:r>
      <w:r w:rsidR="009613A1">
        <w:rPr>
          <w:rFonts w:ascii="Arial" w:eastAsia="Arial" w:hAnsi="Arial" w:cs="Arial"/>
          <w:lang w:val="en-GB"/>
        </w:rPr>
        <w:t xml:space="preserve"> scheme</w:t>
      </w:r>
      <w:r w:rsidR="00577DE2">
        <w:rPr>
          <w:rFonts w:ascii="Arial" w:eastAsia="Arial" w:hAnsi="Arial" w:cs="Arial"/>
          <w:lang w:val="en-GB"/>
        </w:rPr>
        <w:t xml:space="preserve">. </w:t>
      </w:r>
      <w:r w:rsidR="00F632CC">
        <w:rPr>
          <w:rFonts w:ascii="Arial" w:eastAsia="Arial" w:hAnsi="Arial" w:cs="Arial"/>
          <w:lang w:val="en-GB"/>
        </w:rPr>
        <w:t>ECR representatives also lead the Society’s communications</w:t>
      </w:r>
      <w:r w:rsidR="009613A1">
        <w:rPr>
          <w:rFonts w:ascii="Arial" w:eastAsia="Arial" w:hAnsi="Arial" w:cs="Arial"/>
          <w:lang w:val="en-GB"/>
        </w:rPr>
        <w:t xml:space="preserve"> and promotion activities</w:t>
      </w:r>
      <w:r w:rsidR="00F632CC">
        <w:rPr>
          <w:rFonts w:ascii="Arial" w:eastAsia="Arial" w:hAnsi="Arial" w:cs="Arial"/>
          <w:lang w:val="en-GB"/>
        </w:rPr>
        <w:t xml:space="preserve">. </w:t>
      </w:r>
      <w:r w:rsidR="00577DE2">
        <w:rPr>
          <w:rFonts w:ascii="Arial" w:eastAsia="Arial" w:hAnsi="Arial" w:cs="Arial"/>
          <w:lang w:val="en-GB"/>
        </w:rPr>
        <w:t xml:space="preserve">Most conference prizes are awarded to ECRs, including the </w:t>
      </w:r>
      <w:r w:rsidR="009613A1">
        <w:rPr>
          <w:rFonts w:ascii="Arial" w:eastAsia="Arial" w:hAnsi="Arial" w:cs="Arial"/>
          <w:lang w:val="en-GB"/>
        </w:rPr>
        <w:t>prestigious</w:t>
      </w:r>
      <w:r w:rsidR="00577DE2">
        <w:rPr>
          <w:rFonts w:ascii="Arial" w:eastAsia="Arial" w:hAnsi="Arial" w:cs="Arial"/>
          <w:lang w:val="en-GB"/>
        </w:rPr>
        <w:t xml:space="preserve"> Fairbairn Award, established to honour the memory of Lez Fairbairn, who </w:t>
      </w:r>
      <w:r w:rsidR="0017502D">
        <w:rPr>
          <w:rFonts w:ascii="Arial" w:eastAsia="Arial" w:hAnsi="Arial" w:cs="Arial"/>
          <w:lang w:val="en-GB"/>
        </w:rPr>
        <w:t>chaired the Manchester 2005 conference and had agreed to become the next president of the Society</w:t>
      </w:r>
      <w:r w:rsidR="00492598">
        <w:rPr>
          <w:rFonts w:ascii="Arial" w:eastAsia="Arial" w:hAnsi="Arial" w:cs="Arial"/>
          <w:lang w:val="en-GB"/>
        </w:rPr>
        <w:t>,</w:t>
      </w:r>
      <w:r w:rsidR="0017502D">
        <w:rPr>
          <w:rFonts w:ascii="Arial" w:eastAsia="Arial" w:hAnsi="Arial" w:cs="Arial"/>
          <w:lang w:val="en-GB"/>
        </w:rPr>
        <w:t xml:space="preserve"> </w:t>
      </w:r>
      <w:r w:rsidR="00492598">
        <w:rPr>
          <w:rFonts w:ascii="Arial" w:eastAsia="Arial" w:hAnsi="Arial" w:cs="Arial"/>
          <w:lang w:val="en-GB"/>
        </w:rPr>
        <w:t>before</w:t>
      </w:r>
      <w:r w:rsidR="0017502D">
        <w:rPr>
          <w:rFonts w:ascii="Arial" w:eastAsia="Arial" w:hAnsi="Arial" w:cs="Arial"/>
          <w:lang w:val="en-GB"/>
        </w:rPr>
        <w:t xml:space="preserve"> h</w:t>
      </w:r>
      <w:r w:rsidR="009613A1">
        <w:rPr>
          <w:rFonts w:ascii="Arial" w:eastAsia="Arial" w:hAnsi="Arial" w:cs="Arial"/>
          <w:lang w:val="en-GB"/>
        </w:rPr>
        <w:t>is untimely death.</w:t>
      </w:r>
    </w:p>
    <w:p w14:paraId="466190AF" w14:textId="77777777" w:rsidR="0017502D" w:rsidRPr="00974A82" w:rsidRDefault="0017502D" w:rsidP="00974A82">
      <w:pPr>
        <w:spacing w:before="32" w:after="0" w:line="291" w:lineRule="auto"/>
        <w:ind w:right="19"/>
        <w:jc w:val="both"/>
        <w:rPr>
          <w:rFonts w:ascii="Arial" w:eastAsia="Arial" w:hAnsi="Arial" w:cs="Arial"/>
          <w:lang w:val="en-GB"/>
        </w:rPr>
      </w:pPr>
    </w:p>
    <w:p w14:paraId="27F85A59" w14:textId="2ABB7A90" w:rsidR="00763203" w:rsidRDefault="002D0A9B" w:rsidP="002F30AA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Society’s activities are coordinated by four subcommitte</w:t>
      </w:r>
      <w:r w:rsidR="00650DA9">
        <w:rPr>
          <w:rFonts w:ascii="Arial" w:eastAsia="Arial" w:hAnsi="Arial" w:cs="Arial"/>
        </w:rPr>
        <w:t xml:space="preserve">es. In addition to the already mentioned ECDC, we have: a Public and Patient Engagement </w:t>
      </w:r>
      <w:r w:rsidR="003D6839">
        <w:rPr>
          <w:rFonts w:ascii="Arial" w:eastAsia="Arial" w:hAnsi="Arial" w:cs="Arial"/>
        </w:rPr>
        <w:t>sub</w:t>
      </w:r>
      <w:r w:rsidR="00650DA9">
        <w:rPr>
          <w:rFonts w:ascii="Arial" w:eastAsia="Arial" w:hAnsi="Arial" w:cs="Arial"/>
        </w:rPr>
        <w:t>committee, which organi</w:t>
      </w:r>
      <w:r w:rsidR="009613A1">
        <w:rPr>
          <w:rFonts w:ascii="Arial" w:eastAsia="Arial" w:hAnsi="Arial" w:cs="Arial"/>
        </w:rPr>
        <w:t>s</w:t>
      </w:r>
      <w:r w:rsidR="00650DA9">
        <w:rPr>
          <w:rFonts w:ascii="Arial" w:eastAsia="Arial" w:hAnsi="Arial" w:cs="Arial"/>
        </w:rPr>
        <w:t>es the PED and a dedicated webinar series; a Communication and Promotion</w:t>
      </w:r>
      <w:r w:rsidR="00DB0DC7">
        <w:rPr>
          <w:rFonts w:ascii="Arial" w:eastAsia="Arial" w:hAnsi="Arial" w:cs="Arial"/>
        </w:rPr>
        <w:t xml:space="preserve"> </w:t>
      </w:r>
      <w:r w:rsidR="00650DA9">
        <w:rPr>
          <w:rFonts w:ascii="Arial" w:eastAsia="Arial" w:hAnsi="Arial" w:cs="Arial"/>
        </w:rPr>
        <w:t xml:space="preserve">subcommittee, leading on </w:t>
      </w:r>
      <w:r w:rsidR="00650DA9" w:rsidRPr="00F632CC">
        <w:rPr>
          <w:rFonts w:ascii="Arial" w:eastAsia="Arial" w:hAnsi="Arial" w:cs="Arial"/>
          <w:lang w:val="en-GB"/>
        </w:rPr>
        <w:t xml:space="preserve">website, newsletter, blog, </w:t>
      </w:r>
      <w:r w:rsidR="00650DA9">
        <w:rPr>
          <w:rFonts w:ascii="Arial" w:eastAsia="Arial" w:hAnsi="Arial" w:cs="Arial"/>
          <w:lang w:val="en-GB"/>
        </w:rPr>
        <w:t xml:space="preserve">and </w:t>
      </w:r>
      <w:r w:rsidR="00650DA9" w:rsidRPr="00F632CC">
        <w:rPr>
          <w:rFonts w:ascii="Arial" w:eastAsia="Arial" w:hAnsi="Arial" w:cs="Arial"/>
          <w:lang w:val="en-GB"/>
        </w:rPr>
        <w:t>social media</w:t>
      </w:r>
      <w:r w:rsidR="00650DA9">
        <w:rPr>
          <w:rFonts w:ascii="Arial" w:eastAsia="Arial" w:hAnsi="Arial" w:cs="Arial"/>
          <w:lang w:val="en-GB"/>
        </w:rPr>
        <w:t xml:space="preserve">; and an Equality, Diversity and Inclusion </w:t>
      </w:r>
      <w:r w:rsidR="00232B32">
        <w:rPr>
          <w:rFonts w:ascii="Arial" w:eastAsia="Arial" w:hAnsi="Arial" w:cs="Arial"/>
          <w:lang w:val="en-GB"/>
        </w:rPr>
        <w:t xml:space="preserve">(EDI) </w:t>
      </w:r>
      <w:r w:rsidR="00650DA9">
        <w:rPr>
          <w:rFonts w:ascii="Arial" w:eastAsia="Arial" w:hAnsi="Arial" w:cs="Arial"/>
          <w:lang w:val="en-GB"/>
        </w:rPr>
        <w:t xml:space="preserve">subcommittee, whose principles </w:t>
      </w:r>
      <w:r w:rsidR="00650DA9" w:rsidRPr="00650DA9">
        <w:rPr>
          <w:rFonts w:ascii="Arial" w:eastAsia="Arial" w:hAnsi="Arial" w:cs="Arial"/>
          <w:lang w:val="en-GB"/>
        </w:rPr>
        <w:t xml:space="preserve">inform all activities of the society and </w:t>
      </w:r>
      <w:r w:rsidR="00EF17C4">
        <w:rPr>
          <w:rFonts w:ascii="Arial" w:eastAsia="Arial" w:hAnsi="Arial" w:cs="Arial"/>
          <w:lang w:val="en-GB"/>
        </w:rPr>
        <w:t xml:space="preserve">which </w:t>
      </w:r>
      <w:r w:rsidR="00650DA9" w:rsidRPr="00650DA9">
        <w:rPr>
          <w:rFonts w:ascii="Arial" w:eastAsia="Arial" w:hAnsi="Arial" w:cs="Arial"/>
          <w:lang w:val="en-GB"/>
        </w:rPr>
        <w:t>reach</w:t>
      </w:r>
      <w:r w:rsidR="00650DA9">
        <w:rPr>
          <w:rFonts w:ascii="Arial" w:eastAsia="Arial" w:hAnsi="Arial" w:cs="Arial"/>
          <w:lang w:val="en-GB"/>
        </w:rPr>
        <w:t>es</w:t>
      </w:r>
      <w:r w:rsidR="00650DA9" w:rsidRPr="00650DA9">
        <w:rPr>
          <w:rFonts w:ascii="Arial" w:eastAsia="Arial" w:hAnsi="Arial" w:cs="Arial"/>
          <w:lang w:val="en-GB"/>
        </w:rPr>
        <w:t xml:space="preserve"> out to enhance Global Majority membership</w:t>
      </w:r>
      <w:r w:rsidR="00650DA9">
        <w:rPr>
          <w:rFonts w:ascii="Arial" w:eastAsia="Arial" w:hAnsi="Arial" w:cs="Arial"/>
          <w:lang w:val="en-GB"/>
        </w:rPr>
        <w:t xml:space="preserve">. </w:t>
      </w:r>
      <w:r w:rsidR="00650DA9">
        <w:rPr>
          <w:rFonts w:ascii="Arial" w:eastAsia="Arial" w:hAnsi="Arial" w:cs="Arial"/>
        </w:rPr>
        <w:t xml:space="preserve">The Society </w:t>
      </w:r>
      <w:r w:rsidR="00C672E2">
        <w:rPr>
          <w:rFonts w:ascii="Arial" w:eastAsia="Arial" w:hAnsi="Arial" w:cs="Arial"/>
        </w:rPr>
        <w:t xml:space="preserve">regularly </w:t>
      </w:r>
      <w:r w:rsidR="00650DA9">
        <w:rPr>
          <w:rFonts w:ascii="Arial" w:eastAsia="Arial" w:hAnsi="Arial" w:cs="Arial"/>
        </w:rPr>
        <w:t>convenes a</w:t>
      </w:r>
      <w:r w:rsidR="00A72217">
        <w:rPr>
          <w:rFonts w:ascii="Arial" w:eastAsia="Arial" w:hAnsi="Arial" w:cs="Arial"/>
        </w:rPr>
        <w:t>n advisory</w:t>
      </w:r>
      <w:r w:rsidR="00650DA9">
        <w:rPr>
          <w:rFonts w:ascii="Arial" w:eastAsia="Arial" w:hAnsi="Arial" w:cs="Arial"/>
        </w:rPr>
        <w:t xml:space="preserve"> panel</w:t>
      </w:r>
      <w:r w:rsidR="00780B8A">
        <w:rPr>
          <w:rFonts w:ascii="Arial" w:eastAsia="Arial" w:hAnsi="Arial" w:cs="Arial"/>
        </w:rPr>
        <w:t>, the BSGCT Partner Forum,</w:t>
      </w:r>
      <w:r w:rsidR="00650DA9">
        <w:rPr>
          <w:rFonts w:ascii="Arial" w:eastAsia="Arial" w:hAnsi="Arial" w:cs="Arial"/>
        </w:rPr>
        <w:t xml:space="preserve"> </w:t>
      </w:r>
      <w:r w:rsidR="00EF17C4">
        <w:rPr>
          <w:rFonts w:ascii="Arial" w:eastAsia="Arial" w:hAnsi="Arial" w:cs="Arial"/>
        </w:rPr>
        <w:t xml:space="preserve">including </w:t>
      </w:r>
      <w:r w:rsidR="0053349E">
        <w:rPr>
          <w:rFonts w:ascii="Arial" w:eastAsia="Arial" w:hAnsi="Arial" w:cs="Arial"/>
        </w:rPr>
        <w:t>r</w:t>
      </w:r>
      <w:r w:rsidR="002F30AA" w:rsidRPr="002F30AA">
        <w:rPr>
          <w:rFonts w:ascii="Arial" w:eastAsia="Arial" w:hAnsi="Arial" w:cs="Arial"/>
        </w:rPr>
        <w:t xml:space="preserve">egulatory and other </w:t>
      </w:r>
      <w:r w:rsidR="0053349E">
        <w:rPr>
          <w:rFonts w:ascii="Arial" w:eastAsia="Arial" w:hAnsi="Arial" w:cs="Arial"/>
        </w:rPr>
        <w:t>g</w:t>
      </w:r>
      <w:r w:rsidR="002F30AA" w:rsidRPr="002F30AA">
        <w:rPr>
          <w:rFonts w:ascii="Arial" w:eastAsia="Arial" w:hAnsi="Arial" w:cs="Arial"/>
        </w:rPr>
        <w:t xml:space="preserve">overnment </w:t>
      </w:r>
      <w:r w:rsidR="0053349E">
        <w:rPr>
          <w:rFonts w:ascii="Arial" w:eastAsia="Arial" w:hAnsi="Arial" w:cs="Arial"/>
        </w:rPr>
        <w:t>o</w:t>
      </w:r>
      <w:r w:rsidR="002F30AA" w:rsidRPr="002F30AA">
        <w:rPr>
          <w:rFonts w:ascii="Arial" w:eastAsia="Arial" w:hAnsi="Arial" w:cs="Arial"/>
        </w:rPr>
        <w:t>rganisations</w:t>
      </w:r>
      <w:r w:rsidR="0053349E">
        <w:rPr>
          <w:rFonts w:ascii="Arial" w:eastAsia="Arial" w:hAnsi="Arial" w:cs="Arial"/>
        </w:rPr>
        <w:t>, f</w:t>
      </w:r>
      <w:r w:rsidR="002F30AA" w:rsidRPr="002F30AA">
        <w:rPr>
          <w:rFonts w:ascii="Arial" w:eastAsia="Arial" w:hAnsi="Arial" w:cs="Arial"/>
        </w:rPr>
        <w:t xml:space="preserve">unding </w:t>
      </w:r>
      <w:r w:rsidR="0053349E">
        <w:rPr>
          <w:rFonts w:ascii="Arial" w:eastAsia="Arial" w:hAnsi="Arial" w:cs="Arial"/>
        </w:rPr>
        <w:t>a</w:t>
      </w:r>
      <w:r w:rsidR="002F30AA" w:rsidRPr="002F30AA">
        <w:rPr>
          <w:rFonts w:ascii="Arial" w:eastAsia="Arial" w:hAnsi="Arial" w:cs="Arial"/>
        </w:rPr>
        <w:t>gencies</w:t>
      </w:r>
      <w:r w:rsidR="0053349E">
        <w:rPr>
          <w:rFonts w:ascii="Arial" w:eastAsia="Arial" w:hAnsi="Arial" w:cs="Arial"/>
        </w:rPr>
        <w:t>,</w:t>
      </w:r>
      <w:r w:rsidR="002F30AA" w:rsidRPr="002F30AA">
        <w:rPr>
          <w:rFonts w:ascii="Arial" w:eastAsia="Arial" w:hAnsi="Arial" w:cs="Arial"/>
        </w:rPr>
        <w:t xml:space="preserve"> </w:t>
      </w:r>
      <w:r w:rsidR="0053349E">
        <w:rPr>
          <w:rFonts w:ascii="Arial" w:eastAsia="Arial" w:hAnsi="Arial" w:cs="Arial"/>
        </w:rPr>
        <w:t>l</w:t>
      </w:r>
      <w:r w:rsidR="002F30AA" w:rsidRPr="002F30AA">
        <w:rPr>
          <w:rFonts w:ascii="Arial" w:eastAsia="Arial" w:hAnsi="Arial" w:cs="Arial"/>
        </w:rPr>
        <w:t xml:space="preserve">arge </w:t>
      </w:r>
      <w:r w:rsidR="0053349E">
        <w:rPr>
          <w:rFonts w:ascii="Arial" w:eastAsia="Arial" w:hAnsi="Arial" w:cs="Arial"/>
        </w:rPr>
        <w:t>p</w:t>
      </w:r>
      <w:r w:rsidR="002F30AA" w:rsidRPr="002F30AA">
        <w:rPr>
          <w:rFonts w:ascii="Arial" w:eastAsia="Arial" w:hAnsi="Arial" w:cs="Arial"/>
        </w:rPr>
        <w:t>harma</w:t>
      </w:r>
      <w:r w:rsidR="0053349E">
        <w:rPr>
          <w:rFonts w:ascii="Arial" w:eastAsia="Arial" w:hAnsi="Arial" w:cs="Arial"/>
        </w:rPr>
        <w:t xml:space="preserve">, </w:t>
      </w:r>
      <w:r w:rsidR="002F30AA" w:rsidRPr="002F30AA">
        <w:rPr>
          <w:rFonts w:ascii="Arial" w:eastAsia="Arial" w:hAnsi="Arial" w:cs="Arial"/>
        </w:rPr>
        <w:t>SMEs</w:t>
      </w:r>
      <w:r w:rsidR="002F30AA">
        <w:rPr>
          <w:rFonts w:ascii="Arial" w:eastAsia="Arial" w:hAnsi="Arial" w:cs="Arial"/>
        </w:rPr>
        <w:t>, b</w:t>
      </w:r>
      <w:r w:rsidR="002F30AA" w:rsidRPr="002F30AA">
        <w:rPr>
          <w:rFonts w:ascii="Arial" w:eastAsia="Arial" w:hAnsi="Arial" w:cs="Arial"/>
        </w:rPr>
        <w:t xml:space="preserve">iotech </w:t>
      </w:r>
      <w:r w:rsidR="002F30AA">
        <w:rPr>
          <w:rFonts w:ascii="Arial" w:eastAsia="Arial" w:hAnsi="Arial" w:cs="Arial"/>
        </w:rPr>
        <w:t>s</w:t>
      </w:r>
      <w:r w:rsidR="002F30AA" w:rsidRPr="002F30AA">
        <w:rPr>
          <w:rFonts w:ascii="Arial" w:eastAsia="Arial" w:hAnsi="Arial" w:cs="Arial"/>
        </w:rPr>
        <w:t>tartups</w:t>
      </w:r>
      <w:r w:rsidR="002F30AA">
        <w:rPr>
          <w:rFonts w:ascii="Arial" w:eastAsia="Arial" w:hAnsi="Arial" w:cs="Arial"/>
        </w:rPr>
        <w:t>, i</w:t>
      </w:r>
      <w:r w:rsidR="002F30AA" w:rsidRPr="002F30AA">
        <w:rPr>
          <w:rFonts w:ascii="Arial" w:eastAsia="Arial" w:hAnsi="Arial" w:cs="Arial"/>
        </w:rPr>
        <w:t xml:space="preserve">ndustrial </w:t>
      </w:r>
      <w:r w:rsidR="002F30AA">
        <w:rPr>
          <w:rFonts w:ascii="Arial" w:eastAsia="Arial" w:hAnsi="Arial" w:cs="Arial"/>
        </w:rPr>
        <w:t>p</w:t>
      </w:r>
      <w:r w:rsidR="002F30AA" w:rsidRPr="002F30AA">
        <w:rPr>
          <w:rFonts w:ascii="Arial" w:eastAsia="Arial" w:hAnsi="Arial" w:cs="Arial"/>
        </w:rPr>
        <w:t>artnership experts</w:t>
      </w:r>
      <w:r w:rsidR="0053349E">
        <w:rPr>
          <w:rFonts w:ascii="Arial" w:eastAsia="Arial" w:hAnsi="Arial" w:cs="Arial"/>
        </w:rPr>
        <w:t>,</w:t>
      </w:r>
      <w:r w:rsidR="002F30AA">
        <w:rPr>
          <w:rFonts w:ascii="Arial" w:eastAsia="Arial" w:hAnsi="Arial" w:cs="Arial"/>
        </w:rPr>
        <w:t xml:space="preserve"> p</w:t>
      </w:r>
      <w:r w:rsidR="002F30AA" w:rsidRPr="002F30AA">
        <w:rPr>
          <w:rFonts w:ascii="Arial" w:eastAsia="Arial" w:hAnsi="Arial" w:cs="Arial"/>
        </w:rPr>
        <w:t xml:space="preserve">atient </w:t>
      </w:r>
      <w:r w:rsidR="002F30AA">
        <w:rPr>
          <w:rFonts w:ascii="Arial" w:eastAsia="Arial" w:hAnsi="Arial" w:cs="Arial"/>
        </w:rPr>
        <w:t>g</w:t>
      </w:r>
      <w:r w:rsidR="002F30AA" w:rsidRPr="002F30AA">
        <w:rPr>
          <w:rFonts w:ascii="Arial" w:eastAsia="Arial" w:hAnsi="Arial" w:cs="Arial"/>
        </w:rPr>
        <w:t>roups</w:t>
      </w:r>
      <w:r w:rsidR="002F30AA">
        <w:rPr>
          <w:rFonts w:ascii="Arial" w:eastAsia="Arial" w:hAnsi="Arial" w:cs="Arial"/>
        </w:rPr>
        <w:t xml:space="preserve">, </w:t>
      </w:r>
      <w:r w:rsidR="0053349E">
        <w:rPr>
          <w:rFonts w:ascii="Arial" w:eastAsia="Arial" w:hAnsi="Arial" w:cs="Arial"/>
        </w:rPr>
        <w:t xml:space="preserve">and BSGCT representatives, </w:t>
      </w:r>
      <w:r w:rsidR="00A72217">
        <w:rPr>
          <w:rFonts w:ascii="Arial" w:eastAsia="Arial" w:hAnsi="Arial" w:cs="Arial"/>
        </w:rPr>
        <w:t>with the following goals:</w:t>
      </w:r>
      <w:r w:rsidR="00AF74D5">
        <w:rPr>
          <w:rFonts w:ascii="Arial" w:eastAsia="Arial" w:hAnsi="Arial" w:cs="Arial"/>
        </w:rPr>
        <w:t xml:space="preserve"> t</w:t>
      </w:r>
      <w:r w:rsidR="00A72217" w:rsidRPr="00A72217">
        <w:rPr>
          <w:rFonts w:ascii="Arial" w:eastAsia="Arial" w:hAnsi="Arial" w:cs="Arial"/>
        </w:rPr>
        <w:t>o provide a forum to allow engagement with the BSGCT</w:t>
      </w:r>
      <w:r w:rsidR="00AF74D5">
        <w:rPr>
          <w:rFonts w:ascii="Arial" w:eastAsia="Arial" w:hAnsi="Arial" w:cs="Arial"/>
        </w:rPr>
        <w:t>, t</w:t>
      </w:r>
      <w:r w:rsidR="00A72217" w:rsidRPr="00A72217">
        <w:rPr>
          <w:rFonts w:ascii="Arial" w:eastAsia="Arial" w:hAnsi="Arial" w:cs="Arial"/>
        </w:rPr>
        <w:t>o provide strategic advice to the BSGCT</w:t>
      </w:r>
      <w:r w:rsidR="00AF74D5">
        <w:rPr>
          <w:rFonts w:ascii="Arial" w:eastAsia="Arial" w:hAnsi="Arial" w:cs="Arial"/>
        </w:rPr>
        <w:t>, t</w:t>
      </w:r>
      <w:r w:rsidR="00A72217" w:rsidRPr="00A72217">
        <w:rPr>
          <w:rFonts w:ascii="Arial" w:eastAsia="Arial" w:hAnsi="Arial" w:cs="Arial"/>
        </w:rPr>
        <w:t>o disseminate information on relevant BSGCT activities and initiatives</w:t>
      </w:r>
      <w:r w:rsidR="00AF74D5">
        <w:rPr>
          <w:rFonts w:ascii="Arial" w:eastAsia="Arial" w:hAnsi="Arial" w:cs="Arial"/>
        </w:rPr>
        <w:t>, and t</w:t>
      </w:r>
      <w:r w:rsidR="00A72217" w:rsidRPr="00A72217">
        <w:rPr>
          <w:rFonts w:ascii="Arial" w:eastAsia="Arial" w:hAnsi="Arial" w:cs="Arial"/>
        </w:rPr>
        <w:t xml:space="preserve">o identify and help overcome challenges to the development and adoption of </w:t>
      </w:r>
      <w:r w:rsidR="00A72217">
        <w:rPr>
          <w:rFonts w:ascii="Arial" w:eastAsia="Arial" w:hAnsi="Arial" w:cs="Arial"/>
        </w:rPr>
        <w:t>Advanced Therap</w:t>
      </w:r>
      <w:r w:rsidR="005B1DD3">
        <w:rPr>
          <w:rFonts w:ascii="Arial" w:eastAsia="Arial" w:hAnsi="Arial" w:cs="Arial"/>
        </w:rPr>
        <w:t>y</w:t>
      </w:r>
      <w:r w:rsidR="00A72217">
        <w:rPr>
          <w:rFonts w:ascii="Arial" w:eastAsia="Arial" w:hAnsi="Arial" w:cs="Arial"/>
        </w:rPr>
        <w:t xml:space="preserve"> Medicinal Products (</w:t>
      </w:r>
      <w:r w:rsidR="00A72217" w:rsidRPr="00A72217">
        <w:rPr>
          <w:rFonts w:ascii="Arial" w:eastAsia="Arial" w:hAnsi="Arial" w:cs="Arial"/>
        </w:rPr>
        <w:t>ATMPs</w:t>
      </w:r>
      <w:r w:rsidR="00A72217">
        <w:rPr>
          <w:rFonts w:ascii="Arial" w:eastAsia="Arial" w:hAnsi="Arial" w:cs="Arial"/>
        </w:rPr>
        <w:t>)</w:t>
      </w:r>
      <w:r w:rsidR="00AF74D5">
        <w:rPr>
          <w:rFonts w:ascii="Arial" w:eastAsia="Arial" w:hAnsi="Arial" w:cs="Arial"/>
        </w:rPr>
        <w:t>.</w:t>
      </w:r>
      <w:r w:rsidR="0069180A">
        <w:rPr>
          <w:rFonts w:ascii="Arial" w:eastAsia="Arial" w:hAnsi="Arial" w:cs="Arial"/>
        </w:rPr>
        <w:t xml:space="preserve"> In 2023 BSGCT also established a partnership with </w:t>
      </w:r>
      <w:r w:rsidR="0069180A" w:rsidRPr="0069180A">
        <w:rPr>
          <w:rFonts w:ascii="Arial" w:eastAsia="Arial" w:hAnsi="Arial" w:cs="Arial"/>
        </w:rPr>
        <w:t xml:space="preserve">The Bioindustry Association (BIA) </w:t>
      </w:r>
      <w:r w:rsidR="00E80F86">
        <w:rPr>
          <w:rFonts w:ascii="Arial" w:eastAsia="Arial" w:hAnsi="Arial" w:cs="Arial"/>
        </w:rPr>
        <w:t>which groups</w:t>
      </w:r>
      <w:r w:rsidR="0069180A" w:rsidRPr="0069180A">
        <w:rPr>
          <w:rFonts w:ascii="Arial" w:eastAsia="Arial" w:hAnsi="Arial" w:cs="Arial"/>
        </w:rPr>
        <w:t xml:space="preserve"> the life sciences and biotech industry in the UK</w:t>
      </w:r>
      <w:r w:rsidR="00E80F86">
        <w:rPr>
          <w:rFonts w:ascii="Arial" w:eastAsia="Arial" w:hAnsi="Arial" w:cs="Arial"/>
        </w:rPr>
        <w:t>.</w:t>
      </w:r>
    </w:p>
    <w:p w14:paraId="7DAEDAD3" w14:textId="77777777" w:rsidR="00A72217" w:rsidRDefault="00A72217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380DD055" w14:textId="402D6D4F" w:rsidR="00EF3F01" w:rsidRPr="003D6839" w:rsidRDefault="008A4B70" w:rsidP="00232B32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 w:rsidRPr="003D6839">
        <w:rPr>
          <w:rFonts w:ascii="Arial" w:eastAsia="Arial" w:hAnsi="Arial" w:cs="Arial"/>
        </w:rPr>
        <w:t xml:space="preserve">Given the breadth and number of activities routinely organized by the Society, it is also </w:t>
      </w:r>
      <w:r w:rsidR="00E40C45" w:rsidRPr="003D6839">
        <w:rPr>
          <w:rFonts w:ascii="Arial" w:eastAsia="Arial" w:hAnsi="Arial" w:cs="Arial"/>
        </w:rPr>
        <w:t xml:space="preserve">considered </w:t>
      </w:r>
      <w:r w:rsidRPr="003D6839">
        <w:rPr>
          <w:rFonts w:ascii="Arial" w:eastAsia="Arial" w:hAnsi="Arial" w:cs="Arial"/>
        </w:rPr>
        <w:t xml:space="preserve">important to set strategic goals to ensure that novel priorities are </w:t>
      </w:r>
      <w:r w:rsidR="00232B32" w:rsidRPr="003D6839">
        <w:rPr>
          <w:rFonts w:ascii="Arial" w:eastAsia="Arial" w:hAnsi="Arial" w:cs="Arial"/>
        </w:rPr>
        <w:t>supported. F</w:t>
      </w:r>
      <w:r w:rsidR="00232B32" w:rsidRPr="003D6839">
        <w:rPr>
          <w:rFonts w:ascii="Arial" w:hAnsi="Arial" w:cs="Arial"/>
        </w:rPr>
        <w:t>or the</w:t>
      </w:r>
      <w:r w:rsidR="00232B32" w:rsidRPr="003D6839">
        <w:rPr>
          <w:rFonts w:ascii="Arial" w:eastAsia="Arial" w:hAnsi="Arial" w:cs="Arial"/>
        </w:rPr>
        <w:t xml:space="preserve"> 2021-2025 period, these goals are: to increase the membership of the </w:t>
      </w:r>
      <w:r w:rsidR="00AF395A" w:rsidRPr="003D6839">
        <w:rPr>
          <w:rFonts w:ascii="Arial" w:eastAsia="Arial" w:hAnsi="Arial" w:cs="Arial"/>
        </w:rPr>
        <w:t>S</w:t>
      </w:r>
      <w:r w:rsidR="00232B32" w:rsidRPr="003D6839">
        <w:rPr>
          <w:rFonts w:ascii="Arial" w:eastAsia="Arial" w:hAnsi="Arial" w:cs="Arial"/>
        </w:rPr>
        <w:t>ociety, for it to be truly representative of the gene and cell therapy community in the UK; to establish the EDI</w:t>
      </w:r>
      <w:r w:rsidR="00E50984" w:rsidRPr="003D6839">
        <w:rPr>
          <w:rFonts w:ascii="Arial" w:eastAsia="Arial" w:hAnsi="Arial" w:cs="Arial"/>
        </w:rPr>
        <w:t xml:space="preserve"> s</w:t>
      </w:r>
      <w:r w:rsidR="00232B32" w:rsidRPr="003D6839">
        <w:rPr>
          <w:rFonts w:ascii="Arial" w:eastAsia="Arial" w:hAnsi="Arial" w:cs="Arial"/>
        </w:rPr>
        <w:t>ub</w:t>
      </w:r>
      <w:r w:rsidR="00E50984" w:rsidRPr="003D6839">
        <w:rPr>
          <w:rFonts w:ascii="Arial" w:eastAsia="Arial" w:hAnsi="Arial" w:cs="Arial"/>
        </w:rPr>
        <w:t>c</w:t>
      </w:r>
      <w:r w:rsidR="00232B32" w:rsidRPr="003D6839">
        <w:rPr>
          <w:rFonts w:ascii="Arial" w:eastAsia="Arial" w:hAnsi="Arial" w:cs="Arial"/>
        </w:rPr>
        <w:t>ommittee</w:t>
      </w:r>
      <w:r w:rsidR="00E50984" w:rsidRPr="003D6839">
        <w:rPr>
          <w:rFonts w:ascii="Arial" w:eastAsia="Arial" w:hAnsi="Arial" w:cs="Arial"/>
        </w:rPr>
        <w:t xml:space="preserve">; and </w:t>
      </w:r>
      <w:r w:rsidR="00232B32" w:rsidRPr="003D6839">
        <w:rPr>
          <w:rFonts w:ascii="Arial" w:eastAsia="Arial" w:hAnsi="Arial" w:cs="Arial"/>
        </w:rPr>
        <w:t>to ensure that training and promotion opportunities within the BSGCT Board allow for an equal, diverse and inclusive distribution of officer posts</w:t>
      </w:r>
      <w:r w:rsidR="00E50984" w:rsidRPr="003D6839">
        <w:rPr>
          <w:rFonts w:ascii="Arial" w:eastAsia="Arial" w:hAnsi="Arial" w:cs="Arial"/>
        </w:rPr>
        <w:t>.</w:t>
      </w:r>
    </w:p>
    <w:p w14:paraId="04FE1424" w14:textId="77777777" w:rsidR="00B254FE" w:rsidRDefault="00B254FE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645F11FC" w14:textId="2E41D94C" w:rsidR="007D06BF" w:rsidRDefault="007D06BF" w:rsidP="007D06B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BSGCT currently has a membership of about 300 people, with a split of approximately 30% academic and 10% industry; a large proportion of members are postgraduate and undergraduate students, and some are private citizens. The Society’s web address is </w:t>
      </w:r>
      <w:hyperlink r:id="rId5" w:history="1">
        <w:r w:rsidRPr="00DF65E9">
          <w:rPr>
            <w:rStyle w:val="Hyperlink"/>
            <w:rFonts w:ascii="Arial" w:eastAsia="Arial" w:hAnsi="Arial" w:cs="Arial"/>
          </w:rPr>
          <w:t>www.bsgct.org</w:t>
        </w:r>
      </w:hyperlink>
      <w:r>
        <w:rPr>
          <w:rFonts w:ascii="Arial" w:eastAsia="Arial" w:hAnsi="Arial" w:cs="Arial"/>
        </w:rPr>
        <w:t>, and social media presence is through Facebook (BSGCT), X (formerly Twitter, @_BSGCT), LinkedIn (</w:t>
      </w:r>
      <w:r w:rsidRPr="00246C0C">
        <w:rPr>
          <w:rFonts w:ascii="Arial" w:eastAsia="Arial" w:hAnsi="Arial" w:cs="Arial"/>
        </w:rPr>
        <w:t>British Society for Gene and Cell Therapy</w:t>
      </w:r>
      <w:r>
        <w:rPr>
          <w:rFonts w:ascii="Arial" w:eastAsia="Arial" w:hAnsi="Arial" w:cs="Arial"/>
        </w:rPr>
        <w:t>) and YouTube (@BSGCT).</w:t>
      </w:r>
    </w:p>
    <w:p w14:paraId="2F3A0FE7" w14:textId="77777777" w:rsidR="007D06BF" w:rsidRDefault="007D06BF" w:rsidP="007D06B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22575297" w14:textId="77777777" w:rsidR="00F1263A" w:rsidRDefault="00AF395A" w:rsidP="00F1263A">
      <w:pPr>
        <w:spacing w:before="32" w:after="0" w:line="291" w:lineRule="auto"/>
        <w:ind w:right="1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</w:rPr>
        <w:t xml:space="preserve">To promote and acknowledge excellence and commitment, facilitate collaboration and attendance to conferences, </w:t>
      </w:r>
      <w:r w:rsidR="00E40C45">
        <w:rPr>
          <w:rFonts w:ascii="Arial" w:eastAsia="Arial" w:hAnsi="Arial" w:cs="Arial"/>
        </w:rPr>
        <w:t xml:space="preserve">and training, </w:t>
      </w:r>
      <w:r>
        <w:rPr>
          <w:rFonts w:ascii="Arial" w:eastAsia="Arial" w:hAnsi="Arial" w:cs="Arial"/>
        </w:rPr>
        <w:t xml:space="preserve">the Society will from 2024 award the following prizes </w:t>
      </w:r>
      <w:r>
        <w:rPr>
          <w:rFonts w:ascii="Arial" w:eastAsia="Arial" w:hAnsi="Arial" w:cs="Arial"/>
        </w:rPr>
        <w:lastRenderedPageBreak/>
        <w:t>and financial support to existing members:</w:t>
      </w:r>
    </w:p>
    <w:p w14:paraId="0B083676" w14:textId="77777777" w:rsidR="007D2892" w:rsidRPr="007D2892" w:rsidRDefault="007D2892" w:rsidP="00F1263A">
      <w:pPr>
        <w:numPr>
          <w:ilvl w:val="0"/>
          <w:numId w:val="5"/>
        </w:numPr>
        <w:spacing w:before="32" w:after="0" w:line="291" w:lineRule="auto"/>
        <w:ind w:right="19"/>
        <w:jc w:val="both"/>
        <w:rPr>
          <w:rFonts w:ascii="Arial" w:eastAsia="Arial" w:hAnsi="Arial" w:cs="Arial"/>
          <w:lang w:val="en-GB"/>
        </w:rPr>
      </w:pPr>
      <w:r w:rsidRPr="007D2892">
        <w:rPr>
          <w:rFonts w:ascii="Arial" w:eastAsia="Arial" w:hAnsi="Arial" w:cs="Arial"/>
          <w:lang w:val="en-GB"/>
        </w:rPr>
        <w:t>BSGCT Outstanding Achievement Award (biennial)</w:t>
      </w:r>
    </w:p>
    <w:p w14:paraId="551E0AE8" w14:textId="77777777" w:rsidR="007D2892" w:rsidRPr="007D2892" w:rsidRDefault="007D2892" w:rsidP="00F1263A">
      <w:pPr>
        <w:numPr>
          <w:ilvl w:val="0"/>
          <w:numId w:val="5"/>
        </w:numPr>
        <w:spacing w:before="32" w:after="0" w:line="291" w:lineRule="auto"/>
        <w:ind w:right="19"/>
        <w:jc w:val="both"/>
        <w:rPr>
          <w:rFonts w:ascii="Arial" w:eastAsia="Arial" w:hAnsi="Arial" w:cs="Arial"/>
          <w:lang w:val="en-GB"/>
        </w:rPr>
      </w:pPr>
      <w:r w:rsidRPr="007D2892">
        <w:rPr>
          <w:rFonts w:ascii="Arial" w:eastAsia="Arial" w:hAnsi="Arial" w:cs="Arial"/>
          <w:lang w:val="en-GB"/>
        </w:rPr>
        <w:t>BSGCT Services to the Society Award (biennial)</w:t>
      </w:r>
    </w:p>
    <w:p w14:paraId="7C954F67" w14:textId="77777777" w:rsidR="007D2892" w:rsidRDefault="007D2892" w:rsidP="00F1263A">
      <w:pPr>
        <w:numPr>
          <w:ilvl w:val="0"/>
          <w:numId w:val="5"/>
        </w:numPr>
        <w:spacing w:before="32" w:after="0" w:line="291" w:lineRule="auto"/>
        <w:ind w:right="19"/>
        <w:jc w:val="both"/>
        <w:rPr>
          <w:rFonts w:ascii="Arial" w:eastAsia="Arial" w:hAnsi="Arial" w:cs="Arial"/>
          <w:lang w:val="en-GB"/>
        </w:rPr>
      </w:pPr>
      <w:r w:rsidRPr="007D2892">
        <w:rPr>
          <w:rFonts w:ascii="Arial" w:eastAsia="Arial" w:hAnsi="Arial" w:cs="Arial"/>
          <w:lang w:val="en-GB"/>
        </w:rPr>
        <w:t xml:space="preserve">BSGCT </w:t>
      </w:r>
      <w:r w:rsidR="00AF395A" w:rsidRPr="00AF395A">
        <w:rPr>
          <w:rFonts w:ascii="Arial" w:eastAsia="Arial" w:hAnsi="Arial" w:cs="Arial"/>
          <w:lang w:val="en-GB"/>
        </w:rPr>
        <w:t>Patient and Public Involvement and Engagement</w:t>
      </w:r>
      <w:r w:rsidR="00AF395A">
        <w:rPr>
          <w:rFonts w:ascii="Arial" w:eastAsia="Arial" w:hAnsi="Arial" w:cs="Arial"/>
          <w:lang w:val="en-GB"/>
        </w:rPr>
        <w:t xml:space="preserve"> (PPIE) </w:t>
      </w:r>
      <w:r w:rsidRPr="007D2892">
        <w:rPr>
          <w:rFonts w:ascii="Arial" w:eastAsia="Arial" w:hAnsi="Arial" w:cs="Arial"/>
          <w:lang w:val="en-GB"/>
        </w:rPr>
        <w:t>Award</w:t>
      </w:r>
    </w:p>
    <w:p w14:paraId="07141C8E" w14:textId="77777777" w:rsidR="007D2892" w:rsidRPr="007D2892" w:rsidRDefault="00AF395A" w:rsidP="00F1263A">
      <w:pPr>
        <w:numPr>
          <w:ilvl w:val="0"/>
          <w:numId w:val="5"/>
        </w:numPr>
        <w:spacing w:before="32" w:after="0" w:line="291" w:lineRule="auto"/>
        <w:ind w:right="1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ECR Conference awards: Fairbairn, best oral and best poster presentation</w:t>
      </w:r>
    </w:p>
    <w:p w14:paraId="29982A0F" w14:textId="77777777" w:rsidR="007D2892" w:rsidRDefault="00AF395A" w:rsidP="00F1263A">
      <w:pPr>
        <w:numPr>
          <w:ilvl w:val="0"/>
          <w:numId w:val="5"/>
        </w:numPr>
        <w:spacing w:before="32" w:after="0" w:line="291" w:lineRule="auto"/>
        <w:ind w:right="1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ECR </w:t>
      </w:r>
      <w:r w:rsidR="007D2892" w:rsidRPr="007D2892">
        <w:rPr>
          <w:rFonts w:ascii="Arial" w:eastAsia="Arial" w:hAnsi="Arial" w:cs="Arial"/>
          <w:lang w:val="en-GB"/>
        </w:rPr>
        <w:t>Travel grants</w:t>
      </w:r>
    </w:p>
    <w:p w14:paraId="4D925D50" w14:textId="77777777" w:rsidR="007D2892" w:rsidRPr="007D2892" w:rsidRDefault="00AF395A" w:rsidP="00F1263A">
      <w:pPr>
        <w:numPr>
          <w:ilvl w:val="0"/>
          <w:numId w:val="5"/>
        </w:numPr>
        <w:spacing w:before="32" w:after="0" w:line="291" w:lineRule="auto"/>
        <w:ind w:right="1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ECR Writing Competition</w:t>
      </w:r>
    </w:p>
    <w:p w14:paraId="03129411" w14:textId="77777777" w:rsidR="007D2892" w:rsidRDefault="007D2892" w:rsidP="00F1263A">
      <w:pPr>
        <w:numPr>
          <w:ilvl w:val="0"/>
          <w:numId w:val="5"/>
        </w:numPr>
        <w:spacing w:before="32" w:after="0" w:line="291" w:lineRule="auto"/>
        <w:ind w:right="19"/>
        <w:jc w:val="both"/>
        <w:rPr>
          <w:rFonts w:ascii="Arial" w:eastAsia="Arial" w:hAnsi="Arial" w:cs="Arial"/>
          <w:lang w:val="en-GB"/>
        </w:rPr>
      </w:pPr>
      <w:r w:rsidRPr="007D2892">
        <w:rPr>
          <w:rFonts w:ascii="Arial" w:eastAsia="Arial" w:hAnsi="Arial" w:cs="Arial"/>
          <w:lang w:val="en-GB"/>
        </w:rPr>
        <w:t>Workshop organisation support</w:t>
      </w:r>
    </w:p>
    <w:p w14:paraId="7AC70705" w14:textId="77777777" w:rsidR="007D2892" w:rsidRPr="007D2892" w:rsidRDefault="00AF395A" w:rsidP="00F1263A">
      <w:pPr>
        <w:numPr>
          <w:ilvl w:val="0"/>
          <w:numId w:val="5"/>
        </w:numPr>
        <w:spacing w:before="32" w:after="0" w:line="291" w:lineRule="auto"/>
        <w:ind w:right="1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Undergraduate Research Bursaries</w:t>
      </w:r>
    </w:p>
    <w:p w14:paraId="40654986" w14:textId="56039E49" w:rsidR="00F1263A" w:rsidRDefault="00F1263A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08C26A15" w14:textId="334C2A86" w:rsidR="00B61467" w:rsidRDefault="00E40C45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last twenty years have been a rollercoaster for the gene and cell therapy field. Following considerable difficulties, resounding successes have been obtained on multiple fronts: mRNA and viral vector COVID-19 vaccines, oligonucleotide, viral vector and genetically modified cells for multiple inherited diseases, and CAR-T cells for lymphoma and leukaemia, to name a few. </w:t>
      </w:r>
      <w:r w:rsidR="00F457F0" w:rsidRPr="00F457F0">
        <w:rPr>
          <w:rFonts w:ascii="Arial" w:eastAsia="Arial" w:hAnsi="Arial" w:cs="Arial"/>
        </w:rPr>
        <w:t>Commercialisation of these life-savin</w:t>
      </w:r>
      <w:r w:rsidR="00F457F0">
        <w:rPr>
          <w:rFonts w:ascii="Arial" w:eastAsia="Arial" w:hAnsi="Arial" w:cs="Arial"/>
        </w:rPr>
        <w:t xml:space="preserve">g </w:t>
      </w:r>
      <w:r w:rsidR="00F457F0" w:rsidRPr="00F457F0">
        <w:rPr>
          <w:rFonts w:ascii="Arial" w:eastAsia="Arial" w:hAnsi="Arial" w:cs="Arial"/>
        </w:rPr>
        <w:t xml:space="preserve">therapies is </w:t>
      </w:r>
      <w:r w:rsidR="00F457F0">
        <w:rPr>
          <w:rFonts w:ascii="Arial" w:eastAsia="Arial" w:hAnsi="Arial" w:cs="Arial"/>
        </w:rPr>
        <w:t>progressing rapidly,</w:t>
      </w:r>
      <w:r w:rsidR="00F457F0" w:rsidRPr="00F457F0">
        <w:rPr>
          <w:rFonts w:ascii="Arial" w:eastAsia="Arial" w:hAnsi="Arial" w:cs="Arial"/>
        </w:rPr>
        <w:t xml:space="preserve"> to ensure a sustainable supply and widespread </w:t>
      </w:r>
      <w:r w:rsidR="00CB2FEC">
        <w:rPr>
          <w:rFonts w:ascii="Arial" w:eastAsia="Arial" w:hAnsi="Arial" w:cs="Arial"/>
        </w:rPr>
        <w:t xml:space="preserve">adoption. </w:t>
      </w:r>
      <w:r>
        <w:rPr>
          <w:rFonts w:ascii="Arial" w:eastAsia="Arial" w:hAnsi="Arial" w:cs="Arial"/>
        </w:rPr>
        <w:t xml:space="preserve">While challenges exist, it is undisputable that gene and cell therapy is no longer a promise and indeed is a reality. </w:t>
      </w:r>
      <w:r w:rsidR="00B61467">
        <w:rPr>
          <w:rFonts w:ascii="Arial" w:eastAsia="Arial" w:hAnsi="Arial" w:cs="Arial"/>
        </w:rPr>
        <w:t xml:space="preserve">The Society is proud of the contribution of the UK science community to this endeavour. </w:t>
      </w:r>
      <w:r>
        <w:rPr>
          <w:rFonts w:ascii="Arial" w:eastAsia="Arial" w:hAnsi="Arial" w:cs="Arial"/>
        </w:rPr>
        <w:t>We look forward to the next twenty years.</w:t>
      </w:r>
    </w:p>
    <w:p w14:paraId="256C5749" w14:textId="2405C30B" w:rsidR="00FC5ECD" w:rsidRDefault="00FC5ECD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45181F9A" w14:textId="157712EB" w:rsidR="00A91CE7" w:rsidRDefault="00A91CE7" w:rsidP="00A91CE7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ACKNOWLEDGEMENTS</w:t>
      </w:r>
    </w:p>
    <w:p w14:paraId="498121B9" w14:textId="77777777" w:rsidR="00A91CE7" w:rsidRDefault="00A91CE7" w:rsidP="00A91CE7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6B8520C9" w14:textId="4A49B2DE" w:rsidR="007D2892" w:rsidRDefault="00A91CE7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authors thank </w:t>
      </w:r>
      <w:r w:rsidR="005F0C81">
        <w:rPr>
          <w:rFonts w:ascii="Arial" w:eastAsia="Arial" w:hAnsi="Arial" w:cs="Arial"/>
        </w:rPr>
        <w:t>the Society’s managers Renée Watson (2003-2004), Rachel Mager (2004-2009), Clare Beach’s Azura</w:t>
      </w:r>
      <w:r w:rsidR="00A63308">
        <w:rPr>
          <w:rFonts w:ascii="Arial" w:eastAsia="Arial" w:hAnsi="Arial" w:cs="Arial"/>
        </w:rPr>
        <w:t xml:space="preserve"> Events</w:t>
      </w:r>
      <w:r w:rsidR="005F0C81">
        <w:rPr>
          <w:rFonts w:ascii="Arial" w:eastAsia="Arial" w:hAnsi="Arial" w:cs="Arial"/>
        </w:rPr>
        <w:t xml:space="preserve"> (2009-2018) and Renée’s Wats.On (2018-2023). </w:t>
      </w:r>
      <w:r>
        <w:rPr>
          <w:rFonts w:ascii="Arial" w:eastAsia="Arial" w:hAnsi="Arial" w:cs="Arial"/>
        </w:rPr>
        <w:t>Simon Waddington</w:t>
      </w:r>
      <w:r w:rsidR="005F0C81">
        <w:rPr>
          <w:rFonts w:ascii="Arial" w:eastAsia="Arial" w:hAnsi="Arial" w:cs="Arial"/>
        </w:rPr>
        <w:t xml:space="preserve"> helped</w:t>
      </w:r>
      <w:r>
        <w:rPr>
          <w:rFonts w:ascii="Arial" w:eastAsia="Arial" w:hAnsi="Arial" w:cs="Arial"/>
        </w:rPr>
        <w:t xml:space="preserve"> researching the history of the Society, and Alan Parker and Beata S</w:t>
      </w:r>
      <w:r w:rsidR="005F0C81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rmacz-Cordle </w:t>
      </w:r>
      <w:r w:rsidR="005F0C81">
        <w:rPr>
          <w:rFonts w:ascii="Arial" w:eastAsia="Arial" w:hAnsi="Arial" w:cs="Arial"/>
        </w:rPr>
        <w:t>made helpful</w:t>
      </w:r>
      <w:r>
        <w:rPr>
          <w:rFonts w:ascii="Arial" w:eastAsia="Arial" w:hAnsi="Arial" w:cs="Arial"/>
        </w:rPr>
        <w:t xml:space="preserve"> suggestions </w:t>
      </w:r>
      <w:r w:rsidR="005F0C81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the manuscript.</w:t>
      </w:r>
    </w:p>
    <w:p w14:paraId="5C72A5CA" w14:textId="354F23EE" w:rsidR="00A9179B" w:rsidRDefault="00A9179B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20EB710C" w14:textId="77777777" w:rsidR="00A9179B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AUTHORSHIP CONTRIBUTION STATEMENT</w:t>
      </w:r>
    </w:p>
    <w:p w14:paraId="127C696F" w14:textId="678A1C53" w:rsidR="00A9179B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386D90D1" w14:textId="135EF407" w:rsidR="00A9179B" w:rsidRDefault="00FD1400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 w:rsidRPr="00FD1400">
        <w:rPr>
          <w:rFonts w:ascii="Arial" w:eastAsia="Arial" w:hAnsi="Arial" w:cs="Arial"/>
        </w:rPr>
        <w:t>Len Seymour, Adrian Thrasher, Andrew Baker</w:t>
      </w:r>
      <w:r>
        <w:rPr>
          <w:rFonts w:ascii="Arial" w:eastAsia="Arial" w:hAnsi="Arial" w:cs="Arial"/>
        </w:rPr>
        <w:t xml:space="preserve"> and</w:t>
      </w:r>
      <w:r w:rsidRPr="00FD1400">
        <w:rPr>
          <w:rFonts w:ascii="Arial" w:eastAsia="Arial" w:hAnsi="Arial" w:cs="Arial"/>
        </w:rPr>
        <w:t xml:space="preserve"> Uta Griesenbach</w:t>
      </w:r>
      <w:r w:rsidRPr="00A9179B">
        <w:rPr>
          <w:rFonts w:ascii="Arial" w:eastAsia="Arial" w:hAnsi="Arial" w:cs="Arial"/>
        </w:rPr>
        <w:t>: Writing</w:t>
      </w:r>
      <w:r>
        <w:rPr>
          <w:rFonts w:ascii="Arial" w:eastAsia="Arial" w:hAnsi="Arial" w:cs="Arial"/>
        </w:rPr>
        <w:t xml:space="preserve"> </w:t>
      </w:r>
      <w:r w:rsidRPr="00A9179B">
        <w:rPr>
          <w:rFonts w:ascii="Arial" w:eastAsia="Arial" w:hAnsi="Arial" w:cs="Arial"/>
        </w:rPr>
        <w:t>- Reviewing and Editing</w:t>
      </w:r>
      <w:r>
        <w:rPr>
          <w:rFonts w:ascii="Arial" w:eastAsia="Arial" w:hAnsi="Arial" w:cs="Arial"/>
        </w:rPr>
        <w:t>. Rafael J. Yáñez-Muñoz</w:t>
      </w:r>
      <w:r w:rsidR="00A9179B" w:rsidRPr="00A9179B">
        <w:rPr>
          <w:rFonts w:ascii="Arial" w:eastAsia="Arial" w:hAnsi="Arial" w:cs="Arial"/>
        </w:rPr>
        <w:t>: Conceptualization, Writing</w:t>
      </w:r>
      <w:r>
        <w:rPr>
          <w:rFonts w:ascii="Arial" w:eastAsia="Arial" w:hAnsi="Arial" w:cs="Arial"/>
        </w:rPr>
        <w:t xml:space="preserve"> </w:t>
      </w:r>
      <w:r w:rsidR="00A9179B" w:rsidRPr="00A9179B">
        <w:rPr>
          <w:rFonts w:ascii="Arial" w:eastAsia="Arial" w:hAnsi="Arial" w:cs="Arial"/>
        </w:rPr>
        <w:t>- Original draft preparation.</w:t>
      </w:r>
    </w:p>
    <w:p w14:paraId="31B18C0C" w14:textId="49E5704F" w:rsidR="00A9179B" w:rsidRPr="00A9179B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2C94A149" w14:textId="395D6AF8" w:rsidR="00A9179B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AUTHOR’S DISCLOSURE</w:t>
      </w:r>
    </w:p>
    <w:p w14:paraId="516D9295" w14:textId="4A3F0EFA" w:rsidR="00A9179B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702E77F7" w14:textId="6CFD2727" w:rsidR="00A9179B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authors have been (LS, AJT, AB, UG) or are (RJY-M) presidents of BSGCT.</w:t>
      </w:r>
    </w:p>
    <w:p w14:paraId="46D3F8CE" w14:textId="77777777" w:rsidR="00A9179B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603B966D" w14:textId="77777777" w:rsidR="00A9179B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FUNDING STATEMENT</w:t>
      </w:r>
    </w:p>
    <w:p w14:paraId="43630EE4" w14:textId="77777777" w:rsidR="00A9179B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38222A5E" w14:textId="55F9B463" w:rsidR="00A9179B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f</w:t>
      </w:r>
      <w:r w:rsidRPr="00A9179B">
        <w:rPr>
          <w:rFonts w:ascii="Arial" w:eastAsia="Arial" w:hAnsi="Arial" w:cs="Arial"/>
        </w:rPr>
        <w:t xml:space="preserve">unding </w:t>
      </w:r>
      <w:r>
        <w:rPr>
          <w:rFonts w:ascii="Arial" w:eastAsia="Arial" w:hAnsi="Arial" w:cs="Arial"/>
        </w:rPr>
        <w:t>has been received for the preparation of this paper.</w:t>
      </w:r>
    </w:p>
    <w:p w14:paraId="1CAA6D32" w14:textId="77777777" w:rsidR="00A91CE7" w:rsidRDefault="00A91CE7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7C1CBBBB" w14:textId="77777777" w:rsidR="00A9179B" w:rsidRPr="00DB0DC7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REFERENCES</w:t>
      </w:r>
    </w:p>
    <w:p w14:paraId="755AE882" w14:textId="77777777" w:rsidR="00A9179B" w:rsidRPr="00DB0DC7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3B96B74B" w14:textId="77777777" w:rsidR="00A9179B" w:rsidRPr="00DB0DC7" w:rsidRDefault="00A9179B" w:rsidP="00A9179B">
      <w:pPr>
        <w:pStyle w:val="EndNoteBibliography"/>
        <w:rPr>
          <w:rFonts w:ascii="Arial" w:hAnsi="Arial" w:cs="Arial"/>
        </w:rPr>
      </w:pPr>
      <w:r w:rsidRPr="00DB0DC7">
        <w:rPr>
          <w:rFonts w:ascii="Arial" w:eastAsia="Arial" w:hAnsi="Arial" w:cs="Arial"/>
        </w:rPr>
        <w:lastRenderedPageBreak/>
        <w:fldChar w:fldCharType="begin"/>
      </w:r>
      <w:r w:rsidRPr="00DB0DC7">
        <w:rPr>
          <w:rFonts w:ascii="Arial" w:eastAsia="Arial" w:hAnsi="Arial" w:cs="Arial"/>
        </w:rPr>
        <w:instrText xml:space="preserve"> ADDIN EN.REFLIST </w:instrText>
      </w:r>
      <w:r w:rsidRPr="00DB0DC7">
        <w:rPr>
          <w:rFonts w:ascii="Arial" w:eastAsia="Arial" w:hAnsi="Arial" w:cs="Arial"/>
        </w:rPr>
        <w:fldChar w:fldCharType="separate"/>
      </w:r>
      <w:bookmarkStart w:id="0" w:name="_ENREF_1"/>
      <w:r w:rsidRPr="00DB0DC7">
        <w:rPr>
          <w:rFonts w:ascii="Arial" w:hAnsi="Arial" w:cs="Arial"/>
        </w:rPr>
        <w:t>1.</w:t>
      </w:r>
      <w:r w:rsidRPr="00DB0DC7">
        <w:rPr>
          <w:rFonts w:ascii="Arial" w:hAnsi="Arial" w:cs="Arial"/>
        </w:rPr>
        <w:tab/>
        <w:t>Seymour LW, Steering Executive Committee of the British Society for Gene T. Trial and error. Lancet. 2003;361(9368):1568.</w:t>
      </w:r>
      <w:bookmarkEnd w:id="0"/>
    </w:p>
    <w:p w14:paraId="200279A9" w14:textId="77777777" w:rsidR="00A9179B" w:rsidRDefault="00A9179B" w:rsidP="00A9179B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 w:rsidRPr="00DB0DC7">
        <w:rPr>
          <w:rFonts w:ascii="Arial" w:eastAsia="Arial" w:hAnsi="Arial" w:cs="Arial"/>
        </w:rPr>
        <w:fldChar w:fldCharType="end"/>
      </w:r>
    </w:p>
    <w:p w14:paraId="0F450D89" w14:textId="4FBAA802" w:rsidR="00D608AB" w:rsidRDefault="00D608AB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FIGURE LEGENDS</w:t>
      </w:r>
    </w:p>
    <w:p w14:paraId="46CC4066" w14:textId="24CF6392" w:rsidR="00D608AB" w:rsidRDefault="00D608AB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432B9BB3" w14:textId="103C1CC5" w:rsidR="00D608AB" w:rsidRDefault="00D608AB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Figure 1. Alphabetical list (by surname) of all BSGT/BSGCT board members who have served the society from its foundation in 2003.</w:t>
      </w:r>
    </w:p>
    <w:p w14:paraId="6D2860B2" w14:textId="4112702B" w:rsidR="00D608AB" w:rsidRDefault="00D608AB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</w:p>
    <w:p w14:paraId="7B6603D9" w14:textId="5372AC70" w:rsidR="00D608AB" w:rsidRDefault="00D608AB" w:rsidP="00A8799F">
      <w:pPr>
        <w:spacing w:before="32" w:after="0" w:line="291" w:lineRule="auto"/>
        <w:ind w:right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Figure 2. Top: Board picture from 2013, at the 10</w:t>
      </w:r>
      <w:r w:rsidRPr="00D608A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anniversary conference in Royal Holloway University of London. From left to right: Uta Griesenbach, Chris Denning, Steven Howe, Simon Waddington, Andrew Baker, Adrian Thrasher, Stuart Nicklin, Rafael Yáñez, Suzy Buckley and Lynda Coughlan. Bottom: Board picture from 2023, at the 20</w:t>
      </w:r>
      <w:r w:rsidRPr="00D608A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anniversary meeting in Stevenage. From left to right, Alex Baker, Gerry McLachlan, Alan Parker, Rebeca Gil Garzon, Giulia Massaro, Beata Surmacz-Cordle, Rafael Yáñez, Rajvinder Karda, Stuart Nicklin, Ivana Barbaric, Mustafa Munye, Florian Merkle and Carly Bliss.</w:t>
      </w:r>
    </w:p>
    <w:sectPr w:rsidR="00D60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B78"/>
    <w:multiLevelType w:val="hybridMultilevel"/>
    <w:tmpl w:val="DCB8F8B6"/>
    <w:lvl w:ilvl="0" w:tplc="2A86C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6F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8E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CE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0F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43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E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EF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8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43D0A"/>
    <w:multiLevelType w:val="hybridMultilevel"/>
    <w:tmpl w:val="D2824690"/>
    <w:lvl w:ilvl="0" w:tplc="88C43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7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4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A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A8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E5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89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C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9A3B04"/>
    <w:multiLevelType w:val="hybridMultilevel"/>
    <w:tmpl w:val="7A707772"/>
    <w:lvl w:ilvl="0" w:tplc="B7B08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8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8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2F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3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8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04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2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8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6608CD"/>
    <w:multiLevelType w:val="hybridMultilevel"/>
    <w:tmpl w:val="B68A6E0E"/>
    <w:lvl w:ilvl="0" w:tplc="A6E05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A4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47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402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2B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C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63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21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2A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95618B"/>
    <w:multiLevelType w:val="hybridMultilevel"/>
    <w:tmpl w:val="C1546586"/>
    <w:lvl w:ilvl="0" w:tplc="4644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E8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BE1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A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C5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C0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CE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E8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66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53B8F"/>
    <w:multiLevelType w:val="hybridMultilevel"/>
    <w:tmpl w:val="43CE82E6"/>
    <w:lvl w:ilvl="0" w:tplc="28720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8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2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88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AB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A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A8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A7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A6134C"/>
    <w:multiLevelType w:val="hybridMultilevel"/>
    <w:tmpl w:val="1396E48E"/>
    <w:lvl w:ilvl="0" w:tplc="ABD0D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A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61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88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2D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AE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89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6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80116932">
    <w:abstractNumId w:val="2"/>
  </w:num>
  <w:num w:numId="2" w16cid:durableId="726490711">
    <w:abstractNumId w:val="6"/>
  </w:num>
  <w:num w:numId="3" w16cid:durableId="848131705">
    <w:abstractNumId w:val="4"/>
  </w:num>
  <w:num w:numId="4" w16cid:durableId="2142264003">
    <w:abstractNumId w:val="5"/>
  </w:num>
  <w:num w:numId="5" w16cid:durableId="228271423">
    <w:abstractNumId w:val="1"/>
  </w:num>
  <w:num w:numId="6" w16cid:durableId="1695109284">
    <w:abstractNumId w:val="3"/>
  </w:num>
  <w:num w:numId="7" w16cid:durableId="34428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wz2ex2dl0fs0oevfvfx5wxrss9e502ztw9s&quot;&gt;allVX7&lt;record-ids&gt;&lt;item&gt;2295&lt;/item&gt;&lt;/record-ids&gt;&lt;/item&gt;&lt;/Libraries&gt;"/>
  </w:docVars>
  <w:rsids>
    <w:rsidRoot w:val="00113E29"/>
    <w:rsid w:val="00024B92"/>
    <w:rsid w:val="00027063"/>
    <w:rsid w:val="00027830"/>
    <w:rsid w:val="00033F3C"/>
    <w:rsid w:val="00076C62"/>
    <w:rsid w:val="00085C6D"/>
    <w:rsid w:val="00090399"/>
    <w:rsid w:val="000A1AC1"/>
    <w:rsid w:val="000B6D19"/>
    <w:rsid w:val="000F4D58"/>
    <w:rsid w:val="00113E29"/>
    <w:rsid w:val="00121352"/>
    <w:rsid w:val="00121DF9"/>
    <w:rsid w:val="0014400B"/>
    <w:rsid w:val="001627B6"/>
    <w:rsid w:val="0017502D"/>
    <w:rsid w:val="00175747"/>
    <w:rsid w:val="001E22D9"/>
    <w:rsid w:val="00221673"/>
    <w:rsid w:val="0022253C"/>
    <w:rsid w:val="002317F1"/>
    <w:rsid w:val="00232B32"/>
    <w:rsid w:val="002458A3"/>
    <w:rsid w:val="00246C0C"/>
    <w:rsid w:val="00254369"/>
    <w:rsid w:val="00296450"/>
    <w:rsid w:val="002D0A9B"/>
    <w:rsid w:val="002D3F79"/>
    <w:rsid w:val="002E3851"/>
    <w:rsid w:val="002F30AA"/>
    <w:rsid w:val="0030174A"/>
    <w:rsid w:val="0032072B"/>
    <w:rsid w:val="00340105"/>
    <w:rsid w:val="003451DB"/>
    <w:rsid w:val="00357B6F"/>
    <w:rsid w:val="00375013"/>
    <w:rsid w:val="00382A73"/>
    <w:rsid w:val="00384C88"/>
    <w:rsid w:val="003A37EE"/>
    <w:rsid w:val="003C2918"/>
    <w:rsid w:val="003C659B"/>
    <w:rsid w:val="003D31A4"/>
    <w:rsid w:val="003D6839"/>
    <w:rsid w:val="003E5F95"/>
    <w:rsid w:val="003F2FD5"/>
    <w:rsid w:val="00400D07"/>
    <w:rsid w:val="004359C8"/>
    <w:rsid w:val="00456B8A"/>
    <w:rsid w:val="00481F39"/>
    <w:rsid w:val="00492598"/>
    <w:rsid w:val="0049295F"/>
    <w:rsid w:val="00494F92"/>
    <w:rsid w:val="004D276A"/>
    <w:rsid w:val="004D56BA"/>
    <w:rsid w:val="004F0075"/>
    <w:rsid w:val="004F67A8"/>
    <w:rsid w:val="0050746A"/>
    <w:rsid w:val="00517C28"/>
    <w:rsid w:val="00524DFC"/>
    <w:rsid w:val="005255A4"/>
    <w:rsid w:val="00527A64"/>
    <w:rsid w:val="0053349E"/>
    <w:rsid w:val="005705A9"/>
    <w:rsid w:val="00577DE2"/>
    <w:rsid w:val="005843C8"/>
    <w:rsid w:val="00585928"/>
    <w:rsid w:val="005B1DD3"/>
    <w:rsid w:val="005C30BC"/>
    <w:rsid w:val="005D0562"/>
    <w:rsid w:val="005D3A15"/>
    <w:rsid w:val="005E0962"/>
    <w:rsid w:val="005F0C81"/>
    <w:rsid w:val="00603293"/>
    <w:rsid w:val="00625528"/>
    <w:rsid w:val="006336C4"/>
    <w:rsid w:val="00650DA9"/>
    <w:rsid w:val="0069180A"/>
    <w:rsid w:val="00692962"/>
    <w:rsid w:val="00696237"/>
    <w:rsid w:val="006B75A5"/>
    <w:rsid w:val="006D2B90"/>
    <w:rsid w:val="006D5057"/>
    <w:rsid w:val="006F28B9"/>
    <w:rsid w:val="00705A26"/>
    <w:rsid w:val="00707E91"/>
    <w:rsid w:val="0072754A"/>
    <w:rsid w:val="0075451E"/>
    <w:rsid w:val="00763203"/>
    <w:rsid w:val="007807F1"/>
    <w:rsid w:val="00780B8A"/>
    <w:rsid w:val="00786521"/>
    <w:rsid w:val="007A1085"/>
    <w:rsid w:val="007B493F"/>
    <w:rsid w:val="007C5380"/>
    <w:rsid w:val="007D06BF"/>
    <w:rsid w:val="007D2892"/>
    <w:rsid w:val="007E2866"/>
    <w:rsid w:val="0080282B"/>
    <w:rsid w:val="00804796"/>
    <w:rsid w:val="00817B16"/>
    <w:rsid w:val="00834862"/>
    <w:rsid w:val="008366E5"/>
    <w:rsid w:val="008371E7"/>
    <w:rsid w:val="00845C72"/>
    <w:rsid w:val="008605D1"/>
    <w:rsid w:val="008872AD"/>
    <w:rsid w:val="00887469"/>
    <w:rsid w:val="008A4B70"/>
    <w:rsid w:val="008B7456"/>
    <w:rsid w:val="0090069E"/>
    <w:rsid w:val="00912CF8"/>
    <w:rsid w:val="009355ED"/>
    <w:rsid w:val="00957A6E"/>
    <w:rsid w:val="009613A1"/>
    <w:rsid w:val="00974A82"/>
    <w:rsid w:val="009B26B4"/>
    <w:rsid w:val="009B30FF"/>
    <w:rsid w:val="009B417B"/>
    <w:rsid w:val="00A04CDA"/>
    <w:rsid w:val="00A216CF"/>
    <w:rsid w:val="00A44968"/>
    <w:rsid w:val="00A558F2"/>
    <w:rsid w:val="00A63308"/>
    <w:rsid w:val="00A72217"/>
    <w:rsid w:val="00A8799F"/>
    <w:rsid w:val="00A9179B"/>
    <w:rsid w:val="00A91CE7"/>
    <w:rsid w:val="00A922DE"/>
    <w:rsid w:val="00AA0A7A"/>
    <w:rsid w:val="00AA4C66"/>
    <w:rsid w:val="00AF1D97"/>
    <w:rsid w:val="00AF395A"/>
    <w:rsid w:val="00AF74D5"/>
    <w:rsid w:val="00B14517"/>
    <w:rsid w:val="00B21123"/>
    <w:rsid w:val="00B239E1"/>
    <w:rsid w:val="00B254FE"/>
    <w:rsid w:val="00B25E71"/>
    <w:rsid w:val="00B61467"/>
    <w:rsid w:val="00BB0A81"/>
    <w:rsid w:val="00BC3E1E"/>
    <w:rsid w:val="00BC4F90"/>
    <w:rsid w:val="00BF51CA"/>
    <w:rsid w:val="00C672E2"/>
    <w:rsid w:val="00CB2FEC"/>
    <w:rsid w:val="00CF08BA"/>
    <w:rsid w:val="00D608AB"/>
    <w:rsid w:val="00D765DF"/>
    <w:rsid w:val="00D95BA4"/>
    <w:rsid w:val="00DA03EF"/>
    <w:rsid w:val="00DB0DC7"/>
    <w:rsid w:val="00DB5B1D"/>
    <w:rsid w:val="00DC56F8"/>
    <w:rsid w:val="00DE3D96"/>
    <w:rsid w:val="00E10BFD"/>
    <w:rsid w:val="00E116BB"/>
    <w:rsid w:val="00E40C45"/>
    <w:rsid w:val="00E42666"/>
    <w:rsid w:val="00E50984"/>
    <w:rsid w:val="00E80F86"/>
    <w:rsid w:val="00EA168D"/>
    <w:rsid w:val="00EB5695"/>
    <w:rsid w:val="00EC1CA5"/>
    <w:rsid w:val="00ED0ED5"/>
    <w:rsid w:val="00ED6E2C"/>
    <w:rsid w:val="00EF17C4"/>
    <w:rsid w:val="00EF3F01"/>
    <w:rsid w:val="00F02526"/>
    <w:rsid w:val="00F03515"/>
    <w:rsid w:val="00F06CFF"/>
    <w:rsid w:val="00F1263A"/>
    <w:rsid w:val="00F457F0"/>
    <w:rsid w:val="00F53946"/>
    <w:rsid w:val="00F632CC"/>
    <w:rsid w:val="00F9656D"/>
    <w:rsid w:val="00FB4D75"/>
    <w:rsid w:val="00FB5B9A"/>
    <w:rsid w:val="00FC5ECD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9DB8"/>
  <w15:chartTrackingRefBased/>
  <w15:docId w15:val="{DC71D498-947C-44A0-8ED4-24557AF9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2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6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7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54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54A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41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17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31A4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FC5EC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5EC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C5ECD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C5ECD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3451DB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9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6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6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5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6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068">
          <w:marLeft w:val="25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126">
          <w:marLeft w:val="25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52">
          <w:marLeft w:val="25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7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0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6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2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0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8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4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1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8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3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02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13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98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4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2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0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g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Griesenbach, Uta</dc:creator>
  <cp:keywords/>
  <dc:description/>
  <cp:lastModifiedBy>Yanez, Rafael</cp:lastModifiedBy>
  <cp:revision>7</cp:revision>
  <dcterms:created xsi:type="dcterms:W3CDTF">2023-11-20T09:02:00Z</dcterms:created>
  <dcterms:modified xsi:type="dcterms:W3CDTF">2023-11-20T12:41:00Z</dcterms:modified>
</cp:coreProperties>
</file>