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E9D1" w14:textId="47D7C03F" w:rsidR="00DD41C8" w:rsidRPr="006E68B2" w:rsidRDefault="003070D7" w:rsidP="00DD41C8">
      <w:pPr>
        <w:spacing w:after="0" w:line="360" w:lineRule="auto"/>
        <w:jc w:val="both"/>
        <w:rPr>
          <w:rFonts w:ascii="Arial" w:hAnsi="Arial" w:cs="Arial"/>
          <w:b/>
          <w:bCs/>
          <w:sz w:val="24"/>
          <w:szCs w:val="24"/>
        </w:rPr>
      </w:pPr>
      <w:r w:rsidRPr="006E68B2">
        <w:rPr>
          <w:rFonts w:ascii="Arial" w:hAnsi="Arial" w:cs="Arial"/>
          <w:b/>
          <w:bCs/>
          <w:sz w:val="24"/>
          <w:szCs w:val="24"/>
          <w:shd w:val="clear" w:color="auto" w:fill="FFFFFF"/>
        </w:rPr>
        <w:t xml:space="preserve">Association of polypharmacy and anticholinergic burden with length of stay in hospital amongst older adults admitted with hip fractures: a retrospective observational </w:t>
      </w:r>
      <w:proofErr w:type="gramStart"/>
      <w:r w:rsidRPr="006E68B2">
        <w:rPr>
          <w:rFonts w:ascii="Arial" w:hAnsi="Arial" w:cs="Arial"/>
          <w:b/>
          <w:bCs/>
          <w:sz w:val="24"/>
          <w:szCs w:val="24"/>
          <w:shd w:val="clear" w:color="auto" w:fill="FFFFFF"/>
        </w:rPr>
        <w:t>study</w:t>
      </w:r>
      <w:proofErr w:type="gramEnd"/>
    </w:p>
    <w:p w14:paraId="7685DD0D" w14:textId="77777777" w:rsidR="00DD41C8" w:rsidRPr="006E68B2" w:rsidRDefault="00DD41C8" w:rsidP="00DD41C8">
      <w:pPr>
        <w:tabs>
          <w:tab w:val="left" w:pos="7896"/>
        </w:tabs>
        <w:spacing w:after="0" w:line="360" w:lineRule="auto"/>
        <w:jc w:val="both"/>
        <w:rPr>
          <w:rFonts w:ascii="Arial" w:hAnsi="Arial" w:cs="Arial"/>
          <w:sz w:val="24"/>
          <w:szCs w:val="24"/>
        </w:rPr>
      </w:pPr>
      <w:r w:rsidRPr="006E68B2">
        <w:rPr>
          <w:rFonts w:ascii="Arial" w:hAnsi="Arial" w:cs="Arial"/>
          <w:sz w:val="24"/>
          <w:szCs w:val="24"/>
        </w:rPr>
        <w:tab/>
      </w:r>
    </w:p>
    <w:p w14:paraId="087E2BAB" w14:textId="77777777" w:rsidR="00DD41C8" w:rsidRPr="006E68B2" w:rsidRDefault="00DD41C8" w:rsidP="00DD41C8">
      <w:pPr>
        <w:pStyle w:val="Body"/>
        <w:spacing w:after="0" w:line="360" w:lineRule="auto"/>
        <w:jc w:val="both"/>
        <w:rPr>
          <w:rFonts w:ascii="Arial" w:hAnsi="Arial"/>
          <w:color w:val="auto"/>
          <w:sz w:val="24"/>
          <w:szCs w:val="24"/>
        </w:rPr>
      </w:pPr>
      <w:r w:rsidRPr="006E68B2">
        <w:rPr>
          <w:rFonts w:ascii="Arial" w:hAnsi="Arial"/>
          <w:color w:val="auto"/>
          <w:sz w:val="24"/>
          <w:szCs w:val="24"/>
        </w:rPr>
        <w:t>David Fluck</w:t>
      </w:r>
      <w:r w:rsidRPr="006E68B2">
        <w:rPr>
          <w:rFonts w:ascii="Arial" w:hAnsi="Arial"/>
          <w:color w:val="auto"/>
          <w:sz w:val="24"/>
          <w:szCs w:val="24"/>
          <w:vertAlign w:val="superscript"/>
        </w:rPr>
        <w:t>1</w:t>
      </w:r>
      <w:r w:rsidRPr="006E68B2">
        <w:rPr>
          <w:rFonts w:ascii="Arial" w:hAnsi="Arial"/>
          <w:color w:val="auto"/>
          <w:sz w:val="24"/>
          <w:szCs w:val="24"/>
        </w:rPr>
        <w:t xml:space="preserve">; </w:t>
      </w:r>
      <w:r w:rsidRPr="006E68B2">
        <w:rPr>
          <w:rFonts w:ascii="Arial" w:hAnsi="Arial" w:cs="Arial"/>
          <w:color w:val="auto"/>
          <w:sz w:val="24"/>
          <w:szCs w:val="24"/>
        </w:rPr>
        <w:t xml:space="preserve">Email: </w:t>
      </w:r>
      <w:hyperlink r:id="rId8" w:history="1">
        <w:r w:rsidRPr="006E68B2">
          <w:rPr>
            <w:rStyle w:val="Hyperlink"/>
            <w:rFonts w:ascii="Arial" w:hAnsi="Arial"/>
            <w:color w:val="auto"/>
            <w:sz w:val="24"/>
            <w:szCs w:val="24"/>
            <w:u w:val="none"/>
          </w:rPr>
          <w:t>david.fluck@nhs.net</w:t>
        </w:r>
      </w:hyperlink>
    </w:p>
    <w:p w14:paraId="6B5E00FB" w14:textId="77777777" w:rsidR="00DD41C8" w:rsidRPr="006E68B2" w:rsidRDefault="00DD41C8" w:rsidP="00DD41C8">
      <w:pPr>
        <w:pStyle w:val="Body"/>
        <w:spacing w:after="0" w:line="360" w:lineRule="auto"/>
        <w:jc w:val="both"/>
        <w:rPr>
          <w:rFonts w:ascii="Arial" w:hAnsi="Arial"/>
          <w:color w:val="auto"/>
          <w:sz w:val="24"/>
          <w:szCs w:val="24"/>
        </w:rPr>
      </w:pPr>
      <w:r w:rsidRPr="006E68B2">
        <w:rPr>
          <w:rFonts w:ascii="Arial" w:hAnsi="Arial"/>
          <w:color w:val="auto"/>
          <w:sz w:val="24"/>
          <w:szCs w:val="24"/>
        </w:rPr>
        <w:t>Radcliffe Lisk</w:t>
      </w:r>
      <w:r w:rsidRPr="006E68B2">
        <w:rPr>
          <w:rFonts w:ascii="Arial" w:hAnsi="Arial"/>
          <w:color w:val="auto"/>
          <w:sz w:val="24"/>
          <w:szCs w:val="24"/>
          <w:vertAlign w:val="superscript"/>
        </w:rPr>
        <w:t>2</w:t>
      </w:r>
      <w:r w:rsidRPr="006E68B2">
        <w:rPr>
          <w:rFonts w:ascii="Arial" w:hAnsi="Arial"/>
          <w:color w:val="auto"/>
          <w:sz w:val="24"/>
          <w:szCs w:val="24"/>
        </w:rPr>
        <w:t xml:space="preserve">; </w:t>
      </w:r>
      <w:r w:rsidRPr="006E68B2">
        <w:rPr>
          <w:rFonts w:ascii="Arial" w:hAnsi="Arial" w:cs="Arial"/>
          <w:color w:val="auto"/>
          <w:sz w:val="24"/>
          <w:szCs w:val="24"/>
        </w:rPr>
        <w:t xml:space="preserve">Email: </w:t>
      </w:r>
      <w:hyperlink r:id="rId9" w:history="1">
        <w:r w:rsidRPr="006E68B2">
          <w:rPr>
            <w:rStyle w:val="Hyperlink"/>
            <w:rFonts w:ascii="Arial" w:hAnsi="Arial"/>
            <w:color w:val="auto"/>
            <w:sz w:val="24"/>
            <w:szCs w:val="24"/>
            <w:u w:val="none"/>
          </w:rPr>
          <w:t>radcliffe.lisk1@nhs.net</w:t>
        </w:r>
      </w:hyperlink>
    </w:p>
    <w:p w14:paraId="1058906D" w14:textId="77777777" w:rsidR="00DD41C8" w:rsidRPr="006E68B2" w:rsidRDefault="00DD41C8" w:rsidP="00DD41C8">
      <w:pPr>
        <w:pStyle w:val="Body"/>
        <w:spacing w:after="0" w:line="360" w:lineRule="auto"/>
        <w:jc w:val="both"/>
        <w:rPr>
          <w:rStyle w:val="Hyperlink"/>
          <w:rFonts w:ascii="Arial" w:hAnsi="Arial"/>
          <w:color w:val="auto"/>
          <w:sz w:val="24"/>
          <w:szCs w:val="24"/>
          <w:u w:val="none"/>
        </w:rPr>
      </w:pPr>
      <w:r w:rsidRPr="006E68B2">
        <w:rPr>
          <w:rFonts w:ascii="Arial" w:hAnsi="Arial"/>
          <w:color w:val="auto"/>
          <w:sz w:val="24"/>
          <w:szCs w:val="24"/>
        </w:rPr>
        <w:t>Keefai Yeong</w:t>
      </w:r>
      <w:r w:rsidRPr="006E68B2">
        <w:rPr>
          <w:rFonts w:ascii="Arial" w:hAnsi="Arial"/>
          <w:color w:val="auto"/>
          <w:sz w:val="24"/>
          <w:szCs w:val="24"/>
          <w:vertAlign w:val="superscript"/>
        </w:rPr>
        <w:t>2</w:t>
      </w:r>
      <w:r w:rsidRPr="006E68B2">
        <w:rPr>
          <w:rFonts w:ascii="Arial" w:hAnsi="Arial"/>
          <w:color w:val="auto"/>
          <w:sz w:val="24"/>
          <w:szCs w:val="24"/>
        </w:rPr>
        <w:t xml:space="preserve">; </w:t>
      </w:r>
      <w:r w:rsidRPr="006E68B2">
        <w:rPr>
          <w:rFonts w:ascii="Arial" w:hAnsi="Arial" w:cs="Arial"/>
          <w:color w:val="auto"/>
          <w:sz w:val="24"/>
          <w:szCs w:val="24"/>
        </w:rPr>
        <w:t xml:space="preserve">Email: </w:t>
      </w:r>
      <w:hyperlink r:id="rId10" w:history="1">
        <w:r w:rsidRPr="006E68B2">
          <w:rPr>
            <w:rStyle w:val="Hyperlink"/>
            <w:rFonts w:ascii="Arial" w:hAnsi="Arial"/>
            <w:color w:val="auto"/>
            <w:sz w:val="24"/>
            <w:szCs w:val="24"/>
            <w:u w:val="none"/>
          </w:rPr>
          <w:t>keefai.yeong@nhs.net</w:t>
        </w:r>
      </w:hyperlink>
    </w:p>
    <w:p w14:paraId="30A96729" w14:textId="77777777" w:rsidR="00DD41C8" w:rsidRPr="006E68B2" w:rsidRDefault="00DD41C8" w:rsidP="00DD41C8">
      <w:pPr>
        <w:pStyle w:val="Body"/>
        <w:spacing w:after="0" w:line="360" w:lineRule="auto"/>
        <w:jc w:val="both"/>
        <w:rPr>
          <w:rFonts w:ascii="Arial" w:hAnsi="Arial" w:cs="Arial"/>
          <w:color w:val="auto"/>
          <w:sz w:val="24"/>
          <w:szCs w:val="24"/>
        </w:rPr>
      </w:pPr>
      <w:r w:rsidRPr="006E68B2">
        <w:rPr>
          <w:rFonts w:ascii="Arial" w:hAnsi="Arial" w:cs="Arial"/>
          <w:color w:val="auto"/>
          <w:sz w:val="24"/>
          <w:szCs w:val="24"/>
        </w:rPr>
        <w:t>Jonathan Robin</w:t>
      </w:r>
      <w:r w:rsidRPr="006E68B2">
        <w:rPr>
          <w:rFonts w:ascii="Arial" w:hAnsi="Arial"/>
          <w:color w:val="auto"/>
          <w:sz w:val="24"/>
          <w:szCs w:val="24"/>
          <w:vertAlign w:val="superscript"/>
        </w:rPr>
        <w:t>3</w:t>
      </w:r>
      <w:r w:rsidRPr="006E68B2">
        <w:rPr>
          <w:rFonts w:ascii="Arial" w:hAnsi="Arial" w:cs="Arial"/>
          <w:color w:val="auto"/>
          <w:sz w:val="24"/>
          <w:szCs w:val="24"/>
        </w:rPr>
        <w:t>; Email:</w:t>
      </w:r>
      <w:r w:rsidRPr="006E68B2">
        <w:rPr>
          <w:color w:val="auto"/>
        </w:rPr>
        <w:t xml:space="preserve"> </w:t>
      </w:r>
      <w:hyperlink r:id="rId11" w:history="1">
        <w:r w:rsidRPr="006E68B2">
          <w:rPr>
            <w:rStyle w:val="Hyperlink"/>
            <w:rFonts w:ascii="Arial" w:hAnsi="Arial" w:cs="Arial"/>
            <w:color w:val="auto"/>
            <w:sz w:val="24"/>
            <w:szCs w:val="24"/>
            <w:u w:val="none"/>
          </w:rPr>
          <w:t>jonathan.robin@nhs.net</w:t>
        </w:r>
      </w:hyperlink>
    </w:p>
    <w:p w14:paraId="6DE76742" w14:textId="77777777" w:rsidR="00DD41C8" w:rsidRPr="006E68B2" w:rsidRDefault="00DD41C8" w:rsidP="00DD41C8">
      <w:pPr>
        <w:pStyle w:val="Body"/>
        <w:spacing w:after="0" w:line="360" w:lineRule="auto"/>
        <w:jc w:val="both"/>
        <w:rPr>
          <w:rFonts w:ascii="Arial" w:hAnsi="Arial" w:cs="Arial"/>
          <w:color w:val="auto"/>
          <w:sz w:val="24"/>
          <w:szCs w:val="24"/>
        </w:rPr>
      </w:pPr>
      <w:r w:rsidRPr="006E68B2">
        <w:rPr>
          <w:rFonts w:ascii="Arial" w:hAnsi="Arial"/>
          <w:color w:val="auto"/>
          <w:sz w:val="24"/>
          <w:szCs w:val="24"/>
        </w:rPr>
        <w:t>Christopher Henry Fry</w:t>
      </w:r>
      <w:r w:rsidRPr="006E68B2">
        <w:rPr>
          <w:rFonts w:ascii="Arial" w:hAnsi="Arial"/>
          <w:color w:val="auto"/>
          <w:sz w:val="24"/>
          <w:szCs w:val="24"/>
          <w:vertAlign w:val="superscript"/>
        </w:rPr>
        <w:t>4</w:t>
      </w:r>
      <w:r w:rsidRPr="006E68B2">
        <w:rPr>
          <w:rFonts w:ascii="Arial" w:hAnsi="Arial"/>
          <w:color w:val="auto"/>
          <w:sz w:val="24"/>
          <w:szCs w:val="24"/>
        </w:rPr>
        <w:t xml:space="preserve">; </w:t>
      </w:r>
      <w:r w:rsidRPr="006E68B2">
        <w:rPr>
          <w:rFonts w:ascii="Arial" w:hAnsi="Arial" w:cs="Arial"/>
          <w:color w:val="auto"/>
          <w:sz w:val="24"/>
          <w:szCs w:val="24"/>
        </w:rPr>
        <w:t>Email:</w:t>
      </w:r>
      <w:r w:rsidRPr="006E68B2">
        <w:rPr>
          <w:rFonts w:ascii="Arial" w:hAnsi="Arial"/>
          <w:color w:val="auto"/>
          <w:sz w:val="24"/>
          <w:szCs w:val="24"/>
        </w:rPr>
        <w:t xml:space="preserve"> chris.fry@bristol.ac.uk</w:t>
      </w:r>
    </w:p>
    <w:p w14:paraId="6171473C" w14:textId="77777777" w:rsidR="00DD41C8" w:rsidRPr="006E68B2" w:rsidRDefault="00DD41C8" w:rsidP="00DD41C8">
      <w:pPr>
        <w:pStyle w:val="Body"/>
        <w:spacing w:after="0" w:line="360" w:lineRule="auto"/>
        <w:jc w:val="both"/>
        <w:rPr>
          <w:rFonts w:ascii="Arial" w:eastAsia="Arial" w:hAnsi="Arial" w:cs="Arial"/>
          <w:color w:val="auto"/>
          <w:sz w:val="24"/>
          <w:szCs w:val="24"/>
        </w:rPr>
      </w:pPr>
      <w:r w:rsidRPr="006E68B2">
        <w:rPr>
          <w:rFonts w:ascii="Arial" w:hAnsi="Arial"/>
          <w:color w:val="auto"/>
          <w:sz w:val="24"/>
          <w:szCs w:val="24"/>
        </w:rPr>
        <w:t>Thang Sieu Han</w:t>
      </w:r>
      <w:r w:rsidRPr="006E68B2">
        <w:rPr>
          <w:rFonts w:ascii="Arial" w:hAnsi="Arial"/>
          <w:color w:val="auto"/>
          <w:sz w:val="24"/>
          <w:szCs w:val="24"/>
          <w:vertAlign w:val="superscript"/>
        </w:rPr>
        <w:t>5,6</w:t>
      </w:r>
      <w:r w:rsidRPr="006E68B2">
        <w:rPr>
          <w:rFonts w:ascii="Arial" w:hAnsi="Arial" w:cs="Arial"/>
          <w:color w:val="auto"/>
          <w:sz w:val="24"/>
          <w:szCs w:val="24"/>
        </w:rPr>
        <w:t>; Email:</w:t>
      </w:r>
      <w:r w:rsidRPr="006E68B2">
        <w:rPr>
          <w:color w:val="auto"/>
        </w:rPr>
        <w:t xml:space="preserve"> </w:t>
      </w:r>
      <w:hyperlink r:id="rId12" w:history="1">
        <w:r w:rsidRPr="006E68B2">
          <w:rPr>
            <w:rStyle w:val="Hyperlink"/>
            <w:rFonts w:ascii="Arial" w:hAnsi="Arial" w:cs="Arial"/>
            <w:color w:val="auto"/>
            <w:sz w:val="24"/>
            <w:szCs w:val="24"/>
            <w:u w:val="none"/>
          </w:rPr>
          <w:t>thang.han@rhul.ac.uk</w:t>
        </w:r>
      </w:hyperlink>
    </w:p>
    <w:p w14:paraId="51C6B72A" w14:textId="77777777" w:rsidR="00DD41C8" w:rsidRPr="006E68B2" w:rsidRDefault="00DD41C8" w:rsidP="00DD41C8">
      <w:pPr>
        <w:pStyle w:val="Body"/>
        <w:spacing w:after="0" w:line="360" w:lineRule="auto"/>
        <w:jc w:val="both"/>
        <w:rPr>
          <w:rFonts w:ascii="Arial" w:hAnsi="Arial" w:cs="Arial"/>
          <w:color w:val="auto"/>
          <w:sz w:val="24"/>
          <w:szCs w:val="24"/>
        </w:rPr>
      </w:pPr>
    </w:p>
    <w:p w14:paraId="4F6DB573" w14:textId="77777777" w:rsidR="00DD41C8" w:rsidRPr="006E68B2" w:rsidRDefault="00DD41C8" w:rsidP="00DD41C8">
      <w:pPr>
        <w:pStyle w:val="Body"/>
        <w:spacing w:after="0" w:line="360" w:lineRule="auto"/>
        <w:jc w:val="both"/>
        <w:rPr>
          <w:rFonts w:ascii="Arial" w:hAnsi="Arial" w:cs="Arial"/>
          <w:color w:val="auto"/>
          <w:sz w:val="24"/>
          <w:szCs w:val="24"/>
        </w:rPr>
      </w:pPr>
      <w:r w:rsidRPr="006E68B2">
        <w:rPr>
          <w:rFonts w:ascii="Arial" w:hAnsi="Arial" w:cs="Arial"/>
          <w:color w:val="auto"/>
          <w:sz w:val="24"/>
          <w:szCs w:val="24"/>
          <w:vertAlign w:val="superscript"/>
        </w:rPr>
        <w:t>1</w:t>
      </w:r>
      <w:r w:rsidRPr="006E68B2">
        <w:rPr>
          <w:rFonts w:ascii="Arial" w:hAnsi="Arial" w:cs="Arial"/>
          <w:color w:val="auto"/>
          <w:sz w:val="24"/>
          <w:szCs w:val="24"/>
        </w:rPr>
        <w:t>Department of Cardiology, Ashford and St Peter’s NHS Foundation Trust, Guildford Road, Chertsey, Surrey KT16 0PZ, UK</w:t>
      </w:r>
    </w:p>
    <w:p w14:paraId="3ED6EBE5" w14:textId="77777777" w:rsidR="00DD41C8" w:rsidRPr="006E68B2" w:rsidRDefault="00DD41C8" w:rsidP="00DD41C8">
      <w:pPr>
        <w:pStyle w:val="Body"/>
        <w:spacing w:after="0" w:line="360" w:lineRule="auto"/>
        <w:jc w:val="both"/>
        <w:rPr>
          <w:rFonts w:ascii="Arial" w:hAnsi="Arial" w:cs="Arial"/>
          <w:color w:val="auto"/>
          <w:sz w:val="24"/>
          <w:szCs w:val="24"/>
        </w:rPr>
      </w:pPr>
      <w:r w:rsidRPr="006E68B2">
        <w:rPr>
          <w:rFonts w:ascii="Arial" w:hAnsi="Arial" w:cs="Arial"/>
          <w:color w:val="auto"/>
          <w:sz w:val="24"/>
          <w:szCs w:val="24"/>
          <w:vertAlign w:val="superscript"/>
        </w:rPr>
        <w:t>2</w:t>
      </w:r>
      <w:r w:rsidRPr="006E68B2">
        <w:rPr>
          <w:rFonts w:ascii="Arial" w:hAnsi="Arial" w:cs="Arial"/>
          <w:color w:val="auto"/>
          <w:sz w:val="24"/>
          <w:szCs w:val="24"/>
        </w:rPr>
        <w:t>Department of Orthopaedic Trauma, Ashford and St Peter’s NHS Foundation Trust, Guildford Road, Chertsey, Surrey KT16 0PZ, UK</w:t>
      </w:r>
    </w:p>
    <w:p w14:paraId="56249857" w14:textId="77777777" w:rsidR="00DD41C8" w:rsidRPr="006E68B2" w:rsidRDefault="00DD41C8" w:rsidP="00DD41C8">
      <w:pPr>
        <w:pStyle w:val="Body"/>
        <w:spacing w:after="0" w:line="360" w:lineRule="auto"/>
        <w:jc w:val="both"/>
        <w:rPr>
          <w:rFonts w:ascii="Arial" w:hAnsi="Arial" w:cs="Arial"/>
          <w:color w:val="auto"/>
          <w:sz w:val="24"/>
          <w:szCs w:val="24"/>
        </w:rPr>
      </w:pPr>
      <w:r w:rsidRPr="006E68B2">
        <w:rPr>
          <w:rFonts w:ascii="Arial" w:hAnsi="Arial" w:cs="Arial"/>
          <w:color w:val="auto"/>
          <w:sz w:val="24"/>
          <w:szCs w:val="24"/>
          <w:vertAlign w:val="superscript"/>
        </w:rPr>
        <w:t>3</w:t>
      </w:r>
      <w:r w:rsidRPr="006E68B2">
        <w:rPr>
          <w:rFonts w:ascii="Arial" w:hAnsi="Arial" w:cs="Arial"/>
          <w:color w:val="auto"/>
          <w:sz w:val="24"/>
          <w:szCs w:val="24"/>
        </w:rPr>
        <w:t>Department of Acute Medicine, Ashford and St Peter’s NHS Foundation Trust, Guildford Road, Chertsey, Surrey KT16 0PZ, UK</w:t>
      </w:r>
    </w:p>
    <w:p w14:paraId="54F52DE0" w14:textId="77777777" w:rsidR="00DD41C8" w:rsidRPr="006E68B2" w:rsidRDefault="00DD41C8" w:rsidP="00DD41C8">
      <w:pPr>
        <w:pStyle w:val="Body"/>
        <w:spacing w:after="0" w:line="360" w:lineRule="auto"/>
        <w:jc w:val="both"/>
        <w:rPr>
          <w:rFonts w:ascii="Arial" w:hAnsi="Arial" w:cs="Arial"/>
          <w:color w:val="auto"/>
          <w:sz w:val="24"/>
          <w:szCs w:val="24"/>
        </w:rPr>
      </w:pPr>
      <w:r w:rsidRPr="006E68B2">
        <w:rPr>
          <w:rFonts w:ascii="Arial" w:hAnsi="Arial" w:cs="Arial"/>
          <w:color w:val="auto"/>
          <w:sz w:val="24"/>
          <w:szCs w:val="24"/>
          <w:vertAlign w:val="superscript"/>
        </w:rPr>
        <w:t>4</w:t>
      </w:r>
      <w:r w:rsidRPr="006E68B2">
        <w:rPr>
          <w:rFonts w:ascii="Arial" w:hAnsi="Arial" w:cs="Arial"/>
          <w:color w:val="auto"/>
          <w:sz w:val="24"/>
          <w:szCs w:val="24"/>
        </w:rPr>
        <w:t>School of Physiology, Pharmacology and Neuroscience, University of Bristol, Bristol BS8 1TD, UK</w:t>
      </w:r>
    </w:p>
    <w:p w14:paraId="5CEDD645" w14:textId="77777777" w:rsidR="00DD41C8" w:rsidRPr="006E68B2" w:rsidRDefault="00DD41C8" w:rsidP="00DD41C8">
      <w:pPr>
        <w:pStyle w:val="Body"/>
        <w:spacing w:after="0" w:line="360" w:lineRule="auto"/>
        <w:jc w:val="both"/>
        <w:rPr>
          <w:rFonts w:ascii="Arial" w:hAnsi="Arial" w:cs="Arial"/>
          <w:color w:val="auto"/>
          <w:sz w:val="24"/>
          <w:szCs w:val="24"/>
        </w:rPr>
      </w:pPr>
      <w:r w:rsidRPr="006E68B2">
        <w:rPr>
          <w:rFonts w:ascii="Arial" w:hAnsi="Arial" w:cs="Arial"/>
          <w:color w:val="auto"/>
          <w:sz w:val="24"/>
          <w:szCs w:val="24"/>
          <w:vertAlign w:val="superscript"/>
        </w:rPr>
        <w:t>5</w:t>
      </w:r>
      <w:r w:rsidRPr="006E68B2">
        <w:rPr>
          <w:rFonts w:ascii="Arial" w:hAnsi="Arial" w:cs="Arial"/>
          <w:color w:val="auto"/>
          <w:sz w:val="24"/>
          <w:szCs w:val="24"/>
        </w:rPr>
        <w:t>Department of Endocrinology, Ashford and St Peter’s NHS Foundation Trust, Guildford Road, Chertsey, Surrey KT16 0PZ, UK</w:t>
      </w:r>
    </w:p>
    <w:p w14:paraId="2B42047D" w14:textId="77777777" w:rsidR="00DD41C8" w:rsidRPr="006E68B2" w:rsidRDefault="00DD41C8" w:rsidP="00DD41C8">
      <w:pPr>
        <w:pStyle w:val="Body"/>
        <w:spacing w:after="0" w:line="360" w:lineRule="auto"/>
        <w:jc w:val="both"/>
        <w:rPr>
          <w:rFonts w:ascii="Arial" w:hAnsi="Arial" w:cs="Arial"/>
          <w:color w:val="auto"/>
          <w:sz w:val="24"/>
          <w:szCs w:val="24"/>
        </w:rPr>
      </w:pPr>
      <w:r w:rsidRPr="006E68B2">
        <w:rPr>
          <w:rFonts w:ascii="Arial" w:hAnsi="Arial" w:cs="Arial"/>
          <w:color w:val="auto"/>
          <w:sz w:val="24"/>
          <w:szCs w:val="24"/>
          <w:vertAlign w:val="superscript"/>
        </w:rPr>
        <w:t>6</w:t>
      </w:r>
      <w:r w:rsidRPr="006E68B2">
        <w:rPr>
          <w:rFonts w:ascii="Arial" w:hAnsi="Arial" w:cs="Arial"/>
          <w:color w:val="auto"/>
          <w:sz w:val="24"/>
          <w:szCs w:val="24"/>
        </w:rPr>
        <w:t>Institute of Cardiovascular Research, Royal Holloway, University of London, Egham, Surrey TW20 0EX, UK</w:t>
      </w:r>
    </w:p>
    <w:p w14:paraId="1EB2E6B6" w14:textId="77777777" w:rsidR="00DD41C8" w:rsidRPr="006E68B2" w:rsidRDefault="00DD41C8" w:rsidP="00DD41C8">
      <w:pPr>
        <w:pStyle w:val="Body"/>
        <w:spacing w:after="0" w:line="360" w:lineRule="auto"/>
        <w:jc w:val="both"/>
        <w:rPr>
          <w:rFonts w:ascii="Arial" w:eastAsia="Arial" w:hAnsi="Arial" w:cs="Arial"/>
          <w:color w:val="auto"/>
          <w:sz w:val="24"/>
          <w:szCs w:val="24"/>
        </w:rPr>
      </w:pPr>
    </w:p>
    <w:p w14:paraId="5049898A" w14:textId="77777777" w:rsidR="00DD41C8" w:rsidRPr="006E68B2" w:rsidRDefault="00DD41C8" w:rsidP="00DD41C8">
      <w:pPr>
        <w:pStyle w:val="Body"/>
        <w:spacing w:after="0" w:line="360" w:lineRule="auto"/>
        <w:jc w:val="both"/>
        <w:rPr>
          <w:rFonts w:ascii="Arial" w:eastAsia="Arial" w:hAnsi="Arial" w:cs="Arial"/>
          <w:b/>
          <w:bCs/>
          <w:color w:val="auto"/>
          <w:sz w:val="24"/>
          <w:szCs w:val="24"/>
        </w:rPr>
      </w:pPr>
      <w:r w:rsidRPr="006E68B2">
        <w:rPr>
          <w:rFonts w:ascii="Arial" w:hAnsi="Arial" w:cs="Arial"/>
          <w:b/>
          <w:bCs/>
          <w:color w:val="auto"/>
          <w:sz w:val="24"/>
          <w:szCs w:val="24"/>
        </w:rPr>
        <w:t xml:space="preserve">Running title: </w:t>
      </w:r>
      <w:r w:rsidRPr="006E68B2">
        <w:rPr>
          <w:rFonts w:ascii="Arial" w:hAnsi="Arial" w:cs="Arial"/>
          <w:color w:val="auto"/>
          <w:sz w:val="24"/>
          <w:szCs w:val="24"/>
        </w:rPr>
        <w:t>Impact of</w:t>
      </w:r>
      <w:r w:rsidRPr="006E68B2">
        <w:rPr>
          <w:rFonts w:ascii="Arial" w:hAnsi="Arial" w:cs="Arial"/>
          <w:b/>
          <w:bCs/>
          <w:color w:val="auto"/>
          <w:sz w:val="24"/>
          <w:szCs w:val="24"/>
        </w:rPr>
        <w:t xml:space="preserve"> </w:t>
      </w:r>
      <w:r w:rsidRPr="006E68B2">
        <w:rPr>
          <w:rFonts w:ascii="Arial" w:hAnsi="Arial" w:cs="Arial"/>
          <w:bCs/>
          <w:color w:val="auto"/>
          <w:sz w:val="24"/>
          <w:szCs w:val="24"/>
        </w:rPr>
        <w:t>ACB and polypharmacy on discharge delay</w:t>
      </w:r>
    </w:p>
    <w:p w14:paraId="302E6088" w14:textId="37DBB5A1" w:rsidR="00DD41C8" w:rsidRPr="006E68B2" w:rsidRDefault="00DD41C8" w:rsidP="00DD41C8">
      <w:pPr>
        <w:pStyle w:val="Body"/>
        <w:spacing w:after="0" w:line="360" w:lineRule="auto"/>
        <w:jc w:val="both"/>
        <w:rPr>
          <w:rFonts w:ascii="Arial" w:eastAsia="Arial" w:hAnsi="Arial" w:cs="Arial"/>
          <w:color w:val="auto"/>
          <w:sz w:val="24"/>
          <w:szCs w:val="24"/>
        </w:rPr>
      </w:pPr>
      <w:r w:rsidRPr="006E68B2">
        <w:rPr>
          <w:rFonts w:ascii="Arial" w:eastAsia="Arial" w:hAnsi="Arial" w:cs="Arial"/>
          <w:b/>
          <w:bCs/>
          <w:color w:val="auto"/>
          <w:sz w:val="24"/>
          <w:szCs w:val="24"/>
        </w:rPr>
        <w:t>Word count:</w:t>
      </w:r>
      <w:r w:rsidRPr="006E68B2">
        <w:rPr>
          <w:rFonts w:ascii="Arial" w:eastAsia="Arial" w:hAnsi="Arial" w:cs="Arial"/>
          <w:color w:val="auto"/>
          <w:sz w:val="24"/>
          <w:szCs w:val="24"/>
        </w:rPr>
        <w:t xml:space="preserve"> 2</w:t>
      </w:r>
      <w:r w:rsidR="00630757" w:rsidRPr="006E68B2">
        <w:rPr>
          <w:rFonts w:ascii="Arial" w:eastAsia="Arial" w:hAnsi="Arial" w:cs="Arial"/>
          <w:color w:val="auto"/>
          <w:sz w:val="24"/>
          <w:szCs w:val="24"/>
        </w:rPr>
        <w:t>764</w:t>
      </w:r>
      <w:r w:rsidRPr="006E68B2">
        <w:rPr>
          <w:rFonts w:ascii="Arial" w:eastAsia="Arial" w:hAnsi="Arial" w:cs="Arial"/>
          <w:color w:val="auto"/>
          <w:sz w:val="24"/>
          <w:szCs w:val="24"/>
        </w:rPr>
        <w:t>, 3 Tables, 2 Figures</w:t>
      </w:r>
    </w:p>
    <w:p w14:paraId="7E39FC5F" w14:textId="77777777" w:rsidR="00DD41C8" w:rsidRPr="006E68B2" w:rsidRDefault="00DD41C8" w:rsidP="00DD41C8">
      <w:pPr>
        <w:pStyle w:val="Body"/>
        <w:spacing w:after="0" w:line="360" w:lineRule="auto"/>
        <w:jc w:val="both"/>
        <w:rPr>
          <w:rFonts w:ascii="Arial" w:eastAsia="Arial" w:hAnsi="Arial" w:cs="Arial"/>
          <w:color w:val="auto"/>
          <w:sz w:val="24"/>
          <w:szCs w:val="24"/>
        </w:rPr>
      </w:pPr>
    </w:p>
    <w:p w14:paraId="1193C6D8" w14:textId="77777777" w:rsidR="00DD41C8" w:rsidRPr="006E68B2" w:rsidRDefault="00DD41C8" w:rsidP="00DD41C8">
      <w:pPr>
        <w:pStyle w:val="Body"/>
        <w:spacing w:after="0" w:line="360" w:lineRule="auto"/>
        <w:jc w:val="both"/>
        <w:rPr>
          <w:rFonts w:ascii="Arial" w:eastAsia="Arial" w:hAnsi="Arial" w:cs="Arial"/>
          <w:color w:val="auto"/>
          <w:sz w:val="24"/>
          <w:szCs w:val="24"/>
        </w:rPr>
      </w:pPr>
      <w:r w:rsidRPr="006E68B2">
        <w:rPr>
          <w:rFonts w:ascii="Arial" w:eastAsia="Arial" w:hAnsi="Arial" w:cs="Arial"/>
          <w:b/>
          <w:color w:val="auto"/>
          <w:sz w:val="24"/>
          <w:szCs w:val="24"/>
        </w:rPr>
        <w:t xml:space="preserve">Keywords: </w:t>
      </w:r>
      <w:r w:rsidRPr="006E68B2">
        <w:rPr>
          <w:rFonts w:ascii="Arial" w:eastAsia="Arial" w:hAnsi="Arial" w:cs="Arial"/>
          <w:color w:val="auto"/>
          <w:sz w:val="24"/>
          <w:szCs w:val="24"/>
        </w:rPr>
        <w:t>Drugs; hospital discharge; health economics; mobility; pressure ulcers</w:t>
      </w:r>
    </w:p>
    <w:p w14:paraId="6D400988" w14:textId="77777777" w:rsidR="00DD41C8" w:rsidRPr="006E68B2" w:rsidRDefault="00DD41C8" w:rsidP="00DD41C8">
      <w:pPr>
        <w:pStyle w:val="Body"/>
        <w:spacing w:after="0" w:line="360" w:lineRule="auto"/>
        <w:jc w:val="both"/>
        <w:rPr>
          <w:rFonts w:ascii="Arial" w:eastAsia="Arial" w:hAnsi="Arial" w:cs="Arial"/>
          <w:color w:val="auto"/>
          <w:sz w:val="24"/>
          <w:szCs w:val="24"/>
        </w:rPr>
      </w:pPr>
    </w:p>
    <w:p w14:paraId="4CBAA808" w14:textId="77777777" w:rsidR="00DD41C8" w:rsidRPr="006E68B2" w:rsidRDefault="00DD41C8" w:rsidP="00DD41C8">
      <w:pPr>
        <w:pStyle w:val="Body"/>
        <w:spacing w:after="0" w:line="360" w:lineRule="auto"/>
        <w:jc w:val="both"/>
        <w:rPr>
          <w:rFonts w:ascii="Arial" w:eastAsia="Arial" w:hAnsi="Arial" w:cs="Arial"/>
          <w:color w:val="auto"/>
          <w:sz w:val="24"/>
          <w:szCs w:val="24"/>
        </w:rPr>
      </w:pPr>
      <w:r w:rsidRPr="006E68B2">
        <w:rPr>
          <w:rFonts w:ascii="Arial" w:hAnsi="Arial" w:cs="Arial"/>
          <w:b/>
          <w:bCs/>
          <w:color w:val="auto"/>
          <w:sz w:val="24"/>
          <w:szCs w:val="24"/>
        </w:rPr>
        <w:t xml:space="preserve">Corresponding author: </w:t>
      </w:r>
      <w:r w:rsidRPr="006E68B2">
        <w:rPr>
          <w:rFonts w:ascii="Arial" w:hAnsi="Arial" w:cs="Arial"/>
          <w:color w:val="auto"/>
          <w:sz w:val="24"/>
          <w:szCs w:val="24"/>
        </w:rPr>
        <w:t>Dr Thang S Han, MA, MB BChir, PhD, FRCP</w:t>
      </w:r>
    </w:p>
    <w:p w14:paraId="2FCD1E0A" w14:textId="77777777" w:rsidR="00DD41C8" w:rsidRPr="006E68B2" w:rsidRDefault="00DD41C8" w:rsidP="00DD41C8">
      <w:pPr>
        <w:pStyle w:val="Body"/>
        <w:spacing w:after="0" w:line="360" w:lineRule="auto"/>
        <w:jc w:val="both"/>
        <w:rPr>
          <w:rFonts w:ascii="Arial" w:hAnsi="Arial" w:cs="Arial"/>
          <w:color w:val="auto"/>
          <w:sz w:val="24"/>
          <w:szCs w:val="24"/>
        </w:rPr>
      </w:pPr>
      <w:r w:rsidRPr="006E68B2">
        <w:rPr>
          <w:rFonts w:ascii="Arial" w:hAnsi="Arial" w:cs="Arial"/>
          <w:color w:val="auto"/>
          <w:sz w:val="24"/>
          <w:szCs w:val="24"/>
        </w:rPr>
        <w:t>Institute of Cardiovascular Research, Royal Holloway, University of London</w:t>
      </w:r>
    </w:p>
    <w:p w14:paraId="6B062505" w14:textId="77777777" w:rsidR="00DD41C8" w:rsidRPr="006E68B2" w:rsidRDefault="00DD41C8" w:rsidP="00DD41C8">
      <w:pPr>
        <w:pStyle w:val="Body"/>
        <w:spacing w:after="0" w:line="360" w:lineRule="auto"/>
        <w:jc w:val="both"/>
        <w:rPr>
          <w:rStyle w:val="Hyperlink"/>
          <w:color w:val="auto"/>
          <w:sz w:val="24"/>
          <w:szCs w:val="24"/>
        </w:rPr>
      </w:pPr>
      <w:r w:rsidRPr="006E68B2">
        <w:rPr>
          <w:rFonts w:ascii="Arial" w:hAnsi="Arial" w:cs="Arial"/>
          <w:color w:val="auto"/>
          <w:sz w:val="24"/>
          <w:szCs w:val="24"/>
        </w:rPr>
        <w:t xml:space="preserve">Egham, Surrey, TW20 0EX, UK. </w:t>
      </w:r>
      <w:r w:rsidRPr="006E68B2">
        <w:rPr>
          <w:rFonts w:ascii="Arial" w:hAnsi="Arial" w:cs="Arial"/>
          <w:color w:val="auto"/>
          <w:sz w:val="24"/>
          <w:szCs w:val="24"/>
          <w:lang w:val="it-IT"/>
        </w:rPr>
        <w:t>Tel: 01784443807</w:t>
      </w:r>
    </w:p>
    <w:p w14:paraId="4B42BE1F" w14:textId="628F75E0" w:rsidR="0040405C" w:rsidRPr="006E68B2" w:rsidRDefault="00DD41C8" w:rsidP="00DD41C8">
      <w:r w:rsidRPr="006E68B2">
        <w:rPr>
          <w:rFonts w:ascii="Arial" w:hAnsi="Arial" w:cs="Arial"/>
          <w:sz w:val="24"/>
          <w:szCs w:val="24"/>
        </w:rPr>
        <w:t xml:space="preserve">Email: </w:t>
      </w:r>
      <w:hyperlink r:id="rId13" w:history="1">
        <w:r w:rsidRPr="006E68B2">
          <w:rPr>
            <w:rStyle w:val="Hyperlink"/>
            <w:rFonts w:ascii="Arial" w:hAnsi="Arial" w:cs="Arial"/>
            <w:color w:val="auto"/>
            <w:sz w:val="24"/>
            <w:szCs w:val="24"/>
            <w:u w:val="none"/>
          </w:rPr>
          <w:t>thang.han@rhul.ac.uk</w:t>
        </w:r>
      </w:hyperlink>
      <w:r w:rsidR="0040405C" w:rsidRPr="006E68B2">
        <w:rPr>
          <w:rFonts w:ascii="Arial" w:hAnsi="Arial" w:cs="Arial"/>
          <w:b/>
          <w:sz w:val="24"/>
          <w:szCs w:val="24"/>
        </w:rPr>
        <w:br w:type="page"/>
      </w:r>
    </w:p>
    <w:p w14:paraId="2FC2AD8F" w14:textId="74C1C7DC" w:rsidR="00312887" w:rsidRPr="006E68B2" w:rsidRDefault="00312887" w:rsidP="00E042B9">
      <w:pPr>
        <w:spacing w:after="0" w:line="480" w:lineRule="auto"/>
        <w:jc w:val="both"/>
        <w:rPr>
          <w:rFonts w:ascii="Arial" w:hAnsi="Arial" w:cs="Arial"/>
          <w:b/>
          <w:sz w:val="24"/>
          <w:szCs w:val="24"/>
        </w:rPr>
      </w:pPr>
      <w:r w:rsidRPr="006E68B2">
        <w:rPr>
          <w:rFonts w:ascii="Arial" w:hAnsi="Arial" w:cs="Arial"/>
          <w:b/>
          <w:sz w:val="24"/>
          <w:szCs w:val="24"/>
        </w:rPr>
        <w:lastRenderedPageBreak/>
        <w:t>ABSTRACT</w:t>
      </w:r>
    </w:p>
    <w:p w14:paraId="29AE9848" w14:textId="537057F5" w:rsidR="007A4D2C" w:rsidRPr="006E68B2" w:rsidRDefault="0040405C" w:rsidP="00E042B9">
      <w:pPr>
        <w:spacing w:after="0" w:line="480" w:lineRule="auto"/>
        <w:jc w:val="both"/>
        <w:rPr>
          <w:rFonts w:ascii="Arial" w:hAnsi="Arial" w:cs="Arial"/>
          <w:sz w:val="24"/>
          <w:szCs w:val="24"/>
        </w:rPr>
      </w:pPr>
      <w:r w:rsidRPr="006E68B2">
        <w:rPr>
          <w:rFonts w:ascii="Arial" w:hAnsi="Arial" w:cs="Arial"/>
          <w:b/>
          <w:bCs/>
          <w:sz w:val="24"/>
          <w:szCs w:val="24"/>
        </w:rPr>
        <w:t>Background:</w:t>
      </w:r>
      <w:r w:rsidRPr="006E68B2">
        <w:rPr>
          <w:rFonts w:ascii="Arial" w:hAnsi="Arial" w:cs="Arial"/>
          <w:sz w:val="24"/>
          <w:szCs w:val="24"/>
        </w:rPr>
        <w:t xml:space="preserve"> Age</w:t>
      </w:r>
      <w:r w:rsidR="00CD3E87" w:rsidRPr="006E68B2">
        <w:rPr>
          <w:rFonts w:ascii="Arial" w:hAnsi="Arial" w:cs="Arial"/>
          <w:sz w:val="24"/>
          <w:szCs w:val="24"/>
        </w:rPr>
        <w:t xml:space="preserve">-associated </w:t>
      </w:r>
      <w:r w:rsidRPr="006E68B2">
        <w:rPr>
          <w:rFonts w:ascii="Arial" w:hAnsi="Arial" w:cs="Arial"/>
          <w:sz w:val="24"/>
          <w:szCs w:val="24"/>
        </w:rPr>
        <w:t>multimorbidity and polypharmacy,</w:t>
      </w:r>
      <w:r w:rsidR="00594733" w:rsidRPr="006E68B2">
        <w:rPr>
          <w:rFonts w:ascii="Arial" w:hAnsi="Arial" w:cs="Arial"/>
          <w:sz w:val="24"/>
          <w:szCs w:val="24"/>
        </w:rPr>
        <w:t xml:space="preserve"> </w:t>
      </w:r>
      <w:r w:rsidR="00613CB9" w:rsidRPr="006E68B2">
        <w:rPr>
          <w:rFonts w:ascii="Arial" w:hAnsi="Arial" w:cs="Arial"/>
          <w:sz w:val="24"/>
          <w:szCs w:val="24"/>
        </w:rPr>
        <w:t xml:space="preserve">predispose </w:t>
      </w:r>
      <w:r w:rsidRPr="006E68B2">
        <w:rPr>
          <w:rFonts w:ascii="Arial" w:hAnsi="Arial" w:cs="Arial"/>
          <w:sz w:val="24"/>
          <w:szCs w:val="24"/>
        </w:rPr>
        <w:t>individuals</w:t>
      </w:r>
      <w:r w:rsidR="00CD3E87" w:rsidRPr="006E68B2">
        <w:rPr>
          <w:rFonts w:ascii="Arial" w:hAnsi="Arial" w:cs="Arial"/>
          <w:sz w:val="24"/>
          <w:szCs w:val="24"/>
        </w:rPr>
        <w:t xml:space="preserve"> </w:t>
      </w:r>
      <w:r w:rsidR="0064623E" w:rsidRPr="006E68B2">
        <w:rPr>
          <w:rFonts w:ascii="Arial" w:hAnsi="Arial" w:cs="Arial"/>
          <w:sz w:val="24"/>
          <w:szCs w:val="24"/>
        </w:rPr>
        <w:t xml:space="preserve">to </w:t>
      </w:r>
      <w:r w:rsidR="00CD3E87" w:rsidRPr="006E68B2">
        <w:rPr>
          <w:rFonts w:ascii="Arial" w:hAnsi="Arial" w:cs="Arial"/>
          <w:sz w:val="24"/>
          <w:szCs w:val="24"/>
        </w:rPr>
        <w:t>falls and</w:t>
      </w:r>
      <w:r w:rsidRPr="006E68B2">
        <w:rPr>
          <w:rFonts w:ascii="Arial" w:hAnsi="Arial" w:cs="Arial"/>
          <w:sz w:val="24"/>
          <w:szCs w:val="24"/>
        </w:rPr>
        <w:t xml:space="preserve"> </w:t>
      </w:r>
      <w:r w:rsidR="00CD3E87" w:rsidRPr="006E68B2">
        <w:rPr>
          <w:rFonts w:ascii="Arial" w:hAnsi="Arial" w:cs="Arial"/>
          <w:sz w:val="24"/>
          <w:szCs w:val="24"/>
        </w:rPr>
        <w:t>consequent</w:t>
      </w:r>
      <w:r w:rsidR="00613CB9" w:rsidRPr="006E68B2">
        <w:rPr>
          <w:rFonts w:ascii="Arial" w:hAnsi="Arial" w:cs="Arial"/>
          <w:sz w:val="24"/>
          <w:szCs w:val="24"/>
        </w:rPr>
        <w:t xml:space="preserve"> </w:t>
      </w:r>
      <w:r w:rsidRPr="006E68B2">
        <w:rPr>
          <w:rFonts w:ascii="Arial" w:hAnsi="Arial" w:cs="Arial"/>
          <w:sz w:val="24"/>
          <w:szCs w:val="24"/>
        </w:rPr>
        <w:t xml:space="preserve">hip fractures. </w:t>
      </w:r>
      <w:r w:rsidR="00C015B4" w:rsidRPr="006E68B2">
        <w:rPr>
          <w:rFonts w:ascii="Arial" w:hAnsi="Arial" w:cs="Arial"/>
          <w:sz w:val="24"/>
          <w:szCs w:val="24"/>
        </w:rPr>
        <w:t xml:space="preserve">We </w:t>
      </w:r>
      <w:r w:rsidR="007A4D2C" w:rsidRPr="006E68B2">
        <w:rPr>
          <w:rFonts w:ascii="Arial" w:hAnsi="Arial" w:cs="Arial"/>
          <w:sz w:val="24"/>
          <w:szCs w:val="24"/>
        </w:rPr>
        <w:t xml:space="preserve">examined the </w:t>
      </w:r>
      <w:r w:rsidR="005832AE" w:rsidRPr="006E68B2">
        <w:rPr>
          <w:rFonts w:ascii="Arial" w:hAnsi="Arial" w:cs="Arial"/>
          <w:sz w:val="24"/>
          <w:szCs w:val="24"/>
        </w:rPr>
        <w:t>impact of</w:t>
      </w:r>
      <w:r w:rsidR="007A4D2C" w:rsidRPr="006E68B2">
        <w:rPr>
          <w:rFonts w:ascii="Arial" w:hAnsi="Arial" w:cs="Arial"/>
          <w:sz w:val="24"/>
          <w:szCs w:val="24"/>
        </w:rPr>
        <w:t xml:space="preserve"> polypharmacy </w:t>
      </w:r>
      <w:r w:rsidR="00C015B4" w:rsidRPr="006E68B2">
        <w:rPr>
          <w:rFonts w:ascii="Arial" w:hAnsi="Arial" w:cs="Arial"/>
          <w:sz w:val="24"/>
          <w:szCs w:val="24"/>
        </w:rPr>
        <w:t>(≥4 drugs daily)</w:t>
      </w:r>
      <w:r w:rsidR="0064623E" w:rsidRPr="006E68B2">
        <w:rPr>
          <w:rFonts w:ascii="Arial" w:hAnsi="Arial" w:cs="Arial"/>
          <w:sz w:val="24"/>
          <w:szCs w:val="24"/>
        </w:rPr>
        <w:t>,</w:t>
      </w:r>
      <w:r w:rsidR="00562D35" w:rsidRPr="006E68B2">
        <w:rPr>
          <w:rFonts w:ascii="Arial" w:hAnsi="Arial" w:cs="Arial"/>
          <w:sz w:val="24"/>
          <w:szCs w:val="24"/>
        </w:rPr>
        <w:t xml:space="preserve"> </w:t>
      </w:r>
      <w:r w:rsidR="00AC7016" w:rsidRPr="006E68B2">
        <w:rPr>
          <w:rFonts w:ascii="Arial" w:hAnsi="Arial" w:cs="Arial"/>
          <w:sz w:val="24"/>
          <w:szCs w:val="24"/>
        </w:rPr>
        <w:t>including</w:t>
      </w:r>
      <w:r w:rsidR="0064623E" w:rsidRPr="006E68B2">
        <w:rPr>
          <w:rFonts w:ascii="Arial" w:hAnsi="Arial" w:cs="Arial"/>
          <w:sz w:val="24"/>
          <w:szCs w:val="24"/>
        </w:rPr>
        <w:t xml:space="preserve"> </w:t>
      </w:r>
      <w:r w:rsidR="00C015B4" w:rsidRPr="006E68B2">
        <w:rPr>
          <w:rFonts w:ascii="Arial" w:hAnsi="Arial" w:cs="Arial"/>
          <w:sz w:val="24"/>
          <w:szCs w:val="24"/>
        </w:rPr>
        <w:t>anticholinergic agents</w:t>
      </w:r>
      <w:r w:rsidR="0064623E" w:rsidRPr="006E68B2">
        <w:rPr>
          <w:rFonts w:ascii="Arial" w:hAnsi="Arial" w:cs="Arial"/>
          <w:sz w:val="24"/>
          <w:szCs w:val="24"/>
        </w:rPr>
        <w:t>,</w:t>
      </w:r>
      <w:r w:rsidR="00C015B4" w:rsidRPr="006E68B2">
        <w:rPr>
          <w:rFonts w:ascii="Arial" w:hAnsi="Arial" w:cs="Arial"/>
          <w:sz w:val="24"/>
          <w:szCs w:val="24"/>
        </w:rPr>
        <w:t xml:space="preserve"> </w:t>
      </w:r>
      <w:r w:rsidR="00562D35" w:rsidRPr="006E68B2">
        <w:rPr>
          <w:rFonts w:ascii="Arial" w:hAnsi="Arial" w:cs="Arial"/>
          <w:sz w:val="24"/>
          <w:szCs w:val="24"/>
        </w:rPr>
        <w:t>on hospital l</w:t>
      </w:r>
      <w:r w:rsidR="007A4D2C" w:rsidRPr="006E68B2">
        <w:rPr>
          <w:rFonts w:ascii="Arial" w:hAnsi="Arial" w:cs="Arial"/>
          <w:sz w:val="24"/>
          <w:szCs w:val="24"/>
        </w:rPr>
        <w:t>ength of stay (LOS)</w:t>
      </w:r>
      <w:r w:rsidR="00562D35" w:rsidRPr="006E68B2">
        <w:rPr>
          <w:rFonts w:ascii="Arial" w:hAnsi="Arial" w:cs="Arial"/>
          <w:sz w:val="24"/>
          <w:szCs w:val="24"/>
        </w:rPr>
        <w:t>, mobility within 1-day of hip surgery and pressure ulcers</w:t>
      </w:r>
      <w:r w:rsidR="005C1242" w:rsidRPr="006E68B2">
        <w:rPr>
          <w:rFonts w:ascii="Arial" w:hAnsi="Arial" w:cs="Arial"/>
          <w:sz w:val="24"/>
          <w:szCs w:val="24"/>
        </w:rPr>
        <w:t xml:space="preserve"> in</w:t>
      </w:r>
      <w:r w:rsidR="00613CB9" w:rsidRPr="006E68B2">
        <w:rPr>
          <w:rFonts w:ascii="Arial" w:hAnsi="Arial" w:cs="Arial"/>
          <w:sz w:val="24"/>
          <w:szCs w:val="24"/>
        </w:rPr>
        <w:t xml:space="preserve"> </w:t>
      </w:r>
      <w:r w:rsidR="007A4D2C" w:rsidRPr="006E68B2">
        <w:rPr>
          <w:rFonts w:ascii="Arial" w:hAnsi="Arial" w:cs="Arial"/>
          <w:sz w:val="24"/>
          <w:szCs w:val="24"/>
        </w:rPr>
        <w:t>adults ≥60yr admitted with hip fractures.</w:t>
      </w:r>
    </w:p>
    <w:p w14:paraId="65B29E95" w14:textId="222DB2E1" w:rsidR="007A4D2C" w:rsidRPr="006E68B2" w:rsidRDefault="007A4D2C" w:rsidP="00E042B9">
      <w:pPr>
        <w:spacing w:after="0" w:line="480" w:lineRule="auto"/>
        <w:jc w:val="both"/>
        <w:rPr>
          <w:rFonts w:ascii="Arial" w:hAnsi="Arial" w:cs="Arial"/>
          <w:b/>
          <w:bCs/>
          <w:sz w:val="24"/>
          <w:szCs w:val="24"/>
        </w:rPr>
      </w:pPr>
      <w:r w:rsidRPr="006E68B2">
        <w:rPr>
          <w:rFonts w:ascii="Arial" w:hAnsi="Arial" w:cs="Arial"/>
          <w:b/>
          <w:bCs/>
          <w:sz w:val="24"/>
          <w:szCs w:val="24"/>
        </w:rPr>
        <w:t>Methods:</w:t>
      </w:r>
      <w:r w:rsidR="00B2203C" w:rsidRPr="006E68B2">
        <w:rPr>
          <w:rFonts w:ascii="Arial" w:hAnsi="Arial" w:cs="Arial"/>
          <w:b/>
          <w:bCs/>
          <w:sz w:val="24"/>
          <w:szCs w:val="24"/>
        </w:rPr>
        <w:t xml:space="preserve"> </w:t>
      </w:r>
      <w:r w:rsidR="00B2203C" w:rsidRPr="006E68B2">
        <w:rPr>
          <w:rFonts w:ascii="Arial" w:hAnsi="Arial" w:cs="Arial"/>
          <w:sz w:val="24"/>
          <w:szCs w:val="24"/>
        </w:rPr>
        <w:t xml:space="preserve">In this </w:t>
      </w:r>
      <w:r w:rsidR="00B2203C" w:rsidRPr="006E68B2">
        <w:rPr>
          <w:rFonts w:ascii="Arial" w:hAnsi="Arial" w:cs="Arial"/>
          <w:sz w:val="24"/>
          <w:szCs w:val="24"/>
          <w:shd w:val="clear" w:color="auto" w:fill="FFFFFF"/>
        </w:rPr>
        <w:t>retrospective observational study,</w:t>
      </w:r>
      <w:r w:rsidRPr="006E68B2">
        <w:rPr>
          <w:rFonts w:ascii="Arial" w:hAnsi="Arial" w:cs="Arial"/>
          <w:b/>
          <w:bCs/>
          <w:sz w:val="24"/>
          <w:szCs w:val="24"/>
        </w:rPr>
        <w:t xml:space="preserve"> </w:t>
      </w:r>
      <w:r w:rsidR="00B2203C" w:rsidRPr="006E68B2">
        <w:rPr>
          <w:rFonts w:ascii="Arial" w:hAnsi="Arial" w:cs="Arial"/>
          <w:sz w:val="24"/>
          <w:szCs w:val="24"/>
        </w:rPr>
        <w:t xml:space="preserve">information </w:t>
      </w:r>
      <w:r w:rsidR="001F1AA9" w:rsidRPr="006E68B2">
        <w:rPr>
          <w:rFonts w:ascii="Arial" w:hAnsi="Arial" w:cs="Arial"/>
          <w:sz w:val="24"/>
          <w:szCs w:val="24"/>
        </w:rPr>
        <w:t xml:space="preserve">on medications at admission was obtained </w:t>
      </w:r>
      <w:r w:rsidR="0064623E" w:rsidRPr="006E68B2">
        <w:rPr>
          <w:rFonts w:ascii="Arial" w:hAnsi="Arial" w:cs="Arial"/>
          <w:sz w:val="24"/>
          <w:szCs w:val="24"/>
        </w:rPr>
        <w:t xml:space="preserve">to calculate </w:t>
      </w:r>
      <w:r w:rsidR="00CB5EBC" w:rsidRPr="006E68B2">
        <w:rPr>
          <w:rFonts w:ascii="Arial" w:hAnsi="Arial" w:cs="Arial"/>
          <w:sz w:val="24"/>
          <w:szCs w:val="24"/>
        </w:rPr>
        <w:t>the total number of drugs</w:t>
      </w:r>
      <w:r w:rsidR="00FD1871" w:rsidRPr="006E68B2">
        <w:rPr>
          <w:rFonts w:ascii="Arial" w:hAnsi="Arial" w:cs="Arial"/>
          <w:sz w:val="24"/>
          <w:szCs w:val="24"/>
        </w:rPr>
        <w:t xml:space="preserve"> taken</w:t>
      </w:r>
      <w:r w:rsidR="00CB5EBC" w:rsidRPr="006E68B2">
        <w:rPr>
          <w:rFonts w:ascii="Arial" w:hAnsi="Arial" w:cs="Arial"/>
          <w:sz w:val="24"/>
          <w:szCs w:val="24"/>
        </w:rPr>
        <w:t xml:space="preserve">, including </w:t>
      </w:r>
      <w:r w:rsidR="00FD1871" w:rsidRPr="006E68B2">
        <w:rPr>
          <w:rFonts w:ascii="Arial" w:hAnsi="Arial" w:cs="Arial"/>
          <w:sz w:val="24"/>
          <w:szCs w:val="24"/>
        </w:rPr>
        <w:t xml:space="preserve">those imposing an </w:t>
      </w:r>
      <w:r w:rsidR="0064623E" w:rsidRPr="006E68B2">
        <w:rPr>
          <w:rFonts w:ascii="Arial" w:hAnsi="Arial" w:cs="Arial"/>
          <w:sz w:val="24"/>
          <w:szCs w:val="24"/>
        </w:rPr>
        <w:t>anticholinergic burden</w:t>
      </w:r>
      <w:r w:rsidR="001F1AA9" w:rsidRPr="006E68B2">
        <w:rPr>
          <w:rFonts w:ascii="Arial" w:hAnsi="Arial" w:cs="Arial"/>
          <w:sz w:val="24"/>
          <w:szCs w:val="24"/>
        </w:rPr>
        <w:t xml:space="preserve"> </w:t>
      </w:r>
      <w:r w:rsidR="0064623E" w:rsidRPr="006E68B2">
        <w:rPr>
          <w:rFonts w:ascii="Arial" w:hAnsi="Arial" w:cs="Arial"/>
          <w:sz w:val="24"/>
          <w:szCs w:val="24"/>
        </w:rPr>
        <w:t>(</w:t>
      </w:r>
      <w:r w:rsidR="001F1AA9" w:rsidRPr="006E68B2">
        <w:rPr>
          <w:rFonts w:ascii="Arial" w:hAnsi="Arial" w:cs="Arial"/>
          <w:sz w:val="24"/>
          <w:szCs w:val="24"/>
        </w:rPr>
        <w:t>ACB</w:t>
      </w:r>
      <w:r w:rsidR="0064623E" w:rsidRPr="006E68B2">
        <w:rPr>
          <w:rFonts w:ascii="Arial" w:hAnsi="Arial" w:cs="Arial"/>
          <w:sz w:val="24"/>
          <w:szCs w:val="24"/>
        </w:rPr>
        <w:t>)</w:t>
      </w:r>
      <w:r w:rsidR="001F1AA9" w:rsidRPr="006E68B2">
        <w:rPr>
          <w:rFonts w:ascii="Arial" w:hAnsi="Arial" w:cs="Arial"/>
          <w:sz w:val="24"/>
          <w:szCs w:val="24"/>
        </w:rPr>
        <w:t xml:space="preserve">. </w:t>
      </w:r>
      <w:r w:rsidR="00CB5EBC" w:rsidRPr="006E68B2">
        <w:rPr>
          <w:rFonts w:ascii="Arial" w:hAnsi="Arial" w:cs="Arial"/>
          <w:sz w:val="24"/>
          <w:szCs w:val="24"/>
        </w:rPr>
        <w:t>A</w:t>
      </w:r>
      <w:r w:rsidR="005C1242" w:rsidRPr="006E68B2">
        <w:rPr>
          <w:rFonts w:ascii="Arial" w:hAnsi="Arial" w:cs="Arial"/>
          <w:sz w:val="24"/>
          <w:szCs w:val="24"/>
        </w:rPr>
        <w:t>ssociation</w:t>
      </w:r>
      <w:r w:rsidR="00562D35" w:rsidRPr="006E68B2">
        <w:rPr>
          <w:rFonts w:ascii="Arial" w:hAnsi="Arial" w:cs="Arial"/>
          <w:sz w:val="24"/>
          <w:szCs w:val="24"/>
        </w:rPr>
        <w:t>s</w:t>
      </w:r>
      <w:r w:rsidR="005C1242" w:rsidRPr="006E68B2">
        <w:rPr>
          <w:rFonts w:ascii="Arial" w:hAnsi="Arial" w:cs="Arial"/>
          <w:sz w:val="24"/>
          <w:szCs w:val="24"/>
        </w:rPr>
        <w:t xml:space="preserve"> </w:t>
      </w:r>
      <w:r w:rsidR="00562D35" w:rsidRPr="006E68B2">
        <w:rPr>
          <w:rFonts w:ascii="Arial" w:hAnsi="Arial" w:cs="Arial"/>
          <w:sz w:val="24"/>
          <w:szCs w:val="24"/>
        </w:rPr>
        <w:t>between</w:t>
      </w:r>
      <w:r w:rsidR="005C1242" w:rsidRPr="006E68B2">
        <w:rPr>
          <w:rFonts w:ascii="Arial" w:hAnsi="Arial" w:cs="Arial"/>
          <w:sz w:val="24"/>
          <w:szCs w:val="24"/>
        </w:rPr>
        <w:t xml:space="preserve"> </w:t>
      </w:r>
      <w:r w:rsidR="00562D35" w:rsidRPr="006E68B2">
        <w:rPr>
          <w:rFonts w:ascii="Arial" w:hAnsi="Arial" w:cs="Arial"/>
          <w:sz w:val="24"/>
          <w:szCs w:val="24"/>
        </w:rPr>
        <w:t xml:space="preserve">variables </w:t>
      </w:r>
      <w:r w:rsidR="0064623E" w:rsidRPr="006E68B2">
        <w:rPr>
          <w:rFonts w:ascii="Arial" w:hAnsi="Arial" w:cs="Arial"/>
          <w:sz w:val="24"/>
          <w:szCs w:val="24"/>
        </w:rPr>
        <w:t xml:space="preserve">were </w:t>
      </w:r>
      <w:r w:rsidR="005C1242" w:rsidRPr="006E68B2">
        <w:rPr>
          <w:rFonts w:ascii="Arial" w:hAnsi="Arial" w:cs="Arial"/>
          <w:sz w:val="24"/>
          <w:szCs w:val="24"/>
        </w:rPr>
        <w:t>examined by logistic regression</w:t>
      </w:r>
      <w:r w:rsidR="0064623E" w:rsidRPr="006E68B2">
        <w:rPr>
          <w:rFonts w:ascii="Arial" w:hAnsi="Arial" w:cs="Arial"/>
          <w:sz w:val="24"/>
          <w:szCs w:val="24"/>
        </w:rPr>
        <w:t xml:space="preserve">; </w:t>
      </w:r>
      <w:r w:rsidR="000C24A8" w:rsidRPr="006E68B2">
        <w:rPr>
          <w:rFonts w:ascii="Arial" w:hAnsi="Arial" w:cs="Arial"/>
          <w:sz w:val="24"/>
          <w:szCs w:val="24"/>
        </w:rPr>
        <w:t xml:space="preserve">adjusted for age, sex, </w:t>
      </w:r>
      <w:r w:rsidR="004A0639" w:rsidRPr="006E68B2">
        <w:rPr>
          <w:rFonts w:ascii="Arial" w:hAnsi="Arial" w:cs="Arial"/>
          <w:sz w:val="24"/>
          <w:szCs w:val="24"/>
          <w:lang w:val="en-US"/>
        </w:rPr>
        <w:t>co-morbidities</w:t>
      </w:r>
      <w:r w:rsidR="000D353A" w:rsidRPr="006E68B2">
        <w:rPr>
          <w:rFonts w:ascii="Arial" w:hAnsi="Arial" w:cs="Arial"/>
          <w:sz w:val="24"/>
          <w:szCs w:val="24"/>
          <w:lang w:val="en-US"/>
        </w:rPr>
        <w:t>, pre-fracture functional limitations</w:t>
      </w:r>
      <w:r w:rsidR="00023190" w:rsidRPr="006E68B2">
        <w:rPr>
          <w:rFonts w:ascii="Arial" w:hAnsi="Arial" w:cs="Arial"/>
          <w:sz w:val="24"/>
          <w:szCs w:val="24"/>
          <w:lang w:val="en-US"/>
        </w:rPr>
        <w:t xml:space="preserve"> and alcohol consumption</w:t>
      </w:r>
      <w:r w:rsidR="004B6B39" w:rsidRPr="006E68B2">
        <w:rPr>
          <w:rFonts w:ascii="Arial" w:hAnsi="Arial" w:cs="Arial"/>
          <w:sz w:val="24"/>
          <w:szCs w:val="24"/>
          <w:lang w:val="en-US"/>
        </w:rPr>
        <w:t>.</w:t>
      </w:r>
    </w:p>
    <w:p w14:paraId="1F900F6D" w14:textId="04328CC3" w:rsidR="00723695" w:rsidRPr="006E68B2" w:rsidRDefault="00723695" w:rsidP="00E042B9">
      <w:pPr>
        <w:spacing w:after="0" w:line="480" w:lineRule="auto"/>
        <w:jc w:val="both"/>
        <w:rPr>
          <w:rFonts w:ascii="Arial" w:hAnsi="Arial" w:cs="Arial"/>
          <w:sz w:val="24"/>
          <w:szCs w:val="24"/>
        </w:rPr>
      </w:pPr>
      <w:r w:rsidRPr="006E68B2">
        <w:rPr>
          <w:rFonts w:ascii="Arial" w:hAnsi="Arial" w:cs="Arial"/>
          <w:b/>
          <w:bCs/>
          <w:sz w:val="24"/>
          <w:szCs w:val="24"/>
        </w:rPr>
        <w:t xml:space="preserve">Results: </w:t>
      </w:r>
      <w:r w:rsidRPr="006E68B2">
        <w:rPr>
          <w:rFonts w:ascii="Arial" w:hAnsi="Arial" w:cs="Arial"/>
          <w:sz w:val="24"/>
          <w:szCs w:val="24"/>
        </w:rPr>
        <w:t>There were 787 women and 318 men of similar mean age (±SD): 83.1yr (±8.6) and 82.5yr (±9.0)</w:t>
      </w:r>
      <w:r w:rsidR="0064623E" w:rsidRPr="006E68B2">
        <w:rPr>
          <w:rFonts w:ascii="Arial" w:hAnsi="Arial" w:cs="Arial"/>
          <w:sz w:val="24"/>
          <w:szCs w:val="24"/>
        </w:rPr>
        <w:t>, respectively</w:t>
      </w:r>
      <w:r w:rsidRPr="006E68B2">
        <w:rPr>
          <w:rFonts w:ascii="Arial" w:hAnsi="Arial" w:cs="Arial"/>
          <w:sz w:val="24"/>
          <w:szCs w:val="24"/>
        </w:rPr>
        <w:t xml:space="preserve">. Compared to patients with an ACB score=0 and </w:t>
      </w:r>
      <w:r w:rsidR="00DF4711" w:rsidRPr="006E68B2">
        <w:rPr>
          <w:rFonts w:ascii="Arial" w:hAnsi="Arial" w:cs="Arial"/>
          <w:sz w:val="24"/>
          <w:szCs w:val="24"/>
        </w:rPr>
        <w:t>taking</w:t>
      </w:r>
      <w:r w:rsidRPr="006E68B2">
        <w:rPr>
          <w:rFonts w:ascii="Arial" w:hAnsi="Arial" w:cs="Arial"/>
          <w:sz w:val="24"/>
          <w:szCs w:val="24"/>
        </w:rPr>
        <w:t xml:space="preserve"> &lt;4 drugs </w:t>
      </w:r>
      <w:r w:rsidR="00DF4711" w:rsidRPr="006E68B2">
        <w:rPr>
          <w:rFonts w:ascii="Arial" w:hAnsi="Arial" w:cs="Arial"/>
          <w:sz w:val="24"/>
          <w:szCs w:val="24"/>
        </w:rPr>
        <w:t>daily</w:t>
      </w:r>
      <w:r w:rsidRPr="006E68B2">
        <w:rPr>
          <w:rFonts w:ascii="Arial" w:hAnsi="Arial" w:cs="Arial"/>
          <w:sz w:val="24"/>
          <w:szCs w:val="24"/>
        </w:rPr>
        <w:t xml:space="preserve">, those with an ACB score ≥1 </w:t>
      </w:r>
      <w:r w:rsidRPr="006E68B2">
        <w:rPr>
          <w:rFonts w:ascii="Arial" w:hAnsi="Arial" w:cs="Arial"/>
          <w:b/>
          <w:sz w:val="24"/>
          <w:szCs w:val="24"/>
          <w:u w:val="single"/>
        </w:rPr>
        <w:t>and</w:t>
      </w:r>
      <w:r w:rsidRPr="006E68B2">
        <w:rPr>
          <w:rFonts w:ascii="Arial" w:hAnsi="Arial" w:cs="Arial"/>
          <w:sz w:val="24"/>
          <w:szCs w:val="24"/>
        </w:rPr>
        <w:t xml:space="preserve"> </w:t>
      </w:r>
      <w:r w:rsidR="00DF4711" w:rsidRPr="006E68B2">
        <w:rPr>
          <w:rFonts w:ascii="Arial" w:hAnsi="Arial" w:cs="Arial"/>
          <w:sz w:val="24"/>
          <w:szCs w:val="24"/>
        </w:rPr>
        <w:t>taking</w:t>
      </w:r>
      <w:r w:rsidRPr="006E68B2">
        <w:rPr>
          <w:rFonts w:ascii="Arial" w:hAnsi="Arial" w:cs="Arial"/>
          <w:sz w:val="24"/>
          <w:szCs w:val="24"/>
        </w:rPr>
        <w:t xml:space="preserve"> ≥4 drugs daily </w:t>
      </w:r>
      <w:r w:rsidR="00DF4711" w:rsidRPr="006E68B2">
        <w:rPr>
          <w:rFonts w:ascii="Arial" w:hAnsi="Arial" w:cs="Arial"/>
          <w:sz w:val="24"/>
          <w:szCs w:val="24"/>
        </w:rPr>
        <w:t>had greater</w:t>
      </w:r>
      <w:r w:rsidRPr="006E68B2">
        <w:rPr>
          <w:rFonts w:ascii="Arial" w:hAnsi="Arial" w:cs="Arial"/>
          <w:sz w:val="24"/>
          <w:szCs w:val="24"/>
        </w:rPr>
        <w:t xml:space="preserve"> risk of </w:t>
      </w:r>
      <w:r w:rsidR="00DF4711" w:rsidRPr="006E68B2">
        <w:rPr>
          <w:rFonts w:ascii="Arial" w:hAnsi="Arial" w:cs="Arial"/>
          <w:sz w:val="24"/>
          <w:szCs w:val="24"/>
        </w:rPr>
        <w:t xml:space="preserve">prolonged </w:t>
      </w:r>
      <w:r w:rsidRPr="006E68B2">
        <w:rPr>
          <w:rFonts w:ascii="Arial" w:hAnsi="Arial" w:cs="Arial"/>
          <w:sz w:val="24"/>
          <w:szCs w:val="24"/>
        </w:rPr>
        <w:t xml:space="preserve">LOS </w:t>
      </w:r>
      <w:r w:rsidR="00DF4711" w:rsidRPr="006E68B2">
        <w:rPr>
          <w:rFonts w:ascii="Arial" w:hAnsi="Arial" w:cs="Arial"/>
          <w:sz w:val="24"/>
          <w:szCs w:val="24"/>
        </w:rPr>
        <w:t>(</w:t>
      </w:r>
      <w:r w:rsidRPr="006E68B2">
        <w:rPr>
          <w:rFonts w:ascii="Arial" w:hAnsi="Arial" w:cs="Arial"/>
          <w:sz w:val="24"/>
          <w:szCs w:val="24"/>
        </w:rPr>
        <w:t>≥2weeks</w:t>
      </w:r>
      <w:r w:rsidR="00DF4711" w:rsidRPr="006E68B2">
        <w:rPr>
          <w:rFonts w:ascii="Arial" w:hAnsi="Arial" w:cs="Arial"/>
          <w:sz w:val="24"/>
          <w:szCs w:val="24"/>
        </w:rPr>
        <w:t>)</w:t>
      </w:r>
      <w:r w:rsidR="0064623E" w:rsidRPr="006E68B2">
        <w:rPr>
          <w:rFonts w:ascii="Arial" w:hAnsi="Arial" w:cs="Arial"/>
          <w:sz w:val="24"/>
          <w:szCs w:val="24"/>
        </w:rPr>
        <w:t>,</w:t>
      </w:r>
      <w:r w:rsidRPr="006E68B2">
        <w:rPr>
          <w:rFonts w:ascii="Arial" w:hAnsi="Arial" w:cs="Arial"/>
          <w:sz w:val="24"/>
          <w:szCs w:val="24"/>
        </w:rPr>
        <w:t xml:space="preserve"> OR=1.8 (1.2-2.7)</w:t>
      </w:r>
      <w:r w:rsidR="0064623E" w:rsidRPr="006E68B2">
        <w:rPr>
          <w:rFonts w:ascii="Arial" w:hAnsi="Arial" w:cs="Arial"/>
          <w:sz w:val="24"/>
          <w:szCs w:val="24"/>
        </w:rPr>
        <w:t>;</w:t>
      </w:r>
      <w:r w:rsidRPr="006E68B2">
        <w:rPr>
          <w:rFonts w:ascii="Arial" w:hAnsi="Arial" w:cs="Arial"/>
          <w:sz w:val="24"/>
          <w:szCs w:val="24"/>
        </w:rPr>
        <w:t xml:space="preserve"> failure to mobilise within 1-day of surgery</w:t>
      </w:r>
      <w:r w:rsidR="0064623E" w:rsidRPr="006E68B2">
        <w:rPr>
          <w:rFonts w:ascii="Arial" w:hAnsi="Arial" w:cs="Arial"/>
          <w:sz w:val="24"/>
          <w:szCs w:val="24"/>
        </w:rPr>
        <w:t>,</w:t>
      </w:r>
      <w:r w:rsidRPr="006E68B2">
        <w:rPr>
          <w:rFonts w:ascii="Arial" w:hAnsi="Arial" w:cs="Arial"/>
          <w:sz w:val="24"/>
          <w:szCs w:val="24"/>
        </w:rPr>
        <w:t xml:space="preserve"> OR=1.9 (1.1-3.</w:t>
      </w:r>
      <w:r w:rsidR="00AD1099" w:rsidRPr="006E68B2">
        <w:rPr>
          <w:rFonts w:ascii="Arial" w:hAnsi="Arial" w:cs="Arial"/>
          <w:sz w:val="24"/>
          <w:szCs w:val="24"/>
        </w:rPr>
        <w:t>3</w:t>
      </w:r>
      <w:r w:rsidRPr="006E68B2">
        <w:rPr>
          <w:rFonts w:ascii="Arial" w:hAnsi="Arial" w:cs="Arial"/>
          <w:sz w:val="24"/>
          <w:szCs w:val="24"/>
        </w:rPr>
        <w:t>)</w:t>
      </w:r>
      <w:r w:rsidR="0064623E" w:rsidRPr="006E68B2">
        <w:rPr>
          <w:rFonts w:ascii="Arial" w:hAnsi="Arial" w:cs="Arial"/>
          <w:sz w:val="24"/>
          <w:szCs w:val="24"/>
        </w:rPr>
        <w:t>;</w:t>
      </w:r>
      <w:r w:rsidR="00BF6D13" w:rsidRPr="006E68B2">
        <w:rPr>
          <w:rFonts w:ascii="Arial" w:hAnsi="Arial" w:cs="Arial"/>
          <w:sz w:val="24"/>
          <w:szCs w:val="24"/>
        </w:rPr>
        <w:t xml:space="preserve"> and pressure ulcers</w:t>
      </w:r>
      <w:r w:rsidR="0064623E" w:rsidRPr="006E68B2">
        <w:rPr>
          <w:rFonts w:ascii="Arial" w:hAnsi="Arial" w:cs="Arial"/>
          <w:sz w:val="24"/>
          <w:szCs w:val="24"/>
        </w:rPr>
        <w:t>,</w:t>
      </w:r>
      <w:r w:rsidR="00BF6D13" w:rsidRPr="006E68B2">
        <w:rPr>
          <w:rFonts w:ascii="Arial" w:hAnsi="Arial" w:cs="Arial"/>
          <w:sz w:val="24"/>
          <w:szCs w:val="24"/>
        </w:rPr>
        <w:t xml:space="preserve"> OR = 3.0 (95%CI: 1.2-7.9)</w:t>
      </w:r>
      <w:r w:rsidRPr="006E68B2">
        <w:rPr>
          <w:rFonts w:ascii="Arial" w:hAnsi="Arial" w:cs="Arial"/>
          <w:sz w:val="24"/>
          <w:szCs w:val="24"/>
        </w:rPr>
        <w:t xml:space="preserve">. LOS was further prolonged by failure to mobilise </w:t>
      </w:r>
      <w:r w:rsidR="00DF4711" w:rsidRPr="006E68B2">
        <w:rPr>
          <w:rFonts w:ascii="Arial" w:hAnsi="Arial" w:cs="Arial"/>
          <w:sz w:val="24"/>
          <w:szCs w:val="24"/>
        </w:rPr>
        <w:t>within 1-day of surgery</w:t>
      </w:r>
      <w:r w:rsidRPr="006E68B2">
        <w:rPr>
          <w:rFonts w:ascii="Arial" w:hAnsi="Arial" w:cs="Arial"/>
          <w:sz w:val="24"/>
          <w:szCs w:val="24"/>
        </w:rPr>
        <w:t xml:space="preserve"> and</w:t>
      </w:r>
      <w:r w:rsidR="0064623E" w:rsidRPr="006E68B2">
        <w:rPr>
          <w:rFonts w:ascii="Arial" w:hAnsi="Arial" w:cs="Arial"/>
          <w:sz w:val="24"/>
          <w:szCs w:val="24"/>
        </w:rPr>
        <w:t>/or</w:t>
      </w:r>
      <w:r w:rsidRPr="006E68B2">
        <w:rPr>
          <w:rFonts w:ascii="Arial" w:hAnsi="Arial" w:cs="Arial"/>
          <w:sz w:val="24"/>
          <w:szCs w:val="24"/>
        </w:rPr>
        <w:t xml:space="preserve"> pressure ulcers. Those with either</w:t>
      </w:r>
      <w:r w:rsidR="0064623E" w:rsidRPr="006E68B2">
        <w:rPr>
          <w:rFonts w:ascii="Arial" w:hAnsi="Arial" w:cs="Arial"/>
          <w:sz w:val="24"/>
          <w:szCs w:val="24"/>
        </w:rPr>
        <w:t xml:space="preserve"> an</w:t>
      </w:r>
      <w:r w:rsidRPr="006E68B2">
        <w:rPr>
          <w:rFonts w:ascii="Arial" w:hAnsi="Arial" w:cs="Arial"/>
          <w:sz w:val="24"/>
          <w:szCs w:val="24"/>
        </w:rPr>
        <w:t xml:space="preserve"> ACB score ≥1 </w:t>
      </w:r>
      <w:r w:rsidRPr="006E68B2">
        <w:rPr>
          <w:rFonts w:ascii="Arial" w:hAnsi="Arial" w:cs="Arial"/>
          <w:b/>
          <w:sz w:val="24"/>
          <w:szCs w:val="24"/>
          <w:u w:val="single"/>
        </w:rPr>
        <w:t>or</w:t>
      </w:r>
      <w:r w:rsidRPr="006E68B2">
        <w:rPr>
          <w:rFonts w:ascii="Arial" w:hAnsi="Arial" w:cs="Arial"/>
          <w:sz w:val="24"/>
          <w:szCs w:val="24"/>
        </w:rPr>
        <w:t xml:space="preserve"> </w:t>
      </w:r>
      <w:r w:rsidR="0064623E" w:rsidRPr="006E68B2">
        <w:rPr>
          <w:rFonts w:ascii="Arial" w:hAnsi="Arial" w:cs="Arial"/>
          <w:sz w:val="24"/>
          <w:szCs w:val="24"/>
        </w:rPr>
        <w:t xml:space="preserve">the </w:t>
      </w:r>
      <w:r w:rsidRPr="006E68B2">
        <w:rPr>
          <w:rFonts w:ascii="Arial" w:hAnsi="Arial" w:cs="Arial"/>
          <w:sz w:val="24"/>
          <w:szCs w:val="24"/>
        </w:rPr>
        <w:t>use of ≥4 drugs daily had intermediate risk</w:t>
      </w:r>
      <w:r w:rsidR="0064623E" w:rsidRPr="006E68B2">
        <w:rPr>
          <w:rFonts w:ascii="Arial" w:hAnsi="Arial" w:cs="Arial"/>
          <w:sz w:val="24"/>
          <w:szCs w:val="24"/>
        </w:rPr>
        <w:t>s</w:t>
      </w:r>
      <w:r w:rsidRPr="006E68B2">
        <w:rPr>
          <w:rFonts w:ascii="Arial" w:hAnsi="Arial" w:cs="Arial"/>
          <w:sz w:val="24"/>
          <w:szCs w:val="24"/>
        </w:rPr>
        <w:t>.</w:t>
      </w:r>
    </w:p>
    <w:p w14:paraId="5A892129" w14:textId="4D62CDE2" w:rsidR="00312887" w:rsidRPr="006E68B2" w:rsidRDefault="00FB2EE7" w:rsidP="00E042B9">
      <w:pPr>
        <w:spacing w:after="0" w:line="480" w:lineRule="auto"/>
        <w:jc w:val="both"/>
        <w:rPr>
          <w:rFonts w:ascii="Arial" w:hAnsi="Arial" w:cs="Arial"/>
          <w:sz w:val="24"/>
          <w:szCs w:val="24"/>
        </w:rPr>
      </w:pPr>
      <w:r w:rsidRPr="006E68B2">
        <w:rPr>
          <w:rFonts w:ascii="Arial" w:hAnsi="Arial" w:cs="Arial"/>
          <w:b/>
          <w:bCs/>
          <w:sz w:val="24"/>
          <w:szCs w:val="24"/>
        </w:rPr>
        <w:t>Conclusions:</w:t>
      </w:r>
      <w:r w:rsidRPr="006E68B2">
        <w:rPr>
          <w:rFonts w:ascii="Arial" w:hAnsi="Arial" w:cs="Arial"/>
          <w:sz w:val="24"/>
          <w:szCs w:val="24"/>
        </w:rPr>
        <w:t xml:space="preserve"> </w:t>
      </w:r>
      <w:r w:rsidR="00F80BE9" w:rsidRPr="006E68B2">
        <w:rPr>
          <w:rFonts w:ascii="Arial" w:hAnsi="Arial" w:cs="Arial"/>
          <w:sz w:val="24"/>
          <w:szCs w:val="24"/>
        </w:rPr>
        <w:t>A</w:t>
      </w:r>
      <w:r w:rsidR="00514186" w:rsidRPr="006E68B2">
        <w:rPr>
          <w:rFonts w:ascii="Arial" w:hAnsi="Arial" w:cs="Arial"/>
          <w:sz w:val="24"/>
          <w:szCs w:val="24"/>
        </w:rPr>
        <w:t xml:space="preserve">nticholinergic agents and polypharmacy </w:t>
      </w:r>
      <w:r w:rsidR="0064623E" w:rsidRPr="006E68B2">
        <w:rPr>
          <w:rFonts w:ascii="Arial" w:hAnsi="Arial" w:cs="Arial"/>
          <w:sz w:val="24"/>
          <w:szCs w:val="24"/>
        </w:rPr>
        <w:t xml:space="preserve">in patients with hip fractures </w:t>
      </w:r>
      <w:r w:rsidR="00514186" w:rsidRPr="006E68B2">
        <w:rPr>
          <w:rFonts w:ascii="Arial" w:hAnsi="Arial" w:cs="Arial"/>
          <w:sz w:val="24"/>
          <w:szCs w:val="24"/>
        </w:rPr>
        <w:t xml:space="preserve">are associated with longer LOS in hospital, further accentuated by failure to mobilise within 1-day after surgery and pressure ulcers. </w:t>
      </w:r>
      <w:r w:rsidR="0064623E" w:rsidRPr="006E68B2">
        <w:rPr>
          <w:rFonts w:ascii="Arial" w:hAnsi="Arial" w:cs="Arial"/>
          <w:bCs/>
          <w:sz w:val="24"/>
          <w:szCs w:val="24"/>
        </w:rPr>
        <w:t>This</w:t>
      </w:r>
      <w:r w:rsidR="00514186" w:rsidRPr="006E68B2">
        <w:rPr>
          <w:rFonts w:ascii="Arial" w:hAnsi="Arial" w:cs="Arial"/>
          <w:bCs/>
          <w:sz w:val="24"/>
          <w:szCs w:val="24"/>
        </w:rPr>
        <w:t xml:space="preserve"> study </w:t>
      </w:r>
      <w:r w:rsidR="0064623E" w:rsidRPr="006E68B2">
        <w:rPr>
          <w:rFonts w:ascii="Arial" w:hAnsi="Arial" w:cs="Arial"/>
          <w:bCs/>
          <w:sz w:val="24"/>
          <w:szCs w:val="24"/>
        </w:rPr>
        <w:t xml:space="preserve">provides </w:t>
      </w:r>
      <w:r w:rsidR="00514186" w:rsidRPr="006E68B2">
        <w:rPr>
          <w:rFonts w:ascii="Arial" w:hAnsi="Arial" w:cs="Arial"/>
          <w:bCs/>
          <w:sz w:val="24"/>
          <w:szCs w:val="24"/>
        </w:rPr>
        <w:t>further evidence of the impact of polypharmacy</w:t>
      </w:r>
      <w:r w:rsidR="00CB5EBC" w:rsidRPr="006E68B2">
        <w:rPr>
          <w:rFonts w:ascii="Arial" w:hAnsi="Arial" w:cs="Arial"/>
          <w:bCs/>
          <w:sz w:val="24"/>
          <w:szCs w:val="24"/>
        </w:rPr>
        <w:t xml:space="preserve">, including </w:t>
      </w:r>
      <w:r w:rsidR="003A7E26" w:rsidRPr="006E68B2">
        <w:rPr>
          <w:rFonts w:ascii="Arial" w:hAnsi="Arial" w:cs="Arial"/>
          <w:bCs/>
          <w:sz w:val="24"/>
          <w:szCs w:val="24"/>
        </w:rPr>
        <w:t>those with an ACB</w:t>
      </w:r>
      <w:r w:rsidR="00CB5EBC" w:rsidRPr="006E68B2">
        <w:rPr>
          <w:rFonts w:ascii="Arial" w:hAnsi="Arial" w:cs="Arial"/>
          <w:bCs/>
          <w:sz w:val="24"/>
          <w:szCs w:val="24"/>
        </w:rPr>
        <w:t>,</w:t>
      </w:r>
      <w:r w:rsidR="00514186" w:rsidRPr="006E68B2">
        <w:rPr>
          <w:rFonts w:ascii="Arial" w:hAnsi="Arial" w:cs="Arial"/>
          <w:bCs/>
          <w:sz w:val="24"/>
          <w:szCs w:val="24"/>
        </w:rPr>
        <w:t xml:space="preserve"> on adverse health outcomes and </w:t>
      </w:r>
      <w:r w:rsidR="0064623E" w:rsidRPr="006E68B2">
        <w:rPr>
          <w:rFonts w:ascii="Arial" w:hAnsi="Arial" w:cs="Arial"/>
          <w:bCs/>
          <w:sz w:val="24"/>
          <w:szCs w:val="24"/>
        </w:rPr>
        <w:t xml:space="preserve">lends </w:t>
      </w:r>
      <w:r w:rsidR="00514186" w:rsidRPr="006E68B2">
        <w:rPr>
          <w:rFonts w:ascii="Arial" w:hAnsi="Arial" w:cs="Arial"/>
          <w:bCs/>
          <w:sz w:val="24"/>
          <w:szCs w:val="24"/>
        </w:rPr>
        <w:t xml:space="preserve">support </w:t>
      </w:r>
      <w:r w:rsidR="0064623E" w:rsidRPr="006E68B2">
        <w:rPr>
          <w:rFonts w:ascii="Arial" w:hAnsi="Arial" w:cs="Arial"/>
          <w:bCs/>
          <w:sz w:val="24"/>
          <w:szCs w:val="24"/>
        </w:rPr>
        <w:t>to reduce</w:t>
      </w:r>
      <w:r w:rsidR="00514186" w:rsidRPr="006E68B2">
        <w:rPr>
          <w:rFonts w:ascii="Arial" w:hAnsi="Arial" w:cs="Arial"/>
          <w:bCs/>
          <w:sz w:val="24"/>
          <w:szCs w:val="24"/>
        </w:rPr>
        <w:t xml:space="preserve"> </w:t>
      </w:r>
      <w:r w:rsidR="00514186" w:rsidRPr="006E68B2">
        <w:rPr>
          <w:rFonts w:ascii="Arial" w:hAnsi="Arial" w:cs="Arial"/>
          <w:sz w:val="24"/>
          <w:szCs w:val="24"/>
        </w:rPr>
        <w:t>potentially inappropriate prescribing</w:t>
      </w:r>
      <w:r w:rsidR="00514186" w:rsidRPr="006E68B2">
        <w:rPr>
          <w:rFonts w:ascii="Arial" w:hAnsi="Arial" w:cs="Arial"/>
          <w:bCs/>
          <w:sz w:val="24"/>
          <w:szCs w:val="24"/>
        </w:rPr>
        <w:t>.</w:t>
      </w:r>
      <w:r w:rsidR="00312887" w:rsidRPr="006E68B2">
        <w:rPr>
          <w:rFonts w:ascii="Arial" w:hAnsi="Arial" w:cs="Arial"/>
          <w:sz w:val="24"/>
          <w:szCs w:val="24"/>
        </w:rPr>
        <w:br w:type="page"/>
      </w:r>
    </w:p>
    <w:p w14:paraId="50C7AC38" w14:textId="77777777" w:rsidR="00341F97" w:rsidRPr="006E68B2" w:rsidRDefault="00341F97" w:rsidP="00E042B9">
      <w:pPr>
        <w:spacing w:after="0" w:line="480" w:lineRule="auto"/>
        <w:rPr>
          <w:rFonts w:ascii="Arial" w:hAnsi="Arial" w:cs="Arial"/>
          <w:b/>
          <w:sz w:val="24"/>
          <w:szCs w:val="24"/>
        </w:rPr>
      </w:pPr>
      <w:r w:rsidRPr="006E68B2">
        <w:rPr>
          <w:rFonts w:ascii="Arial" w:hAnsi="Arial" w:cs="Arial"/>
          <w:b/>
          <w:sz w:val="24"/>
          <w:szCs w:val="24"/>
        </w:rPr>
        <w:lastRenderedPageBreak/>
        <w:t>KEY POINTS</w:t>
      </w:r>
    </w:p>
    <w:p w14:paraId="2F128014" w14:textId="7BCD5129" w:rsidR="00341F97" w:rsidRPr="006E68B2" w:rsidRDefault="00341F97" w:rsidP="00DD66CA">
      <w:pPr>
        <w:pStyle w:val="ListParagraph"/>
        <w:numPr>
          <w:ilvl w:val="0"/>
          <w:numId w:val="16"/>
        </w:numPr>
        <w:spacing w:after="0" w:line="480" w:lineRule="auto"/>
        <w:ind w:left="426" w:hanging="426"/>
        <w:jc w:val="both"/>
        <w:rPr>
          <w:rFonts w:ascii="Arial" w:hAnsi="Arial" w:cs="Arial"/>
          <w:sz w:val="24"/>
          <w:szCs w:val="24"/>
        </w:rPr>
      </w:pPr>
      <w:r w:rsidRPr="006E68B2">
        <w:rPr>
          <w:rFonts w:ascii="Arial" w:hAnsi="Arial" w:cs="Arial"/>
          <w:sz w:val="24"/>
          <w:szCs w:val="24"/>
        </w:rPr>
        <w:t>Age-associated multimorbidity and polypharmacy</w:t>
      </w:r>
      <w:r w:rsidR="00620014" w:rsidRPr="006E68B2">
        <w:rPr>
          <w:rFonts w:ascii="Arial" w:hAnsi="Arial" w:cs="Arial"/>
          <w:sz w:val="24"/>
          <w:szCs w:val="24"/>
        </w:rPr>
        <w:t>/</w:t>
      </w:r>
      <w:r w:rsidRPr="006E68B2">
        <w:rPr>
          <w:rFonts w:ascii="Arial" w:hAnsi="Arial" w:cs="Arial"/>
          <w:sz w:val="24"/>
          <w:szCs w:val="24"/>
        </w:rPr>
        <w:t>anticholinergic</w:t>
      </w:r>
      <w:r w:rsidR="00620014" w:rsidRPr="006E68B2">
        <w:rPr>
          <w:rFonts w:ascii="Arial" w:hAnsi="Arial" w:cs="Arial"/>
          <w:sz w:val="24"/>
          <w:szCs w:val="24"/>
        </w:rPr>
        <w:t xml:space="preserve">s </w:t>
      </w:r>
      <w:r w:rsidRPr="006E68B2">
        <w:rPr>
          <w:rFonts w:ascii="Arial" w:hAnsi="Arial" w:cs="Arial"/>
          <w:sz w:val="24"/>
          <w:szCs w:val="24"/>
        </w:rPr>
        <w:t xml:space="preserve">predispose individuals </w:t>
      </w:r>
      <w:r w:rsidR="00CB5EBC" w:rsidRPr="006E68B2">
        <w:rPr>
          <w:rFonts w:ascii="Arial" w:hAnsi="Arial" w:cs="Arial"/>
          <w:sz w:val="24"/>
          <w:szCs w:val="24"/>
        </w:rPr>
        <w:t xml:space="preserve">to </w:t>
      </w:r>
      <w:r w:rsidRPr="006E68B2">
        <w:rPr>
          <w:rFonts w:ascii="Arial" w:hAnsi="Arial" w:cs="Arial"/>
          <w:sz w:val="24"/>
          <w:szCs w:val="24"/>
        </w:rPr>
        <w:t>falls and consequent hip fractures.</w:t>
      </w:r>
    </w:p>
    <w:p w14:paraId="73B2EAEE" w14:textId="27C7EA2E" w:rsidR="00620014" w:rsidRPr="006E68B2" w:rsidRDefault="00341F97" w:rsidP="00DD66CA">
      <w:pPr>
        <w:pStyle w:val="ListParagraph"/>
        <w:numPr>
          <w:ilvl w:val="0"/>
          <w:numId w:val="16"/>
        </w:numPr>
        <w:spacing w:after="0" w:line="480" w:lineRule="auto"/>
        <w:ind w:left="426" w:hanging="426"/>
        <w:jc w:val="both"/>
        <w:rPr>
          <w:rFonts w:ascii="Arial" w:hAnsi="Arial" w:cs="Arial"/>
          <w:sz w:val="24"/>
          <w:szCs w:val="24"/>
        </w:rPr>
      </w:pPr>
      <w:r w:rsidRPr="006E68B2">
        <w:rPr>
          <w:rFonts w:ascii="Arial" w:hAnsi="Arial" w:cs="Arial"/>
          <w:sz w:val="24"/>
          <w:szCs w:val="24"/>
        </w:rPr>
        <w:t xml:space="preserve">Patients </w:t>
      </w:r>
      <w:r w:rsidR="005E6FC2" w:rsidRPr="006E68B2">
        <w:rPr>
          <w:rFonts w:ascii="Arial" w:hAnsi="Arial" w:cs="Arial"/>
          <w:sz w:val="24"/>
          <w:szCs w:val="24"/>
        </w:rPr>
        <w:t>receiving</w:t>
      </w:r>
      <w:r w:rsidRPr="006E68B2">
        <w:rPr>
          <w:rFonts w:ascii="Arial" w:hAnsi="Arial" w:cs="Arial"/>
          <w:sz w:val="24"/>
          <w:szCs w:val="24"/>
        </w:rPr>
        <w:t xml:space="preserve"> polypharmacy</w:t>
      </w:r>
      <w:r w:rsidR="00CB5EBC" w:rsidRPr="006E68B2">
        <w:rPr>
          <w:rFonts w:ascii="Arial" w:hAnsi="Arial" w:cs="Arial"/>
          <w:sz w:val="24"/>
          <w:szCs w:val="24"/>
        </w:rPr>
        <w:t>,</w:t>
      </w:r>
      <w:r w:rsidRPr="006E68B2">
        <w:rPr>
          <w:rFonts w:ascii="Arial" w:hAnsi="Arial" w:cs="Arial"/>
          <w:sz w:val="24"/>
          <w:szCs w:val="24"/>
        </w:rPr>
        <w:t xml:space="preserve"> </w:t>
      </w:r>
      <w:r w:rsidR="00CB5EBC" w:rsidRPr="006E68B2">
        <w:rPr>
          <w:rFonts w:ascii="Arial" w:hAnsi="Arial" w:cs="Arial"/>
          <w:sz w:val="24"/>
          <w:szCs w:val="24"/>
        </w:rPr>
        <w:t xml:space="preserve">including an </w:t>
      </w:r>
      <w:r w:rsidRPr="006E68B2">
        <w:rPr>
          <w:rFonts w:ascii="Arial" w:hAnsi="Arial" w:cs="Arial"/>
          <w:sz w:val="24"/>
          <w:szCs w:val="24"/>
        </w:rPr>
        <w:t>anticholinergic burden score of ≥1</w:t>
      </w:r>
      <w:r w:rsidR="00CB5EBC" w:rsidRPr="006E68B2">
        <w:rPr>
          <w:rFonts w:ascii="Arial" w:hAnsi="Arial" w:cs="Arial"/>
          <w:sz w:val="24"/>
          <w:szCs w:val="24"/>
        </w:rPr>
        <w:t>,</w:t>
      </w:r>
      <w:r w:rsidRPr="006E68B2">
        <w:rPr>
          <w:rFonts w:ascii="Arial" w:hAnsi="Arial" w:cs="Arial"/>
          <w:sz w:val="24"/>
          <w:szCs w:val="24"/>
        </w:rPr>
        <w:t xml:space="preserve"> had </w:t>
      </w:r>
      <w:r w:rsidR="00CB5EBC" w:rsidRPr="006E68B2">
        <w:rPr>
          <w:rFonts w:ascii="Arial" w:hAnsi="Arial" w:cs="Arial"/>
          <w:sz w:val="24"/>
          <w:szCs w:val="24"/>
        </w:rPr>
        <w:t xml:space="preserve">a </w:t>
      </w:r>
      <w:r w:rsidRPr="006E68B2">
        <w:rPr>
          <w:rFonts w:ascii="Arial" w:hAnsi="Arial" w:cs="Arial"/>
          <w:sz w:val="24"/>
          <w:szCs w:val="24"/>
        </w:rPr>
        <w:t>longer stay in hospital</w:t>
      </w:r>
      <w:r w:rsidR="00620014" w:rsidRPr="006E68B2">
        <w:rPr>
          <w:rFonts w:ascii="Arial" w:hAnsi="Arial" w:cs="Arial"/>
          <w:sz w:val="24"/>
          <w:szCs w:val="24"/>
        </w:rPr>
        <w:t>.</w:t>
      </w:r>
    </w:p>
    <w:p w14:paraId="0071890D" w14:textId="58BB0E3F" w:rsidR="00AF2914" w:rsidRPr="006E68B2" w:rsidRDefault="00433020" w:rsidP="00622C48">
      <w:pPr>
        <w:pStyle w:val="ListParagraph"/>
        <w:numPr>
          <w:ilvl w:val="0"/>
          <w:numId w:val="16"/>
        </w:numPr>
        <w:spacing w:after="0" w:line="480" w:lineRule="auto"/>
        <w:ind w:left="426" w:hanging="426"/>
        <w:jc w:val="both"/>
        <w:rPr>
          <w:rFonts w:ascii="Arial" w:hAnsi="Arial" w:cs="Arial"/>
          <w:b/>
          <w:sz w:val="24"/>
          <w:szCs w:val="24"/>
        </w:rPr>
      </w:pPr>
      <w:r w:rsidRPr="006E68B2">
        <w:rPr>
          <w:rFonts w:ascii="Arial" w:hAnsi="Arial" w:cs="Arial"/>
          <w:sz w:val="24"/>
          <w:szCs w:val="24"/>
        </w:rPr>
        <w:t xml:space="preserve">Patients </w:t>
      </w:r>
      <w:r w:rsidR="00620014" w:rsidRPr="006E68B2">
        <w:rPr>
          <w:rFonts w:ascii="Arial" w:hAnsi="Arial" w:cs="Arial"/>
          <w:sz w:val="24"/>
          <w:szCs w:val="24"/>
        </w:rPr>
        <w:t>also had</w:t>
      </w:r>
      <w:r w:rsidR="007D216B" w:rsidRPr="006E68B2">
        <w:rPr>
          <w:rFonts w:ascii="Arial" w:hAnsi="Arial" w:cs="Arial"/>
          <w:sz w:val="24"/>
          <w:szCs w:val="24"/>
        </w:rPr>
        <w:t xml:space="preserve"> </w:t>
      </w:r>
      <w:r w:rsidR="00CB5EBC" w:rsidRPr="006E68B2">
        <w:rPr>
          <w:rFonts w:ascii="Arial" w:hAnsi="Arial" w:cs="Arial"/>
          <w:sz w:val="24"/>
          <w:szCs w:val="24"/>
        </w:rPr>
        <w:t xml:space="preserve">a </w:t>
      </w:r>
      <w:r w:rsidR="007D216B" w:rsidRPr="006E68B2">
        <w:rPr>
          <w:rFonts w:ascii="Arial" w:hAnsi="Arial" w:cs="Arial"/>
          <w:sz w:val="24"/>
          <w:szCs w:val="24"/>
        </w:rPr>
        <w:t xml:space="preserve">reduced ability </w:t>
      </w:r>
      <w:r w:rsidR="00341F97" w:rsidRPr="006E68B2">
        <w:rPr>
          <w:rFonts w:ascii="Arial" w:hAnsi="Arial" w:cs="Arial"/>
          <w:sz w:val="24"/>
          <w:szCs w:val="24"/>
        </w:rPr>
        <w:t>to mobilise within 1-day of surgery and</w:t>
      </w:r>
      <w:r w:rsidRPr="006E68B2">
        <w:rPr>
          <w:rFonts w:ascii="Arial" w:hAnsi="Arial" w:cs="Arial"/>
          <w:sz w:val="24"/>
          <w:szCs w:val="24"/>
        </w:rPr>
        <w:t xml:space="preserve"> a</w:t>
      </w:r>
      <w:r w:rsidR="00356574" w:rsidRPr="006E68B2">
        <w:rPr>
          <w:rFonts w:ascii="Arial" w:hAnsi="Arial" w:cs="Arial"/>
          <w:sz w:val="24"/>
          <w:szCs w:val="24"/>
        </w:rPr>
        <w:t xml:space="preserve"> </w:t>
      </w:r>
      <w:r w:rsidRPr="006E68B2">
        <w:rPr>
          <w:rFonts w:ascii="Arial" w:hAnsi="Arial" w:cs="Arial"/>
          <w:sz w:val="24"/>
          <w:szCs w:val="24"/>
        </w:rPr>
        <w:t>greater</w:t>
      </w:r>
      <w:r w:rsidR="00356574" w:rsidRPr="006E68B2">
        <w:rPr>
          <w:rFonts w:ascii="Arial" w:hAnsi="Arial" w:cs="Arial"/>
          <w:sz w:val="24"/>
          <w:szCs w:val="24"/>
        </w:rPr>
        <w:t xml:space="preserve"> risk</w:t>
      </w:r>
      <w:r w:rsidR="00341F97" w:rsidRPr="006E68B2">
        <w:rPr>
          <w:rFonts w:ascii="Arial" w:hAnsi="Arial" w:cs="Arial"/>
          <w:sz w:val="24"/>
          <w:szCs w:val="24"/>
        </w:rPr>
        <w:t xml:space="preserve"> </w:t>
      </w:r>
      <w:r w:rsidR="007D216B" w:rsidRPr="006E68B2">
        <w:rPr>
          <w:rFonts w:ascii="Arial" w:hAnsi="Arial" w:cs="Arial"/>
          <w:sz w:val="24"/>
          <w:szCs w:val="24"/>
        </w:rPr>
        <w:t xml:space="preserve">of </w:t>
      </w:r>
      <w:r w:rsidRPr="006E68B2">
        <w:rPr>
          <w:rFonts w:ascii="Arial" w:hAnsi="Arial" w:cs="Arial"/>
          <w:sz w:val="24"/>
          <w:szCs w:val="24"/>
        </w:rPr>
        <w:t xml:space="preserve">developing </w:t>
      </w:r>
      <w:r w:rsidR="00341F97" w:rsidRPr="006E68B2">
        <w:rPr>
          <w:rFonts w:ascii="Arial" w:hAnsi="Arial" w:cs="Arial"/>
          <w:sz w:val="24"/>
          <w:szCs w:val="24"/>
        </w:rPr>
        <w:t>pressure ulcer</w:t>
      </w:r>
      <w:r w:rsidRPr="006E68B2">
        <w:rPr>
          <w:rFonts w:ascii="Arial" w:hAnsi="Arial" w:cs="Arial"/>
          <w:sz w:val="24"/>
          <w:szCs w:val="24"/>
        </w:rPr>
        <w:t>s</w:t>
      </w:r>
      <w:r w:rsidR="007D216B" w:rsidRPr="006E68B2">
        <w:rPr>
          <w:rFonts w:ascii="Arial" w:hAnsi="Arial" w:cs="Arial"/>
          <w:sz w:val="24"/>
          <w:szCs w:val="24"/>
        </w:rPr>
        <w:t>.</w:t>
      </w:r>
      <w:r w:rsidR="00AF2914" w:rsidRPr="006E68B2">
        <w:rPr>
          <w:rFonts w:ascii="Arial" w:hAnsi="Arial" w:cs="Arial"/>
          <w:b/>
          <w:sz w:val="24"/>
          <w:szCs w:val="24"/>
        </w:rPr>
        <w:br w:type="page"/>
      </w:r>
    </w:p>
    <w:p w14:paraId="708C91AF" w14:textId="1CC303B2" w:rsidR="00312887" w:rsidRPr="006E68B2" w:rsidRDefault="00312887" w:rsidP="00E042B9">
      <w:pPr>
        <w:spacing w:after="0" w:line="480" w:lineRule="auto"/>
        <w:jc w:val="both"/>
        <w:rPr>
          <w:rFonts w:ascii="Arial" w:hAnsi="Arial" w:cs="Arial"/>
          <w:sz w:val="24"/>
          <w:szCs w:val="24"/>
        </w:rPr>
      </w:pPr>
      <w:r w:rsidRPr="006E68B2">
        <w:rPr>
          <w:rFonts w:ascii="Arial" w:hAnsi="Arial" w:cs="Arial"/>
          <w:b/>
          <w:sz w:val="24"/>
          <w:szCs w:val="24"/>
        </w:rPr>
        <w:lastRenderedPageBreak/>
        <w:t>INTRODUCTION</w:t>
      </w:r>
    </w:p>
    <w:p w14:paraId="154E2772" w14:textId="385E2EFC" w:rsidR="00350907" w:rsidRPr="006E68B2" w:rsidRDefault="00F3532B" w:rsidP="00E042B9">
      <w:pPr>
        <w:spacing w:after="0" w:line="480" w:lineRule="auto"/>
        <w:jc w:val="both"/>
        <w:rPr>
          <w:rFonts w:ascii="Arial" w:hAnsi="Arial" w:cs="Arial"/>
          <w:sz w:val="24"/>
          <w:szCs w:val="24"/>
        </w:rPr>
      </w:pPr>
      <w:r w:rsidRPr="006E68B2">
        <w:rPr>
          <w:rFonts w:ascii="Arial" w:hAnsi="Arial" w:cs="Arial"/>
          <w:sz w:val="24"/>
          <w:szCs w:val="24"/>
        </w:rPr>
        <w:t>T</w:t>
      </w:r>
      <w:r w:rsidR="00D104DC" w:rsidRPr="006E68B2">
        <w:rPr>
          <w:rFonts w:ascii="Arial" w:hAnsi="Arial" w:cs="Arial"/>
          <w:sz w:val="24"/>
          <w:szCs w:val="24"/>
        </w:rPr>
        <w:t xml:space="preserve">here are </w:t>
      </w:r>
      <w:r w:rsidRPr="006E68B2">
        <w:rPr>
          <w:rFonts w:ascii="Arial" w:hAnsi="Arial" w:cs="Arial"/>
          <w:sz w:val="24"/>
          <w:szCs w:val="24"/>
        </w:rPr>
        <w:t xml:space="preserve">currently </w:t>
      </w:r>
      <w:r w:rsidR="009041B1" w:rsidRPr="006E68B2">
        <w:rPr>
          <w:rFonts w:ascii="Arial" w:hAnsi="Arial" w:cs="Arial"/>
          <w:sz w:val="24"/>
          <w:szCs w:val="24"/>
        </w:rPr>
        <w:t xml:space="preserve">many more people </w:t>
      </w:r>
      <w:r w:rsidR="00C1055B" w:rsidRPr="006E68B2">
        <w:rPr>
          <w:rFonts w:ascii="Arial" w:hAnsi="Arial" w:cs="Arial"/>
          <w:sz w:val="24"/>
          <w:szCs w:val="24"/>
        </w:rPr>
        <w:t xml:space="preserve">in the </w:t>
      </w:r>
      <w:r w:rsidR="009D56B2" w:rsidRPr="006E68B2">
        <w:rPr>
          <w:rFonts w:ascii="Arial" w:hAnsi="Arial" w:cs="Arial"/>
          <w:sz w:val="24"/>
          <w:szCs w:val="24"/>
        </w:rPr>
        <w:t xml:space="preserve">world living </w:t>
      </w:r>
      <w:r w:rsidR="009041B1" w:rsidRPr="006E68B2">
        <w:rPr>
          <w:rFonts w:ascii="Arial" w:hAnsi="Arial" w:cs="Arial"/>
          <w:sz w:val="24"/>
          <w:szCs w:val="24"/>
        </w:rPr>
        <w:t xml:space="preserve">to </w:t>
      </w:r>
      <w:r w:rsidR="009D56B2" w:rsidRPr="006E68B2">
        <w:rPr>
          <w:rFonts w:ascii="Arial" w:hAnsi="Arial" w:cs="Arial"/>
          <w:sz w:val="24"/>
          <w:szCs w:val="24"/>
        </w:rPr>
        <w:t xml:space="preserve">an </w:t>
      </w:r>
      <w:r w:rsidR="009041B1" w:rsidRPr="006E68B2">
        <w:rPr>
          <w:rFonts w:ascii="Arial" w:hAnsi="Arial" w:cs="Arial"/>
          <w:sz w:val="24"/>
          <w:szCs w:val="24"/>
        </w:rPr>
        <w:t>older age than ever [</w:t>
      </w:r>
      <w:bookmarkStart w:id="0" w:name="_Hlk125215897"/>
      <w:r w:rsidR="0085573D" w:rsidRPr="006E68B2">
        <w:rPr>
          <w:rFonts w:ascii="Arial" w:hAnsi="Arial" w:cs="Arial"/>
          <w:b/>
          <w:bCs/>
          <w:sz w:val="24"/>
          <w:szCs w:val="24"/>
        </w:rPr>
        <w:t>1</w:t>
      </w:r>
      <w:r w:rsidR="009041B1" w:rsidRPr="006E68B2">
        <w:rPr>
          <w:rFonts w:ascii="Arial" w:hAnsi="Arial" w:cs="Arial"/>
          <w:sz w:val="24"/>
          <w:szCs w:val="24"/>
        </w:rPr>
        <w:t>]</w:t>
      </w:r>
      <w:bookmarkEnd w:id="0"/>
      <w:r w:rsidR="009D56B2" w:rsidRPr="006E68B2">
        <w:rPr>
          <w:rFonts w:ascii="Arial" w:hAnsi="Arial" w:cs="Arial"/>
          <w:sz w:val="24"/>
          <w:szCs w:val="24"/>
        </w:rPr>
        <w:t xml:space="preserve"> and a</w:t>
      </w:r>
      <w:r w:rsidR="009041B1" w:rsidRPr="006E68B2">
        <w:rPr>
          <w:rFonts w:ascii="Arial" w:hAnsi="Arial" w:cs="Arial"/>
          <w:sz w:val="24"/>
          <w:szCs w:val="24"/>
        </w:rPr>
        <w:t>geing is associated with multimorbidity and polypharmacy</w:t>
      </w:r>
      <w:r w:rsidR="00C1055B" w:rsidRPr="006E68B2">
        <w:rPr>
          <w:rFonts w:ascii="Arial" w:hAnsi="Arial" w:cs="Arial"/>
          <w:sz w:val="24"/>
          <w:szCs w:val="24"/>
        </w:rPr>
        <w:t xml:space="preserve"> </w:t>
      </w:r>
      <w:r w:rsidR="009041B1" w:rsidRPr="006E68B2">
        <w:rPr>
          <w:rFonts w:ascii="Arial" w:hAnsi="Arial" w:cs="Arial"/>
          <w:sz w:val="24"/>
          <w:szCs w:val="24"/>
        </w:rPr>
        <w:t>[</w:t>
      </w:r>
      <w:bookmarkStart w:id="1" w:name="_Hlk125215973"/>
      <w:r w:rsidR="0085573D" w:rsidRPr="006E68B2">
        <w:rPr>
          <w:rFonts w:ascii="Arial" w:hAnsi="Arial" w:cs="Arial"/>
          <w:b/>
          <w:bCs/>
          <w:sz w:val="24"/>
          <w:szCs w:val="24"/>
        </w:rPr>
        <w:t>2, 3</w:t>
      </w:r>
      <w:r w:rsidR="0085573D" w:rsidRPr="006E68B2">
        <w:rPr>
          <w:rFonts w:ascii="Arial" w:hAnsi="Arial" w:cs="Arial"/>
          <w:sz w:val="24"/>
          <w:szCs w:val="24"/>
        </w:rPr>
        <w:t>]</w:t>
      </w:r>
      <w:bookmarkEnd w:id="1"/>
      <w:r w:rsidR="009041B1" w:rsidRPr="006E68B2">
        <w:rPr>
          <w:rFonts w:ascii="Arial" w:hAnsi="Arial" w:cs="Arial"/>
          <w:sz w:val="24"/>
          <w:szCs w:val="24"/>
        </w:rPr>
        <w:t xml:space="preserve">. </w:t>
      </w:r>
      <w:r w:rsidRPr="006E68B2">
        <w:rPr>
          <w:rFonts w:ascii="Arial" w:hAnsi="Arial" w:cs="Arial"/>
          <w:sz w:val="24"/>
          <w:szCs w:val="24"/>
        </w:rPr>
        <w:t>Age-related frailty and chronic</w:t>
      </w:r>
      <w:r w:rsidR="0040378F" w:rsidRPr="006E68B2">
        <w:rPr>
          <w:rFonts w:ascii="Arial" w:hAnsi="Arial" w:cs="Arial"/>
          <w:sz w:val="24"/>
          <w:szCs w:val="24"/>
        </w:rPr>
        <w:t xml:space="preserve"> </w:t>
      </w:r>
      <w:r w:rsidR="009D56B2" w:rsidRPr="006E68B2">
        <w:rPr>
          <w:rFonts w:ascii="Arial" w:hAnsi="Arial" w:cs="Arial"/>
          <w:sz w:val="24"/>
          <w:szCs w:val="24"/>
        </w:rPr>
        <w:t>ill-</w:t>
      </w:r>
      <w:r w:rsidRPr="006E68B2">
        <w:rPr>
          <w:rFonts w:ascii="Arial" w:hAnsi="Arial" w:cs="Arial"/>
          <w:sz w:val="24"/>
          <w:szCs w:val="24"/>
        </w:rPr>
        <w:t xml:space="preserve">health, as well as </w:t>
      </w:r>
      <w:r w:rsidR="0040378F" w:rsidRPr="006E68B2">
        <w:rPr>
          <w:rFonts w:ascii="Arial" w:hAnsi="Arial" w:cs="Arial"/>
          <w:sz w:val="24"/>
          <w:szCs w:val="24"/>
        </w:rPr>
        <w:t xml:space="preserve">too many </w:t>
      </w:r>
      <w:r w:rsidRPr="006E68B2">
        <w:rPr>
          <w:rFonts w:ascii="Arial" w:hAnsi="Arial" w:cs="Arial"/>
          <w:sz w:val="24"/>
          <w:szCs w:val="24"/>
        </w:rPr>
        <w:t>drugs</w:t>
      </w:r>
      <w:r w:rsidR="0040378F" w:rsidRPr="006E68B2">
        <w:rPr>
          <w:rFonts w:ascii="Arial" w:hAnsi="Arial" w:cs="Arial"/>
          <w:sz w:val="24"/>
          <w:szCs w:val="24"/>
        </w:rPr>
        <w:t>, particularly anticholinergic agents,</w:t>
      </w:r>
      <w:r w:rsidR="009041B1" w:rsidRPr="006E68B2">
        <w:rPr>
          <w:rFonts w:ascii="Arial" w:hAnsi="Arial" w:cs="Arial"/>
          <w:sz w:val="24"/>
          <w:szCs w:val="24"/>
        </w:rPr>
        <w:t xml:space="preserve"> predispose individuals</w:t>
      </w:r>
      <w:r w:rsidRPr="006E68B2">
        <w:rPr>
          <w:rFonts w:ascii="Arial" w:hAnsi="Arial" w:cs="Arial"/>
          <w:sz w:val="24"/>
          <w:szCs w:val="24"/>
        </w:rPr>
        <w:t xml:space="preserve"> </w:t>
      </w:r>
      <w:r w:rsidR="009041B1" w:rsidRPr="006E68B2">
        <w:rPr>
          <w:rFonts w:ascii="Arial" w:hAnsi="Arial" w:cs="Arial"/>
          <w:sz w:val="24"/>
          <w:szCs w:val="24"/>
        </w:rPr>
        <w:t xml:space="preserve">to </w:t>
      </w:r>
      <w:r w:rsidR="0011602D" w:rsidRPr="006E68B2">
        <w:rPr>
          <w:rFonts w:ascii="Arial" w:hAnsi="Arial" w:cs="Arial"/>
          <w:sz w:val="24"/>
          <w:szCs w:val="24"/>
        </w:rPr>
        <w:t>frequent falls</w:t>
      </w:r>
      <w:r w:rsidRPr="006E68B2">
        <w:rPr>
          <w:rFonts w:ascii="Arial" w:hAnsi="Arial" w:cs="Arial"/>
          <w:sz w:val="24"/>
          <w:szCs w:val="24"/>
        </w:rPr>
        <w:t xml:space="preserve"> that result</w:t>
      </w:r>
      <w:r w:rsidR="0011602D" w:rsidRPr="006E68B2">
        <w:rPr>
          <w:rFonts w:ascii="Arial" w:hAnsi="Arial" w:cs="Arial"/>
          <w:sz w:val="24"/>
          <w:szCs w:val="24"/>
        </w:rPr>
        <w:t xml:space="preserve"> </w:t>
      </w:r>
      <w:r w:rsidR="009D56B2" w:rsidRPr="006E68B2">
        <w:rPr>
          <w:rFonts w:ascii="Arial" w:hAnsi="Arial" w:cs="Arial"/>
          <w:sz w:val="24"/>
          <w:szCs w:val="24"/>
        </w:rPr>
        <w:t>in</w:t>
      </w:r>
      <w:r w:rsidR="0011602D" w:rsidRPr="006E68B2">
        <w:rPr>
          <w:rFonts w:ascii="Arial" w:hAnsi="Arial" w:cs="Arial"/>
          <w:sz w:val="24"/>
          <w:szCs w:val="24"/>
        </w:rPr>
        <w:t xml:space="preserve"> injuries</w:t>
      </w:r>
      <w:r w:rsidR="009D56B2" w:rsidRPr="006E68B2">
        <w:rPr>
          <w:rFonts w:ascii="Arial" w:hAnsi="Arial" w:cs="Arial"/>
          <w:sz w:val="24"/>
          <w:szCs w:val="24"/>
        </w:rPr>
        <w:t>,</w:t>
      </w:r>
      <w:r w:rsidR="0011602D" w:rsidRPr="006E68B2">
        <w:rPr>
          <w:rFonts w:ascii="Arial" w:hAnsi="Arial" w:cs="Arial"/>
          <w:sz w:val="24"/>
          <w:szCs w:val="24"/>
        </w:rPr>
        <w:t xml:space="preserve"> including bone</w:t>
      </w:r>
      <w:r w:rsidR="009041B1" w:rsidRPr="006E68B2">
        <w:rPr>
          <w:rFonts w:ascii="Arial" w:hAnsi="Arial" w:cs="Arial"/>
          <w:sz w:val="24"/>
          <w:szCs w:val="24"/>
        </w:rPr>
        <w:t xml:space="preserve"> fractures</w:t>
      </w:r>
      <w:r w:rsidR="001D0BB3" w:rsidRPr="006E68B2">
        <w:rPr>
          <w:rFonts w:ascii="Arial" w:hAnsi="Arial" w:cs="Arial"/>
          <w:sz w:val="24"/>
          <w:szCs w:val="24"/>
        </w:rPr>
        <w:t>.</w:t>
      </w:r>
      <w:r w:rsidR="0093141C" w:rsidRPr="006E68B2">
        <w:rPr>
          <w:rFonts w:ascii="Arial" w:hAnsi="Arial" w:cs="Arial"/>
          <w:sz w:val="24"/>
          <w:szCs w:val="24"/>
        </w:rPr>
        <w:t xml:space="preserve"> </w:t>
      </w:r>
      <w:proofErr w:type="gramStart"/>
      <w:r w:rsidR="009D56B2" w:rsidRPr="006E68B2">
        <w:rPr>
          <w:rFonts w:ascii="Arial" w:hAnsi="Arial" w:cs="Arial"/>
          <w:sz w:val="24"/>
          <w:szCs w:val="24"/>
        </w:rPr>
        <w:t xml:space="preserve">The majority </w:t>
      </w:r>
      <w:r w:rsidR="002B1C5C" w:rsidRPr="006E68B2">
        <w:rPr>
          <w:rFonts w:ascii="Arial" w:hAnsi="Arial" w:cs="Arial"/>
          <w:sz w:val="24"/>
          <w:szCs w:val="24"/>
        </w:rPr>
        <w:t>of</w:t>
      </w:r>
      <w:proofErr w:type="gramEnd"/>
      <w:r w:rsidR="002B1C5C" w:rsidRPr="006E68B2">
        <w:rPr>
          <w:rFonts w:ascii="Arial" w:hAnsi="Arial" w:cs="Arial"/>
          <w:sz w:val="24"/>
          <w:szCs w:val="24"/>
        </w:rPr>
        <w:t xml:space="preserve"> h</w:t>
      </w:r>
      <w:r w:rsidR="001D0BB3" w:rsidRPr="006E68B2">
        <w:rPr>
          <w:rFonts w:ascii="Arial" w:hAnsi="Arial" w:cs="Arial"/>
          <w:sz w:val="24"/>
          <w:szCs w:val="24"/>
        </w:rPr>
        <w:t>ip fractures</w:t>
      </w:r>
      <w:r w:rsidR="00D4548E" w:rsidRPr="006E68B2">
        <w:rPr>
          <w:rFonts w:ascii="Arial" w:hAnsi="Arial" w:cs="Arial"/>
          <w:sz w:val="24"/>
          <w:szCs w:val="24"/>
        </w:rPr>
        <w:t xml:space="preserve"> </w:t>
      </w:r>
      <w:r w:rsidR="002B1C5C" w:rsidRPr="006E68B2">
        <w:rPr>
          <w:rFonts w:ascii="Arial" w:hAnsi="Arial" w:cs="Arial"/>
          <w:sz w:val="24"/>
          <w:szCs w:val="24"/>
        </w:rPr>
        <w:t>in older adults occur as a result of a fall</w:t>
      </w:r>
      <w:r w:rsidR="009D56B2" w:rsidRPr="006E68B2">
        <w:rPr>
          <w:rFonts w:ascii="Arial" w:hAnsi="Arial" w:cs="Arial"/>
          <w:sz w:val="24"/>
          <w:szCs w:val="24"/>
        </w:rPr>
        <w:t xml:space="preserve"> and</w:t>
      </w:r>
      <w:r w:rsidR="002B1C5C" w:rsidRPr="006E68B2">
        <w:rPr>
          <w:rFonts w:ascii="Arial" w:hAnsi="Arial" w:cs="Arial"/>
          <w:sz w:val="24"/>
          <w:szCs w:val="24"/>
        </w:rPr>
        <w:t xml:space="preserve"> </w:t>
      </w:r>
      <w:r w:rsidR="001D0BB3" w:rsidRPr="006E68B2">
        <w:rPr>
          <w:rFonts w:ascii="Arial" w:hAnsi="Arial" w:cs="Arial"/>
          <w:sz w:val="24"/>
          <w:szCs w:val="24"/>
        </w:rPr>
        <w:t xml:space="preserve">are </w:t>
      </w:r>
      <w:r w:rsidR="009D56B2" w:rsidRPr="006E68B2">
        <w:rPr>
          <w:rFonts w:ascii="Arial" w:hAnsi="Arial" w:cs="Arial"/>
          <w:sz w:val="24"/>
          <w:szCs w:val="24"/>
        </w:rPr>
        <w:t xml:space="preserve">one of </w:t>
      </w:r>
      <w:r w:rsidR="001D0BB3" w:rsidRPr="006E68B2">
        <w:rPr>
          <w:rFonts w:ascii="Arial" w:hAnsi="Arial" w:cs="Arial"/>
          <w:sz w:val="24"/>
          <w:szCs w:val="24"/>
        </w:rPr>
        <w:t>the highest cause</w:t>
      </w:r>
      <w:r w:rsidR="009D56B2" w:rsidRPr="006E68B2">
        <w:rPr>
          <w:rFonts w:ascii="Arial" w:hAnsi="Arial" w:cs="Arial"/>
          <w:sz w:val="24"/>
          <w:szCs w:val="24"/>
        </w:rPr>
        <w:t>s</w:t>
      </w:r>
      <w:r w:rsidR="001D0BB3" w:rsidRPr="006E68B2">
        <w:rPr>
          <w:rFonts w:ascii="Arial" w:hAnsi="Arial" w:cs="Arial"/>
          <w:sz w:val="24"/>
          <w:szCs w:val="24"/>
        </w:rPr>
        <w:t xml:space="preserve"> </w:t>
      </w:r>
      <w:r w:rsidR="009D56B2" w:rsidRPr="006E68B2">
        <w:rPr>
          <w:rFonts w:ascii="Arial" w:hAnsi="Arial" w:cs="Arial"/>
          <w:sz w:val="24"/>
          <w:szCs w:val="24"/>
        </w:rPr>
        <w:t xml:space="preserve">of </w:t>
      </w:r>
      <w:r w:rsidR="007245F3" w:rsidRPr="006E68B2">
        <w:rPr>
          <w:rFonts w:ascii="Arial" w:hAnsi="Arial" w:cs="Arial"/>
          <w:sz w:val="24"/>
          <w:szCs w:val="24"/>
        </w:rPr>
        <w:t xml:space="preserve">all </w:t>
      </w:r>
      <w:r w:rsidR="009041B1" w:rsidRPr="006E68B2">
        <w:rPr>
          <w:rFonts w:ascii="Arial" w:hAnsi="Arial" w:cs="Arial"/>
          <w:sz w:val="24"/>
          <w:szCs w:val="24"/>
        </w:rPr>
        <w:t>hospital</w:t>
      </w:r>
      <w:r w:rsidR="001D0BB3" w:rsidRPr="006E68B2">
        <w:rPr>
          <w:rFonts w:ascii="Arial" w:hAnsi="Arial" w:cs="Arial"/>
          <w:sz w:val="24"/>
          <w:szCs w:val="24"/>
        </w:rPr>
        <w:t xml:space="preserve"> admission</w:t>
      </w:r>
      <w:r w:rsidR="007245F3" w:rsidRPr="006E68B2">
        <w:rPr>
          <w:rFonts w:ascii="Arial" w:hAnsi="Arial" w:cs="Arial"/>
          <w:sz w:val="24"/>
          <w:szCs w:val="24"/>
        </w:rPr>
        <w:t>s</w:t>
      </w:r>
      <w:r w:rsidR="009D56B2" w:rsidRPr="006E68B2">
        <w:rPr>
          <w:rFonts w:ascii="Arial" w:hAnsi="Arial" w:cs="Arial"/>
          <w:sz w:val="24"/>
          <w:szCs w:val="24"/>
        </w:rPr>
        <w:t>,</w:t>
      </w:r>
      <w:r w:rsidR="002B1C5C" w:rsidRPr="006E68B2">
        <w:rPr>
          <w:rFonts w:ascii="Arial" w:hAnsi="Arial" w:cs="Arial"/>
          <w:sz w:val="24"/>
          <w:szCs w:val="24"/>
        </w:rPr>
        <w:t xml:space="preserve"> </w:t>
      </w:r>
      <w:r w:rsidR="00865E41" w:rsidRPr="006E68B2">
        <w:rPr>
          <w:rFonts w:ascii="Arial" w:hAnsi="Arial" w:cs="Arial"/>
          <w:sz w:val="24"/>
          <w:szCs w:val="24"/>
        </w:rPr>
        <w:t>incurring a huge cost to patients</w:t>
      </w:r>
      <w:r w:rsidR="00BD10BE" w:rsidRPr="006E68B2">
        <w:rPr>
          <w:rFonts w:ascii="Arial" w:hAnsi="Arial" w:cs="Arial"/>
          <w:sz w:val="24"/>
          <w:szCs w:val="24"/>
        </w:rPr>
        <w:t xml:space="preserve"> </w:t>
      </w:r>
      <w:r w:rsidR="002B1C5C" w:rsidRPr="006E68B2">
        <w:rPr>
          <w:rFonts w:ascii="Arial" w:hAnsi="Arial" w:cs="Arial"/>
          <w:sz w:val="24"/>
          <w:szCs w:val="24"/>
        </w:rPr>
        <w:t>and</w:t>
      </w:r>
      <w:r w:rsidR="00865E41" w:rsidRPr="006E68B2">
        <w:rPr>
          <w:rFonts w:ascii="Arial" w:hAnsi="Arial" w:cs="Arial"/>
          <w:sz w:val="24"/>
          <w:szCs w:val="24"/>
        </w:rPr>
        <w:t xml:space="preserve"> healthcare services [</w:t>
      </w:r>
      <w:r w:rsidR="0085573D" w:rsidRPr="006E68B2">
        <w:rPr>
          <w:rFonts w:ascii="Arial" w:hAnsi="Arial" w:cs="Arial"/>
          <w:b/>
          <w:bCs/>
          <w:sz w:val="24"/>
          <w:szCs w:val="24"/>
        </w:rPr>
        <w:t xml:space="preserve">3, </w:t>
      </w:r>
      <w:bookmarkStart w:id="2" w:name="_Hlk125216029"/>
      <w:r w:rsidR="0085573D" w:rsidRPr="006E68B2">
        <w:rPr>
          <w:rFonts w:ascii="Arial" w:hAnsi="Arial" w:cs="Arial"/>
          <w:b/>
          <w:bCs/>
          <w:sz w:val="24"/>
          <w:szCs w:val="24"/>
        </w:rPr>
        <w:t>4</w:t>
      </w:r>
      <w:r w:rsidR="0085573D" w:rsidRPr="006E68B2">
        <w:rPr>
          <w:rFonts w:ascii="Arial" w:hAnsi="Arial" w:cs="Arial"/>
          <w:sz w:val="24"/>
          <w:szCs w:val="24"/>
        </w:rPr>
        <w:t>]</w:t>
      </w:r>
      <w:bookmarkEnd w:id="2"/>
      <w:r w:rsidR="00865E41" w:rsidRPr="006E68B2">
        <w:rPr>
          <w:rFonts w:ascii="Arial" w:hAnsi="Arial" w:cs="Arial"/>
          <w:sz w:val="24"/>
          <w:szCs w:val="24"/>
        </w:rPr>
        <w:t>.</w:t>
      </w:r>
      <w:r w:rsidR="008B371C" w:rsidRPr="006E68B2">
        <w:rPr>
          <w:rFonts w:ascii="Arial" w:hAnsi="Arial" w:cs="Arial"/>
          <w:sz w:val="24"/>
          <w:szCs w:val="24"/>
        </w:rPr>
        <w:t xml:space="preserve"> </w:t>
      </w:r>
      <w:r w:rsidR="00350907" w:rsidRPr="006E68B2">
        <w:rPr>
          <w:rFonts w:ascii="Arial" w:hAnsi="Arial" w:cs="Arial"/>
          <w:sz w:val="24"/>
          <w:szCs w:val="24"/>
        </w:rPr>
        <w:t xml:space="preserve">The total cost of hip fractures to health and social services is approximately £1 billion each year </w:t>
      </w:r>
      <w:r w:rsidR="00762B5F" w:rsidRPr="006E68B2">
        <w:rPr>
          <w:rFonts w:ascii="Arial" w:hAnsi="Arial" w:cs="Arial"/>
          <w:sz w:val="24"/>
          <w:szCs w:val="24"/>
        </w:rPr>
        <w:t xml:space="preserve">in the UK </w:t>
      </w:r>
      <w:r w:rsidR="00350907" w:rsidRPr="006E68B2">
        <w:rPr>
          <w:rFonts w:ascii="Arial" w:hAnsi="Arial" w:cs="Arial"/>
          <w:sz w:val="24"/>
          <w:szCs w:val="24"/>
        </w:rPr>
        <w:t>[</w:t>
      </w:r>
      <w:r w:rsidR="00034CF3" w:rsidRPr="006E68B2">
        <w:rPr>
          <w:rFonts w:ascii="Arial" w:hAnsi="Arial" w:cs="Arial"/>
          <w:b/>
          <w:bCs/>
          <w:sz w:val="24"/>
          <w:szCs w:val="24"/>
        </w:rPr>
        <w:t>5</w:t>
      </w:r>
      <w:r w:rsidR="0085573D" w:rsidRPr="006E68B2">
        <w:rPr>
          <w:rFonts w:ascii="Arial" w:hAnsi="Arial" w:cs="Arial"/>
          <w:sz w:val="24"/>
          <w:szCs w:val="24"/>
        </w:rPr>
        <w:t>]</w:t>
      </w:r>
      <w:r w:rsidR="00350907" w:rsidRPr="006E68B2">
        <w:rPr>
          <w:rFonts w:ascii="Arial" w:hAnsi="Arial" w:cs="Arial"/>
          <w:sz w:val="24"/>
          <w:szCs w:val="24"/>
        </w:rPr>
        <w:t>, which is about 1% of the entire N</w:t>
      </w:r>
      <w:r w:rsidR="00762B5F" w:rsidRPr="006E68B2">
        <w:rPr>
          <w:rFonts w:ascii="Arial" w:hAnsi="Arial" w:cs="Arial"/>
          <w:sz w:val="24"/>
          <w:szCs w:val="24"/>
        </w:rPr>
        <w:t xml:space="preserve">ational </w:t>
      </w:r>
      <w:r w:rsidR="00350907" w:rsidRPr="006E68B2">
        <w:rPr>
          <w:rFonts w:ascii="Arial" w:hAnsi="Arial" w:cs="Arial"/>
          <w:sz w:val="24"/>
          <w:szCs w:val="24"/>
        </w:rPr>
        <w:t>H</w:t>
      </w:r>
      <w:r w:rsidR="00762B5F" w:rsidRPr="006E68B2">
        <w:rPr>
          <w:rFonts w:ascii="Arial" w:hAnsi="Arial" w:cs="Arial"/>
          <w:sz w:val="24"/>
          <w:szCs w:val="24"/>
        </w:rPr>
        <w:t xml:space="preserve">ealth </w:t>
      </w:r>
      <w:r w:rsidR="00350907" w:rsidRPr="006E68B2">
        <w:rPr>
          <w:rFonts w:ascii="Arial" w:hAnsi="Arial" w:cs="Arial"/>
          <w:sz w:val="24"/>
          <w:szCs w:val="24"/>
        </w:rPr>
        <w:t>S</w:t>
      </w:r>
      <w:r w:rsidR="00762B5F" w:rsidRPr="006E68B2">
        <w:rPr>
          <w:rFonts w:ascii="Arial" w:hAnsi="Arial" w:cs="Arial"/>
          <w:sz w:val="24"/>
          <w:szCs w:val="24"/>
        </w:rPr>
        <w:t>ervice</w:t>
      </w:r>
      <w:r w:rsidR="00350907" w:rsidRPr="006E68B2">
        <w:rPr>
          <w:rFonts w:ascii="Arial" w:hAnsi="Arial" w:cs="Arial"/>
          <w:sz w:val="24"/>
          <w:szCs w:val="24"/>
        </w:rPr>
        <w:t xml:space="preserve"> budget. The largest share of the cost </w:t>
      </w:r>
      <w:r w:rsidR="007D216B" w:rsidRPr="006E68B2">
        <w:rPr>
          <w:rFonts w:ascii="Arial" w:hAnsi="Arial" w:cs="Arial"/>
          <w:sz w:val="24"/>
          <w:szCs w:val="24"/>
        </w:rPr>
        <w:t xml:space="preserve">arises </w:t>
      </w:r>
      <w:r w:rsidR="00350907" w:rsidRPr="006E68B2">
        <w:rPr>
          <w:rFonts w:ascii="Arial" w:hAnsi="Arial" w:cs="Arial"/>
          <w:sz w:val="24"/>
          <w:szCs w:val="24"/>
        </w:rPr>
        <w:t>from the length of stay (LOS) in hospital [</w:t>
      </w:r>
      <w:r w:rsidR="00034CF3" w:rsidRPr="006E68B2">
        <w:rPr>
          <w:rFonts w:ascii="Arial" w:hAnsi="Arial" w:cs="Arial"/>
          <w:b/>
          <w:bCs/>
          <w:sz w:val="24"/>
          <w:szCs w:val="24"/>
        </w:rPr>
        <w:t>6</w:t>
      </w:r>
      <w:r w:rsidR="00644D1E" w:rsidRPr="006E68B2">
        <w:rPr>
          <w:rFonts w:ascii="Arial" w:hAnsi="Arial" w:cs="Arial"/>
          <w:sz w:val="24"/>
          <w:szCs w:val="24"/>
        </w:rPr>
        <w:t>]</w:t>
      </w:r>
      <w:r w:rsidR="00350907" w:rsidRPr="006E68B2">
        <w:rPr>
          <w:rFonts w:ascii="Arial" w:hAnsi="Arial" w:cs="Arial"/>
          <w:sz w:val="24"/>
          <w:szCs w:val="24"/>
        </w:rPr>
        <w:t xml:space="preserve">. At any one time, 3,600 </w:t>
      </w:r>
      <w:r w:rsidR="00A81004" w:rsidRPr="006E68B2">
        <w:rPr>
          <w:rFonts w:ascii="Arial" w:hAnsi="Arial" w:cs="Arial"/>
          <w:sz w:val="24"/>
          <w:szCs w:val="24"/>
        </w:rPr>
        <w:t xml:space="preserve">hospital </w:t>
      </w:r>
      <w:r w:rsidR="00350907" w:rsidRPr="006E68B2">
        <w:rPr>
          <w:rFonts w:ascii="Arial" w:hAnsi="Arial" w:cs="Arial"/>
          <w:sz w:val="24"/>
          <w:szCs w:val="24"/>
        </w:rPr>
        <w:t>beds are occupied by patients admitted with hip fractures</w:t>
      </w:r>
      <w:r w:rsidR="00A81004" w:rsidRPr="006E68B2">
        <w:rPr>
          <w:rFonts w:ascii="Arial" w:hAnsi="Arial" w:cs="Arial"/>
          <w:sz w:val="24"/>
          <w:szCs w:val="24"/>
        </w:rPr>
        <w:t>, equivalent to 1 in 45 beds in England and Northern Ireland, and 1 in 33 beds in Wales</w:t>
      </w:r>
      <w:r w:rsidR="00350907" w:rsidRPr="006E68B2">
        <w:rPr>
          <w:rFonts w:ascii="Arial" w:hAnsi="Arial" w:cs="Arial"/>
          <w:sz w:val="24"/>
          <w:szCs w:val="24"/>
        </w:rPr>
        <w:t xml:space="preserve">, totalling 1.5 million hospital bed days per year </w:t>
      </w:r>
      <w:r w:rsidR="00A81004" w:rsidRPr="006E68B2">
        <w:rPr>
          <w:rFonts w:ascii="Arial" w:hAnsi="Arial" w:cs="Arial"/>
          <w:sz w:val="24"/>
          <w:szCs w:val="24"/>
        </w:rPr>
        <w:t xml:space="preserve">in the UK </w:t>
      </w:r>
      <w:r w:rsidR="00350907" w:rsidRPr="006E68B2">
        <w:rPr>
          <w:rFonts w:ascii="Arial" w:hAnsi="Arial" w:cs="Arial"/>
          <w:sz w:val="24"/>
          <w:szCs w:val="24"/>
        </w:rPr>
        <w:t>[</w:t>
      </w:r>
      <w:r w:rsidR="00034CF3" w:rsidRPr="006E68B2">
        <w:rPr>
          <w:rFonts w:ascii="Arial" w:hAnsi="Arial" w:cs="Arial"/>
          <w:b/>
          <w:bCs/>
          <w:sz w:val="24"/>
          <w:szCs w:val="24"/>
        </w:rPr>
        <w:t>7</w:t>
      </w:r>
      <w:r w:rsidR="00644D1E" w:rsidRPr="006E68B2">
        <w:rPr>
          <w:rFonts w:ascii="Arial" w:hAnsi="Arial" w:cs="Arial"/>
          <w:sz w:val="24"/>
          <w:szCs w:val="24"/>
        </w:rPr>
        <w:t>]</w:t>
      </w:r>
      <w:r w:rsidR="00350907" w:rsidRPr="006E68B2">
        <w:rPr>
          <w:rFonts w:ascii="Arial" w:hAnsi="Arial" w:cs="Arial"/>
          <w:sz w:val="24"/>
          <w:szCs w:val="24"/>
        </w:rPr>
        <w:t>.</w:t>
      </w:r>
      <w:r w:rsidR="0093141C" w:rsidRPr="006E68B2">
        <w:rPr>
          <w:rFonts w:ascii="Arial" w:hAnsi="Arial" w:cs="Arial"/>
          <w:sz w:val="24"/>
          <w:szCs w:val="24"/>
        </w:rPr>
        <w:t xml:space="preserve"> </w:t>
      </w:r>
    </w:p>
    <w:p w14:paraId="6359DBFA" w14:textId="77777777" w:rsidR="00D104DC" w:rsidRPr="006E68B2" w:rsidRDefault="00D104DC" w:rsidP="00E042B9">
      <w:pPr>
        <w:spacing w:after="0" w:line="480" w:lineRule="auto"/>
        <w:jc w:val="both"/>
        <w:rPr>
          <w:rFonts w:ascii="Arial" w:hAnsi="Arial" w:cs="Arial"/>
          <w:sz w:val="24"/>
          <w:szCs w:val="24"/>
        </w:rPr>
      </w:pPr>
    </w:p>
    <w:p w14:paraId="4411A015" w14:textId="5DDE3329" w:rsidR="009F40DE" w:rsidRPr="006E68B2" w:rsidRDefault="00474DF7" w:rsidP="00E042B9">
      <w:pPr>
        <w:spacing w:after="0" w:line="480" w:lineRule="auto"/>
        <w:jc w:val="both"/>
        <w:rPr>
          <w:rFonts w:ascii="Arial" w:hAnsi="Arial" w:cs="Arial"/>
          <w:sz w:val="24"/>
          <w:szCs w:val="24"/>
        </w:rPr>
      </w:pPr>
      <w:r w:rsidRPr="006E68B2">
        <w:rPr>
          <w:rFonts w:ascii="Arial" w:hAnsi="Arial" w:cs="Arial"/>
          <w:sz w:val="24"/>
          <w:szCs w:val="24"/>
        </w:rPr>
        <w:t xml:space="preserve">It is well </w:t>
      </w:r>
      <w:r w:rsidR="002B21C0" w:rsidRPr="006E68B2">
        <w:rPr>
          <w:rFonts w:ascii="Arial" w:hAnsi="Arial" w:cs="Arial"/>
          <w:sz w:val="24"/>
          <w:szCs w:val="24"/>
        </w:rPr>
        <w:t>recognised</w:t>
      </w:r>
      <w:r w:rsidRPr="006E68B2">
        <w:rPr>
          <w:rFonts w:ascii="Arial" w:hAnsi="Arial" w:cs="Arial"/>
          <w:sz w:val="24"/>
          <w:szCs w:val="24"/>
        </w:rPr>
        <w:t xml:space="preserve"> that many </w:t>
      </w:r>
      <w:r w:rsidR="0037613A" w:rsidRPr="006E68B2">
        <w:rPr>
          <w:rFonts w:ascii="Arial" w:hAnsi="Arial" w:cs="Arial"/>
          <w:sz w:val="24"/>
          <w:szCs w:val="24"/>
        </w:rPr>
        <w:t>medications</w:t>
      </w:r>
      <w:r w:rsidRPr="006E68B2">
        <w:rPr>
          <w:rFonts w:ascii="Arial" w:hAnsi="Arial" w:cs="Arial"/>
          <w:sz w:val="24"/>
          <w:szCs w:val="24"/>
        </w:rPr>
        <w:t xml:space="preserve"> on </w:t>
      </w:r>
      <w:r w:rsidR="00841716" w:rsidRPr="006E68B2">
        <w:rPr>
          <w:rFonts w:ascii="Arial" w:hAnsi="Arial" w:cs="Arial"/>
          <w:sz w:val="24"/>
          <w:szCs w:val="24"/>
        </w:rPr>
        <w:t>regular</w:t>
      </w:r>
      <w:r w:rsidRPr="006E68B2">
        <w:rPr>
          <w:rFonts w:ascii="Arial" w:hAnsi="Arial" w:cs="Arial"/>
          <w:sz w:val="24"/>
          <w:szCs w:val="24"/>
        </w:rPr>
        <w:t xml:space="preserve"> prescription</w:t>
      </w:r>
      <w:r w:rsidR="00B32F03" w:rsidRPr="006E68B2">
        <w:rPr>
          <w:rFonts w:ascii="Arial" w:hAnsi="Arial" w:cs="Arial"/>
          <w:sz w:val="24"/>
          <w:szCs w:val="24"/>
        </w:rPr>
        <w:t>, especially</w:t>
      </w:r>
      <w:r w:rsidRPr="006E68B2">
        <w:rPr>
          <w:rFonts w:ascii="Arial" w:hAnsi="Arial" w:cs="Arial"/>
          <w:sz w:val="24"/>
          <w:szCs w:val="24"/>
        </w:rPr>
        <w:t xml:space="preserve"> in older adults</w:t>
      </w:r>
      <w:r w:rsidR="00B32F03" w:rsidRPr="006E68B2">
        <w:rPr>
          <w:rFonts w:ascii="Arial" w:hAnsi="Arial" w:cs="Arial"/>
          <w:sz w:val="24"/>
          <w:szCs w:val="24"/>
        </w:rPr>
        <w:t>,</w:t>
      </w:r>
      <w:r w:rsidRPr="006E68B2">
        <w:rPr>
          <w:rFonts w:ascii="Arial" w:hAnsi="Arial" w:cs="Arial"/>
          <w:sz w:val="24"/>
          <w:szCs w:val="24"/>
        </w:rPr>
        <w:t xml:space="preserve"> are not required</w:t>
      </w:r>
      <w:r w:rsidR="00B32F03" w:rsidRPr="006E68B2">
        <w:rPr>
          <w:rFonts w:ascii="Arial" w:hAnsi="Arial" w:cs="Arial"/>
          <w:sz w:val="24"/>
          <w:szCs w:val="24"/>
        </w:rPr>
        <w:t xml:space="preserve"> – </w:t>
      </w:r>
      <w:r w:rsidR="009D56B2" w:rsidRPr="006E68B2">
        <w:rPr>
          <w:rFonts w:ascii="Arial" w:hAnsi="Arial" w:cs="Arial"/>
          <w:sz w:val="24"/>
          <w:szCs w:val="24"/>
        </w:rPr>
        <w:t>and</w:t>
      </w:r>
      <w:r w:rsidRPr="006E68B2">
        <w:rPr>
          <w:rFonts w:ascii="Arial" w:hAnsi="Arial" w:cs="Arial"/>
          <w:sz w:val="24"/>
          <w:szCs w:val="24"/>
        </w:rPr>
        <w:t xml:space="preserve"> termed “potentially inappropriate prescribing” [</w:t>
      </w:r>
      <w:r w:rsidR="009F2FAA" w:rsidRPr="006E68B2">
        <w:rPr>
          <w:rFonts w:ascii="Arial" w:hAnsi="Arial" w:cs="Arial"/>
          <w:b/>
          <w:bCs/>
          <w:sz w:val="24"/>
          <w:szCs w:val="24"/>
        </w:rPr>
        <w:t>8</w:t>
      </w:r>
      <w:r w:rsidR="009F2FAA" w:rsidRPr="006E68B2">
        <w:rPr>
          <w:rFonts w:ascii="Arial" w:hAnsi="Arial" w:cs="Arial"/>
          <w:sz w:val="24"/>
          <w:szCs w:val="24"/>
        </w:rPr>
        <w:t>]</w:t>
      </w:r>
      <w:r w:rsidRPr="006E68B2">
        <w:rPr>
          <w:rFonts w:ascii="Arial" w:hAnsi="Arial" w:cs="Arial"/>
          <w:sz w:val="24"/>
          <w:szCs w:val="24"/>
        </w:rPr>
        <w:t xml:space="preserve">. </w:t>
      </w:r>
      <w:r w:rsidR="00B32F03" w:rsidRPr="006E68B2">
        <w:rPr>
          <w:rFonts w:ascii="Arial" w:hAnsi="Arial" w:cs="Arial"/>
          <w:sz w:val="24"/>
          <w:szCs w:val="24"/>
        </w:rPr>
        <w:t>This phenomenon</w:t>
      </w:r>
      <w:r w:rsidR="00292636" w:rsidRPr="006E68B2">
        <w:rPr>
          <w:rFonts w:ascii="Arial" w:hAnsi="Arial" w:cs="Arial"/>
          <w:sz w:val="24"/>
          <w:szCs w:val="24"/>
        </w:rPr>
        <w:t xml:space="preserve"> </w:t>
      </w:r>
      <w:r w:rsidR="009D56B2" w:rsidRPr="006E68B2">
        <w:rPr>
          <w:rFonts w:ascii="Arial" w:hAnsi="Arial" w:cs="Arial"/>
          <w:sz w:val="24"/>
          <w:szCs w:val="24"/>
        </w:rPr>
        <w:t>is</w:t>
      </w:r>
      <w:r w:rsidR="00B95F22" w:rsidRPr="006E68B2">
        <w:rPr>
          <w:rFonts w:ascii="Arial" w:hAnsi="Arial" w:cs="Arial"/>
          <w:sz w:val="24"/>
          <w:szCs w:val="24"/>
        </w:rPr>
        <w:t xml:space="preserve"> increasingly more</w:t>
      </w:r>
      <w:r w:rsidR="00797B38" w:rsidRPr="006E68B2">
        <w:rPr>
          <w:rFonts w:ascii="Arial" w:hAnsi="Arial" w:cs="Arial"/>
          <w:sz w:val="24"/>
          <w:szCs w:val="24"/>
        </w:rPr>
        <w:t xml:space="preserve"> widespread </w:t>
      </w:r>
      <w:r w:rsidR="00B95F22" w:rsidRPr="006E68B2">
        <w:rPr>
          <w:rFonts w:ascii="Arial" w:hAnsi="Arial" w:cs="Arial"/>
          <w:sz w:val="24"/>
          <w:szCs w:val="24"/>
        </w:rPr>
        <w:t>[</w:t>
      </w:r>
      <w:r w:rsidR="009F2FAA" w:rsidRPr="006E68B2">
        <w:rPr>
          <w:rFonts w:ascii="Arial" w:hAnsi="Arial" w:cs="Arial"/>
          <w:b/>
          <w:bCs/>
          <w:sz w:val="24"/>
          <w:szCs w:val="24"/>
        </w:rPr>
        <w:t>9</w:t>
      </w:r>
      <w:r w:rsidR="009F2FAA" w:rsidRPr="006E68B2">
        <w:rPr>
          <w:rFonts w:ascii="Arial" w:hAnsi="Arial" w:cs="Arial"/>
          <w:sz w:val="24"/>
          <w:szCs w:val="24"/>
        </w:rPr>
        <w:t>]</w:t>
      </w:r>
      <w:r w:rsidR="00B95F22" w:rsidRPr="006E68B2">
        <w:rPr>
          <w:rFonts w:ascii="Arial" w:hAnsi="Arial" w:cs="Arial"/>
          <w:sz w:val="24"/>
          <w:szCs w:val="24"/>
        </w:rPr>
        <w:t xml:space="preserve"> </w:t>
      </w:r>
      <w:r w:rsidR="009D56B2" w:rsidRPr="006E68B2">
        <w:rPr>
          <w:rFonts w:ascii="Arial" w:hAnsi="Arial" w:cs="Arial"/>
          <w:sz w:val="24"/>
          <w:szCs w:val="24"/>
        </w:rPr>
        <w:t xml:space="preserve">and </w:t>
      </w:r>
      <w:r w:rsidR="00292636" w:rsidRPr="006E68B2">
        <w:rPr>
          <w:rFonts w:ascii="Arial" w:hAnsi="Arial" w:cs="Arial"/>
          <w:sz w:val="24"/>
          <w:szCs w:val="24"/>
        </w:rPr>
        <w:t xml:space="preserve">incurs </w:t>
      </w:r>
      <w:r w:rsidR="009D56B2" w:rsidRPr="006E68B2">
        <w:rPr>
          <w:rFonts w:ascii="Arial" w:hAnsi="Arial" w:cs="Arial"/>
          <w:sz w:val="24"/>
          <w:szCs w:val="24"/>
        </w:rPr>
        <w:t xml:space="preserve">unnecessary </w:t>
      </w:r>
      <w:r w:rsidR="00292636" w:rsidRPr="006E68B2">
        <w:rPr>
          <w:rFonts w:ascii="Arial" w:hAnsi="Arial" w:cs="Arial"/>
          <w:sz w:val="24"/>
          <w:szCs w:val="24"/>
        </w:rPr>
        <w:t xml:space="preserve">additional </w:t>
      </w:r>
      <w:r w:rsidR="009D56B2" w:rsidRPr="006E68B2">
        <w:rPr>
          <w:rFonts w:ascii="Arial" w:hAnsi="Arial" w:cs="Arial"/>
          <w:sz w:val="24"/>
          <w:szCs w:val="24"/>
        </w:rPr>
        <w:t xml:space="preserve">use </w:t>
      </w:r>
      <w:r w:rsidR="00FE68DF" w:rsidRPr="006E68B2">
        <w:rPr>
          <w:rFonts w:ascii="Arial" w:hAnsi="Arial" w:cs="Arial"/>
          <w:sz w:val="24"/>
          <w:szCs w:val="24"/>
        </w:rPr>
        <w:t xml:space="preserve">of </w:t>
      </w:r>
      <w:r w:rsidR="00292636" w:rsidRPr="006E68B2">
        <w:rPr>
          <w:rFonts w:ascii="Arial" w:hAnsi="Arial" w:cs="Arial"/>
          <w:sz w:val="24"/>
          <w:szCs w:val="24"/>
        </w:rPr>
        <w:t xml:space="preserve">healthcare </w:t>
      </w:r>
      <w:r w:rsidR="009D56B2" w:rsidRPr="006E68B2">
        <w:rPr>
          <w:rFonts w:ascii="Arial" w:hAnsi="Arial" w:cs="Arial"/>
          <w:sz w:val="24"/>
          <w:szCs w:val="24"/>
        </w:rPr>
        <w:t xml:space="preserve">resources </w:t>
      </w:r>
      <w:r w:rsidR="00292636" w:rsidRPr="006E68B2">
        <w:rPr>
          <w:rFonts w:ascii="Arial" w:hAnsi="Arial" w:cs="Arial"/>
          <w:sz w:val="24"/>
          <w:szCs w:val="24"/>
        </w:rPr>
        <w:t xml:space="preserve">and </w:t>
      </w:r>
      <w:r w:rsidR="00A773ED" w:rsidRPr="006E68B2">
        <w:rPr>
          <w:rFonts w:ascii="Arial" w:hAnsi="Arial" w:cs="Arial"/>
          <w:sz w:val="24"/>
          <w:szCs w:val="24"/>
        </w:rPr>
        <w:t>poses avoidable</w:t>
      </w:r>
      <w:r w:rsidR="00FE68DF" w:rsidRPr="006E68B2">
        <w:rPr>
          <w:rFonts w:ascii="Arial" w:hAnsi="Arial" w:cs="Arial"/>
          <w:sz w:val="24"/>
          <w:szCs w:val="24"/>
        </w:rPr>
        <w:t xml:space="preserve"> </w:t>
      </w:r>
      <w:r w:rsidR="00A773ED" w:rsidRPr="006E68B2">
        <w:rPr>
          <w:rFonts w:ascii="Arial" w:hAnsi="Arial" w:cs="Arial"/>
          <w:sz w:val="24"/>
          <w:szCs w:val="24"/>
        </w:rPr>
        <w:t>harm</w:t>
      </w:r>
      <w:r w:rsidR="00FE68DF" w:rsidRPr="006E68B2">
        <w:rPr>
          <w:rFonts w:ascii="Arial" w:hAnsi="Arial" w:cs="Arial"/>
          <w:sz w:val="24"/>
          <w:szCs w:val="24"/>
        </w:rPr>
        <w:t xml:space="preserve"> to </w:t>
      </w:r>
      <w:r w:rsidR="00EB5952" w:rsidRPr="006E68B2">
        <w:rPr>
          <w:rFonts w:ascii="Arial" w:hAnsi="Arial" w:cs="Arial"/>
          <w:sz w:val="24"/>
          <w:szCs w:val="24"/>
        </w:rPr>
        <w:t>the individual</w:t>
      </w:r>
      <w:r w:rsidR="00292636" w:rsidRPr="006E68B2">
        <w:rPr>
          <w:rFonts w:ascii="Arial" w:hAnsi="Arial" w:cs="Arial"/>
          <w:sz w:val="24"/>
          <w:szCs w:val="24"/>
        </w:rPr>
        <w:t xml:space="preserve"> [</w:t>
      </w:r>
      <w:r w:rsidR="009F2FAA" w:rsidRPr="006E68B2">
        <w:rPr>
          <w:rFonts w:ascii="Arial" w:hAnsi="Arial" w:cs="Arial"/>
          <w:b/>
          <w:bCs/>
          <w:sz w:val="24"/>
          <w:szCs w:val="24"/>
        </w:rPr>
        <w:t>10</w:t>
      </w:r>
      <w:r w:rsidR="009F2FAA" w:rsidRPr="006E68B2">
        <w:rPr>
          <w:rFonts w:ascii="Arial" w:hAnsi="Arial" w:cs="Arial"/>
          <w:sz w:val="24"/>
          <w:szCs w:val="24"/>
        </w:rPr>
        <w:t>]</w:t>
      </w:r>
      <w:r w:rsidRPr="006E68B2">
        <w:rPr>
          <w:rFonts w:ascii="Arial" w:hAnsi="Arial" w:cs="Arial"/>
          <w:sz w:val="24"/>
          <w:szCs w:val="24"/>
        </w:rPr>
        <w:t>.</w:t>
      </w:r>
      <w:r w:rsidR="0093141C" w:rsidRPr="006E68B2">
        <w:rPr>
          <w:rFonts w:ascii="Arial" w:hAnsi="Arial" w:cs="Arial"/>
          <w:sz w:val="24"/>
          <w:szCs w:val="24"/>
        </w:rPr>
        <w:t xml:space="preserve"> </w:t>
      </w:r>
      <w:r w:rsidRPr="006E68B2">
        <w:rPr>
          <w:rFonts w:ascii="Arial" w:hAnsi="Arial" w:cs="Arial"/>
          <w:sz w:val="24"/>
          <w:szCs w:val="24"/>
        </w:rPr>
        <w:t xml:space="preserve">Studies of general populations have shown that individuals who take </w:t>
      </w:r>
      <w:r w:rsidR="006657A8" w:rsidRPr="006E68B2">
        <w:rPr>
          <w:rFonts w:ascii="Arial" w:hAnsi="Arial" w:cs="Arial"/>
          <w:sz w:val="24"/>
          <w:szCs w:val="24"/>
        </w:rPr>
        <w:t>too many</w:t>
      </w:r>
      <w:r w:rsidRPr="006E68B2">
        <w:rPr>
          <w:rFonts w:ascii="Arial" w:hAnsi="Arial" w:cs="Arial"/>
          <w:sz w:val="24"/>
          <w:szCs w:val="24"/>
        </w:rPr>
        <w:t xml:space="preserve"> </w:t>
      </w:r>
      <w:r w:rsidR="00F33D6D" w:rsidRPr="006E68B2">
        <w:rPr>
          <w:rFonts w:ascii="Arial" w:hAnsi="Arial" w:cs="Arial"/>
          <w:sz w:val="24"/>
          <w:szCs w:val="24"/>
        </w:rPr>
        <w:t>medications</w:t>
      </w:r>
      <w:r w:rsidR="006657A8" w:rsidRPr="006E68B2">
        <w:rPr>
          <w:rFonts w:ascii="Arial" w:hAnsi="Arial" w:cs="Arial"/>
          <w:sz w:val="24"/>
          <w:szCs w:val="24"/>
        </w:rPr>
        <w:t>, particularly</w:t>
      </w:r>
      <w:r w:rsidR="00EB5952" w:rsidRPr="006E68B2">
        <w:rPr>
          <w:rFonts w:ascii="Arial" w:hAnsi="Arial" w:cs="Arial"/>
          <w:sz w:val="24"/>
          <w:szCs w:val="24"/>
        </w:rPr>
        <w:t xml:space="preserve"> </w:t>
      </w:r>
      <w:r w:rsidR="00865E41" w:rsidRPr="006E68B2">
        <w:rPr>
          <w:rFonts w:ascii="Arial" w:hAnsi="Arial" w:cs="Arial"/>
          <w:sz w:val="24"/>
          <w:szCs w:val="24"/>
        </w:rPr>
        <w:t>anticholinergic agents</w:t>
      </w:r>
      <w:r w:rsidR="006657A8" w:rsidRPr="006E68B2">
        <w:rPr>
          <w:rFonts w:ascii="Arial" w:hAnsi="Arial" w:cs="Arial"/>
          <w:sz w:val="24"/>
          <w:szCs w:val="24"/>
        </w:rPr>
        <w:t>,</w:t>
      </w:r>
      <w:r w:rsidR="00865E41" w:rsidRPr="006E68B2">
        <w:rPr>
          <w:rFonts w:ascii="Arial" w:hAnsi="Arial" w:cs="Arial"/>
          <w:sz w:val="24"/>
          <w:szCs w:val="24"/>
        </w:rPr>
        <w:t xml:space="preserve"> </w:t>
      </w:r>
      <w:r w:rsidR="009D56B2" w:rsidRPr="006E68B2">
        <w:rPr>
          <w:rFonts w:ascii="Arial" w:hAnsi="Arial" w:cs="Arial"/>
          <w:sz w:val="24"/>
          <w:szCs w:val="24"/>
        </w:rPr>
        <w:t xml:space="preserve">have </w:t>
      </w:r>
      <w:r w:rsidR="00F05668" w:rsidRPr="006E68B2">
        <w:rPr>
          <w:rFonts w:ascii="Arial" w:hAnsi="Arial" w:cs="Arial"/>
          <w:sz w:val="24"/>
          <w:szCs w:val="24"/>
        </w:rPr>
        <w:t>increase</w:t>
      </w:r>
      <w:r w:rsidR="006657A8" w:rsidRPr="006E68B2">
        <w:rPr>
          <w:rFonts w:ascii="Arial" w:hAnsi="Arial" w:cs="Arial"/>
          <w:sz w:val="24"/>
          <w:szCs w:val="24"/>
        </w:rPr>
        <w:t>d</w:t>
      </w:r>
      <w:r w:rsidR="00F05668" w:rsidRPr="006E68B2">
        <w:rPr>
          <w:rFonts w:ascii="Arial" w:hAnsi="Arial" w:cs="Arial"/>
          <w:sz w:val="24"/>
          <w:szCs w:val="24"/>
        </w:rPr>
        <w:t xml:space="preserve"> </w:t>
      </w:r>
      <w:r w:rsidR="006657A8" w:rsidRPr="006E68B2">
        <w:rPr>
          <w:rFonts w:ascii="Arial" w:hAnsi="Arial" w:cs="Arial"/>
          <w:sz w:val="24"/>
          <w:szCs w:val="24"/>
        </w:rPr>
        <w:t>risk of</w:t>
      </w:r>
      <w:r w:rsidR="00F05668" w:rsidRPr="006E68B2">
        <w:rPr>
          <w:rFonts w:ascii="Arial" w:hAnsi="Arial" w:cs="Arial"/>
          <w:sz w:val="24"/>
          <w:szCs w:val="24"/>
        </w:rPr>
        <w:t xml:space="preserve"> hospital admissions</w:t>
      </w:r>
      <w:r w:rsidR="001F2E89" w:rsidRPr="006E68B2">
        <w:rPr>
          <w:rFonts w:ascii="Arial" w:hAnsi="Arial" w:cs="Arial"/>
          <w:sz w:val="24"/>
          <w:szCs w:val="24"/>
        </w:rPr>
        <w:t xml:space="preserve"> [</w:t>
      </w:r>
      <w:r w:rsidR="009F2FAA" w:rsidRPr="006E68B2">
        <w:rPr>
          <w:rFonts w:ascii="Arial" w:hAnsi="Arial" w:cs="Arial"/>
          <w:b/>
          <w:bCs/>
          <w:sz w:val="24"/>
          <w:szCs w:val="24"/>
        </w:rPr>
        <w:t>11, 12</w:t>
      </w:r>
      <w:r w:rsidR="009F2FAA" w:rsidRPr="006E68B2">
        <w:rPr>
          <w:rFonts w:ascii="Arial" w:hAnsi="Arial" w:cs="Arial"/>
          <w:sz w:val="24"/>
          <w:szCs w:val="24"/>
        </w:rPr>
        <w:t>]</w:t>
      </w:r>
      <w:r w:rsidR="00EB5952" w:rsidRPr="006E68B2">
        <w:rPr>
          <w:rFonts w:ascii="Arial" w:hAnsi="Arial" w:cs="Arial"/>
          <w:sz w:val="24"/>
          <w:szCs w:val="24"/>
        </w:rPr>
        <w:t>,</w:t>
      </w:r>
      <w:r w:rsidR="000D3869" w:rsidRPr="006E68B2">
        <w:rPr>
          <w:rFonts w:ascii="Arial" w:hAnsi="Arial" w:cs="Arial"/>
          <w:sz w:val="24"/>
          <w:szCs w:val="24"/>
        </w:rPr>
        <w:t xml:space="preserve"> </w:t>
      </w:r>
      <w:r w:rsidR="006657A8" w:rsidRPr="006E68B2">
        <w:rPr>
          <w:rFonts w:ascii="Arial" w:hAnsi="Arial" w:cs="Arial"/>
          <w:sz w:val="24"/>
          <w:szCs w:val="24"/>
        </w:rPr>
        <w:t xml:space="preserve">early </w:t>
      </w:r>
      <w:r w:rsidR="000D3869" w:rsidRPr="006E68B2">
        <w:rPr>
          <w:rFonts w:ascii="Arial" w:hAnsi="Arial" w:cs="Arial"/>
          <w:sz w:val="24"/>
          <w:szCs w:val="24"/>
        </w:rPr>
        <w:t>readmission</w:t>
      </w:r>
      <w:r w:rsidR="006657A8" w:rsidRPr="006E68B2">
        <w:rPr>
          <w:rFonts w:ascii="Arial" w:hAnsi="Arial" w:cs="Arial"/>
          <w:sz w:val="24"/>
          <w:szCs w:val="24"/>
        </w:rPr>
        <w:t>s</w:t>
      </w:r>
      <w:r w:rsidR="000D3869" w:rsidRPr="006E68B2">
        <w:rPr>
          <w:rFonts w:ascii="Arial" w:hAnsi="Arial" w:cs="Arial"/>
          <w:sz w:val="24"/>
          <w:szCs w:val="24"/>
        </w:rPr>
        <w:t xml:space="preserve"> [</w:t>
      </w:r>
      <w:r w:rsidR="009F2FAA" w:rsidRPr="006E68B2">
        <w:rPr>
          <w:rFonts w:ascii="Arial" w:hAnsi="Arial" w:cs="Arial"/>
          <w:b/>
          <w:bCs/>
          <w:sz w:val="24"/>
          <w:szCs w:val="24"/>
        </w:rPr>
        <w:t>13, 14</w:t>
      </w:r>
      <w:r w:rsidR="009F2FAA" w:rsidRPr="006E68B2">
        <w:rPr>
          <w:rFonts w:ascii="Arial" w:hAnsi="Arial" w:cs="Arial"/>
          <w:sz w:val="24"/>
          <w:szCs w:val="24"/>
        </w:rPr>
        <w:t xml:space="preserve">] </w:t>
      </w:r>
      <w:r w:rsidR="00EB5952" w:rsidRPr="006E68B2">
        <w:rPr>
          <w:rFonts w:ascii="Arial" w:hAnsi="Arial" w:cs="Arial"/>
          <w:sz w:val="24"/>
          <w:szCs w:val="24"/>
        </w:rPr>
        <w:t xml:space="preserve">and </w:t>
      </w:r>
      <w:r w:rsidR="00120F11" w:rsidRPr="006E68B2">
        <w:rPr>
          <w:rFonts w:ascii="Arial" w:hAnsi="Arial" w:cs="Arial"/>
          <w:bCs/>
          <w:sz w:val="24"/>
          <w:szCs w:val="24"/>
        </w:rPr>
        <w:t>mortality</w:t>
      </w:r>
      <w:r w:rsidR="00120F11" w:rsidRPr="006E68B2">
        <w:rPr>
          <w:rFonts w:ascii="Arial" w:hAnsi="Arial" w:cs="Arial"/>
          <w:sz w:val="24"/>
          <w:szCs w:val="24"/>
        </w:rPr>
        <w:t xml:space="preserve"> </w:t>
      </w:r>
      <w:r w:rsidR="00120F11" w:rsidRPr="006E68B2">
        <w:rPr>
          <w:rFonts w:ascii="Arial" w:hAnsi="Arial" w:cs="Arial"/>
          <w:bCs/>
          <w:sz w:val="24"/>
          <w:szCs w:val="24"/>
        </w:rPr>
        <w:t>[</w:t>
      </w:r>
      <w:r w:rsidR="009F2FAA" w:rsidRPr="006E68B2">
        <w:rPr>
          <w:rFonts w:ascii="Arial" w:hAnsi="Arial" w:cs="Arial"/>
          <w:b/>
          <w:bCs/>
          <w:sz w:val="24"/>
          <w:szCs w:val="24"/>
        </w:rPr>
        <w:t>14</w:t>
      </w:r>
      <w:r w:rsidR="00694313" w:rsidRPr="006E68B2">
        <w:rPr>
          <w:rFonts w:ascii="Arial" w:hAnsi="Arial" w:cs="Arial"/>
          <w:b/>
          <w:bCs/>
          <w:sz w:val="24"/>
          <w:szCs w:val="24"/>
        </w:rPr>
        <w:t>, 15</w:t>
      </w:r>
      <w:r w:rsidR="009F2FAA" w:rsidRPr="006E68B2">
        <w:rPr>
          <w:rFonts w:ascii="Arial" w:hAnsi="Arial" w:cs="Arial"/>
          <w:sz w:val="24"/>
          <w:szCs w:val="24"/>
        </w:rPr>
        <w:t>]</w:t>
      </w:r>
      <w:r w:rsidR="00120F11" w:rsidRPr="006E68B2">
        <w:rPr>
          <w:rFonts w:ascii="Arial" w:hAnsi="Arial" w:cs="Arial"/>
          <w:bCs/>
          <w:sz w:val="24"/>
          <w:szCs w:val="24"/>
        </w:rPr>
        <w:t xml:space="preserve">. </w:t>
      </w:r>
      <w:r w:rsidR="00DB3EC3" w:rsidRPr="006E68B2">
        <w:rPr>
          <w:rFonts w:ascii="Arial" w:hAnsi="Arial" w:cs="Arial"/>
          <w:bCs/>
          <w:sz w:val="24"/>
          <w:szCs w:val="24"/>
        </w:rPr>
        <w:t>These</w:t>
      </w:r>
      <w:r w:rsidR="00D4548E" w:rsidRPr="006E68B2">
        <w:rPr>
          <w:rFonts w:ascii="Arial" w:hAnsi="Arial" w:cs="Arial"/>
          <w:bCs/>
          <w:sz w:val="24"/>
          <w:szCs w:val="24"/>
        </w:rPr>
        <w:t xml:space="preserve"> </w:t>
      </w:r>
      <w:r w:rsidR="00DB3EC3" w:rsidRPr="006E68B2">
        <w:rPr>
          <w:rFonts w:ascii="Arial" w:hAnsi="Arial" w:cs="Arial"/>
          <w:bCs/>
          <w:sz w:val="24"/>
          <w:szCs w:val="24"/>
        </w:rPr>
        <w:t xml:space="preserve">adverse effects may be </w:t>
      </w:r>
      <w:r w:rsidR="00FF132A" w:rsidRPr="006E68B2">
        <w:rPr>
          <w:rFonts w:ascii="Arial" w:hAnsi="Arial" w:cs="Arial"/>
          <w:bCs/>
          <w:sz w:val="24"/>
          <w:szCs w:val="24"/>
        </w:rPr>
        <w:t>enhanced</w:t>
      </w:r>
      <w:r w:rsidR="00DB3EC3" w:rsidRPr="006E68B2">
        <w:rPr>
          <w:rFonts w:ascii="Arial" w:hAnsi="Arial" w:cs="Arial"/>
          <w:bCs/>
          <w:sz w:val="24"/>
          <w:szCs w:val="24"/>
        </w:rPr>
        <w:t xml:space="preserve"> amongst patients admitted with hip fractures</w:t>
      </w:r>
      <w:r w:rsidR="00B511F6" w:rsidRPr="006E68B2">
        <w:rPr>
          <w:rFonts w:ascii="Arial" w:hAnsi="Arial" w:cs="Arial"/>
          <w:bCs/>
          <w:sz w:val="24"/>
          <w:szCs w:val="24"/>
        </w:rPr>
        <w:t>,</w:t>
      </w:r>
      <w:r w:rsidR="009E1275" w:rsidRPr="006E68B2">
        <w:rPr>
          <w:rFonts w:ascii="Arial" w:hAnsi="Arial" w:cs="Arial"/>
          <w:bCs/>
          <w:sz w:val="24"/>
          <w:szCs w:val="24"/>
        </w:rPr>
        <w:t xml:space="preserve"> but </w:t>
      </w:r>
      <w:r w:rsidR="008B22C7" w:rsidRPr="006E68B2">
        <w:rPr>
          <w:rFonts w:ascii="Arial" w:hAnsi="Arial" w:cs="Arial"/>
          <w:bCs/>
          <w:sz w:val="24"/>
          <w:szCs w:val="24"/>
        </w:rPr>
        <w:t>this</w:t>
      </w:r>
      <w:r w:rsidR="009D56B2" w:rsidRPr="006E68B2">
        <w:rPr>
          <w:rFonts w:ascii="Arial" w:hAnsi="Arial" w:cs="Arial"/>
          <w:bCs/>
          <w:sz w:val="24"/>
          <w:szCs w:val="24"/>
        </w:rPr>
        <w:t xml:space="preserve"> </w:t>
      </w:r>
      <w:proofErr w:type="gramStart"/>
      <w:r w:rsidR="009D56B2" w:rsidRPr="006E68B2">
        <w:rPr>
          <w:rFonts w:ascii="Arial" w:hAnsi="Arial" w:cs="Arial"/>
          <w:bCs/>
          <w:sz w:val="24"/>
          <w:szCs w:val="24"/>
        </w:rPr>
        <w:t>particular sub-</w:t>
      </w:r>
      <w:proofErr w:type="gramEnd"/>
      <w:r w:rsidR="009D56B2" w:rsidRPr="006E68B2">
        <w:rPr>
          <w:rFonts w:ascii="Arial" w:hAnsi="Arial" w:cs="Arial"/>
          <w:bCs/>
          <w:sz w:val="24"/>
          <w:szCs w:val="24"/>
        </w:rPr>
        <w:t>group</w:t>
      </w:r>
      <w:r w:rsidR="008B22C7" w:rsidRPr="006E68B2">
        <w:rPr>
          <w:rFonts w:ascii="Arial" w:hAnsi="Arial" w:cs="Arial"/>
          <w:bCs/>
          <w:sz w:val="24"/>
          <w:szCs w:val="24"/>
        </w:rPr>
        <w:t xml:space="preserve"> has not been </w:t>
      </w:r>
      <w:r w:rsidR="009D56B2" w:rsidRPr="006E68B2">
        <w:rPr>
          <w:rFonts w:ascii="Arial" w:hAnsi="Arial" w:cs="Arial"/>
          <w:bCs/>
          <w:sz w:val="24"/>
          <w:szCs w:val="24"/>
        </w:rPr>
        <w:t xml:space="preserve">specifically </w:t>
      </w:r>
      <w:r w:rsidR="008B22C7" w:rsidRPr="006E68B2">
        <w:rPr>
          <w:rFonts w:ascii="Arial" w:hAnsi="Arial" w:cs="Arial"/>
          <w:bCs/>
          <w:sz w:val="24"/>
          <w:szCs w:val="24"/>
        </w:rPr>
        <w:t>examined</w:t>
      </w:r>
      <w:r w:rsidR="00BA764F" w:rsidRPr="006E68B2">
        <w:rPr>
          <w:rFonts w:ascii="Arial" w:hAnsi="Arial" w:cs="Arial"/>
          <w:bCs/>
          <w:sz w:val="24"/>
          <w:szCs w:val="24"/>
        </w:rPr>
        <w:t>.</w:t>
      </w:r>
      <w:r w:rsidR="009E1275" w:rsidRPr="006E68B2">
        <w:rPr>
          <w:rFonts w:ascii="Arial" w:hAnsi="Arial" w:cs="Arial"/>
          <w:bCs/>
          <w:sz w:val="24"/>
          <w:szCs w:val="24"/>
        </w:rPr>
        <w:t xml:space="preserve"> </w:t>
      </w:r>
      <w:r w:rsidR="00DE410C" w:rsidRPr="006E68B2">
        <w:rPr>
          <w:rFonts w:ascii="Arial" w:hAnsi="Arial" w:cs="Arial"/>
          <w:bCs/>
          <w:sz w:val="24"/>
          <w:szCs w:val="24"/>
        </w:rPr>
        <w:t>In addition, t</w:t>
      </w:r>
      <w:r w:rsidR="00A0733E" w:rsidRPr="006E68B2">
        <w:rPr>
          <w:rFonts w:ascii="Arial" w:hAnsi="Arial" w:cs="Arial"/>
          <w:sz w:val="24"/>
          <w:szCs w:val="24"/>
        </w:rPr>
        <w:t xml:space="preserve">he impact </w:t>
      </w:r>
      <w:r w:rsidR="00AA557A" w:rsidRPr="006E68B2">
        <w:rPr>
          <w:rFonts w:ascii="Arial" w:hAnsi="Arial" w:cs="Arial"/>
          <w:sz w:val="24"/>
          <w:szCs w:val="24"/>
        </w:rPr>
        <w:t xml:space="preserve">of </w:t>
      </w:r>
      <w:r w:rsidR="00A0733E" w:rsidRPr="006E68B2">
        <w:rPr>
          <w:rFonts w:ascii="Arial" w:hAnsi="Arial" w:cs="Arial"/>
          <w:sz w:val="24"/>
          <w:szCs w:val="24"/>
        </w:rPr>
        <w:t xml:space="preserve">polypharmacy </w:t>
      </w:r>
      <w:r w:rsidR="009D56B2" w:rsidRPr="006E68B2">
        <w:rPr>
          <w:rFonts w:ascii="Arial" w:hAnsi="Arial" w:cs="Arial"/>
          <w:sz w:val="24"/>
          <w:szCs w:val="24"/>
        </w:rPr>
        <w:t xml:space="preserve">that includes </w:t>
      </w:r>
      <w:r w:rsidR="006B40F7" w:rsidRPr="006E68B2">
        <w:rPr>
          <w:rFonts w:ascii="Arial" w:hAnsi="Arial" w:cs="Arial"/>
          <w:sz w:val="24"/>
          <w:szCs w:val="24"/>
        </w:rPr>
        <w:t>anticholinergic agents on</w:t>
      </w:r>
      <w:r w:rsidR="00B755EB" w:rsidRPr="006E68B2">
        <w:rPr>
          <w:rFonts w:ascii="Arial" w:hAnsi="Arial" w:cs="Arial"/>
          <w:sz w:val="24"/>
          <w:szCs w:val="24"/>
        </w:rPr>
        <w:t xml:space="preserve"> </w:t>
      </w:r>
      <w:r w:rsidR="00AA557A" w:rsidRPr="006E68B2">
        <w:rPr>
          <w:rFonts w:ascii="Arial" w:hAnsi="Arial" w:cs="Arial"/>
          <w:sz w:val="24"/>
          <w:szCs w:val="24"/>
        </w:rPr>
        <w:t>health</w:t>
      </w:r>
      <w:r w:rsidR="006B40F7" w:rsidRPr="006E68B2">
        <w:rPr>
          <w:rFonts w:ascii="Arial" w:hAnsi="Arial" w:cs="Arial"/>
          <w:sz w:val="24"/>
          <w:szCs w:val="24"/>
        </w:rPr>
        <w:t xml:space="preserve"> outcomes</w:t>
      </w:r>
      <w:r w:rsidR="009D56B2" w:rsidRPr="006E68B2">
        <w:rPr>
          <w:rFonts w:ascii="Arial" w:hAnsi="Arial" w:cs="Arial"/>
          <w:sz w:val="24"/>
          <w:szCs w:val="24"/>
        </w:rPr>
        <w:t>,</w:t>
      </w:r>
      <w:r w:rsidR="00B755EB" w:rsidRPr="006E68B2">
        <w:rPr>
          <w:rFonts w:ascii="Arial" w:hAnsi="Arial" w:cs="Arial"/>
          <w:sz w:val="24"/>
          <w:szCs w:val="24"/>
        </w:rPr>
        <w:t xml:space="preserve"> such as the LOS in hospital</w:t>
      </w:r>
      <w:r w:rsidR="009D56B2" w:rsidRPr="006E68B2">
        <w:rPr>
          <w:rFonts w:ascii="Arial" w:hAnsi="Arial" w:cs="Arial"/>
          <w:sz w:val="24"/>
          <w:szCs w:val="24"/>
        </w:rPr>
        <w:t>,</w:t>
      </w:r>
      <w:r w:rsidR="00B755EB" w:rsidRPr="006E68B2">
        <w:rPr>
          <w:rFonts w:ascii="Arial" w:hAnsi="Arial" w:cs="Arial"/>
          <w:sz w:val="24"/>
          <w:szCs w:val="24"/>
        </w:rPr>
        <w:t xml:space="preserve"> </w:t>
      </w:r>
      <w:r w:rsidR="009D56B2" w:rsidRPr="006E68B2">
        <w:rPr>
          <w:rFonts w:ascii="Arial" w:hAnsi="Arial" w:cs="Arial"/>
          <w:sz w:val="24"/>
          <w:szCs w:val="24"/>
        </w:rPr>
        <w:t xml:space="preserve">has </w:t>
      </w:r>
      <w:r w:rsidR="00B755EB" w:rsidRPr="006E68B2">
        <w:rPr>
          <w:rFonts w:ascii="Arial" w:hAnsi="Arial" w:cs="Arial"/>
          <w:sz w:val="24"/>
          <w:szCs w:val="24"/>
        </w:rPr>
        <w:lastRenderedPageBreak/>
        <w:t>not been explored</w:t>
      </w:r>
      <w:r w:rsidR="007F5FF3" w:rsidRPr="006E68B2">
        <w:rPr>
          <w:rFonts w:ascii="Arial" w:hAnsi="Arial" w:cs="Arial"/>
          <w:sz w:val="24"/>
          <w:szCs w:val="24"/>
        </w:rPr>
        <w:t xml:space="preserve"> in detail</w:t>
      </w:r>
      <w:r w:rsidR="00865E41" w:rsidRPr="006E68B2">
        <w:rPr>
          <w:rFonts w:ascii="Arial" w:hAnsi="Arial" w:cs="Arial"/>
          <w:sz w:val="24"/>
          <w:szCs w:val="24"/>
        </w:rPr>
        <w:t>.</w:t>
      </w:r>
      <w:r w:rsidR="0093141C" w:rsidRPr="006E68B2">
        <w:rPr>
          <w:rFonts w:ascii="Arial" w:hAnsi="Arial" w:cs="Arial"/>
          <w:sz w:val="24"/>
          <w:szCs w:val="24"/>
        </w:rPr>
        <w:t xml:space="preserve"> </w:t>
      </w:r>
      <w:r w:rsidR="00737C51" w:rsidRPr="006E68B2">
        <w:rPr>
          <w:rFonts w:ascii="Arial" w:hAnsi="Arial" w:cs="Arial"/>
          <w:sz w:val="24"/>
          <w:szCs w:val="24"/>
        </w:rPr>
        <w:t>Hospital</w:t>
      </w:r>
      <w:r w:rsidR="009F40DE" w:rsidRPr="006E68B2">
        <w:rPr>
          <w:rFonts w:ascii="Arial" w:hAnsi="Arial" w:cs="Arial"/>
          <w:sz w:val="24"/>
          <w:szCs w:val="24"/>
        </w:rPr>
        <w:t xml:space="preserve"> </w:t>
      </w:r>
      <w:r w:rsidR="00B755EB" w:rsidRPr="006E68B2">
        <w:rPr>
          <w:rFonts w:ascii="Arial" w:hAnsi="Arial" w:cs="Arial"/>
          <w:sz w:val="24"/>
          <w:szCs w:val="24"/>
        </w:rPr>
        <w:t xml:space="preserve">LOS </w:t>
      </w:r>
      <w:r w:rsidR="009F40DE" w:rsidRPr="006E68B2">
        <w:rPr>
          <w:rFonts w:ascii="Arial" w:hAnsi="Arial" w:cs="Arial"/>
          <w:sz w:val="24"/>
          <w:szCs w:val="24"/>
        </w:rPr>
        <w:t xml:space="preserve">is an important </w:t>
      </w:r>
      <w:r w:rsidR="00663654" w:rsidRPr="006E68B2">
        <w:rPr>
          <w:rFonts w:ascii="Arial" w:hAnsi="Arial" w:cs="Arial"/>
          <w:sz w:val="24"/>
          <w:szCs w:val="24"/>
        </w:rPr>
        <w:t>health-</w:t>
      </w:r>
      <w:r w:rsidR="009F40DE" w:rsidRPr="006E68B2">
        <w:rPr>
          <w:rFonts w:ascii="Arial" w:hAnsi="Arial" w:cs="Arial"/>
          <w:sz w:val="24"/>
          <w:szCs w:val="24"/>
        </w:rPr>
        <w:t xml:space="preserve">quality </w:t>
      </w:r>
      <w:proofErr w:type="gramStart"/>
      <w:r w:rsidR="009F40DE" w:rsidRPr="006E68B2">
        <w:rPr>
          <w:rFonts w:ascii="Arial" w:hAnsi="Arial" w:cs="Arial"/>
          <w:sz w:val="24"/>
          <w:szCs w:val="24"/>
        </w:rPr>
        <w:t>indicator</w:t>
      </w:r>
      <w:r w:rsidR="00A36685" w:rsidRPr="006E68B2">
        <w:rPr>
          <w:rFonts w:ascii="Arial" w:hAnsi="Arial" w:cs="Arial"/>
          <w:sz w:val="24"/>
          <w:szCs w:val="24"/>
        </w:rPr>
        <w:t>;</w:t>
      </w:r>
      <w:proofErr w:type="gramEnd"/>
      <w:r w:rsidR="009F40DE" w:rsidRPr="006E68B2">
        <w:rPr>
          <w:rFonts w:ascii="Arial" w:hAnsi="Arial" w:cs="Arial"/>
          <w:sz w:val="24"/>
          <w:szCs w:val="24"/>
        </w:rPr>
        <w:t xml:space="preserve"> </w:t>
      </w:r>
      <w:r w:rsidR="00A36685" w:rsidRPr="006E68B2">
        <w:rPr>
          <w:rFonts w:ascii="Arial" w:hAnsi="Arial" w:cs="Arial"/>
          <w:sz w:val="24"/>
          <w:szCs w:val="24"/>
        </w:rPr>
        <w:t>t</w:t>
      </w:r>
      <w:r w:rsidR="009F40DE" w:rsidRPr="006E68B2">
        <w:rPr>
          <w:rFonts w:ascii="Arial" w:hAnsi="Arial" w:cs="Arial"/>
          <w:sz w:val="24"/>
          <w:szCs w:val="24"/>
        </w:rPr>
        <w:t>he longer</w:t>
      </w:r>
      <w:r w:rsidR="00737C51" w:rsidRPr="006E68B2">
        <w:rPr>
          <w:rFonts w:ascii="Arial" w:hAnsi="Arial" w:cs="Arial"/>
          <w:sz w:val="24"/>
          <w:szCs w:val="24"/>
        </w:rPr>
        <w:t xml:space="preserve"> the</w:t>
      </w:r>
      <w:r w:rsidR="009F40DE" w:rsidRPr="006E68B2">
        <w:rPr>
          <w:rFonts w:ascii="Arial" w:hAnsi="Arial" w:cs="Arial"/>
          <w:sz w:val="24"/>
          <w:szCs w:val="24"/>
        </w:rPr>
        <w:t xml:space="preserve"> </w:t>
      </w:r>
      <w:r w:rsidR="00A36685" w:rsidRPr="006E68B2">
        <w:rPr>
          <w:rFonts w:ascii="Arial" w:hAnsi="Arial" w:cs="Arial"/>
          <w:sz w:val="24"/>
          <w:szCs w:val="24"/>
        </w:rPr>
        <w:t>LOS</w:t>
      </w:r>
      <w:r w:rsidR="001C1301" w:rsidRPr="006E68B2">
        <w:rPr>
          <w:rFonts w:ascii="Arial" w:hAnsi="Arial" w:cs="Arial"/>
          <w:sz w:val="24"/>
          <w:szCs w:val="24"/>
        </w:rPr>
        <w:t>, the great</w:t>
      </w:r>
      <w:r w:rsidR="0088487B" w:rsidRPr="006E68B2">
        <w:rPr>
          <w:rFonts w:ascii="Arial" w:hAnsi="Arial" w:cs="Arial"/>
          <w:sz w:val="24"/>
          <w:szCs w:val="24"/>
        </w:rPr>
        <w:t>er</w:t>
      </w:r>
      <w:r w:rsidR="001C1301" w:rsidRPr="006E68B2">
        <w:rPr>
          <w:rFonts w:ascii="Arial" w:hAnsi="Arial" w:cs="Arial"/>
          <w:sz w:val="24"/>
          <w:szCs w:val="24"/>
        </w:rPr>
        <w:t xml:space="preserve"> the risk </w:t>
      </w:r>
      <w:r w:rsidR="0088487B" w:rsidRPr="006E68B2">
        <w:rPr>
          <w:rFonts w:ascii="Arial" w:hAnsi="Arial" w:cs="Arial"/>
          <w:sz w:val="24"/>
          <w:szCs w:val="24"/>
        </w:rPr>
        <w:t>to the patients. For each additional day in hospital, approximately 5% of muscle strength is lost [</w:t>
      </w:r>
      <w:r w:rsidR="00694313" w:rsidRPr="006E68B2">
        <w:rPr>
          <w:rFonts w:ascii="Arial" w:hAnsi="Arial" w:cs="Arial"/>
          <w:b/>
          <w:bCs/>
          <w:sz w:val="24"/>
          <w:szCs w:val="24"/>
        </w:rPr>
        <w:t>16</w:t>
      </w:r>
      <w:r w:rsidR="00694313" w:rsidRPr="006E68B2">
        <w:rPr>
          <w:rFonts w:ascii="Arial" w:hAnsi="Arial" w:cs="Arial"/>
          <w:sz w:val="24"/>
          <w:szCs w:val="24"/>
        </w:rPr>
        <w:t>]</w:t>
      </w:r>
      <w:r w:rsidR="0088487B" w:rsidRPr="006E68B2">
        <w:rPr>
          <w:rFonts w:ascii="Arial" w:hAnsi="Arial" w:cs="Arial"/>
          <w:sz w:val="24"/>
          <w:szCs w:val="24"/>
        </w:rPr>
        <w:t xml:space="preserve"> and the</w:t>
      </w:r>
      <w:r w:rsidR="001C1301" w:rsidRPr="006E68B2">
        <w:rPr>
          <w:rFonts w:ascii="Arial" w:hAnsi="Arial" w:cs="Arial"/>
          <w:sz w:val="24"/>
          <w:szCs w:val="24"/>
        </w:rPr>
        <w:t xml:space="preserve"> </w:t>
      </w:r>
      <w:r w:rsidR="0088487B" w:rsidRPr="006E68B2">
        <w:rPr>
          <w:rFonts w:ascii="Arial" w:hAnsi="Arial" w:cs="Arial"/>
          <w:sz w:val="24"/>
          <w:szCs w:val="24"/>
        </w:rPr>
        <w:t>risk of</w:t>
      </w:r>
      <w:r w:rsidR="001C1301" w:rsidRPr="006E68B2">
        <w:rPr>
          <w:rFonts w:ascii="Arial" w:hAnsi="Arial" w:cs="Arial"/>
          <w:sz w:val="24"/>
          <w:szCs w:val="24"/>
        </w:rPr>
        <w:t xml:space="preserve"> nosocomial infections</w:t>
      </w:r>
      <w:r w:rsidR="00357EBB" w:rsidRPr="006E68B2">
        <w:rPr>
          <w:rFonts w:ascii="Arial" w:hAnsi="Arial" w:cs="Arial"/>
          <w:sz w:val="24"/>
          <w:szCs w:val="24"/>
        </w:rPr>
        <w:t xml:space="preserve"> </w:t>
      </w:r>
      <w:r w:rsidR="00A36685" w:rsidRPr="006E68B2">
        <w:rPr>
          <w:rFonts w:ascii="Arial" w:hAnsi="Arial" w:cs="Arial"/>
          <w:sz w:val="24"/>
          <w:szCs w:val="24"/>
        </w:rPr>
        <w:t>and</w:t>
      </w:r>
      <w:r w:rsidR="00EC6A10" w:rsidRPr="006E68B2">
        <w:rPr>
          <w:rFonts w:ascii="Arial" w:hAnsi="Arial" w:cs="Arial"/>
          <w:sz w:val="24"/>
          <w:szCs w:val="24"/>
        </w:rPr>
        <w:t xml:space="preserve"> </w:t>
      </w:r>
      <w:r w:rsidR="001C1301" w:rsidRPr="006E68B2">
        <w:rPr>
          <w:rFonts w:ascii="Arial" w:hAnsi="Arial" w:cs="Arial"/>
          <w:sz w:val="24"/>
          <w:szCs w:val="24"/>
        </w:rPr>
        <w:t>mortalit</w:t>
      </w:r>
      <w:r w:rsidR="00357EBB" w:rsidRPr="006E68B2">
        <w:rPr>
          <w:rFonts w:ascii="Arial" w:hAnsi="Arial" w:cs="Arial"/>
          <w:sz w:val="24"/>
          <w:szCs w:val="24"/>
        </w:rPr>
        <w:t>y</w:t>
      </w:r>
      <w:r w:rsidR="0088487B" w:rsidRPr="006E68B2">
        <w:rPr>
          <w:rFonts w:ascii="Arial" w:hAnsi="Arial" w:cs="Arial"/>
          <w:sz w:val="24"/>
          <w:szCs w:val="24"/>
        </w:rPr>
        <w:t xml:space="preserve"> is augmented</w:t>
      </w:r>
      <w:r w:rsidR="00D4548E" w:rsidRPr="006E68B2">
        <w:rPr>
          <w:rFonts w:ascii="Arial" w:hAnsi="Arial" w:cs="Arial"/>
          <w:sz w:val="24"/>
          <w:szCs w:val="24"/>
        </w:rPr>
        <w:t xml:space="preserve"> </w:t>
      </w:r>
      <w:r w:rsidR="001C1301" w:rsidRPr="006E68B2">
        <w:rPr>
          <w:rFonts w:ascii="Arial" w:hAnsi="Arial" w:cs="Arial"/>
          <w:sz w:val="24"/>
          <w:szCs w:val="24"/>
        </w:rPr>
        <w:t>[</w:t>
      </w:r>
      <w:r w:rsidR="00694313" w:rsidRPr="006E68B2">
        <w:rPr>
          <w:rFonts w:ascii="Arial" w:hAnsi="Arial" w:cs="Arial"/>
          <w:b/>
          <w:bCs/>
          <w:sz w:val="24"/>
          <w:szCs w:val="24"/>
        </w:rPr>
        <w:t>17, 18</w:t>
      </w:r>
      <w:r w:rsidR="00694313" w:rsidRPr="006E68B2">
        <w:rPr>
          <w:rFonts w:ascii="Arial" w:hAnsi="Arial" w:cs="Arial"/>
          <w:sz w:val="24"/>
          <w:szCs w:val="24"/>
        </w:rPr>
        <w:t>]</w:t>
      </w:r>
      <w:r w:rsidR="001C1301" w:rsidRPr="006E68B2">
        <w:rPr>
          <w:rFonts w:ascii="Arial" w:hAnsi="Arial" w:cs="Arial"/>
          <w:sz w:val="24"/>
          <w:szCs w:val="24"/>
        </w:rPr>
        <w:t>.</w:t>
      </w:r>
      <w:r w:rsidR="004976F9" w:rsidRPr="006E68B2">
        <w:rPr>
          <w:rFonts w:ascii="Arial" w:hAnsi="Arial" w:cs="Arial"/>
          <w:sz w:val="24"/>
          <w:szCs w:val="24"/>
        </w:rPr>
        <w:t xml:space="preserve"> </w:t>
      </w:r>
    </w:p>
    <w:p w14:paraId="0FC235F7" w14:textId="77777777" w:rsidR="005D4200" w:rsidRPr="006E68B2" w:rsidRDefault="005D4200" w:rsidP="00E042B9">
      <w:pPr>
        <w:spacing w:after="0" w:line="480" w:lineRule="auto"/>
        <w:jc w:val="both"/>
        <w:rPr>
          <w:rFonts w:ascii="Arial" w:hAnsi="Arial" w:cs="Arial"/>
          <w:sz w:val="24"/>
          <w:szCs w:val="24"/>
        </w:rPr>
      </w:pPr>
    </w:p>
    <w:p w14:paraId="5755CE4F" w14:textId="2F5A7141" w:rsidR="00312887" w:rsidRPr="006E68B2" w:rsidRDefault="00865E41" w:rsidP="00E042B9">
      <w:pPr>
        <w:spacing w:after="0" w:line="480" w:lineRule="auto"/>
        <w:jc w:val="both"/>
        <w:rPr>
          <w:rFonts w:ascii="Arial" w:hAnsi="Arial" w:cs="Arial"/>
          <w:sz w:val="24"/>
          <w:szCs w:val="24"/>
        </w:rPr>
      </w:pPr>
      <w:r w:rsidRPr="006E68B2">
        <w:rPr>
          <w:rFonts w:ascii="Arial" w:hAnsi="Arial" w:cs="Arial"/>
          <w:sz w:val="24"/>
          <w:szCs w:val="24"/>
        </w:rPr>
        <w:t>In this</w:t>
      </w:r>
      <w:r w:rsidR="009041B1" w:rsidRPr="006E68B2">
        <w:rPr>
          <w:rFonts w:ascii="Arial" w:hAnsi="Arial" w:cs="Arial"/>
          <w:sz w:val="24"/>
          <w:szCs w:val="24"/>
        </w:rPr>
        <w:t xml:space="preserve"> study</w:t>
      </w:r>
      <w:r w:rsidR="009E1275" w:rsidRPr="006E68B2">
        <w:rPr>
          <w:rFonts w:ascii="Arial" w:hAnsi="Arial" w:cs="Arial"/>
          <w:sz w:val="24"/>
          <w:szCs w:val="24"/>
        </w:rPr>
        <w:t xml:space="preserve"> of adults ≥60 years of age admitted with hip fractures</w:t>
      </w:r>
      <w:r w:rsidRPr="006E68B2">
        <w:rPr>
          <w:rFonts w:ascii="Arial" w:hAnsi="Arial" w:cs="Arial"/>
          <w:sz w:val="24"/>
          <w:szCs w:val="24"/>
        </w:rPr>
        <w:t>, we</w:t>
      </w:r>
      <w:r w:rsidR="009041B1" w:rsidRPr="006E68B2">
        <w:rPr>
          <w:rFonts w:ascii="Arial" w:hAnsi="Arial" w:cs="Arial"/>
          <w:sz w:val="24"/>
          <w:szCs w:val="24"/>
        </w:rPr>
        <w:t xml:space="preserve"> </w:t>
      </w:r>
      <w:r w:rsidR="008B79A8" w:rsidRPr="006E68B2">
        <w:rPr>
          <w:rFonts w:ascii="Arial" w:hAnsi="Arial" w:cs="Arial"/>
          <w:sz w:val="24"/>
          <w:szCs w:val="24"/>
        </w:rPr>
        <w:t>assess</w:t>
      </w:r>
      <w:r w:rsidR="00F207C5" w:rsidRPr="006E68B2">
        <w:rPr>
          <w:rFonts w:ascii="Arial" w:hAnsi="Arial" w:cs="Arial"/>
          <w:sz w:val="24"/>
          <w:szCs w:val="24"/>
        </w:rPr>
        <w:t>ed</w:t>
      </w:r>
      <w:r w:rsidR="009041B1" w:rsidRPr="006E68B2">
        <w:rPr>
          <w:rFonts w:ascii="Arial" w:hAnsi="Arial" w:cs="Arial"/>
          <w:sz w:val="24"/>
          <w:szCs w:val="24"/>
        </w:rPr>
        <w:t xml:space="preserve"> the </w:t>
      </w:r>
      <w:r w:rsidR="00554135" w:rsidRPr="006E68B2">
        <w:rPr>
          <w:rFonts w:ascii="Arial" w:hAnsi="Arial" w:cs="Arial"/>
          <w:sz w:val="24"/>
          <w:szCs w:val="24"/>
        </w:rPr>
        <w:t>impact</w:t>
      </w:r>
      <w:r w:rsidR="009041B1" w:rsidRPr="006E68B2">
        <w:rPr>
          <w:rFonts w:ascii="Arial" w:hAnsi="Arial" w:cs="Arial"/>
          <w:sz w:val="24"/>
          <w:szCs w:val="24"/>
        </w:rPr>
        <w:t xml:space="preserve"> of </w:t>
      </w:r>
      <w:r w:rsidR="006B40F7" w:rsidRPr="006E68B2">
        <w:rPr>
          <w:rFonts w:ascii="Arial" w:hAnsi="Arial" w:cs="Arial"/>
          <w:sz w:val="24"/>
          <w:szCs w:val="24"/>
        </w:rPr>
        <w:t>polypharmacy</w:t>
      </w:r>
      <w:r w:rsidR="00F207C5" w:rsidRPr="006E68B2">
        <w:rPr>
          <w:rFonts w:ascii="Arial" w:hAnsi="Arial" w:cs="Arial"/>
          <w:sz w:val="24"/>
          <w:szCs w:val="24"/>
        </w:rPr>
        <w:t>, including</w:t>
      </w:r>
      <w:r w:rsidR="006B40F7" w:rsidRPr="006E68B2">
        <w:rPr>
          <w:rFonts w:ascii="Arial" w:hAnsi="Arial" w:cs="Arial"/>
          <w:sz w:val="24"/>
          <w:szCs w:val="24"/>
        </w:rPr>
        <w:t xml:space="preserve"> </w:t>
      </w:r>
      <w:r w:rsidR="001A1AA4" w:rsidRPr="006E68B2">
        <w:rPr>
          <w:rFonts w:ascii="Arial" w:hAnsi="Arial" w:cs="Arial"/>
          <w:sz w:val="24"/>
          <w:szCs w:val="24"/>
        </w:rPr>
        <w:t xml:space="preserve">those with an </w:t>
      </w:r>
      <w:r w:rsidR="009041B1" w:rsidRPr="006E68B2">
        <w:rPr>
          <w:rFonts w:ascii="Arial" w:hAnsi="Arial" w:cs="Arial"/>
          <w:sz w:val="24"/>
          <w:szCs w:val="24"/>
        </w:rPr>
        <w:t xml:space="preserve">anticholinergic </w:t>
      </w:r>
      <w:r w:rsidR="001A1AA4" w:rsidRPr="006E68B2">
        <w:rPr>
          <w:rFonts w:ascii="Arial" w:hAnsi="Arial" w:cs="Arial"/>
          <w:sz w:val="24"/>
          <w:szCs w:val="24"/>
        </w:rPr>
        <w:t>burden (ACB)</w:t>
      </w:r>
      <w:r w:rsidR="00F207C5" w:rsidRPr="006E68B2">
        <w:rPr>
          <w:rFonts w:ascii="Arial" w:hAnsi="Arial" w:cs="Arial"/>
          <w:sz w:val="24"/>
          <w:szCs w:val="24"/>
        </w:rPr>
        <w:t>,</w:t>
      </w:r>
      <w:r w:rsidR="009041B1" w:rsidRPr="006E68B2">
        <w:rPr>
          <w:rFonts w:ascii="Arial" w:hAnsi="Arial" w:cs="Arial"/>
          <w:sz w:val="24"/>
          <w:szCs w:val="24"/>
        </w:rPr>
        <w:t xml:space="preserve"> </w:t>
      </w:r>
      <w:r w:rsidR="001A1AA4" w:rsidRPr="006E68B2">
        <w:rPr>
          <w:rFonts w:ascii="Arial" w:hAnsi="Arial" w:cs="Arial"/>
          <w:sz w:val="24"/>
          <w:szCs w:val="24"/>
        </w:rPr>
        <w:t>on hospital LOS.</w:t>
      </w:r>
      <w:r w:rsidR="0093141C" w:rsidRPr="006E68B2">
        <w:rPr>
          <w:rFonts w:ascii="Arial" w:hAnsi="Arial" w:cs="Arial"/>
          <w:sz w:val="24"/>
          <w:szCs w:val="24"/>
        </w:rPr>
        <w:t xml:space="preserve"> </w:t>
      </w:r>
      <w:r w:rsidR="00F207C5" w:rsidRPr="006E68B2">
        <w:rPr>
          <w:rFonts w:ascii="Arial" w:hAnsi="Arial" w:cs="Arial"/>
          <w:sz w:val="24"/>
          <w:szCs w:val="24"/>
        </w:rPr>
        <w:t xml:space="preserve">In addition, we assessed in this same group other </w:t>
      </w:r>
      <w:r w:rsidR="009E1275" w:rsidRPr="006E68B2">
        <w:rPr>
          <w:rFonts w:ascii="Arial" w:hAnsi="Arial" w:cs="Arial"/>
          <w:sz w:val="24"/>
          <w:szCs w:val="24"/>
        </w:rPr>
        <w:t xml:space="preserve">factors </w:t>
      </w:r>
      <w:r w:rsidR="008D38D4" w:rsidRPr="006E68B2">
        <w:rPr>
          <w:rFonts w:ascii="Arial" w:hAnsi="Arial" w:cs="Arial"/>
          <w:sz w:val="24"/>
          <w:szCs w:val="24"/>
        </w:rPr>
        <w:t xml:space="preserve">that may </w:t>
      </w:r>
      <w:r w:rsidR="00F207C5" w:rsidRPr="006E68B2">
        <w:rPr>
          <w:rFonts w:ascii="Arial" w:hAnsi="Arial" w:cs="Arial"/>
          <w:sz w:val="24"/>
          <w:szCs w:val="24"/>
        </w:rPr>
        <w:t xml:space="preserve">also </w:t>
      </w:r>
      <w:r w:rsidR="008D38D4" w:rsidRPr="006E68B2">
        <w:rPr>
          <w:rFonts w:ascii="Arial" w:hAnsi="Arial" w:cs="Arial"/>
          <w:sz w:val="24"/>
          <w:szCs w:val="24"/>
        </w:rPr>
        <w:t xml:space="preserve">accentuate LOS </w:t>
      </w:r>
      <w:r w:rsidR="00706A9C" w:rsidRPr="006E68B2">
        <w:rPr>
          <w:rFonts w:ascii="Arial" w:hAnsi="Arial" w:cs="Arial"/>
          <w:sz w:val="24"/>
          <w:szCs w:val="24"/>
        </w:rPr>
        <w:t xml:space="preserve">including failure to mobile within 1-day of hip surgery and </w:t>
      </w:r>
      <w:r w:rsidR="00F207C5" w:rsidRPr="006E68B2">
        <w:rPr>
          <w:rFonts w:ascii="Arial" w:hAnsi="Arial" w:cs="Arial"/>
          <w:sz w:val="24"/>
          <w:szCs w:val="24"/>
        </w:rPr>
        <w:t>hospital-</w:t>
      </w:r>
      <w:r w:rsidR="00706A9C" w:rsidRPr="006E68B2">
        <w:rPr>
          <w:rFonts w:ascii="Arial" w:hAnsi="Arial" w:cs="Arial"/>
          <w:sz w:val="24"/>
          <w:szCs w:val="24"/>
        </w:rPr>
        <w:t>acquired pressure ulcers</w:t>
      </w:r>
      <w:r w:rsidR="009041B1" w:rsidRPr="006E68B2">
        <w:rPr>
          <w:rFonts w:ascii="Arial" w:hAnsi="Arial" w:cs="Arial"/>
          <w:sz w:val="24"/>
          <w:szCs w:val="24"/>
        </w:rPr>
        <w:t>.</w:t>
      </w:r>
    </w:p>
    <w:p w14:paraId="3F863D9B" w14:textId="77777777" w:rsidR="008646C6" w:rsidRPr="006E68B2" w:rsidRDefault="008646C6" w:rsidP="00E042B9">
      <w:pPr>
        <w:spacing w:after="0" w:line="480" w:lineRule="auto"/>
        <w:jc w:val="both"/>
        <w:rPr>
          <w:rFonts w:ascii="Arial" w:hAnsi="Arial" w:cs="Arial"/>
          <w:sz w:val="24"/>
          <w:szCs w:val="24"/>
        </w:rPr>
      </w:pPr>
    </w:p>
    <w:p w14:paraId="11D88112" w14:textId="77777777" w:rsidR="00312887" w:rsidRPr="006E68B2" w:rsidRDefault="00312887" w:rsidP="00E042B9">
      <w:pPr>
        <w:spacing w:after="0" w:line="480" w:lineRule="auto"/>
        <w:jc w:val="both"/>
        <w:rPr>
          <w:rFonts w:ascii="Arial" w:hAnsi="Arial" w:cs="Arial"/>
          <w:b/>
          <w:sz w:val="24"/>
          <w:szCs w:val="24"/>
        </w:rPr>
      </w:pPr>
      <w:r w:rsidRPr="006E68B2">
        <w:rPr>
          <w:rFonts w:ascii="Arial" w:hAnsi="Arial" w:cs="Arial"/>
          <w:b/>
          <w:sz w:val="24"/>
          <w:szCs w:val="24"/>
        </w:rPr>
        <w:t>METHODS</w:t>
      </w:r>
    </w:p>
    <w:p w14:paraId="5F11F155" w14:textId="77777777" w:rsidR="00323A9F" w:rsidRPr="006E68B2" w:rsidRDefault="00312887" w:rsidP="00E042B9">
      <w:pPr>
        <w:spacing w:after="0" w:line="480" w:lineRule="auto"/>
        <w:jc w:val="both"/>
        <w:rPr>
          <w:rFonts w:ascii="Arial" w:hAnsi="Arial" w:cs="Arial"/>
          <w:b/>
          <w:sz w:val="24"/>
          <w:szCs w:val="24"/>
        </w:rPr>
      </w:pPr>
      <w:r w:rsidRPr="006E68B2">
        <w:rPr>
          <w:rFonts w:ascii="Arial" w:hAnsi="Arial" w:cs="Arial"/>
          <w:b/>
          <w:sz w:val="24"/>
          <w:szCs w:val="24"/>
        </w:rPr>
        <w:t xml:space="preserve">Study design, </w:t>
      </w:r>
      <w:r w:rsidR="004B6F98" w:rsidRPr="006E68B2">
        <w:rPr>
          <w:rFonts w:ascii="Arial" w:hAnsi="Arial" w:cs="Arial"/>
          <w:b/>
          <w:sz w:val="24"/>
          <w:szCs w:val="24"/>
        </w:rPr>
        <w:t>participants</w:t>
      </w:r>
      <w:r w:rsidRPr="006E68B2">
        <w:rPr>
          <w:rFonts w:ascii="Arial" w:hAnsi="Arial" w:cs="Arial"/>
          <w:b/>
          <w:sz w:val="24"/>
          <w:szCs w:val="24"/>
        </w:rPr>
        <w:t xml:space="preserve"> and </w:t>
      </w:r>
      <w:proofErr w:type="gramStart"/>
      <w:r w:rsidRPr="006E68B2">
        <w:rPr>
          <w:rFonts w:ascii="Arial" w:hAnsi="Arial" w:cs="Arial"/>
          <w:b/>
          <w:sz w:val="24"/>
          <w:szCs w:val="24"/>
        </w:rPr>
        <w:t>setting</w:t>
      </w:r>
      <w:proofErr w:type="gramEnd"/>
    </w:p>
    <w:p w14:paraId="550BDF35" w14:textId="4E3FDBE0" w:rsidR="00312887" w:rsidRPr="006E68B2" w:rsidRDefault="00323A9F" w:rsidP="00E042B9">
      <w:pPr>
        <w:spacing w:after="0" w:line="480" w:lineRule="auto"/>
        <w:jc w:val="both"/>
        <w:rPr>
          <w:rFonts w:ascii="Arial" w:hAnsi="Arial" w:cs="Arial"/>
          <w:b/>
          <w:sz w:val="24"/>
          <w:szCs w:val="24"/>
        </w:rPr>
      </w:pPr>
      <w:r w:rsidRPr="006E68B2">
        <w:rPr>
          <w:rFonts w:ascii="Arial" w:hAnsi="Arial" w:cs="Arial"/>
          <w:sz w:val="24"/>
          <w:szCs w:val="24"/>
        </w:rPr>
        <w:t>T</w:t>
      </w:r>
      <w:r w:rsidR="00312887" w:rsidRPr="006E68B2">
        <w:rPr>
          <w:rFonts w:ascii="Arial" w:hAnsi="Arial" w:cs="Arial"/>
          <w:sz w:val="24"/>
          <w:szCs w:val="24"/>
        </w:rPr>
        <w:t>his cross-sectional study</w:t>
      </w:r>
      <w:r w:rsidRPr="006E68B2">
        <w:rPr>
          <w:rFonts w:ascii="Arial" w:hAnsi="Arial" w:cs="Arial"/>
          <w:sz w:val="24"/>
          <w:szCs w:val="24"/>
        </w:rPr>
        <w:t xml:space="preserve"> comprised</w:t>
      </w:r>
      <w:r w:rsidR="00312887" w:rsidRPr="006E68B2">
        <w:rPr>
          <w:rFonts w:ascii="Arial" w:hAnsi="Arial" w:cs="Arial"/>
          <w:sz w:val="24"/>
          <w:szCs w:val="24"/>
        </w:rPr>
        <w:t xml:space="preserve"> </w:t>
      </w:r>
      <w:r w:rsidR="00212DE9" w:rsidRPr="006E68B2">
        <w:rPr>
          <w:rFonts w:ascii="Arial" w:hAnsi="Arial" w:cs="Arial"/>
          <w:sz w:val="24"/>
          <w:szCs w:val="24"/>
        </w:rPr>
        <w:t>1,105 patients</w:t>
      </w:r>
      <w:r w:rsidR="00312887" w:rsidRPr="006E68B2">
        <w:rPr>
          <w:rFonts w:ascii="Arial" w:hAnsi="Arial" w:cs="Arial"/>
          <w:sz w:val="24"/>
          <w:szCs w:val="24"/>
        </w:rPr>
        <w:t xml:space="preserve"> admitted </w:t>
      </w:r>
      <w:r w:rsidRPr="006E68B2">
        <w:rPr>
          <w:rFonts w:ascii="Arial" w:hAnsi="Arial" w:cs="Arial"/>
          <w:sz w:val="24"/>
          <w:szCs w:val="24"/>
        </w:rPr>
        <w:t xml:space="preserve">to a single NHS hospital </w:t>
      </w:r>
      <w:r w:rsidR="00312887" w:rsidRPr="006E68B2">
        <w:rPr>
          <w:rFonts w:ascii="Arial" w:hAnsi="Arial" w:cs="Arial"/>
          <w:sz w:val="24"/>
          <w:szCs w:val="24"/>
        </w:rPr>
        <w:t>from their own home with hip fractures</w:t>
      </w:r>
      <w:r w:rsidRPr="006E68B2">
        <w:rPr>
          <w:rFonts w:ascii="Arial" w:hAnsi="Arial" w:cs="Arial"/>
          <w:sz w:val="24"/>
          <w:szCs w:val="24"/>
        </w:rPr>
        <w:t xml:space="preserve"> </w:t>
      </w:r>
      <w:r w:rsidR="00312887" w:rsidRPr="006E68B2">
        <w:rPr>
          <w:rFonts w:ascii="Arial" w:hAnsi="Arial" w:cs="Arial"/>
          <w:sz w:val="24"/>
          <w:szCs w:val="24"/>
        </w:rPr>
        <w:t>between April 2009 and June 2019</w:t>
      </w:r>
      <w:r w:rsidR="005B5B0D" w:rsidRPr="006E68B2">
        <w:rPr>
          <w:rFonts w:ascii="Arial" w:hAnsi="Arial" w:cs="Arial"/>
          <w:sz w:val="24"/>
          <w:szCs w:val="24"/>
        </w:rPr>
        <w:t xml:space="preserve">. This hospital </w:t>
      </w:r>
      <w:r w:rsidRPr="006E68B2">
        <w:rPr>
          <w:rFonts w:ascii="Arial" w:hAnsi="Arial" w:cs="Arial"/>
          <w:sz w:val="24"/>
          <w:szCs w:val="24"/>
        </w:rPr>
        <w:t xml:space="preserve">in </w:t>
      </w:r>
      <w:r w:rsidR="00E82ECF" w:rsidRPr="006E68B2">
        <w:rPr>
          <w:rFonts w:ascii="Arial" w:hAnsi="Arial" w:cs="Arial"/>
          <w:sz w:val="24"/>
          <w:szCs w:val="24"/>
        </w:rPr>
        <w:t>South-West Surrey</w:t>
      </w:r>
      <w:r w:rsidR="00F207C5" w:rsidRPr="006E68B2">
        <w:rPr>
          <w:rFonts w:ascii="Arial" w:hAnsi="Arial" w:cs="Arial"/>
          <w:sz w:val="24"/>
          <w:szCs w:val="24"/>
        </w:rPr>
        <w:t>, UK</w:t>
      </w:r>
      <w:r w:rsidR="00212DE9" w:rsidRPr="006E68B2">
        <w:rPr>
          <w:rFonts w:ascii="Arial" w:hAnsi="Arial" w:cs="Arial"/>
          <w:sz w:val="24"/>
          <w:szCs w:val="24"/>
        </w:rPr>
        <w:t xml:space="preserve"> </w:t>
      </w:r>
      <w:r w:rsidR="00312887" w:rsidRPr="006E68B2">
        <w:rPr>
          <w:rFonts w:ascii="Arial" w:hAnsi="Arial" w:cs="Arial"/>
          <w:sz w:val="24"/>
          <w:szCs w:val="24"/>
        </w:rPr>
        <w:t>serv</w:t>
      </w:r>
      <w:r w:rsidR="00212DE9" w:rsidRPr="006E68B2">
        <w:rPr>
          <w:rFonts w:ascii="Arial" w:hAnsi="Arial" w:cs="Arial"/>
          <w:sz w:val="24"/>
          <w:szCs w:val="24"/>
        </w:rPr>
        <w:t>e</w:t>
      </w:r>
      <w:r w:rsidR="005B5B0D" w:rsidRPr="006E68B2">
        <w:rPr>
          <w:rFonts w:ascii="Arial" w:hAnsi="Arial" w:cs="Arial"/>
          <w:sz w:val="24"/>
          <w:szCs w:val="24"/>
        </w:rPr>
        <w:t>s</w:t>
      </w:r>
      <w:r w:rsidR="00312887" w:rsidRPr="006E68B2">
        <w:rPr>
          <w:rFonts w:ascii="Arial" w:hAnsi="Arial" w:cs="Arial"/>
          <w:sz w:val="24"/>
          <w:szCs w:val="24"/>
        </w:rPr>
        <w:t xml:space="preserve"> a population of more than 430,000 people.</w:t>
      </w:r>
    </w:p>
    <w:p w14:paraId="437ECD7E" w14:textId="77777777" w:rsidR="00312887" w:rsidRPr="006E68B2" w:rsidRDefault="00312887" w:rsidP="00E042B9">
      <w:pPr>
        <w:spacing w:after="0" w:line="480" w:lineRule="auto"/>
        <w:jc w:val="both"/>
        <w:rPr>
          <w:rFonts w:ascii="Arial" w:hAnsi="Arial" w:cs="Arial"/>
          <w:sz w:val="24"/>
          <w:szCs w:val="24"/>
        </w:rPr>
      </w:pPr>
    </w:p>
    <w:p w14:paraId="729E416C" w14:textId="77777777" w:rsidR="00312887" w:rsidRPr="006E68B2" w:rsidRDefault="00312887" w:rsidP="00E042B9">
      <w:pPr>
        <w:spacing w:after="0" w:line="480" w:lineRule="auto"/>
        <w:jc w:val="both"/>
        <w:rPr>
          <w:rFonts w:ascii="Arial" w:hAnsi="Arial" w:cs="Arial"/>
          <w:b/>
          <w:sz w:val="24"/>
          <w:szCs w:val="24"/>
        </w:rPr>
      </w:pPr>
      <w:r w:rsidRPr="006E68B2">
        <w:rPr>
          <w:rFonts w:ascii="Arial" w:hAnsi="Arial" w:cs="Arial"/>
          <w:b/>
          <w:sz w:val="24"/>
          <w:szCs w:val="24"/>
        </w:rPr>
        <w:t>Data collection</w:t>
      </w:r>
    </w:p>
    <w:p w14:paraId="3C40C698" w14:textId="61608CA7" w:rsidR="00312887" w:rsidRPr="006E68B2" w:rsidRDefault="00312887" w:rsidP="00E042B9">
      <w:pPr>
        <w:spacing w:after="0" w:line="480" w:lineRule="auto"/>
        <w:jc w:val="both"/>
        <w:rPr>
          <w:rFonts w:ascii="Arial" w:hAnsi="Arial" w:cs="Arial"/>
          <w:b/>
          <w:bCs/>
          <w:sz w:val="24"/>
          <w:szCs w:val="24"/>
        </w:rPr>
      </w:pPr>
      <w:r w:rsidRPr="006E68B2">
        <w:rPr>
          <w:rFonts w:ascii="Arial" w:hAnsi="Arial" w:cs="Arial"/>
          <w:sz w:val="24"/>
          <w:szCs w:val="24"/>
        </w:rPr>
        <w:t>Data were prospectively collected by a Trauma Coordinator, as part of our participation in the National Hip Fracture Database [</w:t>
      </w:r>
      <w:r w:rsidR="009F2FAA" w:rsidRPr="006E68B2">
        <w:rPr>
          <w:rFonts w:ascii="Arial" w:hAnsi="Arial" w:cs="Arial"/>
          <w:b/>
          <w:bCs/>
          <w:sz w:val="24"/>
          <w:szCs w:val="24"/>
        </w:rPr>
        <w:t>7</w:t>
      </w:r>
      <w:r w:rsidR="0032253F" w:rsidRPr="006E68B2">
        <w:rPr>
          <w:rFonts w:ascii="Arial" w:hAnsi="Arial" w:cs="Arial"/>
          <w:b/>
          <w:bCs/>
          <w:sz w:val="24"/>
          <w:szCs w:val="24"/>
        </w:rPr>
        <w:t>, 19</w:t>
      </w:r>
      <w:r w:rsidR="009F2FAA" w:rsidRPr="006E68B2">
        <w:rPr>
          <w:rFonts w:ascii="Arial" w:hAnsi="Arial" w:cs="Arial"/>
          <w:sz w:val="24"/>
          <w:szCs w:val="24"/>
        </w:rPr>
        <w:t>]</w:t>
      </w:r>
      <w:r w:rsidR="00450273" w:rsidRPr="006E68B2">
        <w:rPr>
          <w:rFonts w:ascii="Arial" w:hAnsi="Arial" w:cs="Arial"/>
          <w:sz w:val="24"/>
          <w:szCs w:val="24"/>
        </w:rPr>
        <w:t xml:space="preserve">, </w:t>
      </w:r>
      <w:r w:rsidRPr="006E68B2">
        <w:rPr>
          <w:rFonts w:ascii="Arial" w:hAnsi="Arial" w:cs="Arial"/>
          <w:sz w:val="24"/>
          <w:szCs w:val="24"/>
        </w:rPr>
        <w:t>compris</w:t>
      </w:r>
      <w:r w:rsidR="00450273" w:rsidRPr="006E68B2">
        <w:rPr>
          <w:rFonts w:ascii="Arial" w:hAnsi="Arial" w:cs="Arial"/>
          <w:sz w:val="24"/>
          <w:szCs w:val="24"/>
        </w:rPr>
        <w:t>ing</w:t>
      </w:r>
      <w:r w:rsidRPr="006E68B2">
        <w:rPr>
          <w:rFonts w:ascii="Arial" w:hAnsi="Arial" w:cs="Arial"/>
          <w:sz w:val="24"/>
          <w:szCs w:val="24"/>
        </w:rPr>
        <w:t xml:space="preserve"> clinical characteristics and </w:t>
      </w:r>
      <w:r w:rsidR="00F207C5" w:rsidRPr="006E68B2">
        <w:rPr>
          <w:rFonts w:ascii="Arial" w:hAnsi="Arial" w:cs="Arial"/>
          <w:sz w:val="24"/>
          <w:szCs w:val="24"/>
        </w:rPr>
        <w:t>care-</w:t>
      </w:r>
      <w:r w:rsidRPr="006E68B2">
        <w:rPr>
          <w:rFonts w:ascii="Arial" w:hAnsi="Arial" w:cs="Arial"/>
          <w:sz w:val="24"/>
          <w:szCs w:val="24"/>
        </w:rPr>
        <w:t xml:space="preserve">quality </w:t>
      </w:r>
      <w:r w:rsidR="00067ABC" w:rsidRPr="006E68B2">
        <w:rPr>
          <w:rFonts w:ascii="Arial" w:hAnsi="Arial" w:cs="Arial"/>
          <w:sz w:val="24"/>
          <w:szCs w:val="24"/>
        </w:rPr>
        <w:t xml:space="preserve">indicators </w:t>
      </w:r>
      <w:r w:rsidR="00E327E8" w:rsidRPr="006E68B2">
        <w:rPr>
          <w:rFonts w:ascii="Arial" w:hAnsi="Arial" w:cs="Arial"/>
          <w:sz w:val="24"/>
          <w:szCs w:val="24"/>
        </w:rPr>
        <w:t xml:space="preserve">during hospital admission </w:t>
      </w:r>
      <w:r w:rsidR="00067ABC" w:rsidRPr="006E68B2">
        <w:rPr>
          <w:rFonts w:ascii="Arial" w:hAnsi="Arial" w:cs="Arial"/>
          <w:sz w:val="24"/>
          <w:szCs w:val="24"/>
        </w:rPr>
        <w:t xml:space="preserve">including </w:t>
      </w:r>
      <w:r w:rsidRPr="006E68B2">
        <w:rPr>
          <w:rFonts w:ascii="Arial" w:hAnsi="Arial" w:cs="Arial"/>
          <w:sz w:val="24"/>
          <w:szCs w:val="24"/>
        </w:rPr>
        <w:t xml:space="preserve">LOS, </w:t>
      </w:r>
      <w:r w:rsidR="00067ABC" w:rsidRPr="006E68B2">
        <w:rPr>
          <w:rFonts w:ascii="Arial" w:hAnsi="Arial" w:cs="Arial"/>
          <w:sz w:val="24"/>
          <w:szCs w:val="24"/>
        </w:rPr>
        <w:t>mobility within 1-day of hip</w:t>
      </w:r>
      <w:r w:rsidR="00B25024" w:rsidRPr="006E68B2">
        <w:rPr>
          <w:rFonts w:ascii="Arial" w:hAnsi="Arial" w:cs="Arial"/>
          <w:sz w:val="24"/>
          <w:szCs w:val="24"/>
        </w:rPr>
        <w:t xml:space="preserve"> surgery</w:t>
      </w:r>
      <w:r w:rsidR="00656C85" w:rsidRPr="006E68B2">
        <w:rPr>
          <w:rFonts w:ascii="Arial" w:hAnsi="Arial" w:cs="Arial"/>
          <w:sz w:val="24"/>
          <w:szCs w:val="24"/>
        </w:rPr>
        <w:t xml:space="preserve"> and pressure ulcers</w:t>
      </w:r>
      <w:r w:rsidRPr="006E68B2">
        <w:rPr>
          <w:rFonts w:ascii="Arial" w:hAnsi="Arial" w:cs="Arial"/>
          <w:sz w:val="24"/>
          <w:szCs w:val="24"/>
        </w:rPr>
        <w:t>. Patients’ co-morbidities were identified from electronic record databases by disease codes categorised by the International Classification of Diseases [</w:t>
      </w:r>
      <w:r w:rsidR="0032253F" w:rsidRPr="006E68B2">
        <w:rPr>
          <w:rFonts w:ascii="Arial" w:hAnsi="Arial" w:cs="Arial"/>
          <w:b/>
          <w:bCs/>
          <w:sz w:val="24"/>
          <w:szCs w:val="24"/>
        </w:rPr>
        <w:t>20</w:t>
      </w:r>
      <w:r w:rsidR="0032253F" w:rsidRPr="006E68B2">
        <w:rPr>
          <w:rFonts w:ascii="Arial" w:hAnsi="Arial" w:cs="Arial"/>
          <w:sz w:val="24"/>
          <w:szCs w:val="24"/>
        </w:rPr>
        <w:t>]</w:t>
      </w:r>
      <w:r w:rsidR="00E327E8" w:rsidRPr="006E68B2">
        <w:rPr>
          <w:rFonts w:ascii="Arial" w:hAnsi="Arial" w:cs="Arial"/>
          <w:sz w:val="24"/>
          <w:szCs w:val="24"/>
        </w:rPr>
        <w:t>, and pre-fracture mobility status was assessed by a standardised tool [</w:t>
      </w:r>
      <w:r w:rsidR="009F2FAA" w:rsidRPr="006E68B2">
        <w:rPr>
          <w:rFonts w:ascii="Arial" w:hAnsi="Arial" w:cs="Arial"/>
          <w:b/>
          <w:bCs/>
          <w:sz w:val="24"/>
          <w:szCs w:val="24"/>
        </w:rPr>
        <w:t>7</w:t>
      </w:r>
      <w:r w:rsidR="0032253F" w:rsidRPr="006E68B2">
        <w:rPr>
          <w:rFonts w:ascii="Arial" w:hAnsi="Arial" w:cs="Arial"/>
          <w:b/>
          <w:bCs/>
          <w:sz w:val="24"/>
          <w:szCs w:val="24"/>
        </w:rPr>
        <w:t>, 21</w:t>
      </w:r>
      <w:r w:rsidR="009F2FAA" w:rsidRPr="006E68B2">
        <w:rPr>
          <w:rFonts w:ascii="Arial" w:hAnsi="Arial" w:cs="Arial"/>
          <w:sz w:val="24"/>
          <w:szCs w:val="24"/>
        </w:rPr>
        <w:t>]</w:t>
      </w:r>
      <w:r w:rsidR="00E327E8" w:rsidRPr="006E68B2">
        <w:rPr>
          <w:rFonts w:ascii="Arial" w:hAnsi="Arial" w:cs="Arial"/>
          <w:sz w:val="24"/>
          <w:szCs w:val="24"/>
        </w:rPr>
        <w:t>.</w:t>
      </w:r>
    </w:p>
    <w:p w14:paraId="1C0F8086" w14:textId="77777777" w:rsidR="00312887" w:rsidRPr="006E68B2" w:rsidRDefault="00312887" w:rsidP="00E042B9">
      <w:pPr>
        <w:spacing w:after="0" w:line="480" w:lineRule="auto"/>
        <w:jc w:val="both"/>
        <w:rPr>
          <w:rFonts w:ascii="Arial" w:hAnsi="Arial" w:cs="Arial"/>
          <w:sz w:val="24"/>
          <w:szCs w:val="24"/>
        </w:rPr>
      </w:pPr>
    </w:p>
    <w:p w14:paraId="19C25D37" w14:textId="77777777" w:rsidR="00312887" w:rsidRPr="006E68B2" w:rsidRDefault="00312887" w:rsidP="00E042B9">
      <w:pPr>
        <w:spacing w:after="0" w:line="480" w:lineRule="auto"/>
        <w:jc w:val="both"/>
        <w:rPr>
          <w:rFonts w:ascii="Arial" w:hAnsi="Arial" w:cs="Arial"/>
          <w:b/>
          <w:sz w:val="24"/>
          <w:szCs w:val="24"/>
        </w:rPr>
      </w:pPr>
      <w:r w:rsidRPr="006E68B2">
        <w:rPr>
          <w:rFonts w:ascii="Arial" w:hAnsi="Arial" w:cs="Arial"/>
          <w:b/>
          <w:sz w:val="24"/>
          <w:szCs w:val="24"/>
        </w:rPr>
        <w:t>Categorisation of variables</w:t>
      </w:r>
    </w:p>
    <w:p w14:paraId="1713ED5D" w14:textId="395A0B5C" w:rsidR="00312887" w:rsidRPr="006E68B2" w:rsidRDefault="00312887" w:rsidP="00E042B9">
      <w:pPr>
        <w:spacing w:after="0" w:line="480" w:lineRule="auto"/>
        <w:jc w:val="both"/>
        <w:rPr>
          <w:rFonts w:ascii="Arial" w:hAnsi="Arial" w:cs="Arial"/>
          <w:sz w:val="24"/>
          <w:szCs w:val="24"/>
        </w:rPr>
      </w:pPr>
      <w:r w:rsidRPr="006E68B2">
        <w:rPr>
          <w:rFonts w:ascii="Arial" w:hAnsi="Arial" w:cs="Arial"/>
          <w:sz w:val="24"/>
          <w:szCs w:val="24"/>
        </w:rPr>
        <w:t xml:space="preserve">Polypharmacy was defined as </w:t>
      </w:r>
      <w:r w:rsidR="00010C1C" w:rsidRPr="006E68B2">
        <w:rPr>
          <w:rFonts w:ascii="Arial" w:hAnsi="Arial" w:cs="Arial"/>
          <w:sz w:val="24"/>
          <w:szCs w:val="24"/>
        </w:rPr>
        <w:t xml:space="preserve">≥4 </w:t>
      </w:r>
      <w:r w:rsidRPr="006E68B2">
        <w:rPr>
          <w:rFonts w:ascii="Arial" w:hAnsi="Arial" w:cs="Arial"/>
          <w:sz w:val="24"/>
          <w:szCs w:val="24"/>
        </w:rPr>
        <w:t>different types of medications taken daily</w:t>
      </w:r>
      <w:r w:rsidR="000E45AB" w:rsidRPr="006E68B2">
        <w:rPr>
          <w:rFonts w:ascii="Arial" w:hAnsi="Arial" w:cs="Arial"/>
          <w:sz w:val="24"/>
          <w:szCs w:val="24"/>
        </w:rPr>
        <w:t xml:space="preserve"> [</w:t>
      </w:r>
      <w:r w:rsidR="00034CF3" w:rsidRPr="006E68B2">
        <w:rPr>
          <w:rFonts w:ascii="Arial" w:hAnsi="Arial" w:cs="Arial"/>
          <w:b/>
          <w:bCs/>
          <w:sz w:val="24"/>
          <w:szCs w:val="24"/>
        </w:rPr>
        <w:t>4</w:t>
      </w:r>
      <w:r w:rsidR="009F2FAA" w:rsidRPr="006E68B2">
        <w:rPr>
          <w:rFonts w:ascii="Arial" w:hAnsi="Arial" w:cs="Arial"/>
          <w:b/>
          <w:bCs/>
          <w:sz w:val="24"/>
          <w:szCs w:val="24"/>
        </w:rPr>
        <w:t>,9</w:t>
      </w:r>
      <w:r w:rsidR="0089412E" w:rsidRPr="006E68B2">
        <w:rPr>
          <w:rFonts w:ascii="Arial" w:hAnsi="Arial" w:cs="Arial"/>
          <w:sz w:val="24"/>
          <w:szCs w:val="24"/>
        </w:rPr>
        <w:t>]</w:t>
      </w:r>
      <w:r w:rsidRPr="006E68B2">
        <w:rPr>
          <w:rFonts w:ascii="Arial" w:hAnsi="Arial" w:cs="Arial"/>
          <w:sz w:val="24"/>
          <w:szCs w:val="24"/>
        </w:rPr>
        <w:t xml:space="preserve">. The ACB </w:t>
      </w:r>
      <w:r w:rsidR="000F703B" w:rsidRPr="006E68B2">
        <w:rPr>
          <w:rFonts w:ascii="Arial" w:hAnsi="Arial" w:cs="Arial"/>
          <w:sz w:val="24"/>
          <w:szCs w:val="24"/>
        </w:rPr>
        <w:t xml:space="preserve">score </w:t>
      </w:r>
      <w:r w:rsidRPr="006E68B2">
        <w:rPr>
          <w:rFonts w:ascii="Arial" w:hAnsi="Arial" w:cs="Arial"/>
          <w:sz w:val="24"/>
          <w:szCs w:val="24"/>
        </w:rPr>
        <w:t>was based on the list of medications developed by the Aging Brain Program [</w:t>
      </w:r>
      <w:r w:rsidR="00887E44" w:rsidRPr="006E68B2">
        <w:rPr>
          <w:rFonts w:ascii="Arial" w:hAnsi="Arial" w:cs="Arial"/>
          <w:b/>
          <w:bCs/>
          <w:sz w:val="24"/>
          <w:szCs w:val="24"/>
        </w:rPr>
        <w:t>22</w:t>
      </w:r>
      <w:r w:rsidR="00887E44" w:rsidRPr="006E68B2">
        <w:rPr>
          <w:rFonts w:ascii="Arial" w:hAnsi="Arial" w:cs="Arial"/>
          <w:sz w:val="24"/>
          <w:szCs w:val="24"/>
        </w:rPr>
        <w:t>]</w:t>
      </w:r>
      <w:r w:rsidRPr="006E68B2">
        <w:rPr>
          <w:rFonts w:ascii="Arial" w:hAnsi="Arial" w:cs="Arial"/>
          <w:sz w:val="24"/>
          <w:szCs w:val="24"/>
        </w:rPr>
        <w:t>.</w:t>
      </w:r>
      <w:r w:rsidR="00FC6D50" w:rsidRPr="006E68B2">
        <w:rPr>
          <w:rFonts w:ascii="Arial" w:hAnsi="Arial" w:cs="Arial"/>
          <w:sz w:val="24"/>
          <w:szCs w:val="24"/>
        </w:rPr>
        <w:t xml:space="preserve"> </w:t>
      </w:r>
      <w:r w:rsidR="00FC6D50" w:rsidRPr="006E68B2">
        <w:rPr>
          <w:rFonts w:ascii="Arial" w:hAnsi="Arial" w:cs="Arial"/>
          <w:i/>
          <w:iCs/>
          <w:sz w:val="24"/>
          <w:szCs w:val="24"/>
        </w:rPr>
        <w:t xml:space="preserve">Three </w:t>
      </w:r>
      <w:r w:rsidR="008F2EDF" w:rsidRPr="006E68B2">
        <w:rPr>
          <w:rFonts w:ascii="Arial" w:hAnsi="Arial" w:cs="Arial"/>
          <w:i/>
          <w:iCs/>
          <w:sz w:val="24"/>
          <w:szCs w:val="24"/>
        </w:rPr>
        <w:t>levels</w:t>
      </w:r>
      <w:r w:rsidR="00FC6D50" w:rsidRPr="006E68B2">
        <w:rPr>
          <w:rFonts w:ascii="Arial" w:hAnsi="Arial" w:cs="Arial"/>
          <w:i/>
          <w:iCs/>
          <w:sz w:val="24"/>
          <w:szCs w:val="24"/>
        </w:rPr>
        <w:t xml:space="preserve"> of</w:t>
      </w:r>
      <w:r w:rsidR="00CE2C94" w:rsidRPr="006E68B2">
        <w:rPr>
          <w:rFonts w:ascii="Arial" w:hAnsi="Arial" w:cs="Arial"/>
          <w:sz w:val="24"/>
          <w:szCs w:val="24"/>
        </w:rPr>
        <w:t xml:space="preserve"> </w:t>
      </w:r>
      <w:r w:rsidR="00FC6D50" w:rsidRPr="006E68B2">
        <w:rPr>
          <w:rFonts w:ascii="Arial" w:hAnsi="Arial" w:cs="Arial"/>
          <w:i/>
          <w:iCs/>
          <w:sz w:val="24"/>
          <w:szCs w:val="24"/>
        </w:rPr>
        <w:t>m</w:t>
      </w:r>
      <w:r w:rsidR="00CE2C94" w:rsidRPr="006E68B2">
        <w:rPr>
          <w:rFonts w:ascii="Arial" w:hAnsi="Arial" w:cs="Arial"/>
          <w:i/>
          <w:iCs/>
          <w:sz w:val="24"/>
          <w:szCs w:val="24"/>
        </w:rPr>
        <w:t>edication status</w:t>
      </w:r>
      <w:r w:rsidR="00CE2C94" w:rsidRPr="006E68B2">
        <w:rPr>
          <w:rFonts w:ascii="Arial" w:hAnsi="Arial" w:cs="Arial"/>
          <w:sz w:val="24"/>
          <w:szCs w:val="24"/>
        </w:rPr>
        <w:t xml:space="preserve"> w</w:t>
      </w:r>
      <w:r w:rsidR="00FC6D50" w:rsidRPr="006E68B2">
        <w:rPr>
          <w:rFonts w:ascii="Arial" w:hAnsi="Arial" w:cs="Arial"/>
          <w:sz w:val="24"/>
          <w:szCs w:val="24"/>
        </w:rPr>
        <w:t>ere created</w:t>
      </w:r>
      <w:r w:rsidR="00CE2C94" w:rsidRPr="006E68B2">
        <w:rPr>
          <w:rFonts w:ascii="Arial" w:hAnsi="Arial" w:cs="Arial"/>
          <w:sz w:val="24"/>
          <w:szCs w:val="24"/>
        </w:rPr>
        <w:t xml:space="preserve"> according to different combinations of </w:t>
      </w:r>
      <w:r w:rsidR="00FC6D50" w:rsidRPr="006E68B2">
        <w:rPr>
          <w:rFonts w:ascii="Arial" w:hAnsi="Arial" w:cs="Arial"/>
          <w:sz w:val="24"/>
          <w:szCs w:val="24"/>
        </w:rPr>
        <w:t xml:space="preserve">ACB scale and </w:t>
      </w:r>
      <w:r w:rsidR="00CE2C94" w:rsidRPr="006E68B2">
        <w:rPr>
          <w:rFonts w:ascii="Arial" w:hAnsi="Arial" w:cs="Arial"/>
          <w:sz w:val="24"/>
          <w:szCs w:val="24"/>
        </w:rPr>
        <w:t xml:space="preserve">the number of </w:t>
      </w:r>
      <w:r w:rsidR="00FC6D50" w:rsidRPr="006E68B2">
        <w:rPr>
          <w:rFonts w:ascii="Arial" w:hAnsi="Arial" w:cs="Arial"/>
          <w:sz w:val="24"/>
          <w:szCs w:val="24"/>
        </w:rPr>
        <w:t xml:space="preserve">daily </w:t>
      </w:r>
      <w:r w:rsidR="00CE2C94" w:rsidRPr="006E68B2">
        <w:rPr>
          <w:rFonts w:ascii="Arial" w:hAnsi="Arial" w:cs="Arial"/>
          <w:sz w:val="24"/>
          <w:szCs w:val="24"/>
        </w:rPr>
        <w:t xml:space="preserve">drugs. </w:t>
      </w:r>
      <w:r w:rsidR="008F2EDF" w:rsidRPr="006E68B2">
        <w:rPr>
          <w:rFonts w:ascii="Arial" w:hAnsi="Arial" w:cs="Arial"/>
          <w:i/>
          <w:iCs/>
          <w:sz w:val="24"/>
          <w:szCs w:val="24"/>
        </w:rPr>
        <w:t>Level</w:t>
      </w:r>
      <w:r w:rsidR="00CE2C94" w:rsidRPr="006E68B2">
        <w:rPr>
          <w:rFonts w:ascii="Arial" w:hAnsi="Arial" w:cs="Arial"/>
          <w:i/>
          <w:iCs/>
          <w:sz w:val="24"/>
          <w:szCs w:val="24"/>
        </w:rPr>
        <w:t>-1</w:t>
      </w:r>
      <w:r w:rsidR="00CE2C94" w:rsidRPr="006E68B2">
        <w:rPr>
          <w:rFonts w:ascii="Arial" w:hAnsi="Arial" w:cs="Arial"/>
          <w:sz w:val="24"/>
          <w:szCs w:val="24"/>
        </w:rPr>
        <w:t xml:space="preserve">: ACB score =0 </w:t>
      </w:r>
      <w:r w:rsidR="00CE2C94" w:rsidRPr="006E68B2">
        <w:rPr>
          <w:rFonts w:ascii="Arial" w:hAnsi="Arial" w:cs="Arial"/>
          <w:b/>
          <w:bCs/>
          <w:sz w:val="24"/>
          <w:szCs w:val="24"/>
          <w:u w:val="single"/>
        </w:rPr>
        <w:t>and</w:t>
      </w:r>
      <w:r w:rsidR="00CE2C94" w:rsidRPr="006E68B2">
        <w:rPr>
          <w:rFonts w:ascii="Arial" w:hAnsi="Arial" w:cs="Arial"/>
          <w:sz w:val="24"/>
          <w:szCs w:val="24"/>
        </w:rPr>
        <w:t xml:space="preserve"> &lt;4 drugs a day, </w:t>
      </w:r>
      <w:r w:rsidR="008F2EDF" w:rsidRPr="006E68B2">
        <w:rPr>
          <w:rFonts w:ascii="Arial" w:hAnsi="Arial" w:cs="Arial"/>
          <w:i/>
          <w:iCs/>
          <w:sz w:val="24"/>
          <w:szCs w:val="24"/>
        </w:rPr>
        <w:t>Level</w:t>
      </w:r>
      <w:r w:rsidR="00CE2C94" w:rsidRPr="006E68B2">
        <w:rPr>
          <w:rFonts w:ascii="Arial" w:hAnsi="Arial" w:cs="Arial"/>
          <w:i/>
          <w:iCs/>
          <w:sz w:val="24"/>
          <w:szCs w:val="24"/>
        </w:rPr>
        <w:t>-2</w:t>
      </w:r>
      <w:r w:rsidR="00CE2C94" w:rsidRPr="006E68B2">
        <w:rPr>
          <w:rFonts w:ascii="Arial" w:hAnsi="Arial" w:cs="Arial"/>
          <w:sz w:val="24"/>
          <w:szCs w:val="24"/>
        </w:rPr>
        <w:t xml:space="preserve">: ACB score ≥1 </w:t>
      </w:r>
      <w:r w:rsidR="00CE2C94" w:rsidRPr="006E68B2">
        <w:rPr>
          <w:rFonts w:ascii="Arial" w:hAnsi="Arial" w:cs="Arial"/>
          <w:b/>
          <w:bCs/>
          <w:sz w:val="24"/>
          <w:szCs w:val="24"/>
          <w:u w:val="single"/>
        </w:rPr>
        <w:t>or</w:t>
      </w:r>
      <w:r w:rsidR="00CE2C94" w:rsidRPr="006E68B2">
        <w:rPr>
          <w:rFonts w:ascii="Arial" w:hAnsi="Arial" w:cs="Arial"/>
          <w:sz w:val="24"/>
          <w:szCs w:val="24"/>
        </w:rPr>
        <w:t xml:space="preserve"> ≥4 drugs a day, and</w:t>
      </w:r>
      <w:r w:rsidR="00CE2C94" w:rsidRPr="006E68B2">
        <w:rPr>
          <w:rFonts w:ascii="Arial" w:hAnsi="Arial" w:cs="Arial"/>
          <w:i/>
          <w:iCs/>
          <w:sz w:val="24"/>
          <w:szCs w:val="24"/>
        </w:rPr>
        <w:t xml:space="preserve"> </w:t>
      </w:r>
      <w:r w:rsidR="008F2EDF" w:rsidRPr="006E68B2">
        <w:rPr>
          <w:rFonts w:ascii="Arial" w:hAnsi="Arial" w:cs="Arial"/>
          <w:i/>
          <w:iCs/>
          <w:sz w:val="24"/>
          <w:szCs w:val="24"/>
        </w:rPr>
        <w:t>Level</w:t>
      </w:r>
      <w:r w:rsidR="00CE2C94" w:rsidRPr="006E68B2">
        <w:rPr>
          <w:rFonts w:ascii="Arial" w:hAnsi="Arial" w:cs="Arial"/>
          <w:i/>
          <w:iCs/>
          <w:sz w:val="24"/>
          <w:szCs w:val="24"/>
        </w:rPr>
        <w:t>-3</w:t>
      </w:r>
      <w:r w:rsidR="00CE2C94" w:rsidRPr="006E68B2">
        <w:rPr>
          <w:rFonts w:ascii="Arial" w:hAnsi="Arial" w:cs="Arial"/>
          <w:sz w:val="24"/>
          <w:szCs w:val="24"/>
        </w:rPr>
        <w:t xml:space="preserve">: ACB score ≥1 </w:t>
      </w:r>
      <w:r w:rsidR="00CE2C94" w:rsidRPr="006E68B2">
        <w:rPr>
          <w:rFonts w:ascii="Arial" w:hAnsi="Arial" w:cs="Arial"/>
          <w:b/>
          <w:bCs/>
          <w:sz w:val="24"/>
          <w:szCs w:val="24"/>
          <w:u w:val="single"/>
        </w:rPr>
        <w:t>and</w:t>
      </w:r>
      <w:r w:rsidR="00CE2C94" w:rsidRPr="006E68B2">
        <w:rPr>
          <w:rFonts w:ascii="Arial" w:hAnsi="Arial" w:cs="Arial"/>
          <w:sz w:val="24"/>
          <w:szCs w:val="24"/>
        </w:rPr>
        <w:t xml:space="preserve"> ≥4 drugs a day.</w:t>
      </w:r>
      <w:r w:rsidR="00A70C8D" w:rsidRPr="006E68B2">
        <w:rPr>
          <w:rFonts w:ascii="Arial" w:hAnsi="Arial" w:cs="Arial"/>
          <w:sz w:val="24"/>
          <w:szCs w:val="24"/>
        </w:rPr>
        <w:t xml:space="preserve"> Pre-fracture mobility status was recorded as: freely mobile without aids; mobile outdoors with one aid; mobile outdoors with two aids or frame; some indoor mobility but never goes outside without help; and no functional mobility </w:t>
      </w:r>
      <w:r w:rsidR="00E85AF2" w:rsidRPr="006E68B2">
        <w:rPr>
          <w:rFonts w:ascii="Arial" w:hAnsi="Arial" w:cs="Arial"/>
          <w:sz w:val="24"/>
          <w:szCs w:val="24"/>
        </w:rPr>
        <w:t>of</w:t>
      </w:r>
      <w:r w:rsidR="00A70C8D" w:rsidRPr="006E68B2">
        <w:rPr>
          <w:rFonts w:ascii="Arial" w:hAnsi="Arial" w:cs="Arial"/>
          <w:sz w:val="24"/>
          <w:szCs w:val="24"/>
        </w:rPr>
        <w:t xml:space="preserve"> lower limbs [</w:t>
      </w:r>
      <w:r w:rsidR="009F2FAA" w:rsidRPr="006E68B2">
        <w:rPr>
          <w:rFonts w:ascii="Arial" w:hAnsi="Arial" w:cs="Arial"/>
          <w:b/>
          <w:bCs/>
          <w:sz w:val="24"/>
          <w:szCs w:val="24"/>
        </w:rPr>
        <w:t>7</w:t>
      </w:r>
      <w:r w:rsidR="009F2FAA" w:rsidRPr="006E68B2">
        <w:rPr>
          <w:rFonts w:ascii="Arial" w:hAnsi="Arial" w:cs="Arial"/>
          <w:sz w:val="24"/>
          <w:szCs w:val="24"/>
        </w:rPr>
        <w:t>]</w:t>
      </w:r>
      <w:r w:rsidR="00A70C8D" w:rsidRPr="006E68B2">
        <w:rPr>
          <w:rFonts w:ascii="Arial" w:hAnsi="Arial" w:cs="Arial"/>
          <w:sz w:val="24"/>
          <w:szCs w:val="24"/>
        </w:rPr>
        <w:t>. The last two groups were considered as a “limited to indoors” category [</w:t>
      </w:r>
      <w:r w:rsidR="0032253F" w:rsidRPr="006E68B2">
        <w:rPr>
          <w:rFonts w:ascii="Arial" w:hAnsi="Arial" w:cs="Arial"/>
          <w:b/>
          <w:bCs/>
          <w:sz w:val="24"/>
          <w:szCs w:val="24"/>
        </w:rPr>
        <w:t>21</w:t>
      </w:r>
      <w:r w:rsidR="0032253F" w:rsidRPr="006E68B2">
        <w:rPr>
          <w:rFonts w:ascii="Arial" w:hAnsi="Arial" w:cs="Arial"/>
          <w:sz w:val="24"/>
          <w:szCs w:val="24"/>
        </w:rPr>
        <w:t>]</w:t>
      </w:r>
      <w:r w:rsidR="00A70C8D" w:rsidRPr="006E68B2">
        <w:rPr>
          <w:rFonts w:ascii="Arial" w:hAnsi="Arial" w:cs="Arial"/>
          <w:sz w:val="24"/>
          <w:szCs w:val="24"/>
        </w:rPr>
        <w:t>.</w:t>
      </w:r>
    </w:p>
    <w:p w14:paraId="7285B60A" w14:textId="77777777" w:rsidR="00312887" w:rsidRPr="006E68B2" w:rsidRDefault="00312887" w:rsidP="00E042B9">
      <w:pPr>
        <w:spacing w:after="0" w:line="480" w:lineRule="auto"/>
        <w:jc w:val="both"/>
        <w:rPr>
          <w:rFonts w:ascii="Arial" w:hAnsi="Arial" w:cs="Arial"/>
          <w:sz w:val="24"/>
          <w:szCs w:val="24"/>
        </w:rPr>
      </w:pPr>
    </w:p>
    <w:p w14:paraId="0EA592C0" w14:textId="77777777" w:rsidR="00312887" w:rsidRPr="006E68B2" w:rsidRDefault="00312887" w:rsidP="00E042B9">
      <w:pPr>
        <w:spacing w:after="0" w:line="480" w:lineRule="auto"/>
        <w:jc w:val="both"/>
        <w:rPr>
          <w:rFonts w:ascii="Arial" w:hAnsi="Arial" w:cs="Arial"/>
          <w:b/>
          <w:sz w:val="24"/>
          <w:szCs w:val="24"/>
        </w:rPr>
      </w:pPr>
      <w:r w:rsidRPr="006E68B2">
        <w:rPr>
          <w:rFonts w:ascii="Arial" w:hAnsi="Arial" w:cs="Arial"/>
          <w:b/>
          <w:sz w:val="24"/>
          <w:szCs w:val="24"/>
        </w:rPr>
        <w:t>Statistical analysis</w:t>
      </w:r>
    </w:p>
    <w:p w14:paraId="68DBE084" w14:textId="20BF97F8" w:rsidR="00312887" w:rsidRPr="006E68B2" w:rsidRDefault="0019278E" w:rsidP="00E042B9">
      <w:pPr>
        <w:spacing w:after="0" w:line="480" w:lineRule="auto"/>
        <w:jc w:val="both"/>
        <w:rPr>
          <w:rFonts w:ascii="Arial" w:hAnsi="Arial" w:cs="Arial"/>
          <w:sz w:val="24"/>
          <w:szCs w:val="24"/>
        </w:rPr>
      </w:pPr>
      <w:r w:rsidRPr="006E68B2">
        <w:rPr>
          <w:rFonts w:ascii="Arial" w:hAnsi="Arial" w:cs="Arial"/>
          <w:sz w:val="24"/>
          <w:szCs w:val="24"/>
        </w:rPr>
        <w:t>Kruskal-Wallis test</w:t>
      </w:r>
      <w:r w:rsidR="00F207C5" w:rsidRPr="006E68B2">
        <w:rPr>
          <w:rFonts w:ascii="Arial" w:hAnsi="Arial" w:cs="Arial"/>
          <w:sz w:val="24"/>
          <w:szCs w:val="24"/>
        </w:rPr>
        <w:t>s</w:t>
      </w:r>
      <w:r w:rsidRPr="006E68B2">
        <w:rPr>
          <w:rFonts w:ascii="Arial" w:hAnsi="Arial" w:cs="Arial"/>
          <w:sz w:val="24"/>
          <w:szCs w:val="24"/>
        </w:rPr>
        <w:t xml:space="preserve"> assess</w:t>
      </w:r>
      <w:r w:rsidR="00F207C5" w:rsidRPr="006E68B2">
        <w:rPr>
          <w:rFonts w:ascii="Arial" w:hAnsi="Arial" w:cs="Arial"/>
          <w:sz w:val="24"/>
          <w:szCs w:val="24"/>
        </w:rPr>
        <w:t>ed</w:t>
      </w:r>
      <w:r w:rsidRPr="006E68B2">
        <w:rPr>
          <w:rFonts w:ascii="Arial" w:hAnsi="Arial" w:cs="Arial"/>
          <w:sz w:val="24"/>
          <w:szCs w:val="24"/>
        </w:rPr>
        <w:t xml:space="preserve"> differences</w:t>
      </w:r>
      <w:r w:rsidR="00B2203C" w:rsidRPr="006E68B2">
        <w:rPr>
          <w:rFonts w:ascii="Arial" w:hAnsi="Arial" w:cs="Arial"/>
          <w:sz w:val="24"/>
          <w:szCs w:val="24"/>
        </w:rPr>
        <w:t xml:space="preserve"> in LOS (</w:t>
      </w:r>
      <w:r w:rsidR="00433020" w:rsidRPr="006E68B2">
        <w:rPr>
          <w:rFonts w:ascii="Arial" w:hAnsi="Arial" w:cs="Arial"/>
          <w:sz w:val="24"/>
          <w:szCs w:val="24"/>
        </w:rPr>
        <w:t xml:space="preserve">as a </w:t>
      </w:r>
      <w:r w:rsidR="00B2203C" w:rsidRPr="006E68B2">
        <w:rPr>
          <w:rFonts w:ascii="Arial" w:hAnsi="Arial" w:cs="Arial"/>
          <w:sz w:val="24"/>
          <w:szCs w:val="24"/>
        </w:rPr>
        <w:t>continuous variable)</w:t>
      </w:r>
      <w:r w:rsidR="008936A5" w:rsidRPr="006E68B2">
        <w:rPr>
          <w:rFonts w:ascii="Arial" w:hAnsi="Arial" w:cs="Arial"/>
          <w:sz w:val="24"/>
          <w:szCs w:val="24"/>
        </w:rPr>
        <w:t xml:space="preserve"> between more than two </w:t>
      </w:r>
      <w:r w:rsidR="002E2D81" w:rsidRPr="006E68B2">
        <w:rPr>
          <w:rFonts w:ascii="Arial" w:hAnsi="Arial" w:cs="Arial"/>
          <w:sz w:val="24"/>
          <w:szCs w:val="24"/>
        </w:rPr>
        <w:t>categories</w:t>
      </w:r>
      <w:r w:rsidRPr="006E68B2">
        <w:rPr>
          <w:rFonts w:ascii="Arial" w:hAnsi="Arial" w:cs="Arial"/>
          <w:sz w:val="24"/>
          <w:szCs w:val="24"/>
        </w:rPr>
        <w:t xml:space="preserve"> </w:t>
      </w:r>
      <w:r w:rsidR="00FC0604" w:rsidRPr="006E68B2">
        <w:rPr>
          <w:rFonts w:ascii="Arial" w:hAnsi="Arial" w:cs="Arial"/>
          <w:sz w:val="24"/>
          <w:szCs w:val="24"/>
        </w:rPr>
        <w:t>(i.e.</w:t>
      </w:r>
      <w:r w:rsidRPr="006E68B2">
        <w:rPr>
          <w:rFonts w:ascii="Arial" w:hAnsi="Arial" w:cs="Arial"/>
          <w:sz w:val="24"/>
          <w:szCs w:val="24"/>
        </w:rPr>
        <w:t xml:space="preserve"> </w:t>
      </w:r>
      <w:r w:rsidR="008B1156" w:rsidRPr="006E68B2">
        <w:rPr>
          <w:rFonts w:ascii="Arial" w:hAnsi="Arial" w:cs="Arial"/>
          <w:sz w:val="24"/>
          <w:szCs w:val="24"/>
        </w:rPr>
        <w:t xml:space="preserve">three </w:t>
      </w:r>
      <w:r w:rsidR="008F2EDF" w:rsidRPr="006E68B2">
        <w:rPr>
          <w:rFonts w:ascii="Arial" w:hAnsi="Arial" w:cs="Arial"/>
          <w:sz w:val="24"/>
          <w:szCs w:val="24"/>
        </w:rPr>
        <w:t>levels</w:t>
      </w:r>
      <w:r w:rsidR="00FC0604" w:rsidRPr="006E68B2">
        <w:rPr>
          <w:rFonts w:ascii="Arial" w:hAnsi="Arial" w:cs="Arial"/>
          <w:sz w:val="24"/>
          <w:szCs w:val="24"/>
        </w:rPr>
        <w:t xml:space="preserve"> of </w:t>
      </w:r>
      <w:r w:rsidR="008936A5" w:rsidRPr="006E68B2">
        <w:rPr>
          <w:rFonts w:ascii="Arial" w:hAnsi="Arial" w:cs="Arial"/>
          <w:sz w:val="24"/>
          <w:szCs w:val="24"/>
        </w:rPr>
        <w:t>medication status</w:t>
      </w:r>
      <w:r w:rsidR="00FC0604" w:rsidRPr="006E68B2">
        <w:rPr>
          <w:rFonts w:ascii="Arial" w:hAnsi="Arial" w:cs="Arial"/>
          <w:sz w:val="24"/>
          <w:szCs w:val="24"/>
        </w:rPr>
        <w:t>)</w:t>
      </w:r>
      <w:r w:rsidR="008936A5" w:rsidRPr="006E68B2">
        <w:rPr>
          <w:rFonts w:ascii="Arial" w:hAnsi="Arial" w:cs="Arial"/>
          <w:sz w:val="24"/>
          <w:szCs w:val="24"/>
        </w:rPr>
        <w:t>.</w:t>
      </w:r>
      <w:r w:rsidR="00312887" w:rsidRPr="006E68B2">
        <w:rPr>
          <w:rFonts w:ascii="Arial" w:hAnsi="Arial" w:cs="Arial"/>
          <w:sz w:val="24"/>
          <w:szCs w:val="24"/>
        </w:rPr>
        <w:t xml:space="preserve"> </w:t>
      </w:r>
      <w:r w:rsidRPr="006E68B2">
        <w:rPr>
          <w:rFonts w:ascii="Arial" w:hAnsi="Arial" w:cs="Arial"/>
          <w:sz w:val="24"/>
          <w:szCs w:val="24"/>
        </w:rPr>
        <w:t>Chi-squared tests assess</w:t>
      </w:r>
      <w:r w:rsidR="00F207C5" w:rsidRPr="006E68B2">
        <w:rPr>
          <w:rFonts w:ascii="Arial" w:hAnsi="Arial" w:cs="Arial"/>
          <w:sz w:val="24"/>
          <w:szCs w:val="24"/>
        </w:rPr>
        <w:t>ed</w:t>
      </w:r>
      <w:r w:rsidRPr="006E68B2">
        <w:rPr>
          <w:rFonts w:ascii="Arial" w:hAnsi="Arial" w:cs="Arial"/>
          <w:sz w:val="24"/>
          <w:szCs w:val="24"/>
        </w:rPr>
        <w:t xml:space="preserve"> d</w:t>
      </w:r>
      <w:r w:rsidR="00312887" w:rsidRPr="006E68B2">
        <w:rPr>
          <w:rFonts w:ascii="Arial" w:hAnsi="Arial" w:cs="Arial"/>
          <w:sz w:val="24"/>
          <w:szCs w:val="24"/>
        </w:rPr>
        <w:t xml:space="preserve">ifferences between categorical outcome variables </w:t>
      </w:r>
      <w:r w:rsidRPr="006E68B2">
        <w:rPr>
          <w:rFonts w:ascii="Arial" w:hAnsi="Arial" w:cs="Arial"/>
          <w:sz w:val="24"/>
          <w:szCs w:val="24"/>
        </w:rPr>
        <w:t>including</w:t>
      </w:r>
      <w:r w:rsidR="00590835" w:rsidRPr="006E68B2">
        <w:rPr>
          <w:rFonts w:ascii="Arial" w:hAnsi="Arial" w:cs="Arial"/>
          <w:sz w:val="24"/>
          <w:szCs w:val="24"/>
        </w:rPr>
        <w:t xml:space="preserve"> </w:t>
      </w:r>
      <w:r w:rsidRPr="006E68B2">
        <w:rPr>
          <w:rFonts w:ascii="Arial" w:hAnsi="Arial" w:cs="Arial"/>
          <w:sz w:val="24"/>
          <w:szCs w:val="24"/>
        </w:rPr>
        <w:t xml:space="preserve">hospital </w:t>
      </w:r>
      <w:r w:rsidR="002E2D81" w:rsidRPr="006E68B2">
        <w:rPr>
          <w:rFonts w:ascii="Arial" w:hAnsi="Arial" w:cs="Arial"/>
          <w:sz w:val="24"/>
          <w:szCs w:val="24"/>
        </w:rPr>
        <w:t xml:space="preserve">LOS </w:t>
      </w:r>
      <w:r w:rsidRPr="006E68B2">
        <w:rPr>
          <w:rFonts w:ascii="Arial" w:hAnsi="Arial" w:cs="Arial"/>
          <w:sz w:val="24"/>
          <w:szCs w:val="24"/>
        </w:rPr>
        <w:t>≥</w:t>
      </w:r>
      <w:r w:rsidR="008071B0" w:rsidRPr="006E68B2">
        <w:rPr>
          <w:rFonts w:ascii="Arial" w:hAnsi="Arial" w:cs="Arial"/>
          <w:sz w:val="24"/>
          <w:szCs w:val="24"/>
        </w:rPr>
        <w:t>1 week or ≥</w:t>
      </w:r>
      <w:r w:rsidR="002E2D81" w:rsidRPr="006E68B2">
        <w:rPr>
          <w:rFonts w:ascii="Arial" w:hAnsi="Arial" w:cs="Arial"/>
          <w:sz w:val="24"/>
          <w:szCs w:val="24"/>
        </w:rPr>
        <w:t>2 weeks</w:t>
      </w:r>
      <w:r w:rsidR="008071B0" w:rsidRPr="006E68B2">
        <w:rPr>
          <w:rFonts w:ascii="Arial" w:hAnsi="Arial" w:cs="Arial"/>
          <w:sz w:val="24"/>
          <w:szCs w:val="24"/>
        </w:rPr>
        <w:t xml:space="preserve">, </w:t>
      </w:r>
      <w:r w:rsidR="002E2D81" w:rsidRPr="006E68B2">
        <w:rPr>
          <w:rFonts w:ascii="Arial" w:hAnsi="Arial" w:cs="Arial"/>
          <w:sz w:val="24"/>
          <w:szCs w:val="24"/>
        </w:rPr>
        <w:t>failure to mobilise within 1-day of surgery</w:t>
      </w:r>
      <w:r w:rsidR="008071B0" w:rsidRPr="006E68B2">
        <w:rPr>
          <w:rFonts w:ascii="Arial" w:hAnsi="Arial" w:cs="Arial"/>
          <w:sz w:val="24"/>
          <w:szCs w:val="24"/>
        </w:rPr>
        <w:t xml:space="preserve">, pressure ulcers and </w:t>
      </w:r>
      <w:r w:rsidR="008F2EDF" w:rsidRPr="006E68B2">
        <w:rPr>
          <w:rFonts w:ascii="Arial" w:hAnsi="Arial" w:cs="Arial"/>
          <w:sz w:val="24"/>
          <w:szCs w:val="24"/>
        </w:rPr>
        <w:t>levels</w:t>
      </w:r>
      <w:r w:rsidR="008071B0" w:rsidRPr="006E68B2">
        <w:rPr>
          <w:rFonts w:ascii="Arial" w:hAnsi="Arial" w:cs="Arial"/>
          <w:sz w:val="24"/>
          <w:szCs w:val="24"/>
        </w:rPr>
        <w:t xml:space="preserve"> of </w:t>
      </w:r>
      <w:r w:rsidR="002E2D81" w:rsidRPr="006E68B2">
        <w:rPr>
          <w:rFonts w:ascii="Arial" w:hAnsi="Arial" w:cs="Arial"/>
          <w:sz w:val="24"/>
          <w:szCs w:val="24"/>
        </w:rPr>
        <w:t>medication status</w:t>
      </w:r>
      <w:r w:rsidR="00312887" w:rsidRPr="006E68B2">
        <w:rPr>
          <w:rFonts w:ascii="Arial" w:hAnsi="Arial" w:cs="Arial"/>
          <w:sz w:val="24"/>
          <w:szCs w:val="24"/>
        </w:rPr>
        <w:t>.</w:t>
      </w:r>
    </w:p>
    <w:p w14:paraId="5641224F" w14:textId="77777777" w:rsidR="00312887" w:rsidRPr="006E68B2" w:rsidRDefault="00312887" w:rsidP="00E042B9">
      <w:pPr>
        <w:spacing w:after="0" w:line="480" w:lineRule="auto"/>
        <w:jc w:val="both"/>
        <w:rPr>
          <w:rFonts w:ascii="Arial" w:hAnsi="Arial" w:cs="Arial"/>
          <w:sz w:val="24"/>
          <w:szCs w:val="24"/>
        </w:rPr>
      </w:pPr>
    </w:p>
    <w:p w14:paraId="66065F7E" w14:textId="7135CE25" w:rsidR="00A04B34" w:rsidRPr="006E68B2" w:rsidRDefault="00312887" w:rsidP="00A04B34">
      <w:pPr>
        <w:spacing w:after="0" w:line="480" w:lineRule="auto"/>
        <w:jc w:val="both"/>
        <w:rPr>
          <w:rFonts w:ascii="Arial" w:hAnsi="Arial" w:cs="Arial"/>
          <w:sz w:val="24"/>
          <w:szCs w:val="24"/>
          <w:shd w:val="clear" w:color="auto" w:fill="FFFFFF"/>
        </w:rPr>
      </w:pPr>
      <w:r w:rsidRPr="006E68B2">
        <w:rPr>
          <w:rFonts w:ascii="Arial" w:hAnsi="Arial" w:cs="Arial"/>
          <w:sz w:val="24"/>
          <w:szCs w:val="24"/>
        </w:rPr>
        <w:t>Multivariable logistic regression assess</w:t>
      </w:r>
      <w:r w:rsidR="00F207C5" w:rsidRPr="006E68B2">
        <w:rPr>
          <w:rFonts w:ascii="Arial" w:hAnsi="Arial" w:cs="Arial"/>
          <w:sz w:val="24"/>
          <w:szCs w:val="24"/>
        </w:rPr>
        <w:t>ed</w:t>
      </w:r>
      <w:r w:rsidRPr="006E68B2">
        <w:rPr>
          <w:rFonts w:ascii="Arial" w:hAnsi="Arial" w:cs="Arial"/>
          <w:sz w:val="24"/>
          <w:szCs w:val="24"/>
        </w:rPr>
        <w:t xml:space="preserve"> the association </w:t>
      </w:r>
      <w:r w:rsidR="00633337" w:rsidRPr="006E68B2">
        <w:rPr>
          <w:rFonts w:ascii="Arial" w:hAnsi="Arial" w:cs="Arial"/>
          <w:sz w:val="24"/>
          <w:szCs w:val="24"/>
        </w:rPr>
        <w:t xml:space="preserve">of </w:t>
      </w:r>
      <w:r w:rsidR="00AC2E2F" w:rsidRPr="006E68B2">
        <w:rPr>
          <w:rFonts w:ascii="Arial" w:hAnsi="Arial" w:cs="Arial"/>
          <w:sz w:val="24"/>
          <w:szCs w:val="24"/>
        </w:rPr>
        <w:t xml:space="preserve">levels </w:t>
      </w:r>
      <w:r w:rsidRPr="006E68B2">
        <w:rPr>
          <w:rFonts w:ascii="Arial" w:hAnsi="Arial" w:cs="Arial"/>
          <w:sz w:val="24"/>
          <w:szCs w:val="24"/>
        </w:rPr>
        <w:t xml:space="preserve">of </w:t>
      </w:r>
      <w:r w:rsidR="002E2D81" w:rsidRPr="006E68B2">
        <w:rPr>
          <w:rFonts w:ascii="Arial" w:hAnsi="Arial" w:cs="Arial"/>
          <w:sz w:val="24"/>
          <w:szCs w:val="24"/>
        </w:rPr>
        <w:t>medication status</w:t>
      </w:r>
      <w:r w:rsidRPr="006E68B2">
        <w:rPr>
          <w:rFonts w:ascii="Arial" w:hAnsi="Arial" w:cs="Arial"/>
          <w:sz w:val="24"/>
          <w:szCs w:val="24"/>
        </w:rPr>
        <w:t xml:space="preserve"> with clinical outcome measures. The results are presented in </w:t>
      </w:r>
      <w:r w:rsidR="002E2D81" w:rsidRPr="006E68B2">
        <w:rPr>
          <w:rFonts w:ascii="Arial" w:hAnsi="Arial" w:cs="Arial"/>
          <w:sz w:val="24"/>
          <w:szCs w:val="24"/>
        </w:rPr>
        <w:t>three</w:t>
      </w:r>
      <w:r w:rsidRPr="006E68B2">
        <w:rPr>
          <w:rFonts w:ascii="Arial" w:hAnsi="Arial" w:cs="Arial"/>
          <w:sz w:val="24"/>
          <w:szCs w:val="24"/>
        </w:rPr>
        <w:t xml:space="preserve"> models; </w:t>
      </w:r>
      <w:r w:rsidRPr="006E68B2">
        <w:rPr>
          <w:rFonts w:ascii="Arial" w:hAnsi="Arial" w:cs="Arial"/>
          <w:i/>
          <w:sz w:val="24"/>
          <w:szCs w:val="24"/>
        </w:rPr>
        <w:t>model 1</w:t>
      </w:r>
      <w:r w:rsidRPr="006E68B2">
        <w:rPr>
          <w:rFonts w:ascii="Arial" w:hAnsi="Arial" w:cs="Arial"/>
          <w:sz w:val="24"/>
          <w:szCs w:val="24"/>
        </w:rPr>
        <w:t xml:space="preserve"> – unadjusted; </w:t>
      </w:r>
      <w:r w:rsidRPr="006E68B2">
        <w:rPr>
          <w:rFonts w:ascii="Arial" w:hAnsi="Arial" w:cs="Arial"/>
          <w:i/>
          <w:sz w:val="24"/>
          <w:szCs w:val="24"/>
        </w:rPr>
        <w:t>model 2 –</w:t>
      </w:r>
      <w:r w:rsidRPr="006E68B2">
        <w:rPr>
          <w:rFonts w:ascii="Arial" w:hAnsi="Arial" w:cs="Arial"/>
          <w:sz w:val="24"/>
          <w:szCs w:val="24"/>
        </w:rPr>
        <w:t xml:space="preserve"> adjusted for age </w:t>
      </w:r>
      <w:r w:rsidR="002E2D81" w:rsidRPr="006E68B2">
        <w:rPr>
          <w:rFonts w:ascii="Arial" w:hAnsi="Arial" w:cs="Arial"/>
          <w:sz w:val="24"/>
          <w:szCs w:val="24"/>
        </w:rPr>
        <w:t xml:space="preserve">and sex; </w:t>
      </w:r>
      <w:r w:rsidR="002E2D81" w:rsidRPr="006E68B2">
        <w:rPr>
          <w:rFonts w:ascii="Arial" w:hAnsi="Arial" w:cs="Arial"/>
          <w:i/>
          <w:sz w:val="24"/>
          <w:szCs w:val="24"/>
        </w:rPr>
        <w:t>model 3 –</w:t>
      </w:r>
      <w:r w:rsidR="002E2D81" w:rsidRPr="006E68B2">
        <w:rPr>
          <w:rFonts w:ascii="Arial" w:hAnsi="Arial" w:cs="Arial"/>
          <w:sz w:val="24"/>
          <w:szCs w:val="24"/>
        </w:rPr>
        <w:t xml:space="preserve"> adjusted for age</w:t>
      </w:r>
      <w:r w:rsidR="000F703B" w:rsidRPr="006E68B2">
        <w:rPr>
          <w:rFonts w:ascii="Arial" w:hAnsi="Arial" w:cs="Arial"/>
          <w:sz w:val="24"/>
          <w:szCs w:val="24"/>
        </w:rPr>
        <w:t>, sex</w:t>
      </w:r>
      <w:r w:rsidR="002E2D81" w:rsidRPr="006E68B2">
        <w:rPr>
          <w:rFonts w:ascii="Arial" w:hAnsi="Arial" w:cs="Arial"/>
          <w:sz w:val="24"/>
          <w:szCs w:val="24"/>
        </w:rPr>
        <w:t xml:space="preserve"> </w:t>
      </w:r>
      <w:r w:rsidRPr="006E68B2">
        <w:rPr>
          <w:rFonts w:ascii="Arial" w:hAnsi="Arial" w:cs="Arial"/>
          <w:sz w:val="24"/>
          <w:szCs w:val="24"/>
        </w:rPr>
        <w:t>and confounding factors including co-morbidities</w:t>
      </w:r>
      <w:r w:rsidR="00905E93" w:rsidRPr="006E68B2">
        <w:rPr>
          <w:rFonts w:ascii="Arial" w:hAnsi="Arial" w:cs="Arial"/>
          <w:sz w:val="24"/>
          <w:szCs w:val="24"/>
        </w:rPr>
        <w:t>, pre-fracture mobility and alcohol consumption</w:t>
      </w:r>
      <w:r w:rsidRPr="006E68B2">
        <w:rPr>
          <w:rFonts w:ascii="Arial" w:hAnsi="Arial" w:cs="Arial"/>
          <w:sz w:val="24"/>
          <w:szCs w:val="24"/>
        </w:rPr>
        <w:t xml:space="preserve">. </w:t>
      </w:r>
      <w:r w:rsidR="00C04110" w:rsidRPr="006E68B2">
        <w:rPr>
          <w:rFonts w:ascii="Arial" w:hAnsi="Arial" w:cs="Arial"/>
          <w:sz w:val="24"/>
          <w:szCs w:val="24"/>
        </w:rPr>
        <w:t>Individual co-morbidities (</w:t>
      </w:r>
      <w:r w:rsidR="00C04110" w:rsidRPr="006E68B2">
        <w:rPr>
          <w:rFonts w:ascii="Arial" w:hAnsi="Arial" w:cs="Arial"/>
          <w:sz w:val="24"/>
          <w:szCs w:val="24"/>
          <w:lang w:val="en-US"/>
        </w:rPr>
        <w:t xml:space="preserve">dementia, stroke, ischaemic heart disease, and diabetes) were entered into model 3 as binary variables (presence or </w:t>
      </w:r>
      <w:r w:rsidR="00C04110" w:rsidRPr="006E68B2">
        <w:rPr>
          <w:rFonts w:ascii="Arial" w:hAnsi="Arial" w:cs="Arial"/>
          <w:sz w:val="24"/>
          <w:szCs w:val="24"/>
          <w:lang w:val="en-US"/>
        </w:rPr>
        <w:lastRenderedPageBreak/>
        <w:t xml:space="preserve">absence of each condition). </w:t>
      </w:r>
      <w:r w:rsidRPr="006E68B2">
        <w:rPr>
          <w:rFonts w:ascii="Arial" w:hAnsi="Arial" w:cs="Arial"/>
          <w:sz w:val="24"/>
          <w:szCs w:val="24"/>
        </w:rPr>
        <w:t xml:space="preserve">Results are </w:t>
      </w:r>
      <w:r w:rsidR="00677531" w:rsidRPr="006E68B2">
        <w:rPr>
          <w:rFonts w:ascii="Arial" w:hAnsi="Arial" w:cs="Arial"/>
          <w:sz w:val="24"/>
          <w:szCs w:val="24"/>
        </w:rPr>
        <w:t>presented</w:t>
      </w:r>
      <w:r w:rsidRPr="006E68B2">
        <w:rPr>
          <w:rFonts w:ascii="Arial" w:hAnsi="Arial" w:cs="Arial"/>
          <w:sz w:val="24"/>
          <w:szCs w:val="24"/>
        </w:rPr>
        <w:t xml:space="preserve"> as </w:t>
      </w:r>
      <w:r w:rsidR="005D1D21" w:rsidRPr="006E68B2">
        <w:rPr>
          <w:rFonts w:ascii="Arial" w:hAnsi="Arial" w:cs="Arial"/>
          <w:sz w:val="24"/>
          <w:szCs w:val="24"/>
        </w:rPr>
        <w:t>odds ratio (</w:t>
      </w:r>
      <w:r w:rsidRPr="006E68B2">
        <w:rPr>
          <w:rFonts w:ascii="Arial" w:hAnsi="Arial" w:cs="Arial"/>
          <w:sz w:val="24"/>
          <w:szCs w:val="24"/>
        </w:rPr>
        <w:t>OR</w:t>
      </w:r>
      <w:r w:rsidR="005D1D21" w:rsidRPr="006E68B2">
        <w:rPr>
          <w:rFonts w:ascii="Arial" w:hAnsi="Arial" w:cs="Arial"/>
          <w:sz w:val="24"/>
          <w:szCs w:val="24"/>
        </w:rPr>
        <w:t>)</w:t>
      </w:r>
      <w:r w:rsidRPr="006E68B2">
        <w:rPr>
          <w:rFonts w:ascii="Arial" w:hAnsi="Arial" w:cs="Arial"/>
          <w:sz w:val="24"/>
          <w:szCs w:val="24"/>
        </w:rPr>
        <w:t xml:space="preserve"> and 95% </w:t>
      </w:r>
      <w:r w:rsidR="005D1D21" w:rsidRPr="006E68B2">
        <w:rPr>
          <w:rFonts w:ascii="Arial" w:hAnsi="Arial" w:cs="Arial"/>
          <w:sz w:val="24"/>
          <w:szCs w:val="24"/>
        </w:rPr>
        <w:t>confidence interval (</w:t>
      </w:r>
      <w:r w:rsidRPr="006E68B2">
        <w:rPr>
          <w:rFonts w:ascii="Arial" w:hAnsi="Arial" w:cs="Arial"/>
          <w:sz w:val="24"/>
          <w:szCs w:val="24"/>
        </w:rPr>
        <w:t>CI</w:t>
      </w:r>
      <w:r w:rsidR="005D1D21" w:rsidRPr="006E68B2">
        <w:rPr>
          <w:rFonts w:ascii="Arial" w:hAnsi="Arial" w:cs="Arial"/>
          <w:sz w:val="24"/>
          <w:szCs w:val="24"/>
        </w:rPr>
        <w:t>)</w:t>
      </w:r>
      <w:r w:rsidRPr="006E68B2">
        <w:rPr>
          <w:rFonts w:ascii="Arial" w:hAnsi="Arial" w:cs="Arial"/>
          <w:sz w:val="24"/>
          <w:szCs w:val="24"/>
        </w:rPr>
        <w:t>. All analyses were performed using IBM SPSS Statistics, v28.0 (IBM Corp., Armonk, NY).</w:t>
      </w:r>
      <w:r w:rsidR="00A04B34" w:rsidRPr="006E68B2">
        <w:rPr>
          <w:rFonts w:ascii="Helvetica" w:hAnsi="Helvetica"/>
          <w:shd w:val="clear" w:color="auto" w:fill="FFFFFF"/>
        </w:rPr>
        <w:t xml:space="preserve"> </w:t>
      </w:r>
      <w:r w:rsidR="00804F2A" w:rsidRPr="006E68B2">
        <w:rPr>
          <w:rFonts w:ascii="Arial" w:hAnsi="Arial" w:cs="Arial"/>
          <w:sz w:val="24"/>
          <w:szCs w:val="24"/>
          <w:shd w:val="clear" w:color="auto" w:fill="FFFFFF"/>
        </w:rPr>
        <w:t xml:space="preserve"> The s</w:t>
      </w:r>
      <w:r w:rsidR="00D24D9F" w:rsidRPr="006E68B2">
        <w:rPr>
          <w:rFonts w:ascii="Arial" w:hAnsi="Arial" w:cs="Arial"/>
          <w:sz w:val="24"/>
          <w:szCs w:val="24"/>
          <w:shd w:val="clear" w:color="auto" w:fill="FFFFFF"/>
        </w:rPr>
        <w:t xml:space="preserve">tatistical significance threshold was accepted as </w:t>
      </w:r>
      <w:r w:rsidR="00FB130D" w:rsidRPr="006E68B2">
        <w:rPr>
          <w:rFonts w:ascii="Arial" w:hAnsi="Arial" w:cs="Arial"/>
          <w:i/>
          <w:iCs/>
          <w:sz w:val="24"/>
          <w:szCs w:val="24"/>
          <w:shd w:val="clear" w:color="auto" w:fill="FFFFFF"/>
        </w:rPr>
        <w:t>P</w:t>
      </w:r>
      <w:r w:rsidR="00D24D9F" w:rsidRPr="006E68B2">
        <w:rPr>
          <w:rFonts w:ascii="Arial" w:hAnsi="Arial" w:cs="Arial"/>
          <w:sz w:val="24"/>
          <w:szCs w:val="24"/>
          <w:shd w:val="clear" w:color="auto" w:fill="FFFFFF"/>
        </w:rPr>
        <w:t xml:space="preserve"> &lt;0.05.</w:t>
      </w:r>
      <w:r w:rsidR="00FB130D" w:rsidRPr="006E68B2">
        <w:rPr>
          <w:rFonts w:ascii="Arial" w:hAnsi="Arial" w:cs="Arial"/>
          <w:sz w:val="24"/>
          <w:szCs w:val="24"/>
          <w:shd w:val="clear" w:color="auto" w:fill="FFFFFF"/>
        </w:rPr>
        <w:t xml:space="preserve"> Multiplicity-adjusted </w:t>
      </w:r>
      <w:r w:rsidR="00FB130D" w:rsidRPr="006E68B2">
        <w:rPr>
          <w:rFonts w:ascii="Arial" w:hAnsi="Arial" w:cs="Arial"/>
          <w:i/>
          <w:iCs/>
          <w:sz w:val="24"/>
          <w:szCs w:val="24"/>
          <w:shd w:val="clear" w:color="auto" w:fill="FFFFFF"/>
        </w:rPr>
        <w:t>P</w:t>
      </w:r>
      <w:r w:rsidR="00FB130D" w:rsidRPr="006E68B2">
        <w:rPr>
          <w:rFonts w:ascii="Arial" w:hAnsi="Arial" w:cs="Arial"/>
          <w:sz w:val="24"/>
          <w:szCs w:val="24"/>
          <w:shd w:val="clear" w:color="auto" w:fill="FFFFFF"/>
        </w:rPr>
        <w:t xml:space="preserve"> values were computed using </w:t>
      </w:r>
      <w:r w:rsidR="00804F2A" w:rsidRPr="006E68B2">
        <w:rPr>
          <w:rFonts w:ascii="Arial" w:hAnsi="Arial" w:cs="Arial"/>
          <w:sz w:val="24"/>
          <w:szCs w:val="24"/>
          <w:shd w:val="clear" w:color="auto" w:fill="FFFFFF"/>
        </w:rPr>
        <w:t xml:space="preserve">the </w:t>
      </w:r>
      <w:r w:rsidR="00FB130D" w:rsidRPr="006E68B2">
        <w:rPr>
          <w:rFonts w:ascii="Arial" w:hAnsi="Arial" w:cs="Arial"/>
          <w:sz w:val="24"/>
          <w:szCs w:val="24"/>
          <w:shd w:val="clear" w:color="auto" w:fill="FFFFFF"/>
        </w:rPr>
        <w:t>Bonferroni correction method.</w:t>
      </w:r>
    </w:p>
    <w:p w14:paraId="4E0658CF" w14:textId="77777777" w:rsidR="00312887" w:rsidRPr="006E68B2" w:rsidRDefault="00312887" w:rsidP="00E042B9">
      <w:pPr>
        <w:spacing w:after="0" w:line="480" w:lineRule="auto"/>
        <w:jc w:val="both"/>
        <w:rPr>
          <w:rFonts w:ascii="Arial" w:hAnsi="Arial" w:cs="Arial"/>
          <w:b/>
          <w:sz w:val="24"/>
          <w:szCs w:val="24"/>
        </w:rPr>
      </w:pPr>
    </w:p>
    <w:p w14:paraId="6489D490" w14:textId="065D1118" w:rsidR="00312887" w:rsidRPr="006E68B2" w:rsidRDefault="00312887" w:rsidP="00E042B9">
      <w:pPr>
        <w:spacing w:after="0" w:line="480" w:lineRule="auto"/>
        <w:jc w:val="both"/>
        <w:rPr>
          <w:rFonts w:ascii="Arial" w:hAnsi="Arial" w:cs="Arial"/>
          <w:b/>
          <w:sz w:val="24"/>
          <w:szCs w:val="24"/>
        </w:rPr>
      </w:pPr>
      <w:r w:rsidRPr="006E68B2">
        <w:rPr>
          <w:rFonts w:ascii="Arial" w:hAnsi="Arial" w:cs="Arial"/>
          <w:b/>
          <w:sz w:val="24"/>
          <w:szCs w:val="24"/>
        </w:rPr>
        <w:t>RESULTS</w:t>
      </w:r>
    </w:p>
    <w:p w14:paraId="0D484B5B" w14:textId="32A1E097" w:rsidR="0023797B" w:rsidRPr="006E68B2" w:rsidRDefault="000F703B" w:rsidP="00E042B9">
      <w:pPr>
        <w:spacing w:after="0" w:line="480" w:lineRule="auto"/>
        <w:jc w:val="both"/>
        <w:rPr>
          <w:rFonts w:ascii="Arial" w:hAnsi="Arial" w:cs="Arial"/>
          <w:sz w:val="24"/>
          <w:szCs w:val="24"/>
        </w:rPr>
      </w:pPr>
      <w:r w:rsidRPr="006E68B2">
        <w:rPr>
          <w:rFonts w:ascii="Arial" w:hAnsi="Arial" w:cs="Arial"/>
          <w:sz w:val="24"/>
          <w:szCs w:val="24"/>
        </w:rPr>
        <w:t>A</w:t>
      </w:r>
      <w:r w:rsidR="00312887" w:rsidRPr="006E68B2">
        <w:rPr>
          <w:rFonts w:ascii="Arial" w:hAnsi="Arial" w:cs="Arial"/>
          <w:sz w:val="24"/>
          <w:szCs w:val="24"/>
        </w:rPr>
        <w:t xml:space="preserve"> total of 1,105 patients </w:t>
      </w:r>
      <w:r w:rsidRPr="006E68B2">
        <w:rPr>
          <w:rFonts w:ascii="Arial" w:hAnsi="Arial" w:cs="Arial"/>
          <w:sz w:val="24"/>
          <w:szCs w:val="24"/>
        </w:rPr>
        <w:t xml:space="preserve">was </w:t>
      </w:r>
      <w:r w:rsidR="00312887" w:rsidRPr="006E68B2">
        <w:rPr>
          <w:rFonts w:ascii="Arial" w:hAnsi="Arial" w:cs="Arial"/>
          <w:sz w:val="24"/>
          <w:szCs w:val="24"/>
        </w:rPr>
        <w:t>admitted with hip fractures, comprising 787 (71.2%) women and 318 (28.8%) men of similar mean (±SD) age</w:t>
      </w:r>
      <w:r w:rsidRPr="006E68B2">
        <w:rPr>
          <w:rFonts w:ascii="Arial" w:hAnsi="Arial" w:cs="Arial"/>
          <w:sz w:val="24"/>
          <w:szCs w:val="24"/>
        </w:rPr>
        <w:t>s</w:t>
      </w:r>
      <w:r w:rsidR="00312887" w:rsidRPr="006E68B2">
        <w:rPr>
          <w:rFonts w:ascii="Arial" w:hAnsi="Arial" w:cs="Arial"/>
          <w:sz w:val="24"/>
          <w:szCs w:val="24"/>
        </w:rPr>
        <w:t xml:space="preserve"> of 83.1yr (±8.6) and 82.5yr (±9.0)</w:t>
      </w:r>
      <w:r w:rsidRPr="006E68B2">
        <w:rPr>
          <w:rFonts w:ascii="Arial" w:hAnsi="Arial" w:cs="Arial"/>
          <w:sz w:val="24"/>
          <w:szCs w:val="24"/>
        </w:rPr>
        <w:t>,</w:t>
      </w:r>
      <w:r w:rsidR="00312887" w:rsidRPr="006E68B2">
        <w:rPr>
          <w:rFonts w:ascii="Arial" w:hAnsi="Arial" w:cs="Arial"/>
          <w:sz w:val="24"/>
          <w:szCs w:val="24"/>
        </w:rPr>
        <w:t xml:space="preserve"> respectively. </w:t>
      </w:r>
      <w:r w:rsidR="005F70AC" w:rsidRPr="006E68B2">
        <w:rPr>
          <w:rFonts w:ascii="Arial" w:hAnsi="Arial" w:cs="Arial"/>
          <w:sz w:val="24"/>
          <w:szCs w:val="24"/>
        </w:rPr>
        <w:t>The mean age (83</w:t>
      </w:r>
      <w:r w:rsidR="008508DB" w:rsidRPr="006E68B2">
        <w:rPr>
          <w:rFonts w:ascii="Arial" w:hAnsi="Arial" w:cs="Arial"/>
          <w:sz w:val="24"/>
          <w:szCs w:val="24"/>
        </w:rPr>
        <w:t>.1</w:t>
      </w:r>
      <w:r w:rsidR="005F70AC" w:rsidRPr="006E68B2">
        <w:rPr>
          <w:rFonts w:ascii="Arial" w:hAnsi="Arial" w:cs="Arial"/>
          <w:sz w:val="24"/>
          <w:szCs w:val="24"/>
        </w:rPr>
        <w:t xml:space="preserve"> years ±8.</w:t>
      </w:r>
      <w:r w:rsidR="008508DB" w:rsidRPr="006E68B2">
        <w:rPr>
          <w:rFonts w:ascii="Arial" w:hAnsi="Arial" w:cs="Arial"/>
          <w:sz w:val="24"/>
          <w:szCs w:val="24"/>
        </w:rPr>
        <w:t>8</w:t>
      </w:r>
      <w:r w:rsidR="0023797B" w:rsidRPr="006E68B2">
        <w:rPr>
          <w:rFonts w:ascii="Arial" w:hAnsi="Arial" w:cs="Arial"/>
          <w:sz w:val="24"/>
          <w:szCs w:val="24"/>
        </w:rPr>
        <w:t>)</w:t>
      </w:r>
      <w:r w:rsidR="005F70AC" w:rsidRPr="006E68B2">
        <w:rPr>
          <w:rFonts w:ascii="Arial" w:hAnsi="Arial" w:cs="Arial"/>
          <w:sz w:val="24"/>
          <w:szCs w:val="24"/>
        </w:rPr>
        <w:t xml:space="preserve"> and sex distribution (</w:t>
      </w:r>
      <w:r w:rsidR="008508DB" w:rsidRPr="006E68B2">
        <w:rPr>
          <w:rFonts w:ascii="Arial" w:hAnsi="Arial" w:cs="Arial"/>
          <w:sz w:val="24"/>
          <w:szCs w:val="24"/>
        </w:rPr>
        <w:t>70.2% women and 29.8%men</w:t>
      </w:r>
      <w:r w:rsidR="005F70AC" w:rsidRPr="006E68B2">
        <w:rPr>
          <w:rFonts w:ascii="Arial" w:hAnsi="Arial" w:cs="Arial"/>
          <w:sz w:val="24"/>
          <w:szCs w:val="24"/>
        </w:rPr>
        <w:t xml:space="preserve">) of </w:t>
      </w:r>
      <w:r w:rsidRPr="006E68B2">
        <w:rPr>
          <w:rFonts w:ascii="Arial" w:hAnsi="Arial" w:cs="Arial"/>
          <w:sz w:val="24"/>
          <w:szCs w:val="24"/>
        </w:rPr>
        <w:t xml:space="preserve">a </w:t>
      </w:r>
      <w:r w:rsidR="005F70AC" w:rsidRPr="006E68B2">
        <w:rPr>
          <w:rFonts w:ascii="Arial" w:hAnsi="Arial" w:cs="Arial"/>
          <w:sz w:val="24"/>
          <w:szCs w:val="24"/>
        </w:rPr>
        <w:t>sub</w:t>
      </w:r>
      <w:r w:rsidRPr="006E68B2">
        <w:rPr>
          <w:rFonts w:ascii="Arial" w:hAnsi="Arial" w:cs="Arial"/>
          <w:sz w:val="24"/>
          <w:szCs w:val="24"/>
        </w:rPr>
        <w:t>-</w:t>
      </w:r>
      <w:r w:rsidR="005F70AC" w:rsidRPr="006E68B2">
        <w:rPr>
          <w:rFonts w:ascii="Arial" w:hAnsi="Arial" w:cs="Arial"/>
          <w:sz w:val="24"/>
          <w:szCs w:val="24"/>
        </w:rPr>
        <w:t xml:space="preserve">sample of 541 patients </w:t>
      </w:r>
      <w:r w:rsidR="00E27D1B" w:rsidRPr="006E68B2">
        <w:rPr>
          <w:rFonts w:ascii="Arial" w:hAnsi="Arial" w:cs="Arial"/>
          <w:sz w:val="24"/>
          <w:szCs w:val="24"/>
        </w:rPr>
        <w:t xml:space="preserve">who failed to mobilise within 1-day of hip surgery </w:t>
      </w:r>
      <w:r w:rsidR="008508DB" w:rsidRPr="006E68B2">
        <w:rPr>
          <w:rFonts w:ascii="Arial" w:hAnsi="Arial" w:cs="Arial"/>
          <w:sz w:val="24"/>
          <w:szCs w:val="24"/>
        </w:rPr>
        <w:t xml:space="preserve">were </w:t>
      </w:r>
      <w:r w:rsidR="00FE33EE" w:rsidRPr="006E68B2">
        <w:rPr>
          <w:rFonts w:ascii="Arial" w:hAnsi="Arial" w:cs="Arial"/>
          <w:sz w:val="24"/>
          <w:szCs w:val="24"/>
        </w:rPr>
        <w:t xml:space="preserve">also </w:t>
      </w:r>
      <w:proofErr w:type="gramStart"/>
      <w:r w:rsidR="008508DB" w:rsidRPr="006E68B2">
        <w:rPr>
          <w:rFonts w:ascii="Arial" w:hAnsi="Arial" w:cs="Arial"/>
          <w:sz w:val="24"/>
          <w:szCs w:val="24"/>
        </w:rPr>
        <w:t>similar to</w:t>
      </w:r>
      <w:proofErr w:type="gramEnd"/>
      <w:r w:rsidR="008508DB" w:rsidRPr="006E68B2">
        <w:rPr>
          <w:rFonts w:ascii="Arial" w:hAnsi="Arial" w:cs="Arial"/>
          <w:sz w:val="24"/>
          <w:szCs w:val="24"/>
        </w:rPr>
        <w:t xml:space="preserve"> those of </w:t>
      </w:r>
      <w:r w:rsidR="005F70AC" w:rsidRPr="006E68B2">
        <w:rPr>
          <w:rFonts w:ascii="Arial" w:hAnsi="Arial" w:cs="Arial"/>
          <w:sz w:val="24"/>
          <w:szCs w:val="24"/>
        </w:rPr>
        <w:t xml:space="preserve">the entire sample. </w:t>
      </w:r>
      <w:r w:rsidR="00312887" w:rsidRPr="006E68B2">
        <w:rPr>
          <w:rFonts w:ascii="Arial" w:hAnsi="Arial" w:cs="Arial"/>
          <w:sz w:val="24"/>
          <w:szCs w:val="24"/>
        </w:rPr>
        <w:t>The peak</w:t>
      </w:r>
      <w:r w:rsidR="00D90A25" w:rsidRPr="006E68B2">
        <w:rPr>
          <w:rFonts w:ascii="Arial" w:hAnsi="Arial" w:cs="Arial"/>
          <w:sz w:val="24"/>
          <w:szCs w:val="24"/>
        </w:rPr>
        <w:t xml:space="preserve"> hospital</w:t>
      </w:r>
      <w:r w:rsidR="00312887" w:rsidRPr="006E68B2">
        <w:rPr>
          <w:rFonts w:ascii="Arial" w:hAnsi="Arial" w:cs="Arial"/>
          <w:sz w:val="24"/>
          <w:szCs w:val="24"/>
        </w:rPr>
        <w:t xml:space="preserve"> admission</w:t>
      </w:r>
      <w:r w:rsidR="00D90A25" w:rsidRPr="006E68B2">
        <w:rPr>
          <w:rFonts w:ascii="Arial" w:hAnsi="Arial" w:cs="Arial"/>
          <w:sz w:val="24"/>
          <w:szCs w:val="24"/>
        </w:rPr>
        <w:t>s</w:t>
      </w:r>
      <w:r w:rsidR="00312887" w:rsidRPr="006E68B2">
        <w:rPr>
          <w:rFonts w:ascii="Arial" w:hAnsi="Arial" w:cs="Arial"/>
          <w:sz w:val="24"/>
          <w:szCs w:val="24"/>
        </w:rPr>
        <w:t xml:space="preserve"> </w:t>
      </w:r>
      <w:r w:rsidR="0023797B" w:rsidRPr="006E68B2">
        <w:rPr>
          <w:rFonts w:ascii="Arial" w:hAnsi="Arial" w:cs="Arial"/>
          <w:sz w:val="24"/>
          <w:szCs w:val="24"/>
        </w:rPr>
        <w:t>occurred</w:t>
      </w:r>
      <w:r w:rsidR="00312887" w:rsidRPr="006E68B2">
        <w:rPr>
          <w:rFonts w:ascii="Arial" w:hAnsi="Arial" w:cs="Arial"/>
          <w:sz w:val="24"/>
          <w:szCs w:val="24"/>
        </w:rPr>
        <w:t xml:space="preserve"> amongst the </w:t>
      </w:r>
      <w:proofErr w:type="gramStart"/>
      <w:r w:rsidR="00312887" w:rsidRPr="006E68B2">
        <w:rPr>
          <w:rFonts w:ascii="Arial" w:hAnsi="Arial" w:cs="Arial"/>
          <w:sz w:val="24"/>
          <w:szCs w:val="24"/>
        </w:rPr>
        <w:t>80.0-89.9 year</w:t>
      </w:r>
      <w:proofErr w:type="gramEnd"/>
      <w:r w:rsidR="00312887" w:rsidRPr="006E68B2">
        <w:rPr>
          <w:rFonts w:ascii="Arial" w:hAnsi="Arial" w:cs="Arial"/>
          <w:sz w:val="24"/>
          <w:szCs w:val="24"/>
        </w:rPr>
        <w:t xml:space="preserve"> group</w:t>
      </w:r>
      <w:r w:rsidR="00620211" w:rsidRPr="006E68B2">
        <w:rPr>
          <w:rFonts w:ascii="Arial" w:hAnsi="Arial" w:cs="Arial"/>
          <w:sz w:val="24"/>
          <w:szCs w:val="24"/>
        </w:rPr>
        <w:t>.</w:t>
      </w:r>
      <w:r w:rsidR="00F71A96" w:rsidRPr="006E68B2">
        <w:rPr>
          <w:rFonts w:ascii="Arial" w:hAnsi="Arial" w:cs="Arial"/>
          <w:sz w:val="24"/>
          <w:szCs w:val="24"/>
        </w:rPr>
        <w:t xml:space="preserve"> Polypharmacy (≥4 drugs a day) </w:t>
      </w:r>
      <w:r w:rsidR="001E41C4" w:rsidRPr="006E68B2">
        <w:rPr>
          <w:rFonts w:ascii="Arial" w:hAnsi="Arial" w:cs="Arial"/>
          <w:sz w:val="24"/>
          <w:szCs w:val="24"/>
        </w:rPr>
        <w:t xml:space="preserve">were identified in 74.8% </w:t>
      </w:r>
      <w:r w:rsidR="00F71A96" w:rsidRPr="006E68B2">
        <w:rPr>
          <w:rFonts w:ascii="Arial" w:hAnsi="Arial" w:cs="Arial"/>
          <w:sz w:val="24"/>
          <w:szCs w:val="24"/>
        </w:rPr>
        <w:t xml:space="preserve">and ACB score ≥1 </w:t>
      </w:r>
      <w:r w:rsidR="001E41C4" w:rsidRPr="006E68B2">
        <w:rPr>
          <w:rFonts w:ascii="Arial" w:hAnsi="Arial" w:cs="Arial"/>
          <w:sz w:val="24"/>
          <w:szCs w:val="24"/>
        </w:rPr>
        <w:t>in</w:t>
      </w:r>
      <w:r w:rsidR="00F71A96" w:rsidRPr="006E68B2">
        <w:rPr>
          <w:rFonts w:ascii="Arial" w:hAnsi="Arial" w:cs="Arial"/>
          <w:sz w:val="24"/>
          <w:szCs w:val="24"/>
        </w:rPr>
        <w:t xml:space="preserve"> 38.8% of patients</w:t>
      </w:r>
      <w:r w:rsidR="001E41C4" w:rsidRPr="006E68B2">
        <w:rPr>
          <w:rFonts w:ascii="Arial" w:hAnsi="Arial" w:cs="Arial"/>
          <w:sz w:val="24"/>
          <w:szCs w:val="24"/>
        </w:rPr>
        <w:t xml:space="preserve">. </w:t>
      </w:r>
      <w:r w:rsidR="00AB074B" w:rsidRPr="006E68B2">
        <w:rPr>
          <w:rFonts w:ascii="Arial" w:hAnsi="Arial" w:cs="Arial"/>
          <w:sz w:val="24"/>
          <w:szCs w:val="24"/>
        </w:rPr>
        <w:t xml:space="preserve">There were 22.0% of patients with </w:t>
      </w:r>
      <w:r w:rsidR="001E41C4" w:rsidRPr="006E68B2">
        <w:rPr>
          <w:rFonts w:ascii="Arial" w:hAnsi="Arial" w:cs="Arial"/>
          <w:sz w:val="24"/>
          <w:szCs w:val="24"/>
        </w:rPr>
        <w:t>level-1</w:t>
      </w:r>
      <w:r w:rsidR="00AB074B" w:rsidRPr="006E68B2">
        <w:rPr>
          <w:rFonts w:ascii="Arial" w:hAnsi="Arial" w:cs="Arial"/>
          <w:sz w:val="24"/>
          <w:szCs w:val="24"/>
        </w:rPr>
        <w:t xml:space="preserve">, 42.2% with </w:t>
      </w:r>
      <w:r w:rsidR="001E41C4" w:rsidRPr="006E68B2">
        <w:rPr>
          <w:rFonts w:ascii="Arial" w:hAnsi="Arial" w:cs="Arial"/>
          <w:sz w:val="24"/>
          <w:szCs w:val="24"/>
        </w:rPr>
        <w:t>level-2</w:t>
      </w:r>
      <w:r w:rsidR="00AB074B" w:rsidRPr="006E68B2">
        <w:rPr>
          <w:rFonts w:ascii="Arial" w:hAnsi="Arial" w:cs="Arial"/>
          <w:sz w:val="24"/>
          <w:szCs w:val="24"/>
        </w:rPr>
        <w:t xml:space="preserve">, and 35.7% with </w:t>
      </w:r>
      <w:r w:rsidR="001E41C4" w:rsidRPr="006E68B2">
        <w:rPr>
          <w:rFonts w:ascii="Arial" w:hAnsi="Arial" w:cs="Arial"/>
          <w:sz w:val="24"/>
          <w:szCs w:val="24"/>
        </w:rPr>
        <w:t>level-3 of medication status</w:t>
      </w:r>
      <w:r w:rsidR="00710344" w:rsidRPr="006E68B2">
        <w:rPr>
          <w:rFonts w:ascii="Arial" w:hAnsi="Arial" w:cs="Arial"/>
          <w:sz w:val="24"/>
          <w:szCs w:val="24"/>
        </w:rPr>
        <w:t xml:space="preserve">. Arthroplasty (50.0%) was the most common surgical technique, followed by </w:t>
      </w:r>
      <w:r w:rsidR="00433020" w:rsidRPr="006E68B2">
        <w:rPr>
          <w:rFonts w:ascii="Arial" w:hAnsi="Arial" w:cs="Arial"/>
          <w:sz w:val="24"/>
          <w:szCs w:val="24"/>
        </w:rPr>
        <w:t xml:space="preserve">an </w:t>
      </w:r>
      <w:r w:rsidR="00710344" w:rsidRPr="006E68B2">
        <w:rPr>
          <w:rFonts w:ascii="Arial" w:hAnsi="Arial" w:cs="Arial"/>
          <w:sz w:val="24"/>
          <w:szCs w:val="24"/>
        </w:rPr>
        <w:t xml:space="preserve">intramedullary nail (30.2%) and </w:t>
      </w:r>
      <w:r w:rsidR="00433020" w:rsidRPr="006E68B2">
        <w:rPr>
          <w:rFonts w:ascii="Arial" w:hAnsi="Arial" w:cs="Arial"/>
          <w:sz w:val="24"/>
          <w:szCs w:val="24"/>
        </w:rPr>
        <w:t xml:space="preserve">a </w:t>
      </w:r>
      <w:r w:rsidR="00710344" w:rsidRPr="006E68B2">
        <w:rPr>
          <w:rFonts w:ascii="Arial" w:hAnsi="Arial" w:cs="Arial"/>
          <w:sz w:val="24"/>
          <w:szCs w:val="24"/>
        </w:rPr>
        <w:t xml:space="preserve">sliding hip screw (14.6%); a small proportion received </w:t>
      </w:r>
      <w:r w:rsidR="00433020" w:rsidRPr="006E68B2">
        <w:rPr>
          <w:rFonts w:ascii="Arial" w:hAnsi="Arial" w:cs="Arial"/>
          <w:sz w:val="24"/>
          <w:szCs w:val="24"/>
        </w:rPr>
        <w:t xml:space="preserve">a </w:t>
      </w:r>
      <w:r w:rsidR="00710344" w:rsidRPr="006E68B2">
        <w:rPr>
          <w:rFonts w:ascii="Arial" w:hAnsi="Arial" w:cs="Arial"/>
          <w:sz w:val="24"/>
          <w:szCs w:val="24"/>
        </w:rPr>
        <w:t>hybrid</w:t>
      </w:r>
      <w:r w:rsidR="00AB074B" w:rsidRPr="006E68B2">
        <w:rPr>
          <w:rFonts w:ascii="Arial" w:hAnsi="Arial" w:cs="Arial"/>
          <w:sz w:val="24"/>
          <w:szCs w:val="24"/>
        </w:rPr>
        <w:t xml:space="preserve"> </w:t>
      </w:r>
      <w:r w:rsidR="00710344" w:rsidRPr="006E68B2">
        <w:rPr>
          <w:rFonts w:ascii="Arial" w:hAnsi="Arial" w:cs="Arial"/>
          <w:sz w:val="24"/>
          <w:szCs w:val="24"/>
        </w:rPr>
        <w:t>total hip replacement (</w:t>
      </w:r>
      <w:r w:rsidR="00A02514" w:rsidRPr="006E68B2">
        <w:rPr>
          <w:rFonts w:ascii="Arial" w:hAnsi="Arial" w:cs="Arial"/>
          <w:sz w:val="24"/>
          <w:szCs w:val="24"/>
        </w:rPr>
        <w:t>3.9</w:t>
      </w:r>
      <w:r w:rsidR="00710344" w:rsidRPr="006E68B2">
        <w:rPr>
          <w:rFonts w:ascii="Arial" w:hAnsi="Arial" w:cs="Arial"/>
          <w:sz w:val="24"/>
          <w:szCs w:val="24"/>
        </w:rPr>
        <w:t>%)</w:t>
      </w:r>
      <w:r w:rsidR="004920BB" w:rsidRPr="006E68B2">
        <w:rPr>
          <w:rFonts w:ascii="Arial" w:hAnsi="Arial" w:cs="Arial"/>
          <w:sz w:val="24"/>
          <w:szCs w:val="24"/>
        </w:rPr>
        <w:t>. Antiresorptive agents were taken by 4.1% of patients prior to admission, and newly prescribed for 81.1% of patients before discharge,</w:t>
      </w:r>
      <w:r w:rsidR="00804F2A" w:rsidRPr="006E68B2">
        <w:rPr>
          <w:rFonts w:ascii="Arial" w:hAnsi="Arial" w:cs="Arial"/>
          <w:sz w:val="24"/>
          <w:szCs w:val="24"/>
        </w:rPr>
        <w:t xml:space="preserve"> with </w:t>
      </w:r>
      <w:r w:rsidR="004920BB" w:rsidRPr="006E68B2">
        <w:rPr>
          <w:rFonts w:ascii="Arial" w:hAnsi="Arial" w:cs="Arial"/>
          <w:sz w:val="24"/>
          <w:szCs w:val="24"/>
        </w:rPr>
        <w:t xml:space="preserve">14.5% </w:t>
      </w:r>
      <w:r w:rsidR="00804F2A" w:rsidRPr="006E68B2">
        <w:rPr>
          <w:rFonts w:ascii="Arial" w:hAnsi="Arial" w:cs="Arial"/>
          <w:sz w:val="24"/>
          <w:szCs w:val="24"/>
        </w:rPr>
        <w:t xml:space="preserve">whilst </w:t>
      </w:r>
      <w:r w:rsidR="004920BB" w:rsidRPr="006E68B2">
        <w:rPr>
          <w:rFonts w:ascii="Arial" w:hAnsi="Arial" w:cs="Arial"/>
          <w:sz w:val="24"/>
          <w:szCs w:val="24"/>
        </w:rPr>
        <w:t xml:space="preserve">waiting for </w:t>
      </w:r>
      <w:r w:rsidR="004920BB" w:rsidRPr="006E68B2">
        <w:rPr>
          <w:rFonts w:ascii="Arial" w:eastAsia="Times New Roman" w:hAnsi="Arial" w:cs="Arial"/>
          <w:sz w:val="24"/>
          <w:szCs w:val="24"/>
          <w:lang w:eastAsia="en-GB"/>
        </w:rPr>
        <w:t xml:space="preserve">dual x-ray absorptiometry results in </w:t>
      </w:r>
      <w:r w:rsidR="00804F2A" w:rsidRPr="006E68B2">
        <w:rPr>
          <w:rFonts w:ascii="Arial" w:eastAsia="Times New Roman" w:hAnsi="Arial" w:cs="Arial"/>
          <w:sz w:val="24"/>
          <w:szCs w:val="24"/>
          <w:lang w:eastAsia="en-GB"/>
        </w:rPr>
        <w:t xml:space="preserve">the </w:t>
      </w:r>
      <w:r w:rsidR="004920BB" w:rsidRPr="006E68B2">
        <w:rPr>
          <w:rFonts w:ascii="Arial" w:eastAsia="Times New Roman" w:hAnsi="Arial" w:cs="Arial"/>
          <w:sz w:val="24"/>
          <w:szCs w:val="24"/>
          <w:lang w:eastAsia="en-GB"/>
        </w:rPr>
        <w:t>outpatient clinic</w:t>
      </w:r>
      <w:r w:rsidR="004920BB" w:rsidRPr="006E68B2">
        <w:rPr>
          <w:rFonts w:ascii="Arial" w:hAnsi="Arial" w:cs="Arial"/>
          <w:sz w:val="24"/>
          <w:szCs w:val="24"/>
        </w:rPr>
        <w:t xml:space="preserve"> </w:t>
      </w:r>
      <w:r w:rsidR="0023797B" w:rsidRPr="006E68B2">
        <w:rPr>
          <w:rFonts w:ascii="Arial" w:hAnsi="Arial" w:cs="Arial"/>
          <w:sz w:val="24"/>
          <w:szCs w:val="24"/>
        </w:rPr>
        <w:t>(</w:t>
      </w:r>
      <w:r w:rsidR="0023797B" w:rsidRPr="006E68B2">
        <w:rPr>
          <w:rFonts w:ascii="Arial" w:hAnsi="Arial" w:cs="Arial"/>
          <w:b/>
          <w:bCs/>
          <w:sz w:val="24"/>
          <w:szCs w:val="24"/>
        </w:rPr>
        <w:t>Table 1</w:t>
      </w:r>
      <w:r w:rsidR="0023797B" w:rsidRPr="006E68B2">
        <w:rPr>
          <w:rFonts w:ascii="Arial" w:hAnsi="Arial" w:cs="Arial"/>
          <w:sz w:val="24"/>
          <w:szCs w:val="24"/>
        </w:rPr>
        <w:t>).</w:t>
      </w:r>
      <w:r w:rsidR="00D90A25" w:rsidRPr="006E68B2">
        <w:rPr>
          <w:rFonts w:ascii="Arial" w:hAnsi="Arial" w:cs="Arial"/>
          <w:sz w:val="24"/>
          <w:szCs w:val="24"/>
        </w:rPr>
        <w:t xml:space="preserve"> There were significantly higher proportions of patients with an ACB score ≥1 amongst those taking ≥4 drugs a day than amongst taking &lt;4 drugs a day (47.6% </w:t>
      </w:r>
      <w:r w:rsidR="00D90A25" w:rsidRPr="006E68B2">
        <w:rPr>
          <w:rFonts w:ascii="Arial" w:hAnsi="Arial" w:cs="Arial"/>
          <w:i/>
          <w:iCs/>
          <w:sz w:val="24"/>
          <w:szCs w:val="24"/>
        </w:rPr>
        <w:t>vs</w:t>
      </w:r>
      <w:r w:rsidR="00D90A25" w:rsidRPr="006E68B2">
        <w:rPr>
          <w:rFonts w:ascii="Arial" w:hAnsi="Arial" w:cs="Arial"/>
          <w:sz w:val="24"/>
          <w:szCs w:val="24"/>
        </w:rPr>
        <w:t xml:space="preserve"> 12.6%, </w:t>
      </w:r>
      <w:r w:rsidR="00D90A25" w:rsidRPr="006E68B2">
        <w:rPr>
          <w:rFonts w:ascii="Arial" w:hAnsi="Arial" w:cs="Arial"/>
          <w:i/>
          <w:iCs/>
          <w:sz w:val="24"/>
          <w:szCs w:val="24"/>
        </w:rPr>
        <w:t>P</w:t>
      </w:r>
      <w:r w:rsidR="00D90A25" w:rsidRPr="006E68B2">
        <w:rPr>
          <w:rFonts w:ascii="Arial" w:hAnsi="Arial" w:cs="Arial"/>
          <w:sz w:val="24"/>
          <w:szCs w:val="24"/>
        </w:rPr>
        <w:t xml:space="preserve"> &lt;0.001).</w:t>
      </w:r>
    </w:p>
    <w:p w14:paraId="1D93C2A2" w14:textId="77777777" w:rsidR="00AB074B" w:rsidRPr="006E68B2" w:rsidRDefault="00AB074B" w:rsidP="00E042B9">
      <w:pPr>
        <w:spacing w:after="0" w:line="480" w:lineRule="auto"/>
        <w:jc w:val="both"/>
        <w:rPr>
          <w:rFonts w:ascii="Arial" w:hAnsi="Arial" w:cs="Arial"/>
          <w:sz w:val="24"/>
          <w:szCs w:val="24"/>
        </w:rPr>
      </w:pPr>
    </w:p>
    <w:p w14:paraId="16AC9093" w14:textId="305DA102" w:rsidR="00312887" w:rsidRPr="006E68B2" w:rsidRDefault="00F71A96" w:rsidP="00E042B9">
      <w:pPr>
        <w:spacing w:after="0" w:line="480" w:lineRule="auto"/>
        <w:jc w:val="both"/>
        <w:rPr>
          <w:rFonts w:ascii="Arial" w:hAnsi="Arial" w:cs="Arial"/>
          <w:sz w:val="24"/>
          <w:szCs w:val="24"/>
        </w:rPr>
      </w:pPr>
      <w:r w:rsidRPr="006E68B2">
        <w:rPr>
          <w:rFonts w:ascii="Arial" w:hAnsi="Arial" w:cs="Arial"/>
          <w:sz w:val="24"/>
          <w:szCs w:val="24"/>
        </w:rPr>
        <w:lastRenderedPageBreak/>
        <w:t xml:space="preserve">Co-morbidities including dementia, stroke, ischaemic heart disease and diabetes were present in 20.2, 14.2, 10.3, 12.9% respectively. There were 20.0% of patients who had pre-fracture mobility </w:t>
      </w:r>
      <w:r w:rsidR="00192AC1" w:rsidRPr="006E68B2">
        <w:rPr>
          <w:rFonts w:ascii="Arial" w:hAnsi="Arial" w:cs="Arial"/>
          <w:sz w:val="24"/>
          <w:szCs w:val="24"/>
        </w:rPr>
        <w:t xml:space="preserve">limited to indoors </w:t>
      </w:r>
      <w:r w:rsidRPr="006E68B2">
        <w:rPr>
          <w:rFonts w:ascii="Arial" w:hAnsi="Arial" w:cs="Arial"/>
          <w:sz w:val="24"/>
          <w:szCs w:val="24"/>
        </w:rPr>
        <w:t xml:space="preserve">and 5.3% reported </w:t>
      </w:r>
      <w:r w:rsidR="000F703B" w:rsidRPr="006E68B2">
        <w:rPr>
          <w:rFonts w:ascii="Arial" w:hAnsi="Arial" w:cs="Arial"/>
          <w:sz w:val="24"/>
          <w:szCs w:val="24"/>
        </w:rPr>
        <w:t>consumption of</w:t>
      </w:r>
      <w:r w:rsidRPr="006E68B2">
        <w:rPr>
          <w:rFonts w:ascii="Arial" w:hAnsi="Arial" w:cs="Arial"/>
          <w:sz w:val="24"/>
          <w:szCs w:val="24"/>
        </w:rPr>
        <w:t xml:space="preserve"> &gt;14 </w:t>
      </w:r>
      <w:r w:rsidR="000F703B" w:rsidRPr="006E68B2">
        <w:rPr>
          <w:rFonts w:ascii="Arial" w:hAnsi="Arial" w:cs="Arial"/>
          <w:sz w:val="24"/>
          <w:szCs w:val="24"/>
        </w:rPr>
        <w:t xml:space="preserve">alcohol </w:t>
      </w:r>
      <w:r w:rsidRPr="006E68B2">
        <w:rPr>
          <w:rFonts w:ascii="Arial" w:hAnsi="Arial" w:cs="Arial"/>
          <w:sz w:val="24"/>
          <w:szCs w:val="24"/>
        </w:rPr>
        <w:t xml:space="preserve">units a </w:t>
      </w:r>
      <w:r w:rsidR="008474EB" w:rsidRPr="006E68B2">
        <w:rPr>
          <w:rFonts w:ascii="Arial" w:hAnsi="Arial" w:cs="Arial"/>
          <w:sz w:val="24"/>
          <w:szCs w:val="24"/>
        </w:rPr>
        <w:t>week</w:t>
      </w:r>
      <w:r w:rsidRPr="006E68B2">
        <w:rPr>
          <w:rFonts w:ascii="Arial" w:hAnsi="Arial" w:cs="Arial"/>
          <w:sz w:val="24"/>
          <w:szCs w:val="24"/>
        </w:rPr>
        <w:t>.</w:t>
      </w:r>
      <w:r w:rsidR="00525351" w:rsidRPr="006E68B2">
        <w:rPr>
          <w:rFonts w:ascii="Arial" w:hAnsi="Arial" w:cs="Arial"/>
          <w:sz w:val="24"/>
          <w:szCs w:val="24"/>
        </w:rPr>
        <w:t xml:space="preserve"> There were 72.9% and 31.0% of patients staying hospital ≥1 week and ≥2 weeks respectively, and 35.3% who failed to mobilise within 1-day of hip surgery </w:t>
      </w:r>
      <w:r w:rsidR="00312887" w:rsidRPr="006E68B2">
        <w:rPr>
          <w:rFonts w:ascii="Arial" w:hAnsi="Arial" w:cs="Arial"/>
          <w:sz w:val="24"/>
          <w:szCs w:val="24"/>
        </w:rPr>
        <w:t>(</w:t>
      </w:r>
      <w:r w:rsidR="00312887" w:rsidRPr="006E68B2">
        <w:rPr>
          <w:rFonts w:ascii="Arial" w:hAnsi="Arial" w:cs="Arial"/>
          <w:b/>
          <w:bCs/>
          <w:sz w:val="24"/>
          <w:szCs w:val="24"/>
        </w:rPr>
        <w:t>Table 1</w:t>
      </w:r>
      <w:r w:rsidR="00312887" w:rsidRPr="006E68B2">
        <w:rPr>
          <w:rFonts w:ascii="Arial" w:hAnsi="Arial" w:cs="Arial"/>
          <w:sz w:val="24"/>
          <w:szCs w:val="24"/>
        </w:rPr>
        <w:t>).</w:t>
      </w:r>
      <w:r w:rsidR="009C1FBA" w:rsidRPr="006E68B2">
        <w:rPr>
          <w:rFonts w:ascii="Arial" w:hAnsi="Arial" w:cs="Arial"/>
          <w:sz w:val="24"/>
          <w:szCs w:val="24"/>
        </w:rPr>
        <w:t xml:space="preserve"> </w:t>
      </w:r>
    </w:p>
    <w:p w14:paraId="75331F55" w14:textId="77777777" w:rsidR="00312887" w:rsidRPr="006E68B2" w:rsidRDefault="00312887" w:rsidP="00E042B9">
      <w:pPr>
        <w:spacing w:after="0" w:line="480" w:lineRule="auto"/>
        <w:jc w:val="both"/>
        <w:rPr>
          <w:rFonts w:ascii="Arial" w:hAnsi="Arial" w:cs="Arial"/>
          <w:sz w:val="24"/>
          <w:szCs w:val="24"/>
        </w:rPr>
      </w:pPr>
    </w:p>
    <w:p w14:paraId="4CAD330D" w14:textId="12F69FE6" w:rsidR="00811AAF" w:rsidRPr="006E68B2" w:rsidRDefault="00811AAF" w:rsidP="00E042B9">
      <w:pPr>
        <w:spacing w:after="0" w:line="480" w:lineRule="auto"/>
        <w:jc w:val="both"/>
        <w:rPr>
          <w:rFonts w:ascii="Arial" w:hAnsi="Arial" w:cs="Arial"/>
          <w:sz w:val="24"/>
          <w:szCs w:val="24"/>
        </w:rPr>
      </w:pPr>
      <w:r w:rsidRPr="006E68B2">
        <w:rPr>
          <w:rFonts w:ascii="Arial" w:hAnsi="Arial" w:cs="Arial"/>
          <w:b/>
          <w:bCs/>
          <w:sz w:val="24"/>
          <w:szCs w:val="24"/>
        </w:rPr>
        <w:t>Table 2</w:t>
      </w:r>
      <w:r w:rsidRPr="006E68B2">
        <w:rPr>
          <w:rFonts w:ascii="Arial" w:hAnsi="Arial" w:cs="Arial"/>
          <w:sz w:val="24"/>
          <w:szCs w:val="24"/>
        </w:rPr>
        <w:t xml:space="preserve"> shows that ge</w:t>
      </w:r>
      <w:r w:rsidR="00863886" w:rsidRPr="006E68B2">
        <w:rPr>
          <w:rFonts w:ascii="Arial" w:hAnsi="Arial" w:cs="Arial"/>
          <w:sz w:val="24"/>
          <w:szCs w:val="24"/>
        </w:rPr>
        <w:t xml:space="preserve">nerally, the proportions of patients </w:t>
      </w:r>
      <w:r w:rsidR="00064379" w:rsidRPr="006E68B2">
        <w:rPr>
          <w:rFonts w:ascii="Arial" w:hAnsi="Arial" w:cs="Arial"/>
          <w:sz w:val="24"/>
          <w:szCs w:val="24"/>
        </w:rPr>
        <w:t xml:space="preserve">within any </w:t>
      </w:r>
      <w:r w:rsidR="00B350EC" w:rsidRPr="006E68B2">
        <w:rPr>
          <w:rFonts w:ascii="Arial" w:hAnsi="Arial" w:cs="Arial"/>
          <w:sz w:val="24"/>
          <w:szCs w:val="24"/>
        </w:rPr>
        <w:t>level of</w:t>
      </w:r>
      <w:r w:rsidR="00064379" w:rsidRPr="006E68B2">
        <w:rPr>
          <w:rFonts w:ascii="Arial" w:hAnsi="Arial" w:cs="Arial"/>
          <w:sz w:val="24"/>
          <w:szCs w:val="24"/>
        </w:rPr>
        <w:t xml:space="preserve"> medication status</w:t>
      </w:r>
      <w:r w:rsidR="00863886" w:rsidRPr="006E68B2">
        <w:rPr>
          <w:rFonts w:ascii="Arial" w:hAnsi="Arial" w:cs="Arial"/>
          <w:sz w:val="24"/>
          <w:szCs w:val="24"/>
        </w:rPr>
        <w:t xml:space="preserve"> rose with age up to 89.9 years</w:t>
      </w:r>
      <w:r w:rsidR="00064379" w:rsidRPr="006E68B2">
        <w:rPr>
          <w:rFonts w:ascii="Arial" w:hAnsi="Arial" w:cs="Arial"/>
          <w:sz w:val="24"/>
          <w:szCs w:val="24"/>
        </w:rPr>
        <w:t>,</w:t>
      </w:r>
      <w:r w:rsidR="00863886" w:rsidRPr="006E68B2">
        <w:rPr>
          <w:rFonts w:ascii="Arial" w:hAnsi="Arial" w:cs="Arial"/>
          <w:sz w:val="24"/>
          <w:szCs w:val="24"/>
        </w:rPr>
        <w:t xml:space="preserve"> and then </w:t>
      </w:r>
      <w:r w:rsidR="001A1AA4" w:rsidRPr="006E68B2">
        <w:rPr>
          <w:rFonts w:ascii="Arial" w:hAnsi="Arial" w:cs="Arial"/>
          <w:sz w:val="24"/>
          <w:szCs w:val="24"/>
        </w:rPr>
        <w:t>declined in</w:t>
      </w:r>
      <w:r w:rsidR="00863886" w:rsidRPr="006E68B2">
        <w:rPr>
          <w:rFonts w:ascii="Arial" w:hAnsi="Arial" w:cs="Arial"/>
          <w:sz w:val="24"/>
          <w:szCs w:val="24"/>
        </w:rPr>
        <w:t xml:space="preserve"> the oldest group (≥90 years).</w:t>
      </w:r>
      <w:r w:rsidR="00D4548E" w:rsidRPr="006E68B2">
        <w:rPr>
          <w:rFonts w:ascii="Arial" w:hAnsi="Arial" w:cs="Arial"/>
          <w:sz w:val="24"/>
          <w:szCs w:val="24"/>
        </w:rPr>
        <w:t xml:space="preserve"> </w:t>
      </w:r>
      <w:r w:rsidR="00A47D32" w:rsidRPr="006E68B2">
        <w:rPr>
          <w:rFonts w:ascii="Arial" w:hAnsi="Arial" w:cs="Arial"/>
          <w:sz w:val="24"/>
          <w:szCs w:val="24"/>
        </w:rPr>
        <w:t xml:space="preserve">Amongst the younger age groups </w:t>
      </w:r>
      <w:r w:rsidR="00AA7F4C" w:rsidRPr="006E68B2">
        <w:rPr>
          <w:rFonts w:ascii="Arial" w:hAnsi="Arial" w:cs="Arial"/>
          <w:sz w:val="24"/>
          <w:szCs w:val="24"/>
        </w:rPr>
        <w:t>(</w:t>
      </w:r>
      <w:r w:rsidR="00A47D32" w:rsidRPr="006E68B2">
        <w:rPr>
          <w:rFonts w:ascii="Arial" w:hAnsi="Arial" w:cs="Arial"/>
          <w:sz w:val="24"/>
          <w:szCs w:val="24"/>
        </w:rPr>
        <w:t>60</w:t>
      </w:r>
      <w:r w:rsidR="00CF4F52" w:rsidRPr="006E68B2">
        <w:rPr>
          <w:rFonts w:ascii="Arial" w:hAnsi="Arial" w:cs="Arial"/>
          <w:sz w:val="24"/>
          <w:szCs w:val="24"/>
        </w:rPr>
        <w:t>.0</w:t>
      </w:r>
      <w:r w:rsidR="00A47D32" w:rsidRPr="006E68B2">
        <w:rPr>
          <w:rFonts w:ascii="Arial" w:hAnsi="Arial" w:cs="Arial"/>
          <w:sz w:val="24"/>
          <w:szCs w:val="24"/>
        </w:rPr>
        <w:t>-79.9</w:t>
      </w:r>
      <w:r w:rsidR="00AA7F4C" w:rsidRPr="006E68B2">
        <w:rPr>
          <w:rFonts w:ascii="Arial" w:hAnsi="Arial" w:cs="Arial"/>
          <w:sz w:val="24"/>
          <w:szCs w:val="24"/>
        </w:rPr>
        <w:t xml:space="preserve"> years)</w:t>
      </w:r>
      <w:r w:rsidR="00A47D32" w:rsidRPr="006E68B2">
        <w:rPr>
          <w:rFonts w:ascii="Arial" w:hAnsi="Arial" w:cs="Arial"/>
          <w:sz w:val="24"/>
          <w:szCs w:val="24"/>
        </w:rPr>
        <w:t xml:space="preserve">, </w:t>
      </w:r>
      <w:r w:rsidR="00AE5327" w:rsidRPr="006E68B2">
        <w:rPr>
          <w:rFonts w:ascii="Arial" w:hAnsi="Arial" w:cs="Arial"/>
          <w:sz w:val="24"/>
          <w:szCs w:val="24"/>
        </w:rPr>
        <w:t xml:space="preserve">there were proportionally more </w:t>
      </w:r>
      <w:r w:rsidR="00A47D32" w:rsidRPr="006E68B2">
        <w:rPr>
          <w:rFonts w:ascii="Arial" w:hAnsi="Arial" w:cs="Arial"/>
          <w:sz w:val="24"/>
          <w:szCs w:val="24"/>
        </w:rPr>
        <w:t xml:space="preserve">patients with </w:t>
      </w:r>
      <w:r w:rsidR="00B350EC" w:rsidRPr="006E68B2">
        <w:rPr>
          <w:rFonts w:ascii="Arial" w:hAnsi="Arial" w:cs="Arial"/>
          <w:sz w:val="24"/>
          <w:szCs w:val="24"/>
        </w:rPr>
        <w:t>level-1</w:t>
      </w:r>
      <w:r w:rsidR="00AE5327" w:rsidRPr="006E68B2">
        <w:rPr>
          <w:rFonts w:ascii="Arial" w:hAnsi="Arial" w:cs="Arial"/>
          <w:sz w:val="24"/>
          <w:szCs w:val="24"/>
        </w:rPr>
        <w:t xml:space="preserve"> or </w:t>
      </w:r>
      <w:r w:rsidR="00B350EC" w:rsidRPr="006E68B2">
        <w:rPr>
          <w:rFonts w:ascii="Arial" w:hAnsi="Arial" w:cs="Arial"/>
          <w:sz w:val="24"/>
          <w:szCs w:val="24"/>
        </w:rPr>
        <w:t>level-2</w:t>
      </w:r>
      <w:r w:rsidR="00AE5327" w:rsidRPr="006E68B2">
        <w:rPr>
          <w:rFonts w:ascii="Arial" w:hAnsi="Arial" w:cs="Arial"/>
          <w:sz w:val="24"/>
          <w:szCs w:val="24"/>
        </w:rPr>
        <w:t xml:space="preserve"> </w:t>
      </w:r>
      <w:r w:rsidR="001A1AA4" w:rsidRPr="006E68B2">
        <w:rPr>
          <w:rFonts w:ascii="Arial" w:hAnsi="Arial" w:cs="Arial"/>
          <w:sz w:val="24"/>
          <w:szCs w:val="24"/>
        </w:rPr>
        <w:t xml:space="preserve">medication status </w:t>
      </w:r>
      <w:r w:rsidR="00AE5327" w:rsidRPr="006E68B2">
        <w:rPr>
          <w:rFonts w:ascii="Arial" w:hAnsi="Arial" w:cs="Arial"/>
          <w:sz w:val="24"/>
          <w:szCs w:val="24"/>
        </w:rPr>
        <w:t>than</w:t>
      </w:r>
      <w:r w:rsidR="00155341" w:rsidRPr="006E68B2">
        <w:rPr>
          <w:rFonts w:ascii="Arial" w:hAnsi="Arial" w:cs="Arial"/>
          <w:sz w:val="24"/>
          <w:szCs w:val="24"/>
        </w:rPr>
        <w:t xml:space="preserve"> </w:t>
      </w:r>
      <w:r w:rsidR="006A1A94" w:rsidRPr="006E68B2">
        <w:rPr>
          <w:rFonts w:ascii="Arial" w:hAnsi="Arial" w:cs="Arial"/>
          <w:sz w:val="24"/>
          <w:szCs w:val="24"/>
        </w:rPr>
        <w:t xml:space="preserve">with </w:t>
      </w:r>
      <w:r w:rsidR="00B350EC" w:rsidRPr="006E68B2">
        <w:rPr>
          <w:rFonts w:ascii="Arial" w:hAnsi="Arial" w:cs="Arial"/>
          <w:sz w:val="24"/>
          <w:szCs w:val="24"/>
        </w:rPr>
        <w:t>level-3</w:t>
      </w:r>
      <w:r w:rsidR="00A47D32" w:rsidRPr="006E68B2">
        <w:rPr>
          <w:rFonts w:ascii="Arial" w:hAnsi="Arial" w:cs="Arial"/>
          <w:sz w:val="24"/>
          <w:szCs w:val="24"/>
        </w:rPr>
        <w:t>. This trend was reversed in older ages</w:t>
      </w:r>
      <w:r w:rsidRPr="006E68B2">
        <w:rPr>
          <w:rFonts w:ascii="Arial" w:hAnsi="Arial" w:cs="Arial"/>
          <w:sz w:val="24"/>
          <w:szCs w:val="24"/>
        </w:rPr>
        <w:t xml:space="preserve"> and reach</w:t>
      </w:r>
      <w:r w:rsidR="00E27D1B" w:rsidRPr="006E68B2">
        <w:rPr>
          <w:rFonts w:ascii="Arial" w:hAnsi="Arial" w:cs="Arial"/>
          <w:sz w:val="24"/>
          <w:szCs w:val="24"/>
        </w:rPr>
        <w:t>ed</w:t>
      </w:r>
      <w:r w:rsidRPr="006E68B2">
        <w:rPr>
          <w:rFonts w:ascii="Arial" w:hAnsi="Arial" w:cs="Arial"/>
          <w:sz w:val="24"/>
          <w:szCs w:val="24"/>
        </w:rPr>
        <w:t xml:space="preserve"> </w:t>
      </w:r>
      <w:r w:rsidR="001A1AA4" w:rsidRPr="006E68B2">
        <w:rPr>
          <w:rFonts w:ascii="Arial" w:hAnsi="Arial" w:cs="Arial"/>
          <w:sz w:val="24"/>
          <w:szCs w:val="24"/>
        </w:rPr>
        <w:t xml:space="preserve">a </w:t>
      </w:r>
      <w:r w:rsidR="00A47D32" w:rsidRPr="006E68B2">
        <w:rPr>
          <w:rFonts w:ascii="Arial" w:hAnsi="Arial" w:cs="Arial"/>
          <w:sz w:val="24"/>
          <w:szCs w:val="24"/>
        </w:rPr>
        <w:t xml:space="preserve">peak </w:t>
      </w:r>
      <w:r w:rsidR="001A1AA4" w:rsidRPr="006E68B2">
        <w:rPr>
          <w:rFonts w:ascii="Arial" w:hAnsi="Arial" w:cs="Arial"/>
          <w:sz w:val="24"/>
          <w:szCs w:val="24"/>
        </w:rPr>
        <w:t>in the</w:t>
      </w:r>
      <w:r w:rsidR="00A47D32" w:rsidRPr="006E68B2">
        <w:rPr>
          <w:rFonts w:ascii="Arial" w:hAnsi="Arial" w:cs="Arial"/>
          <w:sz w:val="24"/>
          <w:szCs w:val="24"/>
        </w:rPr>
        <w:t xml:space="preserve"> </w:t>
      </w:r>
      <w:proofErr w:type="gramStart"/>
      <w:r w:rsidR="00A47D32" w:rsidRPr="006E68B2">
        <w:rPr>
          <w:rFonts w:ascii="Arial" w:hAnsi="Arial" w:cs="Arial"/>
          <w:sz w:val="24"/>
          <w:szCs w:val="24"/>
        </w:rPr>
        <w:t>80</w:t>
      </w:r>
      <w:r w:rsidR="00CF4F52" w:rsidRPr="006E68B2">
        <w:rPr>
          <w:rFonts w:ascii="Arial" w:hAnsi="Arial" w:cs="Arial"/>
          <w:sz w:val="24"/>
          <w:szCs w:val="24"/>
        </w:rPr>
        <w:t>.0</w:t>
      </w:r>
      <w:r w:rsidR="00A47D32" w:rsidRPr="006E68B2">
        <w:rPr>
          <w:rFonts w:ascii="Arial" w:hAnsi="Arial" w:cs="Arial"/>
          <w:sz w:val="24"/>
          <w:szCs w:val="24"/>
        </w:rPr>
        <w:t>-89.9</w:t>
      </w:r>
      <w:r w:rsidRPr="006E68B2">
        <w:rPr>
          <w:rFonts w:ascii="Arial" w:hAnsi="Arial" w:cs="Arial"/>
          <w:sz w:val="24"/>
          <w:szCs w:val="24"/>
        </w:rPr>
        <w:t xml:space="preserve"> </w:t>
      </w:r>
      <w:r w:rsidR="001A1AA4" w:rsidRPr="006E68B2">
        <w:rPr>
          <w:rFonts w:ascii="Arial" w:hAnsi="Arial" w:cs="Arial"/>
          <w:sz w:val="24"/>
          <w:szCs w:val="24"/>
        </w:rPr>
        <w:t>year</w:t>
      </w:r>
      <w:proofErr w:type="gramEnd"/>
      <w:r w:rsidR="001A1AA4" w:rsidRPr="006E68B2">
        <w:rPr>
          <w:rFonts w:ascii="Arial" w:hAnsi="Arial" w:cs="Arial"/>
          <w:sz w:val="24"/>
          <w:szCs w:val="24"/>
        </w:rPr>
        <w:t xml:space="preserve"> group</w:t>
      </w:r>
      <w:r w:rsidR="007F7574" w:rsidRPr="006E68B2">
        <w:rPr>
          <w:rFonts w:ascii="Arial" w:hAnsi="Arial" w:cs="Arial"/>
          <w:sz w:val="24"/>
          <w:szCs w:val="24"/>
        </w:rPr>
        <w:t xml:space="preserve">: </w:t>
      </w:r>
      <w:r w:rsidRPr="006E68B2">
        <w:rPr>
          <w:rFonts w:ascii="Arial" w:hAnsi="Arial" w:cs="Arial"/>
          <w:sz w:val="24"/>
          <w:szCs w:val="24"/>
        </w:rPr>
        <w:t xml:space="preserve">rising from </w:t>
      </w:r>
      <w:r w:rsidR="00A47D32" w:rsidRPr="006E68B2">
        <w:rPr>
          <w:rFonts w:ascii="Arial" w:hAnsi="Arial" w:cs="Arial"/>
          <w:sz w:val="24"/>
          <w:szCs w:val="24"/>
        </w:rPr>
        <w:t xml:space="preserve">34.6% </w:t>
      </w:r>
      <w:r w:rsidRPr="006E68B2">
        <w:rPr>
          <w:rFonts w:ascii="Arial" w:hAnsi="Arial" w:cs="Arial"/>
          <w:sz w:val="24"/>
          <w:szCs w:val="24"/>
        </w:rPr>
        <w:t xml:space="preserve">in </w:t>
      </w:r>
      <w:r w:rsidR="007F7574" w:rsidRPr="006E68B2">
        <w:rPr>
          <w:rFonts w:ascii="Arial" w:hAnsi="Arial" w:cs="Arial"/>
          <w:sz w:val="24"/>
          <w:szCs w:val="24"/>
        </w:rPr>
        <w:t xml:space="preserve">patients </w:t>
      </w:r>
      <w:r w:rsidR="00A47D32" w:rsidRPr="006E68B2">
        <w:rPr>
          <w:rFonts w:ascii="Arial" w:hAnsi="Arial" w:cs="Arial"/>
          <w:sz w:val="24"/>
          <w:szCs w:val="24"/>
        </w:rPr>
        <w:t xml:space="preserve">with </w:t>
      </w:r>
      <w:r w:rsidR="00B350EC" w:rsidRPr="006E68B2">
        <w:rPr>
          <w:rFonts w:ascii="Arial" w:hAnsi="Arial" w:cs="Arial"/>
          <w:sz w:val="24"/>
          <w:szCs w:val="24"/>
        </w:rPr>
        <w:t>leve</w:t>
      </w:r>
      <w:r w:rsidR="001A1AA4" w:rsidRPr="006E68B2">
        <w:rPr>
          <w:rFonts w:ascii="Arial" w:hAnsi="Arial" w:cs="Arial"/>
          <w:sz w:val="24"/>
          <w:szCs w:val="24"/>
        </w:rPr>
        <w:t>l</w:t>
      </w:r>
      <w:r w:rsidR="00B350EC" w:rsidRPr="006E68B2">
        <w:rPr>
          <w:rFonts w:ascii="Arial" w:hAnsi="Arial" w:cs="Arial"/>
          <w:sz w:val="24"/>
          <w:szCs w:val="24"/>
        </w:rPr>
        <w:t>-1</w:t>
      </w:r>
      <w:r w:rsidR="001A1AA4" w:rsidRPr="006E68B2">
        <w:rPr>
          <w:rFonts w:ascii="Arial" w:hAnsi="Arial" w:cs="Arial"/>
          <w:sz w:val="24"/>
          <w:szCs w:val="24"/>
        </w:rPr>
        <w:t xml:space="preserve"> medication status</w:t>
      </w:r>
      <w:r w:rsidR="00A47D32" w:rsidRPr="006E68B2">
        <w:rPr>
          <w:rFonts w:ascii="Arial" w:hAnsi="Arial" w:cs="Arial"/>
          <w:sz w:val="24"/>
          <w:szCs w:val="24"/>
        </w:rPr>
        <w:t xml:space="preserve">, to 47.6% </w:t>
      </w:r>
      <w:r w:rsidRPr="006E68B2">
        <w:rPr>
          <w:rFonts w:ascii="Arial" w:hAnsi="Arial" w:cs="Arial"/>
          <w:sz w:val="24"/>
          <w:szCs w:val="24"/>
        </w:rPr>
        <w:t>in those with</w:t>
      </w:r>
      <w:r w:rsidR="00A47D32" w:rsidRPr="006E68B2">
        <w:rPr>
          <w:rFonts w:ascii="Arial" w:hAnsi="Arial" w:cs="Arial"/>
          <w:sz w:val="24"/>
          <w:szCs w:val="24"/>
        </w:rPr>
        <w:t xml:space="preserve"> </w:t>
      </w:r>
      <w:r w:rsidR="00B350EC" w:rsidRPr="006E68B2">
        <w:rPr>
          <w:rFonts w:ascii="Arial" w:hAnsi="Arial" w:cs="Arial"/>
          <w:sz w:val="24"/>
          <w:szCs w:val="24"/>
        </w:rPr>
        <w:t>level-2</w:t>
      </w:r>
      <w:r w:rsidR="00A47D32" w:rsidRPr="006E68B2">
        <w:rPr>
          <w:rFonts w:ascii="Arial" w:hAnsi="Arial" w:cs="Arial"/>
          <w:sz w:val="24"/>
          <w:szCs w:val="24"/>
        </w:rPr>
        <w:t xml:space="preserve">, and </w:t>
      </w:r>
      <w:r w:rsidRPr="006E68B2">
        <w:rPr>
          <w:rFonts w:ascii="Arial" w:hAnsi="Arial" w:cs="Arial"/>
          <w:sz w:val="24"/>
          <w:szCs w:val="24"/>
        </w:rPr>
        <w:t>highest (</w:t>
      </w:r>
      <w:r w:rsidR="00A47D32" w:rsidRPr="006E68B2">
        <w:rPr>
          <w:rFonts w:ascii="Arial" w:hAnsi="Arial" w:cs="Arial"/>
          <w:sz w:val="24"/>
          <w:szCs w:val="24"/>
        </w:rPr>
        <w:t>51.1%</w:t>
      </w:r>
      <w:r w:rsidRPr="006E68B2">
        <w:rPr>
          <w:rFonts w:ascii="Arial" w:hAnsi="Arial" w:cs="Arial"/>
          <w:sz w:val="24"/>
          <w:szCs w:val="24"/>
        </w:rPr>
        <w:t>)</w:t>
      </w:r>
      <w:r w:rsidR="00D4548E" w:rsidRPr="006E68B2">
        <w:rPr>
          <w:rFonts w:ascii="Arial" w:hAnsi="Arial" w:cs="Arial"/>
          <w:sz w:val="24"/>
          <w:szCs w:val="24"/>
        </w:rPr>
        <w:t xml:space="preserve"> </w:t>
      </w:r>
      <w:r w:rsidRPr="006E68B2">
        <w:rPr>
          <w:rFonts w:ascii="Arial" w:hAnsi="Arial" w:cs="Arial"/>
          <w:sz w:val="24"/>
          <w:szCs w:val="24"/>
        </w:rPr>
        <w:t xml:space="preserve">amongst those </w:t>
      </w:r>
      <w:r w:rsidR="00A47D32" w:rsidRPr="006E68B2">
        <w:rPr>
          <w:rFonts w:ascii="Arial" w:hAnsi="Arial" w:cs="Arial"/>
          <w:sz w:val="24"/>
          <w:szCs w:val="24"/>
        </w:rPr>
        <w:t xml:space="preserve">with </w:t>
      </w:r>
      <w:r w:rsidR="00B350EC" w:rsidRPr="006E68B2">
        <w:rPr>
          <w:rFonts w:ascii="Arial" w:hAnsi="Arial" w:cs="Arial"/>
          <w:sz w:val="24"/>
          <w:szCs w:val="24"/>
        </w:rPr>
        <w:t>level-3</w:t>
      </w:r>
      <w:r w:rsidR="00312887" w:rsidRPr="006E68B2">
        <w:rPr>
          <w:rFonts w:ascii="Arial" w:hAnsi="Arial" w:cs="Arial"/>
          <w:sz w:val="24"/>
          <w:szCs w:val="24"/>
        </w:rPr>
        <w:t>.</w:t>
      </w:r>
    </w:p>
    <w:p w14:paraId="0D21C2A6" w14:textId="77777777" w:rsidR="00811AAF" w:rsidRPr="006E68B2" w:rsidRDefault="00811AAF" w:rsidP="00E042B9">
      <w:pPr>
        <w:spacing w:after="0" w:line="480" w:lineRule="auto"/>
        <w:jc w:val="both"/>
        <w:rPr>
          <w:rFonts w:ascii="Arial" w:hAnsi="Arial" w:cs="Arial"/>
          <w:sz w:val="24"/>
          <w:szCs w:val="24"/>
        </w:rPr>
      </w:pPr>
    </w:p>
    <w:p w14:paraId="25E620C3" w14:textId="33417955" w:rsidR="00312887" w:rsidRPr="006E68B2" w:rsidRDefault="001A1AA4" w:rsidP="00E042B9">
      <w:pPr>
        <w:spacing w:after="0" w:line="480" w:lineRule="auto"/>
        <w:jc w:val="both"/>
        <w:rPr>
          <w:rFonts w:ascii="Arial" w:hAnsi="Arial" w:cs="Arial"/>
          <w:sz w:val="24"/>
          <w:szCs w:val="24"/>
        </w:rPr>
      </w:pPr>
      <w:r w:rsidRPr="006E68B2">
        <w:rPr>
          <w:rFonts w:ascii="Arial" w:hAnsi="Arial" w:cs="Arial"/>
          <w:sz w:val="24"/>
          <w:szCs w:val="24"/>
        </w:rPr>
        <w:t>In addition</w:t>
      </w:r>
      <w:r w:rsidR="00ED48C6" w:rsidRPr="006E68B2">
        <w:rPr>
          <w:rFonts w:ascii="Arial" w:hAnsi="Arial" w:cs="Arial"/>
          <w:sz w:val="24"/>
          <w:szCs w:val="24"/>
        </w:rPr>
        <w:t>, co</w:t>
      </w:r>
      <w:r w:rsidR="00854A75" w:rsidRPr="006E68B2">
        <w:rPr>
          <w:rFonts w:ascii="Arial" w:hAnsi="Arial" w:cs="Arial"/>
          <w:sz w:val="24"/>
          <w:szCs w:val="24"/>
        </w:rPr>
        <w:t>-morbidities</w:t>
      </w:r>
      <w:r w:rsidR="00811AAF" w:rsidRPr="006E68B2">
        <w:rPr>
          <w:rFonts w:ascii="Arial" w:hAnsi="Arial" w:cs="Arial"/>
          <w:sz w:val="24"/>
          <w:szCs w:val="24"/>
        </w:rPr>
        <w:t xml:space="preserve"> (dementia, stroke</w:t>
      </w:r>
      <w:r w:rsidR="00DC4E21" w:rsidRPr="006E68B2">
        <w:rPr>
          <w:rFonts w:ascii="Arial" w:hAnsi="Arial" w:cs="Arial"/>
          <w:sz w:val="24"/>
          <w:szCs w:val="24"/>
        </w:rPr>
        <w:t>, ischaemic heart disease, and diabetes)</w:t>
      </w:r>
      <w:r w:rsidR="00811AAF" w:rsidRPr="006E68B2">
        <w:rPr>
          <w:rFonts w:ascii="Arial" w:hAnsi="Arial" w:cs="Arial"/>
          <w:sz w:val="24"/>
          <w:szCs w:val="24"/>
        </w:rPr>
        <w:t>, p</w:t>
      </w:r>
      <w:r w:rsidR="00854A75" w:rsidRPr="006E68B2">
        <w:rPr>
          <w:rFonts w:ascii="Arial" w:hAnsi="Arial" w:cs="Arial"/>
          <w:sz w:val="24"/>
          <w:szCs w:val="24"/>
        </w:rPr>
        <w:t xml:space="preserve">re-fracture mobility </w:t>
      </w:r>
      <w:r w:rsidR="00822F5A" w:rsidRPr="006E68B2">
        <w:rPr>
          <w:rFonts w:ascii="Arial" w:hAnsi="Arial" w:cs="Arial"/>
          <w:sz w:val="24"/>
          <w:szCs w:val="24"/>
        </w:rPr>
        <w:t>limited to indoors</w:t>
      </w:r>
      <w:r w:rsidR="00811AAF" w:rsidRPr="006E68B2">
        <w:rPr>
          <w:rFonts w:ascii="Arial" w:hAnsi="Arial" w:cs="Arial"/>
          <w:sz w:val="24"/>
          <w:szCs w:val="24"/>
        </w:rPr>
        <w:t xml:space="preserve"> and pressure ulcers</w:t>
      </w:r>
      <w:r w:rsidR="00822F5A" w:rsidRPr="006E68B2">
        <w:rPr>
          <w:rFonts w:ascii="Arial" w:hAnsi="Arial" w:cs="Arial"/>
          <w:sz w:val="24"/>
          <w:szCs w:val="24"/>
        </w:rPr>
        <w:t xml:space="preserve"> </w:t>
      </w:r>
      <w:r w:rsidR="00DC4E21" w:rsidRPr="006E68B2">
        <w:rPr>
          <w:rFonts w:ascii="Arial" w:hAnsi="Arial" w:cs="Arial"/>
          <w:sz w:val="24"/>
          <w:szCs w:val="24"/>
        </w:rPr>
        <w:t xml:space="preserve">all </w:t>
      </w:r>
      <w:r w:rsidR="00854A75" w:rsidRPr="006E68B2">
        <w:rPr>
          <w:rFonts w:ascii="Arial" w:hAnsi="Arial" w:cs="Arial"/>
          <w:sz w:val="24"/>
          <w:szCs w:val="24"/>
        </w:rPr>
        <w:t xml:space="preserve">increased with </w:t>
      </w:r>
      <w:r w:rsidR="00DC4E21" w:rsidRPr="006E68B2">
        <w:rPr>
          <w:rFonts w:ascii="Arial" w:hAnsi="Arial" w:cs="Arial"/>
          <w:sz w:val="24"/>
          <w:szCs w:val="24"/>
        </w:rPr>
        <w:t>increasing level of medication status. T</w:t>
      </w:r>
      <w:r w:rsidR="00B71897" w:rsidRPr="006E68B2">
        <w:rPr>
          <w:rFonts w:ascii="Arial" w:hAnsi="Arial" w:cs="Arial"/>
          <w:sz w:val="24"/>
          <w:szCs w:val="24"/>
        </w:rPr>
        <w:t>he</w:t>
      </w:r>
      <w:r w:rsidR="00DC4E21" w:rsidRPr="006E68B2">
        <w:rPr>
          <w:rFonts w:ascii="Arial" w:hAnsi="Arial" w:cs="Arial"/>
          <w:sz w:val="24"/>
          <w:szCs w:val="24"/>
        </w:rPr>
        <w:t xml:space="preserve"> corresponding</w:t>
      </w:r>
      <w:r w:rsidR="00B71897" w:rsidRPr="006E68B2">
        <w:rPr>
          <w:rFonts w:ascii="Arial" w:hAnsi="Arial" w:cs="Arial"/>
          <w:sz w:val="24"/>
          <w:szCs w:val="24"/>
        </w:rPr>
        <w:t xml:space="preserve"> proportions of patients staying in hospital ≥1 week</w:t>
      </w:r>
      <w:r w:rsidR="00DC4E21" w:rsidRPr="006E68B2">
        <w:rPr>
          <w:rFonts w:ascii="Arial" w:hAnsi="Arial" w:cs="Arial"/>
          <w:sz w:val="24"/>
          <w:szCs w:val="24"/>
        </w:rPr>
        <w:t xml:space="preserve"> rose </w:t>
      </w:r>
      <w:r w:rsidR="00B71897" w:rsidRPr="006E68B2">
        <w:rPr>
          <w:rFonts w:ascii="Arial" w:hAnsi="Arial" w:cs="Arial"/>
          <w:sz w:val="24"/>
          <w:szCs w:val="24"/>
        </w:rPr>
        <w:t xml:space="preserve">from 55.1%, to 76.6% and 80.9%, and </w:t>
      </w:r>
      <w:r w:rsidR="00ED48C6" w:rsidRPr="006E68B2">
        <w:rPr>
          <w:rFonts w:ascii="Arial" w:hAnsi="Arial" w:cs="Arial"/>
          <w:sz w:val="24"/>
          <w:szCs w:val="24"/>
        </w:rPr>
        <w:t xml:space="preserve">patients staying in hospital </w:t>
      </w:r>
      <w:r w:rsidR="00B71897" w:rsidRPr="006E68B2">
        <w:rPr>
          <w:rFonts w:ascii="Arial" w:hAnsi="Arial" w:cs="Arial"/>
          <w:sz w:val="24"/>
          <w:szCs w:val="24"/>
        </w:rPr>
        <w:t>≥2 weeks</w:t>
      </w:r>
      <w:r w:rsidR="00DC4E21" w:rsidRPr="006E68B2">
        <w:rPr>
          <w:rFonts w:ascii="Arial" w:hAnsi="Arial" w:cs="Arial"/>
          <w:sz w:val="24"/>
          <w:szCs w:val="24"/>
        </w:rPr>
        <w:t xml:space="preserve"> rose</w:t>
      </w:r>
      <w:r w:rsidR="00B71897" w:rsidRPr="006E68B2">
        <w:rPr>
          <w:rFonts w:ascii="Arial" w:hAnsi="Arial" w:cs="Arial"/>
          <w:sz w:val="24"/>
          <w:szCs w:val="24"/>
        </w:rPr>
        <w:t xml:space="preserve"> from 19.8%, to 31.5% and 38.1%, </w:t>
      </w:r>
      <w:r w:rsidR="00ED48C6" w:rsidRPr="006E68B2">
        <w:rPr>
          <w:rFonts w:ascii="Arial" w:hAnsi="Arial" w:cs="Arial"/>
          <w:sz w:val="24"/>
          <w:szCs w:val="24"/>
        </w:rPr>
        <w:t>those</w:t>
      </w:r>
      <w:r w:rsidR="00B71897" w:rsidRPr="006E68B2">
        <w:rPr>
          <w:rFonts w:ascii="Arial" w:hAnsi="Arial" w:cs="Arial"/>
          <w:sz w:val="24"/>
          <w:szCs w:val="24"/>
        </w:rPr>
        <w:t xml:space="preserve"> who failed to mobilise within 1-day of surgery</w:t>
      </w:r>
      <w:r w:rsidR="00DC4E21" w:rsidRPr="006E68B2">
        <w:rPr>
          <w:rFonts w:ascii="Arial" w:hAnsi="Arial" w:cs="Arial"/>
          <w:sz w:val="24"/>
          <w:szCs w:val="24"/>
        </w:rPr>
        <w:t xml:space="preserve"> rose</w:t>
      </w:r>
      <w:r w:rsidR="00B71897" w:rsidRPr="006E68B2">
        <w:rPr>
          <w:rFonts w:ascii="Arial" w:hAnsi="Arial" w:cs="Arial"/>
          <w:sz w:val="24"/>
          <w:szCs w:val="24"/>
        </w:rPr>
        <w:t xml:space="preserve"> from 23.2%, to 36.2% and 43.2%</w:t>
      </w:r>
      <w:r w:rsidR="00DC4E21" w:rsidRPr="006E68B2">
        <w:rPr>
          <w:rFonts w:ascii="Arial" w:hAnsi="Arial" w:cs="Arial"/>
          <w:sz w:val="24"/>
          <w:szCs w:val="24"/>
        </w:rPr>
        <w:t>, and those who acquired a pressure ulcer rose from</w:t>
      </w:r>
      <w:r w:rsidR="00A80FEE" w:rsidRPr="006E68B2">
        <w:rPr>
          <w:rFonts w:ascii="Arial" w:hAnsi="Arial" w:cs="Arial"/>
          <w:sz w:val="24"/>
          <w:szCs w:val="24"/>
        </w:rPr>
        <w:t xml:space="preserve"> </w:t>
      </w:r>
      <w:r w:rsidR="00DC4E21" w:rsidRPr="006E68B2">
        <w:rPr>
          <w:rFonts w:ascii="Arial" w:hAnsi="Arial" w:cs="Arial"/>
          <w:sz w:val="24"/>
          <w:szCs w:val="24"/>
        </w:rPr>
        <w:t>0.4 to 1.3% and</w:t>
      </w:r>
      <w:r w:rsidR="00A80FEE" w:rsidRPr="006E68B2">
        <w:rPr>
          <w:rFonts w:ascii="Arial" w:hAnsi="Arial" w:cs="Arial"/>
          <w:sz w:val="24"/>
          <w:szCs w:val="24"/>
        </w:rPr>
        <w:t xml:space="preserve"> </w:t>
      </w:r>
      <w:r w:rsidR="00DC4E21" w:rsidRPr="006E68B2">
        <w:rPr>
          <w:rFonts w:ascii="Arial" w:hAnsi="Arial" w:cs="Arial"/>
          <w:sz w:val="24"/>
          <w:szCs w:val="24"/>
        </w:rPr>
        <w:t xml:space="preserve">3.6% </w:t>
      </w:r>
      <w:r w:rsidR="00B71897" w:rsidRPr="006E68B2">
        <w:rPr>
          <w:rFonts w:ascii="Arial" w:hAnsi="Arial" w:cs="Arial"/>
          <w:sz w:val="24"/>
          <w:szCs w:val="24"/>
        </w:rPr>
        <w:t>(</w:t>
      </w:r>
      <w:r w:rsidR="00B71897" w:rsidRPr="006E68B2">
        <w:rPr>
          <w:rFonts w:ascii="Arial" w:hAnsi="Arial" w:cs="Arial"/>
          <w:b/>
          <w:bCs/>
          <w:sz w:val="24"/>
          <w:szCs w:val="24"/>
        </w:rPr>
        <w:t>Table 2</w:t>
      </w:r>
      <w:r w:rsidR="00B71897" w:rsidRPr="006E68B2">
        <w:rPr>
          <w:rFonts w:ascii="Arial" w:hAnsi="Arial" w:cs="Arial"/>
          <w:sz w:val="24"/>
          <w:szCs w:val="24"/>
        </w:rPr>
        <w:t>)</w:t>
      </w:r>
      <w:r w:rsidR="00DC4E21" w:rsidRPr="006E68B2">
        <w:rPr>
          <w:rFonts w:ascii="Arial" w:hAnsi="Arial" w:cs="Arial"/>
          <w:sz w:val="24"/>
          <w:szCs w:val="24"/>
        </w:rPr>
        <w:t>.</w:t>
      </w:r>
    </w:p>
    <w:p w14:paraId="71D8905C" w14:textId="4DCF10D2" w:rsidR="0078788D" w:rsidRPr="006E68B2" w:rsidRDefault="0078788D" w:rsidP="00E042B9">
      <w:pPr>
        <w:spacing w:after="0" w:line="480" w:lineRule="auto"/>
        <w:jc w:val="both"/>
        <w:rPr>
          <w:rFonts w:ascii="Arial" w:hAnsi="Arial" w:cs="Arial"/>
          <w:sz w:val="24"/>
          <w:szCs w:val="24"/>
        </w:rPr>
      </w:pPr>
    </w:p>
    <w:p w14:paraId="1BC52727" w14:textId="14E066C4" w:rsidR="0078788D" w:rsidRPr="006E68B2" w:rsidRDefault="0078788D" w:rsidP="00E042B9">
      <w:pPr>
        <w:spacing w:after="0" w:line="480" w:lineRule="auto"/>
        <w:jc w:val="both"/>
        <w:rPr>
          <w:rFonts w:ascii="Arial" w:hAnsi="Arial" w:cs="Arial"/>
          <w:sz w:val="24"/>
          <w:szCs w:val="24"/>
        </w:rPr>
      </w:pPr>
      <w:r w:rsidRPr="006E68B2">
        <w:rPr>
          <w:rFonts w:ascii="Arial" w:hAnsi="Arial" w:cs="Arial"/>
          <w:sz w:val="24"/>
          <w:szCs w:val="24"/>
        </w:rPr>
        <w:t xml:space="preserve">Compared to patients who </w:t>
      </w:r>
      <w:r w:rsidR="0065245F" w:rsidRPr="006E68B2">
        <w:rPr>
          <w:rFonts w:ascii="Arial" w:hAnsi="Arial" w:cs="Arial"/>
          <w:sz w:val="24"/>
          <w:szCs w:val="24"/>
        </w:rPr>
        <w:t>were not taking</w:t>
      </w:r>
      <w:r w:rsidRPr="006E68B2">
        <w:rPr>
          <w:rFonts w:ascii="Arial" w:hAnsi="Arial" w:cs="Arial"/>
          <w:sz w:val="24"/>
          <w:szCs w:val="24"/>
        </w:rPr>
        <w:t xml:space="preserve"> an antiresorptive agent</w:t>
      </w:r>
      <w:r w:rsidR="0065245F" w:rsidRPr="006E68B2">
        <w:rPr>
          <w:rFonts w:ascii="Arial" w:hAnsi="Arial" w:cs="Arial"/>
          <w:sz w:val="24"/>
          <w:szCs w:val="24"/>
        </w:rPr>
        <w:t xml:space="preserve"> before</w:t>
      </w:r>
      <w:r w:rsidRPr="006E68B2">
        <w:rPr>
          <w:rFonts w:ascii="Arial" w:hAnsi="Arial" w:cs="Arial"/>
          <w:sz w:val="24"/>
          <w:szCs w:val="24"/>
        </w:rPr>
        <w:t xml:space="preserve"> hip fractures, </w:t>
      </w:r>
      <w:r w:rsidR="0065245F" w:rsidRPr="006E68B2">
        <w:rPr>
          <w:rFonts w:ascii="Arial" w:hAnsi="Arial" w:cs="Arial"/>
          <w:sz w:val="24"/>
          <w:szCs w:val="24"/>
        </w:rPr>
        <w:t>the</w:t>
      </w:r>
      <w:r w:rsidRPr="006E68B2">
        <w:rPr>
          <w:rFonts w:ascii="Arial" w:hAnsi="Arial" w:cs="Arial"/>
          <w:sz w:val="24"/>
          <w:szCs w:val="24"/>
        </w:rPr>
        <w:t xml:space="preserve"> proportio</w:t>
      </w:r>
      <w:r w:rsidR="0065245F" w:rsidRPr="006E68B2">
        <w:rPr>
          <w:rFonts w:ascii="Arial" w:hAnsi="Arial" w:cs="Arial"/>
          <w:sz w:val="24"/>
          <w:szCs w:val="24"/>
        </w:rPr>
        <w:t>ns of those</w:t>
      </w:r>
      <w:r w:rsidRPr="006E68B2">
        <w:rPr>
          <w:rFonts w:ascii="Arial" w:hAnsi="Arial" w:cs="Arial"/>
          <w:sz w:val="24"/>
          <w:szCs w:val="24"/>
        </w:rPr>
        <w:t xml:space="preserve"> who were taking an antiresorptive agent prior to hip fractures </w:t>
      </w:r>
      <w:r w:rsidR="0065245F" w:rsidRPr="006E68B2">
        <w:rPr>
          <w:rFonts w:ascii="Arial" w:hAnsi="Arial" w:cs="Arial"/>
          <w:sz w:val="24"/>
          <w:szCs w:val="24"/>
        </w:rPr>
        <w:lastRenderedPageBreak/>
        <w:t>did not differ for LOS</w:t>
      </w:r>
      <w:r w:rsidRPr="006E68B2">
        <w:rPr>
          <w:rFonts w:ascii="Arial" w:hAnsi="Arial" w:cs="Arial"/>
          <w:sz w:val="24"/>
          <w:szCs w:val="24"/>
        </w:rPr>
        <w:t xml:space="preserve"> ≥1 week: </w:t>
      </w:r>
      <w:r w:rsidR="003F44C0" w:rsidRPr="006E68B2">
        <w:rPr>
          <w:rFonts w:ascii="Arial" w:hAnsi="Arial" w:cs="Arial"/>
          <w:sz w:val="24"/>
          <w:szCs w:val="24"/>
        </w:rPr>
        <w:t>7</w:t>
      </w:r>
      <w:r w:rsidR="0065245F" w:rsidRPr="006E68B2">
        <w:rPr>
          <w:rFonts w:ascii="Arial" w:hAnsi="Arial" w:cs="Arial"/>
          <w:sz w:val="24"/>
          <w:szCs w:val="24"/>
        </w:rPr>
        <w:t>3</w:t>
      </w:r>
      <w:r w:rsidR="003F44C0" w:rsidRPr="006E68B2">
        <w:rPr>
          <w:rFonts w:ascii="Arial" w:hAnsi="Arial" w:cs="Arial"/>
          <w:sz w:val="24"/>
          <w:szCs w:val="24"/>
        </w:rPr>
        <w:t>.</w:t>
      </w:r>
      <w:r w:rsidR="0065245F" w:rsidRPr="006E68B2">
        <w:rPr>
          <w:rFonts w:ascii="Arial" w:hAnsi="Arial" w:cs="Arial"/>
          <w:sz w:val="24"/>
          <w:szCs w:val="24"/>
        </w:rPr>
        <w:t>2</w:t>
      </w:r>
      <w:r w:rsidR="003F44C0" w:rsidRPr="006E68B2">
        <w:rPr>
          <w:rFonts w:ascii="Arial" w:hAnsi="Arial" w:cs="Arial"/>
          <w:sz w:val="24"/>
          <w:szCs w:val="24"/>
        </w:rPr>
        <w:t xml:space="preserve">% vs </w:t>
      </w:r>
      <w:r w:rsidRPr="006E68B2">
        <w:rPr>
          <w:rFonts w:ascii="Arial" w:hAnsi="Arial" w:cs="Arial"/>
          <w:sz w:val="24"/>
          <w:szCs w:val="24"/>
        </w:rPr>
        <w:t>80%</w:t>
      </w:r>
      <w:r w:rsidR="0065245F" w:rsidRPr="006E68B2">
        <w:rPr>
          <w:rFonts w:ascii="Arial" w:hAnsi="Arial" w:cs="Arial"/>
          <w:sz w:val="24"/>
          <w:szCs w:val="24"/>
        </w:rPr>
        <w:t xml:space="preserve"> (</w:t>
      </w:r>
      <w:r w:rsidR="0065245F" w:rsidRPr="006E68B2">
        <w:rPr>
          <w:rFonts w:ascii="Arial" w:hAnsi="Arial" w:cs="Arial"/>
          <w:i/>
          <w:iCs/>
          <w:sz w:val="24"/>
          <w:szCs w:val="24"/>
        </w:rPr>
        <w:t>P</w:t>
      </w:r>
      <w:r w:rsidR="0065245F" w:rsidRPr="006E68B2">
        <w:rPr>
          <w:rFonts w:ascii="Arial" w:hAnsi="Arial" w:cs="Arial"/>
          <w:sz w:val="24"/>
          <w:szCs w:val="24"/>
        </w:rPr>
        <w:t xml:space="preserve"> = 0.202)</w:t>
      </w:r>
      <w:r w:rsidRPr="006E68B2">
        <w:rPr>
          <w:rFonts w:ascii="Arial" w:hAnsi="Arial" w:cs="Arial"/>
          <w:sz w:val="24"/>
          <w:szCs w:val="24"/>
        </w:rPr>
        <w:t xml:space="preserve">, and </w:t>
      </w:r>
      <w:r w:rsidR="0065245F" w:rsidRPr="006E68B2">
        <w:rPr>
          <w:rFonts w:ascii="Arial" w:hAnsi="Arial" w:cs="Arial"/>
          <w:sz w:val="24"/>
          <w:szCs w:val="24"/>
        </w:rPr>
        <w:t xml:space="preserve">for </w:t>
      </w:r>
      <w:r w:rsidRPr="006E68B2">
        <w:rPr>
          <w:rFonts w:ascii="Arial" w:hAnsi="Arial" w:cs="Arial"/>
          <w:sz w:val="24"/>
          <w:szCs w:val="24"/>
        </w:rPr>
        <w:t>≥2 weeks</w:t>
      </w:r>
      <w:r w:rsidR="0065245F" w:rsidRPr="006E68B2">
        <w:rPr>
          <w:rFonts w:ascii="Arial" w:hAnsi="Arial" w:cs="Arial"/>
          <w:sz w:val="24"/>
          <w:szCs w:val="24"/>
        </w:rPr>
        <w:t xml:space="preserve"> in hospital</w:t>
      </w:r>
      <w:r w:rsidRPr="006E68B2">
        <w:rPr>
          <w:rFonts w:ascii="Arial" w:hAnsi="Arial" w:cs="Arial"/>
          <w:sz w:val="24"/>
          <w:szCs w:val="24"/>
        </w:rPr>
        <w:t xml:space="preserve">: </w:t>
      </w:r>
      <w:r w:rsidR="003F44C0" w:rsidRPr="006E68B2">
        <w:rPr>
          <w:rFonts w:ascii="Arial" w:hAnsi="Arial" w:cs="Arial"/>
          <w:sz w:val="24"/>
          <w:szCs w:val="24"/>
        </w:rPr>
        <w:t>3</w:t>
      </w:r>
      <w:r w:rsidR="0065245F" w:rsidRPr="006E68B2">
        <w:rPr>
          <w:rFonts w:ascii="Arial" w:hAnsi="Arial" w:cs="Arial"/>
          <w:sz w:val="24"/>
          <w:szCs w:val="24"/>
        </w:rPr>
        <w:t>0</w:t>
      </w:r>
      <w:r w:rsidR="003F44C0" w:rsidRPr="006E68B2">
        <w:rPr>
          <w:rFonts w:ascii="Arial" w:hAnsi="Arial" w:cs="Arial"/>
          <w:sz w:val="24"/>
          <w:szCs w:val="24"/>
        </w:rPr>
        <w:t>.</w:t>
      </w:r>
      <w:r w:rsidR="0065245F" w:rsidRPr="006E68B2">
        <w:rPr>
          <w:rFonts w:ascii="Arial" w:hAnsi="Arial" w:cs="Arial"/>
          <w:sz w:val="24"/>
          <w:szCs w:val="24"/>
        </w:rPr>
        <w:t>8</w:t>
      </w:r>
      <w:r w:rsidR="003F44C0" w:rsidRPr="006E68B2">
        <w:rPr>
          <w:rFonts w:ascii="Arial" w:hAnsi="Arial" w:cs="Arial"/>
          <w:sz w:val="24"/>
          <w:szCs w:val="24"/>
        </w:rPr>
        <w:t xml:space="preserve">% vs </w:t>
      </w:r>
      <w:r w:rsidRPr="006E68B2">
        <w:rPr>
          <w:rFonts w:ascii="Arial" w:hAnsi="Arial" w:cs="Arial"/>
          <w:sz w:val="24"/>
          <w:szCs w:val="24"/>
        </w:rPr>
        <w:t>42.2%</w:t>
      </w:r>
      <w:r w:rsidR="0065245F" w:rsidRPr="006E68B2">
        <w:rPr>
          <w:rFonts w:ascii="Arial" w:hAnsi="Arial" w:cs="Arial"/>
          <w:sz w:val="24"/>
          <w:szCs w:val="24"/>
        </w:rPr>
        <w:t xml:space="preserve"> (</w:t>
      </w:r>
      <w:r w:rsidR="003F44C0" w:rsidRPr="006E68B2">
        <w:rPr>
          <w:rFonts w:ascii="Arial" w:hAnsi="Arial" w:cs="Arial"/>
          <w:i/>
          <w:iCs/>
          <w:sz w:val="24"/>
          <w:szCs w:val="24"/>
        </w:rPr>
        <w:t>P</w:t>
      </w:r>
      <w:r w:rsidR="003F44C0" w:rsidRPr="006E68B2">
        <w:rPr>
          <w:rFonts w:ascii="Arial" w:hAnsi="Arial" w:cs="Arial"/>
          <w:sz w:val="24"/>
          <w:szCs w:val="24"/>
        </w:rPr>
        <w:t xml:space="preserve"> = </w:t>
      </w:r>
      <w:r w:rsidR="0065245F" w:rsidRPr="006E68B2">
        <w:rPr>
          <w:rFonts w:ascii="Arial" w:hAnsi="Arial" w:cs="Arial"/>
          <w:sz w:val="24"/>
          <w:szCs w:val="24"/>
        </w:rPr>
        <w:t>0.076</w:t>
      </w:r>
      <w:r w:rsidR="003F44C0" w:rsidRPr="006E68B2">
        <w:rPr>
          <w:rFonts w:ascii="Arial" w:hAnsi="Arial" w:cs="Arial"/>
          <w:sz w:val="24"/>
          <w:szCs w:val="24"/>
        </w:rPr>
        <w:t>)</w:t>
      </w:r>
      <w:r w:rsidR="00DD75D4" w:rsidRPr="006E68B2">
        <w:rPr>
          <w:rFonts w:ascii="Arial" w:hAnsi="Arial" w:cs="Arial"/>
          <w:sz w:val="24"/>
          <w:szCs w:val="24"/>
        </w:rPr>
        <w:t>;</w:t>
      </w:r>
      <w:r w:rsidR="003F44C0" w:rsidRPr="006E68B2">
        <w:rPr>
          <w:rFonts w:ascii="Arial" w:hAnsi="Arial" w:cs="Arial"/>
          <w:sz w:val="24"/>
          <w:szCs w:val="24"/>
        </w:rPr>
        <w:t xml:space="preserve"> failure to mobilise within 1-day of hip surgery: 3</w:t>
      </w:r>
      <w:r w:rsidR="0065245F" w:rsidRPr="006E68B2">
        <w:rPr>
          <w:rFonts w:ascii="Arial" w:hAnsi="Arial" w:cs="Arial"/>
          <w:sz w:val="24"/>
          <w:szCs w:val="24"/>
        </w:rPr>
        <w:t>4.9</w:t>
      </w:r>
      <w:r w:rsidR="003F44C0" w:rsidRPr="006E68B2">
        <w:rPr>
          <w:rFonts w:ascii="Arial" w:hAnsi="Arial" w:cs="Arial"/>
          <w:sz w:val="24"/>
          <w:szCs w:val="24"/>
        </w:rPr>
        <w:t>% vs 44.4%</w:t>
      </w:r>
      <w:r w:rsidR="0065245F" w:rsidRPr="006E68B2">
        <w:rPr>
          <w:rFonts w:ascii="Arial" w:hAnsi="Arial" w:cs="Arial"/>
          <w:sz w:val="24"/>
          <w:szCs w:val="24"/>
        </w:rPr>
        <w:t xml:space="preserve"> (</w:t>
      </w:r>
      <w:r w:rsidR="003F44C0" w:rsidRPr="006E68B2">
        <w:rPr>
          <w:rFonts w:ascii="Arial" w:hAnsi="Arial" w:cs="Arial"/>
          <w:i/>
          <w:iCs/>
          <w:sz w:val="24"/>
          <w:szCs w:val="24"/>
        </w:rPr>
        <w:t>P</w:t>
      </w:r>
      <w:r w:rsidR="003F44C0" w:rsidRPr="006E68B2">
        <w:rPr>
          <w:rFonts w:ascii="Arial" w:hAnsi="Arial" w:cs="Arial"/>
          <w:sz w:val="24"/>
          <w:szCs w:val="24"/>
        </w:rPr>
        <w:t xml:space="preserve"> = </w:t>
      </w:r>
      <w:r w:rsidR="0065245F" w:rsidRPr="006E68B2">
        <w:rPr>
          <w:rFonts w:ascii="Arial" w:hAnsi="Arial" w:cs="Arial"/>
          <w:sz w:val="24"/>
          <w:szCs w:val="24"/>
        </w:rPr>
        <w:t>0.374)</w:t>
      </w:r>
      <w:r w:rsidR="003F44C0" w:rsidRPr="006E68B2">
        <w:rPr>
          <w:rFonts w:ascii="Arial" w:hAnsi="Arial" w:cs="Arial"/>
          <w:sz w:val="24"/>
          <w:szCs w:val="24"/>
        </w:rPr>
        <w:t xml:space="preserve">; and </w:t>
      </w:r>
      <w:r w:rsidR="00DD75D4" w:rsidRPr="006E68B2">
        <w:rPr>
          <w:rFonts w:ascii="Arial" w:hAnsi="Arial" w:cs="Arial"/>
          <w:sz w:val="24"/>
          <w:szCs w:val="24"/>
        </w:rPr>
        <w:t xml:space="preserve">significantly higher for hospital-acquired </w:t>
      </w:r>
      <w:r w:rsidR="003F44C0" w:rsidRPr="006E68B2">
        <w:rPr>
          <w:rFonts w:ascii="Arial" w:hAnsi="Arial" w:cs="Arial"/>
          <w:sz w:val="24"/>
          <w:szCs w:val="24"/>
        </w:rPr>
        <w:t>pressure ulcers: 1.</w:t>
      </w:r>
      <w:r w:rsidR="00DD75D4" w:rsidRPr="006E68B2">
        <w:rPr>
          <w:rFonts w:ascii="Arial" w:hAnsi="Arial" w:cs="Arial"/>
          <w:sz w:val="24"/>
          <w:szCs w:val="24"/>
        </w:rPr>
        <w:t>7</w:t>
      </w:r>
      <w:r w:rsidR="003F44C0" w:rsidRPr="006E68B2">
        <w:rPr>
          <w:rFonts w:ascii="Arial" w:hAnsi="Arial" w:cs="Arial"/>
          <w:sz w:val="24"/>
          <w:szCs w:val="24"/>
        </w:rPr>
        <w:t>% vs 6.7%</w:t>
      </w:r>
      <w:r w:rsidR="00DD75D4" w:rsidRPr="006E68B2">
        <w:rPr>
          <w:rFonts w:ascii="Arial" w:hAnsi="Arial" w:cs="Arial"/>
          <w:sz w:val="24"/>
          <w:szCs w:val="24"/>
        </w:rPr>
        <w:t xml:space="preserve"> (</w:t>
      </w:r>
      <w:r w:rsidR="003F44C0" w:rsidRPr="006E68B2">
        <w:rPr>
          <w:rFonts w:ascii="Arial" w:hAnsi="Arial" w:cs="Arial"/>
          <w:i/>
          <w:iCs/>
          <w:sz w:val="24"/>
          <w:szCs w:val="24"/>
        </w:rPr>
        <w:t>P</w:t>
      </w:r>
      <w:r w:rsidR="003F44C0" w:rsidRPr="006E68B2">
        <w:rPr>
          <w:rFonts w:ascii="Arial" w:hAnsi="Arial" w:cs="Arial"/>
          <w:sz w:val="24"/>
          <w:szCs w:val="24"/>
        </w:rPr>
        <w:t xml:space="preserve"> = </w:t>
      </w:r>
      <w:r w:rsidR="00DD75D4" w:rsidRPr="006E68B2">
        <w:rPr>
          <w:rFonts w:ascii="Arial" w:hAnsi="Arial" w:cs="Arial"/>
          <w:sz w:val="24"/>
          <w:szCs w:val="24"/>
        </w:rPr>
        <w:t>0.017)</w:t>
      </w:r>
      <w:r w:rsidR="003F44C0" w:rsidRPr="006E68B2">
        <w:rPr>
          <w:rFonts w:ascii="Arial" w:hAnsi="Arial" w:cs="Arial"/>
          <w:sz w:val="24"/>
          <w:szCs w:val="24"/>
        </w:rPr>
        <w:t>.</w:t>
      </w:r>
    </w:p>
    <w:p w14:paraId="319D4073" w14:textId="77777777" w:rsidR="00DC4E21" w:rsidRPr="006E68B2" w:rsidRDefault="00DC4E21" w:rsidP="00E042B9">
      <w:pPr>
        <w:spacing w:after="0" w:line="480" w:lineRule="auto"/>
        <w:jc w:val="both"/>
        <w:rPr>
          <w:rFonts w:ascii="Arial" w:hAnsi="Arial" w:cs="Arial"/>
          <w:sz w:val="24"/>
          <w:szCs w:val="24"/>
        </w:rPr>
      </w:pPr>
    </w:p>
    <w:p w14:paraId="0CFDCC0A" w14:textId="0731D9F3" w:rsidR="00A81B22" w:rsidRPr="006E68B2" w:rsidRDefault="00A81B22" w:rsidP="00E042B9">
      <w:pPr>
        <w:spacing w:after="0" w:line="480" w:lineRule="auto"/>
        <w:jc w:val="both"/>
        <w:rPr>
          <w:rFonts w:ascii="Arial" w:hAnsi="Arial" w:cs="Arial"/>
          <w:sz w:val="24"/>
          <w:szCs w:val="24"/>
        </w:rPr>
      </w:pPr>
      <w:r w:rsidRPr="006E68B2">
        <w:rPr>
          <w:rFonts w:ascii="Arial" w:hAnsi="Arial" w:cs="Arial"/>
          <w:sz w:val="24"/>
          <w:szCs w:val="24"/>
        </w:rPr>
        <w:t>Patient</w:t>
      </w:r>
      <w:r w:rsidR="001A1AA4" w:rsidRPr="006E68B2">
        <w:rPr>
          <w:rFonts w:ascii="Arial" w:hAnsi="Arial" w:cs="Arial"/>
          <w:sz w:val="24"/>
          <w:szCs w:val="24"/>
        </w:rPr>
        <w:t>s</w:t>
      </w:r>
      <w:r w:rsidRPr="006E68B2">
        <w:rPr>
          <w:rFonts w:ascii="Arial" w:hAnsi="Arial" w:cs="Arial"/>
          <w:sz w:val="24"/>
          <w:szCs w:val="24"/>
        </w:rPr>
        <w:t xml:space="preserve"> with </w:t>
      </w:r>
      <w:r w:rsidR="00F62BE6" w:rsidRPr="006E68B2">
        <w:rPr>
          <w:rFonts w:ascii="Arial" w:hAnsi="Arial" w:cs="Arial"/>
          <w:sz w:val="24"/>
          <w:szCs w:val="24"/>
        </w:rPr>
        <w:t>level-1</w:t>
      </w:r>
      <w:r w:rsidRPr="006E68B2">
        <w:rPr>
          <w:rFonts w:ascii="Arial" w:hAnsi="Arial" w:cs="Arial"/>
          <w:sz w:val="24"/>
          <w:szCs w:val="24"/>
        </w:rPr>
        <w:t xml:space="preserve"> </w:t>
      </w:r>
      <w:r w:rsidR="001A1AA4" w:rsidRPr="006E68B2">
        <w:rPr>
          <w:rFonts w:ascii="Arial" w:hAnsi="Arial" w:cs="Arial"/>
          <w:sz w:val="24"/>
          <w:szCs w:val="24"/>
        </w:rPr>
        <w:t xml:space="preserve">medication status </w:t>
      </w:r>
      <w:r w:rsidRPr="006E68B2">
        <w:rPr>
          <w:rFonts w:ascii="Arial" w:hAnsi="Arial" w:cs="Arial"/>
          <w:sz w:val="24"/>
          <w:szCs w:val="24"/>
        </w:rPr>
        <w:t>had the shortest median (IQR) LOS: 7.5 days (</w:t>
      </w:r>
      <w:r w:rsidR="001356C9" w:rsidRPr="006E68B2">
        <w:rPr>
          <w:rFonts w:ascii="Arial" w:hAnsi="Arial" w:cs="Arial"/>
          <w:sz w:val="24"/>
          <w:szCs w:val="24"/>
        </w:rPr>
        <w:t>5.3</w:t>
      </w:r>
      <w:r w:rsidRPr="006E68B2">
        <w:rPr>
          <w:rFonts w:ascii="Arial" w:hAnsi="Arial" w:cs="Arial"/>
          <w:sz w:val="24"/>
          <w:szCs w:val="24"/>
        </w:rPr>
        <w:t>-</w:t>
      </w:r>
      <w:r w:rsidR="001356C9" w:rsidRPr="006E68B2">
        <w:rPr>
          <w:rFonts w:ascii="Arial" w:hAnsi="Arial" w:cs="Arial"/>
          <w:sz w:val="24"/>
          <w:szCs w:val="24"/>
        </w:rPr>
        <w:t>12.1</w:t>
      </w:r>
      <w:r w:rsidRPr="006E68B2">
        <w:rPr>
          <w:rFonts w:ascii="Arial" w:hAnsi="Arial" w:cs="Arial"/>
          <w:sz w:val="24"/>
          <w:szCs w:val="24"/>
        </w:rPr>
        <w:t>), rising to 10.3 days (</w:t>
      </w:r>
      <w:r w:rsidR="001356C9" w:rsidRPr="006E68B2">
        <w:rPr>
          <w:rFonts w:ascii="Arial" w:hAnsi="Arial" w:cs="Arial"/>
          <w:sz w:val="24"/>
          <w:szCs w:val="24"/>
        </w:rPr>
        <w:t>7.3</w:t>
      </w:r>
      <w:r w:rsidRPr="006E68B2">
        <w:rPr>
          <w:rFonts w:ascii="Arial" w:hAnsi="Arial" w:cs="Arial"/>
          <w:sz w:val="24"/>
          <w:szCs w:val="24"/>
        </w:rPr>
        <w:t>-</w:t>
      </w:r>
      <w:r w:rsidR="001356C9" w:rsidRPr="006E68B2">
        <w:rPr>
          <w:rFonts w:ascii="Arial" w:hAnsi="Arial" w:cs="Arial"/>
          <w:sz w:val="24"/>
          <w:szCs w:val="24"/>
        </w:rPr>
        <w:t>15.6</w:t>
      </w:r>
      <w:r w:rsidRPr="006E68B2">
        <w:rPr>
          <w:rFonts w:ascii="Arial" w:hAnsi="Arial" w:cs="Arial"/>
          <w:sz w:val="24"/>
          <w:szCs w:val="24"/>
        </w:rPr>
        <w:t xml:space="preserve">) in those with </w:t>
      </w:r>
      <w:r w:rsidR="00F62BE6" w:rsidRPr="006E68B2">
        <w:rPr>
          <w:rFonts w:ascii="Arial" w:hAnsi="Arial" w:cs="Arial"/>
          <w:sz w:val="24"/>
          <w:szCs w:val="24"/>
        </w:rPr>
        <w:t>level-2</w:t>
      </w:r>
      <w:r w:rsidRPr="006E68B2">
        <w:rPr>
          <w:rFonts w:ascii="Arial" w:hAnsi="Arial" w:cs="Arial"/>
          <w:sz w:val="24"/>
          <w:szCs w:val="24"/>
        </w:rPr>
        <w:t>, and 11.6 days (</w:t>
      </w:r>
      <w:r w:rsidR="001356C9" w:rsidRPr="006E68B2">
        <w:rPr>
          <w:rFonts w:ascii="Arial" w:hAnsi="Arial" w:cs="Arial"/>
          <w:sz w:val="24"/>
          <w:szCs w:val="24"/>
        </w:rPr>
        <w:t>7.5</w:t>
      </w:r>
      <w:r w:rsidRPr="006E68B2">
        <w:rPr>
          <w:rFonts w:ascii="Arial" w:hAnsi="Arial" w:cs="Arial"/>
          <w:sz w:val="24"/>
          <w:szCs w:val="24"/>
        </w:rPr>
        <w:t>-</w:t>
      </w:r>
      <w:r w:rsidR="001356C9" w:rsidRPr="006E68B2">
        <w:rPr>
          <w:rFonts w:ascii="Arial" w:hAnsi="Arial" w:cs="Arial"/>
          <w:sz w:val="24"/>
          <w:szCs w:val="24"/>
        </w:rPr>
        <w:t>18.3</w:t>
      </w:r>
      <w:r w:rsidRPr="006E68B2">
        <w:rPr>
          <w:rFonts w:ascii="Arial" w:hAnsi="Arial" w:cs="Arial"/>
          <w:sz w:val="24"/>
          <w:szCs w:val="24"/>
        </w:rPr>
        <w:t xml:space="preserve">) amongst those with </w:t>
      </w:r>
      <w:r w:rsidR="00F62BE6" w:rsidRPr="006E68B2">
        <w:rPr>
          <w:rFonts w:ascii="Arial" w:hAnsi="Arial" w:cs="Arial"/>
          <w:sz w:val="24"/>
          <w:szCs w:val="24"/>
        </w:rPr>
        <w:t>level-3</w:t>
      </w:r>
      <w:r w:rsidR="00EC0523" w:rsidRPr="006E68B2">
        <w:rPr>
          <w:rFonts w:ascii="Arial" w:hAnsi="Arial" w:cs="Arial"/>
          <w:sz w:val="24"/>
          <w:szCs w:val="24"/>
        </w:rPr>
        <w:t xml:space="preserve"> (</w:t>
      </w:r>
      <w:r w:rsidR="00EC0523" w:rsidRPr="006E68B2">
        <w:rPr>
          <w:rFonts w:ascii="Arial" w:hAnsi="Arial" w:cs="Arial"/>
          <w:b/>
          <w:bCs/>
          <w:sz w:val="24"/>
          <w:szCs w:val="24"/>
        </w:rPr>
        <w:t>Figure 1</w:t>
      </w:r>
      <w:r w:rsidR="00EC0523" w:rsidRPr="006E68B2">
        <w:rPr>
          <w:rFonts w:ascii="Arial" w:hAnsi="Arial" w:cs="Arial"/>
          <w:sz w:val="24"/>
          <w:szCs w:val="24"/>
        </w:rPr>
        <w:t>)</w:t>
      </w:r>
      <w:r w:rsidRPr="006E68B2">
        <w:rPr>
          <w:rFonts w:ascii="Arial" w:hAnsi="Arial" w:cs="Arial"/>
          <w:sz w:val="24"/>
          <w:szCs w:val="24"/>
        </w:rPr>
        <w:t>.</w:t>
      </w:r>
      <w:r w:rsidR="00C63E7E" w:rsidRPr="006E68B2">
        <w:rPr>
          <w:rFonts w:ascii="Arial" w:hAnsi="Arial" w:cs="Arial"/>
          <w:sz w:val="24"/>
          <w:szCs w:val="24"/>
        </w:rPr>
        <w:t xml:space="preserve"> Within each of these three</w:t>
      </w:r>
      <w:r w:rsidR="00072063" w:rsidRPr="006E68B2">
        <w:rPr>
          <w:rFonts w:ascii="Arial" w:hAnsi="Arial" w:cs="Arial"/>
          <w:sz w:val="24"/>
          <w:szCs w:val="24"/>
        </w:rPr>
        <w:t xml:space="preserve"> medication status</w:t>
      </w:r>
      <w:r w:rsidR="00C63E7E" w:rsidRPr="006E68B2">
        <w:rPr>
          <w:rFonts w:ascii="Arial" w:hAnsi="Arial" w:cs="Arial"/>
          <w:sz w:val="24"/>
          <w:szCs w:val="24"/>
        </w:rPr>
        <w:t xml:space="preserve"> </w:t>
      </w:r>
      <w:r w:rsidR="00F62BE6" w:rsidRPr="006E68B2">
        <w:rPr>
          <w:rFonts w:ascii="Arial" w:hAnsi="Arial" w:cs="Arial"/>
          <w:sz w:val="24"/>
          <w:szCs w:val="24"/>
        </w:rPr>
        <w:t>levels</w:t>
      </w:r>
      <w:r w:rsidR="00C63E7E" w:rsidRPr="006E68B2">
        <w:rPr>
          <w:rFonts w:ascii="Arial" w:hAnsi="Arial" w:cs="Arial"/>
          <w:sz w:val="24"/>
          <w:szCs w:val="24"/>
        </w:rPr>
        <w:t xml:space="preserve">, LOS </w:t>
      </w:r>
      <w:r w:rsidR="001A1AA4" w:rsidRPr="006E68B2">
        <w:rPr>
          <w:rFonts w:ascii="Arial" w:hAnsi="Arial" w:cs="Arial"/>
          <w:sz w:val="24"/>
          <w:szCs w:val="24"/>
        </w:rPr>
        <w:t xml:space="preserve">was </w:t>
      </w:r>
      <w:r w:rsidR="00C63E7E" w:rsidRPr="006E68B2">
        <w:rPr>
          <w:rFonts w:ascii="Arial" w:hAnsi="Arial" w:cs="Arial"/>
          <w:sz w:val="24"/>
          <w:szCs w:val="24"/>
        </w:rPr>
        <w:t xml:space="preserve">significantly longer amongst those who failed to mobilise </w:t>
      </w:r>
      <w:r w:rsidR="001A1AA4" w:rsidRPr="006E68B2">
        <w:rPr>
          <w:rFonts w:ascii="Arial" w:hAnsi="Arial" w:cs="Arial"/>
          <w:sz w:val="24"/>
          <w:szCs w:val="24"/>
        </w:rPr>
        <w:t xml:space="preserve">compared with </w:t>
      </w:r>
      <w:r w:rsidR="001A7BFA" w:rsidRPr="006E68B2">
        <w:rPr>
          <w:rFonts w:ascii="Arial" w:hAnsi="Arial" w:cs="Arial"/>
          <w:sz w:val="24"/>
          <w:szCs w:val="24"/>
        </w:rPr>
        <w:t>those who were</w:t>
      </w:r>
      <w:r w:rsidR="00072063" w:rsidRPr="006E68B2">
        <w:rPr>
          <w:rFonts w:ascii="Arial" w:hAnsi="Arial" w:cs="Arial"/>
          <w:sz w:val="24"/>
          <w:szCs w:val="24"/>
        </w:rPr>
        <w:t xml:space="preserve"> able to </w:t>
      </w:r>
      <w:r w:rsidR="001A7BFA" w:rsidRPr="006E68B2">
        <w:rPr>
          <w:rFonts w:ascii="Arial" w:hAnsi="Arial" w:cs="Arial"/>
          <w:sz w:val="24"/>
          <w:szCs w:val="24"/>
        </w:rPr>
        <w:t xml:space="preserve"> </w:t>
      </w:r>
      <w:r w:rsidR="00072063" w:rsidRPr="006E68B2">
        <w:rPr>
          <w:rFonts w:ascii="Arial" w:hAnsi="Arial" w:cs="Arial"/>
          <w:sz w:val="24"/>
          <w:szCs w:val="24"/>
        </w:rPr>
        <w:t xml:space="preserve">mobilise within 1-day of hip surgery </w:t>
      </w:r>
      <w:r w:rsidR="001A7BFA" w:rsidRPr="006E68B2">
        <w:rPr>
          <w:rFonts w:ascii="Arial" w:hAnsi="Arial" w:cs="Arial"/>
          <w:sz w:val="24"/>
          <w:szCs w:val="24"/>
        </w:rPr>
        <w:t>(</w:t>
      </w:r>
      <w:r w:rsidR="001A7BFA" w:rsidRPr="006E68B2">
        <w:rPr>
          <w:rFonts w:ascii="Arial" w:hAnsi="Arial" w:cs="Arial"/>
          <w:b/>
          <w:bCs/>
          <w:sz w:val="24"/>
          <w:szCs w:val="24"/>
        </w:rPr>
        <w:t>Figure 2</w:t>
      </w:r>
      <w:r w:rsidR="00132E37" w:rsidRPr="006E68B2">
        <w:rPr>
          <w:rFonts w:ascii="Arial" w:hAnsi="Arial" w:cs="Arial"/>
          <w:b/>
          <w:bCs/>
          <w:sz w:val="24"/>
          <w:szCs w:val="24"/>
        </w:rPr>
        <w:t>A</w:t>
      </w:r>
      <w:r w:rsidR="001A7BFA" w:rsidRPr="006E68B2">
        <w:rPr>
          <w:rFonts w:ascii="Arial" w:hAnsi="Arial" w:cs="Arial"/>
          <w:sz w:val="24"/>
          <w:szCs w:val="24"/>
        </w:rPr>
        <w:t>).</w:t>
      </w:r>
      <w:r w:rsidR="00132E37" w:rsidRPr="006E68B2">
        <w:rPr>
          <w:rFonts w:ascii="Arial" w:hAnsi="Arial" w:cs="Arial"/>
          <w:sz w:val="24"/>
          <w:szCs w:val="24"/>
        </w:rPr>
        <w:t xml:space="preserve"> Within those with </w:t>
      </w:r>
      <w:r w:rsidR="00F62BE6" w:rsidRPr="006E68B2">
        <w:rPr>
          <w:rFonts w:ascii="Arial" w:hAnsi="Arial" w:cs="Arial"/>
          <w:sz w:val="24"/>
          <w:szCs w:val="24"/>
        </w:rPr>
        <w:t>level-2 or level-3</w:t>
      </w:r>
      <w:r w:rsidR="001A1AA4" w:rsidRPr="006E68B2">
        <w:rPr>
          <w:rFonts w:ascii="Arial" w:hAnsi="Arial" w:cs="Arial"/>
          <w:sz w:val="24"/>
          <w:szCs w:val="24"/>
        </w:rPr>
        <w:t xml:space="preserve"> medication status</w:t>
      </w:r>
      <w:r w:rsidR="00132E37" w:rsidRPr="006E68B2">
        <w:rPr>
          <w:rFonts w:ascii="Arial" w:hAnsi="Arial" w:cs="Arial"/>
          <w:sz w:val="24"/>
          <w:szCs w:val="24"/>
        </w:rPr>
        <w:t xml:space="preserve">, LOS in hospital was longer amongst those </w:t>
      </w:r>
      <w:r w:rsidR="00606A91" w:rsidRPr="006E68B2">
        <w:rPr>
          <w:rFonts w:ascii="Arial" w:hAnsi="Arial" w:cs="Arial"/>
          <w:sz w:val="24"/>
          <w:szCs w:val="24"/>
        </w:rPr>
        <w:t>who acquired</w:t>
      </w:r>
      <w:r w:rsidR="00132E37" w:rsidRPr="006E68B2">
        <w:rPr>
          <w:rFonts w:ascii="Arial" w:hAnsi="Arial" w:cs="Arial"/>
          <w:sz w:val="24"/>
          <w:szCs w:val="24"/>
        </w:rPr>
        <w:t xml:space="preserve"> a pressure ulcer </w:t>
      </w:r>
      <w:r w:rsidR="00606A91" w:rsidRPr="006E68B2">
        <w:rPr>
          <w:rFonts w:ascii="Arial" w:hAnsi="Arial" w:cs="Arial"/>
          <w:sz w:val="24"/>
          <w:szCs w:val="24"/>
        </w:rPr>
        <w:t xml:space="preserve">in hospital </w:t>
      </w:r>
      <w:r w:rsidR="00132E37" w:rsidRPr="006E68B2">
        <w:rPr>
          <w:rFonts w:ascii="Arial" w:hAnsi="Arial" w:cs="Arial"/>
          <w:sz w:val="24"/>
          <w:szCs w:val="24"/>
        </w:rPr>
        <w:t>compare</w:t>
      </w:r>
      <w:r w:rsidR="00606A91" w:rsidRPr="006E68B2">
        <w:rPr>
          <w:rFonts w:ascii="Arial" w:hAnsi="Arial" w:cs="Arial"/>
          <w:sz w:val="24"/>
          <w:szCs w:val="24"/>
        </w:rPr>
        <w:t>d</w:t>
      </w:r>
      <w:r w:rsidR="00132E37" w:rsidRPr="006E68B2">
        <w:rPr>
          <w:rFonts w:ascii="Arial" w:hAnsi="Arial" w:cs="Arial"/>
          <w:sz w:val="24"/>
          <w:szCs w:val="24"/>
        </w:rPr>
        <w:t xml:space="preserve"> to those who did not (</w:t>
      </w:r>
      <w:r w:rsidR="00132E37" w:rsidRPr="006E68B2">
        <w:rPr>
          <w:rFonts w:ascii="Arial" w:hAnsi="Arial" w:cs="Arial"/>
          <w:b/>
          <w:bCs/>
          <w:sz w:val="24"/>
          <w:szCs w:val="24"/>
        </w:rPr>
        <w:t>Figure 2B</w:t>
      </w:r>
      <w:r w:rsidR="00132E37" w:rsidRPr="006E68B2">
        <w:rPr>
          <w:rFonts w:ascii="Arial" w:hAnsi="Arial" w:cs="Arial"/>
          <w:sz w:val="24"/>
          <w:szCs w:val="24"/>
        </w:rPr>
        <w:t>).</w:t>
      </w:r>
    </w:p>
    <w:p w14:paraId="31B142E4" w14:textId="77777777" w:rsidR="00312887" w:rsidRPr="006E68B2" w:rsidRDefault="00312887" w:rsidP="00E042B9">
      <w:pPr>
        <w:spacing w:after="0" w:line="480" w:lineRule="auto"/>
        <w:jc w:val="both"/>
        <w:rPr>
          <w:rFonts w:ascii="Arial" w:hAnsi="Arial" w:cs="Arial"/>
          <w:sz w:val="24"/>
          <w:szCs w:val="24"/>
        </w:rPr>
      </w:pPr>
    </w:p>
    <w:p w14:paraId="1CBE8D36" w14:textId="6A2F3A93" w:rsidR="0072144A" w:rsidRPr="006E68B2" w:rsidRDefault="00312887" w:rsidP="00E042B9">
      <w:pPr>
        <w:spacing w:after="0" w:line="480" w:lineRule="auto"/>
        <w:jc w:val="both"/>
        <w:rPr>
          <w:rFonts w:ascii="Arial" w:hAnsi="Arial" w:cs="Arial"/>
          <w:sz w:val="24"/>
          <w:szCs w:val="24"/>
          <w:lang w:val="en-US"/>
        </w:rPr>
      </w:pPr>
      <w:r w:rsidRPr="006E68B2">
        <w:rPr>
          <w:rFonts w:ascii="Arial" w:hAnsi="Arial" w:cs="Arial"/>
          <w:sz w:val="24"/>
          <w:szCs w:val="24"/>
        </w:rPr>
        <w:t xml:space="preserve">Multivariable logistic regression analysis with adjustment for </w:t>
      </w:r>
      <w:r w:rsidRPr="006E68B2">
        <w:rPr>
          <w:rFonts w:ascii="Arial" w:hAnsi="Arial" w:cs="Arial"/>
          <w:bCs/>
          <w:sz w:val="24"/>
          <w:szCs w:val="24"/>
        </w:rPr>
        <w:t>age,</w:t>
      </w:r>
      <w:r w:rsidR="0072144A" w:rsidRPr="006E68B2">
        <w:rPr>
          <w:rFonts w:ascii="Arial" w:hAnsi="Arial" w:cs="Arial"/>
          <w:bCs/>
          <w:sz w:val="24"/>
          <w:szCs w:val="24"/>
        </w:rPr>
        <w:t xml:space="preserve"> sex, dementia,</w:t>
      </w:r>
      <w:r w:rsidRPr="006E68B2">
        <w:rPr>
          <w:rFonts w:ascii="Arial" w:hAnsi="Arial" w:cs="Arial"/>
          <w:bCs/>
          <w:sz w:val="24"/>
          <w:szCs w:val="24"/>
        </w:rPr>
        <w:t xml:space="preserve"> stroke, ischaemic heart disease, </w:t>
      </w:r>
      <w:r w:rsidR="0072144A" w:rsidRPr="006E68B2">
        <w:rPr>
          <w:rFonts w:ascii="Arial" w:hAnsi="Arial" w:cs="Arial"/>
          <w:bCs/>
          <w:sz w:val="24"/>
          <w:szCs w:val="24"/>
        </w:rPr>
        <w:t>diabetes, pre-fracture mobility</w:t>
      </w:r>
      <w:r w:rsidRPr="006E68B2">
        <w:rPr>
          <w:rFonts w:ascii="Arial" w:hAnsi="Arial" w:cs="Arial"/>
          <w:bCs/>
          <w:sz w:val="24"/>
          <w:szCs w:val="24"/>
        </w:rPr>
        <w:t xml:space="preserve">, and </w:t>
      </w:r>
      <w:r w:rsidRPr="006E68B2">
        <w:rPr>
          <w:rFonts w:ascii="Arial" w:hAnsi="Arial" w:cs="Arial"/>
          <w:sz w:val="24"/>
          <w:szCs w:val="24"/>
        </w:rPr>
        <w:t xml:space="preserve">alcohol consumption showed that, compared to </w:t>
      </w:r>
      <w:r w:rsidR="0072144A" w:rsidRPr="006E68B2">
        <w:rPr>
          <w:rFonts w:ascii="Arial" w:hAnsi="Arial" w:cs="Arial"/>
          <w:sz w:val="24"/>
          <w:szCs w:val="24"/>
        </w:rPr>
        <w:t xml:space="preserve">those with </w:t>
      </w:r>
      <w:r w:rsidR="006A51E7" w:rsidRPr="006E68B2">
        <w:rPr>
          <w:rFonts w:ascii="Arial" w:hAnsi="Arial" w:cs="Arial"/>
          <w:sz w:val="24"/>
          <w:szCs w:val="24"/>
        </w:rPr>
        <w:t>level-1</w:t>
      </w:r>
      <w:r w:rsidR="001A1AA4" w:rsidRPr="006E68B2">
        <w:rPr>
          <w:rFonts w:ascii="Arial" w:hAnsi="Arial" w:cs="Arial"/>
          <w:sz w:val="24"/>
          <w:szCs w:val="24"/>
        </w:rPr>
        <w:t xml:space="preserve"> medication status</w:t>
      </w:r>
      <w:r w:rsidR="0072144A" w:rsidRPr="006E68B2">
        <w:rPr>
          <w:rFonts w:ascii="Arial" w:hAnsi="Arial" w:cs="Arial"/>
          <w:sz w:val="24"/>
          <w:szCs w:val="24"/>
        </w:rPr>
        <w:t xml:space="preserve">, those with </w:t>
      </w:r>
      <w:r w:rsidR="006A51E7" w:rsidRPr="006E68B2">
        <w:rPr>
          <w:rFonts w:ascii="Arial" w:hAnsi="Arial" w:cs="Arial"/>
          <w:sz w:val="24"/>
          <w:szCs w:val="24"/>
        </w:rPr>
        <w:t>level-2</w:t>
      </w:r>
      <w:r w:rsidR="0072144A" w:rsidRPr="006E68B2">
        <w:rPr>
          <w:rFonts w:ascii="Arial" w:hAnsi="Arial" w:cs="Arial"/>
          <w:sz w:val="24"/>
          <w:szCs w:val="24"/>
        </w:rPr>
        <w:t xml:space="preserve"> were more likely to stay in hospital ≥1 week: OR = </w:t>
      </w:r>
      <w:r w:rsidR="0072144A" w:rsidRPr="006E68B2">
        <w:rPr>
          <w:rFonts w:ascii="Arial" w:hAnsi="Arial" w:cs="Arial"/>
          <w:sz w:val="24"/>
          <w:szCs w:val="24"/>
          <w:lang w:val="en-US"/>
        </w:rPr>
        <w:t>2.5 (95%CI: 1.7-3.</w:t>
      </w:r>
      <w:r w:rsidR="00AD1099" w:rsidRPr="006E68B2">
        <w:rPr>
          <w:rFonts w:ascii="Arial" w:hAnsi="Arial" w:cs="Arial"/>
          <w:sz w:val="24"/>
          <w:szCs w:val="24"/>
          <w:lang w:val="en-US"/>
        </w:rPr>
        <w:t>7</w:t>
      </w:r>
      <w:r w:rsidR="0072144A" w:rsidRPr="006E68B2">
        <w:rPr>
          <w:rFonts w:ascii="Arial" w:hAnsi="Arial" w:cs="Arial"/>
          <w:sz w:val="24"/>
          <w:szCs w:val="24"/>
          <w:lang w:val="en-US"/>
        </w:rPr>
        <w:t xml:space="preserve">) and ≥2 weeks: </w:t>
      </w:r>
      <w:r w:rsidR="0072144A" w:rsidRPr="006E68B2">
        <w:rPr>
          <w:rFonts w:ascii="Arial" w:hAnsi="Arial" w:cs="Arial"/>
          <w:sz w:val="24"/>
          <w:szCs w:val="24"/>
        </w:rPr>
        <w:t xml:space="preserve">OR = </w:t>
      </w:r>
      <w:r w:rsidR="0072144A" w:rsidRPr="006E68B2">
        <w:rPr>
          <w:rFonts w:ascii="Arial" w:hAnsi="Arial" w:cs="Arial"/>
          <w:sz w:val="24"/>
          <w:szCs w:val="24"/>
          <w:lang w:val="en-US"/>
        </w:rPr>
        <w:t xml:space="preserve">1.8 (95%CI: </w:t>
      </w:r>
      <w:r w:rsidR="0072144A" w:rsidRPr="006E68B2">
        <w:rPr>
          <w:rFonts w:ascii="Arial" w:hAnsi="Arial" w:cs="Arial"/>
          <w:sz w:val="24"/>
          <w:szCs w:val="24"/>
        </w:rPr>
        <w:t>1.21-2.7</w:t>
      </w:r>
      <w:r w:rsidR="0072144A" w:rsidRPr="006E68B2">
        <w:rPr>
          <w:rFonts w:ascii="Arial" w:hAnsi="Arial" w:cs="Arial"/>
          <w:sz w:val="24"/>
          <w:szCs w:val="24"/>
          <w:lang w:val="en-US"/>
        </w:rPr>
        <w:t xml:space="preserve">), and failure to mobilise within 1-day of hip surgery: </w:t>
      </w:r>
      <w:r w:rsidR="0072144A" w:rsidRPr="006E68B2">
        <w:rPr>
          <w:rFonts w:ascii="Arial" w:hAnsi="Arial" w:cs="Arial"/>
          <w:sz w:val="24"/>
          <w:szCs w:val="24"/>
        </w:rPr>
        <w:t xml:space="preserve">OR = </w:t>
      </w:r>
      <w:r w:rsidR="0072144A" w:rsidRPr="006E68B2">
        <w:rPr>
          <w:rFonts w:ascii="Arial" w:hAnsi="Arial" w:cs="Arial"/>
          <w:sz w:val="24"/>
          <w:szCs w:val="24"/>
          <w:lang w:val="en-US"/>
        </w:rPr>
        <w:t xml:space="preserve">1.9 (95%CI: </w:t>
      </w:r>
      <w:r w:rsidR="0072144A" w:rsidRPr="006E68B2">
        <w:rPr>
          <w:rFonts w:ascii="Arial" w:hAnsi="Arial" w:cs="Arial"/>
          <w:sz w:val="24"/>
          <w:szCs w:val="24"/>
        </w:rPr>
        <w:t>1.1-3.</w:t>
      </w:r>
      <w:r w:rsidR="00AD1099" w:rsidRPr="006E68B2">
        <w:rPr>
          <w:rFonts w:ascii="Arial" w:hAnsi="Arial" w:cs="Arial"/>
          <w:sz w:val="24"/>
          <w:szCs w:val="24"/>
        </w:rPr>
        <w:t>3</w:t>
      </w:r>
      <w:r w:rsidR="0072144A" w:rsidRPr="006E68B2">
        <w:rPr>
          <w:rFonts w:ascii="Arial" w:hAnsi="Arial" w:cs="Arial"/>
          <w:sz w:val="24"/>
          <w:szCs w:val="24"/>
          <w:lang w:val="en-US"/>
        </w:rPr>
        <w:t xml:space="preserve">). </w:t>
      </w:r>
      <w:r w:rsidR="00461136" w:rsidRPr="006E68B2">
        <w:rPr>
          <w:rFonts w:ascii="Arial" w:hAnsi="Arial" w:cs="Arial"/>
          <w:sz w:val="24"/>
          <w:szCs w:val="24"/>
          <w:lang w:val="en-US"/>
        </w:rPr>
        <w:t xml:space="preserve">Due to </w:t>
      </w:r>
      <w:r w:rsidR="0074682C" w:rsidRPr="006E68B2">
        <w:rPr>
          <w:rFonts w:ascii="Arial" w:hAnsi="Arial" w:cs="Arial"/>
          <w:sz w:val="24"/>
          <w:szCs w:val="24"/>
          <w:lang w:val="en-US"/>
        </w:rPr>
        <w:t xml:space="preserve">the </w:t>
      </w:r>
      <w:r w:rsidR="00461136" w:rsidRPr="006E68B2">
        <w:rPr>
          <w:rFonts w:ascii="Arial" w:hAnsi="Arial" w:cs="Arial"/>
          <w:sz w:val="24"/>
          <w:szCs w:val="24"/>
          <w:lang w:val="en-US"/>
        </w:rPr>
        <w:t xml:space="preserve">lower prevalence of pressure ulcers, only two categories of medication status were compared with each other. The risk of pressure ulcers was increased in patients </w:t>
      </w:r>
      <w:r w:rsidR="00461136" w:rsidRPr="006E68B2">
        <w:rPr>
          <w:rFonts w:ascii="Arial" w:hAnsi="Arial" w:cs="Arial"/>
          <w:sz w:val="24"/>
          <w:szCs w:val="24"/>
        </w:rPr>
        <w:t xml:space="preserve">with </w:t>
      </w:r>
      <w:r w:rsidR="006A51E7" w:rsidRPr="006E68B2">
        <w:rPr>
          <w:rFonts w:ascii="Arial" w:hAnsi="Arial" w:cs="Arial"/>
          <w:sz w:val="24"/>
          <w:szCs w:val="24"/>
        </w:rPr>
        <w:t>level-3</w:t>
      </w:r>
      <w:r w:rsidR="00461136" w:rsidRPr="006E68B2">
        <w:rPr>
          <w:rFonts w:ascii="Arial" w:hAnsi="Arial" w:cs="Arial"/>
          <w:sz w:val="24"/>
          <w:szCs w:val="24"/>
        </w:rPr>
        <w:t xml:space="preserve"> compared to all those </w:t>
      </w:r>
      <w:r w:rsidR="006A51E7" w:rsidRPr="006E68B2">
        <w:rPr>
          <w:rFonts w:ascii="Arial" w:hAnsi="Arial" w:cs="Arial"/>
          <w:sz w:val="24"/>
          <w:szCs w:val="24"/>
        </w:rPr>
        <w:t>with level-1 and level-2</w:t>
      </w:r>
      <w:r w:rsidR="00461136" w:rsidRPr="006E68B2">
        <w:rPr>
          <w:rFonts w:ascii="Arial" w:hAnsi="Arial" w:cs="Arial"/>
          <w:sz w:val="24"/>
          <w:szCs w:val="24"/>
        </w:rPr>
        <w:t>: OR = 3.1 (95%CI: 1.2-7.9)</w:t>
      </w:r>
      <w:r w:rsidR="00474DAB" w:rsidRPr="006E68B2">
        <w:rPr>
          <w:rFonts w:ascii="Arial" w:hAnsi="Arial" w:cs="Arial"/>
          <w:sz w:val="24"/>
          <w:szCs w:val="24"/>
        </w:rPr>
        <w:t xml:space="preserve"> (</w:t>
      </w:r>
      <w:r w:rsidR="00474DAB" w:rsidRPr="006E68B2">
        <w:rPr>
          <w:rFonts w:ascii="Arial" w:hAnsi="Arial" w:cs="Arial"/>
          <w:b/>
          <w:bCs/>
          <w:sz w:val="24"/>
          <w:szCs w:val="24"/>
        </w:rPr>
        <w:t>Table 2</w:t>
      </w:r>
      <w:r w:rsidR="00474DAB" w:rsidRPr="006E68B2">
        <w:rPr>
          <w:rFonts w:ascii="Arial" w:hAnsi="Arial" w:cs="Arial"/>
          <w:sz w:val="24"/>
          <w:szCs w:val="24"/>
        </w:rPr>
        <w:t>)</w:t>
      </w:r>
      <w:r w:rsidR="00B523E7" w:rsidRPr="006E68B2">
        <w:rPr>
          <w:rFonts w:ascii="Arial" w:hAnsi="Arial" w:cs="Arial"/>
          <w:sz w:val="24"/>
          <w:szCs w:val="24"/>
        </w:rPr>
        <w:t>.</w:t>
      </w:r>
    </w:p>
    <w:p w14:paraId="149D2499" w14:textId="0D9E0FC7" w:rsidR="00312887" w:rsidRPr="006E68B2" w:rsidRDefault="00312887" w:rsidP="00E042B9">
      <w:pPr>
        <w:spacing w:after="0" w:line="480" w:lineRule="auto"/>
        <w:jc w:val="both"/>
        <w:rPr>
          <w:rFonts w:ascii="Arial" w:hAnsi="Arial" w:cs="Arial"/>
          <w:sz w:val="24"/>
          <w:szCs w:val="24"/>
        </w:rPr>
      </w:pPr>
    </w:p>
    <w:p w14:paraId="03CFF613" w14:textId="77777777" w:rsidR="008D6B8B" w:rsidRPr="006E68B2" w:rsidRDefault="008D6B8B" w:rsidP="00E042B9">
      <w:pPr>
        <w:spacing w:after="0" w:line="480" w:lineRule="auto"/>
        <w:jc w:val="both"/>
        <w:rPr>
          <w:rFonts w:ascii="Arial" w:hAnsi="Arial" w:cs="Arial"/>
          <w:sz w:val="24"/>
          <w:szCs w:val="24"/>
        </w:rPr>
      </w:pPr>
    </w:p>
    <w:p w14:paraId="6C84FC2C" w14:textId="70498D01" w:rsidR="001F2E89" w:rsidRPr="006E68B2" w:rsidRDefault="001F2E89" w:rsidP="00E042B9">
      <w:pPr>
        <w:spacing w:after="0" w:line="480" w:lineRule="auto"/>
        <w:jc w:val="both"/>
        <w:rPr>
          <w:rFonts w:ascii="Arial" w:hAnsi="Arial" w:cs="Arial"/>
          <w:b/>
          <w:sz w:val="24"/>
          <w:szCs w:val="24"/>
        </w:rPr>
      </w:pPr>
      <w:r w:rsidRPr="006E68B2">
        <w:rPr>
          <w:rFonts w:ascii="Arial" w:hAnsi="Arial" w:cs="Arial"/>
          <w:b/>
          <w:sz w:val="24"/>
          <w:szCs w:val="24"/>
        </w:rPr>
        <w:lastRenderedPageBreak/>
        <w:t>DISCUSSION</w:t>
      </w:r>
    </w:p>
    <w:p w14:paraId="15ECACC5" w14:textId="1D3C8394" w:rsidR="00433A89" w:rsidRPr="006E68B2" w:rsidRDefault="00433A89" w:rsidP="00E042B9">
      <w:pPr>
        <w:spacing w:after="0" w:line="480" w:lineRule="auto"/>
        <w:jc w:val="both"/>
        <w:rPr>
          <w:rFonts w:ascii="Arial" w:hAnsi="Arial" w:cs="Arial"/>
          <w:b/>
          <w:sz w:val="24"/>
          <w:szCs w:val="24"/>
        </w:rPr>
      </w:pPr>
      <w:r w:rsidRPr="006E68B2">
        <w:rPr>
          <w:rFonts w:ascii="Arial" w:hAnsi="Arial" w:cs="Arial"/>
          <w:b/>
          <w:sz w:val="24"/>
          <w:szCs w:val="24"/>
        </w:rPr>
        <w:t>Summary of findings</w:t>
      </w:r>
    </w:p>
    <w:p w14:paraId="460596E8" w14:textId="21D5D200" w:rsidR="00433A89" w:rsidRPr="006E68B2" w:rsidRDefault="00433A89" w:rsidP="00E042B9">
      <w:pPr>
        <w:spacing w:after="0" w:line="480" w:lineRule="auto"/>
        <w:jc w:val="both"/>
        <w:rPr>
          <w:rFonts w:ascii="Arial" w:hAnsi="Arial" w:cs="Arial"/>
          <w:bCs/>
          <w:sz w:val="24"/>
          <w:szCs w:val="24"/>
        </w:rPr>
      </w:pPr>
      <w:r w:rsidRPr="006E68B2">
        <w:rPr>
          <w:rFonts w:ascii="Arial" w:hAnsi="Arial" w:cs="Arial"/>
          <w:bCs/>
          <w:sz w:val="24"/>
          <w:szCs w:val="24"/>
        </w:rPr>
        <w:t>The present study observed</w:t>
      </w:r>
      <w:r w:rsidR="00480983" w:rsidRPr="006E68B2">
        <w:rPr>
          <w:rFonts w:ascii="Arial" w:hAnsi="Arial" w:cs="Arial"/>
          <w:bCs/>
          <w:sz w:val="24"/>
          <w:szCs w:val="24"/>
        </w:rPr>
        <w:t xml:space="preserve"> that the LOS</w:t>
      </w:r>
      <w:r w:rsidRPr="006E68B2">
        <w:rPr>
          <w:rFonts w:ascii="Arial" w:hAnsi="Arial" w:cs="Arial"/>
          <w:bCs/>
          <w:sz w:val="24"/>
          <w:szCs w:val="24"/>
        </w:rPr>
        <w:t xml:space="preserve"> in hospital and failure to mobilise within 1-day of hip surgery </w:t>
      </w:r>
      <w:r w:rsidR="00480983" w:rsidRPr="006E68B2">
        <w:rPr>
          <w:rFonts w:ascii="Arial" w:hAnsi="Arial" w:cs="Arial"/>
          <w:bCs/>
          <w:sz w:val="24"/>
          <w:szCs w:val="24"/>
        </w:rPr>
        <w:t xml:space="preserve">increased </w:t>
      </w:r>
      <w:r w:rsidRPr="006E68B2">
        <w:rPr>
          <w:rFonts w:ascii="Arial" w:hAnsi="Arial" w:cs="Arial"/>
          <w:bCs/>
          <w:sz w:val="24"/>
          <w:szCs w:val="24"/>
        </w:rPr>
        <w:t xml:space="preserve">with </w:t>
      </w:r>
      <w:r w:rsidR="00E9272B" w:rsidRPr="006E68B2">
        <w:rPr>
          <w:rFonts w:ascii="Arial" w:hAnsi="Arial" w:cs="Arial"/>
          <w:bCs/>
          <w:sz w:val="24"/>
          <w:szCs w:val="24"/>
        </w:rPr>
        <w:t>polypharmacy</w:t>
      </w:r>
      <w:r w:rsidR="0009016B" w:rsidRPr="006E68B2">
        <w:rPr>
          <w:rFonts w:ascii="Arial" w:hAnsi="Arial" w:cs="Arial"/>
          <w:bCs/>
          <w:sz w:val="24"/>
          <w:szCs w:val="24"/>
        </w:rPr>
        <w:t xml:space="preserve"> and</w:t>
      </w:r>
      <w:r w:rsidR="00E9272B" w:rsidRPr="006E68B2">
        <w:rPr>
          <w:rFonts w:ascii="Arial" w:hAnsi="Arial" w:cs="Arial"/>
          <w:bCs/>
          <w:sz w:val="24"/>
          <w:szCs w:val="24"/>
        </w:rPr>
        <w:t>/or</w:t>
      </w:r>
      <w:r w:rsidR="0009016B" w:rsidRPr="006E68B2">
        <w:rPr>
          <w:rFonts w:ascii="Arial" w:hAnsi="Arial" w:cs="Arial"/>
          <w:bCs/>
          <w:sz w:val="24"/>
          <w:szCs w:val="24"/>
        </w:rPr>
        <w:t xml:space="preserve"> </w:t>
      </w:r>
      <w:r w:rsidR="00B85F6C" w:rsidRPr="006E68B2">
        <w:rPr>
          <w:rFonts w:ascii="Arial" w:hAnsi="Arial" w:cs="Arial"/>
          <w:bCs/>
          <w:sz w:val="24"/>
          <w:szCs w:val="24"/>
        </w:rPr>
        <w:t>ACB</w:t>
      </w:r>
      <w:r w:rsidR="00480983" w:rsidRPr="006E68B2">
        <w:rPr>
          <w:rFonts w:ascii="Arial" w:hAnsi="Arial" w:cs="Arial"/>
          <w:bCs/>
          <w:sz w:val="24"/>
          <w:szCs w:val="24"/>
        </w:rPr>
        <w:t xml:space="preserve"> in a stepwise manner</w:t>
      </w:r>
      <w:r w:rsidRPr="006E68B2">
        <w:rPr>
          <w:rFonts w:ascii="Arial" w:hAnsi="Arial" w:cs="Arial"/>
          <w:bCs/>
          <w:sz w:val="24"/>
          <w:szCs w:val="24"/>
        </w:rPr>
        <w:t xml:space="preserve">, being highest </w:t>
      </w:r>
      <w:r w:rsidR="00797C3A" w:rsidRPr="006E68B2">
        <w:rPr>
          <w:rFonts w:ascii="Arial" w:hAnsi="Arial" w:cs="Arial"/>
          <w:bCs/>
          <w:sz w:val="24"/>
          <w:szCs w:val="24"/>
        </w:rPr>
        <w:t xml:space="preserve">amongst patients </w:t>
      </w:r>
      <w:r w:rsidR="00ED0062" w:rsidRPr="006E68B2">
        <w:rPr>
          <w:rFonts w:ascii="Arial" w:hAnsi="Arial" w:cs="Arial"/>
          <w:bCs/>
          <w:sz w:val="24"/>
          <w:szCs w:val="24"/>
        </w:rPr>
        <w:t>with a combination of an ACB score</w:t>
      </w:r>
      <w:r w:rsidRPr="006E68B2">
        <w:rPr>
          <w:rFonts w:ascii="Arial" w:hAnsi="Arial" w:cs="Arial"/>
          <w:bCs/>
          <w:sz w:val="24"/>
          <w:szCs w:val="24"/>
        </w:rPr>
        <w:t xml:space="preserve"> ≥1 and polypharmacy</w:t>
      </w:r>
      <w:r w:rsidR="003B095C" w:rsidRPr="006E68B2">
        <w:rPr>
          <w:rFonts w:ascii="Arial" w:hAnsi="Arial" w:cs="Arial"/>
          <w:bCs/>
          <w:sz w:val="24"/>
          <w:szCs w:val="24"/>
        </w:rPr>
        <w:t xml:space="preserve"> (level-3</w:t>
      </w:r>
      <w:r w:rsidR="00B85F6C" w:rsidRPr="006E68B2">
        <w:rPr>
          <w:rFonts w:ascii="Arial" w:hAnsi="Arial" w:cs="Arial"/>
          <w:bCs/>
          <w:sz w:val="24"/>
          <w:szCs w:val="24"/>
        </w:rPr>
        <w:t xml:space="preserve"> medication status</w:t>
      </w:r>
      <w:r w:rsidR="003B095C" w:rsidRPr="006E68B2">
        <w:rPr>
          <w:rFonts w:ascii="Arial" w:hAnsi="Arial" w:cs="Arial"/>
          <w:bCs/>
          <w:sz w:val="24"/>
          <w:szCs w:val="24"/>
        </w:rPr>
        <w:t>)</w:t>
      </w:r>
      <w:r w:rsidRPr="006E68B2">
        <w:rPr>
          <w:rFonts w:ascii="Arial" w:hAnsi="Arial" w:cs="Arial"/>
          <w:bCs/>
          <w:sz w:val="24"/>
          <w:szCs w:val="24"/>
        </w:rPr>
        <w:t>.</w:t>
      </w:r>
      <w:r w:rsidR="0093141C" w:rsidRPr="006E68B2">
        <w:rPr>
          <w:rFonts w:ascii="Arial" w:hAnsi="Arial" w:cs="Arial"/>
          <w:bCs/>
          <w:sz w:val="24"/>
          <w:szCs w:val="24"/>
        </w:rPr>
        <w:t xml:space="preserve"> </w:t>
      </w:r>
      <w:r w:rsidR="00EC0523" w:rsidRPr="006E68B2">
        <w:rPr>
          <w:rFonts w:ascii="Arial" w:hAnsi="Arial" w:cs="Arial"/>
          <w:bCs/>
          <w:sz w:val="24"/>
          <w:szCs w:val="24"/>
        </w:rPr>
        <w:t xml:space="preserve">Level-3 medication status also associated with pressure ulcers acquired in hospital. </w:t>
      </w:r>
      <w:r w:rsidR="00ED0062" w:rsidRPr="006E68B2">
        <w:rPr>
          <w:rFonts w:ascii="Arial" w:hAnsi="Arial" w:cs="Arial"/>
          <w:bCs/>
          <w:sz w:val="24"/>
          <w:szCs w:val="24"/>
        </w:rPr>
        <w:t>In addition</w:t>
      </w:r>
      <w:r w:rsidR="00DD45EB" w:rsidRPr="006E68B2">
        <w:rPr>
          <w:rFonts w:ascii="Arial" w:hAnsi="Arial" w:cs="Arial"/>
          <w:bCs/>
          <w:sz w:val="24"/>
          <w:szCs w:val="24"/>
        </w:rPr>
        <w:t>,</w:t>
      </w:r>
      <w:r w:rsidR="00ED0062" w:rsidRPr="006E68B2">
        <w:rPr>
          <w:rFonts w:ascii="Arial" w:hAnsi="Arial" w:cs="Arial"/>
          <w:bCs/>
          <w:sz w:val="24"/>
          <w:szCs w:val="24"/>
        </w:rPr>
        <w:t xml:space="preserve"> the</w:t>
      </w:r>
      <w:r w:rsidR="00DD45EB" w:rsidRPr="006E68B2">
        <w:rPr>
          <w:rFonts w:ascii="Arial" w:hAnsi="Arial" w:cs="Arial"/>
          <w:bCs/>
          <w:sz w:val="24"/>
          <w:szCs w:val="24"/>
        </w:rPr>
        <w:t xml:space="preserve"> LOS </w:t>
      </w:r>
      <w:r w:rsidR="00ED0062" w:rsidRPr="006E68B2">
        <w:rPr>
          <w:rFonts w:ascii="Arial" w:hAnsi="Arial" w:cs="Arial"/>
          <w:bCs/>
          <w:sz w:val="24"/>
          <w:szCs w:val="24"/>
        </w:rPr>
        <w:t>was</w:t>
      </w:r>
      <w:r w:rsidR="00DD45EB" w:rsidRPr="006E68B2">
        <w:rPr>
          <w:rFonts w:ascii="Arial" w:hAnsi="Arial" w:cs="Arial"/>
          <w:bCs/>
          <w:sz w:val="24"/>
          <w:szCs w:val="24"/>
        </w:rPr>
        <w:t xml:space="preserve"> </w:t>
      </w:r>
      <w:r w:rsidR="00ED0062" w:rsidRPr="006E68B2">
        <w:rPr>
          <w:rFonts w:ascii="Arial" w:hAnsi="Arial" w:cs="Arial"/>
          <w:bCs/>
          <w:sz w:val="24"/>
          <w:szCs w:val="24"/>
        </w:rPr>
        <w:t>further prolonged</w:t>
      </w:r>
      <w:r w:rsidR="00DD45EB" w:rsidRPr="006E68B2">
        <w:rPr>
          <w:rFonts w:ascii="Arial" w:hAnsi="Arial" w:cs="Arial"/>
          <w:bCs/>
          <w:sz w:val="24"/>
          <w:szCs w:val="24"/>
        </w:rPr>
        <w:t xml:space="preserve"> </w:t>
      </w:r>
      <w:r w:rsidR="004826E6" w:rsidRPr="006E68B2">
        <w:rPr>
          <w:rFonts w:ascii="Arial" w:hAnsi="Arial" w:cs="Arial"/>
          <w:bCs/>
          <w:sz w:val="24"/>
          <w:szCs w:val="24"/>
        </w:rPr>
        <w:t>in those</w:t>
      </w:r>
      <w:r w:rsidR="00DD45EB" w:rsidRPr="006E68B2">
        <w:rPr>
          <w:rFonts w:ascii="Arial" w:hAnsi="Arial" w:cs="Arial"/>
          <w:bCs/>
          <w:sz w:val="24"/>
          <w:szCs w:val="24"/>
        </w:rPr>
        <w:t xml:space="preserve"> who failed to mobilise within 1-day of surgery</w:t>
      </w:r>
      <w:r w:rsidR="00E9272B" w:rsidRPr="006E68B2">
        <w:rPr>
          <w:rFonts w:ascii="Arial" w:hAnsi="Arial" w:cs="Arial"/>
          <w:bCs/>
          <w:sz w:val="24"/>
          <w:szCs w:val="24"/>
        </w:rPr>
        <w:t xml:space="preserve"> or those </w:t>
      </w:r>
      <w:r w:rsidR="00B85F6C" w:rsidRPr="006E68B2">
        <w:rPr>
          <w:rFonts w:ascii="Arial" w:hAnsi="Arial" w:cs="Arial"/>
          <w:bCs/>
          <w:sz w:val="24"/>
          <w:szCs w:val="24"/>
        </w:rPr>
        <w:t xml:space="preserve">who </w:t>
      </w:r>
      <w:r w:rsidR="00E9272B" w:rsidRPr="006E68B2">
        <w:rPr>
          <w:rFonts w:ascii="Arial" w:hAnsi="Arial" w:cs="Arial"/>
          <w:bCs/>
          <w:sz w:val="24"/>
          <w:szCs w:val="24"/>
        </w:rPr>
        <w:t xml:space="preserve">acquired a pressure ulcer </w:t>
      </w:r>
      <w:r w:rsidR="00B85F6C" w:rsidRPr="006E68B2">
        <w:rPr>
          <w:rFonts w:ascii="Arial" w:hAnsi="Arial" w:cs="Arial"/>
          <w:bCs/>
          <w:sz w:val="24"/>
          <w:szCs w:val="24"/>
        </w:rPr>
        <w:t>in hospital</w:t>
      </w:r>
      <w:r w:rsidR="00DD45EB" w:rsidRPr="006E68B2">
        <w:rPr>
          <w:rFonts w:ascii="Arial" w:hAnsi="Arial" w:cs="Arial"/>
          <w:bCs/>
          <w:sz w:val="24"/>
          <w:szCs w:val="24"/>
        </w:rPr>
        <w:t xml:space="preserve">. </w:t>
      </w:r>
      <w:r w:rsidR="00D0669F" w:rsidRPr="006E68B2">
        <w:rPr>
          <w:rFonts w:ascii="Arial" w:hAnsi="Arial" w:cs="Arial"/>
          <w:bCs/>
          <w:sz w:val="24"/>
          <w:szCs w:val="24"/>
        </w:rPr>
        <w:t>These associations were independent of confounding factors including age, sex, co-</w:t>
      </w:r>
      <w:proofErr w:type="gramStart"/>
      <w:r w:rsidR="00D0669F" w:rsidRPr="006E68B2">
        <w:rPr>
          <w:rFonts w:ascii="Arial" w:hAnsi="Arial" w:cs="Arial"/>
          <w:bCs/>
          <w:sz w:val="24"/>
          <w:szCs w:val="24"/>
        </w:rPr>
        <w:t>morbidities</w:t>
      </w:r>
      <w:proofErr w:type="gramEnd"/>
      <w:r w:rsidR="00D0669F" w:rsidRPr="006E68B2">
        <w:rPr>
          <w:rFonts w:ascii="Arial" w:hAnsi="Arial" w:cs="Arial"/>
          <w:bCs/>
          <w:sz w:val="24"/>
          <w:szCs w:val="24"/>
        </w:rPr>
        <w:t xml:space="preserve"> and pre-fracture </w:t>
      </w:r>
      <w:r w:rsidR="004826E6" w:rsidRPr="006E68B2">
        <w:rPr>
          <w:rFonts w:ascii="Arial" w:hAnsi="Arial" w:cs="Arial"/>
          <w:bCs/>
          <w:sz w:val="24"/>
          <w:szCs w:val="24"/>
        </w:rPr>
        <w:t xml:space="preserve">mobility </w:t>
      </w:r>
      <w:r w:rsidR="00EE7A37" w:rsidRPr="006E68B2">
        <w:rPr>
          <w:rFonts w:ascii="Arial" w:hAnsi="Arial" w:cs="Arial"/>
          <w:bCs/>
          <w:sz w:val="24"/>
          <w:szCs w:val="24"/>
        </w:rPr>
        <w:t>limitations</w:t>
      </w:r>
      <w:r w:rsidR="00D0669F" w:rsidRPr="006E68B2">
        <w:rPr>
          <w:rFonts w:ascii="Arial" w:hAnsi="Arial" w:cs="Arial"/>
          <w:bCs/>
          <w:sz w:val="24"/>
          <w:szCs w:val="24"/>
        </w:rPr>
        <w:t>.</w:t>
      </w:r>
      <w:r w:rsidR="0093141C" w:rsidRPr="006E68B2">
        <w:rPr>
          <w:rFonts w:ascii="Arial" w:hAnsi="Arial" w:cs="Arial"/>
          <w:bCs/>
          <w:sz w:val="24"/>
          <w:szCs w:val="24"/>
        </w:rPr>
        <w:t xml:space="preserve"> </w:t>
      </w:r>
      <w:r w:rsidR="00DD45EB" w:rsidRPr="006E68B2">
        <w:rPr>
          <w:rFonts w:ascii="Arial" w:hAnsi="Arial" w:cs="Arial"/>
          <w:bCs/>
          <w:sz w:val="24"/>
          <w:szCs w:val="24"/>
        </w:rPr>
        <w:t xml:space="preserve">As far as we are aware, this analysis </w:t>
      </w:r>
      <w:r w:rsidR="00850136" w:rsidRPr="006E68B2">
        <w:rPr>
          <w:rFonts w:ascii="Arial" w:hAnsi="Arial" w:cs="Arial"/>
          <w:bCs/>
          <w:sz w:val="24"/>
          <w:szCs w:val="24"/>
        </w:rPr>
        <w:t xml:space="preserve">had not been </w:t>
      </w:r>
      <w:r w:rsidR="008D6031" w:rsidRPr="006E68B2">
        <w:rPr>
          <w:rFonts w:ascii="Arial" w:hAnsi="Arial" w:cs="Arial"/>
          <w:bCs/>
          <w:sz w:val="24"/>
          <w:szCs w:val="24"/>
        </w:rPr>
        <w:t xml:space="preserve">previously </w:t>
      </w:r>
      <w:r w:rsidR="00E14043" w:rsidRPr="006E68B2">
        <w:rPr>
          <w:rFonts w:ascii="Arial" w:hAnsi="Arial" w:cs="Arial"/>
          <w:bCs/>
          <w:sz w:val="24"/>
          <w:szCs w:val="24"/>
        </w:rPr>
        <w:t>reported</w:t>
      </w:r>
      <w:r w:rsidR="00DD45EB" w:rsidRPr="006E68B2">
        <w:rPr>
          <w:rFonts w:ascii="Arial" w:hAnsi="Arial" w:cs="Arial"/>
          <w:bCs/>
          <w:sz w:val="24"/>
          <w:szCs w:val="24"/>
        </w:rPr>
        <w:t>.</w:t>
      </w:r>
    </w:p>
    <w:p w14:paraId="3FDBDD89" w14:textId="5E639891" w:rsidR="00AD668E" w:rsidRPr="006E68B2" w:rsidRDefault="00AD668E" w:rsidP="00E042B9">
      <w:pPr>
        <w:spacing w:after="0" w:line="480" w:lineRule="auto"/>
        <w:jc w:val="both"/>
        <w:rPr>
          <w:rFonts w:ascii="Arial" w:hAnsi="Arial" w:cs="Arial"/>
          <w:bCs/>
          <w:sz w:val="24"/>
          <w:szCs w:val="24"/>
        </w:rPr>
      </w:pPr>
    </w:p>
    <w:p w14:paraId="0C8FEE29" w14:textId="0A5B87FC" w:rsidR="00D0669F" w:rsidRPr="006E68B2" w:rsidRDefault="00E176EE" w:rsidP="00E042B9">
      <w:pPr>
        <w:spacing w:after="0" w:line="480" w:lineRule="auto"/>
        <w:jc w:val="both"/>
        <w:rPr>
          <w:rFonts w:ascii="Arial" w:hAnsi="Arial" w:cs="Arial"/>
          <w:sz w:val="24"/>
          <w:szCs w:val="24"/>
          <w:shd w:val="clear" w:color="auto" w:fill="FFFFFF"/>
        </w:rPr>
      </w:pPr>
      <w:r w:rsidRPr="006E68B2">
        <w:rPr>
          <w:rFonts w:ascii="Arial" w:hAnsi="Arial" w:cs="Arial"/>
          <w:sz w:val="24"/>
          <w:szCs w:val="24"/>
          <w:shd w:val="clear" w:color="auto" w:fill="FFFFFF"/>
        </w:rPr>
        <w:t xml:space="preserve">The association between drugs used to treat health conditions and adverse effects is complex due to many factors including drug-drug interactions, adherence to treatment and underlying health. </w:t>
      </w:r>
      <w:proofErr w:type="gramStart"/>
      <w:r w:rsidR="00AD668E" w:rsidRPr="006E68B2">
        <w:rPr>
          <w:rFonts w:ascii="Arial" w:hAnsi="Arial" w:cs="Arial"/>
          <w:sz w:val="24"/>
          <w:szCs w:val="24"/>
          <w:shd w:val="clear" w:color="auto" w:fill="FFFFFF"/>
        </w:rPr>
        <w:t>The majority of</w:t>
      </w:r>
      <w:proofErr w:type="gramEnd"/>
      <w:r w:rsidR="00AD668E" w:rsidRPr="006E68B2">
        <w:rPr>
          <w:rFonts w:ascii="Arial" w:hAnsi="Arial" w:cs="Arial"/>
          <w:sz w:val="24"/>
          <w:szCs w:val="24"/>
          <w:shd w:val="clear" w:color="auto" w:fill="FFFFFF"/>
        </w:rPr>
        <w:t xml:space="preserve"> previous studies </w:t>
      </w:r>
      <w:r w:rsidR="00262018" w:rsidRPr="006E68B2">
        <w:rPr>
          <w:rFonts w:ascii="Arial" w:hAnsi="Arial" w:cs="Arial"/>
          <w:sz w:val="24"/>
          <w:szCs w:val="24"/>
          <w:shd w:val="clear" w:color="auto" w:fill="FFFFFF"/>
        </w:rPr>
        <w:t>often considered</w:t>
      </w:r>
      <w:r w:rsidR="00AD668E" w:rsidRPr="006E68B2">
        <w:rPr>
          <w:rFonts w:ascii="Arial" w:hAnsi="Arial" w:cs="Arial"/>
          <w:sz w:val="24"/>
          <w:szCs w:val="24"/>
          <w:shd w:val="clear" w:color="auto" w:fill="FFFFFF"/>
        </w:rPr>
        <w:t xml:space="preserve"> ACB and polypharmacy as distinct entit</w:t>
      </w:r>
      <w:r w:rsidR="009D10DB" w:rsidRPr="006E68B2">
        <w:rPr>
          <w:rFonts w:ascii="Arial" w:hAnsi="Arial" w:cs="Arial"/>
          <w:sz w:val="24"/>
          <w:szCs w:val="24"/>
          <w:shd w:val="clear" w:color="auto" w:fill="FFFFFF"/>
        </w:rPr>
        <w:t>ies</w:t>
      </w:r>
      <w:r w:rsidR="00B85F6C" w:rsidRPr="006E68B2">
        <w:rPr>
          <w:rFonts w:ascii="Arial" w:hAnsi="Arial" w:cs="Arial"/>
          <w:sz w:val="24"/>
          <w:szCs w:val="24"/>
          <w:shd w:val="clear" w:color="auto" w:fill="FFFFFF"/>
        </w:rPr>
        <w:t>; h</w:t>
      </w:r>
      <w:r w:rsidR="00AD668E" w:rsidRPr="006E68B2">
        <w:rPr>
          <w:rFonts w:ascii="Arial" w:hAnsi="Arial" w:cs="Arial"/>
          <w:sz w:val="24"/>
          <w:szCs w:val="24"/>
          <w:shd w:val="clear" w:color="auto" w:fill="FFFFFF"/>
        </w:rPr>
        <w:t xml:space="preserve">owever, these </w:t>
      </w:r>
      <w:r w:rsidR="00303975" w:rsidRPr="006E68B2">
        <w:rPr>
          <w:rFonts w:ascii="Arial" w:hAnsi="Arial" w:cs="Arial"/>
          <w:sz w:val="24"/>
          <w:szCs w:val="24"/>
          <w:shd w:val="clear" w:color="auto" w:fill="FFFFFF"/>
        </w:rPr>
        <w:t>indices</w:t>
      </w:r>
      <w:r w:rsidR="00AD668E" w:rsidRPr="006E68B2">
        <w:rPr>
          <w:rFonts w:ascii="Arial" w:hAnsi="Arial" w:cs="Arial"/>
          <w:sz w:val="24"/>
          <w:szCs w:val="24"/>
          <w:shd w:val="clear" w:color="auto" w:fill="FFFFFF"/>
        </w:rPr>
        <w:t xml:space="preserve"> are not mutually exclusive. </w:t>
      </w:r>
      <w:r w:rsidR="00B85F6C" w:rsidRPr="006E68B2">
        <w:rPr>
          <w:rFonts w:ascii="Arial" w:hAnsi="Arial" w:cs="Arial"/>
          <w:sz w:val="24"/>
          <w:szCs w:val="24"/>
          <w:shd w:val="clear" w:color="auto" w:fill="FFFFFF"/>
        </w:rPr>
        <w:t>O</w:t>
      </w:r>
      <w:r w:rsidR="00B40CDF" w:rsidRPr="006E68B2">
        <w:rPr>
          <w:rFonts w:ascii="Arial" w:hAnsi="Arial" w:cs="Arial"/>
          <w:sz w:val="24"/>
          <w:szCs w:val="24"/>
          <w:shd w:val="clear" w:color="auto" w:fill="FFFFFF"/>
        </w:rPr>
        <w:t>ur study revealed that</w:t>
      </w:r>
      <w:r w:rsidR="00485F9E" w:rsidRPr="006E68B2">
        <w:rPr>
          <w:rFonts w:ascii="Arial" w:hAnsi="Arial" w:cs="Arial"/>
          <w:sz w:val="24"/>
          <w:szCs w:val="24"/>
          <w:shd w:val="clear" w:color="auto" w:fill="FFFFFF"/>
        </w:rPr>
        <w:t xml:space="preserve"> there were higher proportions of patients with an ACB</w:t>
      </w:r>
      <w:r w:rsidR="00884599" w:rsidRPr="006E68B2">
        <w:rPr>
          <w:rFonts w:ascii="Arial" w:hAnsi="Arial" w:cs="Arial"/>
          <w:sz w:val="24"/>
          <w:szCs w:val="24"/>
          <w:shd w:val="clear" w:color="auto" w:fill="FFFFFF"/>
        </w:rPr>
        <w:t xml:space="preserve"> score</w:t>
      </w:r>
      <w:r w:rsidR="00485F9E" w:rsidRPr="006E68B2">
        <w:rPr>
          <w:rFonts w:ascii="Arial" w:hAnsi="Arial" w:cs="Arial"/>
          <w:sz w:val="24"/>
          <w:szCs w:val="24"/>
          <w:shd w:val="clear" w:color="auto" w:fill="FFFFFF"/>
        </w:rPr>
        <w:t xml:space="preserve"> ≥1 amongst those taking ≥4 drugs than those taking &lt;4 drugs</w:t>
      </w:r>
      <w:r w:rsidR="00884599" w:rsidRPr="006E68B2">
        <w:rPr>
          <w:rFonts w:ascii="Arial" w:hAnsi="Arial" w:cs="Arial"/>
          <w:sz w:val="24"/>
          <w:szCs w:val="24"/>
          <w:shd w:val="clear" w:color="auto" w:fill="FFFFFF"/>
        </w:rPr>
        <w:t xml:space="preserve"> daily</w:t>
      </w:r>
      <w:r w:rsidR="00485F9E" w:rsidRPr="006E68B2">
        <w:rPr>
          <w:rFonts w:ascii="Arial" w:hAnsi="Arial" w:cs="Arial"/>
          <w:sz w:val="24"/>
          <w:szCs w:val="24"/>
          <w:shd w:val="clear" w:color="auto" w:fill="FFFFFF"/>
        </w:rPr>
        <w:t xml:space="preserve">. </w:t>
      </w:r>
      <w:r w:rsidR="00AD668E" w:rsidRPr="006E68B2">
        <w:rPr>
          <w:rFonts w:ascii="Arial" w:hAnsi="Arial" w:cs="Arial"/>
          <w:sz w:val="24"/>
          <w:szCs w:val="24"/>
          <w:shd w:val="clear" w:color="auto" w:fill="FFFFFF"/>
        </w:rPr>
        <w:t xml:space="preserve">It is therefore important to </w:t>
      </w:r>
      <w:r w:rsidR="00485F9E" w:rsidRPr="006E68B2">
        <w:rPr>
          <w:rFonts w:ascii="Arial" w:hAnsi="Arial" w:cs="Arial"/>
          <w:sz w:val="24"/>
          <w:szCs w:val="24"/>
          <w:shd w:val="clear" w:color="auto" w:fill="FFFFFF"/>
        </w:rPr>
        <w:t>compare</w:t>
      </w:r>
      <w:r w:rsidR="0078476D" w:rsidRPr="006E68B2">
        <w:rPr>
          <w:rFonts w:ascii="Arial" w:hAnsi="Arial" w:cs="Arial"/>
          <w:sz w:val="24"/>
          <w:szCs w:val="24"/>
          <w:shd w:val="clear" w:color="auto" w:fill="FFFFFF"/>
        </w:rPr>
        <w:t xml:space="preserve"> different</w:t>
      </w:r>
      <w:r w:rsidR="00AD668E" w:rsidRPr="006E68B2">
        <w:rPr>
          <w:rFonts w:ascii="Arial" w:hAnsi="Arial" w:cs="Arial"/>
          <w:sz w:val="24"/>
          <w:szCs w:val="24"/>
          <w:shd w:val="clear" w:color="auto" w:fill="FFFFFF"/>
        </w:rPr>
        <w:t xml:space="preserve"> </w:t>
      </w:r>
      <w:r w:rsidR="00485F9E" w:rsidRPr="006E68B2">
        <w:rPr>
          <w:rFonts w:ascii="Arial" w:hAnsi="Arial" w:cs="Arial"/>
          <w:sz w:val="24"/>
          <w:szCs w:val="24"/>
          <w:shd w:val="clear" w:color="auto" w:fill="FFFFFF"/>
        </w:rPr>
        <w:t>combinations</w:t>
      </w:r>
      <w:r w:rsidR="00AD668E" w:rsidRPr="006E68B2">
        <w:rPr>
          <w:rFonts w:ascii="Arial" w:hAnsi="Arial" w:cs="Arial"/>
          <w:sz w:val="24"/>
          <w:szCs w:val="24"/>
          <w:shd w:val="clear" w:color="auto" w:fill="FFFFFF"/>
        </w:rPr>
        <w:t xml:space="preserve"> </w:t>
      </w:r>
      <w:r w:rsidR="00485F9E" w:rsidRPr="006E68B2">
        <w:rPr>
          <w:rFonts w:ascii="Arial" w:hAnsi="Arial" w:cs="Arial"/>
          <w:sz w:val="24"/>
          <w:szCs w:val="24"/>
          <w:shd w:val="clear" w:color="auto" w:fill="FFFFFF"/>
        </w:rPr>
        <w:t xml:space="preserve">of </w:t>
      </w:r>
      <w:r w:rsidR="0078476D" w:rsidRPr="006E68B2">
        <w:rPr>
          <w:rFonts w:ascii="Arial" w:hAnsi="Arial" w:cs="Arial"/>
          <w:sz w:val="24"/>
          <w:szCs w:val="24"/>
          <w:shd w:val="clear" w:color="auto" w:fill="FFFFFF"/>
        </w:rPr>
        <w:t>medication status based on</w:t>
      </w:r>
      <w:r w:rsidR="00B40CDF" w:rsidRPr="006E68B2">
        <w:rPr>
          <w:rFonts w:ascii="Arial" w:hAnsi="Arial" w:cs="Arial"/>
          <w:sz w:val="24"/>
          <w:szCs w:val="24"/>
          <w:shd w:val="clear" w:color="auto" w:fill="FFFFFF"/>
        </w:rPr>
        <w:t xml:space="preserve"> ACB score</w:t>
      </w:r>
      <w:r w:rsidR="0078476D" w:rsidRPr="006E68B2">
        <w:rPr>
          <w:rFonts w:ascii="Arial" w:hAnsi="Arial" w:cs="Arial"/>
          <w:sz w:val="24"/>
          <w:szCs w:val="24"/>
          <w:shd w:val="clear" w:color="auto" w:fill="FFFFFF"/>
        </w:rPr>
        <w:t>s</w:t>
      </w:r>
      <w:r w:rsidR="00B40CDF" w:rsidRPr="006E68B2">
        <w:rPr>
          <w:rFonts w:ascii="Arial" w:hAnsi="Arial" w:cs="Arial"/>
          <w:sz w:val="24"/>
          <w:szCs w:val="24"/>
          <w:shd w:val="clear" w:color="auto" w:fill="FFFFFF"/>
        </w:rPr>
        <w:t xml:space="preserve"> </w:t>
      </w:r>
      <w:r w:rsidR="0078476D" w:rsidRPr="006E68B2">
        <w:rPr>
          <w:rFonts w:ascii="Arial" w:hAnsi="Arial" w:cs="Arial"/>
          <w:sz w:val="24"/>
          <w:szCs w:val="24"/>
          <w:shd w:val="clear" w:color="auto" w:fill="FFFFFF"/>
        </w:rPr>
        <w:t>and the</w:t>
      </w:r>
      <w:r w:rsidR="00AD668E" w:rsidRPr="006E68B2">
        <w:rPr>
          <w:rFonts w:ascii="Arial" w:hAnsi="Arial" w:cs="Arial"/>
          <w:sz w:val="24"/>
          <w:szCs w:val="24"/>
          <w:shd w:val="clear" w:color="auto" w:fill="FFFFFF"/>
        </w:rPr>
        <w:t xml:space="preserve"> number of drugs. </w:t>
      </w:r>
      <w:r w:rsidR="00EC0523" w:rsidRPr="006E68B2">
        <w:rPr>
          <w:rFonts w:ascii="Arial" w:hAnsi="Arial" w:cs="Arial"/>
          <w:sz w:val="24"/>
          <w:szCs w:val="24"/>
          <w:shd w:val="clear" w:color="auto" w:fill="FFFFFF"/>
        </w:rPr>
        <w:t>Through this procedure, we demonstrate</w:t>
      </w:r>
      <w:r w:rsidR="00564E3A" w:rsidRPr="006E68B2">
        <w:rPr>
          <w:rFonts w:ascii="Arial" w:hAnsi="Arial" w:cs="Arial"/>
          <w:sz w:val="24"/>
          <w:szCs w:val="24"/>
          <w:shd w:val="clear" w:color="auto" w:fill="FFFFFF"/>
        </w:rPr>
        <w:t>d</w:t>
      </w:r>
      <w:r w:rsidR="00EC0523" w:rsidRPr="006E68B2">
        <w:rPr>
          <w:rFonts w:ascii="Arial" w:hAnsi="Arial" w:cs="Arial"/>
          <w:sz w:val="24"/>
          <w:szCs w:val="24"/>
          <w:shd w:val="clear" w:color="auto" w:fill="FFFFFF"/>
        </w:rPr>
        <w:t xml:space="preserve"> that LOS was increased by two and a half days from level-1 to level-2</w:t>
      </w:r>
      <w:r w:rsidR="00564E3A" w:rsidRPr="006E68B2">
        <w:rPr>
          <w:rFonts w:ascii="Arial" w:hAnsi="Arial" w:cs="Arial"/>
          <w:sz w:val="24"/>
          <w:szCs w:val="24"/>
          <w:shd w:val="clear" w:color="auto" w:fill="FFFFFF"/>
        </w:rPr>
        <w:t xml:space="preserve"> medication status</w:t>
      </w:r>
      <w:r w:rsidR="00EC0523" w:rsidRPr="006E68B2">
        <w:rPr>
          <w:rFonts w:ascii="Arial" w:hAnsi="Arial" w:cs="Arial"/>
          <w:sz w:val="24"/>
          <w:szCs w:val="24"/>
          <w:shd w:val="clear" w:color="auto" w:fill="FFFFFF"/>
        </w:rPr>
        <w:t xml:space="preserve">, and a further one and a half days from level-2 to level-3. Level-3 </w:t>
      </w:r>
      <w:r w:rsidR="00B15D69" w:rsidRPr="006E68B2">
        <w:rPr>
          <w:rFonts w:ascii="Arial" w:hAnsi="Arial" w:cs="Arial"/>
          <w:sz w:val="24"/>
          <w:szCs w:val="24"/>
          <w:shd w:val="clear" w:color="auto" w:fill="FFFFFF"/>
        </w:rPr>
        <w:t>was also related</w:t>
      </w:r>
      <w:r w:rsidR="00EC0523" w:rsidRPr="006E68B2">
        <w:rPr>
          <w:rFonts w:ascii="Arial" w:hAnsi="Arial" w:cs="Arial"/>
          <w:sz w:val="24"/>
          <w:szCs w:val="24"/>
          <w:shd w:val="clear" w:color="auto" w:fill="FFFFFF"/>
        </w:rPr>
        <w:t xml:space="preserve"> to </w:t>
      </w:r>
      <w:r w:rsidR="00B15D69" w:rsidRPr="006E68B2">
        <w:rPr>
          <w:rFonts w:ascii="Arial" w:hAnsi="Arial" w:cs="Arial"/>
          <w:sz w:val="24"/>
          <w:szCs w:val="24"/>
          <w:shd w:val="clear" w:color="auto" w:fill="FFFFFF"/>
        </w:rPr>
        <w:t xml:space="preserve">a </w:t>
      </w:r>
      <w:r w:rsidR="00EC0523" w:rsidRPr="006E68B2">
        <w:rPr>
          <w:rFonts w:ascii="Arial" w:hAnsi="Arial" w:cs="Arial"/>
          <w:sz w:val="24"/>
          <w:szCs w:val="24"/>
          <w:shd w:val="clear" w:color="auto" w:fill="FFFFFF"/>
        </w:rPr>
        <w:t xml:space="preserve">greater risk of failure to mobilise within 1-day of surgery and </w:t>
      </w:r>
      <w:r w:rsidR="00B15D69" w:rsidRPr="006E68B2">
        <w:rPr>
          <w:rFonts w:ascii="Arial" w:hAnsi="Arial" w:cs="Arial"/>
          <w:sz w:val="24"/>
          <w:szCs w:val="24"/>
          <w:shd w:val="clear" w:color="auto" w:fill="FFFFFF"/>
        </w:rPr>
        <w:t xml:space="preserve">development of </w:t>
      </w:r>
      <w:r w:rsidR="00EC0523" w:rsidRPr="006E68B2">
        <w:rPr>
          <w:rFonts w:ascii="Arial" w:hAnsi="Arial" w:cs="Arial"/>
          <w:sz w:val="24"/>
          <w:szCs w:val="24"/>
          <w:shd w:val="clear" w:color="auto" w:fill="FFFFFF"/>
        </w:rPr>
        <w:t xml:space="preserve">pressure ulcers. </w:t>
      </w:r>
      <w:r w:rsidR="00FD1ABF" w:rsidRPr="006E68B2">
        <w:rPr>
          <w:rFonts w:ascii="Arial" w:hAnsi="Arial" w:cs="Arial"/>
          <w:sz w:val="24"/>
          <w:szCs w:val="24"/>
          <w:shd w:val="clear" w:color="auto" w:fill="FFFFFF"/>
        </w:rPr>
        <w:t xml:space="preserve">These findings highlight the importance of reduction, where possible, of both the number of medications as well as </w:t>
      </w:r>
      <w:r w:rsidR="00B85F6C" w:rsidRPr="006E68B2">
        <w:rPr>
          <w:rFonts w:ascii="Arial" w:hAnsi="Arial" w:cs="Arial"/>
          <w:sz w:val="24"/>
          <w:szCs w:val="24"/>
          <w:shd w:val="clear" w:color="auto" w:fill="FFFFFF"/>
        </w:rPr>
        <w:t>ACB</w:t>
      </w:r>
      <w:r w:rsidR="00FD1ABF" w:rsidRPr="006E68B2">
        <w:rPr>
          <w:rFonts w:ascii="Arial" w:hAnsi="Arial" w:cs="Arial"/>
          <w:sz w:val="24"/>
          <w:szCs w:val="24"/>
          <w:shd w:val="clear" w:color="auto" w:fill="FFFFFF"/>
        </w:rPr>
        <w:t>.</w:t>
      </w:r>
      <w:r w:rsidR="00F3690A" w:rsidRPr="006E68B2">
        <w:rPr>
          <w:rFonts w:ascii="Arial" w:hAnsi="Arial" w:cs="Arial"/>
          <w:sz w:val="24"/>
          <w:szCs w:val="24"/>
          <w:shd w:val="clear" w:color="auto" w:fill="FFFFFF"/>
        </w:rPr>
        <w:t xml:space="preserve"> </w:t>
      </w:r>
      <w:r w:rsidR="00EC0523" w:rsidRPr="006E68B2">
        <w:rPr>
          <w:rFonts w:ascii="Arial" w:hAnsi="Arial" w:cs="Arial"/>
          <w:sz w:val="24"/>
          <w:szCs w:val="24"/>
          <w:shd w:val="clear" w:color="auto" w:fill="FFFFFF"/>
        </w:rPr>
        <w:t xml:space="preserve">At our hospital, medications </w:t>
      </w:r>
      <w:r w:rsidR="00B15D69" w:rsidRPr="006E68B2">
        <w:rPr>
          <w:rFonts w:ascii="Arial" w:hAnsi="Arial" w:cs="Arial"/>
          <w:sz w:val="24"/>
          <w:szCs w:val="24"/>
          <w:shd w:val="clear" w:color="auto" w:fill="FFFFFF"/>
        </w:rPr>
        <w:t xml:space="preserve">are </w:t>
      </w:r>
      <w:r w:rsidR="00EC0523" w:rsidRPr="006E68B2">
        <w:rPr>
          <w:rFonts w:ascii="Arial" w:hAnsi="Arial" w:cs="Arial"/>
          <w:sz w:val="24"/>
          <w:szCs w:val="24"/>
          <w:shd w:val="clear" w:color="auto" w:fill="FFFFFF"/>
        </w:rPr>
        <w:t xml:space="preserve">routinely </w:t>
      </w:r>
      <w:r w:rsidR="00EC0523" w:rsidRPr="006E68B2">
        <w:rPr>
          <w:rFonts w:ascii="Arial" w:hAnsi="Arial" w:cs="Arial"/>
          <w:sz w:val="24"/>
          <w:szCs w:val="24"/>
          <w:shd w:val="clear" w:color="auto" w:fill="FFFFFF"/>
        </w:rPr>
        <w:lastRenderedPageBreak/>
        <w:t xml:space="preserve">reviewed by doctors and pharmacists for all patients at admission and reduced where necessary. Further research is being planned to prospectively examine the impact of </w:t>
      </w:r>
      <w:r w:rsidR="00B15D69" w:rsidRPr="006E68B2">
        <w:rPr>
          <w:rFonts w:ascii="Arial" w:hAnsi="Arial" w:cs="Arial"/>
          <w:sz w:val="24"/>
          <w:szCs w:val="24"/>
          <w:shd w:val="clear" w:color="auto" w:fill="FFFFFF"/>
        </w:rPr>
        <w:t xml:space="preserve">a </w:t>
      </w:r>
      <w:r w:rsidR="00EC0523" w:rsidRPr="006E68B2">
        <w:rPr>
          <w:rFonts w:ascii="Arial" w:hAnsi="Arial" w:cs="Arial"/>
          <w:sz w:val="24"/>
          <w:szCs w:val="24"/>
          <w:shd w:val="clear" w:color="auto" w:fill="FFFFFF"/>
        </w:rPr>
        <w:t>greater reduction in the number of drugs and anticholinergic agents on outcome measures.</w:t>
      </w:r>
      <w:r w:rsidR="0093141C" w:rsidRPr="006E68B2">
        <w:rPr>
          <w:rFonts w:ascii="Arial" w:hAnsi="Arial" w:cs="Arial"/>
          <w:sz w:val="24"/>
          <w:szCs w:val="24"/>
          <w:shd w:val="clear" w:color="auto" w:fill="FFFFFF"/>
        </w:rPr>
        <w:t xml:space="preserve"> </w:t>
      </w:r>
      <w:r w:rsidR="00EC0523" w:rsidRPr="006E68B2">
        <w:rPr>
          <w:rFonts w:ascii="Arial" w:hAnsi="Arial" w:cs="Arial"/>
          <w:sz w:val="24"/>
          <w:szCs w:val="24"/>
          <w:shd w:val="clear" w:color="auto" w:fill="FFFFFF"/>
        </w:rPr>
        <w:t>D</w:t>
      </w:r>
      <w:r w:rsidR="00D0669F" w:rsidRPr="006E68B2">
        <w:rPr>
          <w:rFonts w:ascii="Arial" w:hAnsi="Arial" w:cs="Arial"/>
          <w:bCs/>
          <w:sz w:val="24"/>
          <w:szCs w:val="24"/>
        </w:rPr>
        <w:t xml:space="preserve">espite a body of existing evidence on the adverse effects from polypharmacy, success </w:t>
      </w:r>
      <w:r w:rsidR="00000BA9" w:rsidRPr="006E68B2">
        <w:rPr>
          <w:rFonts w:ascii="Arial" w:hAnsi="Arial" w:cs="Arial"/>
          <w:bCs/>
          <w:sz w:val="24"/>
          <w:szCs w:val="24"/>
        </w:rPr>
        <w:t xml:space="preserve">in reducing the number of drugs </w:t>
      </w:r>
      <w:r w:rsidR="00D0669F" w:rsidRPr="006E68B2">
        <w:rPr>
          <w:rFonts w:ascii="Arial" w:hAnsi="Arial" w:cs="Arial"/>
          <w:bCs/>
          <w:sz w:val="24"/>
          <w:szCs w:val="24"/>
        </w:rPr>
        <w:t xml:space="preserve">has been </w:t>
      </w:r>
      <w:r w:rsidR="00564736" w:rsidRPr="006E68B2">
        <w:rPr>
          <w:rFonts w:ascii="Arial" w:hAnsi="Arial" w:cs="Arial"/>
          <w:bCs/>
          <w:sz w:val="24"/>
          <w:szCs w:val="24"/>
        </w:rPr>
        <w:t>mixed</w:t>
      </w:r>
      <w:r w:rsidR="00D0669F" w:rsidRPr="006E68B2">
        <w:rPr>
          <w:rFonts w:ascii="Arial" w:hAnsi="Arial" w:cs="Arial"/>
          <w:bCs/>
          <w:sz w:val="24"/>
          <w:szCs w:val="24"/>
        </w:rPr>
        <w:t>.</w:t>
      </w:r>
      <w:r w:rsidR="0093141C" w:rsidRPr="006E68B2">
        <w:rPr>
          <w:rFonts w:ascii="Arial" w:hAnsi="Arial" w:cs="Arial"/>
          <w:bCs/>
          <w:sz w:val="24"/>
          <w:szCs w:val="24"/>
        </w:rPr>
        <w:t xml:space="preserve"> </w:t>
      </w:r>
      <w:r w:rsidR="00564736" w:rsidRPr="006E68B2">
        <w:rPr>
          <w:rFonts w:ascii="Arial" w:hAnsi="Arial" w:cs="Arial"/>
          <w:sz w:val="24"/>
          <w:szCs w:val="24"/>
          <w:shd w:val="clear" w:color="auto" w:fill="FFFFFF"/>
        </w:rPr>
        <w:t xml:space="preserve">A recent review </w:t>
      </w:r>
      <w:r w:rsidR="00B85F6C" w:rsidRPr="006E68B2">
        <w:rPr>
          <w:rFonts w:ascii="Arial" w:hAnsi="Arial" w:cs="Arial"/>
          <w:sz w:val="24"/>
          <w:szCs w:val="24"/>
          <w:shd w:val="clear" w:color="auto" w:fill="FFFFFF"/>
        </w:rPr>
        <w:t xml:space="preserve">reported </w:t>
      </w:r>
      <w:r w:rsidR="00564736" w:rsidRPr="006E68B2">
        <w:rPr>
          <w:rFonts w:ascii="Arial" w:hAnsi="Arial" w:cs="Arial"/>
          <w:sz w:val="24"/>
          <w:szCs w:val="24"/>
          <w:shd w:val="clear" w:color="auto" w:fill="FFFFFF"/>
        </w:rPr>
        <w:t>that pharmacists were able to help reduc</w:t>
      </w:r>
      <w:r w:rsidR="00B85F6C" w:rsidRPr="006E68B2">
        <w:rPr>
          <w:rFonts w:ascii="Arial" w:hAnsi="Arial" w:cs="Arial"/>
          <w:sz w:val="24"/>
          <w:szCs w:val="24"/>
          <w:shd w:val="clear" w:color="auto" w:fill="FFFFFF"/>
        </w:rPr>
        <w:t>e</w:t>
      </w:r>
      <w:r w:rsidR="00564736" w:rsidRPr="006E68B2">
        <w:rPr>
          <w:rFonts w:ascii="Arial" w:hAnsi="Arial" w:cs="Arial"/>
          <w:sz w:val="24"/>
          <w:szCs w:val="24"/>
          <w:shd w:val="clear" w:color="auto" w:fill="FFFFFF"/>
        </w:rPr>
        <w:t xml:space="preserve"> </w:t>
      </w:r>
      <w:r w:rsidR="00000BA9" w:rsidRPr="006E68B2">
        <w:rPr>
          <w:rFonts w:ascii="Arial" w:hAnsi="Arial" w:cs="Arial"/>
          <w:sz w:val="24"/>
          <w:szCs w:val="24"/>
          <w:shd w:val="clear" w:color="auto" w:fill="FFFFFF"/>
        </w:rPr>
        <w:t>anticholinergic agents</w:t>
      </w:r>
      <w:r w:rsidR="00564736" w:rsidRPr="006E68B2">
        <w:rPr>
          <w:rFonts w:ascii="Arial" w:hAnsi="Arial" w:cs="Arial"/>
          <w:sz w:val="24"/>
          <w:szCs w:val="24"/>
          <w:shd w:val="clear" w:color="auto" w:fill="FFFFFF"/>
        </w:rPr>
        <w:t xml:space="preserve"> </w:t>
      </w:r>
      <w:r w:rsidR="00B85F6C" w:rsidRPr="006E68B2">
        <w:rPr>
          <w:rFonts w:ascii="Arial" w:hAnsi="Arial" w:cs="Arial"/>
          <w:sz w:val="24"/>
          <w:szCs w:val="24"/>
          <w:shd w:val="clear" w:color="auto" w:fill="FFFFFF"/>
        </w:rPr>
        <w:t xml:space="preserve">in only two out of four studies </w:t>
      </w:r>
      <w:r w:rsidR="00564736" w:rsidRPr="006E68B2">
        <w:rPr>
          <w:rFonts w:ascii="Arial" w:hAnsi="Arial" w:cs="Arial"/>
          <w:sz w:val="24"/>
          <w:szCs w:val="24"/>
          <w:shd w:val="clear" w:color="auto" w:fill="FFFFFF"/>
        </w:rPr>
        <w:t>[</w:t>
      </w:r>
      <w:r w:rsidR="00B4264D" w:rsidRPr="006E68B2">
        <w:rPr>
          <w:rFonts w:ascii="Arial" w:hAnsi="Arial" w:cs="Arial"/>
          <w:b/>
          <w:bCs/>
          <w:sz w:val="24"/>
          <w:szCs w:val="24"/>
        </w:rPr>
        <w:t>2</w:t>
      </w:r>
      <w:r w:rsidR="00295D1B" w:rsidRPr="006E68B2">
        <w:rPr>
          <w:rFonts w:ascii="Arial" w:hAnsi="Arial" w:cs="Arial"/>
          <w:b/>
          <w:bCs/>
          <w:sz w:val="24"/>
          <w:szCs w:val="24"/>
        </w:rPr>
        <w:t>3</w:t>
      </w:r>
      <w:r w:rsidR="00B4264D" w:rsidRPr="006E68B2">
        <w:rPr>
          <w:rFonts w:ascii="Arial" w:hAnsi="Arial" w:cs="Arial"/>
          <w:sz w:val="24"/>
          <w:szCs w:val="24"/>
        </w:rPr>
        <w:t>]</w:t>
      </w:r>
      <w:r w:rsidR="00000BA9" w:rsidRPr="006E68B2">
        <w:rPr>
          <w:rFonts w:ascii="Arial" w:hAnsi="Arial" w:cs="Arial"/>
          <w:sz w:val="24"/>
          <w:szCs w:val="24"/>
          <w:shd w:val="clear" w:color="auto" w:fill="FFFFFF"/>
        </w:rPr>
        <w:t>, whilst a</w:t>
      </w:r>
      <w:r w:rsidR="00B85F6C" w:rsidRPr="006E68B2">
        <w:rPr>
          <w:rFonts w:ascii="Arial" w:hAnsi="Arial" w:cs="Arial"/>
          <w:sz w:val="24"/>
          <w:szCs w:val="24"/>
          <w:shd w:val="clear" w:color="auto" w:fill="FFFFFF"/>
        </w:rPr>
        <w:t>nother</w:t>
      </w:r>
      <w:r w:rsidR="00D0669F" w:rsidRPr="006E68B2">
        <w:rPr>
          <w:rFonts w:ascii="Arial" w:hAnsi="Arial" w:cs="Arial"/>
          <w:bCs/>
          <w:sz w:val="24"/>
          <w:szCs w:val="24"/>
        </w:rPr>
        <w:t xml:space="preserve"> </w:t>
      </w:r>
      <w:r w:rsidR="00000BA9" w:rsidRPr="006E68B2">
        <w:rPr>
          <w:rFonts w:ascii="Arial" w:hAnsi="Arial" w:cs="Arial"/>
          <w:bCs/>
          <w:sz w:val="24"/>
          <w:szCs w:val="24"/>
        </w:rPr>
        <w:t>study showed</w:t>
      </w:r>
      <w:r w:rsidR="00CF4067" w:rsidRPr="006E68B2">
        <w:rPr>
          <w:rFonts w:ascii="Arial" w:hAnsi="Arial" w:cs="Arial"/>
          <w:bCs/>
          <w:sz w:val="24"/>
          <w:szCs w:val="24"/>
        </w:rPr>
        <w:t xml:space="preserve"> </w:t>
      </w:r>
      <w:r w:rsidR="00CF4067" w:rsidRPr="006E68B2">
        <w:rPr>
          <w:rFonts w:ascii="Arial" w:hAnsi="Arial" w:cs="Arial"/>
          <w:sz w:val="24"/>
          <w:szCs w:val="24"/>
          <w:shd w:val="clear" w:color="auto" w:fill="FFFFFF"/>
        </w:rPr>
        <w:t xml:space="preserve">medication review </w:t>
      </w:r>
      <w:r w:rsidR="00C84D1B" w:rsidRPr="006E68B2">
        <w:rPr>
          <w:rFonts w:ascii="Arial" w:hAnsi="Arial" w:cs="Arial"/>
          <w:sz w:val="24"/>
          <w:szCs w:val="24"/>
          <w:shd w:val="clear" w:color="auto" w:fill="FFFFFF"/>
        </w:rPr>
        <w:t xml:space="preserve">by pharmacists </w:t>
      </w:r>
      <w:r w:rsidR="00CF4067" w:rsidRPr="006E68B2">
        <w:rPr>
          <w:rFonts w:ascii="Arial" w:hAnsi="Arial" w:cs="Arial"/>
          <w:sz w:val="24"/>
          <w:szCs w:val="24"/>
          <w:shd w:val="clear" w:color="auto" w:fill="FFFFFF"/>
        </w:rPr>
        <w:t xml:space="preserve">was </w:t>
      </w:r>
      <w:r w:rsidR="00B85F6C" w:rsidRPr="006E68B2">
        <w:rPr>
          <w:rFonts w:ascii="Arial" w:hAnsi="Arial" w:cs="Arial"/>
          <w:sz w:val="24"/>
          <w:szCs w:val="24"/>
          <w:shd w:val="clear" w:color="auto" w:fill="FFFFFF"/>
        </w:rPr>
        <w:t>in</w:t>
      </w:r>
      <w:r w:rsidR="00CF4067" w:rsidRPr="006E68B2">
        <w:rPr>
          <w:rFonts w:ascii="Arial" w:hAnsi="Arial" w:cs="Arial"/>
          <w:sz w:val="24"/>
          <w:szCs w:val="24"/>
          <w:shd w:val="clear" w:color="auto" w:fill="FFFFFF"/>
        </w:rPr>
        <w:t xml:space="preserve">effective in reducing the anticholinergic/sedative load over a period of </w:t>
      </w:r>
      <w:r w:rsidR="00F25D28" w:rsidRPr="006E68B2">
        <w:rPr>
          <w:rFonts w:ascii="Arial" w:hAnsi="Arial" w:cs="Arial"/>
          <w:sz w:val="24"/>
          <w:szCs w:val="24"/>
          <w:shd w:val="clear" w:color="auto" w:fill="FFFFFF"/>
        </w:rPr>
        <w:t>three</w:t>
      </w:r>
      <w:r w:rsidR="00CF4067" w:rsidRPr="006E68B2">
        <w:rPr>
          <w:rFonts w:ascii="Arial" w:hAnsi="Arial" w:cs="Arial"/>
          <w:sz w:val="24"/>
          <w:szCs w:val="24"/>
          <w:shd w:val="clear" w:color="auto" w:fill="FFFFFF"/>
        </w:rPr>
        <w:t xml:space="preserve"> months [</w:t>
      </w:r>
      <w:r w:rsidR="00B4264D" w:rsidRPr="006E68B2">
        <w:rPr>
          <w:rFonts w:ascii="Arial" w:hAnsi="Arial" w:cs="Arial"/>
          <w:b/>
          <w:bCs/>
          <w:sz w:val="24"/>
          <w:szCs w:val="24"/>
        </w:rPr>
        <w:t>2</w:t>
      </w:r>
      <w:r w:rsidR="00295D1B" w:rsidRPr="006E68B2">
        <w:rPr>
          <w:rFonts w:ascii="Arial" w:hAnsi="Arial" w:cs="Arial"/>
          <w:b/>
          <w:bCs/>
          <w:sz w:val="24"/>
          <w:szCs w:val="24"/>
        </w:rPr>
        <w:t>4</w:t>
      </w:r>
      <w:r w:rsidR="00B4264D" w:rsidRPr="006E68B2">
        <w:rPr>
          <w:rFonts w:ascii="Arial" w:hAnsi="Arial" w:cs="Arial"/>
          <w:sz w:val="24"/>
          <w:szCs w:val="24"/>
        </w:rPr>
        <w:t>]</w:t>
      </w:r>
      <w:r w:rsidR="00CF4067" w:rsidRPr="006E68B2">
        <w:rPr>
          <w:rFonts w:ascii="Arial" w:hAnsi="Arial" w:cs="Arial"/>
          <w:sz w:val="24"/>
          <w:szCs w:val="24"/>
          <w:shd w:val="clear" w:color="auto" w:fill="FFFFFF"/>
        </w:rPr>
        <w:t>.</w:t>
      </w:r>
      <w:r w:rsidR="0054421F" w:rsidRPr="006E68B2">
        <w:rPr>
          <w:rFonts w:ascii="Arial" w:hAnsi="Arial" w:cs="Arial"/>
          <w:sz w:val="24"/>
          <w:szCs w:val="24"/>
          <w:shd w:val="clear" w:color="auto" w:fill="FFFFFF"/>
        </w:rPr>
        <w:t xml:space="preserve"> There is</w:t>
      </w:r>
      <w:r w:rsidR="00C325AD" w:rsidRPr="006E68B2">
        <w:rPr>
          <w:rFonts w:ascii="Arial" w:hAnsi="Arial" w:cs="Arial"/>
          <w:sz w:val="24"/>
          <w:szCs w:val="24"/>
          <w:shd w:val="clear" w:color="auto" w:fill="FFFFFF"/>
        </w:rPr>
        <w:t xml:space="preserve"> therefore</w:t>
      </w:r>
      <w:r w:rsidR="0054421F" w:rsidRPr="006E68B2">
        <w:rPr>
          <w:rFonts w:ascii="Arial" w:hAnsi="Arial" w:cs="Arial"/>
          <w:sz w:val="24"/>
          <w:szCs w:val="24"/>
          <w:shd w:val="clear" w:color="auto" w:fill="FFFFFF"/>
        </w:rPr>
        <w:t xml:space="preserve"> a need</w:t>
      </w:r>
      <w:r w:rsidR="002C37AE" w:rsidRPr="006E68B2">
        <w:rPr>
          <w:rFonts w:ascii="Arial" w:hAnsi="Arial" w:cs="Arial"/>
          <w:sz w:val="24"/>
          <w:szCs w:val="24"/>
          <w:shd w:val="clear" w:color="auto" w:fill="FFFFFF"/>
        </w:rPr>
        <w:t xml:space="preserve"> to</w:t>
      </w:r>
      <w:r w:rsidR="0054421F" w:rsidRPr="006E68B2">
        <w:rPr>
          <w:rFonts w:ascii="Arial" w:hAnsi="Arial" w:cs="Arial"/>
          <w:sz w:val="24"/>
          <w:szCs w:val="24"/>
          <w:shd w:val="clear" w:color="auto" w:fill="FFFFFF"/>
        </w:rPr>
        <w:t xml:space="preserve"> </w:t>
      </w:r>
      <w:r w:rsidR="002C37AE" w:rsidRPr="006E68B2">
        <w:rPr>
          <w:rFonts w:ascii="Arial" w:hAnsi="Arial" w:cs="Arial"/>
          <w:sz w:val="24"/>
          <w:szCs w:val="24"/>
          <w:shd w:val="clear" w:color="auto" w:fill="FFFFFF"/>
        </w:rPr>
        <w:t>increase awareness</w:t>
      </w:r>
      <w:r w:rsidR="00A80FEE" w:rsidRPr="006E68B2">
        <w:rPr>
          <w:rFonts w:ascii="Arial" w:hAnsi="Arial" w:cs="Arial"/>
          <w:sz w:val="24"/>
          <w:szCs w:val="24"/>
          <w:shd w:val="clear" w:color="auto" w:fill="FFFFFF"/>
        </w:rPr>
        <w:t xml:space="preserve"> </w:t>
      </w:r>
      <w:r w:rsidR="0054421F" w:rsidRPr="006E68B2">
        <w:rPr>
          <w:rFonts w:ascii="Arial" w:hAnsi="Arial" w:cs="Arial"/>
          <w:sz w:val="24"/>
          <w:szCs w:val="24"/>
          <w:shd w:val="clear" w:color="auto" w:fill="FFFFFF"/>
        </w:rPr>
        <w:t xml:space="preserve">on a national scale </w:t>
      </w:r>
      <w:r w:rsidR="002C37AE" w:rsidRPr="006E68B2">
        <w:rPr>
          <w:rFonts w:ascii="Arial" w:hAnsi="Arial" w:cs="Arial"/>
          <w:sz w:val="24"/>
          <w:szCs w:val="24"/>
          <w:shd w:val="clear" w:color="auto" w:fill="FFFFFF"/>
        </w:rPr>
        <w:t>to improve clinical practice</w:t>
      </w:r>
      <w:r w:rsidR="00C521C9" w:rsidRPr="006E68B2">
        <w:rPr>
          <w:rFonts w:ascii="Arial" w:hAnsi="Arial" w:cs="Arial"/>
          <w:sz w:val="24"/>
          <w:szCs w:val="24"/>
          <w:shd w:val="clear" w:color="auto" w:fill="FFFFFF"/>
        </w:rPr>
        <w:t>, involving healthcare professionals at all levels</w:t>
      </w:r>
      <w:r w:rsidR="00B85F6C" w:rsidRPr="006E68B2">
        <w:rPr>
          <w:rFonts w:ascii="Arial" w:hAnsi="Arial" w:cs="Arial"/>
          <w:sz w:val="24"/>
          <w:szCs w:val="24"/>
          <w:shd w:val="clear" w:color="auto" w:fill="FFFFFF"/>
        </w:rPr>
        <w:t>,</w:t>
      </w:r>
      <w:r w:rsidR="00C521C9" w:rsidRPr="006E68B2">
        <w:rPr>
          <w:rFonts w:ascii="Arial" w:hAnsi="Arial" w:cs="Arial"/>
          <w:sz w:val="24"/>
          <w:szCs w:val="24"/>
          <w:shd w:val="clear" w:color="auto" w:fill="FFFFFF"/>
        </w:rPr>
        <w:t xml:space="preserve"> to regularly </w:t>
      </w:r>
      <w:r w:rsidR="0054421F" w:rsidRPr="006E68B2">
        <w:rPr>
          <w:rFonts w:ascii="Arial" w:hAnsi="Arial" w:cs="Arial"/>
          <w:sz w:val="24"/>
          <w:szCs w:val="24"/>
          <w:shd w:val="clear" w:color="auto" w:fill="FFFFFF"/>
        </w:rPr>
        <w:t>review patients’ medications</w:t>
      </w:r>
      <w:r w:rsidR="00C521C9" w:rsidRPr="006E68B2">
        <w:rPr>
          <w:rFonts w:ascii="Arial" w:hAnsi="Arial" w:cs="Arial"/>
          <w:sz w:val="24"/>
          <w:szCs w:val="24"/>
          <w:shd w:val="clear" w:color="auto" w:fill="FFFFFF"/>
        </w:rPr>
        <w:t xml:space="preserve"> and omit surplus drugs or modify them to a less toxic treatment regimen where </w:t>
      </w:r>
      <w:r w:rsidR="00564F35" w:rsidRPr="006E68B2">
        <w:rPr>
          <w:rFonts w:ascii="Arial" w:hAnsi="Arial" w:cs="Arial"/>
          <w:sz w:val="24"/>
          <w:szCs w:val="24"/>
          <w:shd w:val="clear" w:color="auto" w:fill="FFFFFF"/>
        </w:rPr>
        <w:t>possible</w:t>
      </w:r>
      <w:r w:rsidR="00C521C9" w:rsidRPr="006E68B2">
        <w:rPr>
          <w:rFonts w:ascii="Arial" w:hAnsi="Arial" w:cs="Arial"/>
          <w:sz w:val="24"/>
          <w:szCs w:val="24"/>
          <w:shd w:val="clear" w:color="auto" w:fill="FFFFFF"/>
        </w:rPr>
        <w:t>.</w:t>
      </w:r>
    </w:p>
    <w:p w14:paraId="6856AF84" w14:textId="77777777" w:rsidR="005F176B" w:rsidRPr="006E68B2" w:rsidRDefault="005F176B" w:rsidP="00E042B9">
      <w:pPr>
        <w:spacing w:after="0" w:line="480" w:lineRule="auto"/>
        <w:jc w:val="both"/>
        <w:rPr>
          <w:rFonts w:ascii="Arial" w:hAnsi="Arial" w:cs="Arial"/>
          <w:b/>
          <w:sz w:val="24"/>
          <w:szCs w:val="24"/>
        </w:rPr>
      </w:pPr>
    </w:p>
    <w:p w14:paraId="22089CEF" w14:textId="7C615CFE" w:rsidR="00007B78" w:rsidRPr="006E68B2" w:rsidRDefault="009E595D" w:rsidP="00E042B9">
      <w:pPr>
        <w:spacing w:after="0" w:line="480" w:lineRule="auto"/>
        <w:jc w:val="both"/>
        <w:rPr>
          <w:rFonts w:ascii="Arial" w:hAnsi="Arial" w:cs="Arial"/>
          <w:bCs/>
          <w:sz w:val="24"/>
          <w:szCs w:val="24"/>
        </w:rPr>
      </w:pPr>
      <w:r w:rsidRPr="006E68B2">
        <w:rPr>
          <w:rFonts w:ascii="Arial" w:hAnsi="Arial" w:cs="Arial"/>
          <w:bCs/>
          <w:sz w:val="24"/>
          <w:szCs w:val="24"/>
        </w:rPr>
        <w:t>The rate of polypharmacy of 74.8% amongst patients with hip fractures in our study is higher than that observed in general populations [</w:t>
      </w:r>
      <w:r w:rsidR="00034CF3" w:rsidRPr="006E68B2">
        <w:rPr>
          <w:rFonts w:ascii="Arial" w:hAnsi="Arial" w:cs="Arial"/>
          <w:b/>
          <w:bCs/>
          <w:sz w:val="24"/>
          <w:szCs w:val="24"/>
        </w:rPr>
        <w:t>4</w:t>
      </w:r>
      <w:r w:rsidR="0089412E" w:rsidRPr="006E68B2">
        <w:rPr>
          <w:rFonts w:ascii="Arial" w:hAnsi="Arial" w:cs="Arial"/>
          <w:sz w:val="24"/>
          <w:szCs w:val="24"/>
        </w:rPr>
        <w:t>]</w:t>
      </w:r>
      <w:r w:rsidRPr="006E68B2">
        <w:rPr>
          <w:rFonts w:ascii="Arial" w:hAnsi="Arial" w:cs="Arial"/>
          <w:bCs/>
          <w:sz w:val="24"/>
          <w:szCs w:val="24"/>
        </w:rPr>
        <w:t xml:space="preserve">. This suggests that patients who sustained a hip fracture were at a greater risk of a fall </w:t>
      </w:r>
      <w:proofErr w:type="gramStart"/>
      <w:r w:rsidR="00781BEE" w:rsidRPr="006E68B2">
        <w:rPr>
          <w:rFonts w:ascii="Arial" w:hAnsi="Arial" w:cs="Arial"/>
          <w:bCs/>
          <w:sz w:val="24"/>
          <w:szCs w:val="24"/>
        </w:rPr>
        <w:t xml:space="preserve">as </w:t>
      </w:r>
      <w:r w:rsidRPr="006E68B2">
        <w:rPr>
          <w:rFonts w:ascii="Arial" w:hAnsi="Arial" w:cs="Arial"/>
          <w:bCs/>
          <w:sz w:val="24"/>
          <w:szCs w:val="24"/>
        </w:rPr>
        <w:t xml:space="preserve">a </w:t>
      </w:r>
      <w:r w:rsidR="00EC076B" w:rsidRPr="006E68B2">
        <w:rPr>
          <w:rFonts w:ascii="Arial" w:hAnsi="Arial" w:cs="Arial"/>
          <w:bCs/>
          <w:sz w:val="24"/>
          <w:szCs w:val="24"/>
        </w:rPr>
        <w:t>consequence</w:t>
      </w:r>
      <w:r w:rsidRPr="006E68B2">
        <w:rPr>
          <w:rFonts w:ascii="Arial" w:hAnsi="Arial" w:cs="Arial"/>
          <w:bCs/>
          <w:sz w:val="24"/>
          <w:szCs w:val="24"/>
        </w:rPr>
        <w:t xml:space="preserve"> of</w:t>
      </w:r>
      <w:proofErr w:type="gramEnd"/>
      <w:r w:rsidRPr="006E68B2">
        <w:rPr>
          <w:rFonts w:ascii="Arial" w:hAnsi="Arial" w:cs="Arial"/>
          <w:bCs/>
          <w:sz w:val="24"/>
          <w:szCs w:val="24"/>
        </w:rPr>
        <w:t xml:space="preserve"> </w:t>
      </w:r>
      <w:r w:rsidR="00EE3CE2" w:rsidRPr="006E68B2">
        <w:rPr>
          <w:rFonts w:ascii="Arial" w:hAnsi="Arial" w:cs="Arial"/>
          <w:bCs/>
          <w:sz w:val="24"/>
          <w:szCs w:val="24"/>
        </w:rPr>
        <w:t>polypharmacy</w:t>
      </w:r>
      <w:r w:rsidRPr="006E68B2">
        <w:rPr>
          <w:rFonts w:ascii="Arial" w:hAnsi="Arial" w:cs="Arial"/>
          <w:bCs/>
          <w:sz w:val="24"/>
          <w:szCs w:val="24"/>
        </w:rPr>
        <w:t>.</w:t>
      </w:r>
      <w:r w:rsidR="00C951B8" w:rsidRPr="006E68B2">
        <w:rPr>
          <w:rFonts w:ascii="Arial" w:hAnsi="Arial" w:cs="Arial"/>
          <w:bCs/>
          <w:sz w:val="24"/>
          <w:szCs w:val="24"/>
        </w:rPr>
        <w:t xml:space="preserve"> </w:t>
      </w:r>
      <w:r w:rsidR="00B85F6C" w:rsidRPr="006E68B2">
        <w:rPr>
          <w:rFonts w:ascii="Arial" w:hAnsi="Arial" w:cs="Arial"/>
          <w:bCs/>
          <w:sz w:val="24"/>
          <w:szCs w:val="24"/>
        </w:rPr>
        <w:t xml:space="preserve">A greater </w:t>
      </w:r>
      <w:r w:rsidR="00C951B8" w:rsidRPr="006E68B2">
        <w:rPr>
          <w:rFonts w:ascii="Arial" w:hAnsi="Arial" w:cs="Arial"/>
          <w:bCs/>
          <w:sz w:val="24"/>
          <w:szCs w:val="24"/>
        </w:rPr>
        <w:t xml:space="preserve">number </w:t>
      </w:r>
      <w:r w:rsidR="00222A54" w:rsidRPr="006E68B2">
        <w:rPr>
          <w:rFonts w:ascii="Arial" w:hAnsi="Arial" w:cs="Arial"/>
          <w:bCs/>
          <w:sz w:val="24"/>
          <w:szCs w:val="24"/>
        </w:rPr>
        <w:t>of</w:t>
      </w:r>
      <w:r w:rsidR="00C951B8" w:rsidRPr="006E68B2">
        <w:rPr>
          <w:rFonts w:ascii="Arial" w:hAnsi="Arial" w:cs="Arial"/>
          <w:bCs/>
          <w:sz w:val="24"/>
          <w:szCs w:val="24"/>
        </w:rPr>
        <w:t xml:space="preserve"> drugs </w:t>
      </w:r>
      <w:r w:rsidR="00B85F6C" w:rsidRPr="006E68B2">
        <w:rPr>
          <w:rFonts w:ascii="Arial" w:hAnsi="Arial" w:cs="Arial"/>
          <w:bCs/>
          <w:sz w:val="24"/>
          <w:szCs w:val="24"/>
        </w:rPr>
        <w:t xml:space="preserve">can </w:t>
      </w:r>
      <w:r w:rsidR="00C951B8" w:rsidRPr="006E68B2">
        <w:rPr>
          <w:rFonts w:ascii="Arial" w:hAnsi="Arial" w:cs="Arial"/>
          <w:bCs/>
          <w:sz w:val="24"/>
          <w:szCs w:val="24"/>
        </w:rPr>
        <w:t xml:space="preserve">lead to </w:t>
      </w:r>
      <w:r w:rsidR="00A80DCF" w:rsidRPr="006E68B2">
        <w:rPr>
          <w:rFonts w:ascii="Arial" w:hAnsi="Arial" w:cs="Arial"/>
          <w:bCs/>
          <w:sz w:val="24"/>
          <w:szCs w:val="24"/>
        </w:rPr>
        <w:t>many</w:t>
      </w:r>
      <w:r w:rsidR="00C951B8" w:rsidRPr="006E68B2">
        <w:rPr>
          <w:rFonts w:ascii="Arial" w:hAnsi="Arial" w:cs="Arial"/>
          <w:bCs/>
          <w:sz w:val="24"/>
          <w:szCs w:val="24"/>
        </w:rPr>
        <w:t xml:space="preserve"> detrimental event</w:t>
      </w:r>
      <w:r w:rsidR="00A80DCF" w:rsidRPr="006E68B2">
        <w:rPr>
          <w:rFonts w:ascii="Arial" w:hAnsi="Arial" w:cs="Arial"/>
          <w:bCs/>
          <w:sz w:val="24"/>
          <w:szCs w:val="24"/>
        </w:rPr>
        <w:t>ualities</w:t>
      </w:r>
      <w:r w:rsidR="00C951B8" w:rsidRPr="006E68B2">
        <w:rPr>
          <w:rFonts w:ascii="Arial" w:hAnsi="Arial" w:cs="Arial"/>
          <w:bCs/>
          <w:sz w:val="24"/>
          <w:szCs w:val="24"/>
        </w:rPr>
        <w:t xml:space="preserve"> </w:t>
      </w:r>
      <w:proofErr w:type="gramStart"/>
      <w:r w:rsidR="00C951B8" w:rsidRPr="006E68B2">
        <w:rPr>
          <w:rFonts w:ascii="Arial" w:hAnsi="Arial" w:cs="Arial"/>
          <w:bCs/>
          <w:sz w:val="24"/>
          <w:szCs w:val="24"/>
        </w:rPr>
        <w:t>including</w:t>
      </w:r>
      <w:r w:rsidR="00B85F6C" w:rsidRPr="006E68B2">
        <w:rPr>
          <w:rFonts w:ascii="Arial" w:hAnsi="Arial" w:cs="Arial"/>
          <w:bCs/>
          <w:sz w:val="24"/>
          <w:szCs w:val="24"/>
        </w:rPr>
        <w:t>:</w:t>
      </w:r>
      <w:proofErr w:type="gramEnd"/>
      <w:r w:rsidR="00C951B8" w:rsidRPr="006E68B2">
        <w:rPr>
          <w:rFonts w:ascii="Arial" w:hAnsi="Arial" w:cs="Arial"/>
          <w:bCs/>
          <w:sz w:val="24"/>
          <w:szCs w:val="24"/>
        </w:rPr>
        <w:t xml:space="preserve"> drug-drug interactions, organ damage including renal, hepatic and </w:t>
      </w:r>
      <w:r w:rsidR="00972A1C" w:rsidRPr="006E68B2">
        <w:rPr>
          <w:rFonts w:ascii="Arial" w:hAnsi="Arial" w:cs="Arial"/>
          <w:bCs/>
          <w:sz w:val="24"/>
          <w:szCs w:val="24"/>
        </w:rPr>
        <w:t>cerebral</w:t>
      </w:r>
      <w:r w:rsidR="00C951B8" w:rsidRPr="006E68B2">
        <w:rPr>
          <w:rFonts w:ascii="Arial" w:hAnsi="Arial" w:cs="Arial"/>
          <w:bCs/>
          <w:sz w:val="24"/>
          <w:szCs w:val="24"/>
        </w:rPr>
        <w:t xml:space="preserve"> impairment, </w:t>
      </w:r>
      <w:r w:rsidR="00ED32EB" w:rsidRPr="006E68B2">
        <w:rPr>
          <w:rFonts w:ascii="Arial" w:hAnsi="Arial" w:cs="Arial"/>
          <w:bCs/>
          <w:sz w:val="24"/>
          <w:szCs w:val="24"/>
        </w:rPr>
        <w:t xml:space="preserve">as well as </w:t>
      </w:r>
      <w:r w:rsidR="00C951B8" w:rsidRPr="006E68B2">
        <w:rPr>
          <w:rFonts w:ascii="Arial" w:hAnsi="Arial" w:cs="Arial"/>
          <w:bCs/>
          <w:sz w:val="24"/>
          <w:szCs w:val="24"/>
        </w:rPr>
        <w:t>loss of appetite and gastrointestinal disturbances [</w:t>
      </w:r>
      <w:r w:rsidR="00B4264D" w:rsidRPr="006E68B2">
        <w:rPr>
          <w:rFonts w:ascii="Arial" w:hAnsi="Arial" w:cs="Arial"/>
          <w:b/>
          <w:bCs/>
          <w:sz w:val="24"/>
          <w:szCs w:val="24"/>
        </w:rPr>
        <w:t>2</w:t>
      </w:r>
      <w:r w:rsidR="00295D1B" w:rsidRPr="006E68B2">
        <w:rPr>
          <w:rFonts w:ascii="Arial" w:hAnsi="Arial" w:cs="Arial"/>
          <w:b/>
          <w:bCs/>
          <w:sz w:val="24"/>
          <w:szCs w:val="24"/>
        </w:rPr>
        <w:t>5</w:t>
      </w:r>
      <w:r w:rsidR="00B4264D" w:rsidRPr="006E68B2">
        <w:rPr>
          <w:rFonts w:ascii="Arial" w:hAnsi="Arial" w:cs="Arial"/>
          <w:b/>
          <w:bCs/>
          <w:sz w:val="24"/>
          <w:szCs w:val="24"/>
        </w:rPr>
        <w:t>, 2</w:t>
      </w:r>
      <w:r w:rsidR="00295D1B" w:rsidRPr="006E68B2">
        <w:rPr>
          <w:rFonts w:ascii="Arial" w:hAnsi="Arial" w:cs="Arial"/>
          <w:b/>
          <w:bCs/>
          <w:sz w:val="24"/>
          <w:szCs w:val="24"/>
        </w:rPr>
        <w:t>6</w:t>
      </w:r>
      <w:r w:rsidR="00B4264D" w:rsidRPr="006E68B2">
        <w:rPr>
          <w:rFonts w:ascii="Arial" w:hAnsi="Arial" w:cs="Arial"/>
          <w:sz w:val="24"/>
          <w:szCs w:val="24"/>
        </w:rPr>
        <w:t>]</w:t>
      </w:r>
      <w:r w:rsidR="00C951B8" w:rsidRPr="006E68B2">
        <w:rPr>
          <w:rFonts w:ascii="Arial" w:hAnsi="Arial" w:cs="Arial"/>
          <w:bCs/>
          <w:sz w:val="24"/>
          <w:szCs w:val="24"/>
        </w:rPr>
        <w:t>.</w:t>
      </w:r>
      <w:r w:rsidRPr="006E68B2">
        <w:rPr>
          <w:rFonts w:ascii="Arial" w:hAnsi="Arial" w:cs="Arial"/>
          <w:b/>
          <w:sz w:val="24"/>
          <w:szCs w:val="24"/>
        </w:rPr>
        <w:t xml:space="preserve"> </w:t>
      </w:r>
      <w:r w:rsidR="00980BAE" w:rsidRPr="006E68B2">
        <w:rPr>
          <w:rFonts w:ascii="Arial" w:hAnsi="Arial" w:cs="Arial"/>
          <w:sz w:val="24"/>
          <w:szCs w:val="24"/>
        </w:rPr>
        <w:t xml:space="preserve">These adverse effects are likely to be most detrimental in older adults who are </w:t>
      </w:r>
      <w:proofErr w:type="gramStart"/>
      <w:r w:rsidR="00503192" w:rsidRPr="006E68B2">
        <w:rPr>
          <w:rFonts w:ascii="Arial" w:hAnsi="Arial" w:cs="Arial"/>
          <w:sz w:val="24"/>
          <w:szCs w:val="24"/>
        </w:rPr>
        <w:t xml:space="preserve">most </w:t>
      </w:r>
      <w:r w:rsidR="00980BAE" w:rsidRPr="006E68B2">
        <w:rPr>
          <w:rFonts w:ascii="Arial" w:hAnsi="Arial" w:cs="Arial"/>
          <w:sz w:val="24"/>
          <w:szCs w:val="24"/>
        </w:rPr>
        <w:t>commonly prescribed</w:t>
      </w:r>
      <w:proofErr w:type="gramEnd"/>
      <w:r w:rsidR="00980BAE" w:rsidRPr="006E68B2">
        <w:rPr>
          <w:rFonts w:ascii="Arial" w:hAnsi="Arial" w:cs="Arial"/>
          <w:sz w:val="24"/>
          <w:szCs w:val="24"/>
        </w:rPr>
        <w:t xml:space="preserve"> </w:t>
      </w:r>
      <w:r w:rsidR="00503192" w:rsidRPr="006E68B2">
        <w:rPr>
          <w:rFonts w:ascii="Arial" w:hAnsi="Arial" w:cs="Arial"/>
          <w:sz w:val="24"/>
          <w:szCs w:val="24"/>
        </w:rPr>
        <w:t xml:space="preserve">a </w:t>
      </w:r>
      <w:r w:rsidR="00980BAE" w:rsidRPr="006E68B2">
        <w:rPr>
          <w:rFonts w:ascii="Arial" w:hAnsi="Arial" w:cs="Arial"/>
          <w:sz w:val="24"/>
          <w:szCs w:val="24"/>
        </w:rPr>
        <w:t xml:space="preserve">high number of drugs including </w:t>
      </w:r>
      <w:r w:rsidR="00503192" w:rsidRPr="006E68B2">
        <w:rPr>
          <w:rFonts w:ascii="Arial" w:hAnsi="Arial" w:cs="Arial"/>
          <w:sz w:val="24"/>
          <w:szCs w:val="24"/>
        </w:rPr>
        <w:t xml:space="preserve">those with </w:t>
      </w:r>
      <w:r w:rsidR="00980BAE" w:rsidRPr="006E68B2">
        <w:rPr>
          <w:rFonts w:ascii="Arial" w:hAnsi="Arial" w:cs="Arial"/>
          <w:sz w:val="24"/>
          <w:szCs w:val="24"/>
        </w:rPr>
        <w:t xml:space="preserve">anticholinergic </w:t>
      </w:r>
      <w:r w:rsidR="00503192" w:rsidRPr="006E68B2">
        <w:rPr>
          <w:rFonts w:ascii="Arial" w:hAnsi="Arial" w:cs="Arial"/>
          <w:sz w:val="24"/>
          <w:szCs w:val="24"/>
        </w:rPr>
        <w:t>effects</w:t>
      </w:r>
      <w:r w:rsidR="00980BAE" w:rsidRPr="006E68B2">
        <w:rPr>
          <w:rFonts w:ascii="Arial" w:hAnsi="Arial" w:cs="Arial"/>
          <w:sz w:val="24"/>
          <w:szCs w:val="24"/>
        </w:rPr>
        <w:t>.</w:t>
      </w:r>
      <w:r w:rsidR="0093141C" w:rsidRPr="006E68B2">
        <w:rPr>
          <w:rFonts w:ascii="Arial" w:hAnsi="Arial" w:cs="Arial"/>
          <w:sz w:val="24"/>
          <w:szCs w:val="24"/>
        </w:rPr>
        <w:t xml:space="preserve"> </w:t>
      </w:r>
      <w:r w:rsidR="00503192" w:rsidRPr="006E68B2">
        <w:rPr>
          <w:rFonts w:ascii="Arial" w:hAnsi="Arial" w:cs="Arial"/>
          <w:sz w:val="24"/>
          <w:szCs w:val="24"/>
        </w:rPr>
        <w:t xml:space="preserve">The </w:t>
      </w:r>
      <w:r w:rsidR="00503192" w:rsidRPr="006E68B2">
        <w:rPr>
          <w:rFonts w:ascii="Arial" w:hAnsi="Arial" w:cs="Arial"/>
          <w:bCs/>
          <w:sz w:val="24"/>
          <w:szCs w:val="24"/>
        </w:rPr>
        <w:t xml:space="preserve">distribution </w:t>
      </w:r>
      <w:r w:rsidR="00B11F86" w:rsidRPr="006E68B2">
        <w:rPr>
          <w:rFonts w:ascii="Arial" w:hAnsi="Arial" w:cs="Arial"/>
          <w:bCs/>
          <w:sz w:val="24"/>
          <w:szCs w:val="24"/>
        </w:rPr>
        <w:t xml:space="preserve">pattern of </w:t>
      </w:r>
      <w:r w:rsidR="00076CA0" w:rsidRPr="006E68B2">
        <w:rPr>
          <w:rFonts w:ascii="Arial" w:hAnsi="Arial" w:cs="Arial"/>
          <w:bCs/>
          <w:sz w:val="24"/>
          <w:szCs w:val="24"/>
        </w:rPr>
        <w:t>level-3 medication</w:t>
      </w:r>
      <w:r w:rsidR="00503192" w:rsidRPr="006E68B2">
        <w:rPr>
          <w:rFonts w:ascii="Arial" w:hAnsi="Arial" w:cs="Arial"/>
          <w:bCs/>
          <w:sz w:val="24"/>
          <w:szCs w:val="24"/>
        </w:rPr>
        <w:t xml:space="preserve"> revealed in </w:t>
      </w:r>
      <w:r w:rsidR="00AC5C4B" w:rsidRPr="006E68B2">
        <w:rPr>
          <w:rFonts w:ascii="Arial" w:hAnsi="Arial" w:cs="Arial"/>
          <w:bCs/>
          <w:sz w:val="24"/>
          <w:szCs w:val="24"/>
        </w:rPr>
        <w:t>t</w:t>
      </w:r>
      <w:r w:rsidR="00503192" w:rsidRPr="006E68B2">
        <w:rPr>
          <w:rFonts w:ascii="Arial" w:hAnsi="Arial" w:cs="Arial"/>
          <w:bCs/>
          <w:sz w:val="24"/>
          <w:szCs w:val="24"/>
        </w:rPr>
        <w:t>his study -</w:t>
      </w:r>
      <w:r w:rsidR="00076CA0" w:rsidRPr="006E68B2">
        <w:rPr>
          <w:rFonts w:ascii="Arial" w:hAnsi="Arial" w:cs="Arial"/>
          <w:bCs/>
          <w:sz w:val="24"/>
          <w:szCs w:val="24"/>
        </w:rPr>
        <w:t xml:space="preserve"> increas</w:t>
      </w:r>
      <w:r w:rsidR="00503192" w:rsidRPr="006E68B2">
        <w:rPr>
          <w:rFonts w:ascii="Arial" w:hAnsi="Arial" w:cs="Arial"/>
          <w:bCs/>
          <w:sz w:val="24"/>
          <w:szCs w:val="24"/>
        </w:rPr>
        <w:t>ing</w:t>
      </w:r>
      <w:r w:rsidR="00B11F86" w:rsidRPr="006E68B2">
        <w:rPr>
          <w:rFonts w:ascii="Arial" w:hAnsi="Arial" w:cs="Arial"/>
          <w:bCs/>
          <w:sz w:val="24"/>
          <w:szCs w:val="24"/>
        </w:rPr>
        <w:t xml:space="preserve"> with age </w:t>
      </w:r>
      <w:r w:rsidR="00503192" w:rsidRPr="006E68B2">
        <w:rPr>
          <w:rFonts w:ascii="Arial" w:hAnsi="Arial" w:cs="Arial"/>
          <w:bCs/>
          <w:sz w:val="24"/>
          <w:szCs w:val="24"/>
        </w:rPr>
        <w:t xml:space="preserve">up to </w:t>
      </w:r>
      <w:r w:rsidR="00B11F86" w:rsidRPr="006E68B2">
        <w:rPr>
          <w:rFonts w:ascii="Arial" w:hAnsi="Arial" w:cs="Arial"/>
          <w:bCs/>
          <w:sz w:val="24"/>
          <w:szCs w:val="24"/>
        </w:rPr>
        <w:t>89.9 years,</w:t>
      </w:r>
      <w:r w:rsidR="00503192" w:rsidRPr="006E68B2">
        <w:rPr>
          <w:rFonts w:ascii="Arial" w:hAnsi="Arial" w:cs="Arial"/>
          <w:bCs/>
          <w:sz w:val="24"/>
          <w:szCs w:val="24"/>
        </w:rPr>
        <w:t xml:space="preserve"> with a drop in </w:t>
      </w:r>
      <w:r w:rsidR="00B11F86" w:rsidRPr="006E68B2">
        <w:rPr>
          <w:rFonts w:ascii="Arial" w:hAnsi="Arial" w:cs="Arial"/>
          <w:bCs/>
          <w:sz w:val="24"/>
          <w:szCs w:val="24"/>
        </w:rPr>
        <w:t>the oldest group (≥90</w:t>
      </w:r>
      <w:r w:rsidR="00503192" w:rsidRPr="006E68B2">
        <w:rPr>
          <w:rFonts w:ascii="Arial" w:hAnsi="Arial" w:cs="Arial"/>
          <w:bCs/>
          <w:sz w:val="24"/>
          <w:szCs w:val="24"/>
        </w:rPr>
        <w:t xml:space="preserve"> years</w:t>
      </w:r>
      <w:r w:rsidR="00B11F86" w:rsidRPr="006E68B2">
        <w:rPr>
          <w:rFonts w:ascii="Arial" w:hAnsi="Arial" w:cs="Arial"/>
          <w:bCs/>
          <w:sz w:val="24"/>
          <w:szCs w:val="24"/>
        </w:rPr>
        <w:t>), is consistent with previous reports [</w:t>
      </w:r>
      <w:r w:rsidR="009F2FAA" w:rsidRPr="006E68B2">
        <w:rPr>
          <w:rFonts w:ascii="Arial" w:hAnsi="Arial" w:cs="Arial"/>
          <w:b/>
          <w:bCs/>
          <w:sz w:val="24"/>
          <w:szCs w:val="24"/>
        </w:rPr>
        <w:t>11</w:t>
      </w:r>
      <w:r w:rsidR="00034CF3" w:rsidRPr="006E68B2">
        <w:rPr>
          <w:rFonts w:ascii="Arial" w:hAnsi="Arial" w:cs="Arial"/>
          <w:sz w:val="24"/>
          <w:szCs w:val="24"/>
        </w:rPr>
        <w:t>]</w:t>
      </w:r>
      <w:r w:rsidR="00B11F86" w:rsidRPr="006E68B2">
        <w:rPr>
          <w:rFonts w:ascii="Arial" w:hAnsi="Arial" w:cs="Arial"/>
          <w:bCs/>
          <w:sz w:val="24"/>
          <w:szCs w:val="24"/>
        </w:rPr>
        <w:t xml:space="preserve">. </w:t>
      </w:r>
      <w:r w:rsidR="00886182" w:rsidRPr="006E68B2">
        <w:rPr>
          <w:rFonts w:ascii="Arial" w:hAnsi="Arial" w:cs="Arial"/>
          <w:bCs/>
          <w:sz w:val="24"/>
          <w:szCs w:val="24"/>
        </w:rPr>
        <w:t xml:space="preserve">It is important to note that </w:t>
      </w:r>
      <w:r w:rsidR="00674041" w:rsidRPr="006E68B2">
        <w:rPr>
          <w:rFonts w:ascii="Arial" w:hAnsi="Arial" w:cs="Arial"/>
          <w:bCs/>
          <w:sz w:val="24"/>
          <w:szCs w:val="24"/>
        </w:rPr>
        <w:t>the impact of medications on outcomes may be underestimated since between 50-80%</w:t>
      </w:r>
      <w:r w:rsidR="006E71DC" w:rsidRPr="006E68B2">
        <w:rPr>
          <w:rFonts w:ascii="Arial" w:hAnsi="Arial" w:cs="Arial"/>
          <w:bCs/>
          <w:sz w:val="24"/>
          <w:szCs w:val="24"/>
        </w:rPr>
        <w:t xml:space="preserve"> of patients</w:t>
      </w:r>
      <w:r w:rsidR="00674041" w:rsidRPr="006E68B2">
        <w:rPr>
          <w:rFonts w:ascii="Arial" w:hAnsi="Arial" w:cs="Arial"/>
          <w:bCs/>
          <w:sz w:val="24"/>
          <w:szCs w:val="24"/>
        </w:rPr>
        <w:t xml:space="preserve"> </w:t>
      </w:r>
      <w:r w:rsidR="006E71DC" w:rsidRPr="006E68B2">
        <w:rPr>
          <w:rFonts w:ascii="Arial" w:hAnsi="Arial" w:cs="Arial"/>
          <w:bCs/>
          <w:sz w:val="24"/>
          <w:szCs w:val="24"/>
        </w:rPr>
        <w:t xml:space="preserve">with multiple </w:t>
      </w:r>
      <w:r w:rsidR="006E71DC" w:rsidRPr="006E68B2">
        <w:rPr>
          <w:rFonts w:ascii="Arial" w:hAnsi="Arial" w:cs="Arial"/>
          <w:bCs/>
          <w:sz w:val="24"/>
          <w:szCs w:val="24"/>
        </w:rPr>
        <w:lastRenderedPageBreak/>
        <w:t xml:space="preserve">medications </w:t>
      </w:r>
      <w:r w:rsidR="00674041" w:rsidRPr="006E68B2">
        <w:rPr>
          <w:rFonts w:ascii="Arial" w:hAnsi="Arial" w:cs="Arial"/>
          <w:bCs/>
          <w:sz w:val="24"/>
          <w:szCs w:val="24"/>
        </w:rPr>
        <w:t xml:space="preserve">may </w:t>
      </w:r>
      <w:r w:rsidR="00503192" w:rsidRPr="006E68B2">
        <w:rPr>
          <w:rFonts w:ascii="Arial" w:hAnsi="Arial" w:cs="Arial"/>
          <w:bCs/>
          <w:sz w:val="24"/>
          <w:szCs w:val="24"/>
        </w:rPr>
        <w:t xml:space="preserve">not be compliant </w:t>
      </w:r>
      <w:r w:rsidR="00674041" w:rsidRPr="006E68B2">
        <w:rPr>
          <w:rFonts w:ascii="Arial" w:hAnsi="Arial" w:cs="Arial"/>
          <w:bCs/>
          <w:sz w:val="24"/>
          <w:szCs w:val="24"/>
        </w:rPr>
        <w:t>to treatment</w:t>
      </w:r>
      <w:r w:rsidR="004F23CE" w:rsidRPr="006E68B2">
        <w:rPr>
          <w:rFonts w:ascii="Arial" w:hAnsi="Arial" w:cs="Arial"/>
          <w:bCs/>
          <w:sz w:val="24"/>
          <w:szCs w:val="24"/>
        </w:rPr>
        <w:t xml:space="preserve">, particularly </w:t>
      </w:r>
      <w:r w:rsidR="00503192" w:rsidRPr="006E68B2">
        <w:rPr>
          <w:rFonts w:ascii="Arial" w:hAnsi="Arial" w:cs="Arial"/>
          <w:bCs/>
          <w:sz w:val="24"/>
          <w:szCs w:val="24"/>
        </w:rPr>
        <w:t xml:space="preserve">those in </w:t>
      </w:r>
      <w:r w:rsidR="004F23CE" w:rsidRPr="006E68B2">
        <w:rPr>
          <w:rFonts w:ascii="Arial" w:hAnsi="Arial" w:cs="Arial"/>
          <w:bCs/>
          <w:sz w:val="24"/>
          <w:szCs w:val="24"/>
        </w:rPr>
        <w:t xml:space="preserve">older age </w:t>
      </w:r>
      <w:r w:rsidR="00F7411B" w:rsidRPr="006E68B2">
        <w:rPr>
          <w:rFonts w:ascii="Arial" w:hAnsi="Arial" w:cs="Arial"/>
          <w:bCs/>
          <w:sz w:val="24"/>
          <w:szCs w:val="24"/>
        </w:rPr>
        <w:t>groups</w:t>
      </w:r>
      <w:r w:rsidR="00674041" w:rsidRPr="006E68B2">
        <w:rPr>
          <w:rFonts w:ascii="Arial" w:hAnsi="Arial" w:cs="Arial"/>
          <w:bCs/>
          <w:sz w:val="24"/>
          <w:szCs w:val="24"/>
        </w:rPr>
        <w:t xml:space="preserve"> [</w:t>
      </w:r>
      <w:r w:rsidR="00034CF3" w:rsidRPr="006E68B2">
        <w:rPr>
          <w:rFonts w:ascii="Arial" w:hAnsi="Arial" w:cs="Arial"/>
          <w:b/>
          <w:bCs/>
          <w:sz w:val="24"/>
          <w:szCs w:val="24"/>
        </w:rPr>
        <w:t>4</w:t>
      </w:r>
      <w:r w:rsidR="00034CF3" w:rsidRPr="006E68B2">
        <w:rPr>
          <w:rFonts w:ascii="Arial" w:hAnsi="Arial" w:cs="Arial"/>
          <w:sz w:val="24"/>
          <w:szCs w:val="24"/>
        </w:rPr>
        <w:t>]</w:t>
      </w:r>
      <w:r w:rsidR="00674041" w:rsidRPr="006E68B2">
        <w:rPr>
          <w:rFonts w:ascii="Arial" w:hAnsi="Arial" w:cs="Arial"/>
          <w:bCs/>
          <w:sz w:val="24"/>
          <w:szCs w:val="24"/>
        </w:rPr>
        <w:t>.</w:t>
      </w:r>
      <w:r w:rsidR="001F6587" w:rsidRPr="006E68B2">
        <w:rPr>
          <w:rFonts w:ascii="Arial" w:hAnsi="Arial" w:cs="Arial"/>
          <w:bCs/>
          <w:sz w:val="24"/>
          <w:szCs w:val="24"/>
        </w:rPr>
        <w:t xml:space="preserve"> This </w:t>
      </w:r>
      <w:r w:rsidR="00FE4FF4" w:rsidRPr="006E68B2">
        <w:rPr>
          <w:rFonts w:ascii="Arial" w:hAnsi="Arial" w:cs="Arial"/>
          <w:bCs/>
          <w:sz w:val="24"/>
          <w:szCs w:val="24"/>
        </w:rPr>
        <w:t>issue</w:t>
      </w:r>
      <w:r w:rsidR="001F6587" w:rsidRPr="006E68B2">
        <w:rPr>
          <w:rFonts w:ascii="Arial" w:hAnsi="Arial" w:cs="Arial"/>
          <w:bCs/>
          <w:sz w:val="24"/>
          <w:szCs w:val="24"/>
        </w:rPr>
        <w:t xml:space="preserve"> not only result</w:t>
      </w:r>
      <w:r w:rsidR="00FE4FF4" w:rsidRPr="006E68B2">
        <w:rPr>
          <w:rFonts w:ascii="Arial" w:hAnsi="Arial" w:cs="Arial"/>
          <w:bCs/>
          <w:sz w:val="24"/>
          <w:szCs w:val="24"/>
        </w:rPr>
        <w:t>s</w:t>
      </w:r>
      <w:r w:rsidR="001F6587" w:rsidRPr="006E68B2">
        <w:rPr>
          <w:rFonts w:ascii="Arial" w:hAnsi="Arial" w:cs="Arial"/>
          <w:bCs/>
          <w:sz w:val="24"/>
          <w:szCs w:val="24"/>
        </w:rPr>
        <w:t xml:space="preserve"> in poor treatment of the </w:t>
      </w:r>
      <w:r w:rsidR="00CC5C7E" w:rsidRPr="006E68B2">
        <w:rPr>
          <w:rFonts w:ascii="Arial" w:hAnsi="Arial" w:cs="Arial"/>
          <w:bCs/>
          <w:sz w:val="24"/>
          <w:szCs w:val="24"/>
        </w:rPr>
        <w:t>underlying</w:t>
      </w:r>
      <w:r w:rsidR="001F6587" w:rsidRPr="006E68B2">
        <w:rPr>
          <w:rFonts w:ascii="Arial" w:hAnsi="Arial" w:cs="Arial"/>
          <w:bCs/>
          <w:sz w:val="24"/>
          <w:szCs w:val="24"/>
        </w:rPr>
        <w:t xml:space="preserve"> </w:t>
      </w:r>
      <w:r w:rsidR="00CC5C7E" w:rsidRPr="006E68B2">
        <w:rPr>
          <w:rFonts w:ascii="Arial" w:hAnsi="Arial" w:cs="Arial"/>
          <w:bCs/>
          <w:sz w:val="24"/>
          <w:szCs w:val="24"/>
        </w:rPr>
        <w:t>disease</w:t>
      </w:r>
      <w:r w:rsidR="001F6587" w:rsidRPr="006E68B2">
        <w:rPr>
          <w:rFonts w:ascii="Arial" w:hAnsi="Arial" w:cs="Arial"/>
          <w:bCs/>
          <w:sz w:val="24"/>
          <w:szCs w:val="24"/>
        </w:rPr>
        <w:t xml:space="preserve">, but also </w:t>
      </w:r>
      <w:r w:rsidR="00044260" w:rsidRPr="006E68B2">
        <w:rPr>
          <w:rFonts w:ascii="Arial" w:hAnsi="Arial" w:cs="Arial"/>
          <w:bCs/>
          <w:sz w:val="24"/>
          <w:szCs w:val="24"/>
        </w:rPr>
        <w:t>increases the cost to</w:t>
      </w:r>
      <w:r w:rsidR="001F6587" w:rsidRPr="006E68B2">
        <w:rPr>
          <w:rFonts w:ascii="Arial" w:hAnsi="Arial" w:cs="Arial"/>
          <w:bCs/>
          <w:sz w:val="24"/>
          <w:szCs w:val="24"/>
        </w:rPr>
        <w:t xml:space="preserve"> </w:t>
      </w:r>
      <w:r w:rsidR="004F23CE" w:rsidRPr="006E68B2">
        <w:rPr>
          <w:rFonts w:ascii="Arial" w:hAnsi="Arial" w:cs="Arial"/>
          <w:bCs/>
          <w:sz w:val="24"/>
          <w:szCs w:val="24"/>
        </w:rPr>
        <w:t>avoidable</w:t>
      </w:r>
      <w:r w:rsidR="001F6587" w:rsidRPr="006E68B2">
        <w:rPr>
          <w:rFonts w:ascii="Arial" w:hAnsi="Arial" w:cs="Arial"/>
          <w:bCs/>
          <w:sz w:val="24"/>
          <w:szCs w:val="24"/>
        </w:rPr>
        <w:t xml:space="preserve"> </w:t>
      </w:r>
      <w:r w:rsidR="004F23CE" w:rsidRPr="006E68B2">
        <w:rPr>
          <w:rFonts w:ascii="Arial" w:hAnsi="Arial" w:cs="Arial"/>
          <w:bCs/>
          <w:sz w:val="24"/>
          <w:szCs w:val="24"/>
        </w:rPr>
        <w:t xml:space="preserve">spending </w:t>
      </w:r>
      <w:r w:rsidR="00044260" w:rsidRPr="006E68B2">
        <w:rPr>
          <w:rFonts w:ascii="Arial" w:hAnsi="Arial" w:cs="Arial"/>
          <w:bCs/>
          <w:sz w:val="24"/>
          <w:szCs w:val="24"/>
        </w:rPr>
        <w:t>for</w:t>
      </w:r>
      <w:r w:rsidR="004F23CE" w:rsidRPr="006E68B2">
        <w:rPr>
          <w:rFonts w:ascii="Arial" w:hAnsi="Arial" w:cs="Arial"/>
          <w:bCs/>
          <w:sz w:val="24"/>
          <w:szCs w:val="24"/>
        </w:rPr>
        <w:t xml:space="preserve"> medical care.</w:t>
      </w:r>
      <w:r w:rsidR="00366917" w:rsidRPr="006E68B2">
        <w:rPr>
          <w:rFonts w:ascii="Arial" w:hAnsi="Arial" w:cs="Arial"/>
          <w:bCs/>
          <w:sz w:val="24"/>
          <w:szCs w:val="24"/>
        </w:rPr>
        <w:t xml:space="preserve"> The observation that only 4.1% of patients were taking an </w:t>
      </w:r>
      <w:r w:rsidR="009B19AD" w:rsidRPr="006E68B2">
        <w:rPr>
          <w:rFonts w:ascii="Arial" w:hAnsi="Arial" w:cs="Arial"/>
          <w:bCs/>
          <w:sz w:val="24"/>
          <w:szCs w:val="24"/>
        </w:rPr>
        <w:t>antiresorptive</w:t>
      </w:r>
      <w:r w:rsidR="00366917" w:rsidRPr="006E68B2">
        <w:rPr>
          <w:rFonts w:ascii="Arial" w:hAnsi="Arial" w:cs="Arial"/>
          <w:bCs/>
          <w:sz w:val="24"/>
          <w:szCs w:val="24"/>
        </w:rPr>
        <w:t xml:space="preserve"> agent prior to admission, whilst 81.1% needed treatment after hip fractures suggest </w:t>
      </w:r>
      <w:r w:rsidR="00B8183A" w:rsidRPr="006E68B2">
        <w:rPr>
          <w:rFonts w:ascii="Arial" w:hAnsi="Arial" w:cs="Arial"/>
          <w:bCs/>
          <w:sz w:val="24"/>
          <w:szCs w:val="24"/>
        </w:rPr>
        <w:t>a</w:t>
      </w:r>
      <w:r w:rsidR="00366917" w:rsidRPr="006E68B2">
        <w:rPr>
          <w:rFonts w:ascii="Arial" w:hAnsi="Arial" w:cs="Arial"/>
          <w:bCs/>
          <w:sz w:val="24"/>
          <w:szCs w:val="24"/>
        </w:rPr>
        <w:t xml:space="preserve"> </w:t>
      </w:r>
      <w:r w:rsidR="00B8183A" w:rsidRPr="006E68B2">
        <w:rPr>
          <w:rFonts w:ascii="Arial" w:hAnsi="Arial" w:cs="Arial"/>
          <w:bCs/>
          <w:sz w:val="24"/>
          <w:szCs w:val="24"/>
        </w:rPr>
        <w:t xml:space="preserve">widespread </w:t>
      </w:r>
      <w:r w:rsidR="00366917" w:rsidRPr="006E68B2">
        <w:rPr>
          <w:rFonts w:ascii="Arial" w:hAnsi="Arial" w:cs="Arial"/>
          <w:bCs/>
          <w:sz w:val="24"/>
          <w:szCs w:val="24"/>
        </w:rPr>
        <w:t xml:space="preserve">lack </w:t>
      </w:r>
      <w:r w:rsidR="00B8183A" w:rsidRPr="006E68B2">
        <w:rPr>
          <w:rFonts w:ascii="Arial" w:hAnsi="Arial" w:cs="Arial"/>
          <w:bCs/>
          <w:sz w:val="24"/>
          <w:szCs w:val="24"/>
        </w:rPr>
        <w:t xml:space="preserve">of </w:t>
      </w:r>
      <w:r w:rsidR="00366917" w:rsidRPr="006E68B2">
        <w:rPr>
          <w:rFonts w:ascii="Arial" w:hAnsi="Arial" w:cs="Arial"/>
          <w:bCs/>
          <w:sz w:val="24"/>
          <w:szCs w:val="24"/>
        </w:rPr>
        <w:t xml:space="preserve">bone protection amongst high-risk older adults in the community setting. Routine detection </w:t>
      </w:r>
      <w:r w:rsidR="006302AA" w:rsidRPr="006E68B2">
        <w:rPr>
          <w:rFonts w:ascii="Arial" w:hAnsi="Arial" w:cs="Arial"/>
          <w:bCs/>
          <w:sz w:val="24"/>
          <w:szCs w:val="24"/>
        </w:rPr>
        <w:t xml:space="preserve">such as vitamin D levels </w:t>
      </w:r>
      <w:r w:rsidR="00366917" w:rsidRPr="006E68B2">
        <w:rPr>
          <w:rFonts w:ascii="Arial" w:hAnsi="Arial" w:cs="Arial"/>
          <w:bCs/>
          <w:sz w:val="24"/>
          <w:szCs w:val="24"/>
        </w:rPr>
        <w:t>and treatment should therefore be offered to older individuals to prevent bone fractures.</w:t>
      </w:r>
      <w:r w:rsidR="00007B78" w:rsidRPr="006E68B2">
        <w:rPr>
          <w:rFonts w:ascii="Arial" w:hAnsi="Arial" w:cs="Arial"/>
          <w:bCs/>
          <w:sz w:val="24"/>
          <w:szCs w:val="24"/>
        </w:rPr>
        <w:t xml:space="preserve"> The observation </w:t>
      </w:r>
      <w:r w:rsidR="00B8183A" w:rsidRPr="006E68B2">
        <w:rPr>
          <w:rFonts w:ascii="Arial" w:hAnsi="Arial" w:cs="Arial"/>
          <w:bCs/>
          <w:sz w:val="24"/>
          <w:szCs w:val="24"/>
        </w:rPr>
        <w:t>that</w:t>
      </w:r>
      <w:r w:rsidR="00007B78" w:rsidRPr="006E68B2">
        <w:rPr>
          <w:rFonts w:ascii="Arial" w:hAnsi="Arial" w:cs="Arial"/>
          <w:bCs/>
          <w:sz w:val="24"/>
          <w:szCs w:val="24"/>
        </w:rPr>
        <w:t xml:space="preserve"> hospital-acquired pressure ulcer</w:t>
      </w:r>
      <w:r w:rsidR="00B8183A" w:rsidRPr="006E68B2">
        <w:rPr>
          <w:rFonts w:ascii="Arial" w:hAnsi="Arial" w:cs="Arial"/>
          <w:bCs/>
          <w:sz w:val="24"/>
          <w:szCs w:val="24"/>
        </w:rPr>
        <w:t>s</w:t>
      </w:r>
      <w:r w:rsidR="00007B78" w:rsidRPr="006E68B2">
        <w:rPr>
          <w:rFonts w:ascii="Arial" w:hAnsi="Arial" w:cs="Arial"/>
          <w:bCs/>
          <w:sz w:val="24"/>
          <w:szCs w:val="24"/>
        </w:rPr>
        <w:t xml:space="preserve"> w</w:t>
      </w:r>
      <w:r w:rsidR="00B8183A" w:rsidRPr="006E68B2">
        <w:rPr>
          <w:rFonts w:ascii="Arial" w:hAnsi="Arial" w:cs="Arial"/>
          <w:bCs/>
          <w:sz w:val="24"/>
          <w:szCs w:val="24"/>
        </w:rPr>
        <w:t>ere greater</w:t>
      </w:r>
      <w:r w:rsidR="00007B78" w:rsidRPr="006E68B2">
        <w:rPr>
          <w:rFonts w:ascii="Arial" w:hAnsi="Arial" w:cs="Arial"/>
          <w:bCs/>
          <w:sz w:val="24"/>
          <w:szCs w:val="24"/>
        </w:rPr>
        <w:t xml:space="preserve"> amongst patients who were treated with an antiresorptive agent prior to hip fractures than those who did not receive was surprising, but consistent with </w:t>
      </w:r>
      <w:r w:rsidR="00B8183A" w:rsidRPr="006E68B2">
        <w:rPr>
          <w:rFonts w:ascii="Arial" w:hAnsi="Arial" w:cs="Arial"/>
          <w:bCs/>
          <w:sz w:val="24"/>
          <w:szCs w:val="24"/>
        </w:rPr>
        <w:t xml:space="preserve">a </w:t>
      </w:r>
      <w:r w:rsidR="00007B78" w:rsidRPr="006E68B2">
        <w:rPr>
          <w:rFonts w:ascii="Arial" w:hAnsi="Arial" w:cs="Arial"/>
          <w:bCs/>
          <w:sz w:val="24"/>
          <w:szCs w:val="24"/>
        </w:rPr>
        <w:t>previous</w:t>
      </w:r>
      <w:r w:rsidR="00B8183A" w:rsidRPr="006E68B2">
        <w:rPr>
          <w:rFonts w:ascii="Arial" w:hAnsi="Arial" w:cs="Arial"/>
          <w:bCs/>
          <w:sz w:val="24"/>
          <w:szCs w:val="24"/>
        </w:rPr>
        <w:t xml:space="preserve"> </w:t>
      </w:r>
      <w:r w:rsidR="00007B78" w:rsidRPr="006E68B2">
        <w:rPr>
          <w:rFonts w:ascii="Arial" w:hAnsi="Arial" w:cs="Arial"/>
          <w:bCs/>
          <w:sz w:val="24"/>
          <w:szCs w:val="24"/>
        </w:rPr>
        <w:t>study [</w:t>
      </w:r>
      <w:r w:rsidR="004A286D" w:rsidRPr="006E68B2">
        <w:rPr>
          <w:rFonts w:ascii="Arial" w:hAnsi="Arial" w:cs="Arial"/>
          <w:b/>
          <w:sz w:val="24"/>
          <w:szCs w:val="24"/>
        </w:rPr>
        <w:t>27</w:t>
      </w:r>
      <w:r w:rsidR="00007B78" w:rsidRPr="006E68B2">
        <w:rPr>
          <w:rFonts w:ascii="Arial" w:hAnsi="Arial" w:cs="Arial"/>
          <w:bCs/>
          <w:sz w:val="24"/>
          <w:szCs w:val="24"/>
        </w:rPr>
        <w:t>]. It is plausible that those who received an antiresorptive agent had a history of severe osteoporosis or a previous bone fracture</w:t>
      </w:r>
      <w:r w:rsidR="00C1709F" w:rsidRPr="006E68B2">
        <w:rPr>
          <w:rFonts w:ascii="Arial" w:hAnsi="Arial" w:cs="Arial"/>
          <w:bCs/>
          <w:sz w:val="24"/>
          <w:szCs w:val="24"/>
        </w:rPr>
        <w:t>. It would be of interest to further examine the impact of vitamin D status and clinical outcomes in this group of patients. However, we did not routine</w:t>
      </w:r>
      <w:r w:rsidR="00B8183A" w:rsidRPr="006E68B2">
        <w:rPr>
          <w:rFonts w:ascii="Arial" w:hAnsi="Arial" w:cs="Arial"/>
          <w:bCs/>
          <w:sz w:val="24"/>
          <w:szCs w:val="24"/>
        </w:rPr>
        <w:t>ly</w:t>
      </w:r>
      <w:r w:rsidR="00C1709F" w:rsidRPr="006E68B2">
        <w:rPr>
          <w:rFonts w:ascii="Arial" w:hAnsi="Arial" w:cs="Arial"/>
          <w:bCs/>
          <w:sz w:val="24"/>
          <w:szCs w:val="24"/>
        </w:rPr>
        <w:t xml:space="preserve"> collect data for vitamin D</w:t>
      </w:r>
      <w:r w:rsidR="00B8183A" w:rsidRPr="006E68B2">
        <w:rPr>
          <w:rFonts w:ascii="Arial" w:hAnsi="Arial" w:cs="Arial"/>
          <w:bCs/>
          <w:sz w:val="24"/>
          <w:szCs w:val="24"/>
        </w:rPr>
        <w:t xml:space="preserve"> levels</w:t>
      </w:r>
      <w:r w:rsidR="00C1709F" w:rsidRPr="006E68B2">
        <w:rPr>
          <w:rFonts w:ascii="Arial" w:hAnsi="Arial" w:cs="Arial"/>
          <w:bCs/>
          <w:sz w:val="24"/>
          <w:szCs w:val="24"/>
        </w:rPr>
        <w:t xml:space="preserve"> in this project</w:t>
      </w:r>
      <w:r w:rsidR="00007B78" w:rsidRPr="006E68B2">
        <w:rPr>
          <w:rFonts w:ascii="Arial" w:hAnsi="Arial" w:cs="Arial"/>
          <w:bCs/>
          <w:sz w:val="24"/>
          <w:szCs w:val="24"/>
        </w:rPr>
        <w:t>.</w:t>
      </w:r>
    </w:p>
    <w:p w14:paraId="0902F0CB" w14:textId="77777777" w:rsidR="00886182" w:rsidRPr="006E68B2" w:rsidRDefault="00886182" w:rsidP="00E042B9">
      <w:pPr>
        <w:spacing w:after="0" w:line="480" w:lineRule="auto"/>
        <w:jc w:val="both"/>
        <w:rPr>
          <w:rFonts w:ascii="Arial" w:hAnsi="Arial" w:cs="Arial"/>
          <w:b/>
          <w:sz w:val="24"/>
          <w:szCs w:val="24"/>
        </w:rPr>
      </w:pPr>
    </w:p>
    <w:p w14:paraId="6C128256" w14:textId="5D5B0306" w:rsidR="00EC0523" w:rsidRPr="006E68B2" w:rsidRDefault="001F01C0" w:rsidP="00E042B9">
      <w:pPr>
        <w:spacing w:after="0" w:line="480" w:lineRule="auto"/>
        <w:jc w:val="both"/>
        <w:rPr>
          <w:rFonts w:ascii="Arial" w:hAnsi="Arial" w:cs="Arial"/>
          <w:b/>
          <w:sz w:val="24"/>
          <w:szCs w:val="24"/>
        </w:rPr>
      </w:pPr>
      <w:r w:rsidRPr="006E68B2">
        <w:rPr>
          <w:rFonts w:ascii="Arial" w:hAnsi="Arial" w:cs="Arial"/>
          <w:sz w:val="24"/>
          <w:szCs w:val="24"/>
          <w:shd w:val="clear" w:color="auto" w:fill="FFFFFF"/>
        </w:rPr>
        <w:t>The observation that</w:t>
      </w:r>
      <w:r w:rsidR="00BA1549" w:rsidRPr="006E68B2">
        <w:rPr>
          <w:rFonts w:ascii="Arial" w:hAnsi="Arial" w:cs="Arial"/>
          <w:sz w:val="24"/>
          <w:szCs w:val="24"/>
          <w:shd w:val="clear" w:color="auto" w:fill="FFFFFF"/>
        </w:rPr>
        <w:t xml:space="preserve"> LOS was </w:t>
      </w:r>
      <w:r w:rsidRPr="006E68B2">
        <w:rPr>
          <w:rFonts w:ascii="Arial" w:hAnsi="Arial" w:cs="Arial"/>
          <w:sz w:val="24"/>
          <w:szCs w:val="24"/>
          <w:shd w:val="clear" w:color="auto" w:fill="FFFFFF"/>
        </w:rPr>
        <w:t>further prolonged</w:t>
      </w:r>
      <w:r w:rsidR="00BA1549" w:rsidRPr="006E68B2">
        <w:rPr>
          <w:rFonts w:ascii="Arial" w:hAnsi="Arial" w:cs="Arial"/>
          <w:sz w:val="24"/>
          <w:szCs w:val="24"/>
          <w:shd w:val="clear" w:color="auto" w:fill="FFFFFF"/>
        </w:rPr>
        <w:t xml:space="preserve"> in </w:t>
      </w:r>
      <w:r w:rsidR="00F13F3C" w:rsidRPr="006E68B2">
        <w:rPr>
          <w:rFonts w:ascii="Arial" w:hAnsi="Arial" w:cs="Arial"/>
          <w:sz w:val="24"/>
          <w:szCs w:val="24"/>
          <w:shd w:val="clear" w:color="auto" w:fill="FFFFFF"/>
        </w:rPr>
        <w:t>those who fail</w:t>
      </w:r>
      <w:r w:rsidR="00BA1549" w:rsidRPr="006E68B2">
        <w:rPr>
          <w:rFonts w:ascii="Arial" w:hAnsi="Arial" w:cs="Arial"/>
          <w:sz w:val="24"/>
          <w:szCs w:val="24"/>
          <w:shd w:val="clear" w:color="auto" w:fill="FFFFFF"/>
        </w:rPr>
        <w:t>ed</w:t>
      </w:r>
      <w:r w:rsidR="00F13F3C" w:rsidRPr="006E68B2">
        <w:rPr>
          <w:rFonts w:ascii="Arial" w:hAnsi="Arial" w:cs="Arial"/>
          <w:sz w:val="24"/>
          <w:szCs w:val="24"/>
          <w:shd w:val="clear" w:color="auto" w:fill="FFFFFF"/>
        </w:rPr>
        <w:t xml:space="preserve"> to mobilise</w:t>
      </w:r>
      <w:r w:rsidRPr="006E68B2">
        <w:rPr>
          <w:rFonts w:ascii="Arial" w:hAnsi="Arial" w:cs="Arial"/>
          <w:sz w:val="24"/>
          <w:szCs w:val="24"/>
          <w:shd w:val="clear" w:color="auto" w:fill="FFFFFF"/>
        </w:rPr>
        <w:t xml:space="preserve"> within 1-day of surgery</w:t>
      </w:r>
      <w:r w:rsidR="00BA1549" w:rsidRPr="006E68B2">
        <w:rPr>
          <w:rFonts w:ascii="Arial" w:hAnsi="Arial" w:cs="Arial"/>
          <w:sz w:val="24"/>
          <w:szCs w:val="24"/>
          <w:shd w:val="clear" w:color="auto" w:fill="FFFFFF"/>
        </w:rPr>
        <w:t xml:space="preserve"> </w:t>
      </w:r>
      <w:r w:rsidRPr="006E68B2">
        <w:rPr>
          <w:rFonts w:ascii="Arial" w:hAnsi="Arial" w:cs="Arial"/>
          <w:sz w:val="24"/>
          <w:szCs w:val="24"/>
          <w:shd w:val="clear" w:color="auto" w:fill="FFFFFF"/>
        </w:rPr>
        <w:t>or pressure ulcers for any given level of medication status (except level-1 for pressure ulcers)</w:t>
      </w:r>
      <w:r w:rsidR="00F13F3C" w:rsidRPr="006E68B2">
        <w:rPr>
          <w:rFonts w:ascii="Arial" w:hAnsi="Arial" w:cs="Arial"/>
          <w:sz w:val="24"/>
          <w:szCs w:val="24"/>
          <w:shd w:val="clear" w:color="auto" w:fill="FFFFFF"/>
        </w:rPr>
        <w:t xml:space="preserve"> </w:t>
      </w:r>
      <w:r w:rsidR="000D09E5" w:rsidRPr="006E68B2">
        <w:rPr>
          <w:rFonts w:ascii="Arial" w:hAnsi="Arial" w:cs="Arial"/>
          <w:sz w:val="24"/>
          <w:szCs w:val="24"/>
          <w:shd w:val="clear" w:color="auto" w:fill="FFFFFF"/>
        </w:rPr>
        <w:t>provide</w:t>
      </w:r>
      <w:r w:rsidRPr="006E68B2">
        <w:rPr>
          <w:rFonts w:ascii="Arial" w:hAnsi="Arial" w:cs="Arial"/>
          <w:sz w:val="24"/>
          <w:szCs w:val="24"/>
          <w:shd w:val="clear" w:color="auto" w:fill="FFFFFF"/>
        </w:rPr>
        <w:t>s</w:t>
      </w:r>
      <w:r w:rsidR="006805A0" w:rsidRPr="006E68B2">
        <w:rPr>
          <w:rFonts w:ascii="Arial" w:hAnsi="Arial" w:cs="Arial"/>
          <w:sz w:val="24"/>
          <w:szCs w:val="24"/>
          <w:shd w:val="clear" w:color="auto" w:fill="FFFFFF"/>
        </w:rPr>
        <w:t xml:space="preserve"> further insights on </w:t>
      </w:r>
      <w:r w:rsidR="00F13F3C" w:rsidRPr="006E68B2">
        <w:rPr>
          <w:rFonts w:ascii="Arial" w:hAnsi="Arial" w:cs="Arial"/>
          <w:sz w:val="24"/>
          <w:szCs w:val="24"/>
          <w:shd w:val="clear" w:color="auto" w:fill="FFFFFF"/>
        </w:rPr>
        <w:t xml:space="preserve">the impact of </w:t>
      </w:r>
      <w:r w:rsidR="006805A0" w:rsidRPr="006E68B2">
        <w:rPr>
          <w:rFonts w:ascii="Arial" w:hAnsi="Arial" w:cs="Arial"/>
          <w:sz w:val="24"/>
          <w:szCs w:val="24"/>
          <w:shd w:val="clear" w:color="auto" w:fill="FFFFFF"/>
        </w:rPr>
        <w:t xml:space="preserve">polypharmacy and </w:t>
      </w:r>
      <w:r w:rsidR="001F4DBE" w:rsidRPr="006E68B2">
        <w:rPr>
          <w:rFonts w:ascii="Arial" w:hAnsi="Arial" w:cs="Arial"/>
          <w:sz w:val="24"/>
          <w:szCs w:val="24"/>
          <w:shd w:val="clear" w:color="auto" w:fill="FFFFFF"/>
        </w:rPr>
        <w:t>anticholinergic agents</w:t>
      </w:r>
      <w:r w:rsidR="00F13F3C" w:rsidRPr="006E68B2">
        <w:rPr>
          <w:rFonts w:ascii="Arial" w:hAnsi="Arial" w:cs="Arial"/>
          <w:sz w:val="24"/>
          <w:szCs w:val="24"/>
          <w:shd w:val="clear" w:color="auto" w:fill="FFFFFF"/>
        </w:rPr>
        <w:t xml:space="preserve"> on </w:t>
      </w:r>
      <w:r w:rsidR="00666099" w:rsidRPr="006E68B2">
        <w:rPr>
          <w:rFonts w:ascii="Arial" w:hAnsi="Arial" w:cs="Arial"/>
          <w:sz w:val="24"/>
          <w:szCs w:val="24"/>
          <w:shd w:val="clear" w:color="auto" w:fill="FFFFFF"/>
        </w:rPr>
        <w:t>prolonging</w:t>
      </w:r>
      <w:r w:rsidR="00F13F3C" w:rsidRPr="006E68B2">
        <w:rPr>
          <w:rFonts w:ascii="Arial" w:hAnsi="Arial" w:cs="Arial"/>
          <w:sz w:val="24"/>
          <w:szCs w:val="24"/>
          <w:shd w:val="clear" w:color="auto" w:fill="FFFFFF"/>
        </w:rPr>
        <w:t xml:space="preserve"> </w:t>
      </w:r>
      <w:r w:rsidR="001F4DBE" w:rsidRPr="006E68B2">
        <w:rPr>
          <w:rFonts w:ascii="Arial" w:hAnsi="Arial" w:cs="Arial"/>
          <w:sz w:val="24"/>
          <w:szCs w:val="24"/>
          <w:shd w:val="clear" w:color="auto" w:fill="FFFFFF"/>
        </w:rPr>
        <w:t>the duration of hospitalisation</w:t>
      </w:r>
      <w:r w:rsidR="00CD6E96" w:rsidRPr="006E68B2">
        <w:rPr>
          <w:rFonts w:ascii="Arial" w:hAnsi="Arial" w:cs="Arial"/>
          <w:sz w:val="24"/>
          <w:szCs w:val="24"/>
          <w:shd w:val="clear" w:color="auto" w:fill="FFFFFF"/>
        </w:rPr>
        <w:t xml:space="preserve"> </w:t>
      </w:r>
      <w:r w:rsidR="00503192" w:rsidRPr="006E68B2">
        <w:rPr>
          <w:rFonts w:ascii="Arial" w:hAnsi="Arial" w:cs="Arial"/>
          <w:sz w:val="24"/>
          <w:szCs w:val="24"/>
          <w:shd w:val="clear" w:color="auto" w:fill="FFFFFF"/>
        </w:rPr>
        <w:t>for different reasons</w:t>
      </w:r>
      <w:r w:rsidR="00CD6E96" w:rsidRPr="006E68B2">
        <w:rPr>
          <w:rFonts w:ascii="Arial" w:hAnsi="Arial" w:cs="Arial"/>
          <w:sz w:val="24"/>
          <w:szCs w:val="24"/>
          <w:shd w:val="clear" w:color="auto" w:fill="FFFFFF"/>
        </w:rPr>
        <w:t>.</w:t>
      </w:r>
      <w:r w:rsidR="00EC0523" w:rsidRPr="006E68B2">
        <w:rPr>
          <w:rFonts w:ascii="Arial" w:hAnsi="Arial" w:cs="Arial"/>
          <w:sz w:val="24"/>
          <w:szCs w:val="24"/>
          <w:shd w:val="clear" w:color="auto" w:fill="FFFFFF"/>
        </w:rPr>
        <w:t xml:space="preserve"> It is plausible that the association of LOS with pressure ulcers and possibl</w:t>
      </w:r>
      <w:r w:rsidR="009142EF" w:rsidRPr="006E68B2">
        <w:rPr>
          <w:rFonts w:ascii="Arial" w:hAnsi="Arial" w:cs="Arial"/>
          <w:sz w:val="24"/>
          <w:szCs w:val="24"/>
          <w:shd w:val="clear" w:color="auto" w:fill="FFFFFF"/>
        </w:rPr>
        <w:t>y</w:t>
      </w:r>
      <w:r w:rsidR="00EC0523" w:rsidRPr="006E68B2">
        <w:rPr>
          <w:rFonts w:ascii="Arial" w:hAnsi="Arial" w:cs="Arial"/>
          <w:sz w:val="24"/>
          <w:szCs w:val="24"/>
          <w:shd w:val="clear" w:color="auto" w:fill="FFFFFF"/>
        </w:rPr>
        <w:t xml:space="preserve"> failure to mobilise within 1-day of hip surgery is bidirectional, </w:t>
      </w:r>
      <w:r w:rsidR="00EC0523" w:rsidRPr="006E68B2">
        <w:rPr>
          <w:rFonts w:ascii="Arial" w:hAnsi="Arial" w:cs="Arial"/>
          <w:i/>
          <w:iCs/>
          <w:sz w:val="24"/>
          <w:szCs w:val="24"/>
          <w:shd w:val="clear" w:color="auto" w:fill="FFFFFF"/>
        </w:rPr>
        <w:t>i.e.</w:t>
      </w:r>
      <w:r w:rsidR="00EC0523" w:rsidRPr="006E68B2">
        <w:rPr>
          <w:rFonts w:ascii="Arial" w:hAnsi="Arial" w:cs="Arial"/>
          <w:sz w:val="24"/>
          <w:szCs w:val="24"/>
          <w:shd w:val="clear" w:color="auto" w:fill="FFFFFF"/>
        </w:rPr>
        <w:t xml:space="preserve"> longer LOS results in pressure ulcers and failure to mobilise whilst the latter two factors could lead </w:t>
      </w:r>
      <w:r w:rsidR="009142EF" w:rsidRPr="006E68B2">
        <w:rPr>
          <w:rFonts w:ascii="Arial" w:hAnsi="Arial" w:cs="Arial"/>
          <w:sz w:val="24"/>
          <w:szCs w:val="24"/>
          <w:shd w:val="clear" w:color="auto" w:fill="FFFFFF"/>
        </w:rPr>
        <w:t xml:space="preserve">to an </w:t>
      </w:r>
      <w:r w:rsidR="00EC0523" w:rsidRPr="006E68B2">
        <w:rPr>
          <w:rFonts w:ascii="Arial" w:hAnsi="Arial" w:cs="Arial"/>
          <w:sz w:val="24"/>
          <w:szCs w:val="24"/>
          <w:shd w:val="clear" w:color="auto" w:fill="FFFFFF"/>
        </w:rPr>
        <w:t>in</w:t>
      </w:r>
      <w:r w:rsidR="009142EF" w:rsidRPr="006E68B2">
        <w:rPr>
          <w:rFonts w:ascii="Arial" w:hAnsi="Arial" w:cs="Arial"/>
          <w:sz w:val="24"/>
          <w:szCs w:val="24"/>
          <w:shd w:val="clear" w:color="auto" w:fill="FFFFFF"/>
        </w:rPr>
        <w:t>crease in</w:t>
      </w:r>
      <w:r w:rsidR="00EC0523" w:rsidRPr="006E68B2">
        <w:rPr>
          <w:rFonts w:ascii="Arial" w:hAnsi="Arial" w:cs="Arial"/>
          <w:sz w:val="24"/>
          <w:szCs w:val="24"/>
          <w:shd w:val="clear" w:color="auto" w:fill="FFFFFF"/>
        </w:rPr>
        <w:t xml:space="preserve"> LOS.</w:t>
      </w:r>
    </w:p>
    <w:p w14:paraId="280BAFA0" w14:textId="77777777" w:rsidR="007C7FFE" w:rsidRPr="006E68B2" w:rsidRDefault="007C7FFE" w:rsidP="00E042B9">
      <w:pPr>
        <w:spacing w:after="0" w:line="480" w:lineRule="auto"/>
        <w:jc w:val="both"/>
        <w:rPr>
          <w:rFonts w:ascii="Arial" w:hAnsi="Arial" w:cs="Arial"/>
          <w:sz w:val="24"/>
          <w:szCs w:val="24"/>
        </w:rPr>
      </w:pPr>
    </w:p>
    <w:p w14:paraId="14DCEEB7" w14:textId="77777777" w:rsidR="00804F2A" w:rsidRPr="006E68B2" w:rsidRDefault="00312887" w:rsidP="00E042B9">
      <w:pPr>
        <w:spacing w:after="0" w:line="480" w:lineRule="auto"/>
        <w:jc w:val="both"/>
        <w:rPr>
          <w:rFonts w:ascii="Arial" w:hAnsi="Arial" w:cs="Arial"/>
          <w:sz w:val="24"/>
          <w:szCs w:val="24"/>
        </w:rPr>
      </w:pPr>
      <w:r w:rsidRPr="006E68B2">
        <w:rPr>
          <w:rFonts w:ascii="Arial" w:hAnsi="Arial" w:cs="Arial"/>
          <w:sz w:val="24"/>
          <w:szCs w:val="24"/>
        </w:rPr>
        <w:lastRenderedPageBreak/>
        <w:t xml:space="preserve">The strengths of this study </w:t>
      </w:r>
      <w:r w:rsidR="00A14D2F" w:rsidRPr="006E68B2">
        <w:rPr>
          <w:rFonts w:ascii="Arial" w:hAnsi="Arial" w:cs="Arial"/>
          <w:sz w:val="24"/>
          <w:szCs w:val="24"/>
        </w:rPr>
        <w:t xml:space="preserve">lie in its relatively </w:t>
      </w:r>
      <w:r w:rsidRPr="006E68B2">
        <w:rPr>
          <w:rFonts w:ascii="Arial" w:hAnsi="Arial" w:cs="Arial"/>
          <w:sz w:val="24"/>
          <w:szCs w:val="24"/>
        </w:rPr>
        <w:t>large number of participants</w:t>
      </w:r>
      <w:r w:rsidR="00A14D2F" w:rsidRPr="006E68B2">
        <w:rPr>
          <w:rFonts w:ascii="Arial" w:hAnsi="Arial" w:cs="Arial"/>
          <w:sz w:val="24"/>
          <w:szCs w:val="24"/>
        </w:rPr>
        <w:t xml:space="preserve"> whose data were</w:t>
      </w:r>
      <w:r w:rsidRPr="006E68B2">
        <w:rPr>
          <w:rFonts w:ascii="Arial" w:hAnsi="Arial" w:cs="Arial"/>
          <w:sz w:val="24"/>
          <w:szCs w:val="24"/>
        </w:rPr>
        <w:t xml:space="preserve"> </w:t>
      </w:r>
      <w:r w:rsidR="00A14D2F" w:rsidRPr="006E68B2">
        <w:rPr>
          <w:rFonts w:ascii="Arial" w:hAnsi="Arial" w:cs="Arial"/>
          <w:sz w:val="24"/>
          <w:szCs w:val="24"/>
        </w:rPr>
        <w:t>gathered using</w:t>
      </w:r>
      <w:r w:rsidRPr="006E68B2">
        <w:rPr>
          <w:rFonts w:ascii="Arial" w:hAnsi="Arial" w:cs="Arial"/>
          <w:sz w:val="24"/>
          <w:szCs w:val="24"/>
        </w:rPr>
        <w:t xml:space="preserve"> standardised protocols</w:t>
      </w:r>
      <w:r w:rsidR="00A14D2F" w:rsidRPr="006E68B2">
        <w:rPr>
          <w:rFonts w:ascii="Arial" w:hAnsi="Arial" w:cs="Arial"/>
          <w:sz w:val="24"/>
          <w:szCs w:val="24"/>
        </w:rPr>
        <w:t xml:space="preserve"> [</w:t>
      </w:r>
      <w:r w:rsidR="009F2FAA" w:rsidRPr="006E68B2">
        <w:rPr>
          <w:rFonts w:ascii="Arial" w:hAnsi="Arial" w:cs="Arial"/>
          <w:b/>
          <w:bCs/>
          <w:sz w:val="24"/>
          <w:szCs w:val="24"/>
        </w:rPr>
        <w:t>7</w:t>
      </w:r>
      <w:r w:rsidR="0032253F" w:rsidRPr="006E68B2">
        <w:rPr>
          <w:rFonts w:ascii="Arial" w:hAnsi="Arial" w:cs="Arial"/>
          <w:b/>
          <w:bCs/>
          <w:sz w:val="24"/>
          <w:szCs w:val="24"/>
        </w:rPr>
        <w:t>, 19</w:t>
      </w:r>
      <w:r w:rsidR="009F2FAA" w:rsidRPr="006E68B2">
        <w:rPr>
          <w:rFonts w:ascii="Arial" w:hAnsi="Arial" w:cs="Arial"/>
          <w:sz w:val="24"/>
          <w:szCs w:val="24"/>
        </w:rPr>
        <w:t>]</w:t>
      </w:r>
      <w:r w:rsidRPr="006E68B2">
        <w:rPr>
          <w:rFonts w:ascii="Arial" w:hAnsi="Arial" w:cs="Arial"/>
          <w:sz w:val="24"/>
          <w:szCs w:val="24"/>
        </w:rPr>
        <w:t xml:space="preserve">. </w:t>
      </w:r>
      <w:r w:rsidR="00A14D2F" w:rsidRPr="006E68B2">
        <w:rPr>
          <w:rFonts w:ascii="Arial" w:hAnsi="Arial" w:cs="Arial"/>
          <w:sz w:val="24"/>
          <w:szCs w:val="24"/>
        </w:rPr>
        <w:t>To minimise bias from individuals living in residential/nursing care who were likely to have poorer health, o</w:t>
      </w:r>
      <w:r w:rsidRPr="006E68B2">
        <w:rPr>
          <w:rFonts w:ascii="Arial" w:hAnsi="Arial" w:cs="Arial"/>
          <w:sz w:val="24"/>
          <w:szCs w:val="24"/>
        </w:rPr>
        <w:t xml:space="preserve">nly patients admitted from their own homes were </w:t>
      </w:r>
      <w:r w:rsidR="00140EFC" w:rsidRPr="006E68B2">
        <w:rPr>
          <w:rFonts w:ascii="Arial" w:hAnsi="Arial" w:cs="Arial"/>
          <w:sz w:val="24"/>
          <w:szCs w:val="24"/>
        </w:rPr>
        <w:t>selected</w:t>
      </w:r>
      <w:r w:rsidR="00A14D2F" w:rsidRPr="006E68B2">
        <w:rPr>
          <w:rFonts w:ascii="Arial" w:hAnsi="Arial" w:cs="Arial"/>
          <w:sz w:val="24"/>
          <w:szCs w:val="24"/>
        </w:rPr>
        <w:t xml:space="preserve"> </w:t>
      </w:r>
      <w:r w:rsidR="00503192" w:rsidRPr="006E68B2">
        <w:rPr>
          <w:rFonts w:ascii="Arial" w:hAnsi="Arial" w:cs="Arial"/>
          <w:sz w:val="24"/>
          <w:szCs w:val="24"/>
        </w:rPr>
        <w:t xml:space="preserve">for </w:t>
      </w:r>
      <w:r w:rsidR="00A14D2F" w:rsidRPr="006E68B2">
        <w:rPr>
          <w:rFonts w:ascii="Arial" w:hAnsi="Arial" w:cs="Arial"/>
          <w:sz w:val="24"/>
          <w:szCs w:val="24"/>
        </w:rPr>
        <w:t>this study</w:t>
      </w:r>
      <w:r w:rsidRPr="006E68B2">
        <w:rPr>
          <w:rFonts w:ascii="Arial" w:hAnsi="Arial" w:cs="Arial"/>
          <w:sz w:val="24"/>
          <w:szCs w:val="24"/>
        </w:rPr>
        <w:t xml:space="preserve">. </w:t>
      </w:r>
      <w:r w:rsidR="00EF1AD8" w:rsidRPr="006E68B2">
        <w:rPr>
          <w:rFonts w:ascii="Arial" w:hAnsi="Arial" w:cs="Arial"/>
          <w:sz w:val="24"/>
          <w:szCs w:val="24"/>
        </w:rPr>
        <w:t xml:space="preserve">The </w:t>
      </w:r>
      <w:r w:rsidR="00F42D95" w:rsidRPr="006E68B2">
        <w:rPr>
          <w:rFonts w:ascii="Arial" w:hAnsi="Arial" w:cs="Arial"/>
          <w:sz w:val="24"/>
          <w:szCs w:val="24"/>
        </w:rPr>
        <w:t>analysis</w:t>
      </w:r>
      <w:r w:rsidR="00EF1AD8" w:rsidRPr="006E68B2">
        <w:rPr>
          <w:rFonts w:ascii="Arial" w:hAnsi="Arial" w:cs="Arial"/>
          <w:sz w:val="24"/>
          <w:szCs w:val="24"/>
        </w:rPr>
        <w:t xml:space="preserve"> w</w:t>
      </w:r>
      <w:r w:rsidR="00F42D95" w:rsidRPr="006E68B2">
        <w:rPr>
          <w:rFonts w:ascii="Arial" w:hAnsi="Arial" w:cs="Arial"/>
          <w:sz w:val="24"/>
          <w:szCs w:val="24"/>
        </w:rPr>
        <w:t>as</w:t>
      </w:r>
      <w:r w:rsidR="00906DD4" w:rsidRPr="006E68B2">
        <w:rPr>
          <w:rFonts w:ascii="Arial" w:hAnsi="Arial" w:cs="Arial"/>
          <w:sz w:val="24"/>
          <w:szCs w:val="24"/>
        </w:rPr>
        <w:t xml:space="preserve"> robustly adjusted for potential confounding factors</w:t>
      </w:r>
      <w:r w:rsidR="00EF1AD8" w:rsidRPr="006E68B2">
        <w:rPr>
          <w:rFonts w:ascii="Arial" w:hAnsi="Arial" w:cs="Arial"/>
          <w:sz w:val="24"/>
          <w:szCs w:val="24"/>
        </w:rPr>
        <w:t xml:space="preserve"> including major</w:t>
      </w:r>
      <w:r w:rsidR="00906DD4" w:rsidRPr="006E68B2">
        <w:rPr>
          <w:rFonts w:ascii="Arial" w:hAnsi="Arial" w:cs="Arial"/>
          <w:sz w:val="24"/>
          <w:szCs w:val="24"/>
        </w:rPr>
        <w:t xml:space="preserve"> chronic conditions</w:t>
      </w:r>
      <w:r w:rsidR="00EF1AD8" w:rsidRPr="006E68B2">
        <w:rPr>
          <w:rFonts w:ascii="Arial" w:hAnsi="Arial" w:cs="Arial"/>
          <w:sz w:val="24"/>
          <w:szCs w:val="24"/>
        </w:rPr>
        <w:t xml:space="preserve"> including dementia, stroke, ischaemic heart disease and diabetes as well as functional limitations prior to a hip fracture.</w:t>
      </w:r>
      <w:r w:rsidR="00906DD4" w:rsidRPr="006E68B2">
        <w:rPr>
          <w:rFonts w:ascii="Arial" w:hAnsi="Arial" w:cs="Arial"/>
          <w:sz w:val="24"/>
          <w:szCs w:val="24"/>
        </w:rPr>
        <w:t xml:space="preserve"> </w:t>
      </w:r>
    </w:p>
    <w:p w14:paraId="4EE22D41" w14:textId="77777777" w:rsidR="00804F2A" w:rsidRPr="006E68B2" w:rsidRDefault="00804F2A" w:rsidP="00E042B9">
      <w:pPr>
        <w:spacing w:after="0" w:line="480" w:lineRule="auto"/>
        <w:jc w:val="both"/>
        <w:rPr>
          <w:rFonts w:ascii="Arial" w:hAnsi="Arial" w:cs="Arial"/>
          <w:sz w:val="24"/>
          <w:szCs w:val="24"/>
        </w:rPr>
      </w:pPr>
    </w:p>
    <w:p w14:paraId="59FDB17E" w14:textId="748F23BC" w:rsidR="00E4533F" w:rsidRPr="006E68B2" w:rsidRDefault="00804F2A" w:rsidP="00E042B9">
      <w:pPr>
        <w:spacing w:after="0" w:line="480" w:lineRule="auto"/>
        <w:jc w:val="both"/>
        <w:rPr>
          <w:rFonts w:ascii="Arial" w:hAnsi="Arial" w:cs="Arial"/>
          <w:sz w:val="24"/>
          <w:szCs w:val="24"/>
        </w:rPr>
      </w:pPr>
      <w:r w:rsidRPr="006E68B2">
        <w:rPr>
          <w:rFonts w:ascii="Arial" w:hAnsi="Arial" w:cs="Arial"/>
          <w:b/>
          <w:sz w:val="24"/>
          <w:szCs w:val="24"/>
        </w:rPr>
        <w:t>Limitations</w:t>
      </w:r>
    </w:p>
    <w:p w14:paraId="2D1B04D9" w14:textId="44F40C3B" w:rsidR="00312887" w:rsidRPr="006E68B2" w:rsidRDefault="00052920" w:rsidP="00E042B9">
      <w:pPr>
        <w:spacing w:after="0" w:line="480" w:lineRule="auto"/>
        <w:jc w:val="both"/>
        <w:rPr>
          <w:rFonts w:ascii="Arial" w:hAnsi="Arial" w:cs="Arial"/>
          <w:sz w:val="24"/>
          <w:szCs w:val="24"/>
        </w:rPr>
      </w:pPr>
      <w:r w:rsidRPr="006E68B2">
        <w:rPr>
          <w:rFonts w:ascii="Arial" w:hAnsi="Arial" w:cs="Arial"/>
          <w:sz w:val="24"/>
          <w:szCs w:val="24"/>
        </w:rPr>
        <w:t xml:space="preserve">This study is limited by its observational design. Polypharmacy and ACB were determined from drugs at the time of hospital arrival. </w:t>
      </w:r>
      <w:r w:rsidR="00804F2A" w:rsidRPr="006E68B2">
        <w:rPr>
          <w:rFonts w:ascii="Arial" w:hAnsi="Arial" w:cs="Arial"/>
          <w:sz w:val="24"/>
          <w:szCs w:val="24"/>
        </w:rPr>
        <w:t>Because</w:t>
      </w:r>
      <w:r w:rsidRPr="006E68B2">
        <w:rPr>
          <w:rFonts w:ascii="Arial" w:hAnsi="Arial" w:cs="Arial"/>
          <w:sz w:val="24"/>
          <w:szCs w:val="24"/>
        </w:rPr>
        <w:t xml:space="preserve"> some drugs were discontinued </w:t>
      </w:r>
      <w:r w:rsidR="00804F2A" w:rsidRPr="006E68B2">
        <w:rPr>
          <w:rFonts w:ascii="Arial" w:hAnsi="Arial" w:cs="Arial"/>
          <w:sz w:val="24"/>
          <w:szCs w:val="24"/>
        </w:rPr>
        <w:t>on admission</w:t>
      </w:r>
      <w:r w:rsidR="00E4533F" w:rsidRPr="006E68B2">
        <w:rPr>
          <w:rFonts w:ascii="Arial" w:hAnsi="Arial" w:cs="Arial"/>
          <w:sz w:val="24"/>
          <w:szCs w:val="24"/>
        </w:rPr>
        <w:t>, therefore</w:t>
      </w:r>
      <w:r w:rsidR="00804F2A" w:rsidRPr="006E68B2">
        <w:rPr>
          <w:rFonts w:ascii="Arial" w:hAnsi="Arial" w:cs="Arial"/>
          <w:sz w:val="24"/>
          <w:szCs w:val="24"/>
        </w:rPr>
        <w:t xml:space="preserve"> some</w:t>
      </w:r>
      <w:r w:rsidRPr="006E68B2">
        <w:rPr>
          <w:rFonts w:ascii="Arial" w:hAnsi="Arial" w:cs="Arial"/>
          <w:sz w:val="24"/>
          <w:szCs w:val="24"/>
        </w:rPr>
        <w:t xml:space="preserve"> of </w:t>
      </w:r>
      <w:r w:rsidR="00804F2A" w:rsidRPr="006E68B2">
        <w:rPr>
          <w:rFonts w:ascii="Arial" w:hAnsi="Arial" w:cs="Arial"/>
          <w:sz w:val="24"/>
          <w:szCs w:val="24"/>
        </w:rPr>
        <w:t xml:space="preserve">the </w:t>
      </w:r>
      <w:r w:rsidRPr="006E68B2">
        <w:rPr>
          <w:rFonts w:ascii="Arial" w:hAnsi="Arial" w:cs="Arial"/>
          <w:sz w:val="24"/>
          <w:szCs w:val="24"/>
        </w:rPr>
        <w:t>outcome measures may reflect the frailty of the patient rather than any lingering effects of drugs</w:t>
      </w:r>
      <w:r w:rsidR="00B55E7D" w:rsidRPr="006E68B2">
        <w:rPr>
          <w:rFonts w:ascii="Arial" w:hAnsi="Arial" w:cs="Arial"/>
          <w:sz w:val="24"/>
          <w:szCs w:val="24"/>
        </w:rPr>
        <w:t>.</w:t>
      </w:r>
      <w:r w:rsidRPr="006E68B2">
        <w:rPr>
          <w:rFonts w:ascii="Arial" w:hAnsi="Arial" w:cs="Arial"/>
          <w:sz w:val="24"/>
          <w:szCs w:val="24"/>
        </w:rPr>
        <w:t xml:space="preserve"> </w:t>
      </w:r>
      <w:r w:rsidR="006410EB" w:rsidRPr="006E68B2">
        <w:rPr>
          <w:rFonts w:ascii="Arial" w:hAnsi="Arial" w:cs="Arial"/>
          <w:sz w:val="24"/>
          <w:szCs w:val="24"/>
        </w:rPr>
        <w:t>We recognise that there remained other potential residual unmeasured confounders</w:t>
      </w:r>
      <w:r w:rsidR="00804F2A" w:rsidRPr="006E68B2">
        <w:rPr>
          <w:rFonts w:ascii="Arial" w:hAnsi="Arial" w:cs="Arial"/>
          <w:sz w:val="24"/>
          <w:szCs w:val="24"/>
        </w:rPr>
        <w:t>,</w:t>
      </w:r>
      <w:r w:rsidR="006410EB" w:rsidRPr="006E68B2">
        <w:rPr>
          <w:rFonts w:ascii="Arial" w:hAnsi="Arial" w:cs="Arial"/>
          <w:sz w:val="24"/>
          <w:szCs w:val="24"/>
        </w:rPr>
        <w:t xml:space="preserve"> including </w:t>
      </w:r>
      <w:r w:rsidRPr="006E68B2">
        <w:rPr>
          <w:rFonts w:ascii="Arial" w:hAnsi="Arial" w:cs="Arial"/>
          <w:sz w:val="24"/>
          <w:szCs w:val="24"/>
        </w:rPr>
        <w:t>pre-admission frailty</w:t>
      </w:r>
      <w:r w:rsidR="00804F2A" w:rsidRPr="006E68B2">
        <w:rPr>
          <w:rFonts w:ascii="Arial" w:hAnsi="Arial" w:cs="Arial"/>
          <w:sz w:val="24"/>
          <w:szCs w:val="24"/>
        </w:rPr>
        <w:t>,</w:t>
      </w:r>
      <w:r w:rsidR="006410EB" w:rsidRPr="006E68B2">
        <w:rPr>
          <w:rFonts w:ascii="Arial" w:hAnsi="Arial" w:cs="Arial"/>
          <w:sz w:val="24"/>
          <w:szCs w:val="24"/>
        </w:rPr>
        <w:t xml:space="preserve"> that could have additional bearing on our findings. </w:t>
      </w:r>
      <w:r w:rsidR="00B8183A" w:rsidRPr="006E68B2">
        <w:rPr>
          <w:rFonts w:ascii="Arial" w:hAnsi="Arial" w:cs="Arial"/>
          <w:sz w:val="24"/>
          <w:szCs w:val="24"/>
        </w:rPr>
        <w:t>However, o</w:t>
      </w:r>
      <w:r w:rsidR="006410EB" w:rsidRPr="006E68B2">
        <w:rPr>
          <w:rFonts w:ascii="Arial" w:hAnsi="Arial" w:cs="Arial"/>
          <w:sz w:val="24"/>
          <w:szCs w:val="24"/>
        </w:rPr>
        <w:t>ur study included pre-admission mobility limitation as a confounding factor</w:t>
      </w:r>
      <w:r w:rsidR="00B8183A" w:rsidRPr="006E68B2">
        <w:rPr>
          <w:rFonts w:ascii="Arial" w:hAnsi="Arial" w:cs="Arial"/>
          <w:sz w:val="24"/>
          <w:szCs w:val="24"/>
        </w:rPr>
        <w:t xml:space="preserve"> and</w:t>
      </w:r>
      <w:r w:rsidR="006410EB" w:rsidRPr="006E68B2">
        <w:rPr>
          <w:rFonts w:ascii="Arial" w:hAnsi="Arial" w:cs="Arial"/>
          <w:sz w:val="24"/>
          <w:szCs w:val="24"/>
        </w:rPr>
        <w:t xml:space="preserve"> is likely to reflect pre-admission frailty [</w:t>
      </w:r>
      <w:r w:rsidR="006410EB" w:rsidRPr="006E68B2">
        <w:rPr>
          <w:rFonts w:ascii="Arial" w:hAnsi="Arial" w:cs="Arial"/>
          <w:b/>
          <w:bCs/>
          <w:sz w:val="24"/>
          <w:szCs w:val="24"/>
        </w:rPr>
        <w:t>21</w:t>
      </w:r>
      <w:r w:rsidR="006410EB" w:rsidRPr="006E68B2">
        <w:rPr>
          <w:rFonts w:ascii="Arial" w:hAnsi="Arial" w:cs="Arial"/>
          <w:sz w:val="24"/>
          <w:szCs w:val="24"/>
        </w:rPr>
        <w:t xml:space="preserve">]. </w:t>
      </w:r>
      <w:r w:rsidR="00EF1AD8" w:rsidRPr="006E68B2">
        <w:rPr>
          <w:rFonts w:ascii="Arial" w:hAnsi="Arial" w:cs="Arial"/>
          <w:sz w:val="24"/>
          <w:szCs w:val="24"/>
        </w:rPr>
        <w:t>Interpretation of the findings should be taken carefully</w:t>
      </w:r>
      <w:r w:rsidR="00312887" w:rsidRPr="006E68B2">
        <w:rPr>
          <w:rFonts w:ascii="Arial" w:hAnsi="Arial" w:cs="Arial"/>
          <w:sz w:val="24"/>
          <w:szCs w:val="24"/>
        </w:rPr>
        <w:t xml:space="preserve"> and should not be </w:t>
      </w:r>
      <w:r w:rsidR="00EF1AD8" w:rsidRPr="006E68B2">
        <w:rPr>
          <w:rFonts w:ascii="Arial" w:hAnsi="Arial" w:cs="Arial"/>
          <w:sz w:val="24"/>
          <w:szCs w:val="24"/>
        </w:rPr>
        <w:t xml:space="preserve">extrapolated to </w:t>
      </w:r>
      <w:r w:rsidR="00312887" w:rsidRPr="006E68B2">
        <w:rPr>
          <w:rFonts w:ascii="Arial" w:hAnsi="Arial" w:cs="Arial"/>
          <w:sz w:val="24"/>
          <w:szCs w:val="24"/>
        </w:rPr>
        <w:t>general population</w:t>
      </w:r>
      <w:r w:rsidR="00EF1AD8" w:rsidRPr="006E68B2">
        <w:rPr>
          <w:rFonts w:ascii="Arial" w:hAnsi="Arial" w:cs="Arial"/>
          <w:sz w:val="24"/>
          <w:szCs w:val="24"/>
        </w:rPr>
        <w:t>s</w:t>
      </w:r>
      <w:r w:rsidR="00F42D95" w:rsidRPr="006E68B2">
        <w:rPr>
          <w:rFonts w:ascii="Arial" w:hAnsi="Arial" w:cs="Arial"/>
          <w:sz w:val="24"/>
          <w:szCs w:val="24"/>
        </w:rPr>
        <w:t xml:space="preserve"> since </w:t>
      </w:r>
      <w:r w:rsidR="00B8183A" w:rsidRPr="006E68B2">
        <w:rPr>
          <w:rFonts w:ascii="Arial" w:hAnsi="Arial" w:cs="Arial"/>
          <w:sz w:val="24"/>
          <w:szCs w:val="24"/>
        </w:rPr>
        <w:t xml:space="preserve">these </w:t>
      </w:r>
      <w:r w:rsidR="00F42D95" w:rsidRPr="006E68B2">
        <w:rPr>
          <w:rFonts w:ascii="Arial" w:hAnsi="Arial" w:cs="Arial"/>
          <w:sz w:val="24"/>
          <w:szCs w:val="24"/>
        </w:rPr>
        <w:t>findings were derived from data in a single centre</w:t>
      </w:r>
      <w:r w:rsidR="00503192" w:rsidRPr="006E68B2">
        <w:rPr>
          <w:rFonts w:ascii="Arial" w:hAnsi="Arial" w:cs="Arial"/>
          <w:sz w:val="24"/>
          <w:szCs w:val="24"/>
        </w:rPr>
        <w:t xml:space="preserve"> and for a particular group of patients undergoing surgery for a hip fracture</w:t>
      </w:r>
      <w:r w:rsidR="00F42D95" w:rsidRPr="006E68B2">
        <w:rPr>
          <w:rFonts w:ascii="Arial" w:hAnsi="Arial" w:cs="Arial"/>
          <w:sz w:val="24"/>
          <w:szCs w:val="24"/>
        </w:rPr>
        <w:t>.</w:t>
      </w:r>
      <w:r w:rsidR="00B1629D" w:rsidRPr="006E68B2">
        <w:rPr>
          <w:rFonts w:ascii="Arial" w:hAnsi="Arial" w:cs="Arial"/>
          <w:sz w:val="24"/>
          <w:szCs w:val="24"/>
        </w:rPr>
        <w:t xml:space="preserve"> Further large-scale prospective studies are necessary to assess the impact of </w:t>
      </w:r>
      <w:r w:rsidR="00503192" w:rsidRPr="006E68B2">
        <w:rPr>
          <w:rFonts w:ascii="Arial" w:hAnsi="Arial" w:cs="Arial"/>
          <w:sz w:val="24"/>
          <w:szCs w:val="24"/>
        </w:rPr>
        <w:t xml:space="preserve">a </w:t>
      </w:r>
      <w:r w:rsidR="00B1629D" w:rsidRPr="006E68B2">
        <w:rPr>
          <w:rFonts w:ascii="Arial" w:hAnsi="Arial" w:cs="Arial"/>
          <w:sz w:val="24"/>
          <w:szCs w:val="24"/>
        </w:rPr>
        <w:t xml:space="preserve">reduction </w:t>
      </w:r>
      <w:r w:rsidR="00503192" w:rsidRPr="006E68B2">
        <w:rPr>
          <w:rFonts w:ascii="Arial" w:hAnsi="Arial" w:cs="Arial"/>
          <w:sz w:val="24"/>
          <w:szCs w:val="24"/>
        </w:rPr>
        <w:t xml:space="preserve">in </w:t>
      </w:r>
      <w:r w:rsidR="00B1629D" w:rsidRPr="006E68B2">
        <w:rPr>
          <w:rFonts w:ascii="Arial" w:hAnsi="Arial" w:cs="Arial"/>
          <w:sz w:val="24"/>
          <w:szCs w:val="24"/>
        </w:rPr>
        <w:t xml:space="preserve">the number of drugs and </w:t>
      </w:r>
      <w:r w:rsidR="00503192" w:rsidRPr="006E68B2">
        <w:rPr>
          <w:rFonts w:ascii="Arial" w:hAnsi="Arial" w:cs="Arial"/>
          <w:sz w:val="24"/>
          <w:szCs w:val="24"/>
        </w:rPr>
        <w:t xml:space="preserve">those with </w:t>
      </w:r>
      <w:r w:rsidR="00B1629D" w:rsidRPr="006E68B2">
        <w:rPr>
          <w:rFonts w:ascii="Arial" w:hAnsi="Arial" w:cs="Arial"/>
          <w:sz w:val="24"/>
          <w:szCs w:val="24"/>
        </w:rPr>
        <w:t xml:space="preserve">anticholinergic </w:t>
      </w:r>
      <w:r w:rsidR="00503192" w:rsidRPr="006E68B2">
        <w:rPr>
          <w:rFonts w:ascii="Arial" w:hAnsi="Arial" w:cs="Arial"/>
          <w:sz w:val="24"/>
          <w:szCs w:val="24"/>
        </w:rPr>
        <w:t xml:space="preserve">effects </w:t>
      </w:r>
      <w:r w:rsidR="00B1629D" w:rsidRPr="006E68B2">
        <w:rPr>
          <w:rFonts w:ascii="Arial" w:hAnsi="Arial" w:cs="Arial"/>
          <w:sz w:val="24"/>
          <w:szCs w:val="24"/>
        </w:rPr>
        <w:t xml:space="preserve">on </w:t>
      </w:r>
      <w:r w:rsidR="00503192" w:rsidRPr="006E68B2">
        <w:rPr>
          <w:rFonts w:ascii="Arial" w:hAnsi="Arial" w:cs="Arial"/>
          <w:sz w:val="24"/>
          <w:szCs w:val="24"/>
        </w:rPr>
        <w:t>care-</w:t>
      </w:r>
      <w:r w:rsidR="00B1629D" w:rsidRPr="006E68B2">
        <w:rPr>
          <w:rFonts w:ascii="Arial" w:hAnsi="Arial" w:cs="Arial"/>
          <w:sz w:val="24"/>
          <w:szCs w:val="24"/>
        </w:rPr>
        <w:t>quality outcomes</w:t>
      </w:r>
      <w:r w:rsidR="00503192" w:rsidRPr="006E68B2">
        <w:rPr>
          <w:rFonts w:ascii="Arial" w:hAnsi="Arial" w:cs="Arial"/>
          <w:sz w:val="24"/>
          <w:szCs w:val="24"/>
        </w:rPr>
        <w:t>,</w:t>
      </w:r>
      <w:r w:rsidR="00B1629D" w:rsidRPr="006E68B2">
        <w:rPr>
          <w:rFonts w:ascii="Arial" w:hAnsi="Arial" w:cs="Arial"/>
          <w:sz w:val="24"/>
          <w:szCs w:val="24"/>
        </w:rPr>
        <w:t xml:space="preserve"> including the prevention </w:t>
      </w:r>
      <w:r w:rsidR="00503192" w:rsidRPr="006E68B2">
        <w:rPr>
          <w:rFonts w:ascii="Arial" w:hAnsi="Arial" w:cs="Arial"/>
          <w:sz w:val="24"/>
          <w:szCs w:val="24"/>
        </w:rPr>
        <w:t xml:space="preserve">of </w:t>
      </w:r>
      <w:r w:rsidR="00B1629D" w:rsidRPr="006E68B2">
        <w:rPr>
          <w:rFonts w:ascii="Arial" w:hAnsi="Arial" w:cs="Arial"/>
          <w:sz w:val="24"/>
          <w:szCs w:val="24"/>
        </w:rPr>
        <w:t xml:space="preserve">falls and hip fractures, </w:t>
      </w:r>
      <w:r w:rsidR="00503192" w:rsidRPr="006E68B2">
        <w:rPr>
          <w:rFonts w:ascii="Arial" w:hAnsi="Arial" w:cs="Arial"/>
          <w:sz w:val="24"/>
          <w:szCs w:val="24"/>
        </w:rPr>
        <w:t>avoidance of</w:t>
      </w:r>
      <w:r w:rsidR="00B1629D" w:rsidRPr="006E68B2">
        <w:rPr>
          <w:rFonts w:ascii="Arial" w:hAnsi="Arial" w:cs="Arial"/>
          <w:sz w:val="24"/>
          <w:szCs w:val="24"/>
        </w:rPr>
        <w:t xml:space="preserve"> hospital admission, </w:t>
      </w:r>
      <w:r w:rsidR="00F85670" w:rsidRPr="006E68B2">
        <w:rPr>
          <w:rFonts w:ascii="Arial" w:hAnsi="Arial" w:cs="Arial"/>
          <w:sz w:val="24"/>
          <w:szCs w:val="24"/>
        </w:rPr>
        <w:t>reduction of hospital</w:t>
      </w:r>
      <w:r w:rsidR="00DA78A6" w:rsidRPr="006E68B2">
        <w:rPr>
          <w:rFonts w:ascii="Arial" w:hAnsi="Arial" w:cs="Arial"/>
          <w:sz w:val="24"/>
          <w:szCs w:val="24"/>
        </w:rPr>
        <w:t xml:space="preserve"> LOS</w:t>
      </w:r>
      <w:r w:rsidR="00F85670" w:rsidRPr="006E68B2">
        <w:rPr>
          <w:rFonts w:ascii="Arial" w:hAnsi="Arial" w:cs="Arial"/>
          <w:sz w:val="24"/>
          <w:szCs w:val="24"/>
        </w:rPr>
        <w:t xml:space="preserve">, acquisition of hospital-acquired </w:t>
      </w:r>
      <w:r w:rsidR="00B1629D" w:rsidRPr="006E68B2">
        <w:rPr>
          <w:rFonts w:ascii="Arial" w:hAnsi="Arial" w:cs="Arial"/>
          <w:sz w:val="24"/>
          <w:szCs w:val="24"/>
        </w:rPr>
        <w:t xml:space="preserve">complications, as well as early readmissions. </w:t>
      </w:r>
    </w:p>
    <w:p w14:paraId="3CC744E6" w14:textId="77777777" w:rsidR="001B3E09" w:rsidRPr="006E68B2" w:rsidRDefault="001B3E09" w:rsidP="00E042B9">
      <w:pPr>
        <w:spacing w:after="0" w:line="480" w:lineRule="auto"/>
        <w:jc w:val="both"/>
        <w:rPr>
          <w:rFonts w:ascii="Arial" w:hAnsi="Arial" w:cs="Arial"/>
          <w:sz w:val="24"/>
          <w:szCs w:val="24"/>
        </w:rPr>
      </w:pPr>
    </w:p>
    <w:p w14:paraId="3F0E13A8" w14:textId="05DE207C" w:rsidR="00312887" w:rsidRPr="006E68B2" w:rsidRDefault="00312887" w:rsidP="00E042B9">
      <w:pPr>
        <w:spacing w:after="0" w:line="480" w:lineRule="auto"/>
        <w:jc w:val="both"/>
        <w:rPr>
          <w:rFonts w:ascii="Arial" w:hAnsi="Arial" w:cs="Arial"/>
          <w:sz w:val="24"/>
          <w:szCs w:val="24"/>
        </w:rPr>
      </w:pPr>
      <w:r w:rsidRPr="006E68B2">
        <w:rPr>
          <w:rFonts w:ascii="Arial" w:hAnsi="Arial" w:cs="Arial"/>
          <w:sz w:val="24"/>
          <w:szCs w:val="24"/>
        </w:rPr>
        <w:lastRenderedPageBreak/>
        <w:t>In conclusion,</w:t>
      </w:r>
      <w:r w:rsidR="00EF1AD8" w:rsidRPr="006E68B2">
        <w:rPr>
          <w:rFonts w:ascii="Arial" w:hAnsi="Arial" w:cs="Arial"/>
          <w:sz w:val="24"/>
          <w:szCs w:val="24"/>
        </w:rPr>
        <w:t xml:space="preserve"> </w:t>
      </w:r>
      <w:r w:rsidR="00DA78A6" w:rsidRPr="006E68B2">
        <w:rPr>
          <w:rFonts w:ascii="Arial" w:hAnsi="Arial" w:cs="Arial"/>
          <w:sz w:val="24"/>
          <w:szCs w:val="24"/>
        </w:rPr>
        <w:t>a longer LOS is associated with in hospital polypharmacy and ACB</w:t>
      </w:r>
      <w:r w:rsidR="00EF1AD8" w:rsidRPr="006E68B2">
        <w:rPr>
          <w:rFonts w:ascii="Arial" w:hAnsi="Arial" w:cs="Arial"/>
          <w:sz w:val="24"/>
          <w:szCs w:val="24"/>
        </w:rPr>
        <w:t xml:space="preserve">, </w:t>
      </w:r>
      <w:r w:rsidR="00DA78A6" w:rsidRPr="006E68B2">
        <w:rPr>
          <w:rFonts w:ascii="Arial" w:hAnsi="Arial" w:cs="Arial"/>
          <w:sz w:val="24"/>
          <w:szCs w:val="24"/>
        </w:rPr>
        <w:t>and</w:t>
      </w:r>
      <w:r w:rsidR="00EF1AD8" w:rsidRPr="006E68B2">
        <w:rPr>
          <w:rFonts w:ascii="Arial" w:hAnsi="Arial" w:cs="Arial"/>
          <w:sz w:val="24"/>
          <w:szCs w:val="24"/>
        </w:rPr>
        <w:t xml:space="preserve"> further accentuated by failure to mobilise within 1-day after surgery and </w:t>
      </w:r>
      <w:r w:rsidR="00514186" w:rsidRPr="006E68B2">
        <w:rPr>
          <w:rFonts w:ascii="Arial" w:hAnsi="Arial" w:cs="Arial"/>
          <w:sz w:val="24"/>
          <w:szCs w:val="24"/>
        </w:rPr>
        <w:t xml:space="preserve">pressure ulcers. </w:t>
      </w:r>
      <w:r w:rsidR="00DA78A6" w:rsidRPr="006E68B2">
        <w:rPr>
          <w:rFonts w:ascii="Arial" w:hAnsi="Arial" w:cs="Arial"/>
          <w:bCs/>
          <w:sz w:val="24"/>
          <w:szCs w:val="24"/>
        </w:rPr>
        <w:t>This</w:t>
      </w:r>
      <w:r w:rsidR="00514186" w:rsidRPr="006E68B2">
        <w:rPr>
          <w:rFonts w:ascii="Arial" w:hAnsi="Arial" w:cs="Arial"/>
          <w:bCs/>
          <w:sz w:val="24"/>
          <w:szCs w:val="24"/>
        </w:rPr>
        <w:t xml:space="preserve"> study provided further evidence of the impact of polypharmacy and </w:t>
      </w:r>
      <w:r w:rsidR="00DA78A6" w:rsidRPr="006E68B2">
        <w:rPr>
          <w:rFonts w:ascii="Arial" w:hAnsi="Arial" w:cs="Arial"/>
          <w:bCs/>
          <w:sz w:val="24"/>
          <w:szCs w:val="24"/>
        </w:rPr>
        <w:t>ACB</w:t>
      </w:r>
      <w:r w:rsidR="00514186" w:rsidRPr="006E68B2">
        <w:rPr>
          <w:rFonts w:ascii="Arial" w:hAnsi="Arial" w:cs="Arial"/>
          <w:bCs/>
          <w:sz w:val="24"/>
          <w:szCs w:val="24"/>
        </w:rPr>
        <w:t xml:space="preserve"> on adverse health </w:t>
      </w:r>
      <w:proofErr w:type="gramStart"/>
      <w:r w:rsidR="00514186" w:rsidRPr="006E68B2">
        <w:rPr>
          <w:rFonts w:ascii="Arial" w:hAnsi="Arial" w:cs="Arial"/>
          <w:bCs/>
          <w:sz w:val="24"/>
          <w:szCs w:val="24"/>
        </w:rPr>
        <w:t>outcomes, and</w:t>
      </w:r>
      <w:proofErr w:type="gramEnd"/>
      <w:r w:rsidR="00514186" w:rsidRPr="006E68B2">
        <w:rPr>
          <w:rFonts w:ascii="Arial" w:hAnsi="Arial" w:cs="Arial"/>
          <w:bCs/>
          <w:sz w:val="24"/>
          <w:szCs w:val="24"/>
        </w:rPr>
        <w:t xml:space="preserve"> lent support </w:t>
      </w:r>
      <w:r w:rsidR="00DA78A6" w:rsidRPr="006E68B2">
        <w:rPr>
          <w:rFonts w:ascii="Arial" w:hAnsi="Arial" w:cs="Arial"/>
          <w:bCs/>
          <w:sz w:val="24"/>
          <w:szCs w:val="24"/>
        </w:rPr>
        <w:t>for a</w:t>
      </w:r>
      <w:r w:rsidR="00514186" w:rsidRPr="006E68B2">
        <w:rPr>
          <w:rFonts w:ascii="Arial" w:hAnsi="Arial" w:cs="Arial"/>
          <w:bCs/>
          <w:sz w:val="24"/>
          <w:szCs w:val="24"/>
        </w:rPr>
        <w:t xml:space="preserve"> </w:t>
      </w:r>
      <w:r w:rsidR="00DA78A6" w:rsidRPr="006E68B2">
        <w:rPr>
          <w:rFonts w:ascii="Arial" w:hAnsi="Arial" w:cs="Arial"/>
          <w:bCs/>
          <w:sz w:val="24"/>
          <w:szCs w:val="24"/>
        </w:rPr>
        <w:t xml:space="preserve">reduction of </w:t>
      </w:r>
      <w:r w:rsidR="00514186" w:rsidRPr="006E68B2">
        <w:rPr>
          <w:rFonts w:ascii="Arial" w:hAnsi="Arial" w:cs="Arial"/>
          <w:sz w:val="24"/>
          <w:szCs w:val="24"/>
        </w:rPr>
        <w:t>potentially inappropriate prescribing</w:t>
      </w:r>
      <w:r w:rsidR="00514186" w:rsidRPr="006E68B2">
        <w:rPr>
          <w:rFonts w:ascii="Arial" w:hAnsi="Arial" w:cs="Arial"/>
          <w:bCs/>
          <w:sz w:val="24"/>
          <w:szCs w:val="24"/>
        </w:rPr>
        <w:t>, especially amongst older adults.</w:t>
      </w:r>
      <w:r w:rsidRPr="006E68B2">
        <w:rPr>
          <w:rFonts w:ascii="Arial" w:hAnsi="Arial" w:cs="Arial"/>
          <w:sz w:val="24"/>
          <w:szCs w:val="24"/>
        </w:rPr>
        <w:br w:type="page"/>
      </w:r>
    </w:p>
    <w:p w14:paraId="3BE0E4F8" w14:textId="77777777" w:rsidR="001C674F" w:rsidRPr="006E68B2" w:rsidRDefault="001C674F" w:rsidP="001C674F">
      <w:pPr>
        <w:pStyle w:val="Heading3"/>
        <w:spacing w:before="0" w:beforeAutospacing="0" w:after="0" w:afterAutospacing="0" w:line="480" w:lineRule="auto"/>
        <w:jc w:val="both"/>
        <w:rPr>
          <w:rFonts w:ascii="Arial" w:hAnsi="Arial" w:cs="Arial"/>
          <w:bCs w:val="0"/>
          <w:sz w:val="24"/>
          <w:szCs w:val="24"/>
        </w:rPr>
      </w:pPr>
      <w:r w:rsidRPr="006E68B2">
        <w:rPr>
          <w:rFonts w:ascii="Arial" w:hAnsi="Arial" w:cs="Arial"/>
          <w:bCs w:val="0"/>
          <w:sz w:val="24"/>
          <w:szCs w:val="24"/>
        </w:rPr>
        <w:lastRenderedPageBreak/>
        <w:t>ACKNOWLEDGEMENTS</w:t>
      </w:r>
    </w:p>
    <w:p w14:paraId="3DBCCA13" w14:textId="77777777" w:rsidR="001C674F" w:rsidRPr="006E68B2" w:rsidRDefault="001C674F" w:rsidP="001C674F">
      <w:pPr>
        <w:pStyle w:val="Heading3"/>
        <w:spacing w:before="0" w:beforeAutospacing="0" w:after="0" w:afterAutospacing="0" w:line="480" w:lineRule="auto"/>
        <w:jc w:val="both"/>
        <w:rPr>
          <w:rFonts w:ascii="Arial" w:hAnsi="Arial" w:cs="Arial"/>
          <w:bCs w:val="0"/>
          <w:sz w:val="24"/>
          <w:szCs w:val="24"/>
        </w:rPr>
      </w:pPr>
      <w:r w:rsidRPr="006E68B2">
        <w:rPr>
          <w:rFonts w:ascii="Arial" w:hAnsi="Arial" w:cs="Arial"/>
          <w:bCs w:val="0"/>
          <w:sz w:val="24"/>
          <w:szCs w:val="24"/>
        </w:rPr>
        <w:t>Contributions</w:t>
      </w:r>
    </w:p>
    <w:p w14:paraId="0EA10C6D" w14:textId="73D7EA5F" w:rsidR="001C674F" w:rsidRPr="006E68B2" w:rsidRDefault="001C674F" w:rsidP="001C674F">
      <w:pPr>
        <w:pStyle w:val="NormalWeb"/>
        <w:spacing w:before="0" w:beforeAutospacing="0" w:after="0" w:afterAutospacing="0" w:line="480" w:lineRule="auto"/>
        <w:jc w:val="both"/>
        <w:rPr>
          <w:rFonts w:ascii="Arial" w:hAnsi="Arial" w:cs="Arial"/>
        </w:rPr>
      </w:pPr>
      <w:r w:rsidRPr="006E68B2">
        <w:rPr>
          <w:rFonts w:ascii="Arial" w:hAnsi="Arial" w:cs="Arial"/>
        </w:rPr>
        <w:t xml:space="preserve">TSH and DF reviewed the topic related literature and performed the study concept and analysis design. RL, KY, </w:t>
      </w:r>
      <w:proofErr w:type="gramStart"/>
      <w:r w:rsidRPr="006E68B2">
        <w:rPr>
          <w:rFonts w:ascii="Arial" w:hAnsi="Arial" w:cs="Arial"/>
        </w:rPr>
        <w:t>JR</w:t>
      </w:r>
      <w:proofErr w:type="gramEnd"/>
      <w:r w:rsidRPr="006E68B2">
        <w:rPr>
          <w:rFonts w:ascii="Arial" w:hAnsi="Arial" w:cs="Arial"/>
        </w:rPr>
        <w:t xml:space="preserve"> and DF performed the study coordination and data collection and commented on the manuscript. TSH wrote the first draft, analysed, interpreted the </w:t>
      </w:r>
      <w:proofErr w:type="gramStart"/>
      <w:r w:rsidRPr="006E68B2">
        <w:rPr>
          <w:rFonts w:ascii="Arial" w:hAnsi="Arial" w:cs="Arial"/>
        </w:rPr>
        <w:t>data</w:t>
      </w:r>
      <w:proofErr w:type="gramEnd"/>
      <w:r w:rsidRPr="006E68B2">
        <w:rPr>
          <w:rFonts w:ascii="Arial" w:hAnsi="Arial" w:cs="Arial"/>
        </w:rPr>
        <w:t xml:space="preserve"> and revised the manuscript. CHF edited the manuscript. All authors checked, interpreted </w:t>
      </w:r>
      <w:proofErr w:type="gramStart"/>
      <w:r w:rsidRPr="006E68B2">
        <w:rPr>
          <w:rFonts w:ascii="Arial" w:hAnsi="Arial" w:cs="Arial"/>
        </w:rPr>
        <w:t>results</w:t>
      </w:r>
      <w:proofErr w:type="gramEnd"/>
      <w:r w:rsidRPr="006E68B2">
        <w:rPr>
          <w:rFonts w:ascii="Arial" w:hAnsi="Arial" w:cs="Arial"/>
        </w:rPr>
        <w:t xml:space="preserve"> and approved the final version.</w:t>
      </w:r>
    </w:p>
    <w:p w14:paraId="53667D0D" w14:textId="77777777" w:rsidR="001C674F" w:rsidRPr="006E68B2" w:rsidRDefault="001C674F" w:rsidP="001C674F">
      <w:pPr>
        <w:pStyle w:val="NormalWeb"/>
        <w:spacing w:before="0" w:beforeAutospacing="0" w:after="0" w:afterAutospacing="0" w:line="480" w:lineRule="auto"/>
        <w:jc w:val="both"/>
        <w:rPr>
          <w:rFonts w:ascii="Arial" w:hAnsi="Arial" w:cs="Arial"/>
          <w:b/>
        </w:rPr>
      </w:pPr>
    </w:p>
    <w:p w14:paraId="1DD83231" w14:textId="77777777" w:rsidR="001C674F" w:rsidRPr="006E68B2" w:rsidRDefault="001C674F" w:rsidP="001C674F">
      <w:pPr>
        <w:pStyle w:val="NormalWeb"/>
        <w:spacing w:before="0" w:beforeAutospacing="0" w:after="0" w:afterAutospacing="0" w:line="480" w:lineRule="auto"/>
        <w:jc w:val="both"/>
        <w:rPr>
          <w:rFonts w:ascii="Arial" w:hAnsi="Arial" w:cs="Arial"/>
          <w:b/>
        </w:rPr>
      </w:pPr>
      <w:r w:rsidRPr="006E68B2">
        <w:rPr>
          <w:rFonts w:ascii="Arial" w:hAnsi="Arial" w:cs="Arial"/>
          <w:b/>
        </w:rPr>
        <w:t>ETHICS DECLARATIONS</w:t>
      </w:r>
    </w:p>
    <w:p w14:paraId="0A0A4CCF" w14:textId="77777777" w:rsidR="001C674F" w:rsidRPr="006E68B2" w:rsidRDefault="001C674F" w:rsidP="001C674F">
      <w:pPr>
        <w:pStyle w:val="NormalWeb"/>
        <w:spacing w:before="0" w:beforeAutospacing="0" w:after="0" w:afterAutospacing="0" w:line="480" w:lineRule="auto"/>
        <w:jc w:val="both"/>
        <w:rPr>
          <w:rFonts w:ascii="Arial" w:hAnsi="Arial" w:cs="Arial"/>
          <w:b/>
        </w:rPr>
      </w:pPr>
      <w:r w:rsidRPr="006E68B2">
        <w:rPr>
          <w:rFonts w:ascii="Arial" w:hAnsi="Arial" w:cs="Arial"/>
          <w:b/>
        </w:rPr>
        <w:t>Conflict of interest</w:t>
      </w:r>
    </w:p>
    <w:p w14:paraId="48314DDB" w14:textId="77777777" w:rsidR="001C674F" w:rsidRPr="006E68B2" w:rsidRDefault="001C674F" w:rsidP="001C674F">
      <w:pPr>
        <w:pStyle w:val="NormalWeb"/>
        <w:spacing w:before="0" w:beforeAutospacing="0" w:after="0" w:afterAutospacing="0" w:line="480" w:lineRule="auto"/>
        <w:jc w:val="both"/>
        <w:rPr>
          <w:rFonts w:ascii="Arial" w:hAnsi="Arial" w:cs="Arial"/>
        </w:rPr>
      </w:pPr>
      <w:r w:rsidRPr="006E68B2">
        <w:rPr>
          <w:rFonts w:ascii="Arial" w:hAnsi="Arial" w:cs="Arial"/>
        </w:rPr>
        <w:t xml:space="preserve">The authors declare that they have no conflicts of interest. </w:t>
      </w:r>
    </w:p>
    <w:p w14:paraId="2684AE4A" w14:textId="77777777" w:rsidR="001C674F" w:rsidRPr="006E68B2" w:rsidRDefault="001C674F" w:rsidP="001C674F">
      <w:pPr>
        <w:pStyle w:val="NormalWeb"/>
        <w:spacing w:before="0" w:beforeAutospacing="0" w:after="0" w:afterAutospacing="0" w:line="480" w:lineRule="auto"/>
        <w:jc w:val="both"/>
        <w:rPr>
          <w:rFonts w:ascii="Arial" w:hAnsi="Arial" w:cs="Arial"/>
        </w:rPr>
      </w:pPr>
    </w:p>
    <w:p w14:paraId="4B1F1DA8" w14:textId="77777777" w:rsidR="001C674F" w:rsidRPr="006E68B2" w:rsidRDefault="001C674F" w:rsidP="001C674F">
      <w:pPr>
        <w:pStyle w:val="NormalWeb"/>
        <w:spacing w:before="0" w:beforeAutospacing="0" w:after="0" w:afterAutospacing="0" w:line="480" w:lineRule="auto"/>
        <w:jc w:val="both"/>
        <w:rPr>
          <w:rFonts w:ascii="Arial" w:hAnsi="Arial" w:cs="Arial"/>
        </w:rPr>
      </w:pPr>
      <w:r w:rsidRPr="006E68B2">
        <w:rPr>
          <w:rFonts w:ascii="Arial" w:hAnsi="Arial" w:cs="Arial"/>
          <w:b/>
        </w:rPr>
        <w:t>Ethical approval</w:t>
      </w:r>
    </w:p>
    <w:p w14:paraId="03C18888" w14:textId="77777777" w:rsidR="001C674F" w:rsidRPr="006E68B2" w:rsidRDefault="001C674F" w:rsidP="001C674F">
      <w:pPr>
        <w:pStyle w:val="NormalWeb"/>
        <w:spacing w:before="0" w:beforeAutospacing="0" w:after="0" w:afterAutospacing="0" w:line="480" w:lineRule="auto"/>
        <w:jc w:val="both"/>
        <w:rPr>
          <w:rFonts w:ascii="Arial" w:hAnsi="Arial" w:cs="Arial"/>
        </w:rPr>
      </w:pPr>
      <w:r w:rsidRPr="006E68B2">
        <w:rPr>
          <w:rFonts w:ascii="Arial" w:hAnsi="Arial" w:cs="Arial"/>
        </w:rPr>
        <w:t xml:space="preserve">This study does not require NHS Research Ethics Committee approval since it involves secondary analysis of anonymised data. This study was conducted in accordance with the 1964 Helsinki declaration and its later amendments or comparable ethical standards. </w:t>
      </w:r>
    </w:p>
    <w:p w14:paraId="329F7C5C" w14:textId="77777777" w:rsidR="001C674F" w:rsidRPr="006E68B2" w:rsidRDefault="001C674F" w:rsidP="001C674F">
      <w:pPr>
        <w:pStyle w:val="NormalWeb"/>
        <w:spacing w:before="0" w:beforeAutospacing="0" w:after="0" w:afterAutospacing="0" w:line="480" w:lineRule="auto"/>
        <w:jc w:val="both"/>
        <w:rPr>
          <w:rFonts w:ascii="Arial" w:hAnsi="Arial" w:cs="Arial"/>
        </w:rPr>
      </w:pPr>
    </w:p>
    <w:p w14:paraId="2B729CAE" w14:textId="77777777" w:rsidR="001C674F" w:rsidRPr="006E68B2" w:rsidRDefault="001C674F" w:rsidP="001C674F">
      <w:pPr>
        <w:pStyle w:val="NormalWeb"/>
        <w:spacing w:before="0" w:beforeAutospacing="0" w:after="0" w:afterAutospacing="0" w:line="480" w:lineRule="auto"/>
        <w:jc w:val="both"/>
        <w:rPr>
          <w:rFonts w:ascii="Arial" w:hAnsi="Arial" w:cs="Arial"/>
          <w:b/>
        </w:rPr>
      </w:pPr>
      <w:r w:rsidRPr="006E68B2">
        <w:rPr>
          <w:rFonts w:ascii="Arial" w:hAnsi="Arial" w:cs="Arial"/>
          <w:b/>
        </w:rPr>
        <w:t>Statement of human and animal rights</w:t>
      </w:r>
    </w:p>
    <w:p w14:paraId="630D6D6A" w14:textId="2E4DED6F" w:rsidR="001C674F" w:rsidRPr="006E68B2" w:rsidRDefault="001C674F" w:rsidP="001C674F">
      <w:pPr>
        <w:spacing w:after="0" w:line="480" w:lineRule="auto"/>
        <w:rPr>
          <w:rFonts w:ascii="Arial" w:hAnsi="Arial" w:cs="Arial"/>
        </w:rPr>
      </w:pPr>
      <w:r w:rsidRPr="006E68B2">
        <w:rPr>
          <w:rFonts w:ascii="Arial" w:hAnsi="Arial" w:cs="Arial"/>
        </w:rPr>
        <w:t>This article does not contain any studies with animals performed by any of the authors.</w:t>
      </w:r>
    </w:p>
    <w:p w14:paraId="3EABF882" w14:textId="77777777" w:rsidR="001C674F" w:rsidRPr="006E68B2" w:rsidRDefault="001C674F">
      <w:pPr>
        <w:rPr>
          <w:rFonts w:ascii="Arial" w:hAnsi="Arial" w:cs="Arial"/>
        </w:rPr>
      </w:pPr>
      <w:r w:rsidRPr="006E68B2">
        <w:rPr>
          <w:rFonts w:ascii="Arial" w:hAnsi="Arial" w:cs="Arial"/>
        </w:rPr>
        <w:br w:type="page"/>
      </w:r>
    </w:p>
    <w:p w14:paraId="23282DA6" w14:textId="152B7173" w:rsidR="00644D1E" w:rsidRPr="006E68B2" w:rsidRDefault="00644D1E" w:rsidP="001C674F">
      <w:pPr>
        <w:spacing w:after="0" w:line="480" w:lineRule="auto"/>
        <w:rPr>
          <w:rFonts w:ascii="Arial" w:hAnsi="Arial" w:cs="Arial"/>
          <w:b/>
          <w:bCs/>
          <w:sz w:val="24"/>
          <w:szCs w:val="24"/>
        </w:rPr>
      </w:pPr>
      <w:r w:rsidRPr="006E68B2">
        <w:rPr>
          <w:rFonts w:ascii="Arial" w:hAnsi="Arial" w:cs="Arial"/>
          <w:b/>
          <w:bCs/>
          <w:sz w:val="24"/>
          <w:szCs w:val="24"/>
        </w:rPr>
        <w:lastRenderedPageBreak/>
        <w:t>REFERENCES</w:t>
      </w:r>
    </w:p>
    <w:p w14:paraId="5E355382" w14:textId="4FB95081"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t xml:space="preserve">United Nations Department of Economic and Social Affairs Population Division. World population ageing 2013. http://www.un.org/en/development/desa/population/publications/pdf. </w:t>
      </w:r>
      <w:r w:rsidRPr="006E68B2">
        <w:rPr>
          <w:rFonts w:ascii="Arial" w:hAnsi="Arial" w:cs="Arial"/>
          <w:sz w:val="24"/>
          <w:szCs w:val="24"/>
          <w:shd w:val="clear" w:color="auto" w:fill="FFFFFF"/>
        </w:rPr>
        <w:t>(Accessed 15 Jan 2023).</w:t>
      </w:r>
    </w:p>
    <w:p w14:paraId="3ED1832F" w14:textId="1D120775"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t xml:space="preserve">Dharmarajan K, Strait KM, Tinetti ME </w:t>
      </w:r>
      <w:r w:rsidR="00C000C7" w:rsidRPr="006E68B2">
        <w:rPr>
          <w:rFonts w:ascii="Arial" w:hAnsi="Arial" w:cs="Arial"/>
          <w:i/>
          <w:iCs/>
          <w:sz w:val="24"/>
          <w:szCs w:val="24"/>
        </w:rPr>
        <w:t>et al</w:t>
      </w:r>
      <w:r w:rsidRPr="006E68B2">
        <w:rPr>
          <w:rFonts w:ascii="Arial" w:hAnsi="Arial" w:cs="Arial"/>
          <w:sz w:val="24"/>
          <w:szCs w:val="24"/>
        </w:rPr>
        <w:t xml:space="preserve">. Treatment for multiple acute cardiopulmonary conditions in older adults hospitalized with pneumonia, chronic obstructive pulmonary disease, or heart failure. </w:t>
      </w:r>
      <w:r w:rsidR="00C000C7" w:rsidRPr="006E68B2">
        <w:rPr>
          <w:rFonts w:ascii="Arial" w:hAnsi="Arial" w:cs="Arial"/>
          <w:sz w:val="24"/>
          <w:szCs w:val="24"/>
        </w:rPr>
        <w:t xml:space="preserve">J Am </w:t>
      </w:r>
      <w:proofErr w:type="spellStart"/>
      <w:r w:rsidR="00C000C7" w:rsidRPr="006E68B2">
        <w:rPr>
          <w:rFonts w:ascii="Arial" w:hAnsi="Arial" w:cs="Arial"/>
          <w:sz w:val="24"/>
          <w:szCs w:val="24"/>
        </w:rPr>
        <w:t>Geriatr</w:t>
      </w:r>
      <w:proofErr w:type="spellEnd"/>
      <w:r w:rsidR="00C000C7" w:rsidRPr="006E68B2">
        <w:rPr>
          <w:rFonts w:ascii="Arial" w:hAnsi="Arial" w:cs="Arial"/>
          <w:sz w:val="24"/>
          <w:szCs w:val="24"/>
        </w:rPr>
        <w:t xml:space="preserve"> Soc</w:t>
      </w:r>
      <w:r w:rsidR="007812A3" w:rsidRPr="006E68B2">
        <w:rPr>
          <w:rFonts w:ascii="Arial" w:hAnsi="Arial" w:cs="Arial"/>
          <w:sz w:val="24"/>
          <w:szCs w:val="24"/>
        </w:rPr>
        <w:t xml:space="preserve"> </w:t>
      </w:r>
      <w:r w:rsidR="00C000C7" w:rsidRPr="006E68B2">
        <w:rPr>
          <w:rFonts w:ascii="Arial" w:hAnsi="Arial" w:cs="Arial"/>
          <w:sz w:val="24"/>
          <w:szCs w:val="24"/>
        </w:rPr>
        <w:t>2016</w:t>
      </w:r>
      <w:r w:rsidRPr="006E68B2">
        <w:rPr>
          <w:rFonts w:ascii="Arial" w:hAnsi="Arial" w:cs="Arial"/>
          <w:sz w:val="24"/>
          <w:szCs w:val="24"/>
        </w:rPr>
        <w:t>;</w:t>
      </w:r>
      <w:r w:rsidR="00C000C7" w:rsidRPr="006E68B2">
        <w:rPr>
          <w:rFonts w:ascii="Arial" w:hAnsi="Arial" w:cs="Arial"/>
          <w:sz w:val="24"/>
          <w:szCs w:val="24"/>
        </w:rPr>
        <w:t xml:space="preserve"> </w:t>
      </w:r>
      <w:r w:rsidRPr="006E68B2">
        <w:rPr>
          <w:rFonts w:ascii="Arial" w:hAnsi="Arial" w:cs="Arial"/>
          <w:sz w:val="24"/>
          <w:szCs w:val="24"/>
        </w:rPr>
        <w:t>64:</w:t>
      </w:r>
      <w:r w:rsidR="00C000C7" w:rsidRPr="006E68B2">
        <w:rPr>
          <w:rFonts w:ascii="Arial" w:hAnsi="Arial" w:cs="Arial"/>
          <w:sz w:val="24"/>
          <w:szCs w:val="24"/>
        </w:rPr>
        <w:t xml:space="preserve"> </w:t>
      </w:r>
      <w:r w:rsidRPr="006E68B2">
        <w:rPr>
          <w:rFonts w:ascii="Arial" w:hAnsi="Arial" w:cs="Arial"/>
          <w:sz w:val="24"/>
          <w:szCs w:val="24"/>
        </w:rPr>
        <w:t>1574-82.</w:t>
      </w:r>
    </w:p>
    <w:p w14:paraId="06A27D91" w14:textId="1B7CA9A8"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t xml:space="preserve">Fuller GF. Falls in the elderly. </w:t>
      </w:r>
      <w:r w:rsidR="00F1408B" w:rsidRPr="006E68B2">
        <w:rPr>
          <w:rFonts w:ascii="Arial" w:hAnsi="Arial" w:cs="Arial"/>
          <w:sz w:val="24"/>
          <w:szCs w:val="24"/>
        </w:rPr>
        <w:t>Am Fam Physician 2000</w:t>
      </w:r>
      <w:r w:rsidRPr="006E68B2">
        <w:rPr>
          <w:rFonts w:ascii="Arial" w:hAnsi="Arial" w:cs="Arial"/>
          <w:sz w:val="24"/>
          <w:szCs w:val="24"/>
        </w:rPr>
        <w:t>;</w:t>
      </w:r>
      <w:r w:rsidR="00F1408B" w:rsidRPr="006E68B2">
        <w:rPr>
          <w:rFonts w:ascii="Arial" w:hAnsi="Arial" w:cs="Arial"/>
          <w:sz w:val="24"/>
          <w:szCs w:val="24"/>
        </w:rPr>
        <w:t xml:space="preserve"> </w:t>
      </w:r>
      <w:r w:rsidRPr="006E68B2">
        <w:rPr>
          <w:rFonts w:ascii="Arial" w:hAnsi="Arial" w:cs="Arial"/>
          <w:sz w:val="24"/>
          <w:szCs w:val="24"/>
        </w:rPr>
        <w:t>61:</w:t>
      </w:r>
      <w:r w:rsidR="00F1408B" w:rsidRPr="006E68B2">
        <w:rPr>
          <w:rFonts w:ascii="Arial" w:hAnsi="Arial" w:cs="Arial"/>
          <w:sz w:val="24"/>
          <w:szCs w:val="24"/>
        </w:rPr>
        <w:t xml:space="preserve"> </w:t>
      </w:r>
      <w:r w:rsidRPr="006E68B2">
        <w:rPr>
          <w:rFonts w:ascii="Arial" w:hAnsi="Arial" w:cs="Arial"/>
          <w:sz w:val="24"/>
          <w:szCs w:val="24"/>
        </w:rPr>
        <w:t>2159</w:t>
      </w:r>
      <w:r w:rsidR="00F1408B" w:rsidRPr="006E68B2">
        <w:rPr>
          <w:rFonts w:ascii="Arial" w:hAnsi="Arial" w:cs="Arial"/>
          <w:sz w:val="24"/>
          <w:szCs w:val="24"/>
        </w:rPr>
        <w:t>-68</w:t>
      </w:r>
      <w:r w:rsidRPr="006E68B2">
        <w:rPr>
          <w:rFonts w:ascii="Arial" w:hAnsi="Arial" w:cs="Arial"/>
          <w:sz w:val="24"/>
          <w:szCs w:val="24"/>
        </w:rPr>
        <w:t>.</w:t>
      </w:r>
    </w:p>
    <w:p w14:paraId="7BC2C3B7" w14:textId="36955F7A"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t xml:space="preserve">Mair A, Wilson M, </w:t>
      </w:r>
      <w:proofErr w:type="spellStart"/>
      <w:r w:rsidRPr="006E68B2">
        <w:rPr>
          <w:rFonts w:ascii="Arial" w:hAnsi="Arial" w:cs="Arial"/>
          <w:sz w:val="24"/>
          <w:szCs w:val="24"/>
        </w:rPr>
        <w:t>Dreischulte</w:t>
      </w:r>
      <w:proofErr w:type="spellEnd"/>
      <w:r w:rsidRPr="006E68B2">
        <w:rPr>
          <w:rFonts w:ascii="Arial" w:hAnsi="Arial" w:cs="Arial"/>
          <w:sz w:val="24"/>
          <w:szCs w:val="24"/>
        </w:rPr>
        <w:t xml:space="preserve"> T. Addressing the challenge of polypharmacy. </w:t>
      </w:r>
      <w:proofErr w:type="spellStart"/>
      <w:r w:rsidR="00975D79" w:rsidRPr="006E68B2">
        <w:rPr>
          <w:rFonts w:ascii="Arial" w:hAnsi="Arial" w:cs="Arial"/>
          <w:sz w:val="24"/>
          <w:szCs w:val="24"/>
        </w:rPr>
        <w:t>Annu</w:t>
      </w:r>
      <w:proofErr w:type="spellEnd"/>
      <w:r w:rsidR="00975D79" w:rsidRPr="006E68B2">
        <w:rPr>
          <w:rFonts w:ascii="Arial" w:hAnsi="Arial" w:cs="Arial"/>
          <w:sz w:val="24"/>
          <w:szCs w:val="24"/>
        </w:rPr>
        <w:t xml:space="preserve"> Rev </w:t>
      </w:r>
      <w:proofErr w:type="spellStart"/>
      <w:r w:rsidR="00975D79" w:rsidRPr="006E68B2">
        <w:rPr>
          <w:rFonts w:ascii="Arial" w:hAnsi="Arial" w:cs="Arial"/>
          <w:sz w:val="24"/>
          <w:szCs w:val="24"/>
        </w:rPr>
        <w:t>Pharmacol</w:t>
      </w:r>
      <w:proofErr w:type="spellEnd"/>
      <w:r w:rsidR="00975D79" w:rsidRPr="006E68B2">
        <w:rPr>
          <w:rFonts w:ascii="Arial" w:hAnsi="Arial" w:cs="Arial"/>
          <w:sz w:val="24"/>
          <w:szCs w:val="24"/>
        </w:rPr>
        <w:t xml:space="preserve"> </w:t>
      </w:r>
      <w:proofErr w:type="spellStart"/>
      <w:r w:rsidR="00975D79" w:rsidRPr="006E68B2">
        <w:rPr>
          <w:rFonts w:ascii="Arial" w:hAnsi="Arial" w:cs="Arial"/>
          <w:sz w:val="24"/>
          <w:szCs w:val="24"/>
        </w:rPr>
        <w:t>Toxicol</w:t>
      </w:r>
      <w:proofErr w:type="spellEnd"/>
      <w:r w:rsidR="00975D79" w:rsidRPr="006E68B2">
        <w:rPr>
          <w:rFonts w:ascii="Arial" w:hAnsi="Arial" w:cs="Arial"/>
          <w:sz w:val="24"/>
          <w:szCs w:val="24"/>
        </w:rPr>
        <w:t xml:space="preserve"> 2020</w:t>
      </w:r>
      <w:r w:rsidRPr="006E68B2">
        <w:rPr>
          <w:rFonts w:ascii="Arial" w:hAnsi="Arial" w:cs="Arial"/>
          <w:sz w:val="24"/>
          <w:szCs w:val="24"/>
        </w:rPr>
        <w:t>;</w:t>
      </w:r>
      <w:r w:rsidR="00975D79" w:rsidRPr="006E68B2">
        <w:rPr>
          <w:rFonts w:ascii="Arial" w:hAnsi="Arial" w:cs="Arial"/>
          <w:sz w:val="24"/>
          <w:szCs w:val="24"/>
        </w:rPr>
        <w:t xml:space="preserve"> </w:t>
      </w:r>
      <w:r w:rsidRPr="006E68B2">
        <w:rPr>
          <w:rFonts w:ascii="Arial" w:hAnsi="Arial" w:cs="Arial"/>
          <w:sz w:val="24"/>
          <w:szCs w:val="24"/>
        </w:rPr>
        <w:t>60:</w:t>
      </w:r>
      <w:r w:rsidR="00975D79" w:rsidRPr="006E68B2">
        <w:rPr>
          <w:rFonts w:ascii="Arial" w:hAnsi="Arial" w:cs="Arial"/>
          <w:sz w:val="24"/>
          <w:szCs w:val="24"/>
        </w:rPr>
        <w:t xml:space="preserve"> </w:t>
      </w:r>
      <w:r w:rsidRPr="006E68B2">
        <w:rPr>
          <w:rFonts w:ascii="Arial" w:hAnsi="Arial" w:cs="Arial"/>
          <w:sz w:val="24"/>
          <w:szCs w:val="24"/>
        </w:rPr>
        <w:t>661-81.</w:t>
      </w:r>
    </w:p>
    <w:p w14:paraId="54CD8BA4" w14:textId="38F8A9C3"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t>Judge A, Javaid MK, Leal J</w:t>
      </w:r>
      <w:r w:rsidR="00F96E93" w:rsidRPr="006E68B2">
        <w:rPr>
          <w:rFonts w:ascii="Arial" w:hAnsi="Arial" w:cs="Arial"/>
          <w:sz w:val="24"/>
          <w:szCs w:val="24"/>
        </w:rPr>
        <w:t xml:space="preserve"> </w:t>
      </w:r>
      <w:r w:rsidR="00F96E93" w:rsidRPr="006E68B2">
        <w:rPr>
          <w:rFonts w:ascii="Arial" w:hAnsi="Arial" w:cs="Arial"/>
          <w:i/>
          <w:iCs/>
          <w:sz w:val="24"/>
          <w:szCs w:val="24"/>
        </w:rPr>
        <w:t>et al</w:t>
      </w:r>
      <w:r w:rsidRPr="006E68B2">
        <w:rPr>
          <w:rFonts w:ascii="Arial" w:hAnsi="Arial" w:cs="Arial"/>
          <w:sz w:val="24"/>
          <w:szCs w:val="24"/>
        </w:rPr>
        <w:t xml:space="preserve">. Models of care for the delivery of secondary fracture prevention after hip fracture: a health service cost, clinical </w:t>
      </w:r>
      <w:proofErr w:type="gramStart"/>
      <w:r w:rsidRPr="006E68B2">
        <w:rPr>
          <w:rFonts w:ascii="Arial" w:hAnsi="Arial" w:cs="Arial"/>
          <w:sz w:val="24"/>
          <w:szCs w:val="24"/>
        </w:rPr>
        <w:t>outcomes</w:t>
      </w:r>
      <w:proofErr w:type="gramEnd"/>
      <w:r w:rsidRPr="006E68B2">
        <w:rPr>
          <w:rFonts w:ascii="Arial" w:hAnsi="Arial" w:cs="Arial"/>
          <w:sz w:val="24"/>
          <w:szCs w:val="24"/>
        </w:rPr>
        <w:t xml:space="preserve"> and cost-effectiveness study within a region of England. Health Services and Delivery Research. 2016 Sep 5;4(28). Available from: https://www.ncbi.nlm.nih.gov/books/NBK385615/ </w:t>
      </w:r>
      <w:proofErr w:type="spellStart"/>
      <w:r w:rsidRPr="006E68B2">
        <w:rPr>
          <w:rFonts w:ascii="Arial" w:hAnsi="Arial" w:cs="Arial"/>
          <w:sz w:val="24"/>
          <w:szCs w:val="24"/>
        </w:rPr>
        <w:t>doi</w:t>
      </w:r>
      <w:proofErr w:type="spellEnd"/>
      <w:r w:rsidRPr="006E68B2">
        <w:rPr>
          <w:rFonts w:ascii="Arial" w:hAnsi="Arial" w:cs="Arial"/>
          <w:sz w:val="24"/>
          <w:szCs w:val="24"/>
        </w:rPr>
        <w:t xml:space="preserve">: 10.3310/hsdr04280 </w:t>
      </w:r>
    </w:p>
    <w:p w14:paraId="632D5F33" w14:textId="12895117"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shd w:val="clear" w:color="auto" w:fill="FFFFFF"/>
        </w:rPr>
      </w:pPr>
      <w:r w:rsidRPr="006E68B2">
        <w:rPr>
          <w:rFonts w:ascii="Arial" w:hAnsi="Arial" w:cs="Arial"/>
          <w:sz w:val="24"/>
          <w:szCs w:val="24"/>
          <w:shd w:val="clear" w:color="auto" w:fill="FFFFFF"/>
        </w:rPr>
        <w:t xml:space="preserve">Castelli A, </w:t>
      </w:r>
      <w:proofErr w:type="spellStart"/>
      <w:r w:rsidRPr="006E68B2">
        <w:rPr>
          <w:rFonts w:ascii="Arial" w:hAnsi="Arial" w:cs="Arial"/>
          <w:sz w:val="24"/>
          <w:szCs w:val="24"/>
          <w:shd w:val="clear" w:color="auto" w:fill="FFFFFF"/>
        </w:rPr>
        <w:t>Daidone</w:t>
      </w:r>
      <w:proofErr w:type="spellEnd"/>
      <w:r w:rsidRPr="006E68B2">
        <w:rPr>
          <w:rFonts w:ascii="Arial" w:hAnsi="Arial" w:cs="Arial"/>
          <w:sz w:val="24"/>
          <w:szCs w:val="24"/>
          <w:shd w:val="clear" w:color="auto" w:fill="FFFFFF"/>
        </w:rPr>
        <w:t xml:space="preserve"> S, Jacobs R, </w:t>
      </w:r>
      <w:proofErr w:type="spellStart"/>
      <w:r w:rsidRPr="006E68B2">
        <w:rPr>
          <w:rFonts w:ascii="Arial" w:hAnsi="Arial" w:cs="Arial"/>
          <w:sz w:val="24"/>
          <w:szCs w:val="24"/>
          <w:shd w:val="clear" w:color="auto" w:fill="FFFFFF"/>
        </w:rPr>
        <w:t>Kasteridis</w:t>
      </w:r>
      <w:proofErr w:type="spellEnd"/>
      <w:r w:rsidRPr="006E68B2">
        <w:rPr>
          <w:rFonts w:ascii="Arial" w:hAnsi="Arial" w:cs="Arial"/>
          <w:sz w:val="24"/>
          <w:szCs w:val="24"/>
          <w:shd w:val="clear" w:color="auto" w:fill="FFFFFF"/>
        </w:rPr>
        <w:t xml:space="preserve"> P, Street AD. The determinants of costs and length of stay for hip fracture patients. </w:t>
      </w:r>
      <w:proofErr w:type="spellStart"/>
      <w:r w:rsidRPr="006E68B2">
        <w:rPr>
          <w:rFonts w:ascii="Arial" w:hAnsi="Arial" w:cs="Arial"/>
          <w:sz w:val="24"/>
          <w:szCs w:val="24"/>
          <w:shd w:val="clear" w:color="auto" w:fill="FFFFFF"/>
        </w:rPr>
        <w:t>PloS</w:t>
      </w:r>
      <w:proofErr w:type="spellEnd"/>
      <w:r w:rsidRPr="006E68B2">
        <w:rPr>
          <w:rFonts w:ascii="Arial" w:hAnsi="Arial" w:cs="Arial"/>
          <w:sz w:val="24"/>
          <w:szCs w:val="24"/>
          <w:shd w:val="clear" w:color="auto" w:fill="FFFFFF"/>
        </w:rPr>
        <w:t xml:space="preserve"> </w:t>
      </w:r>
      <w:r w:rsidR="00A053B8" w:rsidRPr="006E68B2">
        <w:rPr>
          <w:rFonts w:ascii="Arial" w:hAnsi="Arial" w:cs="Arial"/>
          <w:sz w:val="24"/>
          <w:szCs w:val="24"/>
          <w:shd w:val="clear" w:color="auto" w:fill="FFFFFF"/>
        </w:rPr>
        <w:t>O</w:t>
      </w:r>
      <w:r w:rsidRPr="006E68B2">
        <w:rPr>
          <w:rFonts w:ascii="Arial" w:hAnsi="Arial" w:cs="Arial"/>
          <w:sz w:val="24"/>
          <w:szCs w:val="24"/>
          <w:shd w:val="clear" w:color="auto" w:fill="FFFFFF"/>
        </w:rPr>
        <w:t>ne 2015;</w:t>
      </w:r>
      <w:r w:rsidR="00A053B8" w:rsidRPr="006E68B2">
        <w:rPr>
          <w:rFonts w:ascii="Arial" w:hAnsi="Arial" w:cs="Arial"/>
          <w:sz w:val="24"/>
          <w:szCs w:val="24"/>
          <w:shd w:val="clear" w:color="auto" w:fill="FFFFFF"/>
        </w:rPr>
        <w:t xml:space="preserve"> </w:t>
      </w:r>
      <w:r w:rsidRPr="006E68B2">
        <w:rPr>
          <w:rFonts w:ascii="Arial" w:hAnsi="Arial" w:cs="Arial"/>
          <w:sz w:val="24"/>
          <w:szCs w:val="24"/>
          <w:shd w:val="clear" w:color="auto" w:fill="FFFFFF"/>
        </w:rPr>
        <w:t>10:</w:t>
      </w:r>
      <w:r w:rsidR="00A053B8" w:rsidRPr="006E68B2">
        <w:rPr>
          <w:rFonts w:ascii="Arial" w:hAnsi="Arial" w:cs="Arial"/>
          <w:sz w:val="24"/>
          <w:szCs w:val="24"/>
          <w:shd w:val="clear" w:color="auto" w:fill="FFFFFF"/>
        </w:rPr>
        <w:t xml:space="preserve"> </w:t>
      </w:r>
      <w:r w:rsidRPr="006E68B2">
        <w:rPr>
          <w:rFonts w:ascii="Arial" w:hAnsi="Arial" w:cs="Arial"/>
          <w:sz w:val="24"/>
          <w:szCs w:val="24"/>
          <w:shd w:val="clear" w:color="auto" w:fill="FFFFFF"/>
        </w:rPr>
        <w:t>e0133545.</w:t>
      </w:r>
    </w:p>
    <w:p w14:paraId="79DB2E06" w14:textId="096C15B4"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t>Royal College of Physicians. NHFD annual report 2019. https://www.rcplondon.ac.uk/projects/outputs/nhfd-annual-report-2019</w:t>
      </w:r>
    </w:p>
    <w:p w14:paraId="6881A7C5" w14:textId="29144371"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rPr>
      </w:pPr>
      <w:proofErr w:type="spellStart"/>
      <w:r w:rsidRPr="006E68B2">
        <w:rPr>
          <w:rFonts w:ascii="Arial" w:hAnsi="Arial" w:cs="Arial"/>
          <w:sz w:val="24"/>
          <w:szCs w:val="24"/>
        </w:rPr>
        <w:t>Spinewine</w:t>
      </w:r>
      <w:proofErr w:type="spellEnd"/>
      <w:r w:rsidRPr="006E68B2">
        <w:rPr>
          <w:rFonts w:ascii="Arial" w:hAnsi="Arial" w:cs="Arial"/>
          <w:sz w:val="24"/>
          <w:szCs w:val="24"/>
        </w:rPr>
        <w:t xml:space="preserve"> A, </w:t>
      </w:r>
      <w:proofErr w:type="spellStart"/>
      <w:r w:rsidRPr="006E68B2">
        <w:rPr>
          <w:rFonts w:ascii="Arial" w:hAnsi="Arial" w:cs="Arial"/>
          <w:sz w:val="24"/>
          <w:szCs w:val="24"/>
        </w:rPr>
        <w:t>Schmader</w:t>
      </w:r>
      <w:proofErr w:type="spellEnd"/>
      <w:r w:rsidRPr="006E68B2">
        <w:rPr>
          <w:rFonts w:ascii="Arial" w:hAnsi="Arial" w:cs="Arial"/>
          <w:sz w:val="24"/>
          <w:szCs w:val="24"/>
        </w:rPr>
        <w:t xml:space="preserve"> KE, Barber N</w:t>
      </w:r>
      <w:r w:rsidR="00CF74FC" w:rsidRPr="006E68B2">
        <w:rPr>
          <w:rFonts w:ascii="Arial" w:hAnsi="Arial" w:cs="Arial"/>
          <w:sz w:val="24"/>
          <w:szCs w:val="24"/>
        </w:rPr>
        <w:t xml:space="preserve"> </w:t>
      </w:r>
      <w:r w:rsidR="00CF74FC" w:rsidRPr="006E68B2">
        <w:rPr>
          <w:rFonts w:ascii="Arial" w:hAnsi="Arial" w:cs="Arial"/>
          <w:i/>
          <w:iCs/>
          <w:sz w:val="24"/>
          <w:szCs w:val="24"/>
        </w:rPr>
        <w:t>et al</w:t>
      </w:r>
      <w:r w:rsidRPr="006E68B2">
        <w:rPr>
          <w:rFonts w:ascii="Arial" w:hAnsi="Arial" w:cs="Arial"/>
          <w:sz w:val="24"/>
          <w:szCs w:val="24"/>
        </w:rPr>
        <w:t xml:space="preserve">. Appropriate prescribing in elderly people: how well can it be measured and </w:t>
      </w:r>
      <w:proofErr w:type="gramStart"/>
      <w:r w:rsidRPr="006E68B2">
        <w:rPr>
          <w:rFonts w:ascii="Arial" w:hAnsi="Arial" w:cs="Arial"/>
          <w:sz w:val="24"/>
          <w:szCs w:val="24"/>
        </w:rPr>
        <w:t>optimised?.</w:t>
      </w:r>
      <w:proofErr w:type="gramEnd"/>
      <w:r w:rsidRPr="006E68B2">
        <w:rPr>
          <w:rFonts w:ascii="Arial" w:hAnsi="Arial" w:cs="Arial"/>
          <w:sz w:val="24"/>
          <w:szCs w:val="24"/>
        </w:rPr>
        <w:t xml:space="preserve"> Lancet 2007;</w:t>
      </w:r>
      <w:r w:rsidR="00CF74FC" w:rsidRPr="006E68B2">
        <w:rPr>
          <w:rFonts w:ascii="Arial" w:hAnsi="Arial" w:cs="Arial"/>
          <w:sz w:val="24"/>
          <w:szCs w:val="24"/>
        </w:rPr>
        <w:t xml:space="preserve"> </w:t>
      </w:r>
      <w:r w:rsidRPr="006E68B2">
        <w:rPr>
          <w:rFonts w:ascii="Arial" w:hAnsi="Arial" w:cs="Arial"/>
          <w:sz w:val="24"/>
          <w:szCs w:val="24"/>
        </w:rPr>
        <w:t>370:</w:t>
      </w:r>
      <w:r w:rsidR="00CF74FC" w:rsidRPr="006E68B2">
        <w:rPr>
          <w:rFonts w:ascii="Arial" w:hAnsi="Arial" w:cs="Arial"/>
          <w:sz w:val="24"/>
          <w:szCs w:val="24"/>
        </w:rPr>
        <w:t xml:space="preserve"> </w:t>
      </w:r>
      <w:r w:rsidRPr="006E68B2">
        <w:rPr>
          <w:rFonts w:ascii="Arial" w:hAnsi="Arial" w:cs="Arial"/>
          <w:sz w:val="24"/>
          <w:szCs w:val="24"/>
        </w:rPr>
        <w:t>173-84.</w:t>
      </w:r>
    </w:p>
    <w:p w14:paraId="510E19B1" w14:textId="5C2F992D"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t>Wise J. Polypharmacy: a necessary evil. BMJ 2013;347.</w:t>
      </w:r>
    </w:p>
    <w:p w14:paraId="403EC88E" w14:textId="26887650"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shd w:val="clear" w:color="auto" w:fill="FFFFFF"/>
        </w:rPr>
      </w:pPr>
      <w:r w:rsidRPr="006E68B2">
        <w:rPr>
          <w:rFonts w:ascii="Arial" w:hAnsi="Arial" w:cs="Arial"/>
          <w:sz w:val="24"/>
          <w:szCs w:val="24"/>
          <w:shd w:val="clear" w:color="auto" w:fill="FFFFFF"/>
        </w:rPr>
        <w:lastRenderedPageBreak/>
        <w:t xml:space="preserve">Cahir C, Fahey T, </w:t>
      </w:r>
      <w:proofErr w:type="spellStart"/>
      <w:r w:rsidRPr="006E68B2">
        <w:rPr>
          <w:rFonts w:ascii="Arial" w:hAnsi="Arial" w:cs="Arial"/>
          <w:sz w:val="24"/>
          <w:szCs w:val="24"/>
          <w:shd w:val="clear" w:color="auto" w:fill="FFFFFF"/>
        </w:rPr>
        <w:t>Teeling</w:t>
      </w:r>
      <w:proofErr w:type="spellEnd"/>
      <w:r w:rsidRPr="006E68B2">
        <w:rPr>
          <w:rFonts w:ascii="Arial" w:hAnsi="Arial" w:cs="Arial"/>
          <w:sz w:val="24"/>
          <w:szCs w:val="24"/>
          <w:shd w:val="clear" w:color="auto" w:fill="FFFFFF"/>
        </w:rPr>
        <w:t xml:space="preserve"> M, </w:t>
      </w:r>
      <w:proofErr w:type="spellStart"/>
      <w:r w:rsidRPr="006E68B2">
        <w:rPr>
          <w:rFonts w:ascii="Arial" w:hAnsi="Arial" w:cs="Arial"/>
          <w:sz w:val="24"/>
          <w:szCs w:val="24"/>
          <w:shd w:val="clear" w:color="auto" w:fill="FFFFFF"/>
        </w:rPr>
        <w:t>Teljeur</w:t>
      </w:r>
      <w:proofErr w:type="spellEnd"/>
      <w:r w:rsidRPr="006E68B2">
        <w:rPr>
          <w:rFonts w:ascii="Arial" w:hAnsi="Arial" w:cs="Arial"/>
          <w:sz w:val="24"/>
          <w:szCs w:val="24"/>
          <w:shd w:val="clear" w:color="auto" w:fill="FFFFFF"/>
        </w:rPr>
        <w:t xml:space="preserve"> C, Feely J, Bennett K. Potentially inappropriate </w:t>
      </w:r>
      <w:proofErr w:type="gramStart"/>
      <w:r w:rsidRPr="006E68B2">
        <w:rPr>
          <w:rFonts w:ascii="Arial" w:hAnsi="Arial" w:cs="Arial"/>
          <w:sz w:val="24"/>
          <w:szCs w:val="24"/>
          <w:shd w:val="clear" w:color="auto" w:fill="FFFFFF"/>
        </w:rPr>
        <w:t>prescribing</w:t>
      </w:r>
      <w:proofErr w:type="gramEnd"/>
      <w:r w:rsidRPr="006E68B2">
        <w:rPr>
          <w:rFonts w:ascii="Arial" w:hAnsi="Arial" w:cs="Arial"/>
          <w:sz w:val="24"/>
          <w:szCs w:val="24"/>
          <w:shd w:val="clear" w:color="auto" w:fill="FFFFFF"/>
        </w:rPr>
        <w:t xml:space="preserve"> and cost outcomes for older people: a national population study. </w:t>
      </w:r>
      <w:r w:rsidR="005851C7" w:rsidRPr="006E68B2">
        <w:rPr>
          <w:rFonts w:ascii="Arial" w:hAnsi="Arial" w:cs="Arial"/>
          <w:sz w:val="24"/>
          <w:szCs w:val="24"/>
          <w:shd w:val="clear" w:color="auto" w:fill="FFFFFF"/>
        </w:rPr>
        <w:t xml:space="preserve">Br J Clin </w:t>
      </w:r>
      <w:proofErr w:type="spellStart"/>
      <w:r w:rsidR="005851C7" w:rsidRPr="006E68B2">
        <w:rPr>
          <w:rFonts w:ascii="Arial" w:hAnsi="Arial" w:cs="Arial"/>
          <w:sz w:val="24"/>
          <w:szCs w:val="24"/>
          <w:shd w:val="clear" w:color="auto" w:fill="FFFFFF"/>
        </w:rPr>
        <w:t>Pharmacol</w:t>
      </w:r>
      <w:proofErr w:type="spellEnd"/>
      <w:r w:rsidR="005851C7" w:rsidRPr="006E68B2">
        <w:rPr>
          <w:rFonts w:ascii="Arial" w:hAnsi="Arial" w:cs="Arial"/>
          <w:sz w:val="24"/>
          <w:szCs w:val="24"/>
          <w:shd w:val="clear" w:color="auto" w:fill="FFFFFF"/>
        </w:rPr>
        <w:t xml:space="preserve"> 2010</w:t>
      </w:r>
      <w:r w:rsidRPr="006E68B2">
        <w:rPr>
          <w:rFonts w:ascii="Arial" w:hAnsi="Arial" w:cs="Arial"/>
          <w:sz w:val="24"/>
          <w:szCs w:val="24"/>
          <w:shd w:val="clear" w:color="auto" w:fill="FFFFFF"/>
        </w:rPr>
        <w:t>;</w:t>
      </w:r>
      <w:r w:rsidR="005851C7" w:rsidRPr="006E68B2">
        <w:rPr>
          <w:rFonts w:ascii="Arial" w:hAnsi="Arial" w:cs="Arial"/>
          <w:sz w:val="24"/>
          <w:szCs w:val="24"/>
          <w:shd w:val="clear" w:color="auto" w:fill="FFFFFF"/>
        </w:rPr>
        <w:t xml:space="preserve"> </w:t>
      </w:r>
      <w:r w:rsidRPr="006E68B2">
        <w:rPr>
          <w:rFonts w:ascii="Arial" w:hAnsi="Arial" w:cs="Arial"/>
          <w:sz w:val="24"/>
          <w:szCs w:val="24"/>
          <w:shd w:val="clear" w:color="auto" w:fill="FFFFFF"/>
        </w:rPr>
        <w:t>69:</w:t>
      </w:r>
      <w:r w:rsidR="005851C7" w:rsidRPr="006E68B2">
        <w:rPr>
          <w:rFonts w:ascii="Arial" w:hAnsi="Arial" w:cs="Arial"/>
          <w:sz w:val="24"/>
          <w:szCs w:val="24"/>
          <w:shd w:val="clear" w:color="auto" w:fill="FFFFFF"/>
        </w:rPr>
        <w:t xml:space="preserve"> </w:t>
      </w:r>
      <w:r w:rsidRPr="006E68B2">
        <w:rPr>
          <w:rFonts w:ascii="Arial" w:hAnsi="Arial" w:cs="Arial"/>
          <w:sz w:val="24"/>
          <w:szCs w:val="24"/>
          <w:shd w:val="clear" w:color="auto" w:fill="FFFFFF"/>
        </w:rPr>
        <w:t>543-52.</w:t>
      </w:r>
    </w:p>
    <w:p w14:paraId="24FC6F13" w14:textId="1AF79128"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t xml:space="preserve">Lu WH, Wen YW, Chen LK, Hsiao FY. Effect of polypharmacy, potentially inappropriate </w:t>
      </w:r>
      <w:proofErr w:type="gramStart"/>
      <w:r w:rsidRPr="006E68B2">
        <w:rPr>
          <w:rFonts w:ascii="Arial" w:hAnsi="Arial" w:cs="Arial"/>
          <w:sz w:val="24"/>
          <w:szCs w:val="24"/>
        </w:rPr>
        <w:t>medications</w:t>
      </w:r>
      <w:proofErr w:type="gramEnd"/>
      <w:r w:rsidRPr="006E68B2">
        <w:rPr>
          <w:rFonts w:ascii="Arial" w:hAnsi="Arial" w:cs="Arial"/>
          <w:sz w:val="24"/>
          <w:szCs w:val="24"/>
        </w:rPr>
        <w:t xml:space="preserve"> and anticholinergic burden on clinical outcomes: a retrospective cohort study. CMAJ 2015;</w:t>
      </w:r>
      <w:r w:rsidR="00ED7A05" w:rsidRPr="006E68B2">
        <w:rPr>
          <w:rFonts w:ascii="Arial" w:hAnsi="Arial" w:cs="Arial"/>
          <w:sz w:val="24"/>
          <w:szCs w:val="24"/>
        </w:rPr>
        <w:t xml:space="preserve"> </w:t>
      </w:r>
      <w:r w:rsidRPr="006E68B2">
        <w:rPr>
          <w:rFonts w:ascii="Arial" w:hAnsi="Arial" w:cs="Arial"/>
          <w:sz w:val="24"/>
          <w:szCs w:val="24"/>
        </w:rPr>
        <w:t>187:</w:t>
      </w:r>
      <w:r w:rsidR="00ED7A05" w:rsidRPr="006E68B2">
        <w:rPr>
          <w:rFonts w:ascii="Arial" w:hAnsi="Arial" w:cs="Arial"/>
          <w:sz w:val="24"/>
          <w:szCs w:val="24"/>
        </w:rPr>
        <w:t xml:space="preserve"> </w:t>
      </w:r>
      <w:r w:rsidRPr="006E68B2">
        <w:rPr>
          <w:rFonts w:ascii="Arial" w:hAnsi="Arial" w:cs="Arial"/>
          <w:sz w:val="24"/>
          <w:szCs w:val="24"/>
        </w:rPr>
        <w:t>E130-7.</w:t>
      </w:r>
    </w:p>
    <w:p w14:paraId="033DE23B" w14:textId="4A00C7A3"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rPr>
      </w:pPr>
      <w:proofErr w:type="spellStart"/>
      <w:r w:rsidRPr="006E68B2">
        <w:rPr>
          <w:rFonts w:ascii="Arial" w:hAnsi="Arial" w:cs="Arial"/>
          <w:sz w:val="24"/>
          <w:szCs w:val="24"/>
        </w:rPr>
        <w:t>Salahudeen</w:t>
      </w:r>
      <w:proofErr w:type="spellEnd"/>
      <w:r w:rsidRPr="006E68B2">
        <w:rPr>
          <w:rFonts w:ascii="Arial" w:hAnsi="Arial" w:cs="Arial"/>
          <w:sz w:val="24"/>
          <w:szCs w:val="24"/>
        </w:rPr>
        <w:t xml:space="preserve"> MS, </w:t>
      </w:r>
      <w:proofErr w:type="spellStart"/>
      <w:r w:rsidRPr="006E68B2">
        <w:rPr>
          <w:rFonts w:ascii="Arial" w:hAnsi="Arial" w:cs="Arial"/>
          <w:sz w:val="24"/>
          <w:szCs w:val="24"/>
        </w:rPr>
        <w:t>Hilmer</w:t>
      </w:r>
      <w:proofErr w:type="spellEnd"/>
      <w:r w:rsidRPr="006E68B2">
        <w:rPr>
          <w:rFonts w:ascii="Arial" w:hAnsi="Arial" w:cs="Arial"/>
          <w:sz w:val="24"/>
          <w:szCs w:val="24"/>
        </w:rPr>
        <w:t xml:space="preserve"> SN, </w:t>
      </w:r>
      <w:proofErr w:type="spellStart"/>
      <w:r w:rsidRPr="006E68B2">
        <w:rPr>
          <w:rFonts w:ascii="Arial" w:hAnsi="Arial" w:cs="Arial"/>
          <w:sz w:val="24"/>
          <w:szCs w:val="24"/>
        </w:rPr>
        <w:t>Nishtala</w:t>
      </w:r>
      <w:proofErr w:type="spellEnd"/>
      <w:r w:rsidRPr="006E68B2">
        <w:rPr>
          <w:rFonts w:ascii="Arial" w:hAnsi="Arial" w:cs="Arial"/>
          <w:sz w:val="24"/>
          <w:szCs w:val="24"/>
        </w:rPr>
        <w:t xml:space="preserve"> PS. Comparison of anticholinergic risk scales and associations with adverse health outcomes in older people. </w:t>
      </w:r>
      <w:r w:rsidR="00ED7A05" w:rsidRPr="006E68B2">
        <w:rPr>
          <w:rFonts w:ascii="Arial" w:hAnsi="Arial" w:cs="Arial"/>
          <w:sz w:val="24"/>
          <w:szCs w:val="24"/>
        </w:rPr>
        <w:t xml:space="preserve">J Am </w:t>
      </w:r>
      <w:proofErr w:type="spellStart"/>
      <w:r w:rsidR="00ED7A05" w:rsidRPr="006E68B2">
        <w:rPr>
          <w:rFonts w:ascii="Arial" w:hAnsi="Arial" w:cs="Arial"/>
          <w:sz w:val="24"/>
          <w:szCs w:val="24"/>
        </w:rPr>
        <w:t>Geriatr</w:t>
      </w:r>
      <w:proofErr w:type="spellEnd"/>
      <w:r w:rsidR="00ED7A05" w:rsidRPr="006E68B2">
        <w:rPr>
          <w:rFonts w:ascii="Arial" w:hAnsi="Arial" w:cs="Arial"/>
          <w:sz w:val="24"/>
          <w:szCs w:val="24"/>
        </w:rPr>
        <w:t xml:space="preserve"> Soc 2015</w:t>
      </w:r>
      <w:r w:rsidRPr="006E68B2">
        <w:rPr>
          <w:rFonts w:ascii="Arial" w:hAnsi="Arial" w:cs="Arial"/>
          <w:sz w:val="24"/>
          <w:szCs w:val="24"/>
        </w:rPr>
        <w:t>;</w:t>
      </w:r>
      <w:r w:rsidR="00ED7A05" w:rsidRPr="006E68B2">
        <w:rPr>
          <w:rFonts w:ascii="Arial" w:hAnsi="Arial" w:cs="Arial"/>
          <w:sz w:val="24"/>
          <w:szCs w:val="24"/>
        </w:rPr>
        <w:t xml:space="preserve"> </w:t>
      </w:r>
      <w:r w:rsidRPr="006E68B2">
        <w:rPr>
          <w:rFonts w:ascii="Arial" w:hAnsi="Arial" w:cs="Arial"/>
          <w:sz w:val="24"/>
          <w:szCs w:val="24"/>
        </w:rPr>
        <w:t>63:</w:t>
      </w:r>
      <w:r w:rsidR="00ED7A05" w:rsidRPr="006E68B2">
        <w:rPr>
          <w:rFonts w:ascii="Arial" w:hAnsi="Arial" w:cs="Arial"/>
          <w:sz w:val="24"/>
          <w:szCs w:val="24"/>
        </w:rPr>
        <w:t xml:space="preserve"> </w:t>
      </w:r>
      <w:r w:rsidRPr="006E68B2">
        <w:rPr>
          <w:rFonts w:ascii="Arial" w:hAnsi="Arial" w:cs="Arial"/>
          <w:sz w:val="24"/>
          <w:szCs w:val="24"/>
        </w:rPr>
        <w:t>85-90.</w:t>
      </w:r>
    </w:p>
    <w:p w14:paraId="398B767A" w14:textId="7AEBFAC8"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t>Liang CK, Chou MY, Hsu YH</w:t>
      </w:r>
      <w:r w:rsidR="00C377B5" w:rsidRPr="006E68B2">
        <w:rPr>
          <w:rFonts w:ascii="Arial" w:hAnsi="Arial" w:cs="Arial"/>
          <w:sz w:val="24"/>
          <w:szCs w:val="24"/>
        </w:rPr>
        <w:t xml:space="preserve"> </w:t>
      </w:r>
      <w:r w:rsidR="00C377B5" w:rsidRPr="006E68B2">
        <w:rPr>
          <w:rFonts w:ascii="Arial" w:hAnsi="Arial" w:cs="Arial"/>
          <w:i/>
          <w:iCs/>
          <w:sz w:val="24"/>
          <w:szCs w:val="24"/>
        </w:rPr>
        <w:t>et al</w:t>
      </w:r>
      <w:r w:rsidRPr="006E68B2">
        <w:rPr>
          <w:rFonts w:ascii="Arial" w:hAnsi="Arial" w:cs="Arial"/>
          <w:sz w:val="24"/>
          <w:szCs w:val="24"/>
        </w:rPr>
        <w:t>. The association of potentially inappropriate medications, polypharmacy and anticholinergic burden with readmission and emergency room revisit after discharge: A hospital</w:t>
      </w:r>
      <w:r w:rsidRPr="006E68B2">
        <w:rPr>
          <w:rFonts w:ascii="Cambria Math" w:hAnsi="Cambria Math" w:cs="Cambria Math"/>
          <w:sz w:val="24"/>
          <w:szCs w:val="24"/>
        </w:rPr>
        <w:t>‐</w:t>
      </w:r>
      <w:r w:rsidRPr="006E68B2">
        <w:rPr>
          <w:rFonts w:ascii="Arial" w:hAnsi="Arial" w:cs="Arial"/>
          <w:sz w:val="24"/>
          <w:szCs w:val="24"/>
        </w:rPr>
        <w:t xml:space="preserve">based retrospective cohort study. </w:t>
      </w:r>
      <w:r w:rsidR="00C377B5" w:rsidRPr="006E68B2">
        <w:rPr>
          <w:rFonts w:ascii="Arial" w:hAnsi="Arial" w:cs="Arial"/>
          <w:sz w:val="24"/>
          <w:szCs w:val="24"/>
        </w:rPr>
        <w:t xml:space="preserve">Br J Clin </w:t>
      </w:r>
      <w:proofErr w:type="spellStart"/>
      <w:r w:rsidR="00C377B5" w:rsidRPr="006E68B2">
        <w:rPr>
          <w:rFonts w:ascii="Arial" w:hAnsi="Arial" w:cs="Arial"/>
          <w:sz w:val="24"/>
          <w:szCs w:val="24"/>
        </w:rPr>
        <w:t>Pharmacol</w:t>
      </w:r>
      <w:proofErr w:type="spellEnd"/>
      <w:r w:rsidR="00C377B5" w:rsidRPr="006E68B2">
        <w:rPr>
          <w:rFonts w:ascii="Arial" w:hAnsi="Arial" w:cs="Arial"/>
          <w:sz w:val="24"/>
          <w:szCs w:val="24"/>
        </w:rPr>
        <w:t xml:space="preserve"> 2023</w:t>
      </w:r>
      <w:r w:rsidRPr="006E68B2">
        <w:rPr>
          <w:rFonts w:ascii="Arial" w:hAnsi="Arial" w:cs="Arial"/>
          <w:sz w:val="24"/>
          <w:szCs w:val="24"/>
        </w:rPr>
        <w:t>;</w:t>
      </w:r>
      <w:r w:rsidR="00C377B5" w:rsidRPr="006E68B2">
        <w:rPr>
          <w:rFonts w:ascii="Arial" w:hAnsi="Arial" w:cs="Arial"/>
          <w:sz w:val="24"/>
          <w:szCs w:val="24"/>
        </w:rPr>
        <w:t xml:space="preserve"> </w:t>
      </w:r>
      <w:r w:rsidRPr="006E68B2">
        <w:rPr>
          <w:rFonts w:ascii="Arial" w:hAnsi="Arial" w:cs="Arial"/>
          <w:sz w:val="24"/>
          <w:szCs w:val="24"/>
        </w:rPr>
        <w:t>89:</w:t>
      </w:r>
      <w:r w:rsidR="00C377B5" w:rsidRPr="006E68B2">
        <w:rPr>
          <w:rFonts w:ascii="Arial" w:hAnsi="Arial" w:cs="Arial"/>
          <w:sz w:val="24"/>
          <w:szCs w:val="24"/>
        </w:rPr>
        <w:t xml:space="preserve"> </w:t>
      </w:r>
      <w:r w:rsidRPr="006E68B2">
        <w:rPr>
          <w:rFonts w:ascii="Arial" w:hAnsi="Arial" w:cs="Arial"/>
          <w:sz w:val="24"/>
          <w:szCs w:val="24"/>
        </w:rPr>
        <w:t>187-200.</w:t>
      </w:r>
    </w:p>
    <w:p w14:paraId="5DAA113A" w14:textId="5B7D8F36" w:rsidR="00632991" w:rsidRPr="006E68B2" w:rsidRDefault="00632991" w:rsidP="00644D1E">
      <w:pPr>
        <w:pStyle w:val="ListParagraph"/>
        <w:numPr>
          <w:ilvl w:val="0"/>
          <w:numId w:val="14"/>
        </w:numPr>
        <w:spacing w:after="0" w:line="480" w:lineRule="auto"/>
        <w:ind w:left="426" w:hanging="426"/>
        <w:jc w:val="both"/>
        <w:rPr>
          <w:rFonts w:ascii="Arial" w:hAnsi="Arial" w:cs="Arial"/>
          <w:sz w:val="24"/>
          <w:szCs w:val="24"/>
          <w:shd w:val="clear" w:color="auto" w:fill="FFFFFF"/>
        </w:rPr>
      </w:pPr>
      <w:bookmarkStart w:id="3" w:name="_Hlk125217076"/>
      <w:r w:rsidRPr="006E68B2">
        <w:rPr>
          <w:rFonts w:ascii="Arial" w:hAnsi="Arial" w:cs="Arial"/>
          <w:sz w:val="24"/>
          <w:szCs w:val="24"/>
          <w:shd w:val="clear" w:color="auto" w:fill="FFFFFF"/>
        </w:rPr>
        <w:t xml:space="preserve">De </w:t>
      </w:r>
      <w:proofErr w:type="spellStart"/>
      <w:r w:rsidRPr="006E68B2">
        <w:rPr>
          <w:rFonts w:ascii="Arial" w:hAnsi="Arial" w:cs="Arial"/>
          <w:sz w:val="24"/>
          <w:szCs w:val="24"/>
          <w:shd w:val="clear" w:color="auto" w:fill="FFFFFF"/>
        </w:rPr>
        <w:t>Vincentis</w:t>
      </w:r>
      <w:proofErr w:type="spellEnd"/>
      <w:r w:rsidRPr="006E68B2">
        <w:rPr>
          <w:rFonts w:ascii="Arial" w:hAnsi="Arial" w:cs="Arial"/>
          <w:sz w:val="24"/>
          <w:szCs w:val="24"/>
          <w:shd w:val="clear" w:color="auto" w:fill="FFFFFF"/>
        </w:rPr>
        <w:t xml:space="preserve"> A, Gallo P, </w:t>
      </w:r>
      <w:proofErr w:type="spellStart"/>
      <w:r w:rsidRPr="006E68B2">
        <w:rPr>
          <w:rFonts w:ascii="Arial" w:hAnsi="Arial" w:cs="Arial"/>
          <w:sz w:val="24"/>
          <w:szCs w:val="24"/>
          <w:shd w:val="clear" w:color="auto" w:fill="FFFFFF"/>
        </w:rPr>
        <w:t>Finamore</w:t>
      </w:r>
      <w:proofErr w:type="spellEnd"/>
      <w:r w:rsidRPr="006E68B2">
        <w:rPr>
          <w:rFonts w:ascii="Arial" w:hAnsi="Arial" w:cs="Arial"/>
          <w:sz w:val="24"/>
          <w:szCs w:val="24"/>
          <w:shd w:val="clear" w:color="auto" w:fill="FFFFFF"/>
        </w:rPr>
        <w:t xml:space="preserve"> P</w:t>
      </w:r>
      <w:r w:rsidR="00207EDF" w:rsidRPr="006E68B2">
        <w:rPr>
          <w:rFonts w:ascii="Arial" w:hAnsi="Arial" w:cs="Arial"/>
          <w:sz w:val="24"/>
          <w:szCs w:val="24"/>
          <w:shd w:val="clear" w:color="auto" w:fill="FFFFFF"/>
        </w:rPr>
        <w:t xml:space="preserve"> </w:t>
      </w:r>
      <w:r w:rsidR="00207EDF" w:rsidRPr="006E68B2">
        <w:rPr>
          <w:rFonts w:ascii="Arial" w:hAnsi="Arial" w:cs="Arial"/>
          <w:i/>
          <w:iCs/>
          <w:sz w:val="24"/>
          <w:szCs w:val="24"/>
        </w:rPr>
        <w:t>et al</w:t>
      </w:r>
      <w:r w:rsidRPr="006E68B2">
        <w:rPr>
          <w:rFonts w:ascii="Arial" w:hAnsi="Arial" w:cs="Arial"/>
          <w:sz w:val="24"/>
          <w:szCs w:val="24"/>
          <w:shd w:val="clear" w:color="auto" w:fill="FFFFFF"/>
        </w:rPr>
        <w:t xml:space="preserve">. Potentially inappropriate medications, drug–drug interactions, and anticholinergic burden in elderly hospitalized patients: does an association exist with post-discharge health </w:t>
      </w:r>
      <w:proofErr w:type="gramStart"/>
      <w:r w:rsidRPr="006E68B2">
        <w:rPr>
          <w:rFonts w:ascii="Arial" w:hAnsi="Arial" w:cs="Arial"/>
          <w:sz w:val="24"/>
          <w:szCs w:val="24"/>
          <w:shd w:val="clear" w:color="auto" w:fill="FFFFFF"/>
        </w:rPr>
        <w:t>outcomes?.</w:t>
      </w:r>
      <w:proofErr w:type="gramEnd"/>
      <w:r w:rsidRPr="006E68B2">
        <w:rPr>
          <w:rFonts w:ascii="Arial" w:hAnsi="Arial" w:cs="Arial"/>
          <w:sz w:val="24"/>
          <w:szCs w:val="24"/>
          <w:shd w:val="clear" w:color="auto" w:fill="FFFFFF"/>
        </w:rPr>
        <w:t xml:space="preserve"> Drugs Aging 2020;</w:t>
      </w:r>
      <w:r w:rsidR="00676200" w:rsidRPr="006E68B2">
        <w:rPr>
          <w:rFonts w:ascii="Arial" w:hAnsi="Arial" w:cs="Arial"/>
          <w:sz w:val="24"/>
          <w:szCs w:val="24"/>
          <w:shd w:val="clear" w:color="auto" w:fill="FFFFFF"/>
        </w:rPr>
        <w:t xml:space="preserve"> </w:t>
      </w:r>
      <w:r w:rsidRPr="006E68B2">
        <w:rPr>
          <w:rFonts w:ascii="Arial" w:hAnsi="Arial" w:cs="Arial"/>
          <w:sz w:val="24"/>
          <w:szCs w:val="24"/>
          <w:shd w:val="clear" w:color="auto" w:fill="FFFFFF"/>
        </w:rPr>
        <w:t>37:</w:t>
      </w:r>
      <w:r w:rsidR="00676200" w:rsidRPr="006E68B2">
        <w:rPr>
          <w:rFonts w:ascii="Arial" w:hAnsi="Arial" w:cs="Arial"/>
          <w:sz w:val="24"/>
          <w:szCs w:val="24"/>
          <w:shd w:val="clear" w:color="auto" w:fill="FFFFFF"/>
        </w:rPr>
        <w:t xml:space="preserve"> </w:t>
      </w:r>
      <w:r w:rsidRPr="006E68B2">
        <w:rPr>
          <w:rFonts w:ascii="Arial" w:hAnsi="Arial" w:cs="Arial"/>
          <w:sz w:val="24"/>
          <w:szCs w:val="24"/>
          <w:shd w:val="clear" w:color="auto" w:fill="FFFFFF"/>
        </w:rPr>
        <w:t>585-93.</w:t>
      </w:r>
      <w:bookmarkEnd w:id="3"/>
    </w:p>
    <w:p w14:paraId="066C6BA2" w14:textId="159DA2DC"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t xml:space="preserve">Hanlon P, Quinn TJ, </w:t>
      </w:r>
      <w:proofErr w:type="spellStart"/>
      <w:r w:rsidRPr="006E68B2">
        <w:rPr>
          <w:rFonts w:ascii="Arial" w:hAnsi="Arial" w:cs="Arial"/>
          <w:sz w:val="24"/>
          <w:szCs w:val="24"/>
        </w:rPr>
        <w:t>Gallacher</w:t>
      </w:r>
      <w:proofErr w:type="spellEnd"/>
      <w:r w:rsidRPr="006E68B2">
        <w:rPr>
          <w:rFonts w:ascii="Arial" w:hAnsi="Arial" w:cs="Arial"/>
          <w:sz w:val="24"/>
          <w:szCs w:val="24"/>
        </w:rPr>
        <w:t xml:space="preserve"> KI</w:t>
      </w:r>
      <w:r w:rsidR="00207EDF" w:rsidRPr="006E68B2">
        <w:rPr>
          <w:rFonts w:ascii="Arial" w:hAnsi="Arial" w:cs="Arial"/>
          <w:i/>
          <w:iCs/>
          <w:sz w:val="24"/>
          <w:szCs w:val="24"/>
        </w:rPr>
        <w:t xml:space="preserve"> et al</w:t>
      </w:r>
      <w:r w:rsidRPr="006E68B2">
        <w:rPr>
          <w:rFonts w:ascii="Arial" w:hAnsi="Arial" w:cs="Arial"/>
          <w:sz w:val="24"/>
          <w:szCs w:val="24"/>
        </w:rPr>
        <w:t xml:space="preserve">. Assessing risks of polypharmacy involving medications with anticholinergic properties. </w:t>
      </w:r>
      <w:r w:rsidR="00983057" w:rsidRPr="006E68B2">
        <w:rPr>
          <w:rFonts w:ascii="Arial" w:hAnsi="Arial" w:cs="Arial"/>
          <w:sz w:val="24"/>
          <w:szCs w:val="24"/>
        </w:rPr>
        <w:t>Ann Fam Med 2020</w:t>
      </w:r>
      <w:r w:rsidRPr="006E68B2">
        <w:rPr>
          <w:rFonts w:ascii="Arial" w:hAnsi="Arial" w:cs="Arial"/>
          <w:sz w:val="24"/>
          <w:szCs w:val="24"/>
        </w:rPr>
        <w:t>;</w:t>
      </w:r>
      <w:r w:rsidR="00983057" w:rsidRPr="006E68B2">
        <w:rPr>
          <w:rFonts w:ascii="Arial" w:hAnsi="Arial" w:cs="Arial"/>
          <w:sz w:val="24"/>
          <w:szCs w:val="24"/>
        </w:rPr>
        <w:t xml:space="preserve"> </w:t>
      </w:r>
      <w:r w:rsidRPr="006E68B2">
        <w:rPr>
          <w:rFonts w:ascii="Arial" w:hAnsi="Arial" w:cs="Arial"/>
          <w:sz w:val="24"/>
          <w:szCs w:val="24"/>
        </w:rPr>
        <w:t>18:</w:t>
      </w:r>
      <w:r w:rsidR="00983057" w:rsidRPr="006E68B2">
        <w:rPr>
          <w:rFonts w:ascii="Arial" w:hAnsi="Arial" w:cs="Arial"/>
          <w:sz w:val="24"/>
          <w:szCs w:val="24"/>
        </w:rPr>
        <w:t xml:space="preserve"> </w:t>
      </w:r>
      <w:r w:rsidRPr="006E68B2">
        <w:rPr>
          <w:rFonts w:ascii="Arial" w:hAnsi="Arial" w:cs="Arial"/>
          <w:sz w:val="24"/>
          <w:szCs w:val="24"/>
        </w:rPr>
        <w:t>148-55.</w:t>
      </w:r>
    </w:p>
    <w:p w14:paraId="449B8497" w14:textId="39EEB4DF"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t>National Audit Office (2016) Discharging older patients from hospital. Report by the Comptroller and Auditor General. NAO, London. http://www.nao.org.uk/wp-content/uploads/2015/12/Discharging-older-patients-from-hospital-Summary.pdf. (Accessed 15 Jan 2023).</w:t>
      </w:r>
    </w:p>
    <w:p w14:paraId="2DBE63DE" w14:textId="7ADAE0CB"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lastRenderedPageBreak/>
        <w:t xml:space="preserve">Kaye KS, </w:t>
      </w:r>
      <w:proofErr w:type="spellStart"/>
      <w:r w:rsidRPr="006E68B2">
        <w:rPr>
          <w:rFonts w:ascii="Arial" w:hAnsi="Arial" w:cs="Arial"/>
          <w:sz w:val="24"/>
          <w:szCs w:val="24"/>
        </w:rPr>
        <w:t>Marchaim</w:t>
      </w:r>
      <w:proofErr w:type="spellEnd"/>
      <w:r w:rsidRPr="006E68B2">
        <w:rPr>
          <w:rFonts w:ascii="Arial" w:hAnsi="Arial" w:cs="Arial"/>
          <w:sz w:val="24"/>
          <w:szCs w:val="24"/>
        </w:rPr>
        <w:t xml:space="preserve"> D, Chen TY </w:t>
      </w:r>
      <w:r w:rsidR="00C1344E" w:rsidRPr="006E68B2">
        <w:rPr>
          <w:rFonts w:ascii="Arial" w:hAnsi="Arial" w:cs="Arial"/>
          <w:i/>
          <w:iCs/>
          <w:sz w:val="24"/>
          <w:szCs w:val="24"/>
        </w:rPr>
        <w:t>et al</w:t>
      </w:r>
      <w:r w:rsidRPr="006E68B2">
        <w:rPr>
          <w:rFonts w:ascii="Arial" w:hAnsi="Arial" w:cs="Arial"/>
          <w:sz w:val="24"/>
          <w:szCs w:val="24"/>
        </w:rPr>
        <w:t xml:space="preserve">. Effect of nosocomial bloodstream infections on mortality, length of stay, and hospital costs in older adults. </w:t>
      </w:r>
      <w:r w:rsidR="007068AD" w:rsidRPr="006E68B2">
        <w:rPr>
          <w:rFonts w:ascii="Arial" w:hAnsi="Arial" w:cs="Arial"/>
          <w:sz w:val="24"/>
          <w:szCs w:val="24"/>
        </w:rPr>
        <w:t xml:space="preserve">J Am </w:t>
      </w:r>
      <w:proofErr w:type="spellStart"/>
      <w:r w:rsidR="007068AD" w:rsidRPr="006E68B2">
        <w:rPr>
          <w:rFonts w:ascii="Arial" w:hAnsi="Arial" w:cs="Arial"/>
          <w:sz w:val="24"/>
          <w:szCs w:val="24"/>
        </w:rPr>
        <w:t>Geriatr</w:t>
      </w:r>
      <w:proofErr w:type="spellEnd"/>
      <w:r w:rsidR="007068AD" w:rsidRPr="006E68B2">
        <w:rPr>
          <w:rFonts w:ascii="Arial" w:hAnsi="Arial" w:cs="Arial"/>
          <w:sz w:val="24"/>
          <w:szCs w:val="24"/>
        </w:rPr>
        <w:t xml:space="preserve"> Soc 2014</w:t>
      </w:r>
      <w:r w:rsidRPr="006E68B2">
        <w:rPr>
          <w:rFonts w:ascii="Arial" w:hAnsi="Arial" w:cs="Arial"/>
          <w:sz w:val="24"/>
          <w:szCs w:val="24"/>
        </w:rPr>
        <w:t>;</w:t>
      </w:r>
      <w:r w:rsidR="007068AD" w:rsidRPr="006E68B2">
        <w:rPr>
          <w:rFonts w:ascii="Arial" w:hAnsi="Arial" w:cs="Arial"/>
          <w:sz w:val="24"/>
          <w:szCs w:val="24"/>
        </w:rPr>
        <w:t xml:space="preserve"> </w:t>
      </w:r>
      <w:r w:rsidRPr="006E68B2">
        <w:rPr>
          <w:rFonts w:ascii="Arial" w:hAnsi="Arial" w:cs="Arial"/>
          <w:sz w:val="24"/>
          <w:szCs w:val="24"/>
        </w:rPr>
        <w:t>62:</w:t>
      </w:r>
      <w:r w:rsidR="007068AD" w:rsidRPr="006E68B2">
        <w:rPr>
          <w:rFonts w:ascii="Arial" w:hAnsi="Arial" w:cs="Arial"/>
          <w:sz w:val="24"/>
          <w:szCs w:val="24"/>
        </w:rPr>
        <w:t xml:space="preserve"> </w:t>
      </w:r>
      <w:r w:rsidRPr="006E68B2">
        <w:rPr>
          <w:rFonts w:ascii="Arial" w:hAnsi="Arial" w:cs="Arial"/>
          <w:sz w:val="24"/>
          <w:szCs w:val="24"/>
        </w:rPr>
        <w:t>306-11.</w:t>
      </w:r>
    </w:p>
    <w:p w14:paraId="270ED1FA" w14:textId="77777777" w:rsidR="003C1F0B" w:rsidRPr="006E68B2" w:rsidRDefault="003C1F0B" w:rsidP="003C1F0B">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t xml:space="preserve">Han TS, Murray P, Robin J, Wilkinson P, Fluck D, Fry CH. Evaluation of the association of length of stay in hospital and outcomes. Int J Qual Health Care 2022; 34:mzab160. </w:t>
      </w:r>
    </w:p>
    <w:p w14:paraId="7E9A2E5F" w14:textId="77777777" w:rsidR="003C1F0B" w:rsidRPr="006E68B2" w:rsidRDefault="003C1F0B" w:rsidP="003C1F0B">
      <w:pPr>
        <w:pStyle w:val="ListParagraph"/>
        <w:numPr>
          <w:ilvl w:val="0"/>
          <w:numId w:val="14"/>
        </w:numPr>
        <w:spacing w:after="0" w:line="480" w:lineRule="auto"/>
        <w:ind w:left="426" w:hanging="426"/>
        <w:jc w:val="both"/>
        <w:rPr>
          <w:rFonts w:ascii="Arial" w:hAnsi="Arial" w:cs="Arial"/>
          <w:sz w:val="24"/>
          <w:szCs w:val="24"/>
        </w:rPr>
      </w:pPr>
      <w:proofErr w:type="spellStart"/>
      <w:r w:rsidRPr="006E68B2">
        <w:rPr>
          <w:rFonts w:ascii="Arial" w:hAnsi="Arial" w:cs="Arial"/>
          <w:sz w:val="24"/>
          <w:szCs w:val="24"/>
        </w:rPr>
        <w:t>Lisk</w:t>
      </w:r>
      <w:proofErr w:type="spellEnd"/>
      <w:r w:rsidRPr="006E68B2">
        <w:rPr>
          <w:rFonts w:ascii="Arial" w:hAnsi="Arial" w:cs="Arial"/>
          <w:sz w:val="24"/>
          <w:szCs w:val="24"/>
        </w:rPr>
        <w:t xml:space="preserve"> R, Uddin M, </w:t>
      </w:r>
      <w:proofErr w:type="spellStart"/>
      <w:r w:rsidRPr="006E68B2">
        <w:rPr>
          <w:rFonts w:ascii="Arial" w:hAnsi="Arial" w:cs="Arial"/>
          <w:sz w:val="24"/>
          <w:szCs w:val="24"/>
        </w:rPr>
        <w:t>Parbhoo</w:t>
      </w:r>
      <w:proofErr w:type="spellEnd"/>
      <w:r w:rsidRPr="006E68B2">
        <w:rPr>
          <w:rFonts w:ascii="Arial" w:hAnsi="Arial" w:cs="Arial"/>
          <w:sz w:val="24"/>
          <w:szCs w:val="24"/>
        </w:rPr>
        <w:t xml:space="preserve"> A </w:t>
      </w:r>
      <w:r w:rsidRPr="006E68B2">
        <w:rPr>
          <w:rFonts w:ascii="Arial" w:hAnsi="Arial" w:cs="Arial"/>
          <w:i/>
          <w:iCs/>
          <w:sz w:val="24"/>
          <w:szCs w:val="24"/>
        </w:rPr>
        <w:t>et al</w:t>
      </w:r>
      <w:r w:rsidRPr="006E68B2">
        <w:rPr>
          <w:rFonts w:ascii="Arial" w:hAnsi="Arial" w:cs="Arial"/>
          <w:sz w:val="24"/>
          <w:szCs w:val="24"/>
        </w:rPr>
        <w:t>. Predictive model of length of stay in hospital among older patients. Aging Clin Exp Res 2019; 31: 993-9.</w:t>
      </w:r>
    </w:p>
    <w:p w14:paraId="7BF1E872" w14:textId="77777777" w:rsidR="003C1F0B" w:rsidRPr="006E68B2" w:rsidRDefault="003C1F0B" w:rsidP="003C1F0B">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t>World Health Organization (2004) ICD-10: international statistical classification of diseases and related health problems: tenth revision. WHO, Geneva.</w:t>
      </w:r>
    </w:p>
    <w:p w14:paraId="3EEB25D3" w14:textId="34A4F326" w:rsidR="00DC1013" w:rsidRPr="006E68B2" w:rsidRDefault="003C1F0B" w:rsidP="003C1F0B">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t xml:space="preserve">Yeong K, </w:t>
      </w:r>
      <w:proofErr w:type="spellStart"/>
      <w:r w:rsidRPr="006E68B2">
        <w:rPr>
          <w:rFonts w:ascii="Arial" w:hAnsi="Arial" w:cs="Arial"/>
          <w:sz w:val="24"/>
          <w:szCs w:val="24"/>
        </w:rPr>
        <w:t>Lisk</w:t>
      </w:r>
      <w:proofErr w:type="spellEnd"/>
      <w:r w:rsidRPr="006E68B2">
        <w:rPr>
          <w:rFonts w:ascii="Arial" w:hAnsi="Arial" w:cs="Arial"/>
          <w:sz w:val="24"/>
          <w:szCs w:val="24"/>
        </w:rPr>
        <w:t xml:space="preserve"> R, Watters H </w:t>
      </w:r>
      <w:r w:rsidRPr="006E68B2">
        <w:rPr>
          <w:rFonts w:ascii="Arial" w:hAnsi="Arial" w:cs="Arial"/>
          <w:i/>
          <w:iCs/>
          <w:sz w:val="24"/>
          <w:szCs w:val="24"/>
        </w:rPr>
        <w:t>et al</w:t>
      </w:r>
      <w:r w:rsidRPr="006E68B2">
        <w:rPr>
          <w:rFonts w:ascii="Arial" w:hAnsi="Arial" w:cs="Arial"/>
          <w:sz w:val="24"/>
          <w:szCs w:val="24"/>
        </w:rPr>
        <w:t xml:space="preserve">. Pre-fracture mobility using standardized scale as an early indicator of high health risk in patients with a hip fracture. </w:t>
      </w:r>
      <w:r w:rsidR="00AA70C2" w:rsidRPr="006E68B2">
        <w:rPr>
          <w:rFonts w:ascii="Arial" w:hAnsi="Arial" w:cs="Arial"/>
          <w:sz w:val="24"/>
          <w:szCs w:val="24"/>
        </w:rPr>
        <w:t>Ageing Int 2023; 48: 301-15.</w:t>
      </w:r>
    </w:p>
    <w:p w14:paraId="6FCA0B6D" w14:textId="7FF92EE2"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shd w:val="clear" w:color="auto" w:fill="FFFFFF"/>
        </w:rPr>
      </w:pPr>
      <w:r w:rsidRPr="006E68B2">
        <w:rPr>
          <w:rStyle w:val="ref-title"/>
          <w:rFonts w:ascii="Arial" w:hAnsi="Arial" w:cs="Arial"/>
          <w:sz w:val="24"/>
          <w:szCs w:val="24"/>
          <w:shd w:val="clear" w:color="auto" w:fill="FFFFFF"/>
        </w:rPr>
        <w:t>Aging Brain Care</w:t>
      </w:r>
      <w:r w:rsidRPr="006E68B2">
        <w:rPr>
          <w:rFonts w:ascii="Arial" w:hAnsi="Arial" w:cs="Arial"/>
          <w:sz w:val="24"/>
          <w:szCs w:val="24"/>
          <w:shd w:val="clear" w:color="auto" w:fill="FFFFFF"/>
        </w:rPr>
        <w:t>. </w:t>
      </w:r>
      <w:r w:rsidRPr="006E68B2">
        <w:rPr>
          <w:rStyle w:val="ref-journal"/>
          <w:rFonts w:ascii="Arial" w:hAnsi="Arial" w:cs="Arial"/>
          <w:i/>
          <w:iCs/>
          <w:sz w:val="24"/>
          <w:szCs w:val="24"/>
          <w:shd w:val="clear" w:color="auto" w:fill="FFFFFF"/>
        </w:rPr>
        <w:t>Anticholinergic cognitive burden scale</w:t>
      </w:r>
      <w:r w:rsidRPr="006E68B2">
        <w:rPr>
          <w:rFonts w:ascii="Arial" w:hAnsi="Arial" w:cs="Arial"/>
          <w:sz w:val="24"/>
          <w:szCs w:val="24"/>
          <w:shd w:val="clear" w:color="auto" w:fill="FFFFFF"/>
        </w:rPr>
        <w:t xml:space="preserve">. </w:t>
      </w:r>
      <w:proofErr w:type="spellStart"/>
      <w:r w:rsidRPr="006E68B2">
        <w:rPr>
          <w:rFonts w:ascii="Arial" w:hAnsi="Arial" w:cs="Arial"/>
          <w:sz w:val="24"/>
          <w:szCs w:val="24"/>
          <w:shd w:val="clear" w:color="auto" w:fill="FFFFFF"/>
        </w:rPr>
        <w:t>Regenstrief</w:t>
      </w:r>
      <w:proofErr w:type="spellEnd"/>
      <w:r w:rsidRPr="006E68B2">
        <w:rPr>
          <w:rFonts w:ascii="Arial" w:hAnsi="Arial" w:cs="Arial"/>
          <w:sz w:val="24"/>
          <w:szCs w:val="24"/>
          <w:shd w:val="clear" w:color="auto" w:fill="FFFFFF"/>
        </w:rPr>
        <w:t xml:space="preserve"> Institute, 2012. </w:t>
      </w:r>
      <w:hyperlink r:id="rId14" w:tgtFrame="_blank" w:history="1">
        <w:r w:rsidRPr="006E68B2">
          <w:rPr>
            <w:rStyle w:val="Hyperlink"/>
            <w:rFonts w:ascii="Arial" w:hAnsi="Arial" w:cs="Arial"/>
            <w:color w:val="auto"/>
            <w:sz w:val="24"/>
            <w:szCs w:val="24"/>
            <w:u w:val="none"/>
            <w:shd w:val="clear" w:color="auto" w:fill="FFFFFF"/>
          </w:rPr>
          <w:t>https://corumpharmacy.com/wp-content/uploads/2020/08/Anticholinergic-cognitive-burden-scale.pdf</w:t>
        </w:r>
      </w:hyperlink>
      <w:r w:rsidRPr="006E68B2">
        <w:rPr>
          <w:rFonts w:ascii="Arial" w:hAnsi="Arial" w:cs="Arial"/>
          <w:sz w:val="24"/>
          <w:szCs w:val="24"/>
          <w:shd w:val="clear" w:color="auto" w:fill="FFFFFF"/>
        </w:rPr>
        <w:t> (Accessed 15 Jan 2023).</w:t>
      </w:r>
    </w:p>
    <w:p w14:paraId="0C15B9AD" w14:textId="41DABFB4" w:rsidR="00DC1013" w:rsidRPr="006E68B2" w:rsidRDefault="00DC1013" w:rsidP="00DC1013">
      <w:pPr>
        <w:pStyle w:val="ListParagraph"/>
        <w:numPr>
          <w:ilvl w:val="0"/>
          <w:numId w:val="14"/>
        </w:numPr>
        <w:spacing w:after="0" w:line="480" w:lineRule="auto"/>
        <w:ind w:left="426" w:hanging="426"/>
        <w:jc w:val="both"/>
        <w:rPr>
          <w:rFonts w:ascii="Arial" w:hAnsi="Arial" w:cs="Arial"/>
          <w:sz w:val="24"/>
          <w:szCs w:val="24"/>
        </w:rPr>
      </w:pPr>
      <w:proofErr w:type="spellStart"/>
      <w:r w:rsidRPr="006E68B2">
        <w:rPr>
          <w:rFonts w:ascii="Arial" w:hAnsi="Arial" w:cs="Arial"/>
          <w:sz w:val="24"/>
          <w:szCs w:val="24"/>
        </w:rPr>
        <w:t>Nakham</w:t>
      </w:r>
      <w:proofErr w:type="spellEnd"/>
      <w:r w:rsidRPr="006E68B2">
        <w:rPr>
          <w:rFonts w:ascii="Arial" w:hAnsi="Arial" w:cs="Arial"/>
          <w:sz w:val="24"/>
          <w:szCs w:val="24"/>
        </w:rPr>
        <w:t xml:space="preserve"> A, </w:t>
      </w:r>
      <w:proofErr w:type="spellStart"/>
      <w:r w:rsidRPr="006E68B2">
        <w:rPr>
          <w:rFonts w:ascii="Arial" w:hAnsi="Arial" w:cs="Arial"/>
          <w:sz w:val="24"/>
          <w:szCs w:val="24"/>
        </w:rPr>
        <w:t>Myint</w:t>
      </w:r>
      <w:proofErr w:type="spellEnd"/>
      <w:r w:rsidRPr="006E68B2">
        <w:rPr>
          <w:rFonts w:ascii="Arial" w:hAnsi="Arial" w:cs="Arial"/>
          <w:sz w:val="24"/>
          <w:szCs w:val="24"/>
        </w:rPr>
        <w:t xml:space="preserve"> PK, Bond CM</w:t>
      </w:r>
      <w:r w:rsidR="00D143C0" w:rsidRPr="006E68B2">
        <w:rPr>
          <w:rFonts w:ascii="Arial" w:hAnsi="Arial" w:cs="Arial"/>
          <w:sz w:val="24"/>
          <w:szCs w:val="24"/>
        </w:rPr>
        <w:t xml:space="preserve"> </w:t>
      </w:r>
      <w:r w:rsidR="00D143C0" w:rsidRPr="006E68B2">
        <w:rPr>
          <w:rFonts w:ascii="Arial" w:hAnsi="Arial" w:cs="Arial"/>
          <w:i/>
          <w:iCs/>
          <w:sz w:val="24"/>
          <w:szCs w:val="24"/>
        </w:rPr>
        <w:t>et al</w:t>
      </w:r>
      <w:r w:rsidRPr="006E68B2">
        <w:rPr>
          <w:rFonts w:ascii="Arial" w:hAnsi="Arial" w:cs="Arial"/>
          <w:sz w:val="24"/>
          <w:szCs w:val="24"/>
        </w:rPr>
        <w:t xml:space="preserve">. Interventions to reduce anticholinergic burden in adults aged 65 and older: a systematic review. </w:t>
      </w:r>
      <w:r w:rsidR="00D143C0" w:rsidRPr="006E68B2">
        <w:rPr>
          <w:rFonts w:ascii="Arial" w:hAnsi="Arial" w:cs="Arial"/>
          <w:sz w:val="24"/>
          <w:szCs w:val="24"/>
        </w:rPr>
        <w:t>J Am Med Dir Assoc 2020</w:t>
      </w:r>
      <w:r w:rsidRPr="006E68B2">
        <w:rPr>
          <w:rFonts w:ascii="Arial" w:hAnsi="Arial" w:cs="Arial"/>
          <w:sz w:val="24"/>
          <w:szCs w:val="24"/>
        </w:rPr>
        <w:t>;</w:t>
      </w:r>
      <w:r w:rsidR="00D143C0" w:rsidRPr="006E68B2">
        <w:rPr>
          <w:rFonts w:ascii="Arial" w:hAnsi="Arial" w:cs="Arial"/>
          <w:sz w:val="24"/>
          <w:szCs w:val="24"/>
        </w:rPr>
        <w:t xml:space="preserve"> </w:t>
      </w:r>
      <w:r w:rsidRPr="006E68B2">
        <w:rPr>
          <w:rFonts w:ascii="Arial" w:hAnsi="Arial" w:cs="Arial"/>
          <w:sz w:val="24"/>
          <w:szCs w:val="24"/>
        </w:rPr>
        <w:t>21:</w:t>
      </w:r>
      <w:r w:rsidR="00D143C0" w:rsidRPr="006E68B2">
        <w:rPr>
          <w:rFonts w:ascii="Arial" w:hAnsi="Arial" w:cs="Arial"/>
          <w:sz w:val="24"/>
          <w:szCs w:val="24"/>
        </w:rPr>
        <w:t xml:space="preserve"> </w:t>
      </w:r>
      <w:r w:rsidRPr="006E68B2">
        <w:rPr>
          <w:rFonts w:ascii="Arial" w:hAnsi="Arial" w:cs="Arial"/>
          <w:sz w:val="24"/>
          <w:szCs w:val="24"/>
        </w:rPr>
        <w:t>172-80.</w:t>
      </w:r>
    </w:p>
    <w:p w14:paraId="775E621E" w14:textId="705D2ED6" w:rsidR="00644D1E" w:rsidRPr="006E68B2" w:rsidRDefault="00644D1E" w:rsidP="00DC1013">
      <w:pPr>
        <w:pStyle w:val="ListParagraph"/>
        <w:numPr>
          <w:ilvl w:val="0"/>
          <w:numId w:val="14"/>
        </w:numPr>
        <w:spacing w:after="0" w:line="480" w:lineRule="auto"/>
        <w:ind w:left="426" w:hanging="426"/>
        <w:jc w:val="both"/>
        <w:rPr>
          <w:rFonts w:ascii="Arial" w:hAnsi="Arial" w:cs="Arial"/>
          <w:sz w:val="24"/>
          <w:szCs w:val="24"/>
        </w:rPr>
      </w:pPr>
      <w:r w:rsidRPr="006E68B2">
        <w:rPr>
          <w:rFonts w:ascii="Arial" w:hAnsi="Arial" w:cs="Arial"/>
          <w:sz w:val="24"/>
          <w:szCs w:val="24"/>
        </w:rPr>
        <w:t xml:space="preserve">van der Meer HG, </w:t>
      </w:r>
      <w:proofErr w:type="spellStart"/>
      <w:r w:rsidRPr="006E68B2">
        <w:rPr>
          <w:rFonts w:ascii="Arial" w:hAnsi="Arial" w:cs="Arial"/>
          <w:sz w:val="24"/>
          <w:szCs w:val="24"/>
        </w:rPr>
        <w:t>Wouters</w:t>
      </w:r>
      <w:proofErr w:type="spellEnd"/>
      <w:r w:rsidRPr="006E68B2">
        <w:rPr>
          <w:rFonts w:ascii="Arial" w:hAnsi="Arial" w:cs="Arial"/>
          <w:sz w:val="24"/>
          <w:szCs w:val="24"/>
        </w:rPr>
        <w:t xml:space="preserve"> H, Pont LG, Taxis K. Reducing the anticholinergic and sedative load in older patients on polypharmacy by pharmacist-led medication review: a randomised controlled trial. BMJ </w:t>
      </w:r>
      <w:r w:rsidR="00D143C0" w:rsidRPr="006E68B2">
        <w:rPr>
          <w:rFonts w:ascii="Arial" w:hAnsi="Arial" w:cs="Arial"/>
          <w:sz w:val="24"/>
          <w:szCs w:val="24"/>
        </w:rPr>
        <w:t>O</w:t>
      </w:r>
      <w:r w:rsidRPr="006E68B2">
        <w:rPr>
          <w:rFonts w:ascii="Arial" w:hAnsi="Arial" w:cs="Arial"/>
          <w:sz w:val="24"/>
          <w:szCs w:val="24"/>
        </w:rPr>
        <w:t>pen 2018;</w:t>
      </w:r>
      <w:r w:rsidR="00D143C0" w:rsidRPr="006E68B2">
        <w:rPr>
          <w:rFonts w:ascii="Arial" w:hAnsi="Arial" w:cs="Arial"/>
          <w:sz w:val="24"/>
          <w:szCs w:val="24"/>
        </w:rPr>
        <w:t xml:space="preserve"> </w:t>
      </w:r>
      <w:r w:rsidRPr="006E68B2">
        <w:rPr>
          <w:rFonts w:ascii="Arial" w:hAnsi="Arial" w:cs="Arial"/>
          <w:sz w:val="24"/>
          <w:szCs w:val="24"/>
        </w:rPr>
        <w:t>8:</w:t>
      </w:r>
      <w:r w:rsidR="00D143C0" w:rsidRPr="006E68B2">
        <w:rPr>
          <w:rFonts w:ascii="Arial" w:hAnsi="Arial" w:cs="Arial"/>
          <w:sz w:val="24"/>
          <w:szCs w:val="24"/>
        </w:rPr>
        <w:t xml:space="preserve"> </w:t>
      </w:r>
      <w:r w:rsidRPr="006E68B2">
        <w:rPr>
          <w:rFonts w:ascii="Arial" w:hAnsi="Arial" w:cs="Arial"/>
          <w:sz w:val="24"/>
          <w:szCs w:val="24"/>
        </w:rPr>
        <w:t>e019042.</w:t>
      </w:r>
    </w:p>
    <w:p w14:paraId="09F4B0EE" w14:textId="6DEE7721" w:rsidR="00AA686C" w:rsidRPr="006E68B2" w:rsidRDefault="00AA686C" w:rsidP="00AA686C">
      <w:pPr>
        <w:pStyle w:val="ListParagraph"/>
        <w:numPr>
          <w:ilvl w:val="0"/>
          <w:numId w:val="14"/>
        </w:numPr>
        <w:spacing w:after="0" w:line="480" w:lineRule="auto"/>
        <w:ind w:left="426" w:hanging="426"/>
        <w:jc w:val="both"/>
        <w:rPr>
          <w:rFonts w:ascii="Arial" w:hAnsi="Arial" w:cs="Arial"/>
          <w:sz w:val="24"/>
          <w:szCs w:val="24"/>
          <w:shd w:val="clear" w:color="auto" w:fill="FFFFFF"/>
        </w:rPr>
      </w:pPr>
      <w:r w:rsidRPr="006E68B2">
        <w:rPr>
          <w:rFonts w:ascii="Arial" w:hAnsi="Arial" w:cs="Arial"/>
          <w:sz w:val="24"/>
          <w:szCs w:val="24"/>
          <w:shd w:val="clear" w:color="auto" w:fill="FFFFFF"/>
        </w:rPr>
        <w:t xml:space="preserve">Davies EA, </w:t>
      </w:r>
      <w:proofErr w:type="spellStart"/>
      <w:r w:rsidRPr="006E68B2">
        <w:rPr>
          <w:rFonts w:ascii="Arial" w:hAnsi="Arial" w:cs="Arial"/>
          <w:sz w:val="24"/>
          <w:szCs w:val="24"/>
          <w:shd w:val="clear" w:color="auto" w:fill="FFFFFF"/>
        </w:rPr>
        <w:t>O'mahony</w:t>
      </w:r>
      <w:proofErr w:type="spellEnd"/>
      <w:r w:rsidRPr="006E68B2">
        <w:rPr>
          <w:rFonts w:ascii="Arial" w:hAnsi="Arial" w:cs="Arial"/>
          <w:sz w:val="24"/>
          <w:szCs w:val="24"/>
          <w:shd w:val="clear" w:color="auto" w:fill="FFFFFF"/>
        </w:rPr>
        <w:t xml:space="preserve"> MS. Adverse drug reactions in special populations–the elderly. </w:t>
      </w:r>
      <w:r w:rsidR="00D143C0" w:rsidRPr="006E68B2">
        <w:rPr>
          <w:rFonts w:ascii="Arial" w:hAnsi="Arial" w:cs="Arial"/>
          <w:sz w:val="24"/>
          <w:szCs w:val="24"/>
          <w:shd w:val="clear" w:color="auto" w:fill="FFFFFF"/>
        </w:rPr>
        <w:t xml:space="preserve">Br J Clin </w:t>
      </w:r>
      <w:proofErr w:type="spellStart"/>
      <w:r w:rsidR="00D143C0" w:rsidRPr="006E68B2">
        <w:rPr>
          <w:rFonts w:ascii="Arial" w:hAnsi="Arial" w:cs="Arial"/>
          <w:sz w:val="24"/>
          <w:szCs w:val="24"/>
          <w:shd w:val="clear" w:color="auto" w:fill="FFFFFF"/>
        </w:rPr>
        <w:t>Pharmacol</w:t>
      </w:r>
      <w:proofErr w:type="spellEnd"/>
      <w:r w:rsidR="00D143C0" w:rsidRPr="006E68B2">
        <w:rPr>
          <w:rFonts w:ascii="Arial" w:hAnsi="Arial" w:cs="Arial"/>
          <w:sz w:val="24"/>
          <w:szCs w:val="24"/>
          <w:shd w:val="clear" w:color="auto" w:fill="FFFFFF"/>
        </w:rPr>
        <w:t xml:space="preserve"> 2015</w:t>
      </w:r>
      <w:r w:rsidRPr="006E68B2">
        <w:rPr>
          <w:rFonts w:ascii="Arial" w:hAnsi="Arial" w:cs="Arial"/>
          <w:sz w:val="24"/>
          <w:szCs w:val="24"/>
          <w:shd w:val="clear" w:color="auto" w:fill="FFFFFF"/>
        </w:rPr>
        <w:t>;</w:t>
      </w:r>
      <w:r w:rsidR="00D143C0" w:rsidRPr="006E68B2">
        <w:rPr>
          <w:rFonts w:ascii="Arial" w:hAnsi="Arial" w:cs="Arial"/>
          <w:sz w:val="24"/>
          <w:szCs w:val="24"/>
          <w:shd w:val="clear" w:color="auto" w:fill="FFFFFF"/>
        </w:rPr>
        <w:t xml:space="preserve"> </w:t>
      </w:r>
      <w:r w:rsidRPr="006E68B2">
        <w:rPr>
          <w:rFonts w:ascii="Arial" w:hAnsi="Arial" w:cs="Arial"/>
          <w:sz w:val="24"/>
          <w:szCs w:val="24"/>
          <w:shd w:val="clear" w:color="auto" w:fill="FFFFFF"/>
        </w:rPr>
        <w:t>80:</w:t>
      </w:r>
      <w:r w:rsidR="00D143C0" w:rsidRPr="006E68B2">
        <w:rPr>
          <w:rFonts w:ascii="Arial" w:hAnsi="Arial" w:cs="Arial"/>
          <w:sz w:val="24"/>
          <w:szCs w:val="24"/>
          <w:shd w:val="clear" w:color="auto" w:fill="FFFFFF"/>
        </w:rPr>
        <w:t xml:space="preserve"> </w:t>
      </w:r>
      <w:r w:rsidRPr="006E68B2">
        <w:rPr>
          <w:rFonts w:ascii="Arial" w:hAnsi="Arial" w:cs="Arial"/>
          <w:sz w:val="24"/>
          <w:szCs w:val="24"/>
          <w:shd w:val="clear" w:color="auto" w:fill="FFFFFF"/>
        </w:rPr>
        <w:t>796-807.</w:t>
      </w:r>
    </w:p>
    <w:p w14:paraId="02DFF3CF" w14:textId="7B7817C9" w:rsidR="00DC1013" w:rsidRPr="006E68B2" w:rsidRDefault="00DC1013" w:rsidP="00AA686C">
      <w:pPr>
        <w:pStyle w:val="ListParagraph"/>
        <w:numPr>
          <w:ilvl w:val="0"/>
          <w:numId w:val="14"/>
        </w:numPr>
        <w:spacing w:after="0" w:line="480" w:lineRule="auto"/>
        <w:ind w:left="426" w:hanging="426"/>
        <w:jc w:val="both"/>
        <w:rPr>
          <w:rFonts w:ascii="Arial" w:hAnsi="Arial" w:cs="Arial"/>
          <w:sz w:val="24"/>
          <w:szCs w:val="24"/>
        </w:rPr>
      </w:pPr>
      <w:proofErr w:type="spellStart"/>
      <w:r w:rsidRPr="006E68B2">
        <w:rPr>
          <w:rFonts w:ascii="Arial" w:hAnsi="Arial" w:cs="Arial"/>
          <w:sz w:val="24"/>
          <w:szCs w:val="24"/>
        </w:rPr>
        <w:lastRenderedPageBreak/>
        <w:t>Lavan</w:t>
      </w:r>
      <w:proofErr w:type="spellEnd"/>
      <w:r w:rsidRPr="006E68B2">
        <w:rPr>
          <w:rFonts w:ascii="Arial" w:hAnsi="Arial" w:cs="Arial"/>
          <w:sz w:val="24"/>
          <w:szCs w:val="24"/>
        </w:rPr>
        <w:t xml:space="preserve"> AH, Gallagher P. Predicting risk of adverse drug reactions in older adults. </w:t>
      </w:r>
      <w:proofErr w:type="spellStart"/>
      <w:r w:rsidR="00D143C0" w:rsidRPr="006E68B2">
        <w:rPr>
          <w:rFonts w:ascii="Arial" w:hAnsi="Arial" w:cs="Arial"/>
          <w:sz w:val="24"/>
          <w:szCs w:val="24"/>
        </w:rPr>
        <w:t>Ther</w:t>
      </w:r>
      <w:proofErr w:type="spellEnd"/>
      <w:r w:rsidR="00D143C0" w:rsidRPr="006E68B2">
        <w:rPr>
          <w:rFonts w:ascii="Arial" w:hAnsi="Arial" w:cs="Arial"/>
          <w:sz w:val="24"/>
          <w:szCs w:val="24"/>
        </w:rPr>
        <w:t xml:space="preserve"> Adv Drug </w:t>
      </w:r>
      <w:proofErr w:type="spellStart"/>
      <w:r w:rsidR="00D143C0" w:rsidRPr="006E68B2">
        <w:rPr>
          <w:rFonts w:ascii="Arial" w:hAnsi="Arial" w:cs="Arial"/>
          <w:sz w:val="24"/>
          <w:szCs w:val="24"/>
        </w:rPr>
        <w:t>Saf</w:t>
      </w:r>
      <w:proofErr w:type="spellEnd"/>
      <w:r w:rsidR="00D143C0" w:rsidRPr="006E68B2">
        <w:rPr>
          <w:rFonts w:ascii="Arial" w:hAnsi="Arial" w:cs="Arial"/>
          <w:sz w:val="24"/>
          <w:szCs w:val="24"/>
        </w:rPr>
        <w:t xml:space="preserve"> 2016</w:t>
      </w:r>
      <w:r w:rsidRPr="006E68B2">
        <w:rPr>
          <w:rFonts w:ascii="Arial" w:hAnsi="Arial" w:cs="Arial"/>
          <w:sz w:val="24"/>
          <w:szCs w:val="24"/>
        </w:rPr>
        <w:t>;</w:t>
      </w:r>
      <w:r w:rsidR="00D143C0" w:rsidRPr="006E68B2">
        <w:rPr>
          <w:rFonts w:ascii="Arial" w:hAnsi="Arial" w:cs="Arial"/>
          <w:sz w:val="24"/>
          <w:szCs w:val="24"/>
        </w:rPr>
        <w:t xml:space="preserve"> </w:t>
      </w:r>
      <w:r w:rsidRPr="006E68B2">
        <w:rPr>
          <w:rFonts w:ascii="Arial" w:hAnsi="Arial" w:cs="Arial"/>
          <w:sz w:val="24"/>
          <w:szCs w:val="24"/>
        </w:rPr>
        <w:t>7:</w:t>
      </w:r>
      <w:r w:rsidR="00D143C0" w:rsidRPr="006E68B2">
        <w:rPr>
          <w:rFonts w:ascii="Arial" w:hAnsi="Arial" w:cs="Arial"/>
          <w:sz w:val="24"/>
          <w:szCs w:val="24"/>
        </w:rPr>
        <w:t xml:space="preserve"> </w:t>
      </w:r>
      <w:r w:rsidRPr="006E68B2">
        <w:rPr>
          <w:rFonts w:ascii="Arial" w:hAnsi="Arial" w:cs="Arial"/>
          <w:sz w:val="24"/>
          <w:szCs w:val="24"/>
        </w:rPr>
        <w:t>11-22.</w:t>
      </w:r>
    </w:p>
    <w:p w14:paraId="49356A1D" w14:textId="066DF4BD" w:rsidR="004A286D" w:rsidRPr="006E68B2" w:rsidRDefault="004A286D" w:rsidP="00AA686C">
      <w:pPr>
        <w:pStyle w:val="ListParagraph"/>
        <w:numPr>
          <w:ilvl w:val="0"/>
          <w:numId w:val="14"/>
        </w:numPr>
        <w:spacing w:after="0" w:line="480" w:lineRule="auto"/>
        <w:ind w:left="426" w:hanging="426"/>
        <w:jc w:val="both"/>
        <w:rPr>
          <w:rFonts w:ascii="Arial" w:hAnsi="Arial" w:cs="Arial"/>
          <w:sz w:val="24"/>
          <w:szCs w:val="24"/>
        </w:rPr>
      </w:pPr>
      <w:r w:rsidRPr="006E68B2">
        <w:rPr>
          <w:rFonts w:ascii="Arial" w:eastAsia="Times New Roman" w:hAnsi="Arial" w:cs="Arial"/>
          <w:sz w:val="24"/>
          <w:szCs w:val="24"/>
          <w:bdr w:val="none" w:sz="0" w:space="0" w:color="auto" w:frame="1"/>
          <w:lang w:eastAsia="en-GB"/>
        </w:rPr>
        <w:t xml:space="preserve">Fox KM, Cummings SR, Williams E, Stone K, Study of Osteoporotic Fractures. Femoral neck and intertrochanteric fractures have different risk factors: a prospective study. </w:t>
      </w:r>
      <w:proofErr w:type="spellStart"/>
      <w:r w:rsidRPr="006E68B2">
        <w:rPr>
          <w:rFonts w:ascii="Arial" w:eastAsia="Times New Roman" w:hAnsi="Arial" w:cs="Arial"/>
          <w:sz w:val="24"/>
          <w:szCs w:val="24"/>
          <w:bdr w:val="none" w:sz="0" w:space="0" w:color="auto" w:frame="1"/>
          <w:lang w:eastAsia="en-GB"/>
        </w:rPr>
        <w:t>Osteoporos</w:t>
      </w:r>
      <w:proofErr w:type="spellEnd"/>
      <w:r w:rsidRPr="006E68B2">
        <w:rPr>
          <w:rFonts w:ascii="Arial" w:eastAsia="Times New Roman" w:hAnsi="Arial" w:cs="Arial"/>
          <w:sz w:val="24"/>
          <w:szCs w:val="24"/>
          <w:bdr w:val="none" w:sz="0" w:space="0" w:color="auto" w:frame="1"/>
          <w:lang w:eastAsia="en-GB"/>
        </w:rPr>
        <w:t xml:space="preserve"> Int 2000; 11: 1018-1023.</w:t>
      </w:r>
    </w:p>
    <w:p w14:paraId="734BBA32" w14:textId="22AC575E" w:rsidR="001C2E37" w:rsidRPr="006E68B2" w:rsidRDefault="001C2E37" w:rsidP="00492403">
      <w:r w:rsidRPr="006E68B2">
        <w:rPr>
          <w:b/>
          <w:bCs/>
        </w:rPr>
        <w:br w:type="page"/>
      </w:r>
    </w:p>
    <w:p w14:paraId="361F63BA" w14:textId="77777777" w:rsidR="00312887" w:rsidRPr="006E68B2" w:rsidRDefault="00312887" w:rsidP="00E042B9">
      <w:pPr>
        <w:spacing w:after="0" w:line="480" w:lineRule="auto"/>
        <w:jc w:val="both"/>
        <w:rPr>
          <w:rFonts w:ascii="Arial" w:hAnsi="Arial" w:cs="Arial"/>
          <w:b/>
          <w:sz w:val="24"/>
          <w:szCs w:val="24"/>
        </w:rPr>
      </w:pPr>
      <w:r w:rsidRPr="006E68B2">
        <w:rPr>
          <w:rFonts w:ascii="Arial" w:hAnsi="Arial" w:cs="Arial"/>
          <w:b/>
          <w:sz w:val="24"/>
          <w:szCs w:val="24"/>
        </w:rPr>
        <w:lastRenderedPageBreak/>
        <w:t>LEGENDS</w:t>
      </w:r>
    </w:p>
    <w:p w14:paraId="542D520F" w14:textId="6C461866" w:rsidR="00F04A75" w:rsidRPr="006E68B2" w:rsidRDefault="00F04A75" w:rsidP="00E042B9">
      <w:pPr>
        <w:spacing w:after="0" w:line="480" w:lineRule="auto"/>
        <w:jc w:val="both"/>
        <w:rPr>
          <w:rFonts w:ascii="Arial" w:hAnsi="Arial" w:cs="Arial"/>
          <w:bCs/>
          <w:sz w:val="24"/>
          <w:szCs w:val="24"/>
        </w:rPr>
      </w:pPr>
      <w:r w:rsidRPr="006E68B2">
        <w:rPr>
          <w:rFonts w:ascii="Arial" w:hAnsi="Arial" w:cs="Arial"/>
          <w:b/>
          <w:sz w:val="24"/>
          <w:szCs w:val="24"/>
        </w:rPr>
        <w:t>Figure 1.</w:t>
      </w:r>
      <w:r w:rsidRPr="006E68B2">
        <w:rPr>
          <w:rFonts w:ascii="Arial" w:hAnsi="Arial" w:cs="Arial"/>
          <w:bCs/>
          <w:sz w:val="24"/>
          <w:szCs w:val="24"/>
        </w:rPr>
        <w:t xml:space="preserve"> Length of stay in hospital </w:t>
      </w:r>
      <w:r w:rsidR="00897440" w:rsidRPr="006E68B2">
        <w:rPr>
          <w:rFonts w:ascii="Arial" w:hAnsi="Arial" w:cs="Arial"/>
          <w:sz w:val="24"/>
          <w:szCs w:val="24"/>
        </w:rPr>
        <w:t>(</w:t>
      </w:r>
      <w:r w:rsidR="00433020" w:rsidRPr="006E68B2">
        <w:rPr>
          <w:rFonts w:ascii="Arial" w:hAnsi="Arial" w:cs="Arial"/>
          <w:sz w:val="24"/>
          <w:szCs w:val="24"/>
        </w:rPr>
        <w:t xml:space="preserve">as a </w:t>
      </w:r>
      <w:r w:rsidR="00897440" w:rsidRPr="006E68B2">
        <w:rPr>
          <w:rFonts w:ascii="Arial" w:hAnsi="Arial" w:cs="Arial"/>
          <w:sz w:val="24"/>
          <w:szCs w:val="24"/>
        </w:rPr>
        <w:t xml:space="preserve">continuous variable) </w:t>
      </w:r>
      <w:r w:rsidRPr="006E68B2">
        <w:rPr>
          <w:rFonts w:ascii="Arial" w:hAnsi="Arial" w:cs="Arial"/>
          <w:bCs/>
          <w:sz w:val="24"/>
          <w:szCs w:val="24"/>
        </w:rPr>
        <w:t>according to</w:t>
      </w:r>
      <w:r w:rsidR="00626C38" w:rsidRPr="006E68B2">
        <w:rPr>
          <w:rFonts w:ascii="Arial" w:hAnsi="Arial" w:cs="Arial"/>
          <w:bCs/>
          <w:sz w:val="24"/>
          <w:szCs w:val="24"/>
        </w:rPr>
        <w:t xml:space="preserve"> </w:t>
      </w:r>
      <w:r w:rsidR="00F02CC8" w:rsidRPr="006E68B2">
        <w:rPr>
          <w:rFonts w:ascii="Arial" w:hAnsi="Arial" w:cs="Arial"/>
          <w:bCs/>
          <w:sz w:val="24"/>
          <w:szCs w:val="24"/>
        </w:rPr>
        <w:t xml:space="preserve">levels of </w:t>
      </w:r>
      <w:r w:rsidR="00626C38" w:rsidRPr="006E68B2">
        <w:rPr>
          <w:rFonts w:ascii="Arial" w:hAnsi="Arial" w:cs="Arial"/>
          <w:bCs/>
          <w:sz w:val="24"/>
          <w:szCs w:val="24"/>
        </w:rPr>
        <w:t>medication status</w:t>
      </w:r>
      <w:r w:rsidRPr="006E68B2">
        <w:rPr>
          <w:rFonts w:ascii="Arial" w:hAnsi="Arial" w:cs="Arial"/>
          <w:bCs/>
          <w:sz w:val="24"/>
          <w:szCs w:val="24"/>
        </w:rPr>
        <w:t>.</w:t>
      </w:r>
    </w:p>
    <w:p w14:paraId="4613397B" w14:textId="77777777" w:rsidR="00F04A75" w:rsidRPr="006E68B2" w:rsidRDefault="00F04A75" w:rsidP="00E042B9">
      <w:pPr>
        <w:spacing w:after="0" w:line="480" w:lineRule="auto"/>
        <w:jc w:val="both"/>
        <w:rPr>
          <w:rFonts w:ascii="Arial" w:hAnsi="Arial" w:cs="Arial"/>
          <w:bCs/>
          <w:sz w:val="24"/>
          <w:szCs w:val="24"/>
        </w:rPr>
      </w:pPr>
    </w:p>
    <w:p w14:paraId="6BDEE896" w14:textId="14A4D7C1" w:rsidR="00AF6AA5" w:rsidRPr="006E68B2" w:rsidRDefault="00F04A75" w:rsidP="00492403">
      <w:pPr>
        <w:spacing w:after="0" w:line="480" w:lineRule="auto"/>
        <w:jc w:val="both"/>
        <w:rPr>
          <w:rFonts w:ascii="Arial" w:hAnsi="Arial" w:cs="Arial"/>
          <w:bCs/>
          <w:sz w:val="24"/>
          <w:szCs w:val="24"/>
        </w:rPr>
      </w:pPr>
      <w:r w:rsidRPr="006E68B2">
        <w:rPr>
          <w:rFonts w:ascii="Arial" w:hAnsi="Arial" w:cs="Arial"/>
          <w:b/>
          <w:sz w:val="24"/>
          <w:szCs w:val="24"/>
        </w:rPr>
        <w:t xml:space="preserve">Figure 2. </w:t>
      </w:r>
      <w:r w:rsidR="00626C38" w:rsidRPr="006E68B2">
        <w:rPr>
          <w:rFonts w:ascii="Arial" w:hAnsi="Arial" w:cs="Arial"/>
          <w:bCs/>
          <w:sz w:val="24"/>
          <w:szCs w:val="24"/>
        </w:rPr>
        <w:t>Comparison of length of stay in hospital</w:t>
      </w:r>
      <w:r w:rsidR="00897440" w:rsidRPr="006E68B2">
        <w:rPr>
          <w:rFonts w:ascii="Arial" w:hAnsi="Arial" w:cs="Arial"/>
          <w:bCs/>
          <w:sz w:val="24"/>
          <w:szCs w:val="24"/>
        </w:rPr>
        <w:t xml:space="preserve"> </w:t>
      </w:r>
      <w:r w:rsidR="00897440" w:rsidRPr="006E68B2">
        <w:rPr>
          <w:rFonts w:ascii="Arial" w:hAnsi="Arial" w:cs="Arial"/>
          <w:sz w:val="24"/>
          <w:szCs w:val="24"/>
        </w:rPr>
        <w:t>(</w:t>
      </w:r>
      <w:r w:rsidR="00433020" w:rsidRPr="006E68B2">
        <w:rPr>
          <w:rFonts w:ascii="Arial" w:hAnsi="Arial" w:cs="Arial"/>
          <w:sz w:val="24"/>
          <w:szCs w:val="24"/>
        </w:rPr>
        <w:t xml:space="preserve">as a </w:t>
      </w:r>
      <w:r w:rsidR="00897440" w:rsidRPr="006E68B2">
        <w:rPr>
          <w:rFonts w:ascii="Arial" w:hAnsi="Arial" w:cs="Arial"/>
          <w:sz w:val="24"/>
          <w:szCs w:val="24"/>
        </w:rPr>
        <w:t>continuous variable)</w:t>
      </w:r>
      <w:r w:rsidR="00FD1871" w:rsidRPr="006E68B2">
        <w:rPr>
          <w:rFonts w:ascii="Arial" w:hAnsi="Arial" w:cs="Arial"/>
          <w:bCs/>
          <w:sz w:val="24"/>
          <w:szCs w:val="24"/>
        </w:rPr>
        <w:t xml:space="preserve">, according to levels of medication status, </w:t>
      </w:r>
      <w:r w:rsidR="00626C38" w:rsidRPr="006E68B2">
        <w:rPr>
          <w:rFonts w:ascii="Arial" w:hAnsi="Arial" w:cs="Arial"/>
          <w:bCs/>
          <w:sz w:val="24"/>
          <w:szCs w:val="24"/>
        </w:rPr>
        <w:t>between patients who</w:t>
      </w:r>
      <w:r w:rsidR="00FD1871" w:rsidRPr="006E68B2">
        <w:rPr>
          <w:rFonts w:ascii="Arial" w:hAnsi="Arial" w:cs="Arial"/>
          <w:bCs/>
          <w:sz w:val="24"/>
          <w:szCs w:val="24"/>
        </w:rPr>
        <w:t xml:space="preserve">: </w:t>
      </w:r>
      <w:r w:rsidR="00FD1871" w:rsidRPr="006E68B2">
        <w:rPr>
          <w:rFonts w:ascii="Arial" w:hAnsi="Arial" w:cs="Arial"/>
          <w:b/>
          <w:bCs/>
          <w:sz w:val="24"/>
          <w:szCs w:val="24"/>
        </w:rPr>
        <w:t>A</w:t>
      </w:r>
      <w:r w:rsidR="00FD1871" w:rsidRPr="006E68B2">
        <w:rPr>
          <w:rFonts w:ascii="Arial" w:hAnsi="Arial" w:cs="Arial"/>
          <w:bCs/>
          <w:sz w:val="24"/>
          <w:szCs w:val="24"/>
        </w:rPr>
        <w:t xml:space="preserve">; mobilised within 1-day of surgery </w:t>
      </w:r>
      <w:r w:rsidR="00626C38" w:rsidRPr="006E68B2">
        <w:rPr>
          <w:rFonts w:ascii="Arial" w:hAnsi="Arial" w:cs="Arial"/>
          <w:bCs/>
          <w:sz w:val="24"/>
          <w:szCs w:val="24"/>
        </w:rPr>
        <w:t xml:space="preserve">against those who </w:t>
      </w:r>
      <w:r w:rsidR="00FD1871" w:rsidRPr="006E68B2">
        <w:rPr>
          <w:rFonts w:ascii="Arial" w:hAnsi="Arial" w:cs="Arial"/>
          <w:bCs/>
          <w:sz w:val="24"/>
          <w:szCs w:val="24"/>
        </w:rPr>
        <w:t xml:space="preserve">did not; </w:t>
      </w:r>
      <w:r w:rsidR="00FD1871" w:rsidRPr="006E68B2">
        <w:rPr>
          <w:rFonts w:ascii="Arial" w:hAnsi="Arial" w:cs="Arial"/>
          <w:b/>
          <w:sz w:val="24"/>
          <w:szCs w:val="24"/>
        </w:rPr>
        <w:t>B</w:t>
      </w:r>
      <w:r w:rsidR="00FD1871" w:rsidRPr="006E68B2">
        <w:rPr>
          <w:rFonts w:ascii="Arial" w:hAnsi="Arial" w:cs="Arial"/>
          <w:bCs/>
          <w:sz w:val="24"/>
          <w:szCs w:val="24"/>
        </w:rPr>
        <w:t>,</w:t>
      </w:r>
      <w:r w:rsidR="00626C38" w:rsidRPr="006E68B2">
        <w:rPr>
          <w:rFonts w:ascii="Arial" w:hAnsi="Arial" w:cs="Arial"/>
          <w:bCs/>
          <w:sz w:val="24"/>
          <w:szCs w:val="24"/>
        </w:rPr>
        <w:t xml:space="preserve"> developed pressure ulcers in hospital against those who did not.</w:t>
      </w:r>
    </w:p>
    <w:p w14:paraId="12F5BB57" w14:textId="77777777" w:rsidR="00AF6AA5" w:rsidRPr="006E68B2" w:rsidRDefault="00AF6AA5">
      <w:pPr>
        <w:rPr>
          <w:rFonts w:ascii="Arial" w:hAnsi="Arial" w:cs="Arial"/>
          <w:bCs/>
          <w:sz w:val="24"/>
          <w:szCs w:val="24"/>
        </w:rPr>
      </w:pPr>
      <w:r w:rsidRPr="006E68B2">
        <w:rPr>
          <w:rFonts w:ascii="Arial" w:hAnsi="Arial" w:cs="Arial"/>
          <w:bCs/>
          <w:sz w:val="24"/>
          <w:szCs w:val="24"/>
        </w:rPr>
        <w:br w:type="page"/>
      </w:r>
    </w:p>
    <w:p w14:paraId="2F845172" w14:textId="77777777" w:rsidR="00AF6AA5" w:rsidRPr="006E68B2" w:rsidRDefault="00AF6AA5" w:rsidP="00AF6AA5">
      <w:pPr>
        <w:spacing w:after="0" w:line="480" w:lineRule="auto"/>
        <w:jc w:val="both"/>
        <w:rPr>
          <w:rFonts w:ascii="Arial" w:hAnsi="Arial" w:cs="Arial"/>
          <w:bCs/>
          <w:sz w:val="24"/>
          <w:szCs w:val="24"/>
        </w:rPr>
      </w:pPr>
      <w:r w:rsidRPr="006E68B2">
        <w:rPr>
          <w:rFonts w:ascii="Arial" w:hAnsi="Arial" w:cs="Arial"/>
          <w:b/>
          <w:sz w:val="24"/>
          <w:szCs w:val="24"/>
        </w:rPr>
        <w:lastRenderedPageBreak/>
        <w:t>Figure 1.</w:t>
      </w:r>
    </w:p>
    <w:p w14:paraId="02354195" w14:textId="77777777" w:rsidR="00AF6AA5" w:rsidRPr="006E68B2" w:rsidRDefault="00AF6AA5" w:rsidP="00AF6AA5">
      <w:pPr>
        <w:spacing w:after="0" w:line="480" w:lineRule="auto"/>
        <w:jc w:val="center"/>
        <w:rPr>
          <w:rFonts w:ascii="Arial" w:hAnsi="Arial" w:cs="Arial"/>
          <w:b/>
          <w:sz w:val="24"/>
          <w:szCs w:val="24"/>
        </w:rPr>
      </w:pPr>
      <w:r w:rsidRPr="006E68B2">
        <w:rPr>
          <w:rFonts w:ascii="Arial" w:hAnsi="Arial" w:cs="Arial"/>
          <w:b/>
          <w:noProof/>
          <w:sz w:val="24"/>
          <w:szCs w:val="24"/>
        </w:rPr>
        <w:drawing>
          <wp:inline distT="0" distB="0" distL="0" distR="0" wp14:anchorId="400208B9" wp14:editId="29156EAF">
            <wp:extent cx="5760000" cy="339483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00" cy="3394833"/>
                    </a:xfrm>
                    <a:prstGeom prst="rect">
                      <a:avLst/>
                    </a:prstGeom>
                    <a:noFill/>
                  </pic:spPr>
                </pic:pic>
              </a:graphicData>
            </a:graphic>
          </wp:inline>
        </w:drawing>
      </w:r>
    </w:p>
    <w:p w14:paraId="5021A953" w14:textId="77777777" w:rsidR="00AF6AA5" w:rsidRPr="006E68B2" w:rsidRDefault="00AF6AA5" w:rsidP="00AF6AA5">
      <w:pPr>
        <w:rPr>
          <w:rFonts w:ascii="Arial" w:hAnsi="Arial" w:cs="Arial"/>
          <w:bCs/>
          <w:sz w:val="24"/>
          <w:szCs w:val="24"/>
        </w:rPr>
      </w:pPr>
      <w:r w:rsidRPr="006E68B2">
        <w:rPr>
          <w:rFonts w:ascii="Arial" w:hAnsi="Arial" w:cs="Arial"/>
          <w:bCs/>
          <w:sz w:val="24"/>
          <w:szCs w:val="24"/>
        </w:rPr>
        <w:br w:type="page"/>
      </w:r>
    </w:p>
    <w:p w14:paraId="3669B7D6" w14:textId="77777777" w:rsidR="00AF6AA5" w:rsidRPr="006E68B2" w:rsidRDefault="00AF6AA5" w:rsidP="00AF6AA5">
      <w:pPr>
        <w:spacing w:after="0" w:line="480" w:lineRule="auto"/>
        <w:jc w:val="both"/>
        <w:rPr>
          <w:rFonts w:ascii="Arial" w:hAnsi="Arial" w:cs="Arial"/>
          <w:bCs/>
          <w:sz w:val="24"/>
          <w:szCs w:val="24"/>
        </w:rPr>
      </w:pPr>
      <w:r w:rsidRPr="006E68B2">
        <w:rPr>
          <w:rFonts w:ascii="Arial" w:hAnsi="Arial" w:cs="Arial"/>
          <w:b/>
          <w:sz w:val="24"/>
          <w:szCs w:val="24"/>
        </w:rPr>
        <w:lastRenderedPageBreak/>
        <w:t>Figure 2.</w:t>
      </w:r>
    </w:p>
    <w:p w14:paraId="10BE5FB1" w14:textId="77777777" w:rsidR="00AF6AA5" w:rsidRPr="006E68B2" w:rsidRDefault="00AF6AA5" w:rsidP="00AF6AA5">
      <w:pPr>
        <w:spacing w:after="0" w:line="480" w:lineRule="auto"/>
        <w:jc w:val="center"/>
        <w:rPr>
          <w:rFonts w:ascii="Arial" w:hAnsi="Arial" w:cs="Arial"/>
          <w:bCs/>
          <w:sz w:val="24"/>
          <w:szCs w:val="24"/>
        </w:rPr>
      </w:pPr>
      <w:r w:rsidRPr="006E68B2">
        <w:rPr>
          <w:rFonts w:ascii="Arial" w:hAnsi="Arial" w:cs="Arial"/>
          <w:bCs/>
          <w:sz w:val="24"/>
          <w:szCs w:val="24"/>
        </w:rPr>
        <w:t>(</w:t>
      </w:r>
      <w:r w:rsidRPr="006E68B2">
        <w:rPr>
          <w:rFonts w:ascii="Arial" w:hAnsi="Arial" w:cs="Arial"/>
          <w:b/>
          <w:sz w:val="24"/>
          <w:szCs w:val="24"/>
        </w:rPr>
        <w:t>A</w:t>
      </w:r>
      <w:r w:rsidRPr="006E68B2">
        <w:rPr>
          <w:rFonts w:ascii="Arial" w:hAnsi="Arial" w:cs="Arial"/>
          <w:bCs/>
          <w:sz w:val="24"/>
          <w:szCs w:val="24"/>
        </w:rPr>
        <w:t>)</w:t>
      </w:r>
    </w:p>
    <w:p w14:paraId="7269BFB2" w14:textId="77777777" w:rsidR="00AF6AA5" w:rsidRPr="006E68B2" w:rsidRDefault="00AF6AA5" w:rsidP="00AF6AA5">
      <w:pPr>
        <w:spacing w:after="0" w:line="480" w:lineRule="auto"/>
        <w:jc w:val="center"/>
        <w:rPr>
          <w:rFonts w:ascii="Arial" w:hAnsi="Arial" w:cs="Arial"/>
          <w:bCs/>
          <w:sz w:val="24"/>
          <w:szCs w:val="24"/>
        </w:rPr>
      </w:pPr>
      <w:r w:rsidRPr="006E68B2">
        <w:rPr>
          <w:rFonts w:ascii="Arial" w:hAnsi="Arial" w:cs="Arial"/>
          <w:bCs/>
          <w:noProof/>
          <w:sz w:val="24"/>
          <w:szCs w:val="24"/>
        </w:rPr>
        <w:drawing>
          <wp:inline distT="0" distB="0" distL="0" distR="0" wp14:anchorId="3644025F" wp14:editId="6A1BC556">
            <wp:extent cx="4680000" cy="2758302"/>
            <wp:effectExtent l="0" t="0" r="6350" b="4445"/>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0" cy="2758302"/>
                    </a:xfrm>
                    <a:prstGeom prst="rect">
                      <a:avLst/>
                    </a:prstGeom>
                    <a:noFill/>
                  </pic:spPr>
                </pic:pic>
              </a:graphicData>
            </a:graphic>
          </wp:inline>
        </w:drawing>
      </w:r>
    </w:p>
    <w:p w14:paraId="5DEC0AEB" w14:textId="77777777" w:rsidR="00AF6AA5" w:rsidRPr="006E68B2" w:rsidRDefault="00AF6AA5" w:rsidP="00AF6AA5">
      <w:pPr>
        <w:spacing w:after="0" w:line="480" w:lineRule="auto"/>
        <w:jc w:val="center"/>
        <w:rPr>
          <w:rFonts w:ascii="Arial" w:hAnsi="Arial" w:cs="Arial"/>
          <w:bCs/>
          <w:sz w:val="24"/>
          <w:szCs w:val="24"/>
        </w:rPr>
      </w:pPr>
    </w:p>
    <w:p w14:paraId="436BD1EE" w14:textId="77777777" w:rsidR="00AF6AA5" w:rsidRPr="006E68B2" w:rsidRDefault="00AF6AA5" w:rsidP="00AF6AA5">
      <w:pPr>
        <w:spacing w:after="0" w:line="480" w:lineRule="auto"/>
        <w:jc w:val="center"/>
        <w:rPr>
          <w:rFonts w:ascii="Arial" w:hAnsi="Arial" w:cs="Arial"/>
          <w:bCs/>
          <w:sz w:val="24"/>
          <w:szCs w:val="24"/>
        </w:rPr>
      </w:pPr>
      <w:r w:rsidRPr="006E68B2">
        <w:rPr>
          <w:rFonts w:ascii="Arial" w:hAnsi="Arial" w:cs="Arial"/>
          <w:bCs/>
          <w:sz w:val="24"/>
          <w:szCs w:val="24"/>
        </w:rPr>
        <w:t>(</w:t>
      </w:r>
      <w:r w:rsidRPr="006E68B2">
        <w:rPr>
          <w:rFonts w:ascii="Arial" w:hAnsi="Arial" w:cs="Arial"/>
          <w:b/>
          <w:sz w:val="24"/>
          <w:szCs w:val="24"/>
        </w:rPr>
        <w:t>B</w:t>
      </w:r>
      <w:r w:rsidRPr="006E68B2">
        <w:rPr>
          <w:rFonts w:ascii="Arial" w:hAnsi="Arial" w:cs="Arial"/>
          <w:bCs/>
          <w:sz w:val="24"/>
          <w:szCs w:val="24"/>
        </w:rPr>
        <w:t>)</w:t>
      </w:r>
    </w:p>
    <w:p w14:paraId="1A617B45" w14:textId="77777777" w:rsidR="00AF6AA5" w:rsidRPr="006E68B2" w:rsidRDefault="00AF6AA5" w:rsidP="00AF6AA5">
      <w:pPr>
        <w:spacing w:after="0" w:line="480" w:lineRule="auto"/>
        <w:jc w:val="center"/>
        <w:rPr>
          <w:rFonts w:ascii="Arial" w:hAnsi="Arial" w:cs="Arial"/>
          <w:bCs/>
          <w:sz w:val="24"/>
          <w:szCs w:val="24"/>
        </w:rPr>
      </w:pPr>
      <w:r w:rsidRPr="006E68B2">
        <w:rPr>
          <w:rFonts w:ascii="Arial" w:hAnsi="Arial" w:cs="Arial"/>
          <w:bCs/>
          <w:noProof/>
          <w:sz w:val="24"/>
          <w:szCs w:val="24"/>
        </w:rPr>
        <w:drawing>
          <wp:inline distT="0" distB="0" distL="0" distR="0" wp14:anchorId="466E5161" wp14:editId="1134C79D">
            <wp:extent cx="4680000" cy="2758302"/>
            <wp:effectExtent l="0" t="0" r="6350" b="4445"/>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0" cy="2758302"/>
                    </a:xfrm>
                    <a:prstGeom prst="rect">
                      <a:avLst/>
                    </a:prstGeom>
                    <a:noFill/>
                  </pic:spPr>
                </pic:pic>
              </a:graphicData>
            </a:graphic>
          </wp:inline>
        </w:drawing>
      </w:r>
    </w:p>
    <w:p w14:paraId="28C2B772" w14:textId="77777777" w:rsidR="00AF6AA5" w:rsidRPr="006E68B2" w:rsidRDefault="00AF6AA5" w:rsidP="00AF6AA5">
      <w:pPr>
        <w:rPr>
          <w:rFonts w:ascii="Arial" w:hAnsi="Arial" w:cs="Arial"/>
          <w:bCs/>
          <w:sz w:val="24"/>
          <w:szCs w:val="24"/>
        </w:rPr>
      </w:pPr>
      <w:r w:rsidRPr="006E68B2">
        <w:rPr>
          <w:rFonts w:ascii="Arial" w:hAnsi="Arial" w:cs="Arial"/>
          <w:bCs/>
          <w:sz w:val="24"/>
          <w:szCs w:val="24"/>
        </w:rPr>
        <w:br w:type="page"/>
      </w:r>
    </w:p>
    <w:p w14:paraId="51045ECA" w14:textId="77777777" w:rsidR="00AF6AA5" w:rsidRPr="006E68B2" w:rsidRDefault="00AF6AA5" w:rsidP="00AF6AA5">
      <w:pPr>
        <w:spacing w:after="0" w:line="480" w:lineRule="auto"/>
        <w:jc w:val="both"/>
        <w:rPr>
          <w:rFonts w:ascii="Times New Roman" w:hAnsi="Times New Roman" w:cs="Times New Roman"/>
          <w:sz w:val="24"/>
          <w:szCs w:val="24"/>
        </w:rPr>
      </w:pPr>
      <w:bookmarkStart w:id="4" w:name="_Hlk124414531"/>
      <w:bookmarkStart w:id="5" w:name="_Hlk124414497"/>
      <w:r w:rsidRPr="006E68B2">
        <w:rPr>
          <w:rFonts w:ascii="Arial" w:hAnsi="Arial" w:cs="Arial"/>
          <w:b/>
          <w:sz w:val="24"/>
          <w:szCs w:val="24"/>
        </w:rPr>
        <w:lastRenderedPageBreak/>
        <w:t>Table 1.</w:t>
      </w:r>
      <w:r w:rsidRPr="006E68B2">
        <w:rPr>
          <w:rFonts w:ascii="Arial" w:hAnsi="Arial" w:cs="Arial"/>
          <w:sz w:val="24"/>
          <w:szCs w:val="24"/>
        </w:rPr>
        <w:t xml:space="preserve"> Distribution of 1,105 patients of mean age 83.1 years (SD 8.8) admitted to hospital with hip fractures.</w:t>
      </w:r>
    </w:p>
    <w:p w14:paraId="2FB54513" w14:textId="77777777" w:rsidR="00AF6AA5" w:rsidRPr="006E68B2" w:rsidRDefault="00AF6AA5" w:rsidP="00AF6AA5">
      <w:pPr>
        <w:autoSpaceDE w:val="0"/>
        <w:autoSpaceDN w:val="0"/>
        <w:adjustRightInd w:val="0"/>
        <w:spacing w:after="0" w:line="240" w:lineRule="auto"/>
        <w:rPr>
          <w:rFonts w:ascii="Times New Roman" w:hAnsi="Times New Roman" w:cs="Times New Roman"/>
          <w:sz w:val="24"/>
          <w:szCs w:val="24"/>
        </w:rPr>
      </w:pPr>
    </w:p>
    <w:tbl>
      <w:tblPr>
        <w:tblStyle w:val="TableGrid"/>
        <w:tblW w:w="9072" w:type="dxa"/>
        <w:tblInd w:w="-5" w:type="dxa"/>
        <w:tblLook w:val="04A0" w:firstRow="1" w:lastRow="0" w:firstColumn="1" w:lastColumn="0" w:noHBand="0" w:noVBand="1"/>
      </w:tblPr>
      <w:tblGrid>
        <w:gridCol w:w="5669"/>
        <w:gridCol w:w="1701"/>
        <w:gridCol w:w="1702"/>
      </w:tblGrid>
      <w:tr w:rsidR="00AF6AA5" w:rsidRPr="006E68B2" w14:paraId="162E7D50" w14:textId="77777777" w:rsidTr="00715B47">
        <w:tc>
          <w:tcPr>
            <w:tcW w:w="5669" w:type="dxa"/>
          </w:tcPr>
          <w:p w14:paraId="5827ADA3" w14:textId="77777777" w:rsidR="00AF6AA5" w:rsidRPr="006E68B2" w:rsidRDefault="00AF6AA5" w:rsidP="00715B47">
            <w:pPr>
              <w:rPr>
                <w:rFonts w:ascii="Arial" w:hAnsi="Arial" w:cs="Arial"/>
                <w:sz w:val="24"/>
                <w:szCs w:val="24"/>
              </w:rPr>
            </w:pPr>
          </w:p>
        </w:tc>
        <w:tc>
          <w:tcPr>
            <w:tcW w:w="3403" w:type="dxa"/>
            <w:gridSpan w:val="2"/>
          </w:tcPr>
          <w:p w14:paraId="053D27DA" w14:textId="77777777" w:rsidR="00AF6AA5" w:rsidRPr="006E68B2" w:rsidRDefault="00AF6AA5" w:rsidP="00715B47">
            <w:pPr>
              <w:ind w:left="5"/>
              <w:jc w:val="center"/>
              <w:rPr>
                <w:rFonts w:ascii="Arial" w:hAnsi="Arial" w:cs="Arial"/>
                <w:sz w:val="24"/>
                <w:szCs w:val="24"/>
              </w:rPr>
            </w:pPr>
            <w:r w:rsidRPr="006E68B2">
              <w:rPr>
                <w:rFonts w:ascii="Arial" w:hAnsi="Arial" w:cs="Arial"/>
                <w:sz w:val="24"/>
                <w:szCs w:val="24"/>
              </w:rPr>
              <w:t>Distribution (n = 1,105)</w:t>
            </w:r>
          </w:p>
        </w:tc>
      </w:tr>
      <w:tr w:rsidR="00AF6AA5" w:rsidRPr="006E68B2" w14:paraId="5B8C183C" w14:textId="77777777" w:rsidTr="00715B47">
        <w:tc>
          <w:tcPr>
            <w:tcW w:w="5669" w:type="dxa"/>
          </w:tcPr>
          <w:p w14:paraId="108A1280" w14:textId="77777777" w:rsidR="00AF6AA5" w:rsidRPr="006E68B2" w:rsidRDefault="00AF6AA5" w:rsidP="00715B47">
            <w:pPr>
              <w:rPr>
                <w:rFonts w:ascii="Arial" w:hAnsi="Arial" w:cs="Arial"/>
                <w:sz w:val="24"/>
                <w:szCs w:val="24"/>
              </w:rPr>
            </w:pPr>
          </w:p>
        </w:tc>
        <w:tc>
          <w:tcPr>
            <w:tcW w:w="1701" w:type="dxa"/>
          </w:tcPr>
          <w:p w14:paraId="1BF460F7" w14:textId="77777777" w:rsidR="00AF6AA5" w:rsidRPr="006E68B2" w:rsidRDefault="00AF6AA5" w:rsidP="00715B47">
            <w:pPr>
              <w:ind w:left="5"/>
              <w:jc w:val="center"/>
              <w:rPr>
                <w:rFonts w:ascii="Arial" w:hAnsi="Arial" w:cs="Arial"/>
                <w:sz w:val="24"/>
                <w:szCs w:val="24"/>
              </w:rPr>
            </w:pPr>
            <w:r w:rsidRPr="006E68B2">
              <w:rPr>
                <w:rFonts w:ascii="Arial" w:hAnsi="Arial" w:cs="Arial"/>
                <w:sz w:val="24"/>
                <w:szCs w:val="24"/>
              </w:rPr>
              <w:t>n</w:t>
            </w:r>
          </w:p>
        </w:tc>
        <w:tc>
          <w:tcPr>
            <w:tcW w:w="1702" w:type="dxa"/>
          </w:tcPr>
          <w:p w14:paraId="09389A82" w14:textId="77777777" w:rsidR="00AF6AA5" w:rsidRPr="006E68B2" w:rsidRDefault="00AF6AA5" w:rsidP="00715B47">
            <w:pPr>
              <w:ind w:left="5"/>
              <w:jc w:val="center"/>
              <w:rPr>
                <w:rFonts w:ascii="Arial" w:hAnsi="Arial" w:cs="Arial"/>
                <w:sz w:val="24"/>
                <w:szCs w:val="24"/>
              </w:rPr>
            </w:pPr>
            <w:r w:rsidRPr="006E68B2">
              <w:rPr>
                <w:rFonts w:ascii="Arial" w:hAnsi="Arial" w:cs="Arial"/>
                <w:sz w:val="24"/>
                <w:szCs w:val="24"/>
              </w:rPr>
              <w:t>%</w:t>
            </w:r>
          </w:p>
        </w:tc>
      </w:tr>
      <w:tr w:rsidR="00AF6AA5" w:rsidRPr="006E68B2" w14:paraId="22645CF5" w14:textId="77777777" w:rsidTr="00715B47">
        <w:tc>
          <w:tcPr>
            <w:tcW w:w="5669" w:type="dxa"/>
          </w:tcPr>
          <w:p w14:paraId="288A99AE" w14:textId="77777777" w:rsidR="00AF6AA5" w:rsidRPr="006E68B2" w:rsidRDefault="00AF6AA5" w:rsidP="00715B47">
            <w:pPr>
              <w:rPr>
                <w:rFonts w:ascii="Arial" w:hAnsi="Arial" w:cs="Arial"/>
                <w:b/>
                <w:bCs/>
                <w:sz w:val="24"/>
                <w:szCs w:val="24"/>
              </w:rPr>
            </w:pPr>
            <w:r w:rsidRPr="006E68B2">
              <w:rPr>
                <w:rFonts w:ascii="Arial" w:hAnsi="Arial" w:cs="Arial"/>
                <w:b/>
                <w:bCs/>
                <w:sz w:val="24"/>
                <w:szCs w:val="24"/>
              </w:rPr>
              <w:t>Sex</w:t>
            </w:r>
          </w:p>
        </w:tc>
        <w:tc>
          <w:tcPr>
            <w:tcW w:w="1701" w:type="dxa"/>
          </w:tcPr>
          <w:p w14:paraId="6836608E" w14:textId="77777777" w:rsidR="00AF6AA5" w:rsidRPr="006E68B2" w:rsidRDefault="00AF6AA5" w:rsidP="00715B47">
            <w:pPr>
              <w:ind w:left="147"/>
              <w:jc w:val="center"/>
              <w:rPr>
                <w:rFonts w:ascii="Arial" w:hAnsi="Arial" w:cs="Arial"/>
                <w:sz w:val="24"/>
                <w:szCs w:val="24"/>
              </w:rPr>
            </w:pPr>
          </w:p>
        </w:tc>
        <w:tc>
          <w:tcPr>
            <w:tcW w:w="1702" w:type="dxa"/>
          </w:tcPr>
          <w:p w14:paraId="09231835" w14:textId="77777777" w:rsidR="00AF6AA5" w:rsidRPr="006E68B2" w:rsidRDefault="00AF6AA5" w:rsidP="00715B47">
            <w:pPr>
              <w:ind w:left="147"/>
              <w:jc w:val="center"/>
              <w:rPr>
                <w:rFonts w:ascii="Arial" w:hAnsi="Arial" w:cs="Arial"/>
                <w:sz w:val="24"/>
                <w:szCs w:val="24"/>
              </w:rPr>
            </w:pPr>
          </w:p>
        </w:tc>
      </w:tr>
      <w:tr w:rsidR="00AF6AA5" w:rsidRPr="006E68B2" w14:paraId="2655C67A" w14:textId="77777777" w:rsidTr="00715B47">
        <w:tc>
          <w:tcPr>
            <w:tcW w:w="5669" w:type="dxa"/>
          </w:tcPr>
          <w:p w14:paraId="7F4EE337" w14:textId="77777777" w:rsidR="00AF6AA5" w:rsidRPr="006E68B2" w:rsidRDefault="00AF6AA5" w:rsidP="00715B47">
            <w:pPr>
              <w:ind w:firstLine="203"/>
              <w:rPr>
                <w:rFonts w:ascii="Arial" w:hAnsi="Arial" w:cs="Arial"/>
                <w:sz w:val="24"/>
                <w:szCs w:val="24"/>
              </w:rPr>
            </w:pPr>
            <w:r w:rsidRPr="006E68B2">
              <w:rPr>
                <w:rFonts w:ascii="Arial" w:hAnsi="Arial" w:cs="Arial"/>
                <w:sz w:val="24"/>
                <w:szCs w:val="24"/>
              </w:rPr>
              <w:t>Women</w:t>
            </w:r>
          </w:p>
        </w:tc>
        <w:tc>
          <w:tcPr>
            <w:tcW w:w="1701" w:type="dxa"/>
          </w:tcPr>
          <w:p w14:paraId="106FA860"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787</w:t>
            </w:r>
          </w:p>
        </w:tc>
        <w:tc>
          <w:tcPr>
            <w:tcW w:w="1702" w:type="dxa"/>
          </w:tcPr>
          <w:p w14:paraId="269B13DD"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71.2</w:t>
            </w:r>
          </w:p>
        </w:tc>
      </w:tr>
      <w:tr w:rsidR="00AF6AA5" w:rsidRPr="006E68B2" w14:paraId="68808F6C" w14:textId="77777777" w:rsidTr="00715B47">
        <w:tc>
          <w:tcPr>
            <w:tcW w:w="5669" w:type="dxa"/>
          </w:tcPr>
          <w:p w14:paraId="43ABEAD8" w14:textId="77777777" w:rsidR="00AF6AA5" w:rsidRPr="006E68B2" w:rsidRDefault="00AF6AA5" w:rsidP="00715B47">
            <w:pPr>
              <w:ind w:firstLine="203"/>
              <w:rPr>
                <w:rFonts w:ascii="Arial" w:hAnsi="Arial" w:cs="Arial"/>
                <w:sz w:val="24"/>
                <w:szCs w:val="24"/>
              </w:rPr>
            </w:pPr>
            <w:r w:rsidRPr="006E68B2">
              <w:rPr>
                <w:rFonts w:ascii="Arial" w:hAnsi="Arial" w:cs="Arial"/>
                <w:sz w:val="24"/>
                <w:szCs w:val="24"/>
              </w:rPr>
              <w:t>Men</w:t>
            </w:r>
          </w:p>
        </w:tc>
        <w:tc>
          <w:tcPr>
            <w:tcW w:w="1701" w:type="dxa"/>
          </w:tcPr>
          <w:p w14:paraId="355D46F9"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318</w:t>
            </w:r>
          </w:p>
        </w:tc>
        <w:tc>
          <w:tcPr>
            <w:tcW w:w="1702" w:type="dxa"/>
          </w:tcPr>
          <w:p w14:paraId="56788484"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28.8</w:t>
            </w:r>
          </w:p>
        </w:tc>
      </w:tr>
      <w:tr w:rsidR="00AF6AA5" w:rsidRPr="006E68B2" w14:paraId="210BC424" w14:textId="77777777" w:rsidTr="00715B47">
        <w:tc>
          <w:tcPr>
            <w:tcW w:w="5669" w:type="dxa"/>
          </w:tcPr>
          <w:p w14:paraId="270B096A" w14:textId="77777777" w:rsidR="00AF6AA5" w:rsidRPr="006E68B2" w:rsidRDefault="00AF6AA5" w:rsidP="00715B47">
            <w:pPr>
              <w:rPr>
                <w:rFonts w:ascii="Arial" w:hAnsi="Arial" w:cs="Arial"/>
                <w:b/>
                <w:bCs/>
                <w:sz w:val="24"/>
                <w:szCs w:val="24"/>
              </w:rPr>
            </w:pPr>
            <w:r w:rsidRPr="006E68B2">
              <w:rPr>
                <w:rFonts w:ascii="Arial" w:hAnsi="Arial" w:cs="Arial"/>
                <w:b/>
                <w:bCs/>
                <w:sz w:val="24"/>
                <w:szCs w:val="24"/>
              </w:rPr>
              <w:t>Age</w:t>
            </w:r>
          </w:p>
        </w:tc>
        <w:tc>
          <w:tcPr>
            <w:tcW w:w="1701" w:type="dxa"/>
          </w:tcPr>
          <w:p w14:paraId="6D74DF8D" w14:textId="77777777" w:rsidR="00AF6AA5" w:rsidRPr="006E68B2" w:rsidRDefault="00AF6AA5" w:rsidP="00715B47">
            <w:pPr>
              <w:ind w:left="147"/>
              <w:jc w:val="center"/>
              <w:rPr>
                <w:rFonts w:ascii="Arial" w:hAnsi="Arial" w:cs="Arial"/>
                <w:sz w:val="24"/>
                <w:szCs w:val="24"/>
              </w:rPr>
            </w:pPr>
          </w:p>
        </w:tc>
        <w:tc>
          <w:tcPr>
            <w:tcW w:w="1702" w:type="dxa"/>
          </w:tcPr>
          <w:p w14:paraId="37B11F55" w14:textId="77777777" w:rsidR="00AF6AA5" w:rsidRPr="006E68B2" w:rsidRDefault="00AF6AA5" w:rsidP="00715B47">
            <w:pPr>
              <w:ind w:left="147"/>
              <w:jc w:val="center"/>
              <w:rPr>
                <w:rFonts w:ascii="Arial" w:hAnsi="Arial" w:cs="Arial"/>
                <w:sz w:val="24"/>
                <w:szCs w:val="24"/>
              </w:rPr>
            </w:pPr>
          </w:p>
        </w:tc>
      </w:tr>
      <w:tr w:rsidR="00AF6AA5" w:rsidRPr="006E68B2" w14:paraId="3DA7CBA6" w14:textId="77777777" w:rsidTr="00715B47">
        <w:tc>
          <w:tcPr>
            <w:tcW w:w="5669" w:type="dxa"/>
          </w:tcPr>
          <w:p w14:paraId="5B705EC3" w14:textId="77777777" w:rsidR="00AF6AA5" w:rsidRPr="006E68B2" w:rsidRDefault="00AF6AA5" w:rsidP="00715B47">
            <w:pPr>
              <w:autoSpaceDE w:val="0"/>
              <w:autoSpaceDN w:val="0"/>
              <w:adjustRightInd w:val="0"/>
              <w:ind w:right="60" w:firstLine="175"/>
              <w:rPr>
                <w:rFonts w:ascii="Arial" w:hAnsi="Arial" w:cs="Arial"/>
                <w:sz w:val="24"/>
                <w:szCs w:val="24"/>
              </w:rPr>
            </w:pPr>
            <w:r w:rsidRPr="006E68B2">
              <w:rPr>
                <w:rFonts w:ascii="Arial" w:hAnsi="Arial" w:cs="Arial"/>
                <w:bCs/>
                <w:sz w:val="24"/>
                <w:szCs w:val="24"/>
              </w:rPr>
              <w:t>60-69.9</w:t>
            </w:r>
          </w:p>
        </w:tc>
        <w:tc>
          <w:tcPr>
            <w:tcW w:w="1701" w:type="dxa"/>
          </w:tcPr>
          <w:p w14:paraId="00F035D6"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108</w:t>
            </w:r>
          </w:p>
        </w:tc>
        <w:tc>
          <w:tcPr>
            <w:tcW w:w="1702" w:type="dxa"/>
          </w:tcPr>
          <w:p w14:paraId="1A4E01CD"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9.8</w:t>
            </w:r>
          </w:p>
        </w:tc>
      </w:tr>
      <w:tr w:rsidR="00AF6AA5" w:rsidRPr="006E68B2" w14:paraId="49C64D8C" w14:textId="77777777" w:rsidTr="00715B47">
        <w:tc>
          <w:tcPr>
            <w:tcW w:w="5669" w:type="dxa"/>
          </w:tcPr>
          <w:p w14:paraId="693C6ACB" w14:textId="77777777" w:rsidR="00AF6AA5" w:rsidRPr="006E68B2" w:rsidRDefault="00AF6AA5" w:rsidP="00715B47">
            <w:pPr>
              <w:autoSpaceDE w:val="0"/>
              <w:autoSpaceDN w:val="0"/>
              <w:adjustRightInd w:val="0"/>
              <w:ind w:right="60" w:firstLine="175"/>
              <w:rPr>
                <w:rFonts w:ascii="Arial" w:hAnsi="Arial" w:cs="Arial"/>
                <w:sz w:val="24"/>
                <w:szCs w:val="24"/>
              </w:rPr>
            </w:pPr>
            <w:r w:rsidRPr="006E68B2">
              <w:rPr>
                <w:rFonts w:ascii="Arial" w:hAnsi="Arial" w:cs="Arial"/>
                <w:bCs/>
                <w:sz w:val="24"/>
                <w:szCs w:val="24"/>
              </w:rPr>
              <w:t>70-79.9</w:t>
            </w:r>
          </w:p>
        </w:tc>
        <w:tc>
          <w:tcPr>
            <w:tcW w:w="1701" w:type="dxa"/>
          </w:tcPr>
          <w:p w14:paraId="4DD9DAD7"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251</w:t>
            </w:r>
          </w:p>
        </w:tc>
        <w:tc>
          <w:tcPr>
            <w:tcW w:w="1702" w:type="dxa"/>
          </w:tcPr>
          <w:p w14:paraId="39AD55EE"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22.7</w:t>
            </w:r>
          </w:p>
        </w:tc>
      </w:tr>
      <w:tr w:rsidR="00AF6AA5" w:rsidRPr="006E68B2" w14:paraId="01044D98" w14:textId="77777777" w:rsidTr="00715B47">
        <w:tc>
          <w:tcPr>
            <w:tcW w:w="5669" w:type="dxa"/>
          </w:tcPr>
          <w:p w14:paraId="5799D5A4" w14:textId="77777777" w:rsidR="00AF6AA5" w:rsidRPr="006E68B2" w:rsidRDefault="00AF6AA5" w:rsidP="00715B47">
            <w:pPr>
              <w:autoSpaceDE w:val="0"/>
              <w:autoSpaceDN w:val="0"/>
              <w:adjustRightInd w:val="0"/>
              <w:ind w:right="60" w:firstLine="175"/>
              <w:rPr>
                <w:rFonts w:ascii="Arial" w:hAnsi="Arial" w:cs="Arial"/>
                <w:sz w:val="24"/>
                <w:szCs w:val="24"/>
              </w:rPr>
            </w:pPr>
            <w:r w:rsidRPr="006E68B2">
              <w:rPr>
                <w:rFonts w:ascii="Arial" w:hAnsi="Arial" w:cs="Arial"/>
                <w:bCs/>
                <w:sz w:val="24"/>
                <w:szCs w:val="24"/>
              </w:rPr>
              <w:t>80-89.9</w:t>
            </w:r>
          </w:p>
        </w:tc>
        <w:tc>
          <w:tcPr>
            <w:tcW w:w="1701" w:type="dxa"/>
          </w:tcPr>
          <w:p w14:paraId="43A5CFFE"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510</w:t>
            </w:r>
          </w:p>
        </w:tc>
        <w:tc>
          <w:tcPr>
            <w:tcW w:w="1702" w:type="dxa"/>
          </w:tcPr>
          <w:p w14:paraId="4B290DD4"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46.2</w:t>
            </w:r>
          </w:p>
        </w:tc>
      </w:tr>
      <w:tr w:rsidR="00AF6AA5" w:rsidRPr="006E68B2" w14:paraId="1ABF2017" w14:textId="77777777" w:rsidTr="00715B47">
        <w:tc>
          <w:tcPr>
            <w:tcW w:w="5669" w:type="dxa"/>
          </w:tcPr>
          <w:p w14:paraId="1D216FF3" w14:textId="77777777" w:rsidR="00AF6AA5" w:rsidRPr="006E68B2" w:rsidRDefault="00AF6AA5" w:rsidP="00715B47">
            <w:pPr>
              <w:autoSpaceDE w:val="0"/>
              <w:autoSpaceDN w:val="0"/>
              <w:adjustRightInd w:val="0"/>
              <w:ind w:right="60" w:firstLine="175"/>
              <w:rPr>
                <w:rFonts w:ascii="Arial" w:hAnsi="Arial" w:cs="Arial"/>
                <w:sz w:val="24"/>
                <w:szCs w:val="24"/>
              </w:rPr>
            </w:pPr>
            <w:r w:rsidRPr="006E68B2">
              <w:rPr>
                <w:rFonts w:ascii="Arial" w:hAnsi="Arial" w:cs="Arial"/>
                <w:bCs/>
                <w:sz w:val="24"/>
                <w:szCs w:val="24"/>
              </w:rPr>
              <w:t>≥90</w:t>
            </w:r>
          </w:p>
        </w:tc>
        <w:tc>
          <w:tcPr>
            <w:tcW w:w="1701" w:type="dxa"/>
          </w:tcPr>
          <w:p w14:paraId="26D08BCE"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236</w:t>
            </w:r>
          </w:p>
        </w:tc>
        <w:tc>
          <w:tcPr>
            <w:tcW w:w="1702" w:type="dxa"/>
          </w:tcPr>
          <w:p w14:paraId="29902A9A"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21.4</w:t>
            </w:r>
          </w:p>
        </w:tc>
      </w:tr>
      <w:tr w:rsidR="00AF6AA5" w:rsidRPr="006E68B2" w14:paraId="2BA3F108" w14:textId="77777777" w:rsidTr="00715B47">
        <w:tc>
          <w:tcPr>
            <w:tcW w:w="5669" w:type="dxa"/>
          </w:tcPr>
          <w:p w14:paraId="313ECEC9" w14:textId="77777777" w:rsidR="00AF6AA5" w:rsidRPr="006E68B2" w:rsidRDefault="00AF6AA5" w:rsidP="00715B47">
            <w:pPr>
              <w:rPr>
                <w:rFonts w:ascii="Arial" w:hAnsi="Arial" w:cs="Arial"/>
                <w:b/>
                <w:bCs/>
                <w:sz w:val="24"/>
                <w:szCs w:val="24"/>
              </w:rPr>
            </w:pPr>
            <w:r w:rsidRPr="006E68B2">
              <w:rPr>
                <w:rFonts w:ascii="Arial" w:hAnsi="Arial" w:cs="Arial"/>
                <w:b/>
                <w:bCs/>
                <w:sz w:val="24"/>
                <w:szCs w:val="24"/>
              </w:rPr>
              <w:t>Medication status</w:t>
            </w:r>
          </w:p>
        </w:tc>
        <w:tc>
          <w:tcPr>
            <w:tcW w:w="1701" w:type="dxa"/>
          </w:tcPr>
          <w:p w14:paraId="518FCE98" w14:textId="77777777" w:rsidR="00AF6AA5" w:rsidRPr="006E68B2" w:rsidRDefault="00AF6AA5" w:rsidP="00715B47">
            <w:pPr>
              <w:ind w:left="147"/>
              <w:jc w:val="center"/>
              <w:rPr>
                <w:rFonts w:ascii="Arial" w:hAnsi="Arial" w:cs="Arial"/>
                <w:sz w:val="24"/>
                <w:szCs w:val="24"/>
              </w:rPr>
            </w:pPr>
          </w:p>
        </w:tc>
        <w:tc>
          <w:tcPr>
            <w:tcW w:w="1702" w:type="dxa"/>
          </w:tcPr>
          <w:p w14:paraId="14F5900D" w14:textId="77777777" w:rsidR="00AF6AA5" w:rsidRPr="006E68B2" w:rsidRDefault="00AF6AA5" w:rsidP="00715B47">
            <w:pPr>
              <w:ind w:left="147"/>
              <w:jc w:val="center"/>
              <w:rPr>
                <w:rFonts w:ascii="Arial" w:hAnsi="Arial" w:cs="Arial"/>
                <w:sz w:val="24"/>
                <w:szCs w:val="24"/>
              </w:rPr>
            </w:pPr>
          </w:p>
        </w:tc>
      </w:tr>
      <w:tr w:rsidR="00AF6AA5" w:rsidRPr="006E68B2" w14:paraId="17C4C6E0" w14:textId="77777777" w:rsidTr="00715B47">
        <w:tc>
          <w:tcPr>
            <w:tcW w:w="5669" w:type="dxa"/>
          </w:tcPr>
          <w:p w14:paraId="4B627D1F" w14:textId="77777777" w:rsidR="00AF6AA5" w:rsidRPr="006E68B2" w:rsidRDefault="00AF6AA5" w:rsidP="00715B47">
            <w:pPr>
              <w:autoSpaceDE w:val="0"/>
              <w:autoSpaceDN w:val="0"/>
              <w:adjustRightInd w:val="0"/>
              <w:ind w:right="60" w:firstLine="175"/>
              <w:rPr>
                <w:rFonts w:ascii="Arial" w:hAnsi="Arial" w:cs="Arial"/>
                <w:sz w:val="24"/>
                <w:szCs w:val="24"/>
              </w:rPr>
            </w:pPr>
            <w:r w:rsidRPr="006E68B2">
              <w:rPr>
                <w:rFonts w:ascii="Arial" w:hAnsi="Arial" w:cs="Arial"/>
                <w:sz w:val="24"/>
                <w:szCs w:val="24"/>
              </w:rPr>
              <w:t>Polypharmacy (≥4 drugs a day)</w:t>
            </w:r>
          </w:p>
        </w:tc>
        <w:tc>
          <w:tcPr>
            <w:tcW w:w="1701" w:type="dxa"/>
          </w:tcPr>
          <w:p w14:paraId="1C66F777"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827</w:t>
            </w:r>
          </w:p>
        </w:tc>
        <w:tc>
          <w:tcPr>
            <w:tcW w:w="1702" w:type="dxa"/>
          </w:tcPr>
          <w:p w14:paraId="3530449B"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74.8</w:t>
            </w:r>
          </w:p>
        </w:tc>
      </w:tr>
      <w:tr w:rsidR="00AF6AA5" w:rsidRPr="006E68B2" w14:paraId="6B94B272" w14:textId="77777777" w:rsidTr="00715B47">
        <w:tc>
          <w:tcPr>
            <w:tcW w:w="5669" w:type="dxa"/>
          </w:tcPr>
          <w:p w14:paraId="730E4DAC" w14:textId="77777777" w:rsidR="00AF6AA5" w:rsidRPr="006E68B2" w:rsidRDefault="00AF6AA5" w:rsidP="00715B47">
            <w:pPr>
              <w:autoSpaceDE w:val="0"/>
              <w:autoSpaceDN w:val="0"/>
              <w:adjustRightInd w:val="0"/>
              <w:ind w:right="60" w:firstLine="175"/>
              <w:rPr>
                <w:rFonts w:ascii="Arial" w:hAnsi="Arial" w:cs="Arial"/>
                <w:sz w:val="24"/>
                <w:szCs w:val="24"/>
              </w:rPr>
            </w:pPr>
            <w:r w:rsidRPr="006E68B2">
              <w:rPr>
                <w:rFonts w:ascii="Arial" w:hAnsi="Arial" w:cs="Arial"/>
                <w:sz w:val="24"/>
                <w:szCs w:val="24"/>
              </w:rPr>
              <w:t>ACB score ≥1</w:t>
            </w:r>
          </w:p>
        </w:tc>
        <w:tc>
          <w:tcPr>
            <w:tcW w:w="1701" w:type="dxa"/>
          </w:tcPr>
          <w:p w14:paraId="06C6B893"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429</w:t>
            </w:r>
          </w:p>
        </w:tc>
        <w:tc>
          <w:tcPr>
            <w:tcW w:w="1702" w:type="dxa"/>
          </w:tcPr>
          <w:p w14:paraId="10A380E6"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38.8</w:t>
            </w:r>
          </w:p>
        </w:tc>
      </w:tr>
      <w:tr w:rsidR="00AF6AA5" w:rsidRPr="006E68B2" w14:paraId="68FDDBA6" w14:textId="77777777" w:rsidTr="00715B47">
        <w:tc>
          <w:tcPr>
            <w:tcW w:w="5669" w:type="dxa"/>
          </w:tcPr>
          <w:p w14:paraId="428EB6C6" w14:textId="77777777" w:rsidR="00AF6AA5" w:rsidRPr="006E68B2" w:rsidRDefault="00AF6AA5" w:rsidP="00715B47">
            <w:pPr>
              <w:autoSpaceDE w:val="0"/>
              <w:autoSpaceDN w:val="0"/>
              <w:adjustRightInd w:val="0"/>
              <w:ind w:right="60" w:firstLine="175"/>
              <w:rPr>
                <w:rFonts w:ascii="Arial" w:hAnsi="Arial" w:cs="Arial"/>
                <w:sz w:val="24"/>
                <w:szCs w:val="24"/>
              </w:rPr>
            </w:pPr>
            <w:r w:rsidRPr="006E68B2">
              <w:rPr>
                <w:rFonts w:ascii="Arial" w:hAnsi="Arial" w:cs="Arial"/>
                <w:sz w:val="24"/>
                <w:szCs w:val="24"/>
                <w:lang w:val="en-US"/>
              </w:rPr>
              <w:t>Level-1</w:t>
            </w:r>
          </w:p>
        </w:tc>
        <w:tc>
          <w:tcPr>
            <w:tcW w:w="1701" w:type="dxa"/>
          </w:tcPr>
          <w:p w14:paraId="7806B167" w14:textId="77777777" w:rsidR="00AF6AA5" w:rsidRPr="006E68B2" w:rsidRDefault="00AF6AA5" w:rsidP="00715B47">
            <w:pPr>
              <w:ind w:left="147"/>
              <w:jc w:val="center"/>
              <w:rPr>
                <w:rFonts w:ascii="Arial" w:hAnsi="Arial" w:cs="Arial"/>
                <w:color w:val="010205"/>
                <w:sz w:val="24"/>
                <w:szCs w:val="24"/>
              </w:rPr>
            </w:pPr>
            <w:r w:rsidRPr="006E68B2">
              <w:rPr>
                <w:rFonts w:ascii="Arial" w:hAnsi="Arial" w:cs="Arial"/>
                <w:color w:val="010205"/>
                <w:sz w:val="24"/>
                <w:szCs w:val="24"/>
              </w:rPr>
              <w:t>243</w:t>
            </w:r>
          </w:p>
        </w:tc>
        <w:tc>
          <w:tcPr>
            <w:tcW w:w="1702" w:type="dxa"/>
          </w:tcPr>
          <w:p w14:paraId="33D0B6B4"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22.0</w:t>
            </w:r>
          </w:p>
        </w:tc>
      </w:tr>
      <w:tr w:rsidR="00AF6AA5" w:rsidRPr="006E68B2" w14:paraId="5BA59277" w14:textId="77777777" w:rsidTr="00715B47">
        <w:tc>
          <w:tcPr>
            <w:tcW w:w="5669" w:type="dxa"/>
          </w:tcPr>
          <w:p w14:paraId="6DE05B59" w14:textId="77777777" w:rsidR="00AF6AA5" w:rsidRPr="006E68B2" w:rsidRDefault="00AF6AA5" w:rsidP="00715B47">
            <w:pPr>
              <w:autoSpaceDE w:val="0"/>
              <w:autoSpaceDN w:val="0"/>
              <w:adjustRightInd w:val="0"/>
              <w:ind w:right="60" w:firstLine="175"/>
              <w:rPr>
                <w:rFonts w:ascii="Arial" w:hAnsi="Arial" w:cs="Arial"/>
                <w:sz w:val="24"/>
                <w:szCs w:val="24"/>
              </w:rPr>
            </w:pPr>
            <w:r w:rsidRPr="006E68B2">
              <w:rPr>
                <w:rFonts w:ascii="Arial" w:hAnsi="Arial" w:cs="Arial"/>
                <w:sz w:val="24"/>
                <w:szCs w:val="24"/>
                <w:lang w:val="en-US"/>
              </w:rPr>
              <w:t>Level-2</w:t>
            </w:r>
          </w:p>
        </w:tc>
        <w:tc>
          <w:tcPr>
            <w:tcW w:w="1701" w:type="dxa"/>
          </w:tcPr>
          <w:p w14:paraId="531D62B0" w14:textId="77777777" w:rsidR="00AF6AA5" w:rsidRPr="006E68B2" w:rsidRDefault="00AF6AA5" w:rsidP="00715B47">
            <w:pPr>
              <w:ind w:left="147"/>
              <w:jc w:val="center"/>
              <w:rPr>
                <w:rFonts w:ascii="Arial" w:hAnsi="Arial" w:cs="Arial"/>
                <w:color w:val="010205"/>
                <w:sz w:val="24"/>
                <w:szCs w:val="24"/>
              </w:rPr>
            </w:pPr>
            <w:r w:rsidRPr="006E68B2">
              <w:rPr>
                <w:rFonts w:ascii="Arial" w:hAnsi="Arial" w:cs="Arial"/>
                <w:color w:val="010205"/>
                <w:sz w:val="24"/>
                <w:szCs w:val="24"/>
              </w:rPr>
              <w:t>468</w:t>
            </w:r>
          </w:p>
        </w:tc>
        <w:tc>
          <w:tcPr>
            <w:tcW w:w="1702" w:type="dxa"/>
          </w:tcPr>
          <w:p w14:paraId="295FCF6F"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42.4</w:t>
            </w:r>
          </w:p>
        </w:tc>
      </w:tr>
      <w:tr w:rsidR="00AF6AA5" w:rsidRPr="006E68B2" w14:paraId="1BB5BF68" w14:textId="77777777" w:rsidTr="00715B47">
        <w:tc>
          <w:tcPr>
            <w:tcW w:w="5669" w:type="dxa"/>
          </w:tcPr>
          <w:p w14:paraId="79F0C175" w14:textId="77777777" w:rsidR="00AF6AA5" w:rsidRPr="006E68B2" w:rsidRDefault="00AF6AA5" w:rsidP="00715B47">
            <w:pPr>
              <w:autoSpaceDE w:val="0"/>
              <w:autoSpaceDN w:val="0"/>
              <w:adjustRightInd w:val="0"/>
              <w:ind w:right="60" w:firstLine="175"/>
              <w:rPr>
                <w:rFonts w:ascii="Arial" w:hAnsi="Arial" w:cs="Arial"/>
                <w:sz w:val="24"/>
                <w:szCs w:val="24"/>
              </w:rPr>
            </w:pPr>
            <w:r w:rsidRPr="006E68B2">
              <w:rPr>
                <w:rFonts w:ascii="Arial" w:hAnsi="Arial" w:cs="Arial"/>
                <w:sz w:val="24"/>
                <w:szCs w:val="24"/>
                <w:lang w:val="en-US"/>
              </w:rPr>
              <w:t>Level-3</w:t>
            </w:r>
          </w:p>
        </w:tc>
        <w:tc>
          <w:tcPr>
            <w:tcW w:w="1701" w:type="dxa"/>
          </w:tcPr>
          <w:p w14:paraId="243AAABA" w14:textId="77777777" w:rsidR="00AF6AA5" w:rsidRPr="006E68B2" w:rsidRDefault="00AF6AA5" w:rsidP="00715B47">
            <w:pPr>
              <w:ind w:left="147"/>
              <w:jc w:val="center"/>
              <w:rPr>
                <w:rFonts w:ascii="Arial" w:hAnsi="Arial" w:cs="Arial"/>
                <w:color w:val="010205"/>
                <w:sz w:val="24"/>
                <w:szCs w:val="24"/>
              </w:rPr>
            </w:pPr>
            <w:r w:rsidRPr="006E68B2">
              <w:rPr>
                <w:rFonts w:ascii="Arial" w:hAnsi="Arial" w:cs="Arial"/>
                <w:color w:val="010205"/>
                <w:sz w:val="24"/>
                <w:szCs w:val="24"/>
              </w:rPr>
              <w:t>394</w:t>
            </w:r>
          </w:p>
        </w:tc>
        <w:tc>
          <w:tcPr>
            <w:tcW w:w="1702" w:type="dxa"/>
          </w:tcPr>
          <w:p w14:paraId="79B479E8"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35.7</w:t>
            </w:r>
          </w:p>
        </w:tc>
      </w:tr>
      <w:tr w:rsidR="00AF6AA5" w:rsidRPr="006E68B2" w14:paraId="7D0CB77C" w14:textId="77777777" w:rsidTr="00715B47">
        <w:tc>
          <w:tcPr>
            <w:tcW w:w="5669" w:type="dxa"/>
          </w:tcPr>
          <w:p w14:paraId="267CB1A7" w14:textId="77777777" w:rsidR="00AF6AA5" w:rsidRPr="006E68B2" w:rsidRDefault="00AF6AA5" w:rsidP="00715B47">
            <w:pPr>
              <w:autoSpaceDE w:val="0"/>
              <w:autoSpaceDN w:val="0"/>
              <w:adjustRightInd w:val="0"/>
              <w:ind w:right="60"/>
              <w:rPr>
                <w:rFonts w:ascii="Arial" w:hAnsi="Arial" w:cs="Arial"/>
                <w:b/>
                <w:bCs/>
                <w:sz w:val="24"/>
                <w:szCs w:val="24"/>
              </w:rPr>
            </w:pPr>
            <w:r w:rsidRPr="006E68B2">
              <w:rPr>
                <w:rFonts w:ascii="Arial" w:hAnsi="Arial" w:cs="Arial"/>
                <w:b/>
                <w:bCs/>
                <w:sz w:val="24"/>
                <w:szCs w:val="24"/>
              </w:rPr>
              <w:t>Co-morbidities</w:t>
            </w:r>
          </w:p>
        </w:tc>
        <w:tc>
          <w:tcPr>
            <w:tcW w:w="1701" w:type="dxa"/>
          </w:tcPr>
          <w:p w14:paraId="18B82857" w14:textId="77777777" w:rsidR="00AF6AA5" w:rsidRPr="006E68B2" w:rsidRDefault="00AF6AA5" w:rsidP="00715B47">
            <w:pPr>
              <w:ind w:left="147"/>
              <w:jc w:val="center"/>
              <w:rPr>
                <w:rFonts w:ascii="Arial" w:hAnsi="Arial" w:cs="Arial"/>
                <w:sz w:val="24"/>
                <w:szCs w:val="24"/>
              </w:rPr>
            </w:pPr>
          </w:p>
        </w:tc>
        <w:tc>
          <w:tcPr>
            <w:tcW w:w="1702" w:type="dxa"/>
          </w:tcPr>
          <w:p w14:paraId="6BF04ED2" w14:textId="77777777" w:rsidR="00AF6AA5" w:rsidRPr="006E68B2" w:rsidRDefault="00AF6AA5" w:rsidP="00715B47">
            <w:pPr>
              <w:ind w:left="147"/>
              <w:jc w:val="center"/>
              <w:rPr>
                <w:rFonts w:ascii="Arial" w:hAnsi="Arial" w:cs="Arial"/>
                <w:sz w:val="24"/>
                <w:szCs w:val="24"/>
              </w:rPr>
            </w:pPr>
          </w:p>
        </w:tc>
      </w:tr>
      <w:tr w:rsidR="00AF6AA5" w:rsidRPr="006E68B2" w14:paraId="3904990C" w14:textId="77777777" w:rsidTr="00715B47">
        <w:tc>
          <w:tcPr>
            <w:tcW w:w="5669" w:type="dxa"/>
          </w:tcPr>
          <w:p w14:paraId="6BE81125" w14:textId="77777777" w:rsidR="00AF6AA5" w:rsidRPr="006E68B2" w:rsidRDefault="00AF6AA5" w:rsidP="00715B47">
            <w:pPr>
              <w:autoSpaceDE w:val="0"/>
              <w:autoSpaceDN w:val="0"/>
              <w:adjustRightInd w:val="0"/>
              <w:ind w:right="60" w:firstLine="175"/>
              <w:rPr>
                <w:rFonts w:ascii="Arial" w:hAnsi="Arial" w:cs="Arial"/>
                <w:sz w:val="24"/>
                <w:szCs w:val="24"/>
              </w:rPr>
            </w:pPr>
            <w:r w:rsidRPr="006E68B2">
              <w:rPr>
                <w:rFonts w:ascii="Arial" w:hAnsi="Arial" w:cs="Arial"/>
                <w:sz w:val="24"/>
                <w:szCs w:val="24"/>
              </w:rPr>
              <w:t>Dementia</w:t>
            </w:r>
          </w:p>
        </w:tc>
        <w:tc>
          <w:tcPr>
            <w:tcW w:w="1701" w:type="dxa"/>
          </w:tcPr>
          <w:p w14:paraId="40E6B772"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223</w:t>
            </w:r>
          </w:p>
        </w:tc>
        <w:tc>
          <w:tcPr>
            <w:tcW w:w="1702" w:type="dxa"/>
          </w:tcPr>
          <w:p w14:paraId="6E1865C1"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20.2</w:t>
            </w:r>
          </w:p>
        </w:tc>
      </w:tr>
      <w:tr w:rsidR="00AF6AA5" w:rsidRPr="006E68B2" w14:paraId="7FCD0CA9" w14:textId="77777777" w:rsidTr="00715B47">
        <w:tc>
          <w:tcPr>
            <w:tcW w:w="5669" w:type="dxa"/>
          </w:tcPr>
          <w:p w14:paraId="007025A0" w14:textId="77777777" w:rsidR="00AF6AA5" w:rsidRPr="006E68B2" w:rsidRDefault="00AF6AA5" w:rsidP="00715B47">
            <w:pPr>
              <w:autoSpaceDE w:val="0"/>
              <w:autoSpaceDN w:val="0"/>
              <w:adjustRightInd w:val="0"/>
              <w:ind w:right="60" w:firstLine="175"/>
              <w:rPr>
                <w:rFonts w:ascii="Arial" w:hAnsi="Arial" w:cs="Arial"/>
                <w:sz w:val="24"/>
                <w:szCs w:val="24"/>
              </w:rPr>
            </w:pPr>
            <w:r w:rsidRPr="006E68B2">
              <w:rPr>
                <w:rFonts w:ascii="Arial" w:hAnsi="Arial" w:cs="Arial"/>
                <w:sz w:val="24"/>
                <w:szCs w:val="24"/>
              </w:rPr>
              <w:t>Stroke</w:t>
            </w:r>
          </w:p>
        </w:tc>
        <w:tc>
          <w:tcPr>
            <w:tcW w:w="1701" w:type="dxa"/>
          </w:tcPr>
          <w:p w14:paraId="69600A71"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157</w:t>
            </w:r>
          </w:p>
        </w:tc>
        <w:tc>
          <w:tcPr>
            <w:tcW w:w="1702" w:type="dxa"/>
          </w:tcPr>
          <w:p w14:paraId="247D8E69"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14.2</w:t>
            </w:r>
          </w:p>
        </w:tc>
      </w:tr>
      <w:tr w:rsidR="00AF6AA5" w:rsidRPr="006E68B2" w14:paraId="4E6AD310" w14:textId="77777777" w:rsidTr="00715B47">
        <w:tc>
          <w:tcPr>
            <w:tcW w:w="5669" w:type="dxa"/>
          </w:tcPr>
          <w:p w14:paraId="786BAA46" w14:textId="77777777" w:rsidR="00AF6AA5" w:rsidRPr="006E68B2" w:rsidRDefault="00AF6AA5" w:rsidP="00715B47">
            <w:pPr>
              <w:autoSpaceDE w:val="0"/>
              <w:autoSpaceDN w:val="0"/>
              <w:adjustRightInd w:val="0"/>
              <w:ind w:right="60" w:firstLine="175"/>
              <w:rPr>
                <w:rFonts w:ascii="Arial" w:hAnsi="Arial" w:cs="Arial"/>
                <w:sz w:val="24"/>
                <w:szCs w:val="24"/>
              </w:rPr>
            </w:pPr>
            <w:r w:rsidRPr="006E68B2">
              <w:rPr>
                <w:rFonts w:ascii="Arial" w:hAnsi="Arial" w:cs="Arial"/>
                <w:sz w:val="24"/>
                <w:szCs w:val="24"/>
              </w:rPr>
              <w:t>Ischaemic heart disease</w:t>
            </w:r>
          </w:p>
        </w:tc>
        <w:tc>
          <w:tcPr>
            <w:tcW w:w="1701" w:type="dxa"/>
          </w:tcPr>
          <w:p w14:paraId="55703B6F"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114</w:t>
            </w:r>
          </w:p>
        </w:tc>
        <w:tc>
          <w:tcPr>
            <w:tcW w:w="1702" w:type="dxa"/>
          </w:tcPr>
          <w:p w14:paraId="4DA502D7"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10.3</w:t>
            </w:r>
          </w:p>
        </w:tc>
      </w:tr>
      <w:tr w:rsidR="00AF6AA5" w:rsidRPr="006E68B2" w14:paraId="3A831953" w14:textId="77777777" w:rsidTr="00715B47">
        <w:tc>
          <w:tcPr>
            <w:tcW w:w="5669" w:type="dxa"/>
          </w:tcPr>
          <w:p w14:paraId="732FE84C" w14:textId="77777777" w:rsidR="00AF6AA5" w:rsidRPr="006E68B2" w:rsidRDefault="00AF6AA5" w:rsidP="00715B47">
            <w:pPr>
              <w:autoSpaceDE w:val="0"/>
              <w:autoSpaceDN w:val="0"/>
              <w:adjustRightInd w:val="0"/>
              <w:ind w:right="60" w:firstLine="175"/>
              <w:rPr>
                <w:rFonts w:ascii="Arial" w:hAnsi="Arial" w:cs="Arial"/>
                <w:sz w:val="24"/>
                <w:szCs w:val="24"/>
              </w:rPr>
            </w:pPr>
            <w:r w:rsidRPr="006E68B2">
              <w:rPr>
                <w:rFonts w:ascii="Arial" w:hAnsi="Arial" w:cs="Arial"/>
                <w:sz w:val="24"/>
                <w:szCs w:val="24"/>
              </w:rPr>
              <w:t>Diabetes</w:t>
            </w:r>
          </w:p>
        </w:tc>
        <w:tc>
          <w:tcPr>
            <w:tcW w:w="1701" w:type="dxa"/>
          </w:tcPr>
          <w:p w14:paraId="0FEFA37F"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143</w:t>
            </w:r>
          </w:p>
        </w:tc>
        <w:tc>
          <w:tcPr>
            <w:tcW w:w="1702" w:type="dxa"/>
          </w:tcPr>
          <w:p w14:paraId="77600A96"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12.9</w:t>
            </w:r>
          </w:p>
        </w:tc>
      </w:tr>
      <w:tr w:rsidR="00AF6AA5" w:rsidRPr="006E68B2" w14:paraId="217D1ED2" w14:textId="77777777" w:rsidTr="00715B47">
        <w:tc>
          <w:tcPr>
            <w:tcW w:w="5669" w:type="dxa"/>
          </w:tcPr>
          <w:p w14:paraId="526F504E" w14:textId="77777777" w:rsidR="00AF6AA5" w:rsidRPr="006E68B2" w:rsidRDefault="00AF6AA5" w:rsidP="00715B47">
            <w:pPr>
              <w:autoSpaceDE w:val="0"/>
              <w:autoSpaceDN w:val="0"/>
              <w:adjustRightInd w:val="0"/>
              <w:ind w:right="60" w:firstLine="175"/>
              <w:rPr>
                <w:rFonts w:ascii="Arial" w:hAnsi="Arial" w:cs="Arial"/>
                <w:sz w:val="24"/>
                <w:szCs w:val="24"/>
              </w:rPr>
            </w:pPr>
            <w:r w:rsidRPr="006E68B2">
              <w:rPr>
                <w:rFonts w:ascii="Arial" w:hAnsi="Arial" w:cs="Arial"/>
                <w:bCs/>
                <w:sz w:val="24"/>
                <w:szCs w:val="24"/>
              </w:rPr>
              <w:t>Pre-fracture mobility limited to indoors</w:t>
            </w:r>
          </w:p>
        </w:tc>
        <w:tc>
          <w:tcPr>
            <w:tcW w:w="1701" w:type="dxa"/>
          </w:tcPr>
          <w:p w14:paraId="1368A14C" w14:textId="77777777" w:rsidR="00AF6AA5" w:rsidRPr="006E68B2" w:rsidRDefault="00AF6AA5" w:rsidP="00715B47">
            <w:pPr>
              <w:ind w:left="147"/>
              <w:jc w:val="center"/>
              <w:rPr>
                <w:rFonts w:ascii="Arial" w:hAnsi="Arial" w:cs="Arial"/>
                <w:color w:val="010205"/>
                <w:sz w:val="24"/>
                <w:szCs w:val="24"/>
              </w:rPr>
            </w:pPr>
            <w:r w:rsidRPr="006E68B2">
              <w:rPr>
                <w:rFonts w:ascii="Arial" w:hAnsi="Arial" w:cs="Arial"/>
                <w:color w:val="010205"/>
                <w:sz w:val="24"/>
                <w:szCs w:val="24"/>
              </w:rPr>
              <w:t>221</w:t>
            </w:r>
          </w:p>
        </w:tc>
        <w:tc>
          <w:tcPr>
            <w:tcW w:w="1702" w:type="dxa"/>
          </w:tcPr>
          <w:p w14:paraId="300095BC" w14:textId="77777777" w:rsidR="00AF6AA5" w:rsidRPr="006E68B2" w:rsidRDefault="00AF6AA5" w:rsidP="00715B47">
            <w:pPr>
              <w:ind w:left="147"/>
              <w:jc w:val="center"/>
              <w:rPr>
                <w:rFonts w:ascii="Arial" w:hAnsi="Arial" w:cs="Arial"/>
                <w:color w:val="010205"/>
                <w:sz w:val="24"/>
                <w:szCs w:val="24"/>
              </w:rPr>
            </w:pPr>
            <w:r w:rsidRPr="006E68B2">
              <w:rPr>
                <w:rFonts w:ascii="Arial" w:hAnsi="Arial" w:cs="Arial"/>
                <w:color w:val="010205"/>
                <w:sz w:val="24"/>
                <w:szCs w:val="24"/>
              </w:rPr>
              <w:t>20.0</w:t>
            </w:r>
          </w:p>
        </w:tc>
      </w:tr>
      <w:tr w:rsidR="00AF6AA5" w:rsidRPr="006E68B2" w14:paraId="3062F551" w14:textId="77777777" w:rsidTr="00715B47">
        <w:tc>
          <w:tcPr>
            <w:tcW w:w="5669" w:type="dxa"/>
          </w:tcPr>
          <w:p w14:paraId="581429BE" w14:textId="77777777" w:rsidR="00AF6AA5" w:rsidRPr="006E68B2" w:rsidRDefault="00AF6AA5" w:rsidP="00715B47">
            <w:pPr>
              <w:autoSpaceDE w:val="0"/>
              <w:autoSpaceDN w:val="0"/>
              <w:adjustRightInd w:val="0"/>
              <w:ind w:right="60" w:firstLine="175"/>
              <w:rPr>
                <w:rFonts w:ascii="Arial" w:hAnsi="Arial" w:cs="Arial"/>
                <w:bCs/>
                <w:sz w:val="24"/>
                <w:szCs w:val="24"/>
              </w:rPr>
            </w:pPr>
            <w:r w:rsidRPr="006E68B2">
              <w:rPr>
                <w:rFonts w:ascii="Arial" w:hAnsi="Arial" w:cs="Arial"/>
                <w:bCs/>
                <w:sz w:val="24"/>
                <w:szCs w:val="24"/>
              </w:rPr>
              <w:t>Alcohol intake &gt;14 units a day</w:t>
            </w:r>
          </w:p>
        </w:tc>
        <w:tc>
          <w:tcPr>
            <w:tcW w:w="1701" w:type="dxa"/>
          </w:tcPr>
          <w:p w14:paraId="1892347E" w14:textId="77777777" w:rsidR="00AF6AA5" w:rsidRPr="006E68B2" w:rsidRDefault="00AF6AA5" w:rsidP="00715B47">
            <w:pPr>
              <w:ind w:left="147"/>
              <w:jc w:val="center"/>
              <w:rPr>
                <w:rFonts w:ascii="Arial" w:hAnsi="Arial" w:cs="Arial"/>
                <w:sz w:val="24"/>
                <w:szCs w:val="24"/>
              </w:rPr>
            </w:pPr>
            <w:r w:rsidRPr="006E68B2">
              <w:rPr>
                <w:rFonts w:ascii="Arial" w:hAnsi="Arial" w:cs="Arial"/>
                <w:sz w:val="24"/>
                <w:szCs w:val="24"/>
              </w:rPr>
              <w:t>58</w:t>
            </w:r>
          </w:p>
        </w:tc>
        <w:tc>
          <w:tcPr>
            <w:tcW w:w="1702" w:type="dxa"/>
          </w:tcPr>
          <w:p w14:paraId="3BF490C7" w14:textId="77777777" w:rsidR="00AF6AA5" w:rsidRPr="006E68B2" w:rsidRDefault="00AF6AA5" w:rsidP="00715B47">
            <w:pPr>
              <w:ind w:left="147"/>
              <w:jc w:val="center"/>
              <w:rPr>
                <w:rFonts w:ascii="Arial" w:hAnsi="Arial" w:cs="Arial"/>
                <w:sz w:val="24"/>
                <w:szCs w:val="24"/>
              </w:rPr>
            </w:pPr>
            <w:r w:rsidRPr="006E68B2">
              <w:rPr>
                <w:rFonts w:ascii="Arial" w:hAnsi="Arial" w:cs="Arial"/>
                <w:sz w:val="24"/>
                <w:szCs w:val="24"/>
              </w:rPr>
              <w:t>5.3</w:t>
            </w:r>
          </w:p>
        </w:tc>
      </w:tr>
      <w:tr w:rsidR="00AF6AA5" w:rsidRPr="006E68B2" w14:paraId="5EA945F3" w14:textId="77777777" w:rsidTr="00715B47">
        <w:tc>
          <w:tcPr>
            <w:tcW w:w="5669" w:type="dxa"/>
          </w:tcPr>
          <w:p w14:paraId="5F69E1CA" w14:textId="77777777" w:rsidR="00AF6AA5" w:rsidRPr="006E68B2" w:rsidRDefault="00AF6AA5" w:rsidP="00715B47">
            <w:pPr>
              <w:autoSpaceDE w:val="0"/>
              <w:autoSpaceDN w:val="0"/>
              <w:adjustRightInd w:val="0"/>
              <w:ind w:right="60"/>
              <w:rPr>
                <w:rFonts w:ascii="Arial" w:hAnsi="Arial" w:cs="Arial"/>
                <w:b/>
                <w:bCs/>
                <w:sz w:val="24"/>
                <w:szCs w:val="24"/>
              </w:rPr>
            </w:pPr>
            <w:r w:rsidRPr="006E68B2">
              <w:rPr>
                <w:rFonts w:ascii="Segoe UI" w:eastAsia="Times New Roman" w:hAnsi="Segoe UI" w:cs="Segoe UI"/>
                <w:b/>
                <w:bCs/>
                <w:color w:val="333333"/>
                <w:sz w:val="24"/>
                <w:szCs w:val="24"/>
                <w:lang w:eastAsia="en-GB"/>
              </w:rPr>
              <w:t>Surgical techniques</w:t>
            </w:r>
          </w:p>
        </w:tc>
        <w:tc>
          <w:tcPr>
            <w:tcW w:w="1701" w:type="dxa"/>
          </w:tcPr>
          <w:p w14:paraId="7C07F984" w14:textId="77777777" w:rsidR="00AF6AA5" w:rsidRPr="006E68B2" w:rsidRDefault="00AF6AA5" w:rsidP="00715B47">
            <w:pPr>
              <w:ind w:left="147"/>
              <w:jc w:val="center"/>
              <w:rPr>
                <w:rFonts w:ascii="Arial" w:hAnsi="Arial" w:cs="Arial"/>
                <w:sz w:val="24"/>
                <w:szCs w:val="24"/>
              </w:rPr>
            </w:pPr>
          </w:p>
        </w:tc>
        <w:tc>
          <w:tcPr>
            <w:tcW w:w="1702" w:type="dxa"/>
          </w:tcPr>
          <w:p w14:paraId="58FC35D0" w14:textId="77777777" w:rsidR="00AF6AA5" w:rsidRPr="006E68B2" w:rsidRDefault="00AF6AA5" w:rsidP="00715B47">
            <w:pPr>
              <w:ind w:left="147"/>
              <w:jc w:val="center"/>
              <w:rPr>
                <w:rFonts w:ascii="Arial" w:hAnsi="Arial" w:cs="Arial"/>
                <w:sz w:val="24"/>
                <w:szCs w:val="24"/>
              </w:rPr>
            </w:pPr>
          </w:p>
        </w:tc>
      </w:tr>
      <w:tr w:rsidR="00AF6AA5" w:rsidRPr="006E68B2" w14:paraId="04752D94" w14:textId="77777777" w:rsidTr="00715B47">
        <w:tc>
          <w:tcPr>
            <w:tcW w:w="5669" w:type="dxa"/>
          </w:tcPr>
          <w:p w14:paraId="1EED6FDE" w14:textId="77777777" w:rsidR="00AF6AA5" w:rsidRPr="006E68B2" w:rsidRDefault="00AF6AA5" w:rsidP="00715B47">
            <w:pPr>
              <w:autoSpaceDE w:val="0"/>
              <w:autoSpaceDN w:val="0"/>
              <w:adjustRightInd w:val="0"/>
              <w:ind w:right="60" w:firstLine="175"/>
              <w:rPr>
                <w:rFonts w:ascii="Arial" w:hAnsi="Arial" w:cs="Arial"/>
                <w:bCs/>
                <w:sz w:val="24"/>
                <w:szCs w:val="24"/>
              </w:rPr>
            </w:pPr>
            <w:r w:rsidRPr="006E68B2">
              <w:rPr>
                <w:rFonts w:ascii="Segoe UI" w:eastAsia="Times New Roman" w:hAnsi="Segoe UI" w:cs="Segoe UI"/>
                <w:color w:val="333333"/>
                <w:sz w:val="24"/>
                <w:szCs w:val="24"/>
                <w:lang w:eastAsia="en-GB"/>
              </w:rPr>
              <w:t>Arthroplasty</w:t>
            </w:r>
          </w:p>
        </w:tc>
        <w:tc>
          <w:tcPr>
            <w:tcW w:w="1701" w:type="dxa"/>
          </w:tcPr>
          <w:p w14:paraId="15E96367"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552</w:t>
            </w:r>
          </w:p>
        </w:tc>
        <w:tc>
          <w:tcPr>
            <w:tcW w:w="1702" w:type="dxa"/>
          </w:tcPr>
          <w:p w14:paraId="35973265"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50.0</w:t>
            </w:r>
          </w:p>
        </w:tc>
      </w:tr>
      <w:tr w:rsidR="00AF6AA5" w:rsidRPr="006E68B2" w14:paraId="2A88906B" w14:textId="77777777" w:rsidTr="00715B47">
        <w:tc>
          <w:tcPr>
            <w:tcW w:w="5669" w:type="dxa"/>
          </w:tcPr>
          <w:p w14:paraId="1E6234ED" w14:textId="77777777" w:rsidR="00AF6AA5" w:rsidRPr="006E68B2" w:rsidRDefault="00AF6AA5" w:rsidP="00715B47">
            <w:pPr>
              <w:autoSpaceDE w:val="0"/>
              <w:autoSpaceDN w:val="0"/>
              <w:adjustRightInd w:val="0"/>
              <w:ind w:right="60" w:firstLine="175"/>
              <w:rPr>
                <w:rFonts w:ascii="Arial" w:hAnsi="Arial" w:cs="Arial"/>
                <w:bCs/>
                <w:sz w:val="24"/>
                <w:szCs w:val="24"/>
              </w:rPr>
            </w:pPr>
            <w:r w:rsidRPr="006E68B2">
              <w:rPr>
                <w:rFonts w:ascii="Arial" w:hAnsi="Arial" w:cs="Arial"/>
                <w:sz w:val="24"/>
                <w:szCs w:val="24"/>
              </w:rPr>
              <w:t>Intramedullary nail</w:t>
            </w:r>
          </w:p>
        </w:tc>
        <w:tc>
          <w:tcPr>
            <w:tcW w:w="1701" w:type="dxa"/>
          </w:tcPr>
          <w:p w14:paraId="38951761"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334</w:t>
            </w:r>
          </w:p>
        </w:tc>
        <w:tc>
          <w:tcPr>
            <w:tcW w:w="1702" w:type="dxa"/>
          </w:tcPr>
          <w:p w14:paraId="4AAEAF51"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30.2</w:t>
            </w:r>
          </w:p>
        </w:tc>
      </w:tr>
      <w:tr w:rsidR="00AF6AA5" w:rsidRPr="006E68B2" w14:paraId="639F20F3" w14:textId="77777777" w:rsidTr="00715B47">
        <w:tc>
          <w:tcPr>
            <w:tcW w:w="5669" w:type="dxa"/>
          </w:tcPr>
          <w:p w14:paraId="5419121E" w14:textId="77777777" w:rsidR="00AF6AA5" w:rsidRPr="006E68B2" w:rsidRDefault="00AF6AA5" w:rsidP="00715B47">
            <w:pPr>
              <w:autoSpaceDE w:val="0"/>
              <w:autoSpaceDN w:val="0"/>
              <w:adjustRightInd w:val="0"/>
              <w:ind w:right="60" w:firstLine="175"/>
              <w:rPr>
                <w:rFonts w:ascii="Arial" w:hAnsi="Arial" w:cs="Arial"/>
                <w:bCs/>
                <w:sz w:val="24"/>
                <w:szCs w:val="24"/>
              </w:rPr>
            </w:pPr>
            <w:r w:rsidRPr="006E68B2">
              <w:rPr>
                <w:rFonts w:ascii="Arial" w:hAnsi="Arial" w:cs="Arial"/>
                <w:sz w:val="24"/>
                <w:szCs w:val="24"/>
              </w:rPr>
              <w:t>Sliding hip screw</w:t>
            </w:r>
          </w:p>
        </w:tc>
        <w:tc>
          <w:tcPr>
            <w:tcW w:w="1701" w:type="dxa"/>
          </w:tcPr>
          <w:p w14:paraId="60D8DA0B"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161</w:t>
            </w:r>
          </w:p>
        </w:tc>
        <w:tc>
          <w:tcPr>
            <w:tcW w:w="1702" w:type="dxa"/>
          </w:tcPr>
          <w:p w14:paraId="7A31CD55"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14.6</w:t>
            </w:r>
          </w:p>
        </w:tc>
      </w:tr>
      <w:tr w:rsidR="00AF6AA5" w:rsidRPr="006E68B2" w14:paraId="7F50FAFC" w14:textId="77777777" w:rsidTr="00715B47">
        <w:tc>
          <w:tcPr>
            <w:tcW w:w="5669" w:type="dxa"/>
          </w:tcPr>
          <w:p w14:paraId="6ABFF9D8" w14:textId="77777777" w:rsidR="00AF6AA5" w:rsidRPr="006E68B2" w:rsidRDefault="00AF6AA5" w:rsidP="00715B47">
            <w:pPr>
              <w:autoSpaceDE w:val="0"/>
              <w:autoSpaceDN w:val="0"/>
              <w:adjustRightInd w:val="0"/>
              <w:ind w:right="60" w:firstLine="175"/>
              <w:rPr>
                <w:rFonts w:ascii="Arial" w:hAnsi="Arial" w:cs="Arial"/>
                <w:bCs/>
                <w:sz w:val="24"/>
                <w:szCs w:val="24"/>
              </w:rPr>
            </w:pPr>
            <w:r w:rsidRPr="006E68B2">
              <w:rPr>
                <w:rFonts w:ascii="Segoe UI" w:eastAsia="Times New Roman" w:hAnsi="Segoe UI" w:cs="Segoe UI"/>
                <w:color w:val="333333"/>
                <w:sz w:val="24"/>
                <w:szCs w:val="24"/>
                <w:lang w:eastAsia="en-GB"/>
              </w:rPr>
              <w:t>Hybrid</w:t>
            </w:r>
            <w:r w:rsidRPr="006E68B2">
              <w:rPr>
                <w:rFonts w:ascii="Arial" w:hAnsi="Arial" w:cs="Arial"/>
                <w:sz w:val="24"/>
                <w:szCs w:val="24"/>
              </w:rPr>
              <w:t xml:space="preserve"> total hip replacement </w:t>
            </w:r>
          </w:p>
        </w:tc>
        <w:tc>
          <w:tcPr>
            <w:tcW w:w="1701" w:type="dxa"/>
          </w:tcPr>
          <w:p w14:paraId="61E0BF10"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43</w:t>
            </w:r>
          </w:p>
        </w:tc>
        <w:tc>
          <w:tcPr>
            <w:tcW w:w="1702" w:type="dxa"/>
          </w:tcPr>
          <w:p w14:paraId="060EC2BA"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3.9</w:t>
            </w:r>
          </w:p>
        </w:tc>
      </w:tr>
      <w:tr w:rsidR="00AF6AA5" w:rsidRPr="006E68B2" w14:paraId="261B7376" w14:textId="77777777" w:rsidTr="00715B47">
        <w:tc>
          <w:tcPr>
            <w:tcW w:w="5669" w:type="dxa"/>
          </w:tcPr>
          <w:p w14:paraId="60B99632" w14:textId="77777777" w:rsidR="00AF6AA5" w:rsidRPr="006E68B2" w:rsidRDefault="00AF6AA5" w:rsidP="00715B47">
            <w:pPr>
              <w:autoSpaceDE w:val="0"/>
              <w:autoSpaceDN w:val="0"/>
              <w:adjustRightInd w:val="0"/>
              <w:ind w:right="60"/>
              <w:rPr>
                <w:rFonts w:ascii="Segoe UI" w:eastAsia="Times New Roman" w:hAnsi="Segoe UI" w:cs="Segoe UI"/>
                <w:b/>
                <w:bCs/>
                <w:color w:val="333333"/>
                <w:sz w:val="24"/>
                <w:szCs w:val="24"/>
                <w:lang w:eastAsia="en-GB"/>
              </w:rPr>
            </w:pPr>
            <w:r w:rsidRPr="006E68B2">
              <w:rPr>
                <w:rFonts w:ascii="Segoe UI" w:eastAsia="Times New Roman" w:hAnsi="Segoe UI" w:cs="Segoe UI"/>
                <w:b/>
                <w:bCs/>
                <w:color w:val="333333"/>
                <w:sz w:val="24"/>
                <w:szCs w:val="24"/>
                <w:lang w:eastAsia="en-GB"/>
              </w:rPr>
              <w:t>Antiresorptive agents</w:t>
            </w:r>
          </w:p>
        </w:tc>
        <w:tc>
          <w:tcPr>
            <w:tcW w:w="1701" w:type="dxa"/>
          </w:tcPr>
          <w:p w14:paraId="4AC3F7B8" w14:textId="77777777" w:rsidR="00AF6AA5" w:rsidRPr="006E68B2" w:rsidRDefault="00AF6AA5" w:rsidP="00715B47">
            <w:pPr>
              <w:ind w:left="147"/>
              <w:jc w:val="center"/>
              <w:rPr>
                <w:rFonts w:ascii="Arial" w:hAnsi="Arial" w:cs="Arial"/>
                <w:color w:val="010205"/>
                <w:sz w:val="24"/>
                <w:szCs w:val="24"/>
              </w:rPr>
            </w:pPr>
          </w:p>
        </w:tc>
        <w:tc>
          <w:tcPr>
            <w:tcW w:w="1702" w:type="dxa"/>
          </w:tcPr>
          <w:p w14:paraId="5B033BD6" w14:textId="77777777" w:rsidR="00AF6AA5" w:rsidRPr="006E68B2" w:rsidRDefault="00AF6AA5" w:rsidP="00715B47">
            <w:pPr>
              <w:ind w:left="147"/>
              <w:jc w:val="center"/>
              <w:rPr>
                <w:rFonts w:ascii="Arial" w:hAnsi="Arial" w:cs="Arial"/>
                <w:color w:val="010205"/>
                <w:sz w:val="24"/>
                <w:szCs w:val="24"/>
              </w:rPr>
            </w:pPr>
          </w:p>
        </w:tc>
      </w:tr>
      <w:tr w:rsidR="00AF6AA5" w:rsidRPr="006E68B2" w14:paraId="6BD283D9" w14:textId="77777777" w:rsidTr="00715B47">
        <w:tc>
          <w:tcPr>
            <w:tcW w:w="5669" w:type="dxa"/>
          </w:tcPr>
          <w:p w14:paraId="06292CDE" w14:textId="77777777" w:rsidR="00AF6AA5" w:rsidRPr="006E68B2" w:rsidRDefault="00AF6AA5" w:rsidP="00715B47">
            <w:pPr>
              <w:autoSpaceDE w:val="0"/>
              <w:autoSpaceDN w:val="0"/>
              <w:adjustRightInd w:val="0"/>
              <w:ind w:right="60" w:firstLine="175"/>
              <w:rPr>
                <w:rFonts w:ascii="Segoe UI" w:eastAsia="Times New Roman" w:hAnsi="Segoe UI" w:cs="Segoe UI"/>
                <w:color w:val="333333"/>
                <w:sz w:val="24"/>
                <w:szCs w:val="24"/>
                <w:lang w:eastAsia="en-GB"/>
              </w:rPr>
            </w:pPr>
            <w:r w:rsidRPr="006E68B2">
              <w:rPr>
                <w:rFonts w:ascii="Segoe UI" w:eastAsia="Times New Roman" w:hAnsi="Segoe UI" w:cs="Segoe UI"/>
                <w:color w:val="333333"/>
                <w:sz w:val="24"/>
                <w:szCs w:val="24"/>
                <w:lang w:eastAsia="en-GB"/>
              </w:rPr>
              <w:t>Before admission for hip fractures</w:t>
            </w:r>
          </w:p>
        </w:tc>
        <w:tc>
          <w:tcPr>
            <w:tcW w:w="1701" w:type="dxa"/>
          </w:tcPr>
          <w:p w14:paraId="74AB008F" w14:textId="77777777" w:rsidR="00AF6AA5" w:rsidRPr="006E68B2" w:rsidRDefault="00AF6AA5" w:rsidP="00715B47">
            <w:pPr>
              <w:ind w:left="147"/>
              <w:jc w:val="center"/>
              <w:rPr>
                <w:rFonts w:ascii="Arial" w:hAnsi="Arial" w:cs="Arial"/>
                <w:color w:val="010205"/>
                <w:sz w:val="24"/>
                <w:szCs w:val="24"/>
              </w:rPr>
            </w:pPr>
            <w:r w:rsidRPr="006E68B2">
              <w:rPr>
                <w:rFonts w:ascii="Arial" w:hAnsi="Arial" w:cs="Arial"/>
                <w:color w:val="010205"/>
                <w:sz w:val="24"/>
                <w:szCs w:val="24"/>
              </w:rPr>
              <w:t>45</w:t>
            </w:r>
          </w:p>
        </w:tc>
        <w:tc>
          <w:tcPr>
            <w:tcW w:w="1702" w:type="dxa"/>
          </w:tcPr>
          <w:p w14:paraId="5F416BD4" w14:textId="77777777" w:rsidR="00AF6AA5" w:rsidRPr="006E68B2" w:rsidRDefault="00AF6AA5" w:rsidP="00715B47">
            <w:pPr>
              <w:ind w:left="147"/>
              <w:jc w:val="center"/>
              <w:rPr>
                <w:rFonts w:ascii="Arial" w:hAnsi="Arial" w:cs="Arial"/>
                <w:color w:val="010205"/>
                <w:sz w:val="24"/>
                <w:szCs w:val="24"/>
              </w:rPr>
            </w:pPr>
            <w:r w:rsidRPr="006E68B2">
              <w:rPr>
                <w:rFonts w:ascii="Arial" w:hAnsi="Arial" w:cs="Arial"/>
                <w:color w:val="010205"/>
                <w:sz w:val="24"/>
                <w:szCs w:val="24"/>
              </w:rPr>
              <w:t>4.1</w:t>
            </w:r>
          </w:p>
        </w:tc>
      </w:tr>
      <w:tr w:rsidR="00AF6AA5" w:rsidRPr="006E68B2" w14:paraId="77804CCA" w14:textId="77777777" w:rsidTr="00715B47">
        <w:tc>
          <w:tcPr>
            <w:tcW w:w="5669" w:type="dxa"/>
          </w:tcPr>
          <w:p w14:paraId="061901E3" w14:textId="77777777" w:rsidR="00AF6AA5" w:rsidRPr="006E68B2" w:rsidRDefault="00AF6AA5" w:rsidP="00715B47">
            <w:pPr>
              <w:autoSpaceDE w:val="0"/>
              <w:autoSpaceDN w:val="0"/>
              <w:adjustRightInd w:val="0"/>
              <w:ind w:right="60" w:firstLine="175"/>
              <w:rPr>
                <w:rFonts w:ascii="Segoe UI" w:eastAsia="Times New Roman" w:hAnsi="Segoe UI" w:cs="Segoe UI"/>
                <w:color w:val="333333"/>
                <w:sz w:val="24"/>
                <w:szCs w:val="24"/>
                <w:lang w:eastAsia="en-GB"/>
              </w:rPr>
            </w:pPr>
            <w:r w:rsidRPr="006E68B2">
              <w:rPr>
                <w:rFonts w:ascii="Segoe UI" w:eastAsia="Times New Roman" w:hAnsi="Segoe UI" w:cs="Segoe UI"/>
                <w:color w:val="333333"/>
                <w:sz w:val="24"/>
                <w:szCs w:val="24"/>
                <w:lang w:eastAsia="en-GB"/>
              </w:rPr>
              <w:t>After discharge for hip fractures</w:t>
            </w:r>
          </w:p>
        </w:tc>
        <w:tc>
          <w:tcPr>
            <w:tcW w:w="1701" w:type="dxa"/>
          </w:tcPr>
          <w:p w14:paraId="086A243B" w14:textId="77777777" w:rsidR="00AF6AA5" w:rsidRPr="006E68B2" w:rsidRDefault="00AF6AA5" w:rsidP="00715B47">
            <w:pPr>
              <w:ind w:left="147"/>
              <w:jc w:val="center"/>
              <w:rPr>
                <w:rFonts w:ascii="Arial" w:hAnsi="Arial" w:cs="Arial"/>
                <w:color w:val="010205"/>
                <w:sz w:val="24"/>
                <w:szCs w:val="24"/>
              </w:rPr>
            </w:pPr>
            <w:r w:rsidRPr="006E68B2">
              <w:rPr>
                <w:rFonts w:ascii="Arial" w:hAnsi="Arial" w:cs="Arial"/>
                <w:color w:val="010205"/>
                <w:sz w:val="24"/>
                <w:szCs w:val="24"/>
              </w:rPr>
              <w:t>896</w:t>
            </w:r>
          </w:p>
        </w:tc>
        <w:tc>
          <w:tcPr>
            <w:tcW w:w="1702" w:type="dxa"/>
          </w:tcPr>
          <w:p w14:paraId="6AFC98D6" w14:textId="77777777" w:rsidR="00AF6AA5" w:rsidRPr="006E68B2" w:rsidRDefault="00AF6AA5" w:rsidP="00715B47">
            <w:pPr>
              <w:ind w:left="147"/>
              <w:jc w:val="center"/>
              <w:rPr>
                <w:rFonts w:ascii="Arial" w:hAnsi="Arial" w:cs="Arial"/>
                <w:color w:val="010205"/>
                <w:sz w:val="24"/>
                <w:szCs w:val="24"/>
              </w:rPr>
            </w:pPr>
            <w:r w:rsidRPr="006E68B2">
              <w:rPr>
                <w:rFonts w:ascii="Arial" w:hAnsi="Arial" w:cs="Arial"/>
                <w:color w:val="010205"/>
                <w:sz w:val="24"/>
                <w:szCs w:val="24"/>
              </w:rPr>
              <w:t>81.1</w:t>
            </w:r>
          </w:p>
        </w:tc>
      </w:tr>
      <w:tr w:rsidR="00AF6AA5" w:rsidRPr="006E68B2" w14:paraId="2283BD63" w14:textId="77777777" w:rsidTr="00715B47">
        <w:tc>
          <w:tcPr>
            <w:tcW w:w="5669" w:type="dxa"/>
          </w:tcPr>
          <w:p w14:paraId="100ED5C0" w14:textId="77777777" w:rsidR="00AF6AA5" w:rsidRPr="006E68B2" w:rsidRDefault="00AF6AA5" w:rsidP="00715B47">
            <w:pPr>
              <w:autoSpaceDE w:val="0"/>
              <w:autoSpaceDN w:val="0"/>
              <w:adjustRightInd w:val="0"/>
              <w:ind w:right="60" w:firstLine="175"/>
              <w:rPr>
                <w:rFonts w:ascii="Segoe UI" w:eastAsia="Times New Roman" w:hAnsi="Segoe UI" w:cs="Segoe UI"/>
                <w:color w:val="333333"/>
                <w:sz w:val="24"/>
                <w:szCs w:val="24"/>
                <w:lang w:eastAsia="en-GB"/>
              </w:rPr>
            </w:pPr>
            <w:r w:rsidRPr="006E68B2">
              <w:rPr>
                <w:rFonts w:ascii="Segoe UI" w:eastAsia="Times New Roman" w:hAnsi="Segoe UI" w:cs="Segoe UI"/>
                <w:color w:val="333333"/>
                <w:sz w:val="24"/>
                <w:szCs w:val="24"/>
                <w:lang w:eastAsia="en-GB"/>
              </w:rPr>
              <w:t>Wating for dual x-ray absorptiometry results</w:t>
            </w:r>
          </w:p>
        </w:tc>
        <w:tc>
          <w:tcPr>
            <w:tcW w:w="1701" w:type="dxa"/>
          </w:tcPr>
          <w:p w14:paraId="242ADDAD" w14:textId="77777777" w:rsidR="00AF6AA5" w:rsidRPr="006E68B2" w:rsidRDefault="00AF6AA5" w:rsidP="00715B47">
            <w:pPr>
              <w:ind w:left="147"/>
              <w:jc w:val="center"/>
              <w:rPr>
                <w:rFonts w:ascii="Arial" w:hAnsi="Arial" w:cs="Arial"/>
                <w:color w:val="010205"/>
                <w:sz w:val="24"/>
                <w:szCs w:val="24"/>
              </w:rPr>
            </w:pPr>
            <w:r w:rsidRPr="006E68B2">
              <w:rPr>
                <w:rFonts w:ascii="Arial" w:hAnsi="Arial" w:cs="Arial"/>
                <w:color w:val="010205"/>
                <w:sz w:val="24"/>
                <w:szCs w:val="24"/>
              </w:rPr>
              <w:t>160</w:t>
            </w:r>
          </w:p>
        </w:tc>
        <w:tc>
          <w:tcPr>
            <w:tcW w:w="1702" w:type="dxa"/>
          </w:tcPr>
          <w:p w14:paraId="1B86EECC" w14:textId="77777777" w:rsidR="00AF6AA5" w:rsidRPr="006E68B2" w:rsidRDefault="00AF6AA5" w:rsidP="00715B47">
            <w:pPr>
              <w:ind w:left="147"/>
              <w:jc w:val="center"/>
              <w:rPr>
                <w:rFonts w:ascii="Arial" w:hAnsi="Arial" w:cs="Arial"/>
                <w:color w:val="010205"/>
                <w:sz w:val="24"/>
                <w:szCs w:val="24"/>
              </w:rPr>
            </w:pPr>
            <w:r w:rsidRPr="006E68B2">
              <w:rPr>
                <w:rFonts w:ascii="Arial" w:hAnsi="Arial" w:cs="Arial"/>
                <w:color w:val="010205"/>
                <w:sz w:val="24"/>
                <w:szCs w:val="24"/>
              </w:rPr>
              <w:t>14.5</w:t>
            </w:r>
          </w:p>
        </w:tc>
      </w:tr>
      <w:tr w:rsidR="00AF6AA5" w:rsidRPr="006E68B2" w14:paraId="3B2DFF04" w14:textId="77777777" w:rsidTr="00715B47">
        <w:tc>
          <w:tcPr>
            <w:tcW w:w="5669" w:type="dxa"/>
          </w:tcPr>
          <w:p w14:paraId="33053810" w14:textId="77777777" w:rsidR="00AF6AA5" w:rsidRPr="006E68B2" w:rsidRDefault="00AF6AA5" w:rsidP="00715B47">
            <w:pPr>
              <w:rPr>
                <w:rFonts w:ascii="Arial" w:hAnsi="Arial" w:cs="Arial"/>
                <w:b/>
                <w:bCs/>
                <w:sz w:val="24"/>
                <w:szCs w:val="24"/>
              </w:rPr>
            </w:pPr>
            <w:r w:rsidRPr="006E68B2">
              <w:rPr>
                <w:rFonts w:ascii="Arial" w:hAnsi="Arial" w:cs="Arial"/>
                <w:b/>
                <w:bCs/>
                <w:sz w:val="24"/>
                <w:szCs w:val="24"/>
              </w:rPr>
              <w:t>Outcomes</w:t>
            </w:r>
          </w:p>
        </w:tc>
        <w:tc>
          <w:tcPr>
            <w:tcW w:w="1701" w:type="dxa"/>
          </w:tcPr>
          <w:p w14:paraId="6A448105" w14:textId="77777777" w:rsidR="00AF6AA5" w:rsidRPr="006E68B2" w:rsidRDefault="00AF6AA5" w:rsidP="00715B47">
            <w:pPr>
              <w:ind w:left="147"/>
              <w:jc w:val="center"/>
              <w:rPr>
                <w:rFonts w:ascii="Arial" w:hAnsi="Arial" w:cs="Arial"/>
                <w:sz w:val="24"/>
                <w:szCs w:val="24"/>
              </w:rPr>
            </w:pPr>
          </w:p>
        </w:tc>
        <w:tc>
          <w:tcPr>
            <w:tcW w:w="1702" w:type="dxa"/>
          </w:tcPr>
          <w:p w14:paraId="61169A65" w14:textId="77777777" w:rsidR="00AF6AA5" w:rsidRPr="006E68B2" w:rsidRDefault="00AF6AA5" w:rsidP="00715B47">
            <w:pPr>
              <w:ind w:left="147"/>
              <w:jc w:val="center"/>
              <w:rPr>
                <w:rFonts w:ascii="Arial" w:hAnsi="Arial" w:cs="Arial"/>
                <w:sz w:val="24"/>
                <w:szCs w:val="24"/>
              </w:rPr>
            </w:pPr>
          </w:p>
        </w:tc>
      </w:tr>
      <w:tr w:rsidR="00AF6AA5" w:rsidRPr="006E68B2" w14:paraId="7308B8C7" w14:textId="77777777" w:rsidTr="00715B47">
        <w:tc>
          <w:tcPr>
            <w:tcW w:w="5669" w:type="dxa"/>
          </w:tcPr>
          <w:p w14:paraId="6E9D0CA0" w14:textId="77777777" w:rsidR="00AF6AA5" w:rsidRPr="006E68B2" w:rsidRDefault="00AF6AA5" w:rsidP="00715B47">
            <w:pPr>
              <w:ind w:firstLine="203"/>
              <w:rPr>
                <w:rFonts w:ascii="Arial" w:hAnsi="Arial" w:cs="Arial"/>
                <w:sz w:val="24"/>
                <w:szCs w:val="24"/>
              </w:rPr>
            </w:pPr>
            <w:r w:rsidRPr="006E68B2">
              <w:rPr>
                <w:rFonts w:ascii="Arial" w:hAnsi="Arial" w:cs="Arial"/>
                <w:sz w:val="24"/>
                <w:szCs w:val="24"/>
              </w:rPr>
              <w:t>≥1 week</w:t>
            </w:r>
          </w:p>
        </w:tc>
        <w:tc>
          <w:tcPr>
            <w:tcW w:w="1701" w:type="dxa"/>
          </w:tcPr>
          <w:p w14:paraId="19FA3D9B"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805</w:t>
            </w:r>
          </w:p>
        </w:tc>
        <w:tc>
          <w:tcPr>
            <w:tcW w:w="1702" w:type="dxa"/>
          </w:tcPr>
          <w:p w14:paraId="301A10F1"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72.9</w:t>
            </w:r>
          </w:p>
        </w:tc>
      </w:tr>
      <w:tr w:rsidR="00AF6AA5" w:rsidRPr="006E68B2" w14:paraId="72FAB046" w14:textId="77777777" w:rsidTr="00715B47">
        <w:tc>
          <w:tcPr>
            <w:tcW w:w="5669" w:type="dxa"/>
          </w:tcPr>
          <w:p w14:paraId="30A59238" w14:textId="77777777" w:rsidR="00AF6AA5" w:rsidRPr="006E68B2" w:rsidRDefault="00AF6AA5" w:rsidP="00715B47">
            <w:pPr>
              <w:ind w:firstLine="203"/>
              <w:rPr>
                <w:rFonts w:ascii="Arial" w:hAnsi="Arial" w:cs="Arial"/>
                <w:sz w:val="24"/>
                <w:szCs w:val="24"/>
              </w:rPr>
            </w:pPr>
            <w:r w:rsidRPr="006E68B2">
              <w:rPr>
                <w:rFonts w:ascii="Arial" w:hAnsi="Arial" w:cs="Arial"/>
                <w:sz w:val="24"/>
                <w:szCs w:val="24"/>
              </w:rPr>
              <w:t>≥2 weeks</w:t>
            </w:r>
          </w:p>
        </w:tc>
        <w:tc>
          <w:tcPr>
            <w:tcW w:w="1701" w:type="dxa"/>
          </w:tcPr>
          <w:p w14:paraId="5AE745C9"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343</w:t>
            </w:r>
          </w:p>
        </w:tc>
        <w:tc>
          <w:tcPr>
            <w:tcW w:w="1702" w:type="dxa"/>
          </w:tcPr>
          <w:p w14:paraId="756D08E2" w14:textId="77777777" w:rsidR="00AF6AA5" w:rsidRPr="006E68B2" w:rsidRDefault="00AF6AA5" w:rsidP="00715B47">
            <w:pPr>
              <w:ind w:left="147"/>
              <w:jc w:val="center"/>
              <w:rPr>
                <w:rFonts w:ascii="Arial" w:hAnsi="Arial" w:cs="Arial"/>
                <w:sz w:val="24"/>
                <w:szCs w:val="24"/>
              </w:rPr>
            </w:pPr>
            <w:r w:rsidRPr="006E68B2">
              <w:rPr>
                <w:rFonts w:ascii="Arial" w:hAnsi="Arial" w:cs="Arial"/>
                <w:color w:val="010205"/>
                <w:sz w:val="24"/>
                <w:szCs w:val="24"/>
              </w:rPr>
              <w:t>31.0</w:t>
            </w:r>
          </w:p>
        </w:tc>
      </w:tr>
      <w:tr w:rsidR="00AF6AA5" w:rsidRPr="006E68B2" w14:paraId="7A74F9FC" w14:textId="77777777" w:rsidTr="00715B47">
        <w:tc>
          <w:tcPr>
            <w:tcW w:w="5669" w:type="dxa"/>
          </w:tcPr>
          <w:p w14:paraId="1649561B" w14:textId="77777777" w:rsidR="00AF6AA5" w:rsidRPr="006E68B2" w:rsidRDefault="00AF6AA5" w:rsidP="00715B47">
            <w:pPr>
              <w:ind w:firstLine="203"/>
              <w:rPr>
                <w:rFonts w:ascii="Arial" w:hAnsi="Arial" w:cs="Arial"/>
                <w:sz w:val="24"/>
                <w:szCs w:val="24"/>
              </w:rPr>
            </w:pPr>
            <w:r w:rsidRPr="006E68B2">
              <w:rPr>
                <w:rFonts w:ascii="Arial" w:hAnsi="Arial" w:cs="Arial"/>
                <w:sz w:val="24"/>
                <w:szCs w:val="24"/>
              </w:rPr>
              <w:t>Failure to mobilise within 1-day of surgery</w:t>
            </w:r>
            <w:r w:rsidRPr="006E68B2">
              <w:rPr>
                <w:rFonts w:ascii="Arial" w:hAnsi="Arial" w:cs="Arial"/>
                <w:sz w:val="24"/>
                <w:szCs w:val="24"/>
                <w:vertAlign w:val="superscript"/>
              </w:rPr>
              <w:sym w:font="Wingdings 2" w:char="F085"/>
            </w:r>
          </w:p>
        </w:tc>
        <w:tc>
          <w:tcPr>
            <w:tcW w:w="1701" w:type="dxa"/>
          </w:tcPr>
          <w:p w14:paraId="16791A36" w14:textId="77777777" w:rsidR="00AF6AA5" w:rsidRPr="006E68B2" w:rsidRDefault="00AF6AA5" w:rsidP="00715B47">
            <w:pPr>
              <w:ind w:left="147"/>
              <w:jc w:val="center"/>
              <w:rPr>
                <w:rFonts w:ascii="Arial" w:hAnsi="Arial" w:cs="Arial"/>
                <w:color w:val="010205"/>
                <w:sz w:val="24"/>
                <w:szCs w:val="24"/>
              </w:rPr>
            </w:pPr>
            <w:r w:rsidRPr="006E68B2">
              <w:rPr>
                <w:rFonts w:ascii="Arial" w:hAnsi="Arial" w:cs="Arial"/>
                <w:color w:val="010205"/>
                <w:sz w:val="24"/>
                <w:szCs w:val="24"/>
              </w:rPr>
              <w:t>191</w:t>
            </w:r>
          </w:p>
        </w:tc>
        <w:tc>
          <w:tcPr>
            <w:tcW w:w="1702" w:type="dxa"/>
          </w:tcPr>
          <w:p w14:paraId="3EEF3946" w14:textId="77777777" w:rsidR="00AF6AA5" w:rsidRPr="006E68B2" w:rsidRDefault="00AF6AA5" w:rsidP="00715B47">
            <w:pPr>
              <w:ind w:left="147"/>
              <w:jc w:val="center"/>
              <w:rPr>
                <w:rFonts w:ascii="Arial" w:hAnsi="Arial" w:cs="Arial"/>
                <w:color w:val="010205"/>
                <w:sz w:val="24"/>
                <w:szCs w:val="24"/>
              </w:rPr>
            </w:pPr>
            <w:r w:rsidRPr="006E68B2">
              <w:rPr>
                <w:rFonts w:ascii="Arial" w:hAnsi="Arial" w:cs="Arial"/>
                <w:color w:val="010205"/>
                <w:sz w:val="24"/>
                <w:szCs w:val="24"/>
              </w:rPr>
              <w:t>35.3</w:t>
            </w:r>
          </w:p>
        </w:tc>
      </w:tr>
      <w:tr w:rsidR="00AF6AA5" w:rsidRPr="006E68B2" w14:paraId="603583A5" w14:textId="77777777" w:rsidTr="00715B47">
        <w:tc>
          <w:tcPr>
            <w:tcW w:w="5669" w:type="dxa"/>
          </w:tcPr>
          <w:p w14:paraId="74A7244A" w14:textId="77777777" w:rsidR="00AF6AA5" w:rsidRPr="006E68B2" w:rsidRDefault="00AF6AA5" w:rsidP="00715B47">
            <w:pPr>
              <w:ind w:firstLine="203"/>
              <w:rPr>
                <w:rFonts w:ascii="Arial" w:hAnsi="Arial" w:cs="Arial"/>
                <w:sz w:val="24"/>
                <w:szCs w:val="24"/>
              </w:rPr>
            </w:pPr>
            <w:r w:rsidRPr="006E68B2">
              <w:rPr>
                <w:rFonts w:ascii="Arial" w:hAnsi="Arial" w:cs="Arial"/>
                <w:sz w:val="24"/>
                <w:szCs w:val="24"/>
                <w:lang w:val="en-US"/>
              </w:rPr>
              <w:t>Hospital acquired pressure ulcers</w:t>
            </w:r>
          </w:p>
        </w:tc>
        <w:tc>
          <w:tcPr>
            <w:tcW w:w="1701" w:type="dxa"/>
          </w:tcPr>
          <w:p w14:paraId="4B2832E1" w14:textId="77777777" w:rsidR="00AF6AA5" w:rsidRPr="006E68B2" w:rsidRDefault="00AF6AA5" w:rsidP="00715B47">
            <w:pPr>
              <w:ind w:left="147"/>
              <w:jc w:val="center"/>
              <w:rPr>
                <w:rFonts w:ascii="Arial" w:hAnsi="Arial" w:cs="Arial"/>
                <w:color w:val="010205"/>
                <w:sz w:val="24"/>
                <w:szCs w:val="24"/>
              </w:rPr>
            </w:pPr>
            <w:r w:rsidRPr="006E68B2">
              <w:rPr>
                <w:rFonts w:ascii="Arial" w:hAnsi="Arial" w:cs="Arial"/>
                <w:color w:val="010205"/>
                <w:sz w:val="24"/>
                <w:szCs w:val="24"/>
              </w:rPr>
              <w:t>21</w:t>
            </w:r>
          </w:p>
        </w:tc>
        <w:tc>
          <w:tcPr>
            <w:tcW w:w="1702" w:type="dxa"/>
          </w:tcPr>
          <w:p w14:paraId="6034AF4A" w14:textId="77777777" w:rsidR="00AF6AA5" w:rsidRPr="006E68B2" w:rsidRDefault="00AF6AA5" w:rsidP="00715B47">
            <w:pPr>
              <w:ind w:left="147"/>
              <w:jc w:val="center"/>
              <w:rPr>
                <w:rFonts w:ascii="Arial" w:hAnsi="Arial" w:cs="Arial"/>
                <w:color w:val="010205"/>
                <w:sz w:val="24"/>
                <w:szCs w:val="24"/>
              </w:rPr>
            </w:pPr>
            <w:r w:rsidRPr="006E68B2">
              <w:rPr>
                <w:rFonts w:ascii="Arial" w:hAnsi="Arial" w:cs="Arial"/>
                <w:color w:val="010205"/>
                <w:sz w:val="24"/>
                <w:szCs w:val="24"/>
              </w:rPr>
              <w:t>1.9</w:t>
            </w:r>
          </w:p>
        </w:tc>
      </w:tr>
    </w:tbl>
    <w:p w14:paraId="00084203" w14:textId="77777777" w:rsidR="00AF6AA5" w:rsidRPr="006E68B2" w:rsidRDefault="00AF6AA5" w:rsidP="00AF6AA5">
      <w:pPr>
        <w:autoSpaceDE w:val="0"/>
        <w:autoSpaceDN w:val="0"/>
        <w:adjustRightInd w:val="0"/>
        <w:ind w:right="60"/>
        <w:rPr>
          <w:rFonts w:ascii="Arial" w:hAnsi="Arial" w:cs="Arial"/>
          <w:lang w:val="en-US"/>
        </w:rPr>
      </w:pPr>
      <w:r w:rsidRPr="006E68B2">
        <w:rPr>
          <w:rFonts w:ascii="Arial" w:hAnsi="Arial" w:cs="Arial"/>
          <w:bCs/>
        </w:rPr>
        <w:t xml:space="preserve">ACB, </w:t>
      </w:r>
      <w:r w:rsidRPr="006E68B2">
        <w:rPr>
          <w:rFonts w:ascii="Arial" w:hAnsi="Arial" w:cs="Arial"/>
        </w:rPr>
        <w:t xml:space="preserve">anticholinergic burden; </w:t>
      </w:r>
      <w:r w:rsidRPr="006E68B2">
        <w:rPr>
          <w:rFonts w:ascii="Arial" w:hAnsi="Arial" w:cs="Arial"/>
          <w:vertAlign w:val="superscript"/>
        </w:rPr>
        <w:sym w:font="Wingdings 2" w:char="F085"/>
      </w:r>
      <w:r w:rsidRPr="006E68B2">
        <w:rPr>
          <w:rFonts w:ascii="Arial" w:hAnsi="Arial" w:cs="Arial"/>
        </w:rPr>
        <w:t xml:space="preserve">Subsample of </w:t>
      </w:r>
      <w:r w:rsidRPr="006E68B2">
        <w:rPr>
          <w:rFonts w:ascii="Arial" w:hAnsi="Arial" w:cs="Arial"/>
          <w:color w:val="010205"/>
        </w:rPr>
        <w:t xml:space="preserve">541 </w:t>
      </w:r>
      <w:r w:rsidRPr="006E68B2">
        <w:rPr>
          <w:rFonts w:ascii="Arial" w:hAnsi="Arial" w:cs="Arial"/>
        </w:rPr>
        <w:t>patients.</w:t>
      </w:r>
      <w:r w:rsidRPr="006E68B2">
        <w:rPr>
          <w:rFonts w:ascii="Arial" w:hAnsi="Arial" w:cs="Arial"/>
          <w:lang w:val="en-US"/>
        </w:rPr>
        <w:t xml:space="preserve"> Level-1: ACB score =0 and &lt;4 drugs a day; Level-2: ACB score ≥1 or ≥4 drugs a day; Level-3: ACB score ≥1 and ≥4 drugs a day.</w:t>
      </w:r>
      <w:bookmarkEnd w:id="4"/>
      <w:bookmarkEnd w:id="5"/>
    </w:p>
    <w:p w14:paraId="57D9243C" w14:textId="77777777" w:rsidR="00AF6AA5" w:rsidRPr="006E68B2" w:rsidRDefault="00AF6AA5" w:rsidP="00AF6AA5">
      <w:pPr>
        <w:rPr>
          <w:rFonts w:ascii="Arial" w:hAnsi="Arial" w:cs="Arial"/>
          <w:bCs/>
          <w:sz w:val="24"/>
          <w:szCs w:val="24"/>
        </w:rPr>
      </w:pPr>
      <w:r w:rsidRPr="006E68B2">
        <w:rPr>
          <w:rFonts w:ascii="Arial" w:hAnsi="Arial" w:cs="Arial"/>
          <w:bCs/>
          <w:sz w:val="24"/>
          <w:szCs w:val="24"/>
        </w:rPr>
        <w:br w:type="page"/>
      </w:r>
    </w:p>
    <w:p w14:paraId="40500603" w14:textId="77777777" w:rsidR="00AF6AA5" w:rsidRPr="006E68B2" w:rsidRDefault="00AF6AA5" w:rsidP="00AF6AA5">
      <w:pPr>
        <w:spacing w:after="0" w:line="480" w:lineRule="auto"/>
        <w:jc w:val="both"/>
        <w:rPr>
          <w:rFonts w:ascii="Arial" w:hAnsi="Arial" w:cs="Arial"/>
          <w:bCs/>
          <w:sz w:val="24"/>
          <w:szCs w:val="24"/>
        </w:rPr>
        <w:sectPr w:rsidR="00AF6AA5" w:rsidRPr="006E68B2" w:rsidSect="00715B47">
          <w:footerReference w:type="even" r:id="rId18"/>
          <w:footerReference w:type="default" r:id="rId19"/>
          <w:pgSz w:w="11906" w:h="16838"/>
          <w:pgMar w:top="1440" w:right="1440" w:bottom="1440" w:left="1440" w:header="709" w:footer="709" w:gutter="0"/>
          <w:cols w:space="708"/>
          <w:titlePg/>
          <w:docGrid w:linePitch="360"/>
        </w:sectPr>
      </w:pPr>
    </w:p>
    <w:p w14:paraId="59037E00" w14:textId="77777777" w:rsidR="00AF6AA5" w:rsidRPr="006E68B2" w:rsidRDefault="00AF6AA5" w:rsidP="00AF6AA5">
      <w:pPr>
        <w:jc w:val="both"/>
        <w:rPr>
          <w:rFonts w:ascii="Arial" w:hAnsi="Arial" w:cs="Arial"/>
          <w:sz w:val="24"/>
          <w:szCs w:val="24"/>
        </w:rPr>
      </w:pPr>
      <w:r w:rsidRPr="006E68B2">
        <w:rPr>
          <w:rFonts w:ascii="Arial" w:hAnsi="Arial" w:cs="Arial"/>
          <w:b/>
          <w:sz w:val="24"/>
          <w:szCs w:val="24"/>
        </w:rPr>
        <w:lastRenderedPageBreak/>
        <w:t>Table 2.</w:t>
      </w:r>
      <w:r w:rsidRPr="006E68B2">
        <w:rPr>
          <w:rFonts w:ascii="Arial" w:hAnsi="Arial" w:cs="Arial"/>
          <w:sz w:val="24"/>
          <w:szCs w:val="24"/>
        </w:rPr>
        <w:t xml:space="preserve"> Distribution of patients of different ages, </w:t>
      </w:r>
      <w:proofErr w:type="gramStart"/>
      <w:r w:rsidRPr="006E68B2">
        <w:rPr>
          <w:rFonts w:ascii="Arial" w:hAnsi="Arial" w:cs="Arial"/>
          <w:sz w:val="24"/>
          <w:szCs w:val="24"/>
        </w:rPr>
        <w:t>gender</w:t>
      </w:r>
      <w:proofErr w:type="gramEnd"/>
      <w:r w:rsidRPr="006E68B2">
        <w:rPr>
          <w:rFonts w:ascii="Arial" w:hAnsi="Arial" w:cs="Arial"/>
          <w:sz w:val="24"/>
          <w:szCs w:val="24"/>
        </w:rPr>
        <w:t xml:space="preserve"> and morbidities according medication status.</w:t>
      </w:r>
    </w:p>
    <w:tbl>
      <w:tblPr>
        <w:tblStyle w:val="TableGrid"/>
        <w:tblW w:w="14456" w:type="dxa"/>
        <w:tblInd w:w="-289" w:type="dxa"/>
        <w:tblLook w:val="04A0" w:firstRow="1" w:lastRow="0" w:firstColumn="1" w:lastColumn="0" w:noHBand="0" w:noVBand="1"/>
      </w:tblPr>
      <w:tblGrid>
        <w:gridCol w:w="4535"/>
        <w:gridCol w:w="2551"/>
        <w:gridCol w:w="2551"/>
        <w:gridCol w:w="2551"/>
        <w:gridCol w:w="1134"/>
        <w:gridCol w:w="1134"/>
      </w:tblGrid>
      <w:tr w:rsidR="00AF6AA5" w:rsidRPr="006E68B2" w14:paraId="739CD039" w14:textId="77777777" w:rsidTr="00715B47">
        <w:tc>
          <w:tcPr>
            <w:tcW w:w="4535" w:type="dxa"/>
          </w:tcPr>
          <w:p w14:paraId="7605A8D4" w14:textId="77777777" w:rsidR="00AF6AA5" w:rsidRPr="006E68B2" w:rsidRDefault="00AF6AA5" w:rsidP="00715B47">
            <w:pPr>
              <w:rPr>
                <w:rFonts w:ascii="Arial" w:hAnsi="Arial" w:cs="Arial"/>
                <w:b/>
                <w:lang w:val="en-US"/>
              </w:rPr>
            </w:pPr>
          </w:p>
        </w:tc>
        <w:tc>
          <w:tcPr>
            <w:tcW w:w="2551" w:type="dxa"/>
          </w:tcPr>
          <w:p w14:paraId="522ABD42" w14:textId="77777777" w:rsidR="00AF6AA5" w:rsidRPr="006E68B2" w:rsidRDefault="00AF6AA5" w:rsidP="00715B47">
            <w:pPr>
              <w:jc w:val="center"/>
              <w:rPr>
                <w:rFonts w:ascii="Arial" w:hAnsi="Arial" w:cs="Arial"/>
                <w:b/>
                <w:lang w:val="en-US"/>
              </w:rPr>
            </w:pPr>
            <w:r w:rsidRPr="006E68B2">
              <w:rPr>
                <w:rFonts w:ascii="Arial" w:hAnsi="Arial" w:cs="Arial"/>
                <w:b/>
              </w:rPr>
              <w:t>Level-1 (n = 243)</w:t>
            </w:r>
          </w:p>
        </w:tc>
        <w:tc>
          <w:tcPr>
            <w:tcW w:w="2551" w:type="dxa"/>
          </w:tcPr>
          <w:p w14:paraId="4CAB6AB6" w14:textId="77777777" w:rsidR="00AF6AA5" w:rsidRPr="006E68B2" w:rsidRDefault="00AF6AA5" w:rsidP="00715B47">
            <w:pPr>
              <w:jc w:val="center"/>
              <w:rPr>
                <w:rFonts w:ascii="Arial" w:hAnsi="Arial" w:cs="Arial"/>
                <w:b/>
                <w:lang w:val="en-US"/>
              </w:rPr>
            </w:pPr>
            <w:r w:rsidRPr="006E68B2">
              <w:rPr>
                <w:rFonts w:ascii="Arial" w:hAnsi="Arial" w:cs="Arial"/>
                <w:b/>
              </w:rPr>
              <w:t>Level-2 (n = 468)</w:t>
            </w:r>
          </w:p>
        </w:tc>
        <w:tc>
          <w:tcPr>
            <w:tcW w:w="2551" w:type="dxa"/>
          </w:tcPr>
          <w:p w14:paraId="6729AADF" w14:textId="77777777" w:rsidR="00AF6AA5" w:rsidRPr="006E68B2" w:rsidRDefault="00AF6AA5" w:rsidP="00715B47">
            <w:pPr>
              <w:jc w:val="center"/>
              <w:rPr>
                <w:rFonts w:ascii="Arial" w:hAnsi="Arial" w:cs="Arial"/>
                <w:b/>
                <w:lang w:val="en-US"/>
              </w:rPr>
            </w:pPr>
            <w:r w:rsidRPr="006E68B2">
              <w:rPr>
                <w:rFonts w:ascii="Arial" w:hAnsi="Arial" w:cs="Arial"/>
                <w:b/>
              </w:rPr>
              <w:t>Level-3 (n = 394)</w:t>
            </w:r>
          </w:p>
        </w:tc>
        <w:tc>
          <w:tcPr>
            <w:tcW w:w="2268" w:type="dxa"/>
            <w:gridSpan w:val="2"/>
          </w:tcPr>
          <w:p w14:paraId="448D1649" w14:textId="77777777" w:rsidR="00AF6AA5" w:rsidRPr="006E68B2" w:rsidRDefault="00AF6AA5" w:rsidP="00715B47">
            <w:pPr>
              <w:jc w:val="center"/>
              <w:rPr>
                <w:rFonts w:ascii="Arial" w:hAnsi="Arial" w:cs="Arial"/>
                <w:b/>
              </w:rPr>
            </w:pPr>
            <w:r w:rsidRPr="006E68B2">
              <w:rPr>
                <w:rFonts w:ascii="Arial" w:hAnsi="Arial" w:cs="Arial"/>
                <w:b/>
              </w:rPr>
              <w:t>Group differences</w:t>
            </w:r>
          </w:p>
        </w:tc>
      </w:tr>
      <w:tr w:rsidR="00AF6AA5" w:rsidRPr="006E68B2" w14:paraId="337530C9" w14:textId="77777777" w:rsidTr="00715B47">
        <w:tc>
          <w:tcPr>
            <w:tcW w:w="4535" w:type="dxa"/>
          </w:tcPr>
          <w:p w14:paraId="61ED1583" w14:textId="77777777" w:rsidR="00AF6AA5" w:rsidRPr="006E68B2" w:rsidRDefault="00AF6AA5" w:rsidP="00715B47">
            <w:pPr>
              <w:rPr>
                <w:rFonts w:ascii="Arial" w:hAnsi="Arial" w:cs="Arial"/>
                <w:b/>
                <w:bCs/>
                <w:lang w:val="en-US"/>
              </w:rPr>
            </w:pPr>
          </w:p>
        </w:tc>
        <w:tc>
          <w:tcPr>
            <w:tcW w:w="2551" w:type="dxa"/>
          </w:tcPr>
          <w:p w14:paraId="5F5F37B4" w14:textId="77777777" w:rsidR="00AF6AA5" w:rsidRPr="006E68B2" w:rsidRDefault="00AF6AA5" w:rsidP="00715B47">
            <w:pPr>
              <w:jc w:val="center"/>
              <w:rPr>
                <w:rFonts w:ascii="Arial" w:hAnsi="Arial" w:cs="Arial"/>
                <w:b/>
                <w:bCs/>
                <w:lang w:val="en-US"/>
              </w:rPr>
            </w:pPr>
            <w:r w:rsidRPr="006E68B2">
              <w:rPr>
                <w:rFonts w:ascii="Arial" w:hAnsi="Arial" w:cs="Arial"/>
                <w:bCs/>
              </w:rPr>
              <w:t>%</w:t>
            </w:r>
          </w:p>
        </w:tc>
        <w:tc>
          <w:tcPr>
            <w:tcW w:w="2551" w:type="dxa"/>
          </w:tcPr>
          <w:p w14:paraId="62E8CA8E" w14:textId="77777777" w:rsidR="00AF6AA5" w:rsidRPr="006E68B2" w:rsidRDefault="00AF6AA5" w:rsidP="00715B47">
            <w:pPr>
              <w:jc w:val="center"/>
              <w:rPr>
                <w:rFonts w:ascii="Arial" w:hAnsi="Arial" w:cs="Arial"/>
                <w:b/>
                <w:bCs/>
                <w:lang w:val="en-US"/>
              </w:rPr>
            </w:pPr>
            <w:r w:rsidRPr="006E68B2">
              <w:rPr>
                <w:rFonts w:ascii="Arial" w:hAnsi="Arial" w:cs="Arial"/>
                <w:bCs/>
              </w:rPr>
              <w:t>%</w:t>
            </w:r>
          </w:p>
        </w:tc>
        <w:tc>
          <w:tcPr>
            <w:tcW w:w="2551" w:type="dxa"/>
          </w:tcPr>
          <w:p w14:paraId="17AFA572" w14:textId="77777777" w:rsidR="00AF6AA5" w:rsidRPr="006E68B2" w:rsidRDefault="00AF6AA5" w:rsidP="00715B47">
            <w:pPr>
              <w:jc w:val="center"/>
              <w:rPr>
                <w:rFonts w:ascii="Arial" w:hAnsi="Arial" w:cs="Arial"/>
                <w:b/>
                <w:bCs/>
                <w:lang w:val="en-US"/>
              </w:rPr>
            </w:pPr>
            <w:r w:rsidRPr="006E68B2">
              <w:rPr>
                <w:rFonts w:ascii="Arial" w:hAnsi="Arial" w:cs="Arial"/>
                <w:bCs/>
              </w:rPr>
              <w:t>%</w:t>
            </w:r>
          </w:p>
        </w:tc>
        <w:tc>
          <w:tcPr>
            <w:tcW w:w="1134" w:type="dxa"/>
          </w:tcPr>
          <w:p w14:paraId="486AC38E" w14:textId="77777777" w:rsidR="00AF6AA5" w:rsidRPr="006E68B2" w:rsidRDefault="00AF6AA5" w:rsidP="00715B47">
            <w:pPr>
              <w:jc w:val="center"/>
              <w:rPr>
                <w:rFonts w:ascii="Arial" w:hAnsi="Arial" w:cs="Arial"/>
                <w:b/>
                <w:bCs/>
                <w:vertAlign w:val="superscript"/>
                <w:lang w:val="en-US"/>
              </w:rPr>
            </w:pPr>
            <w:r w:rsidRPr="006E68B2">
              <w:rPr>
                <w:rFonts w:ascii="Arial" w:hAnsi="Arial" w:cs="Arial"/>
                <w:b/>
                <w:bCs/>
                <w:lang w:val="en-US"/>
              </w:rPr>
              <w:sym w:font="Symbol" w:char="F063"/>
            </w:r>
            <w:r w:rsidRPr="006E68B2">
              <w:rPr>
                <w:rFonts w:ascii="Arial" w:hAnsi="Arial" w:cs="Arial"/>
                <w:b/>
                <w:bCs/>
                <w:vertAlign w:val="superscript"/>
                <w:lang w:val="en-US"/>
              </w:rPr>
              <w:t>2</w:t>
            </w:r>
          </w:p>
        </w:tc>
        <w:tc>
          <w:tcPr>
            <w:tcW w:w="1134" w:type="dxa"/>
          </w:tcPr>
          <w:p w14:paraId="42DD00D1" w14:textId="77777777" w:rsidR="00AF6AA5" w:rsidRPr="006E68B2" w:rsidRDefault="00AF6AA5" w:rsidP="00715B47">
            <w:pPr>
              <w:jc w:val="center"/>
              <w:rPr>
                <w:rFonts w:ascii="Arial" w:hAnsi="Arial" w:cs="Arial"/>
                <w:bCs/>
                <w:i/>
                <w:iCs/>
              </w:rPr>
            </w:pPr>
            <w:r w:rsidRPr="006E68B2">
              <w:rPr>
                <w:rFonts w:ascii="Arial" w:hAnsi="Arial" w:cs="Arial"/>
                <w:bCs/>
                <w:i/>
                <w:iCs/>
              </w:rPr>
              <w:t>P</w:t>
            </w:r>
          </w:p>
        </w:tc>
      </w:tr>
      <w:tr w:rsidR="00AF6AA5" w:rsidRPr="006E68B2" w14:paraId="27E04E8D" w14:textId="77777777" w:rsidTr="00715B47">
        <w:tc>
          <w:tcPr>
            <w:tcW w:w="4535" w:type="dxa"/>
          </w:tcPr>
          <w:p w14:paraId="31DD6736" w14:textId="77777777" w:rsidR="00AF6AA5" w:rsidRPr="006E68B2" w:rsidRDefault="00AF6AA5" w:rsidP="00715B47">
            <w:pPr>
              <w:rPr>
                <w:rFonts w:ascii="Arial" w:hAnsi="Arial" w:cs="Arial"/>
                <w:b/>
              </w:rPr>
            </w:pPr>
            <w:r w:rsidRPr="006E68B2">
              <w:rPr>
                <w:rFonts w:ascii="Arial" w:hAnsi="Arial" w:cs="Arial"/>
                <w:b/>
              </w:rPr>
              <w:t>Age</w:t>
            </w:r>
          </w:p>
        </w:tc>
        <w:tc>
          <w:tcPr>
            <w:tcW w:w="2551" w:type="dxa"/>
          </w:tcPr>
          <w:p w14:paraId="15CD5471" w14:textId="77777777" w:rsidR="00AF6AA5" w:rsidRPr="006E68B2" w:rsidRDefault="00AF6AA5" w:rsidP="00715B47">
            <w:pPr>
              <w:jc w:val="center"/>
              <w:rPr>
                <w:rFonts w:ascii="Arial" w:hAnsi="Arial" w:cs="Arial"/>
                <w:b/>
                <w:bCs/>
                <w:lang w:val="en-US"/>
              </w:rPr>
            </w:pPr>
          </w:p>
        </w:tc>
        <w:tc>
          <w:tcPr>
            <w:tcW w:w="2551" w:type="dxa"/>
          </w:tcPr>
          <w:p w14:paraId="012D3405" w14:textId="77777777" w:rsidR="00AF6AA5" w:rsidRPr="006E68B2" w:rsidRDefault="00AF6AA5" w:rsidP="00715B47">
            <w:pPr>
              <w:jc w:val="center"/>
              <w:rPr>
                <w:rFonts w:ascii="Arial" w:hAnsi="Arial" w:cs="Arial"/>
                <w:b/>
                <w:bCs/>
                <w:lang w:val="en-US"/>
              </w:rPr>
            </w:pPr>
          </w:p>
        </w:tc>
        <w:tc>
          <w:tcPr>
            <w:tcW w:w="2551" w:type="dxa"/>
          </w:tcPr>
          <w:p w14:paraId="3E314370" w14:textId="77777777" w:rsidR="00AF6AA5" w:rsidRPr="006E68B2" w:rsidRDefault="00AF6AA5" w:rsidP="00715B47">
            <w:pPr>
              <w:jc w:val="center"/>
              <w:rPr>
                <w:rFonts w:ascii="Arial" w:hAnsi="Arial" w:cs="Arial"/>
                <w:b/>
                <w:bCs/>
                <w:lang w:val="en-US"/>
              </w:rPr>
            </w:pPr>
          </w:p>
        </w:tc>
        <w:tc>
          <w:tcPr>
            <w:tcW w:w="1134" w:type="dxa"/>
          </w:tcPr>
          <w:p w14:paraId="02F4EC32" w14:textId="77777777" w:rsidR="00AF6AA5" w:rsidRPr="006E68B2" w:rsidRDefault="00AF6AA5" w:rsidP="00715B47">
            <w:pPr>
              <w:jc w:val="center"/>
              <w:rPr>
                <w:rFonts w:ascii="Arial" w:hAnsi="Arial" w:cs="Arial"/>
                <w:b/>
                <w:bCs/>
                <w:lang w:val="en-US"/>
              </w:rPr>
            </w:pPr>
          </w:p>
        </w:tc>
        <w:tc>
          <w:tcPr>
            <w:tcW w:w="1134" w:type="dxa"/>
          </w:tcPr>
          <w:p w14:paraId="0915E434" w14:textId="77777777" w:rsidR="00AF6AA5" w:rsidRPr="006E68B2" w:rsidRDefault="00AF6AA5" w:rsidP="00715B47">
            <w:pPr>
              <w:jc w:val="center"/>
              <w:rPr>
                <w:rFonts w:ascii="Arial" w:hAnsi="Arial" w:cs="Arial"/>
                <w:b/>
                <w:bCs/>
                <w:lang w:val="en-US"/>
              </w:rPr>
            </w:pPr>
          </w:p>
        </w:tc>
      </w:tr>
      <w:tr w:rsidR="00AF6AA5" w:rsidRPr="006E68B2" w14:paraId="11DEB21F" w14:textId="77777777" w:rsidTr="00715B47">
        <w:tc>
          <w:tcPr>
            <w:tcW w:w="4535" w:type="dxa"/>
          </w:tcPr>
          <w:p w14:paraId="63322F68" w14:textId="77777777" w:rsidR="00AF6AA5" w:rsidRPr="006E68B2" w:rsidRDefault="00AF6AA5" w:rsidP="00715B47">
            <w:pPr>
              <w:ind w:firstLine="171"/>
              <w:rPr>
                <w:rFonts w:ascii="Arial" w:hAnsi="Arial" w:cs="Arial"/>
                <w:bCs/>
              </w:rPr>
            </w:pPr>
            <w:r w:rsidRPr="006E68B2">
              <w:rPr>
                <w:rFonts w:ascii="Arial" w:hAnsi="Arial" w:cs="Arial"/>
                <w:bCs/>
              </w:rPr>
              <w:t>60-69.9</w:t>
            </w:r>
          </w:p>
        </w:tc>
        <w:tc>
          <w:tcPr>
            <w:tcW w:w="2551" w:type="dxa"/>
          </w:tcPr>
          <w:p w14:paraId="1751A294" w14:textId="77777777" w:rsidR="00AF6AA5" w:rsidRPr="006E68B2" w:rsidRDefault="00AF6AA5" w:rsidP="00715B47">
            <w:pPr>
              <w:jc w:val="center"/>
              <w:rPr>
                <w:rFonts w:ascii="Arial" w:hAnsi="Arial" w:cs="Arial"/>
                <w:b/>
                <w:bCs/>
                <w:lang w:val="en-US"/>
              </w:rPr>
            </w:pPr>
            <w:r w:rsidRPr="006E68B2">
              <w:rPr>
                <w:rFonts w:ascii="Arial" w:hAnsi="Arial" w:cs="Arial"/>
                <w:color w:val="010205"/>
              </w:rPr>
              <w:t>17.7</w:t>
            </w:r>
          </w:p>
        </w:tc>
        <w:tc>
          <w:tcPr>
            <w:tcW w:w="2551" w:type="dxa"/>
          </w:tcPr>
          <w:p w14:paraId="31D6D83D" w14:textId="77777777" w:rsidR="00AF6AA5" w:rsidRPr="006E68B2" w:rsidRDefault="00AF6AA5" w:rsidP="00715B47">
            <w:pPr>
              <w:jc w:val="center"/>
              <w:rPr>
                <w:rFonts w:ascii="Arial" w:hAnsi="Arial" w:cs="Arial"/>
                <w:b/>
                <w:bCs/>
                <w:lang w:val="en-US"/>
              </w:rPr>
            </w:pPr>
            <w:r w:rsidRPr="006E68B2">
              <w:rPr>
                <w:rFonts w:ascii="Arial" w:hAnsi="Arial" w:cs="Arial"/>
                <w:color w:val="010205"/>
              </w:rPr>
              <w:t>6.6</w:t>
            </w:r>
          </w:p>
        </w:tc>
        <w:tc>
          <w:tcPr>
            <w:tcW w:w="2551" w:type="dxa"/>
          </w:tcPr>
          <w:p w14:paraId="1A327926" w14:textId="77777777" w:rsidR="00AF6AA5" w:rsidRPr="006E68B2" w:rsidRDefault="00AF6AA5" w:rsidP="00715B47">
            <w:pPr>
              <w:jc w:val="center"/>
              <w:rPr>
                <w:rFonts w:ascii="Arial" w:hAnsi="Arial" w:cs="Arial"/>
                <w:b/>
                <w:bCs/>
                <w:lang w:val="en-US"/>
              </w:rPr>
            </w:pPr>
            <w:r w:rsidRPr="006E68B2">
              <w:rPr>
                <w:rFonts w:ascii="Arial" w:hAnsi="Arial" w:cs="Arial"/>
                <w:color w:val="010205"/>
              </w:rPr>
              <w:t>8.6</w:t>
            </w:r>
          </w:p>
        </w:tc>
        <w:tc>
          <w:tcPr>
            <w:tcW w:w="1134" w:type="dxa"/>
            <w:vMerge w:val="restart"/>
          </w:tcPr>
          <w:p w14:paraId="1D5E6A3E" w14:textId="77777777" w:rsidR="00AF6AA5" w:rsidRPr="006E68B2" w:rsidRDefault="00AF6AA5" w:rsidP="00715B47">
            <w:pPr>
              <w:spacing w:before="360"/>
              <w:jc w:val="center"/>
              <w:rPr>
                <w:rFonts w:ascii="Arial" w:hAnsi="Arial" w:cs="Arial"/>
                <w:lang w:val="en-US"/>
              </w:rPr>
            </w:pPr>
            <w:r w:rsidRPr="006E68B2">
              <w:rPr>
                <w:rFonts w:ascii="Arial" w:hAnsi="Arial" w:cs="Arial"/>
                <w:lang w:val="en-US"/>
              </w:rPr>
              <w:t>52.3</w:t>
            </w:r>
          </w:p>
        </w:tc>
        <w:tc>
          <w:tcPr>
            <w:tcW w:w="1134" w:type="dxa"/>
            <w:vMerge w:val="restart"/>
          </w:tcPr>
          <w:p w14:paraId="4A1E9248" w14:textId="77777777" w:rsidR="00AF6AA5" w:rsidRPr="006E68B2" w:rsidRDefault="00AF6AA5" w:rsidP="00715B47">
            <w:pPr>
              <w:spacing w:before="360"/>
              <w:jc w:val="center"/>
              <w:rPr>
                <w:rFonts w:ascii="Arial" w:hAnsi="Arial" w:cs="Arial"/>
                <w:lang w:val="en-US"/>
              </w:rPr>
            </w:pPr>
            <w:r w:rsidRPr="006E68B2">
              <w:rPr>
                <w:rFonts w:ascii="Arial" w:hAnsi="Arial" w:cs="Arial"/>
                <w:lang w:val="en-US"/>
              </w:rPr>
              <w:t>0.001</w:t>
            </w:r>
          </w:p>
        </w:tc>
      </w:tr>
      <w:tr w:rsidR="00AF6AA5" w:rsidRPr="006E68B2" w14:paraId="7FC44B18" w14:textId="77777777" w:rsidTr="00715B47">
        <w:tc>
          <w:tcPr>
            <w:tcW w:w="4535" w:type="dxa"/>
          </w:tcPr>
          <w:p w14:paraId="2763FA33" w14:textId="77777777" w:rsidR="00AF6AA5" w:rsidRPr="006E68B2" w:rsidRDefault="00AF6AA5" w:rsidP="00715B47">
            <w:pPr>
              <w:ind w:firstLine="171"/>
              <w:rPr>
                <w:rFonts w:ascii="Arial" w:hAnsi="Arial" w:cs="Arial"/>
                <w:bCs/>
              </w:rPr>
            </w:pPr>
            <w:r w:rsidRPr="006E68B2">
              <w:rPr>
                <w:rFonts w:ascii="Arial" w:hAnsi="Arial" w:cs="Arial"/>
                <w:bCs/>
              </w:rPr>
              <w:t>70-79.9</w:t>
            </w:r>
          </w:p>
        </w:tc>
        <w:tc>
          <w:tcPr>
            <w:tcW w:w="2551" w:type="dxa"/>
          </w:tcPr>
          <w:p w14:paraId="41822D13" w14:textId="77777777" w:rsidR="00AF6AA5" w:rsidRPr="006E68B2" w:rsidRDefault="00AF6AA5" w:rsidP="00715B47">
            <w:pPr>
              <w:jc w:val="center"/>
              <w:rPr>
                <w:rFonts w:ascii="Arial" w:hAnsi="Arial" w:cs="Arial"/>
                <w:b/>
                <w:bCs/>
                <w:lang w:val="en-US"/>
              </w:rPr>
            </w:pPr>
            <w:r w:rsidRPr="006E68B2">
              <w:rPr>
                <w:rFonts w:ascii="Arial" w:hAnsi="Arial" w:cs="Arial"/>
                <w:color w:val="010205"/>
              </w:rPr>
              <w:t>32.1</w:t>
            </w:r>
          </w:p>
        </w:tc>
        <w:tc>
          <w:tcPr>
            <w:tcW w:w="2551" w:type="dxa"/>
          </w:tcPr>
          <w:p w14:paraId="3A0814BC" w14:textId="77777777" w:rsidR="00AF6AA5" w:rsidRPr="006E68B2" w:rsidRDefault="00AF6AA5" w:rsidP="00715B47">
            <w:pPr>
              <w:jc w:val="center"/>
              <w:rPr>
                <w:rFonts w:ascii="Arial" w:hAnsi="Arial" w:cs="Arial"/>
                <w:b/>
                <w:bCs/>
                <w:lang w:val="en-US"/>
              </w:rPr>
            </w:pPr>
            <w:r w:rsidRPr="006E68B2">
              <w:rPr>
                <w:rFonts w:ascii="Arial" w:hAnsi="Arial" w:cs="Arial"/>
                <w:color w:val="010205"/>
              </w:rPr>
              <w:t>23.3</w:t>
            </w:r>
          </w:p>
        </w:tc>
        <w:tc>
          <w:tcPr>
            <w:tcW w:w="2551" w:type="dxa"/>
          </w:tcPr>
          <w:p w14:paraId="63103A2D" w14:textId="77777777" w:rsidR="00AF6AA5" w:rsidRPr="006E68B2" w:rsidRDefault="00AF6AA5" w:rsidP="00715B47">
            <w:pPr>
              <w:jc w:val="center"/>
              <w:rPr>
                <w:rFonts w:ascii="Arial" w:hAnsi="Arial" w:cs="Arial"/>
                <w:b/>
                <w:bCs/>
                <w:lang w:val="en-US"/>
              </w:rPr>
            </w:pPr>
            <w:r w:rsidRPr="006E68B2">
              <w:rPr>
                <w:rFonts w:ascii="Arial" w:hAnsi="Arial" w:cs="Arial"/>
                <w:color w:val="010205"/>
              </w:rPr>
              <w:t>16.2</w:t>
            </w:r>
          </w:p>
        </w:tc>
        <w:tc>
          <w:tcPr>
            <w:tcW w:w="1134" w:type="dxa"/>
            <w:vMerge/>
          </w:tcPr>
          <w:p w14:paraId="0094ADF0" w14:textId="77777777" w:rsidR="00AF6AA5" w:rsidRPr="006E68B2" w:rsidRDefault="00AF6AA5" w:rsidP="00715B47">
            <w:pPr>
              <w:jc w:val="center"/>
              <w:rPr>
                <w:rFonts w:ascii="Arial" w:hAnsi="Arial" w:cs="Arial"/>
                <w:lang w:val="en-US"/>
              </w:rPr>
            </w:pPr>
          </w:p>
        </w:tc>
        <w:tc>
          <w:tcPr>
            <w:tcW w:w="1134" w:type="dxa"/>
            <w:vMerge/>
          </w:tcPr>
          <w:p w14:paraId="62E17EA4" w14:textId="77777777" w:rsidR="00AF6AA5" w:rsidRPr="006E68B2" w:rsidRDefault="00AF6AA5" w:rsidP="00715B47">
            <w:pPr>
              <w:jc w:val="center"/>
              <w:rPr>
                <w:rFonts w:ascii="Arial" w:hAnsi="Arial" w:cs="Arial"/>
                <w:lang w:val="en-US"/>
              </w:rPr>
            </w:pPr>
          </w:p>
        </w:tc>
      </w:tr>
      <w:tr w:rsidR="00AF6AA5" w:rsidRPr="006E68B2" w14:paraId="26D36251" w14:textId="77777777" w:rsidTr="00715B47">
        <w:tc>
          <w:tcPr>
            <w:tcW w:w="4535" w:type="dxa"/>
          </w:tcPr>
          <w:p w14:paraId="2881C424" w14:textId="77777777" w:rsidR="00AF6AA5" w:rsidRPr="006E68B2" w:rsidRDefault="00AF6AA5" w:rsidP="00715B47">
            <w:pPr>
              <w:ind w:firstLine="171"/>
              <w:rPr>
                <w:rFonts w:ascii="Arial" w:hAnsi="Arial" w:cs="Arial"/>
                <w:bCs/>
              </w:rPr>
            </w:pPr>
            <w:r w:rsidRPr="006E68B2">
              <w:rPr>
                <w:rFonts w:ascii="Arial" w:hAnsi="Arial" w:cs="Arial"/>
                <w:bCs/>
              </w:rPr>
              <w:t>80-89.9</w:t>
            </w:r>
          </w:p>
        </w:tc>
        <w:tc>
          <w:tcPr>
            <w:tcW w:w="2551" w:type="dxa"/>
          </w:tcPr>
          <w:p w14:paraId="154E6CA0" w14:textId="77777777" w:rsidR="00AF6AA5" w:rsidRPr="006E68B2" w:rsidRDefault="00AF6AA5" w:rsidP="00715B47">
            <w:pPr>
              <w:jc w:val="center"/>
              <w:rPr>
                <w:rFonts w:ascii="Arial" w:hAnsi="Arial" w:cs="Arial"/>
                <w:b/>
                <w:bCs/>
                <w:lang w:val="en-US"/>
              </w:rPr>
            </w:pPr>
            <w:r w:rsidRPr="006E68B2">
              <w:rPr>
                <w:rFonts w:ascii="Arial" w:hAnsi="Arial" w:cs="Arial"/>
                <w:color w:val="010205"/>
              </w:rPr>
              <w:t>34.6</w:t>
            </w:r>
          </w:p>
        </w:tc>
        <w:tc>
          <w:tcPr>
            <w:tcW w:w="2551" w:type="dxa"/>
          </w:tcPr>
          <w:p w14:paraId="7CA9FDE7" w14:textId="77777777" w:rsidR="00AF6AA5" w:rsidRPr="006E68B2" w:rsidRDefault="00AF6AA5" w:rsidP="00715B47">
            <w:pPr>
              <w:jc w:val="center"/>
              <w:rPr>
                <w:rFonts w:ascii="Arial" w:hAnsi="Arial" w:cs="Arial"/>
                <w:b/>
                <w:bCs/>
                <w:lang w:val="en-US"/>
              </w:rPr>
            </w:pPr>
            <w:r w:rsidRPr="006E68B2">
              <w:rPr>
                <w:rFonts w:ascii="Arial" w:hAnsi="Arial" w:cs="Arial"/>
                <w:color w:val="010205"/>
              </w:rPr>
              <w:t>47.6</w:t>
            </w:r>
          </w:p>
        </w:tc>
        <w:tc>
          <w:tcPr>
            <w:tcW w:w="2551" w:type="dxa"/>
          </w:tcPr>
          <w:p w14:paraId="207E8792" w14:textId="77777777" w:rsidR="00AF6AA5" w:rsidRPr="006E68B2" w:rsidRDefault="00AF6AA5" w:rsidP="00715B47">
            <w:pPr>
              <w:jc w:val="center"/>
              <w:rPr>
                <w:rFonts w:ascii="Arial" w:hAnsi="Arial" w:cs="Arial"/>
                <w:b/>
                <w:bCs/>
                <w:lang w:val="en-US"/>
              </w:rPr>
            </w:pPr>
            <w:r w:rsidRPr="006E68B2">
              <w:rPr>
                <w:rFonts w:ascii="Arial" w:hAnsi="Arial" w:cs="Arial"/>
                <w:color w:val="010205"/>
              </w:rPr>
              <w:t>51.5</w:t>
            </w:r>
          </w:p>
        </w:tc>
        <w:tc>
          <w:tcPr>
            <w:tcW w:w="1134" w:type="dxa"/>
            <w:vMerge/>
          </w:tcPr>
          <w:p w14:paraId="3123C13C" w14:textId="77777777" w:rsidR="00AF6AA5" w:rsidRPr="006E68B2" w:rsidRDefault="00AF6AA5" w:rsidP="00715B47">
            <w:pPr>
              <w:jc w:val="center"/>
              <w:rPr>
                <w:rFonts w:ascii="Arial" w:hAnsi="Arial" w:cs="Arial"/>
                <w:lang w:val="en-US"/>
              </w:rPr>
            </w:pPr>
          </w:p>
        </w:tc>
        <w:tc>
          <w:tcPr>
            <w:tcW w:w="1134" w:type="dxa"/>
            <w:vMerge/>
          </w:tcPr>
          <w:p w14:paraId="43B8E26E" w14:textId="77777777" w:rsidR="00AF6AA5" w:rsidRPr="006E68B2" w:rsidRDefault="00AF6AA5" w:rsidP="00715B47">
            <w:pPr>
              <w:jc w:val="center"/>
              <w:rPr>
                <w:rFonts w:ascii="Arial" w:hAnsi="Arial" w:cs="Arial"/>
                <w:lang w:val="en-US"/>
              </w:rPr>
            </w:pPr>
          </w:p>
        </w:tc>
      </w:tr>
      <w:tr w:rsidR="00AF6AA5" w:rsidRPr="006E68B2" w14:paraId="3D430610" w14:textId="77777777" w:rsidTr="00715B47">
        <w:tc>
          <w:tcPr>
            <w:tcW w:w="4535" w:type="dxa"/>
          </w:tcPr>
          <w:p w14:paraId="166F746D" w14:textId="77777777" w:rsidR="00AF6AA5" w:rsidRPr="006E68B2" w:rsidRDefault="00AF6AA5" w:rsidP="00715B47">
            <w:pPr>
              <w:ind w:firstLine="171"/>
              <w:rPr>
                <w:rFonts w:ascii="Arial" w:hAnsi="Arial" w:cs="Arial"/>
                <w:bCs/>
              </w:rPr>
            </w:pPr>
            <w:r w:rsidRPr="006E68B2">
              <w:rPr>
                <w:rFonts w:ascii="Arial" w:hAnsi="Arial" w:cs="Arial"/>
                <w:bCs/>
              </w:rPr>
              <w:t>≥90</w:t>
            </w:r>
          </w:p>
        </w:tc>
        <w:tc>
          <w:tcPr>
            <w:tcW w:w="2551" w:type="dxa"/>
          </w:tcPr>
          <w:p w14:paraId="4CD23983" w14:textId="77777777" w:rsidR="00AF6AA5" w:rsidRPr="006E68B2" w:rsidRDefault="00AF6AA5" w:rsidP="00715B47">
            <w:pPr>
              <w:jc w:val="center"/>
              <w:rPr>
                <w:rFonts w:ascii="Arial" w:hAnsi="Arial" w:cs="Arial"/>
                <w:b/>
                <w:bCs/>
                <w:lang w:val="en-US"/>
              </w:rPr>
            </w:pPr>
            <w:r w:rsidRPr="006E68B2">
              <w:rPr>
                <w:rFonts w:ascii="Arial" w:hAnsi="Arial" w:cs="Arial"/>
                <w:color w:val="010205"/>
              </w:rPr>
              <w:t>15.6</w:t>
            </w:r>
          </w:p>
        </w:tc>
        <w:tc>
          <w:tcPr>
            <w:tcW w:w="2551" w:type="dxa"/>
          </w:tcPr>
          <w:p w14:paraId="37F52E1B" w14:textId="77777777" w:rsidR="00AF6AA5" w:rsidRPr="006E68B2" w:rsidRDefault="00AF6AA5" w:rsidP="00715B47">
            <w:pPr>
              <w:jc w:val="center"/>
              <w:rPr>
                <w:rFonts w:ascii="Arial" w:hAnsi="Arial" w:cs="Arial"/>
                <w:b/>
                <w:bCs/>
                <w:lang w:val="en-US"/>
              </w:rPr>
            </w:pPr>
            <w:r w:rsidRPr="006E68B2">
              <w:rPr>
                <w:rFonts w:ascii="Arial" w:hAnsi="Arial" w:cs="Arial"/>
                <w:color w:val="010205"/>
              </w:rPr>
              <w:t>22.4</w:t>
            </w:r>
          </w:p>
        </w:tc>
        <w:tc>
          <w:tcPr>
            <w:tcW w:w="2551" w:type="dxa"/>
          </w:tcPr>
          <w:p w14:paraId="53F6A1A4" w14:textId="77777777" w:rsidR="00AF6AA5" w:rsidRPr="006E68B2" w:rsidRDefault="00AF6AA5" w:rsidP="00715B47">
            <w:pPr>
              <w:jc w:val="center"/>
              <w:rPr>
                <w:rFonts w:ascii="Arial" w:hAnsi="Arial" w:cs="Arial"/>
                <w:b/>
                <w:bCs/>
                <w:lang w:val="en-US"/>
              </w:rPr>
            </w:pPr>
            <w:r w:rsidRPr="006E68B2">
              <w:rPr>
                <w:rFonts w:ascii="Arial" w:hAnsi="Arial" w:cs="Arial"/>
                <w:color w:val="010205"/>
              </w:rPr>
              <w:t>23.6</w:t>
            </w:r>
          </w:p>
        </w:tc>
        <w:tc>
          <w:tcPr>
            <w:tcW w:w="1134" w:type="dxa"/>
            <w:vMerge/>
          </w:tcPr>
          <w:p w14:paraId="37A3F6A2" w14:textId="77777777" w:rsidR="00AF6AA5" w:rsidRPr="006E68B2" w:rsidRDefault="00AF6AA5" w:rsidP="00715B47">
            <w:pPr>
              <w:jc w:val="center"/>
              <w:rPr>
                <w:rFonts w:ascii="Arial" w:hAnsi="Arial" w:cs="Arial"/>
                <w:lang w:val="en-US"/>
              </w:rPr>
            </w:pPr>
          </w:p>
        </w:tc>
        <w:tc>
          <w:tcPr>
            <w:tcW w:w="1134" w:type="dxa"/>
            <w:vMerge/>
          </w:tcPr>
          <w:p w14:paraId="28396777" w14:textId="77777777" w:rsidR="00AF6AA5" w:rsidRPr="006E68B2" w:rsidRDefault="00AF6AA5" w:rsidP="00715B47">
            <w:pPr>
              <w:jc w:val="center"/>
              <w:rPr>
                <w:rFonts w:ascii="Arial" w:hAnsi="Arial" w:cs="Arial"/>
                <w:lang w:val="en-US"/>
              </w:rPr>
            </w:pPr>
          </w:p>
        </w:tc>
      </w:tr>
      <w:tr w:rsidR="00AF6AA5" w:rsidRPr="006E68B2" w14:paraId="3723846A" w14:textId="77777777" w:rsidTr="00715B47">
        <w:tc>
          <w:tcPr>
            <w:tcW w:w="4535" w:type="dxa"/>
          </w:tcPr>
          <w:p w14:paraId="4F4C78BE" w14:textId="77777777" w:rsidR="00AF6AA5" w:rsidRPr="006E68B2" w:rsidRDefault="00AF6AA5" w:rsidP="00715B47">
            <w:pPr>
              <w:rPr>
                <w:rFonts w:ascii="Arial" w:hAnsi="Arial" w:cs="Arial"/>
                <w:b/>
              </w:rPr>
            </w:pPr>
            <w:r w:rsidRPr="006E68B2">
              <w:rPr>
                <w:rFonts w:ascii="Arial" w:hAnsi="Arial" w:cs="Arial"/>
                <w:b/>
              </w:rPr>
              <w:t>Co-morbidities</w:t>
            </w:r>
          </w:p>
        </w:tc>
        <w:tc>
          <w:tcPr>
            <w:tcW w:w="2551" w:type="dxa"/>
          </w:tcPr>
          <w:p w14:paraId="43C0DE33" w14:textId="77777777" w:rsidR="00AF6AA5" w:rsidRPr="006E68B2" w:rsidRDefault="00AF6AA5" w:rsidP="00715B47">
            <w:pPr>
              <w:jc w:val="center"/>
              <w:rPr>
                <w:rFonts w:ascii="Arial" w:hAnsi="Arial" w:cs="Arial"/>
                <w:b/>
                <w:bCs/>
                <w:lang w:val="en-US"/>
              </w:rPr>
            </w:pPr>
          </w:p>
        </w:tc>
        <w:tc>
          <w:tcPr>
            <w:tcW w:w="2551" w:type="dxa"/>
          </w:tcPr>
          <w:p w14:paraId="591927D0" w14:textId="77777777" w:rsidR="00AF6AA5" w:rsidRPr="006E68B2" w:rsidRDefault="00AF6AA5" w:rsidP="00715B47">
            <w:pPr>
              <w:jc w:val="center"/>
              <w:rPr>
                <w:rFonts w:ascii="Arial" w:hAnsi="Arial" w:cs="Arial"/>
                <w:b/>
                <w:bCs/>
                <w:lang w:val="en-US"/>
              </w:rPr>
            </w:pPr>
          </w:p>
        </w:tc>
        <w:tc>
          <w:tcPr>
            <w:tcW w:w="2551" w:type="dxa"/>
          </w:tcPr>
          <w:p w14:paraId="351935DF" w14:textId="77777777" w:rsidR="00AF6AA5" w:rsidRPr="006E68B2" w:rsidRDefault="00AF6AA5" w:rsidP="00715B47">
            <w:pPr>
              <w:jc w:val="center"/>
              <w:rPr>
                <w:rFonts w:ascii="Arial" w:hAnsi="Arial" w:cs="Arial"/>
                <w:b/>
                <w:bCs/>
                <w:lang w:val="en-US"/>
              </w:rPr>
            </w:pPr>
          </w:p>
        </w:tc>
        <w:tc>
          <w:tcPr>
            <w:tcW w:w="1134" w:type="dxa"/>
          </w:tcPr>
          <w:p w14:paraId="233487A7" w14:textId="77777777" w:rsidR="00AF6AA5" w:rsidRPr="006E68B2" w:rsidRDefault="00AF6AA5" w:rsidP="00715B47">
            <w:pPr>
              <w:jc w:val="center"/>
              <w:rPr>
                <w:rFonts w:ascii="Arial" w:hAnsi="Arial" w:cs="Arial"/>
                <w:lang w:val="en-US"/>
              </w:rPr>
            </w:pPr>
          </w:p>
        </w:tc>
        <w:tc>
          <w:tcPr>
            <w:tcW w:w="1134" w:type="dxa"/>
          </w:tcPr>
          <w:p w14:paraId="3144CAC4" w14:textId="77777777" w:rsidR="00AF6AA5" w:rsidRPr="006E68B2" w:rsidRDefault="00AF6AA5" w:rsidP="00715B47">
            <w:pPr>
              <w:jc w:val="center"/>
              <w:rPr>
                <w:rFonts w:ascii="Arial" w:hAnsi="Arial" w:cs="Arial"/>
                <w:lang w:val="en-US"/>
              </w:rPr>
            </w:pPr>
          </w:p>
        </w:tc>
      </w:tr>
      <w:tr w:rsidR="00AF6AA5" w:rsidRPr="006E68B2" w14:paraId="18B64B89" w14:textId="77777777" w:rsidTr="00715B47">
        <w:tc>
          <w:tcPr>
            <w:tcW w:w="4535" w:type="dxa"/>
          </w:tcPr>
          <w:p w14:paraId="689BADB9" w14:textId="77777777" w:rsidR="00AF6AA5" w:rsidRPr="006E68B2" w:rsidRDefault="00AF6AA5" w:rsidP="00715B47">
            <w:pPr>
              <w:ind w:firstLine="171"/>
              <w:rPr>
                <w:rFonts w:ascii="Arial" w:hAnsi="Arial" w:cs="Arial"/>
                <w:bCs/>
              </w:rPr>
            </w:pPr>
            <w:r w:rsidRPr="006E68B2">
              <w:rPr>
                <w:rFonts w:ascii="Arial" w:hAnsi="Arial" w:cs="Arial"/>
                <w:bCs/>
              </w:rPr>
              <w:t>Dementia</w:t>
            </w:r>
          </w:p>
        </w:tc>
        <w:tc>
          <w:tcPr>
            <w:tcW w:w="2551" w:type="dxa"/>
          </w:tcPr>
          <w:p w14:paraId="37647C88" w14:textId="77777777" w:rsidR="00AF6AA5" w:rsidRPr="006E68B2" w:rsidRDefault="00AF6AA5" w:rsidP="00715B47">
            <w:pPr>
              <w:jc w:val="center"/>
              <w:rPr>
                <w:rFonts w:ascii="Arial" w:hAnsi="Arial" w:cs="Arial"/>
                <w:b/>
                <w:bCs/>
                <w:lang w:val="en-US"/>
              </w:rPr>
            </w:pPr>
            <w:r w:rsidRPr="006E68B2">
              <w:rPr>
                <w:rFonts w:ascii="Arial" w:hAnsi="Arial" w:cs="Arial"/>
                <w:color w:val="010205"/>
              </w:rPr>
              <w:t>12.8</w:t>
            </w:r>
          </w:p>
        </w:tc>
        <w:tc>
          <w:tcPr>
            <w:tcW w:w="2551" w:type="dxa"/>
          </w:tcPr>
          <w:p w14:paraId="250A3D95" w14:textId="77777777" w:rsidR="00AF6AA5" w:rsidRPr="006E68B2" w:rsidRDefault="00AF6AA5" w:rsidP="00715B47">
            <w:pPr>
              <w:jc w:val="center"/>
              <w:rPr>
                <w:rFonts w:ascii="Arial" w:hAnsi="Arial" w:cs="Arial"/>
                <w:b/>
                <w:bCs/>
                <w:lang w:val="en-US"/>
              </w:rPr>
            </w:pPr>
            <w:r w:rsidRPr="006E68B2">
              <w:rPr>
                <w:rFonts w:ascii="Arial" w:hAnsi="Arial" w:cs="Arial"/>
                <w:color w:val="010205"/>
              </w:rPr>
              <w:t>22.6</w:t>
            </w:r>
          </w:p>
        </w:tc>
        <w:tc>
          <w:tcPr>
            <w:tcW w:w="2551" w:type="dxa"/>
          </w:tcPr>
          <w:p w14:paraId="14E93E3F" w14:textId="77777777" w:rsidR="00AF6AA5" w:rsidRPr="006E68B2" w:rsidRDefault="00AF6AA5" w:rsidP="00715B47">
            <w:pPr>
              <w:jc w:val="center"/>
              <w:rPr>
                <w:rFonts w:ascii="Arial" w:hAnsi="Arial" w:cs="Arial"/>
                <w:b/>
                <w:bCs/>
                <w:lang w:val="en-US"/>
              </w:rPr>
            </w:pPr>
            <w:r w:rsidRPr="006E68B2">
              <w:rPr>
                <w:rFonts w:ascii="Arial" w:hAnsi="Arial" w:cs="Arial"/>
                <w:color w:val="010205"/>
              </w:rPr>
              <w:t>21.8</w:t>
            </w:r>
          </w:p>
        </w:tc>
        <w:tc>
          <w:tcPr>
            <w:tcW w:w="1134" w:type="dxa"/>
          </w:tcPr>
          <w:p w14:paraId="5305A471" w14:textId="77777777" w:rsidR="00AF6AA5" w:rsidRPr="006E68B2" w:rsidRDefault="00AF6AA5" w:rsidP="00715B47">
            <w:pPr>
              <w:jc w:val="center"/>
              <w:rPr>
                <w:rFonts w:ascii="Arial" w:hAnsi="Arial" w:cs="Arial"/>
                <w:lang w:val="en-US"/>
              </w:rPr>
            </w:pPr>
            <w:r w:rsidRPr="006E68B2">
              <w:rPr>
                <w:rFonts w:ascii="Arial" w:hAnsi="Arial" w:cs="Arial"/>
                <w:lang w:val="en-US"/>
              </w:rPr>
              <w:t>10.7</w:t>
            </w:r>
          </w:p>
        </w:tc>
        <w:tc>
          <w:tcPr>
            <w:tcW w:w="1134" w:type="dxa"/>
          </w:tcPr>
          <w:p w14:paraId="1A826DAD" w14:textId="77777777" w:rsidR="00AF6AA5" w:rsidRPr="006E68B2" w:rsidRDefault="00AF6AA5" w:rsidP="00715B47">
            <w:pPr>
              <w:jc w:val="center"/>
              <w:rPr>
                <w:rFonts w:ascii="Arial" w:hAnsi="Arial" w:cs="Arial"/>
                <w:lang w:val="en-US"/>
              </w:rPr>
            </w:pPr>
            <w:r w:rsidRPr="006E68B2">
              <w:rPr>
                <w:rFonts w:ascii="Arial" w:hAnsi="Arial" w:cs="Arial"/>
                <w:lang w:val="en-US"/>
              </w:rPr>
              <w:t>0.003</w:t>
            </w:r>
          </w:p>
        </w:tc>
      </w:tr>
      <w:tr w:rsidR="00AF6AA5" w:rsidRPr="006E68B2" w14:paraId="2D817650" w14:textId="77777777" w:rsidTr="00715B47">
        <w:tc>
          <w:tcPr>
            <w:tcW w:w="4535" w:type="dxa"/>
          </w:tcPr>
          <w:p w14:paraId="247C7766" w14:textId="77777777" w:rsidR="00AF6AA5" w:rsidRPr="006E68B2" w:rsidRDefault="00AF6AA5" w:rsidP="00715B47">
            <w:pPr>
              <w:ind w:firstLine="171"/>
              <w:rPr>
                <w:rFonts w:ascii="Arial" w:hAnsi="Arial" w:cs="Arial"/>
                <w:bCs/>
              </w:rPr>
            </w:pPr>
            <w:r w:rsidRPr="006E68B2">
              <w:rPr>
                <w:rFonts w:ascii="Arial" w:hAnsi="Arial" w:cs="Arial"/>
                <w:bCs/>
              </w:rPr>
              <w:t>Stroke</w:t>
            </w:r>
          </w:p>
        </w:tc>
        <w:tc>
          <w:tcPr>
            <w:tcW w:w="2551" w:type="dxa"/>
          </w:tcPr>
          <w:p w14:paraId="55FD5979" w14:textId="77777777" w:rsidR="00AF6AA5" w:rsidRPr="006E68B2" w:rsidRDefault="00AF6AA5" w:rsidP="00715B47">
            <w:pPr>
              <w:jc w:val="center"/>
              <w:rPr>
                <w:rFonts w:ascii="Arial" w:hAnsi="Arial" w:cs="Arial"/>
                <w:b/>
                <w:bCs/>
                <w:lang w:val="en-US"/>
              </w:rPr>
            </w:pPr>
            <w:r w:rsidRPr="006E68B2">
              <w:rPr>
                <w:rFonts w:ascii="Arial" w:hAnsi="Arial" w:cs="Arial"/>
                <w:color w:val="010205"/>
              </w:rPr>
              <w:t>4.1</w:t>
            </w:r>
          </w:p>
        </w:tc>
        <w:tc>
          <w:tcPr>
            <w:tcW w:w="2551" w:type="dxa"/>
          </w:tcPr>
          <w:p w14:paraId="735E537E" w14:textId="77777777" w:rsidR="00AF6AA5" w:rsidRPr="006E68B2" w:rsidRDefault="00AF6AA5" w:rsidP="00715B47">
            <w:pPr>
              <w:jc w:val="center"/>
              <w:rPr>
                <w:rFonts w:ascii="Arial" w:hAnsi="Arial" w:cs="Arial"/>
                <w:b/>
                <w:bCs/>
                <w:lang w:val="en-US"/>
              </w:rPr>
            </w:pPr>
            <w:r w:rsidRPr="006E68B2">
              <w:rPr>
                <w:rFonts w:ascii="Arial" w:hAnsi="Arial" w:cs="Arial"/>
                <w:color w:val="010205"/>
              </w:rPr>
              <w:t>16.0</w:t>
            </w:r>
          </w:p>
        </w:tc>
        <w:tc>
          <w:tcPr>
            <w:tcW w:w="2551" w:type="dxa"/>
          </w:tcPr>
          <w:p w14:paraId="04B5EF21" w14:textId="77777777" w:rsidR="00AF6AA5" w:rsidRPr="006E68B2" w:rsidRDefault="00AF6AA5" w:rsidP="00715B47">
            <w:pPr>
              <w:jc w:val="center"/>
              <w:rPr>
                <w:rFonts w:ascii="Arial" w:hAnsi="Arial" w:cs="Arial"/>
                <w:b/>
                <w:bCs/>
                <w:lang w:val="en-US"/>
              </w:rPr>
            </w:pPr>
            <w:r w:rsidRPr="006E68B2">
              <w:rPr>
                <w:rFonts w:ascii="Arial" w:hAnsi="Arial" w:cs="Arial"/>
                <w:color w:val="010205"/>
              </w:rPr>
              <w:t>18.3</w:t>
            </w:r>
          </w:p>
        </w:tc>
        <w:tc>
          <w:tcPr>
            <w:tcW w:w="1134" w:type="dxa"/>
          </w:tcPr>
          <w:p w14:paraId="52A37D42" w14:textId="77777777" w:rsidR="00AF6AA5" w:rsidRPr="006E68B2" w:rsidRDefault="00AF6AA5" w:rsidP="00715B47">
            <w:pPr>
              <w:jc w:val="center"/>
              <w:rPr>
                <w:rFonts w:ascii="Arial" w:hAnsi="Arial" w:cs="Arial"/>
                <w:lang w:val="en-US"/>
              </w:rPr>
            </w:pPr>
            <w:r w:rsidRPr="006E68B2">
              <w:rPr>
                <w:rFonts w:ascii="Arial" w:hAnsi="Arial" w:cs="Arial"/>
                <w:lang w:val="en-US"/>
              </w:rPr>
              <w:t>26.8</w:t>
            </w:r>
          </w:p>
        </w:tc>
        <w:tc>
          <w:tcPr>
            <w:tcW w:w="1134" w:type="dxa"/>
          </w:tcPr>
          <w:p w14:paraId="650936A0" w14:textId="77777777" w:rsidR="00AF6AA5" w:rsidRPr="006E68B2" w:rsidRDefault="00AF6AA5" w:rsidP="00715B47">
            <w:pPr>
              <w:jc w:val="center"/>
              <w:rPr>
                <w:rFonts w:ascii="Arial" w:hAnsi="Arial" w:cs="Arial"/>
                <w:lang w:val="en-US"/>
              </w:rPr>
            </w:pPr>
            <w:r w:rsidRPr="006E68B2">
              <w:rPr>
                <w:rFonts w:ascii="Arial" w:hAnsi="Arial" w:cs="Arial"/>
                <w:lang w:val="en-US"/>
              </w:rPr>
              <w:t xml:space="preserve">&lt;0.001 </w:t>
            </w:r>
          </w:p>
        </w:tc>
      </w:tr>
      <w:tr w:rsidR="00AF6AA5" w:rsidRPr="006E68B2" w14:paraId="1A5F8D9E" w14:textId="77777777" w:rsidTr="00715B47">
        <w:tc>
          <w:tcPr>
            <w:tcW w:w="4535" w:type="dxa"/>
          </w:tcPr>
          <w:p w14:paraId="5AA49AE6" w14:textId="77777777" w:rsidR="00AF6AA5" w:rsidRPr="006E68B2" w:rsidRDefault="00AF6AA5" w:rsidP="00715B47">
            <w:pPr>
              <w:ind w:firstLine="171"/>
              <w:rPr>
                <w:rFonts w:ascii="Arial" w:hAnsi="Arial" w:cs="Arial"/>
                <w:bCs/>
              </w:rPr>
            </w:pPr>
            <w:r w:rsidRPr="006E68B2">
              <w:rPr>
                <w:rFonts w:ascii="Arial" w:hAnsi="Arial" w:cs="Arial"/>
                <w:bCs/>
              </w:rPr>
              <w:t>IHD</w:t>
            </w:r>
          </w:p>
        </w:tc>
        <w:tc>
          <w:tcPr>
            <w:tcW w:w="2551" w:type="dxa"/>
          </w:tcPr>
          <w:p w14:paraId="77D76076" w14:textId="77777777" w:rsidR="00AF6AA5" w:rsidRPr="006E68B2" w:rsidRDefault="00AF6AA5" w:rsidP="00715B47">
            <w:pPr>
              <w:jc w:val="center"/>
              <w:rPr>
                <w:rFonts w:ascii="Arial" w:hAnsi="Arial" w:cs="Arial"/>
                <w:b/>
                <w:bCs/>
                <w:lang w:val="en-US"/>
              </w:rPr>
            </w:pPr>
            <w:r w:rsidRPr="006E68B2">
              <w:rPr>
                <w:rFonts w:ascii="Arial" w:hAnsi="Arial" w:cs="Arial"/>
                <w:color w:val="010205"/>
              </w:rPr>
              <w:t>2.9</w:t>
            </w:r>
          </w:p>
        </w:tc>
        <w:tc>
          <w:tcPr>
            <w:tcW w:w="2551" w:type="dxa"/>
          </w:tcPr>
          <w:p w14:paraId="1C9C9930" w14:textId="77777777" w:rsidR="00AF6AA5" w:rsidRPr="006E68B2" w:rsidRDefault="00AF6AA5" w:rsidP="00715B47">
            <w:pPr>
              <w:jc w:val="center"/>
              <w:rPr>
                <w:rFonts w:ascii="Arial" w:hAnsi="Arial" w:cs="Arial"/>
                <w:b/>
                <w:bCs/>
                <w:lang w:val="en-US"/>
              </w:rPr>
            </w:pPr>
            <w:r w:rsidRPr="006E68B2">
              <w:rPr>
                <w:rFonts w:ascii="Arial" w:hAnsi="Arial" w:cs="Arial"/>
                <w:color w:val="010205"/>
              </w:rPr>
              <w:t>9.2</w:t>
            </w:r>
          </w:p>
        </w:tc>
        <w:tc>
          <w:tcPr>
            <w:tcW w:w="2551" w:type="dxa"/>
          </w:tcPr>
          <w:p w14:paraId="3EAD85E7" w14:textId="77777777" w:rsidR="00AF6AA5" w:rsidRPr="006E68B2" w:rsidRDefault="00AF6AA5" w:rsidP="00715B47">
            <w:pPr>
              <w:jc w:val="center"/>
              <w:rPr>
                <w:rFonts w:ascii="Arial" w:hAnsi="Arial" w:cs="Arial"/>
                <w:b/>
                <w:bCs/>
                <w:lang w:val="en-US"/>
              </w:rPr>
            </w:pPr>
            <w:r w:rsidRPr="006E68B2">
              <w:rPr>
                <w:rFonts w:ascii="Arial" w:hAnsi="Arial" w:cs="Arial"/>
                <w:color w:val="010205"/>
              </w:rPr>
              <w:t>16.2</w:t>
            </w:r>
          </w:p>
        </w:tc>
        <w:tc>
          <w:tcPr>
            <w:tcW w:w="1134" w:type="dxa"/>
          </w:tcPr>
          <w:p w14:paraId="21F6C2FD" w14:textId="77777777" w:rsidR="00AF6AA5" w:rsidRPr="006E68B2" w:rsidRDefault="00AF6AA5" w:rsidP="00715B47">
            <w:pPr>
              <w:jc w:val="center"/>
              <w:rPr>
                <w:rFonts w:ascii="Arial" w:hAnsi="Arial" w:cs="Arial"/>
                <w:lang w:val="en-US"/>
              </w:rPr>
            </w:pPr>
            <w:r w:rsidRPr="006E68B2">
              <w:rPr>
                <w:rFonts w:ascii="Arial" w:hAnsi="Arial" w:cs="Arial"/>
                <w:lang w:val="en-US"/>
              </w:rPr>
              <w:t>30.1</w:t>
            </w:r>
          </w:p>
        </w:tc>
        <w:tc>
          <w:tcPr>
            <w:tcW w:w="1134" w:type="dxa"/>
          </w:tcPr>
          <w:p w14:paraId="12A3361C" w14:textId="77777777" w:rsidR="00AF6AA5" w:rsidRPr="006E68B2" w:rsidRDefault="00AF6AA5" w:rsidP="00715B47">
            <w:pPr>
              <w:jc w:val="center"/>
              <w:rPr>
                <w:rFonts w:ascii="Arial" w:hAnsi="Arial" w:cs="Arial"/>
                <w:lang w:val="en-US"/>
              </w:rPr>
            </w:pPr>
            <w:r w:rsidRPr="006E68B2">
              <w:rPr>
                <w:rFonts w:ascii="Arial" w:hAnsi="Arial" w:cs="Arial"/>
                <w:lang w:val="en-US"/>
              </w:rPr>
              <w:t>&lt;0.001</w:t>
            </w:r>
          </w:p>
        </w:tc>
      </w:tr>
      <w:tr w:rsidR="00AF6AA5" w:rsidRPr="006E68B2" w14:paraId="658B0ACB" w14:textId="77777777" w:rsidTr="00715B47">
        <w:tc>
          <w:tcPr>
            <w:tcW w:w="4535" w:type="dxa"/>
          </w:tcPr>
          <w:p w14:paraId="5EC897C6" w14:textId="77777777" w:rsidR="00AF6AA5" w:rsidRPr="006E68B2" w:rsidRDefault="00AF6AA5" w:rsidP="00715B47">
            <w:pPr>
              <w:ind w:firstLine="171"/>
              <w:rPr>
                <w:rFonts w:ascii="Arial" w:hAnsi="Arial" w:cs="Arial"/>
                <w:bCs/>
              </w:rPr>
            </w:pPr>
            <w:r w:rsidRPr="006E68B2">
              <w:rPr>
                <w:rFonts w:ascii="Arial" w:hAnsi="Arial" w:cs="Arial"/>
                <w:bCs/>
              </w:rPr>
              <w:t>Diabetes</w:t>
            </w:r>
          </w:p>
        </w:tc>
        <w:tc>
          <w:tcPr>
            <w:tcW w:w="2551" w:type="dxa"/>
          </w:tcPr>
          <w:p w14:paraId="50737BAB" w14:textId="77777777" w:rsidR="00AF6AA5" w:rsidRPr="006E68B2" w:rsidRDefault="00AF6AA5" w:rsidP="00715B47">
            <w:pPr>
              <w:jc w:val="center"/>
              <w:rPr>
                <w:rFonts w:ascii="Arial" w:hAnsi="Arial" w:cs="Arial"/>
                <w:b/>
                <w:bCs/>
                <w:lang w:val="en-US"/>
              </w:rPr>
            </w:pPr>
            <w:r w:rsidRPr="006E68B2">
              <w:rPr>
                <w:rFonts w:ascii="Arial" w:hAnsi="Arial" w:cs="Arial"/>
                <w:color w:val="010205"/>
              </w:rPr>
              <w:t>3.7</w:t>
            </w:r>
          </w:p>
        </w:tc>
        <w:tc>
          <w:tcPr>
            <w:tcW w:w="2551" w:type="dxa"/>
          </w:tcPr>
          <w:p w14:paraId="795C28CF" w14:textId="77777777" w:rsidR="00AF6AA5" w:rsidRPr="006E68B2" w:rsidRDefault="00AF6AA5" w:rsidP="00715B47">
            <w:pPr>
              <w:jc w:val="center"/>
              <w:rPr>
                <w:rFonts w:ascii="Arial" w:hAnsi="Arial" w:cs="Arial"/>
                <w:b/>
                <w:bCs/>
                <w:lang w:val="en-US"/>
              </w:rPr>
            </w:pPr>
            <w:r w:rsidRPr="006E68B2">
              <w:rPr>
                <w:rFonts w:ascii="Arial" w:hAnsi="Arial" w:cs="Arial"/>
                <w:color w:val="010205"/>
              </w:rPr>
              <w:t>14.5</w:t>
            </w:r>
          </w:p>
        </w:tc>
        <w:tc>
          <w:tcPr>
            <w:tcW w:w="2551" w:type="dxa"/>
          </w:tcPr>
          <w:p w14:paraId="5F96774C" w14:textId="77777777" w:rsidR="00AF6AA5" w:rsidRPr="006E68B2" w:rsidRDefault="00AF6AA5" w:rsidP="00715B47">
            <w:pPr>
              <w:jc w:val="center"/>
              <w:rPr>
                <w:rFonts w:ascii="Arial" w:hAnsi="Arial" w:cs="Arial"/>
                <w:b/>
                <w:bCs/>
                <w:lang w:val="en-US"/>
              </w:rPr>
            </w:pPr>
            <w:r w:rsidRPr="006E68B2">
              <w:rPr>
                <w:rFonts w:ascii="Arial" w:hAnsi="Arial" w:cs="Arial"/>
                <w:color w:val="010205"/>
              </w:rPr>
              <w:t>16.8</w:t>
            </w:r>
          </w:p>
        </w:tc>
        <w:tc>
          <w:tcPr>
            <w:tcW w:w="1134" w:type="dxa"/>
          </w:tcPr>
          <w:p w14:paraId="2A6B803E" w14:textId="77777777" w:rsidR="00AF6AA5" w:rsidRPr="006E68B2" w:rsidRDefault="00AF6AA5" w:rsidP="00715B47">
            <w:pPr>
              <w:jc w:val="center"/>
              <w:rPr>
                <w:rFonts w:ascii="Arial" w:hAnsi="Arial" w:cs="Arial"/>
                <w:lang w:val="en-US"/>
              </w:rPr>
            </w:pPr>
            <w:r w:rsidRPr="006E68B2">
              <w:rPr>
                <w:rFonts w:ascii="Arial" w:hAnsi="Arial" w:cs="Arial"/>
                <w:lang w:val="en-US"/>
              </w:rPr>
              <w:t>24.5</w:t>
            </w:r>
          </w:p>
        </w:tc>
        <w:tc>
          <w:tcPr>
            <w:tcW w:w="1134" w:type="dxa"/>
          </w:tcPr>
          <w:p w14:paraId="792397FF" w14:textId="77777777" w:rsidR="00AF6AA5" w:rsidRPr="006E68B2" w:rsidRDefault="00AF6AA5" w:rsidP="00715B47">
            <w:pPr>
              <w:jc w:val="center"/>
              <w:rPr>
                <w:rFonts w:ascii="Arial" w:hAnsi="Arial" w:cs="Arial"/>
                <w:lang w:val="en-US"/>
              </w:rPr>
            </w:pPr>
            <w:r w:rsidRPr="006E68B2">
              <w:rPr>
                <w:rFonts w:ascii="Arial" w:hAnsi="Arial" w:cs="Arial"/>
                <w:lang w:val="en-US"/>
              </w:rPr>
              <w:t>&lt;0.001</w:t>
            </w:r>
          </w:p>
        </w:tc>
      </w:tr>
      <w:tr w:rsidR="00AF6AA5" w:rsidRPr="006E68B2" w14:paraId="3B3A1235" w14:textId="77777777" w:rsidTr="00715B47">
        <w:tc>
          <w:tcPr>
            <w:tcW w:w="4535" w:type="dxa"/>
          </w:tcPr>
          <w:p w14:paraId="222A0303" w14:textId="77777777" w:rsidR="00AF6AA5" w:rsidRPr="006E68B2" w:rsidRDefault="00AF6AA5" w:rsidP="00715B47">
            <w:pPr>
              <w:ind w:firstLine="171"/>
              <w:rPr>
                <w:rFonts w:ascii="Arial" w:hAnsi="Arial" w:cs="Arial"/>
                <w:bCs/>
              </w:rPr>
            </w:pPr>
            <w:r w:rsidRPr="006E68B2">
              <w:rPr>
                <w:rFonts w:ascii="Arial" w:hAnsi="Arial" w:cs="Arial"/>
                <w:bCs/>
              </w:rPr>
              <w:t>Pre-fracture mobility limited to indoors</w:t>
            </w:r>
          </w:p>
        </w:tc>
        <w:tc>
          <w:tcPr>
            <w:tcW w:w="2551" w:type="dxa"/>
          </w:tcPr>
          <w:p w14:paraId="40C247D5" w14:textId="77777777" w:rsidR="00AF6AA5" w:rsidRPr="006E68B2" w:rsidRDefault="00AF6AA5" w:rsidP="00715B47">
            <w:pPr>
              <w:jc w:val="center"/>
              <w:rPr>
                <w:rFonts w:ascii="Arial" w:hAnsi="Arial" w:cs="Arial"/>
                <w:color w:val="010205"/>
              </w:rPr>
            </w:pPr>
            <w:r w:rsidRPr="006E68B2">
              <w:rPr>
                <w:rFonts w:ascii="Arial" w:hAnsi="Arial" w:cs="Arial"/>
                <w:color w:val="010205"/>
              </w:rPr>
              <w:t>14.8</w:t>
            </w:r>
          </w:p>
        </w:tc>
        <w:tc>
          <w:tcPr>
            <w:tcW w:w="2551" w:type="dxa"/>
          </w:tcPr>
          <w:p w14:paraId="784A83A0" w14:textId="77777777" w:rsidR="00AF6AA5" w:rsidRPr="006E68B2" w:rsidRDefault="00AF6AA5" w:rsidP="00715B47">
            <w:pPr>
              <w:jc w:val="center"/>
              <w:rPr>
                <w:rFonts w:ascii="Arial" w:hAnsi="Arial" w:cs="Arial"/>
                <w:color w:val="010205"/>
              </w:rPr>
            </w:pPr>
            <w:r w:rsidRPr="006E68B2">
              <w:rPr>
                <w:rFonts w:ascii="Arial" w:hAnsi="Arial" w:cs="Arial"/>
                <w:color w:val="010205"/>
              </w:rPr>
              <w:t>19.7</w:t>
            </w:r>
          </w:p>
        </w:tc>
        <w:tc>
          <w:tcPr>
            <w:tcW w:w="2551" w:type="dxa"/>
          </w:tcPr>
          <w:p w14:paraId="5DA89BBE" w14:textId="77777777" w:rsidR="00AF6AA5" w:rsidRPr="006E68B2" w:rsidRDefault="00AF6AA5" w:rsidP="00715B47">
            <w:pPr>
              <w:jc w:val="center"/>
              <w:rPr>
                <w:rFonts w:ascii="Arial" w:hAnsi="Arial" w:cs="Arial"/>
                <w:color w:val="010205"/>
              </w:rPr>
            </w:pPr>
            <w:r w:rsidRPr="006E68B2">
              <w:rPr>
                <w:rFonts w:ascii="Arial" w:hAnsi="Arial" w:cs="Arial"/>
                <w:color w:val="010205"/>
              </w:rPr>
              <w:t>23.6</w:t>
            </w:r>
          </w:p>
        </w:tc>
        <w:tc>
          <w:tcPr>
            <w:tcW w:w="1134" w:type="dxa"/>
          </w:tcPr>
          <w:p w14:paraId="286BA35D" w14:textId="77777777" w:rsidR="00AF6AA5" w:rsidRPr="006E68B2" w:rsidRDefault="00AF6AA5" w:rsidP="00715B47">
            <w:pPr>
              <w:jc w:val="center"/>
              <w:rPr>
                <w:rFonts w:ascii="Arial" w:hAnsi="Arial" w:cs="Arial"/>
                <w:lang w:val="en-US"/>
              </w:rPr>
            </w:pPr>
            <w:r w:rsidRPr="006E68B2">
              <w:rPr>
                <w:rFonts w:ascii="Arial" w:hAnsi="Arial" w:cs="Arial"/>
                <w:lang w:val="en-US"/>
              </w:rPr>
              <w:t>7.3</w:t>
            </w:r>
          </w:p>
        </w:tc>
        <w:tc>
          <w:tcPr>
            <w:tcW w:w="1134" w:type="dxa"/>
          </w:tcPr>
          <w:p w14:paraId="4466EA5F" w14:textId="77777777" w:rsidR="00AF6AA5" w:rsidRPr="006E68B2" w:rsidRDefault="00AF6AA5" w:rsidP="00715B47">
            <w:pPr>
              <w:jc w:val="center"/>
              <w:rPr>
                <w:rFonts w:ascii="Arial" w:hAnsi="Arial" w:cs="Arial"/>
                <w:lang w:val="en-US"/>
              </w:rPr>
            </w:pPr>
            <w:r w:rsidRPr="006E68B2">
              <w:rPr>
                <w:rFonts w:ascii="Arial" w:hAnsi="Arial" w:cs="Arial"/>
                <w:lang w:val="en-US"/>
              </w:rPr>
              <w:t>0.007</w:t>
            </w:r>
          </w:p>
        </w:tc>
      </w:tr>
      <w:tr w:rsidR="00AF6AA5" w:rsidRPr="006E68B2" w14:paraId="2F328F18" w14:textId="77777777" w:rsidTr="00715B47">
        <w:tc>
          <w:tcPr>
            <w:tcW w:w="4535" w:type="dxa"/>
          </w:tcPr>
          <w:p w14:paraId="3DD950F9" w14:textId="77777777" w:rsidR="00AF6AA5" w:rsidRPr="006E68B2" w:rsidRDefault="00AF6AA5" w:rsidP="00715B47">
            <w:pPr>
              <w:ind w:firstLine="171"/>
              <w:rPr>
                <w:rFonts w:ascii="Arial" w:hAnsi="Arial" w:cs="Arial"/>
                <w:bCs/>
              </w:rPr>
            </w:pPr>
            <w:r w:rsidRPr="006E68B2">
              <w:rPr>
                <w:rFonts w:ascii="Arial" w:hAnsi="Arial" w:cs="Arial"/>
                <w:bCs/>
              </w:rPr>
              <w:t>Alcohol intake &gt;14 units a day</w:t>
            </w:r>
          </w:p>
        </w:tc>
        <w:tc>
          <w:tcPr>
            <w:tcW w:w="2551" w:type="dxa"/>
          </w:tcPr>
          <w:p w14:paraId="55043281" w14:textId="77777777" w:rsidR="00AF6AA5" w:rsidRPr="006E68B2" w:rsidRDefault="00AF6AA5" w:rsidP="00715B47">
            <w:pPr>
              <w:jc w:val="center"/>
              <w:rPr>
                <w:rFonts w:ascii="Arial" w:hAnsi="Arial" w:cs="Arial"/>
                <w:color w:val="010205"/>
              </w:rPr>
            </w:pPr>
            <w:r w:rsidRPr="006E68B2">
              <w:rPr>
                <w:rFonts w:ascii="Arial" w:hAnsi="Arial" w:cs="Arial"/>
                <w:color w:val="010205"/>
              </w:rPr>
              <w:t>3.7</w:t>
            </w:r>
          </w:p>
        </w:tc>
        <w:tc>
          <w:tcPr>
            <w:tcW w:w="2551" w:type="dxa"/>
          </w:tcPr>
          <w:p w14:paraId="1D1254BC" w14:textId="77777777" w:rsidR="00AF6AA5" w:rsidRPr="006E68B2" w:rsidRDefault="00AF6AA5" w:rsidP="00715B47">
            <w:pPr>
              <w:jc w:val="center"/>
              <w:rPr>
                <w:rFonts w:ascii="Arial" w:hAnsi="Arial" w:cs="Arial"/>
                <w:color w:val="010205"/>
              </w:rPr>
            </w:pPr>
            <w:r w:rsidRPr="006E68B2">
              <w:rPr>
                <w:rFonts w:ascii="Arial" w:hAnsi="Arial" w:cs="Arial"/>
                <w:color w:val="010205"/>
              </w:rPr>
              <w:t>5.6</w:t>
            </w:r>
          </w:p>
        </w:tc>
        <w:tc>
          <w:tcPr>
            <w:tcW w:w="2551" w:type="dxa"/>
          </w:tcPr>
          <w:p w14:paraId="634969EA" w14:textId="77777777" w:rsidR="00AF6AA5" w:rsidRPr="006E68B2" w:rsidRDefault="00AF6AA5" w:rsidP="00715B47">
            <w:pPr>
              <w:jc w:val="center"/>
              <w:rPr>
                <w:rFonts w:ascii="Arial" w:hAnsi="Arial" w:cs="Arial"/>
                <w:color w:val="010205"/>
              </w:rPr>
            </w:pPr>
            <w:r w:rsidRPr="006E68B2">
              <w:rPr>
                <w:rFonts w:ascii="Arial" w:hAnsi="Arial" w:cs="Arial"/>
                <w:color w:val="010205"/>
              </w:rPr>
              <w:t>5.9</w:t>
            </w:r>
          </w:p>
        </w:tc>
        <w:tc>
          <w:tcPr>
            <w:tcW w:w="1134" w:type="dxa"/>
          </w:tcPr>
          <w:p w14:paraId="12712A00" w14:textId="77777777" w:rsidR="00AF6AA5" w:rsidRPr="006E68B2" w:rsidRDefault="00AF6AA5" w:rsidP="00715B47">
            <w:pPr>
              <w:jc w:val="center"/>
              <w:rPr>
                <w:rFonts w:ascii="Arial" w:hAnsi="Arial" w:cs="Arial"/>
                <w:lang w:val="en-US"/>
              </w:rPr>
            </w:pPr>
            <w:r w:rsidRPr="006E68B2">
              <w:rPr>
                <w:rFonts w:ascii="Arial" w:hAnsi="Arial" w:cs="Arial"/>
                <w:lang w:val="en-US"/>
              </w:rPr>
              <w:t>1.6</w:t>
            </w:r>
          </w:p>
        </w:tc>
        <w:tc>
          <w:tcPr>
            <w:tcW w:w="1134" w:type="dxa"/>
          </w:tcPr>
          <w:p w14:paraId="1A64FC5F" w14:textId="77777777" w:rsidR="00AF6AA5" w:rsidRPr="006E68B2" w:rsidRDefault="00AF6AA5" w:rsidP="00715B47">
            <w:pPr>
              <w:jc w:val="center"/>
              <w:rPr>
                <w:rFonts w:ascii="Arial" w:hAnsi="Arial" w:cs="Arial"/>
                <w:lang w:val="en-US"/>
              </w:rPr>
            </w:pPr>
            <w:r w:rsidRPr="006E68B2">
              <w:rPr>
                <w:rFonts w:ascii="Arial" w:hAnsi="Arial" w:cs="Arial"/>
                <w:lang w:val="en-US"/>
              </w:rPr>
              <w:t>0.460</w:t>
            </w:r>
          </w:p>
        </w:tc>
      </w:tr>
      <w:tr w:rsidR="00AF6AA5" w:rsidRPr="006E68B2" w14:paraId="18C0FBC2" w14:textId="77777777" w:rsidTr="00715B47">
        <w:tc>
          <w:tcPr>
            <w:tcW w:w="4535" w:type="dxa"/>
          </w:tcPr>
          <w:p w14:paraId="41A8699B" w14:textId="77777777" w:rsidR="00AF6AA5" w:rsidRPr="006E68B2" w:rsidRDefault="00AF6AA5" w:rsidP="00715B47">
            <w:pPr>
              <w:rPr>
                <w:rFonts w:ascii="Arial" w:hAnsi="Arial" w:cs="Arial"/>
                <w:b/>
              </w:rPr>
            </w:pPr>
            <w:r w:rsidRPr="006E68B2">
              <w:rPr>
                <w:rFonts w:ascii="Arial" w:hAnsi="Arial" w:cs="Arial"/>
                <w:b/>
              </w:rPr>
              <w:t>Outcomes</w:t>
            </w:r>
          </w:p>
        </w:tc>
        <w:tc>
          <w:tcPr>
            <w:tcW w:w="2551" w:type="dxa"/>
          </w:tcPr>
          <w:p w14:paraId="74E829A2" w14:textId="77777777" w:rsidR="00AF6AA5" w:rsidRPr="006E68B2" w:rsidRDefault="00AF6AA5" w:rsidP="00715B47">
            <w:pPr>
              <w:jc w:val="center"/>
              <w:rPr>
                <w:rFonts w:ascii="Arial" w:hAnsi="Arial" w:cs="Arial"/>
                <w:b/>
                <w:bCs/>
                <w:lang w:val="en-US"/>
              </w:rPr>
            </w:pPr>
          </w:p>
        </w:tc>
        <w:tc>
          <w:tcPr>
            <w:tcW w:w="2551" w:type="dxa"/>
          </w:tcPr>
          <w:p w14:paraId="09923340" w14:textId="77777777" w:rsidR="00AF6AA5" w:rsidRPr="006E68B2" w:rsidRDefault="00AF6AA5" w:rsidP="00715B47">
            <w:pPr>
              <w:jc w:val="center"/>
              <w:rPr>
                <w:rFonts w:ascii="Arial" w:hAnsi="Arial" w:cs="Arial"/>
                <w:b/>
                <w:bCs/>
                <w:lang w:val="en-US"/>
              </w:rPr>
            </w:pPr>
          </w:p>
        </w:tc>
        <w:tc>
          <w:tcPr>
            <w:tcW w:w="2551" w:type="dxa"/>
          </w:tcPr>
          <w:p w14:paraId="48C4DA6B" w14:textId="77777777" w:rsidR="00AF6AA5" w:rsidRPr="006E68B2" w:rsidRDefault="00AF6AA5" w:rsidP="00715B47">
            <w:pPr>
              <w:jc w:val="center"/>
              <w:rPr>
                <w:rFonts w:ascii="Arial" w:hAnsi="Arial" w:cs="Arial"/>
                <w:b/>
                <w:bCs/>
                <w:lang w:val="en-US"/>
              </w:rPr>
            </w:pPr>
          </w:p>
        </w:tc>
        <w:tc>
          <w:tcPr>
            <w:tcW w:w="1134" w:type="dxa"/>
          </w:tcPr>
          <w:p w14:paraId="42FC0F3E" w14:textId="77777777" w:rsidR="00AF6AA5" w:rsidRPr="006E68B2" w:rsidRDefault="00AF6AA5" w:rsidP="00715B47">
            <w:pPr>
              <w:jc w:val="center"/>
              <w:rPr>
                <w:rFonts w:ascii="Arial" w:hAnsi="Arial" w:cs="Arial"/>
                <w:lang w:val="en-US"/>
              </w:rPr>
            </w:pPr>
          </w:p>
        </w:tc>
        <w:tc>
          <w:tcPr>
            <w:tcW w:w="1134" w:type="dxa"/>
          </w:tcPr>
          <w:p w14:paraId="5AE1853A" w14:textId="77777777" w:rsidR="00AF6AA5" w:rsidRPr="006E68B2" w:rsidRDefault="00AF6AA5" w:rsidP="00715B47">
            <w:pPr>
              <w:jc w:val="center"/>
              <w:rPr>
                <w:rFonts w:ascii="Arial" w:hAnsi="Arial" w:cs="Arial"/>
                <w:lang w:val="en-US"/>
              </w:rPr>
            </w:pPr>
          </w:p>
        </w:tc>
      </w:tr>
      <w:tr w:rsidR="00AF6AA5" w:rsidRPr="006E68B2" w14:paraId="482532D6" w14:textId="77777777" w:rsidTr="00715B47">
        <w:tc>
          <w:tcPr>
            <w:tcW w:w="4535" w:type="dxa"/>
          </w:tcPr>
          <w:p w14:paraId="3E86F45A" w14:textId="77777777" w:rsidR="00AF6AA5" w:rsidRPr="006E68B2" w:rsidRDefault="00AF6AA5" w:rsidP="00715B47">
            <w:pPr>
              <w:ind w:firstLine="171"/>
              <w:rPr>
                <w:rFonts w:ascii="Arial" w:hAnsi="Arial" w:cs="Arial"/>
                <w:bCs/>
              </w:rPr>
            </w:pPr>
            <w:r w:rsidRPr="006E68B2">
              <w:rPr>
                <w:rFonts w:ascii="Arial" w:hAnsi="Arial" w:cs="Arial"/>
              </w:rPr>
              <w:t>LOS ≥1 week</w:t>
            </w:r>
          </w:p>
        </w:tc>
        <w:tc>
          <w:tcPr>
            <w:tcW w:w="2551" w:type="dxa"/>
          </w:tcPr>
          <w:p w14:paraId="5A590759" w14:textId="77777777" w:rsidR="00AF6AA5" w:rsidRPr="006E68B2" w:rsidRDefault="00AF6AA5" w:rsidP="00715B47">
            <w:pPr>
              <w:jc w:val="center"/>
              <w:rPr>
                <w:rFonts w:ascii="Arial" w:hAnsi="Arial" w:cs="Arial"/>
                <w:b/>
                <w:bCs/>
                <w:lang w:val="en-US"/>
              </w:rPr>
            </w:pPr>
            <w:r w:rsidRPr="006E68B2">
              <w:rPr>
                <w:rFonts w:ascii="Arial" w:hAnsi="Arial" w:cs="Arial"/>
                <w:color w:val="010205"/>
              </w:rPr>
              <w:t>55.1</w:t>
            </w:r>
          </w:p>
        </w:tc>
        <w:tc>
          <w:tcPr>
            <w:tcW w:w="2551" w:type="dxa"/>
          </w:tcPr>
          <w:p w14:paraId="247BB554" w14:textId="77777777" w:rsidR="00AF6AA5" w:rsidRPr="006E68B2" w:rsidRDefault="00AF6AA5" w:rsidP="00715B47">
            <w:pPr>
              <w:jc w:val="center"/>
              <w:rPr>
                <w:rFonts w:ascii="Arial" w:hAnsi="Arial" w:cs="Arial"/>
                <w:b/>
                <w:bCs/>
                <w:lang w:val="en-US"/>
              </w:rPr>
            </w:pPr>
            <w:r w:rsidRPr="006E68B2">
              <w:rPr>
                <w:rFonts w:ascii="Arial" w:hAnsi="Arial" w:cs="Arial"/>
                <w:color w:val="010205"/>
              </w:rPr>
              <w:t>76.6</w:t>
            </w:r>
          </w:p>
        </w:tc>
        <w:tc>
          <w:tcPr>
            <w:tcW w:w="2551" w:type="dxa"/>
          </w:tcPr>
          <w:p w14:paraId="38E822BF" w14:textId="77777777" w:rsidR="00AF6AA5" w:rsidRPr="006E68B2" w:rsidRDefault="00AF6AA5" w:rsidP="00715B47">
            <w:pPr>
              <w:jc w:val="center"/>
              <w:rPr>
                <w:rFonts w:ascii="Arial" w:hAnsi="Arial" w:cs="Arial"/>
                <w:b/>
                <w:bCs/>
                <w:lang w:val="en-US"/>
              </w:rPr>
            </w:pPr>
            <w:r w:rsidRPr="006E68B2">
              <w:rPr>
                <w:rFonts w:ascii="Arial" w:hAnsi="Arial" w:cs="Arial"/>
                <w:color w:val="010205"/>
              </w:rPr>
              <w:t>80.9</w:t>
            </w:r>
          </w:p>
        </w:tc>
        <w:tc>
          <w:tcPr>
            <w:tcW w:w="1134" w:type="dxa"/>
          </w:tcPr>
          <w:p w14:paraId="3C89BAF3" w14:textId="77777777" w:rsidR="00AF6AA5" w:rsidRPr="006E68B2" w:rsidRDefault="00AF6AA5" w:rsidP="00715B47">
            <w:pPr>
              <w:jc w:val="center"/>
              <w:rPr>
                <w:rFonts w:ascii="Arial" w:hAnsi="Arial" w:cs="Arial"/>
                <w:lang w:val="en-US"/>
              </w:rPr>
            </w:pPr>
            <w:r w:rsidRPr="006E68B2">
              <w:rPr>
                <w:rFonts w:ascii="Arial" w:hAnsi="Arial" w:cs="Arial"/>
                <w:lang w:val="en-US"/>
              </w:rPr>
              <w:t>55.2</w:t>
            </w:r>
          </w:p>
        </w:tc>
        <w:tc>
          <w:tcPr>
            <w:tcW w:w="1134" w:type="dxa"/>
          </w:tcPr>
          <w:p w14:paraId="0AD5D3A6" w14:textId="77777777" w:rsidR="00AF6AA5" w:rsidRPr="006E68B2" w:rsidRDefault="00AF6AA5" w:rsidP="00715B47">
            <w:pPr>
              <w:jc w:val="center"/>
              <w:rPr>
                <w:rFonts w:ascii="Arial" w:hAnsi="Arial" w:cs="Arial"/>
                <w:lang w:val="en-US"/>
              </w:rPr>
            </w:pPr>
            <w:r w:rsidRPr="006E68B2">
              <w:rPr>
                <w:rFonts w:ascii="Arial" w:hAnsi="Arial" w:cs="Arial"/>
                <w:lang w:val="en-US"/>
              </w:rPr>
              <w:t xml:space="preserve">&lt;0.001 </w:t>
            </w:r>
          </w:p>
        </w:tc>
      </w:tr>
      <w:tr w:rsidR="00AF6AA5" w:rsidRPr="006E68B2" w14:paraId="19A41DF7" w14:textId="77777777" w:rsidTr="00715B47">
        <w:tc>
          <w:tcPr>
            <w:tcW w:w="4535" w:type="dxa"/>
          </w:tcPr>
          <w:p w14:paraId="561C2A09" w14:textId="77777777" w:rsidR="00AF6AA5" w:rsidRPr="006E68B2" w:rsidRDefault="00AF6AA5" w:rsidP="00715B47">
            <w:pPr>
              <w:ind w:firstLine="171"/>
              <w:rPr>
                <w:rFonts w:ascii="Arial" w:hAnsi="Arial" w:cs="Arial"/>
                <w:bCs/>
              </w:rPr>
            </w:pPr>
            <w:r w:rsidRPr="006E68B2">
              <w:rPr>
                <w:rFonts w:ascii="Arial" w:hAnsi="Arial" w:cs="Arial"/>
              </w:rPr>
              <w:t>LOS ≥2 weeks</w:t>
            </w:r>
          </w:p>
        </w:tc>
        <w:tc>
          <w:tcPr>
            <w:tcW w:w="2551" w:type="dxa"/>
          </w:tcPr>
          <w:p w14:paraId="1185837F" w14:textId="77777777" w:rsidR="00AF6AA5" w:rsidRPr="006E68B2" w:rsidRDefault="00AF6AA5" w:rsidP="00715B47">
            <w:pPr>
              <w:jc w:val="center"/>
              <w:rPr>
                <w:rFonts w:ascii="Arial" w:hAnsi="Arial" w:cs="Arial"/>
                <w:b/>
                <w:bCs/>
                <w:lang w:val="en-US"/>
              </w:rPr>
            </w:pPr>
            <w:r w:rsidRPr="006E68B2">
              <w:rPr>
                <w:rFonts w:ascii="Arial" w:hAnsi="Arial" w:cs="Arial"/>
                <w:color w:val="010205"/>
              </w:rPr>
              <w:t>19.8</w:t>
            </w:r>
          </w:p>
        </w:tc>
        <w:tc>
          <w:tcPr>
            <w:tcW w:w="2551" w:type="dxa"/>
          </w:tcPr>
          <w:p w14:paraId="4A126C03" w14:textId="77777777" w:rsidR="00AF6AA5" w:rsidRPr="006E68B2" w:rsidRDefault="00AF6AA5" w:rsidP="00715B47">
            <w:pPr>
              <w:jc w:val="center"/>
              <w:rPr>
                <w:rFonts w:ascii="Arial" w:hAnsi="Arial" w:cs="Arial"/>
                <w:b/>
                <w:bCs/>
                <w:lang w:val="en-US"/>
              </w:rPr>
            </w:pPr>
            <w:r w:rsidRPr="006E68B2">
              <w:rPr>
                <w:rFonts w:ascii="Arial" w:hAnsi="Arial" w:cs="Arial"/>
                <w:color w:val="010205"/>
              </w:rPr>
              <w:t>31.5</w:t>
            </w:r>
          </w:p>
        </w:tc>
        <w:tc>
          <w:tcPr>
            <w:tcW w:w="2551" w:type="dxa"/>
          </w:tcPr>
          <w:p w14:paraId="3FC696DE" w14:textId="77777777" w:rsidR="00AF6AA5" w:rsidRPr="006E68B2" w:rsidRDefault="00AF6AA5" w:rsidP="00715B47">
            <w:pPr>
              <w:jc w:val="center"/>
              <w:rPr>
                <w:rFonts w:ascii="Arial" w:hAnsi="Arial" w:cs="Arial"/>
                <w:b/>
                <w:bCs/>
                <w:lang w:val="en-US"/>
              </w:rPr>
            </w:pPr>
            <w:r w:rsidRPr="006E68B2">
              <w:rPr>
                <w:rFonts w:ascii="Arial" w:hAnsi="Arial" w:cs="Arial"/>
                <w:color w:val="010205"/>
              </w:rPr>
              <w:t>38.1</w:t>
            </w:r>
          </w:p>
        </w:tc>
        <w:tc>
          <w:tcPr>
            <w:tcW w:w="1134" w:type="dxa"/>
          </w:tcPr>
          <w:p w14:paraId="40968C14" w14:textId="77777777" w:rsidR="00AF6AA5" w:rsidRPr="006E68B2" w:rsidRDefault="00AF6AA5" w:rsidP="00715B47">
            <w:pPr>
              <w:jc w:val="center"/>
              <w:rPr>
                <w:rFonts w:ascii="Arial" w:hAnsi="Arial" w:cs="Arial"/>
                <w:lang w:val="en-US"/>
              </w:rPr>
            </w:pPr>
            <w:r w:rsidRPr="006E68B2">
              <w:rPr>
                <w:rFonts w:ascii="Arial" w:hAnsi="Arial" w:cs="Arial"/>
                <w:lang w:val="en-US"/>
              </w:rPr>
              <w:t>23.5</w:t>
            </w:r>
          </w:p>
        </w:tc>
        <w:tc>
          <w:tcPr>
            <w:tcW w:w="1134" w:type="dxa"/>
          </w:tcPr>
          <w:p w14:paraId="6A88B567" w14:textId="77777777" w:rsidR="00AF6AA5" w:rsidRPr="006E68B2" w:rsidRDefault="00AF6AA5" w:rsidP="00715B47">
            <w:pPr>
              <w:jc w:val="center"/>
              <w:rPr>
                <w:rFonts w:ascii="Arial" w:hAnsi="Arial" w:cs="Arial"/>
                <w:lang w:val="en-US"/>
              </w:rPr>
            </w:pPr>
            <w:r w:rsidRPr="006E68B2">
              <w:rPr>
                <w:rFonts w:ascii="Arial" w:hAnsi="Arial" w:cs="Arial"/>
                <w:lang w:val="en-US"/>
              </w:rPr>
              <w:t>&lt;0.001</w:t>
            </w:r>
          </w:p>
        </w:tc>
      </w:tr>
      <w:tr w:rsidR="00AF6AA5" w:rsidRPr="006E68B2" w14:paraId="4039BD40" w14:textId="77777777" w:rsidTr="00715B47">
        <w:tc>
          <w:tcPr>
            <w:tcW w:w="4535" w:type="dxa"/>
          </w:tcPr>
          <w:p w14:paraId="481E55A3" w14:textId="77777777" w:rsidR="00AF6AA5" w:rsidRPr="006E68B2" w:rsidRDefault="00AF6AA5" w:rsidP="00715B47">
            <w:pPr>
              <w:ind w:firstLine="171"/>
              <w:rPr>
                <w:rFonts w:ascii="Arial" w:hAnsi="Arial" w:cs="Arial"/>
              </w:rPr>
            </w:pPr>
            <w:r w:rsidRPr="006E68B2">
              <w:rPr>
                <w:rFonts w:ascii="Arial" w:hAnsi="Arial" w:cs="Arial"/>
              </w:rPr>
              <w:t>Failure to mobilise within 1-day of surgery</w:t>
            </w:r>
          </w:p>
        </w:tc>
        <w:tc>
          <w:tcPr>
            <w:tcW w:w="2551" w:type="dxa"/>
          </w:tcPr>
          <w:p w14:paraId="4EC81DF0" w14:textId="77777777" w:rsidR="00AF6AA5" w:rsidRPr="006E68B2" w:rsidRDefault="00AF6AA5" w:rsidP="00715B47">
            <w:pPr>
              <w:jc w:val="center"/>
              <w:rPr>
                <w:rFonts w:ascii="Arial" w:hAnsi="Arial" w:cs="Arial"/>
                <w:color w:val="010205"/>
              </w:rPr>
            </w:pPr>
            <w:r w:rsidRPr="006E68B2">
              <w:rPr>
                <w:rFonts w:ascii="Arial" w:hAnsi="Arial" w:cs="Arial"/>
                <w:color w:val="010205"/>
              </w:rPr>
              <w:t>23.2</w:t>
            </w:r>
          </w:p>
        </w:tc>
        <w:tc>
          <w:tcPr>
            <w:tcW w:w="2551" w:type="dxa"/>
          </w:tcPr>
          <w:p w14:paraId="6E316437" w14:textId="77777777" w:rsidR="00AF6AA5" w:rsidRPr="006E68B2" w:rsidRDefault="00AF6AA5" w:rsidP="00715B47">
            <w:pPr>
              <w:jc w:val="center"/>
              <w:rPr>
                <w:rFonts w:ascii="Arial" w:hAnsi="Arial" w:cs="Arial"/>
                <w:color w:val="010205"/>
              </w:rPr>
            </w:pPr>
            <w:r w:rsidRPr="006E68B2">
              <w:rPr>
                <w:rFonts w:ascii="Arial" w:hAnsi="Arial" w:cs="Arial"/>
                <w:color w:val="010205"/>
              </w:rPr>
              <w:t>36.2</w:t>
            </w:r>
          </w:p>
        </w:tc>
        <w:tc>
          <w:tcPr>
            <w:tcW w:w="2551" w:type="dxa"/>
          </w:tcPr>
          <w:p w14:paraId="77DE7EA0" w14:textId="77777777" w:rsidR="00AF6AA5" w:rsidRPr="006E68B2" w:rsidRDefault="00AF6AA5" w:rsidP="00715B47">
            <w:pPr>
              <w:jc w:val="center"/>
              <w:rPr>
                <w:rFonts w:ascii="Arial" w:hAnsi="Arial" w:cs="Arial"/>
                <w:color w:val="010205"/>
              </w:rPr>
            </w:pPr>
            <w:r w:rsidRPr="006E68B2">
              <w:rPr>
                <w:rFonts w:ascii="Arial" w:hAnsi="Arial" w:cs="Arial"/>
                <w:color w:val="010205"/>
              </w:rPr>
              <w:t>43.6</w:t>
            </w:r>
          </w:p>
        </w:tc>
        <w:tc>
          <w:tcPr>
            <w:tcW w:w="1134" w:type="dxa"/>
          </w:tcPr>
          <w:p w14:paraId="2DACA8A7" w14:textId="77777777" w:rsidR="00AF6AA5" w:rsidRPr="006E68B2" w:rsidRDefault="00AF6AA5" w:rsidP="00715B47">
            <w:pPr>
              <w:jc w:val="center"/>
              <w:rPr>
                <w:rFonts w:ascii="Arial" w:hAnsi="Arial" w:cs="Arial"/>
                <w:lang w:val="en-US"/>
              </w:rPr>
            </w:pPr>
            <w:r w:rsidRPr="006E68B2">
              <w:rPr>
                <w:rFonts w:ascii="Arial" w:hAnsi="Arial" w:cs="Arial"/>
                <w:lang w:val="en-US"/>
              </w:rPr>
              <w:t>14.3</w:t>
            </w:r>
          </w:p>
        </w:tc>
        <w:tc>
          <w:tcPr>
            <w:tcW w:w="1134" w:type="dxa"/>
          </w:tcPr>
          <w:p w14:paraId="53CED121" w14:textId="77777777" w:rsidR="00AF6AA5" w:rsidRPr="006E68B2" w:rsidRDefault="00AF6AA5" w:rsidP="00715B47">
            <w:pPr>
              <w:jc w:val="center"/>
              <w:rPr>
                <w:rFonts w:ascii="Arial" w:hAnsi="Arial" w:cs="Arial"/>
                <w:lang w:val="en-US"/>
              </w:rPr>
            </w:pPr>
            <w:r w:rsidRPr="006E68B2">
              <w:rPr>
                <w:rFonts w:ascii="Arial" w:hAnsi="Arial" w:cs="Arial"/>
                <w:lang w:val="en-US"/>
              </w:rPr>
              <w:t>&lt;0.001</w:t>
            </w:r>
          </w:p>
        </w:tc>
      </w:tr>
      <w:tr w:rsidR="00AF6AA5" w:rsidRPr="006E68B2" w14:paraId="0DD6CB83" w14:textId="77777777" w:rsidTr="00715B47">
        <w:tc>
          <w:tcPr>
            <w:tcW w:w="4535" w:type="dxa"/>
          </w:tcPr>
          <w:p w14:paraId="021E0710" w14:textId="77777777" w:rsidR="00AF6AA5" w:rsidRPr="006E68B2" w:rsidRDefault="00AF6AA5" w:rsidP="00715B47">
            <w:pPr>
              <w:ind w:firstLine="171"/>
              <w:rPr>
                <w:rFonts w:ascii="Arial" w:hAnsi="Arial" w:cs="Arial"/>
              </w:rPr>
            </w:pPr>
            <w:r w:rsidRPr="006E68B2">
              <w:rPr>
                <w:rFonts w:ascii="Arial" w:hAnsi="Arial" w:cs="Arial"/>
                <w:lang w:val="en-US"/>
              </w:rPr>
              <w:t>Hospital acquired pressure ulcers</w:t>
            </w:r>
          </w:p>
        </w:tc>
        <w:tc>
          <w:tcPr>
            <w:tcW w:w="2551" w:type="dxa"/>
          </w:tcPr>
          <w:p w14:paraId="550196E0" w14:textId="77777777" w:rsidR="00AF6AA5" w:rsidRPr="006E68B2" w:rsidRDefault="00AF6AA5" w:rsidP="00715B47">
            <w:pPr>
              <w:jc w:val="center"/>
              <w:rPr>
                <w:rFonts w:ascii="Arial" w:hAnsi="Arial" w:cs="Arial"/>
                <w:color w:val="010205"/>
              </w:rPr>
            </w:pPr>
            <w:r w:rsidRPr="006E68B2">
              <w:rPr>
                <w:rFonts w:ascii="Arial" w:hAnsi="Arial" w:cs="Arial"/>
                <w:color w:val="010205"/>
                <w:sz w:val="24"/>
                <w:szCs w:val="24"/>
              </w:rPr>
              <w:t>0.4</w:t>
            </w:r>
          </w:p>
        </w:tc>
        <w:tc>
          <w:tcPr>
            <w:tcW w:w="2551" w:type="dxa"/>
          </w:tcPr>
          <w:p w14:paraId="3905F3B5" w14:textId="77777777" w:rsidR="00AF6AA5" w:rsidRPr="006E68B2" w:rsidRDefault="00AF6AA5" w:rsidP="00715B47">
            <w:pPr>
              <w:jc w:val="center"/>
              <w:rPr>
                <w:rFonts w:ascii="Arial" w:hAnsi="Arial" w:cs="Arial"/>
                <w:color w:val="010205"/>
              </w:rPr>
            </w:pPr>
            <w:r w:rsidRPr="006E68B2">
              <w:rPr>
                <w:rFonts w:ascii="Arial" w:hAnsi="Arial" w:cs="Arial"/>
                <w:color w:val="010205"/>
                <w:sz w:val="24"/>
                <w:szCs w:val="24"/>
              </w:rPr>
              <w:t>1.3</w:t>
            </w:r>
          </w:p>
        </w:tc>
        <w:tc>
          <w:tcPr>
            <w:tcW w:w="2551" w:type="dxa"/>
          </w:tcPr>
          <w:p w14:paraId="3463398D" w14:textId="77777777" w:rsidR="00AF6AA5" w:rsidRPr="006E68B2" w:rsidRDefault="00AF6AA5" w:rsidP="00715B47">
            <w:pPr>
              <w:jc w:val="center"/>
              <w:rPr>
                <w:rFonts w:ascii="Arial" w:hAnsi="Arial" w:cs="Arial"/>
                <w:color w:val="010205"/>
              </w:rPr>
            </w:pPr>
            <w:r w:rsidRPr="006E68B2">
              <w:rPr>
                <w:rFonts w:ascii="Arial" w:hAnsi="Arial" w:cs="Arial"/>
                <w:color w:val="010205"/>
                <w:sz w:val="24"/>
                <w:szCs w:val="24"/>
              </w:rPr>
              <w:t>3.6</w:t>
            </w:r>
          </w:p>
        </w:tc>
        <w:tc>
          <w:tcPr>
            <w:tcW w:w="1134" w:type="dxa"/>
          </w:tcPr>
          <w:p w14:paraId="5DA3A50C" w14:textId="77777777" w:rsidR="00AF6AA5" w:rsidRPr="006E68B2" w:rsidRDefault="00AF6AA5" w:rsidP="00715B47">
            <w:pPr>
              <w:jc w:val="center"/>
              <w:rPr>
                <w:rFonts w:ascii="Arial" w:hAnsi="Arial" w:cs="Arial"/>
                <w:lang w:val="en-US"/>
              </w:rPr>
            </w:pPr>
            <w:r w:rsidRPr="006E68B2">
              <w:rPr>
                <w:rFonts w:ascii="Arial" w:hAnsi="Arial" w:cs="Arial"/>
                <w:lang w:val="en-US"/>
              </w:rPr>
              <w:t>9.6</w:t>
            </w:r>
          </w:p>
        </w:tc>
        <w:tc>
          <w:tcPr>
            <w:tcW w:w="1134" w:type="dxa"/>
          </w:tcPr>
          <w:p w14:paraId="69FF9A7E" w14:textId="77777777" w:rsidR="00AF6AA5" w:rsidRPr="006E68B2" w:rsidRDefault="00AF6AA5" w:rsidP="00715B47">
            <w:pPr>
              <w:jc w:val="center"/>
              <w:rPr>
                <w:rFonts w:ascii="Arial" w:hAnsi="Arial" w:cs="Arial"/>
                <w:lang w:val="en-US"/>
              </w:rPr>
            </w:pPr>
            <w:r w:rsidRPr="006E68B2">
              <w:rPr>
                <w:rFonts w:ascii="Arial" w:hAnsi="Arial" w:cs="Arial"/>
                <w:lang w:val="en-US"/>
              </w:rPr>
              <w:t>0.003</w:t>
            </w:r>
          </w:p>
        </w:tc>
      </w:tr>
    </w:tbl>
    <w:p w14:paraId="044A1E1C" w14:textId="77777777" w:rsidR="00AF6AA5" w:rsidRPr="006E68B2" w:rsidRDefault="00AF6AA5" w:rsidP="00AF6AA5">
      <w:pPr>
        <w:autoSpaceDE w:val="0"/>
        <w:autoSpaceDN w:val="0"/>
        <w:adjustRightInd w:val="0"/>
        <w:spacing w:after="0" w:line="240" w:lineRule="auto"/>
        <w:rPr>
          <w:rFonts w:ascii="Times New Roman" w:hAnsi="Times New Roman" w:cs="Times New Roman"/>
          <w:sz w:val="24"/>
          <w:szCs w:val="24"/>
        </w:rPr>
      </w:pPr>
      <w:r w:rsidRPr="006E68B2">
        <w:rPr>
          <w:rFonts w:ascii="Arial" w:hAnsi="Arial" w:cs="Arial"/>
          <w:lang w:val="en-US"/>
        </w:rPr>
        <w:t>Level-1: ACB score =0 and &lt;4 drugs a day; Level-2: ACB score ≥1 or ≥4 drugs a day; Level-3: ACB score ≥1 and ≥4 drugs a day.</w:t>
      </w:r>
    </w:p>
    <w:p w14:paraId="2A71D085" w14:textId="77777777" w:rsidR="00AF6AA5" w:rsidRPr="006E68B2" w:rsidRDefault="00AF6AA5" w:rsidP="00AF6AA5">
      <w:pPr>
        <w:rPr>
          <w:rFonts w:ascii="Arial" w:hAnsi="Arial" w:cs="Arial"/>
          <w:bCs/>
          <w:sz w:val="24"/>
          <w:szCs w:val="24"/>
        </w:rPr>
      </w:pPr>
      <w:r w:rsidRPr="006E68B2">
        <w:rPr>
          <w:rFonts w:ascii="Arial" w:hAnsi="Arial" w:cs="Arial"/>
          <w:bCs/>
          <w:sz w:val="24"/>
          <w:szCs w:val="24"/>
        </w:rPr>
        <w:br w:type="page"/>
      </w:r>
    </w:p>
    <w:p w14:paraId="6B594891" w14:textId="77777777" w:rsidR="00AF6AA5" w:rsidRPr="006E68B2" w:rsidRDefault="00AF6AA5" w:rsidP="00AF6AA5">
      <w:pPr>
        <w:rPr>
          <w:rFonts w:ascii="Arial" w:hAnsi="Arial" w:cs="Arial"/>
          <w:sz w:val="24"/>
          <w:szCs w:val="24"/>
          <w:lang w:val="en-US"/>
        </w:rPr>
      </w:pPr>
      <w:r w:rsidRPr="006E68B2">
        <w:rPr>
          <w:rFonts w:ascii="Arial" w:hAnsi="Arial" w:cs="Arial"/>
          <w:b/>
          <w:bCs/>
          <w:sz w:val="24"/>
          <w:szCs w:val="24"/>
          <w:lang w:val="en-US"/>
        </w:rPr>
        <w:lastRenderedPageBreak/>
        <w:t>Table 3.</w:t>
      </w:r>
      <w:r w:rsidRPr="006E68B2">
        <w:rPr>
          <w:rFonts w:ascii="Arial" w:hAnsi="Arial" w:cs="Arial"/>
          <w:sz w:val="24"/>
          <w:szCs w:val="24"/>
          <w:lang w:val="en-US"/>
        </w:rPr>
        <w:t xml:space="preserve"> Logistic regression analysis of the association between ACB and polypharmacy with adverse outcomes.</w:t>
      </w:r>
    </w:p>
    <w:p w14:paraId="5B41E31A" w14:textId="77777777" w:rsidR="00AF6AA5" w:rsidRPr="006E68B2" w:rsidRDefault="00AF6AA5" w:rsidP="00AF6AA5">
      <w:pPr>
        <w:spacing w:after="0" w:line="240" w:lineRule="auto"/>
        <w:rPr>
          <w:rFonts w:ascii="Arial" w:hAnsi="Arial" w:cs="Arial"/>
          <w:sz w:val="24"/>
          <w:szCs w:val="24"/>
          <w:lang w:val="en-US"/>
        </w:rPr>
      </w:pPr>
    </w:p>
    <w:tbl>
      <w:tblPr>
        <w:tblStyle w:val="TableGrid"/>
        <w:tblW w:w="14459" w:type="dxa"/>
        <w:tblInd w:w="-289" w:type="dxa"/>
        <w:shd w:val="clear" w:color="auto" w:fill="FFFFFF" w:themeFill="background1"/>
        <w:tblLook w:val="04A0" w:firstRow="1" w:lastRow="0" w:firstColumn="1" w:lastColumn="0" w:noHBand="0" w:noVBand="1"/>
      </w:tblPr>
      <w:tblGrid>
        <w:gridCol w:w="5029"/>
        <w:gridCol w:w="846"/>
        <w:gridCol w:w="1401"/>
        <w:gridCol w:w="896"/>
        <w:gridCol w:w="845"/>
        <w:gridCol w:w="1401"/>
        <w:gridCol w:w="896"/>
        <w:gridCol w:w="848"/>
        <w:gridCol w:w="1401"/>
        <w:gridCol w:w="896"/>
      </w:tblGrid>
      <w:tr w:rsidR="00AF6AA5" w:rsidRPr="006E68B2" w14:paraId="785AB2C2" w14:textId="77777777" w:rsidTr="00715B47">
        <w:tc>
          <w:tcPr>
            <w:tcW w:w="5029" w:type="dxa"/>
            <w:shd w:val="clear" w:color="auto" w:fill="FFFFFF" w:themeFill="background1"/>
          </w:tcPr>
          <w:p w14:paraId="09B2432D" w14:textId="77777777" w:rsidR="00AF6AA5" w:rsidRPr="006E68B2" w:rsidRDefault="00AF6AA5" w:rsidP="00715B47">
            <w:pPr>
              <w:spacing w:line="360" w:lineRule="auto"/>
              <w:rPr>
                <w:rFonts w:ascii="Arial" w:hAnsi="Arial" w:cs="Arial"/>
                <w:b/>
                <w:bCs/>
                <w:lang w:val="en-US"/>
              </w:rPr>
            </w:pPr>
          </w:p>
        </w:tc>
        <w:tc>
          <w:tcPr>
            <w:tcW w:w="3143" w:type="dxa"/>
            <w:gridSpan w:val="3"/>
            <w:shd w:val="clear" w:color="auto" w:fill="FFFFFF" w:themeFill="background1"/>
          </w:tcPr>
          <w:p w14:paraId="16C7C9F3" w14:textId="77777777" w:rsidR="00AF6AA5" w:rsidRPr="006E68B2" w:rsidRDefault="00AF6AA5" w:rsidP="00715B47">
            <w:pPr>
              <w:spacing w:line="360" w:lineRule="auto"/>
              <w:jc w:val="center"/>
              <w:rPr>
                <w:rFonts w:ascii="Arial" w:hAnsi="Arial" w:cs="Arial"/>
                <w:b/>
                <w:bCs/>
                <w:lang w:val="en-US"/>
              </w:rPr>
            </w:pPr>
            <w:r w:rsidRPr="006E68B2">
              <w:rPr>
                <w:rFonts w:ascii="Arial" w:hAnsi="Arial" w:cs="Arial"/>
                <w:b/>
                <w:bCs/>
                <w:lang w:val="en-US"/>
              </w:rPr>
              <w:t>Model-1: Unadjusted</w:t>
            </w:r>
          </w:p>
        </w:tc>
        <w:tc>
          <w:tcPr>
            <w:tcW w:w="3142" w:type="dxa"/>
            <w:gridSpan w:val="3"/>
            <w:shd w:val="clear" w:color="auto" w:fill="FFFFFF" w:themeFill="background1"/>
          </w:tcPr>
          <w:p w14:paraId="099B3663" w14:textId="77777777" w:rsidR="00AF6AA5" w:rsidRPr="006E68B2" w:rsidRDefault="00AF6AA5" w:rsidP="00715B47">
            <w:pPr>
              <w:spacing w:line="360" w:lineRule="auto"/>
              <w:jc w:val="center"/>
              <w:rPr>
                <w:rFonts w:ascii="Arial" w:hAnsi="Arial" w:cs="Arial"/>
                <w:b/>
                <w:bCs/>
                <w:lang w:val="en-US"/>
              </w:rPr>
            </w:pPr>
            <w:r w:rsidRPr="006E68B2">
              <w:rPr>
                <w:rFonts w:ascii="Arial" w:hAnsi="Arial" w:cs="Arial"/>
                <w:b/>
                <w:bCs/>
                <w:lang w:val="en-US"/>
              </w:rPr>
              <w:t>Model-2: Age- and sex-adjusted</w:t>
            </w:r>
          </w:p>
        </w:tc>
        <w:tc>
          <w:tcPr>
            <w:tcW w:w="3145" w:type="dxa"/>
            <w:gridSpan w:val="3"/>
            <w:shd w:val="clear" w:color="auto" w:fill="FFFFFF" w:themeFill="background1"/>
          </w:tcPr>
          <w:p w14:paraId="228235E7" w14:textId="77777777" w:rsidR="00AF6AA5" w:rsidRPr="006E68B2" w:rsidRDefault="00AF6AA5" w:rsidP="00715B47">
            <w:pPr>
              <w:spacing w:line="360" w:lineRule="auto"/>
              <w:jc w:val="center"/>
              <w:rPr>
                <w:rFonts w:ascii="Arial" w:hAnsi="Arial" w:cs="Arial"/>
                <w:b/>
                <w:bCs/>
                <w:lang w:val="en-US"/>
              </w:rPr>
            </w:pPr>
            <w:r w:rsidRPr="006E68B2">
              <w:rPr>
                <w:rFonts w:ascii="Arial" w:hAnsi="Arial" w:cs="Arial"/>
                <w:b/>
                <w:bCs/>
                <w:lang w:val="en-US"/>
              </w:rPr>
              <w:t xml:space="preserve">Model 3: Adjusted for age, </w:t>
            </w:r>
            <w:proofErr w:type="gramStart"/>
            <w:r w:rsidRPr="006E68B2">
              <w:rPr>
                <w:rFonts w:ascii="Arial" w:hAnsi="Arial" w:cs="Arial"/>
                <w:b/>
                <w:bCs/>
                <w:lang w:val="en-US"/>
              </w:rPr>
              <w:t>sex</w:t>
            </w:r>
            <w:proofErr w:type="gramEnd"/>
            <w:r w:rsidRPr="006E68B2">
              <w:rPr>
                <w:rFonts w:ascii="Arial" w:hAnsi="Arial" w:cs="Arial"/>
                <w:b/>
                <w:bCs/>
                <w:lang w:val="en-US"/>
              </w:rPr>
              <w:t xml:space="preserve"> and co-morbidities*</w:t>
            </w:r>
          </w:p>
        </w:tc>
      </w:tr>
      <w:tr w:rsidR="00AF6AA5" w:rsidRPr="006E68B2" w14:paraId="103F56E2" w14:textId="77777777" w:rsidTr="00715B47">
        <w:tc>
          <w:tcPr>
            <w:tcW w:w="5029" w:type="dxa"/>
            <w:shd w:val="clear" w:color="auto" w:fill="FFFFFF" w:themeFill="background1"/>
          </w:tcPr>
          <w:p w14:paraId="4A88C67F" w14:textId="77777777" w:rsidR="00AF6AA5" w:rsidRPr="006E68B2" w:rsidRDefault="00AF6AA5" w:rsidP="00715B47">
            <w:pPr>
              <w:spacing w:line="360" w:lineRule="auto"/>
              <w:rPr>
                <w:rFonts w:ascii="Arial" w:hAnsi="Arial" w:cs="Arial"/>
                <w:lang w:val="en-US"/>
              </w:rPr>
            </w:pPr>
          </w:p>
        </w:tc>
        <w:tc>
          <w:tcPr>
            <w:tcW w:w="846" w:type="dxa"/>
            <w:shd w:val="clear" w:color="auto" w:fill="FFFFFF" w:themeFill="background1"/>
          </w:tcPr>
          <w:p w14:paraId="7C33C016"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OR</w:t>
            </w:r>
          </w:p>
        </w:tc>
        <w:tc>
          <w:tcPr>
            <w:tcW w:w="1401" w:type="dxa"/>
            <w:shd w:val="clear" w:color="auto" w:fill="FFFFFF" w:themeFill="background1"/>
          </w:tcPr>
          <w:p w14:paraId="685D16E8"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95 CI</w:t>
            </w:r>
          </w:p>
        </w:tc>
        <w:tc>
          <w:tcPr>
            <w:tcW w:w="896" w:type="dxa"/>
            <w:shd w:val="clear" w:color="auto" w:fill="FFFFFF" w:themeFill="background1"/>
          </w:tcPr>
          <w:p w14:paraId="5644B97E" w14:textId="77777777" w:rsidR="00AF6AA5" w:rsidRPr="006E68B2" w:rsidRDefault="00AF6AA5" w:rsidP="00715B47">
            <w:pPr>
              <w:spacing w:line="360" w:lineRule="auto"/>
              <w:jc w:val="center"/>
              <w:rPr>
                <w:rFonts w:ascii="Arial" w:hAnsi="Arial" w:cs="Arial"/>
                <w:i/>
                <w:iCs/>
                <w:lang w:val="en-US"/>
              </w:rPr>
            </w:pPr>
            <w:r w:rsidRPr="006E68B2">
              <w:rPr>
                <w:rFonts w:ascii="Arial" w:hAnsi="Arial" w:cs="Arial"/>
                <w:i/>
                <w:iCs/>
                <w:lang w:val="en-US"/>
              </w:rPr>
              <w:t>P</w:t>
            </w:r>
          </w:p>
        </w:tc>
        <w:tc>
          <w:tcPr>
            <w:tcW w:w="845" w:type="dxa"/>
            <w:shd w:val="clear" w:color="auto" w:fill="FFFFFF" w:themeFill="background1"/>
          </w:tcPr>
          <w:p w14:paraId="258CF03D"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OR</w:t>
            </w:r>
          </w:p>
        </w:tc>
        <w:tc>
          <w:tcPr>
            <w:tcW w:w="1401" w:type="dxa"/>
            <w:shd w:val="clear" w:color="auto" w:fill="FFFFFF" w:themeFill="background1"/>
          </w:tcPr>
          <w:p w14:paraId="2AE9295B"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95 CI</w:t>
            </w:r>
          </w:p>
        </w:tc>
        <w:tc>
          <w:tcPr>
            <w:tcW w:w="896" w:type="dxa"/>
            <w:shd w:val="clear" w:color="auto" w:fill="FFFFFF" w:themeFill="background1"/>
          </w:tcPr>
          <w:p w14:paraId="4DE44FB1" w14:textId="77777777" w:rsidR="00AF6AA5" w:rsidRPr="006E68B2" w:rsidRDefault="00AF6AA5" w:rsidP="00715B47">
            <w:pPr>
              <w:spacing w:line="360" w:lineRule="auto"/>
              <w:jc w:val="center"/>
              <w:rPr>
                <w:rFonts w:ascii="Arial" w:hAnsi="Arial" w:cs="Arial"/>
                <w:i/>
                <w:iCs/>
                <w:lang w:val="en-US"/>
              </w:rPr>
            </w:pPr>
            <w:r w:rsidRPr="006E68B2">
              <w:rPr>
                <w:rFonts w:ascii="Arial" w:hAnsi="Arial" w:cs="Arial"/>
                <w:i/>
                <w:iCs/>
                <w:lang w:val="en-US"/>
              </w:rPr>
              <w:t>P</w:t>
            </w:r>
          </w:p>
        </w:tc>
        <w:tc>
          <w:tcPr>
            <w:tcW w:w="848" w:type="dxa"/>
            <w:shd w:val="clear" w:color="auto" w:fill="FFFFFF" w:themeFill="background1"/>
          </w:tcPr>
          <w:p w14:paraId="4AD205A7"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OR</w:t>
            </w:r>
          </w:p>
        </w:tc>
        <w:tc>
          <w:tcPr>
            <w:tcW w:w="1401" w:type="dxa"/>
            <w:shd w:val="clear" w:color="auto" w:fill="FFFFFF" w:themeFill="background1"/>
          </w:tcPr>
          <w:p w14:paraId="762FB507"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95 CI</w:t>
            </w:r>
          </w:p>
        </w:tc>
        <w:tc>
          <w:tcPr>
            <w:tcW w:w="896" w:type="dxa"/>
            <w:shd w:val="clear" w:color="auto" w:fill="FFFFFF" w:themeFill="background1"/>
          </w:tcPr>
          <w:p w14:paraId="1F40B3D3" w14:textId="77777777" w:rsidR="00AF6AA5" w:rsidRPr="006E68B2" w:rsidRDefault="00AF6AA5" w:rsidP="00715B47">
            <w:pPr>
              <w:spacing w:line="360" w:lineRule="auto"/>
              <w:jc w:val="center"/>
              <w:rPr>
                <w:rFonts w:ascii="Arial" w:hAnsi="Arial" w:cs="Arial"/>
                <w:i/>
                <w:iCs/>
                <w:lang w:val="en-US"/>
              </w:rPr>
            </w:pPr>
            <w:r w:rsidRPr="006E68B2">
              <w:rPr>
                <w:rFonts w:ascii="Arial" w:hAnsi="Arial" w:cs="Arial"/>
                <w:i/>
                <w:iCs/>
                <w:lang w:val="en-US"/>
              </w:rPr>
              <w:t>P</w:t>
            </w:r>
          </w:p>
        </w:tc>
      </w:tr>
      <w:tr w:rsidR="00AF6AA5" w:rsidRPr="006E68B2" w14:paraId="53A9109A" w14:textId="77777777" w:rsidTr="00715B47">
        <w:tc>
          <w:tcPr>
            <w:tcW w:w="5029" w:type="dxa"/>
            <w:shd w:val="clear" w:color="auto" w:fill="FFFFFF" w:themeFill="background1"/>
          </w:tcPr>
          <w:p w14:paraId="68F4DC8A" w14:textId="77777777" w:rsidR="00AF6AA5" w:rsidRPr="006E68B2" w:rsidRDefault="00AF6AA5" w:rsidP="00715B47">
            <w:pPr>
              <w:spacing w:line="360" w:lineRule="auto"/>
              <w:rPr>
                <w:rFonts w:ascii="Arial" w:hAnsi="Arial" w:cs="Arial"/>
                <w:b/>
                <w:bCs/>
                <w:lang w:val="en-US"/>
              </w:rPr>
            </w:pPr>
            <w:r w:rsidRPr="006E68B2">
              <w:rPr>
                <w:rFonts w:ascii="Arial" w:hAnsi="Arial" w:cs="Arial"/>
                <w:b/>
                <w:bCs/>
                <w:lang w:val="en-US"/>
              </w:rPr>
              <w:t>Hospital LOS ≥1 week</w:t>
            </w:r>
          </w:p>
        </w:tc>
        <w:tc>
          <w:tcPr>
            <w:tcW w:w="846" w:type="dxa"/>
            <w:shd w:val="clear" w:color="auto" w:fill="FFFFFF" w:themeFill="background1"/>
          </w:tcPr>
          <w:p w14:paraId="14BD7C11" w14:textId="77777777" w:rsidR="00AF6AA5" w:rsidRPr="006E68B2" w:rsidRDefault="00AF6AA5" w:rsidP="00715B47">
            <w:pPr>
              <w:spacing w:line="360" w:lineRule="auto"/>
              <w:jc w:val="center"/>
              <w:rPr>
                <w:rFonts w:ascii="Arial" w:hAnsi="Arial" w:cs="Arial"/>
                <w:lang w:val="en-US"/>
              </w:rPr>
            </w:pPr>
          </w:p>
        </w:tc>
        <w:tc>
          <w:tcPr>
            <w:tcW w:w="1401" w:type="dxa"/>
            <w:shd w:val="clear" w:color="auto" w:fill="FFFFFF" w:themeFill="background1"/>
          </w:tcPr>
          <w:p w14:paraId="444D5B29" w14:textId="77777777" w:rsidR="00AF6AA5" w:rsidRPr="006E68B2" w:rsidRDefault="00AF6AA5" w:rsidP="00715B47">
            <w:pPr>
              <w:spacing w:line="360" w:lineRule="auto"/>
              <w:jc w:val="center"/>
              <w:rPr>
                <w:rFonts w:ascii="Arial" w:hAnsi="Arial" w:cs="Arial"/>
                <w:lang w:val="en-US"/>
              </w:rPr>
            </w:pPr>
          </w:p>
        </w:tc>
        <w:tc>
          <w:tcPr>
            <w:tcW w:w="896" w:type="dxa"/>
            <w:shd w:val="clear" w:color="auto" w:fill="FFFFFF" w:themeFill="background1"/>
          </w:tcPr>
          <w:p w14:paraId="66AF1C91" w14:textId="77777777" w:rsidR="00AF6AA5" w:rsidRPr="006E68B2" w:rsidRDefault="00AF6AA5" w:rsidP="00715B47">
            <w:pPr>
              <w:spacing w:line="360" w:lineRule="auto"/>
              <w:jc w:val="center"/>
              <w:rPr>
                <w:rFonts w:ascii="Arial" w:hAnsi="Arial" w:cs="Arial"/>
                <w:lang w:val="en-US"/>
              </w:rPr>
            </w:pPr>
          </w:p>
        </w:tc>
        <w:tc>
          <w:tcPr>
            <w:tcW w:w="845" w:type="dxa"/>
            <w:shd w:val="clear" w:color="auto" w:fill="FFFFFF" w:themeFill="background1"/>
          </w:tcPr>
          <w:p w14:paraId="66E7DD5C" w14:textId="77777777" w:rsidR="00AF6AA5" w:rsidRPr="006E68B2" w:rsidRDefault="00AF6AA5" w:rsidP="00715B47">
            <w:pPr>
              <w:spacing w:line="360" w:lineRule="auto"/>
              <w:jc w:val="center"/>
              <w:rPr>
                <w:rFonts w:ascii="Arial" w:hAnsi="Arial" w:cs="Arial"/>
                <w:lang w:val="en-US"/>
              </w:rPr>
            </w:pPr>
          </w:p>
        </w:tc>
        <w:tc>
          <w:tcPr>
            <w:tcW w:w="1401" w:type="dxa"/>
            <w:shd w:val="clear" w:color="auto" w:fill="FFFFFF" w:themeFill="background1"/>
          </w:tcPr>
          <w:p w14:paraId="682407D5" w14:textId="77777777" w:rsidR="00AF6AA5" w:rsidRPr="006E68B2" w:rsidRDefault="00AF6AA5" w:rsidP="00715B47">
            <w:pPr>
              <w:spacing w:line="360" w:lineRule="auto"/>
              <w:jc w:val="center"/>
              <w:rPr>
                <w:rFonts w:ascii="Arial" w:hAnsi="Arial" w:cs="Arial"/>
                <w:lang w:val="en-US"/>
              </w:rPr>
            </w:pPr>
          </w:p>
        </w:tc>
        <w:tc>
          <w:tcPr>
            <w:tcW w:w="896" w:type="dxa"/>
            <w:shd w:val="clear" w:color="auto" w:fill="FFFFFF" w:themeFill="background1"/>
          </w:tcPr>
          <w:p w14:paraId="494D686B" w14:textId="77777777" w:rsidR="00AF6AA5" w:rsidRPr="006E68B2" w:rsidRDefault="00AF6AA5" w:rsidP="00715B47">
            <w:pPr>
              <w:spacing w:line="360" w:lineRule="auto"/>
              <w:jc w:val="center"/>
              <w:rPr>
                <w:rFonts w:ascii="Arial" w:hAnsi="Arial" w:cs="Arial"/>
                <w:lang w:val="en-US"/>
              </w:rPr>
            </w:pPr>
          </w:p>
        </w:tc>
        <w:tc>
          <w:tcPr>
            <w:tcW w:w="848" w:type="dxa"/>
            <w:shd w:val="clear" w:color="auto" w:fill="FFFFFF" w:themeFill="background1"/>
          </w:tcPr>
          <w:p w14:paraId="39ABBC3E" w14:textId="77777777" w:rsidR="00AF6AA5" w:rsidRPr="006E68B2" w:rsidRDefault="00AF6AA5" w:rsidP="00715B47">
            <w:pPr>
              <w:spacing w:line="360" w:lineRule="auto"/>
              <w:jc w:val="center"/>
              <w:rPr>
                <w:rFonts w:ascii="Arial" w:hAnsi="Arial" w:cs="Arial"/>
                <w:lang w:val="en-US"/>
              </w:rPr>
            </w:pPr>
          </w:p>
        </w:tc>
        <w:tc>
          <w:tcPr>
            <w:tcW w:w="1401" w:type="dxa"/>
            <w:shd w:val="clear" w:color="auto" w:fill="FFFFFF" w:themeFill="background1"/>
          </w:tcPr>
          <w:p w14:paraId="0C617B88" w14:textId="77777777" w:rsidR="00AF6AA5" w:rsidRPr="006E68B2" w:rsidRDefault="00AF6AA5" w:rsidP="00715B47">
            <w:pPr>
              <w:spacing w:line="360" w:lineRule="auto"/>
              <w:jc w:val="center"/>
              <w:rPr>
                <w:rFonts w:ascii="Arial" w:hAnsi="Arial" w:cs="Arial"/>
                <w:lang w:val="en-US"/>
              </w:rPr>
            </w:pPr>
          </w:p>
        </w:tc>
        <w:tc>
          <w:tcPr>
            <w:tcW w:w="896" w:type="dxa"/>
            <w:shd w:val="clear" w:color="auto" w:fill="FFFFFF" w:themeFill="background1"/>
          </w:tcPr>
          <w:p w14:paraId="12CCBE31" w14:textId="77777777" w:rsidR="00AF6AA5" w:rsidRPr="006E68B2" w:rsidRDefault="00AF6AA5" w:rsidP="00715B47">
            <w:pPr>
              <w:spacing w:line="360" w:lineRule="auto"/>
              <w:jc w:val="center"/>
              <w:rPr>
                <w:rFonts w:ascii="Arial" w:hAnsi="Arial" w:cs="Arial"/>
                <w:lang w:val="en-US"/>
              </w:rPr>
            </w:pPr>
          </w:p>
        </w:tc>
      </w:tr>
      <w:tr w:rsidR="00AF6AA5" w:rsidRPr="006E68B2" w14:paraId="74ECE870" w14:textId="77777777" w:rsidTr="00715B47">
        <w:tc>
          <w:tcPr>
            <w:tcW w:w="5029" w:type="dxa"/>
            <w:shd w:val="clear" w:color="auto" w:fill="FFFFFF" w:themeFill="background1"/>
          </w:tcPr>
          <w:p w14:paraId="17EEC3A2" w14:textId="77777777" w:rsidR="00AF6AA5" w:rsidRPr="006E68B2" w:rsidRDefault="00AF6AA5" w:rsidP="00715B47">
            <w:pPr>
              <w:spacing w:line="360" w:lineRule="auto"/>
              <w:ind w:firstLine="171"/>
              <w:rPr>
                <w:rFonts w:ascii="Arial" w:hAnsi="Arial" w:cs="Arial"/>
                <w:lang w:val="en-US"/>
              </w:rPr>
            </w:pPr>
            <w:r w:rsidRPr="006E68B2">
              <w:rPr>
                <w:rFonts w:ascii="Arial" w:hAnsi="Arial" w:cs="Arial"/>
                <w:lang w:val="en-US"/>
              </w:rPr>
              <w:t>Level-1 (reference)</w:t>
            </w:r>
          </w:p>
        </w:tc>
        <w:tc>
          <w:tcPr>
            <w:tcW w:w="846" w:type="dxa"/>
            <w:shd w:val="clear" w:color="auto" w:fill="FFFFFF" w:themeFill="background1"/>
          </w:tcPr>
          <w:p w14:paraId="3DD3CF9B"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1</w:t>
            </w:r>
          </w:p>
        </w:tc>
        <w:tc>
          <w:tcPr>
            <w:tcW w:w="1401" w:type="dxa"/>
            <w:shd w:val="clear" w:color="auto" w:fill="FFFFFF" w:themeFill="background1"/>
          </w:tcPr>
          <w:p w14:paraId="01D0382B"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96" w:type="dxa"/>
            <w:shd w:val="clear" w:color="auto" w:fill="FFFFFF" w:themeFill="background1"/>
          </w:tcPr>
          <w:p w14:paraId="2C076858"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45" w:type="dxa"/>
            <w:shd w:val="clear" w:color="auto" w:fill="FFFFFF" w:themeFill="background1"/>
          </w:tcPr>
          <w:p w14:paraId="333ABD95"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1</w:t>
            </w:r>
          </w:p>
        </w:tc>
        <w:tc>
          <w:tcPr>
            <w:tcW w:w="1401" w:type="dxa"/>
            <w:shd w:val="clear" w:color="auto" w:fill="FFFFFF" w:themeFill="background1"/>
          </w:tcPr>
          <w:p w14:paraId="6F87BDCA"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96" w:type="dxa"/>
            <w:shd w:val="clear" w:color="auto" w:fill="FFFFFF" w:themeFill="background1"/>
          </w:tcPr>
          <w:p w14:paraId="4588E538"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48" w:type="dxa"/>
            <w:shd w:val="clear" w:color="auto" w:fill="FFFFFF" w:themeFill="background1"/>
          </w:tcPr>
          <w:p w14:paraId="2FCE727B"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1</w:t>
            </w:r>
          </w:p>
        </w:tc>
        <w:tc>
          <w:tcPr>
            <w:tcW w:w="1401" w:type="dxa"/>
            <w:shd w:val="clear" w:color="auto" w:fill="FFFFFF" w:themeFill="background1"/>
          </w:tcPr>
          <w:p w14:paraId="1E0AAA0F"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w:t>
            </w:r>
          </w:p>
        </w:tc>
        <w:tc>
          <w:tcPr>
            <w:tcW w:w="896" w:type="dxa"/>
            <w:shd w:val="clear" w:color="auto" w:fill="FFFFFF" w:themeFill="background1"/>
          </w:tcPr>
          <w:p w14:paraId="1A2ABEF8"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w:t>
            </w:r>
          </w:p>
        </w:tc>
      </w:tr>
      <w:tr w:rsidR="00AF6AA5" w:rsidRPr="006E68B2" w14:paraId="7DC58C80" w14:textId="77777777" w:rsidTr="00715B47">
        <w:tc>
          <w:tcPr>
            <w:tcW w:w="5029" w:type="dxa"/>
            <w:shd w:val="clear" w:color="auto" w:fill="FFFFFF" w:themeFill="background1"/>
          </w:tcPr>
          <w:p w14:paraId="3F9E014E" w14:textId="77777777" w:rsidR="00AF6AA5" w:rsidRPr="006E68B2" w:rsidRDefault="00AF6AA5" w:rsidP="00715B47">
            <w:pPr>
              <w:spacing w:line="360" w:lineRule="auto"/>
              <w:ind w:firstLine="171"/>
              <w:rPr>
                <w:rFonts w:ascii="Arial" w:hAnsi="Arial" w:cs="Arial"/>
                <w:lang w:val="en-US"/>
              </w:rPr>
            </w:pPr>
            <w:r w:rsidRPr="006E68B2">
              <w:rPr>
                <w:rFonts w:ascii="Arial" w:hAnsi="Arial" w:cs="Arial"/>
                <w:lang w:val="en-US"/>
              </w:rPr>
              <w:t>Level-2</w:t>
            </w:r>
          </w:p>
        </w:tc>
        <w:tc>
          <w:tcPr>
            <w:tcW w:w="846" w:type="dxa"/>
            <w:shd w:val="clear" w:color="auto" w:fill="FFFFFF" w:themeFill="background1"/>
          </w:tcPr>
          <w:p w14:paraId="2BA4E77A"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2.7</w:t>
            </w:r>
          </w:p>
        </w:tc>
        <w:tc>
          <w:tcPr>
            <w:tcW w:w="1401" w:type="dxa"/>
            <w:shd w:val="clear" w:color="auto" w:fill="FFFFFF" w:themeFill="background1"/>
          </w:tcPr>
          <w:p w14:paraId="7050FA80"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1.9-3.7</w:t>
            </w:r>
          </w:p>
        </w:tc>
        <w:tc>
          <w:tcPr>
            <w:tcW w:w="896" w:type="dxa"/>
            <w:shd w:val="clear" w:color="auto" w:fill="FFFFFF" w:themeFill="background1"/>
          </w:tcPr>
          <w:p w14:paraId="6DA6EFC4"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&lt;0.001</w:t>
            </w:r>
          </w:p>
        </w:tc>
        <w:tc>
          <w:tcPr>
            <w:tcW w:w="845" w:type="dxa"/>
            <w:shd w:val="clear" w:color="auto" w:fill="FFFFFF" w:themeFill="background1"/>
          </w:tcPr>
          <w:p w14:paraId="3849285E"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2.3</w:t>
            </w:r>
          </w:p>
        </w:tc>
        <w:tc>
          <w:tcPr>
            <w:tcW w:w="1401" w:type="dxa"/>
            <w:shd w:val="clear" w:color="auto" w:fill="FFFFFF" w:themeFill="background1"/>
          </w:tcPr>
          <w:p w14:paraId="699E62DB"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1.7-3.3</w:t>
            </w:r>
          </w:p>
        </w:tc>
        <w:tc>
          <w:tcPr>
            <w:tcW w:w="896" w:type="dxa"/>
            <w:shd w:val="clear" w:color="auto" w:fill="FFFFFF" w:themeFill="background1"/>
          </w:tcPr>
          <w:p w14:paraId="7C435B0C"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&lt;0.001</w:t>
            </w:r>
          </w:p>
        </w:tc>
        <w:tc>
          <w:tcPr>
            <w:tcW w:w="848" w:type="dxa"/>
            <w:shd w:val="clear" w:color="auto" w:fill="FFFFFF" w:themeFill="background1"/>
          </w:tcPr>
          <w:p w14:paraId="3F08E65A"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lang w:val="en-US"/>
              </w:rPr>
              <w:t>2.0</w:t>
            </w:r>
          </w:p>
        </w:tc>
        <w:tc>
          <w:tcPr>
            <w:tcW w:w="1401" w:type="dxa"/>
            <w:shd w:val="clear" w:color="auto" w:fill="FFFFFF" w:themeFill="background1"/>
          </w:tcPr>
          <w:p w14:paraId="5379E26F"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lang w:val="en-US"/>
              </w:rPr>
              <w:t>1.4-2.9</w:t>
            </w:r>
          </w:p>
        </w:tc>
        <w:tc>
          <w:tcPr>
            <w:tcW w:w="896" w:type="dxa"/>
            <w:shd w:val="clear" w:color="auto" w:fill="FFFFFF" w:themeFill="background1"/>
          </w:tcPr>
          <w:p w14:paraId="05F0B111"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&lt;0.001</w:t>
            </w:r>
          </w:p>
        </w:tc>
      </w:tr>
      <w:tr w:rsidR="00AF6AA5" w:rsidRPr="006E68B2" w14:paraId="1A10F9DB" w14:textId="77777777" w:rsidTr="00715B47">
        <w:tc>
          <w:tcPr>
            <w:tcW w:w="5029" w:type="dxa"/>
            <w:shd w:val="clear" w:color="auto" w:fill="FFFFFF" w:themeFill="background1"/>
          </w:tcPr>
          <w:p w14:paraId="1EABF49A" w14:textId="77777777" w:rsidR="00AF6AA5" w:rsidRPr="006E68B2" w:rsidRDefault="00AF6AA5" w:rsidP="00715B47">
            <w:pPr>
              <w:spacing w:line="360" w:lineRule="auto"/>
              <w:ind w:firstLine="171"/>
              <w:rPr>
                <w:rFonts w:ascii="Arial" w:hAnsi="Arial" w:cs="Arial"/>
                <w:lang w:val="en-US"/>
              </w:rPr>
            </w:pPr>
            <w:r w:rsidRPr="006E68B2">
              <w:rPr>
                <w:rFonts w:ascii="Arial" w:hAnsi="Arial" w:cs="Arial"/>
                <w:lang w:val="en-US"/>
              </w:rPr>
              <w:t>Level-3</w:t>
            </w:r>
          </w:p>
        </w:tc>
        <w:tc>
          <w:tcPr>
            <w:tcW w:w="846" w:type="dxa"/>
            <w:shd w:val="clear" w:color="auto" w:fill="FFFFFF" w:themeFill="background1"/>
          </w:tcPr>
          <w:p w14:paraId="45D37337"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3.5</w:t>
            </w:r>
          </w:p>
        </w:tc>
        <w:tc>
          <w:tcPr>
            <w:tcW w:w="1401" w:type="dxa"/>
            <w:shd w:val="clear" w:color="auto" w:fill="FFFFFF" w:themeFill="background1"/>
          </w:tcPr>
          <w:p w14:paraId="5BF7D274"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2.4-4.9</w:t>
            </w:r>
          </w:p>
        </w:tc>
        <w:tc>
          <w:tcPr>
            <w:tcW w:w="896" w:type="dxa"/>
            <w:shd w:val="clear" w:color="auto" w:fill="FFFFFF" w:themeFill="background1"/>
          </w:tcPr>
          <w:p w14:paraId="4D51A54D"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&lt;0.001</w:t>
            </w:r>
          </w:p>
        </w:tc>
        <w:tc>
          <w:tcPr>
            <w:tcW w:w="845" w:type="dxa"/>
            <w:shd w:val="clear" w:color="auto" w:fill="FFFFFF" w:themeFill="background1"/>
          </w:tcPr>
          <w:p w14:paraId="503F49CC"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3.0</w:t>
            </w:r>
          </w:p>
        </w:tc>
        <w:tc>
          <w:tcPr>
            <w:tcW w:w="1401" w:type="dxa"/>
            <w:shd w:val="clear" w:color="auto" w:fill="FFFFFF" w:themeFill="background1"/>
          </w:tcPr>
          <w:p w14:paraId="26FEF43F"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2.1-4.3</w:t>
            </w:r>
          </w:p>
        </w:tc>
        <w:tc>
          <w:tcPr>
            <w:tcW w:w="896" w:type="dxa"/>
            <w:shd w:val="clear" w:color="auto" w:fill="FFFFFF" w:themeFill="background1"/>
          </w:tcPr>
          <w:p w14:paraId="1DECE643"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&lt;0.001</w:t>
            </w:r>
          </w:p>
        </w:tc>
        <w:tc>
          <w:tcPr>
            <w:tcW w:w="848" w:type="dxa"/>
            <w:shd w:val="clear" w:color="auto" w:fill="FFFFFF" w:themeFill="background1"/>
          </w:tcPr>
          <w:p w14:paraId="244A55DC"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lang w:val="en-US"/>
              </w:rPr>
              <w:t>2.5</w:t>
            </w:r>
          </w:p>
        </w:tc>
        <w:tc>
          <w:tcPr>
            <w:tcW w:w="1401" w:type="dxa"/>
            <w:shd w:val="clear" w:color="auto" w:fill="FFFFFF" w:themeFill="background1"/>
          </w:tcPr>
          <w:p w14:paraId="52CC9144"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lang w:val="en-US"/>
              </w:rPr>
              <w:t>1.7-3.7</w:t>
            </w:r>
          </w:p>
        </w:tc>
        <w:tc>
          <w:tcPr>
            <w:tcW w:w="896" w:type="dxa"/>
            <w:shd w:val="clear" w:color="auto" w:fill="FFFFFF" w:themeFill="background1"/>
          </w:tcPr>
          <w:p w14:paraId="0CEDCE53"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&lt;0.001</w:t>
            </w:r>
          </w:p>
        </w:tc>
      </w:tr>
      <w:tr w:rsidR="00AF6AA5" w:rsidRPr="006E68B2" w14:paraId="0A8EE232" w14:textId="77777777" w:rsidTr="00715B47">
        <w:tc>
          <w:tcPr>
            <w:tcW w:w="5029" w:type="dxa"/>
            <w:shd w:val="clear" w:color="auto" w:fill="FFFFFF" w:themeFill="background1"/>
          </w:tcPr>
          <w:p w14:paraId="184E06C6" w14:textId="77777777" w:rsidR="00AF6AA5" w:rsidRPr="006E68B2" w:rsidRDefault="00AF6AA5" w:rsidP="00715B47">
            <w:pPr>
              <w:spacing w:line="360" w:lineRule="auto"/>
              <w:rPr>
                <w:rFonts w:ascii="Arial" w:hAnsi="Arial" w:cs="Arial"/>
                <w:b/>
                <w:bCs/>
                <w:lang w:val="en-US"/>
              </w:rPr>
            </w:pPr>
            <w:r w:rsidRPr="006E68B2">
              <w:rPr>
                <w:rFonts w:ascii="Arial" w:hAnsi="Arial" w:cs="Arial"/>
                <w:b/>
                <w:bCs/>
                <w:lang w:val="en-US"/>
              </w:rPr>
              <w:t>Hospital LOS ≥2 weeks</w:t>
            </w:r>
          </w:p>
        </w:tc>
        <w:tc>
          <w:tcPr>
            <w:tcW w:w="846" w:type="dxa"/>
            <w:shd w:val="clear" w:color="auto" w:fill="FFFFFF" w:themeFill="background1"/>
          </w:tcPr>
          <w:p w14:paraId="0466A6F6" w14:textId="77777777" w:rsidR="00AF6AA5" w:rsidRPr="006E68B2" w:rsidRDefault="00AF6AA5" w:rsidP="00715B47">
            <w:pPr>
              <w:spacing w:line="360" w:lineRule="auto"/>
              <w:jc w:val="center"/>
              <w:rPr>
                <w:rFonts w:ascii="Arial" w:hAnsi="Arial" w:cs="Arial"/>
                <w:lang w:val="en-US"/>
              </w:rPr>
            </w:pPr>
          </w:p>
        </w:tc>
        <w:tc>
          <w:tcPr>
            <w:tcW w:w="1401" w:type="dxa"/>
            <w:shd w:val="clear" w:color="auto" w:fill="FFFFFF" w:themeFill="background1"/>
          </w:tcPr>
          <w:p w14:paraId="711FD45A" w14:textId="77777777" w:rsidR="00AF6AA5" w:rsidRPr="006E68B2" w:rsidRDefault="00AF6AA5" w:rsidP="00715B47">
            <w:pPr>
              <w:spacing w:line="360" w:lineRule="auto"/>
              <w:jc w:val="center"/>
              <w:rPr>
                <w:rFonts w:ascii="Arial" w:hAnsi="Arial" w:cs="Arial"/>
                <w:lang w:val="en-US"/>
              </w:rPr>
            </w:pPr>
          </w:p>
        </w:tc>
        <w:tc>
          <w:tcPr>
            <w:tcW w:w="896" w:type="dxa"/>
            <w:shd w:val="clear" w:color="auto" w:fill="FFFFFF" w:themeFill="background1"/>
          </w:tcPr>
          <w:p w14:paraId="6D22683E" w14:textId="77777777" w:rsidR="00AF6AA5" w:rsidRPr="006E68B2" w:rsidRDefault="00AF6AA5" w:rsidP="00715B47">
            <w:pPr>
              <w:spacing w:line="360" w:lineRule="auto"/>
              <w:jc w:val="center"/>
              <w:rPr>
                <w:rFonts w:ascii="Arial" w:hAnsi="Arial" w:cs="Arial"/>
                <w:lang w:val="en-US"/>
              </w:rPr>
            </w:pPr>
          </w:p>
        </w:tc>
        <w:tc>
          <w:tcPr>
            <w:tcW w:w="845" w:type="dxa"/>
            <w:shd w:val="clear" w:color="auto" w:fill="FFFFFF" w:themeFill="background1"/>
          </w:tcPr>
          <w:p w14:paraId="5C0613EC" w14:textId="77777777" w:rsidR="00AF6AA5" w:rsidRPr="006E68B2" w:rsidRDefault="00AF6AA5" w:rsidP="00715B47">
            <w:pPr>
              <w:spacing w:line="360" w:lineRule="auto"/>
              <w:jc w:val="center"/>
              <w:rPr>
                <w:rFonts w:ascii="Arial" w:hAnsi="Arial" w:cs="Arial"/>
                <w:lang w:val="en-US"/>
              </w:rPr>
            </w:pPr>
          </w:p>
        </w:tc>
        <w:tc>
          <w:tcPr>
            <w:tcW w:w="1401" w:type="dxa"/>
            <w:shd w:val="clear" w:color="auto" w:fill="FFFFFF" w:themeFill="background1"/>
          </w:tcPr>
          <w:p w14:paraId="7037393F" w14:textId="77777777" w:rsidR="00AF6AA5" w:rsidRPr="006E68B2" w:rsidRDefault="00AF6AA5" w:rsidP="00715B47">
            <w:pPr>
              <w:spacing w:line="360" w:lineRule="auto"/>
              <w:jc w:val="center"/>
              <w:rPr>
                <w:rFonts w:ascii="Arial" w:hAnsi="Arial" w:cs="Arial"/>
                <w:lang w:val="en-US"/>
              </w:rPr>
            </w:pPr>
          </w:p>
        </w:tc>
        <w:tc>
          <w:tcPr>
            <w:tcW w:w="896" w:type="dxa"/>
            <w:shd w:val="clear" w:color="auto" w:fill="FFFFFF" w:themeFill="background1"/>
          </w:tcPr>
          <w:p w14:paraId="119C110A" w14:textId="77777777" w:rsidR="00AF6AA5" w:rsidRPr="006E68B2" w:rsidRDefault="00AF6AA5" w:rsidP="00715B47">
            <w:pPr>
              <w:spacing w:line="360" w:lineRule="auto"/>
              <w:jc w:val="center"/>
              <w:rPr>
                <w:rFonts w:ascii="Arial" w:hAnsi="Arial" w:cs="Arial"/>
                <w:lang w:val="en-US"/>
              </w:rPr>
            </w:pPr>
          </w:p>
        </w:tc>
        <w:tc>
          <w:tcPr>
            <w:tcW w:w="848" w:type="dxa"/>
            <w:shd w:val="clear" w:color="auto" w:fill="FFFFFF" w:themeFill="background1"/>
          </w:tcPr>
          <w:p w14:paraId="2B465685" w14:textId="77777777" w:rsidR="00AF6AA5" w:rsidRPr="006E68B2" w:rsidRDefault="00AF6AA5" w:rsidP="00715B47">
            <w:pPr>
              <w:spacing w:line="360" w:lineRule="auto"/>
              <w:jc w:val="center"/>
              <w:rPr>
                <w:rFonts w:ascii="Arial" w:hAnsi="Arial" w:cs="Arial"/>
                <w:lang w:val="en-US"/>
              </w:rPr>
            </w:pPr>
          </w:p>
        </w:tc>
        <w:tc>
          <w:tcPr>
            <w:tcW w:w="1401" w:type="dxa"/>
            <w:shd w:val="clear" w:color="auto" w:fill="FFFFFF" w:themeFill="background1"/>
          </w:tcPr>
          <w:p w14:paraId="4471F466" w14:textId="77777777" w:rsidR="00AF6AA5" w:rsidRPr="006E68B2" w:rsidRDefault="00AF6AA5" w:rsidP="00715B47">
            <w:pPr>
              <w:spacing w:line="360" w:lineRule="auto"/>
              <w:jc w:val="center"/>
              <w:rPr>
                <w:rFonts w:ascii="Arial" w:hAnsi="Arial" w:cs="Arial"/>
                <w:lang w:val="en-US"/>
              </w:rPr>
            </w:pPr>
          </w:p>
        </w:tc>
        <w:tc>
          <w:tcPr>
            <w:tcW w:w="896" w:type="dxa"/>
            <w:shd w:val="clear" w:color="auto" w:fill="FFFFFF" w:themeFill="background1"/>
          </w:tcPr>
          <w:p w14:paraId="62B9BCDA" w14:textId="77777777" w:rsidR="00AF6AA5" w:rsidRPr="006E68B2" w:rsidRDefault="00AF6AA5" w:rsidP="00715B47">
            <w:pPr>
              <w:spacing w:line="360" w:lineRule="auto"/>
              <w:jc w:val="center"/>
              <w:rPr>
                <w:rFonts w:ascii="Arial" w:hAnsi="Arial" w:cs="Arial"/>
                <w:lang w:val="en-US"/>
              </w:rPr>
            </w:pPr>
          </w:p>
        </w:tc>
      </w:tr>
      <w:tr w:rsidR="00AF6AA5" w:rsidRPr="006E68B2" w14:paraId="33072275" w14:textId="77777777" w:rsidTr="00715B47">
        <w:tc>
          <w:tcPr>
            <w:tcW w:w="5029" w:type="dxa"/>
            <w:shd w:val="clear" w:color="auto" w:fill="FFFFFF" w:themeFill="background1"/>
          </w:tcPr>
          <w:p w14:paraId="26885A54" w14:textId="77777777" w:rsidR="00AF6AA5" w:rsidRPr="006E68B2" w:rsidRDefault="00AF6AA5" w:rsidP="00715B47">
            <w:pPr>
              <w:spacing w:line="360" w:lineRule="auto"/>
              <w:ind w:firstLine="171"/>
              <w:rPr>
                <w:rFonts w:ascii="Arial" w:hAnsi="Arial" w:cs="Arial"/>
                <w:lang w:val="en-US"/>
              </w:rPr>
            </w:pPr>
            <w:r w:rsidRPr="006E68B2">
              <w:rPr>
                <w:rFonts w:ascii="Arial" w:hAnsi="Arial" w:cs="Arial"/>
                <w:lang w:val="en-US"/>
              </w:rPr>
              <w:t>Level-1 (reference)</w:t>
            </w:r>
          </w:p>
        </w:tc>
        <w:tc>
          <w:tcPr>
            <w:tcW w:w="846" w:type="dxa"/>
            <w:shd w:val="clear" w:color="auto" w:fill="FFFFFF" w:themeFill="background1"/>
          </w:tcPr>
          <w:p w14:paraId="57FE0AE7"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1</w:t>
            </w:r>
          </w:p>
        </w:tc>
        <w:tc>
          <w:tcPr>
            <w:tcW w:w="1401" w:type="dxa"/>
            <w:shd w:val="clear" w:color="auto" w:fill="FFFFFF" w:themeFill="background1"/>
          </w:tcPr>
          <w:p w14:paraId="47F51736"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96" w:type="dxa"/>
            <w:shd w:val="clear" w:color="auto" w:fill="FFFFFF" w:themeFill="background1"/>
          </w:tcPr>
          <w:p w14:paraId="20883D8C"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45" w:type="dxa"/>
            <w:shd w:val="clear" w:color="auto" w:fill="FFFFFF" w:themeFill="background1"/>
          </w:tcPr>
          <w:p w14:paraId="25ADEFEA"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1</w:t>
            </w:r>
          </w:p>
        </w:tc>
        <w:tc>
          <w:tcPr>
            <w:tcW w:w="1401" w:type="dxa"/>
            <w:shd w:val="clear" w:color="auto" w:fill="FFFFFF" w:themeFill="background1"/>
          </w:tcPr>
          <w:p w14:paraId="1CD9A57F"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96" w:type="dxa"/>
            <w:shd w:val="clear" w:color="auto" w:fill="FFFFFF" w:themeFill="background1"/>
          </w:tcPr>
          <w:p w14:paraId="64AEC988"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48" w:type="dxa"/>
            <w:shd w:val="clear" w:color="auto" w:fill="FFFFFF" w:themeFill="background1"/>
          </w:tcPr>
          <w:p w14:paraId="207662CA"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1</w:t>
            </w:r>
          </w:p>
        </w:tc>
        <w:tc>
          <w:tcPr>
            <w:tcW w:w="1401" w:type="dxa"/>
            <w:shd w:val="clear" w:color="auto" w:fill="FFFFFF" w:themeFill="background1"/>
          </w:tcPr>
          <w:p w14:paraId="78B8A6F0"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w:t>
            </w:r>
          </w:p>
        </w:tc>
        <w:tc>
          <w:tcPr>
            <w:tcW w:w="896" w:type="dxa"/>
            <w:shd w:val="clear" w:color="auto" w:fill="FFFFFF" w:themeFill="background1"/>
          </w:tcPr>
          <w:p w14:paraId="5EE930EF"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w:t>
            </w:r>
          </w:p>
        </w:tc>
      </w:tr>
      <w:tr w:rsidR="00AF6AA5" w:rsidRPr="006E68B2" w14:paraId="05D53ABC" w14:textId="77777777" w:rsidTr="00715B47">
        <w:tc>
          <w:tcPr>
            <w:tcW w:w="5029" w:type="dxa"/>
            <w:shd w:val="clear" w:color="auto" w:fill="FFFFFF" w:themeFill="background1"/>
          </w:tcPr>
          <w:p w14:paraId="33C1AFFB" w14:textId="77777777" w:rsidR="00AF6AA5" w:rsidRPr="006E68B2" w:rsidRDefault="00AF6AA5" w:rsidP="00715B47">
            <w:pPr>
              <w:spacing w:line="360" w:lineRule="auto"/>
              <w:ind w:firstLine="171"/>
              <w:rPr>
                <w:rFonts w:ascii="Arial" w:hAnsi="Arial" w:cs="Arial"/>
                <w:lang w:val="en-US"/>
              </w:rPr>
            </w:pPr>
            <w:r w:rsidRPr="006E68B2">
              <w:rPr>
                <w:rFonts w:ascii="Arial" w:hAnsi="Arial" w:cs="Arial"/>
                <w:lang w:val="en-US"/>
              </w:rPr>
              <w:t>Level-2</w:t>
            </w:r>
          </w:p>
        </w:tc>
        <w:tc>
          <w:tcPr>
            <w:tcW w:w="846" w:type="dxa"/>
            <w:shd w:val="clear" w:color="auto" w:fill="FFFFFF" w:themeFill="background1"/>
          </w:tcPr>
          <w:p w14:paraId="288902FB"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1.9</w:t>
            </w:r>
          </w:p>
        </w:tc>
        <w:tc>
          <w:tcPr>
            <w:tcW w:w="1401" w:type="dxa"/>
            <w:shd w:val="clear" w:color="auto" w:fill="FFFFFF" w:themeFill="background1"/>
          </w:tcPr>
          <w:p w14:paraId="2B442602"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1.3-2.7</w:t>
            </w:r>
          </w:p>
        </w:tc>
        <w:tc>
          <w:tcPr>
            <w:tcW w:w="896" w:type="dxa"/>
            <w:shd w:val="clear" w:color="auto" w:fill="FFFFFF" w:themeFill="background1"/>
          </w:tcPr>
          <w:p w14:paraId="7072F7DC"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&lt;0.001</w:t>
            </w:r>
          </w:p>
        </w:tc>
        <w:tc>
          <w:tcPr>
            <w:tcW w:w="845" w:type="dxa"/>
            <w:shd w:val="clear" w:color="auto" w:fill="FFFFFF" w:themeFill="background1"/>
          </w:tcPr>
          <w:p w14:paraId="059BAAA9"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1.6</w:t>
            </w:r>
          </w:p>
        </w:tc>
        <w:tc>
          <w:tcPr>
            <w:tcW w:w="1401" w:type="dxa"/>
            <w:shd w:val="clear" w:color="auto" w:fill="FFFFFF" w:themeFill="background1"/>
          </w:tcPr>
          <w:p w14:paraId="3FEED310"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1.1-2.3</w:t>
            </w:r>
          </w:p>
        </w:tc>
        <w:tc>
          <w:tcPr>
            <w:tcW w:w="896" w:type="dxa"/>
            <w:shd w:val="clear" w:color="auto" w:fill="FFFFFF" w:themeFill="background1"/>
          </w:tcPr>
          <w:p w14:paraId="4823D318"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0.017</w:t>
            </w:r>
          </w:p>
        </w:tc>
        <w:tc>
          <w:tcPr>
            <w:tcW w:w="848" w:type="dxa"/>
            <w:shd w:val="clear" w:color="auto" w:fill="FFFFFF" w:themeFill="background1"/>
          </w:tcPr>
          <w:p w14:paraId="21662819"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1.4</w:t>
            </w:r>
          </w:p>
        </w:tc>
        <w:tc>
          <w:tcPr>
            <w:tcW w:w="1401" w:type="dxa"/>
            <w:shd w:val="clear" w:color="auto" w:fill="FFFFFF" w:themeFill="background1"/>
          </w:tcPr>
          <w:p w14:paraId="671CFB88"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0.9-2.1</w:t>
            </w:r>
          </w:p>
        </w:tc>
        <w:tc>
          <w:tcPr>
            <w:tcW w:w="896" w:type="dxa"/>
            <w:shd w:val="clear" w:color="auto" w:fill="FFFFFF" w:themeFill="background1"/>
          </w:tcPr>
          <w:p w14:paraId="5DEA6FF0"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0.103</w:t>
            </w:r>
          </w:p>
        </w:tc>
      </w:tr>
      <w:tr w:rsidR="00AF6AA5" w:rsidRPr="006E68B2" w14:paraId="17D21C7F" w14:textId="77777777" w:rsidTr="00715B47">
        <w:tc>
          <w:tcPr>
            <w:tcW w:w="5029" w:type="dxa"/>
            <w:shd w:val="clear" w:color="auto" w:fill="FFFFFF" w:themeFill="background1"/>
          </w:tcPr>
          <w:p w14:paraId="603AEB07" w14:textId="77777777" w:rsidR="00AF6AA5" w:rsidRPr="006E68B2" w:rsidRDefault="00AF6AA5" w:rsidP="00715B47">
            <w:pPr>
              <w:spacing w:line="360" w:lineRule="auto"/>
              <w:ind w:firstLine="171"/>
              <w:rPr>
                <w:rFonts w:ascii="Arial" w:hAnsi="Arial" w:cs="Arial"/>
                <w:lang w:val="en-US"/>
              </w:rPr>
            </w:pPr>
            <w:r w:rsidRPr="006E68B2">
              <w:rPr>
                <w:rFonts w:ascii="Arial" w:hAnsi="Arial" w:cs="Arial"/>
                <w:lang w:val="en-US"/>
              </w:rPr>
              <w:t>Level-3</w:t>
            </w:r>
          </w:p>
        </w:tc>
        <w:tc>
          <w:tcPr>
            <w:tcW w:w="846" w:type="dxa"/>
            <w:shd w:val="clear" w:color="auto" w:fill="FFFFFF" w:themeFill="background1"/>
          </w:tcPr>
          <w:p w14:paraId="4F57563E"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2.5</w:t>
            </w:r>
          </w:p>
        </w:tc>
        <w:tc>
          <w:tcPr>
            <w:tcW w:w="1401" w:type="dxa"/>
            <w:shd w:val="clear" w:color="auto" w:fill="FFFFFF" w:themeFill="background1"/>
          </w:tcPr>
          <w:p w14:paraId="6494552C"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1.7-3.7</w:t>
            </w:r>
          </w:p>
        </w:tc>
        <w:tc>
          <w:tcPr>
            <w:tcW w:w="896" w:type="dxa"/>
            <w:shd w:val="clear" w:color="auto" w:fill="FFFFFF" w:themeFill="background1"/>
          </w:tcPr>
          <w:p w14:paraId="29947238"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&lt;0.001</w:t>
            </w:r>
          </w:p>
        </w:tc>
        <w:tc>
          <w:tcPr>
            <w:tcW w:w="845" w:type="dxa"/>
            <w:shd w:val="clear" w:color="auto" w:fill="FFFFFF" w:themeFill="background1"/>
          </w:tcPr>
          <w:p w14:paraId="3EEEA423"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2.1</w:t>
            </w:r>
          </w:p>
        </w:tc>
        <w:tc>
          <w:tcPr>
            <w:tcW w:w="1401" w:type="dxa"/>
            <w:shd w:val="clear" w:color="auto" w:fill="FFFFFF" w:themeFill="background1"/>
          </w:tcPr>
          <w:p w14:paraId="641BABBA"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1.4-3.1</w:t>
            </w:r>
          </w:p>
        </w:tc>
        <w:tc>
          <w:tcPr>
            <w:tcW w:w="896" w:type="dxa"/>
            <w:shd w:val="clear" w:color="auto" w:fill="FFFFFF" w:themeFill="background1"/>
          </w:tcPr>
          <w:p w14:paraId="1497F6AF"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&lt;0.001</w:t>
            </w:r>
          </w:p>
        </w:tc>
        <w:tc>
          <w:tcPr>
            <w:tcW w:w="848" w:type="dxa"/>
            <w:shd w:val="clear" w:color="auto" w:fill="FFFFFF" w:themeFill="background1"/>
          </w:tcPr>
          <w:p w14:paraId="24DF5192"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1.8</w:t>
            </w:r>
          </w:p>
        </w:tc>
        <w:tc>
          <w:tcPr>
            <w:tcW w:w="1401" w:type="dxa"/>
            <w:shd w:val="clear" w:color="auto" w:fill="FFFFFF" w:themeFill="background1"/>
          </w:tcPr>
          <w:p w14:paraId="26491825"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1.2-2.7</w:t>
            </w:r>
          </w:p>
        </w:tc>
        <w:tc>
          <w:tcPr>
            <w:tcW w:w="896" w:type="dxa"/>
            <w:shd w:val="clear" w:color="auto" w:fill="FFFFFF" w:themeFill="background1"/>
          </w:tcPr>
          <w:p w14:paraId="5D300F91"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0.004</w:t>
            </w:r>
          </w:p>
        </w:tc>
      </w:tr>
      <w:tr w:rsidR="00AF6AA5" w:rsidRPr="006E68B2" w14:paraId="63684C0F" w14:textId="77777777" w:rsidTr="00715B47">
        <w:tc>
          <w:tcPr>
            <w:tcW w:w="5029" w:type="dxa"/>
            <w:shd w:val="clear" w:color="auto" w:fill="FFFFFF" w:themeFill="background1"/>
          </w:tcPr>
          <w:p w14:paraId="729C0069" w14:textId="77777777" w:rsidR="00AF6AA5" w:rsidRPr="006E68B2" w:rsidRDefault="00AF6AA5" w:rsidP="00715B47">
            <w:pPr>
              <w:spacing w:line="360" w:lineRule="auto"/>
              <w:rPr>
                <w:rFonts w:ascii="Arial" w:hAnsi="Arial" w:cs="Arial"/>
                <w:b/>
                <w:bCs/>
                <w:lang w:val="en-US"/>
              </w:rPr>
            </w:pPr>
            <w:r w:rsidRPr="006E68B2">
              <w:rPr>
                <w:rFonts w:ascii="Arial" w:hAnsi="Arial" w:cs="Arial"/>
                <w:b/>
                <w:bCs/>
                <w:lang w:val="en-US"/>
              </w:rPr>
              <w:t>Failure to mobilise within 1-day of surgery</w:t>
            </w:r>
          </w:p>
        </w:tc>
        <w:tc>
          <w:tcPr>
            <w:tcW w:w="846" w:type="dxa"/>
            <w:shd w:val="clear" w:color="auto" w:fill="FFFFFF" w:themeFill="background1"/>
          </w:tcPr>
          <w:p w14:paraId="65C8B8E6" w14:textId="77777777" w:rsidR="00AF6AA5" w:rsidRPr="006E68B2" w:rsidRDefault="00AF6AA5" w:rsidP="00715B47">
            <w:pPr>
              <w:spacing w:line="360" w:lineRule="auto"/>
              <w:jc w:val="center"/>
              <w:rPr>
                <w:rFonts w:ascii="Arial" w:hAnsi="Arial" w:cs="Arial"/>
                <w:lang w:val="en-US"/>
              </w:rPr>
            </w:pPr>
          </w:p>
        </w:tc>
        <w:tc>
          <w:tcPr>
            <w:tcW w:w="1401" w:type="dxa"/>
            <w:shd w:val="clear" w:color="auto" w:fill="FFFFFF" w:themeFill="background1"/>
          </w:tcPr>
          <w:p w14:paraId="606A3A07" w14:textId="77777777" w:rsidR="00AF6AA5" w:rsidRPr="006E68B2" w:rsidRDefault="00AF6AA5" w:rsidP="00715B47">
            <w:pPr>
              <w:spacing w:line="360" w:lineRule="auto"/>
              <w:jc w:val="center"/>
              <w:rPr>
                <w:rFonts w:ascii="Arial" w:hAnsi="Arial" w:cs="Arial"/>
                <w:lang w:val="en-US"/>
              </w:rPr>
            </w:pPr>
          </w:p>
        </w:tc>
        <w:tc>
          <w:tcPr>
            <w:tcW w:w="896" w:type="dxa"/>
            <w:shd w:val="clear" w:color="auto" w:fill="FFFFFF" w:themeFill="background1"/>
          </w:tcPr>
          <w:p w14:paraId="6640FCA7" w14:textId="77777777" w:rsidR="00AF6AA5" w:rsidRPr="006E68B2" w:rsidRDefault="00AF6AA5" w:rsidP="00715B47">
            <w:pPr>
              <w:spacing w:line="360" w:lineRule="auto"/>
              <w:jc w:val="center"/>
              <w:rPr>
                <w:rFonts w:ascii="Arial" w:hAnsi="Arial" w:cs="Arial"/>
                <w:lang w:val="en-US"/>
              </w:rPr>
            </w:pPr>
          </w:p>
        </w:tc>
        <w:tc>
          <w:tcPr>
            <w:tcW w:w="845" w:type="dxa"/>
            <w:shd w:val="clear" w:color="auto" w:fill="FFFFFF" w:themeFill="background1"/>
          </w:tcPr>
          <w:p w14:paraId="662971E6" w14:textId="77777777" w:rsidR="00AF6AA5" w:rsidRPr="006E68B2" w:rsidRDefault="00AF6AA5" w:rsidP="00715B47">
            <w:pPr>
              <w:spacing w:line="360" w:lineRule="auto"/>
              <w:jc w:val="center"/>
              <w:rPr>
                <w:rFonts w:ascii="Arial" w:hAnsi="Arial" w:cs="Arial"/>
                <w:lang w:val="en-US"/>
              </w:rPr>
            </w:pPr>
          </w:p>
        </w:tc>
        <w:tc>
          <w:tcPr>
            <w:tcW w:w="1401" w:type="dxa"/>
            <w:shd w:val="clear" w:color="auto" w:fill="FFFFFF" w:themeFill="background1"/>
          </w:tcPr>
          <w:p w14:paraId="5F037F96" w14:textId="77777777" w:rsidR="00AF6AA5" w:rsidRPr="006E68B2" w:rsidRDefault="00AF6AA5" w:rsidP="00715B47">
            <w:pPr>
              <w:spacing w:line="360" w:lineRule="auto"/>
              <w:jc w:val="center"/>
              <w:rPr>
                <w:rFonts w:ascii="Arial" w:hAnsi="Arial" w:cs="Arial"/>
                <w:lang w:val="en-US"/>
              </w:rPr>
            </w:pPr>
          </w:p>
        </w:tc>
        <w:tc>
          <w:tcPr>
            <w:tcW w:w="896" w:type="dxa"/>
            <w:shd w:val="clear" w:color="auto" w:fill="FFFFFF" w:themeFill="background1"/>
          </w:tcPr>
          <w:p w14:paraId="24428113" w14:textId="77777777" w:rsidR="00AF6AA5" w:rsidRPr="006E68B2" w:rsidRDefault="00AF6AA5" w:rsidP="00715B47">
            <w:pPr>
              <w:spacing w:line="360" w:lineRule="auto"/>
              <w:jc w:val="center"/>
              <w:rPr>
                <w:rFonts w:ascii="Arial" w:hAnsi="Arial" w:cs="Arial"/>
                <w:lang w:val="en-US"/>
              </w:rPr>
            </w:pPr>
          </w:p>
        </w:tc>
        <w:tc>
          <w:tcPr>
            <w:tcW w:w="848" w:type="dxa"/>
            <w:shd w:val="clear" w:color="auto" w:fill="FFFFFF" w:themeFill="background1"/>
          </w:tcPr>
          <w:p w14:paraId="265E78BE" w14:textId="77777777" w:rsidR="00AF6AA5" w:rsidRPr="006E68B2" w:rsidRDefault="00AF6AA5" w:rsidP="00715B47">
            <w:pPr>
              <w:spacing w:line="360" w:lineRule="auto"/>
              <w:jc w:val="center"/>
              <w:rPr>
                <w:rFonts w:ascii="Arial" w:hAnsi="Arial" w:cs="Arial"/>
                <w:lang w:val="en-US"/>
              </w:rPr>
            </w:pPr>
          </w:p>
        </w:tc>
        <w:tc>
          <w:tcPr>
            <w:tcW w:w="1401" w:type="dxa"/>
            <w:shd w:val="clear" w:color="auto" w:fill="FFFFFF" w:themeFill="background1"/>
          </w:tcPr>
          <w:p w14:paraId="114AC567" w14:textId="77777777" w:rsidR="00AF6AA5" w:rsidRPr="006E68B2" w:rsidRDefault="00AF6AA5" w:rsidP="00715B47">
            <w:pPr>
              <w:spacing w:line="360" w:lineRule="auto"/>
              <w:jc w:val="center"/>
              <w:rPr>
                <w:rFonts w:ascii="Arial" w:hAnsi="Arial" w:cs="Arial"/>
                <w:lang w:val="en-US"/>
              </w:rPr>
            </w:pPr>
          </w:p>
        </w:tc>
        <w:tc>
          <w:tcPr>
            <w:tcW w:w="896" w:type="dxa"/>
            <w:shd w:val="clear" w:color="auto" w:fill="FFFFFF" w:themeFill="background1"/>
          </w:tcPr>
          <w:p w14:paraId="7C83B29E" w14:textId="77777777" w:rsidR="00AF6AA5" w:rsidRPr="006E68B2" w:rsidRDefault="00AF6AA5" w:rsidP="00715B47">
            <w:pPr>
              <w:spacing w:line="360" w:lineRule="auto"/>
              <w:jc w:val="center"/>
              <w:rPr>
                <w:rFonts w:ascii="Arial" w:hAnsi="Arial" w:cs="Arial"/>
                <w:lang w:val="en-US"/>
              </w:rPr>
            </w:pPr>
          </w:p>
        </w:tc>
      </w:tr>
      <w:tr w:rsidR="00AF6AA5" w:rsidRPr="006E68B2" w14:paraId="04E2E3CB" w14:textId="77777777" w:rsidTr="00715B47">
        <w:tc>
          <w:tcPr>
            <w:tcW w:w="5029" w:type="dxa"/>
            <w:shd w:val="clear" w:color="auto" w:fill="FFFFFF" w:themeFill="background1"/>
          </w:tcPr>
          <w:p w14:paraId="333AD49C" w14:textId="77777777" w:rsidR="00AF6AA5" w:rsidRPr="006E68B2" w:rsidRDefault="00AF6AA5" w:rsidP="00715B47">
            <w:pPr>
              <w:spacing w:line="360" w:lineRule="auto"/>
              <w:ind w:firstLine="171"/>
              <w:rPr>
                <w:rFonts w:ascii="Arial" w:hAnsi="Arial" w:cs="Arial"/>
                <w:lang w:val="en-US"/>
              </w:rPr>
            </w:pPr>
            <w:r w:rsidRPr="006E68B2">
              <w:rPr>
                <w:rFonts w:ascii="Arial" w:hAnsi="Arial" w:cs="Arial"/>
                <w:lang w:val="en-US"/>
              </w:rPr>
              <w:t>Level-1 (reference)</w:t>
            </w:r>
          </w:p>
        </w:tc>
        <w:tc>
          <w:tcPr>
            <w:tcW w:w="846" w:type="dxa"/>
            <w:shd w:val="clear" w:color="auto" w:fill="FFFFFF" w:themeFill="background1"/>
          </w:tcPr>
          <w:p w14:paraId="72FB337E"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1</w:t>
            </w:r>
          </w:p>
        </w:tc>
        <w:tc>
          <w:tcPr>
            <w:tcW w:w="1401" w:type="dxa"/>
            <w:shd w:val="clear" w:color="auto" w:fill="FFFFFF" w:themeFill="background1"/>
          </w:tcPr>
          <w:p w14:paraId="29F36C46"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96" w:type="dxa"/>
            <w:shd w:val="clear" w:color="auto" w:fill="FFFFFF" w:themeFill="background1"/>
          </w:tcPr>
          <w:p w14:paraId="7A8D8AE0"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45" w:type="dxa"/>
            <w:shd w:val="clear" w:color="auto" w:fill="FFFFFF" w:themeFill="background1"/>
          </w:tcPr>
          <w:p w14:paraId="23159E3A"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1</w:t>
            </w:r>
          </w:p>
        </w:tc>
        <w:tc>
          <w:tcPr>
            <w:tcW w:w="1401" w:type="dxa"/>
            <w:shd w:val="clear" w:color="auto" w:fill="FFFFFF" w:themeFill="background1"/>
          </w:tcPr>
          <w:p w14:paraId="0F63CB73"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96" w:type="dxa"/>
            <w:shd w:val="clear" w:color="auto" w:fill="FFFFFF" w:themeFill="background1"/>
          </w:tcPr>
          <w:p w14:paraId="0280ACFC"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48" w:type="dxa"/>
            <w:shd w:val="clear" w:color="auto" w:fill="FFFFFF" w:themeFill="background1"/>
          </w:tcPr>
          <w:p w14:paraId="1D78E77C"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1</w:t>
            </w:r>
          </w:p>
        </w:tc>
        <w:tc>
          <w:tcPr>
            <w:tcW w:w="1401" w:type="dxa"/>
            <w:shd w:val="clear" w:color="auto" w:fill="FFFFFF" w:themeFill="background1"/>
          </w:tcPr>
          <w:p w14:paraId="425552C5"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w:t>
            </w:r>
          </w:p>
        </w:tc>
        <w:tc>
          <w:tcPr>
            <w:tcW w:w="896" w:type="dxa"/>
            <w:shd w:val="clear" w:color="auto" w:fill="FFFFFF" w:themeFill="background1"/>
          </w:tcPr>
          <w:p w14:paraId="5E552E6D"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w:t>
            </w:r>
          </w:p>
        </w:tc>
      </w:tr>
      <w:tr w:rsidR="00AF6AA5" w:rsidRPr="006E68B2" w14:paraId="78123972" w14:textId="77777777" w:rsidTr="00715B47">
        <w:tc>
          <w:tcPr>
            <w:tcW w:w="5029" w:type="dxa"/>
            <w:shd w:val="clear" w:color="auto" w:fill="FFFFFF" w:themeFill="background1"/>
          </w:tcPr>
          <w:p w14:paraId="0F498E35" w14:textId="77777777" w:rsidR="00AF6AA5" w:rsidRPr="006E68B2" w:rsidRDefault="00AF6AA5" w:rsidP="00715B47">
            <w:pPr>
              <w:spacing w:line="360" w:lineRule="auto"/>
              <w:ind w:firstLine="171"/>
              <w:rPr>
                <w:rFonts w:ascii="Arial" w:hAnsi="Arial" w:cs="Arial"/>
                <w:lang w:val="en-US"/>
              </w:rPr>
            </w:pPr>
            <w:r w:rsidRPr="006E68B2">
              <w:rPr>
                <w:rFonts w:ascii="Arial" w:hAnsi="Arial" w:cs="Arial"/>
                <w:lang w:val="en-US"/>
              </w:rPr>
              <w:t>Level-2</w:t>
            </w:r>
          </w:p>
        </w:tc>
        <w:tc>
          <w:tcPr>
            <w:tcW w:w="846" w:type="dxa"/>
            <w:shd w:val="clear" w:color="auto" w:fill="FFFFFF" w:themeFill="background1"/>
          </w:tcPr>
          <w:p w14:paraId="13E14838"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sz w:val="24"/>
                <w:szCs w:val="24"/>
              </w:rPr>
              <w:t>1.9</w:t>
            </w:r>
          </w:p>
        </w:tc>
        <w:tc>
          <w:tcPr>
            <w:tcW w:w="1401" w:type="dxa"/>
            <w:shd w:val="clear" w:color="auto" w:fill="FFFFFF" w:themeFill="background1"/>
          </w:tcPr>
          <w:p w14:paraId="449C5254"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sz w:val="24"/>
                <w:szCs w:val="24"/>
              </w:rPr>
              <w:t>1.2-3.0</w:t>
            </w:r>
          </w:p>
        </w:tc>
        <w:tc>
          <w:tcPr>
            <w:tcW w:w="896" w:type="dxa"/>
            <w:shd w:val="clear" w:color="auto" w:fill="FFFFFF" w:themeFill="background1"/>
          </w:tcPr>
          <w:p w14:paraId="3C0F2D05"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0.010</w:t>
            </w:r>
          </w:p>
        </w:tc>
        <w:tc>
          <w:tcPr>
            <w:tcW w:w="845" w:type="dxa"/>
            <w:shd w:val="clear" w:color="auto" w:fill="FFFFFF" w:themeFill="background1"/>
          </w:tcPr>
          <w:p w14:paraId="2D3EDDC0"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sz w:val="24"/>
                <w:szCs w:val="24"/>
              </w:rPr>
              <w:t>1.8</w:t>
            </w:r>
          </w:p>
        </w:tc>
        <w:tc>
          <w:tcPr>
            <w:tcW w:w="1401" w:type="dxa"/>
            <w:shd w:val="clear" w:color="auto" w:fill="FFFFFF" w:themeFill="background1"/>
          </w:tcPr>
          <w:p w14:paraId="5FCDECC9"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sz w:val="24"/>
                <w:szCs w:val="24"/>
              </w:rPr>
              <w:t>1.1-2.9</w:t>
            </w:r>
          </w:p>
        </w:tc>
        <w:tc>
          <w:tcPr>
            <w:tcW w:w="896" w:type="dxa"/>
            <w:shd w:val="clear" w:color="auto" w:fill="FFFFFF" w:themeFill="background1"/>
          </w:tcPr>
          <w:p w14:paraId="7A01B348"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0.017</w:t>
            </w:r>
          </w:p>
        </w:tc>
        <w:tc>
          <w:tcPr>
            <w:tcW w:w="848" w:type="dxa"/>
            <w:shd w:val="clear" w:color="auto" w:fill="FFFFFF" w:themeFill="background1"/>
          </w:tcPr>
          <w:p w14:paraId="2E47D050"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sz w:val="24"/>
                <w:szCs w:val="24"/>
              </w:rPr>
              <w:t>1.5</w:t>
            </w:r>
          </w:p>
        </w:tc>
        <w:tc>
          <w:tcPr>
            <w:tcW w:w="1401" w:type="dxa"/>
            <w:shd w:val="clear" w:color="auto" w:fill="FFFFFF" w:themeFill="background1"/>
          </w:tcPr>
          <w:p w14:paraId="140F49FB"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sz w:val="24"/>
                <w:szCs w:val="24"/>
              </w:rPr>
              <w:t>0.9-2.4</w:t>
            </w:r>
          </w:p>
        </w:tc>
        <w:tc>
          <w:tcPr>
            <w:tcW w:w="896" w:type="dxa"/>
            <w:shd w:val="clear" w:color="auto" w:fill="FFFFFF" w:themeFill="background1"/>
          </w:tcPr>
          <w:p w14:paraId="2995EF83"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sz w:val="24"/>
                <w:szCs w:val="24"/>
              </w:rPr>
              <w:t>0.136</w:t>
            </w:r>
          </w:p>
        </w:tc>
      </w:tr>
      <w:tr w:rsidR="00AF6AA5" w:rsidRPr="006E68B2" w14:paraId="0A4C26F1" w14:textId="77777777" w:rsidTr="00715B47">
        <w:tc>
          <w:tcPr>
            <w:tcW w:w="5029" w:type="dxa"/>
            <w:shd w:val="clear" w:color="auto" w:fill="FFFFFF" w:themeFill="background1"/>
          </w:tcPr>
          <w:p w14:paraId="6E32C7D7" w14:textId="77777777" w:rsidR="00AF6AA5" w:rsidRPr="006E68B2" w:rsidRDefault="00AF6AA5" w:rsidP="00715B47">
            <w:pPr>
              <w:spacing w:line="360" w:lineRule="auto"/>
              <w:ind w:firstLine="171"/>
              <w:rPr>
                <w:rFonts w:ascii="Arial" w:hAnsi="Arial" w:cs="Arial"/>
                <w:lang w:val="en-US"/>
              </w:rPr>
            </w:pPr>
            <w:r w:rsidRPr="006E68B2">
              <w:rPr>
                <w:rFonts w:ascii="Arial" w:hAnsi="Arial" w:cs="Arial"/>
                <w:lang w:val="en-US"/>
              </w:rPr>
              <w:t>Level-3</w:t>
            </w:r>
          </w:p>
        </w:tc>
        <w:tc>
          <w:tcPr>
            <w:tcW w:w="846" w:type="dxa"/>
            <w:shd w:val="clear" w:color="auto" w:fill="FFFFFF" w:themeFill="background1"/>
          </w:tcPr>
          <w:p w14:paraId="2D298602"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sz w:val="24"/>
                <w:szCs w:val="24"/>
              </w:rPr>
              <w:t>2.6</w:t>
            </w:r>
          </w:p>
        </w:tc>
        <w:tc>
          <w:tcPr>
            <w:tcW w:w="1401" w:type="dxa"/>
            <w:shd w:val="clear" w:color="auto" w:fill="FFFFFF" w:themeFill="background1"/>
          </w:tcPr>
          <w:p w14:paraId="2D06BACB"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sz w:val="24"/>
                <w:szCs w:val="24"/>
              </w:rPr>
              <w:t>1.6-4.2</w:t>
            </w:r>
          </w:p>
        </w:tc>
        <w:tc>
          <w:tcPr>
            <w:tcW w:w="896" w:type="dxa"/>
            <w:shd w:val="clear" w:color="auto" w:fill="FFFFFF" w:themeFill="background1"/>
          </w:tcPr>
          <w:p w14:paraId="7638BCD5"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&lt;0.001</w:t>
            </w:r>
          </w:p>
        </w:tc>
        <w:tc>
          <w:tcPr>
            <w:tcW w:w="845" w:type="dxa"/>
            <w:shd w:val="clear" w:color="auto" w:fill="FFFFFF" w:themeFill="background1"/>
          </w:tcPr>
          <w:p w14:paraId="79B13555"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sz w:val="24"/>
                <w:szCs w:val="24"/>
              </w:rPr>
              <w:t>2.4</w:t>
            </w:r>
          </w:p>
        </w:tc>
        <w:tc>
          <w:tcPr>
            <w:tcW w:w="1401" w:type="dxa"/>
            <w:shd w:val="clear" w:color="auto" w:fill="FFFFFF" w:themeFill="background1"/>
          </w:tcPr>
          <w:p w14:paraId="1E57E4C2"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sz w:val="24"/>
                <w:szCs w:val="24"/>
              </w:rPr>
              <w:t>1.5-4.0</w:t>
            </w:r>
          </w:p>
        </w:tc>
        <w:tc>
          <w:tcPr>
            <w:tcW w:w="896" w:type="dxa"/>
            <w:shd w:val="clear" w:color="auto" w:fill="FFFFFF" w:themeFill="background1"/>
          </w:tcPr>
          <w:p w14:paraId="2CEFA917"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rPr>
              <w:t>&lt;0.001</w:t>
            </w:r>
          </w:p>
        </w:tc>
        <w:tc>
          <w:tcPr>
            <w:tcW w:w="848" w:type="dxa"/>
            <w:shd w:val="clear" w:color="auto" w:fill="FFFFFF" w:themeFill="background1"/>
          </w:tcPr>
          <w:p w14:paraId="01369D31"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sz w:val="24"/>
                <w:szCs w:val="24"/>
              </w:rPr>
              <w:t>1.9</w:t>
            </w:r>
          </w:p>
        </w:tc>
        <w:tc>
          <w:tcPr>
            <w:tcW w:w="1401" w:type="dxa"/>
            <w:shd w:val="clear" w:color="auto" w:fill="FFFFFF" w:themeFill="background1"/>
          </w:tcPr>
          <w:p w14:paraId="27391F5E"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sz w:val="24"/>
                <w:szCs w:val="24"/>
              </w:rPr>
              <w:t>1.1-3.3</w:t>
            </w:r>
          </w:p>
        </w:tc>
        <w:tc>
          <w:tcPr>
            <w:tcW w:w="896" w:type="dxa"/>
            <w:shd w:val="clear" w:color="auto" w:fill="FFFFFF" w:themeFill="background1"/>
          </w:tcPr>
          <w:p w14:paraId="55752653"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sz w:val="24"/>
                <w:szCs w:val="24"/>
              </w:rPr>
              <w:t>0.014</w:t>
            </w:r>
          </w:p>
        </w:tc>
      </w:tr>
      <w:tr w:rsidR="00AF6AA5" w:rsidRPr="006E68B2" w14:paraId="6D732ECF" w14:textId="77777777" w:rsidTr="00715B47">
        <w:tc>
          <w:tcPr>
            <w:tcW w:w="5029" w:type="dxa"/>
            <w:shd w:val="clear" w:color="auto" w:fill="FFFFFF" w:themeFill="background1"/>
          </w:tcPr>
          <w:p w14:paraId="267EB32F" w14:textId="77777777" w:rsidR="00AF6AA5" w:rsidRPr="006E68B2" w:rsidRDefault="00AF6AA5" w:rsidP="00715B47">
            <w:pPr>
              <w:spacing w:line="360" w:lineRule="auto"/>
              <w:rPr>
                <w:rFonts w:ascii="Arial" w:hAnsi="Arial" w:cs="Arial"/>
                <w:b/>
                <w:bCs/>
                <w:lang w:val="en-US"/>
              </w:rPr>
            </w:pPr>
            <w:r w:rsidRPr="006E68B2">
              <w:rPr>
                <w:rFonts w:ascii="Arial" w:hAnsi="Arial" w:cs="Arial"/>
                <w:b/>
                <w:bCs/>
                <w:lang w:val="en-US"/>
              </w:rPr>
              <w:t>Hospital acquired pressure ulcers</w:t>
            </w:r>
          </w:p>
        </w:tc>
        <w:tc>
          <w:tcPr>
            <w:tcW w:w="846" w:type="dxa"/>
            <w:shd w:val="clear" w:color="auto" w:fill="FFFFFF" w:themeFill="background1"/>
          </w:tcPr>
          <w:p w14:paraId="65ACDE6D" w14:textId="77777777" w:rsidR="00AF6AA5" w:rsidRPr="006E68B2" w:rsidRDefault="00AF6AA5" w:rsidP="00715B47">
            <w:pPr>
              <w:spacing w:line="360" w:lineRule="auto"/>
              <w:jc w:val="center"/>
              <w:rPr>
                <w:rFonts w:ascii="Arial" w:hAnsi="Arial" w:cs="Arial"/>
                <w:lang w:val="en-US"/>
              </w:rPr>
            </w:pPr>
          </w:p>
        </w:tc>
        <w:tc>
          <w:tcPr>
            <w:tcW w:w="1401" w:type="dxa"/>
            <w:shd w:val="clear" w:color="auto" w:fill="FFFFFF" w:themeFill="background1"/>
          </w:tcPr>
          <w:p w14:paraId="33DDD8F6" w14:textId="77777777" w:rsidR="00AF6AA5" w:rsidRPr="006E68B2" w:rsidRDefault="00AF6AA5" w:rsidP="00715B47">
            <w:pPr>
              <w:spacing w:line="360" w:lineRule="auto"/>
              <w:jc w:val="center"/>
              <w:rPr>
                <w:rFonts w:ascii="Arial" w:hAnsi="Arial" w:cs="Arial"/>
                <w:lang w:val="en-US"/>
              </w:rPr>
            </w:pPr>
          </w:p>
        </w:tc>
        <w:tc>
          <w:tcPr>
            <w:tcW w:w="896" w:type="dxa"/>
            <w:shd w:val="clear" w:color="auto" w:fill="FFFFFF" w:themeFill="background1"/>
          </w:tcPr>
          <w:p w14:paraId="60D91548" w14:textId="77777777" w:rsidR="00AF6AA5" w:rsidRPr="006E68B2" w:rsidRDefault="00AF6AA5" w:rsidP="00715B47">
            <w:pPr>
              <w:spacing w:line="360" w:lineRule="auto"/>
              <w:jc w:val="center"/>
              <w:rPr>
                <w:rFonts w:ascii="Arial" w:hAnsi="Arial" w:cs="Arial"/>
                <w:lang w:val="en-US"/>
              </w:rPr>
            </w:pPr>
          </w:p>
        </w:tc>
        <w:tc>
          <w:tcPr>
            <w:tcW w:w="845" w:type="dxa"/>
            <w:shd w:val="clear" w:color="auto" w:fill="FFFFFF" w:themeFill="background1"/>
          </w:tcPr>
          <w:p w14:paraId="031242AD" w14:textId="77777777" w:rsidR="00AF6AA5" w:rsidRPr="006E68B2" w:rsidRDefault="00AF6AA5" w:rsidP="00715B47">
            <w:pPr>
              <w:spacing w:line="360" w:lineRule="auto"/>
              <w:jc w:val="center"/>
              <w:rPr>
                <w:rFonts w:ascii="Arial" w:hAnsi="Arial" w:cs="Arial"/>
                <w:lang w:val="en-US"/>
              </w:rPr>
            </w:pPr>
          </w:p>
        </w:tc>
        <w:tc>
          <w:tcPr>
            <w:tcW w:w="1401" w:type="dxa"/>
            <w:shd w:val="clear" w:color="auto" w:fill="FFFFFF" w:themeFill="background1"/>
          </w:tcPr>
          <w:p w14:paraId="6E94A051" w14:textId="77777777" w:rsidR="00AF6AA5" w:rsidRPr="006E68B2" w:rsidRDefault="00AF6AA5" w:rsidP="00715B47">
            <w:pPr>
              <w:spacing w:line="360" w:lineRule="auto"/>
              <w:jc w:val="center"/>
              <w:rPr>
                <w:rFonts w:ascii="Arial" w:hAnsi="Arial" w:cs="Arial"/>
                <w:lang w:val="en-US"/>
              </w:rPr>
            </w:pPr>
          </w:p>
        </w:tc>
        <w:tc>
          <w:tcPr>
            <w:tcW w:w="896" w:type="dxa"/>
            <w:shd w:val="clear" w:color="auto" w:fill="FFFFFF" w:themeFill="background1"/>
          </w:tcPr>
          <w:p w14:paraId="56D7297B" w14:textId="77777777" w:rsidR="00AF6AA5" w:rsidRPr="006E68B2" w:rsidRDefault="00AF6AA5" w:rsidP="00715B47">
            <w:pPr>
              <w:spacing w:line="360" w:lineRule="auto"/>
              <w:jc w:val="center"/>
              <w:rPr>
                <w:rFonts w:ascii="Arial" w:hAnsi="Arial" w:cs="Arial"/>
                <w:lang w:val="en-US"/>
              </w:rPr>
            </w:pPr>
          </w:p>
        </w:tc>
        <w:tc>
          <w:tcPr>
            <w:tcW w:w="848" w:type="dxa"/>
            <w:shd w:val="clear" w:color="auto" w:fill="FFFFFF" w:themeFill="background1"/>
          </w:tcPr>
          <w:p w14:paraId="175F2D60" w14:textId="77777777" w:rsidR="00AF6AA5" w:rsidRPr="006E68B2" w:rsidRDefault="00AF6AA5" w:rsidP="00715B47">
            <w:pPr>
              <w:spacing w:line="360" w:lineRule="auto"/>
              <w:jc w:val="center"/>
              <w:rPr>
                <w:rFonts w:ascii="Arial" w:hAnsi="Arial" w:cs="Arial"/>
                <w:lang w:val="en-US"/>
              </w:rPr>
            </w:pPr>
          </w:p>
        </w:tc>
        <w:tc>
          <w:tcPr>
            <w:tcW w:w="1401" w:type="dxa"/>
            <w:shd w:val="clear" w:color="auto" w:fill="FFFFFF" w:themeFill="background1"/>
          </w:tcPr>
          <w:p w14:paraId="395C7F9C" w14:textId="77777777" w:rsidR="00AF6AA5" w:rsidRPr="006E68B2" w:rsidRDefault="00AF6AA5" w:rsidP="00715B47">
            <w:pPr>
              <w:spacing w:line="360" w:lineRule="auto"/>
              <w:jc w:val="center"/>
              <w:rPr>
                <w:rFonts w:ascii="Arial" w:hAnsi="Arial" w:cs="Arial"/>
                <w:lang w:val="en-US"/>
              </w:rPr>
            </w:pPr>
          </w:p>
        </w:tc>
        <w:tc>
          <w:tcPr>
            <w:tcW w:w="896" w:type="dxa"/>
            <w:shd w:val="clear" w:color="auto" w:fill="FFFFFF" w:themeFill="background1"/>
          </w:tcPr>
          <w:p w14:paraId="2C98654E" w14:textId="77777777" w:rsidR="00AF6AA5" w:rsidRPr="006E68B2" w:rsidRDefault="00AF6AA5" w:rsidP="00715B47">
            <w:pPr>
              <w:spacing w:line="360" w:lineRule="auto"/>
              <w:jc w:val="center"/>
              <w:rPr>
                <w:rFonts w:ascii="Arial" w:hAnsi="Arial" w:cs="Arial"/>
                <w:lang w:val="en-US"/>
              </w:rPr>
            </w:pPr>
          </w:p>
        </w:tc>
      </w:tr>
      <w:tr w:rsidR="00AF6AA5" w:rsidRPr="006E68B2" w14:paraId="1F87F0C8" w14:textId="77777777" w:rsidTr="00715B47">
        <w:tc>
          <w:tcPr>
            <w:tcW w:w="5029" w:type="dxa"/>
            <w:shd w:val="clear" w:color="auto" w:fill="FFFFFF" w:themeFill="background1"/>
          </w:tcPr>
          <w:p w14:paraId="76D7B45B" w14:textId="77777777" w:rsidR="00AF6AA5" w:rsidRPr="006E68B2" w:rsidRDefault="00AF6AA5" w:rsidP="00715B47">
            <w:pPr>
              <w:spacing w:line="360" w:lineRule="auto"/>
              <w:ind w:left="178"/>
              <w:rPr>
                <w:rFonts w:ascii="Arial" w:hAnsi="Arial" w:cs="Arial"/>
                <w:lang w:val="en-US"/>
              </w:rPr>
            </w:pPr>
            <w:r w:rsidRPr="006E68B2">
              <w:rPr>
                <w:rFonts w:ascii="Arial" w:hAnsi="Arial" w:cs="Arial"/>
                <w:lang w:val="en-US"/>
              </w:rPr>
              <w:t>Level-1 and level-2 (reference)</w:t>
            </w:r>
          </w:p>
        </w:tc>
        <w:tc>
          <w:tcPr>
            <w:tcW w:w="846" w:type="dxa"/>
            <w:shd w:val="clear" w:color="auto" w:fill="FFFFFF" w:themeFill="background1"/>
          </w:tcPr>
          <w:p w14:paraId="4C2EFC52"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1</w:t>
            </w:r>
          </w:p>
        </w:tc>
        <w:tc>
          <w:tcPr>
            <w:tcW w:w="1401" w:type="dxa"/>
            <w:shd w:val="clear" w:color="auto" w:fill="FFFFFF" w:themeFill="background1"/>
          </w:tcPr>
          <w:p w14:paraId="4192B9F8"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96" w:type="dxa"/>
            <w:shd w:val="clear" w:color="auto" w:fill="FFFFFF" w:themeFill="background1"/>
          </w:tcPr>
          <w:p w14:paraId="34F53350"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45" w:type="dxa"/>
            <w:shd w:val="clear" w:color="auto" w:fill="FFFFFF" w:themeFill="background1"/>
          </w:tcPr>
          <w:p w14:paraId="3DBE6432"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1</w:t>
            </w:r>
          </w:p>
        </w:tc>
        <w:tc>
          <w:tcPr>
            <w:tcW w:w="1401" w:type="dxa"/>
            <w:shd w:val="clear" w:color="auto" w:fill="FFFFFF" w:themeFill="background1"/>
          </w:tcPr>
          <w:p w14:paraId="4C16ADBA"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96" w:type="dxa"/>
            <w:shd w:val="clear" w:color="auto" w:fill="FFFFFF" w:themeFill="background1"/>
          </w:tcPr>
          <w:p w14:paraId="1D139110" w14:textId="77777777" w:rsidR="00AF6AA5" w:rsidRPr="006E68B2" w:rsidRDefault="00AF6AA5" w:rsidP="00715B47">
            <w:pPr>
              <w:spacing w:line="360" w:lineRule="auto"/>
              <w:jc w:val="center"/>
              <w:rPr>
                <w:rFonts w:ascii="Arial" w:hAnsi="Arial" w:cs="Arial"/>
                <w:lang w:val="en-US"/>
              </w:rPr>
            </w:pPr>
            <w:r w:rsidRPr="006E68B2">
              <w:rPr>
                <w:rFonts w:ascii="Arial" w:hAnsi="Arial" w:cs="Arial"/>
                <w:lang w:val="en-US"/>
              </w:rPr>
              <w:t>--</w:t>
            </w:r>
          </w:p>
        </w:tc>
        <w:tc>
          <w:tcPr>
            <w:tcW w:w="848" w:type="dxa"/>
            <w:shd w:val="clear" w:color="auto" w:fill="FFFFFF" w:themeFill="background1"/>
          </w:tcPr>
          <w:p w14:paraId="12B0DA26"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1</w:t>
            </w:r>
          </w:p>
        </w:tc>
        <w:tc>
          <w:tcPr>
            <w:tcW w:w="1401" w:type="dxa"/>
            <w:shd w:val="clear" w:color="auto" w:fill="FFFFFF" w:themeFill="background1"/>
          </w:tcPr>
          <w:p w14:paraId="25AD9449"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w:t>
            </w:r>
          </w:p>
        </w:tc>
        <w:tc>
          <w:tcPr>
            <w:tcW w:w="896" w:type="dxa"/>
            <w:shd w:val="clear" w:color="auto" w:fill="FFFFFF" w:themeFill="background1"/>
          </w:tcPr>
          <w:p w14:paraId="0F1E7C01"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rPr>
              <w:t>--</w:t>
            </w:r>
          </w:p>
        </w:tc>
      </w:tr>
      <w:tr w:rsidR="00AF6AA5" w:rsidRPr="006E68B2" w14:paraId="35B7F22A" w14:textId="77777777" w:rsidTr="00715B47">
        <w:tc>
          <w:tcPr>
            <w:tcW w:w="5029" w:type="dxa"/>
            <w:shd w:val="clear" w:color="auto" w:fill="FFFFFF" w:themeFill="background1"/>
          </w:tcPr>
          <w:p w14:paraId="3D2CE7E5" w14:textId="77777777" w:rsidR="00AF6AA5" w:rsidRPr="006E68B2" w:rsidRDefault="00AF6AA5" w:rsidP="00715B47">
            <w:pPr>
              <w:spacing w:line="360" w:lineRule="auto"/>
              <w:ind w:firstLine="171"/>
              <w:rPr>
                <w:rFonts w:ascii="Arial" w:hAnsi="Arial" w:cs="Arial"/>
                <w:lang w:val="en-US"/>
              </w:rPr>
            </w:pPr>
            <w:r w:rsidRPr="006E68B2">
              <w:rPr>
                <w:rFonts w:ascii="Arial" w:hAnsi="Arial" w:cs="Arial"/>
                <w:lang w:val="en-US"/>
              </w:rPr>
              <w:t>Level-3</w:t>
            </w:r>
          </w:p>
        </w:tc>
        <w:tc>
          <w:tcPr>
            <w:tcW w:w="846" w:type="dxa"/>
            <w:shd w:val="clear" w:color="auto" w:fill="FFFFFF" w:themeFill="background1"/>
          </w:tcPr>
          <w:p w14:paraId="7EC921B7"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sz w:val="24"/>
                <w:szCs w:val="24"/>
              </w:rPr>
              <w:t>3.7</w:t>
            </w:r>
          </w:p>
        </w:tc>
        <w:tc>
          <w:tcPr>
            <w:tcW w:w="1401" w:type="dxa"/>
            <w:shd w:val="clear" w:color="auto" w:fill="FFFFFF" w:themeFill="background1"/>
          </w:tcPr>
          <w:p w14:paraId="051F6E68"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sz w:val="24"/>
                <w:szCs w:val="24"/>
              </w:rPr>
              <w:t>1.5-9.3</w:t>
            </w:r>
          </w:p>
        </w:tc>
        <w:tc>
          <w:tcPr>
            <w:tcW w:w="896" w:type="dxa"/>
            <w:shd w:val="clear" w:color="auto" w:fill="FFFFFF" w:themeFill="background1"/>
          </w:tcPr>
          <w:p w14:paraId="21DB4840"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sz w:val="24"/>
                <w:szCs w:val="24"/>
              </w:rPr>
              <w:t>0.005</w:t>
            </w:r>
          </w:p>
        </w:tc>
        <w:tc>
          <w:tcPr>
            <w:tcW w:w="845" w:type="dxa"/>
            <w:shd w:val="clear" w:color="auto" w:fill="FFFFFF" w:themeFill="background1"/>
          </w:tcPr>
          <w:p w14:paraId="746F8920"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sz w:val="24"/>
                <w:szCs w:val="24"/>
              </w:rPr>
              <w:t>3.4</w:t>
            </w:r>
          </w:p>
        </w:tc>
        <w:tc>
          <w:tcPr>
            <w:tcW w:w="1401" w:type="dxa"/>
            <w:shd w:val="clear" w:color="auto" w:fill="FFFFFF" w:themeFill="background1"/>
          </w:tcPr>
          <w:p w14:paraId="75EC9492"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sz w:val="24"/>
                <w:szCs w:val="24"/>
              </w:rPr>
              <w:t>1.4-8.6</w:t>
            </w:r>
          </w:p>
        </w:tc>
        <w:tc>
          <w:tcPr>
            <w:tcW w:w="896" w:type="dxa"/>
            <w:shd w:val="clear" w:color="auto" w:fill="FFFFFF" w:themeFill="background1"/>
          </w:tcPr>
          <w:p w14:paraId="100CA04D" w14:textId="77777777" w:rsidR="00AF6AA5" w:rsidRPr="006E68B2" w:rsidRDefault="00AF6AA5" w:rsidP="00715B47">
            <w:pPr>
              <w:spacing w:line="360" w:lineRule="auto"/>
              <w:jc w:val="center"/>
              <w:rPr>
                <w:rFonts w:ascii="Arial" w:hAnsi="Arial" w:cs="Arial"/>
                <w:lang w:val="en-US"/>
              </w:rPr>
            </w:pPr>
            <w:r w:rsidRPr="006E68B2">
              <w:rPr>
                <w:rFonts w:ascii="Arial" w:hAnsi="Arial" w:cs="Arial"/>
                <w:color w:val="010205"/>
                <w:sz w:val="24"/>
                <w:szCs w:val="24"/>
              </w:rPr>
              <w:t>0.009</w:t>
            </w:r>
          </w:p>
        </w:tc>
        <w:tc>
          <w:tcPr>
            <w:tcW w:w="848" w:type="dxa"/>
            <w:shd w:val="clear" w:color="auto" w:fill="FFFFFF" w:themeFill="background1"/>
          </w:tcPr>
          <w:p w14:paraId="4F6E55CE"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sz w:val="24"/>
                <w:szCs w:val="24"/>
              </w:rPr>
              <w:t>3.0</w:t>
            </w:r>
          </w:p>
        </w:tc>
        <w:tc>
          <w:tcPr>
            <w:tcW w:w="1401" w:type="dxa"/>
            <w:shd w:val="clear" w:color="auto" w:fill="FFFFFF" w:themeFill="background1"/>
          </w:tcPr>
          <w:p w14:paraId="56DEA3A4"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sz w:val="24"/>
                <w:szCs w:val="24"/>
              </w:rPr>
              <w:t>1.2-7.9</w:t>
            </w:r>
          </w:p>
        </w:tc>
        <w:tc>
          <w:tcPr>
            <w:tcW w:w="896" w:type="dxa"/>
            <w:shd w:val="clear" w:color="auto" w:fill="FFFFFF" w:themeFill="background1"/>
          </w:tcPr>
          <w:p w14:paraId="3638A252" w14:textId="77777777" w:rsidR="00AF6AA5" w:rsidRPr="006E68B2" w:rsidRDefault="00AF6AA5" w:rsidP="00715B47">
            <w:pPr>
              <w:spacing w:line="360" w:lineRule="auto"/>
              <w:jc w:val="center"/>
              <w:rPr>
                <w:rFonts w:ascii="Arial" w:hAnsi="Arial" w:cs="Arial"/>
                <w:color w:val="010205"/>
              </w:rPr>
            </w:pPr>
            <w:r w:rsidRPr="006E68B2">
              <w:rPr>
                <w:rFonts w:ascii="Arial" w:hAnsi="Arial" w:cs="Arial"/>
                <w:color w:val="010205"/>
                <w:sz w:val="24"/>
                <w:szCs w:val="24"/>
              </w:rPr>
              <w:t>0.019</w:t>
            </w:r>
          </w:p>
        </w:tc>
      </w:tr>
    </w:tbl>
    <w:p w14:paraId="7EC63324" w14:textId="38DEF506" w:rsidR="00545D8B" w:rsidRPr="00AF6AA5" w:rsidRDefault="00AF6AA5" w:rsidP="00AF6AA5">
      <w:pPr>
        <w:spacing w:after="0" w:line="240" w:lineRule="auto"/>
        <w:rPr>
          <w:rFonts w:ascii="Arial" w:hAnsi="Arial" w:cs="Arial"/>
          <w:sz w:val="24"/>
          <w:szCs w:val="24"/>
          <w:lang w:val="en-US"/>
        </w:rPr>
      </w:pPr>
      <w:r w:rsidRPr="006E68B2">
        <w:rPr>
          <w:rFonts w:ascii="Arial" w:hAnsi="Arial" w:cs="Arial"/>
          <w:sz w:val="24"/>
          <w:szCs w:val="24"/>
          <w:lang w:val="en-US"/>
        </w:rPr>
        <w:t xml:space="preserve">*Co-morbidities: dementia, stroke, ischaemic heart disease, diabetes, limited pre-fracture mobility and alcohol consumption. </w:t>
      </w:r>
      <w:r w:rsidRPr="006E68B2">
        <w:rPr>
          <w:rFonts w:ascii="Arial" w:hAnsi="Arial" w:cs="Arial"/>
          <w:sz w:val="24"/>
          <w:szCs w:val="24"/>
          <w:vertAlign w:val="superscript"/>
          <w:lang w:val="en-US"/>
        </w:rPr>
        <w:sym w:font="Wingdings 2" w:char="F085"/>
      </w:r>
      <w:r w:rsidRPr="006E68B2">
        <w:rPr>
          <w:rFonts w:ascii="Arial" w:hAnsi="Arial" w:cs="Arial"/>
          <w:sz w:val="24"/>
          <w:szCs w:val="24"/>
          <w:lang w:val="en-US"/>
        </w:rPr>
        <w:t>Due to a low prevalence of pressure ulcers, the first two categories of medication status were used as reference group.</w:t>
      </w:r>
      <w:r w:rsidRPr="006E68B2">
        <w:rPr>
          <w:rFonts w:ascii="Arial" w:hAnsi="Arial" w:cs="Arial"/>
          <w:lang w:val="en-US"/>
        </w:rPr>
        <w:t xml:space="preserve"> Level-1: ACB score =0 and &lt;4 drugs a day; Level-2: ACB score ≥1 or ≥4 drugs a day; Level-3: ACB score ≥1 and ≥4 drugs a day.</w:t>
      </w:r>
    </w:p>
    <w:sectPr w:rsidR="00545D8B" w:rsidRPr="00AF6AA5" w:rsidSect="00492403">
      <w:headerReference w:type="default" r:id="rId2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8F4A" w14:textId="77777777" w:rsidR="00AE391E" w:rsidRDefault="00AE391E" w:rsidP="00BC71D1">
      <w:pPr>
        <w:spacing w:after="0" w:line="240" w:lineRule="auto"/>
      </w:pPr>
      <w:r>
        <w:separator/>
      </w:r>
    </w:p>
  </w:endnote>
  <w:endnote w:type="continuationSeparator" w:id="0">
    <w:p w14:paraId="6E8A2961" w14:textId="77777777" w:rsidR="00AE391E" w:rsidRDefault="00AE391E" w:rsidP="00BC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6424749"/>
      <w:docPartObj>
        <w:docPartGallery w:val="Page Numbers (Bottom of Page)"/>
        <w:docPartUnique/>
      </w:docPartObj>
    </w:sdtPr>
    <w:sdtContent>
      <w:p w14:paraId="30DA8F8D" w14:textId="4A97B3F1" w:rsidR="00AF6AA5" w:rsidRDefault="00AF6AA5" w:rsidP="005E61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4BC1F2EE" w14:textId="77777777" w:rsidR="00AF6AA5" w:rsidRDefault="00AF6AA5" w:rsidP="0071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6898747"/>
      <w:docPartObj>
        <w:docPartGallery w:val="Page Numbers (Bottom of Page)"/>
        <w:docPartUnique/>
      </w:docPartObj>
    </w:sdtPr>
    <w:sdtContent>
      <w:p w14:paraId="6BAB2A54" w14:textId="77777777" w:rsidR="00AF6AA5" w:rsidRDefault="00AF6AA5" w:rsidP="005E61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083BF18" w14:textId="77777777" w:rsidR="00AF6AA5" w:rsidRDefault="00AF6AA5" w:rsidP="00715B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8467" w14:textId="77777777" w:rsidR="00AE391E" w:rsidRDefault="00AE391E" w:rsidP="00BC71D1">
      <w:pPr>
        <w:spacing w:after="0" w:line="240" w:lineRule="auto"/>
      </w:pPr>
      <w:r>
        <w:separator/>
      </w:r>
    </w:p>
  </w:footnote>
  <w:footnote w:type="continuationSeparator" w:id="0">
    <w:p w14:paraId="0ABE8072" w14:textId="77777777" w:rsidR="00AE391E" w:rsidRDefault="00AE391E" w:rsidP="00BC7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5018" w14:textId="77777777" w:rsidR="00BC71D1" w:rsidRDefault="00BC71D1">
    <w:pPr>
      <w:pStyle w:val="Header"/>
      <w:jc w:val="right"/>
    </w:pPr>
  </w:p>
  <w:p w14:paraId="609C6C3A" w14:textId="77777777" w:rsidR="00BC71D1" w:rsidRDefault="00BC7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00D6"/>
    <w:multiLevelType w:val="hybridMultilevel"/>
    <w:tmpl w:val="8916B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830DD"/>
    <w:multiLevelType w:val="hybridMultilevel"/>
    <w:tmpl w:val="8190CFEC"/>
    <w:lvl w:ilvl="0" w:tplc="7FA0C13A">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D45851"/>
    <w:multiLevelType w:val="hybridMultilevel"/>
    <w:tmpl w:val="E8CC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A19BB"/>
    <w:multiLevelType w:val="hybridMultilevel"/>
    <w:tmpl w:val="A89A9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C2307F"/>
    <w:multiLevelType w:val="hybridMultilevel"/>
    <w:tmpl w:val="CA3252FC"/>
    <w:lvl w:ilvl="0" w:tplc="174AE504">
      <w:start w:val="1"/>
      <w:numFmt w:val="upperLetter"/>
      <w:lvlText w:val="(%1)"/>
      <w:lvlJc w:val="left"/>
      <w:pPr>
        <w:ind w:left="4680" w:hanging="360"/>
      </w:pPr>
      <w:rPr>
        <w:rFonts w:ascii="Arial" w:eastAsiaTheme="minorHAnsi" w:hAnsi="Arial" w:cs="Arial"/>
        <w:b/>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5" w15:restartNumberingAfterBreak="0">
    <w:nsid w:val="38FE354C"/>
    <w:multiLevelType w:val="hybridMultilevel"/>
    <w:tmpl w:val="C03EA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BC256F"/>
    <w:multiLevelType w:val="hybridMultilevel"/>
    <w:tmpl w:val="AC0E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B7B36"/>
    <w:multiLevelType w:val="hybridMultilevel"/>
    <w:tmpl w:val="6A7EE9F0"/>
    <w:lvl w:ilvl="0" w:tplc="64EE995E">
      <w:start w:val="1"/>
      <w:numFmt w:val="upp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5A4D8B"/>
    <w:multiLevelType w:val="hybridMultilevel"/>
    <w:tmpl w:val="206A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639BD"/>
    <w:multiLevelType w:val="hybridMultilevel"/>
    <w:tmpl w:val="40380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7D5"/>
    <w:multiLevelType w:val="hybridMultilevel"/>
    <w:tmpl w:val="6A7EE9F0"/>
    <w:lvl w:ilvl="0" w:tplc="FFFFFFFF">
      <w:start w:val="1"/>
      <w:numFmt w:val="upp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5B2E47"/>
    <w:multiLevelType w:val="hybridMultilevel"/>
    <w:tmpl w:val="40380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0394B"/>
    <w:multiLevelType w:val="hybridMultilevel"/>
    <w:tmpl w:val="68B67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813C3"/>
    <w:multiLevelType w:val="hybridMultilevel"/>
    <w:tmpl w:val="958C86F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635D3E57"/>
    <w:multiLevelType w:val="hybridMultilevel"/>
    <w:tmpl w:val="8A242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B964FC"/>
    <w:multiLevelType w:val="hybridMultilevel"/>
    <w:tmpl w:val="D3AC1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76D93"/>
    <w:multiLevelType w:val="hybridMultilevel"/>
    <w:tmpl w:val="035A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009955">
    <w:abstractNumId w:val="13"/>
  </w:num>
  <w:num w:numId="2" w16cid:durableId="835271286">
    <w:abstractNumId w:val="16"/>
  </w:num>
  <w:num w:numId="3" w16cid:durableId="521088866">
    <w:abstractNumId w:val="2"/>
  </w:num>
  <w:num w:numId="4" w16cid:durableId="2120827831">
    <w:abstractNumId w:val="5"/>
  </w:num>
  <w:num w:numId="5" w16cid:durableId="978261568">
    <w:abstractNumId w:val="11"/>
  </w:num>
  <w:num w:numId="6" w16cid:durableId="1225525061">
    <w:abstractNumId w:val="9"/>
  </w:num>
  <w:num w:numId="7" w16cid:durableId="1052924897">
    <w:abstractNumId w:val="4"/>
  </w:num>
  <w:num w:numId="8" w16cid:durableId="898832720">
    <w:abstractNumId w:val="7"/>
  </w:num>
  <w:num w:numId="9" w16cid:durableId="1695765476">
    <w:abstractNumId w:val="10"/>
  </w:num>
  <w:num w:numId="10" w16cid:durableId="1066534919">
    <w:abstractNumId w:val="12"/>
  </w:num>
  <w:num w:numId="11" w16cid:durableId="794712950">
    <w:abstractNumId w:val="1"/>
  </w:num>
  <w:num w:numId="12" w16cid:durableId="1978415882">
    <w:abstractNumId w:val="3"/>
  </w:num>
  <w:num w:numId="13" w16cid:durableId="1808009545">
    <w:abstractNumId w:val="6"/>
  </w:num>
  <w:num w:numId="14" w16cid:durableId="230770237">
    <w:abstractNumId w:val="0"/>
  </w:num>
  <w:num w:numId="15" w16cid:durableId="612833712">
    <w:abstractNumId w:val="15"/>
  </w:num>
  <w:num w:numId="16" w16cid:durableId="702482233">
    <w:abstractNumId w:val="8"/>
  </w:num>
  <w:num w:numId="17" w16cid:durableId="7379400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25"/>
    <w:rsid w:val="00000BA9"/>
    <w:rsid w:val="00003590"/>
    <w:rsid w:val="00007B78"/>
    <w:rsid w:val="00010C1C"/>
    <w:rsid w:val="00012594"/>
    <w:rsid w:val="00015AF5"/>
    <w:rsid w:val="00023190"/>
    <w:rsid w:val="000261EB"/>
    <w:rsid w:val="00026E54"/>
    <w:rsid w:val="00034CF3"/>
    <w:rsid w:val="00044260"/>
    <w:rsid w:val="00052920"/>
    <w:rsid w:val="000543D1"/>
    <w:rsid w:val="00062AB2"/>
    <w:rsid w:val="00062BC2"/>
    <w:rsid w:val="00064379"/>
    <w:rsid w:val="00066F1D"/>
    <w:rsid w:val="00067ABC"/>
    <w:rsid w:val="00070D52"/>
    <w:rsid w:val="00072063"/>
    <w:rsid w:val="00076A53"/>
    <w:rsid w:val="00076CA0"/>
    <w:rsid w:val="00086D9B"/>
    <w:rsid w:val="00087632"/>
    <w:rsid w:val="0009016B"/>
    <w:rsid w:val="00097C49"/>
    <w:rsid w:val="000A4A78"/>
    <w:rsid w:val="000B0CC8"/>
    <w:rsid w:val="000C24A8"/>
    <w:rsid w:val="000C6778"/>
    <w:rsid w:val="000C75AE"/>
    <w:rsid w:val="000D09E5"/>
    <w:rsid w:val="000D0DDE"/>
    <w:rsid w:val="000D2D35"/>
    <w:rsid w:val="000D353A"/>
    <w:rsid w:val="000D3869"/>
    <w:rsid w:val="000D73EE"/>
    <w:rsid w:val="000E1EB2"/>
    <w:rsid w:val="000E33D7"/>
    <w:rsid w:val="000E45AB"/>
    <w:rsid w:val="000F06E8"/>
    <w:rsid w:val="000F0CD1"/>
    <w:rsid w:val="000F1C61"/>
    <w:rsid w:val="000F4E85"/>
    <w:rsid w:val="000F703B"/>
    <w:rsid w:val="001027E2"/>
    <w:rsid w:val="00102CFF"/>
    <w:rsid w:val="00111B62"/>
    <w:rsid w:val="0011602D"/>
    <w:rsid w:val="00120F11"/>
    <w:rsid w:val="00122334"/>
    <w:rsid w:val="00122726"/>
    <w:rsid w:val="001257B0"/>
    <w:rsid w:val="00126EF3"/>
    <w:rsid w:val="00132E37"/>
    <w:rsid w:val="001356C9"/>
    <w:rsid w:val="00140EFC"/>
    <w:rsid w:val="001419F9"/>
    <w:rsid w:val="001500B3"/>
    <w:rsid w:val="00153B17"/>
    <w:rsid w:val="00154FCD"/>
    <w:rsid w:val="00155341"/>
    <w:rsid w:val="00161447"/>
    <w:rsid w:val="00162E6D"/>
    <w:rsid w:val="001655A8"/>
    <w:rsid w:val="00166A4C"/>
    <w:rsid w:val="001670BE"/>
    <w:rsid w:val="00170564"/>
    <w:rsid w:val="00171E0F"/>
    <w:rsid w:val="0017497F"/>
    <w:rsid w:val="0017550B"/>
    <w:rsid w:val="00176179"/>
    <w:rsid w:val="0017677C"/>
    <w:rsid w:val="001770BB"/>
    <w:rsid w:val="00185222"/>
    <w:rsid w:val="001856E0"/>
    <w:rsid w:val="00186067"/>
    <w:rsid w:val="0018648E"/>
    <w:rsid w:val="001919C9"/>
    <w:rsid w:val="0019278E"/>
    <w:rsid w:val="00192AC1"/>
    <w:rsid w:val="0019517E"/>
    <w:rsid w:val="001A1AA4"/>
    <w:rsid w:val="001A4352"/>
    <w:rsid w:val="001A5224"/>
    <w:rsid w:val="001A6A01"/>
    <w:rsid w:val="001A7BFA"/>
    <w:rsid w:val="001B05E0"/>
    <w:rsid w:val="001B31F5"/>
    <w:rsid w:val="001B3E09"/>
    <w:rsid w:val="001B4157"/>
    <w:rsid w:val="001C1301"/>
    <w:rsid w:val="001C2E37"/>
    <w:rsid w:val="001C674F"/>
    <w:rsid w:val="001D0107"/>
    <w:rsid w:val="001D0BB3"/>
    <w:rsid w:val="001E41C4"/>
    <w:rsid w:val="001F01C0"/>
    <w:rsid w:val="001F1AA9"/>
    <w:rsid w:val="001F2E89"/>
    <w:rsid w:val="001F3561"/>
    <w:rsid w:val="001F4924"/>
    <w:rsid w:val="001F4DBE"/>
    <w:rsid w:val="001F54A1"/>
    <w:rsid w:val="001F6587"/>
    <w:rsid w:val="002020FE"/>
    <w:rsid w:val="0020780F"/>
    <w:rsid w:val="00207EDF"/>
    <w:rsid w:val="00210C52"/>
    <w:rsid w:val="00212DE9"/>
    <w:rsid w:val="0021714B"/>
    <w:rsid w:val="00220CBF"/>
    <w:rsid w:val="00222A54"/>
    <w:rsid w:val="002235B1"/>
    <w:rsid w:val="002342D0"/>
    <w:rsid w:val="0023545A"/>
    <w:rsid w:val="0023797B"/>
    <w:rsid w:val="00237D92"/>
    <w:rsid w:val="0025185B"/>
    <w:rsid w:val="00262018"/>
    <w:rsid w:val="00265572"/>
    <w:rsid w:val="00274803"/>
    <w:rsid w:val="002847EA"/>
    <w:rsid w:val="00291C2A"/>
    <w:rsid w:val="00292636"/>
    <w:rsid w:val="00295D1B"/>
    <w:rsid w:val="00297E90"/>
    <w:rsid w:val="002A1A16"/>
    <w:rsid w:val="002A42F8"/>
    <w:rsid w:val="002B1C5C"/>
    <w:rsid w:val="002B21C0"/>
    <w:rsid w:val="002B3771"/>
    <w:rsid w:val="002C37AE"/>
    <w:rsid w:val="002E2D81"/>
    <w:rsid w:val="002E6ABA"/>
    <w:rsid w:val="002F039C"/>
    <w:rsid w:val="002F3D09"/>
    <w:rsid w:val="002F3FAF"/>
    <w:rsid w:val="002F4410"/>
    <w:rsid w:val="00303975"/>
    <w:rsid w:val="003070D7"/>
    <w:rsid w:val="00312887"/>
    <w:rsid w:val="00312A89"/>
    <w:rsid w:val="0032253F"/>
    <w:rsid w:val="00323A9F"/>
    <w:rsid w:val="003277C7"/>
    <w:rsid w:val="003304DB"/>
    <w:rsid w:val="003357F4"/>
    <w:rsid w:val="00337B96"/>
    <w:rsid w:val="00341CAC"/>
    <w:rsid w:val="00341F97"/>
    <w:rsid w:val="003467B8"/>
    <w:rsid w:val="00350907"/>
    <w:rsid w:val="00356574"/>
    <w:rsid w:val="003578DB"/>
    <w:rsid w:val="00357EBB"/>
    <w:rsid w:val="003660D4"/>
    <w:rsid w:val="00366917"/>
    <w:rsid w:val="0037552F"/>
    <w:rsid w:val="0037613A"/>
    <w:rsid w:val="003765C2"/>
    <w:rsid w:val="0037780D"/>
    <w:rsid w:val="00377933"/>
    <w:rsid w:val="00377979"/>
    <w:rsid w:val="00385C4A"/>
    <w:rsid w:val="003876B0"/>
    <w:rsid w:val="00387DC0"/>
    <w:rsid w:val="003922E2"/>
    <w:rsid w:val="003A0129"/>
    <w:rsid w:val="003A55F9"/>
    <w:rsid w:val="003A6EB6"/>
    <w:rsid w:val="003A7E26"/>
    <w:rsid w:val="003B0086"/>
    <w:rsid w:val="003B095C"/>
    <w:rsid w:val="003B32D4"/>
    <w:rsid w:val="003B7FE6"/>
    <w:rsid w:val="003C17AA"/>
    <w:rsid w:val="003C1F0B"/>
    <w:rsid w:val="003C497E"/>
    <w:rsid w:val="003D1CE4"/>
    <w:rsid w:val="003D2575"/>
    <w:rsid w:val="003D28DB"/>
    <w:rsid w:val="003D72E9"/>
    <w:rsid w:val="003E3E4A"/>
    <w:rsid w:val="003F44C0"/>
    <w:rsid w:val="0040378F"/>
    <w:rsid w:val="0040405C"/>
    <w:rsid w:val="00412FBA"/>
    <w:rsid w:val="00420C1D"/>
    <w:rsid w:val="00433020"/>
    <w:rsid w:val="00433A89"/>
    <w:rsid w:val="00433AFB"/>
    <w:rsid w:val="00450273"/>
    <w:rsid w:val="004525C0"/>
    <w:rsid w:val="004527DE"/>
    <w:rsid w:val="00455745"/>
    <w:rsid w:val="00460E5E"/>
    <w:rsid w:val="00461136"/>
    <w:rsid w:val="00474DAB"/>
    <w:rsid w:val="00474DF7"/>
    <w:rsid w:val="00480983"/>
    <w:rsid w:val="00481F60"/>
    <w:rsid w:val="004826E6"/>
    <w:rsid w:val="00485F9E"/>
    <w:rsid w:val="00491DCD"/>
    <w:rsid w:val="004920BB"/>
    <w:rsid w:val="00492403"/>
    <w:rsid w:val="00496E3F"/>
    <w:rsid w:val="004976F9"/>
    <w:rsid w:val="00497B7E"/>
    <w:rsid w:val="004A0639"/>
    <w:rsid w:val="004A1D2E"/>
    <w:rsid w:val="004A286D"/>
    <w:rsid w:val="004A5EF7"/>
    <w:rsid w:val="004B2251"/>
    <w:rsid w:val="004B3772"/>
    <w:rsid w:val="004B6914"/>
    <w:rsid w:val="004B6B39"/>
    <w:rsid w:val="004B6C0A"/>
    <w:rsid w:val="004B6F98"/>
    <w:rsid w:val="004B7142"/>
    <w:rsid w:val="004B73DB"/>
    <w:rsid w:val="004C0C8A"/>
    <w:rsid w:val="004D67CB"/>
    <w:rsid w:val="004D79A9"/>
    <w:rsid w:val="004F23CE"/>
    <w:rsid w:val="004F3536"/>
    <w:rsid w:val="004F6D94"/>
    <w:rsid w:val="004F763D"/>
    <w:rsid w:val="004F77C6"/>
    <w:rsid w:val="00500DB9"/>
    <w:rsid w:val="00503192"/>
    <w:rsid w:val="0050400B"/>
    <w:rsid w:val="00514186"/>
    <w:rsid w:val="0051512A"/>
    <w:rsid w:val="00515E03"/>
    <w:rsid w:val="00522667"/>
    <w:rsid w:val="005237BE"/>
    <w:rsid w:val="00525351"/>
    <w:rsid w:val="00534095"/>
    <w:rsid w:val="0053755F"/>
    <w:rsid w:val="00543AB8"/>
    <w:rsid w:val="0054421F"/>
    <w:rsid w:val="00545D8B"/>
    <w:rsid w:val="00552B75"/>
    <w:rsid w:val="005535C2"/>
    <w:rsid w:val="00554135"/>
    <w:rsid w:val="00555B5B"/>
    <w:rsid w:val="005624A8"/>
    <w:rsid w:val="00562D35"/>
    <w:rsid w:val="00564736"/>
    <w:rsid w:val="00564E3A"/>
    <w:rsid w:val="00564F35"/>
    <w:rsid w:val="00567D6E"/>
    <w:rsid w:val="00571016"/>
    <w:rsid w:val="00572DCD"/>
    <w:rsid w:val="005730D2"/>
    <w:rsid w:val="00574A1B"/>
    <w:rsid w:val="005832AE"/>
    <w:rsid w:val="005851C7"/>
    <w:rsid w:val="005867F6"/>
    <w:rsid w:val="00587B9C"/>
    <w:rsid w:val="00590835"/>
    <w:rsid w:val="00591F91"/>
    <w:rsid w:val="00593641"/>
    <w:rsid w:val="00594733"/>
    <w:rsid w:val="005950BA"/>
    <w:rsid w:val="00595CFA"/>
    <w:rsid w:val="005A0730"/>
    <w:rsid w:val="005A3470"/>
    <w:rsid w:val="005A540E"/>
    <w:rsid w:val="005B1052"/>
    <w:rsid w:val="005B14CD"/>
    <w:rsid w:val="005B5B0D"/>
    <w:rsid w:val="005C1242"/>
    <w:rsid w:val="005C1A85"/>
    <w:rsid w:val="005C1BA2"/>
    <w:rsid w:val="005C4A8E"/>
    <w:rsid w:val="005C51A1"/>
    <w:rsid w:val="005C601D"/>
    <w:rsid w:val="005D077E"/>
    <w:rsid w:val="005D120A"/>
    <w:rsid w:val="005D1D21"/>
    <w:rsid w:val="005D4200"/>
    <w:rsid w:val="005D6B2D"/>
    <w:rsid w:val="005D73D6"/>
    <w:rsid w:val="005E02F8"/>
    <w:rsid w:val="005E6FC2"/>
    <w:rsid w:val="005F176B"/>
    <w:rsid w:val="005F62B6"/>
    <w:rsid w:val="005F70AC"/>
    <w:rsid w:val="005F790C"/>
    <w:rsid w:val="006000F3"/>
    <w:rsid w:val="00605F1D"/>
    <w:rsid w:val="00606A91"/>
    <w:rsid w:val="00612E96"/>
    <w:rsid w:val="00613CB9"/>
    <w:rsid w:val="00620014"/>
    <w:rsid w:val="00620211"/>
    <w:rsid w:val="00622BFF"/>
    <w:rsid w:val="00626C38"/>
    <w:rsid w:val="006302AA"/>
    <w:rsid w:val="00630757"/>
    <w:rsid w:val="00632991"/>
    <w:rsid w:val="00633337"/>
    <w:rsid w:val="006365F8"/>
    <w:rsid w:val="00637C5A"/>
    <w:rsid w:val="00640573"/>
    <w:rsid w:val="006410EB"/>
    <w:rsid w:val="00643E05"/>
    <w:rsid w:val="00644D1E"/>
    <w:rsid w:val="0064623E"/>
    <w:rsid w:val="006462AC"/>
    <w:rsid w:val="00646730"/>
    <w:rsid w:val="0064789F"/>
    <w:rsid w:val="0065245F"/>
    <w:rsid w:val="006560F5"/>
    <w:rsid w:val="0065655C"/>
    <w:rsid w:val="00656C85"/>
    <w:rsid w:val="00663654"/>
    <w:rsid w:val="006642E3"/>
    <w:rsid w:val="00664638"/>
    <w:rsid w:val="006657A8"/>
    <w:rsid w:val="00666099"/>
    <w:rsid w:val="00670218"/>
    <w:rsid w:val="006718FE"/>
    <w:rsid w:val="00671A3F"/>
    <w:rsid w:val="00671F41"/>
    <w:rsid w:val="00674041"/>
    <w:rsid w:val="00675945"/>
    <w:rsid w:val="00676200"/>
    <w:rsid w:val="00677531"/>
    <w:rsid w:val="006778DD"/>
    <w:rsid w:val="00677DE3"/>
    <w:rsid w:val="00680009"/>
    <w:rsid w:val="006805A0"/>
    <w:rsid w:val="00684DA9"/>
    <w:rsid w:val="00687B33"/>
    <w:rsid w:val="00691399"/>
    <w:rsid w:val="00694313"/>
    <w:rsid w:val="00694690"/>
    <w:rsid w:val="006A1A94"/>
    <w:rsid w:val="006A1CF5"/>
    <w:rsid w:val="006A51E7"/>
    <w:rsid w:val="006A60FF"/>
    <w:rsid w:val="006A6235"/>
    <w:rsid w:val="006B40F7"/>
    <w:rsid w:val="006B4D01"/>
    <w:rsid w:val="006C074E"/>
    <w:rsid w:val="006C1C28"/>
    <w:rsid w:val="006D42CC"/>
    <w:rsid w:val="006E06CA"/>
    <w:rsid w:val="006E68B2"/>
    <w:rsid w:val="006E71DC"/>
    <w:rsid w:val="006E7890"/>
    <w:rsid w:val="006F0EBA"/>
    <w:rsid w:val="006F5700"/>
    <w:rsid w:val="007034CE"/>
    <w:rsid w:val="00703AA2"/>
    <w:rsid w:val="007068AD"/>
    <w:rsid w:val="00706A9C"/>
    <w:rsid w:val="00710344"/>
    <w:rsid w:val="00711F87"/>
    <w:rsid w:val="007170E0"/>
    <w:rsid w:val="0072144A"/>
    <w:rsid w:val="00723695"/>
    <w:rsid w:val="007245F3"/>
    <w:rsid w:val="007278EA"/>
    <w:rsid w:val="007360FC"/>
    <w:rsid w:val="0073694C"/>
    <w:rsid w:val="00737C51"/>
    <w:rsid w:val="00737DFE"/>
    <w:rsid w:val="00745876"/>
    <w:rsid w:val="0074682C"/>
    <w:rsid w:val="00751615"/>
    <w:rsid w:val="00752198"/>
    <w:rsid w:val="0075276E"/>
    <w:rsid w:val="00752BCC"/>
    <w:rsid w:val="0075370C"/>
    <w:rsid w:val="007560B2"/>
    <w:rsid w:val="00757FA3"/>
    <w:rsid w:val="00762B5F"/>
    <w:rsid w:val="007677D3"/>
    <w:rsid w:val="00775697"/>
    <w:rsid w:val="007812A3"/>
    <w:rsid w:val="00781BEE"/>
    <w:rsid w:val="0078476D"/>
    <w:rsid w:val="00785350"/>
    <w:rsid w:val="0078701A"/>
    <w:rsid w:val="0078788D"/>
    <w:rsid w:val="007916B5"/>
    <w:rsid w:val="00794797"/>
    <w:rsid w:val="00797B38"/>
    <w:rsid w:val="00797C3A"/>
    <w:rsid w:val="007A0806"/>
    <w:rsid w:val="007A4876"/>
    <w:rsid w:val="007A4D2C"/>
    <w:rsid w:val="007A75F7"/>
    <w:rsid w:val="007C2C10"/>
    <w:rsid w:val="007C7FFE"/>
    <w:rsid w:val="007D216B"/>
    <w:rsid w:val="007D4602"/>
    <w:rsid w:val="007E0A55"/>
    <w:rsid w:val="007E4187"/>
    <w:rsid w:val="007F4714"/>
    <w:rsid w:val="007F5FC3"/>
    <w:rsid w:val="007F5FF3"/>
    <w:rsid w:val="007F7574"/>
    <w:rsid w:val="00804F2A"/>
    <w:rsid w:val="008071B0"/>
    <w:rsid w:val="008076A7"/>
    <w:rsid w:val="008103A0"/>
    <w:rsid w:val="00811AAF"/>
    <w:rsid w:val="0081380F"/>
    <w:rsid w:val="00820B10"/>
    <w:rsid w:val="00822388"/>
    <w:rsid w:val="00822F5A"/>
    <w:rsid w:val="00824B2F"/>
    <w:rsid w:val="0083375C"/>
    <w:rsid w:val="00834225"/>
    <w:rsid w:val="00835BEA"/>
    <w:rsid w:val="0083760B"/>
    <w:rsid w:val="00841716"/>
    <w:rsid w:val="00843C2E"/>
    <w:rsid w:val="00844E48"/>
    <w:rsid w:val="00844FB5"/>
    <w:rsid w:val="008474EB"/>
    <w:rsid w:val="008479E7"/>
    <w:rsid w:val="00850136"/>
    <w:rsid w:val="008508DB"/>
    <w:rsid w:val="00853EF4"/>
    <w:rsid w:val="00854A75"/>
    <w:rsid w:val="0085573D"/>
    <w:rsid w:val="00863886"/>
    <w:rsid w:val="008643AC"/>
    <w:rsid w:val="008646C6"/>
    <w:rsid w:val="00864CE8"/>
    <w:rsid w:val="00865E41"/>
    <w:rsid w:val="00872064"/>
    <w:rsid w:val="00883DBD"/>
    <w:rsid w:val="00883EE8"/>
    <w:rsid w:val="00884599"/>
    <w:rsid w:val="0088487B"/>
    <w:rsid w:val="00886182"/>
    <w:rsid w:val="00887E44"/>
    <w:rsid w:val="008936A5"/>
    <w:rsid w:val="0089412E"/>
    <w:rsid w:val="00896695"/>
    <w:rsid w:val="00897440"/>
    <w:rsid w:val="008A1E0C"/>
    <w:rsid w:val="008A7F32"/>
    <w:rsid w:val="008B1156"/>
    <w:rsid w:val="008B22C7"/>
    <w:rsid w:val="008B371C"/>
    <w:rsid w:val="008B79A8"/>
    <w:rsid w:val="008C041E"/>
    <w:rsid w:val="008C71C1"/>
    <w:rsid w:val="008D086F"/>
    <w:rsid w:val="008D38D4"/>
    <w:rsid w:val="008D553A"/>
    <w:rsid w:val="008D6031"/>
    <w:rsid w:val="008D66FB"/>
    <w:rsid w:val="008D6B8B"/>
    <w:rsid w:val="008E4F39"/>
    <w:rsid w:val="008F2EDF"/>
    <w:rsid w:val="008F58EA"/>
    <w:rsid w:val="00903DE1"/>
    <w:rsid w:val="009041B1"/>
    <w:rsid w:val="00905E93"/>
    <w:rsid w:val="00906942"/>
    <w:rsid w:val="00906DD4"/>
    <w:rsid w:val="009079BA"/>
    <w:rsid w:val="00907DCB"/>
    <w:rsid w:val="009107D2"/>
    <w:rsid w:val="0091255B"/>
    <w:rsid w:val="009142EF"/>
    <w:rsid w:val="00920C8D"/>
    <w:rsid w:val="009213A6"/>
    <w:rsid w:val="0092234D"/>
    <w:rsid w:val="0093141C"/>
    <w:rsid w:val="009433BC"/>
    <w:rsid w:val="00945840"/>
    <w:rsid w:val="009471F6"/>
    <w:rsid w:val="00947B47"/>
    <w:rsid w:val="00950E2D"/>
    <w:rsid w:val="00951C82"/>
    <w:rsid w:val="00951CB6"/>
    <w:rsid w:val="0097123A"/>
    <w:rsid w:val="00972A1C"/>
    <w:rsid w:val="00972F38"/>
    <w:rsid w:val="00973155"/>
    <w:rsid w:val="00975D79"/>
    <w:rsid w:val="009800F4"/>
    <w:rsid w:val="00980BAE"/>
    <w:rsid w:val="009820E2"/>
    <w:rsid w:val="00983057"/>
    <w:rsid w:val="00984D17"/>
    <w:rsid w:val="00985561"/>
    <w:rsid w:val="00985FED"/>
    <w:rsid w:val="00991B9E"/>
    <w:rsid w:val="00996D7E"/>
    <w:rsid w:val="009A16AA"/>
    <w:rsid w:val="009A3A16"/>
    <w:rsid w:val="009B1515"/>
    <w:rsid w:val="009B19AD"/>
    <w:rsid w:val="009B2234"/>
    <w:rsid w:val="009B2842"/>
    <w:rsid w:val="009B2BA1"/>
    <w:rsid w:val="009B7A86"/>
    <w:rsid w:val="009C1FBA"/>
    <w:rsid w:val="009C268B"/>
    <w:rsid w:val="009C3D1C"/>
    <w:rsid w:val="009D10DB"/>
    <w:rsid w:val="009D1465"/>
    <w:rsid w:val="009D3D90"/>
    <w:rsid w:val="009D56B2"/>
    <w:rsid w:val="009D6673"/>
    <w:rsid w:val="009D72EF"/>
    <w:rsid w:val="009E1275"/>
    <w:rsid w:val="009E595D"/>
    <w:rsid w:val="009F207A"/>
    <w:rsid w:val="009F2FAA"/>
    <w:rsid w:val="009F40DE"/>
    <w:rsid w:val="009F4A95"/>
    <w:rsid w:val="009F59DF"/>
    <w:rsid w:val="009F5C68"/>
    <w:rsid w:val="00A02514"/>
    <w:rsid w:val="00A04B34"/>
    <w:rsid w:val="00A051E7"/>
    <w:rsid w:val="00A053B8"/>
    <w:rsid w:val="00A055B3"/>
    <w:rsid w:val="00A0733E"/>
    <w:rsid w:val="00A0746B"/>
    <w:rsid w:val="00A11EB0"/>
    <w:rsid w:val="00A14D2F"/>
    <w:rsid w:val="00A1773E"/>
    <w:rsid w:val="00A2146B"/>
    <w:rsid w:val="00A254C4"/>
    <w:rsid w:val="00A2662B"/>
    <w:rsid w:val="00A27B35"/>
    <w:rsid w:val="00A321B0"/>
    <w:rsid w:val="00A36685"/>
    <w:rsid w:val="00A44386"/>
    <w:rsid w:val="00A458A0"/>
    <w:rsid w:val="00A47D32"/>
    <w:rsid w:val="00A57AA8"/>
    <w:rsid w:val="00A640F7"/>
    <w:rsid w:val="00A65FFE"/>
    <w:rsid w:val="00A708BA"/>
    <w:rsid w:val="00A70C8D"/>
    <w:rsid w:val="00A7516C"/>
    <w:rsid w:val="00A7528D"/>
    <w:rsid w:val="00A773ED"/>
    <w:rsid w:val="00A77F56"/>
    <w:rsid w:val="00A80DCF"/>
    <w:rsid w:val="00A80FEE"/>
    <w:rsid w:val="00A81004"/>
    <w:rsid w:val="00A81B22"/>
    <w:rsid w:val="00A81ED0"/>
    <w:rsid w:val="00A82CF2"/>
    <w:rsid w:val="00A834B4"/>
    <w:rsid w:val="00A839F2"/>
    <w:rsid w:val="00A8506C"/>
    <w:rsid w:val="00A97630"/>
    <w:rsid w:val="00AA557A"/>
    <w:rsid w:val="00AA686C"/>
    <w:rsid w:val="00AA70C2"/>
    <w:rsid w:val="00AA7F4C"/>
    <w:rsid w:val="00AB074B"/>
    <w:rsid w:val="00AB37B1"/>
    <w:rsid w:val="00AB6C69"/>
    <w:rsid w:val="00AC2E2F"/>
    <w:rsid w:val="00AC5C4B"/>
    <w:rsid w:val="00AC7016"/>
    <w:rsid w:val="00AD1099"/>
    <w:rsid w:val="00AD1876"/>
    <w:rsid w:val="00AD5586"/>
    <w:rsid w:val="00AD668E"/>
    <w:rsid w:val="00AD6C72"/>
    <w:rsid w:val="00AE0CDD"/>
    <w:rsid w:val="00AE391E"/>
    <w:rsid w:val="00AE5327"/>
    <w:rsid w:val="00AF0148"/>
    <w:rsid w:val="00AF2914"/>
    <w:rsid w:val="00AF4038"/>
    <w:rsid w:val="00AF6AA5"/>
    <w:rsid w:val="00AF7841"/>
    <w:rsid w:val="00B02C7F"/>
    <w:rsid w:val="00B07E99"/>
    <w:rsid w:val="00B11572"/>
    <w:rsid w:val="00B11F86"/>
    <w:rsid w:val="00B14F0C"/>
    <w:rsid w:val="00B15D69"/>
    <w:rsid w:val="00B1629D"/>
    <w:rsid w:val="00B16B27"/>
    <w:rsid w:val="00B2203C"/>
    <w:rsid w:val="00B25024"/>
    <w:rsid w:val="00B26926"/>
    <w:rsid w:val="00B32F03"/>
    <w:rsid w:val="00B350EC"/>
    <w:rsid w:val="00B40CDF"/>
    <w:rsid w:val="00B418F8"/>
    <w:rsid w:val="00B4264D"/>
    <w:rsid w:val="00B430BA"/>
    <w:rsid w:val="00B45C46"/>
    <w:rsid w:val="00B511F6"/>
    <w:rsid w:val="00B523E7"/>
    <w:rsid w:val="00B55E7D"/>
    <w:rsid w:val="00B5600C"/>
    <w:rsid w:val="00B620E8"/>
    <w:rsid w:val="00B63DD1"/>
    <w:rsid w:val="00B64393"/>
    <w:rsid w:val="00B67536"/>
    <w:rsid w:val="00B67EC8"/>
    <w:rsid w:val="00B71897"/>
    <w:rsid w:val="00B755EB"/>
    <w:rsid w:val="00B8183A"/>
    <w:rsid w:val="00B85F6C"/>
    <w:rsid w:val="00B90F36"/>
    <w:rsid w:val="00B95F22"/>
    <w:rsid w:val="00BA0E66"/>
    <w:rsid w:val="00BA1549"/>
    <w:rsid w:val="00BA764F"/>
    <w:rsid w:val="00BB0F5B"/>
    <w:rsid w:val="00BB27C9"/>
    <w:rsid w:val="00BC1B98"/>
    <w:rsid w:val="00BC71D1"/>
    <w:rsid w:val="00BD02FC"/>
    <w:rsid w:val="00BD0913"/>
    <w:rsid w:val="00BD10BE"/>
    <w:rsid w:val="00BE1FE0"/>
    <w:rsid w:val="00BE5C72"/>
    <w:rsid w:val="00BF6D13"/>
    <w:rsid w:val="00C000C7"/>
    <w:rsid w:val="00C015B4"/>
    <w:rsid w:val="00C035A0"/>
    <w:rsid w:val="00C04110"/>
    <w:rsid w:val="00C04E06"/>
    <w:rsid w:val="00C077E1"/>
    <w:rsid w:val="00C07C20"/>
    <w:rsid w:val="00C1055B"/>
    <w:rsid w:val="00C1161F"/>
    <w:rsid w:val="00C1344E"/>
    <w:rsid w:val="00C13C7B"/>
    <w:rsid w:val="00C15799"/>
    <w:rsid w:val="00C1709F"/>
    <w:rsid w:val="00C17404"/>
    <w:rsid w:val="00C2051A"/>
    <w:rsid w:val="00C23067"/>
    <w:rsid w:val="00C31C34"/>
    <w:rsid w:val="00C325AD"/>
    <w:rsid w:val="00C377B5"/>
    <w:rsid w:val="00C4048D"/>
    <w:rsid w:val="00C42F81"/>
    <w:rsid w:val="00C4458E"/>
    <w:rsid w:val="00C46951"/>
    <w:rsid w:val="00C521C9"/>
    <w:rsid w:val="00C54CAA"/>
    <w:rsid w:val="00C57304"/>
    <w:rsid w:val="00C57CBA"/>
    <w:rsid w:val="00C611B5"/>
    <w:rsid w:val="00C61E9A"/>
    <w:rsid w:val="00C61FBC"/>
    <w:rsid w:val="00C633EC"/>
    <w:rsid w:val="00C63E24"/>
    <w:rsid w:val="00C63E7E"/>
    <w:rsid w:val="00C643E9"/>
    <w:rsid w:val="00C721F2"/>
    <w:rsid w:val="00C749EF"/>
    <w:rsid w:val="00C80E91"/>
    <w:rsid w:val="00C84D1B"/>
    <w:rsid w:val="00C85968"/>
    <w:rsid w:val="00C87C13"/>
    <w:rsid w:val="00C951B8"/>
    <w:rsid w:val="00C96DE6"/>
    <w:rsid w:val="00CA2777"/>
    <w:rsid w:val="00CB33DB"/>
    <w:rsid w:val="00CB5EBC"/>
    <w:rsid w:val="00CB6319"/>
    <w:rsid w:val="00CB7221"/>
    <w:rsid w:val="00CC109E"/>
    <w:rsid w:val="00CC5C7E"/>
    <w:rsid w:val="00CC677F"/>
    <w:rsid w:val="00CD0488"/>
    <w:rsid w:val="00CD19AE"/>
    <w:rsid w:val="00CD3E87"/>
    <w:rsid w:val="00CD5EEF"/>
    <w:rsid w:val="00CD6E96"/>
    <w:rsid w:val="00CD748B"/>
    <w:rsid w:val="00CE2C94"/>
    <w:rsid w:val="00CE577E"/>
    <w:rsid w:val="00CE701D"/>
    <w:rsid w:val="00CF4067"/>
    <w:rsid w:val="00CF4F52"/>
    <w:rsid w:val="00CF74FC"/>
    <w:rsid w:val="00D02F4D"/>
    <w:rsid w:val="00D0669F"/>
    <w:rsid w:val="00D104DC"/>
    <w:rsid w:val="00D13855"/>
    <w:rsid w:val="00D143C0"/>
    <w:rsid w:val="00D20C7F"/>
    <w:rsid w:val="00D247DA"/>
    <w:rsid w:val="00D24D14"/>
    <w:rsid w:val="00D24D9F"/>
    <w:rsid w:val="00D26B4F"/>
    <w:rsid w:val="00D27629"/>
    <w:rsid w:val="00D27E7D"/>
    <w:rsid w:val="00D33EF9"/>
    <w:rsid w:val="00D4548E"/>
    <w:rsid w:val="00D50517"/>
    <w:rsid w:val="00D51566"/>
    <w:rsid w:val="00D55103"/>
    <w:rsid w:val="00D560FB"/>
    <w:rsid w:val="00D60B45"/>
    <w:rsid w:val="00D61204"/>
    <w:rsid w:val="00D61960"/>
    <w:rsid w:val="00D6348B"/>
    <w:rsid w:val="00D65496"/>
    <w:rsid w:val="00D70743"/>
    <w:rsid w:val="00D72CA1"/>
    <w:rsid w:val="00D75BC0"/>
    <w:rsid w:val="00D777B0"/>
    <w:rsid w:val="00D8505F"/>
    <w:rsid w:val="00D90A25"/>
    <w:rsid w:val="00D93C59"/>
    <w:rsid w:val="00DA78A6"/>
    <w:rsid w:val="00DB26C6"/>
    <w:rsid w:val="00DB3EC3"/>
    <w:rsid w:val="00DC08AF"/>
    <w:rsid w:val="00DC1013"/>
    <w:rsid w:val="00DC26F9"/>
    <w:rsid w:val="00DC4161"/>
    <w:rsid w:val="00DC4E21"/>
    <w:rsid w:val="00DD41B0"/>
    <w:rsid w:val="00DD41C8"/>
    <w:rsid w:val="00DD45EB"/>
    <w:rsid w:val="00DD66CA"/>
    <w:rsid w:val="00DD75D4"/>
    <w:rsid w:val="00DE0049"/>
    <w:rsid w:val="00DE08E2"/>
    <w:rsid w:val="00DE090C"/>
    <w:rsid w:val="00DE0E09"/>
    <w:rsid w:val="00DE410C"/>
    <w:rsid w:val="00DF4711"/>
    <w:rsid w:val="00E042B9"/>
    <w:rsid w:val="00E049C3"/>
    <w:rsid w:val="00E05055"/>
    <w:rsid w:val="00E063FA"/>
    <w:rsid w:val="00E10A5D"/>
    <w:rsid w:val="00E14043"/>
    <w:rsid w:val="00E176EE"/>
    <w:rsid w:val="00E27D1B"/>
    <w:rsid w:val="00E30553"/>
    <w:rsid w:val="00E317CD"/>
    <w:rsid w:val="00E327E8"/>
    <w:rsid w:val="00E32B05"/>
    <w:rsid w:val="00E351D1"/>
    <w:rsid w:val="00E437A9"/>
    <w:rsid w:val="00E444E0"/>
    <w:rsid w:val="00E4533F"/>
    <w:rsid w:val="00E520D6"/>
    <w:rsid w:val="00E54523"/>
    <w:rsid w:val="00E6160B"/>
    <w:rsid w:val="00E6764D"/>
    <w:rsid w:val="00E718C6"/>
    <w:rsid w:val="00E753F0"/>
    <w:rsid w:val="00E82ECF"/>
    <w:rsid w:val="00E85AF2"/>
    <w:rsid w:val="00E86746"/>
    <w:rsid w:val="00E90440"/>
    <w:rsid w:val="00E9272B"/>
    <w:rsid w:val="00E95920"/>
    <w:rsid w:val="00EA09C2"/>
    <w:rsid w:val="00EA4F33"/>
    <w:rsid w:val="00EA5F2A"/>
    <w:rsid w:val="00EA7D57"/>
    <w:rsid w:val="00EB0B09"/>
    <w:rsid w:val="00EB1B16"/>
    <w:rsid w:val="00EB5952"/>
    <w:rsid w:val="00EB6A00"/>
    <w:rsid w:val="00EC0523"/>
    <w:rsid w:val="00EC076B"/>
    <w:rsid w:val="00EC22D5"/>
    <w:rsid w:val="00EC23B1"/>
    <w:rsid w:val="00EC6A10"/>
    <w:rsid w:val="00EC6DDE"/>
    <w:rsid w:val="00ED0062"/>
    <w:rsid w:val="00ED28A5"/>
    <w:rsid w:val="00ED2E15"/>
    <w:rsid w:val="00ED32EB"/>
    <w:rsid w:val="00ED428D"/>
    <w:rsid w:val="00ED48C6"/>
    <w:rsid w:val="00ED6C31"/>
    <w:rsid w:val="00ED7A05"/>
    <w:rsid w:val="00EE12D1"/>
    <w:rsid w:val="00EE2B3D"/>
    <w:rsid w:val="00EE3CE2"/>
    <w:rsid w:val="00EE5725"/>
    <w:rsid w:val="00EE7A37"/>
    <w:rsid w:val="00EF1AD8"/>
    <w:rsid w:val="00F00316"/>
    <w:rsid w:val="00F022F2"/>
    <w:rsid w:val="00F02CC8"/>
    <w:rsid w:val="00F04A75"/>
    <w:rsid w:val="00F05668"/>
    <w:rsid w:val="00F071E3"/>
    <w:rsid w:val="00F13F3C"/>
    <w:rsid w:val="00F1408B"/>
    <w:rsid w:val="00F207C5"/>
    <w:rsid w:val="00F216ED"/>
    <w:rsid w:val="00F23261"/>
    <w:rsid w:val="00F24097"/>
    <w:rsid w:val="00F25D28"/>
    <w:rsid w:val="00F2718F"/>
    <w:rsid w:val="00F27998"/>
    <w:rsid w:val="00F27ED8"/>
    <w:rsid w:val="00F33D6D"/>
    <w:rsid w:val="00F3532B"/>
    <w:rsid w:val="00F3690A"/>
    <w:rsid w:val="00F37A8E"/>
    <w:rsid w:val="00F41E5E"/>
    <w:rsid w:val="00F42C6F"/>
    <w:rsid w:val="00F42D95"/>
    <w:rsid w:val="00F45DF7"/>
    <w:rsid w:val="00F61593"/>
    <w:rsid w:val="00F62BE6"/>
    <w:rsid w:val="00F71A96"/>
    <w:rsid w:val="00F71E38"/>
    <w:rsid w:val="00F720B1"/>
    <w:rsid w:val="00F72BB0"/>
    <w:rsid w:val="00F7411B"/>
    <w:rsid w:val="00F74CF8"/>
    <w:rsid w:val="00F80BE9"/>
    <w:rsid w:val="00F81B9A"/>
    <w:rsid w:val="00F81E5A"/>
    <w:rsid w:val="00F85670"/>
    <w:rsid w:val="00F861B8"/>
    <w:rsid w:val="00F877E6"/>
    <w:rsid w:val="00F96E93"/>
    <w:rsid w:val="00FB051D"/>
    <w:rsid w:val="00FB130D"/>
    <w:rsid w:val="00FB2EE7"/>
    <w:rsid w:val="00FB3CEE"/>
    <w:rsid w:val="00FB4222"/>
    <w:rsid w:val="00FB56F9"/>
    <w:rsid w:val="00FB67A4"/>
    <w:rsid w:val="00FC0604"/>
    <w:rsid w:val="00FC6D50"/>
    <w:rsid w:val="00FD1871"/>
    <w:rsid w:val="00FD1ABF"/>
    <w:rsid w:val="00FD3573"/>
    <w:rsid w:val="00FD5804"/>
    <w:rsid w:val="00FE33EE"/>
    <w:rsid w:val="00FE4FF4"/>
    <w:rsid w:val="00FE68DF"/>
    <w:rsid w:val="00FE6BCB"/>
    <w:rsid w:val="00FF132A"/>
    <w:rsid w:val="00FF13DE"/>
    <w:rsid w:val="00FF23D8"/>
    <w:rsid w:val="00FF2461"/>
    <w:rsid w:val="00FF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02D97"/>
  <w15:chartTrackingRefBased/>
  <w15:docId w15:val="{1BF549DD-467E-40A1-B2CF-74DC6E17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28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2887"/>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12887"/>
    <w:pPr>
      <w:ind w:left="720"/>
      <w:contextualSpacing/>
    </w:pPr>
  </w:style>
  <w:style w:type="character" w:styleId="Hyperlink">
    <w:name w:val="Hyperlink"/>
    <w:basedOn w:val="DefaultParagraphFont"/>
    <w:uiPriority w:val="99"/>
    <w:unhideWhenUsed/>
    <w:rsid w:val="00312887"/>
    <w:rPr>
      <w:color w:val="0000FF"/>
      <w:u w:val="single"/>
    </w:rPr>
  </w:style>
  <w:style w:type="paragraph" w:customStyle="1" w:styleId="Body">
    <w:name w:val="Body"/>
    <w:rsid w:val="0031288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312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887"/>
  </w:style>
  <w:style w:type="paragraph" w:styleId="Footer">
    <w:name w:val="footer"/>
    <w:basedOn w:val="Normal"/>
    <w:link w:val="FooterChar"/>
    <w:uiPriority w:val="99"/>
    <w:unhideWhenUsed/>
    <w:rsid w:val="00312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887"/>
  </w:style>
  <w:style w:type="character" w:styleId="LineNumber">
    <w:name w:val="line number"/>
    <w:basedOn w:val="DefaultParagraphFont"/>
    <w:uiPriority w:val="99"/>
    <w:semiHidden/>
    <w:unhideWhenUsed/>
    <w:rsid w:val="00312887"/>
  </w:style>
  <w:style w:type="paragraph" w:styleId="BalloonText">
    <w:name w:val="Balloon Text"/>
    <w:basedOn w:val="Normal"/>
    <w:link w:val="BalloonTextChar"/>
    <w:uiPriority w:val="99"/>
    <w:semiHidden/>
    <w:unhideWhenUsed/>
    <w:rsid w:val="0031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887"/>
    <w:rPr>
      <w:rFonts w:ascii="Tahoma" w:hAnsi="Tahoma" w:cs="Tahoma"/>
      <w:sz w:val="16"/>
      <w:szCs w:val="16"/>
    </w:rPr>
  </w:style>
  <w:style w:type="paragraph" w:styleId="NormalWeb">
    <w:name w:val="Normal (Web)"/>
    <w:basedOn w:val="Normal"/>
    <w:uiPriority w:val="99"/>
    <w:unhideWhenUsed/>
    <w:rsid w:val="003128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12887"/>
    <w:rPr>
      <w:sz w:val="16"/>
      <w:szCs w:val="16"/>
    </w:rPr>
  </w:style>
  <w:style w:type="paragraph" w:styleId="CommentText">
    <w:name w:val="annotation text"/>
    <w:basedOn w:val="Normal"/>
    <w:link w:val="CommentTextChar"/>
    <w:uiPriority w:val="99"/>
    <w:unhideWhenUsed/>
    <w:rsid w:val="00312887"/>
    <w:pPr>
      <w:spacing w:line="240" w:lineRule="auto"/>
    </w:pPr>
    <w:rPr>
      <w:sz w:val="20"/>
      <w:szCs w:val="20"/>
    </w:rPr>
  </w:style>
  <w:style w:type="character" w:customStyle="1" w:styleId="CommentTextChar">
    <w:name w:val="Comment Text Char"/>
    <w:basedOn w:val="DefaultParagraphFont"/>
    <w:link w:val="CommentText"/>
    <w:uiPriority w:val="99"/>
    <w:rsid w:val="00312887"/>
    <w:rPr>
      <w:sz w:val="20"/>
      <w:szCs w:val="20"/>
    </w:rPr>
  </w:style>
  <w:style w:type="paragraph" w:styleId="CommentSubject">
    <w:name w:val="annotation subject"/>
    <w:basedOn w:val="CommentText"/>
    <w:next w:val="CommentText"/>
    <w:link w:val="CommentSubjectChar"/>
    <w:uiPriority w:val="99"/>
    <w:semiHidden/>
    <w:unhideWhenUsed/>
    <w:rsid w:val="00312887"/>
    <w:rPr>
      <w:b/>
      <w:bCs/>
    </w:rPr>
  </w:style>
  <w:style w:type="character" w:customStyle="1" w:styleId="CommentSubjectChar">
    <w:name w:val="Comment Subject Char"/>
    <w:basedOn w:val="CommentTextChar"/>
    <w:link w:val="CommentSubject"/>
    <w:uiPriority w:val="99"/>
    <w:semiHidden/>
    <w:rsid w:val="00312887"/>
    <w:rPr>
      <w:b/>
      <w:bCs/>
      <w:sz w:val="20"/>
      <w:szCs w:val="20"/>
    </w:rPr>
  </w:style>
  <w:style w:type="character" w:customStyle="1" w:styleId="heading">
    <w:name w:val="heading"/>
    <w:basedOn w:val="DefaultParagraphFont"/>
    <w:rsid w:val="00312887"/>
  </w:style>
  <w:style w:type="character" w:customStyle="1" w:styleId="UnresolvedMention1">
    <w:name w:val="Unresolved Mention1"/>
    <w:basedOn w:val="DefaultParagraphFont"/>
    <w:uiPriority w:val="99"/>
    <w:semiHidden/>
    <w:unhideWhenUsed/>
    <w:rsid w:val="00312887"/>
    <w:rPr>
      <w:color w:val="605E5C"/>
      <w:shd w:val="clear" w:color="auto" w:fill="E1DFDD"/>
    </w:rPr>
  </w:style>
  <w:style w:type="character" w:styleId="FollowedHyperlink">
    <w:name w:val="FollowedHyperlink"/>
    <w:basedOn w:val="DefaultParagraphFont"/>
    <w:uiPriority w:val="99"/>
    <w:semiHidden/>
    <w:unhideWhenUsed/>
    <w:rsid w:val="00312887"/>
    <w:rPr>
      <w:color w:val="954F72" w:themeColor="followedHyperlink"/>
      <w:u w:val="single"/>
    </w:rPr>
  </w:style>
  <w:style w:type="character" w:customStyle="1" w:styleId="ref-title">
    <w:name w:val="ref-title"/>
    <w:basedOn w:val="DefaultParagraphFont"/>
    <w:rsid w:val="00312887"/>
  </w:style>
  <w:style w:type="character" w:customStyle="1" w:styleId="ref-journal">
    <w:name w:val="ref-journal"/>
    <w:basedOn w:val="DefaultParagraphFont"/>
    <w:rsid w:val="00312887"/>
  </w:style>
  <w:style w:type="paragraph" w:styleId="Revision">
    <w:name w:val="Revision"/>
    <w:hidden/>
    <w:uiPriority w:val="99"/>
    <w:semiHidden/>
    <w:rsid w:val="00312887"/>
    <w:pPr>
      <w:spacing w:after="0" w:line="240" w:lineRule="auto"/>
    </w:pPr>
  </w:style>
  <w:style w:type="character" w:styleId="UnresolvedMention">
    <w:name w:val="Unresolved Mention"/>
    <w:basedOn w:val="DefaultParagraphFont"/>
    <w:uiPriority w:val="99"/>
    <w:semiHidden/>
    <w:unhideWhenUsed/>
    <w:rsid w:val="00B5600C"/>
    <w:rPr>
      <w:color w:val="605E5C"/>
      <w:shd w:val="clear" w:color="auto" w:fill="E1DFDD"/>
    </w:rPr>
  </w:style>
  <w:style w:type="character" w:styleId="PageNumber">
    <w:name w:val="page number"/>
    <w:basedOn w:val="DefaultParagraphFont"/>
    <w:uiPriority w:val="99"/>
    <w:semiHidden/>
    <w:unhideWhenUsed/>
    <w:rsid w:val="00433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6292">
      <w:bodyDiv w:val="1"/>
      <w:marLeft w:val="0"/>
      <w:marRight w:val="0"/>
      <w:marTop w:val="0"/>
      <w:marBottom w:val="0"/>
      <w:divBdr>
        <w:top w:val="none" w:sz="0" w:space="0" w:color="auto"/>
        <w:left w:val="none" w:sz="0" w:space="0" w:color="auto"/>
        <w:bottom w:val="none" w:sz="0" w:space="0" w:color="auto"/>
        <w:right w:val="none" w:sz="0" w:space="0" w:color="auto"/>
      </w:divBdr>
    </w:div>
    <w:div w:id="928856847">
      <w:bodyDiv w:val="1"/>
      <w:marLeft w:val="0"/>
      <w:marRight w:val="0"/>
      <w:marTop w:val="0"/>
      <w:marBottom w:val="0"/>
      <w:divBdr>
        <w:top w:val="none" w:sz="0" w:space="0" w:color="auto"/>
        <w:left w:val="none" w:sz="0" w:space="0" w:color="auto"/>
        <w:bottom w:val="none" w:sz="0" w:space="0" w:color="auto"/>
        <w:right w:val="none" w:sz="0" w:space="0" w:color="auto"/>
      </w:divBdr>
      <w:divsChild>
        <w:div w:id="1613124772">
          <w:marLeft w:val="0"/>
          <w:marRight w:val="0"/>
          <w:marTop w:val="0"/>
          <w:marBottom w:val="0"/>
          <w:divBdr>
            <w:top w:val="none" w:sz="0" w:space="0" w:color="auto"/>
            <w:left w:val="none" w:sz="0" w:space="0" w:color="auto"/>
            <w:bottom w:val="none" w:sz="0" w:space="0" w:color="auto"/>
            <w:right w:val="none" w:sz="0" w:space="0" w:color="auto"/>
          </w:divBdr>
          <w:divsChild>
            <w:div w:id="4560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0098">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0"/>
          <w:marTop w:val="0"/>
          <w:marBottom w:val="0"/>
          <w:divBdr>
            <w:top w:val="none" w:sz="0" w:space="0" w:color="auto"/>
            <w:left w:val="none" w:sz="0" w:space="0" w:color="auto"/>
            <w:bottom w:val="none" w:sz="0" w:space="0" w:color="auto"/>
            <w:right w:val="none" w:sz="0" w:space="0" w:color="auto"/>
          </w:divBdr>
          <w:divsChild>
            <w:div w:id="2942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fluck@nhs.net" TargetMode="External"/><Relationship Id="rId13" Type="http://schemas.openxmlformats.org/officeDocument/2006/relationships/hyperlink" Target="mailto:thang.han@rhul.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hang.han@rhul.ac.uk"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robin@nhs.ne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keefai.yeong@nhs.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adcliffe.lisk1@nhs.net" TargetMode="External"/><Relationship Id="rId14" Type="http://schemas.openxmlformats.org/officeDocument/2006/relationships/hyperlink" Target="https://corumpharmacy.com/wp-content/uploads/2020/08/Anticholinergic-cognitive-burden-scal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0798-FEBB-43E8-B07B-D7F377D3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4747</Words>
  <Characters>27062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Thang</dc:creator>
  <cp:keywords/>
  <dc:description/>
  <cp:lastModifiedBy>Han, Thang</cp:lastModifiedBy>
  <cp:revision>18</cp:revision>
  <dcterms:created xsi:type="dcterms:W3CDTF">2023-02-18T20:28:00Z</dcterms:created>
  <dcterms:modified xsi:type="dcterms:W3CDTF">2023-02-20T19:07:00Z</dcterms:modified>
</cp:coreProperties>
</file>