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B838" w14:textId="77777777" w:rsidR="00243DF4" w:rsidRPr="008C3932" w:rsidRDefault="00243DF4" w:rsidP="00243DF4">
      <w:pPr>
        <w:spacing w:line="360" w:lineRule="auto"/>
        <w:jc w:val="center"/>
        <w:rPr>
          <w:rFonts w:ascii="Times New Roman" w:hAnsi="Times New Roman" w:cs="Times New Roman"/>
          <w:color w:val="000000" w:themeColor="text1"/>
          <w:sz w:val="24"/>
          <w:szCs w:val="24"/>
        </w:rPr>
      </w:pPr>
    </w:p>
    <w:p w14:paraId="757A36D9" w14:textId="77777777" w:rsidR="00243DF4" w:rsidRPr="008C3932" w:rsidRDefault="00243DF4" w:rsidP="00243DF4">
      <w:pPr>
        <w:spacing w:line="360" w:lineRule="auto"/>
        <w:jc w:val="center"/>
        <w:rPr>
          <w:rFonts w:ascii="Times New Roman" w:hAnsi="Times New Roman" w:cs="Times New Roman"/>
          <w:color w:val="000000" w:themeColor="text1"/>
          <w:sz w:val="24"/>
          <w:szCs w:val="24"/>
        </w:rPr>
      </w:pPr>
    </w:p>
    <w:p w14:paraId="6C97225C" w14:textId="77777777" w:rsidR="00243DF4" w:rsidRPr="008C3932" w:rsidRDefault="00243DF4" w:rsidP="00243DF4">
      <w:pPr>
        <w:spacing w:line="360" w:lineRule="auto"/>
        <w:jc w:val="center"/>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t>Pandemic Paranoia in the General Population: International Prevalence and Sociodemographic Profile</w:t>
      </w:r>
    </w:p>
    <w:p w14:paraId="7D0E0340" w14:textId="77777777" w:rsidR="00243DF4" w:rsidRPr="008C3932" w:rsidRDefault="00243DF4" w:rsidP="00243DF4">
      <w:pPr>
        <w:spacing w:line="360" w:lineRule="auto"/>
        <w:rPr>
          <w:rFonts w:ascii="Times New Roman" w:hAnsi="Times New Roman" w:cs="Times New Roman"/>
          <w:color w:val="000000" w:themeColor="text1"/>
          <w:sz w:val="24"/>
          <w:szCs w:val="24"/>
        </w:rPr>
      </w:pPr>
    </w:p>
    <w:p w14:paraId="1D9FBABE" w14:textId="6FC0051B" w:rsidR="00243DF4" w:rsidRPr="008C3932" w:rsidRDefault="00243DF4" w:rsidP="00243DF4">
      <w:pPr>
        <w:spacing w:line="360" w:lineRule="auto"/>
        <w:jc w:val="center"/>
        <w:rPr>
          <w:rFonts w:ascii="Times New Roman" w:hAnsi="Times New Roman" w:cs="Times New Roman"/>
          <w:color w:val="000000" w:themeColor="text1"/>
          <w:sz w:val="24"/>
          <w:szCs w:val="24"/>
        </w:rPr>
      </w:pPr>
      <w:r w:rsidRPr="008C3932">
        <w:rPr>
          <w:rFonts w:ascii="Times New Roman" w:hAnsi="Times New Roman" w:cs="Times New Roman"/>
          <w:color w:val="000000" w:themeColor="text1"/>
          <w:sz w:val="24"/>
          <w:szCs w:val="24"/>
        </w:rPr>
        <w:t>Lyn Ellett</w:t>
      </w:r>
      <w:r w:rsidRPr="00E5170D">
        <w:rPr>
          <w:rFonts w:ascii="Times New Roman" w:hAnsi="Times New Roman" w:cs="Times New Roman"/>
          <w:color w:val="000000" w:themeColor="text1"/>
          <w:sz w:val="24"/>
          <w:szCs w:val="24"/>
          <w:vertAlign w:val="superscript"/>
        </w:rPr>
        <w:t>1</w:t>
      </w:r>
      <w:r w:rsidR="00BA45D0">
        <w:rPr>
          <w:rFonts w:ascii="Times New Roman" w:hAnsi="Times New Roman" w:cs="Times New Roman"/>
          <w:color w:val="000000" w:themeColor="text1"/>
          <w:sz w:val="24"/>
          <w:szCs w:val="24"/>
          <w:vertAlign w:val="superscript"/>
        </w:rPr>
        <w:t>*</w:t>
      </w:r>
      <w:r w:rsidRPr="008C3932">
        <w:rPr>
          <w:rFonts w:ascii="Times New Roman" w:hAnsi="Times New Roman" w:cs="Times New Roman"/>
          <w:color w:val="000000" w:themeColor="text1"/>
          <w:sz w:val="24"/>
          <w:szCs w:val="24"/>
        </w:rPr>
        <w:t xml:space="preserve">, </w:t>
      </w:r>
      <w:r w:rsidRPr="00FB73AC">
        <w:rPr>
          <w:rFonts w:ascii="Times New Roman" w:hAnsi="Times New Roman" w:cs="Times New Roman"/>
          <w:sz w:val="24"/>
          <w:szCs w:val="24"/>
        </w:rPr>
        <w:t>Björn Schlier</w:t>
      </w:r>
      <w:r w:rsidRPr="00E5170D">
        <w:rPr>
          <w:rFonts w:ascii="Times New Roman" w:hAnsi="Times New Roman" w:cs="Times New Roman"/>
          <w:color w:val="000000" w:themeColor="text1"/>
          <w:sz w:val="24"/>
          <w:szCs w:val="24"/>
          <w:shd w:val="clear" w:color="auto" w:fill="FFFFFF"/>
          <w:vertAlign w:val="superscript"/>
        </w:rPr>
        <w:t>2</w:t>
      </w:r>
      <w:r w:rsidRPr="00FB73AC">
        <w:t>,</w:t>
      </w:r>
      <w:r>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Jessica L. Kingston</w:t>
      </w:r>
      <w:r>
        <w:rPr>
          <w:rFonts w:ascii="Times New Roman" w:hAnsi="Times New Roman" w:cs="Times New Roman"/>
          <w:color w:val="000000" w:themeColor="text1"/>
          <w:sz w:val="24"/>
          <w:szCs w:val="24"/>
          <w:vertAlign w:val="superscript"/>
        </w:rPr>
        <w:t>3</w:t>
      </w:r>
      <w:r w:rsidRPr="008C3932">
        <w:rPr>
          <w:rFonts w:ascii="Times New Roman" w:hAnsi="Times New Roman" w:cs="Times New Roman"/>
          <w:color w:val="000000" w:themeColor="text1"/>
          <w:sz w:val="24"/>
          <w:szCs w:val="24"/>
        </w:rPr>
        <w:t>, Chen Zhu</w:t>
      </w:r>
      <w:r>
        <w:rPr>
          <w:rFonts w:ascii="Times New Roman" w:hAnsi="Times New Roman" w:cs="Times New Roman"/>
          <w:color w:val="000000" w:themeColor="text1"/>
          <w:sz w:val="24"/>
          <w:szCs w:val="24"/>
          <w:shd w:val="clear" w:color="auto" w:fill="FFFFFF"/>
          <w:vertAlign w:val="superscript"/>
        </w:rPr>
        <w:t>4</w:t>
      </w:r>
      <w:r>
        <w:rPr>
          <w:rFonts w:ascii="Times New Roman" w:hAnsi="Times New Roman" w:cs="Times New Roman"/>
          <w:color w:val="000000" w:themeColor="text1"/>
          <w:sz w:val="24"/>
          <w:szCs w:val="24"/>
        </w:rPr>
        <w:t>, S</w:t>
      </w:r>
      <w:r w:rsidRPr="008C3932">
        <w:rPr>
          <w:rFonts w:ascii="Times New Roman" w:hAnsi="Times New Roman" w:cs="Times New Roman"/>
          <w:color w:val="000000" w:themeColor="text1"/>
          <w:sz w:val="24"/>
          <w:szCs w:val="24"/>
        </w:rPr>
        <w:t>uzanne Ho-wai So</w:t>
      </w:r>
      <w:r>
        <w:rPr>
          <w:rFonts w:ascii="Times New Roman" w:hAnsi="Times New Roman" w:cs="Times New Roman"/>
          <w:color w:val="000000" w:themeColor="text1"/>
          <w:sz w:val="24"/>
          <w:szCs w:val="24"/>
          <w:shd w:val="clear" w:color="auto" w:fill="FFFFFF"/>
          <w:vertAlign w:val="superscript"/>
        </w:rPr>
        <w:t>4</w:t>
      </w:r>
      <w:r w:rsidRPr="008C3932">
        <w:rPr>
          <w:rFonts w:ascii="Times New Roman" w:hAnsi="Times New Roman" w:cs="Times New Roman"/>
          <w:color w:val="000000" w:themeColor="text1"/>
          <w:sz w:val="24"/>
          <w:szCs w:val="24"/>
        </w:rPr>
        <w:t>, Tania M. Lincoln</w:t>
      </w:r>
      <w:r>
        <w:rPr>
          <w:rFonts w:ascii="Times New Roman" w:hAnsi="Times New Roman" w:cs="Times New Roman"/>
          <w:bCs/>
          <w:color w:val="000000" w:themeColor="text1"/>
          <w:sz w:val="24"/>
          <w:szCs w:val="24"/>
          <w:vertAlign w:val="superscript"/>
        </w:rPr>
        <w:t>2</w:t>
      </w:r>
      <w:r w:rsidRPr="008C3932">
        <w:rPr>
          <w:rFonts w:ascii="Times New Roman" w:hAnsi="Times New Roman" w:cs="Times New Roman"/>
          <w:color w:val="000000" w:themeColor="text1"/>
          <w:sz w:val="24"/>
          <w:szCs w:val="24"/>
        </w:rPr>
        <w:t>, Eric M.J. Morris</w:t>
      </w:r>
      <w:r>
        <w:rPr>
          <w:rFonts w:ascii="Times New Roman" w:hAnsi="Times New Roman" w:cs="Times New Roman"/>
          <w:bCs/>
          <w:color w:val="000000" w:themeColor="text1"/>
          <w:sz w:val="24"/>
          <w:szCs w:val="24"/>
          <w:vertAlign w:val="superscript"/>
        </w:rPr>
        <w:t>5</w:t>
      </w:r>
      <w:r w:rsidRPr="008C3932">
        <w:rPr>
          <w:rFonts w:ascii="Times New Roman" w:hAnsi="Times New Roman" w:cs="Times New Roman"/>
          <w:color w:val="000000" w:themeColor="text1"/>
          <w:sz w:val="24"/>
          <w:szCs w:val="24"/>
        </w:rPr>
        <w:t>, Brandon A. Gaudiano</w:t>
      </w:r>
      <w:r>
        <w:rPr>
          <w:rFonts w:ascii="Times New Roman" w:hAnsi="Times New Roman" w:cs="Times New Roman"/>
          <w:bCs/>
          <w:color w:val="000000" w:themeColor="text1"/>
          <w:sz w:val="24"/>
          <w:szCs w:val="24"/>
          <w:vertAlign w:val="superscript"/>
        </w:rPr>
        <w:t>6</w:t>
      </w:r>
    </w:p>
    <w:p w14:paraId="13CBD4AE" w14:textId="77777777" w:rsidR="00243DF4" w:rsidRDefault="00243DF4" w:rsidP="00243DF4">
      <w:pPr>
        <w:widowControl w:val="0"/>
        <w:spacing w:after="0" w:line="480" w:lineRule="auto"/>
        <w:rPr>
          <w:rFonts w:ascii="Times New Roman" w:hAnsi="Times New Roman" w:cs="Times New Roman"/>
          <w:color w:val="000000" w:themeColor="text1"/>
          <w:sz w:val="24"/>
          <w:szCs w:val="24"/>
        </w:rPr>
      </w:pPr>
    </w:p>
    <w:p w14:paraId="0DAADFE5" w14:textId="77777777" w:rsidR="00243DF4" w:rsidRPr="00E5170D" w:rsidRDefault="00243DF4" w:rsidP="00243DF4">
      <w:pPr>
        <w:widowControl w:val="0"/>
        <w:spacing w:after="0" w:line="480" w:lineRule="auto"/>
        <w:rPr>
          <w:rFonts w:ascii="Times New Roman" w:hAnsi="Times New Roman" w:cs="Times New Roman"/>
          <w:color w:val="000000" w:themeColor="text1"/>
          <w:sz w:val="24"/>
          <w:szCs w:val="24"/>
        </w:rPr>
      </w:pPr>
      <w:r w:rsidRPr="00E5170D">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University of Southampton, UK</w:t>
      </w:r>
    </w:p>
    <w:p w14:paraId="6F5C0F02" w14:textId="77777777" w:rsidR="00243DF4" w:rsidRDefault="00243DF4" w:rsidP="00243DF4">
      <w:pPr>
        <w:widowControl w:val="0"/>
        <w:spacing w:after="0" w:line="480" w:lineRule="auto"/>
        <w:rPr>
          <w:rFonts w:ascii="Times New Roman" w:hAnsi="Times New Roman" w:cs="Times New Roman"/>
          <w:color w:val="000000" w:themeColor="text1"/>
          <w:sz w:val="24"/>
          <w:szCs w:val="24"/>
          <w:shd w:val="clear" w:color="auto" w:fill="FFFFFF"/>
        </w:rPr>
      </w:pPr>
      <w:r w:rsidRPr="00E5170D">
        <w:rPr>
          <w:rFonts w:ascii="Times New Roman" w:hAnsi="Times New Roman" w:cs="Times New Roman"/>
          <w:color w:val="000000" w:themeColor="text1"/>
          <w:sz w:val="24"/>
          <w:szCs w:val="24"/>
          <w:shd w:val="clear" w:color="auto" w:fill="FFFFFF"/>
          <w:vertAlign w:val="superscript"/>
        </w:rPr>
        <w:t>2</w:t>
      </w:r>
      <w:r w:rsidRPr="00FB73AC">
        <w:rPr>
          <w:rFonts w:ascii="Times New Roman" w:hAnsi="Times New Roman" w:cs="Times New Roman"/>
          <w:sz w:val="24"/>
          <w:szCs w:val="24"/>
        </w:rPr>
        <w:t>Universität Hamburg, Germany</w:t>
      </w:r>
      <w:r w:rsidRPr="00E5170D">
        <w:rPr>
          <w:rFonts w:ascii="Times New Roman" w:hAnsi="Times New Roman" w:cs="Times New Roman"/>
          <w:color w:val="000000" w:themeColor="text1"/>
          <w:sz w:val="24"/>
          <w:szCs w:val="24"/>
          <w:shd w:val="clear" w:color="auto" w:fill="FFFFFF"/>
        </w:rPr>
        <w:t xml:space="preserve"> </w:t>
      </w:r>
    </w:p>
    <w:p w14:paraId="39B8B01F" w14:textId="77777777" w:rsidR="00243DF4" w:rsidRPr="00855C20" w:rsidRDefault="00243DF4" w:rsidP="00243DF4">
      <w:pPr>
        <w:widowControl w:val="0"/>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vertAlign w:val="superscript"/>
        </w:rPr>
        <w:t>3</w:t>
      </w:r>
      <w:r>
        <w:rPr>
          <w:rFonts w:ascii="Times New Roman" w:hAnsi="Times New Roman" w:cs="Times New Roman"/>
          <w:bCs/>
          <w:color w:val="000000" w:themeColor="text1"/>
          <w:sz w:val="24"/>
          <w:szCs w:val="24"/>
        </w:rPr>
        <w:t xml:space="preserve"> Royal Holloway, University of London</w:t>
      </w:r>
    </w:p>
    <w:p w14:paraId="7D495A6B" w14:textId="66F04A4B" w:rsidR="00243DF4" w:rsidRPr="003344C4" w:rsidRDefault="00243DF4" w:rsidP="00243DF4">
      <w:pPr>
        <w:widowControl w:val="0"/>
        <w:spacing w:after="0" w:line="48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vertAlign w:val="superscript"/>
        </w:rPr>
        <w:t xml:space="preserve">4 </w:t>
      </w:r>
      <w:r w:rsidRPr="00E5170D">
        <w:rPr>
          <w:rFonts w:ascii="Times New Roman" w:hAnsi="Times New Roman" w:cs="Times New Roman"/>
          <w:color w:val="000000" w:themeColor="text1"/>
          <w:sz w:val="24"/>
          <w:szCs w:val="24"/>
          <w:shd w:val="clear" w:color="auto" w:fill="FFFFFF"/>
        </w:rPr>
        <w:t>The </w:t>
      </w:r>
      <w:r w:rsidRPr="00E5170D">
        <w:rPr>
          <w:rStyle w:val="markcnid2vzvs"/>
          <w:rFonts w:ascii="Times New Roman" w:hAnsi="Times New Roman" w:cs="Times New Roman"/>
          <w:color w:val="000000" w:themeColor="text1"/>
          <w:sz w:val="24"/>
          <w:szCs w:val="24"/>
          <w:bdr w:val="none" w:sz="0" w:space="0" w:color="auto" w:frame="1"/>
          <w:shd w:val="clear" w:color="auto" w:fill="FFFFFF"/>
        </w:rPr>
        <w:t>Chinese University of Hong Kong, Hong Kong</w:t>
      </w:r>
      <w:r w:rsidR="00E3707E">
        <w:rPr>
          <w:rStyle w:val="markcnid2vzvs"/>
          <w:rFonts w:ascii="Times New Roman" w:hAnsi="Times New Roman" w:cs="Times New Roman"/>
          <w:color w:val="000000" w:themeColor="text1"/>
          <w:sz w:val="24"/>
          <w:szCs w:val="24"/>
          <w:bdr w:val="none" w:sz="0" w:space="0" w:color="auto" w:frame="1"/>
          <w:shd w:val="clear" w:color="auto" w:fill="FFFFFF"/>
        </w:rPr>
        <w:t xml:space="preserve"> SAR</w:t>
      </w:r>
    </w:p>
    <w:p w14:paraId="021EADD1" w14:textId="77777777" w:rsidR="00243DF4" w:rsidRPr="00E5170D" w:rsidRDefault="00243DF4" w:rsidP="00243DF4">
      <w:pPr>
        <w:widowControl w:val="0"/>
        <w:spacing w:after="0" w:line="480" w:lineRule="auto"/>
        <w:rPr>
          <w:rStyle w:val="markcnid2vzvs"/>
          <w:rFonts w:ascii="Times New Roman" w:hAnsi="Times New Roman" w:cs="Times New Roman"/>
          <w:color w:val="000000" w:themeColor="text1"/>
          <w:sz w:val="24"/>
          <w:szCs w:val="24"/>
          <w:bdr w:val="none" w:sz="0" w:space="0" w:color="auto" w:frame="1"/>
          <w:shd w:val="clear" w:color="auto" w:fill="FFFFFF"/>
        </w:rPr>
      </w:pPr>
      <w:r w:rsidRPr="00855C20">
        <w:rPr>
          <w:rStyle w:val="markcnid2vzvs"/>
          <w:rFonts w:ascii="Times New Roman" w:hAnsi="Times New Roman" w:cs="Times New Roman"/>
          <w:color w:val="000000" w:themeColor="text1"/>
          <w:sz w:val="24"/>
          <w:szCs w:val="24"/>
          <w:bdr w:val="none" w:sz="0" w:space="0" w:color="auto" w:frame="1"/>
          <w:shd w:val="clear" w:color="auto" w:fill="FFFFFF"/>
          <w:vertAlign w:val="superscript"/>
        </w:rPr>
        <w:t>5</w:t>
      </w:r>
      <w:r w:rsidRPr="00E5170D">
        <w:rPr>
          <w:rStyle w:val="markcnid2vzvs"/>
          <w:rFonts w:ascii="Times New Roman" w:hAnsi="Times New Roman" w:cs="Times New Roman"/>
          <w:color w:val="000000" w:themeColor="text1"/>
          <w:sz w:val="24"/>
          <w:szCs w:val="24"/>
          <w:bdr w:val="none" w:sz="0" w:space="0" w:color="auto" w:frame="1"/>
          <w:shd w:val="clear" w:color="auto" w:fill="FFFFFF"/>
        </w:rPr>
        <w:t>La Trobe University, Australia</w:t>
      </w:r>
    </w:p>
    <w:p w14:paraId="6DFED09D" w14:textId="77777777" w:rsidR="00243DF4" w:rsidRPr="00E5170D" w:rsidRDefault="00243DF4" w:rsidP="00243DF4">
      <w:pPr>
        <w:widowControl w:val="0"/>
        <w:spacing w:after="0" w:line="480" w:lineRule="auto"/>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bCs/>
          <w:color w:val="000000" w:themeColor="text1"/>
          <w:sz w:val="24"/>
          <w:szCs w:val="24"/>
          <w:vertAlign w:val="superscript"/>
        </w:rPr>
        <w:t>6</w:t>
      </w:r>
      <w:r w:rsidRPr="00E5170D">
        <w:rPr>
          <w:rStyle w:val="markcnid2vzvs"/>
          <w:rFonts w:ascii="Times New Roman" w:hAnsi="Times New Roman" w:cs="Times New Roman"/>
          <w:color w:val="000000" w:themeColor="text1"/>
          <w:sz w:val="24"/>
          <w:szCs w:val="24"/>
          <w:bdr w:val="none" w:sz="0" w:space="0" w:color="auto" w:frame="1"/>
          <w:shd w:val="clear" w:color="auto" w:fill="FFFFFF"/>
        </w:rPr>
        <w:t>Brown University and Butler Hospital, USA</w:t>
      </w:r>
    </w:p>
    <w:p w14:paraId="6395FEE3" w14:textId="77777777" w:rsidR="00243DF4" w:rsidRPr="004C708F" w:rsidRDefault="00243DF4" w:rsidP="00243DF4">
      <w:pPr>
        <w:widowControl w:val="0"/>
        <w:spacing w:after="0" w:line="480" w:lineRule="auto"/>
        <w:rPr>
          <w:rFonts w:ascii="Times New Roman" w:hAnsi="Times New Roman" w:cs="Times New Roman"/>
          <w:color w:val="000000" w:themeColor="text1"/>
          <w:sz w:val="24"/>
          <w:szCs w:val="24"/>
          <w:lang w:val="fr-FR"/>
        </w:rPr>
      </w:pPr>
      <w:proofErr w:type="spellStart"/>
      <w:r w:rsidRPr="004C708F">
        <w:rPr>
          <w:rFonts w:ascii="Times New Roman" w:hAnsi="Times New Roman" w:cs="Times New Roman"/>
          <w:color w:val="000000" w:themeColor="text1"/>
          <w:sz w:val="24"/>
          <w:szCs w:val="24"/>
          <w:lang w:val="fr-FR"/>
        </w:rPr>
        <w:t>Correspondence</w:t>
      </w:r>
      <w:proofErr w:type="spellEnd"/>
      <w:r w:rsidRPr="004C708F">
        <w:rPr>
          <w:rFonts w:ascii="Times New Roman" w:hAnsi="Times New Roman" w:cs="Times New Roman"/>
          <w:color w:val="000000" w:themeColor="text1"/>
          <w:sz w:val="24"/>
          <w:szCs w:val="24"/>
          <w:lang w:val="fr-FR"/>
        </w:rPr>
        <w:t xml:space="preserve">: Dr </w:t>
      </w:r>
      <w:r w:rsidRPr="004C708F">
        <w:rPr>
          <w:rFonts w:ascii="Times New Roman" w:hAnsi="Times New Roman" w:cs="Times New Roman"/>
          <w:bCs/>
          <w:color w:val="000000" w:themeColor="text1"/>
          <w:sz w:val="24"/>
          <w:szCs w:val="24"/>
          <w:lang w:val="fr-FR"/>
        </w:rPr>
        <w:t>Lyn Ellett</w:t>
      </w:r>
      <w:r w:rsidRPr="004C708F">
        <w:rPr>
          <w:rFonts w:ascii="Times New Roman" w:hAnsi="Times New Roman" w:cs="Times New Roman"/>
          <w:color w:val="000000" w:themeColor="text1"/>
          <w:sz w:val="24"/>
          <w:szCs w:val="24"/>
          <w:lang w:val="fr-FR"/>
        </w:rPr>
        <w:t xml:space="preserve">. Email: </w:t>
      </w:r>
      <w:hyperlink r:id="rId7" w:history="1">
        <w:r w:rsidRPr="004C708F">
          <w:rPr>
            <w:rStyle w:val="Hyperlink"/>
            <w:rFonts w:ascii="Times New Roman" w:hAnsi="Times New Roman" w:cs="Times New Roman"/>
            <w:sz w:val="24"/>
            <w:szCs w:val="24"/>
            <w:lang w:val="fr-FR"/>
          </w:rPr>
          <w:t>L.A.Ellett@soton.ac.uk</w:t>
        </w:r>
      </w:hyperlink>
    </w:p>
    <w:p w14:paraId="0C6031F2" w14:textId="77777777" w:rsidR="00243DF4" w:rsidRPr="004C708F" w:rsidRDefault="00243DF4" w:rsidP="00243DF4">
      <w:pPr>
        <w:rPr>
          <w:rFonts w:ascii="Times New Roman" w:hAnsi="Times New Roman" w:cs="Times New Roman"/>
          <w:bCs/>
          <w:color w:val="000000" w:themeColor="text1"/>
          <w:sz w:val="24"/>
          <w:szCs w:val="24"/>
          <w:lang w:val="fr-FR"/>
        </w:rPr>
      </w:pPr>
      <w:r w:rsidRPr="004C708F">
        <w:rPr>
          <w:rFonts w:ascii="Times New Roman" w:hAnsi="Times New Roman" w:cs="Times New Roman"/>
          <w:bCs/>
          <w:color w:val="000000" w:themeColor="text1"/>
          <w:sz w:val="24"/>
          <w:szCs w:val="24"/>
          <w:lang w:val="fr-FR"/>
        </w:rPr>
        <w:t xml:space="preserve"> </w:t>
      </w:r>
    </w:p>
    <w:p w14:paraId="6168BE78" w14:textId="5F2963C6" w:rsidR="00243DF4" w:rsidRDefault="00243DF4" w:rsidP="00243DF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Word count:</w:t>
      </w:r>
      <w:r w:rsidR="00EA14CE">
        <w:rPr>
          <w:rFonts w:ascii="Times New Roman" w:hAnsi="Times New Roman" w:cs="Times New Roman"/>
          <w:bCs/>
          <w:color w:val="000000" w:themeColor="text1"/>
          <w:sz w:val="24"/>
          <w:szCs w:val="24"/>
        </w:rPr>
        <w:t xml:space="preserve"> 3</w:t>
      </w:r>
      <w:r w:rsidR="009E54BB">
        <w:rPr>
          <w:rFonts w:ascii="Times New Roman" w:hAnsi="Times New Roman" w:cs="Times New Roman"/>
          <w:bCs/>
          <w:color w:val="000000" w:themeColor="text1"/>
          <w:sz w:val="24"/>
          <w:szCs w:val="24"/>
        </w:rPr>
        <w:t>839</w:t>
      </w:r>
    </w:p>
    <w:p w14:paraId="0A5FEC38" w14:textId="77777777" w:rsidR="00243DF4" w:rsidRPr="008C3932" w:rsidRDefault="00243DF4" w:rsidP="00243DF4">
      <w:pPr>
        <w:rPr>
          <w:rFonts w:ascii="Times New Roman" w:hAnsi="Times New Roman" w:cs="Times New Roman"/>
          <w:bCs/>
          <w:color w:val="000000" w:themeColor="text1"/>
          <w:sz w:val="24"/>
          <w:szCs w:val="24"/>
        </w:rPr>
      </w:pPr>
      <w:r w:rsidRPr="008C3932">
        <w:rPr>
          <w:rFonts w:ascii="Times New Roman" w:hAnsi="Times New Roman" w:cs="Times New Roman"/>
          <w:bCs/>
          <w:color w:val="000000" w:themeColor="text1"/>
          <w:sz w:val="24"/>
          <w:szCs w:val="24"/>
        </w:rPr>
        <w:t>Key words: Paranoia, prevalence, COVID-19 pandemic, international, general population</w:t>
      </w:r>
      <w:r w:rsidRPr="008C3932">
        <w:rPr>
          <w:rFonts w:ascii="Times New Roman" w:hAnsi="Times New Roman" w:cs="Times New Roman"/>
          <w:bCs/>
          <w:color w:val="000000" w:themeColor="text1"/>
          <w:sz w:val="24"/>
          <w:szCs w:val="24"/>
        </w:rPr>
        <w:br w:type="page"/>
      </w:r>
    </w:p>
    <w:p w14:paraId="1CF5E608" w14:textId="77777777" w:rsidR="00243DF4" w:rsidRPr="008C3932" w:rsidRDefault="00243DF4" w:rsidP="00243DF4">
      <w:pPr>
        <w:jc w:val="center"/>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lastRenderedPageBreak/>
        <w:t>Abstract</w:t>
      </w:r>
    </w:p>
    <w:p w14:paraId="20867189" w14:textId="3E722E52" w:rsidR="00243DF4" w:rsidRPr="008C3932" w:rsidRDefault="00243DF4" w:rsidP="00243DF4">
      <w:pPr>
        <w:spacing w:line="360" w:lineRule="auto"/>
        <w:rPr>
          <w:rFonts w:ascii="Times New Roman" w:hAnsi="Times New Roman" w:cs="Times New Roman"/>
          <w:b/>
          <w:color w:val="000000" w:themeColor="text1"/>
          <w:sz w:val="24"/>
          <w:szCs w:val="24"/>
        </w:rPr>
      </w:pPr>
      <w:r w:rsidRPr="003F742B">
        <w:rPr>
          <w:rFonts w:ascii="Times New Roman" w:hAnsi="Times New Roman" w:cs="Times New Roman"/>
          <w:b/>
          <w:color w:val="000000" w:themeColor="text1"/>
          <w:sz w:val="24"/>
          <w:szCs w:val="24"/>
        </w:rPr>
        <w:t>Background:</w:t>
      </w:r>
      <w:r>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The term ‘pandemic paranoia’ has been coined to refer to heightened levels of mistr</w:t>
      </w:r>
      <w:r w:rsidR="005958D1">
        <w:rPr>
          <w:rFonts w:ascii="Times New Roman" w:hAnsi="Times New Roman" w:cs="Times New Roman"/>
          <w:color w:val="000000" w:themeColor="text1"/>
          <w:sz w:val="24"/>
          <w:szCs w:val="24"/>
        </w:rPr>
        <w:t>ust and suspicion towards other people</w:t>
      </w:r>
      <w:r w:rsidRPr="008C3932">
        <w:rPr>
          <w:rFonts w:ascii="Times New Roman" w:hAnsi="Times New Roman" w:cs="Times New Roman"/>
          <w:color w:val="000000" w:themeColor="text1"/>
          <w:sz w:val="24"/>
          <w:szCs w:val="24"/>
        </w:rPr>
        <w:t xml:space="preserve"> specifically due to the COVID-19 pandemic.  In this study, we examine the international prevalence of pandemic paranoia in the general population and its associated sociodemographic profile.  </w:t>
      </w:r>
      <w:r w:rsidRPr="003F742B">
        <w:rPr>
          <w:rFonts w:ascii="Times New Roman" w:hAnsi="Times New Roman" w:cs="Times New Roman"/>
          <w:b/>
          <w:color w:val="000000" w:themeColor="text1"/>
          <w:sz w:val="24"/>
          <w:szCs w:val="24"/>
        </w:rPr>
        <w:t>Methods:</w:t>
      </w:r>
      <w:r>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 xml:space="preserve">A representative international sample of general population adults (N =2510) from five sites (USA </w:t>
      </w:r>
      <w:r w:rsidRPr="00DC13A8">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=535, Germany </w:t>
      </w:r>
      <w:r w:rsidRPr="00DC13A8">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=516, UK </w:t>
      </w:r>
      <w:r w:rsidRPr="00DC13A8">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=512, Australia </w:t>
      </w:r>
      <w:r w:rsidRPr="00DC13A8">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=502 and Hong Kong </w:t>
      </w:r>
      <w:r w:rsidRPr="00DC13A8">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=445) were recruited using stratified quota sampling (for age, sex, educational attainment) and c</w:t>
      </w:r>
      <w:r>
        <w:rPr>
          <w:rFonts w:ascii="Times New Roman" w:hAnsi="Times New Roman" w:cs="Times New Roman"/>
          <w:color w:val="000000" w:themeColor="text1"/>
          <w:sz w:val="24"/>
          <w:szCs w:val="24"/>
        </w:rPr>
        <w:t>ompleted the Pandemic Paranoia Scale</w:t>
      </w:r>
      <w:r w:rsidR="00D962A8">
        <w:rPr>
          <w:rFonts w:ascii="Times New Roman" w:hAnsi="Times New Roman" w:cs="Times New Roman"/>
          <w:color w:val="000000" w:themeColor="text1"/>
          <w:sz w:val="24"/>
          <w:szCs w:val="24"/>
        </w:rPr>
        <w:t xml:space="preserve"> (PPS; Kingston et al, </w:t>
      </w:r>
      <w:r w:rsidR="00E3707E">
        <w:rPr>
          <w:rFonts w:ascii="Times New Roman" w:hAnsi="Times New Roman" w:cs="Times New Roman"/>
          <w:color w:val="000000" w:themeColor="text1"/>
          <w:sz w:val="24"/>
          <w:szCs w:val="24"/>
        </w:rPr>
        <w:t>2021</w:t>
      </w:r>
      <w:r w:rsidR="00D962A8">
        <w:rPr>
          <w:rFonts w:ascii="Times New Roman" w:hAnsi="Times New Roman" w:cs="Times New Roman"/>
          <w:color w:val="000000" w:themeColor="text1"/>
          <w:sz w:val="24"/>
          <w:szCs w:val="24"/>
        </w:rPr>
        <w:t>)</w:t>
      </w:r>
      <w:r w:rsidRPr="008C3932">
        <w:rPr>
          <w:rFonts w:ascii="Times New Roman" w:hAnsi="Times New Roman" w:cs="Times New Roman"/>
          <w:color w:val="000000" w:themeColor="text1"/>
          <w:sz w:val="24"/>
          <w:szCs w:val="24"/>
        </w:rPr>
        <w:t xml:space="preserve">.  </w:t>
      </w:r>
      <w:r w:rsidRPr="003F742B">
        <w:rPr>
          <w:rFonts w:ascii="Times New Roman" w:hAnsi="Times New Roman" w:cs="Times New Roman"/>
          <w:b/>
          <w:color w:val="000000" w:themeColor="text1"/>
          <w:sz w:val="24"/>
          <w:szCs w:val="24"/>
        </w:rPr>
        <w:t>Results:</w:t>
      </w:r>
      <w:r>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The overall prevalence rate of pandemic paranoia was 19%</w:t>
      </w:r>
      <w:r>
        <w:rPr>
          <w:rFonts w:ascii="Times New Roman" w:hAnsi="Times New Roman" w:cs="Times New Roman"/>
          <w:color w:val="000000" w:themeColor="text1"/>
          <w:sz w:val="24"/>
          <w:szCs w:val="24"/>
        </w:rPr>
        <w:t xml:space="preserve">, and </w:t>
      </w:r>
      <w:r w:rsidRPr="008C3932">
        <w:rPr>
          <w:rFonts w:ascii="Times New Roman" w:hAnsi="Times New Roman" w:cs="Times New Roman"/>
          <w:color w:val="000000" w:themeColor="text1"/>
          <w:sz w:val="24"/>
          <w:szCs w:val="24"/>
        </w:rPr>
        <w:t>was highest in A</w:t>
      </w:r>
      <w:r>
        <w:rPr>
          <w:rFonts w:ascii="Times New Roman" w:hAnsi="Times New Roman" w:cs="Times New Roman"/>
          <w:color w:val="000000" w:themeColor="text1"/>
          <w:sz w:val="24"/>
          <w:szCs w:val="24"/>
        </w:rPr>
        <w:t>ustralia and lowest in Germany.  On</w:t>
      </w:r>
      <w:r>
        <w:rPr>
          <w:rFonts w:ascii="Times New Roman" w:eastAsia="Calibri" w:hAnsi="Times New Roman" w:cs="Times New Roman"/>
          <w:color w:val="000000" w:themeColor="text1"/>
          <w:sz w:val="24"/>
          <w:szCs w:val="24"/>
        </w:rPr>
        <w:t xml:space="preserve"> the subscales of the </w:t>
      </w:r>
      <w:r w:rsidR="00D962A8">
        <w:rPr>
          <w:rFonts w:ascii="Times New Roman" w:eastAsia="Calibri" w:hAnsi="Times New Roman" w:cs="Times New Roman"/>
          <w:color w:val="000000" w:themeColor="text1"/>
          <w:sz w:val="24"/>
          <w:szCs w:val="24"/>
        </w:rPr>
        <w:t>PPS</w:t>
      </w:r>
      <w:r>
        <w:rPr>
          <w:rFonts w:ascii="Times New Roman" w:eastAsia="Calibri" w:hAnsi="Times New Roman" w:cs="Times New Roman"/>
          <w:color w:val="000000" w:themeColor="text1"/>
          <w:sz w:val="24"/>
          <w:szCs w:val="24"/>
        </w:rPr>
        <w:t>,</w:t>
      </w:r>
      <w:r w:rsidRPr="008C3932">
        <w:rPr>
          <w:rFonts w:ascii="Times New Roman" w:eastAsia="Calibri" w:hAnsi="Times New Roman" w:cs="Times New Roman"/>
          <w:color w:val="000000" w:themeColor="text1"/>
          <w:sz w:val="24"/>
          <w:szCs w:val="24"/>
        </w:rPr>
        <w:t xml:space="preserve"> prevalence was 11% for persecutory threat, 29% for paranoid conspiracy and</w:t>
      </w:r>
      <w:r>
        <w:rPr>
          <w:rFonts w:ascii="Times New Roman" w:eastAsia="Calibri" w:hAnsi="Times New Roman" w:cs="Times New Roman"/>
          <w:color w:val="000000" w:themeColor="text1"/>
          <w:sz w:val="24"/>
          <w:szCs w:val="24"/>
        </w:rPr>
        <w:t xml:space="preserve"> 37%</w:t>
      </w:r>
      <w:r w:rsidRPr="00263F61">
        <w:rPr>
          <w:rFonts w:ascii="Times New Roman" w:eastAsia="Calibri" w:hAnsi="Times New Roman" w:cs="Times New Roman"/>
          <w:sz w:val="24"/>
          <w:szCs w:val="24"/>
        </w:rPr>
        <w:t xml:space="preserve"> for interpersonal mistrust.</w:t>
      </w:r>
      <w:r w:rsidRPr="008C3932">
        <w:rPr>
          <w:rFonts w:ascii="Times New Roman" w:hAnsi="Times New Roman" w:cs="Times New Roman"/>
          <w:color w:val="000000" w:themeColor="text1"/>
          <w:sz w:val="24"/>
          <w:szCs w:val="24"/>
        </w:rPr>
        <w:t xml:space="preserve"> </w:t>
      </w:r>
      <w:r w:rsidRPr="00047EBF">
        <w:rPr>
          <w:rFonts w:ascii="Times New Roman" w:eastAsia="Times New Roman" w:hAnsi="Times New Roman" w:cs="Times New Roman"/>
          <w:color w:val="000000" w:themeColor="text1"/>
          <w:sz w:val="24"/>
          <w:szCs w:val="24"/>
          <w:lang w:val="en-US"/>
        </w:rPr>
        <w:t>Site and general paranoia significantly predicted</w:t>
      </w:r>
      <w:r>
        <w:rPr>
          <w:rFonts w:ascii="Times New Roman" w:eastAsia="Times New Roman" w:hAnsi="Times New Roman" w:cs="Times New Roman"/>
          <w:color w:val="000000" w:themeColor="text1"/>
          <w:sz w:val="24"/>
          <w:szCs w:val="24"/>
          <w:lang w:val="en-US"/>
        </w:rPr>
        <w:t xml:space="preserve"> pandemic paranoia.  S</w:t>
      </w:r>
      <w:r w:rsidRPr="008C3932">
        <w:rPr>
          <w:rFonts w:ascii="Times New Roman" w:eastAsia="Times New Roman" w:hAnsi="Times New Roman" w:cs="Times New Roman"/>
          <w:color w:val="000000" w:themeColor="text1"/>
          <w:sz w:val="24"/>
          <w:szCs w:val="24"/>
          <w:lang w:val="en-US"/>
        </w:rPr>
        <w:t xml:space="preserve">ociodemographic variables </w:t>
      </w:r>
      <w:r>
        <w:rPr>
          <w:rFonts w:ascii="Times New Roman" w:eastAsia="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lower age, h</w:t>
      </w:r>
      <w:r w:rsidRPr="008C3932">
        <w:rPr>
          <w:rFonts w:ascii="Times New Roman" w:hAnsi="Times New Roman" w:cs="Times New Roman"/>
          <w:color w:val="000000" w:themeColor="text1"/>
          <w:sz w:val="24"/>
          <w:szCs w:val="24"/>
        </w:rPr>
        <w:t xml:space="preserve">igher population size and income, being male, employed, and </w:t>
      </w:r>
      <w:r w:rsidR="00030E41">
        <w:rPr>
          <w:rFonts w:ascii="Times New Roman" w:hAnsi="Times New Roman" w:cs="Times New Roman"/>
          <w:color w:val="000000" w:themeColor="text1"/>
          <w:sz w:val="24"/>
          <w:szCs w:val="24"/>
        </w:rPr>
        <w:t xml:space="preserve">no </w:t>
      </w:r>
      <w:r w:rsidRPr="008C3932">
        <w:rPr>
          <w:rFonts w:ascii="Times New Roman" w:hAnsi="Times New Roman" w:cs="Times New Roman"/>
          <w:color w:val="000000" w:themeColor="text1"/>
          <w:sz w:val="24"/>
          <w:szCs w:val="24"/>
        </w:rPr>
        <w:t>migrant status</w:t>
      </w:r>
      <w:r>
        <w:rPr>
          <w:rFonts w:ascii="Times New Roman" w:hAnsi="Times New Roman" w:cs="Times New Roman"/>
          <w:color w:val="000000" w:themeColor="text1"/>
          <w:sz w:val="24"/>
          <w:szCs w:val="24"/>
        </w:rPr>
        <w:t>)</w:t>
      </w:r>
      <w:r w:rsidRPr="008C3932">
        <w:rPr>
          <w:rFonts w:ascii="Times New Roman" w:hAnsi="Times New Roman" w:cs="Times New Roman"/>
          <w:color w:val="000000" w:themeColor="text1"/>
          <w:sz w:val="24"/>
          <w:szCs w:val="24"/>
        </w:rPr>
        <w:t xml:space="preserve"> </w:t>
      </w:r>
      <w:r w:rsidRPr="008C3932">
        <w:rPr>
          <w:rFonts w:ascii="Times New Roman" w:eastAsia="Times New Roman" w:hAnsi="Times New Roman" w:cs="Times New Roman"/>
          <w:color w:val="000000" w:themeColor="text1"/>
          <w:sz w:val="24"/>
          <w:szCs w:val="24"/>
          <w:lang w:val="en-US"/>
        </w:rPr>
        <w:t xml:space="preserve">explained </w:t>
      </w:r>
      <w:r w:rsidR="00D962A8">
        <w:rPr>
          <w:rFonts w:ascii="Times New Roman" w:eastAsia="Times New Roman" w:hAnsi="Times New Roman" w:cs="Times New Roman"/>
          <w:color w:val="000000" w:themeColor="text1"/>
          <w:sz w:val="24"/>
          <w:szCs w:val="24"/>
          <w:lang w:val="en-US"/>
        </w:rPr>
        <w:t>additional</w:t>
      </w:r>
      <w:r w:rsidRPr="008C3932">
        <w:rPr>
          <w:rFonts w:ascii="Times New Roman" w:eastAsia="Times New Roman" w:hAnsi="Times New Roman" w:cs="Times New Roman"/>
          <w:color w:val="000000" w:themeColor="text1"/>
          <w:sz w:val="24"/>
          <w:szCs w:val="24"/>
          <w:lang w:val="en-US"/>
        </w:rPr>
        <w:t xml:space="preserve"> variance and significantly </w:t>
      </w:r>
      <w:r>
        <w:rPr>
          <w:rFonts w:ascii="Times New Roman" w:eastAsia="Times New Roman" w:hAnsi="Times New Roman" w:cs="Times New Roman"/>
          <w:color w:val="000000" w:themeColor="text1"/>
          <w:sz w:val="24"/>
          <w:szCs w:val="24"/>
          <w:lang w:val="en-US"/>
        </w:rPr>
        <w:t xml:space="preserve">improved </w:t>
      </w:r>
      <w:r w:rsidRPr="008C3932">
        <w:rPr>
          <w:rFonts w:ascii="Times New Roman" w:eastAsia="Times New Roman" w:hAnsi="Times New Roman" w:cs="Times New Roman"/>
          <w:color w:val="000000" w:themeColor="text1"/>
          <w:sz w:val="24"/>
          <w:szCs w:val="24"/>
          <w:lang w:val="en-US"/>
        </w:rPr>
        <w:t>predict</w:t>
      </w:r>
      <w:r>
        <w:rPr>
          <w:rFonts w:ascii="Times New Roman" w:eastAsia="Times New Roman" w:hAnsi="Times New Roman" w:cs="Times New Roman"/>
          <w:color w:val="000000" w:themeColor="text1"/>
          <w:sz w:val="24"/>
          <w:szCs w:val="24"/>
          <w:lang w:val="en-US"/>
        </w:rPr>
        <w:t>ion of</w:t>
      </w:r>
      <w:r w:rsidRPr="008C3932">
        <w:rPr>
          <w:rFonts w:ascii="Times New Roman" w:eastAsia="Times New Roman" w:hAnsi="Times New Roman" w:cs="Times New Roman"/>
          <w:color w:val="000000" w:themeColor="text1"/>
          <w:sz w:val="24"/>
          <w:szCs w:val="24"/>
          <w:lang w:val="en-US"/>
        </w:rPr>
        <w:t xml:space="preserve"> pandemic paranoia</w:t>
      </w:r>
      <w:r>
        <w:rPr>
          <w:rFonts w:ascii="Times New Roman" w:eastAsia="Times New Roman" w:hAnsi="Times New Roman" w:cs="Times New Roman"/>
          <w:color w:val="000000" w:themeColor="text1"/>
          <w:sz w:val="24"/>
          <w:szCs w:val="24"/>
          <w:lang w:val="en-US"/>
        </w:rPr>
        <w:t xml:space="preserve">.  </w:t>
      </w:r>
      <w:r w:rsidRPr="003F742B">
        <w:rPr>
          <w:rFonts w:ascii="Times New Roman" w:hAnsi="Times New Roman" w:cs="Times New Roman"/>
          <w:b/>
          <w:color w:val="000000" w:themeColor="text1"/>
          <w:sz w:val="24"/>
          <w:szCs w:val="24"/>
        </w:rPr>
        <w:t>Conclusions:</w:t>
      </w:r>
      <w:r>
        <w:rPr>
          <w:rFonts w:ascii="Times New Roman" w:hAnsi="Times New Roman" w:cs="Times New Roman"/>
          <w:color w:val="000000" w:themeColor="text1"/>
          <w:sz w:val="24"/>
          <w:szCs w:val="24"/>
        </w:rPr>
        <w:t xml:space="preserve"> P</w:t>
      </w:r>
      <w:r w:rsidRPr="008C3932">
        <w:rPr>
          <w:rFonts w:ascii="Times New Roman" w:hAnsi="Times New Roman" w:cs="Times New Roman"/>
          <w:color w:val="000000" w:themeColor="text1"/>
          <w:sz w:val="24"/>
          <w:szCs w:val="24"/>
        </w:rPr>
        <w:t>andemic paranoia was relatively common in a representative sample of the general population across five international sites.</w:t>
      </w:r>
      <w:r>
        <w:rPr>
          <w:rFonts w:ascii="Times New Roman" w:hAnsi="Times New Roman" w:cs="Times New Roman"/>
          <w:color w:val="000000" w:themeColor="text1"/>
          <w:sz w:val="24"/>
          <w:szCs w:val="24"/>
        </w:rPr>
        <w:t xml:space="preserve">  Sociodemographic variables explained a small but significant amount of the variance in</w:t>
      </w:r>
      <w:r w:rsidRPr="008C3932">
        <w:rPr>
          <w:rFonts w:ascii="Times New Roman" w:hAnsi="Times New Roman" w:cs="Times New Roman"/>
          <w:color w:val="000000" w:themeColor="text1"/>
          <w:sz w:val="24"/>
          <w:szCs w:val="24"/>
        </w:rPr>
        <w:t xml:space="preserve"> pandemic paranoia.</w:t>
      </w:r>
    </w:p>
    <w:p w14:paraId="60BE6A30" w14:textId="77777777" w:rsidR="00243DF4" w:rsidRPr="008C3932" w:rsidRDefault="00243DF4" w:rsidP="00243DF4">
      <w:pPr>
        <w:spacing w:line="360" w:lineRule="auto"/>
        <w:jc w:val="center"/>
        <w:rPr>
          <w:rFonts w:ascii="Times New Roman" w:hAnsi="Times New Roman" w:cs="Times New Roman"/>
          <w:b/>
          <w:color w:val="000000" w:themeColor="text1"/>
          <w:sz w:val="24"/>
          <w:szCs w:val="24"/>
        </w:rPr>
      </w:pPr>
    </w:p>
    <w:p w14:paraId="03FC8FFA"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0B2C29D0"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384CC8AF"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74BBBD49"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61597FF2"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418E4C71"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0B17699D"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1C3B685B"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2E1F2701"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7C2810D3"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281A6916" w14:textId="77777777" w:rsidR="00243DF4" w:rsidRPr="008C3932" w:rsidRDefault="00243DF4" w:rsidP="00243DF4">
      <w:pPr>
        <w:spacing w:line="360" w:lineRule="auto"/>
        <w:jc w:val="center"/>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lastRenderedPageBreak/>
        <w:t>Introduction</w:t>
      </w:r>
    </w:p>
    <w:p w14:paraId="441026F9" w14:textId="3D67C998" w:rsidR="00BF7EA5" w:rsidRPr="00403C73" w:rsidRDefault="00243DF4" w:rsidP="0081209F">
      <w:pPr>
        <w:spacing w:after="0" w:line="360" w:lineRule="auto"/>
        <w:ind w:firstLine="720"/>
        <w:rPr>
          <w:rFonts w:ascii="Times New Roman" w:hAnsi="Times New Roman" w:cs="Times New Roman"/>
          <w:sz w:val="24"/>
          <w:szCs w:val="24"/>
        </w:rPr>
      </w:pPr>
      <w:r w:rsidRPr="005444C3">
        <w:rPr>
          <w:rFonts w:ascii="Times New Roman" w:hAnsi="Times New Roman" w:cs="Times New Roman"/>
          <w:sz w:val="24"/>
          <w:szCs w:val="24"/>
        </w:rPr>
        <w:t>P</w:t>
      </w:r>
      <w:r w:rsidR="00876292" w:rsidRPr="005444C3">
        <w:rPr>
          <w:rFonts w:ascii="Times New Roman" w:hAnsi="Times New Roman" w:cs="Times New Roman"/>
          <w:sz w:val="24"/>
          <w:szCs w:val="24"/>
        </w:rPr>
        <w:t xml:space="preserve">ersecutory delusions are </w:t>
      </w:r>
      <w:r w:rsidRPr="005444C3">
        <w:rPr>
          <w:rFonts w:ascii="Times New Roman" w:hAnsi="Times New Roman" w:cs="Times New Roman"/>
          <w:sz w:val="24"/>
          <w:szCs w:val="24"/>
        </w:rPr>
        <w:t>defined as belief</w:t>
      </w:r>
      <w:r w:rsidR="00876292" w:rsidRPr="005444C3">
        <w:rPr>
          <w:rFonts w:ascii="Times New Roman" w:hAnsi="Times New Roman" w:cs="Times New Roman"/>
          <w:sz w:val="24"/>
          <w:szCs w:val="24"/>
        </w:rPr>
        <w:t>s</w:t>
      </w:r>
      <w:r w:rsidRPr="005444C3">
        <w:rPr>
          <w:rFonts w:ascii="Times New Roman" w:hAnsi="Times New Roman" w:cs="Times New Roman"/>
          <w:sz w:val="24"/>
          <w:szCs w:val="24"/>
        </w:rPr>
        <w:t xml:space="preserve"> that others are intentionally trying to cause one harm, either now or in the future</w:t>
      </w:r>
      <w:r w:rsidRPr="005444C3">
        <w:rPr>
          <w:rFonts w:ascii="Times New Roman" w:hAnsi="Times New Roman" w:cs="Times New Roman"/>
          <w:sz w:val="24"/>
          <w:szCs w:val="24"/>
          <w:vertAlign w:val="superscript"/>
        </w:rPr>
        <w:t xml:space="preserve"> </w:t>
      </w:r>
      <w:r w:rsidRPr="005444C3">
        <w:rPr>
          <w:rFonts w:ascii="Times New Roman" w:hAnsi="Times New Roman" w:cs="Times New Roman"/>
          <w:sz w:val="24"/>
          <w:szCs w:val="24"/>
        </w:rPr>
        <w:t xml:space="preserve">(Freeman &amp; </w:t>
      </w:r>
      <w:proofErr w:type="spellStart"/>
      <w:r w:rsidRPr="005444C3">
        <w:rPr>
          <w:rFonts w:ascii="Times New Roman" w:hAnsi="Times New Roman" w:cs="Times New Roman"/>
          <w:sz w:val="24"/>
          <w:szCs w:val="24"/>
        </w:rPr>
        <w:t>Garety</w:t>
      </w:r>
      <w:proofErr w:type="spellEnd"/>
      <w:r w:rsidRPr="005444C3">
        <w:rPr>
          <w:rFonts w:ascii="Times New Roman" w:hAnsi="Times New Roman" w:cs="Times New Roman"/>
          <w:sz w:val="24"/>
          <w:szCs w:val="24"/>
        </w:rPr>
        <w:t xml:space="preserve">, 2000).  Although </w:t>
      </w:r>
      <w:r w:rsidR="00365C0B" w:rsidRPr="005444C3">
        <w:rPr>
          <w:rFonts w:ascii="Times New Roman" w:hAnsi="Times New Roman" w:cs="Times New Roman"/>
          <w:sz w:val="24"/>
          <w:szCs w:val="24"/>
        </w:rPr>
        <w:t>persecutory delusions</w:t>
      </w:r>
      <w:r w:rsidRPr="005444C3">
        <w:rPr>
          <w:rFonts w:ascii="Times New Roman" w:hAnsi="Times New Roman" w:cs="Times New Roman"/>
          <w:sz w:val="24"/>
          <w:szCs w:val="24"/>
        </w:rPr>
        <w:t xml:space="preserve"> are traditionally associated with clinical diagnoses such as schizophrenia, research also suggests that milder forms of paranoid thinking</w:t>
      </w:r>
      <w:r w:rsidR="00D51162" w:rsidRPr="005444C3">
        <w:rPr>
          <w:rFonts w:ascii="Times New Roman" w:hAnsi="Times New Roman" w:cs="Times New Roman"/>
          <w:sz w:val="24"/>
          <w:szCs w:val="24"/>
        </w:rPr>
        <w:t xml:space="preserve">, such as </w:t>
      </w:r>
      <w:r w:rsidR="0089597E" w:rsidRPr="005444C3">
        <w:rPr>
          <w:rFonts w:ascii="Times New Roman" w:hAnsi="Times New Roman" w:cs="Times New Roman"/>
          <w:sz w:val="24"/>
          <w:szCs w:val="24"/>
        </w:rPr>
        <w:t>“</w:t>
      </w:r>
      <w:r w:rsidR="00D51162" w:rsidRPr="005444C3">
        <w:rPr>
          <w:rFonts w:ascii="Times New Roman" w:hAnsi="Times New Roman" w:cs="Times New Roman"/>
          <w:sz w:val="24"/>
          <w:szCs w:val="24"/>
        </w:rPr>
        <w:t xml:space="preserve">suspiciousness, assumptions of ill will or hostility, </w:t>
      </w:r>
      <w:r w:rsidR="001F3C6B" w:rsidRPr="005444C3">
        <w:rPr>
          <w:rFonts w:ascii="Times New Roman" w:hAnsi="Times New Roman" w:cs="Times New Roman"/>
          <w:sz w:val="24"/>
          <w:szCs w:val="24"/>
        </w:rPr>
        <w:t xml:space="preserve">or </w:t>
      </w:r>
      <w:r w:rsidR="00D51162" w:rsidRPr="005444C3">
        <w:rPr>
          <w:rFonts w:ascii="Times New Roman" w:hAnsi="Times New Roman" w:cs="Times New Roman"/>
          <w:sz w:val="24"/>
          <w:szCs w:val="24"/>
        </w:rPr>
        <w:t>notions of conspirational intent</w:t>
      </w:r>
      <w:r w:rsidR="0089597E" w:rsidRPr="005444C3">
        <w:rPr>
          <w:rFonts w:ascii="Times New Roman" w:hAnsi="Times New Roman" w:cs="Times New Roman"/>
          <w:sz w:val="24"/>
          <w:szCs w:val="24"/>
        </w:rPr>
        <w:t>” (</w:t>
      </w:r>
      <w:proofErr w:type="spellStart"/>
      <w:r w:rsidR="0089597E" w:rsidRPr="005444C3">
        <w:rPr>
          <w:rFonts w:ascii="Times New Roman" w:hAnsi="Times New Roman" w:cs="Times New Roman"/>
          <w:sz w:val="24"/>
          <w:szCs w:val="24"/>
        </w:rPr>
        <w:t>Fengistein</w:t>
      </w:r>
      <w:proofErr w:type="spellEnd"/>
      <w:r w:rsidR="0089597E" w:rsidRPr="005444C3">
        <w:rPr>
          <w:rFonts w:ascii="Times New Roman" w:hAnsi="Times New Roman" w:cs="Times New Roman"/>
          <w:sz w:val="24"/>
          <w:szCs w:val="24"/>
        </w:rPr>
        <w:t xml:space="preserve"> &amp; </w:t>
      </w:r>
      <w:proofErr w:type="spellStart"/>
      <w:r w:rsidR="0089597E" w:rsidRPr="005444C3">
        <w:rPr>
          <w:rFonts w:ascii="Times New Roman" w:hAnsi="Times New Roman" w:cs="Times New Roman"/>
          <w:sz w:val="24"/>
          <w:szCs w:val="24"/>
        </w:rPr>
        <w:t>Vanable</w:t>
      </w:r>
      <w:proofErr w:type="spellEnd"/>
      <w:r w:rsidR="0089597E" w:rsidRPr="005444C3">
        <w:rPr>
          <w:rFonts w:ascii="Times New Roman" w:hAnsi="Times New Roman" w:cs="Times New Roman"/>
          <w:sz w:val="24"/>
          <w:szCs w:val="24"/>
        </w:rPr>
        <w:t>., 1992)</w:t>
      </w:r>
      <w:r w:rsidRPr="005444C3">
        <w:rPr>
          <w:rFonts w:ascii="Times New Roman" w:hAnsi="Times New Roman" w:cs="Times New Roman"/>
          <w:sz w:val="24"/>
          <w:szCs w:val="24"/>
        </w:rPr>
        <w:t xml:space="preserve"> are common in the general population (Bebbington et al., 2013; Ellett et al., 2003; </w:t>
      </w:r>
      <w:proofErr w:type="spellStart"/>
      <w:r w:rsidRPr="005444C3">
        <w:rPr>
          <w:rFonts w:ascii="Times New Roman" w:hAnsi="Times New Roman" w:cs="Times New Roman"/>
          <w:sz w:val="24"/>
          <w:szCs w:val="24"/>
        </w:rPr>
        <w:t>Fenigstein</w:t>
      </w:r>
      <w:proofErr w:type="spellEnd"/>
      <w:r w:rsidRPr="005444C3">
        <w:rPr>
          <w:rFonts w:ascii="Times New Roman" w:hAnsi="Times New Roman" w:cs="Times New Roman"/>
          <w:sz w:val="24"/>
          <w:szCs w:val="24"/>
        </w:rPr>
        <w:t xml:space="preserve"> &amp; </w:t>
      </w:r>
      <w:proofErr w:type="spellStart"/>
      <w:r w:rsidRPr="005444C3">
        <w:rPr>
          <w:rFonts w:ascii="Times New Roman" w:hAnsi="Times New Roman" w:cs="Times New Roman"/>
          <w:sz w:val="24"/>
          <w:szCs w:val="24"/>
        </w:rPr>
        <w:t>Vanable</w:t>
      </w:r>
      <w:proofErr w:type="spellEnd"/>
      <w:r w:rsidRPr="005444C3">
        <w:rPr>
          <w:rFonts w:ascii="Times New Roman" w:hAnsi="Times New Roman" w:cs="Times New Roman"/>
          <w:sz w:val="24"/>
          <w:szCs w:val="24"/>
        </w:rPr>
        <w:t>, 1992; Freeman et al., 2011, 2019). This is consistent with a dimensional understanding of mental health, within which an experience such as clinical paranoia is held to lie o</w:t>
      </w:r>
      <w:r w:rsidRPr="00150487">
        <w:rPr>
          <w:rFonts w:ascii="Times New Roman" w:hAnsi="Times New Roman" w:cs="Times New Roman"/>
          <w:color w:val="131413"/>
          <w:sz w:val="24"/>
          <w:szCs w:val="24"/>
        </w:rPr>
        <w:t>n a continuum with paranoia-like experiences seen in the general population</w:t>
      </w:r>
      <w:r>
        <w:rPr>
          <w:rFonts w:ascii="Times New Roman" w:hAnsi="Times New Roman" w:cs="Times New Roman"/>
          <w:color w:val="131413"/>
          <w:sz w:val="24"/>
          <w:szCs w:val="24"/>
        </w:rPr>
        <w:t xml:space="preserve"> (Strauss, 1969; van </w:t>
      </w:r>
      <w:proofErr w:type="spellStart"/>
      <w:r>
        <w:rPr>
          <w:rFonts w:ascii="Times New Roman" w:hAnsi="Times New Roman" w:cs="Times New Roman"/>
          <w:color w:val="131413"/>
          <w:sz w:val="24"/>
          <w:szCs w:val="24"/>
        </w:rPr>
        <w:t>Os</w:t>
      </w:r>
      <w:proofErr w:type="spellEnd"/>
      <w:r>
        <w:rPr>
          <w:rFonts w:ascii="Times New Roman" w:hAnsi="Times New Roman" w:cs="Times New Roman"/>
          <w:color w:val="131413"/>
          <w:sz w:val="24"/>
          <w:szCs w:val="24"/>
        </w:rPr>
        <w:t xml:space="preserve"> et al., 2000</w:t>
      </w:r>
      <w:r w:rsidRPr="00B415D6">
        <w:rPr>
          <w:rFonts w:ascii="Times New Roman" w:hAnsi="Times New Roman" w:cs="Times New Roman"/>
          <w:color w:val="131413"/>
          <w:sz w:val="24"/>
          <w:szCs w:val="24"/>
        </w:rPr>
        <w:t>)</w:t>
      </w:r>
      <w:r w:rsidRPr="00D51162">
        <w:rPr>
          <w:rFonts w:ascii="Times New Roman" w:hAnsi="Times New Roman" w:cs="Times New Roman"/>
          <w:color w:val="131413"/>
          <w:sz w:val="24"/>
          <w:szCs w:val="24"/>
        </w:rPr>
        <w:t>.</w:t>
      </w:r>
      <w:r w:rsidR="00D95FC0" w:rsidRPr="00D51162">
        <w:rPr>
          <w:rFonts w:ascii="Times New Roman" w:hAnsi="Times New Roman" w:cs="Times New Roman"/>
          <w:color w:val="131413"/>
          <w:sz w:val="24"/>
          <w:szCs w:val="24"/>
        </w:rPr>
        <w:t xml:space="preserve"> </w:t>
      </w:r>
      <w:r w:rsidR="00BA43BD">
        <w:rPr>
          <w:rFonts w:ascii="Times New Roman" w:hAnsi="Times New Roman" w:cs="Times New Roman"/>
          <w:color w:val="131413"/>
          <w:sz w:val="24"/>
          <w:szCs w:val="24"/>
        </w:rPr>
        <w:t xml:space="preserve"> </w:t>
      </w:r>
      <w:r w:rsidR="00F90822" w:rsidRPr="00D51162">
        <w:rPr>
          <w:rFonts w:ascii="Times New Roman" w:hAnsi="Times New Roman" w:cs="Times New Roman"/>
          <w:color w:val="131413"/>
          <w:sz w:val="24"/>
          <w:szCs w:val="24"/>
        </w:rPr>
        <w:t xml:space="preserve">Paranoia has also been </w:t>
      </w:r>
      <w:r w:rsidR="00F90822" w:rsidRPr="00D51162">
        <w:rPr>
          <w:rFonts w:ascii="Times New Roman" w:hAnsi="Times New Roman" w:cs="Times New Roman"/>
          <w:sz w:val="24"/>
          <w:szCs w:val="24"/>
        </w:rPr>
        <w:t>conceptualised as a personality trait distributed within the general population</w:t>
      </w:r>
      <w:r w:rsidR="00F90822" w:rsidRPr="00B415D6">
        <w:rPr>
          <w:rFonts w:ascii="Times New Roman" w:hAnsi="Times New Roman" w:cs="Times New Roman"/>
          <w:sz w:val="24"/>
          <w:szCs w:val="24"/>
        </w:rPr>
        <w:t xml:space="preserve"> (</w:t>
      </w:r>
      <w:proofErr w:type="spellStart"/>
      <w:r w:rsidR="00F90822" w:rsidRPr="00B415D6">
        <w:rPr>
          <w:rFonts w:ascii="Times New Roman" w:hAnsi="Times New Roman" w:cs="Times New Roman"/>
          <w:sz w:val="24"/>
          <w:szCs w:val="24"/>
        </w:rPr>
        <w:t>Fenigstein</w:t>
      </w:r>
      <w:proofErr w:type="spellEnd"/>
      <w:r w:rsidR="00F90822" w:rsidRPr="00B415D6">
        <w:rPr>
          <w:rFonts w:ascii="Times New Roman" w:hAnsi="Times New Roman" w:cs="Times New Roman"/>
          <w:sz w:val="24"/>
          <w:szCs w:val="24"/>
        </w:rPr>
        <w:t xml:space="preserve"> &amp; </w:t>
      </w:r>
      <w:proofErr w:type="spellStart"/>
      <w:r w:rsidR="00F90822" w:rsidRPr="00B415D6">
        <w:rPr>
          <w:rFonts w:ascii="Times New Roman" w:hAnsi="Times New Roman" w:cs="Times New Roman"/>
          <w:sz w:val="24"/>
          <w:szCs w:val="24"/>
        </w:rPr>
        <w:t>Vanable</w:t>
      </w:r>
      <w:proofErr w:type="spellEnd"/>
      <w:r w:rsidR="00F90822" w:rsidRPr="00B415D6">
        <w:rPr>
          <w:rFonts w:ascii="Times New Roman" w:hAnsi="Times New Roman" w:cs="Times New Roman"/>
          <w:sz w:val="24"/>
          <w:szCs w:val="24"/>
        </w:rPr>
        <w:t>, 1992)</w:t>
      </w:r>
      <w:r w:rsidR="00BF7EA5" w:rsidRPr="00B415D6">
        <w:rPr>
          <w:rFonts w:ascii="Times New Roman" w:hAnsi="Times New Roman" w:cs="Times New Roman"/>
          <w:sz w:val="24"/>
          <w:szCs w:val="24"/>
        </w:rPr>
        <w:t xml:space="preserve">.  This framing </w:t>
      </w:r>
      <w:r w:rsidR="00BF7EA5" w:rsidRPr="00D51162">
        <w:rPr>
          <w:rFonts w:ascii="Times New Roman" w:hAnsi="Times New Roman" w:cs="Times New Roman"/>
          <w:sz w:val="24"/>
          <w:szCs w:val="24"/>
        </w:rPr>
        <w:t>of paranoia is consistent with conceptualisations of other personality traits (see Ellett et al., under review), such as narcissism, which have both nonclinical (general population)</w:t>
      </w:r>
      <w:r w:rsidR="00BF7EA5" w:rsidRPr="00E54F70">
        <w:rPr>
          <w:rFonts w:ascii="Times New Roman" w:hAnsi="Times New Roman" w:cs="Times New Roman"/>
          <w:sz w:val="24"/>
          <w:szCs w:val="24"/>
        </w:rPr>
        <w:t xml:space="preserve"> and clinical (</w:t>
      </w:r>
      <w:r w:rsidR="00BF7EA5" w:rsidRPr="0065118D">
        <w:rPr>
          <w:rFonts w:ascii="Times New Roman" w:hAnsi="Times New Roman" w:cs="Times New Roman"/>
          <w:sz w:val="24"/>
          <w:szCs w:val="24"/>
        </w:rPr>
        <w:t>narcissistic personality disorder</w:t>
      </w:r>
      <w:r w:rsidR="00BF7EA5" w:rsidRPr="00403C73">
        <w:rPr>
          <w:rFonts w:ascii="Times New Roman" w:hAnsi="Times New Roman" w:cs="Times New Roman"/>
          <w:sz w:val="24"/>
          <w:szCs w:val="24"/>
        </w:rPr>
        <w:t xml:space="preserve">) counterparts (Hepper et al., 2021). </w:t>
      </w:r>
    </w:p>
    <w:p w14:paraId="183E4357" w14:textId="1CD8B92D" w:rsidR="00243DF4" w:rsidRPr="00150487" w:rsidRDefault="00243DF4" w:rsidP="00243DF4">
      <w:pPr>
        <w:autoSpaceDE w:val="0"/>
        <w:autoSpaceDN w:val="0"/>
        <w:adjustRightInd w:val="0"/>
        <w:spacing w:after="0" w:line="360" w:lineRule="auto"/>
        <w:ind w:firstLine="720"/>
        <w:rPr>
          <w:rFonts w:ascii="Times New Roman" w:hAnsi="Times New Roman" w:cs="Times New Roman"/>
          <w:color w:val="131413"/>
          <w:sz w:val="24"/>
          <w:szCs w:val="24"/>
        </w:rPr>
      </w:pPr>
      <w:r w:rsidRPr="00150487">
        <w:rPr>
          <w:rFonts w:ascii="Times New Roman" w:hAnsi="Times New Roman" w:cs="Times New Roman"/>
          <w:sz w:val="24"/>
          <w:szCs w:val="24"/>
        </w:rPr>
        <w:t xml:space="preserve">Varying estimates of the prevalence of </w:t>
      </w:r>
      <w:r w:rsidR="00D962A8">
        <w:rPr>
          <w:rFonts w:ascii="Times New Roman" w:hAnsi="Times New Roman" w:cs="Times New Roman"/>
          <w:sz w:val="24"/>
          <w:szCs w:val="24"/>
        </w:rPr>
        <w:t xml:space="preserve">general </w:t>
      </w:r>
      <w:r w:rsidRPr="00150487">
        <w:rPr>
          <w:rFonts w:ascii="Times New Roman" w:hAnsi="Times New Roman" w:cs="Times New Roman"/>
          <w:sz w:val="24"/>
          <w:szCs w:val="24"/>
        </w:rPr>
        <w:t>paranoia have been reported</w:t>
      </w:r>
      <w:r w:rsidR="00FC172E">
        <w:rPr>
          <w:rFonts w:ascii="Times New Roman" w:hAnsi="Times New Roman" w:cs="Times New Roman"/>
          <w:sz w:val="24"/>
          <w:szCs w:val="24"/>
        </w:rPr>
        <w:t xml:space="preserve"> in large-scale UK-based nationally representative surveys</w:t>
      </w:r>
      <w:r w:rsidRPr="00150487">
        <w:rPr>
          <w:rFonts w:ascii="Times New Roman" w:hAnsi="Times New Roman" w:cs="Times New Roman"/>
          <w:sz w:val="24"/>
          <w:szCs w:val="24"/>
        </w:rPr>
        <w:t xml:space="preserve">, with </w:t>
      </w:r>
      <w:r>
        <w:rPr>
          <w:rFonts w:ascii="Times New Roman" w:hAnsi="Times New Roman" w:cs="Times New Roman"/>
          <w:sz w:val="24"/>
          <w:szCs w:val="24"/>
        </w:rPr>
        <w:t xml:space="preserve">endorsement </w:t>
      </w:r>
      <w:r w:rsidR="008B4223">
        <w:rPr>
          <w:rFonts w:ascii="Times New Roman" w:hAnsi="Times New Roman" w:cs="Times New Roman"/>
          <w:sz w:val="24"/>
          <w:szCs w:val="24"/>
        </w:rPr>
        <w:t>rates of</w:t>
      </w:r>
      <w:r w:rsidRPr="00150487">
        <w:rPr>
          <w:rFonts w:ascii="Times New Roman" w:hAnsi="Times New Roman" w:cs="Times New Roman"/>
          <w:sz w:val="24"/>
          <w:szCs w:val="24"/>
        </w:rPr>
        <w:t xml:space="preserve"> paranoid thoughts ranging from approximately </w:t>
      </w:r>
      <w:r>
        <w:rPr>
          <w:rFonts w:ascii="Times New Roman" w:hAnsi="Times New Roman" w:cs="Times New Roman"/>
          <w:sz w:val="24"/>
          <w:szCs w:val="24"/>
        </w:rPr>
        <w:t>1.5%</w:t>
      </w:r>
      <w:r w:rsidRPr="00150487">
        <w:rPr>
          <w:rFonts w:ascii="Times New Roman" w:hAnsi="Times New Roman" w:cs="Times New Roman"/>
          <w:sz w:val="24"/>
          <w:szCs w:val="24"/>
        </w:rPr>
        <w:t>-</w:t>
      </w:r>
      <w:r>
        <w:rPr>
          <w:rFonts w:ascii="Times New Roman" w:hAnsi="Times New Roman" w:cs="Times New Roman"/>
          <w:sz w:val="24"/>
          <w:szCs w:val="24"/>
        </w:rPr>
        <w:t>18.6</w:t>
      </w:r>
      <w:r w:rsidRPr="00150487">
        <w:rPr>
          <w:rFonts w:ascii="Times New Roman" w:hAnsi="Times New Roman" w:cs="Times New Roman"/>
          <w:sz w:val="24"/>
          <w:szCs w:val="24"/>
        </w:rPr>
        <w:t>% in the</w:t>
      </w:r>
      <w:r w:rsidR="00D962A8" w:rsidRPr="00150487">
        <w:rPr>
          <w:rFonts w:ascii="Times New Roman" w:hAnsi="Times New Roman" w:cs="Times New Roman"/>
          <w:sz w:val="24"/>
          <w:szCs w:val="24"/>
        </w:rPr>
        <w:t xml:space="preserve"> </w:t>
      </w:r>
      <w:r w:rsidR="00897467">
        <w:rPr>
          <w:rFonts w:ascii="Times New Roman" w:hAnsi="Times New Roman" w:cs="Times New Roman"/>
          <w:sz w:val="24"/>
          <w:szCs w:val="24"/>
        </w:rPr>
        <w:t xml:space="preserve">general </w:t>
      </w:r>
      <w:r w:rsidRPr="00150487">
        <w:rPr>
          <w:rFonts w:ascii="Times New Roman" w:hAnsi="Times New Roman" w:cs="Times New Roman"/>
          <w:sz w:val="24"/>
          <w:szCs w:val="24"/>
        </w:rPr>
        <w:t>population</w:t>
      </w:r>
      <w:r>
        <w:rPr>
          <w:rFonts w:ascii="Times New Roman" w:hAnsi="Times New Roman" w:cs="Times New Roman"/>
          <w:sz w:val="24"/>
          <w:szCs w:val="24"/>
        </w:rPr>
        <w:t xml:space="preserve"> (Freeman et al., 2011; Johns et al., 2004)</w:t>
      </w:r>
      <w:r w:rsidRPr="00150487">
        <w:rPr>
          <w:rFonts w:ascii="Times New Roman" w:hAnsi="Times New Roman" w:cs="Times New Roman"/>
          <w:sz w:val="24"/>
          <w:szCs w:val="24"/>
        </w:rPr>
        <w:t>.</w:t>
      </w:r>
      <w:r>
        <w:rPr>
          <w:rFonts w:ascii="Times New Roman" w:hAnsi="Times New Roman" w:cs="Times New Roman"/>
          <w:sz w:val="24"/>
          <w:szCs w:val="24"/>
        </w:rPr>
        <w:t xml:space="preserve">  More recently, </w:t>
      </w:r>
      <w:r w:rsidRPr="00150487">
        <w:rPr>
          <w:rFonts w:ascii="Times New Roman" w:hAnsi="Times New Roman" w:cs="Times New Roman"/>
          <w:sz w:val="24"/>
          <w:szCs w:val="24"/>
        </w:rPr>
        <w:t>the</w:t>
      </w:r>
      <w:r>
        <w:rPr>
          <w:rFonts w:ascii="Times New Roman" w:hAnsi="Times New Roman" w:cs="Times New Roman"/>
          <w:sz w:val="24"/>
          <w:szCs w:val="24"/>
        </w:rPr>
        <w:t xml:space="preserve"> Revised</w:t>
      </w:r>
      <w:r w:rsidRPr="00150487">
        <w:rPr>
          <w:rFonts w:ascii="Times New Roman" w:hAnsi="Times New Roman" w:cs="Times New Roman"/>
          <w:sz w:val="24"/>
          <w:szCs w:val="24"/>
        </w:rPr>
        <w:t xml:space="preserve"> Green Paranoid Thoughts Scale</w:t>
      </w:r>
      <w:r>
        <w:rPr>
          <w:rFonts w:ascii="Times New Roman" w:hAnsi="Times New Roman" w:cs="Times New Roman"/>
          <w:sz w:val="24"/>
          <w:szCs w:val="24"/>
        </w:rPr>
        <w:t xml:space="preserve"> has established clinical cut offs by specifying paranoia severity ranges, with corresponding pre-pandemic norms for clinical and nonclinical groups (Freeman et al., 2019). In </w:t>
      </w:r>
      <w:r w:rsidR="00D962A8">
        <w:rPr>
          <w:rFonts w:ascii="Times New Roman" w:hAnsi="Times New Roman" w:cs="Times New Roman"/>
          <w:sz w:val="24"/>
          <w:szCs w:val="24"/>
        </w:rPr>
        <w:t xml:space="preserve">the Freeman et al. </w:t>
      </w:r>
      <w:r>
        <w:rPr>
          <w:rFonts w:ascii="Times New Roman" w:hAnsi="Times New Roman" w:cs="Times New Roman"/>
          <w:sz w:val="24"/>
          <w:szCs w:val="24"/>
        </w:rPr>
        <w:t xml:space="preserve">study, </w:t>
      </w:r>
      <w:r w:rsidRPr="00150487">
        <w:rPr>
          <w:rFonts w:ascii="Times New Roman" w:hAnsi="Times New Roman" w:cs="Times New Roman"/>
          <w:sz w:val="24"/>
          <w:szCs w:val="24"/>
        </w:rPr>
        <w:t>73% of the nonclinical population sampled scored within the average range</w:t>
      </w:r>
      <w:r>
        <w:rPr>
          <w:rFonts w:ascii="Times New Roman" w:hAnsi="Times New Roman" w:cs="Times New Roman"/>
          <w:sz w:val="24"/>
          <w:szCs w:val="24"/>
        </w:rPr>
        <w:t xml:space="preserve">, </w:t>
      </w:r>
      <w:r w:rsidRPr="00150487">
        <w:rPr>
          <w:rFonts w:ascii="Times New Roman" w:hAnsi="Times New Roman" w:cs="Times New Roman"/>
          <w:sz w:val="24"/>
          <w:szCs w:val="24"/>
        </w:rPr>
        <w:t>27% s</w:t>
      </w:r>
      <w:r>
        <w:rPr>
          <w:rFonts w:ascii="Times New Roman" w:hAnsi="Times New Roman" w:cs="Times New Roman"/>
          <w:sz w:val="24"/>
          <w:szCs w:val="24"/>
        </w:rPr>
        <w:t>cored in the e</w:t>
      </w:r>
      <w:r w:rsidRPr="00150487">
        <w:rPr>
          <w:rFonts w:ascii="Times New Roman" w:hAnsi="Times New Roman" w:cs="Times New Roman"/>
          <w:sz w:val="24"/>
          <w:szCs w:val="24"/>
        </w:rPr>
        <w:t xml:space="preserve">levated </w:t>
      </w:r>
      <w:r>
        <w:rPr>
          <w:rFonts w:ascii="Times New Roman" w:hAnsi="Times New Roman" w:cs="Times New Roman"/>
          <w:sz w:val="24"/>
          <w:szCs w:val="24"/>
        </w:rPr>
        <w:t>range, 15% scored in the moderately severe range, 7% in the severe range and 1% in the very severe rang</w:t>
      </w:r>
      <w:r w:rsidR="00D962A8">
        <w:rPr>
          <w:rFonts w:ascii="Times New Roman" w:hAnsi="Times New Roman" w:cs="Times New Roman"/>
          <w:sz w:val="24"/>
          <w:szCs w:val="24"/>
        </w:rPr>
        <w:t>e</w:t>
      </w:r>
      <w:r w:rsidRPr="00150487">
        <w:rPr>
          <w:rFonts w:ascii="Times New Roman" w:hAnsi="Times New Roman" w:cs="Times New Roman"/>
          <w:sz w:val="24"/>
          <w:szCs w:val="24"/>
        </w:rPr>
        <w:t>.</w:t>
      </w:r>
    </w:p>
    <w:p w14:paraId="27AA2BFC" w14:textId="6CF93162" w:rsidR="00243DF4" w:rsidRPr="00150487" w:rsidRDefault="00243DF4" w:rsidP="00243DF4">
      <w:pPr>
        <w:spacing w:line="360" w:lineRule="auto"/>
        <w:ind w:firstLine="720"/>
        <w:rPr>
          <w:rFonts w:ascii="Times New Roman" w:hAnsi="Times New Roman" w:cs="Times New Roman"/>
          <w:sz w:val="24"/>
          <w:szCs w:val="24"/>
        </w:rPr>
      </w:pPr>
      <w:r w:rsidRPr="00150487">
        <w:rPr>
          <w:rFonts w:ascii="Times New Roman" w:hAnsi="Times New Roman" w:cs="Times New Roman"/>
          <w:sz w:val="24"/>
          <w:szCs w:val="24"/>
        </w:rPr>
        <w:t>The C</w:t>
      </w:r>
      <w:r w:rsidR="00796FD1">
        <w:rPr>
          <w:rFonts w:ascii="Times New Roman" w:hAnsi="Times New Roman" w:cs="Times New Roman"/>
          <w:sz w:val="24"/>
          <w:szCs w:val="24"/>
        </w:rPr>
        <w:t>OVID</w:t>
      </w:r>
      <w:r w:rsidRPr="00150487">
        <w:rPr>
          <w:rFonts w:ascii="Times New Roman" w:hAnsi="Times New Roman" w:cs="Times New Roman"/>
          <w:sz w:val="24"/>
          <w:szCs w:val="24"/>
        </w:rPr>
        <w:t>-19 pandemic has created a unique environment within which to examine paranoid thinking - it is an interpersonally threatening global context within which people may be experiencing heightened levels of mistrust towards others, and which might arguably give rise to higher levels of paranoid beliefs.  Consistent with this, recent research that has examined general paranoid beliefs during the pandemic suggests that moderately severe paranoia</w:t>
      </w:r>
      <w:r>
        <w:rPr>
          <w:rFonts w:ascii="Times New Roman" w:hAnsi="Times New Roman" w:cs="Times New Roman"/>
          <w:sz w:val="24"/>
          <w:szCs w:val="24"/>
        </w:rPr>
        <w:t xml:space="preserve"> (a score of 11+ on the R-GPTS, Freeman et al., 2019) </w:t>
      </w:r>
      <w:r w:rsidRPr="00150487">
        <w:rPr>
          <w:rFonts w:ascii="Times New Roman" w:hAnsi="Times New Roman" w:cs="Times New Roman"/>
          <w:sz w:val="24"/>
          <w:szCs w:val="24"/>
        </w:rPr>
        <w:t xml:space="preserve">was reported </w:t>
      </w:r>
      <w:r w:rsidR="00574BF1">
        <w:rPr>
          <w:rFonts w:ascii="Times New Roman" w:hAnsi="Times New Roman" w:cs="Times New Roman"/>
          <w:sz w:val="24"/>
          <w:szCs w:val="24"/>
        </w:rPr>
        <w:t>in</w:t>
      </w:r>
      <w:r w:rsidRPr="00150487">
        <w:rPr>
          <w:rFonts w:ascii="Times New Roman" w:hAnsi="Times New Roman" w:cs="Times New Roman"/>
          <w:sz w:val="24"/>
          <w:szCs w:val="24"/>
        </w:rPr>
        <w:t xml:space="preserve"> a UK general population sample</w:t>
      </w:r>
      <w:r w:rsidR="00574BF1">
        <w:rPr>
          <w:rFonts w:ascii="Times New Roman" w:hAnsi="Times New Roman" w:cs="Times New Roman"/>
          <w:sz w:val="24"/>
          <w:szCs w:val="24"/>
        </w:rPr>
        <w:t xml:space="preserve"> during the pandemic</w:t>
      </w:r>
      <w:r>
        <w:rPr>
          <w:rFonts w:ascii="Times New Roman" w:hAnsi="Times New Roman" w:cs="Times New Roman"/>
          <w:sz w:val="24"/>
          <w:szCs w:val="24"/>
        </w:rPr>
        <w:t xml:space="preserve"> (</w:t>
      </w:r>
      <w:proofErr w:type="spellStart"/>
      <w:r>
        <w:rPr>
          <w:rFonts w:ascii="Times New Roman" w:hAnsi="Times New Roman" w:cs="Times New Roman"/>
          <w:sz w:val="24"/>
          <w:szCs w:val="24"/>
        </w:rPr>
        <w:t>Rosebrock</w:t>
      </w:r>
      <w:proofErr w:type="spellEnd"/>
      <w:r>
        <w:rPr>
          <w:rFonts w:ascii="Times New Roman" w:hAnsi="Times New Roman" w:cs="Times New Roman"/>
          <w:sz w:val="24"/>
          <w:szCs w:val="24"/>
        </w:rPr>
        <w:t xml:space="preserve"> et al., 2021)</w:t>
      </w:r>
      <w:r w:rsidRPr="00150487">
        <w:rPr>
          <w:rFonts w:ascii="Times New Roman" w:hAnsi="Times New Roman" w:cs="Times New Roman"/>
          <w:sz w:val="24"/>
          <w:szCs w:val="24"/>
        </w:rPr>
        <w:t>, that paranoid thinking is higher than pre-established norms in Chinese students</w:t>
      </w:r>
      <w:r>
        <w:rPr>
          <w:rFonts w:ascii="Times New Roman" w:hAnsi="Times New Roman" w:cs="Times New Roman"/>
          <w:sz w:val="24"/>
          <w:szCs w:val="24"/>
        </w:rPr>
        <w:t xml:space="preserve"> (Jiang, 2020),</w:t>
      </w:r>
      <w:r w:rsidRPr="00150487">
        <w:rPr>
          <w:rFonts w:ascii="Times New Roman" w:hAnsi="Times New Roman" w:cs="Times New Roman"/>
          <w:sz w:val="24"/>
          <w:szCs w:val="24"/>
        </w:rPr>
        <w:t xml:space="preserve"> and that students and younger people might be especially vulnerable</w:t>
      </w:r>
      <w:r>
        <w:rPr>
          <w:rFonts w:ascii="Times New Roman" w:hAnsi="Times New Roman" w:cs="Times New Roman"/>
          <w:sz w:val="24"/>
          <w:szCs w:val="24"/>
        </w:rPr>
        <w:t xml:space="preserve"> to heightened paranoia during the pandemic </w:t>
      </w:r>
      <w:r>
        <w:rPr>
          <w:rFonts w:ascii="Times New Roman" w:hAnsi="Times New Roman" w:cs="Times New Roman"/>
          <w:sz w:val="24"/>
          <w:szCs w:val="24"/>
        </w:rPr>
        <w:lastRenderedPageBreak/>
        <w:t>(Lopes et al., 2020)</w:t>
      </w:r>
      <w:r w:rsidRPr="00150487">
        <w:rPr>
          <w:rFonts w:ascii="Times New Roman" w:hAnsi="Times New Roman" w:cs="Times New Roman"/>
          <w:sz w:val="24"/>
          <w:szCs w:val="24"/>
        </w:rPr>
        <w:t xml:space="preserve">.  Additionally, being exposed to threatening COVID-19-related stimuli (such as </w:t>
      </w:r>
      <w:r w:rsidR="00D962A8">
        <w:rPr>
          <w:rFonts w:ascii="Times New Roman" w:hAnsi="Times New Roman" w:cs="Times New Roman"/>
          <w:sz w:val="24"/>
          <w:szCs w:val="24"/>
        </w:rPr>
        <w:t>media coverage</w:t>
      </w:r>
      <w:r w:rsidRPr="00150487">
        <w:rPr>
          <w:rFonts w:ascii="Times New Roman" w:hAnsi="Times New Roman" w:cs="Times New Roman"/>
          <w:sz w:val="24"/>
          <w:szCs w:val="24"/>
        </w:rPr>
        <w:t>), has been shown to be associated with paranoia</w:t>
      </w:r>
      <w:r>
        <w:rPr>
          <w:rFonts w:ascii="Times New Roman" w:hAnsi="Times New Roman" w:cs="Times New Roman"/>
          <w:sz w:val="24"/>
          <w:szCs w:val="24"/>
        </w:rPr>
        <w:t xml:space="preserve"> (Lopes et al., 2020)</w:t>
      </w:r>
      <w:r w:rsidRPr="00150487">
        <w:rPr>
          <w:rFonts w:ascii="Times New Roman" w:hAnsi="Times New Roman" w:cs="Times New Roman"/>
          <w:sz w:val="24"/>
          <w:szCs w:val="24"/>
        </w:rPr>
        <w:t xml:space="preserve">, as have catastrophic beliefs about the pandemic, including </w:t>
      </w:r>
      <w:r>
        <w:rPr>
          <w:rFonts w:ascii="Times New Roman" w:hAnsi="Times New Roman" w:cs="Times New Roman"/>
          <w:sz w:val="24"/>
          <w:szCs w:val="24"/>
        </w:rPr>
        <w:t xml:space="preserve">thoughts of </w:t>
      </w:r>
      <w:r w:rsidRPr="00150487">
        <w:rPr>
          <w:rFonts w:ascii="Times New Roman" w:hAnsi="Times New Roman" w:cs="Times New Roman"/>
          <w:sz w:val="24"/>
          <w:szCs w:val="24"/>
        </w:rPr>
        <w:t>being targeted</w:t>
      </w:r>
      <w:r>
        <w:rPr>
          <w:rFonts w:ascii="Times New Roman" w:hAnsi="Times New Roman" w:cs="Times New Roman"/>
          <w:sz w:val="24"/>
          <w:szCs w:val="24"/>
        </w:rPr>
        <w:t xml:space="preserve"> </w:t>
      </w:r>
      <w:r w:rsidR="00D962A8">
        <w:rPr>
          <w:rFonts w:ascii="Times New Roman" w:hAnsi="Times New Roman" w:cs="Times New Roman"/>
          <w:sz w:val="24"/>
          <w:szCs w:val="24"/>
        </w:rPr>
        <w:t xml:space="preserve">by others </w:t>
      </w:r>
      <w:r>
        <w:rPr>
          <w:rFonts w:ascii="Times New Roman" w:hAnsi="Times New Roman" w:cs="Times New Roman"/>
          <w:sz w:val="24"/>
          <w:szCs w:val="24"/>
        </w:rPr>
        <w:t>(</w:t>
      </w:r>
      <w:proofErr w:type="spellStart"/>
      <w:r>
        <w:rPr>
          <w:rFonts w:ascii="Times New Roman" w:hAnsi="Times New Roman" w:cs="Times New Roman"/>
          <w:sz w:val="24"/>
          <w:szCs w:val="24"/>
        </w:rPr>
        <w:t>Rosebrock</w:t>
      </w:r>
      <w:proofErr w:type="spellEnd"/>
      <w:r>
        <w:rPr>
          <w:rFonts w:ascii="Times New Roman" w:hAnsi="Times New Roman" w:cs="Times New Roman"/>
          <w:sz w:val="24"/>
          <w:szCs w:val="24"/>
        </w:rPr>
        <w:t xml:space="preserve"> et al., 2021)</w:t>
      </w:r>
      <w:r w:rsidRPr="00150487">
        <w:rPr>
          <w:rFonts w:ascii="Times New Roman" w:hAnsi="Times New Roman" w:cs="Times New Roman"/>
          <w:sz w:val="24"/>
          <w:szCs w:val="24"/>
        </w:rPr>
        <w:t>. Collectively, this evidence suggests that the COVID-19 pandemic is having a</w:t>
      </w:r>
      <w:r w:rsidR="00D962A8">
        <w:rPr>
          <w:rFonts w:ascii="Times New Roman" w:hAnsi="Times New Roman" w:cs="Times New Roman"/>
          <w:sz w:val="24"/>
          <w:szCs w:val="24"/>
        </w:rPr>
        <w:t xml:space="preserve"> negative</w:t>
      </w:r>
      <w:r w:rsidRPr="00150487">
        <w:rPr>
          <w:rFonts w:ascii="Times New Roman" w:hAnsi="Times New Roman" w:cs="Times New Roman"/>
          <w:sz w:val="24"/>
          <w:szCs w:val="24"/>
        </w:rPr>
        <w:t xml:space="preserve"> impact on paranoid beliefs. However, research to date has focused on examining </w:t>
      </w:r>
      <w:r w:rsidRPr="00150487">
        <w:rPr>
          <w:rFonts w:ascii="Times New Roman" w:hAnsi="Times New Roman" w:cs="Times New Roman"/>
          <w:i/>
          <w:sz w:val="24"/>
          <w:szCs w:val="24"/>
        </w:rPr>
        <w:t>general</w:t>
      </w:r>
      <w:r w:rsidRPr="00150487">
        <w:rPr>
          <w:rFonts w:ascii="Times New Roman" w:hAnsi="Times New Roman" w:cs="Times New Roman"/>
          <w:sz w:val="24"/>
          <w:szCs w:val="24"/>
        </w:rPr>
        <w:t xml:space="preserve"> paranoid beliefs during the pandemic, and studies have typically been conducted in single countries only</w:t>
      </w:r>
      <w:r>
        <w:rPr>
          <w:rFonts w:ascii="Times New Roman" w:hAnsi="Times New Roman" w:cs="Times New Roman"/>
          <w:sz w:val="24"/>
          <w:szCs w:val="24"/>
        </w:rPr>
        <w:t xml:space="preserve">, for example </w:t>
      </w:r>
      <w:r w:rsidR="003B5DFE">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50487">
        <w:rPr>
          <w:rFonts w:ascii="Times New Roman" w:hAnsi="Times New Roman" w:cs="Times New Roman"/>
          <w:sz w:val="24"/>
          <w:szCs w:val="24"/>
        </w:rPr>
        <w:t>UK</w:t>
      </w:r>
      <w:r>
        <w:rPr>
          <w:rFonts w:ascii="Times New Roman" w:hAnsi="Times New Roman" w:cs="Times New Roman"/>
          <w:sz w:val="24"/>
          <w:szCs w:val="24"/>
        </w:rPr>
        <w:t xml:space="preserve"> (</w:t>
      </w:r>
      <w:proofErr w:type="spellStart"/>
      <w:r>
        <w:rPr>
          <w:rFonts w:ascii="Times New Roman" w:hAnsi="Times New Roman" w:cs="Times New Roman"/>
          <w:sz w:val="24"/>
          <w:szCs w:val="24"/>
        </w:rPr>
        <w:t>Rosebrock</w:t>
      </w:r>
      <w:proofErr w:type="spellEnd"/>
      <w:r>
        <w:rPr>
          <w:rFonts w:ascii="Times New Roman" w:hAnsi="Times New Roman" w:cs="Times New Roman"/>
          <w:sz w:val="24"/>
          <w:szCs w:val="24"/>
        </w:rPr>
        <w:t xml:space="preserve"> et al., 2021), </w:t>
      </w:r>
      <w:r w:rsidRPr="00150487">
        <w:rPr>
          <w:rFonts w:ascii="Times New Roman" w:hAnsi="Times New Roman" w:cs="Times New Roman"/>
          <w:sz w:val="24"/>
          <w:szCs w:val="24"/>
        </w:rPr>
        <w:t>Portugal</w:t>
      </w:r>
      <w:r>
        <w:rPr>
          <w:rFonts w:ascii="Times New Roman" w:hAnsi="Times New Roman" w:cs="Times New Roman"/>
          <w:sz w:val="24"/>
          <w:szCs w:val="24"/>
        </w:rPr>
        <w:t xml:space="preserve"> (Lopes et al., 2020), USA (Larsen et al., 2021) and France (</w:t>
      </w:r>
      <w:proofErr w:type="spellStart"/>
      <w:r>
        <w:rPr>
          <w:rFonts w:ascii="Times New Roman" w:hAnsi="Times New Roman" w:cs="Times New Roman"/>
          <w:sz w:val="24"/>
          <w:szCs w:val="24"/>
        </w:rPr>
        <w:t>Bortolon</w:t>
      </w:r>
      <w:proofErr w:type="spellEnd"/>
      <w:r>
        <w:rPr>
          <w:rFonts w:ascii="Times New Roman" w:hAnsi="Times New Roman" w:cs="Times New Roman"/>
          <w:sz w:val="24"/>
          <w:szCs w:val="24"/>
        </w:rPr>
        <w:t xml:space="preserve"> et al., 2021</w:t>
      </w:r>
      <w:r w:rsidRPr="00150487">
        <w:rPr>
          <w:rFonts w:ascii="Times New Roman" w:hAnsi="Times New Roman" w:cs="Times New Roman"/>
          <w:sz w:val="24"/>
          <w:szCs w:val="24"/>
        </w:rPr>
        <w:t>)</w:t>
      </w:r>
      <w:r>
        <w:rPr>
          <w:rFonts w:ascii="Times New Roman" w:hAnsi="Times New Roman" w:cs="Times New Roman"/>
          <w:sz w:val="24"/>
          <w:szCs w:val="24"/>
        </w:rPr>
        <w:t>.</w:t>
      </w:r>
      <w:r w:rsidRPr="00150487">
        <w:rPr>
          <w:rFonts w:ascii="Times New Roman" w:hAnsi="Times New Roman" w:cs="Times New Roman"/>
          <w:sz w:val="24"/>
          <w:szCs w:val="24"/>
        </w:rPr>
        <w:t xml:space="preserve"> Furthermore, it is important to examine not only the prevalence of general paranoid beliefs, but also paranoid beliefs </w:t>
      </w:r>
      <w:r w:rsidRPr="00150487">
        <w:rPr>
          <w:rFonts w:ascii="Times New Roman" w:hAnsi="Times New Roman" w:cs="Times New Roman"/>
          <w:i/>
          <w:sz w:val="24"/>
          <w:szCs w:val="24"/>
        </w:rPr>
        <w:t>specifically related to the pandemic</w:t>
      </w:r>
      <w:r w:rsidRPr="00150487">
        <w:rPr>
          <w:rFonts w:ascii="Times New Roman" w:hAnsi="Times New Roman" w:cs="Times New Roman"/>
          <w:sz w:val="24"/>
          <w:szCs w:val="24"/>
        </w:rPr>
        <w:t xml:space="preserve"> – what </w:t>
      </w:r>
      <w:r>
        <w:rPr>
          <w:rFonts w:ascii="Times New Roman" w:hAnsi="Times New Roman" w:cs="Times New Roman"/>
          <w:sz w:val="24"/>
          <w:szCs w:val="24"/>
        </w:rPr>
        <w:t xml:space="preserve">we </w:t>
      </w:r>
      <w:r w:rsidRPr="00150487">
        <w:rPr>
          <w:rFonts w:ascii="Times New Roman" w:hAnsi="Times New Roman" w:cs="Times New Roman"/>
          <w:sz w:val="24"/>
          <w:szCs w:val="24"/>
        </w:rPr>
        <w:t>refer to as ‘pandemic paranoia’.  The term ‘pandemic paranoia’ has been coined to refer to “paranoid cognitions that focus specifically on the threat posed by others to oneself because of the pandemic”</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(Kingston et al., </w:t>
      </w:r>
      <w:r w:rsidR="00AE68EB">
        <w:rPr>
          <w:rFonts w:ascii="Times New Roman" w:hAnsi="Times New Roman" w:cs="Times New Roman"/>
          <w:sz w:val="24"/>
          <w:szCs w:val="24"/>
        </w:rPr>
        <w:t>2021</w:t>
      </w:r>
      <w:r>
        <w:rPr>
          <w:rFonts w:ascii="Times New Roman" w:hAnsi="Times New Roman" w:cs="Times New Roman"/>
          <w:sz w:val="24"/>
          <w:szCs w:val="24"/>
        </w:rPr>
        <w:t>),</w:t>
      </w:r>
      <w:r w:rsidRPr="00150487">
        <w:rPr>
          <w:rFonts w:ascii="Times New Roman" w:hAnsi="Times New Roman" w:cs="Times New Roman"/>
          <w:sz w:val="24"/>
          <w:szCs w:val="24"/>
        </w:rPr>
        <w:t xml:space="preserve"> for example, thinking that others are spreading rumours that you have COVID-19, or thinking that others want to infect you with COVID-19.</w:t>
      </w:r>
    </w:p>
    <w:p w14:paraId="4666320C" w14:textId="25905909" w:rsidR="00243DF4" w:rsidRPr="00150487" w:rsidRDefault="00243DF4" w:rsidP="00243DF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Pr="00150487">
        <w:rPr>
          <w:rFonts w:ascii="Times New Roman" w:hAnsi="Times New Roman" w:cs="Times New Roman"/>
          <w:sz w:val="24"/>
          <w:szCs w:val="24"/>
        </w:rPr>
        <w:t xml:space="preserve">o examine pandemic paranoia, our research group developed </w:t>
      </w:r>
      <w:r>
        <w:rPr>
          <w:rFonts w:ascii="Times New Roman" w:hAnsi="Times New Roman" w:cs="Times New Roman"/>
          <w:sz w:val="24"/>
          <w:szCs w:val="24"/>
        </w:rPr>
        <w:t xml:space="preserve">and validated </w:t>
      </w:r>
      <w:r w:rsidRPr="00150487">
        <w:rPr>
          <w:rFonts w:ascii="Times New Roman" w:hAnsi="Times New Roman" w:cs="Times New Roman"/>
          <w:sz w:val="24"/>
          <w:szCs w:val="24"/>
        </w:rPr>
        <w:t>the Pandemic Paranoia Scale (PPS</w:t>
      </w:r>
      <w:r>
        <w:rPr>
          <w:rFonts w:ascii="Times New Roman" w:hAnsi="Times New Roman" w:cs="Times New Roman"/>
          <w:sz w:val="24"/>
          <w:szCs w:val="24"/>
        </w:rPr>
        <w:t xml:space="preserve">, Kingston et al., </w:t>
      </w:r>
      <w:r w:rsidR="00AE68EB">
        <w:rPr>
          <w:rFonts w:ascii="Times New Roman" w:hAnsi="Times New Roman" w:cs="Times New Roman"/>
          <w:sz w:val="24"/>
          <w:szCs w:val="24"/>
        </w:rPr>
        <w:t>2021</w:t>
      </w:r>
      <w:r w:rsidRPr="00150487">
        <w:rPr>
          <w:rFonts w:ascii="Times New Roman" w:hAnsi="Times New Roman" w:cs="Times New Roman"/>
          <w:sz w:val="24"/>
          <w:szCs w:val="24"/>
        </w:rPr>
        <w:t xml:space="preserve">).  The PPS consists of 25 items and was developed to measure paranoid thoughts specifically in relation to the pandemic.  It has been validated in five international sites (UK, USA, Germany, Australia and Hong Kong) and in three different languages (English, German </w:t>
      </w:r>
      <w:r w:rsidR="00796FD1">
        <w:rPr>
          <w:rFonts w:ascii="Times New Roman" w:hAnsi="Times New Roman" w:cs="Times New Roman"/>
          <w:sz w:val="24"/>
          <w:szCs w:val="24"/>
        </w:rPr>
        <w:t>and</w:t>
      </w:r>
      <w:r w:rsidRPr="00150487">
        <w:rPr>
          <w:rFonts w:ascii="Times New Roman" w:hAnsi="Times New Roman" w:cs="Times New Roman"/>
          <w:sz w:val="24"/>
          <w:szCs w:val="24"/>
        </w:rPr>
        <w:t xml:space="preserve"> Chinese), using representative samples of the general population in terms of sex, a</w:t>
      </w:r>
      <w:r w:rsidR="003B5DFE">
        <w:rPr>
          <w:rFonts w:ascii="Times New Roman" w:hAnsi="Times New Roman" w:cs="Times New Roman"/>
          <w:sz w:val="24"/>
          <w:szCs w:val="24"/>
        </w:rPr>
        <w:t xml:space="preserve">ge and educational attainment. </w:t>
      </w:r>
      <w:r w:rsidRPr="00150487">
        <w:rPr>
          <w:rFonts w:ascii="Times New Roman" w:hAnsi="Times New Roman" w:cs="Times New Roman"/>
          <w:sz w:val="24"/>
          <w:szCs w:val="24"/>
        </w:rPr>
        <w:t>A total score on the PPS can be derived (range 0-100) and there are three subscales – persecutory threat (e.g. ‘</w:t>
      </w:r>
      <w:r w:rsidRPr="00150487">
        <w:rPr>
          <w:rFonts w:ascii="Times New Roman" w:eastAsia="Times New Roman" w:hAnsi="Times New Roman" w:cs="Times New Roman"/>
          <w:color w:val="000000"/>
          <w:sz w:val="24"/>
          <w:szCs w:val="24"/>
          <w:lang w:val="en-US" w:eastAsia="de-DE"/>
        </w:rPr>
        <w:t>people have been hostile towards me on purpose because they think I have COVID-19’); paranoid conspiracy (e.g. ‘COVID-19 is a conspiracy to make us all f</w:t>
      </w:r>
      <w:r>
        <w:rPr>
          <w:rFonts w:ascii="Times New Roman" w:eastAsia="Times New Roman" w:hAnsi="Times New Roman" w:cs="Times New Roman"/>
          <w:color w:val="000000"/>
          <w:sz w:val="24"/>
          <w:szCs w:val="24"/>
          <w:lang w:val="en-US" w:eastAsia="de-DE"/>
        </w:rPr>
        <w:t>eel threatened’</w:t>
      </w:r>
      <w:r w:rsidRPr="00150487">
        <w:rPr>
          <w:rFonts w:ascii="Times New Roman" w:eastAsia="Times New Roman" w:hAnsi="Times New Roman" w:cs="Times New Roman"/>
          <w:color w:val="000000"/>
          <w:sz w:val="24"/>
          <w:szCs w:val="24"/>
          <w:lang w:val="en-US" w:eastAsia="de-DE"/>
        </w:rPr>
        <w:t>) and interpersonal mistrust (e.g. ‘I need to be on my guard against others to protect myself from getting COVID-19’).</w:t>
      </w:r>
      <w:r>
        <w:rPr>
          <w:rFonts w:ascii="Times New Roman" w:eastAsia="Times New Roman" w:hAnsi="Times New Roman" w:cs="Times New Roman"/>
          <w:color w:val="000000"/>
          <w:sz w:val="24"/>
          <w:szCs w:val="24"/>
          <w:lang w:val="en-US" w:eastAsia="de-DE"/>
        </w:rPr>
        <w:t xml:space="preserve">  The PPS has been shown to have very good psychometric properties, and the total score</w:t>
      </w:r>
      <w:r w:rsidRPr="00150487">
        <w:rPr>
          <w:rFonts w:ascii="Times New Roman" w:eastAsia="Times New Roman" w:hAnsi="Times New Roman" w:cs="Times New Roman"/>
          <w:color w:val="000000"/>
          <w:sz w:val="24"/>
          <w:szCs w:val="24"/>
          <w:lang w:val="en-US" w:eastAsia="de-DE"/>
        </w:rPr>
        <w:t xml:space="preserve"> w</w:t>
      </w:r>
      <w:r>
        <w:rPr>
          <w:rFonts w:ascii="Times New Roman" w:eastAsia="Times New Roman" w:hAnsi="Times New Roman" w:cs="Times New Roman"/>
          <w:color w:val="000000"/>
          <w:sz w:val="24"/>
          <w:szCs w:val="24"/>
          <w:lang w:val="en-US" w:eastAsia="de-DE"/>
        </w:rPr>
        <w:t>as</w:t>
      </w:r>
      <w:r w:rsidRPr="00150487">
        <w:rPr>
          <w:rFonts w:ascii="Times New Roman" w:eastAsia="Times New Roman" w:hAnsi="Times New Roman" w:cs="Times New Roman"/>
          <w:color w:val="000000"/>
          <w:sz w:val="24"/>
          <w:szCs w:val="24"/>
          <w:lang w:val="en-US" w:eastAsia="de-DE"/>
        </w:rPr>
        <w:t xml:space="preserve"> shown to be associat</w:t>
      </w:r>
      <w:r>
        <w:rPr>
          <w:rFonts w:ascii="Times New Roman" w:eastAsia="Times New Roman" w:hAnsi="Times New Roman" w:cs="Times New Roman"/>
          <w:color w:val="000000"/>
          <w:sz w:val="24"/>
          <w:szCs w:val="24"/>
          <w:lang w:val="en-US" w:eastAsia="de-DE"/>
        </w:rPr>
        <w:t xml:space="preserve">ed with general paranoid beliefs (Kingston et al., </w:t>
      </w:r>
      <w:r w:rsidR="00AE68EB">
        <w:rPr>
          <w:rFonts w:ascii="Times New Roman" w:eastAsia="Times New Roman" w:hAnsi="Times New Roman" w:cs="Times New Roman"/>
          <w:color w:val="000000"/>
          <w:sz w:val="24"/>
          <w:szCs w:val="24"/>
          <w:lang w:val="en-US" w:eastAsia="de-DE"/>
        </w:rPr>
        <w:t>2021</w:t>
      </w:r>
      <w:r>
        <w:rPr>
          <w:rFonts w:ascii="Times New Roman" w:eastAsia="Times New Roman" w:hAnsi="Times New Roman" w:cs="Times New Roman"/>
          <w:color w:val="000000"/>
          <w:sz w:val="24"/>
          <w:szCs w:val="24"/>
          <w:lang w:val="en-US" w:eastAsia="de-DE"/>
        </w:rPr>
        <w:t>)</w:t>
      </w:r>
      <w:r w:rsidRPr="00150487">
        <w:rPr>
          <w:rFonts w:ascii="Times New Roman" w:eastAsia="Times New Roman" w:hAnsi="Times New Roman" w:cs="Times New Roman"/>
          <w:color w:val="000000"/>
          <w:sz w:val="24"/>
          <w:szCs w:val="24"/>
          <w:lang w:val="en-US" w:eastAsia="de-DE"/>
        </w:rPr>
        <w:t>.</w:t>
      </w:r>
      <w:r>
        <w:rPr>
          <w:rFonts w:ascii="Times New Roman" w:eastAsia="Times New Roman" w:hAnsi="Times New Roman" w:cs="Times New Roman"/>
          <w:color w:val="000000"/>
          <w:sz w:val="24"/>
          <w:szCs w:val="24"/>
          <w:lang w:val="en-US" w:eastAsia="de-DE"/>
        </w:rPr>
        <w:t xml:space="preserve">  </w:t>
      </w:r>
      <w:r>
        <w:rPr>
          <w:rFonts w:ascii="Times New Roman" w:hAnsi="Times New Roman" w:cs="Times New Roman"/>
          <w:sz w:val="24"/>
          <w:szCs w:val="24"/>
        </w:rPr>
        <w:t>Using the same dataset as the PPS validation study, the current paper</w:t>
      </w:r>
      <w:r w:rsidRPr="00150487">
        <w:rPr>
          <w:rFonts w:ascii="Times New Roman" w:hAnsi="Times New Roman" w:cs="Times New Roman"/>
          <w:sz w:val="24"/>
          <w:szCs w:val="24"/>
        </w:rPr>
        <w:t xml:space="preserve"> </w:t>
      </w:r>
      <w:r>
        <w:rPr>
          <w:rFonts w:ascii="Times New Roman" w:hAnsi="Times New Roman" w:cs="Times New Roman"/>
          <w:sz w:val="24"/>
          <w:szCs w:val="24"/>
        </w:rPr>
        <w:t>aimed to:</w:t>
      </w:r>
      <w:r w:rsidRPr="00150487">
        <w:rPr>
          <w:rFonts w:ascii="Times New Roman" w:hAnsi="Times New Roman" w:cs="Times New Roman"/>
          <w:sz w:val="24"/>
          <w:szCs w:val="24"/>
        </w:rPr>
        <w:t xml:space="preserve"> (</w:t>
      </w:r>
      <w:r>
        <w:rPr>
          <w:rFonts w:ascii="Times New Roman" w:hAnsi="Times New Roman" w:cs="Times New Roman"/>
          <w:sz w:val="24"/>
          <w:szCs w:val="24"/>
        </w:rPr>
        <w:t>1</w:t>
      </w:r>
      <w:r w:rsidRPr="00150487">
        <w:rPr>
          <w:rFonts w:ascii="Times New Roman" w:hAnsi="Times New Roman" w:cs="Times New Roman"/>
          <w:sz w:val="24"/>
          <w:szCs w:val="24"/>
        </w:rPr>
        <w:t xml:space="preserve">) </w:t>
      </w:r>
      <w:r>
        <w:rPr>
          <w:rFonts w:ascii="Times New Roman" w:hAnsi="Times New Roman" w:cs="Times New Roman"/>
          <w:sz w:val="24"/>
          <w:szCs w:val="24"/>
        </w:rPr>
        <w:t xml:space="preserve">establish the </w:t>
      </w:r>
      <w:r w:rsidRPr="00150487">
        <w:rPr>
          <w:rFonts w:ascii="Times New Roman" w:hAnsi="Times New Roman" w:cs="Times New Roman"/>
          <w:sz w:val="24"/>
          <w:szCs w:val="24"/>
        </w:rPr>
        <w:t>international prevalence of pandemic paranoia</w:t>
      </w:r>
      <w:r>
        <w:rPr>
          <w:rFonts w:ascii="Times New Roman" w:hAnsi="Times New Roman" w:cs="Times New Roman"/>
          <w:sz w:val="24"/>
          <w:szCs w:val="24"/>
        </w:rPr>
        <w:t xml:space="preserve">; (2) examine whether </w:t>
      </w:r>
      <w:r w:rsidRPr="00150487">
        <w:rPr>
          <w:rFonts w:ascii="Times New Roman" w:hAnsi="Times New Roman" w:cs="Times New Roman"/>
          <w:sz w:val="24"/>
          <w:szCs w:val="24"/>
        </w:rPr>
        <w:t>prevalence rate</w:t>
      </w:r>
      <w:r>
        <w:rPr>
          <w:rFonts w:ascii="Times New Roman" w:hAnsi="Times New Roman" w:cs="Times New Roman"/>
          <w:sz w:val="24"/>
          <w:szCs w:val="24"/>
        </w:rPr>
        <w:t>s of pandemic paranoia</w:t>
      </w:r>
      <w:r w:rsidRPr="00150487">
        <w:rPr>
          <w:rFonts w:ascii="Times New Roman" w:hAnsi="Times New Roman" w:cs="Times New Roman"/>
          <w:sz w:val="24"/>
          <w:szCs w:val="24"/>
        </w:rPr>
        <w:t xml:space="preserve"> differ</w:t>
      </w:r>
      <w:r>
        <w:rPr>
          <w:rFonts w:ascii="Times New Roman" w:hAnsi="Times New Roman" w:cs="Times New Roman"/>
          <w:sz w:val="24"/>
          <w:szCs w:val="24"/>
        </w:rPr>
        <w:t>ed</w:t>
      </w:r>
      <w:r w:rsidRPr="00150487">
        <w:rPr>
          <w:rFonts w:ascii="Times New Roman" w:hAnsi="Times New Roman" w:cs="Times New Roman"/>
          <w:sz w:val="24"/>
          <w:szCs w:val="24"/>
        </w:rPr>
        <w:t xml:space="preserve"> </w:t>
      </w:r>
      <w:r w:rsidR="00D962A8">
        <w:rPr>
          <w:rFonts w:ascii="Times New Roman" w:hAnsi="Times New Roman" w:cs="Times New Roman"/>
          <w:sz w:val="24"/>
          <w:szCs w:val="24"/>
        </w:rPr>
        <w:t>across the five</w:t>
      </w:r>
      <w:r w:rsidR="00D962A8" w:rsidRPr="00150487">
        <w:rPr>
          <w:rFonts w:ascii="Times New Roman" w:hAnsi="Times New Roman" w:cs="Times New Roman"/>
          <w:sz w:val="24"/>
          <w:szCs w:val="24"/>
        </w:rPr>
        <w:t xml:space="preserve"> </w:t>
      </w:r>
      <w:r w:rsidRPr="00150487">
        <w:rPr>
          <w:rFonts w:ascii="Times New Roman" w:hAnsi="Times New Roman" w:cs="Times New Roman"/>
          <w:sz w:val="24"/>
          <w:szCs w:val="24"/>
        </w:rPr>
        <w:t>international site</w:t>
      </w:r>
      <w:r w:rsidR="00D962A8">
        <w:rPr>
          <w:rFonts w:ascii="Times New Roman" w:hAnsi="Times New Roman" w:cs="Times New Roman"/>
          <w:sz w:val="24"/>
          <w:szCs w:val="24"/>
        </w:rPr>
        <w:t>s (Australia, UK, USA, Germany, and Hong Kong)</w:t>
      </w:r>
      <w:r>
        <w:rPr>
          <w:rFonts w:ascii="Times New Roman" w:hAnsi="Times New Roman" w:cs="Times New Roman"/>
          <w:sz w:val="24"/>
          <w:szCs w:val="24"/>
        </w:rPr>
        <w:t xml:space="preserve"> and </w:t>
      </w:r>
      <w:r w:rsidRPr="00150487">
        <w:rPr>
          <w:rFonts w:ascii="Times New Roman" w:hAnsi="Times New Roman" w:cs="Times New Roman"/>
          <w:sz w:val="24"/>
          <w:szCs w:val="24"/>
        </w:rPr>
        <w:t>(</w:t>
      </w:r>
      <w:r>
        <w:rPr>
          <w:rFonts w:ascii="Times New Roman" w:hAnsi="Times New Roman" w:cs="Times New Roman"/>
          <w:sz w:val="24"/>
          <w:szCs w:val="24"/>
        </w:rPr>
        <w:t>3</w:t>
      </w:r>
      <w:r w:rsidRPr="00150487">
        <w:rPr>
          <w:rFonts w:ascii="Times New Roman" w:hAnsi="Times New Roman" w:cs="Times New Roman"/>
          <w:sz w:val="24"/>
          <w:szCs w:val="24"/>
        </w:rPr>
        <w:t xml:space="preserve">) </w:t>
      </w:r>
      <w:r>
        <w:rPr>
          <w:rFonts w:ascii="Times New Roman" w:hAnsi="Times New Roman" w:cs="Times New Roman"/>
          <w:sz w:val="24"/>
          <w:szCs w:val="24"/>
        </w:rPr>
        <w:t>determine the</w:t>
      </w:r>
      <w:r w:rsidRPr="00150487">
        <w:rPr>
          <w:rFonts w:ascii="Times New Roman" w:hAnsi="Times New Roman" w:cs="Times New Roman"/>
          <w:sz w:val="24"/>
          <w:szCs w:val="24"/>
        </w:rPr>
        <w:t xml:space="preserve"> sociodemographic factors </w:t>
      </w:r>
      <w:r>
        <w:rPr>
          <w:rFonts w:ascii="Times New Roman" w:hAnsi="Times New Roman" w:cs="Times New Roman"/>
          <w:sz w:val="24"/>
          <w:szCs w:val="24"/>
        </w:rPr>
        <w:t>that predict pandemic paranoia.</w:t>
      </w:r>
      <w:r w:rsidRPr="00150487">
        <w:rPr>
          <w:rFonts w:ascii="Times New Roman" w:hAnsi="Times New Roman" w:cs="Times New Roman"/>
          <w:sz w:val="24"/>
          <w:szCs w:val="24"/>
        </w:rPr>
        <w:t xml:space="preserve">  </w:t>
      </w:r>
    </w:p>
    <w:p w14:paraId="599AC57B" w14:textId="77777777" w:rsidR="00243DF4" w:rsidRDefault="00243DF4" w:rsidP="00243DF4">
      <w:pPr>
        <w:spacing w:line="360" w:lineRule="auto"/>
        <w:ind w:firstLine="720"/>
        <w:rPr>
          <w:rFonts w:ascii="Times New Roman" w:hAnsi="Times New Roman" w:cs="Times New Roman"/>
          <w:color w:val="000000" w:themeColor="text1"/>
          <w:sz w:val="24"/>
          <w:szCs w:val="24"/>
        </w:rPr>
      </w:pPr>
    </w:p>
    <w:p w14:paraId="2196F8B2" w14:textId="77777777" w:rsidR="00243DF4" w:rsidRPr="008C3932" w:rsidRDefault="00243DF4" w:rsidP="00243DF4">
      <w:pPr>
        <w:spacing w:line="360" w:lineRule="auto"/>
        <w:jc w:val="center"/>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t>Method</w:t>
      </w:r>
    </w:p>
    <w:p w14:paraId="37CF858E" w14:textId="77777777" w:rsidR="00243DF4" w:rsidRPr="008C3932" w:rsidRDefault="00243DF4" w:rsidP="00243DF4">
      <w:pPr>
        <w:spacing w:line="360" w:lineRule="auto"/>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lastRenderedPageBreak/>
        <w:t>Participants</w:t>
      </w:r>
    </w:p>
    <w:p w14:paraId="2F43579A" w14:textId="26507296" w:rsidR="00243DF4" w:rsidRPr="008C3932" w:rsidRDefault="00243DF4" w:rsidP="00243DF4">
      <w:pPr>
        <w:spacing w:line="360" w:lineRule="auto"/>
        <w:ind w:firstLine="720"/>
        <w:rPr>
          <w:rFonts w:ascii="Times New Roman" w:hAnsi="Times New Roman" w:cs="Times New Roman"/>
          <w:color w:val="000000" w:themeColor="text1"/>
          <w:sz w:val="24"/>
          <w:szCs w:val="24"/>
        </w:rPr>
      </w:pPr>
      <w:r w:rsidRPr="008C3932">
        <w:rPr>
          <w:rFonts w:ascii="Times New Roman" w:hAnsi="Times New Roman" w:cs="Times New Roman"/>
          <w:color w:val="000000" w:themeColor="text1"/>
          <w:sz w:val="24"/>
          <w:szCs w:val="24"/>
        </w:rPr>
        <w:t>A power calculation to determine sample size for prevalence estimatio</w:t>
      </w:r>
      <w:r w:rsidR="00BD0A5C">
        <w:rPr>
          <w:rFonts w:ascii="Times New Roman" w:hAnsi="Times New Roman" w:cs="Times New Roman"/>
          <w:color w:val="000000" w:themeColor="text1"/>
          <w:sz w:val="24"/>
          <w:szCs w:val="24"/>
        </w:rPr>
        <w:t xml:space="preserve">n from a survey was conducted. </w:t>
      </w:r>
      <w:r w:rsidRPr="008C3932">
        <w:rPr>
          <w:rFonts w:ascii="Times New Roman" w:hAnsi="Times New Roman" w:cs="Times New Roman"/>
          <w:color w:val="000000" w:themeColor="text1"/>
          <w:sz w:val="24"/>
          <w:szCs w:val="24"/>
        </w:rPr>
        <w:t xml:space="preserve">This indicated that for 95% precision and a 95% level of confidence interval, with prevalence estimated at 50% (this is recommended if prevalence is unknown as it will result in the highest possible sample size), a minimum of </w:t>
      </w:r>
      <w:r w:rsidRPr="001455D0">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=385 per site was required.</w:t>
      </w:r>
    </w:p>
    <w:p w14:paraId="45847F91" w14:textId="4144BD14" w:rsidR="00243DF4" w:rsidRDefault="00243DF4" w:rsidP="00243DF4">
      <w:pPr>
        <w:spacing w:line="360" w:lineRule="auto"/>
        <w:ind w:firstLine="720"/>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Table 1 shows the sociodemographic characteristics of the sample overall and by site. </w:t>
      </w:r>
      <w:r w:rsidR="00B21FD4">
        <w:rPr>
          <w:rFonts w:ascii="Times New Roman" w:hAnsi="Times New Roman" w:cs="Times New Roman"/>
          <w:color w:val="000000" w:themeColor="text1"/>
          <w:sz w:val="24"/>
          <w:szCs w:val="24"/>
        </w:rPr>
        <w:t>2690</w:t>
      </w:r>
      <w:r w:rsidR="002F4736">
        <w:rPr>
          <w:rFonts w:ascii="Times New Roman" w:hAnsi="Times New Roman" w:cs="Times New Roman"/>
          <w:color w:val="000000" w:themeColor="text1"/>
          <w:sz w:val="24"/>
          <w:szCs w:val="24"/>
        </w:rPr>
        <w:t xml:space="preserve"> participants fulfilled quota and eligibility criteria; of these 2510</w:t>
      </w:r>
      <w:r w:rsidR="00EE6B77">
        <w:rPr>
          <w:rFonts w:ascii="Times New Roman" w:hAnsi="Times New Roman" w:cs="Times New Roman"/>
          <w:color w:val="000000" w:themeColor="text1"/>
          <w:sz w:val="24"/>
          <w:szCs w:val="24"/>
        </w:rPr>
        <w:t xml:space="preserve"> completed the survey and passed all five attention checks.</w:t>
      </w:r>
      <w:r>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 xml:space="preserve">The sample </w:t>
      </w:r>
      <w:r w:rsidR="00EE6B77">
        <w:rPr>
          <w:rFonts w:ascii="Times New Roman" w:hAnsi="Times New Roman" w:cs="Times New Roman"/>
          <w:color w:val="000000" w:themeColor="text1"/>
          <w:sz w:val="24"/>
          <w:szCs w:val="24"/>
        </w:rPr>
        <w:t xml:space="preserve">therefore </w:t>
      </w:r>
      <w:r w:rsidRPr="008C3932">
        <w:rPr>
          <w:rFonts w:ascii="Times New Roman" w:hAnsi="Times New Roman" w:cs="Times New Roman"/>
          <w:color w:val="000000" w:themeColor="text1"/>
          <w:sz w:val="24"/>
          <w:szCs w:val="24"/>
        </w:rPr>
        <w:t>consisted of 2510 participants from five international sites: United States (</w:t>
      </w:r>
      <w:r w:rsidRPr="00897872">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=535), Germany (</w:t>
      </w:r>
      <w:r w:rsidRPr="00897872">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=516), United Kingdom (</w:t>
      </w:r>
      <w:r w:rsidRPr="00897872">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=512), Australia (</w:t>
      </w:r>
      <w:r w:rsidRPr="00897872">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=502) and Hong Kong (</w:t>
      </w:r>
      <w:r w:rsidRPr="00897872">
        <w:rPr>
          <w:rFonts w:ascii="Times New Roman" w:hAnsi="Times New Roman" w:cs="Times New Roman"/>
          <w:i/>
          <w:color w:val="000000" w:themeColor="text1"/>
          <w:sz w:val="24"/>
          <w:szCs w:val="24"/>
        </w:rPr>
        <w:t>N</w:t>
      </w:r>
      <w:r w:rsidRPr="008C3932">
        <w:rPr>
          <w:rFonts w:ascii="Times New Roman" w:hAnsi="Times New Roman" w:cs="Times New Roman"/>
          <w:color w:val="000000" w:themeColor="text1"/>
          <w:sz w:val="24"/>
          <w:szCs w:val="24"/>
        </w:rPr>
        <w:t xml:space="preserve"> =445). Stratified quota sampling was employed, ensuring a representative sample was recruited in each country on the basis of sex, age and educational attainment</w:t>
      </w:r>
      <w:r>
        <w:rPr>
          <w:rFonts w:ascii="Calibri" w:eastAsia="Calibri" w:hAnsi="Calibri" w:cs="Times New Roman"/>
          <w:sz w:val="24"/>
          <w:szCs w:val="24"/>
        </w:rPr>
        <w:t xml:space="preserve">. </w:t>
      </w:r>
      <w:r w:rsidRPr="00193156">
        <w:rPr>
          <w:rFonts w:ascii="Times New Roman" w:eastAsia="Calibri" w:hAnsi="Times New Roman" w:cs="Times New Roman"/>
          <w:sz w:val="24"/>
          <w:szCs w:val="24"/>
        </w:rPr>
        <w:t>Av</w:t>
      </w:r>
      <w:r>
        <w:rPr>
          <w:rFonts w:ascii="Times New Roman" w:eastAsia="Calibri" w:hAnsi="Times New Roman" w:cs="Times New Roman"/>
          <w:sz w:val="24"/>
          <w:szCs w:val="24"/>
        </w:rPr>
        <w:t>erage age was</w:t>
      </w:r>
      <w:r w:rsidRPr="00193156">
        <w:rPr>
          <w:rFonts w:ascii="Times New Roman" w:eastAsia="Calibri" w:hAnsi="Times New Roman" w:cs="Times New Roman"/>
          <w:sz w:val="24"/>
          <w:szCs w:val="24"/>
        </w:rPr>
        <w:t xml:space="preserve"> 43.32 (± 15.73), and 1323 participants (53%) were female</w:t>
      </w:r>
      <w:r>
        <w:rPr>
          <w:rFonts w:ascii="Times New Roman" w:eastAsia="Calibri" w:hAnsi="Times New Roman" w:cs="Times New Roman"/>
          <w:sz w:val="24"/>
          <w:szCs w:val="24"/>
        </w:rPr>
        <w:t>.</w:t>
      </w:r>
    </w:p>
    <w:p w14:paraId="071EC89A" w14:textId="77777777" w:rsidR="00243DF4" w:rsidRPr="008C3932" w:rsidRDefault="00243DF4" w:rsidP="00243DF4">
      <w:pPr>
        <w:spacing w:line="360" w:lineRule="auto"/>
        <w:rPr>
          <w:rFonts w:ascii="Times New Roman" w:eastAsia="Calibri" w:hAnsi="Times New Roman" w:cs="Times New Roman"/>
          <w:color w:val="000000" w:themeColor="text1"/>
          <w:sz w:val="24"/>
          <w:szCs w:val="24"/>
        </w:rPr>
      </w:pPr>
    </w:p>
    <w:p w14:paraId="43027724" w14:textId="77777777" w:rsidR="00243DF4" w:rsidRPr="008C3932" w:rsidRDefault="00243DF4" w:rsidP="00243DF4">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 xml:space="preserve">Insert Table </w:t>
      </w:r>
      <w:r>
        <w:rPr>
          <w:rFonts w:ascii="Times New Roman" w:eastAsia="DengXian" w:hAnsi="Times New Roman" w:cs="Times New Roman"/>
          <w:i/>
          <w:iCs/>
          <w:color w:val="000000" w:themeColor="text1"/>
          <w:sz w:val="24"/>
          <w:szCs w:val="24"/>
          <w:lang w:eastAsia="zh-CN"/>
        </w:rPr>
        <w:t>1</w:t>
      </w:r>
      <w:r w:rsidRPr="008C3932">
        <w:rPr>
          <w:rFonts w:ascii="Times New Roman" w:eastAsia="DengXian" w:hAnsi="Times New Roman" w:cs="Times New Roman"/>
          <w:i/>
          <w:iCs/>
          <w:color w:val="000000" w:themeColor="text1"/>
          <w:sz w:val="24"/>
          <w:szCs w:val="24"/>
          <w:lang w:eastAsia="zh-CN"/>
        </w:rPr>
        <w:t xml:space="preserve"> Here.</w:t>
      </w:r>
    </w:p>
    <w:p w14:paraId="5AE95F68" w14:textId="77777777" w:rsidR="00243DF4" w:rsidRPr="00193156" w:rsidRDefault="00243DF4" w:rsidP="00243DF4">
      <w:pPr>
        <w:spacing w:line="360" w:lineRule="auto"/>
        <w:ind w:firstLine="720"/>
        <w:rPr>
          <w:rFonts w:ascii="Times New Roman" w:hAnsi="Times New Roman" w:cs="Times New Roman"/>
          <w:i/>
          <w:color w:val="000000" w:themeColor="text1"/>
          <w:sz w:val="24"/>
          <w:szCs w:val="24"/>
        </w:rPr>
      </w:pPr>
      <w:r>
        <w:rPr>
          <w:rFonts w:ascii="Times New Roman" w:eastAsia="Calibri" w:hAnsi="Times New Roman" w:cs="Times New Roman"/>
          <w:sz w:val="24"/>
          <w:szCs w:val="24"/>
        </w:rPr>
        <w:t xml:space="preserve"> </w:t>
      </w:r>
      <w:r w:rsidRPr="00193156">
        <w:rPr>
          <w:rFonts w:ascii="Times New Roman" w:hAnsi="Times New Roman" w:cs="Times New Roman"/>
          <w:color w:val="000000" w:themeColor="text1"/>
          <w:sz w:val="24"/>
          <w:szCs w:val="24"/>
        </w:rPr>
        <w:t xml:space="preserve"> </w:t>
      </w:r>
    </w:p>
    <w:p w14:paraId="45FE0D98" w14:textId="77777777" w:rsidR="00243DF4" w:rsidRPr="008C3932" w:rsidRDefault="00243DF4" w:rsidP="00243DF4">
      <w:pPr>
        <w:spacing w:line="360" w:lineRule="auto"/>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t>Measures</w:t>
      </w:r>
    </w:p>
    <w:p w14:paraId="3E5C60E0" w14:textId="2E052AC6" w:rsidR="00243DF4" w:rsidRPr="008C3932" w:rsidRDefault="00243DF4" w:rsidP="003B5DFE">
      <w:pPr>
        <w:spacing w:line="360" w:lineRule="auto"/>
        <w:ind w:firstLine="720"/>
        <w:rPr>
          <w:rFonts w:ascii="Times New Roman" w:hAnsi="Times New Roman" w:cs="Times New Roman"/>
          <w:color w:val="000000" w:themeColor="text1"/>
          <w:sz w:val="24"/>
          <w:szCs w:val="24"/>
        </w:rPr>
      </w:pPr>
      <w:r w:rsidRPr="008C3932">
        <w:rPr>
          <w:rFonts w:ascii="Times New Roman" w:hAnsi="Times New Roman" w:cs="Times New Roman"/>
          <w:i/>
          <w:color w:val="000000" w:themeColor="text1"/>
          <w:sz w:val="24"/>
          <w:szCs w:val="24"/>
        </w:rPr>
        <w:t xml:space="preserve">Pandemic Paranoia Scale (PPS, </w:t>
      </w:r>
      <w:r>
        <w:rPr>
          <w:rFonts w:ascii="Times New Roman" w:hAnsi="Times New Roman" w:cs="Times New Roman"/>
          <w:i/>
          <w:color w:val="000000" w:themeColor="text1"/>
          <w:sz w:val="24"/>
          <w:szCs w:val="24"/>
        </w:rPr>
        <w:t>Kingston et al.,</w:t>
      </w:r>
      <w:r w:rsidR="00170B87">
        <w:rPr>
          <w:rFonts w:ascii="Times New Roman" w:hAnsi="Times New Roman" w:cs="Times New Roman"/>
          <w:i/>
          <w:color w:val="000000" w:themeColor="text1"/>
          <w:sz w:val="24"/>
          <w:szCs w:val="24"/>
        </w:rPr>
        <w:t xml:space="preserve"> 2021</w:t>
      </w:r>
      <w:r w:rsidRPr="008C3932">
        <w:rPr>
          <w:rFonts w:ascii="Times New Roman" w:hAnsi="Times New Roman" w:cs="Times New Roman"/>
          <w:iCs/>
          <w:color w:val="000000" w:themeColor="text1"/>
          <w:sz w:val="24"/>
          <w:szCs w:val="24"/>
        </w:rPr>
        <w:t>)</w:t>
      </w:r>
      <w:r w:rsidRPr="008C3932">
        <w:rPr>
          <w:rFonts w:ascii="Times New Roman" w:hAnsi="Times New Roman" w:cs="Times New Roman"/>
          <w:i/>
          <w:color w:val="000000" w:themeColor="text1"/>
          <w:sz w:val="24"/>
          <w:szCs w:val="24"/>
        </w:rPr>
        <w:t xml:space="preserve"> </w:t>
      </w:r>
      <w:r w:rsidRPr="008C3932">
        <w:rPr>
          <w:rFonts w:ascii="Times New Roman" w:hAnsi="Times New Roman" w:cs="Times New Roman"/>
          <w:color w:val="000000" w:themeColor="text1"/>
          <w:sz w:val="24"/>
          <w:szCs w:val="24"/>
        </w:rPr>
        <w:t>is a 25-item measure that assesses paranoid thinking focused specifically on the threat posed from others to oneself because of the COVID-19 pandemic.  Each item is rated on a 0</w:t>
      </w:r>
      <w:r w:rsidR="00C731E4">
        <w:rPr>
          <w:rFonts w:ascii="Times New Roman" w:hAnsi="Times New Roman" w:cs="Times New Roman"/>
          <w:color w:val="000000" w:themeColor="text1"/>
          <w:sz w:val="24"/>
          <w:szCs w:val="24"/>
        </w:rPr>
        <w:t xml:space="preserve"> (“not at all”) to </w:t>
      </w:r>
      <w:r w:rsidRPr="008C3932">
        <w:rPr>
          <w:rFonts w:ascii="Times New Roman" w:hAnsi="Times New Roman" w:cs="Times New Roman"/>
          <w:color w:val="000000" w:themeColor="text1"/>
          <w:sz w:val="24"/>
          <w:szCs w:val="24"/>
        </w:rPr>
        <w:t>4</w:t>
      </w:r>
      <w:r w:rsidR="00C731E4">
        <w:rPr>
          <w:rFonts w:ascii="Times New Roman" w:hAnsi="Times New Roman" w:cs="Times New Roman"/>
          <w:color w:val="000000" w:themeColor="text1"/>
          <w:sz w:val="24"/>
          <w:szCs w:val="24"/>
        </w:rPr>
        <w:t xml:space="preserve"> (“totally)</w:t>
      </w:r>
      <w:r w:rsidRPr="008C3932">
        <w:rPr>
          <w:rFonts w:ascii="Times New Roman" w:hAnsi="Times New Roman" w:cs="Times New Roman"/>
          <w:color w:val="000000" w:themeColor="text1"/>
          <w:sz w:val="24"/>
          <w:szCs w:val="24"/>
        </w:rPr>
        <w:t xml:space="preserve"> scale, with total scores ranging from 0-100.  There are </w:t>
      </w:r>
      <w:r w:rsidR="006B5B87">
        <w:rPr>
          <w:rFonts w:ascii="Times New Roman" w:hAnsi="Times New Roman" w:cs="Times New Roman"/>
          <w:color w:val="000000" w:themeColor="text1"/>
          <w:sz w:val="24"/>
          <w:szCs w:val="24"/>
        </w:rPr>
        <w:t>three</w:t>
      </w:r>
      <w:r w:rsidR="006B5B87" w:rsidRPr="008C3932">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subscales that assess persecutory threat (</w:t>
      </w:r>
      <w:r w:rsidR="00BD0A5C" w:rsidRPr="008C3932">
        <w:rPr>
          <w:rFonts w:ascii="Times New Roman" w:hAnsi="Times New Roman" w:cs="Times New Roman"/>
          <w:color w:val="000000" w:themeColor="text1"/>
          <w:sz w:val="24"/>
          <w:szCs w:val="24"/>
        </w:rPr>
        <w:t>1</w:t>
      </w:r>
      <w:r w:rsidR="00BD0A5C">
        <w:rPr>
          <w:rFonts w:ascii="Times New Roman" w:hAnsi="Times New Roman" w:cs="Times New Roman"/>
          <w:color w:val="000000" w:themeColor="text1"/>
          <w:sz w:val="24"/>
          <w:szCs w:val="24"/>
        </w:rPr>
        <w:t>5</w:t>
      </w:r>
      <w:r w:rsidR="00BD0A5C" w:rsidRPr="008C3932">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items), paranoid conspiracy (</w:t>
      </w:r>
      <w:r w:rsidR="006B5B87">
        <w:rPr>
          <w:rFonts w:ascii="Times New Roman" w:hAnsi="Times New Roman" w:cs="Times New Roman"/>
          <w:color w:val="000000" w:themeColor="text1"/>
          <w:sz w:val="24"/>
          <w:szCs w:val="24"/>
        </w:rPr>
        <w:t>six</w:t>
      </w:r>
      <w:r w:rsidR="006B5B87" w:rsidRPr="008C3932">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items) and interpersonal mistrust (</w:t>
      </w:r>
      <w:r w:rsidR="006B5B87">
        <w:rPr>
          <w:rFonts w:ascii="Times New Roman" w:hAnsi="Times New Roman" w:cs="Times New Roman"/>
          <w:color w:val="000000" w:themeColor="text1"/>
          <w:sz w:val="24"/>
          <w:szCs w:val="24"/>
        </w:rPr>
        <w:t>four</w:t>
      </w:r>
      <w:r w:rsidR="00BD0A5C" w:rsidRPr="008C3932">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items).  Internal consistency was acceptable for the total score on the scale (α =0.71), and good to excellent on the three subscales (</w:t>
      </w:r>
      <w:r w:rsidR="006D666D">
        <w:rPr>
          <w:rFonts w:ascii="Times New Roman" w:hAnsi="Times New Roman" w:cs="Times New Roman"/>
          <w:color w:val="000000" w:themeColor="text1"/>
          <w:sz w:val="24"/>
          <w:szCs w:val="24"/>
        </w:rPr>
        <w:t>persecutory t</w:t>
      </w:r>
      <w:r w:rsidRPr="008C3932">
        <w:rPr>
          <w:rFonts w:ascii="Times New Roman" w:hAnsi="Times New Roman" w:cs="Times New Roman"/>
          <w:color w:val="000000" w:themeColor="text1"/>
          <w:sz w:val="24"/>
          <w:szCs w:val="24"/>
        </w:rPr>
        <w:t xml:space="preserve">hreat α =0.97, </w:t>
      </w:r>
      <w:r w:rsidR="006D666D">
        <w:rPr>
          <w:rFonts w:ascii="Times New Roman" w:hAnsi="Times New Roman" w:cs="Times New Roman"/>
          <w:color w:val="000000" w:themeColor="text1"/>
          <w:sz w:val="24"/>
          <w:szCs w:val="24"/>
        </w:rPr>
        <w:t>paranoid c</w:t>
      </w:r>
      <w:r w:rsidRPr="008C3932">
        <w:rPr>
          <w:rFonts w:ascii="Times New Roman" w:hAnsi="Times New Roman" w:cs="Times New Roman"/>
          <w:color w:val="000000" w:themeColor="text1"/>
          <w:sz w:val="24"/>
          <w:szCs w:val="24"/>
        </w:rPr>
        <w:t xml:space="preserve">onspiracy α =0.93, and </w:t>
      </w:r>
      <w:r w:rsidR="006D666D">
        <w:rPr>
          <w:rFonts w:ascii="Times New Roman" w:hAnsi="Times New Roman" w:cs="Times New Roman"/>
          <w:color w:val="000000" w:themeColor="text1"/>
          <w:sz w:val="24"/>
          <w:szCs w:val="24"/>
        </w:rPr>
        <w:t>interpersonal m</w:t>
      </w:r>
      <w:r w:rsidRPr="008C3932">
        <w:rPr>
          <w:rFonts w:ascii="Times New Roman" w:hAnsi="Times New Roman" w:cs="Times New Roman"/>
          <w:color w:val="000000" w:themeColor="text1"/>
          <w:sz w:val="24"/>
          <w:szCs w:val="24"/>
        </w:rPr>
        <w:t xml:space="preserve">istrust, α =0.83). </w:t>
      </w:r>
      <w:r>
        <w:rPr>
          <w:rFonts w:ascii="Times New Roman" w:hAnsi="Times New Roman" w:cs="Times New Roman"/>
          <w:color w:val="000000" w:themeColor="text1"/>
          <w:sz w:val="24"/>
          <w:szCs w:val="24"/>
        </w:rPr>
        <w:t>Good t</w:t>
      </w:r>
      <w:r w:rsidRPr="008C3932">
        <w:rPr>
          <w:rFonts w:ascii="Times New Roman" w:hAnsi="Times New Roman" w:cs="Times New Roman"/>
          <w:color w:val="000000" w:themeColor="text1"/>
          <w:sz w:val="24"/>
          <w:szCs w:val="24"/>
        </w:rPr>
        <w:t>est-retest reliability and construct vali</w:t>
      </w:r>
      <w:r>
        <w:rPr>
          <w:rFonts w:ascii="Times New Roman" w:hAnsi="Times New Roman" w:cs="Times New Roman"/>
          <w:color w:val="000000" w:themeColor="text1"/>
          <w:sz w:val="24"/>
          <w:szCs w:val="24"/>
        </w:rPr>
        <w:t>dity have also been established (Kingston et al., in press)</w:t>
      </w:r>
      <w:r w:rsidRPr="008C3932">
        <w:rPr>
          <w:rFonts w:ascii="Times New Roman" w:hAnsi="Times New Roman" w:cs="Times New Roman"/>
          <w:color w:val="000000" w:themeColor="text1"/>
          <w:sz w:val="24"/>
          <w:szCs w:val="24"/>
        </w:rPr>
        <w:t>.</w:t>
      </w:r>
      <w:r w:rsidR="00ED3A90">
        <w:rPr>
          <w:rFonts w:ascii="Times New Roman" w:hAnsi="Times New Roman" w:cs="Times New Roman"/>
          <w:color w:val="000000" w:themeColor="text1"/>
          <w:sz w:val="24"/>
          <w:szCs w:val="24"/>
        </w:rPr>
        <w:t xml:space="preserve">  PPS items were translated into German and Chinese (see Kingston et al., 202</w:t>
      </w:r>
      <w:r w:rsidR="00170B87">
        <w:rPr>
          <w:rFonts w:ascii="Times New Roman" w:hAnsi="Times New Roman" w:cs="Times New Roman"/>
          <w:color w:val="000000" w:themeColor="text1"/>
          <w:sz w:val="24"/>
          <w:szCs w:val="24"/>
        </w:rPr>
        <w:t>1</w:t>
      </w:r>
      <w:r w:rsidR="00ED3A90">
        <w:rPr>
          <w:rFonts w:ascii="Times New Roman" w:hAnsi="Times New Roman" w:cs="Times New Roman"/>
          <w:color w:val="000000" w:themeColor="text1"/>
          <w:sz w:val="24"/>
          <w:szCs w:val="24"/>
        </w:rPr>
        <w:t xml:space="preserve"> for details)</w:t>
      </w:r>
      <w:r w:rsidR="000F32F0">
        <w:rPr>
          <w:rFonts w:ascii="Times New Roman" w:hAnsi="Times New Roman" w:cs="Times New Roman"/>
          <w:color w:val="000000" w:themeColor="text1"/>
          <w:sz w:val="24"/>
          <w:szCs w:val="24"/>
        </w:rPr>
        <w:t>.</w:t>
      </w:r>
      <w:r w:rsidRPr="008C3932">
        <w:rPr>
          <w:rFonts w:ascii="Times New Roman" w:hAnsi="Times New Roman" w:cs="Times New Roman"/>
          <w:color w:val="000000" w:themeColor="text1"/>
          <w:sz w:val="24"/>
          <w:szCs w:val="24"/>
        </w:rPr>
        <w:t xml:space="preserve"> </w:t>
      </w:r>
      <w:r w:rsidR="00F2543C">
        <w:rPr>
          <w:rFonts w:ascii="Times New Roman" w:hAnsi="Times New Roman" w:cs="Times New Roman"/>
          <w:color w:val="000000" w:themeColor="text1"/>
          <w:sz w:val="24"/>
          <w:szCs w:val="24"/>
        </w:rPr>
        <w:t>The full list of all PPS items can be found in supplement 1.</w:t>
      </w:r>
    </w:p>
    <w:p w14:paraId="78FD5759" w14:textId="77777777" w:rsidR="00243DF4" w:rsidRPr="008C3932" w:rsidRDefault="00243DF4" w:rsidP="00243DF4">
      <w:pPr>
        <w:spacing w:line="360" w:lineRule="auto"/>
        <w:rPr>
          <w:rFonts w:ascii="Times New Roman" w:eastAsia="Calibri" w:hAnsi="Times New Roman" w:cs="Times New Roman"/>
          <w:b/>
          <w:color w:val="000000" w:themeColor="text1"/>
          <w:sz w:val="24"/>
          <w:szCs w:val="24"/>
        </w:rPr>
      </w:pPr>
      <w:r w:rsidRPr="008C3932">
        <w:rPr>
          <w:rFonts w:ascii="Times New Roman" w:eastAsia="Calibri" w:hAnsi="Times New Roman" w:cs="Times New Roman"/>
          <w:b/>
          <w:color w:val="000000" w:themeColor="text1"/>
          <w:sz w:val="24"/>
          <w:szCs w:val="24"/>
        </w:rPr>
        <w:t>Procedure</w:t>
      </w:r>
    </w:p>
    <w:p w14:paraId="2A0CF9B4" w14:textId="23124B73" w:rsidR="00243DF4" w:rsidRDefault="00243DF4" w:rsidP="00243DF4">
      <w:pPr>
        <w:spacing w:line="360" w:lineRule="auto"/>
        <w:ind w:firstLine="720"/>
        <w:rPr>
          <w:rFonts w:ascii="Times New Roman" w:hAnsi="Times New Roman" w:cs="Times New Roman"/>
          <w:color w:val="000000" w:themeColor="text1"/>
          <w:sz w:val="24"/>
          <w:szCs w:val="24"/>
        </w:rPr>
      </w:pPr>
      <w:r w:rsidRPr="008C3932">
        <w:rPr>
          <w:rFonts w:ascii="Times New Roman" w:eastAsia="Calibri" w:hAnsi="Times New Roman" w:cs="Times New Roman"/>
          <w:color w:val="000000" w:themeColor="text1"/>
          <w:sz w:val="24"/>
          <w:szCs w:val="24"/>
        </w:rPr>
        <w:lastRenderedPageBreak/>
        <w:t xml:space="preserve">  </w:t>
      </w:r>
      <w:r>
        <w:rPr>
          <w:rFonts w:ascii="Times New Roman" w:eastAsia="Calibri" w:hAnsi="Times New Roman" w:cs="Times New Roman"/>
          <w:color w:val="000000" w:themeColor="text1"/>
          <w:sz w:val="24"/>
          <w:szCs w:val="24"/>
        </w:rPr>
        <w:t xml:space="preserve">Ethical approval was obtained in each of the five international sites.  </w:t>
      </w:r>
      <w:r w:rsidRPr="008C3932">
        <w:rPr>
          <w:rFonts w:ascii="Times New Roman" w:hAnsi="Times New Roman" w:cs="Times New Roman"/>
          <w:color w:val="000000" w:themeColor="text1"/>
          <w:sz w:val="24"/>
          <w:szCs w:val="24"/>
        </w:rPr>
        <w:t>Potential participants were contacted by Qualtrics</w:t>
      </w:r>
      <w:r w:rsidR="00BA14E4">
        <w:rPr>
          <w:rFonts w:ascii="Times New Roman" w:hAnsi="Times New Roman" w:cs="Times New Roman"/>
          <w:color w:val="000000" w:themeColor="text1"/>
          <w:sz w:val="24"/>
          <w:szCs w:val="24"/>
        </w:rPr>
        <w:t xml:space="preserve"> (an online survey software platform)</w:t>
      </w:r>
      <w:r w:rsidRPr="008C3932">
        <w:rPr>
          <w:rFonts w:ascii="Times New Roman" w:hAnsi="Times New Roman" w:cs="Times New Roman"/>
          <w:color w:val="000000" w:themeColor="text1"/>
          <w:sz w:val="24"/>
          <w:szCs w:val="24"/>
        </w:rPr>
        <w:t xml:space="preserve"> to participate in the</w:t>
      </w:r>
      <w:r>
        <w:rPr>
          <w:rFonts w:ascii="Times New Roman" w:hAnsi="Times New Roman" w:cs="Times New Roman"/>
          <w:color w:val="000000" w:themeColor="text1"/>
          <w:sz w:val="24"/>
          <w:szCs w:val="24"/>
        </w:rPr>
        <w:t xml:space="preserve"> study, and all provided </w:t>
      </w:r>
      <w:r w:rsidRPr="008C3932">
        <w:rPr>
          <w:rFonts w:ascii="Times New Roman" w:hAnsi="Times New Roman" w:cs="Times New Roman"/>
          <w:color w:val="000000" w:themeColor="text1"/>
          <w:sz w:val="24"/>
          <w:szCs w:val="24"/>
        </w:rPr>
        <w:t>informed consent. Participants completed the questionnaires online bet</w:t>
      </w:r>
      <w:r>
        <w:rPr>
          <w:rFonts w:ascii="Times New Roman" w:hAnsi="Times New Roman" w:cs="Times New Roman"/>
          <w:color w:val="000000" w:themeColor="text1"/>
          <w:sz w:val="24"/>
          <w:szCs w:val="24"/>
        </w:rPr>
        <w:t>ween February and March 2021</w:t>
      </w:r>
      <w:r w:rsidRPr="008C39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To ensure data accuracy, five attention checks were embedded throughout the survey, and participants who took less than half of the median time to complete the survey were excluded.  All participants </w:t>
      </w:r>
      <w:r w:rsidRPr="008C3932">
        <w:rPr>
          <w:rFonts w:ascii="Times New Roman" w:hAnsi="Times New Roman" w:cs="Times New Roman"/>
          <w:color w:val="000000" w:themeColor="text1"/>
          <w:sz w:val="24"/>
          <w:szCs w:val="24"/>
        </w:rPr>
        <w:t>were reimbursed for taking part</w:t>
      </w:r>
      <w:r>
        <w:rPr>
          <w:rFonts w:ascii="Times New Roman" w:hAnsi="Times New Roman" w:cs="Times New Roman"/>
          <w:color w:val="000000" w:themeColor="text1"/>
          <w:sz w:val="24"/>
          <w:szCs w:val="24"/>
        </w:rPr>
        <w:t>.</w:t>
      </w:r>
    </w:p>
    <w:p w14:paraId="4ED43858" w14:textId="77777777" w:rsidR="00243DF4" w:rsidRPr="008C3932" w:rsidRDefault="00243DF4" w:rsidP="00243DF4">
      <w:pPr>
        <w:spacing w:line="360" w:lineRule="auto"/>
        <w:rPr>
          <w:rFonts w:ascii="Times New Roman" w:eastAsia="Calibri" w:hAnsi="Times New Roman" w:cs="Times New Roman"/>
          <w:b/>
          <w:color w:val="000000" w:themeColor="text1"/>
          <w:sz w:val="24"/>
          <w:szCs w:val="24"/>
        </w:rPr>
      </w:pPr>
      <w:r w:rsidRPr="008C3932">
        <w:rPr>
          <w:rFonts w:ascii="Times New Roman" w:eastAsia="Calibri" w:hAnsi="Times New Roman" w:cs="Times New Roman"/>
          <w:b/>
          <w:color w:val="000000" w:themeColor="text1"/>
          <w:sz w:val="24"/>
          <w:szCs w:val="24"/>
        </w:rPr>
        <w:t xml:space="preserve">Statistical Analyses </w:t>
      </w:r>
    </w:p>
    <w:p w14:paraId="3E826C86" w14:textId="77777777" w:rsidR="00243DF4" w:rsidRDefault="00243DF4" w:rsidP="00243DF4">
      <w:pPr>
        <w:spacing w:line="360" w:lineRule="auto"/>
        <w:ind w:firstLine="720"/>
        <w:rPr>
          <w:rFonts w:ascii="Times New Roman" w:eastAsia="DengXian" w:hAnsi="Times New Roman" w:cs="Times New Roman"/>
          <w:bCs/>
          <w:color w:val="000000" w:themeColor="text1"/>
          <w:sz w:val="24"/>
          <w:szCs w:val="24"/>
          <w:lang w:eastAsia="zh-CN"/>
        </w:rPr>
      </w:pPr>
      <w:r w:rsidRPr="008C3932">
        <w:rPr>
          <w:rFonts w:ascii="Times New Roman" w:eastAsia="DengXian" w:hAnsi="Times New Roman" w:cs="Times New Roman"/>
          <w:bCs/>
          <w:color w:val="000000" w:themeColor="text1"/>
          <w:sz w:val="24"/>
          <w:szCs w:val="24"/>
          <w:lang w:eastAsia="zh-CN"/>
        </w:rPr>
        <w:t>Analyses were conducted using SPSS version 24 for Windows</w:t>
      </w:r>
      <w:r>
        <w:rPr>
          <w:rFonts w:ascii="Times New Roman" w:eastAsia="DengXian" w:hAnsi="Times New Roman" w:cs="Times New Roman"/>
          <w:bCs/>
          <w:color w:val="000000" w:themeColor="text1"/>
          <w:sz w:val="24"/>
          <w:szCs w:val="24"/>
          <w:lang w:eastAsia="zh-CN"/>
        </w:rPr>
        <w:t xml:space="preserve">, </w:t>
      </w:r>
      <w:proofErr w:type="spellStart"/>
      <w:r>
        <w:rPr>
          <w:rFonts w:ascii="Times New Roman" w:eastAsia="DengXian" w:hAnsi="Times New Roman" w:cs="Times New Roman"/>
          <w:bCs/>
          <w:color w:val="000000" w:themeColor="text1"/>
          <w:sz w:val="24"/>
          <w:szCs w:val="24"/>
          <w:lang w:eastAsia="zh-CN"/>
        </w:rPr>
        <w:t>J</w:t>
      </w:r>
      <w:r w:rsidRPr="008C3932">
        <w:rPr>
          <w:rFonts w:ascii="Times New Roman" w:eastAsia="DengXian" w:hAnsi="Times New Roman" w:cs="Times New Roman"/>
          <w:bCs/>
          <w:color w:val="000000" w:themeColor="text1"/>
          <w:sz w:val="24"/>
          <w:szCs w:val="24"/>
          <w:lang w:eastAsia="zh-CN"/>
        </w:rPr>
        <w:t>amovi</w:t>
      </w:r>
      <w:proofErr w:type="spellEnd"/>
      <w:r w:rsidRPr="008C3932">
        <w:rPr>
          <w:rFonts w:ascii="Times New Roman" w:eastAsia="DengXian" w:hAnsi="Times New Roman" w:cs="Times New Roman"/>
          <w:bCs/>
          <w:color w:val="000000" w:themeColor="text1"/>
          <w:sz w:val="24"/>
          <w:szCs w:val="24"/>
          <w:lang w:eastAsia="zh-CN"/>
        </w:rPr>
        <w:t xml:space="preserve"> version 1.8.1.0 for Windows (</w:t>
      </w:r>
      <w:r w:rsidRPr="008C3932">
        <w:rPr>
          <w:rFonts w:ascii="Times New Roman" w:hAnsi="Times New Roman" w:cs="Times New Roman"/>
          <w:bCs/>
          <w:color w:val="000000" w:themeColor="text1"/>
          <w:sz w:val="24"/>
          <w:szCs w:val="24"/>
        </w:rPr>
        <w:t xml:space="preserve">see </w:t>
      </w:r>
      <w:hyperlink r:id="rId8" w:history="1">
        <w:r w:rsidRPr="00791CDB">
          <w:rPr>
            <w:rStyle w:val="Hyperlink"/>
            <w:rFonts w:ascii="Times New Roman" w:hAnsi="Times New Roman" w:cs="Times New Roman"/>
            <w:bCs/>
            <w:sz w:val="24"/>
            <w:szCs w:val="24"/>
          </w:rPr>
          <w:t>https://www.jamovi.org</w:t>
        </w:r>
      </w:hyperlink>
      <w:r w:rsidRPr="008C3932">
        <w:rPr>
          <w:rFonts w:ascii="Times New Roman" w:eastAsia="DengXian" w:hAnsi="Times New Roman" w:cs="Times New Roman"/>
          <w:bCs/>
          <w:color w:val="000000" w:themeColor="text1"/>
          <w:sz w:val="24"/>
          <w:szCs w:val="24"/>
          <w:lang w:eastAsia="zh-CN"/>
        </w:rPr>
        <w:t>)</w:t>
      </w:r>
      <w:r>
        <w:rPr>
          <w:rFonts w:ascii="Times New Roman" w:eastAsia="DengXian" w:hAnsi="Times New Roman" w:cs="Times New Roman"/>
          <w:bCs/>
          <w:color w:val="000000" w:themeColor="text1"/>
          <w:sz w:val="24"/>
          <w:szCs w:val="24"/>
          <w:lang w:eastAsia="zh-CN"/>
        </w:rPr>
        <w:t xml:space="preserve">, and R version 4.1.0. </w:t>
      </w:r>
      <w:r w:rsidRPr="008C3932">
        <w:rPr>
          <w:rFonts w:ascii="Times New Roman" w:eastAsia="DengXian" w:hAnsi="Times New Roman" w:cs="Times New Roman"/>
          <w:bCs/>
          <w:color w:val="000000" w:themeColor="text1"/>
          <w:sz w:val="24"/>
          <w:szCs w:val="24"/>
          <w:lang w:eastAsia="zh-CN"/>
        </w:rPr>
        <w:t xml:space="preserve">Frequency distributions using R-GPTS cut-off scores were used to examine general paranoia. </w:t>
      </w:r>
    </w:p>
    <w:p w14:paraId="2C8A2161" w14:textId="25170329" w:rsidR="00243DF4" w:rsidRDefault="00243DF4" w:rsidP="00243DF4">
      <w:pPr>
        <w:spacing w:line="360" w:lineRule="auto"/>
        <w:ind w:firstLine="720"/>
        <w:rPr>
          <w:rFonts w:ascii="Times New Roman" w:eastAsia="DengXian" w:hAnsi="Times New Roman" w:cs="Times New Roman"/>
          <w:bCs/>
          <w:color w:val="000000" w:themeColor="text1"/>
          <w:sz w:val="24"/>
          <w:szCs w:val="24"/>
          <w:lang w:eastAsia="zh-CN"/>
        </w:rPr>
      </w:pPr>
      <w:r>
        <w:rPr>
          <w:rFonts w:ascii="Times New Roman" w:eastAsia="DengXian" w:hAnsi="Times New Roman" w:cs="Times New Roman"/>
          <w:bCs/>
          <w:color w:val="000000" w:themeColor="text1"/>
          <w:sz w:val="24"/>
          <w:szCs w:val="24"/>
          <w:lang w:eastAsia="zh-CN"/>
        </w:rPr>
        <w:t xml:space="preserve">To establish </w:t>
      </w:r>
      <w:r w:rsidRPr="008C3932">
        <w:rPr>
          <w:rFonts w:ascii="Times New Roman" w:eastAsia="DengXian" w:hAnsi="Times New Roman" w:cs="Times New Roman"/>
          <w:bCs/>
          <w:color w:val="000000" w:themeColor="text1"/>
          <w:sz w:val="24"/>
          <w:szCs w:val="24"/>
          <w:lang w:eastAsia="zh-CN"/>
        </w:rPr>
        <w:t>the prevalence of pandemic paranoia, frequency distribution</w:t>
      </w:r>
      <w:r w:rsidR="00C731E4">
        <w:rPr>
          <w:rFonts w:ascii="Times New Roman" w:eastAsia="DengXian" w:hAnsi="Times New Roman" w:cs="Times New Roman"/>
          <w:bCs/>
          <w:color w:val="000000" w:themeColor="text1"/>
          <w:sz w:val="24"/>
          <w:szCs w:val="24"/>
          <w:lang w:eastAsia="zh-CN"/>
        </w:rPr>
        <w:t>s</w:t>
      </w:r>
      <w:r w:rsidRPr="008C3932">
        <w:rPr>
          <w:rFonts w:ascii="Times New Roman" w:eastAsia="DengXian" w:hAnsi="Times New Roman" w:cs="Times New Roman"/>
          <w:bCs/>
          <w:color w:val="000000" w:themeColor="text1"/>
          <w:sz w:val="24"/>
          <w:szCs w:val="24"/>
          <w:lang w:eastAsia="zh-CN"/>
        </w:rPr>
        <w:t xml:space="preserve"> of item</w:t>
      </w:r>
      <w:r w:rsidR="0069196A">
        <w:rPr>
          <w:rFonts w:ascii="Times New Roman" w:eastAsia="DengXian" w:hAnsi="Times New Roman" w:cs="Times New Roman"/>
          <w:bCs/>
          <w:color w:val="000000" w:themeColor="text1"/>
          <w:sz w:val="24"/>
          <w:szCs w:val="24"/>
          <w:lang w:eastAsia="zh-CN"/>
        </w:rPr>
        <w:t xml:space="preserve"> endorsement of total PPS scores</w:t>
      </w:r>
      <w:r w:rsidRPr="008C3932">
        <w:rPr>
          <w:rFonts w:ascii="Times New Roman" w:eastAsia="DengXian" w:hAnsi="Times New Roman" w:cs="Times New Roman"/>
          <w:bCs/>
          <w:color w:val="000000" w:themeColor="text1"/>
          <w:sz w:val="24"/>
          <w:szCs w:val="24"/>
          <w:lang w:eastAsia="zh-CN"/>
        </w:rPr>
        <w:t xml:space="preserve"> and the three subscales </w:t>
      </w:r>
      <w:r w:rsidR="00C731E4">
        <w:rPr>
          <w:rFonts w:ascii="Times New Roman" w:eastAsia="DengXian" w:hAnsi="Times New Roman" w:cs="Times New Roman"/>
          <w:bCs/>
          <w:color w:val="000000" w:themeColor="text1"/>
          <w:sz w:val="24"/>
          <w:szCs w:val="24"/>
          <w:lang w:eastAsia="zh-CN"/>
        </w:rPr>
        <w:t>were</w:t>
      </w:r>
      <w:r w:rsidR="00C731E4" w:rsidRPr="008C3932">
        <w:rPr>
          <w:rFonts w:ascii="Times New Roman" w:eastAsia="DengXian" w:hAnsi="Times New Roman" w:cs="Times New Roman"/>
          <w:bCs/>
          <w:color w:val="000000" w:themeColor="text1"/>
          <w:sz w:val="24"/>
          <w:szCs w:val="24"/>
          <w:lang w:eastAsia="zh-CN"/>
        </w:rPr>
        <w:t xml:space="preserve"> </w:t>
      </w:r>
      <w:r w:rsidRPr="008C3932">
        <w:rPr>
          <w:rFonts w:ascii="Times New Roman" w:eastAsia="DengXian" w:hAnsi="Times New Roman" w:cs="Times New Roman"/>
          <w:bCs/>
          <w:color w:val="000000" w:themeColor="text1"/>
          <w:sz w:val="24"/>
          <w:szCs w:val="24"/>
          <w:lang w:eastAsia="zh-CN"/>
        </w:rPr>
        <w:t>calculated.</w:t>
      </w:r>
      <w:r>
        <w:rPr>
          <w:rFonts w:ascii="Times New Roman" w:eastAsia="DengXian" w:hAnsi="Times New Roman" w:cs="Times New Roman"/>
          <w:bCs/>
          <w:color w:val="000000" w:themeColor="text1"/>
          <w:sz w:val="24"/>
          <w:szCs w:val="24"/>
          <w:lang w:eastAsia="zh-CN"/>
        </w:rPr>
        <w:t xml:space="preserve"> </w:t>
      </w:r>
      <w:r w:rsidR="00FB2776">
        <w:rPr>
          <w:rFonts w:ascii="Times New Roman" w:eastAsia="DengXian" w:hAnsi="Times New Roman" w:cs="Times New Roman"/>
          <w:bCs/>
          <w:color w:val="000000" w:themeColor="text1"/>
          <w:sz w:val="24"/>
          <w:szCs w:val="24"/>
          <w:lang w:eastAsia="zh-CN"/>
        </w:rPr>
        <w:t>E</w:t>
      </w:r>
      <w:r w:rsidRPr="008C3932">
        <w:rPr>
          <w:rFonts w:ascii="Times New Roman" w:eastAsia="DengXian" w:hAnsi="Times New Roman" w:cs="Times New Roman"/>
          <w:bCs/>
          <w:color w:val="000000" w:themeColor="text1"/>
          <w:sz w:val="24"/>
          <w:szCs w:val="24"/>
          <w:lang w:eastAsia="zh-CN"/>
        </w:rPr>
        <w:t xml:space="preserve">ndorsement was operationalised as items with a rating of </w:t>
      </w:r>
      <w:r w:rsidR="00BD0A5C">
        <w:rPr>
          <w:rFonts w:ascii="Times New Roman" w:eastAsia="DengXian" w:hAnsi="Times New Roman" w:cs="Times New Roman"/>
          <w:bCs/>
          <w:color w:val="000000" w:themeColor="text1"/>
          <w:sz w:val="24"/>
          <w:szCs w:val="24"/>
          <w:lang w:eastAsia="zh-CN"/>
        </w:rPr>
        <w:t>scale-midpoint (i.e.,</w:t>
      </w:r>
      <w:r w:rsidR="00FB2776">
        <w:rPr>
          <w:rFonts w:ascii="Times New Roman" w:eastAsia="DengXian" w:hAnsi="Times New Roman" w:cs="Times New Roman"/>
          <w:bCs/>
          <w:color w:val="000000" w:themeColor="text1"/>
          <w:sz w:val="24"/>
          <w:szCs w:val="24"/>
          <w:lang w:eastAsia="zh-CN"/>
        </w:rPr>
        <w:t xml:space="preserve"> </w:t>
      </w:r>
      <w:r w:rsidRPr="008C3932">
        <w:rPr>
          <w:rFonts w:ascii="Times New Roman" w:eastAsia="DengXian" w:hAnsi="Times New Roman" w:cs="Times New Roman"/>
          <w:bCs/>
          <w:color w:val="000000" w:themeColor="text1"/>
          <w:sz w:val="24"/>
          <w:szCs w:val="24"/>
          <w:lang w:eastAsia="zh-CN"/>
        </w:rPr>
        <w:t>2</w:t>
      </w:r>
      <w:r w:rsidR="00BD0A5C">
        <w:rPr>
          <w:rFonts w:ascii="Times New Roman" w:eastAsia="DengXian" w:hAnsi="Times New Roman" w:cs="Times New Roman"/>
          <w:bCs/>
          <w:color w:val="000000" w:themeColor="text1"/>
          <w:sz w:val="24"/>
          <w:szCs w:val="24"/>
          <w:lang w:eastAsia="zh-CN"/>
        </w:rPr>
        <w:t>)</w:t>
      </w:r>
      <w:r w:rsidRPr="008C3932">
        <w:rPr>
          <w:rFonts w:ascii="Times New Roman" w:eastAsia="DengXian" w:hAnsi="Times New Roman" w:cs="Times New Roman"/>
          <w:bCs/>
          <w:color w:val="000000" w:themeColor="text1"/>
          <w:sz w:val="24"/>
          <w:szCs w:val="24"/>
          <w:lang w:eastAsia="zh-CN"/>
        </w:rPr>
        <w:t xml:space="preserve"> or above (range 0-4</w:t>
      </w:r>
      <w:r w:rsidR="00FB2776">
        <w:rPr>
          <w:rFonts w:ascii="Times New Roman" w:eastAsia="DengXian" w:hAnsi="Times New Roman" w:cs="Times New Roman"/>
          <w:bCs/>
          <w:color w:val="000000" w:themeColor="text1"/>
          <w:sz w:val="24"/>
          <w:szCs w:val="24"/>
          <w:lang w:eastAsia="zh-CN"/>
        </w:rPr>
        <w:t xml:space="preserve">, thus endorsement mirrored some level of agreement/absence of disagreeing with the item-content). </w:t>
      </w:r>
      <w:r w:rsidR="00BD0A5C">
        <w:rPr>
          <w:rFonts w:ascii="Times New Roman" w:eastAsia="DengXian" w:hAnsi="Times New Roman" w:cs="Times New Roman"/>
          <w:bCs/>
          <w:color w:val="000000" w:themeColor="text1"/>
          <w:sz w:val="24"/>
          <w:szCs w:val="24"/>
          <w:lang w:eastAsia="zh-CN"/>
        </w:rPr>
        <w:t>E</w:t>
      </w:r>
      <w:r w:rsidRPr="008C3932">
        <w:rPr>
          <w:rFonts w:ascii="Times New Roman" w:eastAsia="DengXian" w:hAnsi="Times New Roman" w:cs="Times New Roman"/>
          <w:bCs/>
          <w:color w:val="000000" w:themeColor="text1"/>
          <w:sz w:val="24"/>
          <w:szCs w:val="24"/>
          <w:lang w:eastAsia="zh-CN"/>
        </w:rPr>
        <w:t>ndorsement rate was calculated as the percentage of endorsed items on the total PPS</w:t>
      </w:r>
      <w:r>
        <w:rPr>
          <w:rFonts w:ascii="Times New Roman" w:eastAsia="DengXian" w:hAnsi="Times New Roman" w:cs="Times New Roman"/>
          <w:bCs/>
          <w:color w:val="000000" w:themeColor="text1"/>
          <w:sz w:val="24"/>
          <w:szCs w:val="24"/>
          <w:lang w:eastAsia="zh-CN"/>
        </w:rPr>
        <w:t xml:space="preserve"> and on each subscale</w:t>
      </w:r>
      <w:r w:rsidRPr="008C3932">
        <w:rPr>
          <w:rFonts w:ascii="Times New Roman" w:eastAsia="DengXian" w:hAnsi="Times New Roman" w:cs="Times New Roman"/>
          <w:bCs/>
          <w:color w:val="000000" w:themeColor="text1"/>
          <w:sz w:val="24"/>
          <w:szCs w:val="24"/>
          <w:lang w:eastAsia="zh-CN"/>
        </w:rPr>
        <w:t>. Kruskal-Wallis test</w:t>
      </w:r>
      <w:r>
        <w:rPr>
          <w:rFonts w:ascii="Times New Roman" w:eastAsia="DengXian" w:hAnsi="Times New Roman" w:cs="Times New Roman"/>
          <w:bCs/>
          <w:color w:val="000000" w:themeColor="text1"/>
          <w:sz w:val="24"/>
          <w:szCs w:val="24"/>
          <w:lang w:eastAsia="zh-CN"/>
        </w:rPr>
        <w:t>s</w:t>
      </w:r>
      <w:r w:rsidRPr="008C3932">
        <w:rPr>
          <w:rFonts w:ascii="Times New Roman" w:eastAsia="DengXian" w:hAnsi="Times New Roman" w:cs="Times New Roman"/>
          <w:bCs/>
          <w:color w:val="000000" w:themeColor="text1"/>
          <w:sz w:val="24"/>
          <w:szCs w:val="24"/>
          <w:lang w:eastAsia="zh-CN"/>
        </w:rPr>
        <w:t xml:space="preserve"> w</w:t>
      </w:r>
      <w:r>
        <w:rPr>
          <w:rFonts w:ascii="Times New Roman" w:eastAsia="DengXian" w:hAnsi="Times New Roman" w:cs="Times New Roman"/>
          <w:bCs/>
          <w:color w:val="000000" w:themeColor="text1"/>
          <w:sz w:val="24"/>
          <w:szCs w:val="24"/>
          <w:lang w:eastAsia="zh-CN"/>
        </w:rPr>
        <w:t>ere</w:t>
      </w:r>
      <w:r w:rsidRPr="008C3932">
        <w:rPr>
          <w:rFonts w:ascii="Times New Roman" w:eastAsia="DengXian" w:hAnsi="Times New Roman" w:cs="Times New Roman"/>
          <w:bCs/>
          <w:color w:val="000000" w:themeColor="text1"/>
          <w:sz w:val="24"/>
          <w:szCs w:val="24"/>
          <w:lang w:eastAsia="zh-CN"/>
        </w:rPr>
        <w:t xml:space="preserve"> used to compare endorsement rate and PPS total scores across sites, given the non-normality of the</w:t>
      </w:r>
      <w:r>
        <w:rPr>
          <w:rFonts w:ascii="Times New Roman" w:eastAsia="DengXian" w:hAnsi="Times New Roman" w:cs="Times New Roman"/>
          <w:bCs/>
          <w:color w:val="000000" w:themeColor="text1"/>
          <w:sz w:val="24"/>
          <w:szCs w:val="24"/>
          <w:lang w:eastAsia="zh-CN"/>
        </w:rPr>
        <w:t xml:space="preserve"> raw scores</w:t>
      </w:r>
      <w:r w:rsidRPr="008C3932">
        <w:rPr>
          <w:rFonts w:ascii="Times New Roman" w:eastAsia="DengXian" w:hAnsi="Times New Roman" w:cs="Times New Roman"/>
          <w:bCs/>
          <w:color w:val="000000" w:themeColor="text1"/>
          <w:sz w:val="24"/>
          <w:szCs w:val="24"/>
          <w:lang w:eastAsia="zh-CN"/>
        </w:rPr>
        <w:t>.</w:t>
      </w:r>
      <w:r>
        <w:rPr>
          <w:rFonts w:ascii="Times New Roman" w:eastAsia="DengXian" w:hAnsi="Times New Roman" w:cs="Times New Roman"/>
          <w:bCs/>
          <w:color w:val="000000" w:themeColor="text1"/>
          <w:sz w:val="24"/>
          <w:szCs w:val="24"/>
          <w:lang w:eastAsia="zh-CN"/>
        </w:rPr>
        <w:t xml:space="preserve"> </w:t>
      </w:r>
      <w:r w:rsidR="0067245C">
        <w:rPr>
          <w:rFonts w:ascii="Times New Roman" w:eastAsia="DengXian" w:hAnsi="Times New Roman" w:cs="Times New Roman"/>
          <w:bCs/>
          <w:color w:val="000000" w:themeColor="text1"/>
          <w:sz w:val="24"/>
          <w:szCs w:val="24"/>
          <w:lang w:eastAsia="zh-CN"/>
        </w:rPr>
        <w:t xml:space="preserve">It needs noting that while </w:t>
      </w:r>
      <w:r w:rsidR="00795641" w:rsidRPr="00795641">
        <w:rPr>
          <w:rFonts w:ascii="Times New Roman" w:eastAsia="DengXian" w:hAnsi="Times New Roman" w:cs="Times New Roman"/>
          <w:bCs/>
          <w:color w:val="000000" w:themeColor="text1"/>
          <w:sz w:val="24"/>
          <w:szCs w:val="24"/>
          <w:lang w:eastAsia="zh-CN"/>
        </w:rPr>
        <w:t>our choice of midpoint-dichotomization</w:t>
      </w:r>
      <w:r w:rsidR="0067245C">
        <w:rPr>
          <w:rFonts w:ascii="Times New Roman" w:eastAsia="DengXian" w:hAnsi="Times New Roman" w:cs="Times New Roman"/>
          <w:bCs/>
          <w:color w:val="000000" w:themeColor="text1"/>
          <w:sz w:val="24"/>
          <w:szCs w:val="24"/>
          <w:lang w:eastAsia="zh-CN"/>
        </w:rPr>
        <w:t xml:space="preserve"> is consistent with prior research (e.g. Bird et al., 2016, Freeman et al., 2015), both more liberal (i.e., endorsement being operationalized as any value above the lowest item score; </w:t>
      </w:r>
      <w:proofErr w:type="spellStart"/>
      <w:r w:rsidR="0067245C">
        <w:rPr>
          <w:rFonts w:ascii="Times New Roman" w:eastAsia="DengXian" w:hAnsi="Times New Roman" w:cs="Times New Roman"/>
          <w:bCs/>
          <w:color w:val="000000" w:themeColor="text1"/>
          <w:sz w:val="24"/>
          <w:szCs w:val="24"/>
          <w:lang w:eastAsia="zh-CN"/>
        </w:rPr>
        <w:t>Delespaul</w:t>
      </w:r>
      <w:proofErr w:type="spellEnd"/>
      <w:r w:rsidR="0067245C">
        <w:rPr>
          <w:rFonts w:ascii="Times New Roman" w:eastAsia="DengXian" w:hAnsi="Times New Roman" w:cs="Times New Roman"/>
          <w:bCs/>
          <w:color w:val="000000" w:themeColor="text1"/>
          <w:sz w:val="24"/>
          <w:szCs w:val="24"/>
          <w:lang w:eastAsia="zh-CN"/>
        </w:rPr>
        <w:t xml:space="preserve"> et al., 2002; Schlier et al, 2017) and more restrictive dichotomization criteria (e.g., endorsement above the midpoint; Kuhn et al., 2021) have also been used</w:t>
      </w:r>
      <w:r w:rsidR="00795641">
        <w:rPr>
          <w:rFonts w:ascii="Times New Roman" w:eastAsia="DengXian" w:hAnsi="Times New Roman" w:cs="Times New Roman"/>
          <w:bCs/>
          <w:color w:val="000000" w:themeColor="text1"/>
          <w:sz w:val="24"/>
          <w:szCs w:val="24"/>
          <w:lang w:eastAsia="zh-CN"/>
        </w:rPr>
        <w:t xml:space="preserve"> when measuring psychosis symptoms/conspiracy beliefs</w:t>
      </w:r>
      <w:r w:rsidR="0067245C">
        <w:rPr>
          <w:rFonts w:ascii="Times New Roman" w:eastAsia="DengXian" w:hAnsi="Times New Roman" w:cs="Times New Roman"/>
          <w:bCs/>
          <w:color w:val="000000" w:themeColor="text1"/>
          <w:sz w:val="24"/>
          <w:szCs w:val="24"/>
          <w:lang w:eastAsia="zh-CN"/>
        </w:rPr>
        <w:t xml:space="preserve"> </w:t>
      </w:r>
      <w:r w:rsidR="00795641">
        <w:rPr>
          <w:rFonts w:ascii="Times New Roman" w:eastAsia="DengXian" w:hAnsi="Times New Roman" w:cs="Times New Roman"/>
          <w:bCs/>
          <w:color w:val="000000" w:themeColor="text1"/>
          <w:sz w:val="24"/>
          <w:szCs w:val="24"/>
          <w:lang w:eastAsia="zh-CN"/>
        </w:rPr>
        <w:t>in different samples</w:t>
      </w:r>
      <w:r w:rsidR="0067245C">
        <w:rPr>
          <w:rFonts w:ascii="Times New Roman" w:eastAsia="DengXian" w:hAnsi="Times New Roman" w:cs="Times New Roman"/>
          <w:bCs/>
          <w:color w:val="000000" w:themeColor="text1"/>
          <w:sz w:val="24"/>
          <w:szCs w:val="24"/>
          <w:lang w:eastAsia="zh-CN"/>
        </w:rPr>
        <w:t>.</w:t>
      </w:r>
      <w:r w:rsidR="0067245C" w:rsidRPr="008C3932">
        <w:rPr>
          <w:rFonts w:ascii="Times New Roman" w:eastAsia="DengXian" w:hAnsi="Times New Roman" w:cs="Times New Roman"/>
          <w:bCs/>
          <w:color w:val="000000" w:themeColor="text1"/>
          <w:sz w:val="24"/>
          <w:szCs w:val="24"/>
          <w:lang w:eastAsia="zh-CN"/>
        </w:rPr>
        <w:t xml:space="preserve"> </w:t>
      </w:r>
      <w:r w:rsidR="0067245C">
        <w:rPr>
          <w:rFonts w:ascii="Times New Roman" w:eastAsia="DengXian" w:hAnsi="Times New Roman" w:cs="Times New Roman"/>
          <w:bCs/>
          <w:color w:val="000000" w:themeColor="text1"/>
          <w:sz w:val="24"/>
          <w:szCs w:val="24"/>
          <w:lang w:eastAsia="zh-CN"/>
        </w:rPr>
        <w:t xml:space="preserve">To provide a balanced view and avoid presenting an inflated estimate of pandemic paranoia, we chose the midpoint dichotomization as our main analysis, but also added a detailed overview of extreme endorsement only (i.e., 4) in a supplement to this article. </w:t>
      </w:r>
      <w:r>
        <w:rPr>
          <w:rFonts w:ascii="Times New Roman" w:eastAsia="DengXian" w:hAnsi="Times New Roman" w:cs="Times New Roman"/>
          <w:bCs/>
          <w:color w:val="000000" w:themeColor="text1"/>
          <w:sz w:val="24"/>
          <w:szCs w:val="24"/>
          <w:lang w:eastAsia="zh-CN"/>
        </w:rPr>
        <w:t xml:space="preserve">Additionally, we tested whether differences in endorsement rates reflect true differences in pandemic paranoia </w:t>
      </w:r>
      <w:r w:rsidR="00CC1A94">
        <w:rPr>
          <w:rFonts w:ascii="Times New Roman" w:eastAsia="DengXian" w:hAnsi="Times New Roman" w:cs="Times New Roman"/>
          <w:bCs/>
          <w:color w:val="000000" w:themeColor="text1"/>
          <w:sz w:val="24"/>
          <w:szCs w:val="24"/>
          <w:lang w:eastAsia="zh-CN"/>
        </w:rPr>
        <w:t>since the prior validation showed configural and metric invariance, but not scalar invariance for the PPS (</w:t>
      </w:r>
      <w:r w:rsidRPr="002C558A">
        <w:rPr>
          <w:rFonts w:ascii="Times New Roman" w:eastAsia="DengXian" w:hAnsi="Times New Roman" w:cs="Times New Roman"/>
          <w:bCs/>
          <w:color w:val="000000" w:themeColor="text1"/>
          <w:sz w:val="24"/>
          <w:szCs w:val="24"/>
          <w:lang w:eastAsia="zh-CN"/>
        </w:rPr>
        <w:t xml:space="preserve">Kingston et al., </w:t>
      </w:r>
      <w:r w:rsidR="005A0D45">
        <w:rPr>
          <w:rFonts w:ascii="Times New Roman" w:eastAsia="DengXian" w:hAnsi="Times New Roman" w:cs="Times New Roman"/>
          <w:bCs/>
          <w:color w:val="000000" w:themeColor="text1"/>
          <w:sz w:val="24"/>
          <w:szCs w:val="24"/>
          <w:lang w:eastAsia="zh-CN"/>
        </w:rPr>
        <w:t>202</w:t>
      </w:r>
      <w:r w:rsidR="00170B87">
        <w:rPr>
          <w:rFonts w:ascii="Times New Roman" w:eastAsia="DengXian" w:hAnsi="Times New Roman" w:cs="Times New Roman"/>
          <w:bCs/>
          <w:color w:val="000000" w:themeColor="text1"/>
          <w:sz w:val="24"/>
          <w:szCs w:val="24"/>
          <w:lang w:eastAsia="zh-CN"/>
        </w:rPr>
        <w:t>1</w:t>
      </w:r>
      <w:r>
        <w:rPr>
          <w:rFonts w:ascii="Times New Roman" w:eastAsia="DengXian" w:hAnsi="Times New Roman" w:cs="Times New Roman"/>
          <w:bCs/>
          <w:color w:val="000000" w:themeColor="text1"/>
          <w:sz w:val="24"/>
          <w:szCs w:val="24"/>
          <w:lang w:eastAsia="zh-CN"/>
        </w:rPr>
        <w:t xml:space="preserve">). </w:t>
      </w:r>
      <w:r w:rsidR="00CC1A94">
        <w:rPr>
          <w:rFonts w:ascii="Times New Roman" w:eastAsia="DengXian" w:hAnsi="Times New Roman" w:cs="Times New Roman"/>
          <w:bCs/>
          <w:color w:val="000000" w:themeColor="text1"/>
          <w:sz w:val="24"/>
          <w:szCs w:val="24"/>
          <w:lang w:eastAsia="zh-CN"/>
        </w:rPr>
        <w:t xml:space="preserve">To do so, we estimated latent trait values for the PPS-subscales in a confirmatory factor analysis environment using the </w:t>
      </w:r>
      <w:r w:rsidR="005A0D45">
        <w:rPr>
          <w:rFonts w:ascii="Times New Roman" w:eastAsia="DengXian" w:hAnsi="Times New Roman" w:cs="Times New Roman"/>
          <w:bCs/>
          <w:color w:val="000000" w:themeColor="text1"/>
          <w:sz w:val="24"/>
          <w:szCs w:val="24"/>
          <w:lang w:eastAsia="zh-CN"/>
        </w:rPr>
        <w:t xml:space="preserve">projection method in the </w:t>
      </w:r>
      <w:r w:rsidR="00CC1A94">
        <w:rPr>
          <w:rFonts w:ascii="Times New Roman" w:eastAsia="DengXian" w:hAnsi="Times New Roman" w:cs="Times New Roman"/>
          <w:bCs/>
          <w:color w:val="000000" w:themeColor="text1"/>
          <w:sz w:val="24"/>
          <w:szCs w:val="24"/>
          <w:lang w:eastAsia="zh-CN"/>
        </w:rPr>
        <w:t xml:space="preserve">R-package </w:t>
      </w:r>
      <w:proofErr w:type="spellStart"/>
      <w:r w:rsidR="00CC1A94" w:rsidRPr="001877F0">
        <w:rPr>
          <w:rFonts w:ascii="Times New Roman" w:eastAsia="DengXian" w:hAnsi="Times New Roman" w:cs="Times New Roman"/>
          <w:bCs/>
          <w:i/>
          <w:iCs/>
          <w:color w:val="000000" w:themeColor="text1"/>
          <w:sz w:val="24"/>
          <w:szCs w:val="24"/>
          <w:lang w:eastAsia="zh-CN"/>
        </w:rPr>
        <w:t>equaltestMI</w:t>
      </w:r>
      <w:proofErr w:type="spellEnd"/>
      <w:r w:rsidR="00CC1A94" w:rsidRPr="001877F0">
        <w:rPr>
          <w:rFonts w:ascii="Times New Roman" w:eastAsia="DengXian" w:hAnsi="Times New Roman" w:cs="Times New Roman"/>
          <w:bCs/>
          <w:i/>
          <w:iCs/>
          <w:color w:val="000000" w:themeColor="text1"/>
          <w:sz w:val="24"/>
          <w:szCs w:val="24"/>
          <w:lang w:eastAsia="zh-CN"/>
        </w:rPr>
        <w:t xml:space="preserve"> </w:t>
      </w:r>
      <w:r w:rsidR="00CC1A94">
        <w:rPr>
          <w:rFonts w:ascii="Times New Roman" w:eastAsia="DengXian" w:hAnsi="Times New Roman" w:cs="Times New Roman"/>
          <w:bCs/>
          <w:color w:val="000000" w:themeColor="text1"/>
          <w:sz w:val="24"/>
          <w:szCs w:val="24"/>
          <w:lang w:eastAsia="zh-CN"/>
        </w:rPr>
        <w:t>(Jiang, Mai &amp; Yuan, 2017)</w:t>
      </w:r>
      <w:r w:rsidR="005A0D45">
        <w:rPr>
          <w:rFonts w:ascii="Times New Roman" w:eastAsia="DengXian" w:hAnsi="Times New Roman" w:cs="Times New Roman"/>
          <w:bCs/>
          <w:color w:val="000000" w:themeColor="text1"/>
          <w:sz w:val="24"/>
          <w:szCs w:val="24"/>
          <w:lang w:eastAsia="zh-CN"/>
        </w:rPr>
        <w:t xml:space="preserve">. In this approach, the observed values of the manifest variables (i.e., items) are decomposed </w:t>
      </w:r>
      <w:r w:rsidR="005A0D45" w:rsidRPr="005A0D45">
        <w:rPr>
          <w:rFonts w:ascii="Times New Roman" w:eastAsia="DengXian" w:hAnsi="Times New Roman" w:cs="Times New Roman"/>
          <w:bCs/>
          <w:color w:val="000000" w:themeColor="text1"/>
          <w:sz w:val="24"/>
          <w:szCs w:val="24"/>
          <w:lang w:eastAsia="zh-CN"/>
        </w:rPr>
        <w:t xml:space="preserve">into </w:t>
      </w:r>
      <w:r w:rsidR="005A0D45">
        <w:rPr>
          <w:rFonts w:ascii="Times New Roman" w:eastAsia="DengXian" w:hAnsi="Times New Roman" w:cs="Times New Roman"/>
          <w:bCs/>
          <w:color w:val="000000" w:themeColor="text1"/>
          <w:sz w:val="24"/>
          <w:szCs w:val="24"/>
          <w:lang w:eastAsia="zh-CN"/>
        </w:rPr>
        <w:t xml:space="preserve">the </w:t>
      </w:r>
      <w:r w:rsidR="005A0D45" w:rsidRPr="005A0D45">
        <w:rPr>
          <w:rFonts w:ascii="Times New Roman" w:eastAsia="DengXian" w:hAnsi="Times New Roman" w:cs="Times New Roman"/>
          <w:bCs/>
          <w:color w:val="000000" w:themeColor="text1"/>
          <w:sz w:val="24"/>
          <w:szCs w:val="24"/>
          <w:lang w:eastAsia="zh-CN"/>
        </w:rPr>
        <w:t>two orthogonal components</w:t>
      </w:r>
      <w:r w:rsidR="005A0D45">
        <w:rPr>
          <w:rFonts w:ascii="Times New Roman" w:eastAsia="DengXian" w:hAnsi="Times New Roman" w:cs="Times New Roman"/>
          <w:bCs/>
          <w:color w:val="000000" w:themeColor="text1"/>
          <w:sz w:val="24"/>
          <w:szCs w:val="24"/>
          <w:lang w:eastAsia="zh-CN"/>
        </w:rPr>
        <w:t xml:space="preserve"> (1) common scores and (2) specific factors. This</w:t>
      </w:r>
      <w:r w:rsidR="005A0D45" w:rsidRPr="005A0D45">
        <w:rPr>
          <w:rFonts w:ascii="Times New Roman" w:eastAsia="DengXian" w:hAnsi="Times New Roman" w:cs="Times New Roman"/>
          <w:bCs/>
          <w:color w:val="000000" w:themeColor="text1"/>
          <w:sz w:val="24"/>
          <w:szCs w:val="24"/>
          <w:lang w:eastAsia="zh-CN"/>
        </w:rPr>
        <w:t xml:space="preserve"> </w:t>
      </w:r>
      <w:r w:rsidR="005A0D45">
        <w:rPr>
          <w:rFonts w:ascii="Times New Roman" w:eastAsia="DengXian" w:hAnsi="Times New Roman" w:cs="Times New Roman"/>
          <w:bCs/>
          <w:color w:val="000000" w:themeColor="text1"/>
          <w:sz w:val="24"/>
          <w:szCs w:val="24"/>
          <w:lang w:eastAsia="zh-CN"/>
        </w:rPr>
        <w:t>permits</w:t>
      </w:r>
      <w:r w:rsidR="005A0D45" w:rsidRPr="005A0D45">
        <w:rPr>
          <w:rFonts w:ascii="Times New Roman" w:eastAsia="DengXian" w:hAnsi="Times New Roman" w:cs="Times New Roman"/>
          <w:bCs/>
          <w:color w:val="000000" w:themeColor="text1"/>
          <w:sz w:val="24"/>
          <w:szCs w:val="24"/>
          <w:lang w:eastAsia="zh-CN"/>
        </w:rPr>
        <w:t xml:space="preserve"> </w:t>
      </w:r>
      <w:r w:rsidR="005A0D45">
        <w:rPr>
          <w:rFonts w:ascii="Times New Roman" w:eastAsia="DengXian" w:hAnsi="Times New Roman" w:cs="Times New Roman"/>
          <w:bCs/>
          <w:color w:val="000000" w:themeColor="text1"/>
          <w:sz w:val="24"/>
          <w:szCs w:val="24"/>
          <w:lang w:eastAsia="zh-CN"/>
        </w:rPr>
        <w:t xml:space="preserve">testing </w:t>
      </w:r>
      <w:r w:rsidR="005A0D45">
        <w:rPr>
          <w:rFonts w:ascii="Times New Roman" w:eastAsia="DengXian" w:hAnsi="Times New Roman" w:cs="Times New Roman"/>
          <w:bCs/>
          <w:color w:val="000000" w:themeColor="text1"/>
          <w:sz w:val="24"/>
          <w:szCs w:val="24"/>
          <w:lang w:eastAsia="zh-CN"/>
        </w:rPr>
        <w:lastRenderedPageBreak/>
        <w:t>for</w:t>
      </w:r>
      <w:r w:rsidR="005A0D45" w:rsidRPr="005A0D45">
        <w:rPr>
          <w:rFonts w:ascii="Times New Roman" w:eastAsia="DengXian" w:hAnsi="Times New Roman" w:cs="Times New Roman"/>
          <w:bCs/>
          <w:color w:val="000000" w:themeColor="text1"/>
          <w:sz w:val="24"/>
          <w:szCs w:val="24"/>
          <w:lang w:eastAsia="zh-CN"/>
        </w:rPr>
        <w:t xml:space="preserve"> equality of</w:t>
      </w:r>
      <w:r w:rsidR="005A0D45">
        <w:rPr>
          <w:rFonts w:ascii="Times New Roman" w:eastAsia="DengXian" w:hAnsi="Times New Roman" w:cs="Times New Roman"/>
          <w:bCs/>
          <w:color w:val="000000" w:themeColor="text1"/>
          <w:sz w:val="24"/>
          <w:szCs w:val="24"/>
          <w:lang w:eastAsia="zh-CN"/>
        </w:rPr>
        <w:t xml:space="preserve"> the common</w:t>
      </w:r>
      <w:r w:rsidR="005A0D45" w:rsidRPr="005A0D45">
        <w:rPr>
          <w:rFonts w:ascii="Times New Roman" w:eastAsia="DengXian" w:hAnsi="Times New Roman" w:cs="Times New Roman"/>
          <w:bCs/>
          <w:color w:val="000000" w:themeColor="text1"/>
          <w:sz w:val="24"/>
          <w:szCs w:val="24"/>
          <w:lang w:eastAsia="zh-CN"/>
        </w:rPr>
        <w:t xml:space="preserve"> latent</w:t>
      </w:r>
      <w:r w:rsidR="005A0D45">
        <w:rPr>
          <w:rFonts w:ascii="Times New Roman" w:eastAsia="DengXian" w:hAnsi="Times New Roman" w:cs="Times New Roman"/>
          <w:bCs/>
          <w:color w:val="000000" w:themeColor="text1"/>
          <w:sz w:val="24"/>
          <w:szCs w:val="24"/>
          <w:lang w:eastAsia="zh-CN"/>
        </w:rPr>
        <w:t xml:space="preserve"> trait</w:t>
      </w:r>
      <w:r w:rsidR="005A0D45" w:rsidRPr="005A0D45">
        <w:rPr>
          <w:rFonts w:ascii="Times New Roman" w:eastAsia="DengXian" w:hAnsi="Times New Roman" w:cs="Times New Roman"/>
          <w:bCs/>
          <w:color w:val="000000" w:themeColor="text1"/>
          <w:sz w:val="24"/>
          <w:szCs w:val="24"/>
          <w:lang w:eastAsia="zh-CN"/>
        </w:rPr>
        <w:t xml:space="preserve"> means </w:t>
      </w:r>
      <w:r w:rsidR="005A0D45">
        <w:rPr>
          <w:rFonts w:ascii="Times New Roman" w:eastAsia="DengXian" w:hAnsi="Times New Roman" w:cs="Times New Roman"/>
          <w:bCs/>
          <w:color w:val="000000" w:themeColor="text1"/>
          <w:sz w:val="24"/>
          <w:szCs w:val="24"/>
          <w:lang w:eastAsia="zh-CN"/>
        </w:rPr>
        <w:t xml:space="preserve">across groups (i.e., sites)  </w:t>
      </w:r>
      <w:r w:rsidR="005A0D45" w:rsidRPr="005A0D45">
        <w:rPr>
          <w:rFonts w:ascii="Times New Roman" w:eastAsia="DengXian" w:hAnsi="Times New Roman" w:cs="Times New Roman"/>
          <w:bCs/>
          <w:color w:val="000000" w:themeColor="text1"/>
          <w:sz w:val="24"/>
          <w:szCs w:val="24"/>
          <w:lang w:eastAsia="zh-CN"/>
        </w:rPr>
        <w:t xml:space="preserve">independently from </w:t>
      </w:r>
      <w:r w:rsidR="005A0D45">
        <w:rPr>
          <w:rFonts w:ascii="Times New Roman" w:eastAsia="DengXian" w:hAnsi="Times New Roman" w:cs="Times New Roman"/>
          <w:bCs/>
          <w:color w:val="000000" w:themeColor="text1"/>
          <w:sz w:val="24"/>
          <w:szCs w:val="24"/>
          <w:lang w:eastAsia="zh-CN"/>
        </w:rPr>
        <w:t>(site-)</w:t>
      </w:r>
      <w:r w:rsidR="005A0D45" w:rsidRPr="005A0D45">
        <w:rPr>
          <w:rFonts w:ascii="Times New Roman" w:eastAsia="DengXian" w:hAnsi="Times New Roman" w:cs="Times New Roman"/>
          <w:bCs/>
          <w:color w:val="000000" w:themeColor="text1"/>
          <w:sz w:val="24"/>
          <w:szCs w:val="24"/>
          <w:lang w:eastAsia="zh-CN"/>
        </w:rPr>
        <w:t>specific factors</w:t>
      </w:r>
      <w:r w:rsidR="005A0D45">
        <w:rPr>
          <w:rFonts w:ascii="Times New Roman" w:eastAsia="DengXian" w:hAnsi="Times New Roman" w:cs="Times New Roman"/>
          <w:bCs/>
          <w:color w:val="000000" w:themeColor="text1"/>
          <w:sz w:val="24"/>
          <w:szCs w:val="24"/>
          <w:lang w:eastAsia="zh-CN"/>
        </w:rPr>
        <w:t xml:space="preserve"> even when only the constrain of equal loadings (metric invariance), but not the </w:t>
      </w:r>
      <w:r w:rsidR="005A0D45" w:rsidRPr="005A0D45">
        <w:rPr>
          <w:rFonts w:ascii="Times New Roman" w:eastAsia="DengXian" w:hAnsi="Times New Roman" w:cs="Times New Roman"/>
          <w:bCs/>
          <w:color w:val="000000" w:themeColor="text1"/>
          <w:sz w:val="24"/>
          <w:szCs w:val="24"/>
          <w:lang w:eastAsia="zh-CN"/>
        </w:rPr>
        <w:t xml:space="preserve">constrain </w:t>
      </w:r>
      <w:r w:rsidR="005A0D45">
        <w:rPr>
          <w:rFonts w:ascii="Times New Roman" w:eastAsia="DengXian" w:hAnsi="Times New Roman" w:cs="Times New Roman"/>
          <w:bCs/>
          <w:color w:val="000000" w:themeColor="text1"/>
          <w:sz w:val="24"/>
          <w:szCs w:val="24"/>
          <w:lang w:eastAsia="zh-CN"/>
        </w:rPr>
        <w:t xml:space="preserve">of equal </w:t>
      </w:r>
      <w:r w:rsidR="005A0D45" w:rsidRPr="005A0D45">
        <w:rPr>
          <w:rFonts w:ascii="Times New Roman" w:eastAsia="DengXian" w:hAnsi="Times New Roman" w:cs="Times New Roman"/>
          <w:bCs/>
          <w:color w:val="000000" w:themeColor="text1"/>
          <w:sz w:val="24"/>
          <w:szCs w:val="24"/>
          <w:lang w:eastAsia="zh-CN"/>
        </w:rPr>
        <w:t xml:space="preserve">intercepts </w:t>
      </w:r>
      <w:r w:rsidR="005A0D45">
        <w:rPr>
          <w:rFonts w:ascii="Times New Roman" w:eastAsia="DengXian" w:hAnsi="Times New Roman" w:cs="Times New Roman"/>
          <w:bCs/>
          <w:color w:val="000000" w:themeColor="text1"/>
          <w:sz w:val="24"/>
          <w:szCs w:val="24"/>
          <w:lang w:eastAsia="zh-CN"/>
        </w:rPr>
        <w:t xml:space="preserve">(scalar invariance) is met (Jiang, Mai &amp; Yuan, 2017). Specifically, we </w:t>
      </w:r>
      <w:r>
        <w:rPr>
          <w:rFonts w:ascii="Times New Roman" w:eastAsia="DengXian" w:hAnsi="Times New Roman" w:cs="Times New Roman"/>
          <w:bCs/>
          <w:color w:val="000000" w:themeColor="text1"/>
          <w:sz w:val="24"/>
          <w:szCs w:val="24"/>
          <w:lang w:eastAsia="zh-CN"/>
        </w:rPr>
        <w:t xml:space="preserve">calculated and tested for common factor differences (that reflect true latent mean differences between sites) by calculating latent trait models for pairwise comparisons using subsamples from two sites, respectively. For each pairwise comparison, </w:t>
      </w:r>
      <w:r w:rsidR="005A0D45">
        <w:rPr>
          <w:rFonts w:ascii="Times New Roman" w:eastAsia="DengXian" w:hAnsi="Times New Roman" w:cs="Times New Roman"/>
          <w:bCs/>
          <w:color w:val="000000" w:themeColor="text1"/>
          <w:sz w:val="24"/>
          <w:szCs w:val="24"/>
          <w:lang w:eastAsia="zh-CN"/>
        </w:rPr>
        <w:t xml:space="preserve">we calculated </w:t>
      </w:r>
      <w:r>
        <w:rPr>
          <w:rFonts w:ascii="Times New Roman" w:eastAsia="DengXian" w:hAnsi="Times New Roman" w:cs="Times New Roman"/>
          <w:bCs/>
          <w:color w:val="000000" w:themeColor="text1"/>
          <w:sz w:val="24"/>
          <w:szCs w:val="24"/>
          <w:lang w:eastAsia="zh-CN"/>
        </w:rPr>
        <w:t>two models: A unifactorial model for testing the PPS global score differences and a three factorial model for</w:t>
      </w:r>
      <w:r w:rsidRPr="008C3932">
        <w:rPr>
          <w:rFonts w:ascii="Times New Roman" w:eastAsia="DengXian" w:hAnsi="Times New Roman" w:cs="Times New Roman"/>
          <w:bCs/>
          <w:color w:val="000000" w:themeColor="text1"/>
          <w:sz w:val="24"/>
          <w:szCs w:val="24"/>
          <w:lang w:eastAsia="zh-CN"/>
        </w:rPr>
        <w:t xml:space="preserve"> </w:t>
      </w:r>
      <w:r>
        <w:rPr>
          <w:rFonts w:ascii="Times New Roman" w:eastAsia="DengXian" w:hAnsi="Times New Roman" w:cs="Times New Roman"/>
          <w:bCs/>
          <w:color w:val="000000" w:themeColor="text1"/>
          <w:sz w:val="24"/>
          <w:szCs w:val="24"/>
          <w:lang w:eastAsia="zh-CN"/>
        </w:rPr>
        <w:t>the three subscales</w:t>
      </w:r>
      <w:r w:rsidR="00C51FAA">
        <w:rPr>
          <w:rFonts w:ascii="Times New Roman" w:eastAsia="DengXian" w:hAnsi="Times New Roman" w:cs="Times New Roman"/>
          <w:bCs/>
          <w:color w:val="000000" w:themeColor="text1"/>
          <w:sz w:val="24"/>
          <w:szCs w:val="24"/>
          <w:lang w:eastAsia="zh-CN"/>
        </w:rPr>
        <w:t>, using the raw item scores (0-4) as manifest variables</w:t>
      </w:r>
      <w:r>
        <w:rPr>
          <w:rFonts w:ascii="Times New Roman" w:eastAsia="DengXian" w:hAnsi="Times New Roman" w:cs="Times New Roman"/>
          <w:bCs/>
          <w:color w:val="000000" w:themeColor="text1"/>
          <w:sz w:val="24"/>
          <w:szCs w:val="24"/>
          <w:lang w:eastAsia="zh-CN"/>
        </w:rPr>
        <w:t xml:space="preserve">. </w:t>
      </w:r>
    </w:p>
    <w:p w14:paraId="4A2F51C4" w14:textId="77777777" w:rsidR="00243DF4" w:rsidRPr="008C3932" w:rsidRDefault="00243DF4" w:rsidP="00243DF4">
      <w:pPr>
        <w:spacing w:line="360" w:lineRule="auto"/>
        <w:ind w:firstLine="720"/>
        <w:rPr>
          <w:rFonts w:ascii="Times New Roman" w:eastAsia="DengXian" w:hAnsi="Times New Roman" w:cs="Times New Roman"/>
          <w:bCs/>
          <w:color w:val="000000" w:themeColor="text1"/>
          <w:sz w:val="24"/>
          <w:szCs w:val="24"/>
          <w:lang w:eastAsia="zh-CN"/>
        </w:rPr>
      </w:pPr>
      <w:r w:rsidRPr="008C3932">
        <w:rPr>
          <w:rFonts w:ascii="Times New Roman" w:eastAsia="DengXian" w:hAnsi="Times New Roman" w:cs="Times New Roman"/>
          <w:bCs/>
          <w:color w:val="000000" w:themeColor="text1"/>
          <w:sz w:val="24"/>
          <w:szCs w:val="24"/>
          <w:lang w:eastAsia="zh-CN"/>
        </w:rPr>
        <w:t xml:space="preserve">Lastly, to examine the sociodemographic profile of pandemic paranoia, </w:t>
      </w:r>
      <w:r>
        <w:rPr>
          <w:rFonts w:ascii="Times New Roman" w:eastAsia="DengXian" w:hAnsi="Times New Roman" w:cs="Times New Roman"/>
          <w:bCs/>
          <w:color w:val="000000" w:themeColor="text1"/>
          <w:sz w:val="24"/>
          <w:szCs w:val="24"/>
          <w:lang w:eastAsia="zh-CN"/>
        </w:rPr>
        <w:t xml:space="preserve">we calculated Pearson </w:t>
      </w:r>
      <w:r w:rsidRPr="008C3932">
        <w:rPr>
          <w:rFonts w:ascii="Times New Roman" w:eastAsia="DengXian" w:hAnsi="Times New Roman" w:cs="Times New Roman"/>
          <w:bCs/>
          <w:color w:val="000000" w:themeColor="text1"/>
          <w:sz w:val="24"/>
          <w:szCs w:val="24"/>
          <w:lang w:eastAsia="zh-CN"/>
        </w:rPr>
        <w:t>correlation</w:t>
      </w:r>
      <w:r>
        <w:rPr>
          <w:rFonts w:ascii="Times New Roman" w:eastAsia="DengXian" w:hAnsi="Times New Roman" w:cs="Times New Roman"/>
          <w:bCs/>
          <w:color w:val="000000" w:themeColor="text1"/>
          <w:sz w:val="24"/>
          <w:szCs w:val="24"/>
          <w:lang w:eastAsia="zh-CN"/>
        </w:rPr>
        <w:t>s</w:t>
      </w:r>
      <w:r w:rsidRPr="008C3932">
        <w:rPr>
          <w:rFonts w:ascii="Times New Roman" w:eastAsia="DengXian" w:hAnsi="Times New Roman" w:cs="Times New Roman"/>
          <w:bCs/>
          <w:color w:val="000000" w:themeColor="text1"/>
          <w:sz w:val="24"/>
          <w:szCs w:val="24"/>
          <w:lang w:eastAsia="zh-CN"/>
        </w:rPr>
        <w:t xml:space="preserve"> </w:t>
      </w:r>
      <w:r>
        <w:rPr>
          <w:rFonts w:ascii="Times New Roman" w:eastAsia="DengXian" w:hAnsi="Times New Roman" w:cs="Times New Roman"/>
          <w:bCs/>
          <w:color w:val="000000" w:themeColor="text1"/>
          <w:sz w:val="24"/>
          <w:szCs w:val="24"/>
          <w:lang w:eastAsia="zh-CN"/>
        </w:rPr>
        <w:t xml:space="preserve">(for continuous sociodemographic predictors) </w:t>
      </w:r>
      <w:r w:rsidRPr="008C3932">
        <w:rPr>
          <w:rFonts w:ascii="Times New Roman" w:eastAsia="DengXian" w:hAnsi="Times New Roman" w:cs="Times New Roman"/>
          <w:bCs/>
          <w:color w:val="000000" w:themeColor="text1"/>
          <w:sz w:val="24"/>
          <w:szCs w:val="24"/>
          <w:lang w:eastAsia="zh-CN"/>
        </w:rPr>
        <w:t xml:space="preserve">and </w:t>
      </w:r>
      <w:r>
        <w:rPr>
          <w:rFonts w:ascii="Times New Roman" w:eastAsia="DengXian" w:hAnsi="Times New Roman" w:cs="Times New Roman"/>
          <w:bCs/>
          <w:color w:val="000000" w:themeColor="text1"/>
          <w:sz w:val="24"/>
          <w:szCs w:val="24"/>
          <w:lang w:eastAsia="zh-CN"/>
        </w:rPr>
        <w:t>Cohen’s d</w:t>
      </w:r>
      <w:r w:rsidRPr="008C3932">
        <w:rPr>
          <w:rFonts w:ascii="Times New Roman" w:eastAsia="DengXian" w:hAnsi="Times New Roman" w:cs="Times New Roman"/>
          <w:bCs/>
          <w:color w:val="000000" w:themeColor="text1"/>
          <w:sz w:val="24"/>
          <w:szCs w:val="24"/>
          <w:lang w:eastAsia="zh-CN"/>
        </w:rPr>
        <w:t xml:space="preserve"> </w:t>
      </w:r>
      <w:r>
        <w:rPr>
          <w:rFonts w:ascii="Times New Roman" w:eastAsia="DengXian" w:hAnsi="Times New Roman" w:cs="Times New Roman"/>
          <w:bCs/>
          <w:color w:val="000000" w:themeColor="text1"/>
          <w:sz w:val="24"/>
          <w:szCs w:val="24"/>
          <w:lang w:eastAsia="zh-CN"/>
        </w:rPr>
        <w:t>(for dichotomous predictors) within each site to establish site-specific demographic profiles. Next, we integrated the results using random effects models to average a general profile.</w:t>
      </w:r>
      <w:r w:rsidRPr="008C3932">
        <w:rPr>
          <w:rFonts w:ascii="Times New Roman" w:eastAsia="DengXian" w:hAnsi="Times New Roman" w:cs="Times New Roman"/>
          <w:bCs/>
          <w:color w:val="000000" w:themeColor="text1"/>
          <w:sz w:val="24"/>
          <w:szCs w:val="24"/>
          <w:lang w:eastAsia="zh-CN"/>
        </w:rPr>
        <w:t xml:space="preserve"> </w:t>
      </w:r>
      <w:r>
        <w:rPr>
          <w:rFonts w:ascii="Times New Roman" w:eastAsia="DengXian" w:hAnsi="Times New Roman" w:cs="Times New Roman"/>
          <w:bCs/>
          <w:color w:val="000000" w:themeColor="text1"/>
          <w:sz w:val="24"/>
          <w:szCs w:val="24"/>
          <w:lang w:eastAsia="zh-CN"/>
        </w:rPr>
        <w:t xml:space="preserve">Additionally, we used </w:t>
      </w:r>
      <w:r w:rsidRPr="008C3932">
        <w:rPr>
          <w:rFonts w:ascii="Times New Roman" w:eastAsia="DengXian" w:hAnsi="Times New Roman" w:cs="Times New Roman"/>
          <w:bCs/>
          <w:color w:val="000000" w:themeColor="text1"/>
          <w:sz w:val="24"/>
          <w:szCs w:val="24"/>
          <w:lang w:eastAsia="zh-CN"/>
        </w:rPr>
        <w:t xml:space="preserve">stepwise linear regression to test the effects of </w:t>
      </w:r>
      <w:r>
        <w:rPr>
          <w:rFonts w:ascii="Times New Roman" w:eastAsia="DengXian" w:hAnsi="Times New Roman" w:cs="Times New Roman"/>
          <w:bCs/>
          <w:color w:val="000000" w:themeColor="text1"/>
          <w:sz w:val="24"/>
          <w:szCs w:val="24"/>
          <w:lang w:eastAsia="zh-CN"/>
        </w:rPr>
        <w:t xml:space="preserve">global and site-specific </w:t>
      </w:r>
      <w:r w:rsidRPr="008C3932">
        <w:rPr>
          <w:rFonts w:ascii="Times New Roman" w:eastAsia="DengXian" w:hAnsi="Times New Roman" w:cs="Times New Roman"/>
          <w:bCs/>
          <w:color w:val="000000" w:themeColor="text1"/>
          <w:sz w:val="24"/>
          <w:szCs w:val="24"/>
          <w:lang w:eastAsia="zh-CN"/>
        </w:rPr>
        <w:t>sociodemographic factors after controlling for</w:t>
      </w:r>
      <w:r>
        <w:rPr>
          <w:rFonts w:ascii="Times New Roman" w:eastAsia="DengXian" w:hAnsi="Times New Roman" w:cs="Times New Roman"/>
          <w:bCs/>
          <w:color w:val="000000" w:themeColor="text1"/>
          <w:sz w:val="24"/>
          <w:szCs w:val="24"/>
          <w:lang w:eastAsia="zh-CN"/>
        </w:rPr>
        <w:t xml:space="preserve"> the effects of site and</w:t>
      </w:r>
      <w:r w:rsidRPr="008C3932">
        <w:rPr>
          <w:rFonts w:ascii="Times New Roman" w:eastAsia="DengXian" w:hAnsi="Times New Roman" w:cs="Times New Roman"/>
          <w:bCs/>
          <w:color w:val="000000" w:themeColor="text1"/>
          <w:sz w:val="24"/>
          <w:szCs w:val="24"/>
          <w:lang w:eastAsia="zh-CN"/>
        </w:rPr>
        <w:t xml:space="preserve"> general paranoia.</w:t>
      </w:r>
    </w:p>
    <w:p w14:paraId="1460A9A4" w14:textId="77777777" w:rsidR="00243DF4" w:rsidRPr="008C3932" w:rsidRDefault="00243DF4" w:rsidP="00243DF4">
      <w:pPr>
        <w:spacing w:line="360" w:lineRule="auto"/>
        <w:ind w:firstLine="720"/>
        <w:rPr>
          <w:rFonts w:ascii="Times New Roman" w:eastAsia="Calibri" w:hAnsi="Times New Roman" w:cs="Times New Roman"/>
          <w:b/>
          <w:color w:val="000000" w:themeColor="text1"/>
          <w:sz w:val="24"/>
          <w:szCs w:val="24"/>
        </w:rPr>
      </w:pPr>
    </w:p>
    <w:p w14:paraId="5B58BF75" w14:textId="77777777" w:rsidR="00243DF4" w:rsidRPr="008C3932" w:rsidRDefault="00243DF4" w:rsidP="00243DF4">
      <w:pPr>
        <w:spacing w:line="360" w:lineRule="auto"/>
        <w:jc w:val="center"/>
        <w:rPr>
          <w:rFonts w:ascii="Times New Roman" w:eastAsia="Calibri" w:hAnsi="Times New Roman" w:cs="Times New Roman"/>
          <w:b/>
          <w:color w:val="000000" w:themeColor="text1"/>
          <w:sz w:val="24"/>
          <w:szCs w:val="24"/>
        </w:rPr>
      </w:pPr>
      <w:r w:rsidRPr="008C3932">
        <w:rPr>
          <w:rFonts w:ascii="Times New Roman" w:eastAsia="Calibri" w:hAnsi="Times New Roman" w:cs="Times New Roman"/>
          <w:b/>
          <w:color w:val="000000" w:themeColor="text1"/>
          <w:sz w:val="24"/>
          <w:szCs w:val="24"/>
        </w:rPr>
        <w:t>Results</w:t>
      </w:r>
    </w:p>
    <w:p w14:paraId="76B5E542" w14:textId="77777777" w:rsidR="00243DF4" w:rsidRPr="008C3932" w:rsidRDefault="00243DF4" w:rsidP="00243DF4">
      <w:pPr>
        <w:spacing w:line="360" w:lineRule="auto"/>
        <w:rPr>
          <w:rFonts w:ascii="Times New Roman" w:hAnsi="Times New Roman" w:cs="Times New Roman"/>
          <w:i/>
          <w:color w:val="000000" w:themeColor="text1"/>
          <w:sz w:val="24"/>
          <w:szCs w:val="24"/>
        </w:rPr>
      </w:pPr>
      <w:r w:rsidRPr="008C3932">
        <w:rPr>
          <w:rFonts w:ascii="Times New Roman" w:hAnsi="Times New Roman" w:cs="Times New Roman"/>
          <w:i/>
          <w:color w:val="000000" w:themeColor="text1"/>
          <w:sz w:val="24"/>
          <w:szCs w:val="24"/>
        </w:rPr>
        <w:t>International prevalence of pandemic paranoia</w:t>
      </w:r>
    </w:p>
    <w:p w14:paraId="3B291B8C" w14:textId="57E7289A" w:rsidR="00243DF4" w:rsidRPr="008C3932" w:rsidRDefault="00243DF4" w:rsidP="00243DF4">
      <w:pPr>
        <w:spacing w:line="360" w:lineRule="auto"/>
        <w:ind w:firstLine="720"/>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D</w:t>
      </w:r>
      <w:r w:rsidRPr="008C3932">
        <w:rPr>
          <w:rFonts w:ascii="Times New Roman" w:hAnsi="Times New Roman" w:cs="Times New Roman"/>
          <w:color w:val="000000" w:themeColor="text1"/>
          <w:sz w:val="24"/>
          <w:szCs w:val="24"/>
        </w:rPr>
        <w:t xml:space="preserve">escriptive statistics on the total PPS and for each PPS subscale for the total sample and </w:t>
      </w:r>
      <w:r w:rsidR="002029AB">
        <w:rPr>
          <w:rFonts w:ascii="Times New Roman" w:hAnsi="Times New Roman" w:cs="Times New Roman"/>
          <w:color w:val="000000" w:themeColor="text1"/>
          <w:sz w:val="24"/>
          <w:szCs w:val="24"/>
        </w:rPr>
        <w:t>for each</w:t>
      </w:r>
      <w:r w:rsidR="002029AB" w:rsidRPr="008C3932">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 xml:space="preserve">site are shown in Table 2. The mean total score on the PPS in the full sample was </w:t>
      </w:r>
      <w:r w:rsidRPr="008C3932">
        <w:rPr>
          <w:rFonts w:ascii="Times New Roman" w:eastAsia="Calibri" w:hAnsi="Times New Roman" w:cs="Times New Roman"/>
          <w:color w:val="000000" w:themeColor="text1"/>
          <w:sz w:val="24"/>
          <w:szCs w:val="24"/>
        </w:rPr>
        <w:t>15.86</w:t>
      </w:r>
      <w:r w:rsidRPr="008C3932">
        <w:rPr>
          <w:rFonts w:ascii="Times New Roman" w:hAnsi="Times New Roman" w:cs="Times New Roman"/>
          <w:color w:val="000000" w:themeColor="text1"/>
          <w:sz w:val="24"/>
          <w:szCs w:val="24"/>
        </w:rPr>
        <w:t xml:space="preserve"> </w:t>
      </w:r>
      <w:r w:rsidRPr="008C3932">
        <w:rPr>
          <w:rFonts w:ascii="Times New Roman" w:eastAsia="Calibri" w:hAnsi="Times New Roman" w:cs="Times New Roman"/>
          <w:color w:val="000000" w:themeColor="text1"/>
          <w:sz w:val="24"/>
          <w:szCs w:val="24"/>
        </w:rPr>
        <w:t>(</w:t>
      </w:r>
      <w:r w:rsidRPr="0069376B">
        <w:rPr>
          <w:rFonts w:ascii="Times New Roman" w:eastAsia="Calibri" w:hAnsi="Times New Roman" w:cs="Times New Roman"/>
          <w:i/>
          <w:color w:val="000000" w:themeColor="text1"/>
          <w:sz w:val="24"/>
          <w:szCs w:val="24"/>
        </w:rPr>
        <w:t>SD</w:t>
      </w:r>
      <w:r w:rsidRPr="008C3932">
        <w:rPr>
          <w:rFonts w:ascii="Times New Roman" w:eastAsia="Calibri" w:hAnsi="Times New Roman" w:cs="Times New Roman"/>
          <w:color w:val="000000" w:themeColor="text1"/>
          <w:sz w:val="24"/>
          <w:szCs w:val="24"/>
        </w:rPr>
        <w:t xml:space="preserve"> = 18.20, range 0-100). Mean scores on the </w:t>
      </w:r>
      <w:r>
        <w:rPr>
          <w:rFonts w:ascii="Times New Roman" w:eastAsia="Calibri" w:hAnsi="Times New Roman" w:cs="Times New Roman"/>
          <w:color w:val="000000" w:themeColor="text1"/>
          <w:sz w:val="24"/>
          <w:szCs w:val="24"/>
        </w:rPr>
        <w:t>subscales were</w:t>
      </w:r>
      <w:r w:rsidRPr="008C3932">
        <w:rPr>
          <w:rFonts w:ascii="Times New Roman" w:eastAsia="Calibri" w:hAnsi="Times New Roman" w:cs="Times New Roman"/>
          <w:color w:val="000000" w:themeColor="text1"/>
          <w:sz w:val="24"/>
          <w:szCs w:val="24"/>
        </w:rPr>
        <w:t>: persecutory threat (</w:t>
      </w:r>
      <w:r w:rsidRPr="0069376B">
        <w:rPr>
          <w:rFonts w:ascii="Times New Roman" w:eastAsia="Calibri" w:hAnsi="Times New Roman" w:cs="Times New Roman"/>
          <w:i/>
          <w:color w:val="000000" w:themeColor="text1"/>
          <w:sz w:val="24"/>
          <w:szCs w:val="24"/>
        </w:rPr>
        <w:t>M</w:t>
      </w:r>
      <w:r w:rsidRPr="008C3932">
        <w:rPr>
          <w:rFonts w:ascii="Times New Roman" w:eastAsia="Calibri" w:hAnsi="Times New Roman" w:cs="Times New Roman"/>
          <w:color w:val="000000" w:themeColor="text1"/>
          <w:sz w:val="24"/>
          <w:szCs w:val="24"/>
        </w:rPr>
        <w:t xml:space="preserve"> = 5.34, </w:t>
      </w:r>
      <w:r w:rsidRPr="0069376B">
        <w:rPr>
          <w:rFonts w:ascii="Times New Roman" w:eastAsia="Calibri" w:hAnsi="Times New Roman" w:cs="Times New Roman"/>
          <w:i/>
          <w:color w:val="000000" w:themeColor="text1"/>
          <w:sz w:val="24"/>
          <w:szCs w:val="24"/>
        </w:rPr>
        <w:t>SD</w:t>
      </w:r>
      <w:r w:rsidRPr="008C3932">
        <w:rPr>
          <w:rFonts w:ascii="Times New Roman" w:eastAsia="Calibri" w:hAnsi="Times New Roman" w:cs="Times New Roman"/>
          <w:color w:val="000000" w:themeColor="text1"/>
          <w:sz w:val="24"/>
          <w:szCs w:val="24"/>
        </w:rPr>
        <w:t xml:space="preserve"> = 11.24); paranoid conspiracy (</w:t>
      </w:r>
      <w:r w:rsidRPr="0069376B">
        <w:rPr>
          <w:rFonts w:ascii="Times New Roman" w:eastAsia="Calibri" w:hAnsi="Times New Roman" w:cs="Times New Roman"/>
          <w:i/>
          <w:color w:val="000000" w:themeColor="text1"/>
          <w:sz w:val="24"/>
          <w:szCs w:val="24"/>
        </w:rPr>
        <w:t>M</w:t>
      </w:r>
      <w:r w:rsidRPr="008C3932">
        <w:rPr>
          <w:rFonts w:ascii="Times New Roman" w:eastAsia="Calibri" w:hAnsi="Times New Roman" w:cs="Times New Roman"/>
          <w:color w:val="000000" w:themeColor="text1"/>
          <w:sz w:val="24"/>
          <w:szCs w:val="24"/>
        </w:rPr>
        <w:t xml:space="preserve"> = 5.69, </w:t>
      </w:r>
      <w:r w:rsidRPr="0069376B">
        <w:rPr>
          <w:rFonts w:ascii="Times New Roman" w:eastAsia="Calibri" w:hAnsi="Times New Roman" w:cs="Times New Roman"/>
          <w:i/>
          <w:color w:val="000000" w:themeColor="text1"/>
          <w:sz w:val="24"/>
          <w:szCs w:val="24"/>
        </w:rPr>
        <w:t>SD</w:t>
      </w:r>
      <w:r w:rsidRPr="008C3932">
        <w:rPr>
          <w:rFonts w:ascii="Times New Roman" w:eastAsia="Calibri" w:hAnsi="Times New Roman" w:cs="Times New Roman"/>
          <w:color w:val="000000" w:themeColor="text1"/>
          <w:sz w:val="24"/>
          <w:szCs w:val="24"/>
        </w:rPr>
        <w:t xml:space="preserve"> = 6.61) and interpersonal mistrust (</w:t>
      </w:r>
      <w:r w:rsidRPr="0069376B">
        <w:rPr>
          <w:rFonts w:ascii="Times New Roman" w:eastAsia="Calibri" w:hAnsi="Times New Roman" w:cs="Times New Roman"/>
          <w:i/>
          <w:color w:val="000000" w:themeColor="text1"/>
          <w:sz w:val="24"/>
          <w:szCs w:val="24"/>
        </w:rPr>
        <w:t>M</w:t>
      </w:r>
      <w:r w:rsidRPr="008C3932">
        <w:rPr>
          <w:rFonts w:ascii="Times New Roman" w:eastAsia="Calibri" w:hAnsi="Times New Roman" w:cs="Times New Roman"/>
          <w:color w:val="000000" w:themeColor="text1"/>
          <w:sz w:val="24"/>
          <w:szCs w:val="24"/>
        </w:rPr>
        <w:t xml:space="preserve"> = 4.82, </w:t>
      </w:r>
      <w:r w:rsidRPr="0069376B">
        <w:rPr>
          <w:rFonts w:ascii="Times New Roman" w:eastAsia="Calibri" w:hAnsi="Times New Roman" w:cs="Times New Roman"/>
          <w:i/>
          <w:color w:val="000000" w:themeColor="text1"/>
          <w:sz w:val="24"/>
          <w:szCs w:val="24"/>
        </w:rPr>
        <w:t>SD</w:t>
      </w:r>
      <w:r w:rsidRPr="008C3932">
        <w:rPr>
          <w:rFonts w:ascii="Times New Roman" w:eastAsia="Calibri" w:hAnsi="Times New Roman" w:cs="Times New Roman"/>
          <w:color w:val="000000" w:themeColor="text1"/>
          <w:sz w:val="24"/>
          <w:szCs w:val="24"/>
        </w:rPr>
        <w:t xml:space="preserve"> = 4.28).  </w:t>
      </w:r>
      <w:r w:rsidR="00032DA5">
        <w:rPr>
          <w:rFonts w:ascii="Times New Roman" w:eastAsia="Calibri" w:hAnsi="Times New Roman" w:cs="Times New Roman"/>
          <w:color w:val="000000" w:themeColor="text1"/>
          <w:sz w:val="24"/>
          <w:szCs w:val="24"/>
        </w:rPr>
        <w:t>Details</w:t>
      </w:r>
      <w:r w:rsidR="005B1D15">
        <w:rPr>
          <w:rFonts w:ascii="Times New Roman" w:eastAsia="Calibri" w:hAnsi="Times New Roman" w:cs="Times New Roman"/>
          <w:color w:val="000000" w:themeColor="text1"/>
          <w:sz w:val="24"/>
          <w:szCs w:val="24"/>
        </w:rPr>
        <w:t xml:space="preserve"> of e</w:t>
      </w:r>
      <w:r w:rsidR="002029AB">
        <w:rPr>
          <w:rFonts w:ascii="Times New Roman" w:eastAsia="Calibri" w:hAnsi="Times New Roman" w:cs="Times New Roman"/>
          <w:color w:val="000000" w:themeColor="text1"/>
          <w:sz w:val="24"/>
          <w:szCs w:val="24"/>
        </w:rPr>
        <w:t xml:space="preserve">ndorsement rates by item and more conservative endorsement estimates based on </w:t>
      </w:r>
      <w:r w:rsidR="00032DA5">
        <w:rPr>
          <w:rFonts w:ascii="Times New Roman" w:eastAsia="Calibri" w:hAnsi="Times New Roman" w:cs="Times New Roman"/>
          <w:color w:val="000000" w:themeColor="text1"/>
          <w:sz w:val="24"/>
          <w:szCs w:val="24"/>
        </w:rPr>
        <w:t>endpoint</w:t>
      </w:r>
      <w:r w:rsidR="002029AB">
        <w:rPr>
          <w:rFonts w:ascii="Times New Roman" w:eastAsia="Calibri" w:hAnsi="Times New Roman" w:cs="Times New Roman"/>
          <w:color w:val="000000" w:themeColor="text1"/>
          <w:sz w:val="24"/>
          <w:szCs w:val="24"/>
        </w:rPr>
        <w:t xml:space="preserve"> answers</w:t>
      </w:r>
      <w:r w:rsidR="00032DA5">
        <w:rPr>
          <w:rFonts w:ascii="Times New Roman" w:eastAsia="Calibri" w:hAnsi="Times New Roman" w:cs="Times New Roman"/>
          <w:color w:val="000000" w:themeColor="text1"/>
          <w:sz w:val="24"/>
          <w:szCs w:val="24"/>
        </w:rPr>
        <w:t xml:space="preserve"> on the Likert-scales only (</w:t>
      </w:r>
      <w:r w:rsidR="00034546">
        <w:rPr>
          <w:rFonts w:ascii="Times New Roman" w:eastAsia="Calibri" w:hAnsi="Times New Roman" w:cs="Times New Roman"/>
          <w:color w:val="000000" w:themeColor="text1"/>
          <w:sz w:val="24"/>
          <w:szCs w:val="24"/>
        </w:rPr>
        <w:t xml:space="preserve">total score </w:t>
      </w:r>
      <w:r w:rsidR="00032DA5">
        <w:rPr>
          <w:rFonts w:ascii="Times New Roman" w:eastAsia="Calibri" w:hAnsi="Times New Roman" w:cs="Times New Roman"/>
          <w:color w:val="000000" w:themeColor="text1"/>
          <w:sz w:val="24"/>
          <w:szCs w:val="24"/>
        </w:rPr>
        <w:t xml:space="preserve">mean endorsement rates: </w:t>
      </w:r>
      <w:r w:rsidR="00034546">
        <w:rPr>
          <w:rFonts w:ascii="Times New Roman" w:eastAsia="Calibri" w:hAnsi="Times New Roman" w:cs="Times New Roman"/>
          <w:color w:val="000000" w:themeColor="text1"/>
          <w:sz w:val="24"/>
          <w:szCs w:val="24"/>
        </w:rPr>
        <w:t>1</w:t>
      </w:r>
      <w:r w:rsidR="00032DA5">
        <w:rPr>
          <w:rFonts w:ascii="Times New Roman" w:eastAsia="Calibri" w:hAnsi="Times New Roman" w:cs="Times New Roman"/>
          <w:color w:val="000000" w:themeColor="text1"/>
          <w:sz w:val="24"/>
          <w:szCs w:val="24"/>
        </w:rPr>
        <w:t>.</w:t>
      </w:r>
      <w:r w:rsidR="00034546">
        <w:rPr>
          <w:rFonts w:ascii="Times New Roman" w:eastAsia="Calibri" w:hAnsi="Times New Roman" w:cs="Times New Roman"/>
          <w:color w:val="000000" w:themeColor="text1"/>
          <w:sz w:val="24"/>
          <w:szCs w:val="24"/>
        </w:rPr>
        <w:t>74</w:t>
      </w:r>
      <w:r w:rsidR="00032DA5">
        <w:rPr>
          <w:rFonts w:ascii="Times New Roman" w:eastAsia="Calibri" w:hAnsi="Times New Roman" w:cs="Times New Roman"/>
          <w:color w:val="000000" w:themeColor="text1"/>
          <w:sz w:val="24"/>
          <w:szCs w:val="24"/>
        </w:rPr>
        <w:t>%</w:t>
      </w:r>
      <w:r w:rsidR="00034546">
        <w:rPr>
          <w:rFonts w:ascii="Times New Roman" w:eastAsia="Calibri" w:hAnsi="Times New Roman" w:cs="Times New Roman"/>
          <w:color w:val="000000" w:themeColor="text1"/>
          <w:sz w:val="24"/>
          <w:szCs w:val="24"/>
        </w:rPr>
        <w:t xml:space="preserve"> to 8</w:t>
      </w:r>
      <w:r w:rsidR="00032DA5">
        <w:rPr>
          <w:rFonts w:ascii="Times New Roman" w:eastAsia="Calibri" w:hAnsi="Times New Roman" w:cs="Times New Roman"/>
          <w:color w:val="000000" w:themeColor="text1"/>
          <w:sz w:val="24"/>
          <w:szCs w:val="24"/>
        </w:rPr>
        <w:t>.</w:t>
      </w:r>
      <w:r w:rsidR="00034546">
        <w:rPr>
          <w:rFonts w:ascii="Times New Roman" w:eastAsia="Calibri" w:hAnsi="Times New Roman" w:cs="Times New Roman"/>
          <w:color w:val="000000" w:themeColor="text1"/>
          <w:sz w:val="24"/>
          <w:szCs w:val="24"/>
        </w:rPr>
        <w:t>2</w:t>
      </w:r>
      <w:r w:rsidR="00032DA5">
        <w:rPr>
          <w:rFonts w:ascii="Times New Roman" w:eastAsia="Calibri" w:hAnsi="Times New Roman" w:cs="Times New Roman"/>
          <w:color w:val="000000" w:themeColor="text1"/>
          <w:sz w:val="24"/>
          <w:szCs w:val="24"/>
        </w:rPr>
        <w:t xml:space="preserve">9%) </w:t>
      </w:r>
      <w:r w:rsidR="002029AB">
        <w:rPr>
          <w:rFonts w:ascii="Times New Roman" w:eastAsia="Calibri" w:hAnsi="Times New Roman" w:cs="Times New Roman"/>
          <w:color w:val="000000" w:themeColor="text1"/>
          <w:sz w:val="24"/>
          <w:szCs w:val="24"/>
        </w:rPr>
        <w:t>can be found in supplement 1.</w:t>
      </w:r>
    </w:p>
    <w:p w14:paraId="3312AC64" w14:textId="77777777" w:rsidR="00243DF4" w:rsidRPr="008C3932" w:rsidRDefault="00243DF4" w:rsidP="00243DF4">
      <w:pPr>
        <w:spacing w:line="360" w:lineRule="auto"/>
        <w:rPr>
          <w:rFonts w:ascii="Times New Roman" w:eastAsia="Calibri" w:hAnsi="Times New Roman" w:cs="Times New Roman"/>
          <w:color w:val="000000" w:themeColor="text1"/>
          <w:sz w:val="24"/>
          <w:szCs w:val="24"/>
        </w:rPr>
      </w:pPr>
    </w:p>
    <w:p w14:paraId="6E6C4CB2" w14:textId="77777777" w:rsidR="00243DF4" w:rsidRPr="008C3932" w:rsidRDefault="00243DF4" w:rsidP="00243DF4">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Insert Table 2 Here.</w:t>
      </w:r>
    </w:p>
    <w:p w14:paraId="4BC736BC" w14:textId="77777777" w:rsidR="00243DF4" w:rsidRPr="008C3932" w:rsidRDefault="00243DF4" w:rsidP="00243DF4">
      <w:pPr>
        <w:spacing w:line="360" w:lineRule="auto"/>
        <w:ind w:firstLine="720"/>
        <w:rPr>
          <w:rFonts w:ascii="Times New Roman" w:hAnsi="Times New Roman" w:cs="Times New Roman"/>
          <w:color w:val="000000" w:themeColor="text1"/>
          <w:sz w:val="24"/>
          <w:szCs w:val="24"/>
        </w:rPr>
      </w:pPr>
    </w:p>
    <w:p w14:paraId="4227F752" w14:textId="77777777" w:rsidR="003B5DFE" w:rsidRDefault="00243DF4" w:rsidP="00243DF4">
      <w:pPr>
        <w:spacing w:line="360" w:lineRule="auto"/>
        <w:ind w:firstLine="720"/>
        <w:rPr>
          <w:rFonts w:ascii="Times New Roman" w:hAnsi="Times New Roman" w:cs="Times New Roman"/>
          <w:color w:val="000000" w:themeColor="text1"/>
          <w:sz w:val="24"/>
          <w:szCs w:val="24"/>
        </w:rPr>
      </w:pPr>
      <w:r w:rsidRPr="008C3932">
        <w:rPr>
          <w:rFonts w:ascii="Times New Roman" w:hAnsi="Times New Roman" w:cs="Times New Roman"/>
          <w:color w:val="000000" w:themeColor="text1"/>
          <w:sz w:val="24"/>
          <w:szCs w:val="24"/>
        </w:rPr>
        <w:t xml:space="preserve">The distribution of scores on the PPS and three subscales across all five sites are shown in Figure 1. Pandemic paranoid thoughts were commonly endorsed by participants, with monthly occurrence by item ranging from 9% (‘people are spreading the rumour that I </w:t>
      </w:r>
      <w:r w:rsidRPr="008C3932">
        <w:rPr>
          <w:rFonts w:ascii="Times New Roman" w:hAnsi="Times New Roman" w:cs="Times New Roman"/>
          <w:color w:val="000000" w:themeColor="text1"/>
          <w:sz w:val="24"/>
          <w:szCs w:val="24"/>
        </w:rPr>
        <w:lastRenderedPageBreak/>
        <w:t>have COVID-19) to 48% (‘</w:t>
      </w:r>
      <w:r w:rsidRPr="008C3932">
        <w:rPr>
          <w:rFonts w:ascii="Times New Roman" w:eastAsia="Times New Roman" w:hAnsi="Times New Roman" w:cs="Times New Roman"/>
          <w:color w:val="000000" w:themeColor="text1"/>
          <w:sz w:val="24"/>
          <w:szCs w:val="24"/>
          <w:lang w:val="en-US" w:eastAsia="de-DE"/>
        </w:rPr>
        <w:t>I can’t trust others to stick to the social distancing rules’).</w:t>
      </w:r>
      <w:r w:rsidRPr="008C3932">
        <w:rPr>
          <w:rFonts w:ascii="Times New Roman" w:hAnsi="Times New Roman" w:cs="Times New Roman"/>
          <w:color w:val="000000" w:themeColor="text1"/>
          <w:sz w:val="24"/>
          <w:szCs w:val="24"/>
        </w:rPr>
        <w:t xml:space="preserve">  The mean number of pandemic paranoid thoughts endorsed across the </w:t>
      </w:r>
      <w:r>
        <w:rPr>
          <w:rFonts w:ascii="Times New Roman" w:hAnsi="Times New Roman" w:cs="Times New Roman"/>
          <w:color w:val="000000" w:themeColor="text1"/>
          <w:sz w:val="24"/>
          <w:szCs w:val="24"/>
        </w:rPr>
        <w:t xml:space="preserve">total </w:t>
      </w:r>
      <w:r w:rsidRPr="008C3932">
        <w:rPr>
          <w:rFonts w:ascii="Times New Roman" w:hAnsi="Times New Roman" w:cs="Times New Roman"/>
          <w:color w:val="000000" w:themeColor="text1"/>
          <w:sz w:val="24"/>
          <w:szCs w:val="24"/>
        </w:rPr>
        <w:t>sample was 4.86 (</w:t>
      </w:r>
      <w:r w:rsidRPr="0069376B">
        <w:rPr>
          <w:rFonts w:ascii="Times New Roman" w:hAnsi="Times New Roman" w:cs="Times New Roman"/>
          <w:i/>
          <w:color w:val="000000" w:themeColor="text1"/>
          <w:sz w:val="24"/>
          <w:szCs w:val="24"/>
        </w:rPr>
        <w:t>SD</w:t>
      </w:r>
      <w:r w:rsidRPr="008C3932">
        <w:rPr>
          <w:rFonts w:ascii="Times New Roman" w:hAnsi="Times New Roman" w:cs="Times New Roman"/>
          <w:color w:val="000000" w:themeColor="text1"/>
          <w:sz w:val="24"/>
          <w:szCs w:val="24"/>
        </w:rPr>
        <w:t xml:space="preserve"> = 6.32, range 0-25).</w:t>
      </w:r>
    </w:p>
    <w:p w14:paraId="6B2D6F82" w14:textId="4138FBFD" w:rsidR="00243DF4" w:rsidRPr="008C3932" w:rsidRDefault="00243DF4" w:rsidP="00243DF4">
      <w:pPr>
        <w:spacing w:line="360" w:lineRule="auto"/>
        <w:ind w:firstLine="720"/>
        <w:rPr>
          <w:rFonts w:ascii="Times New Roman" w:eastAsia="Calibri" w:hAnsi="Times New Roman" w:cs="Times New Roman"/>
          <w:color w:val="000000" w:themeColor="text1"/>
          <w:sz w:val="24"/>
          <w:szCs w:val="24"/>
        </w:rPr>
      </w:pPr>
      <w:r w:rsidRPr="008C3932">
        <w:rPr>
          <w:rFonts w:ascii="Times New Roman" w:hAnsi="Times New Roman" w:cs="Times New Roman"/>
          <w:color w:val="000000" w:themeColor="text1"/>
          <w:sz w:val="24"/>
          <w:szCs w:val="24"/>
        </w:rPr>
        <w:t xml:space="preserve">  </w:t>
      </w:r>
    </w:p>
    <w:p w14:paraId="491BB0C2" w14:textId="77777777" w:rsidR="00243DF4" w:rsidRPr="008C3932" w:rsidRDefault="00243DF4" w:rsidP="00243DF4">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Insert Figure 1 Here.</w:t>
      </w:r>
    </w:p>
    <w:p w14:paraId="4658D6EC" w14:textId="77777777" w:rsidR="00243DF4" w:rsidRDefault="00243DF4" w:rsidP="00243DF4">
      <w:pPr>
        <w:spacing w:line="360" w:lineRule="auto"/>
        <w:rPr>
          <w:rFonts w:ascii="Times New Roman" w:hAnsi="Times New Roman" w:cs="Times New Roman"/>
          <w:color w:val="000000" w:themeColor="text1"/>
          <w:sz w:val="24"/>
          <w:szCs w:val="24"/>
        </w:rPr>
      </w:pPr>
    </w:p>
    <w:p w14:paraId="5939EA68" w14:textId="62BB9E75" w:rsidR="00243DF4" w:rsidRDefault="00243DF4" w:rsidP="00243DF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C3932">
        <w:rPr>
          <w:rFonts w:ascii="Times New Roman" w:eastAsia="Calibri" w:hAnsi="Times New Roman" w:cs="Times New Roman"/>
          <w:color w:val="000000" w:themeColor="text1"/>
          <w:sz w:val="24"/>
          <w:szCs w:val="24"/>
        </w:rPr>
        <w:t xml:space="preserve">Across the whole sample, the average endorsement rate was 19% for </w:t>
      </w:r>
      <w:r w:rsidR="00796FD1">
        <w:rPr>
          <w:rFonts w:ascii="Times New Roman" w:eastAsia="Calibri" w:hAnsi="Times New Roman" w:cs="Times New Roman"/>
          <w:color w:val="000000" w:themeColor="text1"/>
          <w:sz w:val="24"/>
          <w:szCs w:val="24"/>
        </w:rPr>
        <w:t xml:space="preserve">the </w:t>
      </w:r>
      <w:r w:rsidRPr="008C3932">
        <w:rPr>
          <w:rFonts w:ascii="Times New Roman" w:eastAsia="Calibri" w:hAnsi="Times New Roman" w:cs="Times New Roman"/>
          <w:color w:val="000000" w:themeColor="text1"/>
          <w:sz w:val="24"/>
          <w:szCs w:val="24"/>
        </w:rPr>
        <w:t>PPS total</w:t>
      </w:r>
      <w:r w:rsidR="00796FD1">
        <w:rPr>
          <w:rFonts w:ascii="Times New Roman" w:eastAsia="Calibri" w:hAnsi="Times New Roman" w:cs="Times New Roman"/>
          <w:color w:val="000000" w:themeColor="text1"/>
          <w:sz w:val="24"/>
          <w:szCs w:val="24"/>
        </w:rPr>
        <w:t xml:space="preserve"> score</w:t>
      </w:r>
      <w:r>
        <w:rPr>
          <w:rFonts w:ascii="Times New Roman" w:eastAsia="Calibri"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most commonly endorsed subscale of the PPS was interpersonal mistrust (average endorsement 36%), followed by paranoid conspiracy (average endorsement 29%)</w:t>
      </w:r>
      <w:r w:rsidR="003B5DFE">
        <w:rPr>
          <w:rFonts w:ascii="Times New Roman" w:hAnsi="Times New Roman" w:cs="Times New Roman"/>
          <w:color w:val="000000" w:themeColor="text1"/>
          <w:sz w:val="24"/>
          <w:szCs w:val="24"/>
        </w:rPr>
        <w:t>, and p</w:t>
      </w:r>
      <w:r>
        <w:rPr>
          <w:rFonts w:ascii="Times New Roman" w:hAnsi="Times New Roman" w:cs="Times New Roman"/>
          <w:color w:val="000000" w:themeColor="text1"/>
          <w:sz w:val="24"/>
          <w:szCs w:val="24"/>
        </w:rPr>
        <w:t>ersecutory threat was the least endorsed subscale with an average endorsement rate of 11%. Correspondingly, we found mean scores for the persecutory threat scale to be significantly lower than both paranoid conspiracy (-0.79</w:t>
      </w:r>
      <w:r w:rsidR="0056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679D7">
        <w:rPr>
          <w:rFonts w:ascii="Times New Roman" w:hAnsi="Times New Roman" w:cs="Times New Roman"/>
          <w:color w:val="000000" w:themeColor="text1"/>
          <w:sz w:val="24"/>
          <w:szCs w:val="24"/>
        </w:rPr>
        <w:t xml:space="preserve"> </w:t>
      </w:r>
      <w:proofErr w:type="spellStart"/>
      <w:r w:rsidRPr="00B27561">
        <w:rPr>
          <w:rFonts w:ascii="Times New Roman" w:hAnsi="Times New Roman" w:cs="Times New Roman"/>
          <w:i/>
          <w:color w:val="000000" w:themeColor="text1"/>
          <w:sz w:val="24"/>
          <w:szCs w:val="24"/>
        </w:rPr>
        <w:t>M</w:t>
      </w:r>
      <w:r w:rsidRPr="00B27561">
        <w:rPr>
          <w:rFonts w:ascii="Times New Roman" w:hAnsi="Times New Roman" w:cs="Times New Roman"/>
          <w:i/>
          <w:color w:val="000000" w:themeColor="text1"/>
          <w:sz w:val="24"/>
          <w:szCs w:val="24"/>
          <w:vertAlign w:val="subscript"/>
        </w:rPr>
        <w:t>differences</w:t>
      </w:r>
      <w:proofErr w:type="spellEnd"/>
      <w:r w:rsidR="005679D7">
        <w:rPr>
          <w:rFonts w:ascii="Times New Roman" w:hAnsi="Times New Roman" w:cs="Times New Roman"/>
          <w:i/>
          <w:color w:val="000000" w:themeColor="text1"/>
          <w:sz w:val="24"/>
          <w:szCs w:val="24"/>
          <w:vertAlign w:val="subscript"/>
        </w:rPr>
        <w:t xml:space="preserve"> </w:t>
      </w:r>
      <w:r>
        <w:rPr>
          <w:rFonts w:ascii="Times New Roman" w:hAnsi="Times New Roman" w:cs="Times New Roman"/>
          <w:color w:val="000000" w:themeColor="text1"/>
          <w:sz w:val="24"/>
          <w:szCs w:val="24"/>
        </w:rPr>
        <w:t>≤</w:t>
      </w:r>
      <w:r w:rsidR="0056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-0.53) and interpersonal mistrust (-1.10</w:t>
      </w:r>
      <w:r w:rsidR="0056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679D7">
        <w:rPr>
          <w:rFonts w:ascii="Times New Roman" w:hAnsi="Times New Roman" w:cs="Times New Roman"/>
          <w:color w:val="000000" w:themeColor="text1"/>
          <w:sz w:val="24"/>
          <w:szCs w:val="24"/>
        </w:rPr>
        <w:t xml:space="preserve"> </w:t>
      </w:r>
      <w:proofErr w:type="spellStart"/>
      <w:r w:rsidRPr="003605D2">
        <w:rPr>
          <w:rFonts w:ascii="Times New Roman" w:hAnsi="Times New Roman" w:cs="Times New Roman"/>
          <w:i/>
          <w:color w:val="000000" w:themeColor="text1"/>
          <w:sz w:val="24"/>
          <w:szCs w:val="24"/>
        </w:rPr>
        <w:t>M</w:t>
      </w:r>
      <w:r w:rsidRPr="003605D2">
        <w:rPr>
          <w:rFonts w:ascii="Times New Roman" w:hAnsi="Times New Roman" w:cs="Times New Roman"/>
          <w:i/>
          <w:color w:val="000000" w:themeColor="text1"/>
          <w:sz w:val="24"/>
          <w:szCs w:val="24"/>
          <w:vertAlign w:val="subscript"/>
        </w:rPr>
        <w:t>differences</w:t>
      </w:r>
      <w:proofErr w:type="spellEnd"/>
      <w:r w:rsidR="005679D7">
        <w:rPr>
          <w:rFonts w:ascii="Times New Roman" w:hAnsi="Times New Roman" w:cs="Times New Roman"/>
          <w:i/>
          <w:color w:val="000000" w:themeColor="text1"/>
          <w:sz w:val="24"/>
          <w:szCs w:val="24"/>
          <w:vertAlign w:val="subscript"/>
        </w:rPr>
        <w:t xml:space="preserve"> </w:t>
      </w:r>
      <w:r>
        <w:rPr>
          <w:rFonts w:ascii="Times New Roman" w:hAnsi="Times New Roman" w:cs="Times New Roman"/>
          <w:color w:val="000000" w:themeColor="text1"/>
          <w:sz w:val="24"/>
          <w:szCs w:val="24"/>
        </w:rPr>
        <w:t>≤</w:t>
      </w:r>
      <w:r w:rsidR="0056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-0.74) in each of the five sites in pairwise t tests (all p’s</w:t>
      </w:r>
      <w:r w:rsidR="00567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&lt;0.001). </w:t>
      </w:r>
    </w:p>
    <w:p w14:paraId="1DE28D59" w14:textId="77777777" w:rsidR="00243DF4" w:rsidRDefault="00243DF4" w:rsidP="00243DF4">
      <w:pPr>
        <w:spacing w:line="360" w:lineRule="auto"/>
        <w:ind w:firstLine="720"/>
        <w:rPr>
          <w:rFonts w:ascii="Times New Roman" w:eastAsia="Calibri" w:hAnsi="Times New Roman" w:cs="Times New Roman"/>
          <w:color w:val="000000" w:themeColor="text1"/>
          <w:sz w:val="24"/>
          <w:szCs w:val="24"/>
        </w:rPr>
      </w:pPr>
    </w:p>
    <w:p w14:paraId="17554296" w14:textId="77777777" w:rsidR="00243DF4" w:rsidRPr="00CF5B5F" w:rsidRDefault="00243DF4" w:rsidP="00243DF4">
      <w:pPr>
        <w:spacing w:line="360" w:lineRule="auto"/>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Differences in prevalence of pandemic paranoia by international site</w:t>
      </w:r>
    </w:p>
    <w:p w14:paraId="10FA18EE" w14:textId="6368C431" w:rsidR="00DE30D6" w:rsidRDefault="00243DF4" w:rsidP="00243DF4">
      <w:pPr>
        <w:spacing w:line="360" w:lineRule="auto"/>
        <w:ind w:firstLine="720"/>
        <w:rPr>
          <w:rFonts w:ascii="Times New Roman" w:eastAsia="Calibri" w:hAnsi="Times New Roman" w:cs="Times New Roman"/>
          <w:color w:val="000000" w:themeColor="text1"/>
          <w:sz w:val="24"/>
          <w:szCs w:val="24"/>
        </w:rPr>
      </w:pPr>
      <w:r w:rsidRPr="008C3932">
        <w:rPr>
          <w:rFonts w:ascii="Times New Roman" w:eastAsia="Calibri" w:hAnsi="Times New Roman" w:cs="Times New Roman"/>
          <w:color w:val="000000" w:themeColor="text1"/>
          <w:sz w:val="24"/>
          <w:szCs w:val="24"/>
        </w:rPr>
        <w:t xml:space="preserve">There was an effect of site on the average number of </w:t>
      </w:r>
      <w:r>
        <w:rPr>
          <w:rFonts w:ascii="Times New Roman" w:eastAsia="Calibri" w:hAnsi="Times New Roman" w:cs="Times New Roman"/>
          <w:color w:val="000000" w:themeColor="text1"/>
          <w:sz w:val="24"/>
          <w:szCs w:val="24"/>
        </w:rPr>
        <w:t xml:space="preserve">PPS </w:t>
      </w:r>
      <w:r w:rsidRPr="008C3932">
        <w:rPr>
          <w:rFonts w:ascii="Times New Roman" w:eastAsia="Calibri" w:hAnsi="Times New Roman" w:cs="Times New Roman"/>
          <w:color w:val="000000" w:themeColor="text1"/>
          <w:sz w:val="24"/>
          <w:szCs w:val="24"/>
        </w:rPr>
        <w:t>items endorsed (</w:t>
      </w:r>
      <w:r w:rsidRPr="008C3932">
        <w:rPr>
          <w:rFonts w:ascii="Cambria Math" w:eastAsia="Calibri" w:hAnsi="Cambria Math" w:cs="Cambria Math"/>
          <w:color w:val="000000" w:themeColor="text1"/>
          <w:sz w:val="24"/>
          <w:szCs w:val="24"/>
        </w:rPr>
        <w:t>𝜒</w:t>
      </w:r>
      <w:r w:rsidRPr="008C3932">
        <w:rPr>
          <w:rFonts w:ascii="Times New Roman" w:eastAsia="Calibri" w:hAnsi="Times New Roman" w:cs="Times New Roman"/>
          <w:color w:val="000000" w:themeColor="text1"/>
          <w:sz w:val="24"/>
          <w:szCs w:val="24"/>
          <w:vertAlign w:val="superscript"/>
        </w:rPr>
        <w:t>2</w:t>
      </w:r>
      <w:r w:rsidRPr="008C3932">
        <w:rPr>
          <w:rFonts w:ascii="Times New Roman" w:eastAsia="Calibri" w:hAnsi="Times New Roman" w:cs="Times New Roman"/>
          <w:color w:val="000000" w:themeColor="text1"/>
          <w:sz w:val="24"/>
          <w:szCs w:val="24"/>
        </w:rPr>
        <w:t xml:space="preserve">(4) = 41.89, </w:t>
      </w:r>
      <w:r w:rsidRPr="008C3932">
        <w:rPr>
          <w:rFonts w:ascii="Times New Roman" w:eastAsia="Calibri" w:hAnsi="Times New Roman" w:cs="Times New Roman"/>
          <w:i/>
          <w:iCs/>
          <w:color w:val="000000" w:themeColor="text1"/>
          <w:sz w:val="24"/>
          <w:szCs w:val="24"/>
        </w:rPr>
        <w:t xml:space="preserve">p </w:t>
      </w:r>
      <w:r w:rsidRPr="008C3932">
        <w:rPr>
          <w:rFonts w:ascii="Times New Roman" w:eastAsia="Calibri" w:hAnsi="Times New Roman" w:cs="Times New Roman"/>
          <w:color w:val="000000" w:themeColor="text1"/>
          <w:sz w:val="24"/>
          <w:szCs w:val="24"/>
        </w:rPr>
        <w:t>&lt;.001).  Post</w:t>
      </w:r>
      <w:r w:rsidR="00796FD1">
        <w:rPr>
          <w:rFonts w:ascii="Times New Roman" w:eastAsia="Calibri" w:hAnsi="Times New Roman" w:cs="Times New Roman"/>
          <w:color w:val="000000" w:themeColor="text1"/>
          <w:sz w:val="24"/>
          <w:szCs w:val="24"/>
        </w:rPr>
        <w:t>-</w:t>
      </w:r>
      <w:r w:rsidRPr="008C3932">
        <w:rPr>
          <w:rFonts w:ascii="Times New Roman" w:eastAsia="Calibri" w:hAnsi="Times New Roman" w:cs="Times New Roman"/>
          <w:color w:val="000000" w:themeColor="text1"/>
          <w:sz w:val="24"/>
          <w:szCs w:val="24"/>
        </w:rPr>
        <w:t xml:space="preserve">hoc pairwise comparisons showed that the UK, USA and Germany all endorsed significantly fewer items than both </w:t>
      </w:r>
      <w:r>
        <w:rPr>
          <w:rFonts w:ascii="Times New Roman" w:eastAsia="Calibri" w:hAnsi="Times New Roman" w:cs="Times New Roman"/>
          <w:color w:val="000000" w:themeColor="text1"/>
          <w:sz w:val="24"/>
          <w:szCs w:val="24"/>
        </w:rPr>
        <w:t>Australia and Hong Kong</w:t>
      </w:r>
      <w:r w:rsidRPr="008C3932">
        <w:rPr>
          <w:rFonts w:ascii="Times New Roman" w:eastAsia="Calibri" w:hAnsi="Times New Roman" w:cs="Times New Roman"/>
          <w:color w:val="000000" w:themeColor="text1"/>
          <w:sz w:val="24"/>
          <w:szCs w:val="24"/>
        </w:rPr>
        <w:t>. There was no difference in number of items endorsed between Australia and Hong Kong. Kruskal</w:t>
      </w:r>
      <w:r>
        <w:rPr>
          <w:rFonts w:ascii="Times New Roman" w:eastAsia="Calibri" w:hAnsi="Times New Roman" w:cs="Times New Roman"/>
          <w:color w:val="000000" w:themeColor="text1"/>
          <w:sz w:val="24"/>
          <w:szCs w:val="24"/>
        </w:rPr>
        <w:t>-</w:t>
      </w:r>
      <w:r w:rsidRPr="008C3932">
        <w:rPr>
          <w:rFonts w:ascii="Times New Roman" w:eastAsia="Calibri" w:hAnsi="Times New Roman" w:cs="Times New Roman"/>
          <w:color w:val="000000" w:themeColor="text1"/>
          <w:sz w:val="24"/>
          <w:szCs w:val="24"/>
        </w:rPr>
        <w:t>Wallis tests revealed significant differences between the sites on the PPS total score (</w:t>
      </w:r>
      <w:r w:rsidRPr="008C3932">
        <w:rPr>
          <w:rFonts w:ascii="Times New Roman" w:hAnsi="Times New Roman" w:cs="Times New Roman"/>
          <w:bCs/>
          <w:i/>
          <w:iCs/>
          <w:color w:val="000000" w:themeColor="text1"/>
          <w:sz w:val="24"/>
          <w:szCs w:val="24"/>
        </w:rPr>
        <w:t>χ²</w:t>
      </w:r>
      <w:r w:rsidRPr="008C3932">
        <w:rPr>
          <w:rFonts w:ascii="Times New Roman" w:hAnsi="Times New Roman" w:cs="Times New Roman"/>
          <w:bCs/>
          <w:color w:val="000000" w:themeColor="text1"/>
          <w:sz w:val="24"/>
          <w:szCs w:val="24"/>
        </w:rPr>
        <w:t>(4)</w:t>
      </w:r>
      <w:r w:rsidRPr="008C3932">
        <w:rPr>
          <w:rFonts w:ascii="Times New Roman" w:hAnsi="Times New Roman" w:cs="Times New Roman"/>
          <w:bCs/>
          <w:color w:val="000000" w:themeColor="text1"/>
          <w:sz w:val="24"/>
          <w:szCs w:val="24"/>
          <w:vertAlign w:val="subscript"/>
        </w:rPr>
        <w:t xml:space="preserve"> </w:t>
      </w:r>
      <w:r w:rsidRPr="008C3932">
        <w:rPr>
          <w:rFonts w:ascii="Times New Roman" w:hAnsi="Times New Roman" w:cs="Times New Roman"/>
          <w:bCs/>
          <w:color w:val="000000" w:themeColor="text1"/>
          <w:sz w:val="24"/>
          <w:szCs w:val="24"/>
        </w:rPr>
        <w:t xml:space="preserve">= 41.89, </w:t>
      </w:r>
      <w:r w:rsidRPr="008C3932">
        <w:rPr>
          <w:rFonts w:ascii="Times New Roman" w:hAnsi="Times New Roman" w:cs="Times New Roman"/>
          <w:bCs/>
          <w:i/>
          <w:iCs/>
          <w:color w:val="000000" w:themeColor="text1"/>
          <w:sz w:val="24"/>
          <w:szCs w:val="24"/>
        </w:rPr>
        <w:t>p</w:t>
      </w:r>
      <w:r w:rsidRPr="008C3932">
        <w:rPr>
          <w:rFonts w:ascii="Times New Roman" w:hAnsi="Times New Roman" w:cs="Times New Roman"/>
          <w:bCs/>
          <w:color w:val="000000" w:themeColor="text1"/>
          <w:sz w:val="24"/>
          <w:szCs w:val="24"/>
        </w:rPr>
        <w:t xml:space="preserve"> &lt;.001), and all three subscales (</w:t>
      </w:r>
      <w:r w:rsidR="005359ED">
        <w:rPr>
          <w:rFonts w:ascii="Times New Roman" w:hAnsi="Times New Roman" w:cs="Times New Roman"/>
          <w:bCs/>
          <w:color w:val="000000" w:themeColor="text1"/>
          <w:sz w:val="24"/>
          <w:szCs w:val="24"/>
        </w:rPr>
        <w:t>p</w:t>
      </w:r>
      <w:r w:rsidRPr="008C3932">
        <w:rPr>
          <w:rFonts w:ascii="Times New Roman" w:hAnsi="Times New Roman" w:cs="Times New Roman"/>
          <w:bCs/>
          <w:color w:val="000000" w:themeColor="text1"/>
          <w:sz w:val="24"/>
          <w:szCs w:val="24"/>
        </w:rPr>
        <w:t xml:space="preserve">ersecutory </w:t>
      </w:r>
      <w:r w:rsidR="005359ED">
        <w:rPr>
          <w:rFonts w:ascii="Times New Roman" w:hAnsi="Times New Roman" w:cs="Times New Roman"/>
          <w:bCs/>
          <w:color w:val="000000" w:themeColor="text1"/>
          <w:sz w:val="24"/>
          <w:szCs w:val="24"/>
        </w:rPr>
        <w:t>t</w:t>
      </w:r>
      <w:r w:rsidRPr="008C3932">
        <w:rPr>
          <w:rFonts w:ascii="Times New Roman" w:hAnsi="Times New Roman" w:cs="Times New Roman"/>
          <w:bCs/>
          <w:color w:val="000000" w:themeColor="text1"/>
          <w:sz w:val="24"/>
          <w:szCs w:val="24"/>
        </w:rPr>
        <w:t xml:space="preserve">hreat: </w:t>
      </w:r>
      <w:r w:rsidRPr="008C3932">
        <w:rPr>
          <w:rFonts w:ascii="Times New Roman" w:hAnsi="Times New Roman" w:cs="Times New Roman"/>
          <w:bCs/>
          <w:i/>
          <w:iCs/>
          <w:color w:val="000000" w:themeColor="text1"/>
          <w:sz w:val="24"/>
          <w:szCs w:val="24"/>
        </w:rPr>
        <w:t>χ²</w:t>
      </w:r>
      <w:r w:rsidRPr="008C3932">
        <w:rPr>
          <w:rFonts w:ascii="Times New Roman" w:hAnsi="Times New Roman" w:cs="Times New Roman"/>
          <w:bCs/>
          <w:color w:val="000000" w:themeColor="text1"/>
          <w:sz w:val="24"/>
          <w:szCs w:val="24"/>
        </w:rPr>
        <w:t>(4)</w:t>
      </w:r>
      <w:r w:rsidRPr="008C3932">
        <w:rPr>
          <w:rFonts w:ascii="Times New Roman" w:hAnsi="Times New Roman" w:cs="Times New Roman"/>
          <w:bCs/>
          <w:color w:val="000000" w:themeColor="text1"/>
          <w:sz w:val="24"/>
          <w:szCs w:val="24"/>
          <w:vertAlign w:val="subscript"/>
        </w:rPr>
        <w:t xml:space="preserve"> </w:t>
      </w:r>
      <w:r w:rsidRPr="008C3932">
        <w:rPr>
          <w:rFonts w:ascii="Times New Roman" w:hAnsi="Times New Roman" w:cs="Times New Roman"/>
          <w:bCs/>
          <w:color w:val="000000" w:themeColor="text1"/>
          <w:sz w:val="24"/>
          <w:szCs w:val="24"/>
        </w:rPr>
        <w:t xml:space="preserve">= 50.54, </w:t>
      </w:r>
      <w:r w:rsidRPr="008C3932">
        <w:rPr>
          <w:rFonts w:ascii="Times New Roman" w:hAnsi="Times New Roman" w:cs="Times New Roman"/>
          <w:bCs/>
          <w:i/>
          <w:iCs/>
          <w:color w:val="000000" w:themeColor="text1"/>
          <w:sz w:val="24"/>
          <w:szCs w:val="24"/>
        </w:rPr>
        <w:t>p</w:t>
      </w:r>
      <w:r w:rsidRPr="008C3932">
        <w:rPr>
          <w:rFonts w:ascii="Times New Roman" w:hAnsi="Times New Roman" w:cs="Times New Roman"/>
          <w:bCs/>
          <w:color w:val="000000" w:themeColor="text1"/>
          <w:sz w:val="24"/>
          <w:szCs w:val="24"/>
        </w:rPr>
        <w:t xml:space="preserve"> &lt;.001; </w:t>
      </w:r>
      <w:r w:rsidR="005359ED">
        <w:rPr>
          <w:rFonts w:ascii="Times New Roman" w:hAnsi="Times New Roman" w:cs="Times New Roman"/>
          <w:bCs/>
          <w:color w:val="000000" w:themeColor="text1"/>
          <w:sz w:val="24"/>
          <w:szCs w:val="24"/>
        </w:rPr>
        <w:t>p</w:t>
      </w:r>
      <w:r w:rsidRPr="008C3932">
        <w:rPr>
          <w:rFonts w:ascii="Times New Roman" w:hAnsi="Times New Roman" w:cs="Times New Roman"/>
          <w:bCs/>
          <w:color w:val="000000" w:themeColor="text1"/>
          <w:sz w:val="24"/>
          <w:szCs w:val="24"/>
        </w:rPr>
        <w:t xml:space="preserve">aranoid </w:t>
      </w:r>
      <w:r w:rsidR="005359ED">
        <w:rPr>
          <w:rFonts w:ascii="Times New Roman" w:hAnsi="Times New Roman" w:cs="Times New Roman"/>
          <w:bCs/>
          <w:color w:val="000000" w:themeColor="text1"/>
          <w:sz w:val="24"/>
          <w:szCs w:val="24"/>
        </w:rPr>
        <w:t>c</w:t>
      </w:r>
      <w:r w:rsidRPr="008C3932">
        <w:rPr>
          <w:rFonts w:ascii="Times New Roman" w:hAnsi="Times New Roman" w:cs="Times New Roman"/>
          <w:bCs/>
          <w:color w:val="000000" w:themeColor="text1"/>
          <w:sz w:val="24"/>
          <w:szCs w:val="24"/>
        </w:rPr>
        <w:t xml:space="preserve">onspiracy </w:t>
      </w:r>
      <w:r w:rsidRPr="008C3932">
        <w:rPr>
          <w:rFonts w:ascii="Times New Roman" w:hAnsi="Times New Roman" w:cs="Times New Roman"/>
          <w:bCs/>
          <w:i/>
          <w:iCs/>
          <w:color w:val="000000" w:themeColor="text1"/>
          <w:sz w:val="24"/>
          <w:szCs w:val="24"/>
        </w:rPr>
        <w:t>χ²</w:t>
      </w:r>
      <w:r w:rsidRPr="008C3932">
        <w:rPr>
          <w:rFonts w:ascii="Times New Roman" w:hAnsi="Times New Roman" w:cs="Times New Roman"/>
          <w:bCs/>
          <w:color w:val="000000" w:themeColor="text1"/>
          <w:sz w:val="24"/>
          <w:szCs w:val="24"/>
        </w:rPr>
        <w:t>(4)</w:t>
      </w:r>
      <w:r w:rsidRPr="008C3932">
        <w:rPr>
          <w:rFonts w:ascii="Times New Roman" w:hAnsi="Times New Roman" w:cs="Times New Roman"/>
          <w:bCs/>
          <w:color w:val="000000" w:themeColor="text1"/>
          <w:sz w:val="24"/>
          <w:szCs w:val="24"/>
          <w:vertAlign w:val="subscript"/>
        </w:rPr>
        <w:t xml:space="preserve"> </w:t>
      </w:r>
      <w:r w:rsidRPr="008C3932">
        <w:rPr>
          <w:rFonts w:ascii="Times New Roman" w:hAnsi="Times New Roman" w:cs="Times New Roman"/>
          <w:bCs/>
          <w:color w:val="000000" w:themeColor="text1"/>
          <w:sz w:val="24"/>
          <w:szCs w:val="24"/>
        </w:rPr>
        <w:t xml:space="preserve">= 61.05, </w:t>
      </w:r>
      <w:r w:rsidRPr="008C3932">
        <w:rPr>
          <w:rFonts w:ascii="Times New Roman" w:hAnsi="Times New Roman" w:cs="Times New Roman"/>
          <w:bCs/>
          <w:i/>
          <w:iCs/>
          <w:color w:val="000000" w:themeColor="text1"/>
          <w:sz w:val="24"/>
          <w:szCs w:val="24"/>
        </w:rPr>
        <w:t>p</w:t>
      </w:r>
      <w:r w:rsidRPr="008C3932">
        <w:rPr>
          <w:rFonts w:ascii="Times New Roman" w:hAnsi="Times New Roman" w:cs="Times New Roman"/>
          <w:bCs/>
          <w:color w:val="000000" w:themeColor="text1"/>
          <w:sz w:val="24"/>
          <w:szCs w:val="24"/>
        </w:rPr>
        <w:t xml:space="preserve"> &lt;.001; </w:t>
      </w:r>
      <w:r w:rsidR="005359ED">
        <w:rPr>
          <w:rFonts w:ascii="Times New Roman" w:hAnsi="Times New Roman" w:cs="Times New Roman"/>
          <w:bCs/>
          <w:color w:val="000000" w:themeColor="text1"/>
          <w:sz w:val="24"/>
          <w:szCs w:val="24"/>
        </w:rPr>
        <w:t>i</w:t>
      </w:r>
      <w:r w:rsidRPr="008C3932">
        <w:rPr>
          <w:rFonts w:ascii="Times New Roman" w:hAnsi="Times New Roman" w:cs="Times New Roman"/>
          <w:bCs/>
          <w:color w:val="000000" w:themeColor="text1"/>
          <w:sz w:val="24"/>
          <w:szCs w:val="24"/>
        </w:rPr>
        <w:t xml:space="preserve">nterpersonal </w:t>
      </w:r>
      <w:r w:rsidR="005359ED">
        <w:rPr>
          <w:rFonts w:ascii="Times New Roman" w:hAnsi="Times New Roman" w:cs="Times New Roman"/>
          <w:bCs/>
          <w:color w:val="000000" w:themeColor="text1"/>
          <w:sz w:val="24"/>
          <w:szCs w:val="24"/>
        </w:rPr>
        <w:t>m</w:t>
      </w:r>
      <w:r w:rsidRPr="008C3932">
        <w:rPr>
          <w:rFonts w:ascii="Times New Roman" w:hAnsi="Times New Roman" w:cs="Times New Roman"/>
          <w:bCs/>
          <w:color w:val="000000" w:themeColor="text1"/>
          <w:sz w:val="24"/>
          <w:szCs w:val="24"/>
        </w:rPr>
        <w:t xml:space="preserve">istrust </w:t>
      </w:r>
      <w:r w:rsidRPr="008C3932">
        <w:rPr>
          <w:rFonts w:ascii="Times New Roman" w:hAnsi="Times New Roman" w:cs="Times New Roman"/>
          <w:bCs/>
          <w:i/>
          <w:iCs/>
          <w:color w:val="000000" w:themeColor="text1"/>
          <w:sz w:val="24"/>
          <w:szCs w:val="24"/>
        </w:rPr>
        <w:t>χ²</w:t>
      </w:r>
      <w:r w:rsidRPr="008C3932">
        <w:rPr>
          <w:rFonts w:ascii="Times New Roman" w:hAnsi="Times New Roman" w:cs="Times New Roman"/>
          <w:bCs/>
          <w:color w:val="000000" w:themeColor="text1"/>
          <w:sz w:val="24"/>
          <w:szCs w:val="24"/>
        </w:rPr>
        <w:t>(4)</w:t>
      </w:r>
      <w:r w:rsidRPr="008C3932">
        <w:rPr>
          <w:rFonts w:ascii="Times New Roman" w:hAnsi="Times New Roman" w:cs="Times New Roman"/>
          <w:bCs/>
          <w:color w:val="000000" w:themeColor="text1"/>
          <w:sz w:val="24"/>
          <w:szCs w:val="24"/>
          <w:vertAlign w:val="subscript"/>
        </w:rPr>
        <w:t xml:space="preserve"> </w:t>
      </w:r>
      <w:r w:rsidRPr="008C3932">
        <w:rPr>
          <w:rFonts w:ascii="Times New Roman" w:hAnsi="Times New Roman" w:cs="Times New Roman"/>
          <w:bCs/>
          <w:color w:val="000000" w:themeColor="text1"/>
          <w:sz w:val="24"/>
          <w:szCs w:val="24"/>
        </w:rPr>
        <w:t xml:space="preserve">= 37.16, </w:t>
      </w:r>
      <w:r w:rsidRPr="008C3932">
        <w:rPr>
          <w:rFonts w:ascii="Times New Roman" w:hAnsi="Times New Roman" w:cs="Times New Roman"/>
          <w:bCs/>
          <w:i/>
          <w:iCs/>
          <w:color w:val="000000" w:themeColor="text1"/>
          <w:sz w:val="24"/>
          <w:szCs w:val="24"/>
        </w:rPr>
        <w:t>p</w:t>
      </w:r>
      <w:r w:rsidRPr="008C3932">
        <w:rPr>
          <w:rFonts w:ascii="Times New Roman" w:hAnsi="Times New Roman" w:cs="Times New Roman"/>
          <w:bCs/>
          <w:color w:val="000000" w:themeColor="text1"/>
          <w:sz w:val="24"/>
          <w:szCs w:val="24"/>
        </w:rPr>
        <w:t xml:space="preserve"> &lt;.001). P</w:t>
      </w:r>
      <w:r w:rsidRPr="008C3932">
        <w:rPr>
          <w:rFonts w:ascii="Times New Roman" w:eastAsia="Calibri" w:hAnsi="Times New Roman" w:cs="Times New Roman"/>
          <w:color w:val="000000" w:themeColor="text1"/>
          <w:sz w:val="24"/>
          <w:szCs w:val="24"/>
        </w:rPr>
        <w:t>airwise comparisons by site are shown in Table 3. Australia scored significantly higher than the UK, USA, and Germany on PPS total scores. Additionally, Hong Kong scored significantly higher than both the UK and Germany on</w:t>
      </w:r>
      <w:r w:rsidR="0069196A">
        <w:rPr>
          <w:rFonts w:ascii="Times New Roman" w:eastAsia="Calibri" w:hAnsi="Times New Roman" w:cs="Times New Roman"/>
          <w:color w:val="000000" w:themeColor="text1"/>
          <w:sz w:val="24"/>
          <w:szCs w:val="24"/>
        </w:rPr>
        <w:t xml:space="preserve"> the PPS total score</w:t>
      </w:r>
      <w:r w:rsidRPr="008C3932">
        <w:rPr>
          <w:rFonts w:ascii="Times New Roman" w:eastAsia="Calibri" w:hAnsi="Times New Roman" w:cs="Times New Roman"/>
          <w:color w:val="000000" w:themeColor="text1"/>
          <w:sz w:val="24"/>
          <w:szCs w:val="24"/>
        </w:rPr>
        <w:t>.  Differential patterns emerged for the three subscales.  On the persecutory threat subscale, the UK scored significantly lower compared to all other sites, and Australia was significantly higher than both the USA and Germany. On the paranoid conspiracy subscale, the UK, USA and Germany were all significantly lower than both Australia and Hong Kong. On the interpersonal mistrust subscale, the UK, USA, Australia and Hong Kong were all higher than Germany.</w:t>
      </w:r>
      <w:r>
        <w:rPr>
          <w:rFonts w:ascii="Times New Roman" w:eastAsia="Calibri" w:hAnsi="Times New Roman" w:cs="Times New Roman"/>
          <w:color w:val="000000" w:themeColor="text1"/>
          <w:sz w:val="24"/>
          <w:szCs w:val="24"/>
        </w:rPr>
        <w:t xml:space="preserve"> </w:t>
      </w:r>
    </w:p>
    <w:p w14:paraId="3CE83142" w14:textId="556796BD" w:rsidR="00243DF4" w:rsidRDefault="00243DF4" w:rsidP="00243DF4">
      <w:pPr>
        <w:spacing w:line="36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Most of these results could also be found in the analysis of latent mean differences. However, the difference in persecutory threat scores between UK and Germany did not extend to the latent trait. Furthermore, latent mean analysis also showed additional differences that were occluded in PPS score comparison: The USA </w:t>
      </w:r>
      <w:r w:rsidR="001C39B9">
        <w:rPr>
          <w:rFonts w:ascii="Times New Roman" w:eastAsia="Calibri" w:hAnsi="Times New Roman" w:cs="Times New Roman"/>
          <w:color w:val="000000" w:themeColor="text1"/>
          <w:sz w:val="24"/>
          <w:szCs w:val="24"/>
        </w:rPr>
        <w:t>scored</w:t>
      </w:r>
      <w:r>
        <w:rPr>
          <w:rFonts w:ascii="Times New Roman" w:eastAsia="Calibri" w:hAnsi="Times New Roman" w:cs="Times New Roman"/>
          <w:color w:val="000000" w:themeColor="text1"/>
          <w:sz w:val="24"/>
          <w:szCs w:val="24"/>
        </w:rPr>
        <w:t xml:space="preserve"> significantly higher latent traits in the total score than the UK and Germany, which extended to a higher latent trait paranoid conspiracy than the UK and a higher latent trait in persecutory threat than Germany. Regarding interpersonal mistrust, the USA showed a significantly lower latent mean than Australia. Similarly, additional significant differences for the Hong Kong sample showed significantly lower latent means in the total score, persecutory threat, and interpersonal mistrust than Australia and a significantly higher persecutory threat latent mean than Germany. Overall, equivalence testing showed that for the subscales, manifest differences in items reflected 46.1% (USA vs. Germany) to 93.7% (UK vs. Australia) of true latent mean differences in the pairwise comparisons, whereas the range of true latent mean difference reflected in the total score ranged from 0.4% (UK vs Germany) to 92.3% (UK vs. Australia).</w:t>
      </w:r>
    </w:p>
    <w:p w14:paraId="32B696BB" w14:textId="77777777" w:rsidR="00243DF4" w:rsidRPr="008C3932" w:rsidRDefault="00243DF4" w:rsidP="00243DF4">
      <w:pPr>
        <w:spacing w:line="360" w:lineRule="auto"/>
        <w:ind w:firstLine="720"/>
        <w:rPr>
          <w:rFonts w:ascii="Times New Roman" w:eastAsia="Calibri" w:hAnsi="Times New Roman" w:cs="Times New Roman"/>
          <w:color w:val="000000" w:themeColor="text1"/>
          <w:sz w:val="24"/>
          <w:szCs w:val="24"/>
        </w:rPr>
      </w:pPr>
    </w:p>
    <w:p w14:paraId="104E9C97" w14:textId="77777777" w:rsidR="00243DF4" w:rsidRPr="008C3932" w:rsidRDefault="00243DF4" w:rsidP="00243DF4">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t>Insert Table 3 Here.</w:t>
      </w:r>
    </w:p>
    <w:p w14:paraId="32DA09EC" w14:textId="77777777" w:rsidR="00243DF4" w:rsidRPr="008C3932" w:rsidRDefault="00243DF4" w:rsidP="00243DF4">
      <w:pPr>
        <w:spacing w:line="360" w:lineRule="auto"/>
        <w:rPr>
          <w:rFonts w:ascii="Times New Roman" w:eastAsia="Calibri" w:hAnsi="Times New Roman" w:cs="Times New Roman"/>
          <w:color w:val="000000" w:themeColor="text1"/>
          <w:sz w:val="24"/>
          <w:szCs w:val="24"/>
        </w:rPr>
      </w:pPr>
    </w:p>
    <w:p w14:paraId="71BB7DFF" w14:textId="77777777" w:rsidR="00243DF4" w:rsidRPr="008C3932" w:rsidRDefault="00243DF4" w:rsidP="00243DF4">
      <w:pPr>
        <w:spacing w:line="360" w:lineRule="auto"/>
        <w:rPr>
          <w:rFonts w:ascii="Times New Roman" w:eastAsia="Calibri" w:hAnsi="Times New Roman" w:cs="Times New Roman"/>
          <w:i/>
          <w:color w:val="000000" w:themeColor="text1"/>
          <w:sz w:val="24"/>
          <w:szCs w:val="24"/>
        </w:rPr>
      </w:pPr>
      <w:r w:rsidRPr="008C3932">
        <w:rPr>
          <w:rFonts w:ascii="Times New Roman" w:eastAsia="Calibri" w:hAnsi="Times New Roman" w:cs="Times New Roman"/>
          <w:i/>
          <w:color w:val="000000" w:themeColor="text1"/>
          <w:sz w:val="24"/>
          <w:szCs w:val="24"/>
        </w:rPr>
        <w:t>Sociodemographic profile of pandemic paranoia</w:t>
      </w:r>
    </w:p>
    <w:p w14:paraId="40DD829E" w14:textId="1637EDE7" w:rsidR="00243DF4" w:rsidRDefault="00243DF4" w:rsidP="00243DF4">
      <w:pPr>
        <w:spacing w:before="100" w:beforeAutospacing="1" w:after="100" w:afterAutospacing="1" w:line="360" w:lineRule="auto"/>
        <w:ind w:firstLine="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Integration of effect sizes (correlation/Cohen’s d)</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for</w:t>
      </w:r>
      <w:r w:rsidRPr="008C3932">
        <w:rPr>
          <w:rFonts w:ascii="Times New Roman" w:eastAsia="Times New Roman" w:hAnsi="Times New Roman" w:cs="Times New Roman"/>
          <w:color w:val="000000" w:themeColor="text1"/>
          <w:sz w:val="24"/>
          <w:szCs w:val="24"/>
          <w:lang w:val="en-US"/>
        </w:rPr>
        <w:t xml:space="preserve"> total PPS score and sociodemographic variables</w:t>
      </w:r>
      <w:r>
        <w:rPr>
          <w:rFonts w:ascii="Times New Roman" w:eastAsia="Times New Roman" w:hAnsi="Times New Roman" w:cs="Times New Roman"/>
          <w:color w:val="000000" w:themeColor="text1"/>
          <w:sz w:val="24"/>
          <w:szCs w:val="24"/>
          <w:lang w:val="en-US"/>
        </w:rPr>
        <w:t xml:space="preserve"> yielded a global significant effect for </w:t>
      </w:r>
      <w:r w:rsidRPr="008C3932">
        <w:rPr>
          <w:rFonts w:ascii="Times New Roman" w:eastAsia="Times New Roman" w:hAnsi="Times New Roman" w:cs="Times New Roman"/>
          <w:color w:val="000000" w:themeColor="text1"/>
          <w:sz w:val="24"/>
          <w:szCs w:val="24"/>
          <w:lang w:val="en-US"/>
        </w:rPr>
        <w:t>age (</w:t>
      </w:r>
      <w:r w:rsidRPr="008C3932">
        <w:rPr>
          <w:rFonts w:ascii="Times New Roman" w:eastAsia="Times New Roman" w:hAnsi="Times New Roman" w:cs="Times New Roman"/>
          <w:i/>
          <w:iCs/>
          <w:color w:val="000000" w:themeColor="text1"/>
          <w:sz w:val="24"/>
          <w:szCs w:val="24"/>
          <w:lang w:val="en-US"/>
        </w:rPr>
        <w:t>r</w:t>
      </w:r>
      <w:r w:rsidRPr="008C3932">
        <w:rPr>
          <w:rFonts w:ascii="Times New Roman" w:eastAsia="Times New Roman" w:hAnsi="Times New Roman" w:cs="Times New Roman"/>
          <w:color w:val="000000" w:themeColor="text1"/>
          <w:sz w:val="24"/>
          <w:szCs w:val="24"/>
          <w:lang w:val="en-US"/>
        </w:rPr>
        <w:t>=-0.2</w:t>
      </w:r>
      <w:r>
        <w:rPr>
          <w:rFonts w:ascii="Times New Roman" w:eastAsia="Times New Roman" w:hAnsi="Times New Roman" w:cs="Times New Roman"/>
          <w:color w:val="000000" w:themeColor="text1"/>
          <w:sz w:val="24"/>
          <w:szCs w:val="24"/>
          <w:lang w:val="en-US"/>
        </w:rPr>
        <w:t>4, z=-6.59</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sidRPr="008C3932">
        <w:rPr>
          <w:rFonts w:ascii="Times New Roman" w:eastAsia="Times New Roman" w:hAnsi="Times New Roman" w:cs="Times New Roman"/>
          <w:color w:val="000000" w:themeColor="text1"/>
          <w:sz w:val="24"/>
          <w:szCs w:val="24"/>
          <w:lang w:val="en-US"/>
        </w:rPr>
        <w:t>&lt;</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.001</w:t>
      </w:r>
      <w:r>
        <w:rPr>
          <w:rFonts w:ascii="Times New Roman" w:eastAsia="Times New Roman" w:hAnsi="Times New Roman" w:cs="Times New Roman"/>
          <w:color w:val="000000" w:themeColor="text1"/>
          <w:sz w:val="24"/>
          <w:szCs w:val="24"/>
          <w:lang w:val="en-US"/>
        </w:rPr>
        <w:t>, 95%-CI=[-0.30;-0.17]</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Integrated effects for i</w:t>
      </w:r>
      <w:r w:rsidRPr="008C3932">
        <w:rPr>
          <w:rFonts w:ascii="Times New Roman" w:eastAsia="Times New Roman" w:hAnsi="Times New Roman" w:cs="Times New Roman"/>
          <w:color w:val="000000" w:themeColor="text1"/>
          <w:sz w:val="24"/>
          <w:szCs w:val="24"/>
          <w:lang w:val="en-US"/>
        </w:rPr>
        <w:t>ncome (</w:t>
      </w:r>
      <w:r w:rsidRPr="008C3932">
        <w:rPr>
          <w:rFonts w:ascii="Times New Roman" w:eastAsia="Times New Roman" w:hAnsi="Times New Roman" w:cs="Times New Roman"/>
          <w:i/>
          <w:iCs/>
          <w:color w:val="000000" w:themeColor="text1"/>
          <w:sz w:val="24"/>
          <w:szCs w:val="24"/>
          <w:lang w:val="en-US"/>
        </w:rPr>
        <w:t>r</w:t>
      </w:r>
      <w:r w:rsidRPr="008C3932">
        <w:rPr>
          <w:rFonts w:ascii="Times New Roman" w:eastAsia="Times New Roman" w:hAnsi="Times New Roman" w:cs="Times New Roman"/>
          <w:color w:val="000000" w:themeColor="text1"/>
          <w:sz w:val="24"/>
          <w:szCs w:val="24"/>
          <w:lang w:val="en-US"/>
        </w:rPr>
        <w:t>=0.1</w:t>
      </w:r>
      <w:r>
        <w:rPr>
          <w:rFonts w:ascii="Times New Roman" w:eastAsia="Times New Roman" w:hAnsi="Times New Roman" w:cs="Times New Roman"/>
          <w:color w:val="000000" w:themeColor="text1"/>
          <w:sz w:val="24"/>
          <w:szCs w:val="24"/>
          <w:lang w:val="en-US"/>
        </w:rPr>
        <w:t>8</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z=1.87</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61</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color w:val="000000" w:themeColor="text1"/>
          <w:sz w:val="24"/>
          <w:szCs w:val="24"/>
          <w:lang w:val="en-US"/>
        </w:rPr>
        <w:t>education (</w:t>
      </w:r>
      <w:r w:rsidRPr="008C3932">
        <w:rPr>
          <w:rFonts w:ascii="Times New Roman" w:eastAsia="Times New Roman" w:hAnsi="Times New Roman" w:cs="Times New Roman"/>
          <w:i/>
          <w:iCs/>
          <w:color w:val="000000" w:themeColor="text1"/>
          <w:sz w:val="24"/>
          <w:szCs w:val="24"/>
          <w:lang w:val="en-US"/>
        </w:rPr>
        <w:t>r</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11</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z=1.67</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96</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and population size </w:t>
      </w:r>
      <w:r w:rsidRPr="008C3932">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i/>
          <w:iCs/>
          <w:color w:val="000000" w:themeColor="text1"/>
          <w:sz w:val="24"/>
          <w:szCs w:val="24"/>
          <w:lang w:val="en-US"/>
        </w:rPr>
        <w:t>r</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15</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z=1.94</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52</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were not significant. Table 4 provides an overview of the effects by site. As can be seen</w:t>
      </w:r>
      <w:r w:rsidR="007F384F">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age correlated significantly with PPS scores in all five sites. Regarding the other demographic variables, there was considerable variability, with Australia and the USA showing a sociodemographic profile with more significant predictors and </w:t>
      </w:r>
      <w:r w:rsidR="00055B97">
        <w:rPr>
          <w:rFonts w:ascii="Times New Roman" w:eastAsia="Times New Roman" w:hAnsi="Times New Roman" w:cs="Times New Roman"/>
          <w:color w:val="000000" w:themeColor="text1"/>
          <w:sz w:val="24"/>
          <w:szCs w:val="24"/>
          <w:lang w:val="en-US"/>
        </w:rPr>
        <w:t>stronger e</w:t>
      </w:r>
      <w:r>
        <w:rPr>
          <w:rFonts w:ascii="Times New Roman" w:eastAsia="Times New Roman" w:hAnsi="Times New Roman" w:cs="Times New Roman"/>
          <w:color w:val="000000" w:themeColor="text1"/>
          <w:sz w:val="24"/>
          <w:szCs w:val="24"/>
          <w:lang w:val="en-US"/>
        </w:rPr>
        <w:t xml:space="preserve">ffects, the UK showing multiple significant sociodemographic predictors albeit with </w:t>
      </w:r>
      <w:r w:rsidR="00055B97">
        <w:rPr>
          <w:rFonts w:ascii="Times New Roman" w:eastAsia="Times New Roman" w:hAnsi="Times New Roman" w:cs="Times New Roman"/>
          <w:color w:val="000000" w:themeColor="text1"/>
          <w:sz w:val="24"/>
          <w:szCs w:val="24"/>
          <w:lang w:val="en-US"/>
        </w:rPr>
        <w:t xml:space="preserve">weaker </w:t>
      </w:r>
      <w:r>
        <w:rPr>
          <w:rFonts w:ascii="Times New Roman" w:eastAsia="Times New Roman" w:hAnsi="Times New Roman" w:cs="Times New Roman"/>
          <w:color w:val="000000" w:themeColor="text1"/>
          <w:sz w:val="24"/>
          <w:szCs w:val="24"/>
          <w:lang w:val="en-US"/>
        </w:rPr>
        <w:t xml:space="preserve">effects, and Germany and Hong Kong showing no significant predictor beyond age.  </w:t>
      </w:r>
      <w:r w:rsidR="0044414E">
        <w:rPr>
          <w:rFonts w:ascii="Times New Roman" w:eastAsia="Times New Roman" w:hAnsi="Times New Roman" w:cs="Times New Roman"/>
          <w:color w:val="000000" w:themeColor="text1"/>
          <w:sz w:val="24"/>
          <w:szCs w:val="24"/>
          <w:lang w:val="en-US"/>
        </w:rPr>
        <w:t>H</w:t>
      </w:r>
      <w:r>
        <w:rPr>
          <w:rFonts w:ascii="Times New Roman" w:eastAsia="Times New Roman" w:hAnsi="Times New Roman" w:cs="Times New Roman"/>
          <w:color w:val="000000" w:themeColor="text1"/>
          <w:sz w:val="24"/>
          <w:szCs w:val="24"/>
          <w:lang w:val="en-US"/>
        </w:rPr>
        <w:t>igher pandemic paranoia scores correlated with higher income, higher education, being employed, being male and no migrant status.</w:t>
      </w:r>
    </w:p>
    <w:p w14:paraId="0BD55F1C" w14:textId="77777777" w:rsidR="00B123C5" w:rsidRPr="008C3932" w:rsidRDefault="00B123C5" w:rsidP="00B123C5">
      <w:pPr>
        <w:pBdr>
          <w:top w:val="single" w:sz="4" w:space="1" w:color="auto"/>
          <w:bottom w:val="single" w:sz="4" w:space="1" w:color="auto"/>
        </w:pBdr>
        <w:spacing w:line="360" w:lineRule="auto"/>
        <w:jc w:val="center"/>
        <w:rPr>
          <w:rFonts w:ascii="Times New Roman" w:eastAsia="DengXian" w:hAnsi="Times New Roman" w:cs="Times New Roman"/>
          <w:i/>
          <w:iCs/>
          <w:color w:val="000000" w:themeColor="text1"/>
          <w:sz w:val="24"/>
          <w:szCs w:val="24"/>
          <w:lang w:eastAsia="zh-CN"/>
        </w:rPr>
      </w:pPr>
      <w:r w:rsidRPr="008C3932">
        <w:rPr>
          <w:rFonts w:ascii="Times New Roman" w:eastAsia="DengXian" w:hAnsi="Times New Roman" w:cs="Times New Roman"/>
          <w:i/>
          <w:iCs/>
          <w:color w:val="000000" w:themeColor="text1"/>
          <w:sz w:val="24"/>
          <w:szCs w:val="24"/>
          <w:lang w:eastAsia="zh-CN"/>
        </w:rPr>
        <w:lastRenderedPageBreak/>
        <w:t xml:space="preserve">Insert Table </w:t>
      </w:r>
      <w:r>
        <w:rPr>
          <w:rFonts w:ascii="Times New Roman" w:eastAsia="DengXian" w:hAnsi="Times New Roman" w:cs="Times New Roman"/>
          <w:i/>
          <w:iCs/>
          <w:color w:val="000000" w:themeColor="text1"/>
          <w:sz w:val="24"/>
          <w:szCs w:val="24"/>
          <w:lang w:eastAsia="zh-CN"/>
        </w:rPr>
        <w:t>4</w:t>
      </w:r>
      <w:r w:rsidRPr="008C3932">
        <w:rPr>
          <w:rFonts w:ascii="Times New Roman" w:eastAsia="DengXian" w:hAnsi="Times New Roman" w:cs="Times New Roman"/>
          <w:i/>
          <w:iCs/>
          <w:color w:val="000000" w:themeColor="text1"/>
          <w:sz w:val="24"/>
          <w:szCs w:val="24"/>
          <w:lang w:eastAsia="zh-CN"/>
        </w:rPr>
        <w:t xml:space="preserve"> 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tblGrid>
      <w:tr w:rsidR="00B123C5" w:rsidRPr="00815135" w14:paraId="28331479" w14:textId="77777777" w:rsidTr="006D666D">
        <w:trPr>
          <w:cantSplit/>
          <w:tblCellSpacing w:w="15" w:type="dxa"/>
        </w:trPr>
        <w:tc>
          <w:tcPr>
            <w:tcW w:w="0" w:type="auto"/>
            <w:tcBorders>
              <w:top w:val="nil"/>
              <w:left w:val="nil"/>
              <w:bottom w:val="nil"/>
              <w:right w:val="nil"/>
            </w:tcBorders>
            <w:tcMar>
              <w:top w:w="30" w:type="dxa"/>
              <w:left w:w="120" w:type="dxa"/>
              <w:bottom w:w="30" w:type="dxa"/>
              <w:right w:w="120" w:type="dxa"/>
            </w:tcMar>
            <w:vAlign w:val="center"/>
            <w:hideMark/>
          </w:tcPr>
          <w:p w14:paraId="13AE7E61" w14:textId="77777777" w:rsidR="00B123C5" w:rsidRPr="008C3932" w:rsidRDefault="00B123C5" w:rsidP="006D666D">
            <w:pPr>
              <w:rPr>
                <w:rFonts w:ascii="Segoe UI" w:eastAsia="Times New Roman" w:hAnsi="Segoe UI" w:cs="Segoe UI"/>
                <w:color w:val="000000" w:themeColor="text1"/>
                <w:sz w:val="18"/>
                <w:szCs w:val="18"/>
                <w:lang w:val="en-US"/>
              </w:rPr>
            </w:pPr>
          </w:p>
        </w:tc>
      </w:tr>
    </w:tbl>
    <w:p w14:paraId="0CE8BF4B" w14:textId="167BDC5A" w:rsidR="00243DF4" w:rsidRDefault="00243DF4" w:rsidP="00243DF4">
      <w:pPr>
        <w:spacing w:before="100" w:beforeAutospacing="1" w:after="100" w:afterAutospacing="1" w:line="360" w:lineRule="auto"/>
        <w:ind w:firstLine="720"/>
        <w:rPr>
          <w:rFonts w:ascii="Times New Roman" w:eastAsia="Times New Roman" w:hAnsi="Times New Roman" w:cs="Times New Roman"/>
          <w:color w:val="000000" w:themeColor="text1"/>
          <w:sz w:val="24"/>
          <w:szCs w:val="24"/>
          <w:lang w:val="en-US"/>
        </w:rPr>
      </w:pPr>
      <w:r w:rsidRPr="008C3932">
        <w:rPr>
          <w:rFonts w:ascii="Times New Roman" w:eastAsia="Times New Roman" w:hAnsi="Times New Roman" w:cs="Times New Roman"/>
          <w:color w:val="000000" w:themeColor="text1"/>
          <w:sz w:val="24"/>
          <w:szCs w:val="24"/>
          <w:lang w:val="en-US"/>
        </w:rPr>
        <w:t>A stepwise multiple regression analysis was conducted, with</w:t>
      </w:r>
      <w:r w:rsidR="00011380">
        <w:rPr>
          <w:rFonts w:ascii="Times New Roman" w:eastAsia="Times New Roman" w:hAnsi="Times New Roman" w:cs="Times New Roman"/>
          <w:color w:val="000000" w:themeColor="text1"/>
          <w:sz w:val="24"/>
          <w:szCs w:val="24"/>
          <w:lang w:val="en-US"/>
        </w:rPr>
        <w:t xml:space="preserve"> the</w:t>
      </w:r>
      <w:r w:rsidRPr="008C3932">
        <w:rPr>
          <w:rFonts w:ascii="Times New Roman" w:eastAsia="Times New Roman" w:hAnsi="Times New Roman" w:cs="Times New Roman"/>
          <w:color w:val="000000" w:themeColor="text1"/>
          <w:sz w:val="24"/>
          <w:szCs w:val="24"/>
          <w:lang w:val="en-US"/>
        </w:rPr>
        <w:t xml:space="preserve"> PPS </w:t>
      </w:r>
      <w:r w:rsidR="00011380">
        <w:rPr>
          <w:rFonts w:ascii="Times New Roman" w:eastAsia="Times New Roman" w:hAnsi="Times New Roman" w:cs="Times New Roman"/>
          <w:color w:val="000000" w:themeColor="text1"/>
          <w:sz w:val="24"/>
          <w:szCs w:val="24"/>
          <w:lang w:val="en-US"/>
        </w:rPr>
        <w:t>t</w:t>
      </w:r>
      <w:r>
        <w:rPr>
          <w:rFonts w:ascii="Times New Roman" w:eastAsia="Times New Roman" w:hAnsi="Times New Roman" w:cs="Times New Roman"/>
          <w:color w:val="000000" w:themeColor="text1"/>
          <w:sz w:val="24"/>
          <w:szCs w:val="24"/>
          <w:lang w:val="en-US"/>
        </w:rPr>
        <w:t>otal</w:t>
      </w:r>
      <w:r w:rsidR="00011380">
        <w:rPr>
          <w:rFonts w:ascii="Times New Roman" w:eastAsia="Times New Roman" w:hAnsi="Times New Roman" w:cs="Times New Roman"/>
          <w:color w:val="000000" w:themeColor="text1"/>
          <w:sz w:val="24"/>
          <w:szCs w:val="24"/>
          <w:lang w:val="en-US"/>
        </w:rPr>
        <w:t xml:space="preserve"> score</w:t>
      </w:r>
      <w:r>
        <w:rPr>
          <w:rFonts w:ascii="Times New Roman" w:eastAsia="Times New Roman" w:hAnsi="Times New Roman" w:cs="Times New Roman"/>
          <w:color w:val="000000" w:themeColor="text1"/>
          <w:sz w:val="24"/>
          <w:szCs w:val="24"/>
          <w:lang w:val="en-US"/>
        </w:rPr>
        <w:t xml:space="preserve"> as the dependent variable.  To control for site level differences and</w:t>
      </w:r>
      <w:r w:rsidRPr="008C3932">
        <w:rPr>
          <w:rFonts w:ascii="Times New Roman" w:eastAsia="Times New Roman" w:hAnsi="Times New Roman" w:cs="Times New Roman"/>
          <w:color w:val="000000" w:themeColor="text1"/>
          <w:sz w:val="24"/>
          <w:szCs w:val="24"/>
          <w:lang w:val="en-US"/>
        </w:rPr>
        <w:t xml:space="preserve"> general paranoia score</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site and R-GPTS scores</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were </w:t>
      </w:r>
      <w:r w:rsidRPr="008C3932">
        <w:rPr>
          <w:rFonts w:ascii="Times New Roman" w:eastAsia="Times New Roman" w:hAnsi="Times New Roman" w:cs="Times New Roman"/>
          <w:color w:val="000000" w:themeColor="text1"/>
          <w:sz w:val="24"/>
          <w:szCs w:val="24"/>
          <w:lang w:val="en-US"/>
        </w:rPr>
        <w:t>added in block one</w:t>
      </w:r>
      <w:r>
        <w:rPr>
          <w:rFonts w:ascii="Times New Roman" w:eastAsia="Times New Roman" w:hAnsi="Times New Roman" w:cs="Times New Roman"/>
          <w:color w:val="000000" w:themeColor="text1"/>
          <w:sz w:val="24"/>
          <w:szCs w:val="24"/>
          <w:lang w:val="en-US"/>
        </w:rPr>
        <w:t>.  S</w:t>
      </w:r>
      <w:r w:rsidRPr="008C3932">
        <w:rPr>
          <w:rFonts w:ascii="Times New Roman" w:eastAsia="Times New Roman" w:hAnsi="Times New Roman" w:cs="Times New Roman"/>
          <w:color w:val="000000" w:themeColor="text1"/>
          <w:sz w:val="24"/>
          <w:szCs w:val="24"/>
          <w:lang w:val="en-US"/>
        </w:rPr>
        <w:t>ociodemographic variables added in block two</w:t>
      </w:r>
      <w:r>
        <w:rPr>
          <w:rFonts w:ascii="Times New Roman" w:eastAsia="Times New Roman" w:hAnsi="Times New Roman" w:cs="Times New Roman"/>
          <w:color w:val="000000" w:themeColor="text1"/>
          <w:sz w:val="24"/>
          <w:szCs w:val="24"/>
          <w:lang w:val="en-US"/>
        </w:rPr>
        <w:t>, and interaction effects of sociodemographic variables and site added in step three</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Site and g</w:t>
      </w:r>
      <w:r w:rsidRPr="008C3932">
        <w:rPr>
          <w:rFonts w:ascii="Times New Roman" w:eastAsia="Times New Roman" w:hAnsi="Times New Roman" w:cs="Times New Roman"/>
          <w:color w:val="000000" w:themeColor="text1"/>
          <w:sz w:val="24"/>
          <w:szCs w:val="24"/>
          <w:lang w:val="en-US"/>
        </w:rPr>
        <w:t>eneral paranoia account</w:t>
      </w:r>
      <w:r>
        <w:rPr>
          <w:rFonts w:ascii="Times New Roman" w:eastAsia="Times New Roman" w:hAnsi="Times New Roman" w:cs="Times New Roman"/>
          <w:color w:val="000000" w:themeColor="text1"/>
          <w:sz w:val="24"/>
          <w:szCs w:val="24"/>
          <w:lang w:val="en-US"/>
        </w:rPr>
        <w:t>ed</w:t>
      </w:r>
      <w:r w:rsidRPr="008C3932">
        <w:rPr>
          <w:rFonts w:ascii="Times New Roman" w:eastAsia="Times New Roman" w:hAnsi="Times New Roman" w:cs="Times New Roman"/>
          <w:color w:val="000000" w:themeColor="text1"/>
          <w:sz w:val="24"/>
          <w:szCs w:val="24"/>
          <w:lang w:val="en-US"/>
        </w:rPr>
        <w:t xml:space="preserve"> for 4</w:t>
      </w:r>
      <w:r>
        <w:rPr>
          <w:rFonts w:ascii="Times New Roman" w:eastAsia="Times New Roman" w:hAnsi="Times New Roman" w:cs="Times New Roman"/>
          <w:color w:val="000000" w:themeColor="text1"/>
          <w:sz w:val="24"/>
          <w:szCs w:val="24"/>
          <w:lang w:val="en-US"/>
        </w:rPr>
        <w:t>7.42</w:t>
      </w:r>
      <w:r w:rsidRPr="008C3932">
        <w:rPr>
          <w:rFonts w:ascii="Times New Roman" w:eastAsia="Times New Roman" w:hAnsi="Times New Roman" w:cs="Times New Roman"/>
          <w:color w:val="000000" w:themeColor="text1"/>
          <w:sz w:val="24"/>
          <w:szCs w:val="24"/>
          <w:lang w:val="en-US"/>
        </w:rPr>
        <w:t>% of the variance in pandemic paranoia</w:t>
      </w:r>
      <w:r>
        <w:rPr>
          <w:rFonts w:ascii="Times New Roman" w:eastAsia="Times New Roman" w:hAnsi="Times New Roman" w:cs="Times New Roman"/>
          <w:color w:val="000000" w:themeColor="text1"/>
          <w:sz w:val="24"/>
          <w:szCs w:val="24"/>
          <w:lang w:val="en-US"/>
        </w:rPr>
        <w:t xml:space="preserve"> and collectively predicted it significantly</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F</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2</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2270</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=409.5</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sidRPr="008C3932">
        <w:rPr>
          <w:rFonts w:ascii="Times New Roman" w:eastAsia="Times New Roman" w:hAnsi="Times New Roman" w:cs="Times New Roman"/>
          <w:color w:val="000000" w:themeColor="text1"/>
          <w:sz w:val="24"/>
          <w:szCs w:val="24"/>
          <w:lang w:val="en-US"/>
        </w:rPr>
        <w:t>&lt;</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.00</w:t>
      </w:r>
      <w:r>
        <w:rPr>
          <w:rFonts w:ascii="Times New Roman" w:eastAsia="Times New Roman" w:hAnsi="Times New Roman" w:cs="Times New Roman"/>
          <w:color w:val="000000" w:themeColor="text1"/>
          <w:sz w:val="24"/>
          <w:szCs w:val="24"/>
          <w:lang w:val="en-US"/>
        </w:rPr>
        <w:t>1</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T</w:t>
      </w:r>
      <w:r w:rsidRPr="008C3932">
        <w:rPr>
          <w:rFonts w:ascii="Times New Roman" w:eastAsia="Times New Roman" w:hAnsi="Times New Roman" w:cs="Times New Roman"/>
          <w:color w:val="000000" w:themeColor="text1"/>
          <w:sz w:val="24"/>
          <w:szCs w:val="24"/>
          <w:lang w:val="en-US"/>
        </w:rPr>
        <w:t xml:space="preserve">he sociodemographic variables explained an additional </w:t>
      </w:r>
      <w:r>
        <w:rPr>
          <w:rFonts w:ascii="Times New Roman" w:eastAsia="Times New Roman" w:hAnsi="Times New Roman" w:cs="Times New Roman"/>
          <w:color w:val="000000" w:themeColor="text1"/>
          <w:sz w:val="24"/>
          <w:szCs w:val="24"/>
          <w:lang w:val="en-US"/>
        </w:rPr>
        <w:t>2.39</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BF75D0">
        <w:rPr>
          <w:rFonts w:ascii="Times New Roman" w:eastAsia="Times New Roman" w:hAnsi="Times New Roman" w:cs="Times New Roman"/>
          <w:i/>
          <w:color w:val="000000" w:themeColor="text1"/>
          <w:sz w:val="24"/>
          <w:szCs w:val="24"/>
          <w:lang w:val="en-US"/>
        </w:rPr>
        <w:t>R²</w:t>
      </w:r>
      <w:r>
        <w:rPr>
          <w:rFonts w:ascii="Times New Roman" w:eastAsia="Times New Roman" w:hAnsi="Times New Roman" w:cs="Times New Roman"/>
          <w:color w:val="000000" w:themeColor="text1"/>
          <w:sz w:val="24"/>
          <w:szCs w:val="24"/>
          <w:lang w:val="en-US"/>
        </w:rPr>
        <w:t>=0.498)</w:t>
      </w:r>
      <w:r w:rsidRPr="008C3932">
        <w:rPr>
          <w:rFonts w:ascii="Times New Roman" w:eastAsia="Times New Roman" w:hAnsi="Times New Roman" w:cs="Times New Roman"/>
          <w:color w:val="000000" w:themeColor="text1"/>
          <w:sz w:val="24"/>
          <w:szCs w:val="24"/>
          <w:lang w:val="en-US"/>
        </w:rPr>
        <w:t xml:space="preserve"> of the variance and significantly </w:t>
      </w:r>
      <w:r>
        <w:rPr>
          <w:rFonts w:ascii="Times New Roman" w:eastAsia="Times New Roman" w:hAnsi="Times New Roman" w:cs="Times New Roman"/>
          <w:color w:val="000000" w:themeColor="text1"/>
          <w:sz w:val="24"/>
          <w:szCs w:val="24"/>
          <w:lang w:val="en-US"/>
        </w:rPr>
        <w:t xml:space="preserve">improved </w:t>
      </w:r>
      <w:r w:rsidRPr="008C3932">
        <w:rPr>
          <w:rFonts w:ascii="Times New Roman" w:eastAsia="Times New Roman" w:hAnsi="Times New Roman" w:cs="Times New Roman"/>
          <w:color w:val="000000" w:themeColor="text1"/>
          <w:sz w:val="24"/>
          <w:szCs w:val="24"/>
          <w:lang w:val="en-US"/>
        </w:rPr>
        <w:t>predict</w:t>
      </w:r>
      <w:r>
        <w:rPr>
          <w:rFonts w:ascii="Times New Roman" w:eastAsia="Times New Roman" w:hAnsi="Times New Roman" w:cs="Times New Roman"/>
          <w:color w:val="000000" w:themeColor="text1"/>
          <w:sz w:val="24"/>
          <w:szCs w:val="24"/>
          <w:lang w:val="en-US"/>
        </w:rPr>
        <w:t>ion of</w:t>
      </w:r>
      <w:r w:rsidRPr="008C3932">
        <w:rPr>
          <w:rFonts w:ascii="Times New Roman" w:eastAsia="Times New Roman" w:hAnsi="Times New Roman" w:cs="Times New Roman"/>
          <w:color w:val="000000" w:themeColor="text1"/>
          <w:sz w:val="24"/>
          <w:szCs w:val="24"/>
          <w:lang w:val="en-US"/>
        </w:rPr>
        <w:t xml:space="preserve"> pandemic paranoia (</w:t>
      </w:r>
      <w:r w:rsidRPr="008C3932">
        <w:rPr>
          <w:rFonts w:ascii="Times New Roman" w:eastAsia="Times New Roman" w:hAnsi="Times New Roman" w:cs="Times New Roman"/>
          <w:i/>
          <w:iCs/>
          <w:color w:val="000000" w:themeColor="text1"/>
          <w:sz w:val="24"/>
          <w:szCs w:val="24"/>
          <w:lang w:val="en-US"/>
        </w:rPr>
        <w:t>F</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7</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color w:val="000000" w:themeColor="text1"/>
          <w:sz w:val="24"/>
          <w:szCs w:val="24"/>
          <w:lang w:val="en-US"/>
        </w:rPr>
        <w:t>2</w:t>
      </w:r>
      <w:r>
        <w:rPr>
          <w:rFonts w:ascii="Times New Roman" w:eastAsia="Times New Roman" w:hAnsi="Times New Roman" w:cs="Times New Roman"/>
          <w:color w:val="000000" w:themeColor="text1"/>
          <w:sz w:val="24"/>
          <w:szCs w:val="24"/>
          <w:lang w:val="en-US"/>
        </w:rPr>
        <w:t>263</w:t>
      </w:r>
      <w:r w:rsidRPr="008C3932">
        <w:rPr>
          <w:rFonts w:ascii="Times New Roman" w:eastAsia="Times New Roman" w:hAnsi="Times New Roman" w:cs="Times New Roman"/>
          <w:color w:val="000000" w:themeColor="text1"/>
          <w:sz w:val="24"/>
          <w:szCs w:val="24"/>
          <w:lang w:val="en-US"/>
        </w:rPr>
        <w:t xml:space="preserve">) = </w:t>
      </w:r>
      <w:r>
        <w:rPr>
          <w:rFonts w:ascii="Times New Roman" w:eastAsia="Times New Roman" w:hAnsi="Times New Roman" w:cs="Times New Roman"/>
          <w:color w:val="000000" w:themeColor="text1"/>
          <w:sz w:val="24"/>
          <w:szCs w:val="24"/>
          <w:lang w:val="en-US"/>
        </w:rPr>
        <w:t>15</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99</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sidRPr="008C3932">
        <w:rPr>
          <w:rFonts w:ascii="Times New Roman" w:eastAsia="Times New Roman" w:hAnsi="Times New Roman" w:cs="Times New Roman"/>
          <w:color w:val="000000" w:themeColor="text1"/>
          <w:sz w:val="24"/>
          <w:szCs w:val="24"/>
          <w:lang w:val="en-US"/>
        </w:rPr>
        <w:t xml:space="preserve"> &lt;</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.001).</w:t>
      </w:r>
      <w:r>
        <w:rPr>
          <w:rFonts w:ascii="Times New Roman" w:eastAsia="Times New Roman" w:hAnsi="Times New Roman" w:cs="Times New Roman"/>
          <w:color w:val="000000" w:themeColor="text1"/>
          <w:sz w:val="24"/>
          <w:szCs w:val="24"/>
          <w:lang w:val="en-US"/>
        </w:rPr>
        <w:t xml:space="preserve"> Lower age </w:t>
      </w:r>
      <w:r w:rsidRPr="008C3932">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i/>
          <w:iCs/>
          <w:color w:val="000000" w:themeColor="text1"/>
          <w:sz w:val="24"/>
          <w:szCs w:val="24"/>
          <w:lang w:val="en-US"/>
        </w:rPr>
        <w:t>β</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0.0</w:t>
      </w:r>
      <w:r>
        <w:rPr>
          <w:rFonts w:ascii="Times New Roman" w:eastAsia="Times New Roman" w:hAnsi="Times New Roman" w:cs="Times New Roman"/>
          <w:color w:val="000000" w:themeColor="text1"/>
          <w:sz w:val="24"/>
          <w:szCs w:val="24"/>
          <w:lang w:val="en-US"/>
        </w:rPr>
        <w:t>3</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-1</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98</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48</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higher </w:t>
      </w:r>
      <w:r w:rsidRPr="008C3932">
        <w:rPr>
          <w:rFonts w:ascii="Times New Roman" w:eastAsia="Times New Roman" w:hAnsi="Times New Roman" w:cs="Times New Roman"/>
          <w:color w:val="000000" w:themeColor="text1"/>
          <w:sz w:val="24"/>
          <w:szCs w:val="24"/>
          <w:lang w:val="en-US"/>
        </w:rPr>
        <w:t>average income (</w:t>
      </w:r>
      <w:r w:rsidRPr="008C3932">
        <w:rPr>
          <w:rFonts w:ascii="Times New Roman" w:eastAsia="Times New Roman" w:hAnsi="Times New Roman" w:cs="Times New Roman"/>
          <w:i/>
          <w:iCs/>
          <w:color w:val="000000" w:themeColor="text1"/>
          <w:sz w:val="24"/>
          <w:szCs w:val="24"/>
          <w:lang w:val="en-US"/>
        </w:rPr>
        <w:t>β</w:t>
      </w:r>
      <w:r w:rsidRPr="008C3932">
        <w:rPr>
          <w:rFonts w:ascii="Times New Roman" w:eastAsia="Times New Roman" w:hAnsi="Times New Roman" w:cs="Times New Roman"/>
          <w:color w:val="000000" w:themeColor="text1"/>
          <w:sz w:val="24"/>
          <w:szCs w:val="24"/>
          <w:lang w:val="en-US"/>
        </w:rPr>
        <w:t>=0.0</w:t>
      </w:r>
      <w:r>
        <w:rPr>
          <w:rFonts w:ascii="Times New Roman" w:eastAsia="Times New Roman" w:hAnsi="Times New Roman" w:cs="Times New Roman"/>
          <w:color w:val="000000" w:themeColor="text1"/>
          <w:sz w:val="24"/>
          <w:szCs w:val="24"/>
          <w:lang w:val="en-US"/>
        </w:rPr>
        <w:t>8</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4</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66</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sidRPr="008C3932">
        <w:rPr>
          <w:rFonts w:ascii="Times New Roman" w:eastAsia="Times New Roman" w:hAnsi="Times New Roman" w:cs="Times New Roman"/>
          <w:color w:val="000000" w:themeColor="text1"/>
          <w:sz w:val="24"/>
          <w:szCs w:val="24"/>
          <w:lang w:val="en-US"/>
        </w:rPr>
        <w:t>&lt;</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 xml:space="preserve">.001), </w:t>
      </w:r>
      <w:r>
        <w:rPr>
          <w:rFonts w:ascii="Times New Roman" w:eastAsia="Times New Roman" w:hAnsi="Times New Roman" w:cs="Times New Roman"/>
          <w:color w:val="000000" w:themeColor="text1"/>
          <w:sz w:val="24"/>
          <w:szCs w:val="24"/>
          <w:lang w:val="en-US"/>
        </w:rPr>
        <w:t>higher p</w:t>
      </w:r>
      <w:r w:rsidRPr="008C3932">
        <w:rPr>
          <w:rFonts w:ascii="Times New Roman" w:eastAsia="Times New Roman" w:hAnsi="Times New Roman" w:cs="Times New Roman"/>
          <w:color w:val="000000" w:themeColor="text1"/>
          <w:sz w:val="24"/>
          <w:szCs w:val="24"/>
          <w:lang w:val="en-US"/>
        </w:rPr>
        <w:t>opulation size (</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0.0</w:t>
      </w:r>
      <w:r>
        <w:rPr>
          <w:rFonts w:ascii="Times New Roman" w:eastAsia="Times New Roman" w:hAnsi="Times New Roman" w:cs="Times New Roman"/>
          <w:color w:val="000000" w:themeColor="text1"/>
          <w:sz w:val="24"/>
          <w:szCs w:val="24"/>
          <w:lang w:val="en-US"/>
        </w:rPr>
        <w:t>6</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Pr>
          <w:rFonts w:ascii="Times New Roman" w:eastAsia="Times New Roman" w:hAnsi="Times New Roman" w:cs="Times New Roman"/>
          <w:color w:val="000000" w:themeColor="text1"/>
          <w:sz w:val="24"/>
          <w:szCs w:val="24"/>
          <w:lang w:val="en-US"/>
        </w:rPr>
        <w:t>=3</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2</w:t>
      </w:r>
      <w:r w:rsidRPr="008C3932">
        <w:rPr>
          <w:rFonts w:ascii="Times New Roman" w:eastAsia="Times New Roman" w:hAnsi="Times New Roman" w:cs="Times New Roman"/>
          <w:color w:val="000000" w:themeColor="text1"/>
          <w:sz w:val="24"/>
          <w:szCs w:val="24"/>
          <w:lang w:val="en-US"/>
        </w:rPr>
        <w:t xml:space="preserve">3,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01</w:t>
      </w:r>
      <w:r w:rsidRPr="008C3932">
        <w:rPr>
          <w:rFonts w:ascii="Times New Roman" w:eastAsia="Times New Roman" w:hAnsi="Times New Roman" w:cs="Times New Roman"/>
          <w:color w:val="000000" w:themeColor="text1"/>
          <w:sz w:val="24"/>
          <w:szCs w:val="24"/>
          <w:lang w:val="en-US"/>
        </w:rPr>
        <w:t>), being male (</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06</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t</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-4.22</w:t>
      </w:r>
      <w:r w:rsidRPr="008C393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p</w:t>
      </w:r>
      <w:r w:rsidRPr="008C3932">
        <w:rPr>
          <w:rFonts w:ascii="Times New Roman" w:eastAsia="Times New Roman" w:hAnsi="Times New Roman" w:cs="Times New Roman"/>
          <w:color w:val="000000" w:themeColor="text1"/>
          <w:sz w:val="24"/>
          <w:szCs w:val="24"/>
          <w:lang w:val="en-US"/>
        </w:rPr>
        <w:t>&lt;</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.001), employed (</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03</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2.</w:t>
      </w:r>
      <w:r>
        <w:rPr>
          <w:rFonts w:ascii="Times New Roman" w:eastAsia="Times New Roman" w:hAnsi="Times New Roman" w:cs="Times New Roman"/>
          <w:color w:val="000000" w:themeColor="text1"/>
          <w:sz w:val="24"/>
          <w:szCs w:val="24"/>
          <w:lang w:val="en-US"/>
        </w:rPr>
        <w:t>13</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33</w:t>
      </w:r>
      <w:r w:rsidRPr="008C3932">
        <w:rPr>
          <w:rFonts w:ascii="Times New Roman" w:eastAsia="Times New Roman" w:hAnsi="Times New Roman" w:cs="Times New Roman"/>
          <w:color w:val="000000" w:themeColor="text1"/>
          <w:sz w:val="24"/>
          <w:szCs w:val="24"/>
          <w:lang w:val="en-US"/>
        </w:rPr>
        <w:t xml:space="preserve">), and </w:t>
      </w:r>
      <w:r>
        <w:rPr>
          <w:rFonts w:ascii="Times New Roman" w:eastAsia="Times New Roman" w:hAnsi="Times New Roman" w:cs="Times New Roman"/>
          <w:color w:val="000000" w:themeColor="text1"/>
          <w:sz w:val="24"/>
          <w:szCs w:val="24"/>
          <w:lang w:val="en-US"/>
        </w:rPr>
        <w:t xml:space="preserve">no </w:t>
      </w:r>
      <w:r w:rsidRPr="008C3932">
        <w:rPr>
          <w:rFonts w:ascii="Times New Roman" w:eastAsia="Times New Roman" w:hAnsi="Times New Roman" w:cs="Times New Roman"/>
          <w:color w:val="000000" w:themeColor="text1"/>
          <w:sz w:val="24"/>
          <w:szCs w:val="24"/>
          <w:lang w:val="en-US"/>
        </w:rPr>
        <w:t>migrant status (</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03</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 xml:space="preserve">t </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2.</w:t>
      </w:r>
      <w:r>
        <w:rPr>
          <w:rFonts w:ascii="Times New Roman" w:eastAsia="Times New Roman" w:hAnsi="Times New Roman" w:cs="Times New Roman"/>
          <w:color w:val="000000" w:themeColor="text1"/>
          <w:sz w:val="24"/>
          <w:szCs w:val="24"/>
          <w:lang w:val="en-US"/>
        </w:rPr>
        <w:t>10</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33</w:t>
      </w:r>
      <w:r w:rsidRPr="008C3932">
        <w:rPr>
          <w:rFonts w:ascii="Times New Roman" w:eastAsia="Times New Roman" w:hAnsi="Times New Roman" w:cs="Times New Roman"/>
          <w:color w:val="000000" w:themeColor="text1"/>
          <w:sz w:val="24"/>
          <w:szCs w:val="24"/>
          <w:lang w:val="en-US"/>
        </w:rPr>
        <w:t xml:space="preserve">) all significantly predicted </w:t>
      </w:r>
      <w:r>
        <w:rPr>
          <w:rFonts w:ascii="Times New Roman" w:eastAsia="Times New Roman" w:hAnsi="Times New Roman" w:cs="Times New Roman"/>
          <w:color w:val="000000" w:themeColor="text1"/>
          <w:sz w:val="24"/>
          <w:szCs w:val="24"/>
          <w:lang w:val="en-US"/>
        </w:rPr>
        <w:t xml:space="preserve">more </w:t>
      </w:r>
      <w:r w:rsidRPr="008C3932">
        <w:rPr>
          <w:rFonts w:ascii="Times New Roman" w:eastAsia="Times New Roman" w:hAnsi="Times New Roman" w:cs="Times New Roman"/>
          <w:color w:val="000000" w:themeColor="text1"/>
          <w:sz w:val="24"/>
          <w:szCs w:val="24"/>
          <w:lang w:val="en-US"/>
        </w:rPr>
        <w:t xml:space="preserve">pandemic paranoia. </w:t>
      </w:r>
      <w:r>
        <w:rPr>
          <w:rFonts w:ascii="Times New Roman" w:eastAsia="Times New Roman" w:hAnsi="Times New Roman" w:cs="Times New Roman"/>
          <w:color w:val="000000" w:themeColor="text1"/>
          <w:sz w:val="24"/>
          <w:szCs w:val="24"/>
          <w:lang w:val="en-US"/>
        </w:rPr>
        <w:t xml:space="preserve">Adding the site </w:t>
      </w:r>
      <w:r w:rsidR="00C54A9C">
        <w:rPr>
          <w:rFonts w:ascii="Times New Roman" w:eastAsia="Times New Roman" w:hAnsi="Times New Roman" w:cs="Times New Roman"/>
          <w:color w:val="000000" w:themeColor="text1"/>
          <w:sz w:val="24"/>
          <w:szCs w:val="24"/>
          <w:lang w:val="en-US"/>
        </w:rPr>
        <w:t xml:space="preserve">by </w:t>
      </w:r>
      <w:r>
        <w:rPr>
          <w:rFonts w:ascii="Times New Roman" w:eastAsia="Times New Roman" w:hAnsi="Times New Roman" w:cs="Times New Roman"/>
          <w:color w:val="000000" w:themeColor="text1"/>
          <w:sz w:val="24"/>
          <w:szCs w:val="24"/>
          <w:lang w:val="en-US"/>
        </w:rPr>
        <w:t>demographic variable interaction effects (with site dummy coded and UK set to 0) in the final step significantly increased the explained variance by another 2.61% (</w:t>
      </w:r>
      <w:r w:rsidRPr="00BF75D0">
        <w:rPr>
          <w:rFonts w:ascii="Times New Roman" w:eastAsia="Times New Roman" w:hAnsi="Times New Roman" w:cs="Times New Roman"/>
          <w:i/>
          <w:color w:val="000000" w:themeColor="text1"/>
          <w:sz w:val="24"/>
          <w:szCs w:val="24"/>
          <w:lang w:val="en-US"/>
        </w:rPr>
        <w:t>R²</w:t>
      </w:r>
      <w:r>
        <w:rPr>
          <w:rFonts w:ascii="Times New Roman" w:eastAsia="Times New Roman" w:hAnsi="Times New Roman" w:cs="Times New Roman"/>
          <w:color w:val="000000" w:themeColor="text1"/>
          <w:sz w:val="24"/>
          <w:szCs w:val="24"/>
          <w:lang w:val="en-US"/>
        </w:rPr>
        <w:t xml:space="preserve">=0.524, </w:t>
      </w:r>
      <w:r w:rsidRPr="008C3932">
        <w:rPr>
          <w:rFonts w:ascii="Times New Roman" w:eastAsia="Times New Roman" w:hAnsi="Times New Roman" w:cs="Times New Roman"/>
          <w:i/>
          <w:iCs/>
          <w:color w:val="000000" w:themeColor="text1"/>
          <w:sz w:val="24"/>
          <w:szCs w:val="24"/>
          <w:lang w:val="en-US"/>
        </w:rPr>
        <w:t>F</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28</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color w:val="000000" w:themeColor="text1"/>
          <w:sz w:val="24"/>
          <w:szCs w:val="24"/>
          <w:lang w:val="en-US"/>
        </w:rPr>
        <w:t>2</w:t>
      </w:r>
      <w:r>
        <w:rPr>
          <w:rFonts w:ascii="Times New Roman" w:eastAsia="Times New Roman" w:hAnsi="Times New Roman" w:cs="Times New Roman"/>
          <w:color w:val="000000" w:themeColor="text1"/>
          <w:sz w:val="24"/>
          <w:szCs w:val="24"/>
          <w:lang w:val="en-US"/>
        </w:rPr>
        <w:t>235</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4</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38</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sidRPr="008C3932">
        <w:rPr>
          <w:rFonts w:ascii="Times New Roman" w:eastAsia="Times New Roman" w:hAnsi="Times New Roman" w:cs="Times New Roman"/>
          <w:color w:val="000000" w:themeColor="text1"/>
          <w:sz w:val="24"/>
          <w:szCs w:val="24"/>
          <w:lang w:val="en-US"/>
        </w:rPr>
        <w:t xml:space="preserve"> &lt;</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.001</w:t>
      </w:r>
      <w:r>
        <w:rPr>
          <w:rFonts w:ascii="Times New Roman" w:eastAsia="Times New Roman" w:hAnsi="Times New Roman" w:cs="Times New Roman"/>
          <w:color w:val="000000" w:themeColor="text1"/>
          <w:sz w:val="24"/>
          <w:szCs w:val="24"/>
          <w:lang w:val="en-US"/>
        </w:rPr>
        <w:t xml:space="preserve">). Significant interactions were found for the Australian site </w:t>
      </w:r>
      <w:r w:rsidR="00C54A9C">
        <w:rPr>
          <w:rFonts w:ascii="Times New Roman" w:eastAsia="Times New Roman" w:hAnsi="Times New Roman" w:cs="Times New Roman"/>
          <w:color w:val="000000" w:themeColor="text1"/>
          <w:sz w:val="24"/>
          <w:szCs w:val="24"/>
          <w:lang w:val="en-US"/>
        </w:rPr>
        <w:t xml:space="preserve">by </w:t>
      </w:r>
      <w:r>
        <w:rPr>
          <w:rFonts w:ascii="Times New Roman" w:eastAsia="Times New Roman" w:hAnsi="Times New Roman" w:cs="Times New Roman"/>
          <w:color w:val="000000" w:themeColor="text1"/>
          <w:sz w:val="24"/>
          <w:szCs w:val="24"/>
          <w:lang w:val="en-US"/>
        </w:rPr>
        <w:t xml:space="preserve">(1) income </w:t>
      </w:r>
      <w:r w:rsidRPr="008C3932">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20</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Pr>
          <w:rFonts w:ascii="Times New Roman" w:eastAsia="Times New Roman" w:hAnsi="Times New Roman" w:cs="Times New Roman"/>
          <w:color w:val="000000" w:themeColor="text1"/>
          <w:sz w:val="24"/>
          <w:szCs w:val="24"/>
          <w:lang w:val="en-US"/>
        </w:rPr>
        <w:t>=3</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92</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01</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(2) sex </w:t>
      </w:r>
      <w:r w:rsidRPr="008C3932">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0.0</w:t>
      </w:r>
      <w:r>
        <w:rPr>
          <w:rFonts w:ascii="Times New Roman" w:eastAsia="Times New Roman" w:hAnsi="Times New Roman" w:cs="Times New Roman"/>
          <w:color w:val="000000" w:themeColor="text1"/>
          <w:sz w:val="24"/>
          <w:szCs w:val="24"/>
          <w:lang w:val="en-US"/>
        </w:rPr>
        <w:t>7</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Pr>
          <w:rFonts w:ascii="Times New Roman" w:eastAsia="Times New Roman" w:hAnsi="Times New Roman" w:cs="Times New Roman"/>
          <w:color w:val="000000" w:themeColor="text1"/>
          <w:sz w:val="24"/>
          <w:szCs w:val="24"/>
          <w:lang w:val="en-US"/>
        </w:rPr>
        <w:t>=-2</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30</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22</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and (3) migrant status </w:t>
      </w:r>
      <w:r w:rsidRPr="008C3932">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i/>
          <w:iCs/>
          <w:color w:val="000000" w:themeColor="text1"/>
          <w:sz w:val="24"/>
          <w:szCs w:val="24"/>
          <w:lang w:val="en-US"/>
        </w:rPr>
        <w:t>β</w:t>
      </w:r>
      <w:r>
        <w:rPr>
          <w:rFonts w:ascii="Times New Roman" w:eastAsia="Times New Roman" w:hAnsi="Times New Roman" w:cs="Times New Roman"/>
          <w:color w:val="000000" w:themeColor="text1"/>
          <w:sz w:val="24"/>
          <w:szCs w:val="24"/>
          <w:lang w:val="en-US"/>
        </w:rPr>
        <w:t>=-</w:t>
      </w:r>
      <w:r w:rsidRPr="008C3932">
        <w:rPr>
          <w:rFonts w:ascii="Times New Roman" w:eastAsia="Times New Roman" w:hAnsi="Times New Roman" w:cs="Times New Roman"/>
          <w:color w:val="000000" w:themeColor="text1"/>
          <w:sz w:val="24"/>
          <w:szCs w:val="24"/>
          <w:lang w:val="en-US"/>
        </w:rPr>
        <w:t>0.0</w:t>
      </w:r>
      <w:r>
        <w:rPr>
          <w:rFonts w:ascii="Times New Roman" w:eastAsia="Times New Roman" w:hAnsi="Times New Roman" w:cs="Times New Roman"/>
          <w:color w:val="000000" w:themeColor="text1"/>
          <w:sz w:val="24"/>
          <w:szCs w:val="24"/>
          <w:lang w:val="en-US"/>
        </w:rPr>
        <w:t>6</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t</w:t>
      </w:r>
      <w:r>
        <w:rPr>
          <w:rFonts w:ascii="Times New Roman" w:eastAsia="Times New Roman" w:hAnsi="Times New Roman" w:cs="Times New Roman"/>
          <w:color w:val="000000" w:themeColor="text1"/>
          <w:sz w:val="24"/>
          <w:szCs w:val="24"/>
          <w:lang w:val="en-US"/>
        </w:rPr>
        <w:t>=-2</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67,</w:t>
      </w:r>
      <w:r w:rsidRPr="008C3932">
        <w:rPr>
          <w:rFonts w:ascii="Times New Roman" w:eastAsia="Times New Roman" w:hAnsi="Times New Roman" w:cs="Times New Roman"/>
          <w:color w:val="000000" w:themeColor="text1"/>
          <w:sz w:val="24"/>
          <w:szCs w:val="24"/>
          <w:lang w:val="en-US"/>
        </w:rPr>
        <w:t xml:space="preserve"> </w:t>
      </w:r>
      <w:r w:rsidRPr="008C3932">
        <w:rPr>
          <w:rFonts w:ascii="Times New Roman" w:eastAsia="Times New Roman" w:hAnsi="Times New Roman" w:cs="Times New Roman"/>
          <w:i/>
          <w:iCs/>
          <w:color w:val="000000" w:themeColor="text1"/>
          <w:sz w:val="24"/>
          <w:szCs w:val="24"/>
          <w:lang w:val="en-US"/>
        </w:rPr>
        <w:t>p</w:t>
      </w:r>
      <w:r>
        <w:rPr>
          <w:rFonts w:ascii="Times New Roman" w:eastAsia="Times New Roman" w:hAnsi="Times New Roman" w:cs="Times New Roman"/>
          <w:color w:val="000000" w:themeColor="text1"/>
          <w:sz w:val="24"/>
          <w:szCs w:val="24"/>
          <w:lang w:val="en-US"/>
        </w:rPr>
        <w:t>=0</w:t>
      </w:r>
      <w:r w:rsidRPr="008C3932">
        <w:rPr>
          <w:rFonts w:ascii="Times New Roman" w:eastAsia="Times New Roman" w:hAnsi="Times New Roman" w:cs="Times New Roman"/>
          <w:color w:val="000000" w:themeColor="text1"/>
          <w:sz w:val="24"/>
          <w:szCs w:val="24"/>
          <w:lang w:val="en-US"/>
        </w:rPr>
        <w:t>.0</w:t>
      </w:r>
      <w:r>
        <w:rPr>
          <w:rFonts w:ascii="Times New Roman" w:eastAsia="Times New Roman" w:hAnsi="Times New Roman" w:cs="Times New Roman"/>
          <w:color w:val="000000" w:themeColor="text1"/>
          <w:sz w:val="24"/>
          <w:szCs w:val="24"/>
          <w:lang w:val="en-US"/>
        </w:rPr>
        <w:t>08</w:t>
      </w:r>
      <w:r w:rsidRPr="008C393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p>
    <w:p w14:paraId="21E3BD0F" w14:textId="77777777" w:rsidR="00243DF4" w:rsidRPr="008C3932" w:rsidRDefault="00243DF4" w:rsidP="00243DF4">
      <w:pPr>
        <w:spacing w:line="360" w:lineRule="auto"/>
        <w:jc w:val="center"/>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t>Discussion</w:t>
      </w:r>
    </w:p>
    <w:p w14:paraId="38D89AA7" w14:textId="402D5D76" w:rsidR="00243DF4" w:rsidRDefault="00243DF4" w:rsidP="00243DF4">
      <w:pPr>
        <w:spacing w:line="360" w:lineRule="auto"/>
        <w:ind w:firstLine="720"/>
        <w:rPr>
          <w:rFonts w:ascii="Times New Roman" w:hAnsi="Times New Roman" w:cs="Times New Roman"/>
          <w:color w:val="000000" w:themeColor="text1"/>
          <w:sz w:val="24"/>
          <w:szCs w:val="24"/>
        </w:rPr>
      </w:pPr>
      <w:r w:rsidRPr="008C3932">
        <w:rPr>
          <w:rFonts w:ascii="Times New Roman" w:hAnsi="Times New Roman" w:cs="Times New Roman"/>
          <w:color w:val="000000" w:themeColor="text1"/>
          <w:sz w:val="24"/>
          <w:szCs w:val="24"/>
        </w:rPr>
        <w:t>This study examined the international prevalence and sociodemographic profile of pandemic paranoia in</w:t>
      </w:r>
      <w:r>
        <w:rPr>
          <w:rFonts w:ascii="Times New Roman" w:hAnsi="Times New Roman" w:cs="Times New Roman"/>
          <w:color w:val="000000" w:themeColor="text1"/>
          <w:sz w:val="24"/>
          <w:szCs w:val="24"/>
        </w:rPr>
        <w:t xml:space="preserve"> a large representative sample of</w:t>
      </w:r>
      <w:r w:rsidRPr="008C39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general population in </w:t>
      </w:r>
      <w:r w:rsidRPr="008C3932">
        <w:rPr>
          <w:rFonts w:ascii="Times New Roman" w:hAnsi="Times New Roman" w:cs="Times New Roman"/>
          <w:color w:val="000000" w:themeColor="text1"/>
          <w:sz w:val="24"/>
          <w:szCs w:val="24"/>
        </w:rPr>
        <w:t xml:space="preserve">five international sites.  </w:t>
      </w:r>
      <w:r w:rsidRPr="008C3932">
        <w:rPr>
          <w:rFonts w:ascii="Times New Roman" w:eastAsia="Calibri" w:hAnsi="Times New Roman" w:cs="Times New Roman"/>
          <w:color w:val="000000" w:themeColor="text1"/>
          <w:sz w:val="24"/>
          <w:szCs w:val="24"/>
        </w:rPr>
        <w:t xml:space="preserve">Across the </w:t>
      </w:r>
      <w:r>
        <w:rPr>
          <w:rFonts w:ascii="Times New Roman" w:eastAsia="Calibri" w:hAnsi="Times New Roman" w:cs="Times New Roman"/>
          <w:color w:val="000000" w:themeColor="text1"/>
          <w:sz w:val="24"/>
          <w:szCs w:val="24"/>
        </w:rPr>
        <w:t>total</w:t>
      </w:r>
      <w:r w:rsidRPr="008C3932">
        <w:rPr>
          <w:rFonts w:ascii="Times New Roman" w:eastAsia="Calibri" w:hAnsi="Times New Roman" w:cs="Times New Roman"/>
          <w:color w:val="000000" w:themeColor="text1"/>
          <w:sz w:val="24"/>
          <w:szCs w:val="24"/>
        </w:rPr>
        <w:t xml:space="preserve"> sample, </w:t>
      </w:r>
      <w:r>
        <w:rPr>
          <w:rFonts w:ascii="Times New Roman" w:eastAsia="Calibri" w:hAnsi="Times New Roman" w:cs="Times New Roman"/>
          <w:color w:val="000000" w:themeColor="text1"/>
          <w:sz w:val="24"/>
          <w:szCs w:val="24"/>
        </w:rPr>
        <w:t>pandemic paranoia was relatively common, with an overall</w:t>
      </w:r>
      <w:r w:rsidRPr="008C3932">
        <w:rPr>
          <w:rFonts w:ascii="Times New Roman" w:eastAsia="Calibri" w:hAnsi="Times New Roman" w:cs="Times New Roman"/>
          <w:color w:val="000000" w:themeColor="text1"/>
          <w:sz w:val="24"/>
          <w:szCs w:val="24"/>
        </w:rPr>
        <w:t xml:space="preserve"> preval</w:t>
      </w:r>
      <w:r>
        <w:rPr>
          <w:rFonts w:ascii="Times New Roman" w:eastAsia="Calibri" w:hAnsi="Times New Roman" w:cs="Times New Roman"/>
          <w:color w:val="000000" w:themeColor="text1"/>
          <w:sz w:val="24"/>
          <w:szCs w:val="24"/>
        </w:rPr>
        <w:t>ence rate of</w:t>
      </w:r>
      <w:r w:rsidRPr="008C3932">
        <w:rPr>
          <w:rFonts w:ascii="Times New Roman" w:eastAsia="Calibri" w:hAnsi="Times New Roman" w:cs="Times New Roman"/>
          <w:color w:val="000000" w:themeColor="text1"/>
          <w:sz w:val="24"/>
          <w:szCs w:val="24"/>
        </w:rPr>
        <w:t xml:space="preserve"> 19%. </w:t>
      </w:r>
      <w:r>
        <w:rPr>
          <w:rFonts w:ascii="Times New Roman" w:eastAsia="Calibri" w:hAnsi="Times New Roman" w:cs="Times New Roman"/>
          <w:color w:val="000000" w:themeColor="text1"/>
          <w:sz w:val="24"/>
          <w:szCs w:val="24"/>
        </w:rPr>
        <w:t xml:space="preserve"> For the </w:t>
      </w:r>
      <w:r w:rsidRPr="008C3932">
        <w:rPr>
          <w:rFonts w:ascii="Times New Roman" w:eastAsia="Calibri" w:hAnsi="Times New Roman" w:cs="Times New Roman"/>
          <w:color w:val="000000" w:themeColor="text1"/>
          <w:sz w:val="24"/>
          <w:szCs w:val="24"/>
        </w:rPr>
        <w:t>PPS</w:t>
      </w:r>
      <w:r>
        <w:rPr>
          <w:rFonts w:ascii="Times New Roman" w:eastAsia="Calibri" w:hAnsi="Times New Roman" w:cs="Times New Roman"/>
          <w:color w:val="000000" w:themeColor="text1"/>
          <w:sz w:val="24"/>
          <w:szCs w:val="24"/>
        </w:rPr>
        <w:t xml:space="preserve"> subscales,</w:t>
      </w:r>
      <w:r w:rsidRPr="008C3932">
        <w:rPr>
          <w:rFonts w:ascii="Times New Roman" w:eastAsia="Calibri" w:hAnsi="Times New Roman" w:cs="Times New Roman"/>
          <w:color w:val="000000" w:themeColor="text1"/>
          <w:sz w:val="24"/>
          <w:szCs w:val="24"/>
        </w:rPr>
        <w:t xml:space="preserve"> prevalence was 11% for persecutory threat, 29% for paranoid conspiracy and</w:t>
      </w:r>
      <w:r>
        <w:rPr>
          <w:rFonts w:ascii="Times New Roman" w:eastAsia="Calibri" w:hAnsi="Times New Roman" w:cs="Times New Roman"/>
          <w:color w:val="000000" w:themeColor="text1"/>
          <w:sz w:val="24"/>
          <w:szCs w:val="24"/>
        </w:rPr>
        <w:t xml:space="preserve"> 37% for interpersonal mistrust.  These findings suggest that interpersonal mistrust was the most common, and persecutory threat was the least common facet of pandemic paranoia.  Prevalence rates of pandemic paranoia, particularly the interpersonal mistrust facet, are also</w:t>
      </w:r>
      <w:r w:rsidRPr="008C3932">
        <w:rPr>
          <w:rFonts w:ascii="Times New Roman" w:eastAsia="Calibri" w:hAnsi="Times New Roman" w:cs="Times New Roman"/>
          <w:color w:val="000000" w:themeColor="text1"/>
          <w:sz w:val="24"/>
          <w:szCs w:val="24"/>
        </w:rPr>
        <w:t xml:space="preserve"> broadly consistent with </w:t>
      </w:r>
      <w:r>
        <w:rPr>
          <w:rFonts w:ascii="Times New Roman" w:eastAsia="Calibri" w:hAnsi="Times New Roman" w:cs="Times New Roman"/>
          <w:color w:val="000000" w:themeColor="text1"/>
          <w:sz w:val="24"/>
          <w:szCs w:val="24"/>
        </w:rPr>
        <w:t>recent meta-analytic findings</w:t>
      </w:r>
      <w:r w:rsidRPr="008C3932">
        <w:rPr>
          <w:rFonts w:ascii="Times New Roman" w:eastAsia="Calibri" w:hAnsi="Times New Roman" w:cs="Times New Roman"/>
          <w:color w:val="000000" w:themeColor="text1"/>
          <w:sz w:val="24"/>
          <w:szCs w:val="24"/>
        </w:rPr>
        <w:t xml:space="preserve"> of the prevalence of other mental health indices</w:t>
      </w:r>
      <w:r>
        <w:rPr>
          <w:rFonts w:ascii="Times New Roman" w:eastAsia="Calibri" w:hAnsi="Times New Roman" w:cs="Times New Roman"/>
          <w:color w:val="000000" w:themeColor="text1"/>
          <w:sz w:val="24"/>
          <w:szCs w:val="24"/>
        </w:rPr>
        <w:t xml:space="preserve"> during the COVID-19 pandemic</w:t>
      </w:r>
      <w:r w:rsidRPr="008C3932">
        <w:rPr>
          <w:rFonts w:ascii="Times New Roman" w:eastAsia="Calibri" w:hAnsi="Times New Roman" w:cs="Times New Roman"/>
          <w:color w:val="000000" w:themeColor="text1"/>
          <w:sz w:val="24"/>
          <w:szCs w:val="24"/>
        </w:rPr>
        <w:t xml:space="preserve">, including </w:t>
      </w:r>
      <w:r w:rsidRPr="008C3932">
        <w:rPr>
          <w:rFonts w:ascii="Times New Roman" w:hAnsi="Times New Roman" w:cs="Times New Roman"/>
          <w:color w:val="000000" w:themeColor="text1"/>
          <w:sz w:val="24"/>
          <w:szCs w:val="24"/>
        </w:rPr>
        <w:t>anxiety (31.9%) and depression (33.7%)</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Salari</w:t>
      </w:r>
      <w:proofErr w:type="spellEnd"/>
      <w:r>
        <w:rPr>
          <w:rFonts w:ascii="Times New Roman" w:hAnsi="Times New Roman" w:cs="Times New Roman"/>
          <w:color w:val="000000" w:themeColor="text1"/>
          <w:sz w:val="24"/>
          <w:szCs w:val="24"/>
        </w:rPr>
        <w:t xml:space="preserve"> et al., 2020).</w:t>
      </w:r>
      <w:r w:rsidRPr="008C3932">
        <w:rPr>
          <w:rFonts w:ascii="Times New Roman" w:hAnsi="Times New Roman" w:cs="Times New Roman"/>
          <w:color w:val="000000" w:themeColor="text1"/>
          <w:sz w:val="24"/>
          <w:szCs w:val="24"/>
        </w:rPr>
        <w:t xml:space="preserve"> Longitudinal data are </w:t>
      </w:r>
      <w:r>
        <w:rPr>
          <w:rFonts w:ascii="Times New Roman" w:hAnsi="Times New Roman" w:cs="Times New Roman"/>
          <w:color w:val="000000" w:themeColor="text1"/>
          <w:sz w:val="24"/>
          <w:szCs w:val="24"/>
        </w:rPr>
        <w:t xml:space="preserve">now </w:t>
      </w:r>
      <w:r w:rsidRPr="008C3932">
        <w:rPr>
          <w:rFonts w:ascii="Times New Roman" w:hAnsi="Times New Roman" w:cs="Times New Roman"/>
          <w:color w:val="000000" w:themeColor="text1"/>
          <w:sz w:val="24"/>
          <w:szCs w:val="24"/>
        </w:rPr>
        <w:t>needed t</w:t>
      </w:r>
      <w:r>
        <w:rPr>
          <w:rFonts w:ascii="Times New Roman" w:hAnsi="Times New Roman" w:cs="Times New Roman"/>
          <w:color w:val="000000" w:themeColor="text1"/>
          <w:sz w:val="24"/>
          <w:szCs w:val="24"/>
        </w:rPr>
        <w:t xml:space="preserve">o track the prevalence of pandemic paranoia over time and determine whether it </w:t>
      </w:r>
      <w:r w:rsidRPr="008C3932">
        <w:rPr>
          <w:rFonts w:ascii="Times New Roman" w:hAnsi="Times New Roman" w:cs="Times New Roman"/>
          <w:color w:val="000000" w:themeColor="text1"/>
          <w:sz w:val="24"/>
          <w:szCs w:val="24"/>
        </w:rPr>
        <w:t xml:space="preserve">is stable </w:t>
      </w:r>
      <w:r>
        <w:rPr>
          <w:rFonts w:ascii="Times New Roman" w:hAnsi="Times New Roman" w:cs="Times New Roman"/>
          <w:color w:val="000000" w:themeColor="text1"/>
          <w:sz w:val="24"/>
          <w:szCs w:val="24"/>
        </w:rPr>
        <w:t>and/or</w:t>
      </w:r>
      <w:r w:rsidRPr="008C3932">
        <w:rPr>
          <w:rFonts w:ascii="Times New Roman" w:hAnsi="Times New Roman" w:cs="Times New Roman"/>
          <w:color w:val="000000" w:themeColor="text1"/>
          <w:sz w:val="24"/>
          <w:szCs w:val="24"/>
        </w:rPr>
        <w:t xml:space="preserve"> clinically significant.  </w:t>
      </w:r>
    </w:p>
    <w:p w14:paraId="68B1C6F7" w14:textId="4D33F495" w:rsidR="00243DF4" w:rsidRPr="003D5362" w:rsidRDefault="00243DF4" w:rsidP="003D5362">
      <w:pPr>
        <w:pStyle w:val="PlainText"/>
        <w:spacing w:line="360" w:lineRule="auto"/>
        <w:ind w:firstLine="720"/>
        <w:rPr>
          <w:rFonts w:ascii="Times New Roman" w:hAnsi="Times New Roman" w:cs="Times New Roman"/>
          <w:sz w:val="24"/>
          <w:szCs w:val="24"/>
        </w:rPr>
      </w:pPr>
      <w:r w:rsidRPr="008C3932">
        <w:rPr>
          <w:rFonts w:ascii="Times New Roman" w:eastAsia="Calibri" w:hAnsi="Times New Roman" w:cs="Times New Roman"/>
          <w:color w:val="000000" w:themeColor="text1"/>
          <w:sz w:val="24"/>
          <w:szCs w:val="24"/>
        </w:rPr>
        <w:lastRenderedPageBreak/>
        <w:t>Some interesting differences</w:t>
      </w:r>
      <w:r>
        <w:rPr>
          <w:rFonts w:ascii="Times New Roman" w:eastAsia="Calibri" w:hAnsi="Times New Roman" w:cs="Times New Roman"/>
          <w:color w:val="000000" w:themeColor="text1"/>
          <w:sz w:val="24"/>
          <w:szCs w:val="24"/>
        </w:rPr>
        <w:t xml:space="preserve"> in the prevalence of pandemic paranoia between the five international sites also</w:t>
      </w:r>
      <w:r w:rsidRPr="008C3932">
        <w:rPr>
          <w:rFonts w:ascii="Times New Roman" w:eastAsia="Calibri" w:hAnsi="Times New Roman" w:cs="Times New Roman"/>
          <w:color w:val="000000" w:themeColor="text1"/>
          <w:sz w:val="24"/>
          <w:szCs w:val="24"/>
        </w:rPr>
        <w:t xml:space="preserve"> emerged.  Notably, Australia had the highest </w:t>
      </w:r>
      <w:r>
        <w:rPr>
          <w:rFonts w:ascii="Times New Roman" w:eastAsia="Calibri" w:hAnsi="Times New Roman" w:cs="Times New Roman"/>
          <w:color w:val="000000" w:themeColor="text1"/>
          <w:sz w:val="24"/>
          <w:szCs w:val="24"/>
        </w:rPr>
        <w:t xml:space="preserve">overall </w:t>
      </w:r>
      <w:r w:rsidRPr="008C3932">
        <w:rPr>
          <w:rFonts w:ascii="Times New Roman" w:eastAsia="Calibri" w:hAnsi="Times New Roman" w:cs="Times New Roman"/>
          <w:color w:val="000000" w:themeColor="text1"/>
          <w:sz w:val="24"/>
          <w:szCs w:val="24"/>
        </w:rPr>
        <w:t xml:space="preserve">prevalence </w:t>
      </w:r>
      <w:r>
        <w:rPr>
          <w:rFonts w:ascii="Times New Roman" w:eastAsia="Calibri" w:hAnsi="Times New Roman" w:cs="Times New Roman"/>
          <w:color w:val="000000" w:themeColor="text1"/>
          <w:sz w:val="24"/>
          <w:szCs w:val="24"/>
        </w:rPr>
        <w:t xml:space="preserve">of pandemic paranoia, and </w:t>
      </w:r>
      <w:r w:rsidRPr="008C3932">
        <w:rPr>
          <w:rFonts w:ascii="Times New Roman" w:eastAsia="Calibri" w:hAnsi="Times New Roman" w:cs="Times New Roman"/>
          <w:color w:val="000000" w:themeColor="text1"/>
          <w:sz w:val="24"/>
          <w:szCs w:val="24"/>
        </w:rPr>
        <w:t xml:space="preserve">Germany </w:t>
      </w:r>
      <w:r>
        <w:rPr>
          <w:rFonts w:ascii="Times New Roman" w:eastAsia="Calibri" w:hAnsi="Times New Roman" w:cs="Times New Roman"/>
          <w:color w:val="000000" w:themeColor="text1"/>
          <w:sz w:val="24"/>
          <w:szCs w:val="24"/>
        </w:rPr>
        <w:t>reported</w:t>
      </w:r>
      <w:r w:rsidRPr="008C3932">
        <w:rPr>
          <w:rFonts w:ascii="Times New Roman" w:eastAsia="Calibri" w:hAnsi="Times New Roman" w:cs="Times New Roman"/>
          <w:color w:val="000000" w:themeColor="text1"/>
          <w:sz w:val="24"/>
          <w:szCs w:val="24"/>
        </w:rPr>
        <w:t xml:space="preserve"> the lowest prevalence.  </w:t>
      </w:r>
      <w:r>
        <w:rPr>
          <w:rFonts w:ascii="Times New Roman" w:eastAsia="Calibri" w:hAnsi="Times New Roman" w:cs="Times New Roman"/>
          <w:color w:val="000000" w:themeColor="text1"/>
          <w:sz w:val="24"/>
          <w:szCs w:val="24"/>
        </w:rPr>
        <w:t xml:space="preserve">In relation to the individual PPS subscales: </w:t>
      </w:r>
      <w:r w:rsidRPr="008C3932">
        <w:rPr>
          <w:rFonts w:ascii="Times New Roman" w:eastAsia="Calibri" w:hAnsi="Times New Roman" w:cs="Times New Roman"/>
          <w:color w:val="000000" w:themeColor="text1"/>
          <w:sz w:val="24"/>
          <w:szCs w:val="24"/>
        </w:rPr>
        <w:t xml:space="preserve">the UK </w:t>
      </w:r>
      <w:r>
        <w:rPr>
          <w:rFonts w:ascii="Times New Roman" w:eastAsia="Calibri" w:hAnsi="Times New Roman" w:cs="Times New Roman"/>
          <w:color w:val="000000" w:themeColor="text1"/>
          <w:sz w:val="24"/>
          <w:szCs w:val="24"/>
        </w:rPr>
        <w:t xml:space="preserve">had the lowest levels of persecutory threat; the UK, USA and Germany had significantly lower levels of paranoid conspiracy compared with Australia and Hong Kong; and Germany had the lowest level of interpersonal mistrust.  </w:t>
      </w:r>
      <w:r w:rsidRPr="008C3932">
        <w:rPr>
          <w:rFonts w:ascii="Times New Roman" w:eastAsia="Calibri" w:hAnsi="Times New Roman" w:cs="Times New Roman"/>
          <w:color w:val="000000" w:themeColor="text1"/>
          <w:sz w:val="24"/>
          <w:szCs w:val="24"/>
        </w:rPr>
        <w:t>Although it is not possible to draw any definitive conclusions regarding causal effects of these site</w:t>
      </w:r>
      <w:r>
        <w:rPr>
          <w:rFonts w:ascii="Times New Roman" w:eastAsia="Calibri" w:hAnsi="Times New Roman" w:cs="Times New Roman"/>
          <w:color w:val="000000" w:themeColor="text1"/>
          <w:sz w:val="24"/>
          <w:szCs w:val="24"/>
        </w:rPr>
        <w:t xml:space="preserve"> level</w:t>
      </w:r>
      <w:r w:rsidRPr="008C3932">
        <w:rPr>
          <w:rFonts w:ascii="Times New Roman" w:eastAsia="Calibri" w:hAnsi="Times New Roman" w:cs="Times New Roman"/>
          <w:color w:val="000000" w:themeColor="text1"/>
          <w:sz w:val="24"/>
          <w:szCs w:val="24"/>
        </w:rPr>
        <w:t xml:space="preserve"> differences in prevalence, we ca</w:t>
      </w:r>
      <w:r>
        <w:rPr>
          <w:rFonts w:ascii="Times New Roman" w:eastAsia="Calibri" w:hAnsi="Times New Roman" w:cs="Times New Roman"/>
          <w:color w:val="000000" w:themeColor="text1"/>
          <w:sz w:val="24"/>
          <w:szCs w:val="24"/>
        </w:rPr>
        <w:t>n explore some possible explanations.  First, w</w:t>
      </w:r>
      <w:r w:rsidRPr="008C3932">
        <w:rPr>
          <w:rFonts w:ascii="Times New Roman" w:eastAsia="Calibri" w:hAnsi="Times New Roman" w:cs="Times New Roman"/>
          <w:color w:val="000000" w:themeColor="text1"/>
          <w:sz w:val="24"/>
          <w:szCs w:val="24"/>
        </w:rPr>
        <w:t xml:space="preserve">e considered </w:t>
      </w:r>
      <w:r>
        <w:rPr>
          <w:rFonts w:ascii="Times New Roman" w:eastAsia="Calibri" w:hAnsi="Times New Roman" w:cs="Times New Roman"/>
          <w:color w:val="000000" w:themeColor="text1"/>
          <w:sz w:val="24"/>
          <w:szCs w:val="24"/>
        </w:rPr>
        <w:t xml:space="preserve">whether </w:t>
      </w:r>
      <w:r w:rsidRPr="008C3932">
        <w:rPr>
          <w:rFonts w:ascii="Times New Roman" w:eastAsia="Calibri" w:hAnsi="Times New Roman" w:cs="Times New Roman"/>
          <w:color w:val="000000" w:themeColor="text1"/>
          <w:sz w:val="24"/>
          <w:szCs w:val="24"/>
        </w:rPr>
        <w:t xml:space="preserve">the incidence of COVID-19 cases in the </w:t>
      </w:r>
      <w:r>
        <w:rPr>
          <w:rFonts w:ascii="Times New Roman" w:eastAsia="Calibri" w:hAnsi="Times New Roman" w:cs="Times New Roman"/>
          <w:color w:val="000000" w:themeColor="text1"/>
          <w:sz w:val="24"/>
          <w:szCs w:val="24"/>
        </w:rPr>
        <w:t xml:space="preserve">five </w:t>
      </w:r>
      <w:r w:rsidRPr="008C3932">
        <w:rPr>
          <w:rFonts w:ascii="Times New Roman" w:eastAsia="Calibri" w:hAnsi="Times New Roman" w:cs="Times New Roman"/>
          <w:color w:val="000000" w:themeColor="text1"/>
          <w:sz w:val="24"/>
          <w:szCs w:val="24"/>
        </w:rPr>
        <w:t>sites at the time of data collection</w:t>
      </w:r>
      <w:r>
        <w:rPr>
          <w:rFonts w:ascii="Times New Roman" w:eastAsia="Calibri" w:hAnsi="Times New Roman" w:cs="Times New Roman"/>
          <w:color w:val="000000" w:themeColor="text1"/>
          <w:sz w:val="24"/>
          <w:szCs w:val="24"/>
        </w:rPr>
        <w:t xml:space="preserve"> may have impacted on our findings.  However, as </w:t>
      </w:r>
      <w:r w:rsidRPr="008C3932">
        <w:rPr>
          <w:rFonts w:ascii="Times New Roman" w:eastAsia="Calibri" w:hAnsi="Times New Roman" w:cs="Times New Roman"/>
          <w:color w:val="000000" w:themeColor="text1"/>
          <w:sz w:val="24"/>
          <w:szCs w:val="24"/>
        </w:rPr>
        <w:t>the cumulative confirmed case count was second lowest in Australia (28,823)</w:t>
      </w:r>
      <w:r>
        <w:rPr>
          <w:rFonts w:ascii="Times New Roman" w:eastAsia="Calibri" w:hAnsi="Times New Roman" w:cs="Times New Roman"/>
          <w:color w:val="000000" w:themeColor="text1"/>
          <w:sz w:val="24"/>
          <w:szCs w:val="24"/>
        </w:rPr>
        <w:t xml:space="preserve"> (</w:t>
      </w:r>
      <w:r w:rsidR="00AC3EC7">
        <w:rPr>
          <w:rFonts w:ascii="Times New Roman" w:eastAsia="Calibri" w:hAnsi="Times New Roman" w:cs="Times New Roman"/>
          <w:color w:val="000000" w:themeColor="text1"/>
          <w:sz w:val="24"/>
          <w:szCs w:val="24"/>
        </w:rPr>
        <w:t xml:space="preserve">John Hopkins University, 2020; </w:t>
      </w:r>
      <w:proofErr w:type="spellStart"/>
      <w:r>
        <w:rPr>
          <w:rFonts w:ascii="Times New Roman" w:eastAsia="Calibri" w:hAnsi="Times New Roman" w:cs="Times New Roman"/>
          <w:color w:val="000000" w:themeColor="text1"/>
          <w:sz w:val="24"/>
          <w:szCs w:val="24"/>
        </w:rPr>
        <w:t>R</w:t>
      </w:r>
      <w:r w:rsidR="00DA32BB">
        <w:rPr>
          <w:rFonts w:ascii="Times New Roman" w:eastAsia="Calibri" w:hAnsi="Times New Roman" w:cs="Times New Roman"/>
          <w:color w:val="000000" w:themeColor="text1"/>
          <w:sz w:val="24"/>
          <w:szCs w:val="24"/>
        </w:rPr>
        <w:t>oser</w:t>
      </w:r>
      <w:proofErr w:type="spellEnd"/>
      <w:r>
        <w:rPr>
          <w:rFonts w:ascii="Times New Roman" w:eastAsia="Calibri" w:hAnsi="Times New Roman" w:cs="Times New Roman"/>
          <w:color w:val="000000" w:themeColor="text1"/>
          <w:sz w:val="24"/>
          <w:szCs w:val="24"/>
        </w:rPr>
        <w:t xml:space="preserve"> et al., 2020)</w:t>
      </w:r>
      <w:r w:rsidRPr="008C3932">
        <w:rPr>
          <w:rFonts w:ascii="Times New Roman" w:eastAsia="Calibri" w:hAnsi="Times New Roman" w:cs="Times New Roman"/>
          <w:color w:val="000000" w:themeColor="text1"/>
          <w:sz w:val="24"/>
          <w:szCs w:val="24"/>
        </w:rPr>
        <w:t xml:space="preserve">, </w:t>
      </w:r>
      <w:r w:rsidR="00030E41">
        <w:rPr>
          <w:rFonts w:ascii="Times New Roman" w:eastAsia="Calibri" w:hAnsi="Times New Roman" w:cs="Times New Roman"/>
          <w:color w:val="000000" w:themeColor="text1"/>
          <w:sz w:val="24"/>
          <w:szCs w:val="24"/>
        </w:rPr>
        <w:t>and</w:t>
      </w:r>
      <w:r w:rsidRPr="008C3932">
        <w:rPr>
          <w:rFonts w:ascii="Times New Roman" w:eastAsia="Calibri" w:hAnsi="Times New Roman" w:cs="Times New Roman"/>
          <w:color w:val="000000" w:themeColor="text1"/>
          <w:sz w:val="24"/>
          <w:szCs w:val="24"/>
        </w:rPr>
        <w:t xml:space="preserve"> pandemic paranoia was highest in this site</w:t>
      </w:r>
      <w:r>
        <w:rPr>
          <w:rFonts w:ascii="Times New Roman" w:eastAsia="Calibri" w:hAnsi="Times New Roman" w:cs="Times New Roman"/>
          <w:color w:val="000000" w:themeColor="text1"/>
          <w:sz w:val="24"/>
          <w:szCs w:val="24"/>
        </w:rPr>
        <w:t>, this explanation seems unlikely</w:t>
      </w:r>
      <w:r w:rsidRPr="008C3932">
        <w:rPr>
          <w:rFonts w:ascii="Times New Roman" w:eastAsia="Calibri" w:hAnsi="Times New Roman" w:cs="Times New Roman"/>
          <w:color w:val="000000" w:themeColor="text1"/>
          <w:sz w:val="24"/>
          <w:szCs w:val="24"/>
        </w:rPr>
        <w:t xml:space="preserve">.  </w:t>
      </w:r>
      <w:r w:rsidR="00834439">
        <w:rPr>
          <w:rFonts w:ascii="Times New Roman" w:eastAsia="Calibri" w:hAnsi="Times New Roman" w:cs="Times New Roman"/>
          <w:color w:val="000000" w:themeColor="text1"/>
          <w:sz w:val="24"/>
          <w:szCs w:val="24"/>
        </w:rPr>
        <w:t xml:space="preserve">Second, </w:t>
      </w:r>
      <w:r>
        <w:rPr>
          <w:rFonts w:ascii="Times New Roman" w:eastAsia="Calibri" w:hAnsi="Times New Roman" w:cs="Times New Roman"/>
          <w:color w:val="000000" w:themeColor="text1"/>
          <w:sz w:val="24"/>
          <w:szCs w:val="24"/>
        </w:rPr>
        <w:t>o</w:t>
      </w:r>
      <w:r w:rsidRPr="008C3932">
        <w:rPr>
          <w:rFonts w:ascii="Times New Roman" w:eastAsia="Calibri" w:hAnsi="Times New Roman" w:cs="Times New Roman"/>
          <w:color w:val="000000" w:themeColor="text1"/>
          <w:sz w:val="24"/>
          <w:szCs w:val="24"/>
        </w:rPr>
        <w:t>ther pandemic-specific contextual factors may also potentially be relevant, such as different social distancing and lockdown rules across sites</w:t>
      </w:r>
      <w:r>
        <w:rPr>
          <w:rFonts w:ascii="Times New Roman" w:eastAsia="Calibri" w:hAnsi="Times New Roman" w:cs="Times New Roman"/>
          <w:color w:val="000000" w:themeColor="text1"/>
          <w:sz w:val="24"/>
          <w:szCs w:val="24"/>
        </w:rPr>
        <w:t>, as well as potential differences in availability of vaccines</w:t>
      </w:r>
      <w:r w:rsidRPr="008C3932">
        <w:rPr>
          <w:rFonts w:ascii="Times New Roman" w:eastAsia="Calibri" w:hAnsi="Times New Roman" w:cs="Times New Roman"/>
          <w:color w:val="000000" w:themeColor="text1"/>
          <w:sz w:val="24"/>
          <w:szCs w:val="24"/>
        </w:rPr>
        <w:t xml:space="preserve"> during </w:t>
      </w:r>
      <w:r>
        <w:rPr>
          <w:rFonts w:ascii="Times New Roman" w:eastAsia="Calibri" w:hAnsi="Times New Roman" w:cs="Times New Roman"/>
          <w:color w:val="000000" w:themeColor="text1"/>
          <w:sz w:val="24"/>
          <w:szCs w:val="24"/>
        </w:rPr>
        <w:t xml:space="preserve">data collection.  </w:t>
      </w:r>
      <w:r w:rsidR="004B6AE7">
        <w:rPr>
          <w:rFonts w:ascii="Times New Roman" w:eastAsia="Calibri" w:hAnsi="Times New Roman" w:cs="Times New Roman"/>
          <w:color w:val="000000" w:themeColor="text1"/>
          <w:sz w:val="24"/>
          <w:szCs w:val="24"/>
        </w:rPr>
        <w:t xml:space="preserve">For example, </w:t>
      </w:r>
      <w:r w:rsidR="00783E2D">
        <w:rPr>
          <w:rFonts w:ascii="Times New Roman" w:eastAsia="Calibri" w:hAnsi="Times New Roman" w:cs="Times New Roman"/>
          <w:color w:val="000000" w:themeColor="text1"/>
          <w:sz w:val="24"/>
          <w:szCs w:val="24"/>
        </w:rPr>
        <w:t>the ex</w:t>
      </w:r>
      <w:r w:rsidR="00783E2D" w:rsidRPr="00E7464D">
        <w:rPr>
          <w:rFonts w:ascii="Times New Roman" w:eastAsia="Calibri" w:hAnsi="Times New Roman" w:cs="Times New Roman"/>
          <w:color w:val="000000" w:themeColor="text1"/>
          <w:sz w:val="24"/>
          <w:szCs w:val="24"/>
        </w:rPr>
        <w:t xml:space="preserve">tensive lockdown in Australia </w:t>
      </w:r>
      <w:r w:rsidR="00122129" w:rsidRPr="00E7464D">
        <w:rPr>
          <w:rFonts w:ascii="Times New Roman" w:eastAsia="Calibri" w:hAnsi="Times New Roman" w:cs="Times New Roman"/>
          <w:color w:val="000000" w:themeColor="text1"/>
          <w:sz w:val="24"/>
          <w:szCs w:val="24"/>
        </w:rPr>
        <w:t xml:space="preserve">could explain </w:t>
      </w:r>
      <w:r w:rsidR="0023133C" w:rsidRPr="00E7464D">
        <w:rPr>
          <w:rFonts w:ascii="Times New Roman" w:eastAsia="Calibri" w:hAnsi="Times New Roman" w:cs="Times New Roman"/>
          <w:color w:val="000000" w:themeColor="text1"/>
          <w:sz w:val="24"/>
          <w:szCs w:val="24"/>
        </w:rPr>
        <w:t xml:space="preserve">the high rate of pandemic paranoia found.  Additionally, </w:t>
      </w:r>
      <w:r w:rsidR="00E7464D" w:rsidRPr="00E7464D">
        <w:rPr>
          <w:rFonts w:ascii="Times New Roman" w:hAnsi="Times New Roman" w:cs="Times New Roman"/>
          <w:sz w:val="24"/>
          <w:szCs w:val="24"/>
        </w:rPr>
        <w:t>in the U.S.</w:t>
      </w:r>
      <w:r w:rsidR="0040174A">
        <w:rPr>
          <w:rFonts w:ascii="Times New Roman" w:hAnsi="Times New Roman" w:cs="Times New Roman"/>
          <w:sz w:val="24"/>
          <w:szCs w:val="24"/>
        </w:rPr>
        <w:t>,</w:t>
      </w:r>
      <w:r w:rsidR="00E7464D" w:rsidRPr="00E7464D">
        <w:rPr>
          <w:rFonts w:ascii="Times New Roman" w:hAnsi="Times New Roman" w:cs="Times New Roman"/>
          <w:sz w:val="24"/>
          <w:szCs w:val="24"/>
        </w:rPr>
        <w:t xml:space="preserve"> lockdown rules and mask-wearing practices differed significantly between states/regions</w:t>
      </w:r>
      <w:r w:rsidR="002B4C7D">
        <w:rPr>
          <w:rFonts w:ascii="Times New Roman" w:hAnsi="Times New Roman" w:cs="Times New Roman"/>
          <w:sz w:val="24"/>
          <w:szCs w:val="24"/>
        </w:rPr>
        <w:t xml:space="preserve">, </w:t>
      </w:r>
      <w:r w:rsidR="008858B3">
        <w:rPr>
          <w:rFonts w:ascii="Times New Roman" w:hAnsi="Times New Roman" w:cs="Times New Roman"/>
          <w:sz w:val="24"/>
          <w:szCs w:val="24"/>
        </w:rPr>
        <w:t xml:space="preserve">such that there could also have been within-site differences in paranoid experiences and pandemic paranoia.  </w:t>
      </w:r>
      <w:r w:rsidR="008747A9">
        <w:rPr>
          <w:rFonts w:ascii="Times New Roman" w:eastAsia="Calibri" w:hAnsi="Times New Roman" w:cs="Times New Roman"/>
          <w:color w:val="000000" w:themeColor="text1"/>
          <w:sz w:val="24"/>
          <w:szCs w:val="24"/>
        </w:rPr>
        <w:t>Furthermore</w:t>
      </w:r>
      <w:r w:rsidRPr="008C3932">
        <w:rPr>
          <w:rFonts w:ascii="Times New Roman" w:eastAsia="Calibri" w:hAnsi="Times New Roman" w:cs="Times New Roman"/>
          <w:color w:val="000000" w:themeColor="text1"/>
          <w:sz w:val="24"/>
          <w:szCs w:val="24"/>
        </w:rPr>
        <w:t>, cross-cultural factors could also account for site-level differences in prevalence, though they were not measured in the current study.</w:t>
      </w:r>
      <w:r>
        <w:rPr>
          <w:rFonts w:ascii="Times New Roman" w:eastAsia="Calibri" w:hAnsi="Times New Roman" w:cs="Times New Roman"/>
          <w:color w:val="000000" w:themeColor="text1"/>
          <w:sz w:val="24"/>
          <w:szCs w:val="24"/>
        </w:rPr>
        <w:t xml:space="preserve">  It will therefore be important in future research to establish the causal mechanisms of pandemic paranoia.   </w:t>
      </w:r>
    </w:p>
    <w:p w14:paraId="072AEAD2" w14:textId="26778B2A" w:rsidR="00243DF4" w:rsidRPr="002E2E85" w:rsidRDefault="00243DF4" w:rsidP="002E2E85">
      <w:pPr>
        <w:spacing w:line="360" w:lineRule="auto"/>
        <w:ind w:firstLine="720"/>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In relation to the sociodemographic profile of pandemic paranoia, the only variable to show a consistent relationship with pandemic paranoia across all five sites was age.  Findings suggest that lower age was associated with higher PPS scores, suggesting that younger people might be especially vulnerable to experiencing pandemic paranoia</w:t>
      </w:r>
      <w:r w:rsidR="006547FA">
        <w:rPr>
          <w:rFonts w:ascii="Times New Roman" w:eastAsia="Calibri" w:hAnsi="Times New Roman" w:cs="Times New Roman"/>
          <w:color w:val="000000" w:themeColor="text1"/>
          <w:sz w:val="24"/>
          <w:szCs w:val="24"/>
        </w:rPr>
        <w:t xml:space="preserve">.  This finding aligns with previous research showing an association between younger age and general paranoia both pre-pandemic (Freeman et al., 2011) and during the pandemic </w:t>
      </w:r>
      <w:r w:rsidR="006547FA">
        <w:rPr>
          <w:rFonts w:ascii="Times New Roman" w:hAnsi="Times New Roman" w:cs="Times New Roman"/>
          <w:sz w:val="24"/>
          <w:szCs w:val="24"/>
        </w:rPr>
        <w:t>(</w:t>
      </w:r>
      <w:proofErr w:type="spellStart"/>
      <w:r w:rsidR="006547FA">
        <w:rPr>
          <w:rFonts w:ascii="Times New Roman" w:hAnsi="Times New Roman" w:cs="Times New Roman"/>
          <w:sz w:val="24"/>
          <w:szCs w:val="24"/>
        </w:rPr>
        <w:t>Bortolon</w:t>
      </w:r>
      <w:proofErr w:type="spellEnd"/>
      <w:r w:rsidR="006547FA">
        <w:rPr>
          <w:rFonts w:ascii="Times New Roman" w:hAnsi="Times New Roman" w:cs="Times New Roman"/>
          <w:sz w:val="24"/>
          <w:szCs w:val="24"/>
        </w:rPr>
        <w:t xml:space="preserve"> et al., 2021; Lopes et al., 2020)</w:t>
      </w:r>
      <w:r w:rsidR="006547FA">
        <w:rPr>
          <w:rFonts w:ascii="Times New Roman" w:eastAsia="Calibri" w:hAnsi="Times New Roman" w:cs="Times New Roman"/>
          <w:color w:val="000000" w:themeColor="text1"/>
          <w:sz w:val="24"/>
          <w:szCs w:val="24"/>
        </w:rPr>
        <w:t xml:space="preserve">.  </w:t>
      </w:r>
      <w:r w:rsidR="00A74BCC">
        <w:rPr>
          <w:rFonts w:ascii="Times New Roman" w:eastAsia="Calibri" w:hAnsi="Times New Roman" w:cs="Times New Roman"/>
          <w:color w:val="000000" w:themeColor="text1"/>
          <w:sz w:val="24"/>
          <w:szCs w:val="24"/>
        </w:rPr>
        <w:t xml:space="preserve">Age is </w:t>
      </w:r>
      <w:r w:rsidR="006547FA">
        <w:rPr>
          <w:rFonts w:ascii="Times New Roman" w:eastAsia="Calibri" w:hAnsi="Times New Roman" w:cs="Times New Roman"/>
          <w:color w:val="000000" w:themeColor="text1"/>
          <w:sz w:val="24"/>
          <w:szCs w:val="24"/>
        </w:rPr>
        <w:t xml:space="preserve">clearly </w:t>
      </w:r>
      <w:r w:rsidR="00A74BCC">
        <w:rPr>
          <w:rFonts w:ascii="Times New Roman" w:eastAsia="Calibri" w:hAnsi="Times New Roman" w:cs="Times New Roman"/>
          <w:color w:val="000000" w:themeColor="text1"/>
          <w:sz w:val="24"/>
          <w:szCs w:val="24"/>
        </w:rPr>
        <w:t xml:space="preserve">emerging as a robust predictor of paranoia.  </w:t>
      </w:r>
      <w:r>
        <w:rPr>
          <w:rFonts w:ascii="Times New Roman" w:eastAsia="Calibri" w:hAnsi="Times New Roman" w:cs="Times New Roman"/>
          <w:color w:val="000000" w:themeColor="text1"/>
          <w:sz w:val="24"/>
          <w:szCs w:val="24"/>
        </w:rPr>
        <w:t xml:space="preserve">Additionally, we found that after controlling for site and general paranoia, </w:t>
      </w:r>
      <w:r w:rsidRPr="008C3932">
        <w:rPr>
          <w:rFonts w:ascii="Times New Roman" w:eastAsia="Calibri" w:hAnsi="Times New Roman" w:cs="Times New Roman"/>
          <w:color w:val="000000" w:themeColor="text1"/>
          <w:sz w:val="24"/>
          <w:szCs w:val="24"/>
        </w:rPr>
        <w:t xml:space="preserve">sociodemographic variables </w:t>
      </w:r>
      <w:r>
        <w:rPr>
          <w:rFonts w:ascii="Times New Roman" w:eastAsia="Calibri" w:hAnsi="Times New Roman" w:cs="Times New Roman"/>
          <w:color w:val="000000" w:themeColor="text1"/>
          <w:sz w:val="24"/>
          <w:szCs w:val="24"/>
        </w:rPr>
        <w:t xml:space="preserve">collectively </w:t>
      </w:r>
      <w:r w:rsidRPr="008C3932">
        <w:rPr>
          <w:rFonts w:ascii="Times New Roman" w:eastAsia="Calibri" w:hAnsi="Times New Roman" w:cs="Times New Roman"/>
          <w:color w:val="000000" w:themeColor="text1"/>
          <w:sz w:val="24"/>
          <w:szCs w:val="24"/>
        </w:rPr>
        <w:t>explained an additional</w:t>
      </w:r>
      <w:r>
        <w:rPr>
          <w:rFonts w:ascii="Times New Roman" w:eastAsia="Calibri" w:hAnsi="Times New Roman" w:cs="Times New Roman"/>
          <w:color w:val="000000" w:themeColor="text1"/>
          <w:sz w:val="24"/>
          <w:szCs w:val="24"/>
        </w:rPr>
        <w:t xml:space="preserve"> small (2.39%</w:t>
      </w:r>
      <w:r w:rsidRPr="008C3932">
        <w:rPr>
          <w:rFonts w:ascii="Times New Roman" w:eastAsia="Calibri" w:hAnsi="Times New Roman" w:cs="Times New Roman"/>
          <w:color w:val="000000" w:themeColor="text1"/>
          <w:sz w:val="24"/>
          <w:szCs w:val="24"/>
        </w:rPr>
        <w:t>) but significant amount of variance</w:t>
      </w:r>
      <w:r>
        <w:rPr>
          <w:rFonts w:ascii="Times New Roman" w:eastAsia="Calibri" w:hAnsi="Times New Roman" w:cs="Times New Roman"/>
          <w:color w:val="000000" w:themeColor="text1"/>
          <w:sz w:val="24"/>
          <w:szCs w:val="24"/>
        </w:rPr>
        <w:t xml:space="preserve"> in total PPS scores.</w:t>
      </w:r>
      <w:r w:rsidRPr="008C393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Lower age, higher</w:t>
      </w:r>
      <w:r>
        <w:rPr>
          <w:rFonts w:ascii="Times New Roman" w:eastAsia="Times New Roman" w:hAnsi="Times New Roman" w:cs="Times New Roman"/>
          <w:color w:val="000000" w:themeColor="text1"/>
          <w:sz w:val="24"/>
          <w:szCs w:val="24"/>
          <w:lang w:val="en-US"/>
        </w:rPr>
        <w:t xml:space="preserve"> population size and </w:t>
      </w:r>
      <w:r w:rsidRPr="008C3932">
        <w:rPr>
          <w:rFonts w:ascii="Times New Roman" w:eastAsia="Times New Roman" w:hAnsi="Times New Roman" w:cs="Times New Roman"/>
          <w:color w:val="000000" w:themeColor="text1"/>
          <w:sz w:val="24"/>
          <w:szCs w:val="24"/>
          <w:lang w:val="en-US"/>
        </w:rPr>
        <w:t>income, being male, employed and having</w:t>
      </w:r>
      <w:r w:rsidR="00030E41">
        <w:rPr>
          <w:rFonts w:ascii="Times New Roman" w:eastAsia="Times New Roman" w:hAnsi="Times New Roman" w:cs="Times New Roman"/>
          <w:color w:val="000000" w:themeColor="text1"/>
          <w:sz w:val="24"/>
          <w:szCs w:val="24"/>
          <w:lang w:val="en-US"/>
        </w:rPr>
        <w:t xml:space="preserve"> no</w:t>
      </w:r>
      <w:r w:rsidRPr="008C3932">
        <w:rPr>
          <w:rFonts w:ascii="Times New Roman" w:eastAsia="Times New Roman" w:hAnsi="Times New Roman" w:cs="Times New Roman"/>
          <w:color w:val="000000" w:themeColor="text1"/>
          <w:sz w:val="24"/>
          <w:szCs w:val="24"/>
          <w:lang w:val="en-US"/>
        </w:rPr>
        <w:t xml:space="preserve"> migrant status all significantly predicted pandemic paranoia. </w:t>
      </w:r>
      <w:r w:rsidR="00334D9B">
        <w:rPr>
          <w:rFonts w:ascii="Times New Roman" w:eastAsia="Times New Roman" w:hAnsi="Times New Roman" w:cs="Times New Roman"/>
          <w:color w:val="000000" w:themeColor="text1"/>
          <w:sz w:val="24"/>
          <w:szCs w:val="24"/>
          <w:lang w:val="en-US"/>
        </w:rPr>
        <w:t>These findings are consistent with previous research, for example showing</w:t>
      </w:r>
      <w:r w:rsidR="00B158D1">
        <w:rPr>
          <w:rFonts w:ascii="Times New Roman" w:eastAsia="Times New Roman" w:hAnsi="Times New Roman" w:cs="Times New Roman"/>
          <w:color w:val="000000" w:themeColor="text1"/>
          <w:sz w:val="24"/>
          <w:szCs w:val="24"/>
          <w:lang w:val="en-US"/>
        </w:rPr>
        <w:t xml:space="preserve"> that</w:t>
      </w:r>
      <w:r w:rsidR="00334D9B">
        <w:rPr>
          <w:rFonts w:ascii="Times New Roman" w:eastAsia="Times New Roman" w:hAnsi="Times New Roman" w:cs="Times New Roman"/>
          <w:color w:val="000000" w:themeColor="text1"/>
          <w:sz w:val="24"/>
          <w:szCs w:val="24"/>
          <w:lang w:val="en-US"/>
        </w:rPr>
        <w:t xml:space="preserve"> the highest </w:t>
      </w:r>
      <w:r w:rsidR="00B158D1">
        <w:rPr>
          <w:rFonts w:ascii="Times New Roman" w:eastAsia="Times New Roman" w:hAnsi="Times New Roman" w:cs="Times New Roman"/>
          <w:color w:val="000000" w:themeColor="text1"/>
          <w:sz w:val="24"/>
          <w:szCs w:val="24"/>
          <w:lang w:val="en-US"/>
        </w:rPr>
        <w:t>levels of paranoia are</w:t>
      </w:r>
      <w:r w:rsidR="00334D9B">
        <w:rPr>
          <w:rFonts w:ascii="Times New Roman" w:eastAsia="Times New Roman" w:hAnsi="Times New Roman" w:cs="Times New Roman"/>
          <w:color w:val="000000" w:themeColor="text1"/>
          <w:sz w:val="24"/>
          <w:szCs w:val="24"/>
          <w:lang w:val="en-US"/>
        </w:rPr>
        <w:t xml:space="preserve"> more common in men (Freeman et al., 2011)</w:t>
      </w:r>
      <w:r w:rsidRPr="008C3932">
        <w:rPr>
          <w:rFonts w:ascii="Times New Roman" w:eastAsia="Times New Roman" w:hAnsi="Times New Roman" w:cs="Times New Roman"/>
          <w:color w:val="000000" w:themeColor="text1"/>
          <w:sz w:val="24"/>
          <w:szCs w:val="24"/>
          <w:lang w:val="en-US"/>
        </w:rPr>
        <w:t xml:space="preserve"> </w:t>
      </w:r>
      <w:r w:rsidR="00B158D1">
        <w:rPr>
          <w:rFonts w:ascii="Times New Roman" w:eastAsia="Times New Roman" w:hAnsi="Times New Roman" w:cs="Times New Roman"/>
          <w:color w:val="000000" w:themeColor="text1"/>
          <w:sz w:val="24"/>
          <w:szCs w:val="24"/>
          <w:lang w:val="en-US"/>
        </w:rPr>
        <w:t>a</w:t>
      </w:r>
      <w:r w:rsidR="00B158D1" w:rsidRPr="00B158D1">
        <w:rPr>
          <w:rFonts w:ascii="Times New Roman" w:eastAsia="Times New Roman" w:hAnsi="Times New Roman" w:cs="Times New Roman"/>
          <w:color w:val="000000" w:themeColor="text1"/>
          <w:sz w:val="24"/>
          <w:szCs w:val="24"/>
          <w:lang w:val="en-US"/>
        </w:rPr>
        <w:t xml:space="preserve">nd that general paranoia is associated with urban dwelling </w:t>
      </w:r>
      <w:r w:rsidR="00B158D1" w:rsidRPr="00B158D1">
        <w:rPr>
          <w:rFonts w:ascii="Times New Roman" w:hAnsi="Times New Roman" w:cs="Times New Roman"/>
          <w:sz w:val="24"/>
          <w:szCs w:val="24"/>
        </w:rPr>
        <w:lastRenderedPageBreak/>
        <w:t xml:space="preserve">(e.g. </w:t>
      </w:r>
      <w:r w:rsidR="002E2E85">
        <w:rPr>
          <w:rFonts w:ascii="Times New Roman" w:hAnsi="Times New Roman" w:cs="Times New Roman"/>
          <w:sz w:val="24"/>
          <w:szCs w:val="24"/>
        </w:rPr>
        <w:t xml:space="preserve">Ellett et al., 2008; </w:t>
      </w:r>
      <w:r w:rsidR="00B158D1" w:rsidRPr="00B158D1">
        <w:rPr>
          <w:rFonts w:ascii="Times New Roman" w:hAnsi="Times New Roman" w:cs="Times New Roman"/>
          <w:sz w:val="24"/>
          <w:szCs w:val="24"/>
        </w:rPr>
        <w:t xml:space="preserve">van </w:t>
      </w:r>
      <w:proofErr w:type="spellStart"/>
      <w:r w:rsidR="00B158D1" w:rsidRPr="00B158D1">
        <w:rPr>
          <w:rFonts w:ascii="Times New Roman" w:hAnsi="Times New Roman" w:cs="Times New Roman"/>
          <w:sz w:val="24"/>
          <w:szCs w:val="24"/>
        </w:rPr>
        <w:t>Os</w:t>
      </w:r>
      <w:proofErr w:type="spellEnd"/>
      <w:r w:rsidR="00B158D1" w:rsidRPr="00B158D1">
        <w:rPr>
          <w:rFonts w:ascii="Times New Roman" w:hAnsi="Times New Roman" w:cs="Times New Roman"/>
          <w:sz w:val="24"/>
          <w:szCs w:val="24"/>
        </w:rPr>
        <w:t>, 2004).</w:t>
      </w:r>
      <w:r w:rsidR="002E2E85">
        <w:rPr>
          <w:rFonts w:ascii="Times New Roman" w:hAnsi="Times New Roman" w:cs="Times New Roman"/>
          <w:sz w:val="24"/>
          <w:szCs w:val="24"/>
        </w:rPr>
        <w:t xml:space="preserve">  There are also, however, some inconsistencies, in that general paranoia is typically associated with lower socio-</w:t>
      </w:r>
      <w:proofErr w:type="spellStart"/>
      <w:r w:rsidR="002E2E85">
        <w:rPr>
          <w:rFonts w:ascii="Times New Roman" w:hAnsi="Times New Roman" w:cs="Times New Roman"/>
          <w:sz w:val="24"/>
          <w:szCs w:val="24"/>
        </w:rPr>
        <w:t>ecomonic</w:t>
      </w:r>
      <w:proofErr w:type="spellEnd"/>
      <w:r w:rsidR="002E2E85">
        <w:rPr>
          <w:rFonts w:ascii="Times New Roman" w:hAnsi="Times New Roman" w:cs="Times New Roman"/>
          <w:sz w:val="24"/>
          <w:szCs w:val="24"/>
        </w:rPr>
        <w:t xml:space="preserve"> status</w:t>
      </w:r>
      <w:r w:rsidR="00030E41">
        <w:rPr>
          <w:rFonts w:ascii="Times New Roman" w:hAnsi="Times New Roman" w:cs="Times New Roman"/>
          <w:sz w:val="24"/>
          <w:szCs w:val="24"/>
        </w:rPr>
        <w:t xml:space="preserve"> and migrant status</w:t>
      </w:r>
      <w:r w:rsidR="002E2E85">
        <w:rPr>
          <w:rFonts w:ascii="Times New Roman" w:hAnsi="Times New Roman" w:cs="Times New Roman"/>
          <w:sz w:val="24"/>
          <w:szCs w:val="24"/>
        </w:rPr>
        <w:t xml:space="preserve"> (e.g. Freeman et al., 2011), and here we found that pandemic paranoia was associated with higher income</w:t>
      </w:r>
      <w:r w:rsidR="00030E41">
        <w:rPr>
          <w:rFonts w:ascii="Times New Roman" w:hAnsi="Times New Roman" w:cs="Times New Roman"/>
          <w:sz w:val="24"/>
          <w:szCs w:val="24"/>
        </w:rPr>
        <w:t xml:space="preserve"> and no migrant status</w:t>
      </w:r>
      <w:r w:rsidR="002E2E85">
        <w:rPr>
          <w:rFonts w:ascii="Times New Roman" w:hAnsi="Times New Roman" w:cs="Times New Roman"/>
          <w:sz w:val="24"/>
          <w:szCs w:val="24"/>
        </w:rPr>
        <w:t xml:space="preserve">.  </w:t>
      </w:r>
      <w:r w:rsidR="00C54A9C">
        <w:rPr>
          <w:rFonts w:ascii="Times New Roman" w:hAnsi="Times New Roman" w:cs="Times New Roman"/>
          <w:sz w:val="24"/>
          <w:szCs w:val="24"/>
        </w:rPr>
        <w:t xml:space="preserve">The impact of the pandemic on work and school settings might help to explain this. </w:t>
      </w:r>
      <w:r w:rsidR="002E2E85">
        <w:rPr>
          <w:rFonts w:ascii="Times New Roman" w:hAnsi="Times New Roman" w:cs="Times New Roman"/>
          <w:sz w:val="24"/>
          <w:szCs w:val="24"/>
        </w:rPr>
        <w:t xml:space="preserve">There </w:t>
      </w:r>
      <w:r w:rsidR="008747A9">
        <w:rPr>
          <w:rFonts w:ascii="Times New Roman" w:hAnsi="Times New Roman" w:cs="Times New Roman"/>
          <w:sz w:val="24"/>
          <w:szCs w:val="24"/>
        </w:rPr>
        <w:t xml:space="preserve">are </w:t>
      </w:r>
      <w:r w:rsidR="002E2E85">
        <w:rPr>
          <w:rFonts w:ascii="Times New Roman" w:hAnsi="Times New Roman" w:cs="Times New Roman"/>
          <w:sz w:val="24"/>
          <w:szCs w:val="24"/>
        </w:rPr>
        <w:t>l</w:t>
      </w:r>
      <w:proofErr w:type="spellStart"/>
      <w:r w:rsidR="00A74BCC">
        <w:rPr>
          <w:rFonts w:ascii="Times New Roman" w:eastAsia="Times New Roman" w:hAnsi="Times New Roman" w:cs="Times New Roman"/>
          <w:color w:val="000000" w:themeColor="text1"/>
          <w:sz w:val="24"/>
          <w:szCs w:val="24"/>
          <w:lang w:val="en-US"/>
        </w:rPr>
        <w:t>imited</w:t>
      </w:r>
      <w:proofErr w:type="spellEnd"/>
      <w:r w:rsidR="00A74BCC">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data </w:t>
      </w:r>
      <w:r w:rsidR="00B158D1">
        <w:rPr>
          <w:rFonts w:ascii="Times New Roman" w:eastAsia="Times New Roman" w:hAnsi="Times New Roman" w:cs="Times New Roman"/>
          <w:color w:val="000000" w:themeColor="text1"/>
          <w:sz w:val="24"/>
          <w:szCs w:val="24"/>
          <w:lang w:val="en-US"/>
        </w:rPr>
        <w:t>comparing</w:t>
      </w:r>
      <w:r>
        <w:rPr>
          <w:rFonts w:ascii="Times New Roman" w:eastAsia="Times New Roman" w:hAnsi="Times New Roman" w:cs="Times New Roman"/>
          <w:color w:val="000000" w:themeColor="text1"/>
          <w:sz w:val="24"/>
          <w:szCs w:val="24"/>
          <w:lang w:val="en-US"/>
        </w:rPr>
        <w:t xml:space="preserve"> sociodemographic profiles of general paranoia across different cultures and countries</w:t>
      </w:r>
      <w:r w:rsidR="0097535E">
        <w:rPr>
          <w:rFonts w:ascii="Times New Roman" w:eastAsia="Times New Roman" w:hAnsi="Times New Roman" w:cs="Times New Roman"/>
          <w:color w:val="000000" w:themeColor="text1"/>
          <w:sz w:val="24"/>
          <w:szCs w:val="24"/>
          <w:lang w:val="en-US"/>
        </w:rPr>
        <w:t xml:space="preserve">, which </w:t>
      </w:r>
      <w:r>
        <w:rPr>
          <w:rFonts w:ascii="Times New Roman" w:eastAsia="Times New Roman" w:hAnsi="Times New Roman" w:cs="Times New Roman"/>
          <w:color w:val="000000" w:themeColor="text1"/>
          <w:sz w:val="24"/>
          <w:szCs w:val="24"/>
          <w:lang w:val="en-US"/>
        </w:rPr>
        <w:t xml:space="preserve">makes interpretation of our findings in relation to pandemic paranoia more challenging.  </w:t>
      </w:r>
      <w:r w:rsidRPr="008C3932">
        <w:rPr>
          <w:rFonts w:ascii="Times New Roman" w:eastAsia="Times New Roman" w:hAnsi="Times New Roman" w:cs="Times New Roman"/>
          <w:color w:val="000000" w:themeColor="text1"/>
          <w:sz w:val="24"/>
          <w:szCs w:val="24"/>
          <w:lang w:val="en-US"/>
        </w:rPr>
        <w:t xml:space="preserve">Clearly, there is heterogeneity in findings relating to sociodemographic predictors of </w:t>
      </w:r>
      <w:r w:rsidR="00334D9B">
        <w:rPr>
          <w:rFonts w:ascii="Times New Roman" w:eastAsia="Times New Roman" w:hAnsi="Times New Roman" w:cs="Times New Roman"/>
          <w:color w:val="000000" w:themeColor="text1"/>
          <w:sz w:val="24"/>
          <w:szCs w:val="24"/>
          <w:lang w:val="en-US"/>
        </w:rPr>
        <w:t>paranoia</w:t>
      </w:r>
      <w:r w:rsidRPr="008C3932">
        <w:rPr>
          <w:rFonts w:ascii="Times New Roman" w:eastAsia="Times New Roman" w:hAnsi="Times New Roman" w:cs="Times New Roman"/>
          <w:color w:val="000000" w:themeColor="text1"/>
          <w:sz w:val="24"/>
          <w:szCs w:val="24"/>
          <w:lang w:val="en-US"/>
        </w:rPr>
        <w:t xml:space="preserve"> that warra</w:t>
      </w:r>
      <w:r>
        <w:rPr>
          <w:rFonts w:ascii="Times New Roman" w:eastAsia="Times New Roman" w:hAnsi="Times New Roman" w:cs="Times New Roman"/>
          <w:color w:val="000000" w:themeColor="text1"/>
          <w:sz w:val="24"/>
          <w:szCs w:val="24"/>
          <w:lang w:val="en-US"/>
        </w:rPr>
        <w:t>nt</w:t>
      </w:r>
      <w:r w:rsidRPr="008C3932">
        <w:rPr>
          <w:rFonts w:ascii="Times New Roman" w:eastAsia="Times New Roman" w:hAnsi="Times New Roman" w:cs="Times New Roman"/>
          <w:color w:val="000000" w:themeColor="text1"/>
          <w:sz w:val="24"/>
          <w:szCs w:val="24"/>
          <w:lang w:val="en-US"/>
        </w:rPr>
        <w:t xml:space="preserve"> further consideration.  </w:t>
      </w:r>
    </w:p>
    <w:p w14:paraId="6B59A8E9" w14:textId="42C7FA0E" w:rsidR="00243DF4" w:rsidRPr="008C3932" w:rsidRDefault="00243DF4" w:rsidP="00243DF4">
      <w:pPr>
        <w:spacing w:line="360" w:lineRule="auto"/>
        <w:ind w:firstLine="720"/>
        <w:rPr>
          <w:rFonts w:ascii="Times New Roman" w:hAnsi="Times New Roman" w:cs="Times New Roman"/>
          <w:color w:val="000000" w:themeColor="text1"/>
          <w:sz w:val="24"/>
          <w:szCs w:val="24"/>
        </w:rPr>
      </w:pPr>
      <w:r w:rsidRPr="008C3932">
        <w:rPr>
          <w:rFonts w:ascii="Times New Roman" w:hAnsi="Times New Roman" w:cs="Times New Roman"/>
          <w:color w:val="000000" w:themeColor="text1"/>
          <w:sz w:val="24"/>
          <w:szCs w:val="24"/>
        </w:rPr>
        <w:t>The study has some limitations.  First, we used a cross-sectional surv</w:t>
      </w:r>
      <w:r>
        <w:rPr>
          <w:rFonts w:ascii="Times New Roman" w:hAnsi="Times New Roman" w:cs="Times New Roman"/>
          <w:color w:val="000000" w:themeColor="text1"/>
          <w:sz w:val="24"/>
          <w:szCs w:val="24"/>
        </w:rPr>
        <w:t xml:space="preserve">ey design, and although </w:t>
      </w:r>
      <w:r w:rsidRPr="008C3932">
        <w:rPr>
          <w:rFonts w:ascii="Times New Roman" w:hAnsi="Times New Roman" w:cs="Times New Roman"/>
          <w:color w:val="000000" w:themeColor="text1"/>
          <w:sz w:val="24"/>
          <w:szCs w:val="24"/>
        </w:rPr>
        <w:t xml:space="preserve">stratified quota sampling </w:t>
      </w:r>
      <w:r>
        <w:rPr>
          <w:rFonts w:ascii="Times New Roman" w:hAnsi="Times New Roman" w:cs="Times New Roman"/>
          <w:color w:val="000000" w:themeColor="text1"/>
          <w:sz w:val="24"/>
          <w:szCs w:val="24"/>
        </w:rPr>
        <w:t xml:space="preserve">was employed </w:t>
      </w:r>
      <w:r w:rsidRPr="008C3932">
        <w:rPr>
          <w:rFonts w:ascii="Times New Roman" w:hAnsi="Times New Roman" w:cs="Times New Roman"/>
          <w:color w:val="000000" w:themeColor="text1"/>
          <w:sz w:val="24"/>
          <w:szCs w:val="24"/>
        </w:rPr>
        <w:t xml:space="preserve">to recruit a representative general population sample in all five </w:t>
      </w:r>
      <w:r w:rsidR="00711987">
        <w:rPr>
          <w:rFonts w:ascii="Times New Roman" w:hAnsi="Times New Roman" w:cs="Times New Roman"/>
          <w:color w:val="000000" w:themeColor="text1"/>
          <w:sz w:val="24"/>
          <w:szCs w:val="24"/>
        </w:rPr>
        <w:t xml:space="preserve">international </w:t>
      </w:r>
      <w:r w:rsidRPr="008C3932">
        <w:rPr>
          <w:rFonts w:ascii="Times New Roman" w:hAnsi="Times New Roman" w:cs="Times New Roman"/>
          <w:color w:val="000000" w:themeColor="text1"/>
          <w:sz w:val="24"/>
          <w:szCs w:val="24"/>
        </w:rPr>
        <w:t xml:space="preserve">sites, no conclusions about causality can be made, and the findings are limited in terms of generalisability to individuals with clinical paranoia.  It would be interesting in future research to examine the prevalence of pandemic paranoia in clinical samples and </w:t>
      </w:r>
      <w:r w:rsidR="00C54A9C">
        <w:rPr>
          <w:rFonts w:ascii="Times New Roman" w:hAnsi="Times New Roman" w:cs="Times New Roman"/>
          <w:color w:val="000000" w:themeColor="text1"/>
          <w:sz w:val="24"/>
          <w:szCs w:val="24"/>
        </w:rPr>
        <w:t>assess</w:t>
      </w:r>
      <w:r w:rsidR="00C54A9C" w:rsidRPr="008C3932">
        <w:rPr>
          <w:rFonts w:ascii="Times New Roman" w:hAnsi="Times New Roman" w:cs="Times New Roman"/>
          <w:color w:val="000000" w:themeColor="text1"/>
          <w:sz w:val="24"/>
          <w:szCs w:val="24"/>
        </w:rPr>
        <w:t xml:space="preserve"> </w:t>
      </w:r>
      <w:r w:rsidRPr="008C3932">
        <w:rPr>
          <w:rFonts w:ascii="Times New Roman" w:hAnsi="Times New Roman" w:cs="Times New Roman"/>
          <w:color w:val="000000" w:themeColor="text1"/>
          <w:sz w:val="24"/>
          <w:szCs w:val="24"/>
        </w:rPr>
        <w:t xml:space="preserve">its stability in longitudinal research.  </w:t>
      </w:r>
      <w:r>
        <w:rPr>
          <w:rFonts w:ascii="Times New Roman" w:hAnsi="Times New Roman" w:cs="Times New Roman"/>
          <w:color w:val="000000" w:themeColor="text1"/>
          <w:sz w:val="24"/>
          <w:szCs w:val="24"/>
        </w:rPr>
        <w:t>Second, we</w:t>
      </w:r>
      <w:r w:rsidRPr="008C3932">
        <w:rPr>
          <w:rFonts w:ascii="Times New Roman" w:hAnsi="Times New Roman" w:cs="Times New Roman"/>
          <w:color w:val="000000" w:themeColor="text1"/>
          <w:sz w:val="24"/>
          <w:szCs w:val="24"/>
        </w:rPr>
        <w:t xml:space="preserve"> relied solely on self-report measures, which could have introduced bias.</w:t>
      </w:r>
      <w:r>
        <w:rPr>
          <w:rFonts w:ascii="Times New Roman" w:hAnsi="Times New Roman" w:cs="Times New Roman"/>
          <w:color w:val="000000" w:themeColor="text1"/>
          <w:sz w:val="24"/>
          <w:szCs w:val="24"/>
        </w:rPr>
        <w:t xml:space="preserve">  Third, we collected data in high income countries only, and future research might usefully examine pandemic paranoia in </w:t>
      </w:r>
      <w:r w:rsidR="00C54A9C">
        <w:rPr>
          <w:rFonts w:ascii="Times New Roman" w:hAnsi="Times New Roman" w:cs="Times New Roman"/>
          <w:color w:val="000000" w:themeColor="text1"/>
          <w:sz w:val="24"/>
          <w:szCs w:val="24"/>
        </w:rPr>
        <w:t>middle- and low-income</w:t>
      </w:r>
      <w:r>
        <w:rPr>
          <w:rFonts w:ascii="Times New Roman" w:hAnsi="Times New Roman" w:cs="Times New Roman"/>
          <w:color w:val="000000" w:themeColor="text1"/>
          <w:sz w:val="24"/>
          <w:szCs w:val="24"/>
        </w:rPr>
        <w:t xml:space="preserve"> countries.  </w:t>
      </w:r>
      <w:r w:rsidR="00B358DC" w:rsidRPr="003A5B5A">
        <w:rPr>
          <w:rFonts w:ascii="Times New Roman" w:hAnsi="Times New Roman" w:cs="Times New Roman"/>
          <w:color w:val="000000" w:themeColor="text1"/>
          <w:sz w:val="24"/>
          <w:szCs w:val="24"/>
        </w:rPr>
        <w:t xml:space="preserve">Fourth, </w:t>
      </w:r>
      <w:r w:rsidR="004D18A8" w:rsidRPr="003A5B5A">
        <w:rPr>
          <w:rFonts w:ascii="Times New Roman" w:hAnsi="Times New Roman" w:cs="Times New Roman"/>
          <w:color w:val="000000" w:themeColor="text1"/>
          <w:sz w:val="24"/>
          <w:szCs w:val="24"/>
        </w:rPr>
        <w:t xml:space="preserve">the study raises </w:t>
      </w:r>
      <w:r w:rsidR="003A5B5A" w:rsidRPr="00A8698C">
        <w:rPr>
          <w:rFonts w:ascii="Times New Roman" w:hAnsi="Times New Roman" w:cs="Times New Roman"/>
          <w:color w:val="000000" w:themeColor="text1"/>
          <w:sz w:val="24"/>
          <w:szCs w:val="24"/>
        </w:rPr>
        <w:t xml:space="preserve">an interesting conceptual issue about </w:t>
      </w:r>
      <w:r w:rsidR="004D18A8" w:rsidRPr="003A5B5A">
        <w:rPr>
          <w:rFonts w:ascii="Times New Roman" w:hAnsi="Times New Roman" w:cs="Times New Roman"/>
          <w:sz w:val="24"/>
          <w:szCs w:val="24"/>
        </w:rPr>
        <w:t xml:space="preserve">what is considered to be </w:t>
      </w:r>
      <w:r w:rsidR="003A5B5A" w:rsidRPr="003A5B5A">
        <w:rPr>
          <w:rFonts w:ascii="Times New Roman" w:hAnsi="Times New Roman" w:cs="Times New Roman"/>
          <w:sz w:val="24"/>
          <w:szCs w:val="24"/>
        </w:rPr>
        <w:t>‘</w:t>
      </w:r>
      <w:r w:rsidR="004D18A8" w:rsidRPr="003A5B5A">
        <w:rPr>
          <w:rFonts w:ascii="Times New Roman" w:hAnsi="Times New Roman" w:cs="Times New Roman"/>
          <w:sz w:val="24"/>
          <w:szCs w:val="24"/>
        </w:rPr>
        <w:t>paranoia</w:t>
      </w:r>
      <w:r w:rsidR="003A5B5A" w:rsidRPr="003A5B5A">
        <w:rPr>
          <w:rFonts w:ascii="Times New Roman" w:hAnsi="Times New Roman" w:cs="Times New Roman"/>
          <w:sz w:val="24"/>
          <w:szCs w:val="24"/>
        </w:rPr>
        <w:t>’</w:t>
      </w:r>
      <w:r w:rsidR="004D18A8" w:rsidRPr="003A5B5A">
        <w:rPr>
          <w:rFonts w:ascii="Times New Roman" w:hAnsi="Times New Roman" w:cs="Times New Roman"/>
          <w:sz w:val="24"/>
          <w:szCs w:val="24"/>
        </w:rPr>
        <w:t xml:space="preserve"> as a threshold between </w:t>
      </w:r>
      <w:r w:rsidR="005713F8">
        <w:rPr>
          <w:rFonts w:ascii="Times New Roman" w:hAnsi="Times New Roman" w:cs="Times New Roman"/>
          <w:sz w:val="24"/>
          <w:szCs w:val="24"/>
        </w:rPr>
        <w:t>its clinical and nonclinical counterparts</w:t>
      </w:r>
      <w:r w:rsidR="004D18A8" w:rsidRPr="003A5B5A">
        <w:rPr>
          <w:rFonts w:ascii="Times New Roman" w:hAnsi="Times New Roman" w:cs="Times New Roman"/>
          <w:sz w:val="24"/>
          <w:szCs w:val="24"/>
        </w:rPr>
        <w:t>.</w:t>
      </w:r>
      <w:r w:rsidR="00B358DC" w:rsidRPr="003A5B5A">
        <w:rPr>
          <w:rFonts w:ascii="Times New Roman" w:hAnsi="Times New Roman" w:cs="Times New Roman"/>
          <w:color w:val="000000" w:themeColor="text1"/>
          <w:sz w:val="24"/>
          <w:szCs w:val="24"/>
        </w:rPr>
        <w:t xml:space="preserve"> </w:t>
      </w:r>
      <w:r w:rsidR="003A5B5A">
        <w:rPr>
          <w:rFonts w:ascii="Times New Roman" w:hAnsi="Times New Roman" w:cs="Times New Roman"/>
          <w:color w:val="000000" w:themeColor="text1"/>
          <w:sz w:val="24"/>
          <w:szCs w:val="24"/>
        </w:rPr>
        <w:t>Unfortunately, we were not able to establish clinical cut offs for the PPS as it is a new measure, but not</w:t>
      </w:r>
      <w:r w:rsidR="00DC10CE">
        <w:rPr>
          <w:rFonts w:ascii="Times New Roman" w:hAnsi="Times New Roman" w:cs="Times New Roman"/>
          <w:color w:val="000000" w:themeColor="text1"/>
          <w:sz w:val="24"/>
          <w:szCs w:val="24"/>
        </w:rPr>
        <w:t>e</w:t>
      </w:r>
      <w:r w:rsidR="003A5B5A">
        <w:rPr>
          <w:rFonts w:ascii="Times New Roman" w:hAnsi="Times New Roman" w:cs="Times New Roman"/>
          <w:color w:val="000000" w:themeColor="text1"/>
          <w:sz w:val="24"/>
          <w:szCs w:val="24"/>
        </w:rPr>
        <w:t xml:space="preserve"> that recent research has </w:t>
      </w:r>
      <w:r w:rsidR="00DC10CE">
        <w:rPr>
          <w:rFonts w:ascii="Times New Roman" w:hAnsi="Times New Roman" w:cs="Times New Roman"/>
          <w:color w:val="000000" w:themeColor="text1"/>
          <w:sz w:val="24"/>
          <w:szCs w:val="24"/>
        </w:rPr>
        <w:t>established clinical cut offs for general paranoia (Freeman et al., 2019).</w:t>
      </w:r>
      <w:r w:rsidR="00387312">
        <w:rPr>
          <w:rFonts w:ascii="Times New Roman" w:hAnsi="Times New Roman" w:cs="Times New Roman"/>
          <w:color w:val="000000" w:themeColor="text1"/>
          <w:sz w:val="24"/>
          <w:szCs w:val="24"/>
        </w:rPr>
        <w:t xml:space="preserve">  Fifth, although it could be argued that choosing 2 as a cut off for calculating PPS prevalence (item scale 0-4)</w:t>
      </w:r>
      <w:r w:rsidR="00B73FE0">
        <w:rPr>
          <w:rFonts w:ascii="Times New Roman" w:hAnsi="Times New Roman" w:cs="Times New Roman"/>
          <w:color w:val="000000" w:themeColor="text1"/>
          <w:sz w:val="24"/>
          <w:szCs w:val="24"/>
        </w:rPr>
        <w:t xml:space="preserve"> is arbitrary</w:t>
      </w:r>
      <w:r w:rsidR="00387312">
        <w:rPr>
          <w:rFonts w:ascii="Times New Roman" w:hAnsi="Times New Roman" w:cs="Times New Roman"/>
          <w:color w:val="000000" w:themeColor="text1"/>
          <w:sz w:val="24"/>
          <w:szCs w:val="24"/>
        </w:rPr>
        <w:t xml:space="preserve">, </w:t>
      </w:r>
      <w:r w:rsidR="00320041" w:rsidRPr="00B4455A">
        <w:rPr>
          <w:rFonts w:ascii="Times New Roman" w:hAnsi="Times New Roman" w:cs="Times New Roman"/>
          <w:sz w:val="24"/>
          <w:szCs w:val="24"/>
        </w:rPr>
        <w:t xml:space="preserve">we chose the midpoint dichotomization as our main analysis </w:t>
      </w:r>
      <w:r w:rsidR="00B73FE0">
        <w:rPr>
          <w:rFonts w:ascii="Times New Roman" w:hAnsi="Times New Roman" w:cs="Times New Roman"/>
          <w:sz w:val="24"/>
          <w:szCs w:val="24"/>
        </w:rPr>
        <w:t>t</w:t>
      </w:r>
      <w:r w:rsidR="00A57036" w:rsidRPr="00B4455A">
        <w:rPr>
          <w:rFonts w:ascii="Times New Roman" w:hAnsi="Times New Roman" w:cs="Times New Roman"/>
          <w:sz w:val="24"/>
          <w:szCs w:val="24"/>
        </w:rPr>
        <w:t xml:space="preserve">o provide a balanced view and </w:t>
      </w:r>
      <w:r w:rsidR="00B73FE0">
        <w:rPr>
          <w:rFonts w:ascii="Times New Roman" w:hAnsi="Times New Roman" w:cs="Times New Roman"/>
          <w:sz w:val="24"/>
          <w:szCs w:val="24"/>
        </w:rPr>
        <w:t xml:space="preserve">to </w:t>
      </w:r>
      <w:r w:rsidR="00A57036" w:rsidRPr="00B4455A">
        <w:rPr>
          <w:rFonts w:ascii="Times New Roman" w:hAnsi="Times New Roman" w:cs="Times New Roman"/>
          <w:sz w:val="24"/>
          <w:szCs w:val="24"/>
        </w:rPr>
        <w:t>avoid presenting an inflated estimate of pandemic paranoia</w:t>
      </w:r>
      <w:r w:rsidR="00B4455A">
        <w:rPr>
          <w:rFonts w:ascii="Times New Roman" w:hAnsi="Times New Roman" w:cs="Times New Roman"/>
          <w:sz w:val="24"/>
          <w:szCs w:val="24"/>
        </w:rPr>
        <w:t>.  We refer interested readers to Supplement 1, where we present</w:t>
      </w:r>
      <w:r w:rsidR="00817369">
        <w:rPr>
          <w:rFonts w:ascii="Times New Roman" w:hAnsi="Times New Roman" w:cs="Times New Roman"/>
          <w:sz w:val="24"/>
          <w:szCs w:val="24"/>
        </w:rPr>
        <w:t xml:space="preserve"> </w:t>
      </w:r>
      <w:r w:rsidR="00817369" w:rsidRPr="00817369">
        <w:rPr>
          <w:rFonts w:ascii="Times New Roman" w:hAnsi="Times New Roman" w:cs="Times New Roman"/>
          <w:sz w:val="24"/>
          <w:szCs w:val="24"/>
        </w:rPr>
        <w:t>a detailed overview of extreme endorsement only (i.e., 4)</w:t>
      </w:r>
      <w:r w:rsidR="00B73FE0">
        <w:rPr>
          <w:rFonts w:ascii="Times New Roman" w:hAnsi="Times New Roman" w:cs="Times New Roman"/>
          <w:sz w:val="24"/>
          <w:szCs w:val="24"/>
        </w:rPr>
        <w:t>.</w:t>
      </w:r>
      <w:r w:rsidR="00B358DC" w:rsidRPr="00B4455A">
        <w:rPr>
          <w:rFonts w:ascii="Times New Roman" w:hAnsi="Times New Roman" w:cs="Times New Roman"/>
          <w:color w:val="000000" w:themeColor="text1"/>
          <w:sz w:val="24"/>
          <w:szCs w:val="24"/>
        </w:rPr>
        <w:t xml:space="preserve"> </w:t>
      </w:r>
      <w:r w:rsidR="00B73FE0">
        <w:rPr>
          <w:rFonts w:ascii="Times New Roman" w:hAnsi="Times New Roman" w:cs="Times New Roman"/>
          <w:color w:val="000000" w:themeColor="text1"/>
          <w:sz w:val="24"/>
          <w:szCs w:val="24"/>
        </w:rPr>
        <w:t xml:space="preserve"> </w:t>
      </w:r>
      <w:r w:rsidRPr="003A5B5A">
        <w:rPr>
          <w:rFonts w:ascii="Times New Roman" w:hAnsi="Times New Roman" w:cs="Times New Roman"/>
          <w:color w:val="000000" w:themeColor="text1"/>
          <w:sz w:val="24"/>
          <w:szCs w:val="24"/>
        </w:rPr>
        <w:t>Finally, we did not measure any beli</w:t>
      </w:r>
      <w:r>
        <w:rPr>
          <w:rFonts w:ascii="Times New Roman" w:hAnsi="Times New Roman" w:cs="Times New Roman"/>
          <w:color w:val="000000" w:themeColor="text1"/>
          <w:sz w:val="24"/>
          <w:szCs w:val="24"/>
        </w:rPr>
        <w:t xml:space="preserve">ef dimensions associated with pandemic paranoia, such as conviction or distress, which would be interesting to </w:t>
      </w:r>
      <w:r w:rsidR="00C54A9C">
        <w:rPr>
          <w:rFonts w:ascii="Times New Roman" w:hAnsi="Times New Roman" w:cs="Times New Roman"/>
          <w:color w:val="000000" w:themeColor="text1"/>
          <w:sz w:val="24"/>
          <w:szCs w:val="24"/>
        </w:rPr>
        <w:t xml:space="preserve">investigate </w:t>
      </w:r>
      <w:r>
        <w:rPr>
          <w:rFonts w:ascii="Times New Roman" w:hAnsi="Times New Roman" w:cs="Times New Roman"/>
          <w:color w:val="000000" w:themeColor="text1"/>
          <w:sz w:val="24"/>
          <w:szCs w:val="24"/>
        </w:rPr>
        <w:t>in future research, given their importance in psychological interventions for paranoia (Chadwick et al., 1996).</w:t>
      </w:r>
      <w:r w:rsidRPr="008C3932">
        <w:rPr>
          <w:rFonts w:ascii="Times New Roman" w:hAnsi="Times New Roman" w:cs="Times New Roman"/>
          <w:color w:val="000000" w:themeColor="text1"/>
          <w:sz w:val="24"/>
          <w:szCs w:val="24"/>
        </w:rPr>
        <w:t xml:space="preserve">    </w:t>
      </w:r>
    </w:p>
    <w:p w14:paraId="69B1EA01" w14:textId="008FAED1" w:rsidR="00243DF4" w:rsidRPr="00106F66" w:rsidRDefault="00243DF4" w:rsidP="00243DF4">
      <w:pPr>
        <w:spacing w:line="360" w:lineRule="auto"/>
        <w:ind w:firstLine="720"/>
        <w:rPr>
          <w:rFonts w:ascii="Times New Roman" w:hAnsi="Times New Roman" w:cs="Times New Roman"/>
          <w:color w:val="000000" w:themeColor="text1"/>
          <w:sz w:val="24"/>
          <w:szCs w:val="24"/>
        </w:rPr>
      </w:pPr>
      <w:r w:rsidRPr="008C3932">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conclusion, our study shows</w:t>
      </w:r>
      <w:r w:rsidRPr="008C3932">
        <w:rPr>
          <w:rFonts w:ascii="Times New Roman" w:hAnsi="Times New Roman" w:cs="Times New Roman"/>
          <w:color w:val="000000" w:themeColor="text1"/>
          <w:sz w:val="24"/>
          <w:szCs w:val="24"/>
        </w:rPr>
        <w:t xml:space="preserve"> that pandemic paranoia is relatively common in an international sample with an overall 19% prevalence rate</w:t>
      </w:r>
      <w:r>
        <w:rPr>
          <w:rFonts w:ascii="Times New Roman" w:hAnsi="Times New Roman" w:cs="Times New Roman"/>
          <w:color w:val="000000" w:themeColor="text1"/>
          <w:sz w:val="24"/>
          <w:szCs w:val="24"/>
        </w:rPr>
        <w:t>, and our data suggest that pandemic paranoia is hierarchically organised</w:t>
      </w:r>
      <w:r w:rsidRPr="008C3932">
        <w:rPr>
          <w:rFonts w:ascii="Times New Roman" w:hAnsi="Times New Roman" w:cs="Times New Roman"/>
          <w:color w:val="000000" w:themeColor="text1"/>
          <w:sz w:val="24"/>
          <w:szCs w:val="24"/>
        </w:rPr>
        <w:t xml:space="preserve">.  Pandemic paranoia was highest in Australia and lowest in Germany, though reasons for these site level differences </w:t>
      </w:r>
      <w:r>
        <w:rPr>
          <w:rFonts w:ascii="Times New Roman" w:hAnsi="Times New Roman" w:cs="Times New Roman"/>
          <w:color w:val="000000" w:themeColor="text1"/>
          <w:sz w:val="24"/>
          <w:szCs w:val="24"/>
        </w:rPr>
        <w:t>are yet to be established</w:t>
      </w:r>
      <w:r w:rsidRPr="008C3932">
        <w:rPr>
          <w:rFonts w:ascii="Times New Roman" w:hAnsi="Times New Roman" w:cs="Times New Roman"/>
          <w:color w:val="000000" w:themeColor="text1"/>
          <w:sz w:val="24"/>
          <w:szCs w:val="24"/>
        </w:rPr>
        <w:t xml:space="preserve">.  Our </w:t>
      </w:r>
      <w:r w:rsidRPr="008C3932">
        <w:rPr>
          <w:rFonts w:ascii="Times New Roman" w:hAnsi="Times New Roman" w:cs="Times New Roman"/>
          <w:color w:val="000000" w:themeColor="text1"/>
          <w:sz w:val="24"/>
          <w:szCs w:val="24"/>
        </w:rPr>
        <w:lastRenderedPageBreak/>
        <w:t xml:space="preserve">findings also indicate that </w:t>
      </w:r>
      <w:r>
        <w:rPr>
          <w:rFonts w:ascii="Times New Roman" w:hAnsi="Times New Roman" w:cs="Times New Roman"/>
          <w:color w:val="000000" w:themeColor="text1"/>
          <w:sz w:val="24"/>
          <w:szCs w:val="24"/>
        </w:rPr>
        <w:t xml:space="preserve">sociodemographic variables - lower age, </w:t>
      </w:r>
      <w:r w:rsidRPr="008C3932">
        <w:rPr>
          <w:rFonts w:ascii="Times New Roman" w:hAnsi="Times New Roman" w:cs="Times New Roman"/>
          <w:color w:val="000000" w:themeColor="text1"/>
          <w:sz w:val="24"/>
          <w:szCs w:val="24"/>
        </w:rPr>
        <w:t>higher population size and income, being male, employed and having</w:t>
      </w:r>
      <w:r w:rsidR="00030E41">
        <w:rPr>
          <w:rFonts w:ascii="Times New Roman" w:hAnsi="Times New Roman" w:cs="Times New Roman"/>
          <w:color w:val="000000" w:themeColor="text1"/>
          <w:sz w:val="24"/>
          <w:szCs w:val="24"/>
        </w:rPr>
        <w:t xml:space="preserve"> no</w:t>
      </w:r>
      <w:r w:rsidRPr="008C3932">
        <w:rPr>
          <w:rFonts w:ascii="Times New Roman" w:hAnsi="Times New Roman" w:cs="Times New Roman"/>
          <w:color w:val="000000" w:themeColor="text1"/>
          <w:sz w:val="24"/>
          <w:szCs w:val="24"/>
        </w:rPr>
        <w:t xml:space="preserve"> migrant status</w:t>
      </w:r>
      <w:r>
        <w:rPr>
          <w:rFonts w:ascii="Times New Roman" w:hAnsi="Times New Roman" w:cs="Times New Roman"/>
          <w:color w:val="000000" w:themeColor="text1"/>
          <w:sz w:val="24"/>
          <w:szCs w:val="24"/>
        </w:rPr>
        <w:t xml:space="preserve"> – all predicted</w:t>
      </w:r>
      <w:r w:rsidRPr="008C3932">
        <w:rPr>
          <w:rFonts w:ascii="Times New Roman" w:hAnsi="Times New Roman" w:cs="Times New Roman"/>
          <w:color w:val="000000" w:themeColor="text1"/>
          <w:sz w:val="24"/>
          <w:szCs w:val="24"/>
        </w:rPr>
        <w:t xml:space="preserve"> </w:t>
      </w:r>
      <w:r w:rsidR="002C7F24">
        <w:rPr>
          <w:rFonts w:ascii="Times New Roman" w:hAnsi="Times New Roman" w:cs="Times New Roman"/>
          <w:color w:val="000000" w:themeColor="text1"/>
          <w:sz w:val="24"/>
          <w:szCs w:val="24"/>
        </w:rPr>
        <w:t xml:space="preserve">higher levels of </w:t>
      </w:r>
      <w:r w:rsidRPr="008C3932">
        <w:rPr>
          <w:rFonts w:ascii="Times New Roman" w:hAnsi="Times New Roman" w:cs="Times New Roman"/>
          <w:color w:val="000000" w:themeColor="text1"/>
          <w:sz w:val="24"/>
          <w:szCs w:val="24"/>
        </w:rPr>
        <w:t>pandemic paranoia.  The findings contribute to the growing understanding of the psychological impact of the pandemic</w:t>
      </w:r>
      <w:r>
        <w:rPr>
          <w:rFonts w:ascii="Times New Roman" w:hAnsi="Times New Roman" w:cs="Times New Roman"/>
          <w:color w:val="000000" w:themeColor="text1"/>
          <w:sz w:val="24"/>
          <w:szCs w:val="24"/>
        </w:rPr>
        <w:t xml:space="preserve"> across the globe</w:t>
      </w:r>
      <w:r w:rsidRPr="008C3932">
        <w:rPr>
          <w:rFonts w:ascii="Times New Roman" w:hAnsi="Times New Roman" w:cs="Times New Roman"/>
          <w:color w:val="000000" w:themeColor="text1"/>
          <w:sz w:val="24"/>
          <w:szCs w:val="24"/>
        </w:rPr>
        <w:t>.</w:t>
      </w:r>
    </w:p>
    <w:p w14:paraId="696B0FD6" w14:textId="77777777" w:rsidR="00243DF4" w:rsidRDefault="00243DF4" w:rsidP="00243DF4">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br w:type="page"/>
      </w:r>
    </w:p>
    <w:p w14:paraId="4B4B7F06" w14:textId="77777777" w:rsidR="00243DF4" w:rsidRPr="008C3932" w:rsidRDefault="00243DF4" w:rsidP="00243DF4">
      <w:pPr>
        <w:rPr>
          <w:rFonts w:ascii="Times New Roman" w:eastAsia="DengXian" w:hAnsi="Times New Roman" w:cs="Times New Roman"/>
          <w:color w:val="000000" w:themeColor="text1"/>
          <w:sz w:val="24"/>
          <w:szCs w:val="24"/>
          <w:shd w:val="clear" w:color="auto" w:fill="FFFFFF"/>
          <w:lang w:eastAsia="zh-CN"/>
        </w:rPr>
      </w:pPr>
      <w:r w:rsidRPr="008C3932">
        <w:rPr>
          <w:rFonts w:ascii="Times New Roman" w:hAnsi="Times New Roman" w:cs="Times New Roman"/>
          <w:b/>
          <w:bCs/>
          <w:color w:val="000000" w:themeColor="text1"/>
          <w:sz w:val="24"/>
          <w:szCs w:val="24"/>
          <w:shd w:val="clear" w:color="auto" w:fill="FFFFFF"/>
        </w:rPr>
        <w:lastRenderedPageBreak/>
        <w:t>Declaration of Interest:</w:t>
      </w:r>
      <w:r w:rsidRPr="008C3932">
        <w:rPr>
          <w:rFonts w:ascii="Times New Roman" w:hAnsi="Times New Roman" w:cs="Times New Roman"/>
          <w:color w:val="000000" w:themeColor="text1"/>
          <w:sz w:val="24"/>
          <w:szCs w:val="24"/>
          <w:shd w:val="clear" w:color="auto" w:fill="FFFFFF"/>
        </w:rPr>
        <w:t xml:space="preserve"> None</w:t>
      </w:r>
      <w:r w:rsidRPr="008C3932">
        <w:rPr>
          <w:rFonts w:ascii="Times New Roman" w:eastAsia="DengXian" w:hAnsi="Times New Roman" w:cs="Times New Roman"/>
          <w:color w:val="000000" w:themeColor="text1"/>
          <w:sz w:val="24"/>
          <w:szCs w:val="24"/>
          <w:shd w:val="clear" w:color="auto" w:fill="FFFFFF"/>
          <w:lang w:eastAsia="zh-CN"/>
        </w:rPr>
        <w:t>.</w:t>
      </w:r>
    </w:p>
    <w:p w14:paraId="2A54F3CE" w14:textId="77777777" w:rsidR="00243DF4" w:rsidRPr="008C3932" w:rsidRDefault="00243DF4" w:rsidP="00243DF4">
      <w:pPr>
        <w:spacing w:after="0" w:line="480" w:lineRule="auto"/>
        <w:rPr>
          <w:rFonts w:ascii="Times New Roman" w:hAnsi="Times New Roman" w:cs="Times New Roman"/>
          <w:b/>
          <w:bCs/>
          <w:color w:val="000000" w:themeColor="text1"/>
          <w:sz w:val="24"/>
          <w:szCs w:val="24"/>
          <w:shd w:val="clear" w:color="auto" w:fill="FFFFFF"/>
        </w:rPr>
      </w:pPr>
    </w:p>
    <w:p w14:paraId="1819EB86" w14:textId="77777777" w:rsidR="00243DF4" w:rsidRPr="008C3932" w:rsidRDefault="00243DF4" w:rsidP="00243DF4">
      <w:pPr>
        <w:spacing w:after="0" w:line="480" w:lineRule="auto"/>
        <w:rPr>
          <w:rFonts w:ascii="Times New Roman" w:hAnsi="Times New Roman" w:cs="Times New Roman"/>
          <w:color w:val="000000" w:themeColor="text1"/>
          <w:sz w:val="24"/>
          <w:szCs w:val="24"/>
          <w:shd w:val="clear" w:color="auto" w:fill="FFFFFF"/>
        </w:rPr>
      </w:pPr>
      <w:r w:rsidRPr="008C3932">
        <w:rPr>
          <w:rFonts w:ascii="Times New Roman" w:hAnsi="Times New Roman" w:cs="Times New Roman"/>
          <w:b/>
          <w:bCs/>
          <w:color w:val="000000" w:themeColor="text1"/>
          <w:sz w:val="24"/>
          <w:szCs w:val="24"/>
          <w:shd w:val="clear" w:color="auto" w:fill="FFFFFF"/>
        </w:rPr>
        <w:t xml:space="preserve">Funding Statement: </w:t>
      </w:r>
      <w:r w:rsidRPr="008C3932">
        <w:rPr>
          <w:rFonts w:ascii="Times New Roman" w:hAnsi="Times New Roman" w:cs="Times New Roman"/>
          <w:color w:val="000000" w:themeColor="text1"/>
          <w:sz w:val="24"/>
          <w:szCs w:val="24"/>
          <w:shd w:val="clear" w:color="auto" w:fill="FFFFFF"/>
        </w:rPr>
        <w:t>This research received no specific grant from any funding agency, commercial or not-for-profit sectors.</w:t>
      </w:r>
    </w:p>
    <w:p w14:paraId="356D244F" w14:textId="77777777" w:rsidR="00243DF4" w:rsidRPr="008C3932" w:rsidRDefault="00243DF4" w:rsidP="00243DF4">
      <w:pPr>
        <w:spacing w:after="0" w:line="480" w:lineRule="auto"/>
        <w:rPr>
          <w:rFonts w:ascii="Times New Roman" w:hAnsi="Times New Roman" w:cs="Times New Roman"/>
          <w:color w:val="000000" w:themeColor="text1"/>
          <w:sz w:val="24"/>
          <w:szCs w:val="24"/>
          <w:shd w:val="clear" w:color="auto" w:fill="FFFFFF"/>
        </w:rPr>
      </w:pPr>
    </w:p>
    <w:p w14:paraId="3716C01E" w14:textId="77777777" w:rsidR="00243DF4" w:rsidRPr="00867111" w:rsidRDefault="00243DF4" w:rsidP="00243DF4">
      <w:pPr>
        <w:spacing w:after="0" w:line="480" w:lineRule="auto"/>
        <w:rPr>
          <w:rFonts w:ascii="Times New Roman" w:hAnsi="Times New Roman" w:cs="Times New Roman"/>
          <w:bCs/>
          <w:color w:val="000000" w:themeColor="text1"/>
          <w:sz w:val="24"/>
          <w:szCs w:val="24"/>
          <w:shd w:val="clear" w:color="auto" w:fill="FFFFFF"/>
        </w:rPr>
      </w:pPr>
      <w:r w:rsidRPr="00170503">
        <w:rPr>
          <w:rFonts w:ascii="Times New Roman" w:hAnsi="Times New Roman" w:cs="Times New Roman"/>
          <w:b/>
          <w:bCs/>
          <w:color w:val="000000" w:themeColor="text1"/>
          <w:sz w:val="24"/>
          <w:szCs w:val="24"/>
          <w:shd w:val="clear" w:color="auto" w:fill="FFFFFF"/>
        </w:rPr>
        <w:t xml:space="preserve">Author Contribution: </w:t>
      </w:r>
      <w:r w:rsidRPr="00170503">
        <w:rPr>
          <w:rFonts w:ascii="Times New Roman" w:hAnsi="Times New Roman" w:cs="Times New Roman"/>
          <w:bCs/>
          <w:color w:val="000000" w:themeColor="text1"/>
          <w:sz w:val="24"/>
          <w:szCs w:val="24"/>
          <w:shd w:val="clear" w:color="auto" w:fill="FFFFFF"/>
        </w:rPr>
        <w:t>LE,</w:t>
      </w:r>
      <w:r>
        <w:rPr>
          <w:rFonts w:ascii="Times New Roman" w:hAnsi="Times New Roman" w:cs="Times New Roman"/>
          <w:bCs/>
          <w:color w:val="000000" w:themeColor="text1"/>
          <w:sz w:val="24"/>
          <w:szCs w:val="24"/>
          <w:shd w:val="clear" w:color="auto" w:fill="FFFFFF"/>
        </w:rPr>
        <w:t xml:space="preserve"> JK, SS, EM, TL &amp; BG all designed and carried out the study.  CZ, LE and BS conducted the data analyses.  LE wrote the manuscript.  All authors provided critical revisions and approved the final version of the manuscript.</w:t>
      </w:r>
    </w:p>
    <w:p w14:paraId="7ED51B6E" w14:textId="7AAA0A51" w:rsidR="00243DF4" w:rsidRDefault="00243DF4" w:rsidP="00243DF4">
      <w:pPr>
        <w:spacing w:after="0" w:line="480" w:lineRule="auto"/>
        <w:rPr>
          <w:rFonts w:ascii="Times New Roman" w:hAnsi="Times New Roman" w:cs="Times New Roman"/>
          <w:b/>
          <w:bCs/>
          <w:color w:val="000000" w:themeColor="text1"/>
          <w:sz w:val="24"/>
          <w:szCs w:val="24"/>
          <w:shd w:val="clear" w:color="auto" w:fill="FFFFFF"/>
        </w:rPr>
      </w:pPr>
    </w:p>
    <w:p w14:paraId="685AB3DE" w14:textId="12BA017C" w:rsidR="00225359" w:rsidRPr="00225359" w:rsidRDefault="00225359" w:rsidP="00243DF4">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Data Availability Statement: </w:t>
      </w:r>
      <w:r>
        <w:rPr>
          <w:rFonts w:ascii="Times New Roman" w:hAnsi="Times New Roman" w:cs="Times New Roman"/>
          <w:color w:val="000000" w:themeColor="text1"/>
          <w:sz w:val="24"/>
          <w:szCs w:val="24"/>
          <w:shd w:val="clear" w:color="auto" w:fill="FFFFFF"/>
        </w:rPr>
        <w:t xml:space="preserve">The UK dataset is available - </w:t>
      </w:r>
      <w:r w:rsidRPr="00225359">
        <w:rPr>
          <w:rFonts w:ascii="Times New Roman" w:hAnsi="Times New Roman" w:cs="Times New Roman"/>
          <w:color w:val="000000" w:themeColor="text1"/>
          <w:sz w:val="24"/>
          <w:szCs w:val="24"/>
          <w:shd w:val="clear" w:color="auto" w:fill="FFFFFF"/>
        </w:rPr>
        <w:t>https://osf.io/8jtgv/</w:t>
      </w:r>
      <w:r>
        <w:rPr>
          <w:rFonts w:ascii="Times New Roman" w:hAnsi="Times New Roman" w:cs="Times New Roman"/>
          <w:color w:val="000000" w:themeColor="text1"/>
          <w:sz w:val="24"/>
          <w:szCs w:val="24"/>
          <w:shd w:val="clear" w:color="auto" w:fill="FFFFFF"/>
        </w:rPr>
        <w:t>.</w:t>
      </w:r>
    </w:p>
    <w:p w14:paraId="02326656"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628CA910"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493EB104" w14:textId="77777777" w:rsidR="00243DF4" w:rsidRDefault="00243DF4" w:rsidP="00243DF4">
      <w:pPr>
        <w:spacing w:line="360" w:lineRule="auto"/>
        <w:jc w:val="center"/>
        <w:rPr>
          <w:rFonts w:ascii="Times New Roman" w:hAnsi="Times New Roman" w:cs="Times New Roman"/>
          <w:b/>
          <w:color w:val="000000" w:themeColor="text1"/>
          <w:sz w:val="24"/>
          <w:szCs w:val="24"/>
        </w:rPr>
      </w:pPr>
    </w:p>
    <w:p w14:paraId="0519CE02" w14:textId="77777777" w:rsidR="00243DF4" w:rsidRDefault="00243DF4" w:rsidP="00243D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A00D740" w14:textId="77777777" w:rsidR="00243DF4" w:rsidRDefault="00243DF4" w:rsidP="00243DF4">
      <w:pPr>
        <w:spacing w:line="360" w:lineRule="auto"/>
        <w:jc w:val="center"/>
        <w:rPr>
          <w:rFonts w:ascii="Times New Roman" w:hAnsi="Times New Roman" w:cs="Times New Roman"/>
          <w:b/>
          <w:color w:val="000000" w:themeColor="text1"/>
          <w:sz w:val="24"/>
          <w:szCs w:val="24"/>
        </w:rPr>
      </w:pPr>
      <w:r w:rsidRPr="008C3932">
        <w:rPr>
          <w:rFonts w:ascii="Times New Roman" w:hAnsi="Times New Roman" w:cs="Times New Roman"/>
          <w:b/>
          <w:color w:val="000000" w:themeColor="text1"/>
          <w:sz w:val="24"/>
          <w:szCs w:val="24"/>
        </w:rPr>
        <w:lastRenderedPageBreak/>
        <w:t>References</w:t>
      </w:r>
    </w:p>
    <w:p w14:paraId="5BA69F13" w14:textId="5A701CAC" w:rsidR="00FE4E58" w:rsidRPr="00315ECD" w:rsidRDefault="00225359" w:rsidP="00ED2487">
      <w:pPr>
        <w:spacing w:after="200" w:line="480" w:lineRule="auto"/>
        <w:ind w:left="720" w:hanging="720"/>
        <w:rPr>
          <w:rFonts w:ascii="Times New Roman" w:eastAsia="Calibri" w:hAnsi="Times New Roman" w:cs="Times New Roman"/>
          <w:sz w:val="24"/>
          <w:szCs w:val="24"/>
        </w:rPr>
      </w:pPr>
      <w:r w:rsidRPr="00267EA6">
        <w:rPr>
          <w:rFonts w:ascii="Times New Roman" w:hAnsi="Times New Roman" w:cs="Times New Roman"/>
          <w:color w:val="222222"/>
          <w:sz w:val="24"/>
          <w:szCs w:val="24"/>
          <w:shd w:val="clear" w:color="auto" w:fill="FFFFFF"/>
        </w:rPr>
        <w:t xml:space="preserve">Bebbington, P. E., McBride, O., Steel, C., Kuipers, E., </w:t>
      </w:r>
      <w:proofErr w:type="spellStart"/>
      <w:r w:rsidRPr="00267EA6">
        <w:rPr>
          <w:rFonts w:ascii="Times New Roman" w:hAnsi="Times New Roman" w:cs="Times New Roman"/>
          <w:color w:val="222222"/>
          <w:sz w:val="24"/>
          <w:szCs w:val="24"/>
          <w:shd w:val="clear" w:color="auto" w:fill="FFFFFF"/>
        </w:rPr>
        <w:t>Radovanoviĉ</w:t>
      </w:r>
      <w:proofErr w:type="spellEnd"/>
      <w:r w:rsidRPr="00267EA6">
        <w:rPr>
          <w:rFonts w:ascii="Times New Roman" w:hAnsi="Times New Roman" w:cs="Times New Roman"/>
          <w:color w:val="222222"/>
          <w:sz w:val="24"/>
          <w:szCs w:val="24"/>
          <w:shd w:val="clear" w:color="auto" w:fill="FFFFFF"/>
        </w:rPr>
        <w:t xml:space="preserve">, M., </w:t>
      </w:r>
      <w:proofErr w:type="spellStart"/>
      <w:r w:rsidRPr="00267EA6">
        <w:rPr>
          <w:rFonts w:ascii="Times New Roman" w:hAnsi="Times New Roman" w:cs="Times New Roman"/>
          <w:color w:val="222222"/>
          <w:sz w:val="24"/>
          <w:szCs w:val="24"/>
          <w:shd w:val="clear" w:color="auto" w:fill="FFFFFF"/>
        </w:rPr>
        <w:t>Brugha</w:t>
      </w:r>
      <w:proofErr w:type="spellEnd"/>
      <w:r w:rsidRPr="00267EA6">
        <w:rPr>
          <w:rFonts w:ascii="Times New Roman" w:hAnsi="Times New Roman" w:cs="Times New Roman"/>
          <w:color w:val="222222"/>
          <w:sz w:val="24"/>
          <w:szCs w:val="24"/>
          <w:shd w:val="clear" w:color="auto" w:fill="FFFFFF"/>
        </w:rPr>
        <w:t>, T., ... &amp; Freeman, D. (2013). The structure of paranoia in the general population. </w:t>
      </w:r>
      <w:r w:rsidRPr="00267EA6">
        <w:rPr>
          <w:rFonts w:ascii="Times New Roman" w:hAnsi="Times New Roman" w:cs="Times New Roman"/>
          <w:i/>
          <w:iCs/>
          <w:color w:val="222222"/>
          <w:sz w:val="24"/>
          <w:szCs w:val="24"/>
          <w:shd w:val="clear" w:color="auto" w:fill="FFFFFF"/>
        </w:rPr>
        <w:t>The British Journal of Psychiatry</w:t>
      </w:r>
      <w:r w:rsidRPr="00267EA6">
        <w:rPr>
          <w:rFonts w:ascii="Times New Roman" w:hAnsi="Times New Roman" w:cs="Times New Roman"/>
          <w:color w:val="222222"/>
          <w:sz w:val="24"/>
          <w:szCs w:val="24"/>
          <w:shd w:val="clear" w:color="auto" w:fill="FFFFFF"/>
        </w:rPr>
        <w:t>, </w:t>
      </w:r>
      <w:r w:rsidRPr="00267EA6">
        <w:rPr>
          <w:rFonts w:ascii="Times New Roman" w:hAnsi="Times New Roman" w:cs="Times New Roman"/>
          <w:i/>
          <w:iCs/>
          <w:color w:val="222222"/>
          <w:sz w:val="24"/>
          <w:szCs w:val="24"/>
          <w:shd w:val="clear" w:color="auto" w:fill="FFFFFF"/>
        </w:rPr>
        <w:t>202</w:t>
      </w:r>
      <w:r w:rsidRPr="00267EA6">
        <w:rPr>
          <w:rFonts w:ascii="Times New Roman" w:hAnsi="Times New Roman" w:cs="Times New Roman"/>
          <w:color w:val="222222"/>
          <w:sz w:val="24"/>
          <w:szCs w:val="24"/>
          <w:shd w:val="clear" w:color="auto" w:fill="FFFFFF"/>
        </w:rPr>
        <w:t>(6), 419-427.</w:t>
      </w:r>
      <w:r w:rsidR="007138C7">
        <w:rPr>
          <w:rFonts w:ascii="Times New Roman" w:hAnsi="Times New Roman" w:cs="Times New Roman"/>
          <w:color w:val="222222"/>
          <w:sz w:val="24"/>
          <w:szCs w:val="24"/>
          <w:shd w:val="clear" w:color="auto" w:fill="FFFFFF"/>
        </w:rPr>
        <w:t xml:space="preserve"> </w:t>
      </w:r>
      <w:proofErr w:type="spellStart"/>
      <w:r w:rsidR="00315ECD">
        <w:rPr>
          <w:rFonts w:ascii="Times New Roman" w:hAnsi="Times New Roman" w:cs="Times New Roman"/>
          <w:color w:val="222222"/>
          <w:sz w:val="24"/>
          <w:szCs w:val="24"/>
          <w:shd w:val="clear" w:color="auto" w:fill="FFFFFF"/>
        </w:rPr>
        <w:t>d</w:t>
      </w:r>
      <w:r w:rsidR="00B23CE6">
        <w:rPr>
          <w:rFonts w:ascii="Times New Roman" w:hAnsi="Times New Roman" w:cs="Times New Roman"/>
          <w:color w:val="222222"/>
          <w:sz w:val="24"/>
          <w:szCs w:val="24"/>
          <w:shd w:val="clear" w:color="auto" w:fill="FFFFFF"/>
        </w:rPr>
        <w:t>oi</w:t>
      </w:r>
      <w:proofErr w:type="spellEnd"/>
      <w:r w:rsidR="007138C7" w:rsidRPr="00315ECD">
        <w:rPr>
          <w:rFonts w:ascii="Times New Roman" w:hAnsi="Times New Roman" w:cs="Times New Roman"/>
          <w:sz w:val="24"/>
          <w:szCs w:val="24"/>
        </w:rPr>
        <w:t>: </w:t>
      </w:r>
      <w:hyperlink r:id="rId9" w:tgtFrame="_blank" w:history="1">
        <w:r w:rsidR="007138C7" w:rsidRPr="00315ECD">
          <w:rPr>
            <w:rStyle w:val="Hyperlink"/>
            <w:rFonts w:ascii="Times New Roman" w:hAnsi="Times New Roman" w:cs="Times New Roman"/>
            <w:color w:val="auto"/>
            <w:sz w:val="24"/>
            <w:szCs w:val="24"/>
            <w:u w:val="none"/>
          </w:rPr>
          <w:t>https://doi.org/10.1192/bjp.bp.112.119032</w:t>
        </w:r>
      </w:hyperlink>
      <w:r w:rsidR="00364FC6">
        <w:rPr>
          <w:rFonts w:ascii="Times New Roman" w:hAnsi="Times New Roman" w:cs="Times New Roman"/>
          <w:sz w:val="24"/>
          <w:szCs w:val="24"/>
        </w:rPr>
        <w:t>.</w:t>
      </w:r>
      <w:r w:rsidR="00FE4E58" w:rsidRPr="00315ECD">
        <w:rPr>
          <w:rFonts w:ascii="Times New Roman" w:eastAsia="Calibri" w:hAnsi="Times New Roman" w:cs="Times New Roman"/>
          <w:sz w:val="24"/>
          <w:szCs w:val="24"/>
        </w:rPr>
        <w:t xml:space="preserve"> </w:t>
      </w:r>
    </w:p>
    <w:p w14:paraId="5A24A541" w14:textId="3F50DB29" w:rsidR="002154FB" w:rsidRPr="00267EA6" w:rsidRDefault="00805FC7" w:rsidP="002154FB">
      <w:pPr>
        <w:spacing w:after="200" w:line="480" w:lineRule="auto"/>
        <w:ind w:left="720" w:hanging="720"/>
        <w:rPr>
          <w:rFonts w:ascii="Times New Roman" w:eastAsia="Calibri" w:hAnsi="Times New Roman" w:cs="Times New Roman"/>
          <w:sz w:val="24"/>
          <w:szCs w:val="24"/>
        </w:rPr>
      </w:pPr>
      <w:r w:rsidRPr="00267EA6">
        <w:rPr>
          <w:rFonts w:ascii="Times New Roman" w:eastAsia="Calibri" w:hAnsi="Times New Roman" w:cs="Times New Roman"/>
          <w:sz w:val="24"/>
          <w:szCs w:val="24"/>
          <w:highlight w:val="white"/>
        </w:rPr>
        <w:t xml:space="preserve">Bird, J., Evans, R., Waite, F., </w:t>
      </w:r>
      <w:proofErr w:type="spellStart"/>
      <w:r w:rsidRPr="00267EA6">
        <w:rPr>
          <w:rFonts w:ascii="Times New Roman" w:eastAsia="Calibri" w:hAnsi="Times New Roman" w:cs="Times New Roman"/>
          <w:sz w:val="24"/>
          <w:szCs w:val="24"/>
          <w:highlight w:val="white"/>
        </w:rPr>
        <w:t>Loe</w:t>
      </w:r>
      <w:proofErr w:type="spellEnd"/>
      <w:r w:rsidRPr="00267EA6">
        <w:rPr>
          <w:rFonts w:ascii="Times New Roman" w:eastAsia="Calibri" w:hAnsi="Times New Roman" w:cs="Times New Roman"/>
          <w:sz w:val="24"/>
          <w:szCs w:val="24"/>
          <w:highlight w:val="white"/>
        </w:rPr>
        <w:t>, B.S., &amp; Freeman, D</w:t>
      </w:r>
      <w:r w:rsidR="00072569" w:rsidRPr="00267EA6">
        <w:rPr>
          <w:rFonts w:ascii="Times New Roman" w:eastAsia="Calibri" w:hAnsi="Times New Roman" w:cs="Times New Roman"/>
          <w:sz w:val="24"/>
          <w:szCs w:val="24"/>
          <w:highlight w:val="white"/>
        </w:rPr>
        <w:t xml:space="preserve">.  (2016). Adolescent paranoia:    </w:t>
      </w:r>
      <w:r w:rsidR="00FE4E58" w:rsidRPr="00267EA6">
        <w:rPr>
          <w:rFonts w:ascii="Times New Roman" w:eastAsia="Calibri" w:hAnsi="Times New Roman" w:cs="Times New Roman"/>
          <w:sz w:val="24"/>
          <w:szCs w:val="24"/>
          <w:highlight w:val="white"/>
        </w:rPr>
        <w:t xml:space="preserve"> </w:t>
      </w:r>
      <w:r w:rsidRPr="00267EA6">
        <w:rPr>
          <w:rFonts w:ascii="Times New Roman" w:eastAsia="Calibri" w:hAnsi="Times New Roman" w:cs="Times New Roman"/>
          <w:sz w:val="24"/>
          <w:szCs w:val="24"/>
          <w:highlight w:val="white"/>
        </w:rPr>
        <w:t xml:space="preserve">prevalence, structure and causal mechanisms.  </w:t>
      </w:r>
      <w:r w:rsidRPr="00F843C7">
        <w:rPr>
          <w:rFonts w:ascii="Times New Roman" w:eastAsia="Calibri" w:hAnsi="Times New Roman" w:cs="Times New Roman"/>
          <w:i/>
          <w:sz w:val="24"/>
          <w:szCs w:val="24"/>
          <w:highlight w:val="white"/>
        </w:rPr>
        <w:t xml:space="preserve">Schizophrenia Bulletin, 45(5), </w:t>
      </w:r>
      <w:r w:rsidRPr="00F843C7">
        <w:rPr>
          <w:rFonts w:ascii="Times New Roman" w:eastAsia="Calibri" w:hAnsi="Times New Roman" w:cs="Times New Roman"/>
          <w:sz w:val="24"/>
          <w:szCs w:val="24"/>
          <w:highlight w:val="white"/>
        </w:rPr>
        <w:t>1134-1142.</w:t>
      </w:r>
      <w:r w:rsidR="00F843C7" w:rsidRPr="00F843C7">
        <w:rPr>
          <w:rFonts w:ascii="Times New Roman" w:eastAsia="Calibri" w:hAnsi="Times New Roman" w:cs="Times New Roman"/>
          <w:sz w:val="24"/>
          <w:szCs w:val="24"/>
        </w:rPr>
        <w:t xml:space="preserve"> </w:t>
      </w:r>
      <w:r w:rsidR="00F843C7">
        <w:rPr>
          <w:rFonts w:ascii="Times New Roman" w:eastAsia="Calibri" w:hAnsi="Times New Roman" w:cs="Times New Roman"/>
          <w:sz w:val="24"/>
          <w:szCs w:val="24"/>
        </w:rPr>
        <w:t xml:space="preserve"> </w:t>
      </w:r>
      <w:proofErr w:type="spellStart"/>
      <w:r w:rsidR="00F843C7">
        <w:rPr>
          <w:rFonts w:ascii="Times New Roman" w:eastAsia="Calibri" w:hAnsi="Times New Roman" w:cs="Times New Roman"/>
          <w:sz w:val="24"/>
          <w:szCs w:val="24"/>
        </w:rPr>
        <w:t>doi</w:t>
      </w:r>
      <w:proofErr w:type="spellEnd"/>
      <w:r w:rsidR="00F843C7">
        <w:rPr>
          <w:rFonts w:ascii="Times New Roman" w:eastAsia="Calibri" w:hAnsi="Times New Roman" w:cs="Times New Roman"/>
          <w:sz w:val="24"/>
          <w:szCs w:val="24"/>
        </w:rPr>
        <w:t>:</w:t>
      </w:r>
      <w:r w:rsidR="00392CD1" w:rsidRPr="00F843C7">
        <w:rPr>
          <w:rFonts w:ascii="Times New Roman" w:eastAsia="Calibri" w:hAnsi="Times New Roman" w:cs="Times New Roman"/>
          <w:sz w:val="24"/>
          <w:szCs w:val="24"/>
        </w:rPr>
        <w:t xml:space="preserve"> </w:t>
      </w:r>
      <w:r w:rsidR="00364FC6" w:rsidRPr="00F843C7">
        <w:rPr>
          <w:rFonts w:ascii="Times New Roman" w:eastAsia="Calibri" w:hAnsi="Times New Roman" w:cs="Times New Roman"/>
          <w:sz w:val="24"/>
          <w:szCs w:val="24"/>
        </w:rPr>
        <w:t xml:space="preserve"> </w:t>
      </w:r>
      <w:hyperlink r:id="rId10" w:history="1">
        <w:r w:rsidR="00364FC6" w:rsidRPr="00364FC6">
          <w:rPr>
            <w:rStyle w:val="Hyperlink"/>
            <w:rFonts w:ascii="Times New Roman" w:hAnsi="Times New Roman" w:cs="Times New Roman"/>
            <w:color w:val="auto"/>
            <w:sz w:val="24"/>
            <w:szCs w:val="24"/>
            <w:u w:val="none"/>
            <w:bdr w:val="none" w:sz="0" w:space="0" w:color="auto" w:frame="1"/>
            <w:shd w:val="clear" w:color="auto" w:fill="FFFFFF"/>
          </w:rPr>
          <w:t>https://doi.org/10.1093/schbul/sby180</w:t>
        </w:r>
      </w:hyperlink>
      <w:r w:rsidR="00364FC6">
        <w:rPr>
          <w:rFonts w:ascii="Times New Roman" w:hAnsi="Times New Roman" w:cs="Times New Roman"/>
          <w:sz w:val="24"/>
          <w:szCs w:val="24"/>
        </w:rPr>
        <w:t>.</w:t>
      </w:r>
    </w:p>
    <w:p w14:paraId="4C316EB4" w14:textId="10D86C1E" w:rsidR="002154FB" w:rsidRPr="00267EA6" w:rsidRDefault="00243DF4" w:rsidP="002154FB">
      <w:pPr>
        <w:spacing w:after="200" w:line="480" w:lineRule="auto"/>
        <w:ind w:left="720" w:hanging="720"/>
        <w:rPr>
          <w:rFonts w:ascii="Times New Roman" w:eastAsia="Calibri" w:hAnsi="Times New Roman" w:cs="Times New Roman"/>
          <w:sz w:val="24"/>
          <w:szCs w:val="24"/>
        </w:rPr>
      </w:pPr>
      <w:proofErr w:type="spellStart"/>
      <w:r w:rsidRPr="00F843C7">
        <w:rPr>
          <w:rFonts w:ascii="Times New Roman" w:hAnsi="Times New Roman" w:cs="Times New Roman"/>
          <w:color w:val="000000" w:themeColor="text1"/>
          <w:sz w:val="24"/>
          <w:szCs w:val="24"/>
        </w:rPr>
        <w:t>Bortolon</w:t>
      </w:r>
      <w:proofErr w:type="spellEnd"/>
      <w:r w:rsidRPr="00F843C7">
        <w:rPr>
          <w:rFonts w:ascii="Times New Roman" w:hAnsi="Times New Roman" w:cs="Times New Roman"/>
          <w:color w:val="000000" w:themeColor="text1"/>
          <w:sz w:val="24"/>
          <w:szCs w:val="24"/>
        </w:rPr>
        <w:t xml:space="preserve">, C., Capdevielle, D., </w:t>
      </w:r>
      <w:proofErr w:type="spellStart"/>
      <w:r w:rsidRPr="00F843C7">
        <w:rPr>
          <w:rFonts w:ascii="Times New Roman" w:hAnsi="Times New Roman" w:cs="Times New Roman"/>
          <w:color w:val="000000" w:themeColor="text1"/>
          <w:sz w:val="24"/>
          <w:szCs w:val="24"/>
        </w:rPr>
        <w:t>Dubrequucq</w:t>
      </w:r>
      <w:proofErr w:type="spellEnd"/>
      <w:r w:rsidRPr="00F843C7">
        <w:rPr>
          <w:rFonts w:ascii="Times New Roman" w:hAnsi="Times New Roman" w:cs="Times New Roman"/>
          <w:color w:val="000000" w:themeColor="text1"/>
          <w:sz w:val="24"/>
          <w:szCs w:val="24"/>
        </w:rPr>
        <w:t xml:space="preserve">, J., &amp; </w:t>
      </w:r>
      <w:proofErr w:type="spellStart"/>
      <w:r w:rsidRPr="00F843C7">
        <w:rPr>
          <w:rFonts w:ascii="Times New Roman" w:hAnsi="Times New Roman" w:cs="Times New Roman"/>
          <w:color w:val="000000" w:themeColor="text1"/>
          <w:sz w:val="24"/>
          <w:szCs w:val="24"/>
        </w:rPr>
        <w:t>Ra</w:t>
      </w:r>
      <w:r w:rsidR="0051448E" w:rsidRPr="00F843C7">
        <w:rPr>
          <w:rFonts w:ascii="Times New Roman" w:hAnsi="Times New Roman" w:cs="Times New Roman"/>
          <w:color w:val="000000" w:themeColor="text1"/>
          <w:sz w:val="24"/>
          <w:szCs w:val="24"/>
        </w:rPr>
        <w:t>ffard</w:t>
      </w:r>
      <w:proofErr w:type="spellEnd"/>
      <w:r w:rsidR="0051448E" w:rsidRPr="00F843C7">
        <w:rPr>
          <w:rFonts w:ascii="Times New Roman" w:hAnsi="Times New Roman" w:cs="Times New Roman"/>
          <w:color w:val="000000" w:themeColor="text1"/>
          <w:sz w:val="24"/>
          <w:szCs w:val="24"/>
        </w:rPr>
        <w:t xml:space="preserve">, S.  </w:t>
      </w:r>
      <w:r w:rsidR="0051448E" w:rsidRPr="00267EA6">
        <w:rPr>
          <w:rFonts w:ascii="Times New Roman" w:hAnsi="Times New Roman" w:cs="Times New Roman"/>
          <w:color w:val="000000" w:themeColor="text1"/>
          <w:sz w:val="24"/>
          <w:szCs w:val="24"/>
        </w:rPr>
        <w:t xml:space="preserve">(2021).  Persecutory </w:t>
      </w:r>
      <w:r w:rsidRPr="00267EA6">
        <w:rPr>
          <w:rFonts w:ascii="Times New Roman" w:hAnsi="Times New Roman" w:cs="Times New Roman"/>
          <w:color w:val="000000" w:themeColor="text1"/>
          <w:sz w:val="24"/>
          <w:szCs w:val="24"/>
        </w:rPr>
        <w:t xml:space="preserve">ideation </w:t>
      </w:r>
      <w:r w:rsidR="00B82EE9" w:rsidRPr="00267EA6">
        <w:rPr>
          <w:rFonts w:ascii="Times New Roman" w:hAnsi="Times New Roman" w:cs="Times New Roman"/>
          <w:color w:val="000000" w:themeColor="text1"/>
          <w:sz w:val="24"/>
          <w:szCs w:val="24"/>
        </w:rPr>
        <w:t xml:space="preserve">      </w:t>
      </w:r>
      <w:r w:rsidR="000F200D" w:rsidRPr="00267EA6">
        <w:rPr>
          <w:rFonts w:ascii="Times New Roman" w:hAnsi="Times New Roman" w:cs="Times New Roman"/>
          <w:color w:val="000000" w:themeColor="text1"/>
          <w:sz w:val="24"/>
          <w:szCs w:val="24"/>
        </w:rPr>
        <w:t xml:space="preserve">     </w:t>
      </w:r>
      <w:r w:rsidRPr="00267EA6">
        <w:rPr>
          <w:rFonts w:ascii="Times New Roman" w:hAnsi="Times New Roman" w:cs="Times New Roman"/>
          <w:color w:val="000000" w:themeColor="text1"/>
          <w:sz w:val="24"/>
          <w:szCs w:val="24"/>
        </w:rPr>
        <w:t xml:space="preserve">and anomalous experiences in the context of the COVID-19 outbreak in France: what’s left one month later?  </w:t>
      </w:r>
      <w:r w:rsidRPr="00267EA6">
        <w:rPr>
          <w:rFonts w:ascii="Times New Roman" w:hAnsi="Times New Roman" w:cs="Times New Roman"/>
          <w:i/>
          <w:color w:val="000000" w:themeColor="text1"/>
          <w:sz w:val="24"/>
          <w:szCs w:val="24"/>
        </w:rPr>
        <w:t xml:space="preserve">Journal of Psychiatric Research, 134, </w:t>
      </w:r>
      <w:r w:rsidRPr="00267EA6">
        <w:rPr>
          <w:rFonts w:ascii="Times New Roman" w:hAnsi="Times New Roman" w:cs="Times New Roman"/>
          <w:color w:val="000000" w:themeColor="text1"/>
          <w:sz w:val="24"/>
          <w:szCs w:val="24"/>
        </w:rPr>
        <w:t>215-222.</w:t>
      </w:r>
      <w:r w:rsidR="00F843C7">
        <w:rPr>
          <w:rFonts w:ascii="Times New Roman" w:hAnsi="Times New Roman" w:cs="Times New Roman"/>
          <w:color w:val="000000" w:themeColor="text1"/>
          <w:sz w:val="24"/>
          <w:szCs w:val="24"/>
        </w:rPr>
        <w:t xml:space="preserve">  </w:t>
      </w:r>
      <w:proofErr w:type="spellStart"/>
      <w:r w:rsidR="00F843C7">
        <w:rPr>
          <w:rFonts w:ascii="Times New Roman" w:hAnsi="Times New Roman" w:cs="Times New Roman"/>
          <w:color w:val="000000" w:themeColor="text1"/>
          <w:sz w:val="24"/>
          <w:szCs w:val="24"/>
        </w:rPr>
        <w:t>doi</w:t>
      </w:r>
      <w:proofErr w:type="spellEnd"/>
      <w:r w:rsidR="00F843C7">
        <w:rPr>
          <w:rFonts w:ascii="Times New Roman" w:hAnsi="Times New Roman" w:cs="Times New Roman"/>
          <w:color w:val="000000" w:themeColor="text1"/>
          <w:sz w:val="24"/>
          <w:szCs w:val="24"/>
        </w:rPr>
        <w:t>:</w:t>
      </w:r>
      <w:r w:rsidR="00176BBA">
        <w:rPr>
          <w:rFonts w:ascii="Times New Roman" w:hAnsi="Times New Roman" w:cs="Times New Roman"/>
          <w:color w:val="000000" w:themeColor="text1"/>
          <w:sz w:val="24"/>
          <w:szCs w:val="24"/>
        </w:rPr>
        <w:t xml:space="preserve">  </w:t>
      </w:r>
      <w:hyperlink r:id="rId11" w:tgtFrame="_blank" w:tooltip="Persistent link using digital object identifier" w:history="1">
        <w:r w:rsidR="00176BBA" w:rsidRPr="00176BBA">
          <w:rPr>
            <w:rStyle w:val="Hyperlink"/>
            <w:rFonts w:ascii="Times New Roman" w:hAnsi="Times New Roman" w:cs="Times New Roman"/>
            <w:color w:val="auto"/>
            <w:sz w:val="24"/>
            <w:szCs w:val="24"/>
            <w:u w:val="none"/>
          </w:rPr>
          <w:t>https://doi.org/10.1016/j.jpsychires.2020.12.042</w:t>
        </w:r>
      </w:hyperlink>
      <w:r w:rsidR="00176BBA">
        <w:rPr>
          <w:rFonts w:ascii="Times New Roman" w:hAnsi="Times New Roman" w:cs="Times New Roman"/>
          <w:sz w:val="24"/>
          <w:szCs w:val="24"/>
        </w:rPr>
        <w:t>.</w:t>
      </w:r>
    </w:p>
    <w:p w14:paraId="3EEA24C0" w14:textId="79D1E706" w:rsidR="002154FB" w:rsidRPr="00267EA6" w:rsidRDefault="009174CA" w:rsidP="002154FB">
      <w:pPr>
        <w:spacing w:after="200" w:line="480" w:lineRule="auto"/>
        <w:ind w:left="720" w:hanging="720"/>
        <w:rPr>
          <w:rFonts w:ascii="Times New Roman" w:eastAsia="Calibri" w:hAnsi="Times New Roman" w:cs="Times New Roman"/>
          <w:sz w:val="24"/>
          <w:szCs w:val="24"/>
        </w:rPr>
      </w:pPr>
      <w:proofErr w:type="spellStart"/>
      <w:r w:rsidRPr="00267EA6">
        <w:rPr>
          <w:rFonts w:ascii="Times New Roman" w:eastAsia="Calibri" w:hAnsi="Times New Roman" w:cs="Times New Roman"/>
          <w:color w:val="000000" w:themeColor="text1"/>
          <w:sz w:val="24"/>
          <w:szCs w:val="24"/>
        </w:rPr>
        <w:t>Center</w:t>
      </w:r>
      <w:proofErr w:type="spellEnd"/>
      <w:r w:rsidRPr="00267EA6">
        <w:rPr>
          <w:rFonts w:ascii="Times New Roman" w:eastAsia="Calibri" w:hAnsi="Times New Roman" w:cs="Times New Roman"/>
          <w:color w:val="000000" w:themeColor="text1"/>
          <w:sz w:val="24"/>
          <w:szCs w:val="24"/>
        </w:rPr>
        <w:t xml:space="preserve"> for Systems Science and Engineering (CSSE). COVID-19 Data Repository. John Hopkins University. Available from </w:t>
      </w:r>
      <w:hyperlink r:id="rId12" w:history="1">
        <w:r w:rsidR="002154FB" w:rsidRPr="00267EA6">
          <w:rPr>
            <w:rStyle w:val="Hyperlink"/>
            <w:rFonts w:ascii="Times New Roman" w:hAnsi="Times New Roman" w:cs="Times New Roman"/>
            <w:color w:val="auto"/>
            <w:sz w:val="24"/>
            <w:szCs w:val="24"/>
            <w:u w:val="none"/>
          </w:rPr>
          <w:t>https://github.com/CSSEGISandData/COVID-19</w:t>
        </w:r>
      </w:hyperlink>
      <w:r w:rsidRPr="00267EA6">
        <w:rPr>
          <w:rFonts w:ascii="Times New Roman" w:eastAsia="Calibri" w:hAnsi="Times New Roman" w:cs="Times New Roman"/>
          <w:sz w:val="24"/>
          <w:szCs w:val="24"/>
        </w:rPr>
        <w:t>.</w:t>
      </w:r>
    </w:p>
    <w:p w14:paraId="688B272A" w14:textId="42DD4978" w:rsidR="002154FB" w:rsidRPr="00267EA6" w:rsidRDefault="00C14F75" w:rsidP="002154FB">
      <w:pPr>
        <w:spacing w:after="200" w:line="480" w:lineRule="auto"/>
        <w:ind w:left="720" w:hanging="720"/>
        <w:rPr>
          <w:rFonts w:ascii="Times New Roman" w:hAnsi="Times New Roman" w:cs="Times New Roman"/>
          <w:color w:val="222222"/>
          <w:sz w:val="24"/>
          <w:szCs w:val="24"/>
          <w:shd w:val="clear" w:color="auto" w:fill="FFFFFF"/>
        </w:rPr>
      </w:pPr>
      <w:proofErr w:type="spellStart"/>
      <w:r w:rsidRPr="00267EA6">
        <w:rPr>
          <w:rFonts w:ascii="Times New Roman" w:hAnsi="Times New Roman" w:cs="Times New Roman"/>
          <w:color w:val="222222"/>
          <w:sz w:val="24"/>
          <w:szCs w:val="24"/>
          <w:shd w:val="clear" w:color="auto" w:fill="FFFFFF"/>
        </w:rPr>
        <w:t>Delespaul</w:t>
      </w:r>
      <w:proofErr w:type="spellEnd"/>
      <w:r w:rsidRPr="00267EA6">
        <w:rPr>
          <w:rFonts w:ascii="Times New Roman" w:hAnsi="Times New Roman" w:cs="Times New Roman"/>
          <w:color w:val="222222"/>
          <w:sz w:val="24"/>
          <w:szCs w:val="24"/>
          <w:shd w:val="clear" w:color="auto" w:fill="FFFFFF"/>
        </w:rPr>
        <w:t xml:space="preserve">, P., </w:t>
      </w:r>
      <w:proofErr w:type="spellStart"/>
      <w:r w:rsidRPr="00267EA6">
        <w:rPr>
          <w:rFonts w:ascii="Times New Roman" w:hAnsi="Times New Roman" w:cs="Times New Roman"/>
          <w:color w:val="222222"/>
          <w:sz w:val="24"/>
          <w:szCs w:val="24"/>
          <w:shd w:val="clear" w:color="auto" w:fill="FFFFFF"/>
        </w:rPr>
        <w:t>devries</w:t>
      </w:r>
      <w:proofErr w:type="spellEnd"/>
      <w:r w:rsidRPr="00267EA6">
        <w:rPr>
          <w:rFonts w:ascii="Times New Roman" w:hAnsi="Times New Roman" w:cs="Times New Roman"/>
          <w:color w:val="222222"/>
          <w:sz w:val="24"/>
          <w:szCs w:val="24"/>
          <w:shd w:val="clear" w:color="auto" w:fill="FFFFFF"/>
        </w:rPr>
        <w:t xml:space="preserve">, M., &amp; van </w:t>
      </w:r>
      <w:proofErr w:type="spellStart"/>
      <w:r w:rsidRPr="00267EA6">
        <w:rPr>
          <w:rFonts w:ascii="Times New Roman" w:hAnsi="Times New Roman" w:cs="Times New Roman"/>
          <w:color w:val="222222"/>
          <w:sz w:val="24"/>
          <w:szCs w:val="24"/>
          <w:shd w:val="clear" w:color="auto" w:fill="FFFFFF"/>
        </w:rPr>
        <w:t>Os</w:t>
      </w:r>
      <w:proofErr w:type="spellEnd"/>
      <w:r w:rsidRPr="00267EA6">
        <w:rPr>
          <w:rFonts w:ascii="Times New Roman" w:hAnsi="Times New Roman" w:cs="Times New Roman"/>
          <w:color w:val="222222"/>
          <w:sz w:val="24"/>
          <w:szCs w:val="24"/>
          <w:shd w:val="clear" w:color="auto" w:fill="FFFFFF"/>
        </w:rPr>
        <w:t>, J. (2002). Determinants of occurrence and recovery from hallucinations in daily life. </w:t>
      </w:r>
      <w:r w:rsidRPr="00267EA6">
        <w:rPr>
          <w:rFonts w:ascii="Times New Roman" w:hAnsi="Times New Roman" w:cs="Times New Roman"/>
          <w:i/>
          <w:iCs/>
          <w:color w:val="222222"/>
          <w:sz w:val="24"/>
          <w:szCs w:val="24"/>
          <w:shd w:val="clear" w:color="auto" w:fill="FFFFFF"/>
        </w:rPr>
        <w:t>Social psychiatry and psychiatric epidemiology</w:t>
      </w:r>
      <w:r w:rsidRPr="00267EA6">
        <w:rPr>
          <w:rFonts w:ascii="Times New Roman" w:hAnsi="Times New Roman" w:cs="Times New Roman"/>
          <w:color w:val="222222"/>
          <w:sz w:val="24"/>
          <w:szCs w:val="24"/>
          <w:shd w:val="clear" w:color="auto" w:fill="FFFFFF"/>
        </w:rPr>
        <w:t>, </w:t>
      </w:r>
      <w:r w:rsidRPr="00267EA6">
        <w:rPr>
          <w:rFonts w:ascii="Times New Roman" w:hAnsi="Times New Roman" w:cs="Times New Roman"/>
          <w:i/>
          <w:iCs/>
          <w:color w:val="222222"/>
          <w:sz w:val="24"/>
          <w:szCs w:val="24"/>
          <w:shd w:val="clear" w:color="auto" w:fill="FFFFFF"/>
        </w:rPr>
        <w:t>37</w:t>
      </w:r>
      <w:r w:rsidRPr="00267EA6">
        <w:rPr>
          <w:rFonts w:ascii="Times New Roman" w:hAnsi="Times New Roman" w:cs="Times New Roman"/>
          <w:color w:val="222222"/>
          <w:sz w:val="24"/>
          <w:szCs w:val="24"/>
          <w:shd w:val="clear" w:color="auto" w:fill="FFFFFF"/>
        </w:rPr>
        <w:t>(3), 97-104.</w:t>
      </w:r>
      <w:r w:rsidR="002E51EA" w:rsidRPr="00267EA6">
        <w:rPr>
          <w:rFonts w:ascii="Times New Roman" w:hAnsi="Times New Roman" w:cs="Times New Roman"/>
          <w:color w:val="222222"/>
          <w:sz w:val="24"/>
          <w:szCs w:val="24"/>
          <w:shd w:val="clear" w:color="auto" w:fill="FFFFFF"/>
        </w:rPr>
        <w:t xml:space="preserve"> </w:t>
      </w:r>
      <w:proofErr w:type="spellStart"/>
      <w:r w:rsidR="00F843C7" w:rsidRPr="00F843C7">
        <w:rPr>
          <w:rFonts w:ascii="Times New Roman" w:hAnsi="Times New Roman" w:cs="Times New Roman"/>
          <w:color w:val="222222"/>
          <w:sz w:val="24"/>
          <w:szCs w:val="24"/>
          <w:shd w:val="clear" w:color="auto" w:fill="FFFFFF"/>
        </w:rPr>
        <w:t>doi</w:t>
      </w:r>
      <w:proofErr w:type="spellEnd"/>
      <w:r w:rsidR="00F843C7" w:rsidRPr="00F843C7">
        <w:rPr>
          <w:rFonts w:ascii="Times New Roman" w:hAnsi="Times New Roman" w:cs="Times New Roman"/>
          <w:color w:val="222222"/>
          <w:sz w:val="24"/>
          <w:szCs w:val="24"/>
          <w:shd w:val="clear" w:color="auto" w:fill="FFFFFF"/>
        </w:rPr>
        <w:t>:</w:t>
      </w:r>
      <w:r w:rsidR="002E51EA" w:rsidRPr="00F843C7">
        <w:rPr>
          <w:rFonts w:ascii="Times New Roman" w:hAnsi="Times New Roman" w:cs="Times New Roman"/>
          <w:color w:val="222222"/>
          <w:sz w:val="24"/>
          <w:szCs w:val="24"/>
          <w:shd w:val="clear" w:color="auto" w:fill="FFFFFF"/>
        </w:rPr>
        <w:t xml:space="preserve"> </w:t>
      </w:r>
      <w:r w:rsidR="00F843C7" w:rsidRPr="00F843C7">
        <w:rPr>
          <w:rFonts w:ascii="Times New Roman" w:hAnsi="Times New Roman" w:cs="Times New Roman"/>
          <w:color w:val="333333"/>
          <w:sz w:val="24"/>
          <w:szCs w:val="24"/>
          <w:shd w:val="clear" w:color="auto" w:fill="FCFCFC"/>
        </w:rPr>
        <w:t>https://doi.org/10.1007/s001270200000</w:t>
      </w:r>
      <w:r w:rsidR="00F843C7">
        <w:rPr>
          <w:rFonts w:ascii="Times New Roman" w:hAnsi="Times New Roman" w:cs="Times New Roman"/>
          <w:color w:val="222222"/>
          <w:sz w:val="24"/>
          <w:szCs w:val="24"/>
          <w:shd w:val="clear" w:color="auto" w:fill="FFFFFF"/>
        </w:rPr>
        <w:t>.</w:t>
      </w:r>
      <w:r w:rsidR="002E51EA" w:rsidRPr="00267EA6">
        <w:rPr>
          <w:rFonts w:ascii="Times New Roman" w:hAnsi="Times New Roman" w:cs="Times New Roman"/>
          <w:color w:val="222222"/>
          <w:sz w:val="24"/>
          <w:szCs w:val="24"/>
          <w:shd w:val="clear" w:color="auto" w:fill="FFFFFF"/>
        </w:rPr>
        <w:t xml:space="preserve">                                                                                                                                   </w:t>
      </w:r>
    </w:p>
    <w:p w14:paraId="52DE561C" w14:textId="455CE266" w:rsidR="002154FB" w:rsidRPr="00CD202C" w:rsidRDefault="00243DF4" w:rsidP="002154FB">
      <w:pPr>
        <w:spacing w:after="200" w:line="480" w:lineRule="auto"/>
        <w:ind w:left="720" w:hanging="720"/>
        <w:rPr>
          <w:rFonts w:ascii="Times New Roman" w:hAnsi="Times New Roman" w:cs="Times New Roman"/>
          <w:color w:val="000000" w:themeColor="text1"/>
          <w:sz w:val="24"/>
          <w:szCs w:val="24"/>
        </w:rPr>
      </w:pPr>
      <w:r w:rsidRPr="00267EA6">
        <w:rPr>
          <w:rFonts w:ascii="Times New Roman" w:hAnsi="Times New Roman" w:cs="Times New Roman"/>
          <w:color w:val="000000" w:themeColor="text1"/>
          <w:sz w:val="24"/>
          <w:szCs w:val="24"/>
        </w:rPr>
        <w:t xml:space="preserve">Deng, L., &amp; Yuan, K.H.  (2016).  Comparing latent means without mean structure models: A projection-based approach.  </w:t>
      </w:r>
      <w:r w:rsidRPr="00267EA6">
        <w:rPr>
          <w:rFonts w:ascii="Times New Roman" w:hAnsi="Times New Roman" w:cs="Times New Roman"/>
          <w:i/>
          <w:color w:val="000000" w:themeColor="text1"/>
          <w:sz w:val="24"/>
          <w:szCs w:val="24"/>
        </w:rPr>
        <w:t xml:space="preserve">Psychometrika, 81, </w:t>
      </w:r>
      <w:r w:rsidRPr="00267EA6">
        <w:rPr>
          <w:rFonts w:ascii="Times New Roman" w:hAnsi="Times New Roman" w:cs="Times New Roman"/>
          <w:color w:val="000000" w:themeColor="text1"/>
          <w:sz w:val="24"/>
          <w:szCs w:val="24"/>
        </w:rPr>
        <w:t>802-829</w:t>
      </w:r>
      <w:r w:rsidRPr="00CD202C">
        <w:rPr>
          <w:rFonts w:ascii="Times New Roman" w:hAnsi="Times New Roman" w:cs="Times New Roman"/>
          <w:color w:val="000000" w:themeColor="text1"/>
          <w:sz w:val="24"/>
          <w:szCs w:val="24"/>
        </w:rPr>
        <w:t>.</w:t>
      </w:r>
      <w:r w:rsidR="00CD202C" w:rsidRPr="00CD202C">
        <w:rPr>
          <w:rFonts w:ascii="Times New Roman" w:hAnsi="Times New Roman" w:cs="Times New Roman"/>
          <w:color w:val="000000" w:themeColor="text1"/>
          <w:sz w:val="24"/>
          <w:szCs w:val="24"/>
        </w:rPr>
        <w:t xml:space="preserve">  </w:t>
      </w:r>
      <w:proofErr w:type="spellStart"/>
      <w:r w:rsidR="00CD202C" w:rsidRPr="00CD202C">
        <w:rPr>
          <w:rFonts w:ascii="Times New Roman" w:hAnsi="Times New Roman" w:cs="Times New Roman"/>
          <w:sz w:val="24"/>
          <w:szCs w:val="24"/>
        </w:rPr>
        <w:t>doi</w:t>
      </w:r>
      <w:proofErr w:type="spellEnd"/>
      <w:r w:rsidR="00CD202C" w:rsidRPr="00CD202C">
        <w:rPr>
          <w:rFonts w:ascii="Times New Roman" w:hAnsi="Times New Roman" w:cs="Times New Roman"/>
          <w:sz w:val="24"/>
          <w:szCs w:val="24"/>
        </w:rPr>
        <w:t>: 10.1007/s11336-015-9491-8</w:t>
      </w:r>
      <w:r w:rsidR="00CD202C">
        <w:rPr>
          <w:rFonts w:ascii="Times New Roman" w:hAnsi="Times New Roman" w:cs="Times New Roman"/>
          <w:sz w:val="24"/>
          <w:szCs w:val="24"/>
        </w:rPr>
        <w:t>.</w:t>
      </w:r>
      <w:r w:rsidR="002154FB" w:rsidRPr="00CD202C">
        <w:rPr>
          <w:rFonts w:ascii="Times New Roman" w:hAnsi="Times New Roman" w:cs="Times New Roman"/>
          <w:color w:val="000000" w:themeColor="text1"/>
          <w:sz w:val="24"/>
          <w:szCs w:val="24"/>
        </w:rPr>
        <w:t xml:space="preserve">                                                 </w:t>
      </w:r>
    </w:p>
    <w:p w14:paraId="64DCE464" w14:textId="618A2DF7" w:rsidR="002154FB" w:rsidRPr="00EB54DB" w:rsidRDefault="001C072E" w:rsidP="002154FB">
      <w:pPr>
        <w:spacing w:after="200" w:line="480" w:lineRule="auto"/>
        <w:ind w:left="720" w:hanging="720"/>
        <w:rPr>
          <w:rFonts w:ascii="Times New Roman" w:hAnsi="Times New Roman" w:cs="Times New Roman"/>
          <w:color w:val="000000"/>
          <w:sz w:val="24"/>
          <w:szCs w:val="24"/>
        </w:rPr>
      </w:pPr>
      <w:r w:rsidRPr="00267EA6">
        <w:rPr>
          <w:rFonts w:ascii="Times New Roman" w:hAnsi="Times New Roman" w:cs="Times New Roman"/>
          <w:color w:val="000000"/>
          <w:sz w:val="24"/>
          <w:szCs w:val="24"/>
        </w:rPr>
        <w:lastRenderedPageBreak/>
        <w:t>Ellett, L., Lopes, B., &amp; Chadwick, P. (2003).  Paranoia in a nonclinical population of college</w:t>
      </w:r>
      <w:r w:rsidR="002154FB" w:rsidRPr="00267EA6">
        <w:rPr>
          <w:rFonts w:ascii="Times New Roman" w:hAnsi="Times New Roman" w:cs="Times New Roman"/>
          <w:color w:val="000000"/>
          <w:sz w:val="24"/>
          <w:szCs w:val="24"/>
        </w:rPr>
        <w:t xml:space="preserve"> </w:t>
      </w:r>
      <w:r w:rsidRPr="00267EA6">
        <w:rPr>
          <w:rFonts w:ascii="Times New Roman" w:hAnsi="Times New Roman" w:cs="Times New Roman"/>
          <w:color w:val="000000"/>
          <w:sz w:val="24"/>
          <w:szCs w:val="24"/>
        </w:rPr>
        <w:t>students.</w:t>
      </w:r>
      <w:r w:rsidRPr="00267EA6">
        <w:rPr>
          <w:rStyle w:val="apple-converted-space"/>
          <w:rFonts w:ascii="Times New Roman" w:hAnsi="Times New Roman" w:cs="Times New Roman"/>
          <w:i/>
          <w:iCs/>
          <w:color w:val="000000"/>
          <w:sz w:val="24"/>
          <w:szCs w:val="24"/>
        </w:rPr>
        <w:t> </w:t>
      </w:r>
      <w:r w:rsidRPr="00267EA6">
        <w:rPr>
          <w:rFonts w:ascii="Times New Roman" w:hAnsi="Times New Roman" w:cs="Times New Roman"/>
          <w:i/>
          <w:iCs/>
          <w:color w:val="000000"/>
          <w:sz w:val="24"/>
          <w:szCs w:val="24"/>
        </w:rPr>
        <w:t>Journal of Nervous and Mental Disease,191</w:t>
      </w:r>
      <w:r w:rsidRPr="00267EA6">
        <w:rPr>
          <w:rFonts w:ascii="Times New Roman" w:hAnsi="Times New Roman" w:cs="Times New Roman"/>
          <w:color w:val="000000"/>
          <w:sz w:val="24"/>
          <w:szCs w:val="24"/>
        </w:rPr>
        <w:t>(7): 425-430.</w:t>
      </w:r>
      <w:r w:rsidR="00EB54DB">
        <w:rPr>
          <w:rFonts w:ascii="Times New Roman" w:hAnsi="Times New Roman" w:cs="Times New Roman"/>
          <w:color w:val="000000"/>
          <w:sz w:val="24"/>
          <w:szCs w:val="24"/>
        </w:rPr>
        <w:t xml:space="preserve">  </w:t>
      </w:r>
      <w:proofErr w:type="spellStart"/>
      <w:r w:rsidR="00EB54DB" w:rsidRPr="00EB54DB">
        <w:rPr>
          <w:rFonts w:ascii="Times New Roman" w:hAnsi="Times New Roman" w:cs="Times New Roman"/>
          <w:color w:val="3B3030"/>
          <w:sz w:val="24"/>
          <w:szCs w:val="24"/>
          <w:shd w:val="clear" w:color="auto" w:fill="FFFFFF"/>
        </w:rPr>
        <w:t>doi</w:t>
      </w:r>
      <w:proofErr w:type="spellEnd"/>
      <w:r w:rsidR="00EB54DB" w:rsidRPr="00EB54DB">
        <w:rPr>
          <w:rFonts w:ascii="Times New Roman" w:hAnsi="Times New Roman" w:cs="Times New Roman"/>
          <w:color w:val="3B3030"/>
          <w:sz w:val="24"/>
          <w:szCs w:val="24"/>
          <w:shd w:val="clear" w:color="auto" w:fill="FFFFFF"/>
        </w:rPr>
        <w:t>: 10.1097/01.NMD.0000081646.33030.EF</w:t>
      </w:r>
    </w:p>
    <w:p w14:paraId="13D22CE5" w14:textId="63BBD65F" w:rsidR="002154FB" w:rsidRPr="00C1261C" w:rsidRDefault="00C7075E" w:rsidP="002154FB">
      <w:pPr>
        <w:spacing w:after="200" w:line="480" w:lineRule="auto"/>
        <w:ind w:left="720" w:hanging="720"/>
        <w:rPr>
          <w:rFonts w:ascii="Times New Roman" w:hAnsi="Times New Roman" w:cs="Times New Roman"/>
          <w:color w:val="000000"/>
          <w:sz w:val="24"/>
          <w:szCs w:val="24"/>
        </w:rPr>
      </w:pPr>
      <w:r w:rsidRPr="00267EA6">
        <w:rPr>
          <w:rFonts w:ascii="Times New Roman" w:hAnsi="Times New Roman" w:cs="Times New Roman"/>
          <w:color w:val="000000" w:themeColor="text1"/>
          <w:sz w:val="24"/>
          <w:szCs w:val="24"/>
          <w:shd w:val="clear" w:color="auto" w:fill="FFFFFF"/>
        </w:rPr>
        <w:t xml:space="preserve">Ellett, L., </w:t>
      </w:r>
      <w:proofErr w:type="spellStart"/>
      <w:r w:rsidR="00055F7F" w:rsidRPr="00267EA6">
        <w:rPr>
          <w:rFonts w:ascii="Times New Roman" w:hAnsi="Times New Roman" w:cs="Times New Roman"/>
          <w:color w:val="000000" w:themeColor="text1"/>
          <w:sz w:val="24"/>
          <w:szCs w:val="24"/>
          <w:shd w:val="clear" w:color="auto" w:fill="FFFFFF"/>
        </w:rPr>
        <w:t>Foxall</w:t>
      </w:r>
      <w:proofErr w:type="spellEnd"/>
      <w:r w:rsidR="00055F7F" w:rsidRPr="00267EA6">
        <w:rPr>
          <w:rFonts w:ascii="Times New Roman" w:hAnsi="Times New Roman" w:cs="Times New Roman"/>
          <w:color w:val="000000" w:themeColor="text1"/>
          <w:sz w:val="24"/>
          <w:szCs w:val="24"/>
          <w:shd w:val="clear" w:color="auto" w:fill="FFFFFF"/>
        </w:rPr>
        <w:t>, A., Wildschut, R.T., &amp; Chadwick, P.  (</w:t>
      </w:r>
      <w:r w:rsidR="002154FB" w:rsidRPr="00267EA6">
        <w:rPr>
          <w:rFonts w:ascii="Times New Roman" w:hAnsi="Times New Roman" w:cs="Times New Roman"/>
          <w:color w:val="000000" w:themeColor="text1"/>
          <w:sz w:val="24"/>
          <w:szCs w:val="24"/>
          <w:shd w:val="clear" w:color="auto" w:fill="FFFFFF"/>
        </w:rPr>
        <w:t>in press</w:t>
      </w:r>
      <w:r w:rsidR="00055F7F" w:rsidRPr="00267EA6">
        <w:rPr>
          <w:rFonts w:ascii="Times New Roman" w:hAnsi="Times New Roman" w:cs="Times New Roman"/>
          <w:color w:val="000000" w:themeColor="text1"/>
          <w:sz w:val="24"/>
          <w:szCs w:val="24"/>
          <w:shd w:val="clear" w:color="auto" w:fill="FFFFFF"/>
        </w:rPr>
        <w:t xml:space="preserve">).  </w:t>
      </w:r>
      <w:r w:rsidR="007D4B57" w:rsidRPr="00267EA6">
        <w:rPr>
          <w:rFonts w:ascii="Times New Roman" w:hAnsi="Times New Roman" w:cs="Times New Roman"/>
          <w:color w:val="000000" w:themeColor="text1"/>
          <w:sz w:val="24"/>
          <w:szCs w:val="24"/>
          <w:shd w:val="clear" w:color="auto" w:fill="FFFFFF"/>
        </w:rPr>
        <w:t xml:space="preserve">Dispositional forgiveness buffers paranoia following interpersonal transgression.  </w:t>
      </w:r>
      <w:r w:rsidR="007D4B57" w:rsidRPr="00267EA6">
        <w:rPr>
          <w:rFonts w:ascii="Times New Roman" w:hAnsi="Times New Roman" w:cs="Times New Roman"/>
          <w:i/>
          <w:iCs/>
          <w:color w:val="000000" w:themeColor="text1"/>
          <w:sz w:val="24"/>
          <w:szCs w:val="24"/>
          <w:shd w:val="clear" w:color="auto" w:fill="FFFFFF"/>
        </w:rPr>
        <w:t>Journal of Personality.</w:t>
      </w:r>
      <w:r w:rsidR="00C1261C">
        <w:rPr>
          <w:rFonts w:ascii="Times New Roman" w:hAnsi="Times New Roman" w:cs="Times New Roman"/>
          <w:i/>
          <w:iCs/>
          <w:color w:val="000000" w:themeColor="text1"/>
          <w:sz w:val="24"/>
          <w:szCs w:val="24"/>
          <w:shd w:val="clear" w:color="auto" w:fill="FFFFFF"/>
        </w:rPr>
        <w:t xml:space="preserve">  </w:t>
      </w:r>
      <w:proofErr w:type="spellStart"/>
      <w:r w:rsidR="00C1261C" w:rsidRPr="00C1261C">
        <w:rPr>
          <w:rFonts w:ascii="Times New Roman" w:hAnsi="Times New Roman" w:cs="Times New Roman"/>
          <w:color w:val="000000" w:themeColor="text1"/>
          <w:sz w:val="24"/>
          <w:szCs w:val="24"/>
          <w:shd w:val="clear" w:color="auto" w:fill="FFFFFF"/>
        </w:rPr>
        <w:t>doi</w:t>
      </w:r>
      <w:proofErr w:type="spellEnd"/>
      <w:r w:rsidR="00C1261C" w:rsidRPr="00C1261C">
        <w:rPr>
          <w:rFonts w:ascii="Times New Roman" w:hAnsi="Times New Roman" w:cs="Times New Roman"/>
          <w:sz w:val="24"/>
          <w:szCs w:val="24"/>
        </w:rPr>
        <w:t>: 10.1111/jopy.12755</w:t>
      </w:r>
      <w:r w:rsidR="00C1261C">
        <w:rPr>
          <w:rFonts w:ascii="Times New Roman" w:hAnsi="Times New Roman" w:cs="Times New Roman"/>
          <w:sz w:val="24"/>
          <w:szCs w:val="24"/>
        </w:rPr>
        <w:t>.</w:t>
      </w:r>
    </w:p>
    <w:p w14:paraId="5B8B0229" w14:textId="344E528A" w:rsidR="001C072E" w:rsidRPr="00267EA6" w:rsidRDefault="002154FB" w:rsidP="002154FB">
      <w:pPr>
        <w:spacing w:after="200" w:line="480" w:lineRule="auto"/>
        <w:ind w:left="720" w:hanging="720"/>
        <w:rPr>
          <w:rFonts w:ascii="Times New Roman" w:hAnsi="Times New Roman" w:cs="Times New Roman"/>
          <w:color w:val="000000"/>
          <w:sz w:val="24"/>
          <w:szCs w:val="24"/>
        </w:rPr>
      </w:pPr>
      <w:r w:rsidRPr="00267EA6">
        <w:rPr>
          <w:rFonts w:ascii="Times New Roman" w:hAnsi="Times New Roman" w:cs="Times New Roman"/>
          <w:color w:val="222222"/>
          <w:sz w:val="24"/>
          <w:szCs w:val="24"/>
          <w:shd w:val="clear" w:color="auto" w:fill="FFFFFF"/>
        </w:rPr>
        <w:t xml:space="preserve">Ellett, L., Freeman, D., &amp; </w:t>
      </w:r>
      <w:proofErr w:type="spellStart"/>
      <w:r w:rsidRPr="00267EA6">
        <w:rPr>
          <w:rFonts w:ascii="Times New Roman" w:hAnsi="Times New Roman" w:cs="Times New Roman"/>
          <w:color w:val="222222"/>
          <w:sz w:val="24"/>
          <w:szCs w:val="24"/>
          <w:shd w:val="clear" w:color="auto" w:fill="FFFFFF"/>
        </w:rPr>
        <w:t>Garety</w:t>
      </w:r>
      <w:proofErr w:type="spellEnd"/>
      <w:r w:rsidRPr="00267EA6">
        <w:rPr>
          <w:rFonts w:ascii="Times New Roman" w:hAnsi="Times New Roman" w:cs="Times New Roman"/>
          <w:color w:val="222222"/>
          <w:sz w:val="24"/>
          <w:szCs w:val="24"/>
          <w:shd w:val="clear" w:color="auto" w:fill="FFFFFF"/>
        </w:rPr>
        <w:t>, P. A. (2008). The psychological effect of an urban environment on individuals with persecutory delusions: the Camberwell walk study. </w:t>
      </w:r>
      <w:r w:rsidRPr="00267EA6">
        <w:rPr>
          <w:rFonts w:ascii="Times New Roman" w:hAnsi="Times New Roman" w:cs="Times New Roman"/>
          <w:i/>
          <w:iCs/>
          <w:color w:val="222222"/>
          <w:sz w:val="24"/>
          <w:szCs w:val="24"/>
          <w:shd w:val="clear" w:color="auto" w:fill="FFFFFF"/>
        </w:rPr>
        <w:t>Schizophrenia research</w:t>
      </w:r>
      <w:r w:rsidRPr="00267EA6">
        <w:rPr>
          <w:rFonts w:ascii="Times New Roman" w:hAnsi="Times New Roman" w:cs="Times New Roman"/>
          <w:color w:val="222222"/>
          <w:sz w:val="24"/>
          <w:szCs w:val="24"/>
          <w:shd w:val="clear" w:color="auto" w:fill="FFFFFF"/>
        </w:rPr>
        <w:t>, </w:t>
      </w:r>
      <w:r w:rsidRPr="00267EA6">
        <w:rPr>
          <w:rFonts w:ascii="Times New Roman" w:hAnsi="Times New Roman" w:cs="Times New Roman"/>
          <w:i/>
          <w:iCs/>
          <w:color w:val="222222"/>
          <w:sz w:val="24"/>
          <w:szCs w:val="24"/>
          <w:shd w:val="clear" w:color="auto" w:fill="FFFFFF"/>
        </w:rPr>
        <w:t>99</w:t>
      </w:r>
      <w:r w:rsidRPr="00267EA6">
        <w:rPr>
          <w:rFonts w:ascii="Times New Roman" w:hAnsi="Times New Roman" w:cs="Times New Roman"/>
          <w:color w:val="222222"/>
          <w:sz w:val="24"/>
          <w:szCs w:val="24"/>
          <w:shd w:val="clear" w:color="auto" w:fill="FFFFFF"/>
        </w:rPr>
        <w:t>(1-3), 77-84.</w:t>
      </w:r>
      <w:r w:rsidR="00712888">
        <w:rPr>
          <w:rFonts w:ascii="Times New Roman" w:hAnsi="Times New Roman" w:cs="Times New Roman"/>
          <w:color w:val="222222"/>
          <w:sz w:val="24"/>
          <w:szCs w:val="24"/>
          <w:shd w:val="clear" w:color="auto" w:fill="FFFFFF"/>
        </w:rPr>
        <w:t xml:space="preserve">  </w:t>
      </w:r>
      <w:hyperlink r:id="rId13" w:tgtFrame="_blank" w:tooltip="Persistent link using digital object identifier" w:history="1">
        <w:r w:rsidR="00712888" w:rsidRPr="00712888">
          <w:rPr>
            <w:rStyle w:val="Hyperlink"/>
            <w:rFonts w:ascii="Times New Roman" w:hAnsi="Times New Roman" w:cs="Times New Roman"/>
            <w:color w:val="auto"/>
            <w:sz w:val="24"/>
            <w:szCs w:val="24"/>
            <w:u w:val="none"/>
          </w:rPr>
          <w:t>https://doi.org/10.1016/j.schres.2007.10.027</w:t>
        </w:r>
      </w:hyperlink>
      <w:r w:rsidR="00712888">
        <w:rPr>
          <w:rFonts w:ascii="Times New Roman" w:hAnsi="Times New Roman" w:cs="Times New Roman"/>
          <w:sz w:val="24"/>
          <w:szCs w:val="24"/>
        </w:rPr>
        <w:t>.</w:t>
      </w:r>
    </w:p>
    <w:p w14:paraId="6D2FE709" w14:textId="4ED9E13D" w:rsidR="0021215B" w:rsidRPr="004B094F" w:rsidRDefault="002154FB" w:rsidP="0021215B">
      <w:pPr>
        <w:pStyle w:val="NormalWeb"/>
        <w:spacing w:before="0" w:beforeAutospacing="0" w:after="0" w:afterAutospacing="0" w:line="480" w:lineRule="auto"/>
        <w:ind w:left="450" w:hanging="450"/>
        <w:rPr>
          <w:shd w:val="clear" w:color="auto" w:fill="FFFFFF"/>
        </w:rPr>
      </w:pPr>
      <w:r w:rsidRPr="00267EA6">
        <w:rPr>
          <w:color w:val="222222"/>
          <w:shd w:val="clear" w:color="auto" w:fill="FFFFFF"/>
          <w:lang w:val="de-DE"/>
        </w:rPr>
        <w:t xml:space="preserve">Fenigstein, A., &amp; Vanable, P. A. (1992). </w:t>
      </w:r>
      <w:r w:rsidRPr="00267EA6">
        <w:rPr>
          <w:color w:val="222222"/>
          <w:shd w:val="clear" w:color="auto" w:fill="FFFFFF"/>
        </w:rPr>
        <w:t>Paranoia and self-consciousness. </w:t>
      </w:r>
      <w:r w:rsidRPr="00267EA6">
        <w:rPr>
          <w:i/>
          <w:iCs/>
          <w:color w:val="222222"/>
          <w:shd w:val="clear" w:color="auto" w:fill="FFFFFF"/>
        </w:rPr>
        <w:t>Journal of personality and social psychology</w:t>
      </w:r>
      <w:r w:rsidRPr="00267EA6">
        <w:rPr>
          <w:color w:val="222222"/>
          <w:shd w:val="clear" w:color="auto" w:fill="FFFFFF"/>
        </w:rPr>
        <w:t>, </w:t>
      </w:r>
      <w:r w:rsidRPr="00267EA6">
        <w:rPr>
          <w:i/>
          <w:iCs/>
          <w:color w:val="222222"/>
          <w:shd w:val="clear" w:color="auto" w:fill="FFFFFF"/>
        </w:rPr>
        <w:t>62</w:t>
      </w:r>
      <w:r w:rsidRPr="00267EA6">
        <w:rPr>
          <w:color w:val="222222"/>
          <w:shd w:val="clear" w:color="auto" w:fill="FFFFFF"/>
        </w:rPr>
        <w:t>(1), 129.</w:t>
      </w:r>
      <w:r w:rsidR="004B094F">
        <w:rPr>
          <w:color w:val="222222"/>
          <w:shd w:val="clear" w:color="auto" w:fill="FFFFFF"/>
        </w:rPr>
        <w:t xml:space="preserve">  </w:t>
      </w:r>
      <w:proofErr w:type="spellStart"/>
      <w:r w:rsidR="004B094F">
        <w:rPr>
          <w:color w:val="222222"/>
          <w:shd w:val="clear" w:color="auto" w:fill="FFFFFF"/>
        </w:rPr>
        <w:t>doi</w:t>
      </w:r>
      <w:proofErr w:type="spellEnd"/>
      <w:r w:rsidR="004B094F">
        <w:rPr>
          <w:color w:val="222222"/>
          <w:shd w:val="clear" w:color="auto" w:fill="FFFFFF"/>
        </w:rPr>
        <w:t>:</w:t>
      </w:r>
      <w:r w:rsidR="004B094F">
        <w:rPr>
          <w:rFonts w:ascii="Arial" w:hAnsi="Arial" w:cs="Arial"/>
          <w:color w:val="333333"/>
          <w:sz w:val="21"/>
          <w:szCs w:val="21"/>
          <w:shd w:val="clear" w:color="auto" w:fill="FFFFFF"/>
        </w:rPr>
        <w:t> </w:t>
      </w:r>
      <w:hyperlink r:id="rId14" w:tgtFrame="_blank" w:history="1">
        <w:r w:rsidR="004B094F" w:rsidRPr="004B094F">
          <w:rPr>
            <w:rStyle w:val="Hyperlink"/>
            <w:color w:val="auto"/>
            <w:u w:val="none"/>
            <w:shd w:val="clear" w:color="auto" w:fill="FFFFFF"/>
          </w:rPr>
          <w:t>https://doi.org/10.1037/0022-3514.62.1.129</w:t>
        </w:r>
      </w:hyperlink>
    </w:p>
    <w:p w14:paraId="3C27FD8E" w14:textId="257A94FE" w:rsidR="0021215B" w:rsidRPr="002159A8" w:rsidRDefault="005832B3" w:rsidP="0021215B">
      <w:pPr>
        <w:pStyle w:val="NormalWeb"/>
        <w:spacing w:before="0" w:beforeAutospacing="0" w:after="0" w:afterAutospacing="0" w:line="480" w:lineRule="auto"/>
        <w:ind w:left="450" w:hanging="450"/>
        <w:rPr>
          <w:shd w:val="clear" w:color="auto" w:fill="FFFFFF"/>
        </w:rPr>
      </w:pPr>
      <w:r w:rsidRPr="00267EA6">
        <w:t xml:space="preserve">Freeman, D., &amp; </w:t>
      </w:r>
      <w:proofErr w:type="spellStart"/>
      <w:r w:rsidRPr="00267EA6">
        <w:t>Garety</w:t>
      </w:r>
      <w:proofErr w:type="spellEnd"/>
      <w:r w:rsidRPr="00267EA6">
        <w:t xml:space="preserve">, P.A. (2000).  Comments on the content of persecutory delusions: Does the definition need clarification? </w:t>
      </w:r>
      <w:r w:rsidRPr="00267EA6">
        <w:rPr>
          <w:i/>
        </w:rPr>
        <w:t xml:space="preserve">British Journal of Clinical Psychology, 39, </w:t>
      </w:r>
      <w:r w:rsidRPr="00267EA6">
        <w:t>407–414.</w:t>
      </w:r>
      <w:r w:rsidR="0021215B">
        <w:t xml:space="preserve">  </w:t>
      </w:r>
      <w:proofErr w:type="spellStart"/>
      <w:r w:rsidR="002159A8">
        <w:t>doi</w:t>
      </w:r>
      <w:proofErr w:type="spellEnd"/>
      <w:r w:rsidR="002159A8">
        <w:t xml:space="preserve">: </w:t>
      </w:r>
      <w:hyperlink r:id="rId15" w:history="1">
        <w:r w:rsidR="002159A8" w:rsidRPr="002159A8">
          <w:rPr>
            <w:rStyle w:val="Hyperlink"/>
            <w:color w:val="auto"/>
            <w:u w:val="none"/>
          </w:rPr>
          <w:t>https://doi.org/10.1348/014466500163400</w:t>
        </w:r>
      </w:hyperlink>
      <w:r w:rsidR="00590D41" w:rsidRPr="002159A8">
        <w:t>.</w:t>
      </w:r>
    </w:p>
    <w:p w14:paraId="33CD1013" w14:textId="0B86B1BA" w:rsidR="002154FB" w:rsidRPr="00267EA6" w:rsidRDefault="002154FB" w:rsidP="002154FB">
      <w:pPr>
        <w:pStyle w:val="NormalWeb"/>
        <w:spacing w:before="0" w:beforeAutospacing="0" w:after="0" w:afterAutospacing="0" w:line="480" w:lineRule="auto"/>
        <w:ind w:left="450" w:hanging="450"/>
        <w:rPr>
          <w:color w:val="000000" w:themeColor="text1"/>
        </w:rPr>
      </w:pPr>
      <w:r w:rsidRPr="00267EA6">
        <w:rPr>
          <w:color w:val="222222"/>
          <w:shd w:val="clear" w:color="auto" w:fill="FFFFFF"/>
        </w:rPr>
        <w:t xml:space="preserve">Freeman, D., </w:t>
      </w:r>
      <w:proofErr w:type="spellStart"/>
      <w:r w:rsidRPr="00267EA6">
        <w:rPr>
          <w:color w:val="222222"/>
          <w:shd w:val="clear" w:color="auto" w:fill="FFFFFF"/>
        </w:rPr>
        <w:t>Garety</w:t>
      </w:r>
      <w:proofErr w:type="spellEnd"/>
      <w:r w:rsidRPr="00267EA6">
        <w:rPr>
          <w:color w:val="222222"/>
          <w:shd w:val="clear" w:color="auto" w:fill="FFFFFF"/>
        </w:rPr>
        <w:t>, P. A., Bebbington, P. E., Smith, B., Rollinson, R., Fowler, D., ... &amp; Dunn, G. (2005). Psychological investigation of the structure of paranoia in a non-clinical population. </w:t>
      </w:r>
      <w:r w:rsidRPr="00267EA6">
        <w:rPr>
          <w:i/>
          <w:iCs/>
          <w:color w:val="222222"/>
          <w:shd w:val="clear" w:color="auto" w:fill="FFFFFF"/>
        </w:rPr>
        <w:t>The British Journal of Psychiatry</w:t>
      </w:r>
      <w:r w:rsidRPr="00267EA6">
        <w:rPr>
          <w:color w:val="222222"/>
          <w:shd w:val="clear" w:color="auto" w:fill="FFFFFF"/>
        </w:rPr>
        <w:t>, </w:t>
      </w:r>
      <w:r w:rsidRPr="00267EA6">
        <w:rPr>
          <w:i/>
          <w:iCs/>
          <w:color w:val="222222"/>
          <w:shd w:val="clear" w:color="auto" w:fill="FFFFFF"/>
        </w:rPr>
        <w:t>186</w:t>
      </w:r>
      <w:r w:rsidRPr="00267EA6">
        <w:rPr>
          <w:color w:val="222222"/>
          <w:shd w:val="clear" w:color="auto" w:fill="FFFFFF"/>
        </w:rPr>
        <w:t>(5), 427-435.</w:t>
      </w:r>
      <w:r w:rsidR="009174CA" w:rsidRPr="00267EA6">
        <w:rPr>
          <w:color w:val="000000" w:themeColor="text1"/>
        </w:rPr>
        <w:t xml:space="preserve">  </w:t>
      </w:r>
      <w:proofErr w:type="spellStart"/>
      <w:r w:rsidR="002159A8">
        <w:rPr>
          <w:color w:val="000000" w:themeColor="text1"/>
        </w:rPr>
        <w:t>doi</w:t>
      </w:r>
      <w:proofErr w:type="spellEnd"/>
      <w:r w:rsidR="002159A8">
        <w:rPr>
          <w:color w:val="000000" w:themeColor="text1"/>
        </w:rPr>
        <w:t xml:space="preserve">: </w:t>
      </w:r>
      <w:r w:rsidR="006558D5">
        <w:t>https://doi.org/10.1192/bjp.186.5.427</w:t>
      </w:r>
      <w:r w:rsidR="009174CA" w:rsidRPr="00267EA6">
        <w:rPr>
          <w:color w:val="000000" w:themeColor="text1"/>
        </w:rPr>
        <w:t xml:space="preserve">                                                                                                                                                                                                                                                                                       </w:t>
      </w:r>
    </w:p>
    <w:p w14:paraId="67939F28" w14:textId="7F6DB58E" w:rsidR="009174CA" w:rsidRPr="00497C23" w:rsidRDefault="002154FB" w:rsidP="002154FB">
      <w:pPr>
        <w:pStyle w:val="NormalWeb"/>
        <w:spacing w:before="0" w:beforeAutospacing="0" w:after="0" w:afterAutospacing="0" w:line="480" w:lineRule="auto"/>
        <w:ind w:left="450" w:hanging="450"/>
      </w:pPr>
      <w:r w:rsidRPr="00267EA6">
        <w:rPr>
          <w:color w:val="222222"/>
          <w:shd w:val="clear" w:color="auto" w:fill="FFFFFF"/>
        </w:rPr>
        <w:t xml:space="preserve">Freeman, D., </w:t>
      </w:r>
      <w:proofErr w:type="spellStart"/>
      <w:r w:rsidRPr="00267EA6">
        <w:rPr>
          <w:color w:val="222222"/>
          <w:shd w:val="clear" w:color="auto" w:fill="FFFFFF"/>
        </w:rPr>
        <w:t>Loe</w:t>
      </w:r>
      <w:proofErr w:type="spellEnd"/>
      <w:r w:rsidRPr="00267EA6">
        <w:rPr>
          <w:color w:val="222222"/>
          <w:shd w:val="clear" w:color="auto" w:fill="FFFFFF"/>
        </w:rPr>
        <w:t xml:space="preserve">, B. S., </w:t>
      </w:r>
      <w:proofErr w:type="spellStart"/>
      <w:r w:rsidRPr="00267EA6">
        <w:rPr>
          <w:color w:val="222222"/>
          <w:shd w:val="clear" w:color="auto" w:fill="FFFFFF"/>
        </w:rPr>
        <w:t>Kingdon</w:t>
      </w:r>
      <w:proofErr w:type="spellEnd"/>
      <w:r w:rsidRPr="00267EA6">
        <w:rPr>
          <w:color w:val="222222"/>
          <w:shd w:val="clear" w:color="auto" w:fill="FFFFFF"/>
        </w:rPr>
        <w:t xml:space="preserve">, D., </w:t>
      </w:r>
      <w:proofErr w:type="spellStart"/>
      <w:r w:rsidRPr="00267EA6">
        <w:rPr>
          <w:color w:val="222222"/>
          <w:shd w:val="clear" w:color="auto" w:fill="FFFFFF"/>
        </w:rPr>
        <w:t>Startup</w:t>
      </w:r>
      <w:proofErr w:type="spellEnd"/>
      <w:r w:rsidRPr="00267EA6">
        <w:rPr>
          <w:color w:val="222222"/>
          <w:shd w:val="clear" w:color="auto" w:fill="FFFFFF"/>
        </w:rPr>
        <w:t xml:space="preserve">, H., </w:t>
      </w:r>
      <w:proofErr w:type="spellStart"/>
      <w:r w:rsidRPr="00267EA6">
        <w:rPr>
          <w:color w:val="222222"/>
          <w:shd w:val="clear" w:color="auto" w:fill="FFFFFF"/>
        </w:rPr>
        <w:t>Molodynski</w:t>
      </w:r>
      <w:proofErr w:type="spellEnd"/>
      <w:r w:rsidRPr="00267EA6">
        <w:rPr>
          <w:color w:val="222222"/>
          <w:shd w:val="clear" w:color="auto" w:fill="FFFFFF"/>
        </w:rPr>
        <w:t xml:space="preserve">, A., </w:t>
      </w:r>
      <w:proofErr w:type="spellStart"/>
      <w:r w:rsidRPr="00267EA6">
        <w:rPr>
          <w:color w:val="222222"/>
          <w:shd w:val="clear" w:color="auto" w:fill="FFFFFF"/>
        </w:rPr>
        <w:t>Rosebrock</w:t>
      </w:r>
      <w:proofErr w:type="spellEnd"/>
      <w:r w:rsidRPr="00267EA6">
        <w:rPr>
          <w:color w:val="222222"/>
          <w:shd w:val="clear" w:color="auto" w:fill="FFFFFF"/>
        </w:rPr>
        <w:t>, L., ... &amp; Bird, J. C. (2021). The revised Green et al., Paranoid Thoughts Scale (R-GPTS): psychometric properties, severity ranges, and clinical cut-offs. </w:t>
      </w:r>
      <w:r w:rsidRPr="00267EA6">
        <w:rPr>
          <w:i/>
          <w:iCs/>
          <w:color w:val="222222"/>
          <w:shd w:val="clear" w:color="auto" w:fill="FFFFFF"/>
        </w:rPr>
        <w:t>Psychological Medicine</w:t>
      </w:r>
      <w:r w:rsidRPr="00267EA6">
        <w:rPr>
          <w:color w:val="222222"/>
          <w:shd w:val="clear" w:color="auto" w:fill="FFFFFF"/>
        </w:rPr>
        <w:t>, </w:t>
      </w:r>
      <w:r w:rsidRPr="00267EA6">
        <w:rPr>
          <w:i/>
          <w:iCs/>
          <w:color w:val="222222"/>
          <w:shd w:val="clear" w:color="auto" w:fill="FFFFFF"/>
        </w:rPr>
        <w:t>51</w:t>
      </w:r>
      <w:r w:rsidRPr="00267EA6">
        <w:rPr>
          <w:color w:val="222222"/>
          <w:shd w:val="clear" w:color="auto" w:fill="FFFFFF"/>
        </w:rPr>
        <w:t>(2), 244-253.</w:t>
      </w:r>
      <w:r w:rsidR="00157BD9">
        <w:rPr>
          <w:color w:val="222222"/>
          <w:shd w:val="clear" w:color="auto" w:fill="FFFFFF"/>
        </w:rPr>
        <w:t xml:space="preserve">  </w:t>
      </w:r>
      <w:proofErr w:type="spellStart"/>
      <w:r w:rsidR="00497C23">
        <w:t>doi</w:t>
      </w:r>
      <w:proofErr w:type="spellEnd"/>
      <w:r w:rsidR="00157BD9" w:rsidRPr="00497C23">
        <w:t>: </w:t>
      </w:r>
      <w:hyperlink r:id="rId16" w:tgtFrame="_blank" w:history="1">
        <w:r w:rsidR="00157BD9" w:rsidRPr="00497C23">
          <w:rPr>
            <w:rStyle w:val="Hyperlink"/>
            <w:color w:val="auto"/>
            <w:u w:val="none"/>
          </w:rPr>
          <w:t>https://doi.org/10.1017/S0033291719003155</w:t>
        </w:r>
      </w:hyperlink>
      <w:r w:rsidR="00497C23">
        <w:t>.</w:t>
      </w:r>
    </w:p>
    <w:p w14:paraId="450D00C3" w14:textId="22B27EBF" w:rsidR="002154FB" w:rsidRPr="00267EA6" w:rsidRDefault="002154FB" w:rsidP="002154FB">
      <w:pPr>
        <w:pStyle w:val="NormalWeb"/>
        <w:spacing w:before="0" w:beforeAutospacing="0" w:after="0" w:afterAutospacing="0" w:line="480" w:lineRule="auto"/>
        <w:ind w:left="450" w:hanging="450"/>
        <w:rPr>
          <w:shd w:val="clear" w:color="auto" w:fill="FFFFFF"/>
          <w:lang w:val="nl-NL"/>
        </w:rPr>
      </w:pPr>
      <w:r w:rsidRPr="00267EA6">
        <w:rPr>
          <w:shd w:val="clear" w:color="auto" w:fill="FFFFFF"/>
        </w:rPr>
        <w:lastRenderedPageBreak/>
        <w:t xml:space="preserve">Freeman, D., McManus, S., </w:t>
      </w:r>
      <w:proofErr w:type="spellStart"/>
      <w:r w:rsidRPr="00267EA6">
        <w:rPr>
          <w:shd w:val="clear" w:color="auto" w:fill="FFFFFF"/>
        </w:rPr>
        <w:t>Brugha</w:t>
      </w:r>
      <w:proofErr w:type="spellEnd"/>
      <w:r w:rsidRPr="00267EA6">
        <w:rPr>
          <w:shd w:val="clear" w:color="auto" w:fill="FFFFFF"/>
        </w:rPr>
        <w:t>, T., Meltzer, H., Jenkins, R., &amp; Bebbington, P. (2011). Concomitants of paranoia in the general population. </w:t>
      </w:r>
      <w:r w:rsidRPr="00267EA6">
        <w:rPr>
          <w:i/>
          <w:iCs/>
          <w:shd w:val="clear" w:color="auto" w:fill="FFFFFF"/>
          <w:lang w:val="nl-NL"/>
        </w:rPr>
        <w:t>Psychological medicine</w:t>
      </w:r>
      <w:r w:rsidRPr="00267EA6">
        <w:rPr>
          <w:shd w:val="clear" w:color="auto" w:fill="FFFFFF"/>
          <w:lang w:val="nl-NL"/>
        </w:rPr>
        <w:t>, </w:t>
      </w:r>
      <w:r w:rsidRPr="00267EA6">
        <w:rPr>
          <w:i/>
          <w:iCs/>
          <w:shd w:val="clear" w:color="auto" w:fill="FFFFFF"/>
          <w:lang w:val="nl-NL"/>
        </w:rPr>
        <w:t>41</w:t>
      </w:r>
      <w:r w:rsidRPr="00267EA6">
        <w:rPr>
          <w:shd w:val="clear" w:color="auto" w:fill="FFFFFF"/>
          <w:lang w:val="nl-NL"/>
        </w:rPr>
        <w:t>(5), 923-936.</w:t>
      </w:r>
      <w:r w:rsidR="000B6625">
        <w:rPr>
          <w:shd w:val="clear" w:color="auto" w:fill="FFFFFF"/>
          <w:lang w:val="nl-NL"/>
        </w:rPr>
        <w:t xml:space="preserve">  </w:t>
      </w:r>
      <w:proofErr w:type="spellStart"/>
      <w:r w:rsidR="000B6625">
        <w:t>doi</w:t>
      </w:r>
      <w:proofErr w:type="spellEnd"/>
      <w:r w:rsidR="000B6625" w:rsidRPr="000B6625">
        <w:t>: </w:t>
      </w:r>
      <w:hyperlink r:id="rId17" w:tgtFrame="_blank" w:history="1">
        <w:r w:rsidR="000B6625" w:rsidRPr="000B6625">
          <w:rPr>
            <w:rStyle w:val="Hyperlink"/>
            <w:color w:val="auto"/>
            <w:u w:val="none"/>
          </w:rPr>
          <w:t>https://doi.org/10.1017/S0033291710001546</w:t>
        </w:r>
      </w:hyperlink>
      <w:r w:rsidR="000B6625">
        <w:t>.</w:t>
      </w:r>
    </w:p>
    <w:p w14:paraId="77BC6E07" w14:textId="675498C9" w:rsidR="002154FB" w:rsidRPr="00267EA6" w:rsidRDefault="002154FB" w:rsidP="002154FB">
      <w:pPr>
        <w:pStyle w:val="NormalWeb"/>
        <w:spacing w:before="0" w:beforeAutospacing="0" w:after="0" w:afterAutospacing="0" w:line="480" w:lineRule="auto"/>
        <w:ind w:left="450" w:hanging="450"/>
      </w:pPr>
      <w:r w:rsidRPr="00267EA6">
        <w:rPr>
          <w:shd w:val="clear" w:color="auto" w:fill="FFFFFF"/>
          <w:lang w:val="nl-NL"/>
        </w:rPr>
        <w:t xml:space="preserve">Hepper, E. G., Ellett, L., Kerley, D., &amp; Kingston, J. L. (2021). </w:t>
      </w:r>
      <w:r w:rsidRPr="00267EA6">
        <w:rPr>
          <w:shd w:val="clear" w:color="auto" w:fill="FFFFFF"/>
        </w:rPr>
        <w:t>Are they out to get me? Individual differences in nonclinical paranoia as a function of narcissism and defensive self‐protection. </w:t>
      </w:r>
      <w:r w:rsidRPr="00267EA6">
        <w:rPr>
          <w:i/>
          <w:iCs/>
          <w:shd w:val="clear" w:color="auto" w:fill="FFFFFF"/>
        </w:rPr>
        <w:t>Journal of personality</w:t>
      </w:r>
      <w:r w:rsidRPr="00267EA6">
        <w:rPr>
          <w:shd w:val="clear" w:color="auto" w:fill="FFFFFF"/>
        </w:rPr>
        <w:t xml:space="preserve">. </w:t>
      </w:r>
      <w:proofErr w:type="spellStart"/>
      <w:r w:rsidR="002159A8">
        <w:rPr>
          <w:shd w:val="clear" w:color="auto" w:fill="FFFFFF"/>
        </w:rPr>
        <w:t>doi</w:t>
      </w:r>
      <w:proofErr w:type="spellEnd"/>
      <w:r w:rsidR="002159A8">
        <w:rPr>
          <w:shd w:val="clear" w:color="auto" w:fill="FFFFFF"/>
        </w:rPr>
        <w:t xml:space="preserve">: </w:t>
      </w:r>
      <w:hyperlink r:id="rId18" w:history="1">
        <w:r w:rsidR="002159A8" w:rsidRPr="0090455C">
          <w:rPr>
            <w:rStyle w:val="Hyperlink"/>
            <w:shd w:val="clear" w:color="auto" w:fill="FFFFFF"/>
          </w:rPr>
          <w:t>https://doi.org/10.1111/jopy.12693</w:t>
        </w:r>
      </w:hyperlink>
      <w:r w:rsidRPr="002159A8">
        <w:t>.</w:t>
      </w:r>
    </w:p>
    <w:p w14:paraId="60B508DC" w14:textId="229AA287" w:rsidR="002154FB" w:rsidRPr="005F6760" w:rsidRDefault="009174CA" w:rsidP="002154FB">
      <w:pPr>
        <w:pStyle w:val="NormalWeb"/>
        <w:spacing w:before="0" w:beforeAutospacing="0" w:after="0" w:afterAutospacing="0" w:line="480" w:lineRule="auto"/>
        <w:ind w:left="450" w:hanging="450"/>
        <w:rPr>
          <w:shd w:val="clear" w:color="auto" w:fill="FFFFFF"/>
        </w:rPr>
      </w:pPr>
      <w:r w:rsidRPr="00267EA6">
        <w:rPr>
          <w:color w:val="000000" w:themeColor="text1"/>
          <w:shd w:val="clear" w:color="auto" w:fill="FFFFFF"/>
        </w:rPr>
        <w:t xml:space="preserve">Jiang, R. (2020).  Knowledge, attitudes and mental health of university students during the COVID-19 pandemic in China. </w:t>
      </w:r>
      <w:r w:rsidRPr="00267EA6">
        <w:rPr>
          <w:i/>
          <w:iCs/>
          <w:color w:val="000000" w:themeColor="text1"/>
          <w:shd w:val="clear" w:color="auto" w:fill="FFFFFF"/>
        </w:rPr>
        <w:t xml:space="preserve">Children and youth services review,119, </w:t>
      </w:r>
      <w:r w:rsidRPr="00267EA6">
        <w:rPr>
          <w:color w:val="000000" w:themeColor="text1"/>
          <w:shd w:val="clear" w:color="auto" w:fill="FFFFFF"/>
        </w:rPr>
        <w:t>105494.</w:t>
      </w:r>
      <w:r w:rsidR="005F6760">
        <w:rPr>
          <w:color w:val="000000" w:themeColor="text1"/>
          <w:shd w:val="clear" w:color="auto" w:fill="FFFFFF"/>
        </w:rPr>
        <w:t xml:space="preserve">  </w:t>
      </w:r>
      <w:proofErr w:type="spellStart"/>
      <w:r w:rsidR="002159A8">
        <w:rPr>
          <w:color w:val="000000" w:themeColor="text1"/>
          <w:shd w:val="clear" w:color="auto" w:fill="FFFFFF"/>
        </w:rPr>
        <w:t>doi</w:t>
      </w:r>
      <w:proofErr w:type="spellEnd"/>
      <w:r w:rsidR="002159A8">
        <w:rPr>
          <w:color w:val="000000" w:themeColor="text1"/>
          <w:shd w:val="clear" w:color="auto" w:fill="FFFFFF"/>
        </w:rPr>
        <w:t xml:space="preserve">: </w:t>
      </w:r>
      <w:hyperlink r:id="rId19" w:history="1">
        <w:r w:rsidR="002159A8" w:rsidRPr="002159A8">
          <w:rPr>
            <w:rStyle w:val="Hyperlink"/>
            <w:color w:val="auto"/>
            <w:u w:val="none"/>
          </w:rPr>
          <w:t>https://doi.org/10.1016/j.childyouth.2020.105494</w:t>
        </w:r>
      </w:hyperlink>
      <w:r w:rsidR="005F6760" w:rsidRPr="002159A8">
        <w:t>.</w:t>
      </w:r>
    </w:p>
    <w:p w14:paraId="1800A746" w14:textId="6C7CB8D0" w:rsidR="00DA32BB" w:rsidRPr="00267EA6" w:rsidRDefault="00243DF4" w:rsidP="00DA32BB">
      <w:pPr>
        <w:pStyle w:val="NormalWeb"/>
        <w:spacing w:before="0" w:beforeAutospacing="0" w:after="0" w:afterAutospacing="0" w:line="480" w:lineRule="auto"/>
        <w:ind w:left="450" w:hanging="450"/>
        <w:rPr>
          <w:color w:val="000000" w:themeColor="text1"/>
        </w:rPr>
      </w:pPr>
      <w:r w:rsidRPr="00267EA6">
        <w:rPr>
          <w:color w:val="000000" w:themeColor="text1"/>
        </w:rPr>
        <w:t xml:space="preserve">Jiang, G., Mai, Y., &amp; Yuan, K.H.  (2017).  Advances in measurement invariance and mean comparison of latent variables: equivalence testing and a projection-based approach.  </w:t>
      </w:r>
      <w:r w:rsidRPr="00267EA6">
        <w:rPr>
          <w:i/>
          <w:color w:val="000000" w:themeColor="text1"/>
        </w:rPr>
        <w:t>Frontiers in Psychology, 8,</w:t>
      </w:r>
      <w:r w:rsidRPr="00267EA6">
        <w:rPr>
          <w:color w:val="000000" w:themeColor="text1"/>
        </w:rPr>
        <w:t xml:space="preserve"> 1823</w:t>
      </w:r>
      <w:r w:rsidRPr="00D4225F">
        <w:t>.</w:t>
      </w:r>
      <w:r w:rsidR="00D4225F" w:rsidRPr="00D4225F">
        <w:t xml:space="preserve">  </w:t>
      </w:r>
      <w:proofErr w:type="spellStart"/>
      <w:r w:rsidR="002159A8">
        <w:t>doi</w:t>
      </w:r>
      <w:proofErr w:type="spellEnd"/>
      <w:r w:rsidR="002159A8">
        <w:t xml:space="preserve">: </w:t>
      </w:r>
      <w:hyperlink r:id="rId20" w:history="1">
        <w:r w:rsidR="002159A8" w:rsidRPr="002159A8">
          <w:rPr>
            <w:rStyle w:val="Hyperlink"/>
            <w:color w:val="auto"/>
            <w:u w:val="none"/>
          </w:rPr>
          <w:t>https://doi.org/10.3389/fpsyg.2017.01823</w:t>
        </w:r>
      </w:hyperlink>
      <w:r w:rsidR="00D4225F" w:rsidRPr="002159A8">
        <w:t>.</w:t>
      </w:r>
    </w:p>
    <w:p w14:paraId="7D25850C" w14:textId="135C957B" w:rsidR="00DA32BB" w:rsidRPr="00267EA6" w:rsidRDefault="00DA32BB" w:rsidP="00DA32BB">
      <w:pPr>
        <w:pStyle w:val="NormalWeb"/>
        <w:spacing w:before="0" w:beforeAutospacing="0" w:after="0" w:afterAutospacing="0" w:line="480" w:lineRule="auto"/>
        <w:ind w:left="450" w:hanging="450"/>
      </w:pPr>
      <w:r w:rsidRPr="00267EA6">
        <w:rPr>
          <w:color w:val="222222"/>
          <w:shd w:val="clear" w:color="auto" w:fill="FFFFFF"/>
        </w:rPr>
        <w:t xml:space="preserve">Johns, L. C., Cannon, M., Singleton, N., Murray, R. M., Farrell, M., </w:t>
      </w:r>
      <w:proofErr w:type="spellStart"/>
      <w:r w:rsidRPr="00267EA6">
        <w:rPr>
          <w:color w:val="222222"/>
          <w:shd w:val="clear" w:color="auto" w:fill="FFFFFF"/>
        </w:rPr>
        <w:t>Brugha</w:t>
      </w:r>
      <w:proofErr w:type="spellEnd"/>
      <w:r w:rsidRPr="00267EA6">
        <w:rPr>
          <w:color w:val="222222"/>
          <w:shd w:val="clear" w:color="auto" w:fill="FFFFFF"/>
        </w:rPr>
        <w:t>, T., ... &amp; Meltzer, H. (2004). Prevalence and correlates of self-reported psychotic symptoms in the British population. </w:t>
      </w:r>
      <w:r w:rsidRPr="00267EA6">
        <w:rPr>
          <w:i/>
          <w:iCs/>
          <w:color w:val="222222"/>
          <w:shd w:val="clear" w:color="auto" w:fill="FFFFFF"/>
        </w:rPr>
        <w:t>The British Journal of Psychiatry</w:t>
      </w:r>
      <w:r w:rsidRPr="00267EA6">
        <w:rPr>
          <w:color w:val="222222"/>
          <w:shd w:val="clear" w:color="auto" w:fill="FFFFFF"/>
        </w:rPr>
        <w:t>, </w:t>
      </w:r>
      <w:r w:rsidRPr="00267EA6">
        <w:rPr>
          <w:i/>
          <w:iCs/>
          <w:color w:val="222222"/>
          <w:shd w:val="clear" w:color="auto" w:fill="FFFFFF"/>
        </w:rPr>
        <w:t>185</w:t>
      </w:r>
      <w:r w:rsidRPr="00267EA6">
        <w:rPr>
          <w:color w:val="222222"/>
          <w:shd w:val="clear" w:color="auto" w:fill="FFFFFF"/>
        </w:rPr>
        <w:t>(4), 298-305.</w:t>
      </w:r>
      <w:r w:rsidR="00B927E0">
        <w:rPr>
          <w:color w:val="222222"/>
          <w:shd w:val="clear" w:color="auto" w:fill="FFFFFF"/>
        </w:rPr>
        <w:t xml:space="preserve">  </w:t>
      </w:r>
      <w:proofErr w:type="spellStart"/>
      <w:r w:rsidR="00F8484C">
        <w:t>doi</w:t>
      </w:r>
      <w:proofErr w:type="spellEnd"/>
      <w:r w:rsidR="00B927E0" w:rsidRPr="00B927E0">
        <w:t>: </w:t>
      </w:r>
      <w:hyperlink r:id="rId21" w:tgtFrame="_blank" w:history="1">
        <w:r w:rsidR="00B927E0" w:rsidRPr="00B927E0">
          <w:rPr>
            <w:rStyle w:val="Hyperlink"/>
            <w:color w:val="auto"/>
            <w:u w:val="none"/>
          </w:rPr>
          <w:t>https://doi.org/10.1192/bjp.185.4.298</w:t>
        </w:r>
      </w:hyperlink>
      <w:r w:rsidR="009174CA" w:rsidRPr="00267EA6">
        <w:t xml:space="preserve">  </w:t>
      </w:r>
    </w:p>
    <w:p w14:paraId="72E04A6A" w14:textId="6AFA8617" w:rsidR="00DA32BB" w:rsidRPr="00886532" w:rsidRDefault="00DA32BB" w:rsidP="00DA32BB">
      <w:pPr>
        <w:pStyle w:val="NormalWeb"/>
        <w:spacing w:before="0" w:beforeAutospacing="0" w:after="0" w:afterAutospacing="0" w:line="480" w:lineRule="auto"/>
        <w:ind w:left="450" w:hanging="450"/>
      </w:pPr>
      <w:r w:rsidRPr="00267EA6">
        <w:rPr>
          <w:color w:val="222222"/>
          <w:shd w:val="clear" w:color="auto" w:fill="FFFFFF"/>
        </w:rPr>
        <w:t xml:space="preserve">Kingston, J. L., Schlier, B., Ellett, L., So, S. H., </w:t>
      </w:r>
      <w:proofErr w:type="spellStart"/>
      <w:r w:rsidRPr="00267EA6">
        <w:rPr>
          <w:color w:val="222222"/>
          <w:shd w:val="clear" w:color="auto" w:fill="FFFFFF"/>
        </w:rPr>
        <w:t>Gaudiano</w:t>
      </w:r>
      <w:proofErr w:type="spellEnd"/>
      <w:r w:rsidRPr="00267EA6">
        <w:rPr>
          <w:color w:val="222222"/>
          <w:shd w:val="clear" w:color="auto" w:fill="FFFFFF"/>
        </w:rPr>
        <w:t>, B. A., Morris, E. M. J., &amp; Lincoln, T. M. (2021). The pandemic paranoia scale (PPS): Factor structure and measurement invariance across languages. </w:t>
      </w:r>
      <w:r w:rsidRPr="00267EA6">
        <w:rPr>
          <w:i/>
          <w:iCs/>
          <w:color w:val="222222"/>
          <w:shd w:val="clear" w:color="auto" w:fill="FFFFFF"/>
        </w:rPr>
        <w:t>Psychological medicine</w:t>
      </w:r>
      <w:r w:rsidRPr="00267EA6">
        <w:rPr>
          <w:color w:val="222222"/>
          <w:shd w:val="clear" w:color="auto" w:fill="FFFFFF"/>
        </w:rPr>
        <w:t xml:space="preserve">, 1-10. </w:t>
      </w:r>
      <w:proofErr w:type="spellStart"/>
      <w:r w:rsidR="00886532">
        <w:t>doi</w:t>
      </w:r>
      <w:proofErr w:type="spellEnd"/>
      <w:r w:rsidR="00886532" w:rsidRPr="00886532">
        <w:t>: </w:t>
      </w:r>
      <w:hyperlink r:id="rId22" w:tgtFrame="_blank" w:history="1">
        <w:r w:rsidR="00886532" w:rsidRPr="00886532">
          <w:rPr>
            <w:rStyle w:val="Hyperlink"/>
            <w:color w:val="auto"/>
            <w:u w:val="none"/>
          </w:rPr>
          <w:t>https://doi.org/10.1017/S0033291721004633</w:t>
        </w:r>
      </w:hyperlink>
      <w:r w:rsidR="00886532">
        <w:t>.</w:t>
      </w:r>
    </w:p>
    <w:p w14:paraId="5986D4C5" w14:textId="02A6496E" w:rsidR="00E22966" w:rsidRPr="00267EA6" w:rsidRDefault="00DA32BB" w:rsidP="00DA32BB">
      <w:pPr>
        <w:pStyle w:val="NormalWeb"/>
        <w:spacing w:before="0" w:beforeAutospacing="0" w:after="0" w:afterAutospacing="0" w:line="480" w:lineRule="auto"/>
        <w:ind w:left="450" w:hanging="450"/>
        <w:rPr>
          <w:color w:val="000000" w:themeColor="text1"/>
          <w:shd w:val="clear" w:color="auto" w:fill="FFFFFF"/>
        </w:rPr>
      </w:pPr>
      <w:r w:rsidRPr="00267EA6">
        <w:rPr>
          <w:color w:val="222222"/>
          <w:shd w:val="clear" w:color="auto" w:fill="FFFFFF"/>
          <w:lang w:val="de-DE"/>
        </w:rPr>
        <w:t xml:space="preserve">Kuhn, S. A. K., Lieb, R., Freeman, D., Andreou, C., &amp; Zander-Schellenberg, T. (2021). </w:t>
      </w:r>
      <w:r w:rsidRPr="00267EA6">
        <w:rPr>
          <w:color w:val="222222"/>
          <w:shd w:val="clear" w:color="auto" w:fill="FFFFFF"/>
        </w:rPr>
        <w:t>Coronavirus conspiracy beliefs in the German-speaking general population: endorsement rates and links to reasoning biases and paranoia. </w:t>
      </w:r>
      <w:r w:rsidRPr="00267EA6">
        <w:rPr>
          <w:i/>
          <w:iCs/>
          <w:color w:val="222222"/>
          <w:shd w:val="clear" w:color="auto" w:fill="FFFFFF"/>
          <w:lang w:val="de-DE"/>
        </w:rPr>
        <w:t>Psychological medicine</w:t>
      </w:r>
      <w:r w:rsidRPr="00267EA6">
        <w:rPr>
          <w:color w:val="222222"/>
          <w:shd w:val="clear" w:color="auto" w:fill="FFFFFF"/>
          <w:lang w:val="de-DE"/>
        </w:rPr>
        <w:t>, 1-15.</w:t>
      </w:r>
      <w:r w:rsidR="009D3097">
        <w:rPr>
          <w:color w:val="222222"/>
          <w:shd w:val="clear" w:color="auto" w:fill="FFFFFF"/>
          <w:lang w:val="de-DE"/>
        </w:rPr>
        <w:t xml:space="preserve"> </w:t>
      </w:r>
      <w:r w:rsidR="009D3097">
        <w:t xml:space="preserve"> </w:t>
      </w:r>
      <w:proofErr w:type="spellStart"/>
      <w:r w:rsidR="002159A8">
        <w:t>doi</w:t>
      </w:r>
      <w:proofErr w:type="spellEnd"/>
      <w:r w:rsidR="002159A8">
        <w:t xml:space="preserve">: </w:t>
      </w:r>
      <w:r w:rsidR="009D3097">
        <w:t>https://doi.org/10.1017/ S0033291721001124</w:t>
      </w:r>
    </w:p>
    <w:p w14:paraId="0ED9525D" w14:textId="6F98287B" w:rsidR="00DA32BB" w:rsidRPr="00267EA6" w:rsidRDefault="009174CA" w:rsidP="00DA32BB">
      <w:pPr>
        <w:spacing w:after="200" w:line="480" w:lineRule="auto"/>
        <w:ind w:left="720" w:hanging="720"/>
        <w:rPr>
          <w:rFonts w:ascii="Times New Roman" w:eastAsia="DengXian" w:hAnsi="Times New Roman" w:cs="Times New Roman"/>
          <w:color w:val="000000" w:themeColor="text1"/>
          <w:sz w:val="24"/>
          <w:szCs w:val="24"/>
          <w:lang w:eastAsia="zh-CN"/>
        </w:rPr>
      </w:pPr>
      <w:r w:rsidRPr="00267EA6">
        <w:rPr>
          <w:rFonts w:ascii="Times New Roman" w:eastAsia="DengXian" w:hAnsi="Times New Roman" w:cs="Times New Roman"/>
          <w:color w:val="000000" w:themeColor="text1"/>
          <w:sz w:val="24"/>
          <w:szCs w:val="24"/>
          <w:lang w:eastAsia="zh-CN"/>
        </w:rPr>
        <w:lastRenderedPageBreak/>
        <w:t>Larsen, E.M., Donaldson, K.R., Liew, M., &amp; Mohanty, A.  (2021).  Conspiratorial Thinking</w:t>
      </w:r>
      <w:r w:rsidR="00FB09F7" w:rsidRPr="00267EA6">
        <w:rPr>
          <w:rFonts w:ascii="Times New Roman" w:eastAsia="DengXian" w:hAnsi="Times New Roman" w:cs="Times New Roman"/>
          <w:color w:val="000000" w:themeColor="text1"/>
          <w:sz w:val="24"/>
          <w:szCs w:val="24"/>
          <w:lang w:eastAsia="zh-CN"/>
        </w:rPr>
        <w:t xml:space="preserve"> d</w:t>
      </w:r>
      <w:r w:rsidRPr="00267EA6">
        <w:rPr>
          <w:rFonts w:ascii="Times New Roman" w:eastAsia="DengXian" w:hAnsi="Times New Roman" w:cs="Times New Roman"/>
          <w:color w:val="000000" w:themeColor="text1"/>
          <w:sz w:val="24"/>
          <w:szCs w:val="24"/>
          <w:lang w:eastAsia="zh-CN"/>
        </w:rPr>
        <w:t xml:space="preserve">uring COVID-19: The Roles of Paranoia, Delusion-Proneness, and Intolerance of Uncertainty.  </w:t>
      </w:r>
      <w:r w:rsidRPr="00267EA6">
        <w:rPr>
          <w:rFonts w:ascii="Times New Roman" w:eastAsia="DengXian" w:hAnsi="Times New Roman" w:cs="Times New Roman"/>
          <w:i/>
          <w:color w:val="000000" w:themeColor="text1"/>
          <w:sz w:val="24"/>
          <w:szCs w:val="24"/>
          <w:lang w:eastAsia="zh-CN"/>
        </w:rPr>
        <w:t>Frontiers in Psych</w:t>
      </w:r>
      <w:r w:rsidR="00DA32BB" w:rsidRPr="00267EA6">
        <w:rPr>
          <w:rFonts w:ascii="Times New Roman" w:eastAsia="DengXian" w:hAnsi="Times New Roman" w:cs="Times New Roman"/>
          <w:i/>
          <w:color w:val="000000" w:themeColor="text1"/>
          <w:sz w:val="24"/>
          <w:szCs w:val="24"/>
          <w:lang w:eastAsia="zh-CN"/>
        </w:rPr>
        <w:t>i</w:t>
      </w:r>
      <w:r w:rsidRPr="00267EA6">
        <w:rPr>
          <w:rFonts w:ascii="Times New Roman" w:eastAsia="DengXian" w:hAnsi="Times New Roman" w:cs="Times New Roman"/>
          <w:i/>
          <w:color w:val="000000" w:themeColor="text1"/>
          <w:sz w:val="24"/>
          <w:szCs w:val="24"/>
          <w:lang w:eastAsia="zh-CN"/>
        </w:rPr>
        <w:t xml:space="preserve">atry, 12, </w:t>
      </w:r>
      <w:r w:rsidRPr="00267EA6">
        <w:rPr>
          <w:rFonts w:ascii="Times New Roman" w:eastAsia="DengXian" w:hAnsi="Times New Roman" w:cs="Times New Roman"/>
          <w:color w:val="000000" w:themeColor="text1"/>
          <w:sz w:val="24"/>
          <w:szCs w:val="24"/>
          <w:lang w:eastAsia="zh-CN"/>
        </w:rPr>
        <w:t>1254.</w:t>
      </w:r>
      <w:r w:rsidR="00EB1A46">
        <w:rPr>
          <w:rFonts w:ascii="Times New Roman" w:eastAsia="DengXian" w:hAnsi="Times New Roman" w:cs="Times New Roman"/>
          <w:color w:val="000000" w:themeColor="text1"/>
          <w:sz w:val="24"/>
          <w:szCs w:val="24"/>
          <w:lang w:eastAsia="zh-CN"/>
        </w:rPr>
        <w:t xml:space="preserve">  </w:t>
      </w:r>
      <w:proofErr w:type="spellStart"/>
      <w:r w:rsidR="00EB1A46" w:rsidRPr="00EB1A46">
        <w:rPr>
          <w:rFonts w:ascii="Times New Roman" w:hAnsi="Times New Roman" w:cs="Times New Roman"/>
          <w:color w:val="212121"/>
          <w:sz w:val="24"/>
          <w:szCs w:val="24"/>
          <w:shd w:val="clear" w:color="auto" w:fill="FFFFFF"/>
        </w:rPr>
        <w:t>doi</w:t>
      </w:r>
      <w:proofErr w:type="spellEnd"/>
      <w:r w:rsidR="00EB1A46" w:rsidRPr="00EB1A46">
        <w:rPr>
          <w:rFonts w:ascii="Times New Roman" w:hAnsi="Times New Roman" w:cs="Times New Roman"/>
          <w:color w:val="212121"/>
          <w:sz w:val="24"/>
          <w:szCs w:val="24"/>
          <w:shd w:val="clear" w:color="auto" w:fill="FFFFFF"/>
        </w:rPr>
        <w:t>: 10.3389/fpsyt.2021.698147</w:t>
      </w:r>
      <w:r w:rsidR="00EB1A46">
        <w:rPr>
          <w:rFonts w:ascii="Times New Roman" w:hAnsi="Times New Roman" w:cs="Times New Roman"/>
          <w:color w:val="212121"/>
          <w:sz w:val="24"/>
          <w:szCs w:val="24"/>
          <w:shd w:val="clear" w:color="auto" w:fill="FFFFFF"/>
        </w:rPr>
        <w:t>.</w:t>
      </w:r>
      <w:r w:rsidRPr="00267EA6">
        <w:rPr>
          <w:rFonts w:ascii="Times New Roman" w:eastAsia="DengXian" w:hAnsi="Times New Roman" w:cs="Times New Roman"/>
          <w:color w:val="000000" w:themeColor="text1"/>
          <w:sz w:val="24"/>
          <w:szCs w:val="24"/>
          <w:lang w:eastAsia="zh-CN"/>
        </w:rPr>
        <w:t xml:space="preserve">  </w:t>
      </w:r>
    </w:p>
    <w:p w14:paraId="263AF116" w14:textId="039E610C" w:rsidR="00DA32BB" w:rsidRPr="00267EA6" w:rsidRDefault="009174CA" w:rsidP="00DA32BB">
      <w:pPr>
        <w:spacing w:after="200" w:line="480" w:lineRule="auto"/>
        <w:ind w:left="720" w:hanging="720"/>
        <w:rPr>
          <w:rFonts w:ascii="Times New Roman" w:hAnsi="Times New Roman" w:cs="Times New Roman"/>
          <w:sz w:val="24"/>
          <w:szCs w:val="24"/>
        </w:rPr>
      </w:pPr>
      <w:r w:rsidRPr="00267EA6">
        <w:rPr>
          <w:rFonts w:ascii="Times New Roman" w:hAnsi="Times New Roman" w:cs="Times New Roman"/>
          <w:sz w:val="24"/>
          <w:szCs w:val="24"/>
        </w:rPr>
        <w:t xml:space="preserve">Lopes, B., </w:t>
      </w:r>
      <w:proofErr w:type="spellStart"/>
      <w:r w:rsidRPr="00267EA6">
        <w:rPr>
          <w:rFonts w:ascii="Times New Roman" w:hAnsi="Times New Roman" w:cs="Times New Roman"/>
          <w:sz w:val="24"/>
          <w:szCs w:val="24"/>
        </w:rPr>
        <w:t>Bortolon</w:t>
      </w:r>
      <w:proofErr w:type="spellEnd"/>
      <w:r w:rsidRPr="00267EA6">
        <w:rPr>
          <w:rFonts w:ascii="Times New Roman" w:hAnsi="Times New Roman" w:cs="Times New Roman"/>
          <w:sz w:val="24"/>
          <w:szCs w:val="24"/>
        </w:rPr>
        <w:t>, C., &amp; Jaspal, R. (2020). Paranoia, hallucinations and compulsive</w:t>
      </w:r>
      <w:r w:rsidR="00DA32BB" w:rsidRPr="00267EA6">
        <w:rPr>
          <w:rFonts w:ascii="Times New Roman" w:hAnsi="Times New Roman" w:cs="Times New Roman"/>
          <w:sz w:val="24"/>
          <w:szCs w:val="24"/>
        </w:rPr>
        <w:t xml:space="preserve"> </w:t>
      </w:r>
      <w:r w:rsidRPr="00267EA6">
        <w:rPr>
          <w:rFonts w:ascii="Times New Roman" w:hAnsi="Times New Roman" w:cs="Times New Roman"/>
          <w:sz w:val="24"/>
          <w:szCs w:val="24"/>
        </w:rPr>
        <w:t xml:space="preserve">buying during the early </w:t>
      </w:r>
      <w:r w:rsidRPr="00267EA6">
        <w:rPr>
          <w:rFonts w:ascii="Times New Roman" w:hAnsi="Times New Roman" w:cs="Times New Roman"/>
          <w:bCs/>
          <w:sz w:val="24"/>
          <w:szCs w:val="24"/>
        </w:rPr>
        <w:t>p</w:t>
      </w:r>
      <w:r w:rsidRPr="00267EA6">
        <w:rPr>
          <w:rFonts w:ascii="Times New Roman" w:hAnsi="Times New Roman" w:cs="Times New Roman"/>
          <w:sz w:val="24"/>
          <w:szCs w:val="24"/>
        </w:rPr>
        <w:t xml:space="preserve">hase of the COVID-19 outbreak in the United Kingdom: A preliminary experimental study. </w:t>
      </w:r>
      <w:r w:rsidRPr="00267EA6">
        <w:rPr>
          <w:rFonts w:ascii="Times New Roman" w:hAnsi="Times New Roman" w:cs="Times New Roman"/>
          <w:i/>
          <w:sz w:val="24"/>
          <w:szCs w:val="24"/>
        </w:rPr>
        <w:t>Psychiatry Research, 293,</w:t>
      </w:r>
      <w:r w:rsidRPr="00267EA6">
        <w:rPr>
          <w:rFonts w:ascii="Times New Roman" w:hAnsi="Times New Roman" w:cs="Times New Roman"/>
          <w:sz w:val="24"/>
          <w:szCs w:val="24"/>
        </w:rPr>
        <w:t>1134</w:t>
      </w:r>
      <w:r w:rsidRPr="002159A8">
        <w:rPr>
          <w:rFonts w:ascii="Times New Roman" w:hAnsi="Times New Roman" w:cs="Times New Roman"/>
          <w:sz w:val="24"/>
          <w:szCs w:val="24"/>
        </w:rPr>
        <w:t>55.</w:t>
      </w:r>
      <w:r w:rsidR="00B42D1D" w:rsidRPr="002159A8">
        <w:rPr>
          <w:rFonts w:ascii="Times New Roman" w:hAnsi="Times New Roman" w:cs="Times New Roman"/>
          <w:sz w:val="24"/>
          <w:szCs w:val="24"/>
        </w:rPr>
        <w:t xml:space="preserve">  </w:t>
      </w:r>
      <w:proofErr w:type="spellStart"/>
      <w:r w:rsidR="002159A8" w:rsidRPr="002159A8">
        <w:rPr>
          <w:rFonts w:ascii="Times New Roman" w:hAnsi="Times New Roman" w:cs="Times New Roman"/>
          <w:sz w:val="24"/>
          <w:szCs w:val="24"/>
        </w:rPr>
        <w:t>doi</w:t>
      </w:r>
      <w:proofErr w:type="spellEnd"/>
      <w:r w:rsidR="002159A8" w:rsidRPr="002159A8">
        <w:rPr>
          <w:rFonts w:ascii="Times New Roman" w:hAnsi="Times New Roman" w:cs="Times New Roman"/>
          <w:sz w:val="24"/>
          <w:szCs w:val="24"/>
        </w:rPr>
        <w:t xml:space="preserve">: </w:t>
      </w:r>
      <w:hyperlink r:id="rId23" w:history="1">
        <w:r w:rsidR="002159A8" w:rsidRPr="002159A8">
          <w:rPr>
            <w:rStyle w:val="Hyperlink"/>
            <w:rFonts w:ascii="Times New Roman" w:hAnsi="Times New Roman" w:cs="Times New Roman"/>
            <w:color w:val="auto"/>
            <w:sz w:val="24"/>
            <w:szCs w:val="24"/>
            <w:u w:val="none"/>
          </w:rPr>
          <w:t>https://doi.org/10.1016/j.psychres.2020.113455</w:t>
        </w:r>
      </w:hyperlink>
      <w:r w:rsidR="00B42D1D" w:rsidRPr="002159A8">
        <w:rPr>
          <w:rFonts w:ascii="Times New Roman" w:hAnsi="Times New Roman" w:cs="Times New Roman"/>
          <w:sz w:val="24"/>
          <w:szCs w:val="24"/>
        </w:rPr>
        <w:t>.</w:t>
      </w:r>
    </w:p>
    <w:p w14:paraId="33BA534B" w14:textId="2B70ECD8" w:rsidR="009174CA" w:rsidRPr="00267EA6" w:rsidRDefault="00DA32BB" w:rsidP="00DA32BB">
      <w:pPr>
        <w:spacing w:after="200" w:line="480" w:lineRule="auto"/>
        <w:ind w:left="720" w:hanging="720"/>
        <w:rPr>
          <w:rFonts w:ascii="Times New Roman" w:hAnsi="Times New Roman" w:cs="Times New Roman"/>
          <w:sz w:val="24"/>
          <w:szCs w:val="24"/>
        </w:rPr>
      </w:pPr>
      <w:proofErr w:type="spellStart"/>
      <w:r w:rsidRPr="00267EA6">
        <w:rPr>
          <w:rFonts w:ascii="Times New Roman" w:hAnsi="Times New Roman" w:cs="Times New Roman"/>
          <w:color w:val="222222"/>
          <w:sz w:val="24"/>
          <w:szCs w:val="24"/>
          <w:shd w:val="clear" w:color="auto" w:fill="FFFFFF"/>
        </w:rPr>
        <w:t>Roser</w:t>
      </w:r>
      <w:proofErr w:type="spellEnd"/>
      <w:r w:rsidRPr="00267EA6">
        <w:rPr>
          <w:rFonts w:ascii="Times New Roman" w:hAnsi="Times New Roman" w:cs="Times New Roman"/>
          <w:color w:val="222222"/>
          <w:sz w:val="24"/>
          <w:szCs w:val="24"/>
          <w:shd w:val="clear" w:color="auto" w:fill="FFFFFF"/>
        </w:rPr>
        <w:t xml:space="preserve">, M., Ritchie, H., Ortiz-Ospina, E., &amp; </w:t>
      </w:r>
      <w:proofErr w:type="spellStart"/>
      <w:r w:rsidRPr="00267EA6">
        <w:rPr>
          <w:rFonts w:ascii="Times New Roman" w:hAnsi="Times New Roman" w:cs="Times New Roman"/>
          <w:color w:val="222222"/>
          <w:sz w:val="24"/>
          <w:szCs w:val="24"/>
          <w:shd w:val="clear" w:color="auto" w:fill="FFFFFF"/>
        </w:rPr>
        <w:t>Hasell</w:t>
      </w:r>
      <w:proofErr w:type="spellEnd"/>
      <w:r w:rsidRPr="00267EA6">
        <w:rPr>
          <w:rFonts w:ascii="Times New Roman" w:hAnsi="Times New Roman" w:cs="Times New Roman"/>
          <w:color w:val="222222"/>
          <w:sz w:val="24"/>
          <w:szCs w:val="24"/>
          <w:shd w:val="clear" w:color="auto" w:fill="FFFFFF"/>
        </w:rPr>
        <w:t>, J. (2020). Coronavirus pandemic (COVID-19). 2020. </w:t>
      </w:r>
      <w:r w:rsidRPr="00267EA6">
        <w:rPr>
          <w:rFonts w:ascii="Times New Roman" w:hAnsi="Times New Roman" w:cs="Times New Roman"/>
          <w:i/>
          <w:iCs/>
          <w:color w:val="222222"/>
          <w:sz w:val="24"/>
          <w:szCs w:val="24"/>
          <w:shd w:val="clear" w:color="auto" w:fill="FFFFFF"/>
        </w:rPr>
        <w:t xml:space="preserve">Published online at </w:t>
      </w:r>
      <w:proofErr w:type="spellStart"/>
      <w:r w:rsidRPr="00267EA6">
        <w:rPr>
          <w:rFonts w:ascii="Times New Roman" w:hAnsi="Times New Roman" w:cs="Times New Roman"/>
          <w:i/>
          <w:iCs/>
          <w:color w:val="222222"/>
          <w:sz w:val="24"/>
          <w:szCs w:val="24"/>
          <w:shd w:val="clear" w:color="auto" w:fill="FFFFFF"/>
        </w:rPr>
        <w:t>OurWorldInData</w:t>
      </w:r>
      <w:proofErr w:type="spellEnd"/>
      <w:r w:rsidRPr="00267EA6">
        <w:rPr>
          <w:rFonts w:ascii="Times New Roman" w:hAnsi="Times New Roman" w:cs="Times New Roman"/>
          <w:i/>
          <w:iCs/>
          <w:color w:val="222222"/>
          <w:sz w:val="24"/>
          <w:szCs w:val="24"/>
          <w:shd w:val="clear" w:color="auto" w:fill="FFFFFF"/>
        </w:rPr>
        <w:t>. org</w:t>
      </w:r>
      <w:r w:rsidRPr="00267EA6">
        <w:rPr>
          <w:rFonts w:ascii="Times New Roman" w:hAnsi="Times New Roman" w:cs="Times New Roman"/>
          <w:color w:val="222222"/>
          <w:sz w:val="24"/>
          <w:szCs w:val="24"/>
          <w:shd w:val="clear" w:color="auto" w:fill="FFFFFF"/>
        </w:rPr>
        <w:t>.</w:t>
      </w:r>
    </w:p>
    <w:p w14:paraId="71F4B5D2" w14:textId="5173142C" w:rsidR="00DA32BB" w:rsidRPr="00267EA6" w:rsidRDefault="00DA32BB" w:rsidP="00DA32BB">
      <w:pPr>
        <w:shd w:val="clear" w:color="auto" w:fill="FFFFFF"/>
        <w:spacing w:after="0" w:line="480" w:lineRule="auto"/>
        <w:ind w:left="720" w:hanging="720"/>
        <w:rPr>
          <w:rFonts w:ascii="Times New Roman" w:hAnsi="Times New Roman" w:cs="Times New Roman"/>
          <w:sz w:val="24"/>
          <w:szCs w:val="24"/>
          <w:lang w:val="it-IT"/>
        </w:rPr>
      </w:pPr>
      <w:proofErr w:type="spellStart"/>
      <w:r w:rsidRPr="00267EA6">
        <w:rPr>
          <w:rFonts w:ascii="Times New Roman" w:hAnsi="Times New Roman" w:cs="Times New Roman"/>
          <w:color w:val="222222"/>
          <w:sz w:val="24"/>
          <w:szCs w:val="24"/>
          <w:shd w:val="clear" w:color="auto" w:fill="FFFFFF"/>
          <w:lang w:val="fr-FR"/>
        </w:rPr>
        <w:t>Rosebrock</w:t>
      </w:r>
      <w:proofErr w:type="spellEnd"/>
      <w:r w:rsidRPr="00267EA6">
        <w:rPr>
          <w:rFonts w:ascii="Times New Roman" w:hAnsi="Times New Roman" w:cs="Times New Roman"/>
          <w:color w:val="222222"/>
          <w:sz w:val="24"/>
          <w:szCs w:val="24"/>
          <w:shd w:val="clear" w:color="auto" w:fill="FFFFFF"/>
          <w:lang w:val="fr-FR"/>
        </w:rPr>
        <w:t xml:space="preserve">, L., </w:t>
      </w:r>
      <w:proofErr w:type="spellStart"/>
      <w:r w:rsidRPr="00267EA6">
        <w:rPr>
          <w:rFonts w:ascii="Times New Roman" w:hAnsi="Times New Roman" w:cs="Times New Roman"/>
          <w:color w:val="222222"/>
          <w:sz w:val="24"/>
          <w:szCs w:val="24"/>
          <w:shd w:val="clear" w:color="auto" w:fill="FFFFFF"/>
          <w:lang w:val="fr-FR"/>
        </w:rPr>
        <w:t>Černis</w:t>
      </w:r>
      <w:proofErr w:type="spellEnd"/>
      <w:r w:rsidRPr="00267EA6">
        <w:rPr>
          <w:rFonts w:ascii="Times New Roman" w:hAnsi="Times New Roman" w:cs="Times New Roman"/>
          <w:color w:val="222222"/>
          <w:sz w:val="24"/>
          <w:szCs w:val="24"/>
          <w:shd w:val="clear" w:color="auto" w:fill="FFFFFF"/>
          <w:lang w:val="fr-FR"/>
        </w:rPr>
        <w:t xml:space="preserve">, E., </w:t>
      </w:r>
      <w:proofErr w:type="spellStart"/>
      <w:r w:rsidRPr="00267EA6">
        <w:rPr>
          <w:rFonts w:ascii="Times New Roman" w:hAnsi="Times New Roman" w:cs="Times New Roman"/>
          <w:color w:val="222222"/>
          <w:sz w:val="24"/>
          <w:szCs w:val="24"/>
          <w:shd w:val="clear" w:color="auto" w:fill="FFFFFF"/>
          <w:lang w:val="fr-FR"/>
        </w:rPr>
        <w:t>Lambe</w:t>
      </w:r>
      <w:proofErr w:type="spellEnd"/>
      <w:r w:rsidRPr="00267EA6">
        <w:rPr>
          <w:rFonts w:ascii="Times New Roman" w:hAnsi="Times New Roman" w:cs="Times New Roman"/>
          <w:color w:val="222222"/>
          <w:sz w:val="24"/>
          <w:szCs w:val="24"/>
          <w:shd w:val="clear" w:color="auto" w:fill="FFFFFF"/>
          <w:lang w:val="fr-FR"/>
        </w:rPr>
        <w:t xml:space="preserve">, S., Waite, F., </w:t>
      </w:r>
      <w:proofErr w:type="spellStart"/>
      <w:r w:rsidRPr="00267EA6">
        <w:rPr>
          <w:rFonts w:ascii="Times New Roman" w:hAnsi="Times New Roman" w:cs="Times New Roman"/>
          <w:color w:val="222222"/>
          <w:sz w:val="24"/>
          <w:szCs w:val="24"/>
          <w:shd w:val="clear" w:color="auto" w:fill="FFFFFF"/>
          <w:lang w:val="fr-FR"/>
        </w:rPr>
        <w:t>Rek</w:t>
      </w:r>
      <w:proofErr w:type="spellEnd"/>
      <w:r w:rsidRPr="00267EA6">
        <w:rPr>
          <w:rFonts w:ascii="Times New Roman" w:hAnsi="Times New Roman" w:cs="Times New Roman"/>
          <w:color w:val="222222"/>
          <w:sz w:val="24"/>
          <w:szCs w:val="24"/>
          <w:shd w:val="clear" w:color="auto" w:fill="FFFFFF"/>
          <w:lang w:val="fr-FR"/>
        </w:rPr>
        <w:t xml:space="preserve">, S., Petit, A., ... &amp; Freeman, D. (2021). </w:t>
      </w:r>
      <w:proofErr w:type="spellStart"/>
      <w:r w:rsidRPr="00267EA6">
        <w:rPr>
          <w:rFonts w:ascii="Times New Roman" w:hAnsi="Times New Roman" w:cs="Times New Roman"/>
          <w:color w:val="222222"/>
          <w:sz w:val="24"/>
          <w:szCs w:val="24"/>
          <w:shd w:val="clear" w:color="auto" w:fill="FFFFFF"/>
          <w:lang w:val="fr-FR"/>
        </w:rPr>
        <w:t>Catastrophic</w:t>
      </w:r>
      <w:proofErr w:type="spellEnd"/>
      <w:r w:rsidRPr="00267EA6">
        <w:rPr>
          <w:rFonts w:ascii="Times New Roman" w:hAnsi="Times New Roman" w:cs="Times New Roman"/>
          <w:color w:val="222222"/>
          <w:sz w:val="24"/>
          <w:szCs w:val="24"/>
          <w:shd w:val="clear" w:color="auto" w:fill="FFFFFF"/>
          <w:lang w:val="fr-FR"/>
        </w:rPr>
        <w:t xml:space="preserve"> cognitions about coronavirus: the Oxford </w:t>
      </w:r>
      <w:proofErr w:type="spellStart"/>
      <w:r w:rsidRPr="00267EA6">
        <w:rPr>
          <w:rFonts w:ascii="Times New Roman" w:hAnsi="Times New Roman" w:cs="Times New Roman"/>
          <w:color w:val="222222"/>
          <w:sz w:val="24"/>
          <w:szCs w:val="24"/>
          <w:shd w:val="clear" w:color="auto" w:fill="FFFFFF"/>
          <w:lang w:val="fr-FR"/>
        </w:rPr>
        <w:t>psychological</w:t>
      </w:r>
      <w:proofErr w:type="spellEnd"/>
      <w:r w:rsidRPr="00267EA6">
        <w:rPr>
          <w:rFonts w:ascii="Times New Roman" w:hAnsi="Times New Roman" w:cs="Times New Roman"/>
          <w:color w:val="222222"/>
          <w:sz w:val="24"/>
          <w:szCs w:val="24"/>
          <w:shd w:val="clear" w:color="auto" w:fill="FFFFFF"/>
          <w:lang w:val="fr-FR"/>
        </w:rPr>
        <w:t xml:space="preserve"> investigation of coronavirus questionnaire [TOPIC-Q]. </w:t>
      </w:r>
      <w:r w:rsidRPr="00267EA6">
        <w:rPr>
          <w:rFonts w:ascii="Times New Roman" w:hAnsi="Times New Roman" w:cs="Times New Roman"/>
          <w:i/>
          <w:iCs/>
          <w:color w:val="222222"/>
          <w:sz w:val="24"/>
          <w:szCs w:val="24"/>
          <w:shd w:val="clear" w:color="auto" w:fill="FFFFFF"/>
          <w:lang w:val="it-IT"/>
        </w:rPr>
        <w:t>Psychological Medicine</w:t>
      </w:r>
      <w:r w:rsidRPr="00267EA6">
        <w:rPr>
          <w:rFonts w:ascii="Times New Roman" w:hAnsi="Times New Roman" w:cs="Times New Roman"/>
          <w:color w:val="222222"/>
          <w:sz w:val="24"/>
          <w:szCs w:val="24"/>
          <w:shd w:val="clear" w:color="auto" w:fill="FFFFFF"/>
          <w:lang w:val="it-IT"/>
        </w:rPr>
        <w:t>, 1-10.</w:t>
      </w:r>
      <w:r w:rsidR="009174CA" w:rsidRPr="00267EA6">
        <w:rPr>
          <w:rFonts w:ascii="Times New Roman" w:hAnsi="Times New Roman" w:cs="Times New Roman"/>
          <w:sz w:val="24"/>
          <w:szCs w:val="24"/>
          <w:lang w:val="it-IT"/>
        </w:rPr>
        <w:t xml:space="preserve"> </w:t>
      </w:r>
      <w:r w:rsidR="009678B2" w:rsidRPr="009678B2">
        <w:rPr>
          <w:rFonts w:ascii="Times New Roman" w:hAnsi="Times New Roman" w:cs="Times New Roman"/>
          <w:sz w:val="24"/>
          <w:szCs w:val="24"/>
        </w:rPr>
        <w:t>doi:10.1017/S0033291721000283</w:t>
      </w:r>
      <w:r w:rsidR="009678B2">
        <w:rPr>
          <w:rFonts w:ascii="Times New Roman" w:hAnsi="Times New Roman" w:cs="Times New Roman"/>
          <w:sz w:val="24"/>
          <w:szCs w:val="24"/>
        </w:rPr>
        <w:t>.</w:t>
      </w:r>
    </w:p>
    <w:p w14:paraId="3B88DF5A" w14:textId="1CC482C0" w:rsidR="00DA32BB" w:rsidRPr="00267EA6" w:rsidRDefault="00DA32BB" w:rsidP="00DA32BB">
      <w:pPr>
        <w:shd w:val="clear" w:color="auto" w:fill="FFFFFF"/>
        <w:spacing w:after="0" w:line="480" w:lineRule="auto"/>
        <w:ind w:left="720" w:hanging="720"/>
        <w:rPr>
          <w:rFonts w:ascii="Times New Roman" w:hAnsi="Times New Roman" w:cs="Times New Roman"/>
          <w:color w:val="222222"/>
          <w:sz w:val="24"/>
          <w:szCs w:val="24"/>
          <w:shd w:val="clear" w:color="auto" w:fill="FFFFFF"/>
        </w:rPr>
      </w:pPr>
      <w:r w:rsidRPr="00267EA6">
        <w:rPr>
          <w:rFonts w:ascii="Times New Roman" w:hAnsi="Times New Roman" w:cs="Times New Roman"/>
          <w:color w:val="222222"/>
          <w:sz w:val="24"/>
          <w:szCs w:val="24"/>
          <w:shd w:val="clear" w:color="auto" w:fill="FFFFFF"/>
          <w:lang w:val="it-IT"/>
        </w:rPr>
        <w:t xml:space="preserve">Salari, N., Hosseinian-Far, A., Jalali, R., Vaisi-Raygani, A., Rasoulpoor, S., Mohammadi, M., ... &amp; Khaledi-Paveh, B. (2020). </w:t>
      </w:r>
      <w:r w:rsidRPr="00267EA6">
        <w:rPr>
          <w:rFonts w:ascii="Times New Roman" w:hAnsi="Times New Roman" w:cs="Times New Roman"/>
          <w:color w:val="222222"/>
          <w:sz w:val="24"/>
          <w:szCs w:val="24"/>
          <w:shd w:val="clear" w:color="auto" w:fill="FFFFFF"/>
        </w:rPr>
        <w:t>Prevalence of stress, anxiety, depression among the general population during the COVID-19 pandemic: a systematic review and meta-analysis. </w:t>
      </w:r>
      <w:r w:rsidRPr="00267EA6">
        <w:rPr>
          <w:rFonts w:ascii="Times New Roman" w:hAnsi="Times New Roman" w:cs="Times New Roman"/>
          <w:i/>
          <w:iCs/>
          <w:color w:val="222222"/>
          <w:sz w:val="24"/>
          <w:szCs w:val="24"/>
          <w:shd w:val="clear" w:color="auto" w:fill="FFFFFF"/>
        </w:rPr>
        <w:t>Globalization and health</w:t>
      </w:r>
      <w:r w:rsidRPr="00267EA6">
        <w:rPr>
          <w:rFonts w:ascii="Times New Roman" w:hAnsi="Times New Roman" w:cs="Times New Roman"/>
          <w:color w:val="222222"/>
          <w:sz w:val="24"/>
          <w:szCs w:val="24"/>
          <w:shd w:val="clear" w:color="auto" w:fill="FFFFFF"/>
        </w:rPr>
        <w:t>, </w:t>
      </w:r>
      <w:r w:rsidRPr="00267EA6">
        <w:rPr>
          <w:rFonts w:ascii="Times New Roman" w:hAnsi="Times New Roman" w:cs="Times New Roman"/>
          <w:i/>
          <w:iCs/>
          <w:color w:val="222222"/>
          <w:sz w:val="24"/>
          <w:szCs w:val="24"/>
          <w:shd w:val="clear" w:color="auto" w:fill="FFFFFF"/>
        </w:rPr>
        <w:t>16</w:t>
      </w:r>
      <w:r w:rsidRPr="00267EA6">
        <w:rPr>
          <w:rFonts w:ascii="Times New Roman" w:hAnsi="Times New Roman" w:cs="Times New Roman"/>
          <w:color w:val="222222"/>
          <w:sz w:val="24"/>
          <w:szCs w:val="24"/>
          <w:shd w:val="clear" w:color="auto" w:fill="FFFFFF"/>
        </w:rPr>
        <w:t xml:space="preserve">(1), 1-11.  </w:t>
      </w:r>
      <w:proofErr w:type="spellStart"/>
      <w:r w:rsidR="002159A8">
        <w:rPr>
          <w:rFonts w:ascii="Times New Roman" w:hAnsi="Times New Roman" w:cs="Times New Roman"/>
          <w:color w:val="222222"/>
          <w:sz w:val="24"/>
          <w:szCs w:val="24"/>
          <w:shd w:val="clear" w:color="auto" w:fill="FFFFFF"/>
        </w:rPr>
        <w:t>doi</w:t>
      </w:r>
      <w:proofErr w:type="spellEnd"/>
      <w:r w:rsidR="002159A8">
        <w:rPr>
          <w:rFonts w:ascii="Times New Roman" w:hAnsi="Times New Roman" w:cs="Times New Roman"/>
          <w:color w:val="222222"/>
          <w:sz w:val="24"/>
          <w:szCs w:val="24"/>
          <w:shd w:val="clear" w:color="auto" w:fill="FFFFFF"/>
        </w:rPr>
        <w:t xml:space="preserve">: </w:t>
      </w:r>
      <w:r w:rsidR="000D4852" w:rsidRPr="000D4852">
        <w:rPr>
          <w:rFonts w:ascii="Times New Roman" w:hAnsi="Times New Roman" w:cs="Times New Roman"/>
          <w:color w:val="333333"/>
          <w:sz w:val="24"/>
          <w:szCs w:val="24"/>
          <w:shd w:val="clear" w:color="auto" w:fill="FFFFFF"/>
        </w:rPr>
        <w:t>https://doi.org/10.1186/s12992-020-00589-w</w:t>
      </w:r>
      <w:r w:rsidR="000D4852">
        <w:rPr>
          <w:rFonts w:ascii="Times New Roman" w:hAnsi="Times New Roman" w:cs="Times New Roman"/>
          <w:color w:val="333333"/>
          <w:sz w:val="24"/>
          <w:szCs w:val="24"/>
          <w:shd w:val="clear" w:color="auto" w:fill="FFFFFF"/>
        </w:rPr>
        <w:t>.</w:t>
      </w:r>
      <w:r w:rsidRPr="000D4852">
        <w:rPr>
          <w:rFonts w:ascii="Times New Roman" w:hAnsi="Times New Roman" w:cs="Times New Roman"/>
          <w:color w:val="222222"/>
          <w:sz w:val="24"/>
          <w:szCs w:val="24"/>
          <w:shd w:val="clear" w:color="auto" w:fill="FFFFFF"/>
        </w:rPr>
        <w:t xml:space="preserve">                                                                    </w:t>
      </w:r>
      <w:r w:rsidRPr="00267EA6">
        <w:rPr>
          <w:rFonts w:ascii="Times New Roman" w:hAnsi="Times New Roman" w:cs="Times New Roman"/>
          <w:color w:val="222222"/>
          <w:sz w:val="24"/>
          <w:szCs w:val="24"/>
          <w:shd w:val="clear" w:color="auto" w:fill="FFFFFF"/>
        </w:rPr>
        <w:t xml:space="preserve">                                                           </w:t>
      </w:r>
    </w:p>
    <w:p w14:paraId="5CDAC2E0" w14:textId="7581C49F" w:rsidR="00DA32BB" w:rsidRPr="00267EA6" w:rsidRDefault="0037428F" w:rsidP="00DA32BB">
      <w:pPr>
        <w:shd w:val="clear" w:color="auto" w:fill="FFFFFF"/>
        <w:spacing w:after="0" w:line="480" w:lineRule="auto"/>
        <w:ind w:left="720" w:hanging="720"/>
        <w:rPr>
          <w:rFonts w:ascii="Times New Roman" w:hAnsi="Times New Roman" w:cs="Times New Roman"/>
          <w:color w:val="222222"/>
          <w:sz w:val="24"/>
          <w:szCs w:val="24"/>
          <w:shd w:val="clear" w:color="auto" w:fill="FFFFFF"/>
        </w:rPr>
      </w:pPr>
      <w:r w:rsidRPr="00267EA6">
        <w:rPr>
          <w:rFonts w:ascii="Times New Roman" w:hAnsi="Times New Roman" w:cs="Times New Roman"/>
          <w:color w:val="222222"/>
          <w:sz w:val="24"/>
          <w:szCs w:val="24"/>
          <w:shd w:val="clear" w:color="auto" w:fill="FFFFFF"/>
          <w:lang w:val="de-DE"/>
        </w:rPr>
        <w:t xml:space="preserve">Schlier, B., Winkler, K., Jaya, E. S., &amp; Lincoln, T. M. (2018). </w:t>
      </w:r>
      <w:r w:rsidRPr="00267EA6">
        <w:rPr>
          <w:rFonts w:ascii="Times New Roman" w:hAnsi="Times New Roman" w:cs="Times New Roman"/>
          <w:color w:val="222222"/>
          <w:sz w:val="24"/>
          <w:szCs w:val="24"/>
          <w:shd w:val="clear" w:color="auto" w:fill="FFFFFF"/>
        </w:rPr>
        <w:t xml:space="preserve">Fluctuations in hallucination </w:t>
      </w:r>
      <w:r w:rsidR="00DA32BB" w:rsidRPr="00267EA6">
        <w:rPr>
          <w:rFonts w:ascii="Times New Roman" w:hAnsi="Times New Roman" w:cs="Times New Roman"/>
          <w:color w:val="222222"/>
          <w:sz w:val="24"/>
          <w:szCs w:val="24"/>
          <w:shd w:val="clear" w:color="auto" w:fill="FFFFFF"/>
        </w:rPr>
        <w:t xml:space="preserve">     </w:t>
      </w:r>
      <w:r w:rsidRPr="00267EA6">
        <w:rPr>
          <w:rFonts w:ascii="Times New Roman" w:hAnsi="Times New Roman" w:cs="Times New Roman"/>
          <w:color w:val="222222"/>
          <w:sz w:val="24"/>
          <w:szCs w:val="24"/>
          <w:shd w:val="clear" w:color="auto" w:fill="FFFFFF"/>
        </w:rPr>
        <w:t>spectrum experiences co-vary with social defeat but not with social deafferentation. A 3-week daily assessment study. </w:t>
      </w:r>
      <w:r w:rsidRPr="00267EA6">
        <w:rPr>
          <w:rFonts w:ascii="Times New Roman" w:hAnsi="Times New Roman" w:cs="Times New Roman"/>
          <w:i/>
          <w:iCs/>
          <w:color w:val="222222"/>
          <w:sz w:val="24"/>
          <w:szCs w:val="24"/>
          <w:shd w:val="clear" w:color="auto" w:fill="FFFFFF"/>
        </w:rPr>
        <w:t>Cognitive Therapy and Research</w:t>
      </w:r>
      <w:r w:rsidRPr="00267EA6">
        <w:rPr>
          <w:rFonts w:ascii="Times New Roman" w:hAnsi="Times New Roman" w:cs="Times New Roman"/>
          <w:color w:val="222222"/>
          <w:sz w:val="24"/>
          <w:szCs w:val="24"/>
          <w:shd w:val="clear" w:color="auto" w:fill="FFFFFF"/>
        </w:rPr>
        <w:t>, </w:t>
      </w:r>
      <w:r w:rsidRPr="00267EA6">
        <w:rPr>
          <w:rFonts w:ascii="Times New Roman" w:hAnsi="Times New Roman" w:cs="Times New Roman"/>
          <w:i/>
          <w:iCs/>
          <w:color w:val="222222"/>
          <w:sz w:val="24"/>
          <w:szCs w:val="24"/>
          <w:shd w:val="clear" w:color="auto" w:fill="FFFFFF"/>
        </w:rPr>
        <w:t>42</w:t>
      </w:r>
      <w:r w:rsidRPr="00267EA6">
        <w:rPr>
          <w:rFonts w:ascii="Times New Roman" w:hAnsi="Times New Roman" w:cs="Times New Roman"/>
          <w:color w:val="222222"/>
          <w:sz w:val="24"/>
          <w:szCs w:val="24"/>
          <w:shd w:val="clear" w:color="auto" w:fill="FFFFFF"/>
        </w:rPr>
        <w:t>(1), 92-102.</w:t>
      </w:r>
      <w:r w:rsidR="002C3E7C">
        <w:rPr>
          <w:rFonts w:ascii="Times New Roman" w:hAnsi="Times New Roman" w:cs="Times New Roman"/>
          <w:color w:val="222222"/>
          <w:sz w:val="24"/>
          <w:szCs w:val="24"/>
          <w:shd w:val="clear" w:color="auto" w:fill="FFFFFF"/>
        </w:rPr>
        <w:t xml:space="preserve">  </w:t>
      </w:r>
      <w:proofErr w:type="spellStart"/>
      <w:r w:rsidR="002159A8">
        <w:rPr>
          <w:rFonts w:ascii="Times New Roman" w:hAnsi="Times New Roman" w:cs="Times New Roman"/>
          <w:color w:val="222222"/>
          <w:sz w:val="24"/>
          <w:szCs w:val="24"/>
          <w:shd w:val="clear" w:color="auto" w:fill="FFFFFF"/>
        </w:rPr>
        <w:t>doi</w:t>
      </w:r>
      <w:proofErr w:type="spellEnd"/>
      <w:r w:rsidR="002159A8">
        <w:rPr>
          <w:rFonts w:ascii="Times New Roman" w:hAnsi="Times New Roman" w:cs="Times New Roman"/>
          <w:color w:val="222222"/>
          <w:sz w:val="24"/>
          <w:szCs w:val="24"/>
          <w:shd w:val="clear" w:color="auto" w:fill="FFFFFF"/>
        </w:rPr>
        <w:t xml:space="preserve">: </w:t>
      </w:r>
      <w:r w:rsidR="002C3E7C" w:rsidRPr="002C3E7C">
        <w:rPr>
          <w:rFonts w:ascii="Times New Roman" w:hAnsi="Times New Roman" w:cs="Times New Roman"/>
          <w:color w:val="333333"/>
          <w:sz w:val="24"/>
          <w:szCs w:val="24"/>
          <w:shd w:val="clear" w:color="auto" w:fill="FCFCFC"/>
        </w:rPr>
        <w:t>https://doi.org/10.1007/s10608-017-9871-8</w:t>
      </w:r>
      <w:r w:rsidR="002C3E7C">
        <w:rPr>
          <w:rFonts w:ascii="Times New Roman" w:hAnsi="Times New Roman" w:cs="Times New Roman"/>
          <w:color w:val="333333"/>
          <w:sz w:val="24"/>
          <w:szCs w:val="24"/>
          <w:shd w:val="clear" w:color="auto" w:fill="FCFCFC"/>
        </w:rPr>
        <w:t>.</w:t>
      </w:r>
    </w:p>
    <w:p w14:paraId="264B64FB" w14:textId="6FBB1331" w:rsidR="00DA32BB" w:rsidRPr="00267EA6" w:rsidRDefault="00DA32BB" w:rsidP="00DA32BB">
      <w:pPr>
        <w:shd w:val="clear" w:color="auto" w:fill="FFFFFF"/>
        <w:spacing w:after="0" w:line="480" w:lineRule="auto"/>
        <w:ind w:left="720" w:hanging="720"/>
        <w:rPr>
          <w:rFonts w:ascii="Times New Roman" w:hAnsi="Times New Roman" w:cs="Times New Roman"/>
          <w:color w:val="222222"/>
          <w:sz w:val="24"/>
          <w:szCs w:val="24"/>
          <w:shd w:val="clear" w:color="auto" w:fill="FFFFFF"/>
        </w:rPr>
      </w:pPr>
      <w:r w:rsidRPr="00267EA6">
        <w:rPr>
          <w:rFonts w:ascii="Times New Roman" w:hAnsi="Times New Roman" w:cs="Times New Roman"/>
          <w:color w:val="222222"/>
          <w:sz w:val="24"/>
          <w:szCs w:val="24"/>
          <w:shd w:val="clear" w:color="auto" w:fill="FFFFFF"/>
        </w:rPr>
        <w:lastRenderedPageBreak/>
        <w:t>Strauss, J. S. (1969). Hallucinations and delusions as points on continua function: Rating scale evidence. </w:t>
      </w:r>
      <w:r w:rsidRPr="00267EA6">
        <w:rPr>
          <w:rFonts w:ascii="Times New Roman" w:hAnsi="Times New Roman" w:cs="Times New Roman"/>
          <w:i/>
          <w:iCs/>
          <w:color w:val="222222"/>
          <w:sz w:val="24"/>
          <w:szCs w:val="24"/>
          <w:shd w:val="clear" w:color="auto" w:fill="FFFFFF"/>
        </w:rPr>
        <w:t>Archives of general psychiatry</w:t>
      </w:r>
      <w:r w:rsidRPr="00267EA6">
        <w:rPr>
          <w:rFonts w:ascii="Times New Roman" w:hAnsi="Times New Roman" w:cs="Times New Roman"/>
          <w:color w:val="222222"/>
          <w:sz w:val="24"/>
          <w:szCs w:val="24"/>
          <w:shd w:val="clear" w:color="auto" w:fill="FFFFFF"/>
        </w:rPr>
        <w:t>, </w:t>
      </w:r>
      <w:r w:rsidRPr="00267EA6">
        <w:rPr>
          <w:rFonts w:ascii="Times New Roman" w:hAnsi="Times New Roman" w:cs="Times New Roman"/>
          <w:i/>
          <w:iCs/>
          <w:color w:val="222222"/>
          <w:sz w:val="24"/>
          <w:szCs w:val="24"/>
          <w:shd w:val="clear" w:color="auto" w:fill="FFFFFF"/>
        </w:rPr>
        <w:t>21</w:t>
      </w:r>
      <w:r w:rsidRPr="00267EA6">
        <w:rPr>
          <w:rFonts w:ascii="Times New Roman" w:hAnsi="Times New Roman" w:cs="Times New Roman"/>
          <w:color w:val="222222"/>
          <w:sz w:val="24"/>
          <w:szCs w:val="24"/>
          <w:shd w:val="clear" w:color="auto" w:fill="FFFFFF"/>
        </w:rPr>
        <w:t>(5), 581-586.</w:t>
      </w:r>
      <w:r w:rsidR="00565324">
        <w:rPr>
          <w:rFonts w:ascii="Times New Roman" w:hAnsi="Times New Roman" w:cs="Times New Roman"/>
          <w:color w:val="222222"/>
          <w:sz w:val="24"/>
          <w:szCs w:val="24"/>
          <w:shd w:val="clear" w:color="auto" w:fill="FFFFFF"/>
        </w:rPr>
        <w:t xml:space="preserve">  </w:t>
      </w:r>
      <w:r w:rsidR="00565324" w:rsidRPr="00565324">
        <w:rPr>
          <w:rFonts w:ascii="Times New Roman" w:hAnsi="Times New Roman" w:cs="Times New Roman"/>
          <w:color w:val="333333"/>
          <w:sz w:val="24"/>
          <w:szCs w:val="24"/>
          <w:shd w:val="clear" w:color="auto" w:fill="FFFFFF"/>
        </w:rPr>
        <w:t> doi:10.1001/archpsyc.1969.01740230069010</w:t>
      </w:r>
      <w:r w:rsidR="00565324">
        <w:rPr>
          <w:rFonts w:ascii="Times New Roman" w:hAnsi="Times New Roman" w:cs="Times New Roman"/>
          <w:color w:val="333333"/>
          <w:sz w:val="24"/>
          <w:szCs w:val="24"/>
          <w:shd w:val="clear" w:color="auto" w:fill="FFFFFF"/>
        </w:rPr>
        <w:t>.</w:t>
      </w:r>
    </w:p>
    <w:p w14:paraId="0019E20B" w14:textId="65DA2634" w:rsidR="00DA32BB" w:rsidRPr="00C339C5" w:rsidRDefault="00C366A4" w:rsidP="00DA32BB">
      <w:pPr>
        <w:shd w:val="clear" w:color="auto" w:fill="FFFFFF"/>
        <w:spacing w:after="0" w:line="480" w:lineRule="auto"/>
        <w:ind w:left="720" w:hanging="720"/>
        <w:rPr>
          <w:rFonts w:ascii="Times New Roman" w:hAnsi="Times New Roman" w:cs="Times New Roman"/>
          <w:sz w:val="24"/>
          <w:szCs w:val="24"/>
          <w:lang w:val="nl-NL"/>
        </w:rPr>
      </w:pPr>
      <w:r w:rsidRPr="00267EA6">
        <w:rPr>
          <w:rFonts w:ascii="Times New Roman" w:hAnsi="Times New Roman" w:cs="Times New Roman"/>
          <w:color w:val="000000" w:themeColor="text1"/>
          <w:sz w:val="24"/>
          <w:szCs w:val="24"/>
          <w:shd w:val="clear" w:color="auto" w:fill="FFFFFF"/>
          <w:lang w:val="fr-FR"/>
        </w:rPr>
        <w:t xml:space="preserve">van Os, J,I. (2004). </w:t>
      </w:r>
      <w:proofErr w:type="spellStart"/>
      <w:r w:rsidRPr="00267EA6">
        <w:rPr>
          <w:rFonts w:ascii="Times New Roman" w:hAnsi="Times New Roman" w:cs="Times New Roman"/>
          <w:color w:val="000000" w:themeColor="text1"/>
          <w:sz w:val="24"/>
          <w:szCs w:val="24"/>
          <w:shd w:val="clear" w:color="auto" w:fill="FFFFFF"/>
          <w:lang w:val="fr-FR"/>
        </w:rPr>
        <w:t>Does</w:t>
      </w:r>
      <w:proofErr w:type="spellEnd"/>
      <w:r w:rsidRPr="00267EA6">
        <w:rPr>
          <w:rFonts w:ascii="Times New Roman" w:hAnsi="Times New Roman" w:cs="Times New Roman"/>
          <w:color w:val="000000" w:themeColor="text1"/>
          <w:sz w:val="24"/>
          <w:szCs w:val="24"/>
          <w:shd w:val="clear" w:color="auto" w:fill="FFFFFF"/>
          <w:lang w:val="fr-FR"/>
        </w:rPr>
        <w:t xml:space="preserve"> the </w:t>
      </w:r>
      <w:proofErr w:type="spellStart"/>
      <w:r w:rsidRPr="00267EA6">
        <w:rPr>
          <w:rFonts w:ascii="Times New Roman" w:hAnsi="Times New Roman" w:cs="Times New Roman"/>
          <w:color w:val="000000" w:themeColor="text1"/>
          <w:sz w:val="24"/>
          <w:szCs w:val="24"/>
          <w:shd w:val="clear" w:color="auto" w:fill="FFFFFF"/>
          <w:lang w:val="fr-FR"/>
        </w:rPr>
        <w:t>urban</w:t>
      </w:r>
      <w:proofErr w:type="spellEnd"/>
      <w:r w:rsidRPr="00267EA6">
        <w:rPr>
          <w:rFonts w:ascii="Times New Roman" w:hAnsi="Times New Roman" w:cs="Times New Roman"/>
          <w:color w:val="000000" w:themeColor="text1"/>
          <w:sz w:val="24"/>
          <w:szCs w:val="24"/>
          <w:shd w:val="clear" w:color="auto" w:fill="FFFFFF"/>
          <w:lang w:val="fr-FR"/>
        </w:rPr>
        <w:t xml:space="preserve"> </w:t>
      </w:r>
      <w:proofErr w:type="spellStart"/>
      <w:r w:rsidRPr="00267EA6">
        <w:rPr>
          <w:rFonts w:ascii="Times New Roman" w:hAnsi="Times New Roman" w:cs="Times New Roman"/>
          <w:color w:val="000000" w:themeColor="text1"/>
          <w:sz w:val="24"/>
          <w:szCs w:val="24"/>
          <w:shd w:val="clear" w:color="auto" w:fill="FFFFFF"/>
          <w:lang w:val="fr-FR"/>
        </w:rPr>
        <w:t>environment</w:t>
      </w:r>
      <w:proofErr w:type="spellEnd"/>
      <w:r w:rsidRPr="00267EA6">
        <w:rPr>
          <w:rFonts w:ascii="Times New Roman" w:hAnsi="Times New Roman" w:cs="Times New Roman"/>
          <w:color w:val="000000" w:themeColor="text1"/>
          <w:sz w:val="24"/>
          <w:szCs w:val="24"/>
          <w:shd w:val="clear" w:color="auto" w:fill="FFFFFF"/>
          <w:lang w:val="fr-FR"/>
        </w:rPr>
        <w:t xml:space="preserve"> cause </w:t>
      </w:r>
      <w:proofErr w:type="spellStart"/>
      <w:r w:rsidRPr="00267EA6">
        <w:rPr>
          <w:rFonts w:ascii="Times New Roman" w:hAnsi="Times New Roman" w:cs="Times New Roman"/>
          <w:color w:val="000000" w:themeColor="text1"/>
          <w:sz w:val="24"/>
          <w:szCs w:val="24"/>
          <w:shd w:val="clear" w:color="auto" w:fill="FFFFFF"/>
          <w:lang w:val="fr-FR"/>
        </w:rPr>
        <w:t>psychosis</w:t>
      </w:r>
      <w:proofErr w:type="spellEnd"/>
      <w:r w:rsidRPr="00267EA6">
        <w:rPr>
          <w:rFonts w:ascii="Times New Roman" w:hAnsi="Times New Roman" w:cs="Times New Roman"/>
          <w:color w:val="000000" w:themeColor="text1"/>
          <w:sz w:val="24"/>
          <w:szCs w:val="24"/>
          <w:shd w:val="clear" w:color="auto" w:fill="FFFFFF"/>
          <w:lang w:val="fr-FR"/>
        </w:rPr>
        <w:t>?</w:t>
      </w:r>
      <w:r w:rsidRPr="00267EA6">
        <w:rPr>
          <w:rFonts w:ascii="Times New Roman" w:hAnsi="Times New Roman" w:cs="Times New Roman"/>
          <w:i/>
          <w:iCs/>
          <w:color w:val="000000" w:themeColor="text1"/>
          <w:sz w:val="24"/>
          <w:szCs w:val="24"/>
          <w:shd w:val="clear" w:color="auto" w:fill="FFFFFF"/>
          <w:lang w:val="fr-FR"/>
        </w:rPr>
        <w:t xml:space="preserve">  </w:t>
      </w:r>
      <w:r w:rsidRPr="00267EA6">
        <w:rPr>
          <w:rFonts w:ascii="Times New Roman" w:hAnsi="Times New Roman" w:cs="Times New Roman"/>
          <w:i/>
          <w:iCs/>
          <w:color w:val="000000" w:themeColor="text1"/>
          <w:sz w:val="24"/>
          <w:szCs w:val="24"/>
          <w:shd w:val="clear" w:color="auto" w:fill="FFFFFF"/>
          <w:lang w:val="nl-NL"/>
        </w:rPr>
        <w:t>British Journal of Psychiatry, 184(4),</w:t>
      </w:r>
      <w:r w:rsidRPr="00267EA6">
        <w:rPr>
          <w:rFonts w:ascii="Times New Roman" w:hAnsi="Times New Roman" w:cs="Times New Roman"/>
          <w:color w:val="000000" w:themeColor="text1"/>
          <w:sz w:val="24"/>
          <w:szCs w:val="24"/>
          <w:shd w:val="clear" w:color="auto" w:fill="FFFFFF"/>
          <w:lang w:val="nl-NL"/>
        </w:rPr>
        <w:t xml:space="preserve"> 287-8</w:t>
      </w:r>
      <w:r w:rsidRPr="00C339C5">
        <w:rPr>
          <w:rFonts w:ascii="Times New Roman" w:hAnsi="Times New Roman" w:cs="Times New Roman"/>
          <w:sz w:val="24"/>
          <w:szCs w:val="24"/>
        </w:rPr>
        <w:t>.</w:t>
      </w:r>
      <w:r w:rsidR="00C339C5" w:rsidRPr="00C339C5">
        <w:rPr>
          <w:rFonts w:ascii="Times New Roman" w:hAnsi="Times New Roman" w:cs="Times New Roman"/>
          <w:sz w:val="24"/>
          <w:szCs w:val="24"/>
        </w:rPr>
        <w:t xml:space="preserve">  doi:10.1192/bjp.184.4.287</w:t>
      </w:r>
    </w:p>
    <w:p w14:paraId="760E69E8" w14:textId="1BB9143C" w:rsidR="00243DF4" w:rsidRPr="00267EA6" w:rsidRDefault="00DA32BB" w:rsidP="00DA32BB">
      <w:pPr>
        <w:shd w:val="clear" w:color="auto" w:fill="FFFFFF"/>
        <w:spacing w:after="0" w:line="480" w:lineRule="auto"/>
        <w:ind w:left="720" w:hanging="720"/>
        <w:rPr>
          <w:rFonts w:ascii="Times New Roman" w:hAnsi="Times New Roman" w:cs="Times New Roman"/>
          <w:color w:val="222222"/>
          <w:sz w:val="24"/>
          <w:szCs w:val="24"/>
          <w:shd w:val="clear" w:color="auto" w:fill="FFFFFF"/>
        </w:rPr>
      </w:pPr>
      <w:r w:rsidRPr="00267EA6">
        <w:rPr>
          <w:rFonts w:ascii="Times New Roman" w:hAnsi="Times New Roman" w:cs="Times New Roman"/>
          <w:color w:val="222222"/>
          <w:sz w:val="24"/>
          <w:szCs w:val="24"/>
          <w:shd w:val="clear" w:color="auto" w:fill="FFFFFF"/>
          <w:lang w:val="nl-NL"/>
        </w:rPr>
        <w:t xml:space="preserve">Van Os, J., Hanssen, M., Bijl, R. V., &amp; Ravelli, A. (2000). </w:t>
      </w:r>
      <w:r w:rsidRPr="00267EA6">
        <w:rPr>
          <w:rFonts w:ascii="Times New Roman" w:hAnsi="Times New Roman" w:cs="Times New Roman"/>
          <w:color w:val="222222"/>
          <w:sz w:val="24"/>
          <w:szCs w:val="24"/>
          <w:shd w:val="clear" w:color="auto" w:fill="FFFFFF"/>
        </w:rPr>
        <w:t>Strauss (1969) revisited: a psychosis continuum in the general population?. </w:t>
      </w:r>
      <w:r w:rsidRPr="00267EA6">
        <w:rPr>
          <w:rFonts w:ascii="Times New Roman" w:hAnsi="Times New Roman" w:cs="Times New Roman"/>
          <w:i/>
          <w:iCs/>
          <w:color w:val="222222"/>
          <w:sz w:val="24"/>
          <w:szCs w:val="24"/>
          <w:shd w:val="clear" w:color="auto" w:fill="FFFFFF"/>
          <w:lang w:val="nl-NL"/>
        </w:rPr>
        <w:t>Schizophrenia research</w:t>
      </w:r>
      <w:r w:rsidRPr="00267EA6">
        <w:rPr>
          <w:rFonts w:ascii="Times New Roman" w:hAnsi="Times New Roman" w:cs="Times New Roman"/>
          <w:color w:val="222222"/>
          <w:sz w:val="24"/>
          <w:szCs w:val="24"/>
          <w:shd w:val="clear" w:color="auto" w:fill="FFFFFF"/>
          <w:lang w:val="nl-NL"/>
        </w:rPr>
        <w:t>, </w:t>
      </w:r>
      <w:r w:rsidRPr="00267EA6">
        <w:rPr>
          <w:rFonts w:ascii="Times New Roman" w:hAnsi="Times New Roman" w:cs="Times New Roman"/>
          <w:i/>
          <w:iCs/>
          <w:color w:val="222222"/>
          <w:sz w:val="24"/>
          <w:szCs w:val="24"/>
          <w:shd w:val="clear" w:color="auto" w:fill="FFFFFF"/>
          <w:lang w:val="nl-NL"/>
        </w:rPr>
        <w:t>45</w:t>
      </w:r>
      <w:r w:rsidRPr="00267EA6">
        <w:rPr>
          <w:rFonts w:ascii="Times New Roman" w:hAnsi="Times New Roman" w:cs="Times New Roman"/>
          <w:color w:val="222222"/>
          <w:sz w:val="24"/>
          <w:szCs w:val="24"/>
          <w:shd w:val="clear" w:color="auto" w:fill="FFFFFF"/>
          <w:lang w:val="nl-NL"/>
        </w:rPr>
        <w:t>(1-2), 11-20</w:t>
      </w:r>
      <w:r w:rsidRPr="00322143">
        <w:rPr>
          <w:rFonts w:ascii="Times New Roman" w:hAnsi="Times New Roman" w:cs="Times New Roman"/>
          <w:sz w:val="24"/>
          <w:szCs w:val="24"/>
          <w:shd w:val="clear" w:color="auto" w:fill="FFFFFF"/>
          <w:lang w:val="nl-NL"/>
        </w:rPr>
        <w:t>.</w:t>
      </w:r>
      <w:r w:rsidR="00322143" w:rsidRPr="00322143">
        <w:rPr>
          <w:rFonts w:ascii="Times New Roman" w:hAnsi="Times New Roman" w:cs="Times New Roman"/>
          <w:sz w:val="24"/>
          <w:szCs w:val="24"/>
          <w:shd w:val="clear" w:color="auto" w:fill="FFFFFF"/>
          <w:lang w:val="nl-NL"/>
        </w:rPr>
        <w:t xml:space="preserve"> </w:t>
      </w:r>
      <w:r w:rsidR="00322143">
        <w:rPr>
          <w:rFonts w:ascii="Times New Roman" w:hAnsi="Times New Roman" w:cs="Times New Roman"/>
          <w:sz w:val="24"/>
          <w:szCs w:val="24"/>
          <w:shd w:val="clear" w:color="auto" w:fill="FFFFFF"/>
          <w:lang w:val="nl-NL"/>
        </w:rPr>
        <w:t>doi:</w:t>
      </w:r>
      <w:r w:rsidR="00322143" w:rsidRPr="00322143">
        <w:rPr>
          <w:rFonts w:ascii="Times New Roman" w:hAnsi="Times New Roman" w:cs="Times New Roman"/>
          <w:sz w:val="24"/>
          <w:szCs w:val="24"/>
          <w:shd w:val="clear" w:color="auto" w:fill="FFFFFF"/>
          <w:lang w:val="nl-NL"/>
        </w:rPr>
        <w:t xml:space="preserve"> </w:t>
      </w:r>
      <w:hyperlink r:id="rId24" w:tgtFrame="_blank" w:tooltip="Persistent link using digital object identifier" w:history="1">
        <w:r w:rsidR="00322143" w:rsidRPr="00322143">
          <w:rPr>
            <w:rStyle w:val="Hyperlink"/>
            <w:rFonts w:ascii="Times New Roman" w:hAnsi="Times New Roman" w:cs="Times New Roman"/>
            <w:color w:val="auto"/>
            <w:sz w:val="24"/>
            <w:szCs w:val="24"/>
            <w:u w:val="none"/>
          </w:rPr>
          <w:t>https://doi.org/10.1016/S0920-9964(99)00224-8</w:t>
        </w:r>
      </w:hyperlink>
      <w:r w:rsidR="00322143">
        <w:rPr>
          <w:rFonts w:ascii="Times New Roman" w:hAnsi="Times New Roman" w:cs="Times New Roman"/>
          <w:sz w:val="24"/>
          <w:szCs w:val="24"/>
        </w:rPr>
        <w:t>.</w:t>
      </w:r>
    </w:p>
    <w:p w14:paraId="43728AA7" w14:textId="7E197BA4" w:rsidR="00243DF4" w:rsidRPr="00267EA6" w:rsidRDefault="00243DF4" w:rsidP="00ED2487">
      <w:pPr>
        <w:spacing w:line="480" w:lineRule="auto"/>
        <w:rPr>
          <w:rFonts w:ascii="Times New Roman" w:hAnsi="Times New Roman" w:cs="Times New Roman"/>
          <w:color w:val="000000" w:themeColor="text1"/>
          <w:sz w:val="24"/>
          <w:szCs w:val="24"/>
          <w:shd w:val="clear" w:color="auto" w:fill="FFFFFF"/>
        </w:rPr>
      </w:pPr>
      <w:r w:rsidRPr="00267EA6">
        <w:rPr>
          <w:rFonts w:ascii="Times New Roman" w:hAnsi="Times New Roman" w:cs="Times New Roman"/>
          <w:color w:val="000000" w:themeColor="text1"/>
          <w:sz w:val="24"/>
          <w:szCs w:val="24"/>
          <w:shd w:val="clear" w:color="auto" w:fill="FFFFFF"/>
        </w:rPr>
        <w:t xml:space="preserve">                                                                                                                                               </w:t>
      </w:r>
    </w:p>
    <w:p w14:paraId="66F3A779" w14:textId="199941E6" w:rsidR="00243DF4" w:rsidRPr="00267EA6" w:rsidRDefault="00243DF4" w:rsidP="00243DF4">
      <w:pPr>
        <w:spacing w:line="240" w:lineRule="auto"/>
        <w:rPr>
          <w:rFonts w:ascii="Times New Roman" w:eastAsia="Calibri" w:hAnsi="Times New Roman" w:cs="Times New Roman"/>
          <w:color w:val="000000" w:themeColor="text1"/>
          <w:sz w:val="24"/>
          <w:szCs w:val="24"/>
        </w:rPr>
      </w:pPr>
      <w:r w:rsidRPr="00267EA6">
        <w:rPr>
          <w:rFonts w:ascii="Times New Roman" w:eastAsia="Calibri" w:hAnsi="Times New Roman" w:cs="Times New Roman"/>
          <w:color w:val="000000" w:themeColor="text1"/>
          <w:sz w:val="24"/>
          <w:szCs w:val="24"/>
        </w:rPr>
        <w:t xml:space="preserve">                                                                                                                                              </w:t>
      </w:r>
    </w:p>
    <w:p w14:paraId="266B860C" w14:textId="77777777" w:rsidR="00243DF4" w:rsidRPr="00267EA6" w:rsidRDefault="00243DF4" w:rsidP="00243DF4">
      <w:pPr>
        <w:spacing w:after="200"/>
        <w:ind w:left="720" w:hanging="720"/>
        <w:rPr>
          <w:rFonts w:ascii="Times New Roman" w:eastAsia="DengXian" w:hAnsi="Times New Roman" w:cs="Times New Roman"/>
          <w:color w:val="000000" w:themeColor="text1"/>
          <w:sz w:val="24"/>
          <w:szCs w:val="24"/>
          <w:lang w:eastAsia="zh-CN"/>
        </w:rPr>
      </w:pPr>
      <w:r w:rsidRPr="00267EA6">
        <w:rPr>
          <w:rFonts w:ascii="Times New Roman" w:eastAsia="DengXian" w:hAnsi="Times New Roman" w:cs="Times New Roman"/>
          <w:color w:val="000000" w:themeColor="text1"/>
          <w:sz w:val="24"/>
          <w:szCs w:val="24"/>
          <w:lang w:eastAsia="zh-CN"/>
        </w:rPr>
        <w:tab/>
      </w:r>
    </w:p>
    <w:p w14:paraId="344A8EA3" w14:textId="4BC0FF02" w:rsidR="000845A6" w:rsidRDefault="000845A6" w:rsidP="004545C8">
      <w:pPr>
        <w:spacing w:after="120" w:line="360" w:lineRule="auto"/>
        <w:rPr>
          <w:rFonts w:ascii="Times New Roman" w:hAnsi="Times New Roman" w:cs="Times New Roman"/>
          <w:b/>
          <w:sz w:val="24"/>
          <w:szCs w:val="24"/>
        </w:rPr>
      </w:pPr>
    </w:p>
    <w:p w14:paraId="4603DFD2" w14:textId="662668BD" w:rsidR="00243DF4" w:rsidRDefault="00243DF4" w:rsidP="004545C8">
      <w:pPr>
        <w:spacing w:after="120" w:line="360" w:lineRule="auto"/>
        <w:rPr>
          <w:rFonts w:ascii="Times New Roman" w:hAnsi="Times New Roman" w:cs="Times New Roman"/>
          <w:b/>
          <w:sz w:val="24"/>
          <w:szCs w:val="24"/>
        </w:rPr>
      </w:pPr>
    </w:p>
    <w:p w14:paraId="6A8D11DE" w14:textId="302ED18A" w:rsidR="00243DF4" w:rsidRDefault="00243DF4" w:rsidP="004545C8">
      <w:pPr>
        <w:spacing w:after="120" w:line="360" w:lineRule="auto"/>
        <w:rPr>
          <w:rFonts w:ascii="Times New Roman" w:hAnsi="Times New Roman" w:cs="Times New Roman"/>
          <w:b/>
          <w:sz w:val="24"/>
          <w:szCs w:val="24"/>
        </w:rPr>
      </w:pPr>
    </w:p>
    <w:p w14:paraId="0F295DBF" w14:textId="09E634B2" w:rsidR="00243DF4" w:rsidRDefault="00243DF4" w:rsidP="004545C8">
      <w:pPr>
        <w:spacing w:after="120" w:line="360" w:lineRule="auto"/>
        <w:rPr>
          <w:rFonts w:ascii="Times New Roman" w:hAnsi="Times New Roman" w:cs="Times New Roman"/>
          <w:b/>
          <w:sz w:val="24"/>
          <w:szCs w:val="24"/>
        </w:rPr>
      </w:pPr>
    </w:p>
    <w:p w14:paraId="4ABA7982" w14:textId="77777777" w:rsidR="009174CA" w:rsidRDefault="009174CA" w:rsidP="004545C8">
      <w:pPr>
        <w:spacing w:after="120" w:line="360" w:lineRule="auto"/>
        <w:rPr>
          <w:rFonts w:ascii="Times New Roman" w:hAnsi="Times New Roman" w:cs="Times New Roman"/>
          <w:b/>
          <w:sz w:val="24"/>
          <w:szCs w:val="24"/>
        </w:rPr>
      </w:pPr>
    </w:p>
    <w:p w14:paraId="1DA08404" w14:textId="77777777" w:rsidR="009174CA" w:rsidRDefault="009174CA" w:rsidP="004545C8">
      <w:pPr>
        <w:spacing w:after="120" w:line="360" w:lineRule="auto"/>
        <w:rPr>
          <w:rFonts w:ascii="Times New Roman" w:hAnsi="Times New Roman" w:cs="Times New Roman"/>
          <w:b/>
          <w:sz w:val="24"/>
          <w:szCs w:val="24"/>
        </w:rPr>
      </w:pPr>
    </w:p>
    <w:p w14:paraId="40BCC3FA" w14:textId="77777777" w:rsidR="009174CA" w:rsidRDefault="009174CA" w:rsidP="004545C8">
      <w:pPr>
        <w:spacing w:after="120" w:line="360" w:lineRule="auto"/>
        <w:rPr>
          <w:rFonts w:ascii="Times New Roman" w:hAnsi="Times New Roman" w:cs="Times New Roman"/>
          <w:b/>
          <w:sz w:val="24"/>
          <w:szCs w:val="24"/>
        </w:rPr>
      </w:pPr>
    </w:p>
    <w:p w14:paraId="5319B8D1" w14:textId="77777777" w:rsidR="00055554" w:rsidRDefault="00055554">
      <w:pPr>
        <w:rPr>
          <w:rFonts w:ascii="Times New Roman" w:hAnsi="Times New Roman" w:cs="Times New Roman"/>
          <w:b/>
          <w:sz w:val="24"/>
          <w:szCs w:val="24"/>
        </w:rPr>
      </w:pPr>
      <w:r>
        <w:rPr>
          <w:rFonts w:ascii="Times New Roman" w:hAnsi="Times New Roman" w:cs="Times New Roman"/>
          <w:b/>
          <w:sz w:val="24"/>
          <w:szCs w:val="24"/>
        </w:rPr>
        <w:br w:type="page"/>
      </w:r>
    </w:p>
    <w:p w14:paraId="15A4127D" w14:textId="00C0094B" w:rsidR="004545C8" w:rsidRPr="004545C8" w:rsidRDefault="004545C8" w:rsidP="00183F1B">
      <w:pPr>
        <w:spacing w:after="120" w:line="360" w:lineRule="auto"/>
        <w:rPr>
          <w:rFonts w:ascii="Times New Roman" w:hAnsi="Times New Roman" w:cs="Times New Roman"/>
        </w:rPr>
      </w:pPr>
      <w:r w:rsidRPr="00E51EEF">
        <w:rPr>
          <w:rFonts w:ascii="Times New Roman" w:hAnsi="Times New Roman" w:cs="Times New Roman"/>
          <w:b/>
          <w:sz w:val="24"/>
          <w:szCs w:val="24"/>
        </w:rPr>
        <w:lastRenderedPageBreak/>
        <w:t xml:space="preserve">Table 1. </w:t>
      </w:r>
      <w:r>
        <w:rPr>
          <w:rFonts w:ascii="Times New Roman" w:hAnsi="Times New Roman" w:cs="Times New Roman"/>
          <w:sz w:val="24"/>
          <w:szCs w:val="24"/>
        </w:rPr>
        <w:t xml:space="preserve">Sociodemographic </w:t>
      </w:r>
      <w:r w:rsidR="000845A6">
        <w:rPr>
          <w:rFonts w:ascii="Times New Roman" w:hAnsi="Times New Roman" w:cs="Times New Roman"/>
          <w:sz w:val="24"/>
          <w:szCs w:val="24"/>
        </w:rPr>
        <w:t>characteristics of the sample</w:t>
      </w:r>
      <w:r>
        <w:rPr>
          <w:rFonts w:ascii="Times New Roman" w:hAnsi="Times New Roman" w:cs="Times New Roman"/>
          <w:sz w:val="24"/>
          <w:szCs w:val="24"/>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098"/>
        <w:gridCol w:w="992"/>
        <w:gridCol w:w="1134"/>
        <w:gridCol w:w="992"/>
        <w:gridCol w:w="992"/>
        <w:gridCol w:w="993"/>
      </w:tblGrid>
      <w:tr w:rsidR="000845A6" w:rsidRPr="004545C8" w14:paraId="3BC87DB2" w14:textId="77777777" w:rsidTr="00DE361E">
        <w:tc>
          <w:tcPr>
            <w:tcW w:w="3150" w:type="dxa"/>
            <w:tcBorders>
              <w:top w:val="single" w:sz="4" w:space="0" w:color="auto"/>
              <w:bottom w:val="single" w:sz="4" w:space="0" w:color="auto"/>
            </w:tcBorders>
          </w:tcPr>
          <w:p w14:paraId="52660D91" w14:textId="77777777" w:rsidR="000845A6" w:rsidRPr="004545C8" w:rsidRDefault="000845A6" w:rsidP="000845A6">
            <w:pPr>
              <w:spacing w:line="360" w:lineRule="auto"/>
              <w:rPr>
                <w:rFonts w:ascii="Times New Roman" w:hAnsi="Times New Roman" w:cs="Times New Roman"/>
              </w:rPr>
            </w:pPr>
          </w:p>
        </w:tc>
        <w:tc>
          <w:tcPr>
            <w:tcW w:w="1098" w:type="dxa"/>
            <w:tcBorders>
              <w:top w:val="single" w:sz="4" w:space="0" w:color="auto"/>
              <w:bottom w:val="single" w:sz="4" w:space="0" w:color="auto"/>
            </w:tcBorders>
          </w:tcPr>
          <w:p w14:paraId="0A44AB6A" w14:textId="719ABC16"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Total (n=2510)</w:t>
            </w:r>
          </w:p>
        </w:tc>
        <w:tc>
          <w:tcPr>
            <w:tcW w:w="992" w:type="dxa"/>
            <w:tcBorders>
              <w:top w:val="single" w:sz="4" w:space="0" w:color="auto"/>
              <w:bottom w:val="single" w:sz="4" w:space="0" w:color="auto"/>
            </w:tcBorders>
          </w:tcPr>
          <w:p w14:paraId="30234A72" w14:textId="0DF7775C"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UK (n=512)</w:t>
            </w:r>
          </w:p>
        </w:tc>
        <w:tc>
          <w:tcPr>
            <w:tcW w:w="1134" w:type="dxa"/>
            <w:tcBorders>
              <w:top w:val="single" w:sz="4" w:space="0" w:color="auto"/>
              <w:bottom w:val="single" w:sz="4" w:space="0" w:color="auto"/>
            </w:tcBorders>
          </w:tcPr>
          <w:p w14:paraId="54EBB7ED"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USA             (n=535)</w:t>
            </w:r>
          </w:p>
        </w:tc>
        <w:tc>
          <w:tcPr>
            <w:tcW w:w="992" w:type="dxa"/>
            <w:tcBorders>
              <w:top w:val="single" w:sz="4" w:space="0" w:color="auto"/>
              <w:bottom w:val="single" w:sz="4" w:space="0" w:color="auto"/>
            </w:tcBorders>
          </w:tcPr>
          <w:p w14:paraId="71FBE7FF" w14:textId="623FC09A"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AU (n=502)</w:t>
            </w:r>
          </w:p>
        </w:tc>
        <w:tc>
          <w:tcPr>
            <w:tcW w:w="992" w:type="dxa"/>
            <w:tcBorders>
              <w:top w:val="single" w:sz="4" w:space="0" w:color="auto"/>
              <w:bottom w:val="single" w:sz="4" w:space="0" w:color="auto"/>
            </w:tcBorders>
          </w:tcPr>
          <w:p w14:paraId="680006DD"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GE (n=516)</w:t>
            </w:r>
          </w:p>
        </w:tc>
        <w:tc>
          <w:tcPr>
            <w:tcW w:w="993" w:type="dxa"/>
            <w:tcBorders>
              <w:top w:val="single" w:sz="4" w:space="0" w:color="auto"/>
              <w:bottom w:val="single" w:sz="4" w:space="0" w:color="auto"/>
            </w:tcBorders>
          </w:tcPr>
          <w:p w14:paraId="64143568"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HK (n=445)</w:t>
            </w:r>
          </w:p>
        </w:tc>
      </w:tr>
      <w:tr w:rsidR="000845A6" w:rsidRPr="004545C8" w14:paraId="1AAA888C" w14:textId="77777777" w:rsidTr="00DE361E">
        <w:trPr>
          <w:trHeight w:val="20"/>
        </w:trPr>
        <w:tc>
          <w:tcPr>
            <w:tcW w:w="3150" w:type="dxa"/>
            <w:tcBorders>
              <w:top w:val="single" w:sz="4" w:space="0" w:color="auto"/>
            </w:tcBorders>
          </w:tcPr>
          <w:p w14:paraId="158AE3AB"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 xml:space="preserve">Age, M </w:t>
            </w:r>
            <w:proofErr w:type="spellStart"/>
            <w:r w:rsidRPr="004545C8">
              <w:rPr>
                <w:rFonts w:ascii="Times New Roman" w:hAnsi="Times New Roman" w:cs="Times New Roman"/>
              </w:rPr>
              <w:t>yrs</w:t>
            </w:r>
            <w:proofErr w:type="spellEnd"/>
            <w:r w:rsidRPr="004545C8">
              <w:rPr>
                <w:rFonts w:ascii="Times New Roman" w:hAnsi="Times New Roman" w:cs="Times New Roman"/>
              </w:rPr>
              <w:t xml:space="preserve"> (SD)</w:t>
            </w:r>
          </w:p>
        </w:tc>
        <w:tc>
          <w:tcPr>
            <w:tcW w:w="1098" w:type="dxa"/>
            <w:tcBorders>
              <w:top w:val="single" w:sz="4" w:space="0" w:color="auto"/>
            </w:tcBorders>
          </w:tcPr>
          <w:p w14:paraId="0B6007C3" w14:textId="62A7A1D8"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43.32 (15.73)</w:t>
            </w:r>
          </w:p>
        </w:tc>
        <w:tc>
          <w:tcPr>
            <w:tcW w:w="992" w:type="dxa"/>
            <w:tcBorders>
              <w:top w:val="single" w:sz="4" w:space="0" w:color="auto"/>
            </w:tcBorders>
          </w:tcPr>
          <w:p w14:paraId="0C4CCDF9" w14:textId="54582FFF"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41.91 (14.87)</w:t>
            </w:r>
          </w:p>
        </w:tc>
        <w:tc>
          <w:tcPr>
            <w:tcW w:w="1134" w:type="dxa"/>
            <w:tcBorders>
              <w:top w:val="single" w:sz="4" w:space="0" w:color="auto"/>
            </w:tcBorders>
          </w:tcPr>
          <w:p w14:paraId="79867B6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47.65 (17.05)</w:t>
            </w:r>
          </w:p>
        </w:tc>
        <w:tc>
          <w:tcPr>
            <w:tcW w:w="992" w:type="dxa"/>
            <w:tcBorders>
              <w:top w:val="single" w:sz="4" w:space="0" w:color="auto"/>
            </w:tcBorders>
          </w:tcPr>
          <w:p w14:paraId="373A3115"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44.75 (17.55)</w:t>
            </w:r>
          </w:p>
        </w:tc>
        <w:tc>
          <w:tcPr>
            <w:tcW w:w="992" w:type="dxa"/>
            <w:tcBorders>
              <w:top w:val="single" w:sz="4" w:space="0" w:color="auto"/>
            </w:tcBorders>
          </w:tcPr>
          <w:p w14:paraId="4E79D1D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42.00 (13.79)</w:t>
            </w:r>
          </w:p>
        </w:tc>
        <w:tc>
          <w:tcPr>
            <w:tcW w:w="993" w:type="dxa"/>
            <w:tcBorders>
              <w:top w:val="single" w:sz="4" w:space="0" w:color="auto"/>
            </w:tcBorders>
          </w:tcPr>
          <w:p w14:paraId="3274DFF5"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39.64 (13.57)</w:t>
            </w:r>
          </w:p>
        </w:tc>
      </w:tr>
      <w:tr w:rsidR="000845A6" w:rsidRPr="004545C8" w14:paraId="2264351D" w14:textId="77777777" w:rsidTr="00DE361E">
        <w:trPr>
          <w:trHeight w:val="20"/>
        </w:trPr>
        <w:tc>
          <w:tcPr>
            <w:tcW w:w="3150" w:type="dxa"/>
          </w:tcPr>
          <w:p w14:paraId="1B45173D"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Gender (%)</w:t>
            </w:r>
          </w:p>
          <w:p w14:paraId="4499315D"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Male</w:t>
            </w:r>
          </w:p>
          <w:p w14:paraId="44078B16"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 xml:space="preserve">Female </w:t>
            </w:r>
          </w:p>
          <w:p w14:paraId="706F9DB6"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Genderqueer</w:t>
            </w:r>
          </w:p>
          <w:p w14:paraId="05023D57" w14:textId="77777777" w:rsidR="000845A6" w:rsidRPr="004545C8" w:rsidRDefault="000845A6" w:rsidP="000845A6">
            <w:pPr>
              <w:spacing w:line="360" w:lineRule="auto"/>
              <w:jc w:val="right"/>
              <w:rPr>
                <w:rFonts w:ascii="Times New Roman" w:hAnsi="Times New Roman" w:cs="Times New Roman"/>
              </w:rPr>
            </w:pPr>
            <w:proofErr w:type="spellStart"/>
            <w:r w:rsidRPr="004545C8">
              <w:rPr>
                <w:rFonts w:ascii="Times New Roman" w:hAnsi="Times New Roman" w:cs="Times New Roman"/>
              </w:rPr>
              <w:t>TransMale</w:t>
            </w:r>
            <w:proofErr w:type="spellEnd"/>
            <w:r w:rsidRPr="004545C8">
              <w:rPr>
                <w:rFonts w:ascii="Times New Roman" w:hAnsi="Times New Roman" w:cs="Times New Roman"/>
              </w:rPr>
              <w:t>/Female</w:t>
            </w:r>
          </w:p>
          <w:p w14:paraId="41F7ED93"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Other</w:t>
            </w:r>
          </w:p>
        </w:tc>
        <w:tc>
          <w:tcPr>
            <w:tcW w:w="1098" w:type="dxa"/>
          </w:tcPr>
          <w:p w14:paraId="53F8BF0C" w14:textId="77777777" w:rsidR="000845A6" w:rsidRPr="004545C8" w:rsidRDefault="000845A6" w:rsidP="00183F1B">
            <w:pPr>
              <w:spacing w:line="360" w:lineRule="auto"/>
              <w:jc w:val="right"/>
              <w:rPr>
                <w:rFonts w:ascii="Times New Roman" w:hAnsi="Times New Roman" w:cs="Times New Roman"/>
              </w:rPr>
            </w:pPr>
          </w:p>
          <w:p w14:paraId="08C6189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46.9%</w:t>
            </w:r>
          </w:p>
          <w:p w14:paraId="32A900B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52.5%</w:t>
            </w:r>
          </w:p>
          <w:p w14:paraId="188C388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56607B2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0.1%</w:t>
            </w:r>
          </w:p>
          <w:p w14:paraId="41B7EFE5" w14:textId="4E61CCFA"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tc>
        <w:tc>
          <w:tcPr>
            <w:tcW w:w="992" w:type="dxa"/>
          </w:tcPr>
          <w:p w14:paraId="5F61F85E" w14:textId="74A000A3" w:rsidR="000845A6" w:rsidRPr="004545C8" w:rsidRDefault="000845A6" w:rsidP="00183F1B">
            <w:pPr>
              <w:spacing w:line="360" w:lineRule="auto"/>
              <w:jc w:val="right"/>
              <w:rPr>
                <w:rFonts w:ascii="Times New Roman" w:hAnsi="Times New Roman" w:cs="Times New Roman"/>
              </w:rPr>
            </w:pPr>
          </w:p>
          <w:p w14:paraId="4C82116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47.1%</w:t>
            </w:r>
          </w:p>
          <w:p w14:paraId="34E3764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52.7%</w:t>
            </w:r>
          </w:p>
          <w:p w14:paraId="153DB9B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7C0B8516"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60FD9FB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tc>
        <w:tc>
          <w:tcPr>
            <w:tcW w:w="1134" w:type="dxa"/>
          </w:tcPr>
          <w:p w14:paraId="7CE61483" w14:textId="77777777" w:rsidR="000845A6" w:rsidRPr="004545C8" w:rsidRDefault="000845A6" w:rsidP="00183F1B">
            <w:pPr>
              <w:spacing w:line="360" w:lineRule="auto"/>
              <w:jc w:val="right"/>
              <w:rPr>
                <w:rFonts w:ascii="Times New Roman" w:hAnsi="Times New Roman" w:cs="Times New Roman"/>
              </w:rPr>
            </w:pPr>
          </w:p>
          <w:p w14:paraId="21ADD34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46.4%</w:t>
            </w:r>
          </w:p>
          <w:p w14:paraId="248F6E5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52.7%</w:t>
            </w:r>
          </w:p>
          <w:p w14:paraId="2D89AD45"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15C8EE7C"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0.4%</w:t>
            </w:r>
          </w:p>
          <w:p w14:paraId="5871CA4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0.4%</w:t>
            </w:r>
          </w:p>
        </w:tc>
        <w:tc>
          <w:tcPr>
            <w:tcW w:w="992" w:type="dxa"/>
          </w:tcPr>
          <w:p w14:paraId="206A380D" w14:textId="77777777" w:rsidR="000845A6" w:rsidRPr="004545C8" w:rsidRDefault="000845A6" w:rsidP="00183F1B">
            <w:pPr>
              <w:spacing w:line="360" w:lineRule="auto"/>
              <w:jc w:val="right"/>
              <w:rPr>
                <w:rFonts w:ascii="Times New Roman" w:hAnsi="Times New Roman" w:cs="Times New Roman"/>
              </w:rPr>
            </w:pPr>
          </w:p>
          <w:p w14:paraId="25F502EC"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48.2%</w:t>
            </w:r>
          </w:p>
          <w:p w14:paraId="437DD40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50.8%</w:t>
            </w:r>
          </w:p>
          <w:p w14:paraId="4D3CD90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325EC75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79135B9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0.4%</w:t>
            </w:r>
          </w:p>
        </w:tc>
        <w:tc>
          <w:tcPr>
            <w:tcW w:w="992" w:type="dxa"/>
          </w:tcPr>
          <w:p w14:paraId="76AD3552" w14:textId="77777777" w:rsidR="000845A6" w:rsidRPr="004545C8" w:rsidRDefault="000845A6" w:rsidP="00183F1B">
            <w:pPr>
              <w:spacing w:line="360" w:lineRule="auto"/>
              <w:jc w:val="right"/>
              <w:rPr>
                <w:rFonts w:ascii="Times New Roman" w:hAnsi="Times New Roman" w:cs="Times New Roman"/>
              </w:rPr>
            </w:pPr>
          </w:p>
          <w:p w14:paraId="6DE3950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49.2%</w:t>
            </w:r>
          </w:p>
          <w:p w14:paraId="4ED932B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50.0%</w:t>
            </w:r>
          </w:p>
          <w:p w14:paraId="7D7A819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0.6%</w:t>
            </w:r>
          </w:p>
          <w:p w14:paraId="5FCAA77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7C886F9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tc>
        <w:tc>
          <w:tcPr>
            <w:tcW w:w="993" w:type="dxa"/>
          </w:tcPr>
          <w:p w14:paraId="192E5731" w14:textId="77777777" w:rsidR="000845A6" w:rsidRPr="004545C8" w:rsidRDefault="000845A6" w:rsidP="00183F1B">
            <w:pPr>
              <w:spacing w:line="360" w:lineRule="auto"/>
              <w:jc w:val="right"/>
              <w:rPr>
                <w:rFonts w:ascii="Times New Roman" w:hAnsi="Times New Roman" w:cs="Times New Roman"/>
              </w:rPr>
            </w:pPr>
          </w:p>
          <w:p w14:paraId="21D3AA2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43.1%</w:t>
            </w:r>
          </w:p>
          <w:p w14:paraId="50343CB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56.6%</w:t>
            </w:r>
          </w:p>
          <w:p w14:paraId="7F0B07E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653C3D8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53115ED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tc>
      </w:tr>
      <w:tr w:rsidR="000845A6" w:rsidRPr="004545C8" w14:paraId="2FB9937D" w14:textId="77777777" w:rsidTr="00DE361E">
        <w:trPr>
          <w:trHeight w:val="20"/>
        </w:trPr>
        <w:tc>
          <w:tcPr>
            <w:tcW w:w="3150" w:type="dxa"/>
          </w:tcPr>
          <w:p w14:paraId="79565699"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Education</w:t>
            </w:r>
          </w:p>
          <w:p w14:paraId="00452D36"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Primary</w:t>
            </w:r>
          </w:p>
          <w:p w14:paraId="78E42D62"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Secondary or equivalent</w:t>
            </w:r>
          </w:p>
          <w:p w14:paraId="64ADEE5B"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A-level or equivalent</w:t>
            </w:r>
          </w:p>
          <w:p w14:paraId="7F9DF48B"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Bachelor Degree or equivalent</w:t>
            </w:r>
          </w:p>
          <w:p w14:paraId="69BB7061" w14:textId="77777777" w:rsidR="000845A6" w:rsidRPr="004545C8" w:rsidRDefault="000845A6" w:rsidP="000845A6">
            <w:pPr>
              <w:spacing w:line="360" w:lineRule="auto"/>
              <w:jc w:val="right"/>
              <w:rPr>
                <w:rFonts w:ascii="Times New Roman" w:hAnsi="Times New Roman" w:cs="Times New Roman"/>
              </w:rPr>
            </w:pPr>
            <w:proofErr w:type="spellStart"/>
            <w:r w:rsidRPr="004545C8">
              <w:rPr>
                <w:rFonts w:ascii="Times New Roman" w:hAnsi="Times New Roman" w:cs="Times New Roman"/>
              </w:rPr>
              <w:t>Masters</w:t>
            </w:r>
            <w:proofErr w:type="spellEnd"/>
            <w:r w:rsidRPr="004545C8">
              <w:rPr>
                <w:rFonts w:ascii="Times New Roman" w:hAnsi="Times New Roman" w:cs="Times New Roman"/>
              </w:rPr>
              <w:t xml:space="preserve"> Degree or equivalent</w:t>
            </w:r>
          </w:p>
          <w:p w14:paraId="56D32B0E"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 xml:space="preserve">PhD or equivalent </w:t>
            </w:r>
          </w:p>
        </w:tc>
        <w:tc>
          <w:tcPr>
            <w:tcW w:w="1098" w:type="dxa"/>
          </w:tcPr>
          <w:p w14:paraId="1901810B" w14:textId="77777777" w:rsidR="000845A6" w:rsidRPr="004545C8" w:rsidRDefault="000845A6" w:rsidP="00183F1B">
            <w:pPr>
              <w:spacing w:line="360" w:lineRule="auto"/>
              <w:jc w:val="right"/>
              <w:rPr>
                <w:rFonts w:ascii="Times New Roman" w:hAnsi="Times New Roman" w:cs="Times New Roman"/>
              </w:rPr>
            </w:pPr>
          </w:p>
          <w:p w14:paraId="69C03DE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1.9%</w:t>
            </w:r>
          </w:p>
          <w:p w14:paraId="0F1324D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24.5%</w:t>
            </w:r>
          </w:p>
          <w:p w14:paraId="6C789A0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30.8%</w:t>
            </w:r>
          </w:p>
          <w:p w14:paraId="69BAD80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31.3%</w:t>
            </w:r>
          </w:p>
          <w:p w14:paraId="3FFEC01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10.0%</w:t>
            </w:r>
          </w:p>
          <w:p w14:paraId="32D4BA8B" w14:textId="2B1BFEA2"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1.5%</w:t>
            </w:r>
          </w:p>
        </w:tc>
        <w:tc>
          <w:tcPr>
            <w:tcW w:w="992" w:type="dxa"/>
          </w:tcPr>
          <w:p w14:paraId="7E278E8D" w14:textId="376F5473" w:rsidR="000845A6" w:rsidRPr="004545C8" w:rsidRDefault="000845A6" w:rsidP="00183F1B">
            <w:pPr>
              <w:spacing w:line="360" w:lineRule="auto"/>
              <w:jc w:val="right"/>
              <w:rPr>
                <w:rFonts w:ascii="Times New Roman" w:hAnsi="Times New Roman" w:cs="Times New Roman"/>
              </w:rPr>
            </w:pPr>
          </w:p>
          <w:p w14:paraId="4E94A89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0.4%</w:t>
            </w:r>
          </w:p>
          <w:p w14:paraId="38147BF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19.7%</w:t>
            </w:r>
          </w:p>
          <w:p w14:paraId="04E403F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38.3%</w:t>
            </w:r>
          </w:p>
          <w:p w14:paraId="3A795A7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30.3%</w:t>
            </w:r>
          </w:p>
          <w:p w14:paraId="5C90A6D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9.4%</w:t>
            </w:r>
          </w:p>
          <w:p w14:paraId="345CE8C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2.0%</w:t>
            </w:r>
          </w:p>
        </w:tc>
        <w:tc>
          <w:tcPr>
            <w:tcW w:w="1134" w:type="dxa"/>
          </w:tcPr>
          <w:p w14:paraId="6B5C2636" w14:textId="77777777" w:rsidR="000845A6" w:rsidRPr="004545C8" w:rsidRDefault="000845A6" w:rsidP="00183F1B">
            <w:pPr>
              <w:spacing w:line="360" w:lineRule="auto"/>
              <w:jc w:val="right"/>
              <w:rPr>
                <w:rFonts w:ascii="Times New Roman" w:hAnsi="Times New Roman" w:cs="Times New Roman"/>
              </w:rPr>
            </w:pPr>
          </w:p>
          <w:p w14:paraId="4932DDB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5.2%</w:t>
            </w:r>
          </w:p>
          <w:p w14:paraId="3F71090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6E733C6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34.4%</w:t>
            </w:r>
          </w:p>
          <w:p w14:paraId="55E25CB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46.7%</w:t>
            </w:r>
          </w:p>
          <w:p w14:paraId="680AE19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11.0%</w:t>
            </w:r>
          </w:p>
          <w:p w14:paraId="047C6DC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2.6%</w:t>
            </w:r>
          </w:p>
        </w:tc>
        <w:tc>
          <w:tcPr>
            <w:tcW w:w="992" w:type="dxa"/>
          </w:tcPr>
          <w:p w14:paraId="348BB5DF" w14:textId="77777777" w:rsidR="000845A6" w:rsidRPr="004545C8" w:rsidRDefault="000845A6" w:rsidP="00183F1B">
            <w:pPr>
              <w:spacing w:line="360" w:lineRule="auto"/>
              <w:jc w:val="right"/>
              <w:rPr>
                <w:rFonts w:ascii="Times New Roman" w:hAnsi="Times New Roman" w:cs="Times New Roman"/>
              </w:rPr>
            </w:pPr>
          </w:p>
          <w:p w14:paraId="6ECCF24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0.8%</w:t>
            </w:r>
          </w:p>
          <w:p w14:paraId="47780F9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15.5%</w:t>
            </w:r>
          </w:p>
          <w:p w14:paraId="63FC21A6"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49.2%</w:t>
            </w:r>
          </w:p>
          <w:p w14:paraId="5AA3C3C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28.9%</w:t>
            </w:r>
          </w:p>
          <w:p w14:paraId="579BA242"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4.6%</w:t>
            </w:r>
          </w:p>
          <w:p w14:paraId="08AC917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1.0%</w:t>
            </w:r>
          </w:p>
        </w:tc>
        <w:tc>
          <w:tcPr>
            <w:tcW w:w="992" w:type="dxa"/>
          </w:tcPr>
          <w:p w14:paraId="5F54A997" w14:textId="77777777" w:rsidR="000845A6" w:rsidRPr="004545C8" w:rsidRDefault="000845A6" w:rsidP="00183F1B">
            <w:pPr>
              <w:spacing w:line="360" w:lineRule="auto"/>
              <w:jc w:val="right"/>
              <w:rPr>
                <w:rFonts w:ascii="Times New Roman" w:hAnsi="Times New Roman" w:cs="Times New Roman"/>
              </w:rPr>
            </w:pPr>
          </w:p>
          <w:p w14:paraId="4DFAE44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0.4%</w:t>
            </w:r>
          </w:p>
          <w:p w14:paraId="2D13D97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59.7%</w:t>
            </w:r>
          </w:p>
          <w:p w14:paraId="6D89D4F6"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12.8%</w:t>
            </w:r>
          </w:p>
          <w:p w14:paraId="5BBBC672"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11.4%</w:t>
            </w:r>
          </w:p>
          <w:p w14:paraId="4DB8DE9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14.5%</w:t>
            </w:r>
          </w:p>
          <w:p w14:paraId="484095F5"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1.2%</w:t>
            </w:r>
          </w:p>
        </w:tc>
        <w:tc>
          <w:tcPr>
            <w:tcW w:w="993" w:type="dxa"/>
          </w:tcPr>
          <w:p w14:paraId="70C5B3F0" w14:textId="77777777" w:rsidR="000845A6" w:rsidRPr="004545C8" w:rsidRDefault="000845A6" w:rsidP="00183F1B">
            <w:pPr>
              <w:spacing w:line="360" w:lineRule="auto"/>
              <w:jc w:val="right"/>
              <w:rPr>
                <w:rFonts w:ascii="Times New Roman" w:hAnsi="Times New Roman" w:cs="Times New Roman"/>
              </w:rPr>
            </w:pPr>
          </w:p>
          <w:p w14:paraId="6B94F98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2.5%</w:t>
            </w:r>
          </w:p>
          <w:p w14:paraId="4D353C8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28.8%</w:t>
            </w:r>
          </w:p>
          <w:p w14:paraId="0E60FA5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18.2%</w:t>
            </w:r>
          </w:p>
          <w:p w14:paraId="396FAA0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39.8%</w:t>
            </w:r>
          </w:p>
          <w:p w14:paraId="0BDA95A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10.1%</w:t>
            </w:r>
          </w:p>
          <w:p w14:paraId="5BABE99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0.7%</w:t>
            </w:r>
          </w:p>
        </w:tc>
      </w:tr>
      <w:tr w:rsidR="000845A6" w:rsidRPr="004545C8" w14:paraId="17942809" w14:textId="77777777" w:rsidTr="00DE361E">
        <w:trPr>
          <w:trHeight w:val="20"/>
        </w:trPr>
        <w:tc>
          <w:tcPr>
            <w:tcW w:w="3150" w:type="dxa"/>
          </w:tcPr>
          <w:p w14:paraId="7D5BF5CD"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Income</w:t>
            </w:r>
          </w:p>
          <w:p w14:paraId="4BF1C00B"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Under £18,500</w:t>
            </w:r>
          </w:p>
          <w:p w14:paraId="14614888"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£18,500-£36,999</w:t>
            </w:r>
          </w:p>
          <w:p w14:paraId="73283769"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£37,000-£55,999</w:t>
            </w:r>
          </w:p>
          <w:p w14:paraId="68E2A536"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£56,000-£74,999</w:t>
            </w:r>
          </w:p>
          <w:p w14:paraId="59E90260"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£75,000-£92,999</w:t>
            </w:r>
          </w:p>
          <w:p w14:paraId="5B0CFD15"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£93,000-£111,999</w:t>
            </w:r>
          </w:p>
          <w:p w14:paraId="1C55F12A"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£112,000+</w:t>
            </w:r>
          </w:p>
        </w:tc>
        <w:tc>
          <w:tcPr>
            <w:tcW w:w="1098" w:type="dxa"/>
          </w:tcPr>
          <w:p w14:paraId="6C04633E" w14:textId="77777777" w:rsidR="000845A6" w:rsidRPr="004545C8" w:rsidRDefault="000845A6" w:rsidP="00183F1B">
            <w:pPr>
              <w:spacing w:line="360" w:lineRule="auto"/>
              <w:jc w:val="right"/>
              <w:rPr>
                <w:rFonts w:ascii="Times New Roman" w:hAnsi="Times New Roman" w:cs="Times New Roman"/>
              </w:rPr>
            </w:pPr>
          </w:p>
          <w:p w14:paraId="7F602BE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19.3%</w:t>
            </w:r>
          </w:p>
          <w:p w14:paraId="2781D3E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28.6%</w:t>
            </w:r>
          </w:p>
          <w:p w14:paraId="3AAA1BC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20.8%</w:t>
            </w:r>
          </w:p>
          <w:p w14:paraId="2AF9891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12.3%</w:t>
            </w:r>
          </w:p>
          <w:p w14:paraId="420D671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8.6%</w:t>
            </w:r>
          </w:p>
          <w:p w14:paraId="1737A8A2"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5.7%</w:t>
            </w:r>
          </w:p>
          <w:p w14:paraId="30994AE7" w14:textId="4D4CFDD5"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4.7%</w:t>
            </w:r>
          </w:p>
        </w:tc>
        <w:tc>
          <w:tcPr>
            <w:tcW w:w="992" w:type="dxa"/>
          </w:tcPr>
          <w:p w14:paraId="28118644" w14:textId="4E1EC545" w:rsidR="000845A6" w:rsidRPr="004545C8" w:rsidRDefault="000845A6" w:rsidP="00183F1B">
            <w:pPr>
              <w:spacing w:line="360" w:lineRule="auto"/>
              <w:jc w:val="right"/>
              <w:rPr>
                <w:rFonts w:ascii="Times New Roman" w:hAnsi="Times New Roman" w:cs="Times New Roman"/>
              </w:rPr>
            </w:pPr>
          </w:p>
          <w:p w14:paraId="4358A66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15.6%</w:t>
            </w:r>
          </w:p>
          <w:p w14:paraId="3AF4DD7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39.8%</w:t>
            </w:r>
          </w:p>
          <w:p w14:paraId="5EE0F77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23.6%</w:t>
            </w:r>
          </w:p>
          <w:p w14:paraId="77829D3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11.5%</w:t>
            </w:r>
          </w:p>
          <w:p w14:paraId="68D74DE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4.7%</w:t>
            </w:r>
          </w:p>
          <w:p w14:paraId="26D3A26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2.1%</w:t>
            </w:r>
          </w:p>
          <w:p w14:paraId="200A385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2.5%</w:t>
            </w:r>
          </w:p>
        </w:tc>
        <w:tc>
          <w:tcPr>
            <w:tcW w:w="1134" w:type="dxa"/>
          </w:tcPr>
          <w:p w14:paraId="431F284F" w14:textId="77777777" w:rsidR="000845A6" w:rsidRPr="004545C8" w:rsidRDefault="000845A6" w:rsidP="00183F1B">
            <w:pPr>
              <w:spacing w:line="360" w:lineRule="auto"/>
              <w:jc w:val="right"/>
              <w:rPr>
                <w:rFonts w:ascii="Times New Roman" w:hAnsi="Times New Roman" w:cs="Times New Roman"/>
              </w:rPr>
            </w:pPr>
          </w:p>
          <w:p w14:paraId="1D5A30F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26.7%</w:t>
            </w:r>
          </w:p>
          <w:p w14:paraId="281584D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25%</w:t>
            </w:r>
          </w:p>
          <w:p w14:paraId="5C970C4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16.1%</w:t>
            </w:r>
          </w:p>
          <w:p w14:paraId="29BE81D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10.1%</w:t>
            </w:r>
          </w:p>
          <w:p w14:paraId="0C87051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6.9%</w:t>
            </w:r>
          </w:p>
          <w:p w14:paraId="32DB3F3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7.5%</w:t>
            </w:r>
          </w:p>
          <w:p w14:paraId="2014DE2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7.7%</w:t>
            </w:r>
          </w:p>
        </w:tc>
        <w:tc>
          <w:tcPr>
            <w:tcW w:w="992" w:type="dxa"/>
          </w:tcPr>
          <w:p w14:paraId="5B9A2D7E" w14:textId="77777777" w:rsidR="000845A6" w:rsidRPr="004545C8" w:rsidRDefault="000845A6" w:rsidP="00183F1B">
            <w:pPr>
              <w:spacing w:line="360" w:lineRule="auto"/>
              <w:jc w:val="right"/>
              <w:rPr>
                <w:rFonts w:ascii="Times New Roman" w:hAnsi="Times New Roman" w:cs="Times New Roman"/>
              </w:rPr>
            </w:pPr>
          </w:p>
          <w:p w14:paraId="44D019A2"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22.9%</w:t>
            </w:r>
          </w:p>
          <w:p w14:paraId="7E74340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27.1%</w:t>
            </w:r>
          </w:p>
          <w:p w14:paraId="4AFD5BD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13.3%</w:t>
            </w:r>
          </w:p>
          <w:p w14:paraId="74B8484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13.3%</w:t>
            </w:r>
          </w:p>
          <w:p w14:paraId="5CB8AB9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12.4%</w:t>
            </w:r>
          </w:p>
          <w:p w14:paraId="339BD93C"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7.4%</w:t>
            </w:r>
          </w:p>
          <w:p w14:paraId="7CE9A5A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3.6%</w:t>
            </w:r>
          </w:p>
        </w:tc>
        <w:tc>
          <w:tcPr>
            <w:tcW w:w="992" w:type="dxa"/>
          </w:tcPr>
          <w:p w14:paraId="2A8566EA" w14:textId="77777777" w:rsidR="000845A6" w:rsidRPr="004545C8" w:rsidRDefault="000845A6" w:rsidP="00183F1B">
            <w:pPr>
              <w:spacing w:line="360" w:lineRule="auto"/>
              <w:jc w:val="right"/>
              <w:rPr>
                <w:rFonts w:ascii="Times New Roman" w:hAnsi="Times New Roman" w:cs="Times New Roman"/>
              </w:rPr>
            </w:pPr>
          </w:p>
          <w:p w14:paraId="5AC9F81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20.9%</w:t>
            </w:r>
          </w:p>
          <w:p w14:paraId="113FAFC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28.3%</w:t>
            </w:r>
          </w:p>
          <w:p w14:paraId="5348015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23.4%</w:t>
            </w:r>
          </w:p>
          <w:p w14:paraId="0C687DD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14.7%</w:t>
            </w:r>
          </w:p>
          <w:p w14:paraId="1FAF5D2C"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6.2%</w:t>
            </w:r>
          </w:p>
          <w:p w14:paraId="259614D6"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3.3%</w:t>
            </w:r>
          </w:p>
          <w:p w14:paraId="09AA23E5"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3.1%</w:t>
            </w:r>
          </w:p>
        </w:tc>
        <w:tc>
          <w:tcPr>
            <w:tcW w:w="993" w:type="dxa"/>
          </w:tcPr>
          <w:p w14:paraId="5F2FCCF9" w14:textId="77777777" w:rsidR="000845A6" w:rsidRPr="004545C8" w:rsidRDefault="000845A6" w:rsidP="00183F1B">
            <w:pPr>
              <w:spacing w:line="360" w:lineRule="auto"/>
              <w:jc w:val="right"/>
              <w:rPr>
                <w:rFonts w:ascii="Times New Roman" w:hAnsi="Times New Roman" w:cs="Times New Roman"/>
              </w:rPr>
            </w:pPr>
          </w:p>
          <w:p w14:paraId="47D762E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8.5%</w:t>
            </w:r>
          </w:p>
          <w:p w14:paraId="2CFAB1E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22.2%</w:t>
            </w:r>
          </w:p>
          <w:p w14:paraId="2886DCC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28.8%</w:t>
            </w:r>
          </w:p>
          <w:p w14:paraId="58D0A88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11.7%</w:t>
            </w:r>
          </w:p>
          <w:p w14:paraId="57DEA5B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13.9%</w:t>
            </w:r>
          </w:p>
          <w:p w14:paraId="1387AFA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8.3%</w:t>
            </w:r>
          </w:p>
          <w:p w14:paraId="576960A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6.5%</w:t>
            </w:r>
          </w:p>
        </w:tc>
      </w:tr>
      <w:tr w:rsidR="000845A6" w:rsidRPr="004545C8" w14:paraId="30176F6D" w14:textId="77777777" w:rsidTr="00DE361E">
        <w:trPr>
          <w:trHeight w:val="20"/>
        </w:trPr>
        <w:tc>
          <w:tcPr>
            <w:tcW w:w="3150" w:type="dxa"/>
          </w:tcPr>
          <w:p w14:paraId="29D09E44" w14:textId="77777777" w:rsidR="000845A6" w:rsidRPr="004545C8" w:rsidRDefault="000845A6" w:rsidP="000845A6">
            <w:pPr>
              <w:spacing w:line="360" w:lineRule="auto"/>
              <w:rPr>
                <w:rFonts w:ascii="Times New Roman" w:hAnsi="Times New Roman" w:cs="Times New Roman"/>
              </w:rPr>
            </w:pPr>
            <w:r w:rsidRPr="004545C8">
              <w:rPr>
                <w:rFonts w:ascii="Times New Roman" w:hAnsi="Times New Roman" w:cs="Times New Roman"/>
              </w:rPr>
              <w:t>Employment</w:t>
            </w:r>
          </w:p>
          <w:p w14:paraId="43545BA3"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Full time</w:t>
            </w:r>
          </w:p>
          <w:p w14:paraId="164C5A41"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Part time</w:t>
            </w:r>
          </w:p>
          <w:p w14:paraId="0A2F2185"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Retired</w:t>
            </w:r>
          </w:p>
          <w:p w14:paraId="4D259DBE" w14:textId="0A850EB7" w:rsidR="000845A6" w:rsidRPr="004545C8" w:rsidRDefault="00E05665" w:rsidP="000845A6">
            <w:pPr>
              <w:spacing w:line="360" w:lineRule="auto"/>
              <w:jc w:val="right"/>
              <w:rPr>
                <w:rFonts w:ascii="Times New Roman" w:hAnsi="Times New Roman" w:cs="Times New Roman"/>
              </w:rPr>
            </w:pPr>
            <w:r>
              <w:rPr>
                <w:rFonts w:ascii="Times New Roman" w:hAnsi="Times New Roman" w:cs="Times New Roman"/>
              </w:rPr>
              <w:t>Unemployed</w:t>
            </w:r>
          </w:p>
          <w:p w14:paraId="3721653B"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Military</w:t>
            </w:r>
          </w:p>
          <w:p w14:paraId="731C8AB9"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Home keeper/carer</w:t>
            </w:r>
          </w:p>
          <w:p w14:paraId="2902D844"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Disabled</w:t>
            </w:r>
          </w:p>
          <w:p w14:paraId="6D2F6252" w14:textId="77777777" w:rsidR="000845A6" w:rsidRPr="004545C8" w:rsidRDefault="000845A6" w:rsidP="000845A6">
            <w:pPr>
              <w:spacing w:line="360" w:lineRule="auto"/>
              <w:jc w:val="right"/>
              <w:rPr>
                <w:rFonts w:ascii="Times New Roman" w:hAnsi="Times New Roman" w:cs="Times New Roman"/>
              </w:rPr>
            </w:pPr>
            <w:r w:rsidRPr="004545C8">
              <w:rPr>
                <w:rFonts w:ascii="Times New Roman" w:hAnsi="Times New Roman" w:cs="Times New Roman"/>
              </w:rPr>
              <w:t>Training/school</w:t>
            </w:r>
          </w:p>
        </w:tc>
        <w:tc>
          <w:tcPr>
            <w:tcW w:w="1098" w:type="dxa"/>
          </w:tcPr>
          <w:p w14:paraId="1DB2A9F3" w14:textId="77777777" w:rsidR="000845A6" w:rsidRPr="004545C8" w:rsidRDefault="000845A6" w:rsidP="00183F1B">
            <w:pPr>
              <w:spacing w:line="360" w:lineRule="auto"/>
              <w:jc w:val="right"/>
              <w:rPr>
                <w:rFonts w:ascii="Times New Roman" w:hAnsi="Times New Roman" w:cs="Times New Roman"/>
              </w:rPr>
            </w:pPr>
          </w:p>
          <w:p w14:paraId="6A2E936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50.9%</w:t>
            </w:r>
          </w:p>
          <w:p w14:paraId="17D91B1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14.2%</w:t>
            </w:r>
          </w:p>
          <w:p w14:paraId="7EF08722"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7.9%</w:t>
            </w:r>
          </w:p>
          <w:p w14:paraId="6C7D1E62" w14:textId="224518E8" w:rsidR="000845A6" w:rsidRPr="004545C8" w:rsidRDefault="00E05665" w:rsidP="00183F1B">
            <w:pPr>
              <w:spacing w:line="360" w:lineRule="auto"/>
              <w:jc w:val="right"/>
              <w:rPr>
                <w:rFonts w:ascii="Times New Roman" w:hAnsi="Times New Roman" w:cs="Times New Roman"/>
              </w:rPr>
            </w:pPr>
            <w:r>
              <w:rPr>
                <w:rFonts w:ascii="Times New Roman" w:hAnsi="Times New Roman" w:cs="Times New Roman"/>
              </w:rPr>
              <w:t>1</w:t>
            </w:r>
            <w:r w:rsidR="000845A6" w:rsidRPr="004545C8">
              <w:rPr>
                <w:rFonts w:ascii="Times New Roman" w:hAnsi="Times New Roman" w:cs="Times New Roman"/>
              </w:rPr>
              <w:t>1</w:t>
            </w:r>
            <w:r>
              <w:rPr>
                <w:rFonts w:ascii="Times New Roman" w:hAnsi="Times New Roman" w:cs="Times New Roman"/>
              </w:rPr>
              <w:t>.2</w:t>
            </w:r>
            <w:r w:rsidR="000845A6" w:rsidRPr="004545C8">
              <w:rPr>
                <w:rFonts w:ascii="Times New Roman" w:hAnsi="Times New Roman" w:cs="Times New Roman"/>
              </w:rPr>
              <w:t>%</w:t>
            </w:r>
          </w:p>
          <w:p w14:paraId="7B5282B9" w14:textId="0753BCD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0.4%</w:t>
            </w:r>
          </w:p>
          <w:p w14:paraId="276DF30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5.7%</w:t>
            </w:r>
          </w:p>
          <w:p w14:paraId="4011759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3.0%</w:t>
            </w:r>
          </w:p>
          <w:p w14:paraId="0CBF6AD0" w14:textId="78D9DD9A"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6.7%</w:t>
            </w:r>
          </w:p>
        </w:tc>
        <w:tc>
          <w:tcPr>
            <w:tcW w:w="992" w:type="dxa"/>
          </w:tcPr>
          <w:p w14:paraId="4DDBD7C7" w14:textId="6DEB00B7" w:rsidR="000845A6" w:rsidRPr="004545C8" w:rsidRDefault="000845A6" w:rsidP="00183F1B">
            <w:pPr>
              <w:spacing w:line="360" w:lineRule="auto"/>
              <w:jc w:val="right"/>
              <w:rPr>
                <w:rFonts w:ascii="Times New Roman" w:hAnsi="Times New Roman" w:cs="Times New Roman"/>
              </w:rPr>
            </w:pPr>
          </w:p>
          <w:p w14:paraId="05F1CE0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50.4%</w:t>
            </w:r>
          </w:p>
          <w:p w14:paraId="2879A92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20.7%</w:t>
            </w:r>
          </w:p>
          <w:p w14:paraId="5E5A0E82"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10.4%</w:t>
            </w:r>
          </w:p>
          <w:p w14:paraId="3FEB81EB" w14:textId="761CF6AA" w:rsidR="000845A6" w:rsidRPr="004545C8" w:rsidRDefault="00E05665" w:rsidP="00183F1B">
            <w:pPr>
              <w:spacing w:line="360" w:lineRule="auto"/>
              <w:jc w:val="right"/>
              <w:rPr>
                <w:rFonts w:ascii="Times New Roman" w:hAnsi="Times New Roman" w:cs="Times New Roman"/>
              </w:rPr>
            </w:pPr>
            <w:r>
              <w:rPr>
                <w:rFonts w:ascii="Times New Roman" w:hAnsi="Times New Roman" w:cs="Times New Roman"/>
              </w:rPr>
              <w:t>6</w:t>
            </w:r>
            <w:r w:rsidR="000845A6" w:rsidRPr="004545C8">
              <w:rPr>
                <w:rFonts w:ascii="Times New Roman" w:hAnsi="Times New Roman" w:cs="Times New Roman"/>
              </w:rPr>
              <w:t>.9%</w:t>
            </w:r>
          </w:p>
          <w:p w14:paraId="6C4A52DF" w14:textId="3D21EC0B"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7A5A28C6"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5.7%</w:t>
            </w:r>
          </w:p>
          <w:p w14:paraId="6FDB263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1.6%</w:t>
            </w:r>
          </w:p>
          <w:p w14:paraId="4555262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4.3%</w:t>
            </w:r>
          </w:p>
        </w:tc>
        <w:tc>
          <w:tcPr>
            <w:tcW w:w="1134" w:type="dxa"/>
          </w:tcPr>
          <w:p w14:paraId="6EA585D9" w14:textId="77777777" w:rsidR="000845A6" w:rsidRPr="004545C8" w:rsidRDefault="000845A6" w:rsidP="00183F1B">
            <w:pPr>
              <w:spacing w:line="360" w:lineRule="auto"/>
              <w:jc w:val="right"/>
              <w:rPr>
                <w:rFonts w:ascii="Times New Roman" w:hAnsi="Times New Roman" w:cs="Times New Roman"/>
              </w:rPr>
            </w:pPr>
          </w:p>
          <w:p w14:paraId="5F0CD44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40.9%</w:t>
            </w:r>
          </w:p>
          <w:p w14:paraId="0A39CBE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8.8%</w:t>
            </w:r>
          </w:p>
          <w:p w14:paraId="6650BB7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42343D1D" w14:textId="637E1812" w:rsidR="000845A6" w:rsidRPr="004545C8" w:rsidRDefault="00E05665" w:rsidP="00183F1B">
            <w:pPr>
              <w:spacing w:line="360" w:lineRule="auto"/>
              <w:jc w:val="right"/>
              <w:rPr>
                <w:rFonts w:ascii="Times New Roman" w:hAnsi="Times New Roman" w:cs="Times New Roman"/>
              </w:rPr>
            </w:pPr>
            <w:r>
              <w:rPr>
                <w:rFonts w:ascii="Times New Roman" w:hAnsi="Times New Roman" w:cs="Times New Roman"/>
              </w:rPr>
              <w:t>27.0</w:t>
            </w:r>
            <w:r w:rsidR="000845A6" w:rsidRPr="004545C8">
              <w:rPr>
                <w:rFonts w:ascii="Times New Roman" w:hAnsi="Times New Roman" w:cs="Times New Roman"/>
              </w:rPr>
              <w:t>%</w:t>
            </w:r>
          </w:p>
          <w:p w14:paraId="0B5AB47E" w14:textId="0F6AD914"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31CAFB9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9.2%</w:t>
            </w:r>
          </w:p>
          <w:p w14:paraId="5321F9E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4.7%</w:t>
            </w:r>
          </w:p>
          <w:p w14:paraId="597D52BC"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8.2%</w:t>
            </w:r>
          </w:p>
        </w:tc>
        <w:tc>
          <w:tcPr>
            <w:tcW w:w="992" w:type="dxa"/>
          </w:tcPr>
          <w:p w14:paraId="37DBD023" w14:textId="77777777" w:rsidR="000845A6" w:rsidRPr="004545C8" w:rsidRDefault="000845A6" w:rsidP="00183F1B">
            <w:pPr>
              <w:spacing w:line="360" w:lineRule="auto"/>
              <w:jc w:val="right"/>
              <w:rPr>
                <w:rFonts w:ascii="Times New Roman" w:hAnsi="Times New Roman" w:cs="Times New Roman"/>
              </w:rPr>
            </w:pPr>
          </w:p>
          <w:p w14:paraId="06CCA06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41.8%</w:t>
            </w:r>
          </w:p>
          <w:p w14:paraId="7331CF5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13.9%</w:t>
            </w:r>
          </w:p>
          <w:p w14:paraId="58ECA44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16.9%</w:t>
            </w:r>
          </w:p>
          <w:p w14:paraId="09675047" w14:textId="308B35DE" w:rsidR="000845A6" w:rsidRPr="004545C8" w:rsidRDefault="00E05665" w:rsidP="00183F1B">
            <w:pPr>
              <w:spacing w:line="360" w:lineRule="auto"/>
              <w:jc w:val="right"/>
              <w:rPr>
                <w:rFonts w:ascii="Times New Roman" w:hAnsi="Times New Roman" w:cs="Times New Roman"/>
              </w:rPr>
            </w:pPr>
            <w:r>
              <w:rPr>
                <w:rFonts w:ascii="Times New Roman" w:hAnsi="Times New Roman" w:cs="Times New Roman"/>
              </w:rPr>
              <w:t>10.2</w:t>
            </w:r>
            <w:r w:rsidR="000845A6" w:rsidRPr="004545C8">
              <w:rPr>
                <w:rFonts w:ascii="Times New Roman" w:hAnsi="Times New Roman" w:cs="Times New Roman"/>
              </w:rPr>
              <w:t>%</w:t>
            </w:r>
          </w:p>
          <w:p w14:paraId="3F95CBAA" w14:textId="429F6061"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70B30D46"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7.2%</w:t>
            </w:r>
          </w:p>
          <w:p w14:paraId="20113270"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6.0%</w:t>
            </w:r>
          </w:p>
          <w:p w14:paraId="4EC8BDD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4.0%</w:t>
            </w:r>
          </w:p>
        </w:tc>
        <w:tc>
          <w:tcPr>
            <w:tcW w:w="992" w:type="dxa"/>
          </w:tcPr>
          <w:p w14:paraId="0627C211" w14:textId="77777777" w:rsidR="000845A6" w:rsidRPr="004545C8" w:rsidRDefault="000845A6" w:rsidP="00183F1B">
            <w:pPr>
              <w:spacing w:line="360" w:lineRule="auto"/>
              <w:jc w:val="right"/>
              <w:rPr>
                <w:rFonts w:ascii="Times New Roman" w:hAnsi="Times New Roman" w:cs="Times New Roman"/>
              </w:rPr>
            </w:pPr>
          </w:p>
          <w:p w14:paraId="3E4CBB4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50.2%</w:t>
            </w:r>
          </w:p>
          <w:p w14:paraId="20BA4A7F"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17.6%</w:t>
            </w:r>
          </w:p>
          <w:p w14:paraId="25C8B59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8.7%</w:t>
            </w:r>
          </w:p>
          <w:p w14:paraId="1FEB3853" w14:textId="4BB397F7" w:rsidR="000845A6" w:rsidRPr="004545C8" w:rsidRDefault="00E05665" w:rsidP="00183F1B">
            <w:pPr>
              <w:spacing w:line="360" w:lineRule="auto"/>
              <w:jc w:val="right"/>
              <w:rPr>
                <w:rFonts w:ascii="Times New Roman" w:hAnsi="Times New Roman" w:cs="Times New Roman"/>
              </w:rPr>
            </w:pPr>
            <w:r>
              <w:rPr>
                <w:rFonts w:ascii="Times New Roman" w:hAnsi="Times New Roman" w:cs="Times New Roman"/>
              </w:rPr>
              <w:t>7.9</w:t>
            </w:r>
            <w:r w:rsidR="000845A6" w:rsidRPr="004545C8">
              <w:rPr>
                <w:rFonts w:ascii="Times New Roman" w:hAnsi="Times New Roman" w:cs="Times New Roman"/>
              </w:rPr>
              <w:t>%</w:t>
            </w:r>
          </w:p>
          <w:p w14:paraId="3206388E" w14:textId="5D6F2E80"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0.2%</w:t>
            </w:r>
          </w:p>
          <w:p w14:paraId="33B45CF4"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4.5%</w:t>
            </w:r>
          </w:p>
          <w:p w14:paraId="295ECD6A"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2.5%</w:t>
            </w:r>
          </w:p>
          <w:p w14:paraId="34FB2E01"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8.3%</w:t>
            </w:r>
          </w:p>
        </w:tc>
        <w:tc>
          <w:tcPr>
            <w:tcW w:w="993" w:type="dxa"/>
          </w:tcPr>
          <w:p w14:paraId="2320B5AE" w14:textId="77777777" w:rsidR="000845A6" w:rsidRPr="004545C8" w:rsidRDefault="000845A6" w:rsidP="00183F1B">
            <w:pPr>
              <w:spacing w:line="360" w:lineRule="auto"/>
              <w:jc w:val="right"/>
              <w:rPr>
                <w:rFonts w:ascii="Times New Roman" w:hAnsi="Times New Roman" w:cs="Times New Roman"/>
              </w:rPr>
            </w:pPr>
          </w:p>
          <w:p w14:paraId="38E69B78"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74.4%</w:t>
            </w:r>
          </w:p>
          <w:p w14:paraId="01E71A79"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9.7%</w:t>
            </w:r>
          </w:p>
          <w:p w14:paraId="19EF3933"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3.6%</w:t>
            </w:r>
          </w:p>
          <w:p w14:paraId="09721793" w14:textId="3910255B" w:rsidR="000845A6" w:rsidRPr="004545C8" w:rsidRDefault="00E05665" w:rsidP="00183F1B">
            <w:pPr>
              <w:spacing w:line="360" w:lineRule="auto"/>
              <w:jc w:val="right"/>
              <w:rPr>
                <w:rFonts w:ascii="Times New Roman" w:hAnsi="Times New Roman" w:cs="Times New Roman"/>
              </w:rPr>
            </w:pPr>
            <w:r>
              <w:rPr>
                <w:rFonts w:ascii="Times New Roman" w:hAnsi="Times New Roman" w:cs="Times New Roman"/>
              </w:rPr>
              <w:t>2.3</w:t>
            </w:r>
            <w:r w:rsidR="000845A6" w:rsidRPr="004545C8">
              <w:rPr>
                <w:rFonts w:ascii="Times New Roman" w:hAnsi="Times New Roman" w:cs="Times New Roman"/>
              </w:rPr>
              <w:t>%</w:t>
            </w:r>
          </w:p>
          <w:p w14:paraId="78FF15CD"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72DC6DB7"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1.3%</w:t>
            </w:r>
          </w:p>
          <w:p w14:paraId="0D6A00BE"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0%</w:t>
            </w:r>
          </w:p>
          <w:p w14:paraId="36AB24DB" w14:textId="77777777" w:rsidR="000845A6" w:rsidRPr="004545C8" w:rsidRDefault="000845A6" w:rsidP="00183F1B">
            <w:pPr>
              <w:spacing w:line="360" w:lineRule="auto"/>
              <w:jc w:val="right"/>
              <w:rPr>
                <w:rFonts w:ascii="Times New Roman" w:hAnsi="Times New Roman" w:cs="Times New Roman"/>
              </w:rPr>
            </w:pPr>
            <w:r w:rsidRPr="004545C8">
              <w:rPr>
                <w:rFonts w:ascii="Times New Roman" w:hAnsi="Times New Roman" w:cs="Times New Roman"/>
              </w:rPr>
              <w:t>8.8%</w:t>
            </w:r>
          </w:p>
        </w:tc>
      </w:tr>
      <w:tr w:rsidR="000845A6" w:rsidRPr="004545C8" w14:paraId="29CDD877" w14:textId="77777777" w:rsidTr="00DE361E">
        <w:trPr>
          <w:trHeight w:val="20"/>
        </w:trPr>
        <w:tc>
          <w:tcPr>
            <w:tcW w:w="3150" w:type="dxa"/>
            <w:tcBorders>
              <w:bottom w:val="single" w:sz="4" w:space="0" w:color="auto"/>
            </w:tcBorders>
          </w:tcPr>
          <w:p w14:paraId="0E1A7B9F" w14:textId="1C03E4A4" w:rsidR="000845A6" w:rsidRPr="004545C8" w:rsidRDefault="000845A6" w:rsidP="000845A6">
            <w:pPr>
              <w:spacing w:line="360" w:lineRule="auto"/>
              <w:rPr>
                <w:rFonts w:ascii="Times New Roman" w:hAnsi="Times New Roman" w:cs="Times New Roman"/>
              </w:rPr>
            </w:pPr>
          </w:p>
        </w:tc>
        <w:tc>
          <w:tcPr>
            <w:tcW w:w="1098" w:type="dxa"/>
            <w:tcBorders>
              <w:bottom w:val="single" w:sz="4" w:space="0" w:color="auto"/>
            </w:tcBorders>
          </w:tcPr>
          <w:p w14:paraId="68033E86" w14:textId="623A6F6E" w:rsidR="000845A6" w:rsidRPr="004545C8" w:rsidRDefault="000845A6" w:rsidP="00CD2C01">
            <w:pPr>
              <w:spacing w:line="360" w:lineRule="auto"/>
              <w:rPr>
                <w:rFonts w:ascii="Times New Roman" w:hAnsi="Times New Roman" w:cs="Times New Roman"/>
              </w:rPr>
            </w:pPr>
          </w:p>
        </w:tc>
        <w:tc>
          <w:tcPr>
            <w:tcW w:w="992" w:type="dxa"/>
            <w:tcBorders>
              <w:bottom w:val="single" w:sz="4" w:space="0" w:color="auto"/>
            </w:tcBorders>
          </w:tcPr>
          <w:p w14:paraId="29054021" w14:textId="4F492223" w:rsidR="000845A6" w:rsidRPr="004545C8" w:rsidRDefault="000845A6" w:rsidP="000845A6">
            <w:pPr>
              <w:spacing w:line="360" w:lineRule="auto"/>
              <w:rPr>
                <w:rFonts w:ascii="Times New Roman" w:hAnsi="Times New Roman" w:cs="Times New Roman"/>
              </w:rPr>
            </w:pPr>
          </w:p>
        </w:tc>
        <w:tc>
          <w:tcPr>
            <w:tcW w:w="1134" w:type="dxa"/>
            <w:tcBorders>
              <w:bottom w:val="single" w:sz="4" w:space="0" w:color="auto"/>
            </w:tcBorders>
          </w:tcPr>
          <w:p w14:paraId="497A02C3" w14:textId="17DD8643" w:rsidR="000845A6" w:rsidRPr="004545C8" w:rsidRDefault="000845A6" w:rsidP="00CD2C01">
            <w:pPr>
              <w:spacing w:line="360" w:lineRule="auto"/>
              <w:rPr>
                <w:rFonts w:ascii="Times New Roman" w:hAnsi="Times New Roman" w:cs="Times New Roman"/>
              </w:rPr>
            </w:pPr>
          </w:p>
        </w:tc>
        <w:tc>
          <w:tcPr>
            <w:tcW w:w="992" w:type="dxa"/>
            <w:tcBorders>
              <w:bottom w:val="single" w:sz="4" w:space="0" w:color="auto"/>
            </w:tcBorders>
          </w:tcPr>
          <w:p w14:paraId="68C8C555" w14:textId="358A3A50" w:rsidR="000845A6" w:rsidRPr="004545C8" w:rsidRDefault="000845A6" w:rsidP="000845A6">
            <w:pPr>
              <w:spacing w:line="360" w:lineRule="auto"/>
              <w:rPr>
                <w:rFonts w:ascii="Times New Roman" w:hAnsi="Times New Roman" w:cs="Times New Roman"/>
              </w:rPr>
            </w:pPr>
          </w:p>
        </w:tc>
        <w:tc>
          <w:tcPr>
            <w:tcW w:w="992" w:type="dxa"/>
            <w:tcBorders>
              <w:bottom w:val="single" w:sz="4" w:space="0" w:color="auto"/>
            </w:tcBorders>
          </w:tcPr>
          <w:p w14:paraId="79474D8E" w14:textId="082536A9" w:rsidR="000845A6" w:rsidRPr="004545C8" w:rsidRDefault="000845A6" w:rsidP="000845A6">
            <w:pPr>
              <w:spacing w:line="360" w:lineRule="auto"/>
              <w:rPr>
                <w:rFonts w:ascii="Times New Roman" w:hAnsi="Times New Roman" w:cs="Times New Roman"/>
              </w:rPr>
            </w:pPr>
          </w:p>
        </w:tc>
        <w:tc>
          <w:tcPr>
            <w:tcW w:w="993" w:type="dxa"/>
            <w:tcBorders>
              <w:bottom w:val="single" w:sz="4" w:space="0" w:color="auto"/>
            </w:tcBorders>
          </w:tcPr>
          <w:p w14:paraId="3F772E35" w14:textId="62DC8DD4" w:rsidR="000845A6" w:rsidRPr="004545C8" w:rsidRDefault="000845A6" w:rsidP="000845A6">
            <w:pPr>
              <w:spacing w:line="360" w:lineRule="auto"/>
              <w:rPr>
                <w:rFonts w:ascii="Times New Roman" w:hAnsi="Times New Roman" w:cs="Times New Roman"/>
              </w:rPr>
            </w:pPr>
          </w:p>
        </w:tc>
      </w:tr>
    </w:tbl>
    <w:p w14:paraId="58F60726" w14:textId="77777777" w:rsidR="004545C8" w:rsidRPr="004545C8" w:rsidRDefault="004545C8" w:rsidP="004545C8">
      <w:pPr>
        <w:rPr>
          <w:rFonts w:ascii="Times New Roman" w:hAnsi="Times New Roman" w:cs="Times New Roman"/>
        </w:rPr>
        <w:sectPr w:rsidR="004545C8" w:rsidRPr="004545C8">
          <w:headerReference w:type="default" r:id="rId25"/>
          <w:footerReference w:type="default" r:id="rId26"/>
          <w:pgSz w:w="11906" w:h="16838"/>
          <w:pgMar w:top="1440" w:right="1440" w:bottom="1440" w:left="1440" w:header="708" w:footer="708" w:gutter="0"/>
          <w:cols w:space="708"/>
          <w:docGrid w:linePitch="360"/>
        </w:sectPr>
      </w:pPr>
    </w:p>
    <w:tbl>
      <w:tblPr>
        <w:tblW w:w="11720" w:type="dxa"/>
        <w:tblInd w:w="-1238" w:type="dxa"/>
        <w:tblCellMar>
          <w:left w:w="28" w:type="dxa"/>
          <w:right w:w="28" w:type="dxa"/>
        </w:tblCellMar>
        <w:tblLook w:val="04A0" w:firstRow="1" w:lastRow="0" w:firstColumn="1" w:lastColumn="0" w:noHBand="0" w:noVBand="1"/>
      </w:tblPr>
      <w:tblGrid>
        <w:gridCol w:w="1380"/>
        <w:gridCol w:w="1418"/>
        <w:gridCol w:w="1251"/>
        <w:gridCol w:w="1442"/>
        <w:gridCol w:w="1276"/>
        <w:gridCol w:w="1276"/>
        <w:gridCol w:w="1275"/>
        <w:gridCol w:w="1178"/>
        <w:gridCol w:w="1224"/>
      </w:tblGrid>
      <w:tr w:rsidR="000845A6" w:rsidRPr="00815135" w14:paraId="763BA589" w14:textId="77777777" w:rsidTr="00033DBA">
        <w:trPr>
          <w:trHeight w:val="340"/>
        </w:trPr>
        <w:tc>
          <w:tcPr>
            <w:tcW w:w="11720" w:type="dxa"/>
            <w:gridSpan w:val="9"/>
            <w:tcBorders>
              <w:top w:val="nil"/>
              <w:left w:val="nil"/>
              <w:bottom w:val="single" w:sz="4" w:space="0" w:color="auto"/>
              <w:right w:val="nil"/>
            </w:tcBorders>
            <w:shd w:val="clear" w:color="auto" w:fill="auto"/>
            <w:noWrap/>
            <w:hideMark/>
          </w:tcPr>
          <w:p w14:paraId="4670F389" w14:textId="77777777" w:rsidR="000845A6" w:rsidRPr="008C3932" w:rsidRDefault="000845A6" w:rsidP="00D962A8">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sz w:val="24"/>
                <w:szCs w:val="24"/>
                <w:lang w:val="en-US" w:eastAsia="zh-TW"/>
              </w:rPr>
              <w:lastRenderedPageBreak/>
              <w:t xml:space="preserve">Table </w:t>
            </w:r>
            <w:r>
              <w:rPr>
                <w:rFonts w:ascii="Times New Roman" w:eastAsia="Microsoft YaHei UI" w:hAnsi="Times New Roman" w:cs="Times New Roman"/>
                <w:color w:val="000000" w:themeColor="text1"/>
                <w:sz w:val="24"/>
                <w:szCs w:val="24"/>
                <w:lang w:val="en-US" w:eastAsia="zh-TW"/>
              </w:rPr>
              <w:t>2</w:t>
            </w:r>
            <w:r w:rsidRPr="008C3932">
              <w:rPr>
                <w:rFonts w:ascii="Times New Roman" w:eastAsia="Microsoft YaHei UI" w:hAnsi="Times New Roman" w:cs="Times New Roman"/>
                <w:color w:val="000000" w:themeColor="text1"/>
                <w:sz w:val="24"/>
                <w:szCs w:val="24"/>
                <w:lang w:val="en-US" w:eastAsia="zh-TW"/>
              </w:rPr>
              <w:t>. Descriptive statistics on pandemic paranoia for the total sample and by site.</w:t>
            </w:r>
          </w:p>
        </w:tc>
      </w:tr>
      <w:tr w:rsidR="000845A6" w:rsidRPr="00055554" w14:paraId="69FF6782" w14:textId="77777777" w:rsidTr="00033DBA">
        <w:trPr>
          <w:trHeight w:val="340"/>
        </w:trPr>
        <w:tc>
          <w:tcPr>
            <w:tcW w:w="1380" w:type="dxa"/>
            <w:tcBorders>
              <w:top w:val="single" w:sz="4" w:space="0" w:color="auto"/>
              <w:left w:val="nil"/>
              <w:right w:val="nil"/>
            </w:tcBorders>
            <w:shd w:val="clear" w:color="auto" w:fill="auto"/>
            <w:noWrap/>
            <w:vAlign w:val="center"/>
            <w:hideMark/>
          </w:tcPr>
          <w:p w14:paraId="694A5FA5" w14:textId="77777777" w:rsidR="000845A6" w:rsidRPr="008C3932" w:rsidRDefault="000845A6" w:rsidP="00D962A8">
            <w:pPr>
              <w:spacing w:after="0" w:line="240" w:lineRule="auto"/>
              <w:rPr>
                <w:rFonts w:ascii="Times New Roman" w:eastAsia="Microsoft YaHei UI" w:hAnsi="Times New Roman" w:cs="Times New Roman"/>
                <w:color w:val="000000" w:themeColor="text1"/>
                <w:lang w:val="en-US" w:eastAsia="zh-TW"/>
              </w:rPr>
            </w:pPr>
          </w:p>
        </w:tc>
        <w:tc>
          <w:tcPr>
            <w:tcW w:w="2669" w:type="dxa"/>
            <w:gridSpan w:val="2"/>
            <w:tcBorders>
              <w:top w:val="single" w:sz="4" w:space="0" w:color="auto"/>
              <w:left w:val="nil"/>
              <w:right w:val="nil"/>
            </w:tcBorders>
            <w:shd w:val="clear" w:color="auto" w:fill="auto"/>
            <w:noWrap/>
            <w:vAlign w:val="center"/>
            <w:hideMark/>
          </w:tcPr>
          <w:p w14:paraId="654425EA"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PPS Total</w:t>
            </w:r>
          </w:p>
        </w:tc>
        <w:tc>
          <w:tcPr>
            <w:tcW w:w="2718" w:type="dxa"/>
            <w:gridSpan w:val="2"/>
            <w:tcBorders>
              <w:top w:val="single" w:sz="4" w:space="0" w:color="auto"/>
              <w:left w:val="nil"/>
              <w:right w:val="nil"/>
            </w:tcBorders>
            <w:shd w:val="clear" w:color="auto" w:fill="auto"/>
            <w:noWrap/>
            <w:vAlign w:val="center"/>
            <w:hideMark/>
          </w:tcPr>
          <w:p w14:paraId="026F6E35"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Persecutory Threat</w:t>
            </w:r>
          </w:p>
        </w:tc>
        <w:tc>
          <w:tcPr>
            <w:tcW w:w="2551" w:type="dxa"/>
            <w:gridSpan w:val="2"/>
            <w:tcBorders>
              <w:top w:val="single" w:sz="4" w:space="0" w:color="auto"/>
              <w:left w:val="nil"/>
              <w:right w:val="nil"/>
            </w:tcBorders>
            <w:shd w:val="clear" w:color="auto" w:fill="auto"/>
            <w:noWrap/>
            <w:vAlign w:val="center"/>
            <w:hideMark/>
          </w:tcPr>
          <w:p w14:paraId="07E3A5D3"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 xml:space="preserve">Paranoid Conspiracy </w:t>
            </w:r>
          </w:p>
        </w:tc>
        <w:tc>
          <w:tcPr>
            <w:tcW w:w="2402" w:type="dxa"/>
            <w:gridSpan w:val="2"/>
            <w:tcBorders>
              <w:top w:val="single" w:sz="4" w:space="0" w:color="auto"/>
              <w:left w:val="nil"/>
              <w:right w:val="nil"/>
            </w:tcBorders>
            <w:shd w:val="clear" w:color="auto" w:fill="auto"/>
            <w:noWrap/>
            <w:vAlign w:val="center"/>
            <w:hideMark/>
          </w:tcPr>
          <w:p w14:paraId="435D3678"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Interpersonal Mistrust</w:t>
            </w:r>
          </w:p>
        </w:tc>
      </w:tr>
      <w:tr w:rsidR="000845A6" w:rsidRPr="00055554" w14:paraId="5F3F80FD" w14:textId="77777777" w:rsidTr="00033DBA">
        <w:trPr>
          <w:trHeight w:val="340"/>
        </w:trPr>
        <w:tc>
          <w:tcPr>
            <w:tcW w:w="1380" w:type="dxa"/>
            <w:tcBorders>
              <w:top w:val="nil"/>
              <w:left w:val="nil"/>
              <w:bottom w:val="single" w:sz="4" w:space="0" w:color="auto"/>
              <w:right w:val="nil"/>
            </w:tcBorders>
            <w:shd w:val="clear" w:color="auto" w:fill="auto"/>
            <w:noWrap/>
            <w:vAlign w:val="center"/>
            <w:hideMark/>
          </w:tcPr>
          <w:p w14:paraId="0632D38D" w14:textId="77777777" w:rsidR="000845A6" w:rsidRPr="008C3932" w:rsidRDefault="000845A6" w:rsidP="00D962A8">
            <w:pPr>
              <w:spacing w:after="0" w:line="240" w:lineRule="auto"/>
              <w:jc w:val="center"/>
              <w:rPr>
                <w:rFonts w:ascii="Times New Roman" w:eastAsia="Microsoft YaHei UI" w:hAnsi="Times New Roman" w:cs="Times New Roman"/>
                <w:color w:val="000000" w:themeColor="text1"/>
                <w:lang w:val="en-US" w:eastAsia="zh-TW"/>
              </w:rPr>
            </w:pPr>
          </w:p>
        </w:tc>
        <w:tc>
          <w:tcPr>
            <w:tcW w:w="1418" w:type="dxa"/>
            <w:tcBorders>
              <w:top w:val="nil"/>
              <w:left w:val="nil"/>
              <w:bottom w:val="single" w:sz="4" w:space="0" w:color="auto"/>
              <w:right w:val="nil"/>
            </w:tcBorders>
            <w:shd w:val="clear" w:color="auto" w:fill="auto"/>
            <w:noWrap/>
            <w:vAlign w:val="center"/>
            <w:hideMark/>
          </w:tcPr>
          <w:p w14:paraId="66EA7C39"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M (SD)</w:t>
            </w:r>
          </w:p>
        </w:tc>
        <w:tc>
          <w:tcPr>
            <w:tcW w:w="1251" w:type="dxa"/>
            <w:tcBorders>
              <w:top w:val="nil"/>
              <w:left w:val="nil"/>
              <w:bottom w:val="single" w:sz="4" w:space="0" w:color="auto"/>
              <w:right w:val="nil"/>
            </w:tcBorders>
            <w:shd w:val="clear" w:color="auto" w:fill="auto"/>
            <w:noWrap/>
            <w:vAlign w:val="center"/>
            <w:hideMark/>
          </w:tcPr>
          <w:p w14:paraId="4CAC72CB"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Endorse %</w:t>
            </w:r>
          </w:p>
        </w:tc>
        <w:tc>
          <w:tcPr>
            <w:tcW w:w="1442" w:type="dxa"/>
            <w:tcBorders>
              <w:top w:val="nil"/>
              <w:left w:val="nil"/>
              <w:bottom w:val="single" w:sz="4" w:space="0" w:color="auto"/>
              <w:right w:val="nil"/>
            </w:tcBorders>
            <w:shd w:val="clear" w:color="auto" w:fill="auto"/>
            <w:noWrap/>
            <w:vAlign w:val="center"/>
            <w:hideMark/>
          </w:tcPr>
          <w:p w14:paraId="0EBCB8A8"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M (SD)</w:t>
            </w:r>
          </w:p>
        </w:tc>
        <w:tc>
          <w:tcPr>
            <w:tcW w:w="1276" w:type="dxa"/>
            <w:tcBorders>
              <w:top w:val="nil"/>
              <w:left w:val="nil"/>
              <w:bottom w:val="single" w:sz="4" w:space="0" w:color="auto"/>
              <w:right w:val="nil"/>
            </w:tcBorders>
            <w:shd w:val="clear" w:color="auto" w:fill="auto"/>
            <w:noWrap/>
            <w:vAlign w:val="center"/>
            <w:hideMark/>
          </w:tcPr>
          <w:p w14:paraId="7904AF83"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Endorse %</w:t>
            </w:r>
          </w:p>
        </w:tc>
        <w:tc>
          <w:tcPr>
            <w:tcW w:w="1276" w:type="dxa"/>
            <w:tcBorders>
              <w:top w:val="nil"/>
              <w:left w:val="nil"/>
              <w:bottom w:val="single" w:sz="4" w:space="0" w:color="auto"/>
              <w:right w:val="nil"/>
            </w:tcBorders>
            <w:shd w:val="clear" w:color="auto" w:fill="auto"/>
            <w:noWrap/>
            <w:vAlign w:val="center"/>
            <w:hideMark/>
          </w:tcPr>
          <w:p w14:paraId="43CE346B"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M (SD)</w:t>
            </w:r>
          </w:p>
        </w:tc>
        <w:tc>
          <w:tcPr>
            <w:tcW w:w="1275" w:type="dxa"/>
            <w:tcBorders>
              <w:top w:val="nil"/>
              <w:left w:val="nil"/>
              <w:bottom w:val="single" w:sz="4" w:space="0" w:color="auto"/>
              <w:right w:val="nil"/>
            </w:tcBorders>
            <w:shd w:val="clear" w:color="auto" w:fill="auto"/>
            <w:noWrap/>
            <w:vAlign w:val="center"/>
            <w:hideMark/>
          </w:tcPr>
          <w:p w14:paraId="58BDC237"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Endorse %</w:t>
            </w:r>
          </w:p>
        </w:tc>
        <w:tc>
          <w:tcPr>
            <w:tcW w:w="1178" w:type="dxa"/>
            <w:tcBorders>
              <w:top w:val="nil"/>
              <w:left w:val="nil"/>
              <w:bottom w:val="single" w:sz="4" w:space="0" w:color="auto"/>
              <w:right w:val="nil"/>
            </w:tcBorders>
            <w:shd w:val="clear" w:color="auto" w:fill="auto"/>
            <w:noWrap/>
            <w:vAlign w:val="center"/>
            <w:hideMark/>
          </w:tcPr>
          <w:p w14:paraId="02D08D8D"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M (SD)</w:t>
            </w:r>
          </w:p>
        </w:tc>
        <w:tc>
          <w:tcPr>
            <w:tcW w:w="1224" w:type="dxa"/>
            <w:tcBorders>
              <w:top w:val="nil"/>
              <w:left w:val="nil"/>
              <w:bottom w:val="single" w:sz="4" w:space="0" w:color="auto"/>
              <w:right w:val="nil"/>
            </w:tcBorders>
            <w:shd w:val="clear" w:color="auto" w:fill="auto"/>
            <w:noWrap/>
            <w:vAlign w:val="center"/>
            <w:hideMark/>
          </w:tcPr>
          <w:p w14:paraId="15D31E56" w14:textId="77777777" w:rsidR="000845A6" w:rsidRPr="00055554" w:rsidRDefault="000845A6" w:rsidP="00D962A8">
            <w:pPr>
              <w:spacing w:after="0" w:line="240" w:lineRule="auto"/>
              <w:jc w:val="center"/>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val="en-US" w:eastAsia="zh-TW"/>
              </w:rPr>
              <w:t>Endorse %</w:t>
            </w:r>
          </w:p>
        </w:tc>
      </w:tr>
      <w:tr w:rsidR="00656ECF" w:rsidRPr="00055554" w14:paraId="015521C3" w14:textId="77777777" w:rsidTr="00033DBA">
        <w:trPr>
          <w:trHeight w:val="340"/>
        </w:trPr>
        <w:tc>
          <w:tcPr>
            <w:tcW w:w="1380" w:type="dxa"/>
            <w:tcBorders>
              <w:top w:val="single" w:sz="4" w:space="0" w:color="auto"/>
              <w:left w:val="nil"/>
              <w:bottom w:val="nil"/>
              <w:right w:val="nil"/>
            </w:tcBorders>
            <w:shd w:val="clear" w:color="auto" w:fill="auto"/>
            <w:noWrap/>
            <w:vAlign w:val="center"/>
            <w:hideMark/>
          </w:tcPr>
          <w:p w14:paraId="22446026" w14:textId="77777777" w:rsidR="00656ECF" w:rsidRPr="008C3932" w:rsidRDefault="00656ECF" w:rsidP="00656ECF">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lang w:eastAsia="zh-TW"/>
              </w:rPr>
              <w:t xml:space="preserve">Total </w:t>
            </w:r>
          </w:p>
        </w:tc>
        <w:tc>
          <w:tcPr>
            <w:tcW w:w="1418" w:type="dxa"/>
            <w:tcBorders>
              <w:top w:val="single" w:sz="4" w:space="0" w:color="auto"/>
              <w:left w:val="nil"/>
              <w:bottom w:val="nil"/>
              <w:right w:val="nil"/>
            </w:tcBorders>
            <w:shd w:val="clear" w:color="auto" w:fill="auto"/>
            <w:noWrap/>
            <w:vAlign w:val="center"/>
            <w:hideMark/>
          </w:tcPr>
          <w:p w14:paraId="34295D69"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15.86 (18.20)</w:t>
            </w:r>
          </w:p>
        </w:tc>
        <w:tc>
          <w:tcPr>
            <w:tcW w:w="1251" w:type="dxa"/>
            <w:tcBorders>
              <w:top w:val="single" w:sz="4" w:space="0" w:color="auto"/>
              <w:left w:val="nil"/>
              <w:bottom w:val="nil"/>
              <w:right w:val="nil"/>
            </w:tcBorders>
            <w:shd w:val="clear" w:color="auto" w:fill="auto"/>
            <w:noWrap/>
            <w:vAlign w:val="center"/>
            <w:hideMark/>
          </w:tcPr>
          <w:p w14:paraId="31F14330" w14:textId="1390BB46"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19.44</w:t>
            </w:r>
          </w:p>
        </w:tc>
        <w:tc>
          <w:tcPr>
            <w:tcW w:w="1442" w:type="dxa"/>
            <w:tcBorders>
              <w:top w:val="single" w:sz="4" w:space="0" w:color="auto"/>
              <w:left w:val="nil"/>
              <w:bottom w:val="nil"/>
              <w:right w:val="nil"/>
            </w:tcBorders>
            <w:shd w:val="clear" w:color="auto" w:fill="auto"/>
            <w:noWrap/>
            <w:vAlign w:val="center"/>
            <w:hideMark/>
          </w:tcPr>
          <w:p w14:paraId="0FAB4B34"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5.34 (11.24)</w:t>
            </w:r>
          </w:p>
        </w:tc>
        <w:tc>
          <w:tcPr>
            <w:tcW w:w="1276" w:type="dxa"/>
            <w:tcBorders>
              <w:top w:val="single" w:sz="4" w:space="0" w:color="auto"/>
              <w:left w:val="nil"/>
              <w:bottom w:val="nil"/>
              <w:right w:val="nil"/>
            </w:tcBorders>
            <w:shd w:val="clear" w:color="auto" w:fill="auto"/>
            <w:noWrap/>
            <w:vAlign w:val="center"/>
            <w:hideMark/>
          </w:tcPr>
          <w:p w14:paraId="3970B74C" w14:textId="326D229B"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11.11</w:t>
            </w:r>
          </w:p>
        </w:tc>
        <w:tc>
          <w:tcPr>
            <w:tcW w:w="1276" w:type="dxa"/>
            <w:tcBorders>
              <w:top w:val="single" w:sz="4" w:space="0" w:color="auto"/>
              <w:left w:val="nil"/>
              <w:bottom w:val="nil"/>
              <w:right w:val="nil"/>
            </w:tcBorders>
            <w:shd w:val="clear" w:color="auto" w:fill="auto"/>
            <w:noWrap/>
            <w:vAlign w:val="center"/>
            <w:hideMark/>
          </w:tcPr>
          <w:p w14:paraId="3434BB4C"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5.69 (6.61)</w:t>
            </w:r>
          </w:p>
        </w:tc>
        <w:tc>
          <w:tcPr>
            <w:tcW w:w="1275" w:type="dxa"/>
            <w:tcBorders>
              <w:top w:val="single" w:sz="4" w:space="0" w:color="auto"/>
              <w:left w:val="nil"/>
              <w:bottom w:val="nil"/>
              <w:right w:val="nil"/>
            </w:tcBorders>
            <w:shd w:val="clear" w:color="auto" w:fill="auto"/>
            <w:noWrap/>
            <w:vAlign w:val="center"/>
            <w:hideMark/>
          </w:tcPr>
          <w:p w14:paraId="66022088" w14:textId="1FD5544D"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28.60</w:t>
            </w:r>
          </w:p>
        </w:tc>
        <w:tc>
          <w:tcPr>
            <w:tcW w:w="1178" w:type="dxa"/>
            <w:tcBorders>
              <w:top w:val="single" w:sz="4" w:space="0" w:color="auto"/>
              <w:left w:val="nil"/>
              <w:bottom w:val="nil"/>
              <w:right w:val="nil"/>
            </w:tcBorders>
            <w:shd w:val="clear" w:color="auto" w:fill="auto"/>
            <w:noWrap/>
            <w:vAlign w:val="center"/>
            <w:hideMark/>
          </w:tcPr>
          <w:p w14:paraId="7AA6FE02"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4.82 (4.28)</w:t>
            </w:r>
          </w:p>
        </w:tc>
        <w:tc>
          <w:tcPr>
            <w:tcW w:w="1224" w:type="dxa"/>
            <w:tcBorders>
              <w:top w:val="single" w:sz="4" w:space="0" w:color="auto"/>
              <w:left w:val="nil"/>
              <w:bottom w:val="nil"/>
              <w:right w:val="nil"/>
            </w:tcBorders>
            <w:shd w:val="clear" w:color="auto" w:fill="auto"/>
            <w:noWrap/>
            <w:vAlign w:val="center"/>
            <w:hideMark/>
          </w:tcPr>
          <w:p w14:paraId="736B958C" w14:textId="560FC618"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36.93</w:t>
            </w:r>
          </w:p>
        </w:tc>
      </w:tr>
      <w:tr w:rsidR="00656ECF" w:rsidRPr="00055554" w14:paraId="6F278F93" w14:textId="77777777" w:rsidTr="00033DBA">
        <w:trPr>
          <w:trHeight w:val="340"/>
        </w:trPr>
        <w:tc>
          <w:tcPr>
            <w:tcW w:w="1380" w:type="dxa"/>
            <w:tcBorders>
              <w:top w:val="nil"/>
              <w:left w:val="nil"/>
              <w:bottom w:val="nil"/>
              <w:right w:val="nil"/>
            </w:tcBorders>
            <w:shd w:val="clear" w:color="auto" w:fill="auto"/>
            <w:noWrap/>
            <w:vAlign w:val="center"/>
            <w:hideMark/>
          </w:tcPr>
          <w:p w14:paraId="39FCD9BB" w14:textId="77777777" w:rsidR="00656ECF" w:rsidRPr="008C3932" w:rsidRDefault="00656ECF" w:rsidP="00656ECF">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lang w:eastAsia="zh-TW"/>
              </w:rPr>
              <w:t>UK</w:t>
            </w:r>
          </w:p>
        </w:tc>
        <w:tc>
          <w:tcPr>
            <w:tcW w:w="1418" w:type="dxa"/>
            <w:tcBorders>
              <w:top w:val="nil"/>
              <w:left w:val="nil"/>
              <w:bottom w:val="nil"/>
              <w:right w:val="nil"/>
            </w:tcBorders>
            <w:shd w:val="clear" w:color="auto" w:fill="auto"/>
            <w:noWrap/>
            <w:vAlign w:val="center"/>
            <w:hideMark/>
          </w:tcPr>
          <w:p w14:paraId="3439B500"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12.52 (14.41)</w:t>
            </w:r>
          </w:p>
        </w:tc>
        <w:tc>
          <w:tcPr>
            <w:tcW w:w="1251" w:type="dxa"/>
            <w:tcBorders>
              <w:top w:val="nil"/>
              <w:left w:val="nil"/>
              <w:bottom w:val="nil"/>
              <w:right w:val="nil"/>
            </w:tcBorders>
            <w:shd w:val="clear" w:color="auto" w:fill="auto"/>
            <w:noWrap/>
            <w:vAlign w:val="center"/>
            <w:hideMark/>
          </w:tcPr>
          <w:p w14:paraId="24E18CAE" w14:textId="362F626F"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14.80</w:t>
            </w:r>
          </w:p>
        </w:tc>
        <w:tc>
          <w:tcPr>
            <w:tcW w:w="1442" w:type="dxa"/>
            <w:tcBorders>
              <w:top w:val="nil"/>
              <w:left w:val="nil"/>
              <w:bottom w:val="nil"/>
              <w:right w:val="nil"/>
            </w:tcBorders>
            <w:shd w:val="clear" w:color="auto" w:fill="auto"/>
            <w:noWrap/>
            <w:vAlign w:val="center"/>
            <w:hideMark/>
          </w:tcPr>
          <w:p w14:paraId="7BDEB437"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2.94 (8.24)</w:t>
            </w:r>
          </w:p>
        </w:tc>
        <w:tc>
          <w:tcPr>
            <w:tcW w:w="1276" w:type="dxa"/>
            <w:tcBorders>
              <w:top w:val="nil"/>
              <w:left w:val="nil"/>
              <w:bottom w:val="nil"/>
              <w:right w:val="nil"/>
            </w:tcBorders>
            <w:shd w:val="clear" w:color="auto" w:fill="auto"/>
            <w:noWrap/>
            <w:vAlign w:val="center"/>
            <w:hideMark/>
          </w:tcPr>
          <w:p w14:paraId="29B4AD59" w14:textId="52DFFC63"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5.69</w:t>
            </w:r>
          </w:p>
        </w:tc>
        <w:tc>
          <w:tcPr>
            <w:tcW w:w="1276" w:type="dxa"/>
            <w:tcBorders>
              <w:top w:val="nil"/>
              <w:left w:val="nil"/>
              <w:bottom w:val="nil"/>
              <w:right w:val="nil"/>
            </w:tcBorders>
            <w:shd w:val="clear" w:color="auto" w:fill="auto"/>
            <w:noWrap/>
            <w:vAlign w:val="center"/>
            <w:hideMark/>
          </w:tcPr>
          <w:p w14:paraId="136B037B"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4.40 (5.77)</w:t>
            </w:r>
          </w:p>
        </w:tc>
        <w:tc>
          <w:tcPr>
            <w:tcW w:w="1275" w:type="dxa"/>
            <w:tcBorders>
              <w:top w:val="nil"/>
              <w:left w:val="nil"/>
              <w:bottom w:val="nil"/>
              <w:right w:val="nil"/>
            </w:tcBorders>
            <w:shd w:val="clear" w:color="auto" w:fill="auto"/>
            <w:noWrap/>
            <w:vAlign w:val="center"/>
            <w:hideMark/>
          </w:tcPr>
          <w:p w14:paraId="0B71387D" w14:textId="75E2476A"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21.26</w:t>
            </w:r>
          </w:p>
        </w:tc>
        <w:tc>
          <w:tcPr>
            <w:tcW w:w="1178" w:type="dxa"/>
            <w:tcBorders>
              <w:top w:val="nil"/>
              <w:left w:val="nil"/>
              <w:bottom w:val="nil"/>
              <w:right w:val="nil"/>
            </w:tcBorders>
            <w:shd w:val="clear" w:color="auto" w:fill="auto"/>
            <w:noWrap/>
            <w:vAlign w:val="center"/>
            <w:hideMark/>
          </w:tcPr>
          <w:p w14:paraId="1190CCBC"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5.18 (4.34)</w:t>
            </w:r>
          </w:p>
        </w:tc>
        <w:tc>
          <w:tcPr>
            <w:tcW w:w="1224" w:type="dxa"/>
            <w:tcBorders>
              <w:top w:val="nil"/>
              <w:left w:val="nil"/>
              <w:bottom w:val="nil"/>
              <w:right w:val="nil"/>
            </w:tcBorders>
            <w:shd w:val="clear" w:color="auto" w:fill="auto"/>
            <w:noWrap/>
            <w:vAlign w:val="center"/>
            <w:hideMark/>
          </w:tcPr>
          <w:p w14:paraId="7B0AFA0C" w14:textId="04DAAB77"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39.26</w:t>
            </w:r>
          </w:p>
        </w:tc>
      </w:tr>
      <w:tr w:rsidR="00656ECF" w:rsidRPr="00055554" w14:paraId="1D8E00BA" w14:textId="77777777" w:rsidTr="00033DBA">
        <w:trPr>
          <w:trHeight w:val="340"/>
        </w:trPr>
        <w:tc>
          <w:tcPr>
            <w:tcW w:w="1380" w:type="dxa"/>
            <w:tcBorders>
              <w:top w:val="nil"/>
              <w:left w:val="nil"/>
              <w:bottom w:val="nil"/>
              <w:right w:val="nil"/>
            </w:tcBorders>
            <w:shd w:val="clear" w:color="auto" w:fill="auto"/>
            <w:noWrap/>
            <w:vAlign w:val="center"/>
            <w:hideMark/>
          </w:tcPr>
          <w:p w14:paraId="5BBBE5EC" w14:textId="77777777" w:rsidR="00656ECF" w:rsidRPr="008C3932" w:rsidRDefault="00656ECF" w:rsidP="00656ECF">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lang w:eastAsia="zh-TW"/>
              </w:rPr>
              <w:t>USA</w:t>
            </w:r>
          </w:p>
        </w:tc>
        <w:tc>
          <w:tcPr>
            <w:tcW w:w="1418" w:type="dxa"/>
            <w:tcBorders>
              <w:top w:val="nil"/>
              <w:left w:val="nil"/>
              <w:bottom w:val="nil"/>
              <w:right w:val="nil"/>
            </w:tcBorders>
            <w:shd w:val="clear" w:color="auto" w:fill="auto"/>
            <w:noWrap/>
            <w:vAlign w:val="center"/>
            <w:hideMark/>
          </w:tcPr>
          <w:p w14:paraId="527081C0"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15.88 (19.93)</w:t>
            </w:r>
          </w:p>
        </w:tc>
        <w:tc>
          <w:tcPr>
            <w:tcW w:w="1251" w:type="dxa"/>
            <w:tcBorders>
              <w:top w:val="nil"/>
              <w:left w:val="nil"/>
              <w:bottom w:val="nil"/>
              <w:right w:val="nil"/>
            </w:tcBorders>
            <w:shd w:val="clear" w:color="auto" w:fill="auto"/>
            <w:noWrap/>
            <w:vAlign w:val="center"/>
            <w:hideMark/>
          </w:tcPr>
          <w:p w14:paraId="412E759F" w14:textId="53F0B4BE"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19.65</w:t>
            </w:r>
          </w:p>
        </w:tc>
        <w:tc>
          <w:tcPr>
            <w:tcW w:w="1442" w:type="dxa"/>
            <w:tcBorders>
              <w:top w:val="nil"/>
              <w:left w:val="nil"/>
              <w:bottom w:val="nil"/>
              <w:right w:val="nil"/>
            </w:tcBorders>
            <w:shd w:val="clear" w:color="auto" w:fill="auto"/>
            <w:noWrap/>
            <w:vAlign w:val="center"/>
            <w:hideMark/>
          </w:tcPr>
          <w:p w14:paraId="2E632A8E"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5.55 (12.56)</w:t>
            </w:r>
          </w:p>
        </w:tc>
        <w:tc>
          <w:tcPr>
            <w:tcW w:w="1276" w:type="dxa"/>
            <w:tcBorders>
              <w:top w:val="nil"/>
              <w:left w:val="nil"/>
              <w:bottom w:val="nil"/>
              <w:right w:val="nil"/>
            </w:tcBorders>
            <w:shd w:val="clear" w:color="auto" w:fill="auto"/>
            <w:noWrap/>
            <w:vAlign w:val="center"/>
            <w:hideMark/>
          </w:tcPr>
          <w:p w14:paraId="2D64629A" w14:textId="5452C5EC"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11.83</w:t>
            </w:r>
          </w:p>
        </w:tc>
        <w:tc>
          <w:tcPr>
            <w:tcW w:w="1276" w:type="dxa"/>
            <w:tcBorders>
              <w:top w:val="nil"/>
              <w:left w:val="nil"/>
              <w:bottom w:val="nil"/>
              <w:right w:val="nil"/>
            </w:tcBorders>
            <w:shd w:val="clear" w:color="auto" w:fill="auto"/>
            <w:noWrap/>
            <w:vAlign w:val="center"/>
            <w:hideMark/>
          </w:tcPr>
          <w:p w14:paraId="7F277FB0"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5.63 (7.17)</w:t>
            </w:r>
          </w:p>
        </w:tc>
        <w:tc>
          <w:tcPr>
            <w:tcW w:w="1275" w:type="dxa"/>
            <w:tcBorders>
              <w:top w:val="nil"/>
              <w:left w:val="nil"/>
              <w:bottom w:val="nil"/>
              <w:right w:val="nil"/>
            </w:tcBorders>
            <w:shd w:val="clear" w:color="auto" w:fill="auto"/>
            <w:noWrap/>
            <w:vAlign w:val="center"/>
            <w:hideMark/>
          </w:tcPr>
          <w:p w14:paraId="295A89A9" w14:textId="067FD3F7"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27.98</w:t>
            </w:r>
          </w:p>
        </w:tc>
        <w:tc>
          <w:tcPr>
            <w:tcW w:w="1178" w:type="dxa"/>
            <w:tcBorders>
              <w:top w:val="nil"/>
              <w:left w:val="nil"/>
              <w:bottom w:val="nil"/>
              <w:right w:val="nil"/>
            </w:tcBorders>
            <w:shd w:val="clear" w:color="auto" w:fill="auto"/>
            <w:noWrap/>
            <w:vAlign w:val="center"/>
            <w:hideMark/>
          </w:tcPr>
          <w:p w14:paraId="115FE2A7"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4.70 (4.64)</w:t>
            </w:r>
          </w:p>
        </w:tc>
        <w:tc>
          <w:tcPr>
            <w:tcW w:w="1224" w:type="dxa"/>
            <w:tcBorders>
              <w:top w:val="nil"/>
              <w:left w:val="nil"/>
              <w:bottom w:val="nil"/>
              <w:right w:val="nil"/>
            </w:tcBorders>
            <w:shd w:val="clear" w:color="auto" w:fill="auto"/>
            <w:noWrap/>
            <w:vAlign w:val="center"/>
            <w:hideMark/>
          </w:tcPr>
          <w:p w14:paraId="2686D45F" w14:textId="70F36D6A"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36.50</w:t>
            </w:r>
          </w:p>
        </w:tc>
      </w:tr>
      <w:tr w:rsidR="00656ECF" w:rsidRPr="00055554" w14:paraId="61B6220D" w14:textId="77777777" w:rsidTr="00033DBA">
        <w:trPr>
          <w:trHeight w:val="340"/>
        </w:trPr>
        <w:tc>
          <w:tcPr>
            <w:tcW w:w="1380" w:type="dxa"/>
            <w:tcBorders>
              <w:top w:val="nil"/>
              <w:left w:val="nil"/>
              <w:bottom w:val="nil"/>
              <w:right w:val="nil"/>
            </w:tcBorders>
            <w:shd w:val="clear" w:color="auto" w:fill="auto"/>
            <w:noWrap/>
            <w:vAlign w:val="center"/>
            <w:hideMark/>
          </w:tcPr>
          <w:p w14:paraId="6BBEAC98" w14:textId="77777777" w:rsidR="00656ECF" w:rsidRPr="008C3932" w:rsidRDefault="00656ECF" w:rsidP="00656ECF">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lang w:eastAsia="zh-TW"/>
              </w:rPr>
              <w:t>Australia</w:t>
            </w:r>
          </w:p>
        </w:tc>
        <w:tc>
          <w:tcPr>
            <w:tcW w:w="1418" w:type="dxa"/>
            <w:tcBorders>
              <w:top w:val="nil"/>
              <w:left w:val="nil"/>
              <w:bottom w:val="nil"/>
              <w:right w:val="nil"/>
            </w:tcBorders>
            <w:shd w:val="clear" w:color="auto" w:fill="auto"/>
            <w:noWrap/>
            <w:vAlign w:val="center"/>
            <w:hideMark/>
          </w:tcPr>
          <w:p w14:paraId="0CF038EF" w14:textId="45B96EAC" w:rsidR="00656ECF" w:rsidRPr="00033DBA" w:rsidRDefault="00656ECF" w:rsidP="00656ECF">
            <w:pPr>
              <w:spacing w:after="0" w:line="240" w:lineRule="auto"/>
              <w:rPr>
                <w:rFonts w:ascii="Times New Roman" w:eastAsia="Microsoft YaHei UI" w:hAnsi="Times New Roman" w:cs="Times New Roman"/>
                <w:color w:val="000000" w:themeColor="text1"/>
                <w:lang w:eastAsia="zh-TW"/>
              </w:rPr>
            </w:pPr>
            <w:r w:rsidRPr="00055554">
              <w:rPr>
                <w:rFonts w:ascii="Times New Roman" w:eastAsia="Microsoft YaHei UI" w:hAnsi="Times New Roman" w:cs="Times New Roman"/>
                <w:color w:val="000000" w:themeColor="text1"/>
                <w:lang w:eastAsia="zh-TW"/>
              </w:rPr>
              <w:t>20.58 (22.20)</w:t>
            </w:r>
          </w:p>
        </w:tc>
        <w:tc>
          <w:tcPr>
            <w:tcW w:w="1251" w:type="dxa"/>
            <w:tcBorders>
              <w:top w:val="nil"/>
              <w:left w:val="nil"/>
              <w:bottom w:val="nil"/>
              <w:right w:val="nil"/>
            </w:tcBorders>
            <w:shd w:val="clear" w:color="auto" w:fill="auto"/>
            <w:noWrap/>
            <w:vAlign w:val="center"/>
            <w:hideMark/>
          </w:tcPr>
          <w:p w14:paraId="76C4EA15" w14:textId="75D79D5D"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25.71</w:t>
            </w:r>
          </w:p>
        </w:tc>
        <w:tc>
          <w:tcPr>
            <w:tcW w:w="1442" w:type="dxa"/>
            <w:tcBorders>
              <w:top w:val="nil"/>
              <w:left w:val="nil"/>
              <w:bottom w:val="nil"/>
              <w:right w:val="nil"/>
            </w:tcBorders>
            <w:shd w:val="clear" w:color="auto" w:fill="auto"/>
            <w:noWrap/>
            <w:vAlign w:val="center"/>
            <w:hideMark/>
          </w:tcPr>
          <w:p w14:paraId="7B552FD8"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8.47 (12.30)</w:t>
            </w:r>
          </w:p>
        </w:tc>
        <w:tc>
          <w:tcPr>
            <w:tcW w:w="1276" w:type="dxa"/>
            <w:tcBorders>
              <w:top w:val="nil"/>
              <w:left w:val="nil"/>
              <w:bottom w:val="nil"/>
              <w:right w:val="nil"/>
            </w:tcBorders>
            <w:shd w:val="clear" w:color="auto" w:fill="auto"/>
            <w:noWrap/>
            <w:vAlign w:val="center"/>
            <w:hideMark/>
          </w:tcPr>
          <w:p w14:paraId="0E197A5E" w14:textId="6BBCF3AA"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18.05</w:t>
            </w:r>
          </w:p>
        </w:tc>
        <w:tc>
          <w:tcPr>
            <w:tcW w:w="1276" w:type="dxa"/>
            <w:tcBorders>
              <w:top w:val="nil"/>
              <w:left w:val="nil"/>
              <w:bottom w:val="nil"/>
              <w:right w:val="nil"/>
            </w:tcBorders>
            <w:shd w:val="clear" w:color="auto" w:fill="auto"/>
            <w:noWrap/>
            <w:vAlign w:val="center"/>
            <w:hideMark/>
          </w:tcPr>
          <w:p w14:paraId="0278163C"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6.59 (7.10)</w:t>
            </w:r>
          </w:p>
        </w:tc>
        <w:tc>
          <w:tcPr>
            <w:tcW w:w="1275" w:type="dxa"/>
            <w:tcBorders>
              <w:top w:val="nil"/>
              <w:left w:val="nil"/>
              <w:bottom w:val="nil"/>
              <w:right w:val="nil"/>
            </w:tcBorders>
            <w:shd w:val="clear" w:color="auto" w:fill="auto"/>
            <w:noWrap/>
            <w:vAlign w:val="center"/>
            <w:hideMark/>
          </w:tcPr>
          <w:p w14:paraId="53F9A41B" w14:textId="4ADCBCC4"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33.76</w:t>
            </w:r>
          </w:p>
        </w:tc>
        <w:tc>
          <w:tcPr>
            <w:tcW w:w="1178" w:type="dxa"/>
            <w:tcBorders>
              <w:top w:val="nil"/>
              <w:left w:val="nil"/>
              <w:bottom w:val="nil"/>
              <w:right w:val="nil"/>
            </w:tcBorders>
            <w:shd w:val="clear" w:color="auto" w:fill="auto"/>
            <w:noWrap/>
            <w:vAlign w:val="center"/>
            <w:hideMark/>
          </w:tcPr>
          <w:p w14:paraId="2B199560"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5.52 (4.37)</w:t>
            </w:r>
          </w:p>
        </w:tc>
        <w:tc>
          <w:tcPr>
            <w:tcW w:w="1224" w:type="dxa"/>
            <w:tcBorders>
              <w:top w:val="nil"/>
              <w:left w:val="nil"/>
              <w:bottom w:val="nil"/>
              <w:right w:val="nil"/>
            </w:tcBorders>
            <w:shd w:val="clear" w:color="auto" w:fill="auto"/>
            <w:noWrap/>
            <w:vAlign w:val="center"/>
            <w:hideMark/>
          </w:tcPr>
          <w:p w14:paraId="0F844E22" w14:textId="1142765C"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42.38</w:t>
            </w:r>
          </w:p>
        </w:tc>
      </w:tr>
      <w:tr w:rsidR="00656ECF" w:rsidRPr="00055554" w14:paraId="69ED71CE" w14:textId="77777777" w:rsidTr="00033DBA">
        <w:trPr>
          <w:trHeight w:val="340"/>
        </w:trPr>
        <w:tc>
          <w:tcPr>
            <w:tcW w:w="1380" w:type="dxa"/>
            <w:tcBorders>
              <w:top w:val="nil"/>
              <w:left w:val="nil"/>
              <w:right w:val="nil"/>
            </w:tcBorders>
            <w:shd w:val="clear" w:color="auto" w:fill="auto"/>
            <w:noWrap/>
            <w:vAlign w:val="center"/>
            <w:hideMark/>
          </w:tcPr>
          <w:p w14:paraId="2345334D" w14:textId="77777777" w:rsidR="00656ECF" w:rsidRPr="008C3932" w:rsidRDefault="00656ECF" w:rsidP="00656ECF">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lang w:eastAsia="zh-TW"/>
              </w:rPr>
              <w:t>Germany</w:t>
            </w:r>
          </w:p>
        </w:tc>
        <w:tc>
          <w:tcPr>
            <w:tcW w:w="1418" w:type="dxa"/>
            <w:tcBorders>
              <w:top w:val="nil"/>
              <w:left w:val="nil"/>
              <w:right w:val="nil"/>
            </w:tcBorders>
            <w:shd w:val="clear" w:color="auto" w:fill="auto"/>
            <w:noWrap/>
            <w:vAlign w:val="center"/>
            <w:hideMark/>
          </w:tcPr>
          <w:p w14:paraId="30CDDE00"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12.49 (14.42)</w:t>
            </w:r>
          </w:p>
        </w:tc>
        <w:tc>
          <w:tcPr>
            <w:tcW w:w="1251" w:type="dxa"/>
            <w:tcBorders>
              <w:top w:val="nil"/>
              <w:left w:val="nil"/>
              <w:right w:val="nil"/>
            </w:tcBorders>
            <w:shd w:val="clear" w:color="auto" w:fill="auto"/>
            <w:noWrap/>
            <w:vAlign w:val="center"/>
            <w:hideMark/>
          </w:tcPr>
          <w:p w14:paraId="64CA7559" w14:textId="3DC36204"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15.23</w:t>
            </w:r>
          </w:p>
        </w:tc>
        <w:tc>
          <w:tcPr>
            <w:tcW w:w="1442" w:type="dxa"/>
            <w:tcBorders>
              <w:top w:val="nil"/>
              <w:left w:val="nil"/>
              <w:right w:val="nil"/>
            </w:tcBorders>
            <w:shd w:val="clear" w:color="auto" w:fill="auto"/>
            <w:noWrap/>
            <w:vAlign w:val="center"/>
            <w:hideMark/>
          </w:tcPr>
          <w:p w14:paraId="4604BEE2"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3.71 (8.36)</w:t>
            </w:r>
          </w:p>
        </w:tc>
        <w:tc>
          <w:tcPr>
            <w:tcW w:w="1276" w:type="dxa"/>
            <w:tcBorders>
              <w:top w:val="nil"/>
              <w:left w:val="nil"/>
              <w:right w:val="nil"/>
            </w:tcBorders>
            <w:shd w:val="clear" w:color="auto" w:fill="auto"/>
            <w:noWrap/>
            <w:vAlign w:val="center"/>
            <w:hideMark/>
          </w:tcPr>
          <w:p w14:paraId="3F1BBEFD" w14:textId="0B940EF2"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7.64</w:t>
            </w:r>
          </w:p>
        </w:tc>
        <w:tc>
          <w:tcPr>
            <w:tcW w:w="1276" w:type="dxa"/>
            <w:tcBorders>
              <w:top w:val="nil"/>
              <w:left w:val="nil"/>
              <w:right w:val="nil"/>
            </w:tcBorders>
            <w:shd w:val="clear" w:color="auto" w:fill="auto"/>
            <w:noWrap/>
            <w:vAlign w:val="center"/>
            <w:hideMark/>
          </w:tcPr>
          <w:p w14:paraId="267AD66A"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4.85 (6.21)</w:t>
            </w:r>
          </w:p>
        </w:tc>
        <w:tc>
          <w:tcPr>
            <w:tcW w:w="1275" w:type="dxa"/>
            <w:tcBorders>
              <w:top w:val="nil"/>
              <w:left w:val="nil"/>
              <w:right w:val="nil"/>
            </w:tcBorders>
            <w:shd w:val="clear" w:color="auto" w:fill="auto"/>
            <w:noWrap/>
            <w:vAlign w:val="center"/>
            <w:hideMark/>
          </w:tcPr>
          <w:p w14:paraId="51806691" w14:textId="4A0E0513"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24.64</w:t>
            </w:r>
          </w:p>
        </w:tc>
        <w:tc>
          <w:tcPr>
            <w:tcW w:w="1178" w:type="dxa"/>
            <w:tcBorders>
              <w:top w:val="nil"/>
              <w:left w:val="nil"/>
              <w:right w:val="nil"/>
            </w:tcBorders>
            <w:shd w:val="clear" w:color="auto" w:fill="auto"/>
            <w:noWrap/>
            <w:vAlign w:val="center"/>
            <w:hideMark/>
          </w:tcPr>
          <w:p w14:paraId="45EB9C25"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3.93 (4.04)</w:t>
            </w:r>
          </w:p>
        </w:tc>
        <w:tc>
          <w:tcPr>
            <w:tcW w:w="1224" w:type="dxa"/>
            <w:tcBorders>
              <w:top w:val="nil"/>
              <w:left w:val="nil"/>
              <w:right w:val="nil"/>
            </w:tcBorders>
            <w:shd w:val="clear" w:color="auto" w:fill="auto"/>
            <w:noWrap/>
            <w:vAlign w:val="center"/>
            <w:hideMark/>
          </w:tcPr>
          <w:p w14:paraId="7AD21E9D" w14:textId="16E5755C"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29.60</w:t>
            </w:r>
          </w:p>
        </w:tc>
      </w:tr>
      <w:tr w:rsidR="00656ECF" w:rsidRPr="00055554" w14:paraId="7C2A353A" w14:textId="77777777" w:rsidTr="00033DBA">
        <w:trPr>
          <w:trHeight w:val="340"/>
        </w:trPr>
        <w:tc>
          <w:tcPr>
            <w:tcW w:w="1380" w:type="dxa"/>
            <w:tcBorders>
              <w:top w:val="nil"/>
              <w:left w:val="nil"/>
              <w:bottom w:val="single" w:sz="4" w:space="0" w:color="auto"/>
              <w:right w:val="nil"/>
            </w:tcBorders>
            <w:shd w:val="clear" w:color="auto" w:fill="auto"/>
            <w:noWrap/>
            <w:vAlign w:val="center"/>
            <w:hideMark/>
          </w:tcPr>
          <w:p w14:paraId="5533E6F1" w14:textId="77777777" w:rsidR="00656ECF" w:rsidRPr="008C3932" w:rsidRDefault="00656ECF" w:rsidP="00656ECF">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color w:val="000000" w:themeColor="text1"/>
                <w:lang w:eastAsia="zh-TW"/>
              </w:rPr>
              <w:t>Hong Kong</w:t>
            </w:r>
          </w:p>
        </w:tc>
        <w:tc>
          <w:tcPr>
            <w:tcW w:w="1418" w:type="dxa"/>
            <w:tcBorders>
              <w:top w:val="nil"/>
              <w:left w:val="nil"/>
              <w:bottom w:val="single" w:sz="4" w:space="0" w:color="auto"/>
              <w:right w:val="nil"/>
            </w:tcBorders>
            <w:shd w:val="clear" w:color="auto" w:fill="auto"/>
            <w:noWrap/>
            <w:vAlign w:val="center"/>
            <w:hideMark/>
          </w:tcPr>
          <w:p w14:paraId="432F9619"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18.24 (17.35)</w:t>
            </w:r>
          </w:p>
        </w:tc>
        <w:tc>
          <w:tcPr>
            <w:tcW w:w="1251" w:type="dxa"/>
            <w:tcBorders>
              <w:top w:val="nil"/>
              <w:left w:val="nil"/>
              <w:bottom w:val="single" w:sz="4" w:space="0" w:color="auto"/>
              <w:right w:val="nil"/>
            </w:tcBorders>
            <w:shd w:val="clear" w:color="auto" w:fill="auto"/>
            <w:noWrap/>
            <w:vAlign w:val="center"/>
            <w:hideMark/>
          </w:tcPr>
          <w:p w14:paraId="139E222A" w14:textId="7BD3FA86"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22.32</w:t>
            </w:r>
          </w:p>
        </w:tc>
        <w:tc>
          <w:tcPr>
            <w:tcW w:w="1442" w:type="dxa"/>
            <w:tcBorders>
              <w:top w:val="nil"/>
              <w:left w:val="nil"/>
              <w:bottom w:val="single" w:sz="4" w:space="0" w:color="auto"/>
              <w:right w:val="nil"/>
            </w:tcBorders>
            <w:shd w:val="clear" w:color="auto" w:fill="auto"/>
            <w:noWrap/>
            <w:vAlign w:val="center"/>
            <w:hideMark/>
          </w:tcPr>
          <w:p w14:paraId="34915A02"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6.23 (10.61)</w:t>
            </w:r>
          </w:p>
        </w:tc>
        <w:tc>
          <w:tcPr>
            <w:tcW w:w="1276" w:type="dxa"/>
            <w:tcBorders>
              <w:top w:val="nil"/>
              <w:left w:val="nil"/>
              <w:bottom w:val="single" w:sz="4" w:space="0" w:color="auto"/>
              <w:right w:val="nil"/>
            </w:tcBorders>
            <w:shd w:val="clear" w:color="auto" w:fill="auto"/>
            <w:noWrap/>
            <w:vAlign w:val="center"/>
            <w:hideMark/>
          </w:tcPr>
          <w:p w14:paraId="4736D3C5" w14:textId="0E3ED80D"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12.67</w:t>
            </w:r>
          </w:p>
        </w:tc>
        <w:tc>
          <w:tcPr>
            <w:tcW w:w="1276" w:type="dxa"/>
            <w:tcBorders>
              <w:top w:val="nil"/>
              <w:left w:val="nil"/>
              <w:bottom w:val="single" w:sz="4" w:space="0" w:color="auto"/>
              <w:right w:val="nil"/>
            </w:tcBorders>
            <w:shd w:val="clear" w:color="auto" w:fill="auto"/>
            <w:noWrap/>
            <w:vAlign w:val="center"/>
            <w:hideMark/>
          </w:tcPr>
          <w:p w14:paraId="1D670CA0"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7.22 (6.41)</w:t>
            </w:r>
          </w:p>
        </w:tc>
        <w:tc>
          <w:tcPr>
            <w:tcW w:w="1275" w:type="dxa"/>
            <w:tcBorders>
              <w:top w:val="nil"/>
              <w:left w:val="nil"/>
              <w:bottom w:val="single" w:sz="4" w:space="0" w:color="auto"/>
              <w:right w:val="nil"/>
            </w:tcBorders>
            <w:shd w:val="clear" w:color="auto" w:fill="auto"/>
            <w:noWrap/>
            <w:vAlign w:val="center"/>
            <w:hideMark/>
          </w:tcPr>
          <w:p w14:paraId="155C2AB9" w14:textId="1BF31775"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36.55</w:t>
            </w:r>
          </w:p>
        </w:tc>
        <w:tc>
          <w:tcPr>
            <w:tcW w:w="1178" w:type="dxa"/>
            <w:tcBorders>
              <w:top w:val="nil"/>
              <w:left w:val="nil"/>
              <w:bottom w:val="single" w:sz="4" w:space="0" w:color="auto"/>
              <w:right w:val="nil"/>
            </w:tcBorders>
            <w:shd w:val="clear" w:color="auto" w:fill="auto"/>
            <w:noWrap/>
            <w:vAlign w:val="center"/>
            <w:hideMark/>
          </w:tcPr>
          <w:p w14:paraId="0BDFB175" w14:textId="77777777" w:rsidR="00656ECF" w:rsidRPr="00055554" w:rsidRDefault="00656ECF" w:rsidP="00656ECF">
            <w:pPr>
              <w:spacing w:after="0" w:line="240" w:lineRule="auto"/>
              <w:rPr>
                <w:rFonts w:ascii="Times New Roman" w:eastAsia="Microsoft YaHei UI" w:hAnsi="Times New Roman" w:cs="Times New Roman"/>
                <w:color w:val="000000" w:themeColor="text1"/>
                <w:lang w:val="en-US" w:eastAsia="zh-TW"/>
              </w:rPr>
            </w:pPr>
            <w:r w:rsidRPr="00055554">
              <w:rPr>
                <w:rFonts w:ascii="Times New Roman" w:eastAsia="Microsoft YaHei UI" w:hAnsi="Times New Roman" w:cs="Times New Roman"/>
                <w:color w:val="000000" w:themeColor="text1"/>
                <w:lang w:eastAsia="zh-TW"/>
              </w:rPr>
              <w:t>4.79 (3.70)</w:t>
            </w:r>
          </w:p>
        </w:tc>
        <w:tc>
          <w:tcPr>
            <w:tcW w:w="1224" w:type="dxa"/>
            <w:tcBorders>
              <w:top w:val="nil"/>
              <w:left w:val="nil"/>
              <w:bottom w:val="single" w:sz="4" w:space="0" w:color="auto"/>
              <w:right w:val="nil"/>
            </w:tcBorders>
            <w:shd w:val="clear" w:color="auto" w:fill="auto"/>
            <w:noWrap/>
            <w:vAlign w:val="center"/>
            <w:hideMark/>
          </w:tcPr>
          <w:p w14:paraId="1FA79C77" w14:textId="57D7A7D6" w:rsidR="00656ECF" w:rsidRPr="00055554" w:rsidRDefault="00656ECF" w:rsidP="00656ECF">
            <w:pPr>
              <w:spacing w:after="0" w:line="240" w:lineRule="auto"/>
              <w:jc w:val="center"/>
              <w:rPr>
                <w:rFonts w:ascii="Times New Roman" w:eastAsia="Microsoft YaHei UI" w:hAnsi="Times New Roman" w:cs="Times New Roman"/>
                <w:color w:val="000000" w:themeColor="text1"/>
                <w:lang w:val="en-US" w:eastAsia="zh-TW"/>
              </w:rPr>
            </w:pPr>
            <w:r w:rsidRPr="00033DBA">
              <w:rPr>
                <w:rFonts w:ascii="Times New Roman" w:hAnsi="Times New Roman" w:cs="Times New Roman"/>
                <w:color w:val="000000"/>
              </w:rPr>
              <w:t>37.13</w:t>
            </w:r>
          </w:p>
        </w:tc>
      </w:tr>
      <w:tr w:rsidR="000845A6" w:rsidRPr="00815135" w14:paraId="5BD9754C" w14:textId="77777777" w:rsidTr="00033DBA">
        <w:trPr>
          <w:trHeight w:val="340"/>
        </w:trPr>
        <w:tc>
          <w:tcPr>
            <w:tcW w:w="11720" w:type="dxa"/>
            <w:gridSpan w:val="9"/>
            <w:tcBorders>
              <w:top w:val="single" w:sz="4" w:space="0" w:color="auto"/>
              <w:left w:val="nil"/>
              <w:bottom w:val="nil"/>
              <w:right w:val="nil"/>
            </w:tcBorders>
            <w:shd w:val="clear" w:color="auto" w:fill="auto"/>
            <w:noWrap/>
            <w:hideMark/>
          </w:tcPr>
          <w:p w14:paraId="7A48F484" w14:textId="77777777" w:rsidR="000845A6" w:rsidRPr="008C3932" w:rsidRDefault="000845A6" w:rsidP="00D962A8">
            <w:pPr>
              <w:spacing w:after="0" w:line="240" w:lineRule="auto"/>
              <w:rPr>
                <w:rFonts w:ascii="Times New Roman" w:eastAsia="Microsoft YaHei UI" w:hAnsi="Times New Roman" w:cs="Times New Roman"/>
                <w:color w:val="000000" w:themeColor="text1"/>
                <w:lang w:val="en-US" w:eastAsia="zh-TW"/>
              </w:rPr>
            </w:pPr>
            <w:r w:rsidRPr="008C3932">
              <w:rPr>
                <w:rFonts w:ascii="Times New Roman" w:eastAsia="Microsoft YaHei UI" w:hAnsi="Times New Roman" w:cs="Times New Roman"/>
                <w:i/>
                <w:iCs/>
                <w:color w:val="000000" w:themeColor="text1"/>
                <w:lang w:val="en-US" w:eastAsia="zh-TW"/>
              </w:rPr>
              <w:t xml:space="preserve">Note. </w:t>
            </w:r>
            <w:r w:rsidRPr="008C3932">
              <w:rPr>
                <w:rFonts w:ascii="Times New Roman" w:eastAsia="Microsoft YaHei UI" w:hAnsi="Times New Roman" w:cs="Times New Roman"/>
                <w:color w:val="000000" w:themeColor="text1"/>
                <w:lang w:val="en-US" w:eastAsia="zh-TW"/>
              </w:rPr>
              <w:t xml:space="preserve">Endorse %, endorsement rate. </w:t>
            </w:r>
            <w:r w:rsidRPr="008C3932">
              <w:rPr>
                <w:rFonts w:ascii="Times New Roman" w:eastAsia="Microsoft YaHei UI" w:hAnsi="Times New Roman" w:cs="Times New Roman"/>
                <w:color w:val="000000" w:themeColor="text1"/>
                <w:lang w:val="en-US" w:eastAsia="zh-CN"/>
              </w:rPr>
              <w:t>PPS</w:t>
            </w:r>
            <w:r w:rsidRPr="008C3932">
              <w:rPr>
                <w:rFonts w:ascii="Times New Roman" w:eastAsia="Microsoft YaHei UI" w:hAnsi="Times New Roman" w:cs="Times New Roman"/>
                <w:color w:val="000000" w:themeColor="text1"/>
                <w:lang w:val="en-US" w:eastAsia="zh-TW"/>
              </w:rPr>
              <w:t>, Pandemic Paranoia Scale.</w:t>
            </w:r>
          </w:p>
        </w:tc>
      </w:tr>
    </w:tbl>
    <w:p w14:paraId="4075BC80"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7FCD56CF"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03883B03"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1C4CA6A7"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43A20FDD"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3B4757CB"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3AFFDDAA"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04E79136"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42BA7EE9"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07A396A0"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29D633C5"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198CD686"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4B0E90DF"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08D88BB7"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767490A4"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70DDE760" w14:textId="77777777" w:rsidR="000845A6" w:rsidRPr="008C3932" w:rsidRDefault="000845A6" w:rsidP="000845A6">
      <w:pPr>
        <w:spacing w:line="360" w:lineRule="auto"/>
        <w:rPr>
          <w:rFonts w:ascii="Times New Roman" w:hAnsi="Times New Roman" w:cs="Times New Roman"/>
          <w:b/>
          <w:color w:val="000000" w:themeColor="text1"/>
          <w:sz w:val="24"/>
          <w:szCs w:val="24"/>
        </w:rPr>
      </w:pPr>
    </w:p>
    <w:p w14:paraId="0712D746" w14:textId="77777777" w:rsidR="005642C3" w:rsidRDefault="005642C3">
      <w:r>
        <w:br w:type="page"/>
      </w:r>
    </w:p>
    <w:tbl>
      <w:tblPr>
        <w:tblStyle w:val="TableGrid"/>
        <w:tblW w:w="10689"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1375"/>
        <w:gridCol w:w="1035"/>
        <w:gridCol w:w="1035"/>
        <w:gridCol w:w="1035"/>
        <w:gridCol w:w="1034"/>
        <w:gridCol w:w="1035"/>
        <w:gridCol w:w="1035"/>
        <w:gridCol w:w="1035"/>
        <w:gridCol w:w="1035"/>
      </w:tblGrid>
      <w:tr w:rsidR="000845A6" w:rsidRPr="00D31A58" w14:paraId="58DBD8C8" w14:textId="77777777" w:rsidTr="00D962A8">
        <w:tc>
          <w:tcPr>
            <w:tcW w:w="10689" w:type="dxa"/>
            <w:gridSpan w:val="10"/>
            <w:tcBorders>
              <w:bottom w:val="single" w:sz="4" w:space="0" w:color="auto"/>
            </w:tcBorders>
          </w:tcPr>
          <w:p w14:paraId="0EE74201" w14:textId="2D829ECD" w:rsidR="000845A6" w:rsidRPr="00D31A58" w:rsidRDefault="000845A6" w:rsidP="00D962A8">
            <w:pPr>
              <w:spacing w:line="360" w:lineRule="auto"/>
              <w:rPr>
                <w:rFonts w:ascii="Times New Roman" w:eastAsia="Calibri" w:hAnsi="Times New Roman" w:cs="Times New Roman"/>
                <w:color w:val="000000" w:themeColor="text1"/>
                <w:sz w:val="24"/>
                <w:szCs w:val="24"/>
              </w:rPr>
            </w:pPr>
            <w:r w:rsidRPr="00D31A58">
              <w:rPr>
                <w:rFonts w:ascii="Times New Roman" w:eastAsia="Calibri" w:hAnsi="Times New Roman" w:cs="Times New Roman"/>
                <w:color w:val="000000" w:themeColor="text1"/>
                <w:sz w:val="24"/>
                <w:szCs w:val="24"/>
              </w:rPr>
              <w:lastRenderedPageBreak/>
              <w:t>Table 3.  Site pairwise comparisons on the PPS total and subscales.</w:t>
            </w:r>
          </w:p>
        </w:tc>
      </w:tr>
      <w:tr w:rsidR="000845A6" w:rsidRPr="00D31A58" w14:paraId="41BAA54C" w14:textId="77777777" w:rsidTr="00D962A8">
        <w:tc>
          <w:tcPr>
            <w:tcW w:w="1035" w:type="dxa"/>
            <w:tcBorders>
              <w:top w:val="single" w:sz="4" w:space="0" w:color="auto"/>
              <w:bottom w:val="single" w:sz="4" w:space="0" w:color="auto"/>
            </w:tcBorders>
          </w:tcPr>
          <w:p w14:paraId="0518683F" w14:textId="77777777" w:rsidR="000845A6" w:rsidRPr="00D31A58" w:rsidRDefault="000845A6" w:rsidP="00D962A8">
            <w:pPr>
              <w:spacing w:line="360" w:lineRule="auto"/>
              <w:rPr>
                <w:rFonts w:ascii="Times New Roman" w:eastAsia="Calibri" w:hAnsi="Times New Roman" w:cs="Times New Roman"/>
                <w:color w:val="000000" w:themeColor="text1"/>
              </w:rPr>
            </w:pPr>
          </w:p>
        </w:tc>
        <w:tc>
          <w:tcPr>
            <w:tcW w:w="1375" w:type="dxa"/>
            <w:tcBorders>
              <w:top w:val="single" w:sz="4" w:space="0" w:color="auto"/>
              <w:bottom w:val="single" w:sz="4" w:space="0" w:color="auto"/>
            </w:tcBorders>
          </w:tcPr>
          <w:p w14:paraId="1463E878" w14:textId="77777777" w:rsidR="000845A6" w:rsidRPr="00D31A58" w:rsidRDefault="000845A6" w:rsidP="00D962A8">
            <w:pPr>
              <w:spacing w:line="360" w:lineRule="auto"/>
              <w:rPr>
                <w:rFonts w:ascii="Times New Roman" w:eastAsia="Calibri" w:hAnsi="Times New Roman" w:cs="Times New Roman"/>
                <w:color w:val="000000" w:themeColor="text1"/>
              </w:rPr>
            </w:pPr>
          </w:p>
        </w:tc>
        <w:tc>
          <w:tcPr>
            <w:tcW w:w="2070" w:type="dxa"/>
            <w:gridSpan w:val="2"/>
            <w:tcBorders>
              <w:top w:val="single" w:sz="4" w:space="0" w:color="auto"/>
              <w:bottom w:val="single" w:sz="4" w:space="0" w:color="auto"/>
            </w:tcBorders>
          </w:tcPr>
          <w:p w14:paraId="57DA042E"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PPS Total</w:t>
            </w:r>
          </w:p>
          <w:p w14:paraId="61DF4894" w14:textId="77777777" w:rsidR="000845A6" w:rsidRPr="00D31A58" w:rsidRDefault="000845A6" w:rsidP="00D962A8">
            <w:pPr>
              <w:spacing w:line="360" w:lineRule="auto"/>
              <w:rPr>
                <w:rFonts w:ascii="Times New Roman" w:eastAsia="Calibri" w:hAnsi="Times New Roman" w:cs="Times New Roman"/>
                <w:color w:val="000000" w:themeColor="text1"/>
              </w:rPr>
            </w:pPr>
          </w:p>
        </w:tc>
        <w:tc>
          <w:tcPr>
            <w:tcW w:w="2069" w:type="dxa"/>
            <w:gridSpan w:val="2"/>
            <w:tcBorders>
              <w:top w:val="single" w:sz="4" w:space="0" w:color="auto"/>
              <w:bottom w:val="single" w:sz="4" w:space="0" w:color="auto"/>
            </w:tcBorders>
          </w:tcPr>
          <w:p w14:paraId="4DF036DF"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Persecutory Threat</w:t>
            </w:r>
          </w:p>
        </w:tc>
        <w:tc>
          <w:tcPr>
            <w:tcW w:w="2070" w:type="dxa"/>
            <w:gridSpan w:val="2"/>
            <w:tcBorders>
              <w:top w:val="single" w:sz="4" w:space="0" w:color="auto"/>
              <w:bottom w:val="single" w:sz="4" w:space="0" w:color="auto"/>
            </w:tcBorders>
          </w:tcPr>
          <w:p w14:paraId="1375F270"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Paranoid Conspiracy</w:t>
            </w:r>
          </w:p>
        </w:tc>
        <w:tc>
          <w:tcPr>
            <w:tcW w:w="2070" w:type="dxa"/>
            <w:gridSpan w:val="2"/>
            <w:tcBorders>
              <w:top w:val="single" w:sz="4" w:space="0" w:color="auto"/>
              <w:bottom w:val="single" w:sz="4" w:space="0" w:color="auto"/>
            </w:tcBorders>
          </w:tcPr>
          <w:p w14:paraId="2EE27BF8"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Interpersonal Mistrust</w:t>
            </w:r>
          </w:p>
        </w:tc>
      </w:tr>
      <w:tr w:rsidR="000845A6" w:rsidRPr="00D31A58" w14:paraId="4E382D26" w14:textId="77777777" w:rsidTr="00D962A8">
        <w:tc>
          <w:tcPr>
            <w:tcW w:w="1035" w:type="dxa"/>
            <w:tcBorders>
              <w:top w:val="single" w:sz="4" w:space="0" w:color="auto"/>
              <w:bottom w:val="single" w:sz="4" w:space="0" w:color="auto"/>
            </w:tcBorders>
          </w:tcPr>
          <w:p w14:paraId="30642409" w14:textId="77777777" w:rsidR="000845A6" w:rsidRPr="00D31A58" w:rsidRDefault="000845A6" w:rsidP="00D962A8">
            <w:pPr>
              <w:spacing w:line="360" w:lineRule="auto"/>
              <w:rPr>
                <w:rFonts w:ascii="Times New Roman" w:eastAsia="Calibri" w:hAnsi="Times New Roman" w:cs="Times New Roman"/>
                <w:color w:val="000000" w:themeColor="text1"/>
              </w:rPr>
            </w:pPr>
          </w:p>
        </w:tc>
        <w:tc>
          <w:tcPr>
            <w:tcW w:w="1375" w:type="dxa"/>
            <w:tcBorders>
              <w:top w:val="single" w:sz="4" w:space="0" w:color="auto"/>
              <w:bottom w:val="single" w:sz="4" w:space="0" w:color="auto"/>
            </w:tcBorders>
          </w:tcPr>
          <w:p w14:paraId="0CC7356E" w14:textId="77777777" w:rsidR="000845A6" w:rsidRPr="00D31A58" w:rsidRDefault="000845A6" w:rsidP="00D962A8">
            <w:pPr>
              <w:spacing w:line="360" w:lineRule="auto"/>
              <w:rPr>
                <w:rFonts w:ascii="Times New Roman" w:eastAsia="Calibri" w:hAnsi="Times New Roman" w:cs="Times New Roman"/>
                <w:color w:val="000000" w:themeColor="text1"/>
              </w:rPr>
            </w:pPr>
          </w:p>
        </w:tc>
        <w:tc>
          <w:tcPr>
            <w:tcW w:w="1035" w:type="dxa"/>
            <w:tcBorders>
              <w:top w:val="single" w:sz="4" w:space="0" w:color="auto"/>
              <w:bottom w:val="single" w:sz="4" w:space="0" w:color="auto"/>
            </w:tcBorders>
          </w:tcPr>
          <w:p w14:paraId="51596D5D"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W</w:t>
            </w:r>
          </w:p>
        </w:tc>
        <w:tc>
          <w:tcPr>
            <w:tcW w:w="1035" w:type="dxa"/>
            <w:tcBorders>
              <w:top w:val="single" w:sz="4" w:space="0" w:color="auto"/>
              <w:bottom w:val="single" w:sz="4" w:space="0" w:color="auto"/>
            </w:tcBorders>
          </w:tcPr>
          <w:p w14:paraId="6EC56FA9" w14:textId="77777777" w:rsidR="000845A6" w:rsidRPr="00D31A58" w:rsidRDefault="000845A6" w:rsidP="00D962A8">
            <w:pPr>
              <w:spacing w:line="360" w:lineRule="auto"/>
              <w:rPr>
                <w:rFonts w:ascii="Times New Roman" w:eastAsia="Calibri" w:hAnsi="Times New Roman" w:cs="Times New Roman"/>
                <w:color w:val="000000" w:themeColor="text1"/>
              </w:rPr>
            </w:pPr>
            <w:proofErr w:type="spellStart"/>
            <w:r w:rsidRPr="00D31A58">
              <w:rPr>
                <w:rFonts w:ascii="Times New Roman" w:eastAsia="Calibri" w:hAnsi="Times New Roman" w:cs="Times New Roman"/>
                <w:color w:val="000000" w:themeColor="text1"/>
              </w:rPr>
              <w:t>diff</w:t>
            </w:r>
            <w:r w:rsidRPr="00D31A58">
              <w:rPr>
                <w:rFonts w:ascii="Times New Roman" w:eastAsia="Calibri" w:hAnsi="Times New Roman" w:cs="Times New Roman"/>
                <w:color w:val="000000" w:themeColor="text1"/>
                <w:vertAlign w:val="subscript"/>
              </w:rPr>
              <w:t>Latent</w:t>
            </w:r>
            <w:proofErr w:type="spellEnd"/>
          </w:p>
        </w:tc>
        <w:tc>
          <w:tcPr>
            <w:tcW w:w="1035" w:type="dxa"/>
            <w:tcBorders>
              <w:top w:val="single" w:sz="4" w:space="0" w:color="auto"/>
              <w:bottom w:val="single" w:sz="4" w:space="0" w:color="auto"/>
            </w:tcBorders>
          </w:tcPr>
          <w:p w14:paraId="27598F4C"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W</w:t>
            </w:r>
          </w:p>
        </w:tc>
        <w:tc>
          <w:tcPr>
            <w:tcW w:w="1034" w:type="dxa"/>
            <w:tcBorders>
              <w:top w:val="single" w:sz="4" w:space="0" w:color="auto"/>
              <w:bottom w:val="single" w:sz="4" w:space="0" w:color="auto"/>
            </w:tcBorders>
          </w:tcPr>
          <w:p w14:paraId="31DB157A" w14:textId="77777777" w:rsidR="000845A6" w:rsidRPr="00D31A58" w:rsidRDefault="000845A6" w:rsidP="00D962A8">
            <w:pPr>
              <w:spacing w:line="360" w:lineRule="auto"/>
              <w:rPr>
                <w:rFonts w:ascii="Times New Roman" w:eastAsia="Calibri" w:hAnsi="Times New Roman" w:cs="Times New Roman"/>
                <w:color w:val="000000" w:themeColor="text1"/>
              </w:rPr>
            </w:pPr>
            <w:proofErr w:type="spellStart"/>
            <w:r w:rsidRPr="00D31A58">
              <w:rPr>
                <w:rFonts w:ascii="Times New Roman" w:eastAsia="Calibri" w:hAnsi="Times New Roman" w:cs="Times New Roman"/>
                <w:color w:val="000000" w:themeColor="text1"/>
              </w:rPr>
              <w:t>diff</w:t>
            </w:r>
            <w:r w:rsidRPr="00D31A58">
              <w:rPr>
                <w:rFonts w:ascii="Times New Roman" w:eastAsia="Calibri" w:hAnsi="Times New Roman" w:cs="Times New Roman"/>
                <w:color w:val="000000" w:themeColor="text1"/>
                <w:vertAlign w:val="subscript"/>
              </w:rPr>
              <w:t>Latent</w:t>
            </w:r>
            <w:proofErr w:type="spellEnd"/>
          </w:p>
        </w:tc>
        <w:tc>
          <w:tcPr>
            <w:tcW w:w="1035" w:type="dxa"/>
            <w:tcBorders>
              <w:top w:val="single" w:sz="4" w:space="0" w:color="auto"/>
              <w:bottom w:val="single" w:sz="4" w:space="0" w:color="auto"/>
            </w:tcBorders>
          </w:tcPr>
          <w:p w14:paraId="3CD3AC02"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W</w:t>
            </w:r>
          </w:p>
        </w:tc>
        <w:tc>
          <w:tcPr>
            <w:tcW w:w="1035" w:type="dxa"/>
            <w:tcBorders>
              <w:top w:val="single" w:sz="4" w:space="0" w:color="auto"/>
              <w:bottom w:val="single" w:sz="4" w:space="0" w:color="auto"/>
            </w:tcBorders>
          </w:tcPr>
          <w:p w14:paraId="1F7A9588" w14:textId="77777777" w:rsidR="000845A6" w:rsidRPr="00D31A58" w:rsidRDefault="000845A6" w:rsidP="00D962A8">
            <w:pPr>
              <w:spacing w:line="360" w:lineRule="auto"/>
              <w:rPr>
                <w:rFonts w:ascii="Times New Roman" w:eastAsia="Calibri" w:hAnsi="Times New Roman" w:cs="Times New Roman"/>
                <w:color w:val="000000" w:themeColor="text1"/>
              </w:rPr>
            </w:pPr>
            <w:proofErr w:type="spellStart"/>
            <w:r w:rsidRPr="00D31A58">
              <w:rPr>
                <w:rFonts w:ascii="Times New Roman" w:eastAsia="Calibri" w:hAnsi="Times New Roman" w:cs="Times New Roman"/>
                <w:color w:val="000000" w:themeColor="text1"/>
              </w:rPr>
              <w:t>diff</w:t>
            </w:r>
            <w:r w:rsidRPr="00D31A58">
              <w:rPr>
                <w:rFonts w:ascii="Times New Roman" w:eastAsia="Calibri" w:hAnsi="Times New Roman" w:cs="Times New Roman"/>
                <w:color w:val="000000" w:themeColor="text1"/>
                <w:vertAlign w:val="subscript"/>
              </w:rPr>
              <w:t>Latent</w:t>
            </w:r>
            <w:proofErr w:type="spellEnd"/>
          </w:p>
        </w:tc>
        <w:tc>
          <w:tcPr>
            <w:tcW w:w="1035" w:type="dxa"/>
            <w:tcBorders>
              <w:top w:val="single" w:sz="4" w:space="0" w:color="auto"/>
              <w:bottom w:val="single" w:sz="4" w:space="0" w:color="auto"/>
            </w:tcBorders>
          </w:tcPr>
          <w:p w14:paraId="3CC73CDA"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eastAsia="Calibri" w:hAnsi="Times New Roman" w:cs="Times New Roman"/>
                <w:color w:val="000000" w:themeColor="text1"/>
              </w:rPr>
              <w:t>W</w:t>
            </w:r>
          </w:p>
        </w:tc>
        <w:tc>
          <w:tcPr>
            <w:tcW w:w="1035" w:type="dxa"/>
            <w:tcBorders>
              <w:top w:val="single" w:sz="4" w:space="0" w:color="auto"/>
              <w:bottom w:val="single" w:sz="4" w:space="0" w:color="auto"/>
            </w:tcBorders>
          </w:tcPr>
          <w:p w14:paraId="427644BF" w14:textId="77777777" w:rsidR="000845A6" w:rsidRPr="00D31A58" w:rsidRDefault="000845A6" w:rsidP="00D962A8">
            <w:pPr>
              <w:spacing w:line="360" w:lineRule="auto"/>
              <w:rPr>
                <w:rFonts w:ascii="Times New Roman" w:eastAsia="Calibri" w:hAnsi="Times New Roman" w:cs="Times New Roman"/>
                <w:color w:val="000000" w:themeColor="text1"/>
              </w:rPr>
            </w:pPr>
            <w:proofErr w:type="spellStart"/>
            <w:r w:rsidRPr="00D31A58">
              <w:rPr>
                <w:rFonts w:ascii="Times New Roman" w:eastAsia="Calibri" w:hAnsi="Times New Roman" w:cs="Times New Roman"/>
                <w:color w:val="000000" w:themeColor="text1"/>
              </w:rPr>
              <w:t>diff</w:t>
            </w:r>
            <w:r w:rsidRPr="00D31A58">
              <w:rPr>
                <w:rFonts w:ascii="Times New Roman" w:eastAsia="Calibri" w:hAnsi="Times New Roman" w:cs="Times New Roman"/>
                <w:color w:val="000000" w:themeColor="text1"/>
                <w:vertAlign w:val="subscript"/>
              </w:rPr>
              <w:t>Latent</w:t>
            </w:r>
            <w:proofErr w:type="spellEnd"/>
          </w:p>
        </w:tc>
      </w:tr>
      <w:tr w:rsidR="000845A6" w:rsidRPr="00D31A58" w14:paraId="2797796B" w14:textId="77777777" w:rsidTr="00D962A8">
        <w:tc>
          <w:tcPr>
            <w:tcW w:w="1035" w:type="dxa"/>
            <w:tcBorders>
              <w:top w:val="single" w:sz="4" w:space="0" w:color="auto"/>
            </w:tcBorders>
            <w:vAlign w:val="center"/>
          </w:tcPr>
          <w:p w14:paraId="5C28FBDF"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UK</w:t>
            </w:r>
          </w:p>
        </w:tc>
        <w:tc>
          <w:tcPr>
            <w:tcW w:w="1375" w:type="dxa"/>
            <w:tcBorders>
              <w:top w:val="single" w:sz="4" w:space="0" w:color="auto"/>
            </w:tcBorders>
            <w:vAlign w:val="center"/>
          </w:tcPr>
          <w:p w14:paraId="2B537786"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USA</w:t>
            </w:r>
          </w:p>
        </w:tc>
        <w:tc>
          <w:tcPr>
            <w:tcW w:w="1035" w:type="dxa"/>
            <w:tcBorders>
              <w:top w:val="single" w:sz="4" w:space="0" w:color="auto"/>
            </w:tcBorders>
            <w:vAlign w:val="center"/>
          </w:tcPr>
          <w:p w14:paraId="3C1D1D88"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1.81</w:t>
            </w:r>
          </w:p>
        </w:tc>
        <w:tc>
          <w:tcPr>
            <w:tcW w:w="1035" w:type="dxa"/>
            <w:tcBorders>
              <w:top w:val="single" w:sz="4" w:space="0" w:color="auto"/>
            </w:tcBorders>
          </w:tcPr>
          <w:p w14:paraId="4402B9AE"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0.15***</w:t>
            </w:r>
          </w:p>
        </w:tc>
        <w:tc>
          <w:tcPr>
            <w:tcW w:w="1035" w:type="dxa"/>
            <w:tcBorders>
              <w:top w:val="single" w:sz="4" w:space="0" w:color="auto"/>
            </w:tcBorders>
            <w:vAlign w:val="center"/>
          </w:tcPr>
          <w:p w14:paraId="379A28CB"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b/>
                <w:bCs/>
                <w:color w:val="000000" w:themeColor="text1"/>
              </w:rPr>
              <w:t>4.47**</w:t>
            </w:r>
          </w:p>
        </w:tc>
        <w:tc>
          <w:tcPr>
            <w:tcW w:w="1034" w:type="dxa"/>
            <w:tcBorders>
              <w:top w:val="single" w:sz="4" w:space="0" w:color="auto"/>
            </w:tcBorders>
          </w:tcPr>
          <w:p w14:paraId="301BD2C2"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0.16***</w:t>
            </w:r>
          </w:p>
        </w:tc>
        <w:tc>
          <w:tcPr>
            <w:tcW w:w="1035" w:type="dxa"/>
            <w:tcBorders>
              <w:top w:val="single" w:sz="4" w:space="0" w:color="auto"/>
            </w:tcBorders>
            <w:vAlign w:val="center"/>
          </w:tcPr>
          <w:p w14:paraId="36711C3E"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3.05</w:t>
            </w:r>
          </w:p>
        </w:tc>
        <w:tc>
          <w:tcPr>
            <w:tcW w:w="1035" w:type="dxa"/>
            <w:tcBorders>
              <w:top w:val="single" w:sz="4" w:space="0" w:color="auto"/>
            </w:tcBorders>
          </w:tcPr>
          <w:p w14:paraId="2C55401B"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0.22**</w:t>
            </w:r>
          </w:p>
        </w:tc>
        <w:tc>
          <w:tcPr>
            <w:tcW w:w="1035" w:type="dxa"/>
            <w:tcBorders>
              <w:top w:val="single" w:sz="4" w:space="0" w:color="auto"/>
            </w:tcBorders>
            <w:vAlign w:val="center"/>
          </w:tcPr>
          <w:p w14:paraId="5D890D85"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-2.21</w:t>
            </w:r>
          </w:p>
        </w:tc>
        <w:tc>
          <w:tcPr>
            <w:tcW w:w="1035" w:type="dxa"/>
            <w:tcBorders>
              <w:top w:val="single" w:sz="4" w:space="0" w:color="auto"/>
            </w:tcBorders>
          </w:tcPr>
          <w:p w14:paraId="6DD88C9E"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0.07</w:t>
            </w:r>
          </w:p>
        </w:tc>
      </w:tr>
      <w:tr w:rsidR="000845A6" w:rsidRPr="00D31A58" w14:paraId="501CC537" w14:textId="77777777" w:rsidTr="00D962A8">
        <w:tc>
          <w:tcPr>
            <w:tcW w:w="1035" w:type="dxa"/>
            <w:vAlign w:val="center"/>
          </w:tcPr>
          <w:p w14:paraId="7919C6A0"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UK</w:t>
            </w:r>
          </w:p>
        </w:tc>
        <w:tc>
          <w:tcPr>
            <w:tcW w:w="1375" w:type="dxa"/>
            <w:vAlign w:val="center"/>
          </w:tcPr>
          <w:p w14:paraId="6CE5D046"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Australia</w:t>
            </w:r>
          </w:p>
        </w:tc>
        <w:tc>
          <w:tcPr>
            <w:tcW w:w="1035" w:type="dxa"/>
            <w:vAlign w:val="center"/>
          </w:tcPr>
          <w:p w14:paraId="4773F9DA"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
                <w:bCs/>
                <w:color w:val="000000" w:themeColor="text1"/>
              </w:rPr>
              <w:t>6.67***</w:t>
            </w:r>
          </w:p>
        </w:tc>
        <w:tc>
          <w:tcPr>
            <w:tcW w:w="1035" w:type="dxa"/>
          </w:tcPr>
          <w:p w14:paraId="4744F3BE"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0.33***</w:t>
            </w:r>
          </w:p>
        </w:tc>
        <w:tc>
          <w:tcPr>
            <w:tcW w:w="1035" w:type="dxa"/>
            <w:vAlign w:val="center"/>
          </w:tcPr>
          <w:p w14:paraId="3B4787CE"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9.19***</w:t>
            </w:r>
          </w:p>
        </w:tc>
        <w:tc>
          <w:tcPr>
            <w:tcW w:w="1034" w:type="dxa"/>
          </w:tcPr>
          <w:p w14:paraId="4231C420"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0.34***</w:t>
            </w:r>
          </w:p>
        </w:tc>
        <w:tc>
          <w:tcPr>
            <w:tcW w:w="1035" w:type="dxa"/>
            <w:vAlign w:val="center"/>
          </w:tcPr>
          <w:p w14:paraId="0A3DD4BF"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7.52***</w:t>
            </w:r>
          </w:p>
        </w:tc>
        <w:tc>
          <w:tcPr>
            <w:tcW w:w="1035" w:type="dxa"/>
          </w:tcPr>
          <w:p w14:paraId="0117640E"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0.40***</w:t>
            </w:r>
          </w:p>
        </w:tc>
        <w:tc>
          <w:tcPr>
            <w:tcW w:w="1035" w:type="dxa"/>
            <w:vAlign w:val="center"/>
          </w:tcPr>
          <w:p w14:paraId="79661731"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color w:val="000000" w:themeColor="text1"/>
              </w:rPr>
              <w:t>1.77</w:t>
            </w:r>
          </w:p>
        </w:tc>
        <w:tc>
          <w:tcPr>
            <w:tcW w:w="1035" w:type="dxa"/>
          </w:tcPr>
          <w:p w14:paraId="5C94B626"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0.08</w:t>
            </w:r>
          </w:p>
        </w:tc>
      </w:tr>
      <w:tr w:rsidR="000845A6" w:rsidRPr="00D31A58" w14:paraId="333411C1" w14:textId="77777777" w:rsidTr="00D962A8">
        <w:tc>
          <w:tcPr>
            <w:tcW w:w="1035" w:type="dxa"/>
            <w:vAlign w:val="center"/>
          </w:tcPr>
          <w:p w14:paraId="7AC6C105"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UK</w:t>
            </w:r>
          </w:p>
        </w:tc>
        <w:tc>
          <w:tcPr>
            <w:tcW w:w="1375" w:type="dxa"/>
            <w:vAlign w:val="center"/>
          </w:tcPr>
          <w:p w14:paraId="35E7C831"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Germany</w:t>
            </w:r>
          </w:p>
        </w:tc>
        <w:tc>
          <w:tcPr>
            <w:tcW w:w="1035" w:type="dxa"/>
            <w:vAlign w:val="center"/>
          </w:tcPr>
          <w:p w14:paraId="17F7BE85" w14:textId="77777777" w:rsidR="000845A6" w:rsidRPr="00D31A58" w:rsidRDefault="000845A6" w:rsidP="00D962A8">
            <w:pPr>
              <w:spacing w:line="360" w:lineRule="auto"/>
              <w:rPr>
                <w:rFonts w:ascii="Times New Roman" w:eastAsia="Calibri" w:hAnsi="Times New Roman" w:cs="Times New Roman"/>
              </w:rPr>
            </w:pPr>
            <w:r w:rsidRPr="00D31A58">
              <w:rPr>
                <w:rFonts w:ascii="Times New Roman" w:hAnsi="Times New Roman" w:cs="Times New Roman"/>
              </w:rPr>
              <w:t>-0.50</w:t>
            </w:r>
          </w:p>
        </w:tc>
        <w:tc>
          <w:tcPr>
            <w:tcW w:w="1035" w:type="dxa"/>
          </w:tcPr>
          <w:p w14:paraId="1654A912" w14:textId="77777777" w:rsidR="000845A6" w:rsidRPr="00D31A58" w:rsidRDefault="000845A6" w:rsidP="00D962A8">
            <w:pPr>
              <w:spacing w:line="360" w:lineRule="auto"/>
              <w:rPr>
                <w:rFonts w:ascii="Times New Roman" w:hAnsi="Times New Roman" w:cs="Times New Roman"/>
                <w:bCs/>
              </w:rPr>
            </w:pPr>
            <w:r w:rsidRPr="00D31A58">
              <w:rPr>
                <w:rFonts w:ascii="Times New Roman" w:hAnsi="Times New Roman" w:cs="Times New Roman"/>
                <w:bCs/>
              </w:rPr>
              <w:t>0.01</w:t>
            </w:r>
          </w:p>
        </w:tc>
        <w:tc>
          <w:tcPr>
            <w:tcW w:w="1035" w:type="dxa"/>
            <w:vAlign w:val="center"/>
          </w:tcPr>
          <w:p w14:paraId="48E6C638" w14:textId="77777777" w:rsidR="000845A6" w:rsidRPr="00D31A58" w:rsidRDefault="000845A6" w:rsidP="00D962A8">
            <w:pPr>
              <w:spacing w:line="360" w:lineRule="auto"/>
              <w:rPr>
                <w:rFonts w:ascii="Times New Roman" w:hAnsi="Times New Roman" w:cs="Times New Roman"/>
              </w:rPr>
            </w:pPr>
            <w:r w:rsidRPr="00D31A58">
              <w:rPr>
                <w:rFonts w:ascii="Times New Roman" w:hAnsi="Times New Roman" w:cs="Times New Roman"/>
                <w:b/>
                <w:bCs/>
              </w:rPr>
              <w:t>5.14**</w:t>
            </w:r>
          </w:p>
        </w:tc>
        <w:tc>
          <w:tcPr>
            <w:tcW w:w="1034" w:type="dxa"/>
          </w:tcPr>
          <w:p w14:paraId="584F3267"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0.04</w:t>
            </w:r>
          </w:p>
        </w:tc>
        <w:tc>
          <w:tcPr>
            <w:tcW w:w="1035" w:type="dxa"/>
            <w:vAlign w:val="center"/>
          </w:tcPr>
          <w:p w14:paraId="714D6E02"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1.88</w:t>
            </w:r>
          </w:p>
        </w:tc>
        <w:tc>
          <w:tcPr>
            <w:tcW w:w="1035" w:type="dxa"/>
          </w:tcPr>
          <w:p w14:paraId="428245B4" w14:textId="77777777" w:rsidR="000845A6" w:rsidRPr="00D31A58" w:rsidRDefault="000845A6" w:rsidP="00D962A8">
            <w:pPr>
              <w:spacing w:line="360" w:lineRule="auto"/>
              <w:rPr>
                <w:rFonts w:ascii="Times New Roman" w:hAnsi="Times New Roman" w:cs="Times New Roman"/>
                <w:bCs/>
                <w:color w:val="000000" w:themeColor="text1"/>
              </w:rPr>
            </w:pPr>
            <w:r w:rsidRPr="00D31A58">
              <w:rPr>
                <w:rFonts w:ascii="Times New Roman" w:hAnsi="Times New Roman" w:cs="Times New Roman"/>
                <w:bCs/>
                <w:color w:val="000000" w:themeColor="text1"/>
              </w:rPr>
              <w:t>0.09</w:t>
            </w:r>
          </w:p>
        </w:tc>
        <w:tc>
          <w:tcPr>
            <w:tcW w:w="1035" w:type="dxa"/>
            <w:vAlign w:val="center"/>
          </w:tcPr>
          <w:p w14:paraId="1AB8D15A"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b/>
                <w:bCs/>
                <w:color w:val="000000" w:themeColor="text1"/>
              </w:rPr>
              <w:t>-6.53***</w:t>
            </w:r>
          </w:p>
        </w:tc>
        <w:tc>
          <w:tcPr>
            <w:tcW w:w="1035" w:type="dxa"/>
          </w:tcPr>
          <w:p w14:paraId="3F441DB2"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-0.35***</w:t>
            </w:r>
          </w:p>
        </w:tc>
      </w:tr>
      <w:tr w:rsidR="000845A6" w:rsidRPr="00D31A58" w14:paraId="0611B40D" w14:textId="77777777" w:rsidTr="00D962A8">
        <w:tc>
          <w:tcPr>
            <w:tcW w:w="1035" w:type="dxa"/>
            <w:vAlign w:val="center"/>
          </w:tcPr>
          <w:p w14:paraId="6F99D5A7"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UK</w:t>
            </w:r>
          </w:p>
        </w:tc>
        <w:tc>
          <w:tcPr>
            <w:tcW w:w="1375" w:type="dxa"/>
            <w:vAlign w:val="center"/>
          </w:tcPr>
          <w:p w14:paraId="7BA65EE0"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Hong Kong</w:t>
            </w:r>
          </w:p>
        </w:tc>
        <w:tc>
          <w:tcPr>
            <w:tcW w:w="1035" w:type="dxa"/>
            <w:vAlign w:val="center"/>
          </w:tcPr>
          <w:p w14:paraId="3892B747"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
                <w:bCs/>
                <w:color w:val="000000" w:themeColor="text1"/>
              </w:rPr>
              <w:t>5.84***</w:t>
            </w:r>
          </w:p>
        </w:tc>
        <w:tc>
          <w:tcPr>
            <w:tcW w:w="1035" w:type="dxa"/>
          </w:tcPr>
          <w:p w14:paraId="6F8DFB07"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0.21***</w:t>
            </w:r>
          </w:p>
        </w:tc>
        <w:tc>
          <w:tcPr>
            <w:tcW w:w="1035" w:type="dxa"/>
            <w:vAlign w:val="center"/>
          </w:tcPr>
          <w:p w14:paraId="34E42C63"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7.86***</w:t>
            </w:r>
          </w:p>
        </w:tc>
        <w:tc>
          <w:tcPr>
            <w:tcW w:w="1034" w:type="dxa"/>
          </w:tcPr>
          <w:p w14:paraId="30879AB9"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0.19***</w:t>
            </w:r>
          </w:p>
        </w:tc>
        <w:tc>
          <w:tcPr>
            <w:tcW w:w="1035" w:type="dxa"/>
            <w:vAlign w:val="center"/>
          </w:tcPr>
          <w:p w14:paraId="5D476CFE"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9.45***</w:t>
            </w:r>
          </w:p>
        </w:tc>
        <w:tc>
          <w:tcPr>
            <w:tcW w:w="1035" w:type="dxa"/>
          </w:tcPr>
          <w:p w14:paraId="182D388C"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w:t>
            </w:r>
            <w:r w:rsidRPr="00D31A58">
              <w:rPr>
                <w:rFonts w:ascii="Times New Roman" w:hAnsi="Times New Roman" w:cs="Times New Roman"/>
                <w:b/>
                <w:color w:val="000000" w:themeColor="text1"/>
              </w:rPr>
              <w:t>.52***</w:t>
            </w:r>
          </w:p>
        </w:tc>
        <w:tc>
          <w:tcPr>
            <w:tcW w:w="1035" w:type="dxa"/>
            <w:vAlign w:val="center"/>
          </w:tcPr>
          <w:p w14:paraId="19DF1865"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color w:val="000000" w:themeColor="text1"/>
              </w:rPr>
              <w:t>-1.15</w:t>
            </w:r>
          </w:p>
        </w:tc>
        <w:tc>
          <w:tcPr>
            <w:tcW w:w="1035" w:type="dxa"/>
          </w:tcPr>
          <w:p w14:paraId="1EB7A3C0"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-0.10</w:t>
            </w:r>
          </w:p>
        </w:tc>
      </w:tr>
      <w:tr w:rsidR="000845A6" w:rsidRPr="00D31A58" w14:paraId="3CDE3D31" w14:textId="77777777" w:rsidTr="00D962A8">
        <w:tc>
          <w:tcPr>
            <w:tcW w:w="1035" w:type="dxa"/>
            <w:vAlign w:val="center"/>
          </w:tcPr>
          <w:p w14:paraId="70350C25"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USA</w:t>
            </w:r>
          </w:p>
        </w:tc>
        <w:tc>
          <w:tcPr>
            <w:tcW w:w="1375" w:type="dxa"/>
            <w:vAlign w:val="center"/>
          </w:tcPr>
          <w:p w14:paraId="3E1FD4D6"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Australia</w:t>
            </w:r>
          </w:p>
        </w:tc>
        <w:tc>
          <w:tcPr>
            <w:tcW w:w="1035" w:type="dxa"/>
            <w:vAlign w:val="center"/>
          </w:tcPr>
          <w:p w14:paraId="6634F712"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
                <w:bCs/>
                <w:color w:val="000000" w:themeColor="text1"/>
              </w:rPr>
              <w:t>4.64**</w:t>
            </w:r>
          </w:p>
        </w:tc>
        <w:tc>
          <w:tcPr>
            <w:tcW w:w="1035" w:type="dxa"/>
          </w:tcPr>
          <w:p w14:paraId="18F76BDF"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0.20***</w:t>
            </w:r>
          </w:p>
        </w:tc>
        <w:tc>
          <w:tcPr>
            <w:tcW w:w="1035" w:type="dxa"/>
            <w:vAlign w:val="center"/>
          </w:tcPr>
          <w:p w14:paraId="66F206ED"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4.76**</w:t>
            </w:r>
          </w:p>
        </w:tc>
        <w:tc>
          <w:tcPr>
            <w:tcW w:w="1034" w:type="dxa"/>
          </w:tcPr>
          <w:p w14:paraId="6E00A5C9"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0.19***</w:t>
            </w:r>
          </w:p>
        </w:tc>
        <w:tc>
          <w:tcPr>
            <w:tcW w:w="1035" w:type="dxa"/>
            <w:vAlign w:val="center"/>
          </w:tcPr>
          <w:p w14:paraId="29E4FB3E"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4.26*</w:t>
            </w:r>
          </w:p>
        </w:tc>
        <w:tc>
          <w:tcPr>
            <w:tcW w:w="1035" w:type="dxa"/>
          </w:tcPr>
          <w:p w14:paraId="508750AA"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0.17*</w:t>
            </w:r>
          </w:p>
        </w:tc>
        <w:tc>
          <w:tcPr>
            <w:tcW w:w="1035" w:type="dxa"/>
            <w:vAlign w:val="center"/>
          </w:tcPr>
          <w:p w14:paraId="722E6D1C"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color w:val="000000" w:themeColor="text1"/>
              </w:rPr>
              <w:t>3.86</w:t>
            </w:r>
          </w:p>
        </w:tc>
        <w:tc>
          <w:tcPr>
            <w:tcW w:w="1035" w:type="dxa"/>
          </w:tcPr>
          <w:p w14:paraId="7A1CC5D4"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0.20**</w:t>
            </w:r>
          </w:p>
        </w:tc>
      </w:tr>
      <w:tr w:rsidR="000845A6" w:rsidRPr="00D31A58" w14:paraId="27AFB27C" w14:textId="77777777" w:rsidTr="00D962A8">
        <w:tc>
          <w:tcPr>
            <w:tcW w:w="1035" w:type="dxa"/>
            <w:vAlign w:val="center"/>
          </w:tcPr>
          <w:p w14:paraId="34DE5F49"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USA</w:t>
            </w:r>
          </w:p>
        </w:tc>
        <w:tc>
          <w:tcPr>
            <w:tcW w:w="1375" w:type="dxa"/>
            <w:vAlign w:val="center"/>
          </w:tcPr>
          <w:p w14:paraId="51FA4F3B"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Germany</w:t>
            </w:r>
          </w:p>
        </w:tc>
        <w:tc>
          <w:tcPr>
            <w:tcW w:w="1035" w:type="dxa"/>
            <w:vAlign w:val="center"/>
          </w:tcPr>
          <w:p w14:paraId="0ABE70DD"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-2.23</w:t>
            </w:r>
          </w:p>
        </w:tc>
        <w:tc>
          <w:tcPr>
            <w:tcW w:w="1035" w:type="dxa"/>
          </w:tcPr>
          <w:p w14:paraId="46FC8D60"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-0.14**</w:t>
            </w:r>
          </w:p>
        </w:tc>
        <w:tc>
          <w:tcPr>
            <w:tcW w:w="1035" w:type="dxa"/>
            <w:vAlign w:val="center"/>
          </w:tcPr>
          <w:p w14:paraId="61C87377"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0.42</w:t>
            </w:r>
          </w:p>
        </w:tc>
        <w:tc>
          <w:tcPr>
            <w:tcW w:w="1034" w:type="dxa"/>
          </w:tcPr>
          <w:p w14:paraId="62028308"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-0.12**</w:t>
            </w:r>
          </w:p>
        </w:tc>
        <w:tc>
          <w:tcPr>
            <w:tcW w:w="1035" w:type="dxa"/>
            <w:vAlign w:val="center"/>
          </w:tcPr>
          <w:p w14:paraId="1569ABD7"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-1.37</w:t>
            </w:r>
          </w:p>
        </w:tc>
        <w:tc>
          <w:tcPr>
            <w:tcW w:w="1035" w:type="dxa"/>
          </w:tcPr>
          <w:p w14:paraId="11F21A18" w14:textId="77777777" w:rsidR="000845A6" w:rsidRPr="00D31A58" w:rsidRDefault="000845A6" w:rsidP="00D962A8">
            <w:pPr>
              <w:spacing w:line="360" w:lineRule="auto"/>
              <w:rPr>
                <w:rFonts w:ascii="Times New Roman" w:hAnsi="Times New Roman" w:cs="Times New Roman"/>
                <w:bCs/>
                <w:color w:val="000000" w:themeColor="text1"/>
              </w:rPr>
            </w:pPr>
            <w:r w:rsidRPr="00D31A58">
              <w:rPr>
                <w:rFonts w:ascii="Times New Roman" w:hAnsi="Times New Roman" w:cs="Times New Roman"/>
                <w:bCs/>
                <w:color w:val="000000" w:themeColor="text1"/>
              </w:rPr>
              <w:t>-0.14</w:t>
            </w:r>
          </w:p>
        </w:tc>
        <w:tc>
          <w:tcPr>
            <w:tcW w:w="1035" w:type="dxa"/>
            <w:vAlign w:val="center"/>
          </w:tcPr>
          <w:p w14:paraId="0FDFCD09"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b/>
                <w:bCs/>
                <w:color w:val="000000" w:themeColor="text1"/>
              </w:rPr>
              <w:t>-4.11*</w:t>
            </w:r>
          </w:p>
        </w:tc>
        <w:tc>
          <w:tcPr>
            <w:tcW w:w="1035" w:type="dxa"/>
          </w:tcPr>
          <w:p w14:paraId="17C97C3B"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-0.21**</w:t>
            </w:r>
          </w:p>
        </w:tc>
      </w:tr>
      <w:tr w:rsidR="000845A6" w:rsidRPr="00D31A58" w14:paraId="7B69ACAB" w14:textId="77777777" w:rsidTr="00D962A8">
        <w:tc>
          <w:tcPr>
            <w:tcW w:w="1035" w:type="dxa"/>
            <w:vAlign w:val="center"/>
          </w:tcPr>
          <w:p w14:paraId="1A5F0ABA"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USA</w:t>
            </w:r>
          </w:p>
        </w:tc>
        <w:tc>
          <w:tcPr>
            <w:tcW w:w="1375" w:type="dxa"/>
            <w:vAlign w:val="center"/>
          </w:tcPr>
          <w:p w14:paraId="4B2B4694"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Hong Kong</w:t>
            </w:r>
          </w:p>
        </w:tc>
        <w:tc>
          <w:tcPr>
            <w:tcW w:w="1035" w:type="dxa"/>
            <w:vAlign w:val="center"/>
          </w:tcPr>
          <w:p w14:paraId="563F80C5"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3.76</w:t>
            </w:r>
          </w:p>
        </w:tc>
        <w:tc>
          <w:tcPr>
            <w:tcW w:w="1035" w:type="dxa"/>
          </w:tcPr>
          <w:p w14:paraId="5D3BD9B6"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0.09</w:t>
            </w:r>
          </w:p>
        </w:tc>
        <w:tc>
          <w:tcPr>
            <w:tcW w:w="1035" w:type="dxa"/>
            <w:vAlign w:val="center"/>
          </w:tcPr>
          <w:p w14:paraId="5C1BF448"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3.33</w:t>
            </w:r>
          </w:p>
        </w:tc>
        <w:tc>
          <w:tcPr>
            <w:tcW w:w="1034" w:type="dxa"/>
          </w:tcPr>
          <w:p w14:paraId="37774DD7" w14:textId="77777777" w:rsidR="000845A6" w:rsidRPr="00D31A58" w:rsidRDefault="000845A6" w:rsidP="00D962A8">
            <w:pPr>
              <w:spacing w:line="360" w:lineRule="auto"/>
              <w:rPr>
                <w:rFonts w:ascii="Times New Roman" w:hAnsi="Times New Roman" w:cs="Times New Roman"/>
                <w:bCs/>
                <w:color w:val="000000" w:themeColor="text1"/>
              </w:rPr>
            </w:pPr>
            <w:r w:rsidRPr="00D31A58">
              <w:rPr>
                <w:rFonts w:ascii="Times New Roman" w:hAnsi="Times New Roman" w:cs="Times New Roman"/>
                <w:bCs/>
                <w:color w:val="000000" w:themeColor="text1"/>
              </w:rPr>
              <w:t>0.04</w:t>
            </w:r>
          </w:p>
        </w:tc>
        <w:tc>
          <w:tcPr>
            <w:tcW w:w="1035" w:type="dxa"/>
            <w:vAlign w:val="center"/>
          </w:tcPr>
          <w:p w14:paraId="76F20938"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b/>
                <w:bCs/>
                <w:color w:val="000000" w:themeColor="text1"/>
              </w:rPr>
              <w:t>6.01***</w:t>
            </w:r>
          </w:p>
        </w:tc>
        <w:tc>
          <w:tcPr>
            <w:tcW w:w="1035" w:type="dxa"/>
          </w:tcPr>
          <w:p w14:paraId="3E589A90"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0.29***</w:t>
            </w:r>
          </w:p>
        </w:tc>
        <w:tc>
          <w:tcPr>
            <w:tcW w:w="1035" w:type="dxa"/>
            <w:vAlign w:val="center"/>
          </w:tcPr>
          <w:p w14:paraId="682E4B78"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1.04</w:t>
            </w:r>
          </w:p>
        </w:tc>
        <w:tc>
          <w:tcPr>
            <w:tcW w:w="1035" w:type="dxa"/>
          </w:tcPr>
          <w:p w14:paraId="53122D88"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0.02</w:t>
            </w:r>
          </w:p>
        </w:tc>
      </w:tr>
      <w:tr w:rsidR="000845A6" w:rsidRPr="00D31A58" w14:paraId="188E64CF" w14:textId="77777777" w:rsidTr="00D962A8">
        <w:tc>
          <w:tcPr>
            <w:tcW w:w="1035" w:type="dxa"/>
            <w:vAlign w:val="center"/>
          </w:tcPr>
          <w:p w14:paraId="20121C67"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bCs/>
                <w:color w:val="000000" w:themeColor="text1"/>
              </w:rPr>
              <w:t>Australia</w:t>
            </w:r>
          </w:p>
        </w:tc>
        <w:tc>
          <w:tcPr>
            <w:tcW w:w="1375" w:type="dxa"/>
            <w:vAlign w:val="center"/>
          </w:tcPr>
          <w:p w14:paraId="71D84DB1"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Germany</w:t>
            </w:r>
          </w:p>
        </w:tc>
        <w:tc>
          <w:tcPr>
            <w:tcW w:w="1035" w:type="dxa"/>
            <w:vAlign w:val="center"/>
          </w:tcPr>
          <w:p w14:paraId="12297AF0"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
                <w:bCs/>
                <w:color w:val="000000" w:themeColor="text1"/>
              </w:rPr>
              <w:t>-7.03***</w:t>
            </w:r>
          </w:p>
        </w:tc>
        <w:tc>
          <w:tcPr>
            <w:tcW w:w="1035" w:type="dxa"/>
          </w:tcPr>
          <w:p w14:paraId="5C5DF193"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-0.32***</w:t>
            </w:r>
          </w:p>
        </w:tc>
        <w:tc>
          <w:tcPr>
            <w:tcW w:w="1035" w:type="dxa"/>
            <w:vAlign w:val="center"/>
          </w:tcPr>
          <w:p w14:paraId="1B096A93"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-4.81**</w:t>
            </w:r>
          </w:p>
        </w:tc>
        <w:tc>
          <w:tcPr>
            <w:tcW w:w="1034" w:type="dxa"/>
          </w:tcPr>
          <w:p w14:paraId="534A3888"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-0.29***</w:t>
            </w:r>
          </w:p>
        </w:tc>
        <w:tc>
          <w:tcPr>
            <w:tcW w:w="1035" w:type="dxa"/>
            <w:vAlign w:val="center"/>
          </w:tcPr>
          <w:p w14:paraId="61679CE9"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-5.70***</w:t>
            </w:r>
          </w:p>
        </w:tc>
        <w:tc>
          <w:tcPr>
            <w:tcW w:w="1035" w:type="dxa"/>
          </w:tcPr>
          <w:p w14:paraId="5EFB78E0"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-0.32***</w:t>
            </w:r>
          </w:p>
        </w:tc>
        <w:tc>
          <w:tcPr>
            <w:tcW w:w="1035" w:type="dxa"/>
            <w:vAlign w:val="center"/>
          </w:tcPr>
          <w:p w14:paraId="7059083B"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-8.06***</w:t>
            </w:r>
          </w:p>
        </w:tc>
        <w:tc>
          <w:tcPr>
            <w:tcW w:w="1035" w:type="dxa"/>
          </w:tcPr>
          <w:p w14:paraId="229DBDFD"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-0.42***</w:t>
            </w:r>
          </w:p>
        </w:tc>
      </w:tr>
      <w:tr w:rsidR="000845A6" w:rsidRPr="00D31A58" w14:paraId="7737F963" w14:textId="77777777" w:rsidTr="00D962A8">
        <w:tc>
          <w:tcPr>
            <w:tcW w:w="1035" w:type="dxa"/>
            <w:vAlign w:val="center"/>
          </w:tcPr>
          <w:p w14:paraId="29BE2122"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color w:val="000000" w:themeColor="text1"/>
              </w:rPr>
              <w:t>Australia</w:t>
            </w:r>
          </w:p>
        </w:tc>
        <w:tc>
          <w:tcPr>
            <w:tcW w:w="1375" w:type="dxa"/>
            <w:vAlign w:val="center"/>
          </w:tcPr>
          <w:p w14:paraId="7E09D736"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Hong Kong</w:t>
            </w:r>
          </w:p>
        </w:tc>
        <w:tc>
          <w:tcPr>
            <w:tcW w:w="1035" w:type="dxa"/>
            <w:vAlign w:val="center"/>
          </w:tcPr>
          <w:p w14:paraId="5A9225DB"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color w:val="000000" w:themeColor="text1"/>
              </w:rPr>
              <w:t>-0.98</w:t>
            </w:r>
          </w:p>
        </w:tc>
        <w:tc>
          <w:tcPr>
            <w:tcW w:w="1035" w:type="dxa"/>
          </w:tcPr>
          <w:p w14:paraId="33C32A7C"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-0.10*</w:t>
            </w:r>
          </w:p>
        </w:tc>
        <w:tc>
          <w:tcPr>
            <w:tcW w:w="1035" w:type="dxa"/>
            <w:vAlign w:val="center"/>
          </w:tcPr>
          <w:p w14:paraId="6141AE69"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-1.64</w:t>
            </w:r>
          </w:p>
        </w:tc>
        <w:tc>
          <w:tcPr>
            <w:tcW w:w="1034" w:type="dxa"/>
          </w:tcPr>
          <w:p w14:paraId="2FCCEA68"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-0.14**</w:t>
            </w:r>
          </w:p>
        </w:tc>
        <w:tc>
          <w:tcPr>
            <w:tcW w:w="1035" w:type="dxa"/>
            <w:vAlign w:val="center"/>
          </w:tcPr>
          <w:p w14:paraId="63495FB6"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1.88</w:t>
            </w:r>
          </w:p>
        </w:tc>
        <w:tc>
          <w:tcPr>
            <w:tcW w:w="1035" w:type="dxa"/>
          </w:tcPr>
          <w:p w14:paraId="10E9B158"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0.12</w:t>
            </w:r>
          </w:p>
        </w:tc>
        <w:tc>
          <w:tcPr>
            <w:tcW w:w="1035" w:type="dxa"/>
            <w:vAlign w:val="center"/>
          </w:tcPr>
          <w:p w14:paraId="704549D8"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color w:val="000000" w:themeColor="text1"/>
              </w:rPr>
              <w:t>-2.87</w:t>
            </w:r>
          </w:p>
        </w:tc>
        <w:tc>
          <w:tcPr>
            <w:tcW w:w="1035" w:type="dxa"/>
          </w:tcPr>
          <w:p w14:paraId="2D2ECB3F"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-0.17**</w:t>
            </w:r>
          </w:p>
        </w:tc>
      </w:tr>
      <w:tr w:rsidR="000845A6" w:rsidRPr="00D31A58" w14:paraId="2D57AA12" w14:textId="77777777" w:rsidTr="00D962A8">
        <w:tc>
          <w:tcPr>
            <w:tcW w:w="1035" w:type="dxa"/>
            <w:tcBorders>
              <w:bottom w:val="single" w:sz="4" w:space="0" w:color="auto"/>
            </w:tcBorders>
            <w:vAlign w:val="center"/>
          </w:tcPr>
          <w:p w14:paraId="39675270" w14:textId="77777777" w:rsidR="000845A6" w:rsidRPr="00D31A58" w:rsidRDefault="000845A6" w:rsidP="00D962A8">
            <w:pPr>
              <w:spacing w:line="360" w:lineRule="auto"/>
              <w:rPr>
                <w:rFonts w:ascii="Times New Roman" w:hAnsi="Times New Roman" w:cs="Times New Roman"/>
                <w:color w:val="000000" w:themeColor="text1"/>
              </w:rPr>
            </w:pPr>
            <w:r w:rsidRPr="00D31A58">
              <w:rPr>
                <w:rFonts w:ascii="Times New Roman" w:hAnsi="Times New Roman" w:cs="Times New Roman"/>
                <w:bCs/>
                <w:color w:val="000000" w:themeColor="text1"/>
              </w:rPr>
              <w:t>Germany</w:t>
            </w:r>
          </w:p>
        </w:tc>
        <w:tc>
          <w:tcPr>
            <w:tcW w:w="1375" w:type="dxa"/>
            <w:tcBorders>
              <w:bottom w:val="single" w:sz="4" w:space="0" w:color="auto"/>
            </w:tcBorders>
            <w:vAlign w:val="center"/>
          </w:tcPr>
          <w:p w14:paraId="4BD255BF"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Cs/>
                <w:color w:val="000000" w:themeColor="text1"/>
              </w:rPr>
              <w:t>Hong Kong</w:t>
            </w:r>
          </w:p>
        </w:tc>
        <w:tc>
          <w:tcPr>
            <w:tcW w:w="1035" w:type="dxa"/>
            <w:tcBorders>
              <w:bottom w:val="single" w:sz="4" w:space="0" w:color="auto"/>
            </w:tcBorders>
            <w:vAlign w:val="center"/>
          </w:tcPr>
          <w:p w14:paraId="5F307007" w14:textId="77777777" w:rsidR="000845A6" w:rsidRPr="00D31A58" w:rsidRDefault="000845A6" w:rsidP="00D962A8">
            <w:pPr>
              <w:spacing w:line="360" w:lineRule="auto"/>
              <w:rPr>
                <w:rFonts w:ascii="Times New Roman" w:eastAsia="Calibri" w:hAnsi="Times New Roman" w:cs="Times New Roman"/>
                <w:color w:val="000000" w:themeColor="text1"/>
              </w:rPr>
            </w:pPr>
            <w:r w:rsidRPr="00D31A58">
              <w:rPr>
                <w:rFonts w:ascii="Times New Roman" w:hAnsi="Times New Roman" w:cs="Times New Roman"/>
                <w:b/>
                <w:bCs/>
                <w:color w:val="000000" w:themeColor="text1"/>
              </w:rPr>
              <w:t>6.12***</w:t>
            </w:r>
          </w:p>
        </w:tc>
        <w:tc>
          <w:tcPr>
            <w:tcW w:w="1035" w:type="dxa"/>
            <w:tcBorders>
              <w:bottom w:val="single" w:sz="4" w:space="0" w:color="auto"/>
            </w:tcBorders>
          </w:tcPr>
          <w:p w14:paraId="6046AF1B" w14:textId="77777777" w:rsidR="000845A6" w:rsidRPr="00D31A58" w:rsidRDefault="000845A6" w:rsidP="00D962A8">
            <w:pPr>
              <w:spacing w:line="360" w:lineRule="auto"/>
              <w:rPr>
                <w:rFonts w:ascii="Times New Roman" w:hAnsi="Times New Roman" w:cs="Times New Roman"/>
                <w:b/>
                <w:color w:val="000000" w:themeColor="text1"/>
              </w:rPr>
            </w:pPr>
            <w:r w:rsidRPr="00D31A58">
              <w:rPr>
                <w:rFonts w:ascii="Times New Roman" w:hAnsi="Times New Roman" w:cs="Times New Roman"/>
                <w:b/>
                <w:color w:val="000000" w:themeColor="text1"/>
              </w:rPr>
              <w:t>0.20***</w:t>
            </w:r>
          </w:p>
        </w:tc>
        <w:tc>
          <w:tcPr>
            <w:tcW w:w="1035" w:type="dxa"/>
            <w:tcBorders>
              <w:bottom w:val="single" w:sz="4" w:space="0" w:color="auto"/>
            </w:tcBorders>
            <w:vAlign w:val="center"/>
          </w:tcPr>
          <w:p w14:paraId="12B89499"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color w:val="000000" w:themeColor="text1"/>
              </w:rPr>
              <w:t>3.22</w:t>
            </w:r>
          </w:p>
        </w:tc>
        <w:tc>
          <w:tcPr>
            <w:tcW w:w="1034" w:type="dxa"/>
            <w:tcBorders>
              <w:bottom w:val="single" w:sz="4" w:space="0" w:color="auto"/>
            </w:tcBorders>
          </w:tcPr>
          <w:p w14:paraId="4E2979BD"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0.14***</w:t>
            </w:r>
          </w:p>
        </w:tc>
        <w:tc>
          <w:tcPr>
            <w:tcW w:w="1035" w:type="dxa"/>
            <w:tcBorders>
              <w:bottom w:val="single" w:sz="4" w:space="0" w:color="auto"/>
            </w:tcBorders>
            <w:vAlign w:val="center"/>
          </w:tcPr>
          <w:p w14:paraId="28301E6E"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7.58***</w:t>
            </w:r>
          </w:p>
        </w:tc>
        <w:tc>
          <w:tcPr>
            <w:tcW w:w="1035" w:type="dxa"/>
            <w:tcBorders>
              <w:bottom w:val="single" w:sz="4" w:space="0" w:color="auto"/>
            </w:tcBorders>
          </w:tcPr>
          <w:p w14:paraId="590C2279"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0.45***</w:t>
            </w:r>
          </w:p>
        </w:tc>
        <w:tc>
          <w:tcPr>
            <w:tcW w:w="1035" w:type="dxa"/>
            <w:tcBorders>
              <w:bottom w:val="single" w:sz="4" w:space="0" w:color="auto"/>
            </w:tcBorders>
            <w:vAlign w:val="center"/>
          </w:tcPr>
          <w:p w14:paraId="419364DB"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5.31**</w:t>
            </w:r>
          </w:p>
        </w:tc>
        <w:tc>
          <w:tcPr>
            <w:tcW w:w="1035" w:type="dxa"/>
            <w:tcBorders>
              <w:bottom w:val="single" w:sz="4" w:space="0" w:color="auto"/>
            </w:tcBorders>
          </w:tcPr>
          <w:p w14:paraId="4E910AC9" w14:textId="77777777" w:rsidR="000845A6" w:rsidRPr="00D31A58" w:rsidRDefault="000845A6" w:rsidP="00D962A8">
            <w:pPr>
              <w:spacing w:line="360" w:lineRule="auto"/>
              <w:rPr>
                <w:rFonts w:ascii="Times New Roman" w:hAnsi="Times New Roman" w:cs="Times New Roman"/>
                <w:b/>
                <w:bCs/>
                <w:color w:val="000000" w:themeColor="text1"/>
              </w:rPr>
            </w:pPr>
            <w:r w:rsidRPr="00D31A58">
              <w:rPr>
                <w:rFonts w:ascii="Times New Roman" w:hAnsi="Times New Roman" w:cs="Times New Roman"/>
                <w:b/>
                <w:bCs/>
                <w:color w:val="000000" w:themeColor="text1"/>
              </w:rPr>
              <w:t>0.22**</w:t>
            </w:r>
          </w:p>
        </w:tc>
      </w:tr>
      <w:tr w:rsidR="000845A6" w:rsidRPr="00815135" w14:paraId="0F330837" w14:textId="77777777" w:rsidTr="00D962A8">
        <w:tc>
          <w:tcPr>
            <w:tcW w:w="10689" w:type="dxa"/>
            <w:gridSpan w:val="10"/>
            <w:tcBorders>
              <w:top w:val="single" w:sz="4" w:space="0" w:color="auto"/>
              <w:bottom w:val="nil"/>
            </w:tcBorders>
          </w:tcPr>
          <w:p w14:paraId="17244158" w14:textId="77777777" w:rsidR="000845A6" w:rsidRDefault="000845A6" w:rsidP="00D962A8">
            <w:pPr>
              <w:jc w:val="both"/>
              <w:rPr>
                <w:rFonts w:ascii="Times New Roman" w:eastAsia="Microsoft YaHei UI" w:hAnsi="Times New Roman" w:cs="Times New Roman"/>
                <w:color w:val="000000" w:themeColor="text1"/>
                <w:lang w:eastAsia="zh-TW"/>
              </w:rPr>
            </w:pPr>
            <w:r w:rsidRPr="008C3932">
              <w:rPr>
                <w:rFonts w:ascii="Times New Roman" w:eastAsia="DengXian" w:hAnsi="Times New Roman" w:cs="Times New Roman"/>
                <w:i/>
                <w:iCs/>
                <w:color w:val="000000" w:themeColor="text1"/>
                <w:lang w:eastAsia="zh-CN"/>
              </w:rPr>
              <w:t xml:space="preserve">Note. </w:t>
            </w:r>
            <w:proofErr w:type="spellStart"/>
            <w:r>
              <w:rPr>
                <w:rFonts w:ascii="Times New Roman" w:eastAsia="DengXian" w:hAnsi="Times New Roman" w:cs="Times New Roman"/>
                <w:color w:val="000000" w:themeColor="text1"/>
                <w:lang w:eastAsia="zh-CN"/>
              </w:rPr>
              <w:t>Dwass</w:t>
            </w:r>
            <w:proofErr w:type="spellEnd"/>
            <w:r>
              <w:rPr>
                <w:rFonts w:ascii="Times New Roman" w:eastAsia="DengXian" w:hAnsi="Times New Roman" w:cs="Times New Roman"/>
                <w:color w:val="000000" w:themeColor="text1"/>
                <w:lang w:eastAsia="zh-CN"/>
              </w:rPr>
              <w:t>-Steel-C</w:t>
            </w:r>
            <w:r>
              <w:rPr>
                <w:rFonts w:ascii="Times New Roman" w:eastAsia="DengXian" w:hAnsi="Times New Roman" w:cs="Times New Roman" w:hint="eastAsia"/>
                <w:color w:val="000000" w:themeColor="text1"/>
                <w:lang w:eastAsia="zh-CN"/>
              </w:rPr>
              <w:t>ritchlow</w:t>
            </w:r>
            <w:r>
              <w:rPr>
                <w:rFonts w:ascii="Times New Roman" w:eastAsia="DengXian" w:hAnsi="Times New Roman" w:cs="Times New Roman"/>
                <w:color w:val="000000" w:themeColor="text1"/>
                <w:lang w:eastAsia="zh-CN"/>
              </w:rPr>
              <w:t>-</w:t>
            </w:r>
            <w:proofErr w:type="spellStart"/>
            <w:r>
              <w:rPr>
                <w:rFonts w:ascii="Times New Roman" w:eastAsia="DengXian" w:hAnsi="Times New Roman" w:cs="Times New Roman"/>
                <w:color w:val="000000" w:themeColor="text1"/>
                <w:lang w:eastAsia="zh-CN"/>
              </w:rPr>
              <w:t>Fligner</w:t>
            </w:r>
            <w:proofErr w:type="spellEnd"/>
            <w:r>
              <w:rPr>
                <w:rFonts w:ascii="Times New Roman" w:eastAsia="DengXian" w:hAnsi="Times New Roman" w:cs="Times New Roman"/>
                <w:color w:val="000000" w:themeColor="text1"/>
                <w:lang w:eastAsia="zh-CN"/>
              </w:rPr>
              <w:t xml:space="preserve"> pairwise W statistics</w:t>
            </w:r>
            <w:r w:rsidRPr="008C3932">
              <w:rPr>
                <w:rFonts w:ascii="Times New Roman" w:eastAsia="DengXian" w:hAnsi="Times New Roman" w:cs="Times New Roman"/>
                <w:color w:val="000000" w:themeColor="text1"/>
                <w:lang w:eastAsia="zh-CN"/>
              </w:rPr>
              <w:t xml:space="preserve"> are reported. </w:t>
            </w:r>
            <w:r w:rsidRPr="008C3932">
              <w:rPr>
                <w:rFonts w:ascii="Times New Roman" w:eastAsia="Microsoft YaHei UI" w:hAnsi="Times New Roman" w:cs="Times New Roman"/>
                <w:color w:val="000000" w:themeColor="text1"/>
                <w:lang w:val="en-US" w:eastAsia="zh-CN"/>
              </w:rPr>
              <w:t>PPS</w:t>
            </w:r>
            <w:r w:rsidRPr="008C3932">
              <w:rPr>
                <w:rFonts w:ascii="Times New Roman" w:eastAsia="Microsoft YaHei UI" w:hAnsi="Times New Roman" w:cs="Times New Roman"/>
                <w:color w:val="000000" w:themeColor="text1"/>
                <w:lang w:val="en-US" w:eastAsia="zh-TW"/>
              </w:rPr>
              <w:t xml:space="preserve">, Pandemic Paranoia Scale. </w:t>
            </w:r>
            <w:proofErr w:type="spellStart"/>
            <w:r>
              <w:rPr>
                <w:rFonts w:ascii="Times New Roman" w:eastAsia="Microsoft YaHei UI" w:hAnsi="Times New Roman" w:cs="Times New Roman"/>
                <w:color w:val="000000" w:themeColor="text1"/>
                <w:lang w:val="en-US" w:eastAsia="zh-TW"/>
              </w:rPr>
              <w:t>diff</w:t>
            </w:r>
            <w:r w:rsidRPr="00605AA3">
              <w:rPr>
                <w:rFonts w:ascii="Times New Roman" w:eastAsia="Microsoft YaHei UI" w:hAnsi="Times New Roman" w:cs="Times New Roman"/>
                <w:color w:val="000000" w:themeColor="text1"/>
                <w:vertAlign w:val="subscript"/>
                <w:lang w:val="en-US" w:eastAsia="zh-TW"/>
              </w:rPr>
              <w:t>Latent</w:t>
            </w:r>
            <w:proofErr w:type="spellEnd"/>
            <w:r>
              <w:rPr>
                <w:rFonts w:ascii="Times New Roman" w:eastAsia="Microsoft YaHei UI" w:hAnsi="Times New Roman" w:cs="Times New Roman"/>
                <w:color w:val="000000" w:themeColor="text1"/>
                <w:lang w:val="en-US" w:eastAsia="zh-TW"/>
              </w:rPr>
              <w:t>, Differences between estimated latent trait means in a projection based analysis</w:t>
            </w:r>
          </w:p>
          <w:p w14:paraId="64EB8769" w14:textId="03C03C21" w:rsidR="000845A6" w:rsidRPr="00D31A58" w:rsidRDefault="000845A6" w:rsidP="00D962A8">
            <w:pPr>
              <w:jc w:val="both"/>
              <w:rPr>
                <w:rFonts w:ascii="Times New Roman" w:eastAsia="DengXian" w:hAnsi="Times New Roman" w:cs="Times New Roman"/>
                <w:color w:val="000000" w:themeColor="text1"/>
                <w:lang w:eastAsia="zh-CN"/>
              </w:rPr>
            </w:pPr>
            <w:r>
              <w:rPr>
                <w:rFonts w:ascii="Times New Roman" w:eastAsia="DengXian" w:hAnsi="Times New Roman" w:cs="Times New Roman"/>
                <w:color w:val="000000" w:themeColor="text1"/>
                <w:lang w:eastAsia="zh-CN"/>
              </w:rPr>
              <w:t xml:space="preserve">Significant differences are printed in bold. </w:t>
            </w:r>
            <w:r w:rsidRPr="008C3932">
              <w:rPr>
                <w:rFonts w:ascii="Times New Roman" w:eastAsia="DengXian" w:hAnsi="Times New Roman" w:cs="Times New Roman"/>
                <w:color w:val="000000" w:themeColor="text1"/>
                <w:lang w:eastAsia="zh-CN"/>
              </w:rPr>
              <w:t>*</w:t>
            </w:r>
            <w:r w:rsidRPr="008C3932">
              <w:rPr>
                <w:rFonts w:ascii="Times New Roman" w:eastAsia="DengXian" w:hAnsi="Times New Roman" w:cs="Times New Roman"/>
                <w:i/>
                <w:iCs/>
                <w:color w:val="000000" w:themeColor="text1"/>
                <w:lang w:eastAsia="zh-CN"/>
              </w:rPr>
              <w:t xml:space="preserve">p </w:t>
            </w:r>
            <w:r w:rsidRPr="008C3932">
              <w:rPr>
                <w:rFonts w:ascii="Times New Roman" w:eastAsia="DengXian" w:hAnsi="Times New Roman" w:cs="Times New Roman"/>
                <w:color w:val="000000" w:themeColor="text1"/>
                <w:lang w:eastAsia="zh-CN"/>
              </w:rPr>
              <w:t>&lt;.05</w:t>
            </w:r>
            <w:r w:rsidR="00343A7A">
              <w:rPr>
                <w:rFonts w:ascii="Times New Roman" w:eastAsia="DengXian" w:hAnsi="Times New Roman" w:cs="Times New Roman"/>
                <w:color w:val="000000" w:themeColor="text1"/>
                <w:lang w:eastAsia="zh-CN"/>
              </w:rPr>
              <w:t>0</w:t>
            </w:r>
            <w:r w:rsidRPr="008C3932">
              <w:rPr>
                <w:rFonts w:ascii="Times New Roman" w:eastAsia="DengXian" w:hAnsi="Times New Roman" w:cs="Times New Roman"/>
                <w:color w:val="000000" w:themeColor="text1"/>
                <w:lang w:eastAsia="zh-CN"/>
              </w:rPr>
              <w:t>, **</w:t>
            </w:r>
            <w:r w:rsidRPr="008C3932">
              <w:rPr>
                <w:rFonts w:ascii="Times New Roman" w:eastAsia="DengXian" w:hAnsi="Times New Roman" w:cs="Times New Roman"/>
                <w:i/>
                <w:iCs/>
                <w:color w:val="000000" w:themeColor="text1"/>
                <w:lang w:eastAsia="zh-CN"/>
              </w:rPr>
              <w:t>p</w:t>
            </w:r>
            <w:r w:rsidRPr="008C3932">
              <w:rPr>
                <w:rFonts w:ascii="Times New Roman" w:eastAsia="DengXian" w:hAnsi="Times New Roman" w:cs="Times New Roman"/>
                <w:color w:val="000000" w:themeColor="text1"/>
                <w:lang w:eastAsia="zh-CN"/>
              </w:rPr>
              <w:t xml:space="preserve"> &lt;.01</w:t>
            </w:r>
            <w:r w:rsidR="00343A7A">
              <w:rPr>
                <w:rFonts w:ascii="Times New Roman" w:eastAsia="DengXian" w:hAnsi="Times New Roman" w:cs="Times New Roman"/>
                <w:color w:val="000000" w:themeColor="text1"/>
                <w:lang w:eastAsia="zh-CN"/>
              </w:rPr>
              <w:t>0</w:t>
            </w:r>
            <w:r w:rsidRPr="008C3932">
              <w:rPr>
                <w:rFonts w:ascii="Times New Roman" w:eastAsia="DengXian" w:hAnsi="Times New Roman" w:cs="Times New Roman"/>
                <w:color w:val="000000" w:themeColor="text1"/>
                <w:lang w:eastAsia="zh-CN"/>
              </w:rPr>
              <w:t>, ***</w:t>
            </w:r>
            <w:r w:rsidRPr="008C3932">
              <w:rPr>
                <w:rFonts w:ascii="Times New Roman" w:eastAsia="DengXian" w:hAnsi="Times New Roman" w:cs="Times New Roman"/>
                <w:i/>
                <w:iCs/>
                <w:color w:val="000000" w:themeColor="text1"/>
                <w:lang w:eastAsia="zh-CN"/>
              </w:rPr>
              <w:t>p</w:t>
            </w:r>
            <w:r w:rsidRPr="008C3932">
              <w:rPr>
                <w:rFonts w:ascii="Times New Roman" w:eastAsia="DengXian" w:hAnsi="Times New Roman" w:cs="Times New Roman"/>
                <w:color w:val="000000" w:themeColor="text1"/>
                <w:lang w:eastAsia="zh-CN"/>
              </w:rPr>
              <w:t xml:space="preserve"> &lt;.001.</w:t>
            </w:r>
          </w:p>
          <w:p w14:paraId="3AB6BB0F" w14:textId="77777777" w:rsidR="000845A6" w:rsidRPr="008C3932" w:rsidRDefault="000845A6" w:rsidP="00D962A8">
            <w:pPr>
              <w:jc w:val="both"/>
              <w:rPr>
                <w:rFonts w:ascii="Times New Roman" w:eastAsia="DengXian" w:hAnsi="Times New Roman" w:cs="Times New Roman"/>
                <w:i/>
                <w:iCs/>
                <w:color w:val="000000" w:themeColor="text1"/>
                <w:lang w:eastAsia="zh-CN"/>
              </w:rPr>
            </w:pPr>
          </w:p>
        </w:tc>
      </w:tr>
    </w:tbl>
    <w:p w14:paraId="33CEF0AF" w14:textId="77777777" w:rsidR="000845A6" w:rsidRDefault="000845A6" w:rsidP="000845A6">
      <w:pPr>
        <w:spacing w:line="360" w:lineRule="auto"/>
        <w:rPr>
          <w:rFonts w:ascii="Times New Roman" w:hAnsi="Times New Roman" w:cs="Times New Roman"/>
          <w:b/>
          <w:color w:val="000000" w:themeColor="text1"/>
          <w:sz w:val="24"/>
          <w:szCs w:val="24"/>
        </w:rPr>
      </w:pPr>
    </w:p>
    <w:p w14:paraId="24F44716" w14:textId="77777777" w:rsidR="000845A6" w:rsidRDefault="000845A6" w:rsidP="000845A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A57E4D8" w14:textId="77777777" w:rsidR="000845A6" w:rsidRPr="00D31A58" w:rsidRDefault="000845A6" w:rsidP="000845A6">
      <w:pPr>
        <w:spacing w:after="0" w:line="240" w:lineRule="auto"/>
        <w:rPr>
          <w:rFonts w:ascii="Times New Roman" w:eastAsia="Times New Roman" w:hAnsi="Times New Roman" w:cs="Times New Roman"/>
          <w:sz w:val="24"/>
          <w:szCs w:val="24"/>
          <w:lang w:val="en-US" w:eastAsia="de-DE"/>
        </w:rPr>
        <w:sectPr w:rsidR="000845A6" w:rsidRPr="00D31A58">
          <w:headerReference w:type="default" r:id="rId27"/>
          <w:footerReference w:type="default" r:id="rId28"/>
          <w:pgSz w:w="11906" w:h="16838"/>
          <w:pgMar w:top="1440" w:right="1440" w:bottom="1440" w:left="1440" w:header="708" w:footer="708" w:gutter="0"/>
          <w:cols w:space="708"/>
          <w:docGrid w:linePitch="360"/>
        </w:sectPr>
      </w:pPr>
    </w:p>
    <w:tbl>
      <w:tblPr>
        <w:tblW w:w="14743" w:type="dxa"/>
        <w:tblCellMar>
          <w:left w:w="70" w:type="dxa"/>
          <w:right w:w="70" w:type="dxa"/>
        </w:tblCellMar>
        <w:tblLook w:val="04A0" w:firstRow="1" w:lastRow="0" w:firstColumn="1" w:lastColumn="0" w:noHBand="0" w:noVBand="1"/>
      </w:tblPr>
      <w:tblGrid>
        <w:gridCol w:w="1388"/>
        <w:gridCol w:w="1022"/>
        <w:gridCol w:w="709"/>
        <w:gridCol w:w="850"/>
        <w:gridCol w:w="851"/>
        <w:gridCol w:w="709"/>
        <w:gridCol w:w="992"/>
        <w:gridCol w:w="850"/>
        <w:gridCol w:w="993"/>
        <w:gridCol w:w="850"/>
        <w:gridCol w:w="986"/>
        <w:gridCol w:w="851"/>
        <w:gridCol w:w="6"/>
        <w:gridCol w:w="987"/>
        <w:gridCol w:w="850"/>
        <w:gridCol w:w="6"/>
        <w:gridCol w:w="986"/>
        <w:gridCol w:w="851"/>
        <w:gridCol w:w="6"/>
      </w:tblGrid>
      <w:tr w:rsidR="000845A6" w:rsidRPr="00D31A58" w14:paraId="0D96B69C" w14:textId="77777777" w:rsidTr="00D962A8">
        <w:trPr>
          <w:trHeight w:val="300"/>
        </w:trPr>
        <w:tc>
          <w:tcPr>
            <w:tcW w:w="14743" w:type="dxa"/>
            <w:gridSpan w:val="19"/>
            <w:tcBorders>
              <w:top w:val="nil"/>
              <w:left w:val="nil"/>
              <w:bottom w:val="nil"/>
              <w:right w:val="nil"/>
            </w:tcBorders>
            <w:shd w:val="clear" w:color="auto" w:fill="auto"/>
            <w:noWrap/>
            <w:vAlign w:val="bottom"/>
          </w:tcPr>
          <w:p w14:paraId="28F301BF" w14:textId="77777777" w:rsidR="000845A6" w:rsidRPr="00D31A58" w:rsidRDefault="000845A6" w:rsidP="00D962A8">
            <w:pPr>
              <w:spacing w:after="0" w:line="360" w:lineRule="auto"/>
              <w:rPr>
                <w:rFonts w:ascii="Times New Roman" w:eastAsia="Times New Roman" w:hAnsi="Times New Roman" w:cs="Times New Roman"/>
                <w:color w:val="000000"/>
                <w:lang w:val="en-US" w:eastAsia="de-DE"/>
              </w:rPr>
            </w:pPr>
            <w:r w:rsidRPr="00D31A58">
              <w:rPr>
                <w:rFonts w:ascii="Times New Roman" w:eastAsia="Calibri" w:hAnsi="Times New Roman" w:cs="Times New Roman"/>
                <w:color w:val="000000" w:themeColor="text1"/>
                <w:sz w:val="24"/>
                <w:szCs w:val="24"/>
              </w:rPr>
              <w:lastRenderedPageBreak/>
              <w:t>Table 4. Global and site-specific association between pandemic paranoia (PPS sum score) sociodemographic variables.</w:t>
            </w:r>
          </w:p>
        </w:tc>
      </w:tr>
      <w:tr w:rsidR="000845A6" w:rsidRPr="00F11FCF" w14:paraId="15AFA038" w14:textId="77777777" w:rsidTr="000845A6">
        <w:trPr>
          <w:trHeight w:val="300"/>
        </w:trPr>
        <w:tc>
          <w:tcPr>
            <w:tcW w:w="1388" w:type="dxa"/>
            <w:tcBorders>
              <w:top w:val="nil"/>
              <w:left w:val="nil"/>
              <w:bottom w:val="nil"/>
              <w:right w:val="nil"/>
            </w:tcBorders>
            <w:shd w:val="clear" w:color="auto" w:fill="auto"/>
            <w:noWrap/>
            <w:vAlign w:val="bottom"/>
            <w:hideMark/>
          </w:tcPr>
          <w:p w14:paraId="69E83751" w14:textId="77777777" w:rsidR="000845A6" w:rsidRPr="00F11FCF" w:rsidRDefault="000845A6" w:rsidP="00D962A8">
            <w:pPr>
              <w:spacing w:after="0" w:line="360" w:lineRule="auto"/>
              <w:rPr>
                <w:rFonts w:ascii="Times New Roman" w:eastAsia="Times New Roman" w:hAnsi="Times New Roman" w:cs="Times New Roman"/>
                <w:sz w:val="24"/>
                <w:szCs w:val="24"/>
                <w:lang w:val="en-US" w:eastAsia="de-DE"/>
              </w:rPr>
            </w:pPr>
          </w:p>
        </w:tc>
        <w:tc>
          <w:tcPr>
            <w:tcW w:w="4141" w:type="dxa"/>
            <w:gridSpan w:val="5"/>
            <w:tcBorders>
              <w:top w:val="single" w:sz="4" w:space="0" w:color="auto"/>
              <w:left w:val="nil"/>
              <w:bottom w:val="single" w:sz="4" w:space="0" w:color="auto"/>
              <w:right w:val="nil"/>
            </w:tcBorders>
            <w:shd w:val="clear" w:color="auto" w:fill="auto"/>
            <w:noWrap/>
            <w:vAlign w:val="bottom"/>
            <w:hideMark/>
          </w:tcPr>
          <w:p w14:paraId="0C9F048E" w14:textId="77777777" w:rsidR="000845A6" w:rsidRPr="00F11FCF" w:rsidRDefault="000845A6" w:rsidP="00D962A8">
            <w:pPr>
              <w:spacing w:after="0" w:line="360" w:lineRule="auto"/>
              <w:rPr>
                <w:rFonts w:ascii="Times New Roman" w:eastAsia="Times New Roman" w:hAnsi="Times New Roman" w:cs="Times New Roman"/>
                <w:sz w:val="20"/>
                <w:szCs w:val="20"/>
                <w:lang w:val="de-DE" w:eastAsia="de-DE"/>
              </w:rPr>
            </w:pPr>
            <w:r w:rsidRPr="00F11FCF">
              <w:rPr>
                <w:rFonts w:ascii="Times New Roman" w:eastAsia="Times New Roman" w:hAnsi="Times New Roman" w:cs="Times New Roman"/>
                <w:color w:val="000000"/>
                <w:lang w:val="de-DE" w:eastAsia="de-DE"/>
              </w:rPr>
              <w:t>Integrated</w:t>
            </w:r>
            <w:r w:rsidRPr="00D31A58">
              <w:rPr>
                <w:rFonts w:ascii="Times New Roman" w:eastAsia="Times New Roman" w:hAnsi="Times New Roman" w:cs="Times New Roman"/>
                <w:color w:val="000000"/>
                <w:lang w:val="de-DE" w:eastAsia="de-DE"/>
              </w:rPr>
              <w:t xml:space="preserve"> effect </w:t>
            </w:r>
          </w:p>
        </w:tc>
        <w:tc>
          <w:tcPr>
            <w:tcW w:w="1842" w:type="dxa"/>
            <w:gridSpan w:val="2"/>
            <w:tcBorders>
              <w:top w:val="single" w:sz="4" w:space="0" w:color="auto"/>
              <w:left w:val="nil"/>
              <w:bottom w:val="single" w:sz="4" w:space="0" w:color="auto"/>
              <w:right w:val="nil"/>
            </w:tcBorders>
            <w:shd w:val="clear" w:color="auto" w:fill="auto"/>
            <w:noWrap/>
            <w:vAlign w:val="bottom"/>
            <w:hideMark/>
          </w:tcPr>
          <w:p w14:paraId="4B7E852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UK</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4FC78455"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USA</w:t>
            </w:r>
          </w:p>
        </w:tc>
        <w:tc>
          <w:tcPr>
            <w:tcW w:w="1843" w:type="dxa"/>
            <w:gridSpan w:val="3"/>
            <w:tcBorders>
              <w:top w:val="single" w:sz="4" w:space="0" w:color="auto"/>
              <w:left w:val="nil"/>
              <w:bottom w:val="single" w:sz="4" w:space="0" w:color="auto"/>
              <w:right w:val="nil"/>
            </w:tcBorders>
            <w:shd w:val="clear" w:color="auto" w:fill="auto"/>
            <w:noWrap/>
            <w:vAlign w:val="bottom"/>
            <w:hideMark/>
          </w:tcPr>
          <w:p w14:paraId="342C962F"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Australia</w:t>
            </w:r>
          </w:p>
        </w:tc>
        <w:tc>
          <w:tcPr>
            <w:tcW w:w="1843" w:type="dxa"/>
            <w:gridSpan w:val="3"/>
            <w:tcBorders>
              <w:top w:val="single" w:sz="4" w:space="0" w:color="auto"/>
              <w:left w:val="nil"/>
              <w:bottom w:val="single" w:sz="4" w:space="0" w:color="auto"/>
              <w:right w:val="nil"/>
            </w:tcBorders>
            <w:shd w:val="clear" w:color="auto" w:fill="auto"/>
            <w:noWrap/>
            <w:vAlign w:val="bottom"/>
            <w:hideMark/>
          </w:tcPr>
          <w:p w14:paraId="2D8A52BB"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Germany</w:t>
            </w:r>
          </w:p>
        </w:tc>
        <w:tc>
          <w:tcPr>
            <w:tcW w:w="1843" w:type="dxa"/>
            <w:gridSpan w:val="3"/>
            <w:tcBorders>
              <w:top w:val="single" w:sz="4" w:space="0" w:color="auto"/>
              <w:left w:val="nil"/>
              <w:bottom w:val="single" w:sz="4" w:space="0" w:color="auto"/>
              <w:right w:val="nil"/>
            </w:tcBorders>
            <w:shd w:val="clear" w:color="auto" w:fill="auto"/>
            <w:noWrap/>
            <w:vAlign w:val="bottom"/>
            <w:hideMark/>
          </w:tcPr>
          <w:p w14:paraId="2E94989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Hong Kong</w:t>
            </w:r>
          </w:p>
        </w:tc>
      </w:tr>
      <w:tr w:rsidR="000845A6" w:rsidRPr="00F11FCF" w14:paraId="729C48F5" w14:textId="77777777" w:rsidTr="000845A6">
        <w:trPr>
          <w:gridAfter w:val="1"/>
          <w:wAfter w:w="6" w:type="dxa"/>
          <w:trHeight w:val="300"/>
        </w:trPr>
        <w:tc>
          <w:tcPr>
            <w:tcW w:w="1388" w:type="dxa"/>
            <w:tcBorders>
              <w:top w:val="nil"/>
              <w:left w:val="nil"/>
              <w:bottom w:val="nil"/>
              <w:right w:val="nil"/>
            </w:tcBorders>
            <w:shd w:val="clear" w:color="auto" w:fill="auto"/>
            <w:noWrap/>
            <w:vAlign w:val="bottom"/>
            <w:hideMark/>
          </w:tcPr>
          <w:p w14:paraId="0DA24E60" w14:textId="77777777" w:rsidR="000845A6" w:rsidRPr="00F11FCF" w:rsidRDefault="000845A6" w:rsidP="00D962A8">
            <w:pPr>
              <w:spacing w:after="0" w:line="360" w:lineRule="auto"/>
              <w:jc w:val="center"/>
              <w:rPr>
                <w:rFonts w:ascii="Times New Roman" w:eastAsia="Times New Roman" w:hAnsi="Times New Roman" w:cs="Times New Roman"/>
                <w:sz w:val="20"/>
                <w:szCs w:val="20"/>
                <w:lang w:val="de-DE" w:eastAsia="de-DE"/>
              </w:rPr>
            </w:pPr>
          </w:p>
        </w:tc>
        <w:tc>
          <w:tcPr>
            <w:tcW w:w="1022" w:type="dxa"/>
            <w:tcBorders>
              <w:top w:val="nil"/>
              <w:left w:val="nil"/>
              <w:bottom w:val="single" w:sz="4" w:space="0" w:color="auto"/>
              <w:right w:val="nil"/>
            </w:tcBorders>
            <w:shd w:val="clear" w:color="auto" w:fill="auto"/>
            <w:noWrap/>
            <w:vAlign w:val="bottom"/>
            <w:hideMark/>
          </w:tcPr>
          <w:p w14:paraId="26A57E09"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r/d</w:t>
            </w:r>
          </w:p>
        </w:tc>
        <w:tc>
          <w:tcPr>
            <w:tcW w:w="709" w:type="dxa"/>
            <w:tcBorders>
              <w:top w:val="nil"/>
              <w:left w:val="nil"/>
              <w:bottom w:val="single" w:sz="4" w:space="0" w:color="auto"/>
              <w:right w:val="nil"/>
            </w:tcBorders>
            <w:shd w:val="clear" w:color="auto" w:fill="auto"/>
            <w:noWrap/>
            <w:vAlign w:val="bottom"/>
            <w:hideMark/>
          </w:tcPr>
          <w:p w14:paraId="35E0EBD9"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Z</w:t>
            </w:r>
          </w:p>
        </w:tc>
        <w:tc>
          <w:tcPr>
            <w:tcW w:w="1701" w:type="dxa"/>
            <w:gridSpan w:val="2"/>
            <w:tcBorders>
              <w:top w:val="nil"/>
              <w:left w:val="nil"/>
              <w:bottom w:val="single" w:sz="4" w:space="0" w:color="auto"/>
              <w:right w:val="nil"/>
            </w:tcBorders>
            <w:shd w:val="clear" w:color="auto" w:fill="auto"/>
            <w:noWrap/>
            <w:vAlign w:val="bottom"/>
            <w:hideMark/>
          </w:tcPr>
          <w:p w14:paraId="10C4AFB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Pr>
                <w:rFonts w:ascii="Times New Roman" w:eastAsia="Times New Roman" w:hAnsi="Times New Roman" w:cs="Times New Roman"/>
                <w:color w:val="000000"/>
                <w:lang w:val="de-DE" w:eastAsia="de-DE"/>
              </w:rPr>
              <w:t xml:space="preserve">95%-CI </w:t>
            </w:r>
          </w:p>
        </w:tc>
        <w:tc>
          <w:tcPr>
            <w:tcW w:w="709" w:type="dxa"/>
            <w:tcBorders>
              <w:top w:val="nil"/>
              <w:left w:val="nil"/>
              <w:bottom w:val="single" w:sz="4" w:space="0" w:color="auto"/>
              <w:right w:val="nil"/>
            </w:tcBorders>
            <w:shd w:val="clear" w:color="auto" w:fill="auto"/>
            <w:noWrap/>
            <w:vAlign w:val="bottom"/>
            <w:hideMark/>
          </w:tcPr>
          <w:p w14:paraId="64969935"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I²</w:t>
            </w:r>
          </w:p>
        </w:tc>
        <w:tc>
          <w:tcPr>
            <w:tcW w:w="992" w:type="dxa"/>
            <w:tcBorders>
              <w:top w:val="nil"/>
              <w:left w:val="nil"/>
              <w:bottom w:val="single" w:sz="4" w:space="0" w:color="auto"/>
              <w:right w:val="nil"/>
            </w:tcBorders>
            <w:shd w:val="clear" w:color="auto" w:fill="auto"/>
            <w:noWrap/>
            <w:vAlign w:val="bottom"/>
            <w:hideMark/>
          </w:tcPr>
          <w:p w14:paraId="00808543"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i/>
                <w:iCs/>
                <w:color w:val="000000"/>
                <w:lang w:val="de-DE" w:eastAsia="de-DE"/>
              </w:rPr>
              <w:t>r</w:t>
            </w:r>
            <w:r w:rsidRPr="00F11FCF">
              <w:rPr>
                <w:rFonts w:ascii="Times New Roman" w:eastAsia="Times New Roman" w:hAnsi="Times New Roman" w:cs="Times New Roman"/>
                <w:color w:val="000000"/>
                <w:lang w:val="de-DE" w:eastAsia="de-DE"/>
              </w:rPr>
              <w:t xml:space="preserve"> or </w:t>
            </w:r>
            <w:r w:rsidRPr="00F11FCF">
              <w:rPr>
                <w:rFonts w:ascii="Times New Roman" w:eastAsia="Times New Roman" w:hAnsi="Times New Roman" w:cs="Times New Roman"/>
                <w:i/>
                <w:iCs/>
                <w:color w:val="000000"/>
                <w:lang w:val="de-DE" w:eastAsia="de-DE"/>
              </w:rPr>
              <w:t>d</w:t>
            </w:r>
          </w:p>
        </w:tc>
        <w:tc>
          <w:tcPr>
            <w:tcW w:w="850" w:type="dxa"/>
            <w:tcBorders>
              <w:top w:val="nil"/>
              <w:left w:val="nil"/>
              <w:bottom w:val="single" w:sz="4" w:space="0" w:color="auto"/>
              <w:right w:val="nil"/>
            </w:tcBorders>
            <w:shd w:val="clear" w:color="auto" w:fill="auto"/>
            <w:noWrap/>
            <w:vAlign w:val="bottom"/>
            <w:hideMark/>
          </w:tcPr>
          <w:p w14:paraId="5D850A3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p</w:t>
            </w:r>
          </w:p>
        </w:tc>
        <w:tc>
          <w:tcPr>
            <w:tcW w:w="993" w:type="dxa"/>
            <w:tcBorders>
              <w:top w:val="nil"/>
              <w:left w:val="nil"/>
              <w:bottom w:val="single" w:sz="4" w:space="0" w:color="auto"/>
              <w:right w:val="nil"/>
            </w:tcBorders>
            <w:shd w:val="clear" w:color="auto" w:fill="auto"/>
            <w:noWrap/>
            <w:vAlign w:val="bottom"/>
            <w:hideMark/>
          </w:tcPr>
          <w:p w14:paraId="53E6E17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i/>
                <w:iCs/>
                <w:color w:val="000000"/>
                <w:lang w:val="de-DE" w:eastAsia="de-DE"/>
              </w:rPr>
              <w:t>r</w:t>
            </w:r>
            <w:r w:rsidRPr="00F11FCF">
              <w:rPr>
                <w:rFonts w:ascii="Times New Roman" w:eastAsia="Times New Roman" w:hAnsi="Times New Roman" w:cs="Times New Roman"/>
                <w:color w:val="000000"/>
                <w:lang w:val="de-DE" w:eastAsia="de-DE"/>
              </w:rPr>
              <w:t xml:space="preserve"> or </w:t>
            </w:r>
            <w:r w:rsidRPr="00F11FCF">
              <w:rPr>
                <w:rFonts w:ascii="Times New Roman" w:eastAsia="Times New Roman" w:hAnsi="Times New Roman" w:cs="Times New Roman"/>
                <w:i/>
                <w:iCs/>
                <w:color w:val="000000"/>
                <w:lang w:val="de-DE" w:eastAsia="de-DE"/>
              </w:rPr>
              <w:t>d</w:t>
            </w:r>
          </w:p>
        </w:tc>
        <w:tc>
          <w:tcPr>
            <w:tcW w:w="850" w:type="dxa"/>
            <w:tcBorders>
              <w:top w:val="nil"/>
              <w:left w:val="nil"/>
              <w:bottom w:val="single" w:sz="4" w:space="0" w:color="auto"/>
              <w:right w:val="nil"/>
            </w:tcBorders>
            <w:shd w:val="clear" w:color="auto" w:fill="auto"/>
            <w:noWrap/>
            <w:vAlign w:val="bottom"/>
            <w:hideMark/>
          </w:tcPr>
          <w:p w14:paraId="5B654C1B"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p</w:t>
            </w:r>
          </w:p>
        </w:tc>
        <w:tc>
          <w:tcPr>
            <w:tcW w:w="986" w:type="dxa"/>
            <w:tcBorders>
              <w:top w:val="nil"/>
              <w:left w:val="nil"/>
              <w:bottom w:val="single" w:sz="4" w:space="0" w:color="auto"/>
              <w:right w:val="nil"/>
            </w:tcBorders>
            <w:shd w:val="clear" w:color="auto" w:fill="auto"/>
            <w:noWrap/>
            <w:vAlign w:val="bottom"/>
            <w:hideMark/>
          </w:tcPr>
          <w:p w14:paraId="58257D87" w14:textId="77777777" w:rsidR="000845A6" w:rsidRPr="00F11FCF" w:rsidRDefault="000845A6" w:rsidP="00D962A8">
            <w:pPr>
              <w:spacing w:after="0" w:line="360" w:lineRule="auto"/>
              <w:ind w:right="-21"/>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i/>
                <w:iCs/>
                <w:color w:val="000000"/>
                <w:lang w:val="de-DE" w:eastAsia="de-DE"/>
              </w:rPr>
              <w:t>r</w:t>
            </w:r>
            <w:r w:rsidRPr="00F11FCF">
              <w:rPr>
                <w:rFonts w:ascii="Times New Roman" w:eastAsia="Times New Roman" w:hAnsi="Times New Roman" w:cs="Times New Roman"/>
                <w:color w:val="000000"/>
                <w:lang w:val="de-DE" w:eastAsia="de-DE"/>
              </w:rPr>
              <w:t xml:space="preserve"> or </w:t>
            </w:r>
            <w:r w:rsidRPr="00F11FCF">
              <w:rPr>
                <w:rFonts w:ascii="Times New Roman" w:eastAsia="Times New Roman" w:hAnsi="Times New Roman" w:cs="Times New Roman"/>
                <w:i/>
                <w:iCs/>
                <w:color w:val="000000"/>
                <w:lang w:val="de-DE" w:eastAsia="de-DE"/>
              </w:rPr>
              <w:t>d</w:t>
            </w:r>
          </w:p>
        </w:tc>
        <w:tc>
          <w:tcPr>
            <w:tcW w:w="851" w:type="dxa"/>
            <w:tcBorders>
              <w:top w:val="nil"/>
              <w:left w:val="nil"/>
              <w:bottom w:val="single" w:sz="4" w:space="0" w:color="auto"/>
              <w:right w:val="nil"/>
            </w:tcBorders>
            <w:shd w:val="clear" w:color="auto" w:fill="auto"/>
            <w:noWrap/>
            <w:vAlign w:val="bottom"/>
            <w:hideMark/>
          </w:tcPr>
          <w:p w14:paraId="314D761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p</w:t>
            </w:r>
          </w:p>
        </w:tc>
        <w:tc>
          <w:tcPr>
            <w:tcW w:w="993" w:type="dxa"/>
            <w:gridSpan w:val="2"/>
            <w:tcBorders>
              <w:top w:val="nil"/>
              <w:left w:val="nil"/>
              <w:bottom w:val="single" w:sz="4" w:space="0" w:color="auto"/>
              <w:right w:val="nil"/>
            </w:tcBorders>
            <w:shd w:val="clear" w:color="auto" w:fill="auto"/>
            <w:noWrap/>
            <w:vAlign w:val="bottom"/>
            <w:hideMark/>
          </w:tcPr>
          <w:p w14:paraId="03B8263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i/>
                <w:iCs/>
                <w:color w:val="000000"/>
                <w:lang w:val="de-DE" w:eastAsia="de-DE"/>
              </w:rPr>
              <w:t>r</w:t>
            </w:r>
            <w:r w:rsidRPr="00F11FCF">
              <w:rPr>
                <w:rFonts w:ascii="Times New Roman" w:eastAsia="Times New Roman" w:hAnsi="Times New Roman" w:cs="Times New Roman"/>
                <w:color w:val="000000"/>
                <w:lang w:val="de-DE" w:eastAsia="de-DE"/>
              </w:rPr>
              <w:t xml:space="preserve"> or </w:t>
            </w:r>
            <w:r w:rsidRPr="00F11FCF">
              <w:rPr>
                <w:rFonts w:ascii="Times New Roman" w:eastAsia="Times New Roman" w:hAnsi="Times New Roman" w:cs="Times New Roman"/>
                <w:i/>
                <w:iCs/>
                <w:color w:val="000000"/>
                <w:lang w:val="de-DE" w:eastAsia="de-DE"/>
              </w:rPr>
              <w:t>d</w:t>
            </w:r>
          </w:p>
        </w:tc>
        <w:tc>
          <w:tcPr>
            <w:tcW w:w="850" w:type="dxa"/>
            <w:tcBorders>
              <w:top w:val="nil"/>
              <w:left w:val="nil"/>
              <w:bottom w:val="single" w:sz="4" w:space="0" w:color="auto"/>
              <w:right w:val="nil"/>
            </w:tcBorders>
            <w:shd w:val="clear" w:color="auto" w:fill="auto"/>
            <w:noWrap/>
            <w:vAlign w:val="bottom"/>
            <w:hideMark/>
          </w:tcPr>
          <w:p w14:paraId="4A9F38B1"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p</w:t>
            </w:r>
          </w:p>
        </w:tc>
        <w:tc>
          <w:tcPr>
            <w:tcW w:w="992" w:type="dxa"/>
            <w:gridSpan w:val="2"/>
            <w:tcBorders>
              <w:top w:val="nil"/>
              <w:left w:val="nil"/>
              <w:bottom w:val="single" w:sz="4" w:space="0" w:color="auto"/>
              <w:right w:val="nil"/>
            </w:tcBorders>
            <w:shd w:val="clear" w:color="auto" w:fill="auto"/>
            <w:noWrap/>
            <w:vAlign w:val="bottom"/>
            <w:hideMark/>
          </w:tcPr>
          <w:p w14:paraId="594EABE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i/>
                <w:iCs/>
                <w:color w:val="000000"/>
                <w:lang w:val="de-DE" w:eastAsia="de-DE"/>
              </w:rPr>
              <w:t>r</w:t>
            </w:r>
            <w:r w:rsidRPr="00F11FCF">
              <w:rPr>
                <w:rFonts w:ascii="Times New Roman" w:eastAsia="Times New Roman" w:hAnsi="Times New Roman" w:cs="Times New Roman"/>
                <w:color w:val="000000"/>
                <w:lang w:val="de-DE" w:eastAsia="de-DE"/>
              </w:rPr>
              <w:t xml:space="preserve"> or </w:t>
            </w:r>
            <w:r w:rsidRPr="00F11FCF">
              <w:rPr>
                <w:rFonts w:ascii="Times New Roman" w:eastAsia="Times New Roman" w:hAnsi="Times New Roman" w:cs="Times New Roman"/>
                <w:i/>
                <w:iCs/>
                <w:color w:val="000000"/>
                <w:lang w:val="de-DE" w:eastAsia="de-DE"/>
              </w:rPr>
              <w:t>d</w:t>
            </w:r>
          </w:p>
        </w:tc>
        <w:tc>
          <w:tcPr>
            <w:tcW w:w="851" w:type="dxa"/>
            <w:tcBorders>
              <w:top w:val="nil"/>
              <w:left w:val="nil"/>
              <w:bottom w:val="single" w:sz="4" w:space="0" w:color="auto"/>
              <w:right w:val="nil"/>
            </w:tcBorders>
            <w:shd w:val="clear" w:color="auto" w:fill="auto"/>
            <w:noWrap/>
            <w:vAlign w:val="bottom"/>
            <w:hideMark/>
          </w:tcPr>
          <w:p w14:paraId="3A2683D5"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p</w:t>
            </w:r>
          </w:p>
        </w:tc>
      </w:tr>
      <w:tr w:rsidR="000845A6" w:rsidRPr="00F11FCF" w14:paraId="4E47C370" w14:textId="77777777" w:rsidTr="000845A6">
        <w:trPr>
          <w:gridAfter w:val="1"/>
          <w:wAfter w:w="6" w:type="dxa"/>
          <w:trHeight w:val="300"/>
        </w:trPr>
        <w:tc>
          <w:tcPr>
            <w:tcW w:w="1388" w:type="dxa"/>
            <w:tcBorders>
              <w:top w:val="nil"/>
              <w:left w:val="nil"/>
              <w:bottom w:val="nil"/>
              <w:right w:val="nil"/>
            </w:tcBorders>
            <w:shd w:val="clear" w:color="auto" w:fill="auto"/>
            <w:noWrap/>
            <w:vAlign w:val="bottom"/>
            <w:hideMark/>
          </w:tcPr>
          <w:p w14:paraId="70A7E340" w14:textId="77777777" w:rsidR="000845A6" w:rsidRPr="00DE361E" w:rsidRDefault="000845A6" w:rsidP="00D962A8">
            <w:pPr>
              <w:spacing w:after="0" w:line="360" w:lineRule="auto"/>
              <w:rPr>
                <w:rFonts w:ascii="Times New Roman" w:eastAsia="Times New Roman" w:hAnsi="Times New Roman" w:cs="Times New Roman"/>
                <w:color w:val="000000"/>
                <w:sz w:val="20"/>
                <w:szCs w:val="20"/>
                <w:lang w:val="de-DE" w:eastAsia="de-DE"/>
              </w:rPr>
            </w:pPr>
            <w:r w:rsidRPr="00DE361E">
              <w:rPr>
                <w:rFonts w:ascii="Times New Roman" w:eastAsia="Times New Roman" w:hAnsi="Times New Roman" w:cs="Times New Roman"/>
                <w:color w:val="000000"/>
                <w:sz w:val="20"/>
                <w:szCs w:val="20"/>
                <w:lang w:val="de-DE" w:eastAsia="de-DE"/>
              </w:rPr>
              <w:t>Age</w:t>
            </w:r>
          </w:p>
        </w:tc>
        <w:tc>
          <w:tcPr>
            <w:tcW w:w="1022" w:type="dxa"/>
            <w:tcBorders>
              <w:top w:val="single" w:sz="4" w:space="0" w:color="auto"/>
              <w:left w:val="nil"/>
              <w:bottom w:val="nil"/>
              <w:right w:val="nil"/>
            </w:tcBorders>
            <w:shd w:val="clear" w:color="auto" w:fill="auto"/>
            <w:noWrap/>
            <w:vAlign w:val="bottom"/>
            <w:hideMark/>
          </w:tcPr>
          <w:p w14:paraId="73C5FF04"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r=-0.237</w:t>
            </w:r>
          </w:p>
        </w:tc>
        <w:tc>
          <w:tcPr>
            <w:tcW w:w="709" w:type="dxa"/>
            <w:tcBorders>
              <w:top w:val="single" w:sz="4" w:space="0" w:color="auto"/>
              <w:left w:val="nil"/>
              <w:bottom w:val="nil"/>
              <w:right w:val="nil"/>
            </w:tcBorders>
            <w:shd w:val="clear" w:color="auto" w:fill="auto"/>
            <w:noWrap/>
            <w:vAlign w:val="bottom"/>
            <w:hideMark/>
          </w:tcPr>
          <w:p w14:paraId="0DD52488"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-6.59</w:t>
            </w:r>
          </w:p>
        </w:tc>
        <w:tc>
          <w:tcPr>
            <w:tcW w:w="850" w:type="dxa"/>
            <w:tcBorders>
              <w:top w:val="single" w:sz="4" w:space="0" w:color="auto"/>
              <w:left w:val="nil"/>
              <w:bottom w:val="nil"/>
              <w:right w:val="nil"/>
            </w:tcBorders>
            <w:shd w:val="clear" w:color="auto" w:fill="auto"/>
            <w:noWrap/>
            <w:vAlign w:val="bottom"/>
            <w:hideMark/>
          </w:tcPr>
          <w:p w14:paraId="44E7346C"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-0.304</w:t>
            </w:r>
          </w:p>
        </w:tc>
        <w:tc>
          <w:tcPr>
            <w:tcW w:w="851" w:type="dxa"/>
            <w:tcBorders>
              <w:top w:val="single" w:sz="4" w:space="0" w:color="auto"/>
              <w:left w:val="nil"/>
              <w:bottom w:val="nil"/>
              <w:right w:val="nil"/>
            </w:tcBorders>
            <w:shd w:val="clear" w:color="auto" w:fill="auto"/>
            <w:noWrap/>
            <w:vAlign w:val="bottom"/>
            <w:hideMark/>
          </w:tcPr>
          <w:p w14:paraId="74D2E3DB"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-0.169</w:t>
            </w:r>
          </w:p>
        </w:tc>
        <w:tc>
          <w:tcPr>
            <w:tcW w:w="709" w:type="dxa"/>
            <w:tcBorders>
              <w:top w:val="single" w:sz="4" w:space="0" w:color="auto"/>
              <w:left w:val="nil"/>
              <w:bottom w:val="nil"/>
              <w:right w:val="nil"/>
            </w:tcBorders>
            <w:shd w:val="clear" w:color="auto" w:fill="auto"/>
            <w:noWrap/>
            <w:vAlign w:val="bottom"/>
            <w:hideMark/>
          </w:tcPr>
          <w:p w14:paraId="597C337B"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70</w:t>
            </w:r>
            <w:r w:rsidRPr="00F11FCF">
              <w:rPr>
                <w:rFonts w:ascii="Times New Roman" w:eastAsia="Times New Roman" w:hAnsi="Times New Roman" w:cs="Times New Roman"/>
                <w:color w:val="000000"/>
                <w:lang w:val="de-DE" w:eastAsia="de-DE"/>
              </w:rPr>
              <w:t>%</w:t>
            </w:r>
          </w:p>
        </w:tc>
        <w:tc>
          <w:tcPr>
            <w:tcW w:w="992" w:type="dxa"/>
            <w:tcBorders>
              <w:top w:val="single" w:sz="4" w:space="0" w:color="auto"/>
              <w:left w:val="nil"/>
              <w:bottom w:val="nil"/>
              <w:right w:val="nil"/>
            </w:tcBorders>
            <w:shd w:val="clear" w:color="auto" w:fill="auto"/>
            <w:noWrap/>
            <w:vAlign w:val="bottom"/>
            <w:hideMark/>
          </w:tcPr>
          <w:p w14:paraId="0CCFD752"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r=-0.220</w:t>
            </w:r>
          </w:p>
        </w:tc>
        <w:tc>
          <w:tcPr>
            <w:tcW w:w="850" w:type="dxa"/>
            <w:tcBorders>
              <w:top w:val="single" w:sz="4" w:space="0" w:color="auto"/>
              <w:left w:val="nil"/>
              <w:bottom w:val="nil"/>
              <w:right w:val="nil"/>
            </w:tcBorders>
            <w:shd w:val="clear" w:color="auto" w:fill="auto"/>
            <w:noWrap/>
            <w:vAlign w:val="bottom"/>
            <w:hideMark/>
          </w:tcPr>
          <w:p w14:paraId="1C840BE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tcBorders>
              <w:top w:val="single" w:sz="4" w:space="0" w:color="auto"/>
              <w:left w:val="nil"/>
              <w:bottom w:val="nil"/>
              <w:right w:val="nil"/>
            </w:tcBorders>
            <w:shd w:val="clear" w:color="auto" w:fill="auto"/>
            <w:noWrap/>
            <w:vAlign w:val="bottom"/>
            <w:hideMark/>
          </w:tcPr>
          <w:p w14:paraId="10C96FB8"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r=-0.320</w:t>
            </w:r>
          </w:p>
        </w:tc>
        <w:tc>
          <w:tcPr>
            <w:tcW w:w="850" w:type="dxa"/>
            <w:tcBorders>
              <w:top w:val="single" w:sz="4" w:space="0" w:color="auto"/>
              <w:left w:val="nil"/>
              <w:bottom w:val="nil"/>
              <w:right w:val="nil"/>
            </w:tcBorders>
            <w:shd w:val="clear" w:color="auto" w:fill="auto"/>
            <w:noWrap/>
            <w:vAlign w:val="bottom"/>
            <w:hideMark/>
          </w:tcPr>
          <w:p w14:paraId="1ACF8E4F"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86" w:type="dxa"/>
            <w:tcBorders>
              <w:top w:val="single" w:sz="4" w:space="0" w:color="auto"/>
              <w:left w:val="nil"/>
              <w:bottom w:val="nil"/>
              <w:right w:val="nil"/>
            </w:tcBorders>
            <w:shd w:val="clear" w:color="auto" w:fill="auto"/>
            <w:noWrap/>
            <w:vAlign w:val="bottom"/>
            <w:hideMark/>
          </w:tcPr>
          <w:p w14:paraId="27932379"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r=-0.272</w:t>
            </w:r>
          </w:p>
        </w:tc>
        <w:tc>
          <w:tcPr>
            <w:tcW w:w="851" w:type="dxa"/>
            <w:tcBorders>
              <w:top w:val="single" w:sz="4" w:space="0" w:color="auto"/>
              <w:left w:val="nil"/>
              <w:bottom w:val="nil"/>
              <w:right w:val="nil"/>
            </w:tcBorders>
            <w:shd w:val="clear" w:color="auto" w:fill="auto"/>
            <w:noWrap/>
            <w:vAlign w:val="bottom"/>
            <w:hideMark/>
          </w:tcPr>
          <w:p w14:paraId="52C4AA5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gridSpan w:val="2"/>
            <w:tcBorders>
              <w:top w:val="single" w:sz="4" w:space="0" w:color="auto"/>
              <w:left w:val="nil"/>
              <w:bottom w:val="nil"/>
              <w:right w:val="nil"/>
            </w:tcBorders>
            <w:shd w:val="clear" w:color="auto" w:fill="auto"/>
            <w:noWrap/>
            <w:vAlign w:val="bottom"/>
            <w:hideMark/>
          </w:tcPr>
          <w:p w14:paraId="5DC73C65"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r=-0.258</w:t>
            </w:r>
          </w:p>
        </w:tc>
        <w:tc>
          <w:tcPr>
            <w:tcW w:w="850" w:type="dxa"/>
            <w:tcBorders>
              <w:top w:val="single" w:sz="4" w:space="0" w:color="auto"/>
              <w:left w:val="nil"/>
              <w:bottom w:val="nil"/>
              <w:right w:val="nil"/>
            </w:tcBorders>
            <w:shd w:val="clear" w:color="auto" w:fill="auto"/>
            <w:noWrap/>
            <w:vAlign w:val="bottom"/>
            <w:hideMark/>
          </w:tcPr>
          <w:p w14:paraId="3F64CD6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2" w:type="dxa"/>
            <w:gridSpan w:val="2"/>
            <w:tcBorders>
              <w:top w:val="single" w:sz="4" w:space="0" w:color="auto"/>
              <w:left w:val="nil"/>
              <w:bottom w:val="nil"/>
              <w:right w:val="nil"/>
            </w:tcBorders>
            <w:shd w:val="clear" w:color="auto" w:fill="auto"/>
            <w:noWrap/>
            <w:vAlign w:val="bottom"/>
            <w:hideMark/>
          </w:tcPr>
          <w:p w14:paraId="1928B2AD"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r=-0.106</w:t>
            </w:r>
          </w:p>
        </w:tc>
        <w:tc>
          <w:tcPr>
            <w:tcW w:w="851" w:type="dxa"/>
            <w:tcBorders>
              <w:top w:val="single" w:sz="4" w:space="0" w:color="auto"/>
              <w:left w:val="nil"/>
              <w:bottom w:val="nil"/>
              <w:right w:val="nil"/>
            </w:tcBorders>
            <w:shd w:val="clear" w:color="auto" w:fill="auto"/>
            <w:noWrap/>
            <w:vAlign w:val="bottom"/>
            <w:hideMark/>
          </w:tcPr>
          <w:p w14:paraId="495B4A8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0.029</w:t>
            </w:r>
          </w:p>
        </w:tc>
      </w:tr>
      <w:tr w:rsidR="000845A6" w:rsidRPr="00F11FCF" w14:paraId="3DDC3734" w14:textId="77777777" w:rsidTr="00D962A8">
        <w:trPr>
          <w:gridAfter w:val="1"/>
          <w:wAfter w:w="6" w:type="dxa"/>
          <w:trHeight w:val="300"/>
        </w:trPr>
        <w:tc>
          <w:tcPr>
            <w:tcW w:w="1388" w:type="dxa"/>
            <w:tcBorders>
              <w:top w:val="nil"/>
              <w:left w:val="nil"/>
              <w:bottom w:val="nil"/>
              <w:right w:val="nil"/>
            </w:tcBorders>
            <w:shd w:val="clear" w:color="auto" w:fill="auto"/>
            <w:noWrap/>
            <w:vAlign w:val="bottom"/>
            <w:hideMark/>
          </w:tcPr>
          <w:p w14:paraId="32216CB7" w14:textId="77777777" w:rsidR="000845A6" w:rsidRPr="00DE361E" w:rsidRDefault="000845A6" w:rsidP="00D962A8">
            <w:pPr>
              <w:spacing w:after="0" w:line="360" w:lineRule="auto"/>
              <w:rPr>
                <w:rFonts w:ascii="Times New Roman" w:eastAsia="Times New Roman" w:hAnsi="Times New Roman" w:cs="Times New Roman"/>
                <w:color w:val="000000"/>
                <w:sz w:val="20"/>
                <w:szCs w:val="20"/>
                <w:lang w:val="de-DE" w:eastAsia="de-DE"/>
              </w:rPr>
            </w:pPr>
            <w:r w:rsidRPr="00DE361E">
              <w:rPr>
                <w:rFonts w:ascii="Times New Roman" w:eastAsia="Times New Roman" w:hAnsi="Times New Roman" w:cs="Times New Roman"/>
                <w:color w:val="000000"/>
                <w:sz w:val="20"/>
                <w:szCs w:val="20"/>
                <w:lang w:val="de-DE" w:eastAsia="de-DE"/>
              </w:rPr>
              <w:t>Income</w:t>
            </w:r>
          </w:p>
        </w:tc>
        <w:tc>
          <w:tcPr>
            <w:tcW w:w="1022" w:type="dxa"/>
            <w:tcBorders>
              <w:top w:val="nil"/>
              <w:left w:val="nil"/>
              <w:bottom w:val="nil"/>
              <w:right w:val="nil"/>
            </w:tcBorders>
            <w:shd w:val="clear" w:color="auto" w:fill="auto"/>
            <w:noWrap/>
            <w:vAlign w:val="bottom"/>
            <w:hideMark/>
          </w:tcPr>
          <w:p w14:paraId="475477D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r=0.181</w:t>
            </w:r>
          </w:p>
        </w:tc>
        <w:tc>
          <w:tcPr>
            <w:tcW w:w="709" w:type="dxa"/>
            <w:tcBorders>
              <w:top w:val="nil"/>
              <w:left w:val="nil"/>
              <w:bottom w:val="nil"/>
              <w:right w:val="nil"/>
            </w:tcBorders>
            <w:shd w:val="clear" w:color="auto" w:fill="auto"/>
            <w:noWrap/>
            <w:vAlign w:val="bottom"/>
            <w:hideMark/>
          </w:tcPr>
          <w:p w14:paraId="0E85E79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1.94</w:t>
            </w:r>
          </w:p>
        </w:tc>
        <w:tc>
          <w:tcPr>
            <w:tcW w:w="850" w:type="dxa"/>
            <w:tcBorders>
              <w:top w:val="nil"/>
              <w:left w:val="nil"/>
              <w:bottom w:val="nil"/>
              <w:right w:val="nil"/>
            </w:tcBorders>
            <w:shd w:val="clear" w:color="auto" w:fill="auto"/>
            <w:noWrap/>
            <w:vAlign w:val="bottom"/>
            <w:hideMark/>
          </w:tcPr>
          <w:p w14:paraId="4211809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-0.008</w:t>
            </w:r>
          </w:p>
        </w:tc>
        <w:tc>
          <w:tcPr>
            <w:tcW w:w="851" w:type="dxa"/>
            <w:tcBorders>
              <w:top w:val="nil"/>
              <w:left w:val="nil"/>
              <w:bottom w:val="nil"/>
              <w:right w:val="nil"/>
            </w:tcBorders>
            <w:shd w:val="clear" w:color="auto" w:fill="auto"/>
            <w:noWrap/>
            <w:vAlign w:val="bottom"/>
            <w:hideMark/>
          </w:tcPr>
          <w:p w14:paraId="347DFAD1"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0.358</w:t>
            </w:r>
          </w:p>
        </w:tc>
        <w:tc>
          <w:tcPr>
            <w:tcW w:w="709" w:type="dxa"/>
            <w:tcBorders>
              <w:top w:val="nil"/>
              <w:left w:val="nil"/>
              <w:bottom w:val="nil"/>
              <w:right w:val="nil"/>
            </w:tcBorders>
            <w:shd w:val="clear" w:color="auto" w:fill="auto"/>
            <w:noWrap/>
            <w:vAlign w:val="bottom"/>
            <w:hideMark/>
          </w:tcPr>
          <w:p w14:paraId="600BE9FB"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96</w:t>
            </w:r>
            <w:r w:rsidRPr="00F11FCF">
              <w:rPr>
                <w:rFonts w:ascii="Times New Roman" w:eastAsia="Times New Roman" w:hAnsi="Times New Roman" w:cs="Times New Roman"/>
                <w:color w:val="000000"/>
                <w:lang w:val="de-DE" w:eastAsia="de-DE"/>
              </w:rPr>
              <w:t>%</w:t>
            </w:r>
          </w:p>
        </w:tc>
        <w:tc>
          <w:tcPr>
            <w:tcW w:w="992" w:type="dxa"/>
            <w:tcBorders>
              <w:top w:val="nil"/>
              <w:left w:val="nil"/>
              <w:bottom w:val="nil"/>
              <w:right w:val="nil"/>
            </w:tcBorders>
            <w:shd w:val="clear" w:color="auto" w:fill="auto"/>
            <w:noWrap/>
            <w:vAlign w:val="bottom"/>
            <w:hideMark/>
          </w:tcPr>
          <w:p w14:paraId="441C3C04"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r=0.122</w:t>
            </w:r>
          </w:p>
        </w:tc>
        <w:tc>
          <w:tcPr>
            <w:tcW w:w="850" w:type="dxa"/>
            <w:tcBorders>
              <w:top w:val="nil"/>
              <w:left w:val="nil"/>
              <w:bottom w:val="nil"/>
              <w:right w:val="nil"/>
            </w:tcBorders>
            <w:shd w:val="clear" w:color="auto" w:fill="auto"/>
            <w:noWrap/>
            <w:vAlign w:val="bottom"/>
            <w:hideMark/>
          </w:tcPr>
          <w:p w14:paraId="0A374CA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0.006</w:t>
            </w:r>
          </w:p>
        </w:tc>
        <w:tc>
          <w:tcPr>
            <w:tcW w:w="993" w:type="dxa"/>
            <w:tcBorders>
              <w:top w:val="nil"/>
              <w:left w:val="nil"/>
              <w:bottom w:val="nil"/>
              <w:right w:val="nil"/>
            </w:tcBorders>
            <w:shd w:val="clear" w:color="auto" w:fill="auto"/>
            <w:noWrap/>
            <w:vAlign w:val="bottom"/>
            <w:hideMark/>
          </w:tcPr>
          <w:p w14:paraId="06839AE7"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r=0.303</w:t>
            </w:r>
          </w:p>
        </w:tc>
        <w:tc>
          <w:tcPr>
            <w:tcW w:w="850" w:type="dxa"/>
            <w:tcBorders>
              <w:top w:val="nil"/>
              <w:left w:val="nil"/>
              <w:bottom w:val="nil"/>
              <w:right w:val="nil"/>
            </w:tcBorders>
            <w:shd w:val="clear" w:color="auto" w:fill="auto"/>
            <w:noWrap/>
            <w:vAlign w:val="bottom"/>
            <w:hideMark/>
          </w:tcPr>
          <w:p w14:paraId="01DA3E4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86" w:type="dxa"/>
            <w:tcBorders>
              <w:top w:val="nil"/>
              <w:left w:val="nil"/>
              <w:bottom w:val="nil"/>
              <w:right w:val="nil"/>
            </w:tcBorders>
            <w:shd w:val="clear" w:color="auto" w:fill="auto"/>
            <w:noWrap/>
            <w:vAlign w:val="bottom"/>
            <w:hideMark/>
          </w:tcPr>
          <w:p w14:paraId="2C94D429"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r=0.459</w:t>
            </w:r>
          </w:p>
        </w:tc>
        <w:tc>
          <w:tcPr>
            <w:tcW w:w="851" w:type="dxa"/>
            <w:tcBorders>
              <w:top w:val="nil"/>
              <w:left w:val="nil"/>
              <w:bottom w:val="nil"/>
              <w:right w:val="nil"/>
            </w:tcBorders>
            <w:shd w:val="clear" w:color="auto" w:fill="auto"/>
            <w:noWrap/>
            <w:vAlign w:val="bottom"/>
            <w:hideMark/>
          </w:tcPr>
          <w:p w14:paraId="649BE79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gridSpan w:val="2"/>
            <w:tcBorders>
              <w:top w:val="nil"/>
              <w:left w:val="nil"/>
              <w:bottom w:val="nil"/>
              <w:right w:val="nil"/>
            </w:tcBorders>
            <w:shd w:val="clear" w:color="auto" w:fill="auto"/>
            <w:noWrap/>
            <w:vAlign w:val="bottom"/>
            <w:hideMark/>
          </w:tcPr>
          <w:p w14:paraId="4C113DC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r=-0.017</w:t>
            </w:r>
          </w:p>
        </w:tc>
        <w:tc>
          <w:tcPr>
            <w:tcW w:w="850" w:type="dxa"/>
            <w:tcBorders>
              <w:top w:val="nil"/>
              <w:left w:val="nil"/>
              <w:bottom w:val="nil"/>
              <w:right w:val="nil"/>
            </w:tcBorders>
            <w:shd w:val="clear" w:color="auto" w:fill="auto"/>
            <w:noWrap/>
            <w:vAlign w:val="bottom"/>
            <w:hideMark/>
          </w:tcPr>
          <w:p w14:paraId="4C7C3A5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0.705</w:t>
            </w:r>
          </w:p>
        </w:tc>
        <w:tc>
          <w:tcPr>
            <w:tcW w:w="992" w:type="dxa"/>
            <w:gridSpan w:val="2"/>
            <w:tcBorders>
              <w:top w:val="nil"/>
              <w:left w:val="nil"/>
              <w:bottom w:val="nil"/>
              <w:right w:val="nil"/>
            </w:tcBorders>
            <w:shd w:val="clear" w:color="auto" w:fill="auto"/>
            <w:noWrap/>
            <w:vAlign w:val="bottom"/>
            <w:hideMark/>
          </w:tcPr>
          <w:p w14:paraId="54D7BC4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r=-0.001</w:t>
            </w:r>
          </w:p>
        </w:tc>
        <w:tc>
          <w:tcPr>
            <w:tcW w:w="851" w:type="dxa"/>
            <w:tcBorders>
              <w:top w:val="nil"/>
              <w:left w:val="nil"/>
              <w:bottom w:val="nil"/>
              <w:right w:val="nil"/>
            </w:tcBorders>
            <w:shd w:val="clear" w:color="auto" w:fill="auto"/>
            <w:noWrap/>
            <w:vAlign w:val="bottom"/>
            <w:hideMark/>
          </w:tcPr>
          <w:p w14:paraId="735FD0D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0.981</w:t>
            </w:r>
          </w:p>
        </w:tc>
      </w:tr>
      <w:tr w:rsidR="000845A6" w:rsidRPr="00F11FCF" w14:paraId="22DF5A1F" w14:textId="77777777" w:rsidTr="00D962A8">
        <w:trPr>
          <w:gridAfter w:val="1"/>
          <w:wAfter w:w="6" w:type="dxa"/>
          <w:trHeight w:val="80"/>
        </w:trPr>
        <w:tc>
          <w:tcPr>
            <w:tcW w:w="1388" w:type="dxa"/>
            <w:tcBorders>
              <w:top w:val="nil"/>
              <w:left w:val="nil"/>
              <w:bottom w:val="nil"/>
              <w:right w:val="nil"/>
            </w:tcBorders>
            <w:shd w:val="clear" w:color="auto" w:fill="auto"/>
            <w:noWrap/>
            <w:vAlign w:val="bottom"/>
            <w:hideMark/>
          </w:tcPr>
          <w:p w14:paraId="443E910B" w14:textId="77777777" w:rsidR="000845A6" w:rsidRPr="00DE361E" w:rsidRDefault="000845A6" w:rsidP="00D962A8">
            <w:pPr>
              <w:spacing w:after="0" w:line="360" w:lineRule="auto"/>
              <w:rPr>
                <w:rFonts w:ascii="Times New Roman" w:eastAsia="Times New Roman" w:hAnsi="Times New Roman" w:cs="Times New Roman"/>
                <w:color w:val="000000"/>
                <w:sz w:val="20"/>
                <w:szCs w:val="20"/>
                <w:lang w:val="de-DE" w:eastAsia="de-DE"/>
              </w:rPr>
            </w:pPr>
            <w:r w:rsidRPr="00DE361E">
              <w:rPr>
                <w:rFonts w:ascii="Times New Roman" w:eastAsia="Times New Roman" w:hAnsi="Times New Roman" w:cs="Times New Roman"/>
                <w:color w:val="000000"/>
                <w:sz w:val="20"/>
                <w:szCs w:val="20"/>
                <w:lang w:val="de-DE" w:eastAsia="de-DE"/>
              </w:rPr>
              <w:t>Education</w:t>
            </w:r>
          </w:p>
        </w:tc>
        <w:tc>
          <w:tcPr>
            <w:tcW w:w="1022" w:type="dxa"/>
            <w:tcBorders>
              <w:top w:val="nil"/>
              <w:left w:val="nil"/>
              <w:bottom w:val="nil"/>
              <w:right w:val="nil"/>
            </w:tcBorders>
            <w:shd w:val="clear" w:color="auto" w:fill="auto"/>
            <w:noWrap/>
            <w:vAlign w:val="bottom"/>
            <w:hideMark/>
          </w:tcPr>
          <w:p w14:paraId="2F4F33F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r=0.111</w:t>
            </w:r>
          </w:p>
        </w:tc>
        <w:tc>
          <w:tcPr>
            <w:tcW w:w="709" w:type="dxa"/>
            <w:tcBorders>
              <w:top w:val="nil"/>
              <w:left w:val="nil"/>
              <w:bottom w:val="nil"/>
              <w:right w:val="nil"/>
            </w:tcBorders>
            <w:shd w:val="clear" w:color="auto" w:fill="auto"/>
            <w:noWrap/>
            <w:vAlign w:val="bottom"/>
            <w:hideMark/>
          </w:tcPr>
          <w:p w14:paraId="0C88F32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1.67</w:t>
            </w:r>
          </w:p>
        </w:tc>
        <w:tc>
          <w:tcPr>
            <w:tcW w:w="850" w:type="dxa"/>
            <w:tcBorders>
              <w:top w:val="nil"/>
              <w:left w:val="nil"/>
              <w:bottom w:val="nil"/>
              <w:right w:val="nil"/>
            </w:tcBorders>
            <w:shd w:val="clear" w:color="auto" w:fill="auto"/>
            <w:noWrap/>
            <w:vAlign w:val="bottom"/>
            <w:hideMark/>
          </w:tcPr>
          <w:p w14:paraId="7CE40A8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-0.020</w:t>
            </w:r>
          </w:p>
        </w:tc>
        <w:tc>
          <w:tcPr>
            <w:tcW w:w="851" w:type="dxa"/>
            <w:tcBorders>
              <w:top w:val="nil"/>
              <w:left w:val="nil"/>
              <w:bottom w:val="nil"/>
              <w:right w:val="nil"/>
            </w:tcBorders>
            <w:shd w:val="clear" w:color="auto" w:fill="auto"/>
            <w:noWrap/>
            <w:vAlign w:val="bottom"/>
            <w:hideMark/>
          </w:tcPr>
          <w:p w14:paraId="53740F0B"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0.237</w:t>
            </w:r>
          </w:p>
        </w:tc>
        <w:tc>
          <w:tcPr>
            <w:tcW w:w="709" w:type="dxa"/>
            <w:tcBorders>
              <w:top w:val="nil"/>
              <w:left w:val="nil"/>
              <w:bottom w:val="nil"/>
              <w:right w:val="nil"/>
            </w:tcBorders>
            <w:shd w:val="clear" w:color="auto" w:fill="auto"/>
            <w:noWrap/>
            <w:vAlign w:val="bottom"/>
            <w:hideMark/>
          </w:tcPr>
          <w:p w14:paraId="2671EF8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91</w:t>
            </w:r>
            <w:r w:rsidRPr="00F11FCF">
              <w:rPr>
                <w:rFonts w:ascii="Times New Roman" w:eastAsia="Times New Roman" w:hAnsi="Times New Roman" w:cs="Times New Roman"/>
                <w:color w:val="000000"/>
                <w:lang w:val="de-DE" w:eastAsia="de-DE"/>
              </w:rPr>
              <w:t>%</w:t>
            </w:r>
          </w:p>
        </w:tc>
        <w:tc>
          <w:tcPr>
            <w:tcW w:w="992" w:type="dxa"/>
            <w:tcBorders>
              <w:top w:val="nil"/>
              <w:left w:val="nil"/>
              <w:bottom w:val="nil"/>
              <w:right w:val="nil"/>
            </w:tcBorders>
            <w:shd w:val="clear" w:color="auto" w:fill="auto"/>
            <w:noWrap/>
            <w:vAlign w:val="bottom"/>
            <w:hideMark/>
          </w:tcPr>
          <w:p w14:paraId="7BFF531A"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r=0.106</w:t>
            </w:r>
          </w:p>
        </w:tc>
        <w:tc>
          <w:tcPr>
            <w:tcW w:w="850" w:type="dxa"/>
            <w:tcBorders>
              <w:top w:val="nil"/>
              <w:left w:val="nil"/>
              <w:bottom w:val="nil"/>
              <w:right w:val="nil"/>
            </w:tcBorders>
            <w:shd w:val="clear" w:color="auto" w:fill="auto"/>
            <w:noWrap/>
            <w:vAlign w:val="bottom"/>
            <w:hideMark/>
          </w:tcPr>
          <w:p w14:paraId="0D2401B6"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0.017</w:t>
            </w:r>
          </w:p>
        </w:tc>
        <w:tc>
          <w:tcPr>
            <w:tcW w:w="993" w:type="dxa"/>
            <w:tcBorders>
              <w:top w:val="nil"/>
              <w:left w:val="nil"/>
              <w:bottom w:val="nil"/>
              <w:right w:val="nil"/>
            </w:tcBorders>
            <w:shd w:val="clear" w:color="auto" w:fill="auto"/>
            <w:noWrap/>
            <w:vAlign w:val="bottom"/>
            <w:hideMark/>
          </w:tcPr>
          <w:p w14:paraId="396260EF"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r=0.214</w:t>
            </w:r>
          </w:p>
        </w:tc>
        <w:tc>
          <w:tcPr>
            <w:tcW w:w="850" w:type="dxa"/>
            <w:tcBorders>
              <w:top w:val="nil"/>
              <w:left w:val="nil"/>
              <w:bottom w:val="nil"/>
              <w:right w:val="nil"/>
            </w:tcBorders>
            <w:shd w:val="clear" w:color="auto" w:fill="auto"/>
            <w:noWrap/>
            <w:vAlign w:val="bottom"/>
            <w:hideMark/>
          </w:tcPr>
          <w:p w14:paraId="0E2D850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86" w:type="dxa"/>
            <w:tcBorders>
              <w:top w:val="nil"/>
              <w:left w:val="nil"/>
              <w:bottom w:val="nil"/>
              <w:right w:val="nil"/>
            </w:tcBorders>
            <w:shd w:val="clear" w:color="auto" w:fill="auto"/>
            <w:noWrap/>
            <w:vAlign w:val="bottom"/>
            <w:hideMark/>
          </w:tcPr>
          <w:p w14:paraId="0355D722"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r=0.291</w:t>
            </w:r>
          </w:p>
        </w:tc>
        <w:tc>
          <w:tcPr>
            <w:tcW w:w="851" w:type="dxa"/>
            <w:tcBorders>
              <w:top w:val="nil"/>
              <w:left w:val="nil"/>
              <w:bottom w:val="nil"/>
              <w:right w:val="nil"/>
            </w:tcBorders>
            <w:shd w:val="clear" w:color="auto" w:fill="auto"/>
            <w:noWrap/>
            <w:vAlign w:val="bottom"/>
            <w:hideMark/>
          </w:tcPr>
          <w:p w14:paraId="0F2AE88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gridSpan w:val="2"/>
            <w:tcBorders>
              <w:top w:val="nil"/>
              <w:left w:val="nil"/>
              <w:bottom w:val="nil"/>
              <w:right w:val="nil"/>
            </w:tcBorders>
            <w:shd w:val="clear" w:color="auto" w:fill="auto"/>
            <w:noWrap/>
            <w:vAlign w:val="bottom"/>
            <w:hideMark/>
          </w:tcPr>
          <w:p w14:paraId="7C2841B6"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r=-0.047</w:t>
            </w:r>
          </w:p>
        </w:tc>
        <w:tc>
          <w:tcPr>
            <w:tcW w:w="850" w:type="dxa"/>
            <w:tcBorders>
              <w:top w:val="nil"/>
              <w:left w:val="nil"/>
              <w:bottom w:val="nil"/>
              <w:right w:val="nil"/>
            </w:tcBorders>
            <w:shd w:val="clear" w:color="auto" w:fill="auto"/>
            <w:noWrap/>
            <w:vAlign w:val="bottom"/>
            <w:hideMark/>
          </w:tcPr>
          <w:p w14:paraId="2F6DD0D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0.286</w:t>
            </w:r>
          </w:p>
        </w:tc>
        <w:tc>
          <w:tcPr>
            <w:tcW w:w="992" w:type="dxa"/>
            <w:gridSpan w:val="2"/>
            <w:tcBorders>
              <w:top w:val="nil"/>
              <w:left w:val="nil"/>
              <w:bottom w:val="nil"/>
              <w:right w:val="nil"/>
            </w:tcBorders>
            <w:shd w:val="clear" w:color="auto" w:fill="auto"/>
            <w:noWrap/>
            <w:vAlign w:val="bottom"/>
            <w:hideMark/>
          </w:tcPr>
          <w:p w14:paraId="22F09268"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r=-0.022</w:t>
            </w:r>
          </w:p>
        </w:tc>
        <w:tc>
          <w:tcPr>
            <w:tcW w:w="851" w:type="dxa"/>
            <w:tcBorders>
              <w:top w:val="nil"/>
              <w:left w:val="nil"/>
              <w:bottom w:val="nil"/>
              <w:right w:val="nil"/>
            </w:tcBorders>
            <w:shd w:val="clear" w:color="auto" w:fill="auto"/>
            <w:noWrap/>
            <w:vAlign w:val="bottom"/>
            <w:hideMark/>
          </w:tcPr>
          <w:p w14:paraId="022D674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0.647</w:t>
            </w:r>
          </w:p>
        </w:tc>
      </w:tr>
      <w:tr w:rsidR="000845A6" w:rsidRPr="00F11FCF" w14:paraId="2D2BC7FD" w14:textId="77777777" w:rsidTr="00D962A8">
        <w:trPr>
          <w:gridAfter w:val="1"/>
          <w:wAfter w:w="6" w:type="dxa"/>
          <w:trHeight w:val="300"/>
        </w:trPr>
        <w:tc>
          <w:tcPr>
            <w:tcW w:w="1388" w:type="dxa"/>
            <w:tcBorders>
              <w:top w:val="nil"/>
              <w:left w:val="nil"/>
              <w:bottom w:val="nil"/>
              <w:right w:val="nil"/>
            </w:tcBorders>
            <w:shd w:val="clear" w:color="auto" w:fill="auto"/>
            <w:noWrap/>
            <w:vAlign w:val="bottom"/>
            <w:hideMark/>
          </w:tcPr>
          <w:p w14:paraId="6D911680" w14:textId="0D4416EB" w:rsidR="000845A6" w:rsidRPr="00DE361E" w:rsidRDefault="005642C3" w:rsidP="00D962A8">
            <w:pPr>
              <w:spacing w:after="0" w:line="360" w:lineRule="auto"/>
              <w:rPr>
                <w:rFonts w:ascii="Times New Roman" w:eastAsia="Times New Roman" w:hAnsi="Times New Roman" w:cs="Times New Roman"/>
                <w:color w:val="000000"/>
                <w:sz w:val="20"/>
                <w:szCs w:val="20"/>
                <w:lang w:val="de-DE" w:eastAsia="de-DE"/>
              </w:rPr>
            </w:pPr>
            <w:r>
              <w:rPr>
                <w:rFonts w:ascii="Times New Roman" w:eastAsia="Times New Roman" w:hAnsi="Times New Roman" w:cs="Times New Roman"/>
                <w:color w:val="000000"/>
                <w:sz w:val="20"/>
                <w:szCs w:val="20"/>
                <w:lang w:val="de-DE" w:eastAsia="de-DE"/>
              </w:rPr>
              <w:t>P</w:t>
            </w:r>
            <w:r w:rsidR="000845A6" w:rsidRPr="00DE361E">
              <w:rPr>
                <w:rFonts w:ascii="Times New Roman" w:eastAsia="Times New Roman" w:hAnsi="Times New Roman" w:cs="Times New Roman"/>
                <w:color w:val="000000"/>
                <w:sz w:val="20"/>
                <w:szCs w:val="20"/>
                <w:lang w:val="de-DE" w:eastAsia="de-DE"/>
              </w:rPr>
              <w:t>opulation size</w:t>
            </w:r>
          </w:p>
        </w:tc>
        <w:tc>
          <w:tcPr>
            <w:tcW w:w="1022" w:type="dxa"/>
            <w:tcBorders>
              <w:top w:val="nil"/>
              <w:left w:val="nil"/>
              <w:bottom w:val="nil"/>
              <w:right w:val="nil"/>
            </w:tcBorders>
            <w:shd w:val="clear" w:color="auto" w:fill="auto"/>
            <w:noWrap/>
            <w:vAlign w:val="bottom"/>
            <w:hideMark/>
          </w:tcPr>
          <w:p w14:paraId="7219290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r=0.149</w:t>
            </w:r>
          </w:p>
        </w:tc>
        <w:tc>
          <w:tcPr>
            <w:tcW w:w="709" w:type="dxa"/>
            <w:tcBorders>
              <w:top w:val="nil"/>
              <w:left w:val="nil"/>
              <w:bottom w:val="nil"/>
              <w:right w:val="nil"/>
            </w:tcBorders>
            <w:shd w:val="clear" w:color="auto" w:fill="auto"/>
            <w:noWrap/>
            <w:vAlign w:val="bottom"/>
            <w:hideMark/>
          </w:tcPr>
          <w:p w14:paraId="4A47ED8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1.67</w:t>
            </w:r>
          </w:p>
        </w:tc>
        <w:tc>
          <w:tcPr>
            <w:tcW w:w="850" w:type="dxa"/>
            <w:tcBorders>
              <w:top w:val="nil"/>
              <w:left w:val="nil"/>
              <w:bottom w:val="nil"/>
              <w:right w:val="nil"/>
            </w:tcBorders>
            <w:shd w:val="clear" w:color="auto" w:fill="auto"/>
            <w:noWrap/>
            <w:vAlign w:val="bottom"/>
            <w:hideMark/>
          </w:tcPr>
          <w:p w14:paraId="4471056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-0.001</w:t>
            </w:r>
          </w:p>
        </w:tc>
        <w:tc>
          <w:tcPr>
            <w:tcW w:w="851" w:type="dxa"/>
            <w:tcBorders>
              <w:top w:val="nil"/>
              <w:left w:val="nil"/>
              <w:bottom w:val="nil"/>
              <w:right w:val="nil"/>
            </w:tcBorders>
            <w:shd w:val="clear" w:color="auto" w:fill="auto"/>
            <w:noWrap/>
            <w:vAlign w:val="bottom"/>
            <w:hideMark/>
          </w:tcPr>
          <w:p w14:paraId="3EE814D5"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0.294</w:t>
            </w:r>
          </w:p>
        </w:tc>
        <w:tc>
          <w:tcPr>
            <w:tcW w:w="709" w:type="dxa"/>
            <w:tcBorders>
              <w:top w:val="nil"/>
              <w:left w:val="nil"/>
              <w:bottom w:val="nil"/>
              <w:right w:val="nil"/>
            </w:tcBorders>
            <w:shd w:val="clear" w:color="auto" w:fill="auto"/>
            <w:noWrap/>
            <w:vAlign w:val="bottom"/>
            <w:hideMark/>
          </w:tcPr>
          <w:p w14:paraId="68740AD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93</w:t>
            </w:r>
            <w:r w:rsidRPr="00F11FCF">
              <w:rPr>
                <w:rFonts w:ascii="Times New Roman" w:eastAsia="Times New Roman" w:hAnsi="Times New Roman" w:cs="Times New Roman"/>
                <w:color w:val="000000"/>
                <w:lang w:val="de-DE" w:eastAsia="de-DE"/>
              </w:rPr>
              <w:t>%</w:t>
            </w:r>
          </w:p>
        </w:tc>
        <w:tc>
          <w:tcPr>
            <w:tcW w:w="992" w:type="dxa"/>
            <w:tcBorders>
              <w:top w:val="nil"/>
              <w:left w:val="nil"/>
              <w:bottom w:val="nil"/>
              <w:right w:val="nil"/>
            </w:tcBorders>
            <w:shd w:val="clear" w:color="auto" w:fill="auto"/>
            <w:noWrap/>
            <w:vAlign w:val="bottom"/>
            <w:hideMark/>
          </w:tcPr>
          <w:p w14:paraId="46D1B82C"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r=0.177</w:t>
            </w:r>
          </w:p>
        </w:tc>
        <w:tc>
          <w:tcPr>
            <w:tcW w:w="850" w:type="dxa"/>
            <w:tcBorders>
              <w:top w:val="nil"/>
              <w:left w:val="nil"/>
              <w:bottom w:val="nil"/>
              <w:right w:val="nil"/>
            </w:tcBorders>
            <w:shd w:val="clear" w:color="auto" w:fill="auto"/>
            <w:noWrap/>
            <w:vAlign w:val="bottom"/>
            <w:hideMark/>
          </w:tcPr>
          <w:p w14:paraId="76933B6F"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tcBorders>
              <w:top w:val="nil"/>
              <w:left w:val="nil"/>
              <w:bottom w:val="nil"/>
              <w:right w:val="nil"/>
            </w:tcBorders>
            <w:shd w:val="clear" w:color="auto" w:fill="auto"/>
            <w:noWrap/>
            <w:vAlign w:val="bottom"/>
            <w:hideMark/>
          </w:tcPr>
          <w:p w14:paraId="095C0E29"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r=0.382</w:t>
            </w:r>
          </w:p>
        </w:tc>
        <w:tc>
          <w:tcPr>
            <w:tcW w:w="850" w:type="dxa"/>
            <w:tcBorders>
              <w:top w:val="nil"/>
              <w:left w:val="nil"/>
              <w:bottom w:val="nil"/>
              <w:right w:val="nil"/>
            </w:tcBorders>
            <w:shd w:val="clear" w:color="auto" w:fill="auto"/>
            <w:noWrap/>
            <w:vAlign w:val="bottom"/>
            <w:hideMark/>
          </w:tcPr>
          <w:p w14:paraId="2B97DFB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86" w:type="dxa"/>
            <w:tcBorders>
              <w:top w:val="nil"/>
              <w:left w:val="nil"/>
              <w:bottom w:val="nil"/>
              <w:right w:val="nil"/>
            </w:tcBorders>
            <w:shd w:val="clear" w:color="auto" w:fill="auto"/>
            <w:noWrap/>
            <w:vAlign w:val="bottom"/>
            <w:hideMark/>
          </w:tcPr>
          <w:p w14:paraId="7C6D1D87"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r=0.192</w:t>
            </w:r>
          </w:p>
        </w:tc>
        <w:tc>
          <w:tcPr>
            <w:tcW w:w="851" w:type="dxa"/>
            <w:tcBorders>
              <w:top w:val="nil"/>
              <w:left w:val="nil"/>
              <w:bottom w:val="nil"/>
              <w:right w:val="nil"/>
            </w:tcBorders>
            <w:shd w:val="clear" w:color="auto" w:fill="auto"/>
            <w:noWrap/>
            <w:vAlign w:val="bottom"/>
            <w:hideMark/>
          </w:tcPr>
          <w:p w14:paraId="0112C5E6"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gridSpan w:val="2"/>
            <w:tcBorders>
              <w:top w:val="nil"/>
              <w:left w:val="nil"/>
              <w:bottom w:val="nil"/>
              <w:right w:val="nil"/>
            </w:tcBorders>
            <w:shd w:val="clear" w:color="auto" w:fill="auto"/>
            <w:noWrap/>
            <w:vAlign w:val="bottom"/>
            <w:hideMark/>
          </w:tcPr>
          <w:p w14:paraId="483EB3C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r=0.010</w:t>
            </w:r>
          </w:p>
        </w:tc>
        <w:tc>
          <w:tcPr>
            <w:tcW w:w="850" w:type="dxa"/>
            <w:tcBorders>
              <w:top w:val="nil"/>
              <w:left w:val="nil"/>
              <w:bottom w:val="nil"/>
              <w:right w:val="nil"/>
            </w:tcBorders>
            <w:shd w:val="clear" w:color="auto" w:fill="auto"/>
            <w:noWrap/>
            <w:vAlign w:val="bottom"/>
            <w:hideMark/>
          </w:tcPr>
          <w:p w14:paraId="28841ECF"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0.828</w:t>
            </w:r>
          </w:p>
        </w:tc>
        <w:tc>
          <w:tcPr>
            <w:tcW w:w="992" w:type="dxa"/>
            <w:gridSpan w:val="2"/>
            <w:tcBorders>
              <w:top w:val="nil"/>
              <w:left w:val="nil"/>
              <w:bottom w:val="nil"/>
              <w:right w:val="nil"/>
            </w:tcBorders>
            <w:shd w:val="clear" w:color="auto" w:fill="auto"/>
            <w:noWrap/>
            <w:vAlign w:val="bottom"/>
            <w:hideMark/>
          </w:tcPr>
          <w:p w14:paraId="6F9EA2A5"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r=-0.031</w:t>
            </w:r>
          </w:p>
        </w:tc>
        <w:tc>
          <w:tcPr>
            <w:tcW w:w="851" w:type="dxa"/>
            <w:tcBorders>
              <w:top w:val="nil"/>
              <w:left w:val="nil"/>
              <w:bottom w:val="nil"/>
              <w:right w:val="nil"/>
            </w:tcBorders>
            <w:shd w:val="clear" w:color="auto" w:fill="auto"/>
            <w:noWrap/>
            <w:vAlign w:val="bottom"/>
            <w:hideMark/>
          </w:tcPr>
          <w:p w14:paraId="33D27DAB"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0.521</w:t>
            </w:r>
          </w:p>
        </w:tc>
      </w:tr>
      <w:tr w:rsidR="000845A6" w:rsidRPr="00F11FCF" w14:paraId="4A2E33C9" w14:textId="77777777" w:rsidTr="00D962A8">
        <w:trPr>
          <w:gridAfter w:val="1"/>
          <w:wAfter w:w="6" w:type="dxa"/>
          <w:trHeight w:val="300"/>
        </w:trPr>
        <w:tc>
          <w:tcPr>
            <w:tcW w:w="1388" w:type="dxa"/>
            <w:tcBorders>
              <w:top w:val="nil"/>
              <w:left w:val="nil"/>
              <w:bottom w:val="nil"/>
              <w:right w:val="nil"/>
            </w:tcBorders>
            <w:shd w:val="clear" w:color="auto" w:fill="auto"/>
            <w:noWrap/>
            <w:vAlign w:val="bottom"/>
            <w:hideMark/>
          </w:tcPr>
          <w:p w14:paraId="03A3F79A" w14:textId="082FDAB0" w:rsidR="000845A6" w:rsidRPr="00DE361E" w:rsidRDefault="005642C3" w:rsidP="00D962A8">
            <w:pPr>
              <w:spacing w:after="0" w:line="360" w:lineRule="auto"/>
              <w:rPr>
                <w:rFonts w:ascii="Times New Roman" w:eastAsia="Times New Roman" w:hAnsi="Times New Roman" w:cs="Times New Roman"/>
                <w:color w:val="000000"/>
                <w:sz w:val="20"/>
                <w:szCs w:val="20"/>
                <w:lang w:val="de-DE" w:eastAsia="de-DE"/>
              </w:rPr>
            </w:pPr>
            <w:r>
              <w:rPr>
                <w:rFonts w:ascii="Times New Roman" w:eastAsia="Times New Roman" w:hAnsi="Times New Roman" w:cs="Times New Roman"/>
                <w:color w:val="000000"/>
                <w:sz w:val="20"/>
                <w:szCs w:val="20"/>
                <w:lang w:val="de-DE" w:eastAsia="de-DE"/>
              </w:rPr>
              <w:t>M</w:t>
            </w:r>
            <w:r w:rsidR="000845A6" w:rsidRPr="00DE361E">
              <w:rPr>
                <w:rFonts w:ascii="Times New Roman" w:eastAsia="Times New Roman" w:hAnsi="Times New Roman" w:cs="Times New Roman"/>
                <w:color w:val="000000"/>
                <w:sz w:val="20"/>
                <w:szCs w:val="20"/>
                <w:lang w:val="de-DE" w:eastAsia="de-DE"/>
              </w:rPr>
              <w:t>ale sex</w:t>
            </w:r>
          </w:p>
        </w:tc>
        <w:tc>
          <w:tcPr>
            <w:tcW w:w="1022" w:type="dxa"/>
            <w:tcBorders>
              <w:top w:val="nil"/>
              <w:left w:val="nil"/>
              <w:bottom w:val="nil"/>
              <w:right w:val="nil"/>
            </w:tcBorders>
            <w:shd w:val="clear" w:color="auto" w:fill="auto"/>
            <w:noWrap/>
            <w:vAlign w:val="bottom"/>
            <w:hideMark/>
          </w:tcPr>
          <w:p w14:paraId="445E756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d=0.261</w:t>
            </w:r>
          </w:p>
        </w:tc>
        <w:tc>
          <w:tcPr>
            <w:tcW w:w="709" w:type="dxa"/>
            <w:tcBorders>
              <w:top w:val="nil"/>
              <w:left w:val="nil"/>
              <w:bottom w:val="nil"/>
              <w:right w:val="nil"/>
            </w:tcBorders>
            <w:shd w:val="clear" w:color="auto" w:fill="auto"/>
            <w:noWrap/>
            <w:vAlign w:val="bottom"/>
            <w:hideMark/>
          </w:tcPr>
          <w:p w14:paraId="76CA1168"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1.55</w:t>
            </w:r>
          </w:p>
        </w:tc>
        <w:tc>
          <w:tcPr>
            <w:tcW w:w="850" w:type="dxa"/>
            <w:tcBorders>
              <w:top w:val="nil"/>
              <w:left w:val="nil"/>
              <w:bottom w:val="nil"/>
              <w:right w:val="nil"/>
            </w:tcBorders>
            <w:shd w:val="clear" w:color="auto" w:fill="auto"/>
            <w:noWrap/>
            <w:vAlign w:val="bottom"/>
            <w:hideMark/>
          </w:tcPr>
          <w:p w14:paraId="410AB6B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-0.068</w:t>
            </w:r>
          </w:p>
        </w:tc>
        <w:tc>
          <w:tcPr>
            <w:tcW w:w="851" w:type="dxa"/>
            <w:tcBorders>
              <w:top w:val="nil"/>
              <w:left w:val="nil"/>
              <w:bottom w:val="nil"/>
              <w:right w:val="nil"/>
            </w:tcBorders>
            <w:shd w:val="clear" w:color="auto" w:fill="auto"/>
            <w:noWrap/>
            <w:vAlign w:val="bottom"/>
            <w:hideMark/>
          </w:tcPr>
          <w:p w14:paraId="530FA481"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0.590</w:t>
            </w:r>
          </w:p>
        </w:tc>
        <w:tc>
          <w:tcPr>
            <w:tcW w:w="709" w:type="dxa"/>
            <w:tcBorders>
              <w:top w:val="nil"/>
              <w:left w:val="nil"/>
              <w:bottom w:val="nil"/>
              <w:right w:val="nil"/>
            </w:tcBorders>
            <w:shd w:val="clear" w:color="auto" w:fill="auto"/>
            <w:noWrap/>
            <w:vAlign w:val="bottom"/>
            <w:hideMark/>
          </w:tcPr>
          <w:p w14:paraId="1A26BA8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94</w:t>
            </w:r>
            <w:r w:rsidRPr="00F11FCF">
              <w:rPr>
                <w:rFonts w:ascii="Times New Roman" w:eastAsia="Times New Roman" w:hAnsi="Times New Roman" w:cs="Times New Roman"/>
                <w:color w:val="000000"/>
                <w:lang w:val="de-DE" w:eastAsia="de-DE"/>
              </w:rPr>
              <w:t>%</w:t>
            </w:r>
          </w:p>
        </w:tc>
        <w:tc>
          <w:tcPr>
            <w:tcW w:w="992" w:type="dxa"/>
            <w:tcBorders>
              <w:top w:val="nil"/>
              <w:left w:val="nil"/>
              <w:bottom w:val="nil"/>
              <w:right w:val="nil"/>
            </w:tcBorders>
            <w:shd w:val="clear" w:color="auto" w:fill="auto"/>
            <w:noWrap/>
            <w:vAlign w:val="bottom"/>
            <w:hideMark/>
          </w:tcPr>
          <w:p w14:paraId="5ACEF328"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d=-0.001</w:t>
            </w:r>
          </w:p>
        </w:tc>
        <w:tc>
          <w:tcPr>
            <w:tcW w:w="850" w:type="dxa"/>
            <w:tcBorders>
              <w:top w:val="nil"/>
              <w:left w:val="nil"/>
              <w:bottom w:val="nil"/>
              <w:right w:val="nil"/>
            </w:tcBorders>
            <w:shd w:val="clear" w:color="auto" w:fill="auto"/>
            <w:noWrap/>
            <w:vAlign w:val="bottom"/>
            <w:hideMark/>
          </w:tcPr>
          <w:p w14:paraId="50533A1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0.991</w:t>
            </w:r>
          </w:p>
        </w:tc>
        <w:tc>
          <w:tcPr>
            <w:tcW w:w="993" w:type="dxa"/>
            <w:tcBorders>
              <w:top w:val="nil"/>
              <w:left w:val="nil"/>
              <w:bottom w:val="nil"/>
              <w:right w:val="nil"/>
            </w:tcBorders>
            <w:shd w:val="clear" w:color="auto" w:fill="auto"/>
            <w:noWrap/>
            <w:vAlign w:val="bottom"/>
            <w:hideMark/>
          </w:tcPr>
          <w:p w14:paraId="23E98304"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d=0.510</w:t>
            </w:r>
          </w:p>
        </w:tc>
        <w:tc>
          <w:tcPr>
            <w:tcW w:w="850" w:type="dxa"/>
            <w:tcBorders>
              <w:top w:val="nil"/>
              <w:left w:val="nil"/>
              <w:bottom w:val="nil"/>
              <w:right w:val="nil"/>
            </w:tcBorders>
            <w:shd w:val="clear" w:color="auto" w:fill="auto"/>
            <w:noWrap/>
            <w:vAlign w:val="bottom"/>
            <w:hideMark/>
          </w:tcPr>
          <w:p w14:paraId="5053FC6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86" w:type="dxa"/>
            <w:tcBorders>
              <w:top w:val="nil"/>
              <w:left w:val="nil"/>
              <w:bottom w:val="nil"/>
              <w:right w:val="nil"/>
            </w:tcBorders>
            <w:shd w:val="clear" w:color="auto" w:fill="auto"/>
            <w:noWrap/>
            <w:vAlign w:val="bottom"/>
            <w:hideMark/>
          </w:tcPr>
          <w:p w14:paraId="4107E8D8"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d=0.804</w:t>
            </w:r>
          </w:p>
        </w:tc>
        <w:tc>
          <w:tcPr>
            <w:tcW w:w="851" w:type="dxa"/>
            <w:tcBorders>
              <w:top w:val="nil"/>
              <w:left w:val="nil"/>
              <w:bottom w:val="nil"/>
              <w:right w:val="nil"/>
            </w:tcBorders>
            <w:shd w:val="clear" w:color="auto" w:fill="auto"/>
            <w:noWrap/>
            <w:vAlign w:val="bottom"/>
            <w:hideMark/>
          </w:tcPr>
          <w:p w14:paraId="677C7AF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gridSpan w:val="2"/>
            <w:tcBorders>
              <w:top w:val="nil"/>
              <w:left w:val="nil"/>
              <w:bottom w:val="nil"/>
              <w:right w:val="nil"/>
            </w:tcBorders>
            <w:shd w:val="clear" w:color="auto" w:fill="auto"/>
            <w:noWrap/>
            <w:vAlign w:val="bottom"/>
            <w:hideMark/>
          </w:tcPr>
          <w:p w14:paraId="2D87118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d=0.085</w:t>
            </w:r>
          </w:p>
        </w:tc>
        <w:tc>
          <w:tcPr>
            <w:tcW w:w="850" w:type="dxa"/>
            <w:tcBorders>
              <w:top w:val="nil"/>
              <w:left w:val="nil"/>
              <w:bottom w:val="nil"/>
              <w:right w:val="nil"/>
            </w:tcBorders>
            <w:shd w:val="clear" w:color="auto" w:fill="auto"/>
            <w:noWrap/>
            <w:vAlign w:val="bottom"/>
            <w:hideMark/>
          </w:tcPr>
          <w:p w14:paraId="31B93FA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0.332</w:t>
            </w:r>
          </w:p>
        </w:tc>
        <w:tc>
          <w:tcPr>
            <w:tcW w:w="992" w:type="dxa"/>
            <w:gridSpan w:val="2"/>
            <w:tcBorders>
              <w:top w:val="nil"/>
              <w:left w:val="nil"/>
              <w:bottom w:val="nil"/>
              <w:right w:val="nil"/>
            </w:tcBorders>
            <w:shd w:val="clear" w:color="auto" w:fill="auto"/>
            <w:noWrap/>
            <w:vAlign w:val="bottom"/>
            <w:hideMark/>
          </w:tcPr>
          <w:p w14:paraId="2ACC36C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d=-0.094</w:t>
            </w:r>
          </w:p>
        </w:tc>
        <w:tc>
          <w:tcPr>
            <w:tcW w:w="851" w:type="dxa"/>
            <w:tcBorders>
              <w:top w:val="nil"/>
              <w:left w:val="nil"/>
              <w:bottom w:val="nil"/>
              <w:right w:val="nil"/>
            </w:tcBorders>
            <w:shd w:val="clear" w:color="auto" w:fill="auto"/>
            <w:noWrap/>
            <w:vAlign w:val="bottom"/>
            <w:hideMark/>
          </w:tcPr>
          <w:p w14:paraId="775D1CF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0.328</w:t>
            </w:r>
          </w:p>
        </w:tc>
      </w:tr>
      <w:tr w:rsidR="000845A6" w:rsidRPr="00F11FCF" w14:paraId="08DCB3FF" w14:textId="77777777" w:rsidTr="00D962A8">
        <w:trPr>
          <w:gridAfter w:val="1"/>
          <w:wAfter w:w="6" w:type="dxa"/>
          <w:trHeight w:val="300"/>
        </w:trPr>
        <w:tc>
          <w:tcPr>
            <w:tcW w:w="1388" w:type="dxa"/>
            <w:tcBorders>
              <w:top w:val="nil"/>
              <w:left w:val="nil"/>
              <w:bottom w:val="nil"/>
              <w:right w:val="nil"/>
            </w:tcBorders>
            <w:shd w:val="clear" w:color="auto" w:fill="auto"/>
            <w:noWrap/>
            <w:vAlign w:val="bottom"/>
            <w:hideMark/>
          </w:tcPr>
          <w:p w14:paraId="69857511" w14:textId="2EE556F3" w:rsidR="000845A6" w:rsidRPr="00DE361E" w:rsidRDefault="005642C3" w:rsidP="00D962A8">
            <w:pPr>
              <w:spacing w:after="0" w:line="360" w:lineRule="auto"/>
              <w:rPr>
                <w:rFonts w:ascii="Times New Roman" w:eastAsia="Times New Roman" w:hAnsi="Times New Roman" w:cs="Times New Roman"/>
                <w:color w:val="000000"/>
                <w:sz w:val="20"/>
                <w:szCs w:val="20"/>
                <w:lang w:val="de-DE" w:eastAsia="de-DE"/>
              </w:rPr>
            </w:pPr>
            <w:r>
              <w:rPr>
                <w:rFonts w:ascii="Times New Roman" w:eastAsia="Times New Roman" w:hAnsi="Times New Roman" w:cs="Times New Roman"/>
                <w:color w:val="000000"/>
                <w:sz w:val="20"/>
                <w:szCs w:val="20"/>
                <w:lang w:val="de-DE" w:eastAsia="de-DE"/>
              </w:rPr>
              <w:t>U</w:t>
            </w:r>
            <w:r w:rsidR="000845A6" w:rsidRPr="00DE361E">
              <w:rPr>
                <w:rFonts w:ascii="Times New Roman" w:eastAsia="Times New Roman" w:hAnsi="Times New Roman" w:cs="Times New Roman"/>
                <w:color w:val="000000"/>
                <w:sz w:val="20"/>
                <w:szCs w:val="20"/>
                <w:lang w:val="de-DE" w:eastAsia="de-DE"/>
              </w:rPr>
              <w:t>nemployed</w:t>
            </w:r>
          </w:p>
        </w:tc>
        <w:tc>
          <w:tcPr>
            <w:tcW w:w="1022" w:type="dxa"/>
            <w:tcBorders>
              <w:top w:val="nil"/>
              <w:left w:val="nil"/>
              <w:bottom w:val="nil"/>
              <w:right w:val="nil"/>
            </w:tcBorders>
            <w:shd w:val="clear" w:color="auto" w:fill="auto"/>
            <w:noWrap/>
            <w:vAlign w:val="bottom"/>
            <w:hideMark/>
          </w:tcPr>
          <w:p w14:paraId="3FE8FF38"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d=-0.180</w:t>
            </w:r>
          </w:p>
        </w:tc>
        <w:tc>
          <w:tcPr>
            <w:tcW w:w="709" w:type="dxa"/>
            <w:tcBorders>
              <w:top w:val="nil"/>
              <w:left w:val="nil"/>
              <w:bottom w:val="nil"/>
              <w:right w:val="nil"/>
            </w:tcBorders>
            <w:shd w:val="clear" w:color="auto" w:fill="auto"/>
            <w:noWrap/>
            <w:vAlign w:val="bottom"/>
            <w:hideMark/>
          </w:tcPr>
          <w:p w14:paraId="6893CC5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-1.04</w:t>
            </w:r>
          </w:p>
        </w:tc>
        <w:tc>
          <w:tcPr>
            <w:tcW w:w="850" w:type="dxa"/>
            <w:tcBorders>
              <w:top w:val="nil"/>
              <w:left w:val="nil"/>
              <w:bottom w:val="nil"/>
              <w:right w:val="nil"/>
            </w:tcBorders>
            <w:shd w:val="clear" w:color="auto" w:fill="auto"/>
            <w:noWrap/>
            <w:vAlign w:val="bottom"/>
            <w:hideMark/>
          </w:tcPr>
          <w:p w14:paraId="09137DB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-0.520</w:t>
            </w:r>
          </w:p>
        </w:tc>
        <w:tc>
          <w:tcPr>
            <w:tcW w:w="851" w:type="dxa"/>
            <w:tcBorders>
              <w:top w:val="nil"/>
              <w:left w:val="nil"/>
              <w:bottom w:val="nil"/>
              <w:right w:val="nil"/>
            </w:tcBorders>
            <w:shd w:val="clear" w:color="auto" w:fill="auto"/>
            <w:noWrap/>
            <w:vAlign w:val="bottom"/>
            <w:hideMark/>
          </w:tcPr>
          <w:p w14:paraId="4BCA102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0.160</w:t>
            </w:r>
          </w:p>
        </w:tc>
        <w:tc>
          <w:tcPr>
            <w:tcW w:w="709" w:type="dxa"/>
            <w:tcBorders>
              <w:top w:val="nil"/>
              <w:left w:val="nil"/>
              <w:bottom w:val="nil"/>
              <w:right w:val="nil"/>
            </w:tcBorders>
            <w:shd w:val="clear" w:color="auto" w:fill="auto"/>
            <w:noWrap/>
            <w:vAlign w:val="bottom"/>
            <w:hideMark/>
          </w:tcPr>
          <w:p w14:paraId="21DB412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83</w:t>
            </w:r>
            <w:r w:rsidRPr="00F11FCF">
              <w:rPr>
                <w:rFonts w:ascii="Times New Roman" w:eastAsia="Times New Roman" w:hAnsi="Times New Roman" w:cs="Times New Roman"/>
                <w:color w:val="000000"/>
                <w:lang w:val="de-DE" w:eastAsia="de-DE"/>
              </w:rPr>
              <w:t>%</w:t>
            </w:r>
          </w:p>
        </w:tc>
        <w:tc>
          <w:tcPr>
            <w:tcW w:w="992" w:type="dxa"/>
            <w:tcBorders>
              <w:top w:val="nil"/>
              <w:left w:val="nil"/>
              <w:bottom w:val="nil"/>
              <w:right w:val="nil"/>
            </w:tcBorders>
            <w:shd w:val="clear" w:color="auto" w:fill="auto"/>
            <w:noWrap/>
            <w:vAlign w:val="bottom"/>
            <w:hideMark/>
          </w:tcPr>
          <w:p w14:paraId="735F2E7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d=-0.094</w:t>
            </w:r>
          </w:p>
        </w:tc>
        <w:tc>
          <w:tcPr>
            <w:tcW w:w="850" w:type="dxa"/>
            <w:tcBorders>
              <w:top w:val="nil"/>
              <w:left w:val="nil"/>
              <w:bottom w:val="nil"/>
              <w:right w:val="nil"/>
            </w:tcBorders>
            <w:shd w:val="clear" w:color="auto" w:fill="auto"/>
            <w:noWrap/>
            <w:vAlign w:val="bottom"/>
            <w:hideMark/>
          </w:tcPr>
          <w:p w14:paraId="2587498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0.591</w:t>
            </w:r>
          </w:p>
        </w:tc>
        <w:tc>
          <w:tcPr>
            <w:tcW w:w="993" w:type="dxa"/>
            <w:tcBorders>
              <w:top w:val="nil"/>
              <w:left w:val="nil"/>
              <w:bottom w:val="nil"/>
              <w:right w:val="nil"/>
            </w:tcBorders>
            <w:shd w:val="clear" w:color="auto" w:fill="auto"/>
            <w:noWrap/>
            <w:vAlign w:val="bottom"/>
            <w:hideMark/>
          </w:tcPr>
          <w:p w14:paraId="521C8AE5"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d=-0.508</w:t>
            </w:r>
          </w:p>
        </w:tc>
        <w:tc>
          <w:tcPr>
            <w:tcW w:w="850" w:type="dxa"/>
            <w:tcBorders>
              <w:top w:val="nil"/>
              <w:left w:val="nil"/>
              <w:bottom w:val="nil"/>
              <w:right w:val="nil"/>
            </w:tcBorders>
            <w:shd w:val="clear" w:color="auto" w:fill="auto"/>
            <w:noWrap/>
            <w:vAlign w:val="bottom"/>
            <w:hideMark/>
          </w:tcPr>
          <w:p w14:paraId="2C095EA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86" w:type="dxa"/>
            <w:tcBorders>
              <w:top w:val="nil"/>
              <w:left w:val="nil"/>
              <w:bottom w:val="nil"/>
              <w:right w:val="nil"/>
            </w:tcBorders>
            <w:shd w:val="clear" w:color="auto" w:fill="auto"/>
            <w:noWrap/>
            <w:vAlign w:val="bottom"/>
            <w:hideMark/>
          </w:tcPr>
          <w:p w14:paraId="7E807F2F"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d=-0.594</w:t>
            </w:r>
          </w:p>
        </w:tc>
        <w:tc>
          <w:tcPr>
            <w:tcW w:w="851" w:type="dxa"/>
            <w:tcBorders>
              <w:top w:val="nil"/>
              <w:left w:val="nil"/>
              <w:bottom w:val="nil"/>
              <w:right w:val="nil"/>
            </w:tcBorders>
            <w:shd w:val="clear" w:color="auto" w:fill="auto"/>
            <w:noWrap/>
            <w:vAlign w:val="bottom"/>
            <w:hideMark/>
          </w:tcPr>
          <w:p w14:paraId="229C247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&lt;0.001</w:t>
            </w:r>
          </w:p>
        </w:tc>
        <w:tc>
          <w:tcPr>
            <w:tcW w:w="993" w:type="dxa"/>
            <w:gridSpan w:val="2"/>
            <w:tcBorders>
              <w:top w:val="nil"/>
              <w:left w:val="nil"/>
              <w:bottom w:val="nil"/>
              <w:right w:val="nil"/>
            </w:tcBorders>
            <w:shd w:val="clear" w:color="auto" w:fill="auto"/>
            <w:noWrap/>
            <w:vAlign w:val="bottom"/>
            <w:hideMark/>
          </w:tcPr>
          <w:p w14:paraId="5B2F9C68"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d=0.195</w:t>
            </w:r>
          </w:p>
        </w:tc>
        <w:tc>
          <w:tcPr>
            <w:tcW w:w="850" w:type="dxa"/>
            <w:tcBorders>
              <w:top w:val="nil"/>
              <w:left w:val="nil"/>
              <w:bottom w:val="nil"/>
              <w:right w:val="nil"/>
            </w:tcBorders>
            <w:shd w:val="clear" w:color="auto" w:fill="auto"/>
            <w:noWrap/>
            <w:vAlign w:val="bottom"/>
            <w:hideMark/>
          </w:tcPr>
          <w:p w14:paraId="4C901DF1"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0.232</w:t>
            </w:r>
          </w:p>
        </w:tc>
        <w:tc>
          <w:tcPr>
            <w:tcW w:w="992" w:type="dxa"/>
            <w:gridSpan w:val="2"/>
            <w:tcBorders>
              <w:top w:val="nil"/>
              <w:left w:val="nil"/>
              <w:bottom w:val="nil"/>
              <w:right w:val="nil"/>
            </w:tcBorders>
            <w:shd w:val="clear" w:color="auto" w:fill="auto"/>
            <w:noWrap/>
            <w:vAlign w:val="bottom"/>
            <w:hideMark/>
          </w:tcPr>
          <w:p w14:paraId="4FD9906C"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d=0.340</w:t>
            </w:r>
          </w:p>
        </w:tc>
        <w:tc>
          <w:tcPr>
            <w:tcW w:w="851" w:type="dxa"/>
            <w:tcBorders>
              <w:top w:val="nil"/>
              <w:left w:val="nil"/>
              <w:bottom w:val="nil"/>
              <w:right w:val="nil"/>
            </w:tcBorders>
            <w:shd w:val="clear" w:color="auto" w:fill="auto"/>
            <w:noWrap/>
            <w:vAlign w:val="bottom"/>
            <w:hideMark/>
          </w:tcPr>
          <w:p w14:paraId="68867252"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0.289</w:t>
            </w:r>
          </w:p>
        </w:tc>
      </w:tr>
      <w:tr w:rsidR="000845A6" w:rsidRPr="00F11FCF" w14:paraId="5BF55D02" w14:textId="77777777" w:rsidTr="00D962A8">
        <w:trPr>
          <w:gridAfter w:val="1"/>
          <w:wAfter w:w="6" w:type="dxa"/>
          <w:trHeight w:val="300"/>
        </w:trPr>
        <w:tc>
          <w:tcPr>
            <w:tcW w:w="1388" w:type="dxa"/>
            <w:tcBorders>
              <w:top w:val="nil"/>
              <w:left w:val="nil"/>
              <w:bottom w:val="nil"/>
              <w:right w:val="nil"/>
            </w:tcBorders>
            <w:shd w:val="clear" w:color="auto" w:fill="auto"/>
            <w:noWrap/>
            <w:vAlign w:val="bottom"/>
            <w:hideMark/>
          </w:tcPr>
          <w:p w14:paraId="15F1E8F3" w14:textId="2F4566EB" w:rsidR="000845A6" w:rsidRPr="00DE361E" w:rsidRDefault="005642C3" w:rsidP="00D962A8">
            <w:pPr>
              <w:spacing w:after="0" w:line="360" w:lineRule="auto"/>
              <w:rPr>
                <w:rFonts w:ascii="Times New Roman" w:eastAsia="Times New Roman" w:hAnsi="Times New Roman" w:cs="Times New Roman"/>
                <w:color w:val="000000"/>
                <w:sz w:val="20"/>
                <w:szCs w:val="20"/>
                <w:lang w:val="de-DE" w:eastAsia="de-DE"/>
              </w:rPr>
            </w:pPr>
            <w:r>
              <w:rPr>
                <w:rFonts w:ascii="Times New Roman" w:eastAsia="Times New Roman" w:hAnsi="Times New Roman" w:cs="Times New Roman"/>
                <w:color w:val="000000"/>
                <w:sz w:val="20"/>
                <w:szCs w:val="20"/>
                <w:lang w:val="de-DE" w:eastAsia="de-DE"/>
              </w:rPr>
              <w:t>M</w:t>
            </w:r>
            <w:r w:rsidR="000845A6" w:rsidRPr="00DE361E">
              <w:rPr>
                <w:rFonts w:ascii="Times New Roman" w:eastAsia="Times New Roman" w:hAnsi="Times New Roman" w:cs="Times New Roman"/>
                <w:color w:val="000000"/>
                <w:sz w:val="20"/>
                <w:szCs w:val="20"/>
                <w:lang w:val="de-DE" w:eastAsia="de-DE"/>
              </w:rPr>
              <w:t>igration</w:t>
            </w:r>
          </w:p>
        </w:tc>
        <w:tc>
          <w:tcPr>
            <w:tcW w:w="1022" w:type="dxa"/>
            <w:tcBorders>
              <w:top w:val="nil"/>
              <w:left w:val="nil"/>
              <w:bottom w:val="nil"/>
              <w:right w:val="nil"/>
            </w:tcBorders>
            <w:shd w:val="clear" w:color="auto" w:fill="auto"/>
            <w:noWrap/>
            <w:vAlign w:val="bottom"/>
            <w:hideMark/>
          </w:tcPr>
          <w:p w14:paraId="7C82654D"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d=-0.135</w:t>
            </w:r>
          </w:p>
        </w:tc>
        <w:tc>
          <w:tcPr>
            <w:tcW w:w="709" w:type="dxa"/>
            <w:tcBorders>
              <w:top w:val="nil"/>
              <w:left w:val="nil"/>
              <w:bottom w:val="nil"/>
              <w:right w:val="nil"/>
            </w:tcBorders>
            <w:shd w:val="clear" w:color="auto" w:fill="auto"/>
            <w:noWrap/>
            <w:vAlign w:val="bottom"/>
            <w:hideMark/>
          </w:tcPr>
          <w:p w14:paraId="31752F9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-1.18</w:t>
            </w:r>
          </w:p>
        </w:tc>
        <w:tc>
          <w:tcPr>
            <w:tcW w:w="850" w:type="dxa"/>
            <w:tcBorders>
              <w:top w:val="nil"/>
              <w:left w:val="nil"/>
              <w:bottom w:val="nil"/>
              <w:right w:val="nil"/>
            </w:tcBorders>
            <w:shd w:val="clear" w:color="auto" w:fill="auto"/>
            <w:noWrap/>
            <w:vAlign w:val="bottom"/>
            <w:hideMark/>
          </w:tcPr>
          <w:p w14:paraId="77AE7310"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-0.333</w:t>
            </w:r>
          </w:p>
        </w:tc>
        <w:tc>
          <w:tcPr>
            <w:tcW w:w="851" w:type="dxa"/>
            <w:tcBorders>
              <w:top w:val="nil"/>
              <w:left w:val="nil"/>
              <w:bottom w:val="nil"/>
              <w:right w:val="nil"/>
            </w:tcBorders>
            <w:shd w:val="clear" w:color="auto" w:fill="auto"/>
            <w:noWrap/>
            <w:vAlign w:val="bottom"/>
            <w:hideMark/>
          </w:tcPr>
          <w:p w14:paraId="7A811F26"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0.083</w:t>
            </w:r>
          </w:p>
        </w:tc>
        <w:tc>
          <w:tcPr>
            <w:tcW w:w="709" w:type="dxa"/>
            <w:tcBorders>
              <w:top w:val="nil"/>
              <w:left w:val="nil"/>
              <w:bottom w:val="nil"/>
              <w:right w:val="nil"/>
            </w:tcBorders>
            <w:shd w:val="clear" w:color="auto" w:fill="auto"/>
            <w:noWrap/>
            <w:vAlign w:val="bottom"/>
            <w:hideMark/>
          </w:tcPr>
          <w:p w14:paraId="4694FC33"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D31A58">
              <w:rPr>
                <w:rFonts w:ascii="Times New Roman" w:eastAsia="Times New Roman" w:hAnsi="Times New Roman" w:cs="Times New Roman"/>
                <w:color w:val="000000"/>
                <w:lang w:val="de-DE" w:eastAsia="de-DE"/>
              </w:rPr>
              <w:t>54</w:t>
            </w:r>
            <w:r w:rsidRPr="00F11FCF">
              <w:rPr>
                <w:rFonts w:ascii="Times New Roman" w:eastAsia="Times New Roman" w:hAnsi="Times New Roman" w:cs="Times New Roman"/>
                <w:color w:val="000000"/>
                <w:lang w:val="de-DE" w:eastAsia="de-DE"/>
              </w:rPr>
              <w:t>%</w:t>
            </w:r>
          </w:p>
        </w:tc>
        <w:tc>
          <w:tcPr>
            <w:tcW w:w="992" w:type="dxa"/>
            <w:tcBorders>
              <w:top w:val="nil"/>
              <w:left w:val="nil"/>
              <w:bottom w:val="nil"/>
              <w:right w:val="nil"/>
            </w:tcBorders>
            <w:shd w:val="clear" w:color="auto" w:fill="auto"/>
            <w:noWrap/>
            <w:vAlign w:val="bottom"/>
            <w:hideMark/>
          </w:tcPr>
          <w:p w14:paraId="5C9C130E"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d=0.123</w:t>
            </w:r>
          </w:p>
        </w:tc>
        <w:tc>
          <w:tcPr>
            <w:tcW w:w="850" w:type="dxa"/>
            <w:tcBorders>
              <w:top w:val="nil"/>
              <w:left w:val="nil"/>
              <w:bottom w:val="nil"/>
              <w:right w:val="nil"/>
            </w:tcBorders>
            <w:shd w:val="clear" w:color="auto" w:fill="auto"/>
            <w:noWrap/>
            <w:vAlign w:val="bottom"/>
            <w:hideMark/>
          </w:tcPr>
          <w:p w14:paraId="6A93FAD1"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0.353</w:t>
            </w:r>
          </w:p>
        </w:tc>
        <w:tc>
          <w:tcPr>
            <w:tcW w:w="993" w:type="dxa"/>
            <w:tcBorders>
              <w:top w:val="nil"/>
              <w:left w:val="nil"/>
              <w:bottom w:val="nil"/>
              <w:right w:val="nil"/>
            </w:tcBorders>
            <w:shd w:val="clear" w:color="auto" w:fill="auto"/>
            <w:noWrap/>
            <w:vAlign w:val="bottom"/>
            <w:hideMark/>
          </w:tcPr>
          <w:p w14:paraId="4A0A11FF"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d=-0.193</w:t>
            </w:r>
          </w:p>
        </w:tc>
        <w:tc>
          <w:tcPr>
            <w:tcW w:w="850" w:type="dxa"/>
            <w:tcBorders>
              <w:top w:val="nil"/>
              <w:left w:val="nil"/>
              <w:bottom w:val="nil"/>
              <w:right w:val="nil"/>
            </w:tcBorders>
            <w:shd w:val="clear" w:color="auto" w:fill="auto"/>
            <w:noWrap/>
            <w:vAlign w:val="bottom"/>
            <w:hideMark/>
          </w:tcPr>
          <w:p w14:paraId="7F6136F4"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0.313</w:t>
            </w:r>
          </w:p>
        </w:tc>
        <w:tc>
          <w:tcPr>
            <w:tcW w:w="986" w:type="dxa"/>
            <w:tcBorders>
              <w:top w:val="nil"/>
              <w:left w:val="nil"/>
              <w:bottom w:val="nil"/>
              <w:right w:val="nil"/>
            </w:tcBorders>
            <w:shd w:val="clear" w:color="auto" w:fill="auto"/>
            <w:noWrap/>
            <w:vAlign w:val="bottom"/>
            <w:hideMark/>
          </w:tcPr>
          <w:p w14:paraId="4F862E3E" w14:textId="77777777" w:rsidR="000845A6" w:rsidRPr="00F11FCF" w:rsidRDefault="000845A6" w:rsidP="00D962A8">
            <w:pPr>
              <w:spacing w:after="0" w:line="360" w:lineRule="auto"/>
              <w:jc w:val="center"/>
              <w:rPr>
                <w:rFonts w:ascii="Times New Roman" w:eastAsia="Times New Roman" w:hAnsi="Times New Roman" w:cs="Times New Roman"/>
                <w:b/>
                <w:bCs/>
                <w:color w:val="000000"/>
                <w:lang w:val="de-DE" w:eastAsia="de-DE"/>
              </w:rPr>
            </w:pPr>
            <w:r w:rsidRPr="00F11FCF">
              <w:rPr>
                <w:rFonts w:ascii="Times New Roman" w:eastAsia="Times New Roman" w:hAnsi="Times New Roman" w:cs="Times New Roman"/>
                <w:b/>
                <w:bCs/>
                <w:color w:val="000000"/>
                <w:lang w:val="de-DE" w:eastAsia="de-DE"/>
              </w:rPr>
              <w:t>d=-0.390</w:t>
            </w:r>
          </w:p>
        </w:tc>
        <w:tc>
          <w:tcPr>
            <w:tcW w:w="851" w:type="dxa"/>
            <w:tcBorders>
              <w:top w:val="nil"/>
              <w:left w:val="nil"/>
              <w:bottom w:val="nil"/>
              <w:right w:val="nil"/>
            </w:tcBorders>
            <w:shd w:val="clear" w:color="auto" w:fill="auto"/>
            <w:noWrap/>
            <w:vAlign w:val="bottom"/>
            <w:hideMark/>
          </w:tcPr>
          <w:p w14:paraId="69A8E73F"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0.001</w:t>
            </w:r>
          </w:p>
        </w:tc>
        <w:tc>
          <w:tcPr>
            <w:tcW w:w="993" w:type="dxa"/>
            <w:gridSpan w:val="2"/>
            <w:tcBorders>
              <w:top w:val="nil"/>
              <w:left w:val="nil"/>
              <w:bottom w:val="nil"/>
              <w:right w:val="nil"/>
            </w:tcBorders>
            <w:shd w:val="clear" w:color="auto" w:fill="auto"/>
            <w:noWrap/>
            <w:vAlign w:val="bottom"/>
            <w:hideMark/>
          </w:tcPr>
          <w:p w14:paraId="0FBC5D37"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d=-0.009</w:t>
            </w:r>
          </w:p>
        </w:tc>
        <w:tc>
          <w:tcPr>
            <w:tcW w:w="850" w:type="dxa"/>
            <w:tcBorders>
              <w:top w:val="nil"/>
              <w:left w:val="nil"/>
              <w:bottom w:val="nil"/>
              <w:right w:val="nil"/>
            </w:tcBorders>
            <w:shd w:val="clear" w:color="auto" w:fill="auto"/>
            <w:noWrap/>
            <w:vAlign w:val="bottom"/>
            <w:hideMark/>
          </w:tcPr>
          <w:p w14:paraId="4850CE16"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0.956</w:t>
            </w:r>
          </w:p>
        </w:tc>
        <w:tc>
          <w:tcPr>
            <w:tcW w:w="992" w:type="dxa"/>
            <w:gridSpan w:val="2"/>
            <w:tcBorders>
              <w:top w:val="nil"/>
              <w:left w:val="nil"/>
              <w:bottom w:val="nil"/>
              <w:right w:val="nil"/>
            </w:tcBorders>
            <w:shd w:val="clear" w:color="auto" w:fill="auto"/>
            <w:noWrap/>
            <w:vAlign w:val="bottom"/>
            <w:hideMark/>
          </w:tcPr>
          <w:p w14:paraId="5EFF0A4A"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d=-0.144</w:t>
            </w:r>
          </w:p>
        </w:tc>
        <w:tc>
          <w:tcPr>
            <w:tcW w:w="851" w:type="dxa"/>
            <w:tcBorders>
              <w:top w:val="nil"/>
              <w:left w:val="nil"/>
              <w:bottom w:val="nil"/>
              <w:right w:val="nil"/>
            </w:tcBorders>
            <w:shd w:val="clear" w:color="auto" w:fill="auto"/>
            <w:noWrap/>
            <w:vAlign w:val="bottom"/>
            <w:hideMark/>
          </w:tcPr>
          <w:p w14:paraId="793AB316" w14:textId="77777777" w:rsidR="000845A6" w:rsidRPr="00F11FCF" w:rsidRDefault="000845A6" w:rsidP="00D962A8">
            <w:pPr>
              <w:spacing w:after="0" w:line="360" w:lineRule="auto"/>
              <w:jc w:val="center"/>
              <w:rPr>
                <w:rFonts w:ascii="Times New Roman" w:eastAsia="Times New Roman" w:hAnsi="Times New Roman" w:cs="Times New Roman"/>
                <w:color w:val="000000"/>
                <w:lang w:val="de-DE" w:eastAsia="de-DE"/>
              </w:rPr>
            </w:pPr>
            <w:r w:rsidRPr="00F11FCF">
              <w:rPr>
                <w:rFonts w:ascii="Times New Roman" w:eastAsia="Times New Roman" w:hAnsi="Times New Roman" w:cs="Times New Roman"/>
                <w:color w:val="000000"/>
                <w:lang w:val="de-DE" w:eastAsia="de-DE"/>
              </w:rPr>
              <w:t>0.494</w:t>
            </w:r>
          </w:p>
        </w:tc>
      </w:tr>
      <w:tr w:rsidR="000845A6" w:rsidRPr="00D31A58" w14:paraId="223AB88D" w14:textId="77777777" w:rsidTr="00D962A8">
        <w:trPr>
          <w:gridAfter w:val="1"/>
          <w:wAfter w:w="6" w:type="dxa"/>
          <w:trHeight w:val="300"/>
        </w:trPr>
        <w:tc>
          <w:tcPr>
            <w:tcW w:w="14737" w:type="dxa"/>
            <w:gridSpan w:val="18"/>
            <w:tcBorders>
              <w:top w:val="nil"/>
              <w:left w:val="nil"/>
              <w:bottom w:val="nil"/>
              <w:right w:val="nil"/>
            </w:tcBorders>
            <w:shd w:val="clear" w:color="auto" w:fill="auto"/>
            <w:noWrap/>
            <w:vAlign w:val="bottom"/>
          </w:tcPr>
          <w:p w14:paraId="6EFE060B" w14:textId="164AC421" w:rsidR="000D03A9" w:rsidRPr="00D31A58" w:rsidRDefault="000845A6" w:rsidP="00D962A8">
            <w:pPr>
              <w:jc w:val="both"/>
              <w:rPr>
                <w:rFonts w:ascii="Calibri" w:eastAsia="Times New Roman" w:hAnsi="Calibri" w:cs="Calibri"/>
                <w:color w:val="000000"/>
                <w:lang w:val="en-US" w:eastAsia="de-DE"/>
              </w:rPr>
            </w:pPr>
            <w:r w:rsidRPr="008C3932">
              <w:rPr>
                <w:rFonts w:ascii="Times New Roman" w:eastAsia="DengXian" w:hAnsi="Times New Roman" w:cs="Times New Roman"/>
                <w:i/>
                <w:iCs/>
                <w:color w:val="000000" w:themeColor="text1"/>
                <w:lang w:eastAsia="zh-CN"/>
              </w:rPr>
              <w:t xml:space="preserve">Note. </w:t>
            </w:r>
            <w:r>
              <w:rPr>
                <w:rFonts w:ascii="Times New Roman" w:eastAsia="DengXian" w:hAnsi="Times New Roman" w:cs="Times New Roman"/>
                <w:color w:val="000000" w:themeColor="text1"/>
                <w:lang w:eastAsia="zh-CN"/>
              </w:rPr>
              <w:t xml:space="preserve">Pearson correlation or Cohen’s d and independent groups T-tests were calculated for the associations in each individual site. Results from the five sites were </w:t>
            </w:r>
            <w:proofErr w:type="spellStart"/>
            <w:r>
              <w:rPr>
                <w:rFonts w:ascii="Times New Roman" w:eastAsia="DengXian" w:hAnsi="Times New Roman" w:cs="Times New Roman"/>
                <w:color w:val="000000" w:themeColor="text1"/>
                <w:lang w:eastAsia="zh-CN"/>
              </w:rPr>
              <w:t>intergrated</w:t>
            </w:r>
            <w:proofErr w:type="spellEnd"/>
            <w:r>
              <w:rPr>
                <w:rFonts w:ascii="Times New Roman" w:eastAsia="DengXian" w:hAnsi="Times New Roman" w:cs="Times New Roman"/>
                <w:color w:val="000000" w:themeColor="text1"/>
                <w:lang w:eastAsia="zh-CN"/>
              </w:rPr>
              <w:t xml:space="preserve"> with a random-effects meta-analysis. Significant results are printed in bold.</w:t>
            </w:r>
          </w:p>
        </w:tc>
      </w:tr>
    </w:tbl>
    <w:p w14:paraId="41C6CA12" w14:textId="77777777" w:rsidR="000845A6" w:rsidRDefault="000845A6" w:rsidP="000845A6">
      <w:pPr>
        <w:spacing w:line="360" w:lineRule="auto"/>
        <w:rPr>
          <w:rFonts w:ascii="Times New Roman" w:hAnsi="Times New Roman" w:cs="Times New Roman"/>
          <w:b/>
          <w:color w:val="000000" w:themeColor="text1"/>
          <w:sz w:val="24"/>
          <w:szCs w:val="24"/>
        </w:rPr>
        <w:sectPr w:rsidR="000845A6" w:rsidSect="00D962A8">
          <w:pgSz w:w="16838" w:h="11906" w:orient="landscape"/>
          <w:pgMar w:top="1440" w:right="1440" w:bottom="1440" w:left="1440" w:header="709" w:footer="709" w:gutter="0"/>
          <w:cols w:space="708"/>
          <w:docGrid w:linePitch="360"/>
        </w:sectPr>
      </w:pPr>
    </w:p>
    <w:p w14:paraId="41355A1B" w14:textId="680C6C06" w:rsidR="0013426A" w:rsidRDefault="0013426A" w:rsidP="000845A6">
      <w:pPr>
        <w:spacing w:line="360" w:lineRule="auto"/>
      </w:pPr>
    </w:p>
    <w:sectPr w:rsidR="00134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0D2B" w14:textId="77777777" w:rsidR="004E64C8" w:rsidRDefault="004E64C8">
      <w:pPr>
        <w:spacing w:after="0" w:line="240" w:lineRule="auto"/>
      </w:pPr>
      <w:r>
        <w:separator/>
      </w:r>
    </w:p>
  </w:endnote>
  <w:endnote w:type="continuationSeparator" w:id="0">
    <w:p w14:paraId="13B2C9F4" w14:textId="77777777" w:rsidR="004E64C8" w:rsidRDefault="004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909458"/>
      <w:docPartObj>
        <w:docPartGallery w:val="Page Numbers (Bottom of Page)"/>
        <w:docPartUnique/>
      </w:docPartObj>
    </w:sdtPr>
    <w:sdtEndPr>
      <w:rPr>
        <w:noProof/>
      </w:rPr>
    </w:sdtEndPr>
    <w:sdtContent>
      <w:p w14:paraId="410077B8" w14:textId="4BA598C2" w:rsidR="006D666D" w:rsidRDefault="006D666D">
        <w:pPr>
          <w:pStyle w:val="Footer"/>
          <w:jc w:val="center"/>
        </w:pPr>
        <w:r w:rsidRPr="002357E3">
          <w:rPr>
            <w:rFonts w:ascii="Times New Roman" w:hAnsi="Times New Roman" w:cs="Times New Roman"/>
            <w:sz w:val="20"/>
            <w:szCs w:val="20"/>
          </w:rPr>
          <w:fldChar w:fldCharType="begin"/>
        </w:r>
        <w:r w:rsidRPr="002357E3">
          <w:rPr>
            <w:rFonts w:ascii="Times New Roman" w:hAnsi="Times New Roman" w:cs="Times New Roman"/>
            <w:sz w:val="20"/>
            <w:szCs w:val="20"/>
          </w:rPr>
          <w:instrText xml:space="preserve"> PAGE   \* MERGEFORMAT </w:instrText>
        </w:r>
        <w:r w:rsidRPr="002357E3">
          <w:rPr>
            <w:rFonts w:ascii="Times New Roman" w:hAnsi="Times New Roman" w:cs="Times New Roman"/>
            <w:sz w:val="20"/>
            <w:szCs w:val="20"/>
          </w:rPr>
          <w:fldChar w:fldCharType="separate"/>
        </w:r>
        <w:r w:rsidR="001618DC">
          <w:rPr>
            <w:rFonts w:ascii="Times New Roman" w:hAnsi="Times New Roman" w:cs="Times New Roman"/>
            <w:noProof/>
            <w:sz w:val="20"/>
            <w:szCs w:val="20"/>
          </w:rPr>
          <w:t>1</w:t>
        </w:r>
        <w:r w:rsidRPr="002357E3">
          <w:rPr>
            <w:rFonts w:ascii="Times New Roman" w:hAnsi="Times New Roman" w:cs="Times New Roman"/>
            <w:noProof/>
            <w:sz w:val="20"/>
            <w:szCs w:val="20"/>
          </w:rPr>
          <w:fldChar w:fldCharType="end"/>
        </w:r>
      </w:p>
    </w:sdtContent>
  </w:sdt>
  <w:p w14:paraId="49FD9686" w14:textId="77777777" w:rsidR="006D666D" w:rsidRDefault="006D6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00330"/>
      <w:docPartObj>
        <w:docPartGallery w:val="Page Numbers (Bottom of Page)"/>
        <w:docPartUnique/>
      </w:docPartObj>
    </w:sdtPr>
    <w:sdtEndPr>
      <w:rPr>
        <w:noProof/>
      </w:rPr>
    </w:sdtEndPr>
    <w:sdtContent>
      <w:p w14:paraId="5DD03657" w14:textId="7F095ED8" w:rsidR="006D666D" w:rsidRDefault="006D666D">
        <w:pPr>
          <w:pStyle w:val="Footer"/>
          <w:jc w:val="center"/>
        </w:pPr>
        <w:r>
          <w:fldChar w:fldCharType="begin"/>
        </w:r>
        <w:r>
          <w:instrText xml:space="preserve"> PAGE   \* MERGEFORMAT </w:instrText>
        </w:r>
        <w:r>
          <w:fldChar w:fldCharType="separate"/>
        </w:r>
        <w:r w:rsidR="005359ED">
          <w:rPr>
            <w:noProof/>
          </w:rPr>
          <w:t>22</w:t>
        </w:r>
        <w:r>
          <w:rPr>
            <w:noProof/>
          </w:rPr>
          <w:fldChar w:fldCharType="end"/>
        </w:r>
      </w:p>
    </w:sdtContent>
  </w:sdt>
  <w:p w14:paraId="17C18EB6" w14:textId="77777777" w:rsidR="006D666D" w:rsidRDefault="006D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F2D1" w14:textId="77777777" w:rsidR="004E64C8" w:rsidRDefault="004E64C8">
      <w:pPr>
        <w:spacing w:after="0" w:line="240" w:lineRule="auto"/>
      </w:pPr>
      <w:r>
        <w:separator/>
      </w:r>
    </w:p>
  </w:footnote>
  <w:footnote w:type="continuationSeparator" w:id="0">
    <w:p w14:paraId="4B8E364A" w14:textId="77777777" w:rsidR="004E64C8" w:rsidRDefault="004E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BEA" w14:textId="018E7054" w:rsidR="006D666D" w:rsidRPr="003839B3" w:rsidRDefault="006D666D" w:rsidP="003836F0">
    <w:pPr>
      <w:pStyle w:val="Header"/>
      <w:jc w:val="right"/>
      <w:rPr>
        <w:rFonts w:ascii="Times New Roman" w:hAnsi="Times New Roman" w:cs="Times New Roman"/>
        <w:sz w:val="24"/>
        <w:szCs w:val="24"/>
      </w:rPr>
    </w:pPr>
    <w:r w:rsidRPr="003839B3">
      <w:rPr>
        <w:rFonts w:ascii="Times New Roman" w:hAnsi="Times New Roman" w:cs="Times New Roman"/>
        <w:sz w:val="24"/>
        <w:szCs w:val="24"/>
      </w:rPr>
      <w:t xml:space="preserve">Pandemic Paranoia </w:t>
    </w:r>
    <w:r>
      <w:rPr>
        <w:rFonts w:ascii="Times New Roman" w:hAnsi="Times New Roman" w:cs="Times New Roman"/>
        <w:sz w:val="24"/>
        <w:szCs w:val="24"/>
      </w:rPr>
      <w:t>Prevalence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296" w14:textId="77777777" w:rsidR="006D666D" w:rsidRDefault="006D666D" w:rsidP="00D962A8">
    <w:pPr>
      <w:pStyle w:val="Header"/>
      <w:jc w:val="right"/>
    </w:pPr>
    <w:r>
      <w:t>Pandemic Paranoia Prevalence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D9D"/>
    <w:multiLevelType w:val="hybridMultilevel"/>
    <w:tmpl w:val="7478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6116E"/>
    <w:multiLevelType w:val="hybridMultilevel"/>
    <w:tmpl w:val="0A24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D0C76"/>
    <w:multiLevelType w:val="hybridMultilevel"/>
    <w:tmpl w:val="B8D8BCB2"/>
    <w:lvl w:ilvl="0" w:tplc="957C4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A47E50"/>
    <w:multiLevelType w:val="hybridMultilevel"/>
    <w:tmpl w:val="0D2222F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D7D376B"/>
    <w:multiLevelType w:val="hybridMultilevel"/>
    <w:tmpl w:val="903E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E6A83"/>
    <w:multiLevelType w:val="multilevel"/>
    <w:tmpl w:val="F468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6F175E"/>
    <w:multiLevelType w:val="hybridMultilevel"/>
    <w:tmpl w:val="F2AC51FC"/>
    <w:lvl w:ilvl="0" w:tplc="CB506F78">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D784D"/>
    <w:multiLevelType w:val="hybridMultilevel"/>
    <w:tmpl w:val="EFF664E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D24B3C"/>
    <w:multiLevelType w:val="hybridMultilevel"/>
    <w:tmpl w:val="DEBE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B5B8C"/>
    <w:multiLevelType w:val="hybridMultilevel"/>
    <w:tmpl w:val="7E06383E"/>
    <w:lvl w:ilvl="0" w:tplc="0B9CA4D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34A0E"/>
    <w:multiLevelType w:val="hybridMultilevel"/>
    <w:tmpl w:val="9424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829806">
    <w:abstractNumId w:val="7"/>
  </w:num>
  <w:num w:numId="2" w16cid:durableId="1762602999">
    <w:abstractNumId w:val="6"/>
  </w:num>
  <w:num w:numId="3" w16cid:durableId="1207372852">
    <w:abstractNumId w:val="9"/>
  </w:num>
  <w:num w:numId="4" w16cid:durableId="1809082019">
    <w:abstractNumId w:val="5"/>
  </w:num>
  <w:num w:numId="5" w16cid:durableId="185145596">
    <w:abstractNumId w:val="10"/>
  </w:num>
  <w:num w:numId="6" w16cid:durableId="1529903593">
    <w:abstractNumId w:val="8"/>
  </w:num>
  <w:num w:numId="7" w16cid:durableId="885141796">
    <w:abstractNumId w:val="1"/>
  </w:num>
  <w:num w:numId="8" w16cid:durableId="2076470467">
    <w:abstractNumId w:val="2"/>
  </w:num>
  <w:num w:numId="9" w16cid:durableId="444888646">
    <w:abstractNumId w:val="4"/>
  </w:num>
  <w:num w:numId="10" w16cid:durableId="19168400">
    <w:abstractNumId w:val="0"/>
  </w:num>
  <w:num w:numId="11" w16cid:durableId="1864175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C8"/>
    <w:rsid w:val="00011380"/>
    <w:rsid w:val="00030E41"/>
    <w:rsid w:val="00032DA5"/>
    <w:rsid w:val="00033DBA"/>
    <w:rsid w:val="00034546"/>
    <w:rsid w:val="00055554"/>
    <w:rsid w:val="00055B97"/>
    <w:rsid w:val="00055F7F"/>
    <w:rsid w:val="00071F2D"/>
    <w:rsid w:val="00072569"/>
    <w:rsid w:val="000845A6"/>
    <w:rsid w:val="000A466C"/>
    <w:rsid w:val="000B6625"/>
    <w:rsid w:val="000D03A9"/>
    <w:rsid w:val="000D4852"/>
    <w:rsid w:val="000E3C62"/>
    <w:rsid w:val="000F190C"/>
    <w:rsid w:val="000F200D"/>
    <w:rsid w:val="000F32F0"/>
    <w:rsid w:val="00122129"/>
    <w:rsid w:val="0013426A"/>
    <w:rsid w:val="001378CA"/>
    <w:rsid w:val="00155C4F"/>
    <w:rsid w:val="00157BD9"/>
    <w:rsid w:val="001618DC"/>
    <w:rsid w:val="00170B87"/>
    <w:rsid w:val="00176BBA"/>
    <w:rsid w:val="00183F1B"/>
    <w:rsid w:val="001C072E"/>
    <w:rsid w:val="001C0C76"/>
    <w:rsid w:val="001C39B9"/>
    <w:rsid w:val="001F3C6B"/>
    <w:rsid w:val="002029AB"/>
    <w:rsid w:val="0021215B"/>
    <w:rsid w:val="002121F6"/>
    <w:rsid w:val="002154FB"/>
    <w:rsid w:val="002159A8"/>
    <w:rsid w:val="00225359"/>
    <w:rsid w:val="0023133C"/>
    <w:rsid w:val="00243DF4"/>
    <w:rsid w:val="0026017F"/>
    <w:rsid w:val="00264697"/>
    <w:rsid w:val="0026589A"/>
    <w:rsid w:val="00267EA6"/>
    <w:rsid w:val="002B4C7D"/>
    <w:rsid w:val="002C3E7C"/>
    <w:rsid w:val="002C7F24"/>
    <w:rsid w:val="002D60A7"/>
    <w:rsid w:val="002E2E85"/>
    <w:rsid w:val="002E51EA"/>
    <w:rsid w:val="002F4736"/>
    <w:rsid w:val="00315ECD"/>
    <w:rsid w:val="00320041"/>
    <w:rsid w:val="00322143"/>
    <w:rsid w:val="00334D9B"/>
    <w:rsid w:val="0034382A"/>
    <w:rsid w:val="00343A7A"/>
    <w:rsid w:val="00364FC6"/>
    <w:rsid w:val="00365C0B"/>
    <w:rsid w:val="0037428F"/>
    <w:rsid w:val="003836F0"/>
    <w:rsid w:val="00385AB0"/>
    <w:rsid w:val="00387312"/>
    <w:rsid w:val="00392CD1"/>
    <w:rsid w:val="00394A0E"/>
    <w:rsid w:val="00397433"/>
    <w:rsid w:val="003A0435"/>
    <w:rsid w:val="003A0F9C"/>
    <w:rsid w:val="003A5B5A"/>
    <w:rsid w:val="003B4CF5"/>
    <w:rsid w:val="003B5DFE"/>
    <w:rsid w:val="003C300A"/>
    <w:rsid w:val="003D5362"/>
    <w:rsid w:val="003F2F45"/>
    <w:rsid w:val="0040174A"/>
    <w:rsid w:val="00403C73"/>
    <w:rsid w:val="004324DD"/>
    <w:rsid w:val="0044414E"/>
    <w:rsid w:val="004526E6"/>
    <w:rsid w:val="004545C8"/>
    <w:rsid w:val="0048109A"/>
    <w:rsid w:val="00497C23"/>
    <w:rsid w:val="004A275C"/>
    <w:rsid w:val="004B094F"/>
    <w:rsid w:val="004B141B"/>
    <w:rsid w:val="004B6AE7"/>
    <w:rsid w:val="004C11BF"/>
    <w:rsid w:val="004C708F"/>
    <w:rsid w:val="004D18A8"/>
    <w:rsid w:val="004E64C8"/>
    <w:rsid w:val="0051448E"/>
    <w:rsid w:val="005338F7"/>
    <w:rsid w:val="005359ED"/>
    <w:rsid w:val="005444C3"/>
    <w:rsid w:val="005642C3"/>
    <w:rsid w:val="00565324"/>
    <w:rsid w:val="005679D7"/>
    <w:rsid w:val="005713F8"/>
    <w:rsid w:val="005714AE"/>
    <w:rsid w:val="00574BF1"/>
    <w:rsid w:val="005832B3"/>
    <w:rsid w:val="00590D41"/>
    <w:rsid w:val="005958D1"/>
    <w:rsid w:val="005A0D45"/>
    <w:rsid w:val="005B1D15"/>
    <w:rsid w:val="005B457B"/>
    <w:rsid w:val="005F6760"/>
    <w:rsid w:val="00622A32"/>
    <w:rsid w:val="00632783"/>
    <w:rsid w:val="0065118D"/>
    <w:rsid w:val="006547FA"/>
    <w:rsid w:val="006558D5"/>
    <w:rsid w:val="00656ECF"/>
    <w:rsid w:val="0067245C"/>
    <w:rsid w:val="0068515A"/>
    <w:rsid w:val="0069196A"/>
    <w:rsid w:val="006A2C41"/>
    <w:rsid w:val="006B5B87"/>
    <w:rsid w:val="006D03E8"/>
    <w:rsid w:val="006D666D"/>
    <w:rsid w:val="006E244C"/>
    <w:rsid w:val="00711987"/>
    <w:rsid w:val="00712888"/>
    <w:rsid w:val="007138C7"/>
    <w:rsid w:val="00716F8E"/>
    <w:rsid w:val="00766BD6"/>
    <w:rsid w:val="0077556B"/>
    <w:rsid w:val="00783E2D"/>
    <w:rsid w:val="00785EFC"/>
    <w:rsid w:val="00792656"/>
    <w:rsid w:val="00795641"/>
    <w:rsid w:val="00796FD1"/>
    <w:rsid w:val="007C6799"/>
    <w:rsid w:val="007D4B57"/>
    <w:rsid w:val="007F384F"/>
    <w:rsid w:val="00805FC7"/>
    <w:rsid w:val="0081209F"/>
    <w:rsid w:val="00817369"/>
    <w:rsid w:val="00834439"/>
    <w:rsid w:val="00846A01"/>
    <w:rsid w:val="00855114"/>
    <w:rsid w:val="0086667C"/>
    <w:rsid w:val="008747A9"/>
    <w:rsid w:val="00876292"/>
    <w:rsid w:val="008858B3"/>
    <w:rsid w:val="00886532"/>
    <w:rsid w:val="0089597E"/>
    <w:rsid w:val="00897467"/>
    <w:rsid w:val="008B4223"/>
    <w:rsid w:val="008F47ED"/>
    <w:rsid w:val="00916C38"/>
    <w:rsid w:val="009174CA"/>
    <w:rsid w:val="0092195A"/>
    <w:rsid w:val="009678B2"/>
    <w:rsid w:val="00972E59"/>
    <w:rsid w:val="0097535E"/>
    <w:rsid w:val="00990820"/>
    <w:rsid w:val="009B1612"/>
    <w:rsid w:val="009D3097"/>
    <w:rsid w:val="009E54BB"/>
    <w:rsid w:val="00A32998"/>
    <w:rsid w:val="00A57036"/>
    <w:rsid w:val="00A63DD3"/>
    <w:rsid w:val="00A7227E"/>
    <w:rsid w:val="00A74BCC"/>
    <w:rsid w:val="00A8698C"/>
    <w:rsid w:val="00AC3EC7"/>
    <w:rsid w:val="00AE68EB"/>
    <w:rsid w:val="00B123C5"/>
    <w:rsid w:val="00B158D1"/>
    <w:rsid w:val="00B21FD4"/>
    <w:rsid w:val="00B23CE6"/>
    <w:rsid w:val="00B358DC"/>
    <w:rsid w:val="00B35E2B"/>
    <w:rsid w:val="00B415D6"/>
    <w:rsid w:val="00B42D1D"/>
    <w:rsid w:val="00B4455A"/>
    <w:rsid w:val="00B73FE0"/>
    <w:rsid w:val="00B82EE9"/>
    <w:rsid w:val="00B927E0"/>
    <w:rsid w:val="00BA14E4"/>
    <w:rsid w:val="00BA43BD"/>
    <w:rsid w:val="00BA45D0"/>
    <w:rsid w:val="00BC29FB"/>
    <w:rsid w:val="00BD0A5C"/>
    <w:rsid w:val="00BF7EA5"/>
    <w:rsid w:val="00C0214A"/>
    <w:rsid w:val="00C1261C"/>
    <w:rsid w:val="00C14F75"/>
    <w:rsid w:val="00C339C5"/>
    <w:rsid w:val="00C366A4"/>
    <w:rsid w:val="00C46675"/>
    <w:rsid w:val="00C51FAA"/>
    <w:rsid w:val="00C54A9C"/>
    <w:rsid w:val="00C54CEF"/>
    <w:rsid w:val="00C55097"/>
    <w:rsid w:val="00C7075E"/>
    <w:rsid w:val="00C731E4"/>
    <w:rsid w:val="00C76315"/>
    <w:rsid w:val="00CC1A94"/>
    <w:rsid w:val="00CD202C"/>
    <w:rsid w:val="00CD2C01"/>
    <w:rsid w:val="00CD4959"/>
    <w:rsid w:val="00CD514E"/>
    <w:rsid w:val="00CE1684"/>
    <w:rsid w:val="00CF0B68"/>
    <w:rsid w:val="00D4225F"/>
    <w:rsid w:val="00D51162"/>
    <w:rsid w:val="00D84C6E"/>
    <w:rsid w:val="00D95FC0"/>
    <w:rsid w:val="00D962A8"/>
    <w:rsid w:val="00DA32BB"/>
    <w:rsid w:val="00DC10CE"/>
    <w:rsid w:val="00DD2C42"/>
    <w:rsid w:val="00DD6995"/>
    <w:rsid w:val="00DE30D6"/>
    <w:rsid w:val="00DE361E"/>
    <w:rsid w:val="00E05665"/>
    <w:rsid w:val="00E1408C"/>
    <w:rsid w:val="00E14C37"/>
    <w:rsid w:val="00E165A8"/>
    <w:rsid w:val="00E22966"/>
    <w:rsid w:val="00E23876"/>
    <w:rsid w:val="00E3707E"/>
    <w:rsid w:val="00E54F70"/>
    <w:rsid w:val="00E7464D"/>
    <w:rsid w:val="00E8159E"/>
    <w:rsid w:val="00E837FD"/>
    <w:rsid w:val="00E9125C"/>
    <w:rsid w:val="00EA14CE"/>
    <w:rsid w:val="00EB144E"/>
    <w:rsid w:val="00EB1A46"/>
    <w:rsid w:val="00EB54DB"/>
    <w:rsid w:val="00ED2487"/>
    <w:rsid w:val="00ED3A90"/>
    <w:rsid w:val="00EE6B77"/>
    <w:rsid w:val="00F2543C"/>
    <w:rsid w:val="00F843C7"/>
    <w:rsid w:val="00F8484C"/>
    <w:rsid w:val="00F90822"/>
    <w:rsid w:val="00FA2676"/>
    <w:rsid w:val="00FB09F7"/>
    <w:rsid w:val="00FB2776"/>
    <w:rsid w:val="00FC172E"/>
    <w:rsid w:val="00FE087D"/>
    <w:rsid w:val="00FE4E58"/>
    <w:rsid w:val="00FE6F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9659"/>
  <w15:docId w15:val="{221F96E8-8746-4212-A789-A82617A3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5C8"/>
  </w:style>
  <w:style w:type="paragraph" w:styleId="Footer">
    <w:name w:val="footer"/>
    <w:basedOn w:val="Normal"/>
    <w:link w:val="FooterChar"/>
    <w:uiPriority w:val="99"/>
    <w:unhideWhenUsed/>
    <w:rsid w:val="0045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5C8"/>
  </w:style>
  <w:style w:type="paragraph" w:styleId="BalloonText">
    <w:name w:val="Balloon Text"/>
    <w:basedOn w:val="Normal"/>
    <w:link w:val="BalloonTextChar"/>
    <w:uiPriority w:val="99"/>
    <w:semiHidden/>
    <w:unhideWhenUsed/>
    <w:rsid w:val="0038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hAnsi="Tahoma" w:cs="Tahoma"/>
      <w:sz w:val="16"/>
      <w:szCs w:val="16"/>
    </w:rPr>
  </w:style>
  <w:style w:type="character" w:styleId="CommentReference">
    <w:name w:val="annotation reference"/>
    <w:basedOn w:val="DefaultParagraphFont"/>
    <w:uiPriority w:val="99"/>
    <w:semiHidden/>
    <w:unhideWhenUsed/>
    <w:rsid w:val="003A0435"/>
    <w:rPr>
      <w:sz w:val="16"/>
      <w:szCs w:val="16"/>
    </w:rPr>
  </w:style>
  <w:style w:type="paragraph" w:styleId="CommentText">
    <w:name w:val="annotation text"/>
    <w:basedOn w:val="Normal"/>
    <w:link w:val="CommentTextChar"/>
    <w:uiPriority w:val="99"/>
    <w:unhideWhenUsed/>
    <w:rsid w:val="003A0435"/>
    <w:pPr>
      <w:spacing w:line="240" w:lineRule="auto"/>
    </w:pPr>
    <w:rPr>
      <w:sz w:val="20"/>
      <w:szCs w:val="20"/>
    </w:rPr>
  </w:style>
  <w:style w:type="character" w:customStyle="1" w:styleId="CommentTextChar">
    <w:name w:val="Comment Text Char"/>
    <w:basedOn w:val="DefaultParagraphFont"/>
    <w:link w:val="CommentText"/>
    <w:uiPriority w:val="99"/>
    <w:rsid w:val="003A0435"/>
    <w:rPr>
      <w:sz w:val="20"/>
      <w:szCs w:val="20"/>
    </w:rPr>
  </w:style>
  <w:style w:type="paragraph" w:styleId="CommentSubject">
    <w:name w:val="annotation subject"/>
    <w:basedOn w:val="CommentText"/>
    <w:next w:val="CommentText"/>
    <w:link w:val="CommentSubjectChar"/>
    <w:uiPriority w:val="99"/>
    <w:semiHidden/>
    <w:unhideWhenUsed/>
    <w:rsid w:val="003A0435"/>
    <w:rPr>
      <w:b/>
      <w:bCs/>
    </w:rPr>
  </w:style>
  <w:style w:type="character" w:customStyle="1" w:styleId="CommentSubjectChar">
    <w:name w:val="Comment Subject Char"/>
    <w:basedOn w:val="CommentTextChar"/>
    <w:link w:val="CommentSubject"/>
    <w:uiPriority w:val="99"/>
    <w:semiHidden/>
    <w:rsid w:val="003A0435"/>
    <w:rPr>
      <w:b/>
      <w:bCs/>
      <w:sz w:val="20"/>
      <w:szCs w:val="20"/>
    </w:rPr>
  </w:style>
  <w:style w:type="paragraph" w:styleId="ListParagraph">
    <w:name w:val="List Paragraph"/>
    <w:basedOn w:val="Normal"/>
    <w:uiPriority w:val="34"/>
    <w:qFormat/>
    <w:rsid w:val="00243DF4"/>
    <w:pPr>
      <w:ind w:left="720"/>
      <w:contextualSpacing/>
    </w:pPr>
    <w:rPr>
      <w:rFonts w:eastAsiaTheme="minorEastAsia"/>
    </w:rPr>
  </w:style>
  <w:style w:type="paragraph" w:customStyle="1" w:styleId="APAParagrpah">
    <w:name w:val="APA Paragrpah"/>
    <w:basedOn w:val="Normal"/>
    <w:qFormat/>
    <w:rsid w:val="00243DF4"/>
    <w:pPr>
      <w:spacing w:after="0" w:line="480" w:lineRule="auto"/>
      <w:ind w:firstLine="720"/>
    </w:pPr>
    <w:rPr>
      <w:rFonts w:ascii="Times New Roman" w:eastAsia="Times New Roman" w:hAnsi="Times New Roman" w:cs="Times New Roman"/>
      <w:color w:val="000000" w:themeColor="text1"/>
      <w:sz w:val="24"/>
      <w:szCs w:val="24"/>
    </w:rPr>
  </w:style>
  <w:style w:type="paragraph" w:styleId="FootnoteText">
    <w:name w:val="footnote text"/>
    <w:basedOn w:val="Normal"/>
    <w:link w:val="FootnoteTextChar"/>
    <w:uiPriority w:val="99"/>
    <w:semiHidden/>
    <w:unhideWhenUsed/>
    <w:rsid w:val="00243DF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43DF4"/>
    <w:rPr>
      <w:rFonts w:eastAsiaTheme="minorEastAsia"/>
      <w:sz w:val="20"/>
      <w:szCs w:val="20"/>
    </w:rPr>
  </w:style>
  <w:style w:type="character" w:styleId="FootnoteReference">
    <w:name w:val="footnote reference"/>
    <w:basedOn w:val="DefaultParagraphFont"/>
    <w:uiPriority w:val="99"/>
    <w:semiHidden/>
    <w:unhideWhenUsed/>
    <w:rsid w:val="00243DF4"/>
    <w:rPr>
      <w:vertAlign w:val="superscript"/>
    </w:rPr>
  </w:style>
  <w:style w:type="paragraph" w:styleId="NormalWeb">
    <w:name w:val="Normal (Web)"/>
    <w:basedOn w:val="Normal"/>
    <w:uiPriority w:val="99"/>
    <w:unhideWhenUsed/>
    <w:rsid w:val="00243DF4"/>
    <w:pPr>
      <w:spacing w:before="100" w:beforeAutospacing="1" w:after="100" w:afterAutospacing="1" w:line="240" w:lineRule="auto"/>
    </w:pPr>
    <w:rPr>
      <w:rFonts w:ascii="Times New Roman" w:eastAsia="Times New Roman" w:hAnsi="Times New Roman" w:cs="Times New Roman"/>
      <w:sz w:val="24"/>
      <w:szCs w:val="24"/>
      <w:lang w:val="en-HK" w:eastAsia="zh-TW"/>
    </w:rPr>
  </w:style>
  <w:style w:type="paragraph" w:styleId="z-TopofForm">
    <w:name w:val="HTML Top of Form"/>
    <w:basedOn w:val="Normal"/>
    <w:next w:val="Normal"/>
    <w:link w:val="z-TopofFormChar"/>
    <w:hidden/>
    <w:uiPriority w:val="99"/>
    <w:semiHidden/>
    <w:unhideWhenUsed/>
    <w:rsid w:val="00243DF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43DF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43DF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43DF4"/>
    <w:rPr>
      <w:rFonts w:ascii="Arial" w:eastAsia="Times New Roman" w:hAnsi="Arial" w:cs="Arial"/>
      <w:vanish/>
      <w:sz w:val="16"/>
      <w:szCs w:val="16"/>
      <w:lang w:eastAsia="en-GB"/>
    </w:rPr>
  </w:style>
  <w:style w:type="character" w:customStyle="1" w:styleId="1f0fwyhqct">
    <w:name w:val="_1f0fwyhqct"/>
    <w:basedOn w:val="DefaultParagraphFont"/>
    <w:rsid w:val="00243DF4"/>
  </w:style>
  <w:style w:type="table" w:styleId="PlainTable2">
    <w:name w:val="Plain Table 2"/>
    <w:basedOn w:val="TableNormal"/>
    <w:uiPriority w:val="42"/>
    <w:rsid w:val="00243DF4"/>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cnid2vzvs">
    <w:name w:val="markcnid2vzvs"/>
    <w:basedOn w:val="DefaultParagraphFont"/>
    <w:rsid w:val="00243DF4"/>
  </w:style>
  <w:style w:type="character" w:styleId="Emphasis">
    <w:name w:val="Emphasis"/>
    <w:basedOn w:val="DefaultParagraphFont"/>
    <w:uiPriority w:val="20"/>
    <w:qFormat/>
    <w:rsid w:val="00243DF4"/>
    <w:rPr>
      <w:i/>
      <w:iCs/>
    </w:rPr>
  </w:style>
  <w:style w:type="character" w:customStyle="1" w:styleId="ref-journal">
    <w:name w:val="ref-journal"/>
    <w:basedOn w:val="DefaultParagraphFont"/>
    <w:rsid w:val="00243DF4"/>
  </w:style>
  <w:style w:type="character" w:customStyle="1" w:styleId="ref-vol">
    <w:name w:val="ref-vol"/>
    <w:basedOn w:val="DefaultParagraphFont"/>
    <w:rsid w:val="00243DF4"/>
  </w:style>
  <w:style w:type="character" w:styleId="Hyperlink">
    <w:name w:val="Hyperlink"/>
    <w:basedOn w:val="DefaultParagraphFont"/>
    <w:uiPriority w:val="99"/>
    <w:unhideWhenUsed/>
    <w:rsid w:val="00243DF4"/>
    <w:rPr>
      <w:color w:val="0000FF"/>
      <w:u w:val="single"/>
    </w:rPr>
  </w:style>
  <w:style w:type="character" w:styleId="FollowedHyperlink">
    <w:name w:val="FollowedHyperlink"/>
    <w:basedOn w:val="DefaultParagraphFont"/>
    <w:uiPriority w:val="99"/>
    <w:semiHidden/>
    <w:unhideWhenUsed/>
    <w:rsid w:val="00243DF4"/>
    <w:rPr>
      <w:color w:val="954F72" w:themeColor="followedHyperlink"/>
      <w:u w:val="single"/>
    </w:rPr>
  </w:style>
  <w:style w:type="character" w:customStyle="1" w:styleId="UnresolvedMention1">
    <w:name w:val="Unresolved Mention1"/>
    <w:basedOn w:val="DefaultParagraphFont"/>
    <w:uiPriority w:val="99"/>
    <w:semiHidden/>
    <w:unhideWhenUsed/>
    <w:rsid w:val="00243DF4"/>
    <w:rPr>
      <w:color w:val="605E5C"/>
      <w:shd w:val="clear" w:color="auto" w:fill="E1DFDD"/>
    </w:rPr>
  </w:style>
  <w:style w:type="paragraph" w:styleId="PlainText">
    <w:name w:val="Plain Text"/>
    <w:basedOn w:val="Normal"/>
    <w:link w:val="PlainTextChar"/>
    <w:uiPriority w:val="99"/>
    <w:unhideWhenUsed/>
    <w:rsid w:val="00243D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3DF4"/>
    <w:rPr>
      <w:rFonts w:ascii="Calibri" w:hAnsi="Calibri"/>
      <w:szCs w:val="21"/>
    </w:rPr>
  </w:style>
  <w:style w:type="character" w:customStyle="1" w:styleId="apple-converted-space">
    <w:name w:val="apple-converted-space"/>
    <w:basedOn w:val="DefaultParagraphFont"/>
    <w:rsid w:val="00243DF4"/>
  </w:style>
  <w:style w:type="character" w:styleId="Strong">
    <w:name w:val="Strong"/>
    <w:basedOn w:val="DefaultParagraphFont"/>
    <w:uiPriority w:val="22"/>
    <w:qFormat/>
    <w:rsid w:val="00243DF4"/>
    <w:rPr>
      <w:b/>
      <w:bCs/>
    </w:rPr>
  </w:style>
  <w:style w:type="character" w:customStyle="1" w:styleId="name">
    <w:name w:val="name"/>
    <w:basedOn w:val="DefaultParagraphFont"/>
    <w:rsid w:val="00243DF4"/>
  </w:style>
  <w:style w:type="character" w:customStyle="1" w:styleId="surname">
    <w:name w:val="surname"/>
    <w:basedOn w:val="DefaultParagraphFont"/>
    <w:rsid w:val="00243DF4"/>
  </w:style>
  <w:style w:type="character" w:customStyle="1" w:styleId="given-names">
    <w:name w:val="given-names"/>
    <w:basedOn w:val="DefaultParagraphFont"/>
    <w:rsid w:val="00243DF4"/>
  </w:style>
  <w:style w:type="character" w:customStyle="1" w:styleId="year">
    <w:name w:val="year"/>
    <w:basedOn w:val="DefaultParagraphFont"/>
    <w:rsid w:val="00243DF4"/>
  </w:style>
  <w:style w:type="character" w:customStyle="1" w:styleId="article-title">
    <w:name w:val="article-title"/>
    <w:basedOn w:val="DefaultParagraphFont"/>
    <w:rsid w:val="00243DF4"/>
  </w:style>
  <w:style w:type="character" w:customStyle="1" w:styleId="source">
    <w:name w:val="source"/>
    <w:basedOn w:val="DefaultParagraphFont"/>
    <w:rsid w:val="00243DF4"/>
  </w:style>
  <w:style w:type="character" w:customStyle="1" w:styleId="volume">
    <w:name w:val="volume"/>
    <w:basedOn w:val="DefaultParagraphFont"/>
    <w:rsid w:val="00243DF4"/>
  </w:style>
  <w:style w:type="character" w:customStyle="1" w:styleId="fpage">
    <w:name w:val="fpage"/>
    <w:basedOn w:val="DefaultParagraphFont"/>
    <w:rsid w:val="00243DF4"/>
  </w:style>
  <w:style w:type="character" w:customStyle="1" w:styleId="lpage">
    <w:name w:val="lpage"/>
    <w:basedOn w:val="DefaultParagraphFont"/>
    <w:rsid w:val="00243DF4"/>
  </w:style>
  <w:style w:type="character" w:customStyle="1" w:styleId="text">
    <w:name w:val="text"/>
    <w:basedOn w:val="DefaultParagraphFont"/>
    <w:rsid w:val="002029AB"/>
  </w:style>
  <w:style w:type="character" w:styleId="UnresolvedMention">
    <w:name w:val="Unresolved Mention"/>
    <w:basedOn w:val="DefaultParagraphFont"/>
    <w:uiPriority w:val="99"/>
    <w:semiHidden/>
    <w:unhideWhenUsed/>
    <w:rsid w:val="0021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6750">
      <w:bodyDiv w:val="1"/>
      <w:marLeft w:val="0"/>
      <w:marRight w:val="0"/>
      <w:marTop w:val="0"/>
      <w:marBottom w:val="0"/>
      <w:divBdr>
        <w:top w:val="none" w:sz="0" w:space="0" w:color="auto"/>
        <w:left w:val="none" w:sz="0" w:space="0" w:color="auto"/>
        <w:bottom w:val="none" w:sz="0" w:space="0" w:color="auto"/>
        <w:right w:val="none" w:sz="0" w:space="0" w:color="auto"/>
      </w:divBdr>
      <w:divsChild>
        <w:div w:id="1055548951">
          <w:marLeft w:val="0"/>
          <w:marRight w:val="0"/>
          <w:marTop w:val="0"/>
          <w:marBottom w:val="0"/>
          <w:divBdr>
            <w:top w:val="none" w:sz="0" w:space="0" w:color="auto"/>
            <w:left w:val="none" w:sz="0" w:space="0" w:color="auto"/>
            <w:bottom w:val="none" w:sz="0" w:space="0" w:color="auto"/>
            <w:right w:val="none" w:sz="0" w:space="0" w:color="auto"/>
          </w:divBdr>
        </w:div>
      </w:divsChild>
    </w:div>
    <w:div w:id="816917007">
      <w:bodyDiv w:val="1"/>
      <w:marLeft w:val="0"/>
      <w:marRight w:val="0"/>
      <w:marTop w:val="0"/>
      <w:marBottom w:val="0"/>
      <w:divBdr>
        <w:top w:val="none" w:sz="0" w:space="0" w:color="auto"/>
        <w:left w:val="none" w:sz="0" w:space="0" w:color="auto"/>
        <w:bottom w:val="none" w:sz="0" w:space="0" w:color="auto"/>
        <w:right w:val="none" w:sz="0" w:space="0" w:color="auto"/>
      </w:divBdr>
    </w:div>
    <w:div w:id="886188513">
      <w:bodyDiv w:val="1"/>
      <w:marLeft w:val="0"/>
      <w:marRight w:val="0"/>
      <w:marTop w:val="0"/>
      <w:marBottom w:val="0"/>
      <w:divBdr>
        <w:top w:val="none" w:sz="0" w:space="0" w:color="auto"/>
        <w:left w:val="none" w:sz="0" w:space="0" w:color="auto"/>
        <w:bottom w:val="none" w:sz="0" w:space="0" w:color="auto"/>
        <w:right w:val="none" w:sz="0" w:space="0" w:color="auto"/>
      </w:divBdr>
      <w:divsChild>
        <w:div w:id="6864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ovi.org" TargetMode="External"/><Relationship Id="rId13" Type="http://schemas.openxmlformats.org/officeDocument/2006/relationships/hyperlink" Target="https://doi.org/10.1016/j.schres.2007.10.027" TargetMode="External"/><Relationship Id="rId18" Type="http://schemas.openxmlformats.org/officeDocument/2006/relationships/hyperlink" Target="https://doi.org/10.1111/jopy.1269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1192/bjp.185.4.298" TargetMode="External"/><Relationship Id="rId7" Type="http://schemas.openxmlformats.org/officeDocument/2006/relationships/hyperlink" Target="mailto:L.A.Ellett@soton.ac.uk" TargetMode="External"/><Relationship Id="rId12" Type="http://schemas.openxmlformats.org/officeDocument/2006/relationships/hyperlink" Target="https://github.com/CSSEGISandData/COVID-19" TargetMode="External"/><Relationship Id="rId17" Type="http://schemas.openxmlformats.org/officeDocument/2006/relationships/hyperlink" Target="https://doi.org/10.1017/S003329171000154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7/S0033291719003155" TargetMode="External"/><Relationship Id="rId20" Type="http://schemas.openxmlformats.org/officeDocument/2006/relationships/hyperlink" Target="https://doi.org/10.3389/fpsyg.2017.018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psychires.2020.12.042" TargetMode="External"/><Relationship Id="rId24" Type="http://schemas.openxmlformats.org/officeDocument/2006/relationships/hyperlink" Target="https://doi.org/10.1016/S0920-9964(99)00224-8" TargetMode="External"/><Relationship Id="rId5" Type="http://schemas.openxmlformats.org/officeDocument/2006/relationships/footnotes" Target="footnotes.xml"/><Relationship Id="rId15" Type="http://schemas.openxmlformats.org/officeDocument/2006/relationships/hyperlink" Target="https://doi.org/10.1348/014466500163400" TargetMode="External"/><Relationship Id="rId23" Type="http://schemas.openxmlformats.org/officeDocument/2006/relationships/hyperlink" Target="https://doi.org/10.1016/j.psychres.2020.113455" TargetMode="External"/><Relationship Id="rId28" Type="http://schemas.openxmlformats.org/officeDocument/2006/relationships/footer" Target="footer2.xml"/><Relationship Id="rId10" Type="http://schemas.openxmlformats.org/officeDocument/2006/relationships/hyperlink" Target="https://doi.org/10.1093/schbul/sby180" TargetMode="External"/><Relationship Id="rId19" Type="http://schemas.openxmlformats.org/officeDocument/2006/relationships/hyperlink" Target="https://doi.org/10.1016/j.childyouth.2020.105494" TargetMode="External"/><Relationship Id="rId4" Type="http://schemas.openxmlformats.org/officeDocument/2006/relationships/webSettings" Target="webSettings.xml"/><Relationship Id="rId9" Type="http://schemas.openxmlformats.org/officeDocument/2006/relationships/hyperlink" Target="https://doi.org/10.1192/bjp.bp.112.119032" TargetMode="External"/><Relationship Id="rId14" Type="http://schemas.openxmlformats.org/officeDocument/2006/relationships/hyperlink" Target="https://psycnet.apa.org/doi/10.1037/0022-3514.62.1.129" TargetMode="External"/><Relationship Id="rId22" Type="http://schemas.openxmlformats.org/officeDocument/2006/relationships/hyperlink" Target="https://doi.org/10.1017/S0033291721004633"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6362</Words>
  <Characters>36265</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Jessica</dc:creator>
  <cp:lastModifiedBy>Kingston, Jessica</cp:lastModifiedBy>
  <cp:revision>2</cp:revision>
  <dcterms:created xsi:type="dcterms:W3CDTF">2022-09-12T19:27:00Z</dcterms:created>
  <dcterms:modified xsi:type="dcterms:W3CDTF">2022-09-12T19:27:00Z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2021-06-01T13:32:15Z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da7e63e2-8b84-4e5c-bc29-0a4f346d4113</vt:lpwstr>
  </property>
  <property fmtid="{D5CDD505-2E9C-101B-9397-08002B2CF9AE}" pid="8" name="MSIP_Label_c4496a64-e0e3-4038-91bc-493f618853ad_ContentBits">
    <vt:lpwstr>0</vt:lpwstr>
  </property>
</Properties>
</file>