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70BF" w14:textId="77777777" w:rsidR="0063180F" w:rsidRPr="004F4FA7" w:rsidRDefault="0063180F" w:rsidP="0063180F">
      <w:pPr>
        <w:rPr>
          <w:rFonts w:cstheme="minorHAnsi"/>
        </w:rPr>
      </w:pPr>
      <w:r>
        <w:rPr>
          <w:rFonts w:cstheme="minorHAnsi"/>
        </w:rPr>
        <w:t>RUNNING HEAD: Self and paranoia</w:t>
      </w:r>
    </w:p>
    <w:p w14:paraId="7674051B" w14:textId="77777777" w:rsidR="0063180F" w:rsidRDefault="0063180F" w:rsidP="0063180F">
      <w:pPr>
        <w:spacing w:line="480" w:lineRule="auto"/>
        <w:jc w:val="center"/>
        <w:rPr>
          <w:rFonts w:cstheme="minorHAnsi"/>
          <w:b/>
        </w:rPr>
      </w:pPr>
    </w:p>
    <w:p w14:paraId="5BF4E613" w14:textId="77777777" w:rsidR="0063180F" w:rsidRDefault="0063180F" w:rsidP="0063180F">
      <w:pPr>
        <w:spacing w:line="480" w:lineRule="auto"/>
        <w:jc w:val="center"/>
        <w:rPr>
          <w:rFonts w:cstheme="minorHAnsi"/>
          <w:b/>
        </w:rPr>
      </w:pPr>
    </w:p>
    <w:p w14:paraId="5D2B5E1D" w14:textId="77777777" w:rsidR="0063180F" w:rsidRPr="003221BA" w:rsidRDefault="0063180F" w:rsidP="0063180F">
      <w:pPr>
        <w:spacing w:line="480" w:lineRule="auto"/>
        <w:jc w:val="center"/>
        <w:rPr>
          <w:rFonts w:cstheme="minorHAnsi"/>
          <w:b/>
        </w:rPr>
      </w:pPr>
      <w:r w:rsidRPr="003221BA">
        <w:rPr>
          <w:rFonts w:cstheme="minorHAnsi"/>
          <w:b/>
        </w:rPr>
        <w:t>Self-Structure</w:t>
      </w:r>
      <w:r>
        <w:rPr>
          <w:rFonts w:cstheme="minorHAnsi"/>
          <w:b/>
        </w:rPr>
        <w:t xml:space="preserve"> in Persecutory Delusions</w:t>
      </w:r>
    </w:p>
    <w:p w14:paraId="63C657FF" w14:textId="77777777" w:rsidR="0063180F" w:rsidRDefault="0063180F" w:rsidP="0063180F">
      <w:pPr>
        <w:spacing w:line="480" w:lineRule="auto"/>
        <w:rPr>
          <w:rFonts w:cstheme="minorHAnsi"/>
          <w:b/>
          <w:u w:val="single"/>
        </w:rPr>
      </w:pPr>
    </w:p>
    <w:p w14:paraId="4B2ACD31" w14:textId="77777777" w:rsidR="0063180F" w:rsidRPr="003221BA" w:rsidRDefault="0063180F" w:rsidP="0063180F">
      <w:pPr>
        <w:spacing w:line="480" w:lineRule="auto"/>
        <w:jc w:val="center"/>
        <w:rPr>
          <w:rFonts w:cstheme="minorHAnsi"/>
          <w:vertAlign w:val="superscript"/>
        </w:rPr>
      </w:pPr>
      <w:r>
        <w:rPr>
          <w:rFonts w:cstheme="minorHAnsi"/>
        </w:rPr>
        <w:t>Lyn Ellett</w:t>
      </w:r>
      <w:r>
        <w:rPr>
          <w:rFonts w:cstheme="minorHAnsi"/>
          <w:vertAlign w:val="superscript"/>
        </w:rPr>
        <w:t>1</w:t>
      </w:r>
      <w:r>
        <w:rPr>
          <w:rFonts w:cstheme="minorHAnsi"/>
        </w:rPr>
        <w:t>, Jessica Kingston</w:t>
      </w:r>
      <w:r>
        <w:rPr>
          <w:rFonts w:cstheme="minorHAnsi"/>
          <w:vertAlign w:val="superscript"/>
        </w:rPr>
        <w:t>2</w:t>
      </w:r>
      <w:r>
        <w:rPr>
          <w:rFonts w:cstheme="minorHAnsi"/>
        </w:rPr>
        <w:t>, Eryna Tarant</w:t>
      </w:r>
      <w:r>
        <w:rPr>
          <w:rFonts w:cstheme="minorHAnsi"/>
          <w:vertAlign w:val="superscript"/>
        </w:rPr>
        <w:t>3</w:t>
      </w:r>
      <w:r>
        <w:rPr>
          <w:rFonts w:cstheme="minorHAnsi"/>
        </w:rPr>
        <w:t>, Christos Kouimtsidis</w:t>
      </w:r>
      <w:r>
        <w:rPr>
          <w:rFonts w:cstheme="minorHAnsi"/>
          <w:vertAlign w:val="superscript"/>
        </w:rPr>
        <w:t>3</w:t>
      </w:r>
      <w:r>
        <w:rPr>
          <w:rFonts w:cstheme="minorHAnsi"/>
        </w:rPr>
        <w:t>, Laura Vivarelli</w:t>
      </w:r>
      <w:r>
        <w:rPr>
          <w:rFonts w:cstheme="minorHAnsi"/>
          <w:vertAlign w:val="superscript"/>
        </w:rPr>
        <w:t>3</w:t>
      </w:r>
      <w:r>
        <w:rPr>
          <w:rFonts w:cstheme="minorHAnsi"/>
        </w:rPr>
        <w:t>, Paul Chadwick</w:t>
      </w:r>
      <w:r>
        <w:rPr>
          <w:rFonts w:cstheme="minorHAnsi"/>
          <w:vertAlign w:val="superscript"/>
        </w:rPr>
        <w:t>4*</w:t>
      </w:r>
    </w:p>
    <w:p w14:paraId="440EBECC" w14:textId="77777777" w:rsidR="0063180F" w:rsidRDefault="0063180F" w:rsidP="0063180F">
      <w:pPr>
        <w:spacing w:line="480" w:lineRule="auto"/>
        <w:rPr>
          <w:rFonts w:cstheme="minorHAnsi"/>
          <w:color w:val="000000" w:themeColor="text1"/>
          <w:vertAlign w:val="superscript"/>
        </w:rPr>
      </w:pPr>
    </w:p>
    <w:p w14:paraId="04BA6477" w14:textId="77777777" w:rsidR="0063180F" w:rsidRPr="0095260F" w:rsidRDefault="0063180F" w:rsidP="0063180F">
      <w:pPr>
        <w:spacing w:line="480" w:lineRule="auto"/>
        <w:rPr>
          <w:rFonts w:cstheme="minorHAnsi"/>
          <w:color w:val="000000" w:themeColor="text1"/>
        </w:rPr>
      </w:pPr>
      <w:r w:rsidRPr="000B2780">
        <w:rPr>
          <w:rFonts w:cstheme="minorHAnsi"/>
          <w:color w:val="000000" w:themeColor="text1"/>
          <w:vertAlign w:val="superscript"/>
        </w:rPr>
        <w:t>1</w:t>
      </w:r>
      <w:r>
        <w:rPr>
          <w:rFonts w:cstheme="minorHAnsi"/>
          <w:color w:val="000000" w:themeColor="text1"/>
        </w:rPr>
        <w:t>University of Southampton</w:t>
      </w:r>
    </w:p>
    <w:p w14:paraId="7DACE039" w14:textId="77777777" w:rsidR="0063180F" w:rsidRPr="000B2780" w:rsidRDefault="0063180F" w:rsidP="0063180F">
      <w:pPr>
        <w:spacing w:line="480" w:lineRule="auto"/>
        <w:rPr>
          <w:rFonts w:cstheme="minorHAnsi"/>
          <w:color w:val="000000" w:themeColor="text1"/>
        </w:rPr>
      </w:pPr>
      <w:r w:rsidRPr="000B2780">
        <w:rPr>
          <w:rFonts w:cstheme="minorHAnsi"/>
          <w:color w:val="000000" w:themeColor="text1"/>
          <w:vertAlign w:val="superscript"/>
        </w:rPr>
        <w:t>2</w:t>
      </w:r>
      <w:r>
        <w:rPr>
          <w:rFonts w:cstheme="minorHAnsi"/>
          <w:color w:val="000000" w:themeColor="text1"/>
        </w:rPr>
        <w:t>Royal</w:t>
      </w:r>
      <w:r w:rsidRPr="000B2780">
        <w:rPr>
          <w:rFonts w:cstheme="minorHAnsi"/>
          <w:color w:val="000000" w:themeColor="text1"/>
        </w:rPr>
        <w:t xml:space="preserve"> Holloway, University of London, United Kingdom</w:t>
      </w:r>
    </w:p>
    <w:p w14:paraId="6C22F758" w14:textId="77777777" w:rsidR="0063180F" w:rsidRPr="000B2780" w:rsidRDefault="0063180F" w:rsidP="0063180F">
      <w:pPr>
        <w:spacing w:line="480" w:lineRule="auto"/>
        <w:rPr>
          <w:rFonts w:cstheme="minorHAnsi"/>
          <w:color w:val="000000" w:themeColor="text1"/>
        </w:rPr>
      </w:pPr>
      <w:r w:rsidRPr="000B2780">
        <w:rPr>
          <w:rFonts w:cstheme="minorHAnsi"/>
          <w:color w:val="000000" w:themeColor="text1"/>
          <w:vertAlign w:val="superscript"/>
        </w:rPr>
        <w:t>3</w:t>
      </w:r>
      <w:r w:rsidRPr="000B2780">
        <w:rPr>
          <w:rFonts w:cstheme="minorHAnsi"/>
          <w:color w:val="000000" w:themeColor="text1"/>
        </w:rPr>
        <w:t>Surrey and Borders Partnership NHS Foundation Trust</w:t>
      </w:r>
    </w:p>
    <w:p w14:paraId="1477E8ED" w14:textId="77777777" w:rsidR="0063180F" w:rsidRPr="000B2780" w:rsidRDefault="0063180F" w:rsidP="0063180F">
      <w:pPr>
        <w:spacing w:line="480" w:lineRule="auto"/>
        <w:rPr>
          <w:rFonts w:cstheme="minorHAnsi"/>
          <w:color w:val="000000" w:themeColor="text1"/>
        </w:rPr>
      </w:pPr>
      <w:r w:rsidRPr="0095260F">
        <w:rPr>
          <w:rFonts w:cstheme="minorHAnsi"/>
          <w:color w:val="000000" w:themeColor="text1"/>
          <w:vertAlign w:val="superscript"/>
        </w:rPr>
        <w:t>4</w:t>
      </w:r>
      <w:r w:rsidRPr="000B2780">
        <w:rPr>
          <w:rFonts w:cstheme="minorHAnsi"/>
          <w:color w:val="000000" w:themeColor="text1"/>
        </w:rPr>
        <w:t>University of Bath</w:t>
      </w:r>
    </w:p>
    <w:p w14:paraId="572F8C9C" w14:textId="77777777" w:rsidR="0063180F" w:rsidRPr="000B2780" w:rsidRDefault="0063180F" w:rsidP="0063180F">
      <w:pPr>
        <w:spacing w:line="480" w:lineRule="auto"/>
        <w:rPr>
          <w:rFonts w:cstheme="minorHAnsi"/>
          <w:b/>
          <w:u w:val="single"/>
        </w:rPr>
      </w:pPr>
      <w:r w:rsidRPr="000B2780">
        <w:rPr>
          <w:rFonts w:cstheme="minorHAnsi"/>
          <w:color w:val="000000" w:themeColor="text1"/>
        </w:rPr>
        <w:t>Correspondence: Prof Paul Chadwick.  Email: pdjc20@bath.ac.uk</w:t>
      </w:r>
    </w:p>
    <w:p w14:paraId="56322592" w14:textId="77777777" w:rsidR="0063180F" w:rsidRPr="003221BA" w:rsidRDefault="0063180F" w:rsidP="0063180F">
      <w:pPr>
        <w:spacing w:line="480" w:lineRule="auto"/>
        <w:jc w:val="center"/>
        <w:rPr>
          <w:rFonts w:cstheme="minorHAnsi"/>
          <w:vertAlign w:val="superscript"/>
        </w:rPr>
      </w:pPr>
    </w:p>
    <w:p w14:paraId="5CD83744" w14:textId="77777777" w:rsidR="0063180F" w:rsidRDefault="0063180F" w:rsidP="0063180F">
      <w:pPr>
        <w:spacing w:line="480" w:lineRule="auto"/>
        <w:rPr>
          <w:rFonts w:cstheme="minorHAnsi"/>
          <w:b/>
          <w:u w:val="single"/>
        </w:rPr>
      </w:pPr>
    </w:p>
    <w:p w14:paraId="6DCD14C0" w14:textId="77777777" w:rsidR="0063180F" w:rsidRDefault="0063180F" w:rsidP="0063180F">
      <w:pPr>
        <w:spacing w:line="480" w:lineRule="auto"/>
        <w:rPr>
          <w:rFonts w:cstheme="minorHAnsi"/>
          <w:b/>
          <w:u w:val="single"/>
        </w:rPr>
      </w:pPr>
    </w:p>
    <w:p w14:paraId="6FA1FCEA" w14:textId="77777777" w:rsidR="0063180F" w:rsidRDefault="0063180F" w:rsidP="0063180F">
      <w:pPr>
        <w:spacing w:line="480" w:lineRule="auto"/>
        <w:jc w:val="center"/>
        <w:rPr>
          <w:rFonts w:cstheme="minorHAnsi"/>
          <w:b/>
          <w:u w:val="single"/>
        </w:rPr>
      </w:pPr>
    </w:p>
    <w:p w14:paraId="34707DE4" w14:textId="77777777" w:rsidR="0063180F" w:rsidRDefault="0063180F" w:rsidP="0063180F">
      <w:pPr>
        <w:spacing w:line="480" w:lineRule="auto"/>
        <w:jc w:val="center"/>
        <w:rPr>
          <w:rFonts w:cstheme="minorHAnsi"/>
          <w:b/>
          <w:u w:val="single"/>
        </w:rPr>
      </w:pPr>
    </w:p>
    <w:p w14:paraId="5A9A686C" w14:textId="77777777" w:rsidR="0063180F" w:rsidRDefault="0063180F" w:rsidP="0063180F">
      <w:pPr>
        <w:spacing w:line="480" w:lineRule="auto"/>
        <w:jc w:val="center"/>
        <w:rPr>
          <w:rFonts w:cstheme="minorHAnsi"/>
          <w:b/>
          <w:u w:val="single"/>
        </w:rPr>
      </w:pPr>
    </w:p>
    <w:p w14:paraId="70A4D3D8" w14:textId="77777777" w:rsidR="0063180F" w:rsidRDefault="0063180F" w:rsidP="0063180F">
      <w:pPr>
        <w:spacing w:line="480" w:lineRule="auto"/>
        <w:jc w:val="center"/>
        <w:rPr>
          <w:rFonts w:cstheme="minorHAnsi"/>
          <w:b/>
          <w:u w:val="single"/>
        </w:rPr>
      </w:pPr>
    </w:p>
    <w:p w14:paraId="7E5FF2C9" w14:textId="77777777" w:rsidR="0063180F" w:rsidRDefault="0063180F" w:rsidP="0063180F">
      <w:pPr>
        <w:spacing w:line="480" w:lineRule="auto"/>
        <w:jc w:val="center"/>
        <w:rPr>
          <w:rFonts w:cstheme="minorHAnsi"/>
          <w:b/>
          <w:u w:val="single"/>
        </w:rPr>
      </w:pPr>
    </w:p>
    <w:p w14:paraId="41F209D2" w14:textId="77777777" w:rsidR="0063180F" w:rsidRDefault="0063180F" w:rsidP="0063180F"/>
    <w:p w14:paraId="336225C5" w14:textId="55955220" w:rsidR="00603470" w:rsidRDefault="00603470" w:rsidP="00603470">
      <w:pPr>
        <w:spacing w:line="480" w:lineRule="auto"/>
        <w:jc w:val="center"/>
        <w:rPr>
          <w:rFonts w:cstheme="minorHAnsi"/>
          <w:b/>
        </w:rPr>
      </w:pPr>
      <w:r>
        <w:rPr>
          <w:rFonts w:cstheme="minorHAnsi"/>
          <w:b/>
        </w:rPr>
        <w:t>Self-Structure in Persecutory Delusions</w:t>
      </w:r>
    </w:p>
    <w:p w14:paraId="081C6571" w14:textId="3952AA75" w:rsidR="00470194" w:rsidRDefault="00470194" w:rsidP="004538A8">
      <w:pPr>
        <w:spacing w:line="480" w:lineRule="auto"/>
        <w:rPr>
          <w:rFonts w:cstheme="minorHAnsi"/>
          <w:b/>
        </w:rPr>
      </w:pPr>
      <w:r>
        <w:rPr>
          <w:rFonts w:cstheme="minorHAnsi"/>
          <w:b/>
        </w:rPr>
        <w:t>Abstract</w:t>
      </w:r>
    </w:p>
    <w:p w14:paraId="4D6C0B65" w14:textId="177205C1" w:rsidR="00E557AF" w:rsidRPr="00823784" w:rsidRDefault="00EB34CA" w:rsidP="00991BAC">
      <w:pPr>
        <w:spacing w:line="480" w:lineRule="auto"/>
        <w:rPr>
          <w:rFonts w:cstheme="minorHAnsi"/>
        </w:rPr>
      </w:pPr>
      <w:r>
        <w:rPr>
          <w:rFonts w:cstheme="minorHAnsi"/>
        </w:rPr>
        <w:t xml:space="preserve">There is currently limited research examining self-structure in clinical groups and no current data on the extent to which self-structure is amendable to change following psychological therapy.  </w:t>
      </w:r>
      <w:r w:rsidR="00E557AF">
        <w:rPr>
          <w:rFonts w:cstheme="minorHAnsi"/>
        </w:rPr>
        <w:t xml:space="preserve">We </w:t>
      </w:r>
      <w:r>
        <w:rPr>
          <w:rFonts w:cstheme="minorHAnsi"/>
        </w:rPr>
        <w:t xml:space="preserve">address this important gap by </w:t>
      </w:r>
      <w:r w:rsidR="00E557AF">
        <w:rPr>
          <w:rFonts w:cstheme="minorHAnsi"/>
        </w:rPr>
        <w:t>examin</w:t>
      </w:r>
      <w:r>
        <w:rPr>
          <w:rFonts w:cstheme="minorHAnsi"/>
        </w:rPr>
        <w:t>ing</w:t>
      </w:r>
      <w:r w:rsidR="00E557AF">
        <w:rPr>
          <w:rFonts w:cstheme="minorHAnsi"/>
        </w:rPr>
        <w:t xml:space="preserve"> self-structure </w:t>
      </w:r>
      <w:r w:rsidR="00415429">
        <w:rPr>
          <w:rFonts w:cstheme="minorHAnsi"/>
        </w:rPr>
        <w:t xml:space="preserve">in </w:t>
      </w:r>
      <w:r w:rsidR="00536A4E">
        <w:rPr>
          <w:rFonts w:cstheme="minorHAnsi"/>
        </w:rPr>
        <w:t>individuals with</w:t>
      </w:r>
      <w:r>
        <w:rPr>
          <w:rFonts w:cstheme="minorHAnsi"/>
        </w:rPr>
        <w:t xml:space="preserve"> </w:t>
      </w:r>
      <w:r w:rsidR="00415429">
        <w:rPr>
          <w:rFonts w:cstheme="minorHAnsi"/>
        </w:rPr>
        <w:t xml:space="preserve">persecutory delusions </w:t>
      </w:r>
      <w:r w:rsidR="00E557AF">
        <w:rPr>
          <w:rFonts w:cstheme="minorHAnsi"/>
        </w:rPr>
        <w:t xml:space="preserve">using </w:t>
      </w:r>
      <w:r w:rsidR="00C933D4">
        <w:rPr>
          <w:rFonts w:cstheme="minorHAnsi"/>
        </w:rPr>
        <w:t xml:space="preserve">the card sort task, </w:t>
      </w:r>
      <w:r w:rsidR="00E557AF">
        <w:rPr>
          <w:rFonts w:cstheme="minorHAnsi"/>
        </w:rPr>
        <w:t>an established parad</w:t>
      </w:r>
      <w:r w:rsidR="00175DD7">
        <w:rPr>
          <w:rFonts w:cstheme="minorHAnsi"/>
        </w:rPr>
        <w:t>igm measur</w:t>
      </w:r>
      <w:r w:rsidR="00C933D4">
        <w:rPr>
          <w:rFonts w:cstheme="minorHAnsi"/>
        </w:rPr>
        <w:t xml:space="preserve">ing </w:t>
      </w:r>
      <w:r w:rsidR="00175DD7">
        <w:rPr>
          <w:rFonts w:cstheme="minorHAnsi"/>
        </w:rPr>
        <w:t xml:space="preserve">key self-structure indices, including </w:t>
      </w:r>
      <w:r w:rsidR="00C933D4">
        <w:rPr>
          <w:rFonts w:cstheme="minorHAnsi"/>
        </w:rPr>
        <w:t xml:space="preserve">the degree to which self-structure is compartmentalised (characterised by primarily positive or negative attributes, as opposed to a mix of both), and </w:t>
      </w:r>
      <w:r w:rsidR="00536A4E">
        <w:rPr>
          <w:rFonts w:cstheme="minorHAnsi"/>
        </w:rPr>
        <w:t xml:space="preserve">the </w:t>
      </w:r>
      <w:r w:rsidR="00175DD7">
        <w:rPr>
          <w:rFonts w:cstheme="minorHAnsi"/>
        </w:rPr>
        <w:t>proportion and importance of negative attributes</w:t>
      </w:r>
      <w:r w:rsidR="00C933D4">
        <w:rPr>
          <w:rFonts w:cstheme="minorHAnsi"/>
        </w:rPr>
        <w:t>.</w:t>
      </w:r>
      <w:r w:rsidR="00DF03CF">
        <w:rPr>
          <w:rFonts w:cstheme="minorHAnsi"/>
          <w:b/>
        </w:rPr>
        <w:t xml:space="preserve">  </w:t>
      </w:r>
      <w:r>
        <w:rPr>
          <w:rFonts w:cstheme="minorHAnsi"/>
          <w:b/>
        </w:rPr>
        <w:t xml:space="preserve">                       </w:t>
      </w:r>
      <w:r w:rsidR="00536A4E">
        <w:rPr>
          <w:rFonts w:cstheme="minorHAnsi"/>
          <w:b/>
        </w:rPr>
        <w:t xml:space="preserve">                                                                                                                </w:t>
      </w:r>
      <w:r w:rsidR="00802099">
        <w:rPr>
          <w:rFonts w:cstheme="minorHAnsi"/>
          <w:bCs/>
        </w:rPr>
        <w:t>In study 1, i</w:t>
      </w:r>
      <w:r w:rsidR="00E557AF">
        <w:rPr>
          <w:rFonts w:cstheme="minorHAnsi"/>
        </w:rPr>
        <w:t xml:space="preserve">ndividuals with </w:t>
      </w:r>
      <w:r w:rsidR="00536A4E">
        <w:rPr>
          <w:rFonts w:cstheme="minorHAnsi"/>
        </w:rPr>
        <w:t xml:space="preserve">a schizophrenia spectrum diagnosis with current </w:t>
      </w:r>
      <w:r w:rsidR="00E557AF">
        <w:rPr>
          <w:rFonts w:cstheme="minorHAnsi"/>
        </w:rPr>
        <w:t>persecutory delusions</w:t>
      </w:r>
      <w:r w:rsidR="00753B08">
        <w:rPr>
          <w:rFonts w:cstheme="minorHAnsi"/>
        </w:rPr>
        <w:t xml:space="preserve"> (</w:t>
      </w:r>
      <w:r w:rsidR="00C933D4">
        <w:rPr>
          <w:rFonts w:cstheme="minorHAnsi"/>
        </w:rPr>
        <w:t xml:space="preserve">clinical group, </w:t>
      </w:r>
      <w:r w:rsidR="00753B08">
        <w:rPr>
          <w:rFonts w:cstheme="minorHAnsi"/>
        </w:rPr>
        <w:t>n=27)</w:t>
      </w:r>
      <w:r w:rsidR="008A1426">
        <w:rPr>
          <w:rFonts w:cstheme="minorHAnsi"/>
        </w:rPr>
        <w:t xml:space="preserve"> a</w:t>
      </w:r>
      <w:r w:rsidR="00955A59">
        <w:rPr>
          <w:rFonts w:cstheme="minorHAnsi"/>
        </w:rPr>
        <w:t>nd a healthy control group (n=47</w:t>
      </w:r>
      <w:r w:rsidR="008A1426">
        <w:rPr>
          <w:rFonts w:cstheme="minorHAnsi"/>
        </w:rPr>
        <w:t xml:space="preserve">) </w:t>
      </w:r>
      <w:r w:rsidR="00357D3A">
        <w:rPr>
          <w:rFonts w:cstheme="minorHAnsi"/>
        </w:rPr>
        <w:t xml:space="preserve">were compared </w:t>
      </w:r>
      <w:r w:rsidR="00753B08" w:rsidRPr="00780961">
        <w:rPr>
          <w:rFonts w:cstheme="minorHAnsi"/>
        </w:rPr>
        <w:t>on self-structure indices</w:t>
      </w:r>
      <w:r w:rsidR="00175DD7">
        <w:rPr>
          <w:rFonts w:cstheme="minorHAnsi"/>
        </w:rPr>
        <w:t xml:space="preserve">.  </w:t>
      </w:r>
      <w:r w:rsidR="00802099">
        <w:rPr>
          <w:rFonts w:cstheme="minorHAnsi"/>
        </w:rPr>
        <w:t>In study 2</w:t>
      </w:r>
      <w:r w:rsidR="00AE7254">
        <w:rPr>
          <w:rFonts w:cstheme="minorHAnsi"/>
        </w:rPr>
        <w:t xml:space="preserve"> (n = 27)</w:t>
      </w:r>
      <w:r w:rsidR="00802099">
        <w:rPr>
          <w:rFonts w:cstheme="minorHAnsi"/>
        </w:rPr>
        <w:t xml:space="preserve">, </w:t>
      </w:r>
      <w:r w:rsidR="006A3D20">
        <w:rPr>
          <w:rFonts w:cstheme="minorHAnsi"/>
        </w:rPr>
        <w:t xml:space="preserve">the clinical group also </w:t>
      </w:r>
      <w:r w:rsidR="00844035">
        <w:rPr>
          <w:rFonts w:cstheme="minorHAnsi"/>
        </w:rPr>
        <w:t xml:space="preserve">completed the card </w:t>
      </w:r>
      <w:r w:rsidR="00175DD7">
        <w:rPr>
          <w:rFonts w:cstheme="minorHAnsi"/>
        </w:rPr>
        <w:t>sort task</w:t>
      </w:r>
      <w:r w:rsidR="00844035">
        <w:rPr>
          <w:rFonts w:cstheme="minorHAnsi"/>
        </w:rPr>
        <w:t xml:space="preserve"> before and after </w:t>
      </w:r>
      <w:r>
        <w:rPr>
          <w:rFonts w:cstheme="minorHAnsi"/>
        </w:rPr>
        <w:t xml:space="preserve">randomisation to </w:t>
      </w:r>
      <w:r w:rsidR="008443C5">
        <w:rPr>
          <w:rFonts w:cstheme="minorHAnsi"/>
        </w:rPr>
        <w:t xml:space="preserve">either </w:t>
      </w:r>
      <w:r w:rsidR="00844035">
        <w:rPr>
          <w:rFonts w:cstheme="minorHAnsi"/>
        </w:rPr>
        <w:t>a 12</w:t>
      </w:r>
      <w:r w:rsidR="00E557AF">
        <w:rPr>
          <w:rFonts w:cstheme="minorHAnsi"/>
        </w:rPr>
        <w:t>-</w:t>
      </w:r>
      <w:r w:rsidR="00844035">
        <w:rPr>
          <w:rFonts w:cstheme="minorHAnsi"/>
        </w:rPr>
        <w:t xml:space="preserve">week </w:t>
      </w:r>
      <w:r w:rsidR="00B234A5">
        <w:rPr>
          <w:rFonts w:cstheme="minorHAnsi"/>
        </w:rPr>
        <w:t xml:space="preserve">mindfulness-based </w:t>
      </w:r>
      <w:r w:rsidR="00412B27">
        <w:rPr>
          <w:rFonts w:cstheme="minorHAnsi"/>
        </w:rPr>
        <w:t>psychological therapy</w:t>
      </w:r>
      <w:r w:rsidR="008443C5">
        <w:rPr>
          <w:rFonts w:cstheme="minorHAnsi"/>
        </w:rPr>
        <w:t xml:space="preserve"> or treatment as usual control</w:t>
      </w:r>
      <w:r w:rsidR="00844035">
        <w:rPr>
          <w:rFonts w:cstheme="minorHAnsi"/>
        </w:rPr>
        <w:t>.</w:t>
      </w:r>
      <w:r w:rsidR="00823784">
        <w:rPr>
          <w:rFonts w:cstheme="minorHAnsi"/>
        </w:rPr>
        <w:t xml:space="preserve">  </w:t>
      </w:r>
      <w:r>
        <w:rPr>
          <w:rFonts w:cstheme="minorHAnsi"/>
        </w:rPr>
        <w:t xml:space="preserve">                                                                                         </w:t>
      </w:r>
      <w:r w:rsidR="00D30441">
        <w:rPr>
          <w:rFonts w:cstheme="minorHAnsi"/>
        </w:rPr>
        <w:t xml:space="preserve">                            </w:t>
      </w:r>
      <w:r w:rsidR="00412B27">
        <w:rPr>
          <w:rFonts w:cstheme="minorHAnsi"/>
        </w:rPr>
        <w:t>Self</w:t>
      </w:r>
      <w:r w:rsidR="00D30441">
        <w:rPr>
          <w:rFonts w:cstheme="minorHAnsi"/>
        </w:rPr>
        <w:t>-</w:t>
      </w:r>
      <w:r w:rsidR="00412B27">
        <w:rPr>
          <w:rFonts w:cstheme="minorHAnsi"/>
        </w:rPr>
        <w:t xml:space="preserve">structure differed significantly between the clinical and control groups.  </w:t>
      </w:r>
      <w:r w:rsidR="0084558A">
        <w:rPr>
          <w:rFonts w:cstheme="minorHAnsi"/>
        </w:rPr>
        <w:t>T</w:t>
      </w:r>
      <w:r w:rsidR="00FF23EE">
        <w:rPr>
          <w:rFonts w:cstheme="minorHAnsi"/>
        </w:rPr>
        <w:t>he</w:t>
      </w:r>
      <w:r w:rsidR="00753B08">
        <w:rPr>
          <w:rFonts w:cstheme="minorHAnsi"/>
        </w:rPr>
        <w:t xml:space="preserve"> clinical group </w:t>
      </w:r>
      <w:r w:rsidR="008A1426">
        <w:rPr>
          <w:rFonts w:cstheme="minorHAnsi"/>
        </w:rPr>
        <w:t>had a greater propor</w:t>
      </w:r>
      <w:r w:rsidR="00955A59">
        <w:rPr>
          <w:rFonts w:cstheme="minorHAnsi"/>
        </w:rPr>
        <w:t xml:space="preserve">tion of negative attributes, </w:t>
      </w:r>
      <w:r w:rsidR="008A1426">
        <w:rPr>
          <w:rFonts w:cstheme="minorHAnsi"/>
        </w:rPr>
        <w:t>assigned more importance to negative self-aspects</w:t>
      </w:r>
      <w:r w:rsidR="00955A59">
        <w:rPr>
          <w:rFonts w:cstheme="minorHAnsi"/>
        </w:rPr>
        <w:t xml:space="preserve"> and had more compartmentalised self-structures</w:t>
      </w:r>
      <w:r w:rsidR="008A1426">
        <w:rPr>
          <w:rFonts w:cstheme="minorHAnsi"/>
        </w:rPr>
        <w:t xml:space="preserve"> compared with controls.</w:t>
      </w:r>
      <w:r w:rsidR="00B73F3C">
        <w:rPr>
          <w:rFonts w:cstheme="minorHAnsi"/>
        </w:rPr>
        <w:t xml:space="preserve">  </w:t>
      </w:r>
      <w:r w:rsidR="00065BC6">
        <w:rPr>
          <w:rFonts w:cstheme="minorHAnsi"/>
        </w:rPr>
        <w:t xml:space="preserve">There were no associations between delusion severity and self-structure.  </w:t>
      </w:r>
      <w:r w:rsidR="00C933D4">
        <w:rPr>
          <w:rFonts w:cstheme="minorHAnsi"/>
        </w:rPr>
        <w:t>L</w:t>
      </w:r>
      <w:r w:rsidR="002B0658" w:rsidRPr="00C1508C">
        <w:rPr>
          <w:rFonts w:cstheme="minorHAnsi"/>
        </w:rPr>
        <w:t xml:space="preserve">arge effect sizes </w:t>
      </w:r>
      <w:r w:rsidR="002B0658">
        <w:rPr>
          <w:rFonts w:cstheme="minorHAnsi"/>
        </w:rPr>
        <w:t>for reductions in compartmentalis</w:t>
      </w:r>
      <w:r w:rsidR="00175DD7">
        <w:rPr>
          <w:rFonts w:cstheme="minorHAnsi"/>
        </w:rPr>
        <w:t xml:space="preserve">ation </w:t>
      </w:r>
      <w:r w:rsidR="002B0658" w:rsidRPr="00C1508C">
        <w:rPr>
          <w:rFonts w:cstheme="minorHAnsi"/>
        </w:rPr>
        <w:t>and p</w:t>
      </w:r>
      <w:r w:rsidR="002B0658">
        <w:rPr>
          <w:rFonts w:cstheme="minorHAnsi"/>
        </w:rPr>
        <w:t>roportion</w:t>
      </w:r>
      <w:r w:rsidR="002B0658" w:rsidRPr="00C1508C">
        <w:rPr>
          <w:rFonts w:cstheme="minorHAnsi"/>
        </w:rPr>
        <w:t xml:space="preserve"> of negative attributes</w:t>
      </w:r>
      <w:r w:rsidR="002B0658">
        <w:rPr>
          <w:rFonts w:cstheme="minorHAnsi"/>
        </w:rPr>
        <w:t xml:space="preserve"> across self-aspects</w:t>
      </w:r>
      <w:r w:rsidR="009F0DCD">
        <w:rPr>
          <w:rFonts w:cstheme="minorHAnsi"/>
        </w:rPr>
        <w:t xml:space="preserve"> were found following </w:t>
      </w:r>
      <w:r w:rsidR="00EB214B">
        <w:rPr>
          <w:rFonts w:cstheme="minorHAnsi"/>
        </w:rPr>
        <w:t>mindfulness</w:t>
      </w:r>
      <w:r w:rsidR="00065BC6">
        <w:rPr>
          <w:rFonts w:cstheme="minorHAnsi"/>
        </w:rPr>
        <w:t xml:space="preserve"> therapy</w:t>
      </w:r>
      <w:r w:rsidR="00D30441">
        <w:rPr>
          <w:rFonts w:cstheme="minorHAnsi"/>
        </w:rPr>
        <w:t xml:space="preserve">.  </w:t>
      </w:r>
      <w:r w:rsidR="008A1426">
        <w:rPr>
          <w:rFonts w:cstheme="minorHAnsi"/>
        </w:rPr>
        <w:t>The findings highlight</w:t>
      </w:r>
      <w:r w:rsidR="00135114">
        <w:rPr>
          <w:rFonts w:cstheme="minorHAnsi"/>
        </w:rPr>
        <w:t xml:space="preserve"> </w:t>
      </w:r>
      <w:r w:rsidR="00904925">
        <w:rPr>
          <w:rFonts w:cstheme="minorHAnsi"/>
        </w:rPr>
        <w:t xml:space="preserve">key </w:t>
      </w:r>
      <w:r w:rsidR="00135114">
        <w:rPr>
          <w:rFonts w:cstheme="minorHAnsi"/>
        </w:rPr>
        <w:t xml:space="preserve">differences in </w:t>
      </w:r>
      <w:r w:rsidR="008A1426">
        <w:rPr>
          <w:rFonts w:cstheme="minorHAnsi"/>
        </w:rPr>
        <w:t>self-</w:t>
      </w:r>
      <w:r w:rsidR="00135114">
        <w:rPr>
          <w:rFonts w:cstheme="minorHAnsi"/>
        </w:rPr>
        <w:t xml:space="preserve">structure </w:t>
      </w:r>
      <w:r w:rsidR="00E557AF">
        <w:rPr>
          <w:rFonts w:cstheme="minorHAnsi"/>
        </w:rPr>
        <w:t>between individuals with persecutory delusions and healthy controls, and suggest that it might be possible to change self-str</w:t>
      </w:r>
      <w:r w:rsidR="00065BC6">
        <w:rPr>
          <w:rFonts w:cstheme="minorHAnsi"/>
        </w:rPr>
        <w:t>ucture following psychological therapy</w:t>
      </w:r>
      <w:r w:rsidR="00E557AF">
        <w:rPr>
          <w:rFonts w:cstheme="minorHAnsi"/>
        </w:rPr>
        <w:t>.  These data support the central role of the self in theoretical models of paranoid thinking.</w:t>
      </w:r>
    </w:p>
    <w:p w14:paraId="4FF203F6" w14:textId="77777777" w:rsidR="00DF03CF" w:rsidRDefault="00DF03CF" w:rsidP="004538A8">
      <w:pPr>
        <w:spacing w:line="480" w:lineRule="auto"/>
        <w:rPr>
          <w:rFonts w:cstheme="minorHAnsi"/>
        </w:rPr>
      </w:pPr>
    </w:p>
    <w:p w14:paraId="2D55E8AB" w14:textId="7E4A8286" w:rsidR="00470194" w:rsidRDefault="00380C2E" w:rsidP="004538A8">
      <w:pPr>
        <w:spacing w:line="480" w:lineRule="auto"/>
        <w:rPr>
          <w:rFonts w:cstheme="minorHAnsi"/>
        </w:rPr>
      </w:pPr>
      <w:r>
        <w:rPr>
          <w:rFonts w:cstheme="minorHAnsi"/>
        </w:rPr>
        <w:t>Keywords:</w:t>
      </w:r>
      <w:r w:rsidR="00DF03CF">
        <w:rPr>
          <w:rFonts w:cstheme="minorHAnsi"/>
        </w:rPr>
        <w:t xml:space="preserve"> compartmentalisation, self-structure, self-concept, persecutory delusions, </w:t>
      </w:r>
      <w:r w:rsidR="00EB34CA">
        <w:rPr>
          <w:rFonts w:cstheme="minorHAnsi"/>
        </w:rPr>
        <w:t>schizophrenia</w:t>
      </w:r>
    </w:p>
    <w:p w14:paraId="74EB3788" w14:textId="5892FFF3" w:rsidR="009F0DCD" w:rsidRDefault="009F0DCD" w:rsidP="004538A8">
      <w:pPr>
        <w:spacing w:line="480" w:lineRule="auto"/>
        <w:rPr>
          <w:rFonts w:cstheme="minorHAnsi"/>
          <w:b/>
        </w:rPr>
      </w:pPr>
    </w:p>
    <w:p w14:paraId="194DCF40" w14:textId="333E0984" w:rsidR="00BC51BE" w:rsidRPr="00D30441" w:rsidRDefault="00BC51BE" w:rsidP="00636092">
      <w:pPr>
        <w:spacing w:line="480" w:lineRule="auto"/>
        <w:jc w:val="center"/>
        <w:rPr>
          <w:rFonts w:cstheme="minorHAnsi"/>
          <w:b/>
        </w:rPr>
      </w:pPr>
      <w:r w:rsidRPr="00D30441">
        <w:rPr>
          <w:rFonts w:cstheme="minorHAnsi"/>
          <w:b/>
        </w:rPr>
        <w:t>Introduction</w:t>
      </w:r>
    </w:p>
    <w:p w14:paraId="0B3B1269" w14:textId="3EE0B538" w:rsidR="006F76F0" w:rsidRPr="00EA2548" w:rsidRDefault="0088098D" w:rsidP="00707144">
      <w:pPr>
        <w:widowControl w:val="0"/>
        <w:tabs>
          <w:tab w:val="left" w:pos="567"/>
        </w:tabs>
        <w:spacing w:after="0" w:line="480" w:lineRule="auto"/>
        <w:rPr>
          <w:rFonts w:cstheme="minorHAnsi"/>
        </w:rPr>
      </w:pPr>
      <w:r>
        <w:rPr>
          <w:rFonts w:eastAsia="Times New Roman" w:cstheme="minorHAnsi"/>
        </w:rPr>
        <w:tab/>
      </w:r>
      <w:r w:rsidR="000973BE">
        <w:rPr>
          <w:rFonts w:eastAsia="Times New Roman" w:cstheme="minorHAnsi"/>
        </w:rPr>
        <w:t xml:space="preserve">Negative beliefs about </w:t>
      </w:r>
      <w:r w:rsidR="00ED1045">
        <w:rPr>
          <w:rFonts w:eastAsia="Times New Roman" w:cstheme="minorHAnsi"/>
        </w:rPr>
        <w:t xml:space="preserve">the self and others </w:t>
      </w:r>
      <w:r w:rsidR="006121C5" w:rsidRPr="00EA2548">
        <w:rPr>
          <w:rFonts w:eastAsia="Times New Roman" w:cstheme="minorHAnsi"/>
        </w:rPr>
        <w:t xml:space="preserve">play a </w:t>
      </w:r>
      <w:r w:rsidR="000A73E2">
        <w:rPr>
          <w:rFonts w:eastAsia="Times New Roman" w:cstheme="minorHAnsi"/>
        </w:rPr>
        <w:t>central</w:t>
      </w:r>
      <w:r w:rsidR="006121C5" w:rsidRPr="00EA2548">
        <w:rPr>
          <w:rFonts w:eastAsia="Times New Roman" w:cstheme="minorHAnsi"/>
        </w:rPr>
        <w:t xml:space="preserve"> role in the</w:t>
      </w:r>
      <w:r w:rsidR="000A73E2">
        <w:rPr>
          <w:rFonts w:eastAsia="Times New Roman" w:cstheme="minorHAnsi"/>
        </w:rPr>
        <w:t>oretic</w:t>
      </w:r>
      <w:r w:rsidR="00061383">
        <w:rPr>
          <w:rFonts w:eastAsia="Times New Roman" w:cstheme="minorHAnsi"/>
        </w:rPr>
        <w:t>al accounts of the aetiology and maintenance of persecutory delusions</w:t>
      </w:r>
      <w:r w:rsidR="000A73E2">
        <w:rPr>
          <w:rFonts w:eastAsia="Times New Roman" w:cstheme="minorHAnsi"/>
        </w:rPr>
        <w:t xml:space="preserve"> </w:t>
      </w:r>
      <w:r w:rsidR="000973BE">
        <w:rPr>
          <w:rFonts w:eastAsia="Times New Roman" w:cstheme="minorHAnsi"/>
        </w:rPr>
        <w:t>(</w:t>
      </w:r>
      <w:r w:rsidR="00082414">
        <w:rPr>
          <w:rFonts w:eastAsia="Times New Roman" w:cstheme="minorHAnsi"/>
        </w:rPr>
        <w:t xml:space="preserve">Bentall et al., 2001; Chadwick et al., 1996; Freeman et al., 2002; </w:t>
      </w:r>
      <w:r w:rsidR="000973BE">
        <w:rPr>
          <w:rFonts w:eastAsia="Times New Roman" w:cstheme="minorHAnsi"/>
        </w:rPr>
        <w:t>Trower &amp; Chadwick., 1995)</w:t>
      </w:r>
      <w:r w:rsidR="00F65CB9" w:rsidRPr="00EA2548">
        <w:rPr>
          <w:rFonts w:eastAsia="Times New Roman" w:cstheme="minorHAnsi"/>
        </w:rPr>
        <w:t>.</w:t>
      </w:r>
      <w:r w:rsidR="00105D85" w:rsidRPr="00EA2548">
        <w:rPr>
          <w:rFonts w:eastAsia="Times New Roman" w:cstheme="minorHAnsi"/>
        </w:rPr>
        <w:t xml:space="preserve"> </w:t>
      </w:r>
      <w:r w:rsidR="00533E7E">
        <w:rPr>
          <w:rFonts w:eastAsia="Times New Roman" w:cstheme="minorHAnsi"/>
        </w:rPr>
        <w:t xml:space="preserve"> It has been argued that</w:t>
      </w:r>
      <w:r w:rsidR="00EC7322">
        <w:rPr>
          <w:rFonts w:eastAsia="Times New Roman" w:cstheme="minorHAnsi"/>
        </w:rPr>
        <w:t xml:space="preserve"> </w:t>
      </w:r>
      <w:r w:rsidR="001D74F4">
        <w:rPr>
          <w:rFonts w:eastAsia="Times New Roman" w:cstheme="minorHAnsi"/>
        </w:rPr>
        <w:t xml:space="preserve">persecutory delusions might serve a defensive function, either by </w:t>
      </w:r>
      <w:r w:rsidR="00EC7322">
        <w:rPr>
          <w:rFonts w:eastAsia="Times New Roman" w:cstheme="minorHAnsi"/>
        </w:rPr>
        <w:t xml:space="preserve">blaming others for </w:t>
      </w:r>
      <w:r w:rsidR="00533E7E">
        <w:t xml:space="preserve">negative events </w:t>
      </w:r>
      <w:r w:rsidR="00D95129">
        <w:t xml:space="preserve">and </w:t>
      </w:r>
      <w:r w:rsidR="001D74F4">
        <w:t xml:space="preserve">thereby </w:t>
      </w:r>
      <w:r w:rsidR="00533E7E">
        <w:t xml:space="preserve">preventing activation of underlying negative self-representations (Bentall et al., 1994), </w:t>
      </w:r>
      <w:r w:rsidR="001D74F4">
        <w:t xml:space="preserve">or by </w:t>
      </w:r>
      <w:r w:rsidR="00045BF4">
        <w:t xml:space="preserve">defending against either insecurity threat (‘poor me paranoia’) or alienation threat (‘bad me paranoia’) </w:t>
      </w:r>
      <w:r w:rsidR="001D74F4">
        <w:t>(Trower &amp; Chadwick, 1995).  A</w:t>
      </w:r>
      <w:r w:rsidR="00533E7E">
        <w:t xml:space="preserve"> direct causal role of negative self-representations in the development and maintenance of p</w:t>
      </w:r>
      <w:r w:rsidR="00412581">
        <w:t>ersecutory delusions</w:t>
      </w:r>
      <w:r w:rsidR="00533E7E">
        <w:t xml:space="preserve"> has </w:t>
      </w:r>
      <w:r w:rsidR="001D74F4">
        <w:t xml:space="preserve">also </w:t>
      </w:r>
      <w:r w:rsidR="00533E7E">
        <w:t>been proposed (Freeman et al., 2002)</w:t>
      </w:r>
      <w:r w:rsidR="00412581">
        <w:t xml:space="preserve">, </w:t>
      </w:r>
      <w:r w:rsidR="00EC7322">
        <w:t xml:space="preserve">specifically </w:t>
      </w:r>
      <w:r w:rsidR="00412581">
        <w:t xml:space="preserve">by increasing a sense of threat </w:t>
      </w:r>
      <w:r w:rsidR="00533E7E">
        <w:t>(</w:t>
      </w:r>
      <w:proofErr w:type="spellStart"/>
      <w:r w:rsidR="00533E7E">
        <w:t>Garety</w:t>
      </w:r>
      <w:proofErr w:type="spellEnd"/>
      <w:r w:rsidR="00533E7E">
        <w:t xml:space="preserve"> et al., 2001).  </w:t>
      </w:r>
      <w:r w:rsidR="001D74F4">
        <w:t>In support of these theoretical accounts</w:t>
      </w:r>
      <w:r w:rsidR="0062133C">
        <w:t>, research has shown that p</w:t>
      </w:r>
      <w:r w:rsidR="00707144" w:rsidRPr="00EA2548">
        <w:rPr>
          <w:rFonts w:cstheme="minorHAnsi"/>
        </w:rPr>
        <w:t xml:space="preserve">aranoia is </w:t>
      </w:r>
      <w:r w:rsidR="00ED1045">
        <w:rPr>
          <w:rFonts w:cstheme="minorHAnsi"/>
        </w:rPr>
        <w:t xml:space="preserve">associated with </w:t>
      </w:r>
      <w:r w:rsidR="007A4677" w:rsidRPr="00EA2548">
        <w:rPr>
          <w:rFonts w:cstheme="minorHAnsi"/>
        </w:rPr>
        <w:t>low implicit and explicit self-esteem (</w:t>
      </w:r>
      <w:proofErr w:type="spellStart"/>
      <w:r w:rsidR="007A4677" w:rsidRPr="00EA2548">
        <w:rPr>
          <w:rFonts w:cstheme="minorHAnsi"/>
        </w:rPr>
        <w:t>Kesting</w:t>
      </w:r>
      <w:proofErr w:type="spellEnd"/>
      <w:r w:rsidR="007A4677" w:rsidRPr="00EA2548">
        <w:rPr>
          <w:rFonts w:cstheme="minorHAnsi"/>
        </w:rPr>
        <w:t xml:space="preserve"> &amp; Lincoln, 2013)</w:t>
      </w:r>
      <w:r w:rsidR="00ED1045">
        <w:rPr>
          <w:rFonts w:cstheme="minorHAnsi"/>
        </w:rPr>
        <w:t xml:space="preserve">, and is </w:t>
      </w:r>
      <w:r w:rsidR="00707144" w:rsidRPr="00EA2548">
        <w:rPr>
          <w:rFonts w:cstheme="minorHAnsi"/>
        </w:rPr>
        <w:t>more likely to occur in those with negative self-concepts (Tiernan, Tracey, &amp; Shannon</w:t>
      </w:r>
      <w:r w:rsidR="004F7A67" w:rsidRPr="00EA2548">
        <w:rPr>
          <w:rFonts w:cstheme="minorHAnsi"/>
        </w:rPr>
        <w:t>, 2014)</w:t>
      </w:r>
      <w:r w:rsidR="007A4677">
        <w:rPr>
          <w:rFonts w:cstheme="minorHAnsi"/>
        </w:rPr>
        <w:t xml:space="preserve"> and </w:t>
      </w:r>
      <w:r w:rsidR="006F76F0" w:rsidRPr="00EA2548">
        <w:rPr>
          <w:rFonts w:cstheme="minorHAnsi"/>
        </w:rPr>
        <w:t>negative self-schema (Muller et al., 2018)</w:t>
      </w:r>
      <w:r w:rsidR="007A4677">
        <w:rPr>
          <w:rFonts w:cstheme="minorHAnsi"/>
        </w:rPr>
        <w:t xml:space="preserve">. </w:t>
      </w:r>
      <w:r w:rsidR="00C0414D">
        <w:rPr>
          <w:rFonts w:eastAsia="Times New Roman" w:cstheme="minorHAnsi"/>
        </w:rPr>
        <w:t xml:space="preserve">Additionally, </w:t>
      </w:r>
      <w:r w:rsidR="006223AC">
        <w:rPr>
          <w:rFonts w:eastAsia="Times New Roman" w:cstheme="minorHAnsi"/>
        </w:rPr>
        <w:t>expe</w:t>
      </w:r>
      <w:r w:rsidR="006F76F0" w:rsidRPr="00EA2548">
        <w:rPr>
          <w:rFonts w:cstheme="minorHAnsi"/>
        </w:rPr>
        <w:t>rience sampling studies suggest reductions in self-esteem precede</w:t>
      </w:r>
      <w:r w:rsidR="00ED1045">
        <w:rPr>
          <w:rFonts w:cstheme="minorHAnsi"/>
        </w:rPr>
        <w:t xml:space="preserve"> and predict </w:t>
      </w:r>
      <w:r w:rsidR="00C61153">
        <w:rPr>
          <w:rFonts w:cstheme="minorHAnsi"/>
        </w:rPr>
        <w:t xml:space="preserve">the onset of </w:t>
      </w:r>
      <w:r w:rsidR="00ED1045">
        <w:rPr>
          <w:rFonts w:cstheme="minorHAnsi"/>
        </w:rPr>
        <w:t>paranoid beliefs</w:t>
      </w:r>
      <w:r w:rsidR="006F76F0" w:rsidRPr="00EA2548">
        <w:rPr>
          <w:rFonts w:cstheme="minorHAnsi"/>
        </w:rPr>
        <w:t xml:space="preserve"> (</w:t>
      </w:r>
      <w:proofErr w:type="spellStart"/>
      <w:r w:rsidR="006F76F0" w:rsidRPr="00EA2548">
        <w:rPr>
          <w:rFonts w:cstheme="minorHAnsi"/>
        </w:rPr>
        <w:t>Thewissen</w:t>
      </w:r>
      <w:proofErr w:type="spellEnd"/>
      <w:r w:rsidR="006F76F0" w:rsidRPr="00EA2548">
        <w:rPr>
          <w:rFonts w:cstheme="minorHAnsi"/>
        </w:rPr>
        <w:t xml:space="preserve"> et al., 2008</w:t>
      </w:r>
      <w:r w:rsidR="00C61153">
        <w:rPr>
          <w:rFonts w:cstheme="minorHAnsi"/>
        </w:rPr>
        <w:t>, 2011</w:t>
      </w:r>
      <w:r w:rsidR="00495D9F" w:rsidRPr="00EA2548">
        <w:rPr>
          <w:rFonts w:cstheme="minorHAnsi"/>
        </w:rPr>
        <w:t>)</w:t>
      </w:r>
      <w:r w:rsidR="00C0414D">
        <w:rPr>
          <w:rFonts w:cstheme="minorHAnsi"/>
        </w:rPr>
        <w:t xml:space="preserve">, </w:t>
      </w:r>
      <w:r w:rsidR="00CB2230">
        <w:rPr>
          <w:rFonts w:cstheme="minorHAnsi"/>
        </w:rPr>
        <w:t xml:space="preserve">and daily contextual factors </w:t>
      </w:r>
      <w:r w:rsidR="00F67D8E">
        <w:rPr>
          <w:rFonts w:cstheme="minorHAnsi"/>
        </w:rPr>
        <w:t xml:space="preserve">(e.g. </w:t>
      </w:r>
      <w:r w:rsidR="00CB2230">
        <w:rPr>
          <w:rFonts w:cstheme="minorHAnsi"/>
        </w:rPr>
        <w:t>feeling cared for by others</w:t>
      </w:r>
      <w:r w:rsidR="00F67D8E">
        <w:rPr>
          <w:rFonts w:cstheme="minorHAnsi"/>
        </w:rPr>
        <w:t>)</w:t>
      </w:r>
      <w:r w:rsidR="00CB2230">
        <w:rPr>
          <w:rFonts w:cstheme="minorHAnsi"/>
        </w:rPr>
        <w:t xml:space="preserve"> moderate the effect </w:t>
      </w:r>
      <w:r w:rsidR="004C6D39">
        <w:rPr>
          <w:rFonts w:cstheme="minorHAnsi"/>
        </w:rPr>
        <w:t>o</w:t>
      </w:r>
      <w:r w:rsidR="00CB2230">
        <w:rPr>
          <w:rFonts w:cstheme="minorHAnsi"/>
        </w:rPr>
        <w:t>f self-esteem on paranoia (</w:t>
      </w:r>
      <w:proofErr w:type="spellStart"/>
      <w:r w:rsidR="00CB2230">
        <w:rPr>
          <w:rFonts w:cstheme="minorHAnsi"/>
        </w:rPr>
        <w:t>Monsonet</w:t>
      </w:r>
      <w:proofErr w:type="spellEnd"/>
      <w:r w:rsidR="00CB2230">
        <w:rPr>
          <w:rFonts w:cstheme="minorHAnsi"/>
        </w:rPr>
        <w:t xml:space="preserve"> et al., 2020)</w:t>
      </w:r>
      <w:r w:rsidR="00495D9F" w:rsidRPr="00EA2548">
        <w:rPr>
          <w:rFonts w:cstheme="minorHAnsi"/>
        </w:rPr>
        <w:t>.</w:t>
      </w:r>
      <w:r w:rsidR="006F76F0" w:rsidRPr="00EA2548">
        <w:rPr>
          <w:rFonts w:cstheme="minorHAnsi"/>
        </w:rPr>
        <w:t xml:space="preserve"> </w:t>
      </w:r>
      <w:r w:rsidR="00A2274D">
        <w:rPr>
          <w:rFonts w:cstheme="minorHAnsi"/>
        </w:rPr>
        <w:t xml:space="preserve"> </w:t>
      </w:r>
      <w:r w:rsidR="00AF125F">
        <w:rPr>
          <w:rFonts w:cstheme="minorHAnsi"/>
        </w:rPr>
        <w:t>L</w:t>
      </w:r>
      <w:r w:rsidR="000A2D83">
        <w:t>ongitudinal studies</w:t>
      </w:r>
      <w:r w:rsidR="00534159">
        <w:t xml:space="preserve"> have </w:t>
      </w:r>
      <w:r w:rsidR="00AF125F">
        <w:t xml:space="preserve">also </w:t>
      </w:r>
      <w:r w:rsidR="00534159">
        <w:t xml:space="preserve">shown that </w:t>
      </w:r>
      <w:r w:rsidR="000A2D83">
        <w:t>negative self</w:t>
      </w:r>
      <w:r w:rsidR="00AF125F">
        <w:t>-</w:t>
      </w:r>
      <w:r w:rsidR="000A2D83">
        <w:t xml:space="preserve">beliefs predict the maintenance of paranoia over time (Fowler et al., 2012; Freeman et al., 2012; </w:t>
      </w:r>
      <w:proofErr w:type="spellStart"/>
      <w:r w:rsidR="000A2D83">
        <w:t>Vorontsova</w:t>
      </w:r>
      <w:proofErr w:type="spellEnd"/>
      <w:r w:rsidR="000A2D83">
        <w:t xml:space="preserve">, </w:t>
      </w:r>
      <w:proofErr w:type="spellStart"/>
      <w:r w:rsidR="000A2D83">
        <w:t>Garety</w:t>
      </w:r>
      <w:proofErr w:type="spellEnd"/>
      <w:r w:rsidR="000A2D83">
        <w:t>, &amp; Freeman, 2013).</w:t>
      </w:r>
      <w:r w:rsidR="00AF125F">
        <w:t xml:space="preserve">  Finally, the most recent meta-analysis of 25 studies found medium to large associations between negative self/other beliefs and paranoia (Humphrey et al., 2021).</w:t>
      </w:r>
    </w:p>
    <w:p w14:paraId="08524932" w14:textId="04C5287E" w:rsidR="00B45CA2" w:rsidRPr="00780961" w:rsidRDefault="00707144" w:rsidP="00A7261D">
      <w:pPr>
        <w:spacing w:line="480" w:lineRule="auto"/>
        <w:ind w:firstLine="720"/>
        <w:jc w:val="both"/>
        <w:rPr>
          <w:rFonts w:cstheme="minorHAnsi"/>
        </w:rPr>
      </w:pPr>
      <w:r w:rsidRPr="00EA2548">
        <w:rPr>
          <w:rFonts w:cstheme="minorHAnsi"/>
        </w:rPr>
        <w:t xml:space="preserve"> </w:t>
      </w:r>
      <w:r w:rsidR="000550E5">
        <w:rPr>
          <w:rFonts w:cstheme="minorHAnsi"/>
        </w:rPr>
        <w:t xml:space="preserve">Hitherto, research has focused almost exclusively on the (negative) content of self-knowledge, with much less </w:t>
      </w:r>
      <w:r w:rsidR="00AF673F">
        <w:rPr>
          <w:rFonts w:cstheme="minorHAnsi"/>
        </w:rPr>
        <w:t xml:space="preserve">emphasis on </w:t>
      </w:r>
      <w:r w:rsidR="000550E5">
        <w:rPr>
          <w:rFonts w:cstheme="minorHAnsi"/>
        </w:rPr>
        <w:t xml:space="preserve">the </w:t>
      </w:r>
      <w:r w:rsidR="000550E5">
        <w:rPr>
          <w:rFonts w:cstheme="minorHAnsi"/>
          <w:i/>
        </w:rPr>
        <w:t>accessibility</w:t>
      </w:r>
      <w:r w:rsidR="000550E5">
        <w:rPr>
          <w:rFonts w:cstheme="minorHAnsi"/>
        </w:rPr>
        <w:t xml:space="preserve"> of information about the self in different contexts </w:t>
      </w:r>
      <w:r w:rsidR="00036CE4" w:rsidRPr="00EA2548">
        <w:rPr>
          <w:rFonts w:cstheme="minorHAnsi"/>
        </w:rPr>
        <w:t>(</w:t>
      </w:r>
      <w:proofErr w:type="spellStart"/>
      <w:r w:rsidR="00E67298">
        <w:rPr>
          <w:rFonts w:cstheme="minorHAnsi"/>
        </w:rPr>
        <w:t>Monsonet</w:t>
      </w:r>
      <w:proofErr w:type="spellEnd"/>
      <w:r w:rsidR="00E67298">
        <w:rPr>
          <w:rFonts w:cstheme="minorHAnsi"/>
        </w:rPr>
        <w:t xml:space="preserve"> et al., 2020; </w:t>
      </w:r>
      <w:proofErr w:type="spellStart"/>
      <w:r w:rsidR="00036CE4" w:rsidRPr="00EA2548">
        <w:rPr>
          <w:rFonts w:cstheme="minorHAnsi"/>
        </w:rPr>
        <w:t>Thewissen</w:t>
      </w:r>
      <w:proofErr w:type="spellEnd"/>
      <w:r w:rsidR="00036CE4" w:rsidRPr="00EA2548">
        <w:rPr>
          <w:rFonts w:cstheme="minorHAnsi"/>
        </w:rPr>
        <w:t xml:space="preserve"> et al., 2008, 2011)</w:t>
      </w:r>
      <w:r w:rsidR="00DB347F" w:rsidRPr="00EA2548">
        <w:rPr>
          <w:rFonts w:cstheme="minorHAnsi"/>
        </w:rPr>
        <w:t xml:space="preserve">. </w:t>
      </w:r>
      <w:r w:rsidR="008C1C81">
        <w:rPr>
          <w:rFonts w:cstheme="minorHAnsi"/>
        </w:rPr>
        <w:t xml:space="preserve"> </w:t>
      </w:r>
      <w:r w:rsidR="00F67D8E">
        <w:rPr>
          <w:rFonts w:cstheme="minorHAnsi"/>
        </w:rPr>
        <w:t>T</w:t>
      </w:r>
      <w:r w:rsidR="00DB347F" w:rsidRPr="00EA2548">
        <w:rPr>
          <w:rFonts w:cstheme="minorHAnsi"/>
        </w:rPr>
        <w:t xml:space="preserve">he accessibility of self-knowledge in a given context depends </w:t>
      </w:r>
      <w:r w:rsidR="0055729F" w:rsidRPr="00EA2548">
        <w:rPr>
          <w:rFonts w:cstheme="minorHAnsi"/>
        </w:rPr>
        <w:t xml:space="preserve">in part </w:t>
      </w:r>
      <w:r w:rsidR="00DB347F" w:rsidRPr="00EA2548">
        <w:rPr>
          <w:rFonts w:cstheme="minorHAnsi"/>
        </w:rPr>
        <w:t xml:space="preserve">on </w:t>
      </w:r>
      <w:r w:rsidR="00DB347F" w:rsidRPr="00EA2548">
        <w:rPr>
          <w:rFonts w:cstheme="minorHAnsi"/>
          <w:i/>
        </w:rPr>
        <w:t>self-structure</w:t>
      </w:r>
      <w:r w:rsidR="00DB347F" w:rsidRPr="00EA2548">
        <w:rPr>
          <w:rFonts w:cstheme="minorHAnsi"/>
        </w:rPr>
        <w:t>; that is, the organisation</w:t>
      </w:r>
      <w:r w:rsidR="007B619B" w:rsidRPr="00EA2548">
        <w:rPr>
          <w:rFonts w:cstheme="minorHAnsi"/>
        </w:rPr>
        <w:t>al</w:t>
      </w:r>
      <w:r w:rsidR="00DB347F" w:rsidRPr="00EA2548">
        <w:rPr>
          <w:rFonts w:cstheme="minorHAnsi"/>
        </w:rPr>
        <w:t xml:space="preserve"> structure of self-representations</w:t>
      </w:r>
      <w:r w:rsidR="007B619B" w:rsidRPr="00EA2548">
        <w:rPr>
          <w:rFonts w:cstheme="minorHAnsi"/>
        </w:rPr>
        <w:t xml:space="preserve"> (</w:t>
      </w:r>
      <w:r w:rsidR="008C1C81">
        <w:rPr>
          <w:rFonts w:cstheme="minorHAnsi"/>
        </w:rPr>
        <w:t xml:space="preserve">Showers, 1992; </w:t>
      </w:r>
      <w:r w:rsidR="007B619B" w:rsidRPr="00EA2548">
        <w:rPr>
          <w:rFonts w:cstheme="minorHAnsi"/>
        </w:rPr>
        <w:t xml:space="preserve">Showers &amp; Zeigler-Hill, 2006). </w:t>
      </w:r>
      <w:r w:rsidR="008C2BB5">
        <w:rPr>
          <w:rFonts w:cstheme="minorHAnsi"/>
        </w:rPr>
        <w:t xml:space="preserve"> </w:t>
      </w:r>
      <w:r w:rsidR="00F67D8E">
        <w:rPr>
          <w:rFonts w:cstheme="minorHAnsi"/>
        </w:rPr>
        <w:t>It is argued</w:t>
      </w:r>
      <w:r w:rsidR="007B619B" w:rsidRPr="00EA2548">
        <w:rPr>
          <w:rFonts w:cstheme="minorHAnsi"/>
        </w:rPr>
        <w:t xml:space="preserve"> individuals have multiple self-aspects </w:t>
      </w:r>
      <w:r w:rsidR="00C0414D">
        <w:rPr>
          <w:rFonts w:eastAsia="Times New Roman,Calibri" w:cstheme="minorHAnsi"/>
        </w:rPr>
        <w:t>(e.g. parent, sibling, friend</w:t>
      </w:r>
      <w:r w:rsidR="007B619B" w:rsidRPr="00EA2548">
        <w:rPr>
          <w:rFonts w:eastAsia="Times New Roman,Calibri" w:cstheme="minorHAnsi"/>
        </w:rPr>
        <w:t>), which ha</w:t>
      </w:r>
      <w:r w:rsidR="007E3A42">
        <w:rPr>
          <w:rFonts w:eastAsia="Times New Roman,Calibri" w:cstheme="minorHAnsi"/>
        </w:rPr>
        <w:t>ve</w:t>
      </w:r>
      <w:r w:rsidR="007B619B" w:rsidRPr="00EA2548">
        <w:rPr>
          <w:rFonts w:eastAsia="Times New Roman,Calibri" w:cstheme="minorHAnsi"/>
        </w:rPr>
        <w:t xml:space="preserve"> an associated set of positive (gentle, supportive) and</w:t>
      </w:r>
      <w:r w:rsidR="00CC0AFA" w:rsidRPr="00EA2548">
        <w:rPr>
          <w:rFonts w:eastAsia="Times New Roman,Calibri" w:cstheme="minorHAnsi"/>
        </w:rPr>
        <w:t>/or</w:t>
      </w:r>
      <w:r w:rsidR="007B619B" w:rsidRPr="00EA2548">
        <w:rPr>
          <w:rFonts w:eastAsia="Times New Roman,Calibri" w:cstheme="minorHAnsi"/>
        </w:rPr>
        <w:t xml:space="preserve"> negative (</w:t>
      </w:r>
      <w:r w:rsidR="0055729F" w:rsidRPr="00EA2548">
        <w:rPr>
          <w:rFonts w:eastAsia="Times New Roman,Calibri" w:cstheme="minorHAnsi"/>
        </w:rPr>
        <w:t xml:space="preserve">inpatient, boring) </w:t>
      </w:r>
      <w:r w:rsidR="007B619B" w:rsidRPr="00EA2548">
        <w:rPr>
          <w:rFonts w:eastAsia="Times New Roman,Calibri" w:cstheme="minorHAnsi"/>
        </w:rPr>
        <w:t xml:space="preserve">self-attributes. </w:t>
      </w:r>
      <w:r w:rsidR="0055729F" w:rsidRPr="00EA2548">
        <w:rPr>
          <w:rFonts w:eastAsia="Times New Roman,Calibri" w:cstheme="minorHAnsi"/>
        </w:rPr>
        <w:t xml:space="preserve">Self-attributes can be organised within a self-aspect in one of two main ways: </w:t>
      </w:r>
      <w:r w:rsidR="00CC0AFA" w:rsidRPr="00EA2548">
        <w:rPr>
          <w:rFonts w:eastAsia="Times New Roman,Calibri" w:cstheme="minorHAnsi"/>
          <w:i/>
        </w:rPr>
        <w:t>c</w:t>
      </w:r>
      <w:r w:rsidR="00714D33" w:rsidRPr="00EA2548">
        <w:rPr>
          <w:rFonts w:eastAsia="Times New Roman,Calibri" w:cstheme="minorHAnsi"/>
          <w:i/>
        </w:rPr>
        <w:t>ompartmentalised</w:t>
      </w:r>
      <w:r w:rsidR="00714D33" w:rsidRPr="00EA2548">
        <w:rPr>
          <w:rFonts w:eastAsia="Times New Roman,Calibri" w:cstheme="minorHAnsi"/>
        </w:rPr>
        <w:t xml:space="preserve"> self-structures </w:t>
      </w:r>
      <w:r w:rsidR="0055729F" w:rsidRPr="00EA2548">
        <w:rPr>
          <w:rFonts w:eastAsia="Times New Roman,Calibri" w:cstheme="minorHAnsi"/>
        </w:rPr>
        <w:t>describe self-aspects</w:t>
      </w:r>
      <w:r w:rsidR="002C5D5E" w:rsidRPr="00EA2548">
        <w:rPr>
          <w:rFonts w:eastAsia="Times New Roman,Calibri" w:cstheme="minorHAnsi"/>
        </w:rPr>
        <w:t xml:space="preserve"> that</w:t>
      </w:r>
      <w:r w:rsidR="0055729F" w:rsidRPr="00EA2548">
        <w:rPr>
          <w:rFonts w:eastAsia="Times New Roman,Calibri" w:cstheme="minorHAnsi"/>
        </w:rPr>
        <w:t xml:space="preserve"> are either predominantly positive or predominantly negative (e.g., loving, supportive, available parent; selfish, unavailable, disinterested sibling</w:t>
      </w:r>
      <w:r w:rsidR="00CC0AFA" w:rsidRPr="00EA2548">
        <w:rPr>
          <w:rFonts w:eastAsia="Times New Roman,Calibri" w:cstheme="minorHAnsi"/>
        </w:rPr>
        <w:t xml:space="preserve">) whereas in </w:t>
      </w:r>
      <w:r w:rsidR="0055729F" w:rsidRPr="00EA2548">
        <w:rPr>
          <w:rFonts w:eastAsia="Times New Roman,Calibri" w:cstheme="minorHAnsi"/>
          <w:i/>
        </w:rPr>
        <w:t>integrated</w:t>
      </w:r>
      <w:r w:rsidR="0055729F" w:rsidRPr="00EA2548">
        <w:rPr>
          <w:rFonts w:eastAsia="Times New Roman,Calibri" w:cstheme="minorHAnsi"/>
        </w:rPr>
        <w:t xml:space="preserve"> self-structures</w:t>
      </w:r>
      <w:r w:rsidR="00CC0AFA" w:rsidRPr="00EA2548">
        <w:rPr>
          <w:rFonts w:eastAsia="Times New Roman,Calibri" w:cstheme="minorHAnsi"/>
        </w:rPr>
        <w:t>,</w:t>
      </w:r>
      <w:r w:rsidR="0055729F" w:rsidRPr="00EA2548">
        <w:rPr>
          <w:rFonts w:eastAsia="Times New Roman,Calibri" w:cstheme="minorHAnsi"/>
        </w:rPr>
        <w:t xml:space="preserve"> positive and negative information </w:t>
      </w:r>
      <w:r w:rsidR="00CC0AFA" w:rsidRPr="00EA2548">
        <w:rPr>
          <w:rFonts w:eastAsia="Times New Roman,Calibri" w:cstheme="minorHAnsi"/>
        </w:rPr>
        <w:t xml:space="preserve">co-exists within </w:t>
      </w:r>
      <w:r w:rsidR="0055729F" w:rsidRPr="00EA2548">
        <w:rPr>
          <w:rFonts w:eastAsia="Times New Roman,Calibri" w:cstheme="minorHAnsi"/>
        </w:rPr>
        <w:t xml:space="preserve">any </w:t>
      </w:r>
      <w:r w:rsidR="0055729F">
        <w:rPr>
          <w:rFonts w:eastAsia="Times New Roman,Calibri" w:cstheme="minorHAnsi"/>
        </w:rPr>
        <w:t>one self-attribute (e.g., loving, supportive, inpatient, boring parent)</w:t>
      </w:r>
      <w:r w:rsidR="00F67D8E">
        <w:rPr>
          <w:rFonts w:eastAsia="Times New Roman,Calibri" w:cstheme="minorHAnsi"/>
        </w:rPr>
        <w:t xml:space="preserve"> (Showers, 1992)</w:t>
      </w:r>
      <w:r w:rsidR="0055729F">
        <w:rPr>
          <w:rFonts w:eastAsia="Times New Roman,Calibri" w:cstheme="minorHAnsi"/>
        </w:rPr>
        <w:t xml:space="preserve">.  </w:t>
      </w:r>
      <w:r w:rsidR="00B45CA2" w:rsidRPr="00780961">
        <w:rPr>
          <w:rFonts w:eastAsia="Times New Roman," w:cstheme="minorHAnsi"/>
        </w:rPr>
        <w:t>Depending on whet</w:t>
      </w:r>
      <w:r w:rsidR="00F67D8E">
        <w:rPr>
          <w:rFonts w:eastAsia="Times New Roman," w:cstheme="minorHAnsi"/>
        </w:rPr>
        <w:t>her positively</w:t>
      </w:r>
      <w:r w:rsidR="00B45CA2" w:rsidRPr="00780961">
        <w:rPr>
          <w:rFonts w:eastAsia="Times New Roman," w:cstheme="minorHAnsi"/>
        </w:rPr>
        <w:t xml:space="preserve"> or negatively-valanced self-aspects are salient, individuals will primarily access positive or negative self-attributes. Compartmentalisation can therefore lead to overly positive (e.g., high self-esteem, positive self-evaluations) or negative (e.g., low self-esteem, negative se</w:t>
      </w:r>
      <w:r w:rsidR="00F67D8E">
        <w:rPr>
          <w:rFonts w:eastAsia="Times New Roman," w:cstheme="minorHAnsi"/>
        </w:rPr>
        <w:t>lf-evaluations</w:t>
      </w:r>
      <w:r w:rsidR="00B45CA2" w:rsidRPr="00780961">
        <w:rPr>
          <w:rFonts w:eastAsia="Times New Roman," w:cstheme="minorHAnsi"/>
        </w:rPr>
        <w:t>)</w:t>
      </w:r>
      <w:r w:rsidR="00DD1E80">
        <w:rPr>
          <w:rFonts w:eastAsia="Times New Roman," w:cstheme="minorHAnsi"/>
        </w:rPr>
        <w:t xml:space="preserve"> </w:t>
      </w:r>
      <w:r w:rsidR="00CC0AFA">
        <w:rPr>
          <w:rFonts w:eastAsia="Times New Roman," w:cstheme="minorHAnsi"/>
        </w:rPr>
        <w:t>information about the self being accessed, giving</w:t>
      </w:r>
      <w:r w:rsidR="00B45CA2" w:rsidRPr="00780961">
        <w:rPr>
          <w:rFonts w:eastAsia="Times New Roman," w:cstheme="minorHAnsi"/>
        </w:rPr>
        <w:t xml:space="preserve"> </w:t>
      </w:r>
      <w:r w:rsidR="00DD1E80">
        <w:rPr>
          <w:rFonts w:eastAsia="Times New Roman," w:cstheme="minorHAnsi"/>
        </w:rPr>
        <w:t xml:space="preserve">rise to </w:t>
      </w:r>
      <w:r w:rsidR="00B45CA2" w:rsidRPr="00780961">
        <w:rPr>
          <w:rFonts w:eastAsia="Times New Roman," w:cstheme="minorHAnsi"/>
        </w:rPr>
        <w:t>emotional vulnerab</w:t>
      </w:r>
      <w:r w:rsidR="00DD1E80">
        <w:rPr>
          <w:rFonts w:eastAsia="Times New Roman," w:cstheme="minorHAnsi"/>
        </w:rPr>
        <w:t>ility</w:t>
      </w:r>
      <w:r w:rsidR="00B45CA2" w:rsidRPr="00780961">
        <w:rPr>
          <w:rFonts w:eastAsia="Times New Roman," w:cstheme="minorHAnsi"/>
        </w:rPr>
        <w:t xml:space="preserve"> (Zeigler-Hill &amp; Showers, 2007). </w:t>
      </w:r>
    </w:p>
    <w:p w14:paraId="3A088AF2" w14:textId="14683D25" w:rsidR="00827D74" w:rsidRDefault="000D5D46">
      <w:pPr>
        <w:spacing w:line="480" w:lineRule="auto"/>
        <w:ind w:firstLine="720"/>
        <w:rPr>
          <w:rFonts w:cstheme="minorHAnsi"/>
        </w:rPr>
      </w:pPr>
      <w:r w:rsidRPr="00780961">
        <w:rPr>
          <w:rFonts w:cstheme="minorHAnsi"/>
        </w:rPr>
        <w:t>Self-structure</w:t>
      </w:r>
      <w:r w:rsidR="006642A9" w:rsidRPr="00780961">
        <w:rPr>
          <w:rFonts w:cstheme="minorHAnsi"/>
        </w:rPr>
        <w:t xml:space="preserve"> h</w:t>
      </w:r>
      <w:r w:rsidR="008B2BD2">
        <w:rPr>
          <w:rFonts w:cstheme="minorHAnsi"/>
        </w:rPr>
        <w:t>as been examined</w:t>
      </w:r>
      <w:r w:rsidR="006642A9" w:rsidRPr="00E71BC5">
        <w:rPr>
          <w:rFonts w:cstheme="minorHAnsi"/>
        </w:rPr>
        <w:t xml:space="preserve"> in a range of clinical </w:t>
      </w:r>
      <w:r w:rsidR="003859AE">
        <w:rPr>
          <w:rFonts w:cstheme="minorHAnsi"/>
        </w:rPr>
        <w:t>populations</w:t>
      </w:r>
      <w:r w:rsidR="006642A9" w:rsidRPr="00E71BC5">
        <w:rPr>
          <w:rFonts w:cstheme="minorHAnsi"/>
        </w:rPr>
        <w:t xml:space="preserve">.  </w:t>
      </w:r>
      <w:r w:rsidR="00A7261D">
        <w:rPr>
          <w:rFonts w:cstheme="minorHAnsi"/>
        </w:rPr>
        <w:t>R</w:t>
      </w:r>
      <w:r w:rsidR="006642A9" w:rsidRPr="00E71BC5">
        <w:rPr>
          <w:rFonts w:cstheme="minorHAnsi"/>
        </w:rPr>
        <w:t>esearch has shown that</w:t>
      </w:r>
      <w:r w:rsidR="00E71BC5" w:rsidRPr="00E71BC5">
        <w:rPr>
          <w:rFonts w:cstheme="minorHAnsi"/>
        </w:rPr>
        <w:t xml:space="preserve"> individuals</w:t>
      </w:r>
      <w:r w:rsidR="00E71BC5" w:rsidRPr="00E71BC5">
        <w:rPr>
          <w:rFonts w:eastAsia="Times New Roman" w:cstheme="minorHAnsi"/>
        </w:rPr>
        <w:t xml:space="preserve"> who were more depressed had more compartmentalised self-structures, used a greater proportion of negative attributes and evaluated their negative self-aspects as more important compared to those who were less depressed</w:t>
      </w:r>
      <w:r w:rsidR="00E71BC5">
        <w:rPr>
          <w:rFonts w:eastAsia="Times New Roman" w:cstheme="minorHAnsi"/>
        </w:rPr>
        <w:t xml:space="preserve"> (Showers, 1992)</w:t>
      </w:r>
      <w:r w:rsidR="00E71BC5" w:rsidRPr="00E71BC5">
        <w:rPr>
          <w:rFonts w:eastAsia="Times New Roman" w:cstheme="minorHAnsi"/>
        </w:rPr>
        <w:t>.</w:t>
      </w:r>
      <w:r w:rsidR="006642A9" w:rsidRPr="00E71BC5">
        <w:rPr>
          <w:rFonts w:cstheme="minorHAnsi"/>
        </w:rPr>
        <w:t xml:space="preserve"> </w:t>
      </w:r>
      <w:r w:rsidR="00E71BC5">
        <w:rPr>
          <w:rFonts w:cstheme="minorHAnsi"/>
        </w:rPr>
        <w:t xml:space="preserve"> Additionally, </w:t>
      </w:r>
      <w:r w:rsidR="006642A9" w:rsidRPr="00E71BC5">
        <w:rPr>
          <w:rFonts w:cstheme="minorHAnsi"/>
        </w:rPr>
        <w:t>remitted bipolar disorder</w:t>
      </w:r>
      <w:r w:rsidR="00373B26">
        <w:rPr>
          <w:rFonts w:cstheme="minorHAnsi"/>
        </w:rPr>
        <w:t xml:space="preserve"> (</w:t>
      </w:r>
      <w:r w:rsidR="00373B26" w:rsidRPr="000308E5">
        <w:rPr>
          <w:rFonts w:cstheme="minorHAnsi"/>
          <w:i/>
        </w:rPr>
        <w:t>n</w:t>
      </w:r>
      <w:r w:rsidR="00373B26">
        <w:rPr>
          <w:rFonts w:cstheme="minorHAnsi"/>
        </w:rPr>
        <w:t>=18)</w:t>
      </w:r>
      <w:r w:rsidR="006642A9" w:rsidRPr="00E71BC5">
        <w:rPr>
          <w:rFonts w:cstheme="minorHAnsi"/>
        </w:rPr>
        <w:t xml:space="preserve"> an</w:t>
      </w:r>
      <w:r w:rsidR="00491804" w:rsidRPr="00E71BC5">
        <w:rPr>
          <w:rFonts w:cstheme="minorHAnsi"/>
        </w:rPr>
        <w:t>d recovered depressed grou</w:t>
      </w:r>
      <w:r w:rsidR="00491804" w:rsidRPr="00780961">
        <w:rPr>
          <w:rFonts w:cstheme="minorHAnsi"/>
        </w:rPr>
        <w:t>ps</w:t>
      </w:r>
      <w:r w:rsidR="00373B26">
        <w:rPr>
          <w:rFonts w:cstheme="minorHAnsi"/>
        </w:rPr>
        <w:t xml:space="preserve"> (</w:t>
      </w:r>
      <w:r w:rsidR="00373B26" w:rsidRPr="000308E5">
        <w:rPr>
          <w:rFonts w:cstheme="minorHAnsi"/>
          <w:i/>
        </w:rPr>
        <w:t>n</w:t>
      </w:r>
      <w:r w:rsidR="00373B26">
        <w:rPr>
          <w:rFonts w:cstheme="minorHAnsi"/>
        </w:rPr>
        <w:t>=16)</w:t>
      </w:r>
      <w:r w:rsidR="009B297C">
        <w:rPr>
          <w:rFonts w:cstheme="minorHAnsi"/>
        </w:rPr>
        <w:t xml:space="preserve"> (Taylor et al., 2007)</w:t>
      </w:r>
      <w:r w:rsidR="00C97B98">
        <w:rPr>
          <w:rFonts w:cstheme="minorHAnsi"/>
        </w:rPr>
        <w:t xml:space="preserve"> and </w:t>
      </w:r>
      <w:r w:rsidR="00373B26">
        <w:rPr>
          <w:rFonts w:cstheme="minorHAnsi"/>
        </w:rPr>
        <w:t xml:space="preserve">nonclinical </w:t>
      </w:r>
      <w:r w:rsidR="009B297C">
        <w:rPr>
          <w:rFonts w:cstheme="minorHAnsi"/>
        </w:rPr>
        <w:t>individuals with high social anxiety (Stopa et al., 2010)</w:t>
      </w:r>
      <w:r w:rsidR="007E3A42">
        <w:rPr>
          <w:rFonts w:cstheme="minorHAnsi"/>
        </w:rPr>
        <w:t xml:space="preserve"> </w:t>
      </w:r>
      <w:r w:rsidR="00491804" w:rsidRPr="00780961">
        <w:rPr>
          <w:rFonts w:cstheme="minorHAnsi"/>
        </w:rPr>
        <w:t>have</w:t>
      </w:r>
      <w:r w:rsidR="00E71BC5">
        <w:rPr>
          <w:rFonts w:cstheme="minorHAnsi"/>
        </w:rPr>
        <w:t xml:space="preserve"> been shown to have</w:t>
      </w:r>
      <w:r w:rsidR="006642A9" w:rsidRPr="00780961">
        <w:rPr>
          <w:rFonts w:cstheme="minorHAnsi"/>
        </w:rPr>
        <w:t xml:space="preserve"> more compartmentalised self-str</w:t>
      </w:r>
      <w:r w:rsidRPr="00780961">
        <w:rPr>
          <w:rFonts w:cstheme="minorHAnsi"/>
        </w:rPr>
        <w:t>u</w:t>
      </w:r>
      <w:r w:rsidR="006642A9" w:rsidRPr="00780961">
        <w:rPr>
          <w:rFonts w:cstheme="minorHAnsi"/>
        </w:rPr>
        <w:t>ctures compared with healthy controls.</w:t>
      </w:r>
      <w:r w:rsidR="00C97B98">
        <w:rPr>
          <w:rFonts w:cstheme="minorHAnsi"/>
        </w:rPr>
        <w:t xml:space="preserve">  In the most recent study, individuals with PTSD (</w:t>
      </w:r>
      <w:r w:rsidR="00C97B98" w:rsidRPr="000308E5">
        <w:rPr>
          <w:rFonts w:cstheme="minorHAnsi"/>
          <w:i/>
        </w:rPr>
        <w:t>n</w:t>
      </w:r>
      <w:r w:rsidR="00C97B98">
        <w:rPr>
          <w:rFonts w:cstheme="minorHAnsi"/>
        </w:rPr>
        <w:t>=23) were shown to have more compartmentalised self-structures compared to a healthy control group (</w:t>
      </w:r>
      <w:r w:rsidR="00C97B98" w:rsidRPr="000308E5">
        <w:rPr>
          <w:rFonts w:cstheme="minorHAnsi"/>
          <w:i/>
        </w:rPr>
        <w:t>n</w:t>
      </w:r>
      <w:r w:rsidR="00C97B98">
        <w:rPr>
          <w:rFonts w:cstheme="minorHAnsi"/>
        </w:rPr>
        <w:t>=22)</w:t>
      </w:r>
      <w:r w:rsidRPr="00780961">
        <w:rPr>
          <w:rFonts w:eastAsia="Times New Roman" w:cstheme="minorHAnsi"/>
        </w:rPr>
        <w:t xml:space="preserve"> </w:t>
      </w:r>
      <w:r w:rsidR="00C97B98">
        <w:rPr>
          <w:rFonts w:eastAsia="Times New Roman" w:cstheme="minorHAnsi"/>
        </w:rPr>
        <w:t>(Clifford et al., 2020).</w:t>
      </w:r>
      <w:r w:rsidR="00367255" w:rsidRPr="00780961">
        <w:rPr>
          <w:rFonts w:eastAsia="Times New Roman" w:cstheme="minorHAnsi"/>
        </w:rPr>
        <w:t xml:space="preserve"> </w:t>
      </w:r>
      <w:r w:rsidR="00C97B98">
        <w:rPr>
          <w:rFonts w:eastAsia="Times New Roman" w:cstheme="minorHAnsi"/>
        </w:rPr>
        <w:t xml:space="preserve"> </w:t>
      </w:r>
      <w:r w:rsidR="00311458">
        <w:rPr>
          <w:rFonts w:eastAsia="Times New Roman" w:cstheme="minorHAnsi"/>
        </w:rPr>
        <w:t xml:space="preserve">Additionally, </w:t>
      </w:r>
      <w:r w:rsidR="007D6840">
        <w:rPr>
          <w:rFonts w:eastAsia="Times New Roman" w:cstheme="minorHAnsi"/>
        </w:rPr>
        <w:t>individuals with persistent delusional disorder</w:t>
      </w:r>
      <w:r w:rsidR="007E3A42">
        <w:rPr>
          <w:rFonts w:eastAsia="Times New Roman" w:cstheme="minorHAnsi"/>
        </w:rPr>
        <w:t xml:space="preserve"> </w:t>
      </w:r>
      <w:r w:rsidR="00373B26">
        <w:rPr>
          <w:rFonts w:eastAsia="Times New Roman" w:cstheme="minorHAnsi"/>
        </w:rPr>
        <w:t>(</w:t>
      </w:r>
      <w:r w:rsidR="00373B26" w:rsidRPr="000308E5">
        <w:rPr>
          <w:rFonts w:eastAsia="Times New Roman" w:cstheme="minorHAnsi"/>
          <w:i/>
        </w:rPr>
        <w:t>n</w:t>
      </w:r>
      <w:r w:rsidR="00373B26">
        <w:rPr>
          <w:rFonts w:eastAsia="Times New Roman" w:cstheme="minorHAnsi"/>
        </w:rPr>
        <w:t xml:space="preserve">=26) </w:t>
      </w:r>
      <w:r w:rsidR="007D6840">
        <w:rPr>
          <w:rFonts w:eastAsia="Times New Roman" w:cstheme="minorHAnsi"/>
        </w:rPr>
        <w:t>had less integrated interperso</w:t>
      </w:r>
      <w:r w:rsidR="007E3A42">
        <w:rPr>
          <w:rFonts w:eastAsia="Times New Roman" w:cstheme="minorHAnsi"/>
        </w:rPr>
        <w:t xml:space="preserve">nal positive self-structures </w:t>
      </w:r>
      <w:r w:rsidR="007D6840">
        <w:rPr>
          <w:rFonts w:eastAsia="Times New Roman" w:cstheme="minorHAnsi"/>
        </w:rPr>
        <w:t>compared to control</w:t>
      </w:r>
      <w:r w:rsidR="007E3A42">
        <w:rPr>
          <w:rFonts w:eastAsia="Times New Roman" w:cstheme="minorHAnsi"/>
        </w:rPr>
        <w:t>s</w:t>
      </w:r>
      <w:r w:rsidR="007D6840">
        <w:rPr>
          <w:rFonts w:eastAsia="Times New Roman" w:cstheme="minorHAnsi"/>
        </w:rPr>
        <w:t xml:space="preserve"> </w:t>
      </w:r>
      <w:r w:rsidR="00311458">
        <w:rPr>
          <w:rFonts w:eastAsia="Times New Roman" w:cstheme="minorHAnsi"/>
        </w:rPr>
        <w:t>(</w:t>
      </w:r>
      <w:proofErr w:type="spellStart"/>
      <w:r w:rsidR="00311458">
        <w:rPr>
          <w:rFonts w:eastAsia="Times New Roman" w:cstheme="minorHAnsi"/>
        </w:rPr>
        <w:t>Mihic</w:t>
      </w:r>
      <w:proofErr w:type="spellEnd"/>
      <w:r w:rsidR="00311458">
        <w:rPr>
          <w:rFonts w:eastAsia="Times New Roman" w:cstheme="minorHAnsi"/>
        </w:rPr>
        <w:t xml:space="preserve"> et al., 2018)</w:t>
      </w:r>
      <w:r w:rsidR="007D6840">
        <w:rPr>
          <w:rFonts w:eastAsia="Times New Roman" w:cstheme="minorHAnsi"/>
        </w:rPr>
        <w:t xml:space="preserve">. </w:t>
      </w:r>
      <w:r w:rsidR="007E3A42">
        <w:rPr>
          <w:rFonts w:eastAsia="Times New Roman" w:cstheme="minorHAnsi"/>
        </w:rPr>
        <w:t xml:space="preserve"> </w:t>
      </w:r>
      <w:r w:rsidR="00311458">
        <w:rPr>
          <w:rFonts w:eastAsia="Times New Roman" w:cstheme="minorHAnsi"/>
        </w:rPr>
        <w:t xml:space="preserve">However, </w:t>
      </w:r>
      <w:r w:rsidR="009F562D">
        <w:rPr>
          <w:rFonts w:eastAsia="Times New Roman" w:cstheme="minorHAnsi"/>
        </w:rPr>
        <w:t>th</w:t>
      </w:r>
      <w:r w:rsidR="00311458">
        <w:rPr>
          <w:rFonts w:eastAsia="Times New Roman" w:cstheme="minorHAnsi"/>
        </w:rPr>
        <w:t>is</w:t>
      </w:r>
      <w:r w:rsidR="009F562D">
        <w:rPr>
          <w:rFonts w:eastAsia="Times New Roman" w:cstheme="minorHAnsi"/>
        </w:rPr>
        <w:t xml:space="preserve"> study</w:t>
      </w:r>
      <w:r w:rsidR="007D6840">
        <w:rPr>
          <w:rFonts w:eastAsia="Times New Roman" w:cstheme="minorHAnsi"/>
        </w:rPr>
        <w:t xml:space="preserve"> only focused on </w:t>
      </w:r>
      <w:r w:rsidR="00031E87">
        <w:rPr>
          <w:rFonts w:eastAsia="Times New Roman" w:cstheme="minorHAnsi"/>
        </w:rPr>
        <w:t xml:space="preserve">two </w:t>
      </w:r>
      <w:r w:rsidR="000A1976">
        <w:rPr>
          <w:rFonts w:eastAsia="Times New Roman" w:cstheme="minorHAnsi"/>
        </w:rPr>
        <w:t>self-</w:t>
      </w:r>
      <w:r w:rsidR="007D6840">
        <w:rPr>
          <w:rFonts w:eastAsia="Times New Roman" w:cstheme="minorHAnsi"/>
        </w:rPr>
        <w:t xml:space="preserve">domains and did not assess compartmentalisation. </w:t>
      </w:r>
      <w:r w:rsidR="009F562D">
        <w:rPr>
          <w:rFonts w:eastAsia="Times New Roman" w:cstheme="minorHAnsi"/>
        </w:rPr>
        <w:t xml:space="preserve"> </w:t>
      </w:r>
      <w:r w:rsidR="007D6840">
        <w:rPr>
          <w:rFonts w:eastAsia="Times New Roman" w:cstheme="minorHAnsi"/>
        </w:rPr>
        <w:t xml:space="preserve">A more global </w:t>
      </w:r>
      <w:r w:rsidR="00311458">
        <w:rPr>
          <w:rFonts w:eastAsia="Times New Roman" w:cstheme="minorHAnsi"/>
        </w:rPr>
        <w:t xml:space="preserve">assessment </w:t>
      </w:r>
      <w:r w:rsidR="007D6840">
        <w:rPr>
          <w:rFonts w:eastAsia="Times New Roman" w:cstheme="minorHAnsi"/>
        </w:rPr>
        <w:t>of self-structure across multiple self-aspects, and incorporating the valance of self-aspects</w:t>
      </w:r>
      <w:r w:rsidR="00031E87">
        <w:rPr>
          <w:rFonts w:eastAsia="Times New Roman" w:cstheme="minorHAnsi"/>
        </w:rPr>
        <w:t>,</w:t>
      </w:r>
      <w:r w:rsidR="007D6840">
        <w:rPr>
          <w:rFonts w:eastAsia="Times New Roman" w:cstheme="minorHAnsi"/>
        </w:rPr>
        <w:t xml:space="preserve"> </w:t>
      </w:r>
      <w:r w:rsidR="007E3A42">
        <w:rPr>
          <w:rFonts w:eastAsia="Times New Roman" w:cstheme="minorHAnsi"/>
        </w:rPr>
        <w:t>is needed to</w:t>
      </w:r>
      <w:r w:rsidR="007D6840">
        <w:rPr>
          <w:rFonts w:eastAsia="Times New Roman" w:cstheme="minorHAnsi"/>
        </w:rPr>
        <w:t xml:space="preserve"> provide a fuller picture of the role of self-structure in </w:t>
      </w:r>
      <w:r w:rsidR="00504C00">
        <w:rPr>
          <w:rFonts w:eastAsia="Times New Roman" w:cstheme="minorHAnsi"/>
        </w:rPr>
        <w:t>persecutory delusions.</w:t>
      </w:r>
      <w:r w:rsidR="007D6840">
        <w:rPr>
          <w:rFonts w:eastAsia="Times New Roman" w:cstheme="minorHAnsi"/>
        </w:rPr>
        <w:t xml:space="preserve"> </w:t>
      </w:r>
      <w:r w:rsidR="00827D74">
        <w:rPr>
          <w:rFonts w:eastAsia="Times New Roman" w:cstheme="minorHAnsi"/>
        </w:rPr>
        <w:t xml:space="preserve">Therefore, </w:t>
      </w:r>
      <w:r w:rsidR="000E1CF2">
        <w:rPr>
          <w:rFonts w:eastAsia="Times New Roman" w:cstheme="minorHAnsi"/>
        </w:rPr>
        <w:t xml:space="preserve">the </w:t>
      </w:r>
      <w:r w:rsidR="00827D74">
        <w:rPr>
          <w:rFonts w:eastAsia="Times New Roman" w:cstheme="minorHAnsi"/>
        </w:rPr>
        <w:t>aim of study</w:t>
      </w:r>
      <w:r w:rsidR="000E1CF2">
        <w:rPr>
          <w:rFonts w:eastAsia="Times New Roman" w:cstheme="minorHAnsi"/>
        </w:rPr>
        <w:t xml:space="preserve"> one</w:t>
      </w:r>
      <w:r w:rsidR="00827D74">
        <w:rPr>
          <w:rFonts w:eastAsia="Times New Roman" w:cstheme="minorHAnsi"/>
        </w:rPr>
        <w:t xml:space="preserve"> </w:t>
      </w:r>
      <w:r w:rsidR="00E03C53">
        <w:rPr>
          <w:rFonts w:eastAsia="Times New Roman" w:cstheme="minorHAnsi"/>
        </w:rPr>
        <w:t>wa</w:t>
      </w:r>
      <w:r w:rsidR="00827D74">
        <w:rPr>
          <w:rFonts w:eastAsia="Times New Roman" w:cstheme="minorHAnsi"/>
        </w:rPr>
        <w:t>s to compare</w:t>
      </w:r>
      <w:r w:rsidR="0053288D" w:rsidRPr="00780961">
        <w:rPr>
          <w:rFonts w:cstheme="minorHAnsi"/>
        </w:rPr>
        <w:t xml:space="preserve"> </w:t>
      </w:r>
      <w:r w:rsidR="00982A52" w:rsidRPr="00780961">
        <w:rPr>
          <w:rFonts w:cstheme="minorHAnsi"/>
        </w:rPr>
        <w:t xml:space="preserve">self-structure </w:t>
      </w:r>
      <w:r w:rsidR="00E35A2C" w:rsidRPr="00780961">
        <w:rPr>
          <w:rFonts w:cstheme="minorHAnsi"/>
        </w:rPr>
        <w:t xml:space="preserve">in </w:t>
      </w:r>
      <w:r w:rsidR="00491804" w:rsidRPr="00780961">
        <w:rPr>
          <w:rFonts w:cstheme="minorHAnsi"/>
        </w:rPr>
        <w:t xml:space="preserve">individuals </w:t>
      </w:r>
      <w:r w:rsidR="00E03C53">
        <w:rPr>
          <w:rFonts w:cstheme="minorHAnsi"/>
        </w:rPr>
        <w:t>with</w:t>
      </w:r>
      <w:r w:rsidR="00357ED5">
        <w:rPr>
          <w:rFonts w:cstheme="minorHAnsi"/>
        </w:rPr>
        <w:t xml:space="preserve"> a schizophrenia spectrum disorder whose symptom profile included strongly held </w:t>
      </w:r>
      <w:r w:rsidR="00504C00">
        <w:rPr>
          <w:rFonts w:cstheme="minorHAnsi"/>
        </w:rPr>
        <w:t xml:space="preserve">persecutory delusions </w:t>
      </w:r>
      <w:r w:rsidR="008F48FF">
        <w:rPr>
          <w:rFonts w:cstheme="minorHAnsi"/>
        </w:rPr>
        <w:t>and</w:t>
      </w:r>
      <w:r w:rsidR="006007A3">
        <w:rPr>
          <w:rFonts w:cstheme="minorHAnsi"/>
        </w:rPr>
        <w:t xml:space="preserve"> healthy controls.  </w:t>
      </w:r>
    </w:p>
    <w:p w14:paraId="322E6234" w14:textId="77777777" w:rsidR="001B130F" w:rsidRDefault="001B130F" w:rsidP="001B130F">
      <w:pPr>
        <w:spacing w:line="480" w:lineRule="auto"/>
        <w:rPr>
          <w:rFonts w:cstheme="minorHAnsi"/>
          <w:b/>
          <w:bCs/>
        </w:rPr>
      </w:pPr>
    </w:p>
    <w:p w14:paraId="3D5F12AE" w14:textId="47E83462" w:rsidR="001B130F" w:rsidRPr="001B130F" w:rsidRDefault="001B130F" w:rsidP="004E4148">
      <w:pPr>
        <w:spacing w:line="480" w:lineRule="auto"/>
        <w:jc w:val="center"/>
        <w:rPr>
          <w:rFonts w:cstheme="minorHAnsi"/>
          <w:b/>
          <w:bCs/>
        </w:rPr>
      </w:pPr>
      <w:r>
        <w:rPr>
          <w:rFonts w:cstheme="minorHAnsi"/>
          <w:b/>
          <w:bCs/>
        </w:rPr>
        <w:t>Study 1</w:t>
      </w:r>
    </w:p>
    <w:p w14:paraId="6284C231" w14:textId="7FA89A53" w:rsidR="001312B6" w:rsidRDefault="001F0AC4" w:rsidP="00493DDE">
      <w:pPr>
        <w:spacing w:line="480" w:lineRule="auto"/>
        <w:ind w:firstLine="720"/>
        <w:rPr>
          <w:rFonts w:cstheme="minorHAnsi"/>
        </w:rPr>
      </w:pPr>
      <w:r>
        <w:rPr>
          <w:rFonts w:cstheme="minorHAnsi"/>
        </w:rPr>
        <w:t>In study one,</w:t>
      </w:r>
      <w:r w:rsidR="00E0756F">
        <w:rPr>
          <w:rFonts w:cstheme="minorHAnsi"/>
        </w:rPr>
        <w:t xml:space="preserve"> </w:t>
      </w:r>
      <w:r w:rsidR="002C55BA">
        <w:rPr>
          <w:rFonts w:cstheme="minorHAnsi"/>
        </w:rPr>
        <w:t xml:space="preserve">in line with research </w:t>
      </w:r>
      <w:r w:rsidR="006558D4">
        <w:rPr>
          <w:rFonts w:cstheme="minorHAnsi"/>
        </w:rPr>
        <w:t>in</w:t>
      </w:r>
      <w:r w:rsidR="002C55BA">
        <w:rPr>
          <w:rFonts w:cstheme="minorHAnsi"/>
        </w:rPr>
        <w:t xml:space="preserve"> other clinical groups, </w:t>
      </w:r>
      <w:r w:rsidR="00E0756F">
        <w:rPr>
          <w:rFonts w:cstheme="minorHAnsi"/>
        </w:rPr>
        <w:t xml:space="preserve">we </w:t>
      </w:r>
      <w:r w:rsidR="002C55BA">
        <w:rPr>
          <w:rFonts w:cstheme="minorHAnsi"/>
        </w:rPr>
        <w:t xml:space="preserve">first </w:t>
      </w:r>
      <w:r w:rsidR="00E0756F">
        <w:rPr>
          <w:rFonts w:cstheme="minorHAnsi"/>
        </w:rPr>
        <w:t xml:space="preserve">examine self-structure comparing a clinical group with persecutory delusions and a healthy control group.  </w:t>
      </w:r>
      <w:r w:rsidR="00737E37">
        <w:rPr>
          <w:rFonts w:cstheme="minorHAnsi"/>
        </w:rPr>
        <w:t>We hypothesised</w:t>
      </w:r>
      <w:r w:rsidR="00737E37" w:rsidRPr="00780961">
        <w:rPr>
          <w:rFonts w:cstheme="minorHAnsi"/>
        </w:rPr>
        <w:t xml:space="preserve"> </w:t>
      </w:r>
      <w:r w:rsidR="00737E37">
        <w:rPr>
          <w:rFonts w:cstheme="minorHAnsi"/>
        </w:rPr>
        <w:t>t</w:t>
      </w:r>
      <w:r w:rsidR="00737E37" w:rsidRPr="00780961">
        <w:rPr>
          <w:rFonts w:cstheme="minorHAnsi"/>
        </w:rPr>
        <w:t xml:space="preserve">he clinical group </w:t>
      </w:r>
      <w:r w:rsidR="00737E37">
        <w:rPr>
          <w:rFonts w:cstheme="minorHAnsi"/>
        </w:rPr>
        <w:t xml:space="preserve">would </w:t>
      </w:r>
      <w:r w:rsidR="00737E37" w:rsidRPr="00780961">
        <w:rPr>
          <w:rFonts w:cstheme="minorHAnsi"/>
        </w:rPr>
        <w:t>identify</w:t>
      </w:r>
      <w:r w:rsidR="00737E37">
        <w:rPr>
          <w:rFonts w:cstheme="minorHAnsi"/>
        </w:rPr>
        <w:t xml:space="preserve"> </w:t>
      </w:r>
      <w:r w:rsidR="00737E37" w:rsidRPr="00780961">
        <w:rPr>
          <w:rFonts w:cstheme="minorHAnsi"/>
        </w:rPr>
        <w:t xml:space="preserve">a lower number of self-aspects, </w:t>
      </w:r>
      <w:r w:rsidR="00737E37">
        <w:rPr>
          <w:rFonts w:cstheme="minorHAnsi"/>
        </w:rPr>
        <w:t>would use</w:t>
      </w:r>
      <w:r w:rsidR="00737E37" w:rsidRPr="00780961">
        <w:rPr>
          <w:rFonts w:cstheme="minorHAnsi"/>
        </w:rPr>
        <w:t xml:space="preserve"> fewer total number of items</w:t>
      </w:r>
      <w:r w:rsidR="00737E37">
        <w:rPr>
          <w:rFonts w:cstheme="minorHAnsi"/>
        </w:rPr>
        <w:t xml:space="preserve"> to describe their self-aspects</w:t>
      </w:r>
      <w:r w:rsidR="00E0756F">
        <w:rPr>
          <w:rFonts w:cstheme="minorHAnsi"/>
        </w:rPr>
        <w:t>, would</w:t>
      </w:r>
      <w:r w:rsidR="00737E37">
        <w:rPr>
          <w:rFonts w:cstheme="minorHAnsi"/>
        </w:rPr>
        <w:t xml:space="preserve"> have a greater proportion of negative attributes and greater compartmentalisation of self-structure </w:t>
      </w:r>
      <w:r w:rsidR="00737E37" w:rsidRPr="00780961">
        <w:rPr>
          <w:rFonts w:cstheme="minorHAnsi"/>
        </w:rPr>
        <w:t xml:space="preserve">compared with </w:t>
      </w:r>
      <w:r w:rsidR="00737E37">
        <w:rPr>
          <w:rFonts w:cstheme="minorHAnsi"/>
        </w:rPr>
        <w:t>controls.</w:t>
      </w:r>
      <w:r w:rsidR="007D2BD5">
        <w:rPr>
          <w:rFonts w:cstheme="minorHAnsi"/>
        </w:rPr>
        <w:t xml:space="preserve"> </w:t>
      </w:r>
      <w:r w:rsidR="00F91ABF">
        <w:rPr>
          <w:rFonts w:cstheme="minorHAnsi"/>
        </w:rPr>
        <w:t xml:space="preserve"> </w:t>
      </w:r>
    </w:p>
    <w:p w14:paraId="104820E7" w14:textId="77777777" w:rsidR="001312B6" w:rsidRDefault="001312B6" w:rsidP="007D2BD5">
      <w:pPr>
        <w:spacing w:line="480" w:lineRule="auto"/>
        <w:ind w:firstLine="720"/>
        <w:rPr>
          <w:rFonts w:cstheme="minorHAnsi"/>
        </w:rPr>
      </w:pPr>
    </w:p>
    <w:p w14:paraId="32FA1990" w14:textId="5F9A0E7B" w:rsidR="00BC51BE" w:rsidRPr="00D30441" w:rsidRDefault="00BC51BE" w:rsidP="00D30441">
      <w:pPr>
        <w:spacing w:line="480" w:lineRule="auto"/>
        <w:jc w:val="center"/>
        <w:rPr>
          <w:rFonts w:cstheme="minorHAnsi"/>
          <w:b/>
        </w:rPr>
      </w:pPr>
      <w:r w:rsidRPr="00D30441">
        <w:rPr>
          <w:rFonts w:cstheme="minorHAnsi"/>
          <w:b/>
        </w:rPr>
        <w:t>Method</w:t>
      </w:r>
      <w:r w:rsidR="00D53A09" w:rsidRPr="00D30441">
        <w:rPr>
          <w:rFonts w:cstheme="minorHAnsi"/>
          <w:b/>
        </w:rPr>
        <w:t>s</w:t>
      </w:r>
    </w:p>
    <w:p w14:paraId="33655CB2" w14:textId="77777777" w:rsidR="00C50D24" w:rsidRDefault="009A7160" w:rsidP="00C50D24">
      <w:pPr>
        <w:spacing w:line="480" w:lineRule="auto"/>
        <w:rPr>
          <w:rFonts w:cstheme="minorHAnsi"/>
          <w:i/>
        </w:rPr>
      </w:pPr>
      <w:r w:rsidRPr="00780961">
        <w:rPr>
          <w:rFonts w:cstheme="minorHAnsi"/>
          <w:i/>
        </w:rPr>
        <w:t>Desig</w:t>
      </w:r>
      <w:r w:rsidR="00BC6BBC">
        <w:rPr>
          <w:rFonts w:cstheme="minorHAnsi"/>
          <w:i/>
        </w:rPr>
        <w:t>n</w:t>
      </w:r>
    </w:p>
    <w:p w14:paraId="3B415A9F" w14:textId="242ED31A" w:rsidR="00C63BC5" w:rsidRDefault="00787789" w:rsidP="00BC6BBC">
      <w:pPr>
        <w:spacing w:line="480" w:lineRule="auto"/>
        <w:ind w:firstLine="720"/>
      </w:pPr>
      <w:r>
        <w:t>A</w:t>
      </w:r>
      <w:r w:rsidR="009A7160" w:rsidRPr="00AC3034">
        <w:t xml:space="preserve"> between</w:t>
      </w:r>
      <w:r w:rsidR="00031E87" w:rsidRPr="00AC3034">
        <w:t>-</w:t>
      </w:r>
      <w:r w:rsidR="009A7160" w:rsidRPr="00AC3034">
        <w:t>groups design was</w:t>
      </w:r>
      <w:r w:rsidR="00C141F2" w:rsidRPr="00AC3034">
        <w:t xml:space="preserve"> used to compare clinical</w:t>
      </w:r>
      <w:r w:rsidR="009A7160" w:rsidRPr="00AC3034">
        <w:t xml:space="preserve"> and </w:t>
      </w:r>
      <w:r w:rsidR="002A6511" w:rsidRPr="00AC3034">
        <w:t xml:space="preserve">healthy </w:t>
      </w:r>
      <w:r w:rsidR="005B7189" w:rsidRPr="00AC3034">
        <w:t>control</w:t>
      </w:r>
      <w:r w:rsidR="009A7160" w:rsidRPr="00AC3034">
        <w:t xml:space="preserve"> groups on </w:t>
      </w:r>
      <w:r w:rsidR="000A1976" w:rsidRPr="00AC3034">
        <w:t>five</w:t>
      </w:r>
      <w:r w:rsidR="00C141F2" w:rsidRPr="00AC3034">
        <w:t xml:space="preserve"> self-structure indices</w:t>
      </w:r>
      <w:r w:rsidR="004715AC" w:rsidRPr="00AC3034">
        <w:t xml:space="preserve">: </w:t>
      </w:r>
      <w:r w:rsidR="00493456">
        <w:t xml:space="preserve">1. </w:t>
      </w:r>
      <w:r w:rsidR="004715AC" w:rsidRPr="00AC3034">
        <w:t xml:space="preserve">number of self-aspects identified; </w:t>
      </w:r>
      <w:r w:rsidR="00493456">
        <w:t xml:space="preserve">2. </w:t>
      </w:r>
      <w:r w:rsidR="004715AC" w:rsidRPr="00AC3034">
        <w:t xml:space="preserve">total number of items used to describe self-aspects; </w:t>
      </w:r>
      <w:r w:rsidR="00493456">
        <w:t xml:space="preserve">3. </w:t>
      </w:r>
      <w:r w:rsidR="004715AC" w:rsidRPr="00AC3034">
        <w:t>phi (measure of compartmenta</w:t>
      </w:r>
      <w:r w:rsidR="000A1976" w:rsidRPr="00AC3034">
        <w:t>lisation of self-structure)</w:t>
      </w:r>
      <w:r w:rsidR="00493456">
        <w:t xml:space="preserve">; 4. </w:t>
      </w:r>
      <w:r w:rsidR="004715AC" w:rsidRPr="00AC3034">
        <w:t>differential importance (rating of importance of negative self-aspects)</w:t>
      </w:r>
      <w:r w:rsidR="000A1976" w:rsidRPr="00AC3034">
        <w:t xml:space="preserve">, and </w:t>
      </w:r>
      <w:r w:rsidR="00493456">
        <w:t xml:space="preserve">5. </w:t>
      </w:r>
      <w:r w:rsidR="000A1976" w:rsidRPr="00AC3034">
        <w:t>proportion of negative attributes across the self-aspects.</w:t>
      </w:r>
      <w:r w:rsidR="00737E37" w:rsidRPr="00AC3034">
        <w:t xml:space="preserve"> </w:t>
      </w:r>
    </w:p>
    <w:p w14:paraId="694F7322" w14:textId="77777777" w:rsidR="00BC6BBC" w:rsidRPr="00BC6BBC" w:rsidRDefault="00BC6BBC" w:rsidP="00BC6BBC"/>
    <w:p w14:paraId="6B12D752" w14:textId="3E1D0BA9" w:rsidR="00C141F2" w:rsidRPr="00780961" w:rsidRDefault="00C141F2" w:rsidP="004538A8">
      <w:pPr>
        <w:spacing w:line="480" w:lineRule="auto"/>
        <w:rPr>
          <w:rFonts w:cstheme="minorHAnsi"/>
          <w:i/>
        </w:rPr>
      </w:pPr>
      <w:r w:rsidRPr="00780961">
        <w:rPr>
          <w:rFonts w:cstheme="minorHAnsi"/>
          <w:i/>
        </w:rPr>
        <w:t>Participants</w:t>
      </w:r>
    </w:p>
    <w:p w14:paraId="08C25A2C" w14:textId="0E9B7418" w:rsidR="00737E37" w:rsidRPr="00584488" w:rsidRDefault="00660B67" w:rsidP="00737E37">
      <w:pPr>
        <w:spacing w:after="0" w:line="480" w:lineRule="auto"/>
        <w:ind w:firstLine="720"/>
        <w:rPr>
          <w:rFonts w:cstheme="minorHAnsi"/>
        </w:rPr>
      </w:pPr>
      <w:r>
        <w:rPr>
          <w:rFonts w:cstheme="minorHAnsi"/>
        </w:rPr>
        <w:t>A</w:t>
      </w:r>
      <w:r w:rsidR="00B37886" w:rsidRPr="00780961">
        <w:rPr>
          <w:rFonts w:cstheme="minorHAnsi"/>
        </w:rPr>
        <w:t>n a priori p</w:t>
      </w:r>
      <w:r w:rsidR="00C141F2" w:rsidRPr="00780961">
        <w:rPr>
          <w:rFonts w:cstheme="minorHAnsi"/>
        </w:rPr>
        <w:t xml:space="preserve">ower analysis </w:t>
      </w:r>
      <w:r w:rsidR="00031E87">
        <w:rPr>
          <w:rFonts w:cstheme="minorHAnsi"/>
        </w:rPr>
        <w:t xml:space="preserve">indicated at least 21 participants per group were needed to achieve 80% power using a .05 alpha level </w:t>
      </w:r>
      <w:r w:rsidR="00031E87" w:rsidRPr="00780961">
        <w:rPr>
          <w:rFonts w:cstheme="minorHAnsi"/>
        </w:rPr>
        <w:t>(Cohen, 1992)</w:t>
      </w:r>
      <w:r w:rsidR="00031E87">
        <w:rPr>
          <w:rFonts w:cstheme="minorHAnsi"/>
        </w:rPr>
        <w:t xml:space="preserve"> and expecting a large effect size.</w:t>
      </w:r>
      <w:r w:rsidR="00FF7D79">
        <w:rPr>
          <w:rFonts w:cstheme="minorHAnsi"/>
        </w:rPr>
        <w:t xml:space="preserve">  A large effect size was expected on the basis of findings from previous research (e.g. Clifford et al., 2020).</w:t>
      </w:r>
      <w:r w:rsidR="00031E87">
        <w:rPr>
          <w:rFonts w:cstheme="minorHAnsi"/>
        </w:rPr>
        <w:t xml:space="preserve">  </w:t>
      </w:r>
      <w:r w:rsidR="00290FF7" w:rsidRPr="00780961">
        <w:rPr>
          <w:rFonts w:cstheme="minorHAnsi"/>
        </w:rPr>
        <w:t>T</w:t>
      </w:r>
      <w:r w:rsidR="002A6511">
        <w:rPr>
          <w:rFonts w:cstheme="minorHAnsi"/>
        </w:rPr>
        <w:t>wo</w:t>
      </w:r>
      <w:r w:rsidR="00290FF7" w:rsidRPr="00780961">
        <w:rPr>
          <w:rFonts w:cstheme="minorHAnsi"/>
        </w:rPr>
        <w:t xml:space="preserve"> groups of participants were recruited</w:t>
      </w:r>
      <w:r w:rsidR="008466CF">
        <w:rPr>
          <w:rFonts w:cstheme="minorHAnsi"/>
        </w:rPr>
        <w:t xml:space="preserve"> – p</w:t>
      </w:r>
      <w:r w:rsidR="006157E3">
        <w:rPr>
          <w:rFonts w:cstheme="minorHAnsi"/>
        </w:rPr>
        <w:t>eople</w:t>
      </w:r>
      <w:r w:rsidR="008466CF">
        <w:rPr>
          <w:rFonts w:cstheme="minorHAnsi"/>
        </w:rPr>
        <w:t xml:space="preserve"> with </w:t>
      </w:r>
      <w:r w:rsidR="00246072">
        <w:rPr>
          <w:rFonts w:cstheme="minorHAnsi"/>
        </w:rPr>
        <w:t xml:space="preserve">a schizophrenia spectrum diagnosis with current </w:t>
      </w:r>
      <w:r w:rsidR="008466CF">
        <w:rPr>
          <w:rFonts w:cstheme="minorHAnsi"/>
        </w:rPr>
        <w:t xml:space="preserve">persecutory delusions (n=27) and healthy controls (n=47). </w:t>
      </w:r>
      <w:r w:rsidR="001F0CFB">
        <w:rPr>
          <w:rFonts w:cstheme="minorHAnsi"/>
        </w:rPr>
        <w:t xml:space="preserve"> </w:t>
      </w:r>
      <w:r w:rsidR="006157E3">
        <w:rPr>
          <w:rFonts w:cstheme="minorHAnsi"/>
        </w:rPr>
        <w:t>The clinical group were all currently using mental health services</w:t>
      </w:r>
      <w:r w:rsidR="00992A09">
        <w:rPr>
          <w:rFonts w:cstheme="minorHAnsi"/>
        </w:rPr>
        <w:t xml:space="preserve"> within the same NHS Trust</w:t>
      </w:r>
      <w:r w:rsidR="00F84933">
        <w:rPr>
          <w:rFonts w:cstheme="minorHAnsi"/>
        </w:rPr>
        <w:t xml:space="preserve">, </w:t>
      </w:r>
      <w:r w:rsidR="001B1D50">
        <w:rPr>
          <w:rFonts w:cstheme="minorHAnsi"/>
        </w:rPr>
        <w:t xml:space="preserve">ensuring </w:t>
      </w:r>
      <w:r w:rsidR="00F84933">
        <w:rPr>
          <w:rFonts w:cstheme="minorHAnsi"/>
        </w:rPr>
        <w:t xml:space="preserve">a standardised </w:t>
      </w:r>
      <w:r w:rsidR="006714F2">
        <w:rPr>
          <w:rFonts w:cstheme="minorHAnsi"/>
        </w:rPr>
        <w:t xml:space="preserve">package of care based on </w:t>
      </w:r>
      <w:r w:rsidR="006157E3">
        <w:rPr>
          <w:rFonts w:cstheme="minorHAnsi"/>
        </w:rPr>
        <w:t>anti-psychotic medication</w:t>
      </w:r>
      <w:r w:rsidR="00DC73C3">
        <w:rPr>
          <w:rFonts w:cstheme="minorHAnsi"/>
        </w:rPr>
        <w:t>, psychiatric review</w:t>
      </w:r>
      <w:r w:rsidR="006157E3">
        <w:rPr>
          <w:rFonts w:cstheme="minorHAnsi"/>
        </w:rPr>
        <w:t xml:space="preserve"> and case management (at the time of the study none was receiving a psychological therapy). </w:t>
      </w:r>
    </w:p>
    <w:p w14:paraId="5066BE41" w14:textId="443B1B06" w:rsidR="009752B8" w:rsidRPr="00780961" w:rsidRDefault="00290FF7" w:rsidP="004538A8">
      <w:pPr>
        <w:spacing w:after="0" w:line="480" w:lineRule="auto"/>
        <w:ind w:firstLine="720"/>
        <w:rPr>
          <w:rFonts w:cstheme="minorHAnsi"/>
        </w:rPr>
      </w:pPr>
      <w:r w:rsidRPr="00780961">
        <w:rPr>
          <w:rFonts w:cstheme="minorHAnsi"/>
          <w:b/>
        </w:rPr>
        <w:t xml:space="preserve">Clinical Group.  </w:t>
      </w:r>
      <w:r w:rsidR="009752B8" w:rsidRPr="00780961">
        <w:rPr>
          <w:rFonts w:cstheme="minorHAnsi"/>
        </w:rPr>
        <w:t xml:space="preserve">Inclusion criteria were: (1) a diagnosis of a Schizophrenia-spectrum disorder (confirmed by a consultant psychiatrist); (2) experiencing current distressing persecutory delusions (assessed using </w:t>
      </w:r>
      <w:r w:rsidR="009752B8" w:rsidRPr="00780961">
        <w:rPr>
          <w:rStyle w:val="st1"/>
          <w:rFonts w:cstheme="minorHAnsi"/>
        </w:rPr>
        <w:t xml:space="preserve">the Psychotic </w:t>
      </w:r>
      <w:r w:rsidR="009752B8" w:rsidRPr="00780961">
        <w:rPr>
          <w:rFonts w:cstheme="minorHAnsi"/>
          <w:vanish/>
        </w:rPr>
        <w:br/>
      </w:r>
      <w:r w:rsidR="009752B8" w:rsidRPr="00780961">
        <w:rPr>
          <w:rStyle w:val="st1"/>
          <w:rFonts w:cstheme="minorHAnsi"/>
        </w:rPr>
        <w:t>Symptom Rating Scales; PSYRATS</w:t>
      </w:r>
      <w:r w:rsidR="009752B8" w:rsidRPr="00780961">
        <w:rPr>
          <w:rFonts w:cstheme="minorHAnsi"/>
        </w:rPr>
        <w:t>); (3) score at least 3 on the PSYRATS conviction item (to ensure presence of current persecutory delusion); (</w:t>
      </w:r>
      <w:r w:rsidR="00D628BE">
        <w:rPr>
          <w:rFonts w:cstheme="minorHAnsi"/>
        </w:rPr>
        <w:t>4</w:t>
      </w:r>
      <w:r w:rsidR="009752B8" w:rsidRPr="00780961">
        <w:rPr>
          <w:rFonts w:cstheme="minorHAnsi"/>
        </w:rPr>
        <w:t>) aged over 18 years of age.  Exclusion criteria were: (1) organic cause for symptoms; (2) diagnosis of a learning disability, and (3) absence of distressing persecutory delusion.</w:t>
      </w:r>
      <w:r w:rsidRPr="00780961">
        <w:rPr>
          <w:rFonts w:cstheme="minorHAnsi"/>
        </w:rPr>
        <w:t xml:space="preserve">  Participants were re</w:t>
      </w:r>
      <w:r w:rsidR="000272D8">
        <w:rPr>
          <w:rFonts w:cstheme="minorHAnsi"/>
        </w:rPr>
        <w:t xml:space="preserve">cruited from outpatient clinics in one NHS Trust in </w:t>
      </w:r>
      <w:r w:rsidRPr="00780961">
        <w:rPr>
          <w:rFonts w:cstheme="minorHAnsi"/>
        </w:rPr>
        <w:t xml:space="preserve">England.  </w:t>
      </w:r>
      <w:r w:rsidR="008466CF">
        <w:rPr>
          <w:rFonts w:cstheme="minorHAnsi"/>
        </w:rPr>
        <w:t xml:space="preserve">Diagnoses were </w:t>
      </w:r>
      <w:r w:rsidR="009752B8" w:rsidRPr="00780961">
        <w:rPr>
          <w:rFonts w:cstheme="minorHAnsi"/>
        </w:rPr>
        <w:t>Paranoid Schizophrenia (n=18)</w:t>
      </w:r>
      <w:r w:rsidR="008466CF">
        <w:rPr>
          <w:rFonts w:cstheme="minorHAnsi"/>
        </w:rPr>
        <w:t xml:space="preserve">, </w:t>
      </w:r>
      <w:r w:rsidR="009752B8" w:rsidRPr="00780961">
        <w:rPr>
          <w:rFonts w:cstheme="minorHAnsi"/>
        </w:rPr>
        <w:t xml:space="preserve">Schizoaffective Disorder (n=5) and Schizophrenia (n=4).  </w:t>
      </w:r>
    </w:p>
    <w:p w14:paraId="109DAB8B" w14:textId="1B57BC2B" w:rsidR="00C141F2" w:rsidRDefault="006007A3" w:rsidP="004538A8">
      <w:pPr>
        <w:spacing w:after="0" w:line="480" w:lineRule="auto"/>
        <w:ind w:firstLine="720"/>
        <w:rPr>
          <w:rFonts w:cstheme="minorHAnsi"/>
        </w:rPr>
      </w:pPr>
      <w:r>
        <w:rPr>
          <w:rFonts w:cstheme="minorHAnsi"/>
          <w:b/>
        </w:rPr>
        <w:t xml:space="preserve">Healthy </w:t>
      </w:r>
      <w:r w:rsidR="009752B8" w:rsidRPr="00780961">
        <w:rPr>
          <w:rFonts w:cstheme="minorHAnsi"/>
          <w:b/>
        </w:rPr>
        <w:t xml:space="preserve">Control Group.  </w:t>
      </w:r>
      <w:r w:rsidR="009752B8" w:rsidRPr="00780961">
        <w:rPr>
          <w:rFonts w:cstheme="minorHAnsi"/>
        </w:rPr>
        <w:t xml:space="preserve">Inclusion criteria were: (1) </w:t>
      </w:r>
      <w:r w:rsidR="004C26AE">
        <w:rPr>
          <w:rFonts w:cstheme="minorHAnsi"/>
        </w:rPr>
        <w:t>aged 18 or over;</w:t>
      </w:r>
      <w:r>
        <w:rPr>
          <w:rFonts w:cstheme="minorHAnsi"/>
        </w:rPr>
        <w:t xml:space="preserve"> </w:t>
      </w:r>
      <w:r w:rsidR="001876F5">
        <w:rPr>
          <w:rFonts w:cstheme="minorHAnsi"/>
        </w:rPr>
        <w:t>(</w:t>
      </w:r>
      <w:r w:rsidR="0045703E">
        <w:rPr>
          <w:rFonts w:cstheme="minorHAnsi"/>
        </w:rPr>
        <w:t>2</w:t>
      </w:r>
      <w:r w:rsidR="001876F5">
        <w:rPr>
          <w:rFonts w:cstheme="minorHAnsi"/>
        </w:rPr>
        <w:t xml:space="preserve">) </w:t>
      </w:r>
      <w:r w:rsidR="00880947" w:rsidRPr="00780961">
        <w:rPr>
          <w:rFonts w:cstheme="minorHAnsi"/>
        </w:rPr>
        <w:t>no current or prev</w:t>
      </w:r>
      <w:r w:rsidR="0045703E">
        <w:rPr>
          <w:rFonts w:cstheme="minorHAnsi"/>
        </w:rPr>
        <w:t>ious mental health diagnosis; (3</w:t>
      </w:r>
      <w:r w:rsidR="00880947" w:rsidRPr="00780961">
        <w:rPr>
          <w:rFonts w:cstheme="minorHAnsi"/>
        </w:rPr>
        <w:t>) no history of contact with mental health services.</w:t>
      </w:r>
      <w:r w:rsidR="00A93C8D" w:rsidRPr="00780961">
        <w:rPr>
          <w:rFonts w:cstheme="minorHAnsi"/>
        </w:rPr>
        <w:t xml:space="preserve">  </w:t>
      </w:r>
      <w:r w:rsidR="00132C0A">
        <w:rPr>
          <w:rFonts w:cstheme="minorHAnsi"/>
        </w:rPr>
        <w:t xml:space="preserve">All participants self-reported that they had no previous or current mental health diagnoses </w:t>
      </w:r>
      <w:r w:rsidR="00964412">
        <w:rPr>
          <w:rFonts w:cstheme="minorHAnsi"/>
        </w:rPr>
        <w:t>or contact with mental health services.</w:t>
      </w:r>
      <w:r w:rsidR="00D44A0D">
        <w:rPr>
          <w:rFonts w:cstheme="minorHAnsi"/>
        </w:rPr>
        <w:t xml:space="preserve">  Healthy controls were recruited using a student participation pool and online</w:t>
      </w:r>
      <w:r w:rsidR="00863855">
        <w:rPr>
          <w:rFonts w:cstheme="minorHAnsi"/>
        </w:rPr>
        <w:t>.</w:t>
      </w:r>
    </w:p>
    <w:p w14:paraId="681694E0" w14:textId="77777777" w:rsidR="00311988" w:rsidRDefault="00311988" w:rsidP="00AE5B29">
      <w:pPr>
        <w:spacing w:after="0" w:line="360" w:lineRule="auto"/>
        <w:rPr>
          <w:rFonts w:cstheme="minorHAnsi"/>
          <w:i/>
        </w:rPr>
      </w:pPr>
    </w:p>
    <w:p w14:paraId="2DB9A96B" w14:textId="12E3C8F9" w:rsidR="00DA25DA" w:rsidRDefault="00DA25DA" w:rsidP="00DA25DA">
      <w:pPr>
        <w:pStyle w:val="Heading3"/>
        <w:spacing w:line="480" w:lineRule="auto"/>
        <w:rPr>
          <w:rFonts w:asciiTheme="minorHAnsi" w:eastAsia="Calibri" w:hAnsiTheme="minorHAnsi" w:cstheme="minorHAnsi"/>
          <w:i/>
          <w:color w:val="auto"/>
          <w:sz w:val="22"/>
          <w:szCs w:val="22"/>
        </w:rPr>
      </w:pPr>
      <w:r>
        <w:rPr>
          <w:rFonts w:asciiTheme="minorHAnsi" w:eastAsia="Calibri" w:hAnsiTheme="minorHAnsi" w:cstheme="minorHAnsi"/>
          <w:i/>
          <w:color w:val="auto"/>
          <w:sz w:val="22"/>
          <w:szCs w:val="22"/>
        </w:rPr>
        <w:t>Measures</w:t>
      </w:r>
    </w:p>
    <w:p w14:paraId="4295F3DA" w14:textId="3A8387AC" w:rsidR="00493DDE" w:rsidRDefault="00493DDE" w:rsidP="00C33120">
      <w:pPr>
        <w:pStyle w:val="Heading3"/>
        <w:spacing w:line="480" w:lineRule="auto"/>
        <w:rPr>
          <w:rFonts w:asciiTheme="minorHAnsi" w:eastAsia="Calibri" w:hAnsiTheme="minorHAnsi" w:cstheme="minorHAnsi"/>
          <w:i/>
          <w:color w:val="auto"/>
          <w:sz w:val="22"/>
          <w:szCs w:val="22"/>
        </w:rPr>
      </w:pPr>
      <w:r>
        <w:rPr>
          <w:rFonts w:asciiTheme="minorHAnsi" w:eastAsia="Calibri" w:hAnsiTheme="minorHAnsi" w:cstheme="minorHAnsi"/>
          <w:i/>
          <w:color w:val="auto"/>
          <w:sz w:val="22"/>
          <w:szCs w:val="22"/>
        </w:rPr>
        <w:t>Demographic information</w:t>
      </w:r>
    </w:p>
    <w:p w14:paraId="62F8AACC" w14:textId="3B4D74E6" w:rsidR="00493DDE" w:rsidRDefault="00493DDE" w:rsidP="00493DDE">
      <w:r>
        <w:tab/>
        <w:t>Participants self-reported basic demographic information, including age and gender.</w:t>
      </w:r>
    </w:p>
    <w:p w14:paraId="258A65A9" w14:textId="77777777" w:rsidR="00493DDE" w:rsidRPr="00493DDE" w:rsidRDefault="00493DDE" w:rsidP="00493DDE"/>
    <w:p w14:paraId="52903D18" w14:textId="26205CD4" w:rsidR="00DA25DA" w:rsidRPr="00780961" w:rsidRDefault="00DA25DA" w:rsidP="00C33120">
      <w:pPr>
        <w:pStyle w:val="Heading3"/>
        <w:spacing w:line="480" w:lineRule="auto"/>
        <w:rPr>
          <w:rFonts w:asciiTheme="minorHAnsi" w:eastAsia="Calibri" w:hAnsiTheme="minorHAnsi" w:cstheme="minorHAnsi"/>
          <w:i/>
          <w:color w:val="auto"/>
          <w:sz w:val="22"/>
          <w:szCs w:val="22"/>
        </w:rPr>
      </w:pPr>
      <w:r w:rsidRPr="00780961">
        <w:rPr>
          <w:rFonts w:asciiTheme="minorHAnsi" w:eastAsia="Calibri" w:hAnsiTheme="minorHAnsi" w:cstheme="minorHAnsi"/>
          <w:i/>
          <w:color w:val="auto"/>
          <w:sz w:val="22"/>
          <w:szCs w:val="22"/>
        </w:rPr>
        <w:t>Card sorting task (Linville, 1987; Showers, 1992;)</w:t>
      </w:r>
    </w:p>
    <w:p w14:paraId="0284981D" w14:textId="59182D42" w:rsidR="00DA25DA" w:rsidRPr="00780961" w:rsidRDefault="00DA25DA" w:rsidP="00DA25DA">
      <w:pPr>
        <w:spacing w:line="480" w:lineRule="auto"/>
        <w:ind w:firstLine="720"/>
        <w:jc w:val="both"/>
        <w:rPr>
          <w:rFonts w:eastAsia="Calibri" w:cstheme="minorHAnsi"/>
        </w:rPr>
      </w:pPr>
      <w:r w:rsidRPr="00780961">
        <w:rPr>
          <w:rFonts w:eastAsia="Calibri" w:cstheme="minorHAnsi"/>
        </w:rPr>
        <w:t xml:space="preserve">The card sorting task assesses self-structure, that is how individuals structure positive and negative information about themselves amongst various meaningful self-aspects (Linville, 1985, 1987; Showers, 1992). </w:t>
      </w:r>
      <w:r w:rsidR="000272D8">
        <w:rPr>
          <w:rFonts w:eastAsia="Calibri" w:cstheme="minorHAnsi"/>
        </w:rPr>
        <w:t>P</w:t>
      </w:r>
      <w:r w:rsidRPr="00780961">
        <w:rPr>
          <w:rFonts w:eastAsia="Calibri" w:cstheme="minorHAnsi"/>
        </w:rPr>
        <w:t xml:space="preserve">articipants </w:t>
      </w:r>
      <w:r>
        <w:rPr>
          <w:rFonts w:eastAsia="Calibri" w:cstheme="minorHAnsi"/>
        </w:rPr>
        <w:t xml:space="preserve">were </w:t>
      </w:r>
      <w:r w:rsidRPr="00780961">
        <w:rPr>
          <w:rFonts w:eastAsia="Calibri" w:cstheme="minorHAnsi"/>
        </w:rPr>
        <w:t>given a randomly ordered deck of index cards, each containing a self-descriptive attribute</w:t>
      </w:r>
      <w:r>
        <w:rPr>
          <w:rFonts w:eastAsia="Calibri" w:cstheme="minorHAnsi"/>
        </w:rPr>
        <w:t xml:space="preserve">; </w:t>
      </w:r>
      <w:r w:rsidRPr="00780961">
        <w:rPr>
          <w:rFonts w:eastAsia="Calibri" w:cstheme="minorHAnsi"/>
        </w:rPr>
        <w:t xml:space="preserve">20 positive (e.g. successful, happy) and 20 negative (e.g. lazy, unworthy). Participants identify different self-aspects (e.g. son, friend, mother etc) and sort the cards into groups which describe each self-aspect. Participants </w:t>
      </w:r>
      <w:r>
        <w:rPr>
          <w:rFonts w:eastAsia="Calibri" w:cstheme="minorHAnsi"/>
        </w:rPr>
        <w:t xml:space="preserve">can </w:t>
      </w:r>
      <w:r w:rsidRPr="00780961">
        <w:rPr>
          <w:rFonts w:eastAsia="Calibri" w:cstheme="minorHAnsi"/>
        </w:rPr>
        <w:t xml:space="preserve">form as many self-aspect groups as they </w:t>
      </w:r>
      <w:r>
        <w:rPr>
          <w:rFonts w:eastAsia="Calibri" w:cstheme="minorHAnsi"/>
        </w:rPr>
        <w:t>would like</w:t>
      </w:r>
      <w:r w:rsidRPr="00780961">
        <w:rPr>
          <w:rFonts w:eastAsia="Calibri" w:cstheme="minorHAnsi"/>
        </w:rPr>
        <w:t xml:space="preserve">, placing as many attributes in each as desired. </w:t>
      </w:r>
      <w:r>
        <w:rPr>
          <w:rFonts w:eastAsia="Calibri" w:cstheme="minorHAnsi"/>
        </w:rPr>
        <w:t xml:space="preserve"> </w:t>
      </w:r>
      <w:r w:rsidRPr="00780961">
        <w:rPr>
          <w:rFonts w:eastAsia="Calibri" w:cstheme="minorHAnsi"/>
        </w:rPr>
        <w:t>Participants were not required to use all attributes and could reuse attributes across different self-aspect groups. After completing the card sorting task, participants provide three supplementary ratings regarding the positivity, negativity, and importance of each self-aspect identified during the task</w:t>
      </w:r>
      <w:r w:rsidR="000272D8">
        <w:rPr>
          <w:rFonts w:eastAsia="Calibri" w:cstheme="minorHAnsi"/>
        </w:rPr>
        <w:t xml:space="preserve">, rated on a 0-7 scale.  </w:t>
      </w:r>
    </w:p>
    <w:p w14:paraId="33CC5492" w14:textId="4F02F489" w:rsidR="00DA25DA" w:rsidRPr="00780961" w:rsidRDefault="00DA25DA" w:rsidP="00DA25DA">
      <w:pPr>
        <w:spacing w:line="480" w:lineRule="auto"/>
        <w:ind w:firstLine="720"/>
        <w:jc w:val="both"/>
        <w:rPr>
          <w:rFonts w:eastAsia="Calibri" w:cstheme="minorHAnsi"/>
        </w:rPr>
      </w:pPr>
      <w:r w:rsidRPr="00780961">
        <w:rPr>
          <w:rFonts w:eastAsia="Calibri" w:cstheme="minorHAnsi"/>
        </w:rPr>
        <w:t>We extracted descriptive data which included the total number of self-aspects identified, and the total number of cards used to describe all self-aspects. Consistent with previous research</w:t>
      </w:r>
      <w:r>
        <w:rPr>
          <w:rFonts w:eastAsia="Calibri" w:cstheme="minorHAnsi"/>
        </w:rPr>
        <w:t xml:space="preserve"> (Showers., 1992)</w:t>
      </w:r>
      <w:r w:rsidRPr="00780961">
        <w:rPr>
          <w:rFonts w:eastAsia="Calibri" w:cstheme="minorHAnsi"/>
        </w:rPr>
        <w:t>, three indices of self-structure were also calculated: phi coefficient, differential importance, and the proportion of negative attributes.</w:t>
      </w:r>
    </w:p>
    <w:p w14:paraId="40D53C2F" w14:textId="77777777" w:rsidR="00DA25DA" w:rsidRPr="00780961" w:rsidRDefault="00DA25DA" w:rsidP="00DA25DA">
      <w:pPr>
        <w:spacing w:line="480" w:lineRule="auto"/>
        <w:rPr>
          <w:rFonts w:cstheme="minorHAnsi"/>
          <w:i/>
        </w:rPr>
      </w:pPr>
      <w:r w:rsidRPr="00780961">
        <w:rPr>
          <w:rFonts w:cstheme="minorHAnsi"/>
          <w:i/>
        </w:rPr>
        <w:t xml:space="preserve">Phi Coefficient: </w:t>
      </w:r>
    </w:p>
    <w:p w14:paraId="4F72AB11" w14:textId="77777777" w:rsidR="00DA25DA" w:rsidRPr="00780961" w:rsidRDefault="00DA25DA" w:rsidP="00DA25DA">
      <w:pPr>
        <w:spacing w:line="480" w:lineRule="auto"/>
        <w:ind w:firstLine="720"/>
        <w:jc w:val="both"/>
        <w:rPr>
          <w:rFonts w:eastAsia="Calibri" w:cstheme="minorHAnsi"/>
        </w:rPr>
      </w:pPr>
      <w:r w:rsidRPr="00780961">
        <w:rPr>
          <w:rFonts w:eastAsia="Calibri" w:cstheme="minorHAnsi"/>
        </w:rPr>
        <w:t>A </w:t>
      </w:r>
      <w:r w:rsidRPr="00780961">
        <w:rPr>
          <w:rFonts w:eastAsia="Calibri" w:cstheme="minorHAnsi"/>
          <w:i/>
          <w:iCs/>
        </w:rPr>
        <w:t>phi (ϕ) coefficient</w:t>
      </w:r>
      <w:r w:rsidRPr="00780961">
        <w:rPr>
          <w:rFonts w:eastAsia="Calibri" w:cstheme="minorHAnsi"/>
        </w:rPr>
        <w:t> </w:t>
      </w:r>
      <w:r>
        <w:rPr>
          <w:rFonts w:eastAsia="Calibri" w:cstheme="minorHAnsi"/>
        </w:rPr>
        <w:t>is based on the c</w:t>
      </w:r>
      <w:r w:rsidRPr="00780961">
        <w:rPr>
          <w:rFonts w:eastAsia="Calibri" w:cstheme="minorHAnsi"/>
        </w:rPr>
        <w:t>hi-square statistic and is an indication of the propensity for positive and negative attributes to appear in different self-aspects. A chi-square statistic, which is a measure of deviation from a random sort, is calculated for each participant using the expected frequencies, which represent chance values for the number of positive and negative attributes in each self-aspect, and the observed frequencies, which are ascertained from the actual proportions in the card sort. The Phi (Φ) coefficient is then normalised by dividing it by the total number of attributes included in the card sort (</w:t>
      </w:r>
      <w:r w:rsidRPr="00780961">
        <w:rPr>
          <w:rFonts w:eastAsia="Calibri" w:cstheme="minorHAnsi"/>
          <w:i/>
          <w:iCs/>
        </w:rPr>
        <w:t>N</w:t>
      </w:r>
      <w:r w:rsidRPr="00780961">
        <w:rPr>
          <w:rFonts w:eastAsia="Calibri" w:cstheme="minorHAnsi"/>
        </w:rPr>
        <w:t>):</w:t>
      </w:r>
    </w:p>
    <w:p w14:paraId="7D199CC3" w14:textId="77777777" w:rsidR="00DA25DA" w:rsidRPr="00780961" w:rsidRDefault="00DA25DA" w:rsidP="00DA25DA">
      <w:pPr>
        <w:spacing w:line="480" w:lineRule="auto"/>
        <w:jc w:val="both"/>
        <w:rPr>
          <w:rFonts w:eastAsia="Calibri" w:cstheme="minorHAnsi"/>
        </w:rPr>
      </w:pPr>
      <m:oMathPara>
        <m:oMath>
          <m:r>
            <m:rPr>
              <m:sty m:val="p"/>
            </m:rPr>
            <w:rPr>
              <w:rFonts w:ascii="Cambria Math" w:eastAsia="Calibri" w:hAnsi="Cambria Math" w:cstheme="minorHAnsi"/>
            </w:rPr>
            <m:t>ϕ=√</m:t>
          </m:r>
          <m:f>
            <m:fPr>
              <m:ctrlPr>
                <w:rPr>
                  <w:rFonts w:ascii="Cambria Math" w:eastAsia="Calibri" w:hAnsi="Cambria Math" w:cstheme="minorHAnsi"/>
                </w:rPr>
              </m:ctrlPr>
            </m:fPr>
            <m:num>
              <m:r>
                <m:rPr>
                  <m:sty m:val="p"/>
                </m:rPr>
                <w:rPr>
                  <w:rFonts w:ascii="Cambria Math" w:eastAsia="Calibri" w:hAnsi="Cambria Math" w:cstheme="minorHAnsi"/>
                </w:rPr>
                <m:t>χ2</m:t>
              </m:r>
            </m:num>
            <m:den>
              <m:r>
                <w:rPr>
                  <w:rFonts w:ascii="Cambria Math" w:eastAsia="Calibri" w:hAnsi="Cambria Math" w:cstheme="minorHAnsi"/>
                </w:rPr>
                <m:t>N</m:t>
              </m:r>
            </m:den>
          </m:f>
        </m:oMath>
      </m:oMathPara>
    </w:p>
    <w:p w14:paraId="5A9FF321" w14:textId="77777777" w:rsidR="00DA25DA" w:rsidRPr="00780961" w:rsidRDefault="00DA25DA" w:rsidP="00DA25DA">
      <w:pPr>
        <w:spacing w:line="480" w:lineRule="auto"/>
        <w:ind w:firstLine="720"/>
        <w:jc w:val="both"/>
        <w:rPr>
          <w:rFonts w:eastAsia="Calibri" w:cstheme="minorHAnsi"/>
        </w:rPr>
      </w:pPr>
      <w:r w:rsidRPr="00780961">
        <w:rPr>
          <w:rFonts w:eastAsia="Calibri" w:cstheme="minorHAnsi"/>
        </w:rPr>
        <w:t xml:space="preserve">Phi can range from 0 (perfectly random sort which indicates that positive and negative attributes are evenly distributed across self-aspects) to 1 (perfectly compartmentalized sort which indicates self-aspects containing solely positive or negative attributes). </w:t>
      </w:r>
    </w:p>
    <w:p w14:paraId="453F106E" w14:textId="77777777" w:rsidR="00DA25DA" w:rsidRPr="00780961" w:rsidRDefault="00DA25DA" w:rsidP="00DA25DA">
      <w:pPr>
        <w:spacing w:line="480" w:lineRule="auto"/>
        <w:rPr>
          <w:rFonts w:cstheme="minorHAnsi"/>
          <w:i/>
        </w:rPr>
      </w:pPr>
      <w:r w:rsidRPr="00780961">
        <w:rPr>
          <w:rFonts w:cstheme="minorHAnsi"/>
          <w:i/>
        </w:rPr>
        <w:t>Differential Importance (DI):</w:t>
      </w:r>
    </w:p>
    <w:p w14:paraId="1F6624D4" w14:textId="77777777" w:rsidR="00DA25DA" w:rsidRPr="00780961" w:rsidRDefault="00DA25DA" w:rsidP="00DA25DA">
      <w:pPr>
        <w:spacing w:line="480" w:lineRule="auto"/>
        <w:ind w:firstLine="720"/>
        <w:jc w:val="both"/>
        <w:rPr>
          <w:rFonts w:eastAsia="Calibri" w:cstheme="minorHAnsi"/>
        </w:rPr>
      </w:pPr>
      <w:r w:rsidRPr="00780961">
        <w:rPr>
          <w:rFonts w:eastAsia="Calibri" w:cstheme="minorHAnsi"/>
        </w:rPr>
        <w:t xml:space="preserve">Differential importance is calculated using a within-subject </w:t>
      </w:r>
      <w:r>
        <w:rPr>
          <w:rFonts w:eastAsia="Calibri" w:cstheme="minorHAnsi"/>
        </w:rPr>
        <w:t>correlation between participant</w:t>
      </w:r>
      <w:r w:rsidRPr="00780961">
        <w:rPr>
          <w:rFonts w:eastAsia="Calibri" w:cstheme="minorHAnsi"/>
        </w:rPr>
        <w:t>s</w:t>
      </w:r>
      <w:r>
        <w:rPr>
          <w:rFonts w:eastAsia="Calibri" w:cstheme="minorHAnsi"/>
        </w:rPr>
        <w:t>’</w:t>
      </w:r>
      <w:r w:rsidRPr="00780961">
        <w:rPr>
          <w:rFonts w:eastAsia="Calibri" w:cstheme="minorHAnsi"/>
        </w:rPr>
        <w:t xml:space="preserve"> valence rating of their self-aspects (i.e., positivity ratings minus negativity ratings) and importance ratings of their self-aspects. Differential importance scores can range from -1 (negative self-aspects are given more importance than positive ones, i.e. a more negatively compartmentalised/integrated self-structure) to +1 (positive self-aspects are given more importance than negative ones, i.e. a more positively compartmentalised/integrated self-structure)</w:t>
      </w:r>
      <w:r w:rsidRPr="00780961">
        <w:rPr>
          <w:rFonts w:cstheme="minorHAnsi"/>
        </w:rPr>
        <w:t xml:space="preserve"> (Showers, 1992)</w:t>
      </w:r>
      <w:r w:rsidRPr="00780961">
        <w:rPr>
          <w:rFonts w:eastAsia="Calibri" w:cstheme="minorHAnsi"/>
        </w:rPr>
        <w:t>.</w:t>
      </w:r>
    </w:p>
    <w:p w14:paraId="2C9F9CD4" w14:textId="77777777" w:rsidR="00DA25DA" w:rsidRPr="00780961" w:rsidRDefault="00DA25DA" w:rsidP="00DA25DA">
      <w:pPr>
        <w:spacing w:line="480" w:lineRule="auto"/>
        <w:rPr>
          <w:rFonts w:cstheme="minorHAnsi"/>
          <w:i/>
        </w:rPr>
      </w:pPr>
      <w:r w:rsidRPr="00780961">
        <w:rPr>
          <w:rFonts w:cstheme="minorHAnsi"/>
          <w:i/>
        </w:rPr>
        <w:t>Proportion of negative attributes:</w:t>
      </w:r>
    </w:p>
    <w:p w14:paraId="02503342" w14:textId="28D8DDB6" w:rsidR="00DA25DA" w:rsidRDefault="00DA25DA" w:rsidP="00DA25DA">
      <w:pPr>
        <w:spacing w:line="480" w:lineRule="auto"/>
        <w:ind w:firstLine="720"/>
        <w:rPr>
          <w:rFonts w:eastAsia="Calibri" w:cstheme="minorHAnsi"/>
        </w:rPr>
      </w:pPr>
      <w:r w:rsidRPr="00780961">
        <w:rPr>
          <w:rFonts w:eastAsia="Calibri" w:cstheme="minorHAnsi"/>
        </w:rPr>
        <w:t xml:space="preserve">The </w:t>
      </w:r>
      <w:bookmarkStart w:id="0" w:name="_Hlk478632378"/>
      <w:r w:rsidRPr="00780961">
        <w:rPr>
          <w:rFonts w:eastAsia="Calibri" w:cstheme="minorHAnsi"/>
        </w:rPr>
        <w:t>proportion of negative attributes</w:t>
      </w:r>
      <w:bookmarkEnd w:id="0"/>
      <w:r w:rsidRPr="00780961">
        <w:rPr>
          <w:rFonts w:eastAsia="Calibri" w:cstheme="minorHAnsi"/>
        </w:rPr>
        <w:t xml:space="preserve"> is calculated by dividing the number of negative attributes by the total number of attributes given by a participant in the card sort task. This produces scores that range from 0 to 1, with 0 indicating that there are no negative attributes within a card sort and 1 indicating that the card sort consists of only negative attributes. </w:t>
      </w:r>
    </w:p>
    <w:p w14:paraId="22BE6177" w14:textId="77777777" w:rsidR="00B9688D" w:rsidRPr="00780961" w:rsidRDefault="00B9688D" w:rsidP="00DA25DA">
      <w:pPr>
        <w:spacing w:line="480" w:lineRule="auto"/>
        <w:ind w:firstLine="720"/>
        <w:rPr>
          <w:rFonts w:eastAsia="Calibri" w:cstheme="minorHAnsi"/>
        </w:rPr>
      </w:pPr>
    </w:p>
    <w:p w14:paraId="47053CF5" w14:textId="2115EE11" w:rsidR="009C07F9" w:rsidRPr="00B2228E" w:rsidRDefault="009C07F9" w:rsidP="00B2228E">
      <w:pPr>
        <w:spacing w:line="480" w:lineRule="auto"/>
        <w:jc w:val="center"/>
        <w:rPr>
          <w:rFonts w:cstheme="minorHAnsi"/>
          <w:b/>
        </w:rPr>
      </w:pPr>
      <w:r w:rsidRPr="00B2228E">
        <w:rPr>
          <w:rFonts w:cstheme="minorHAnsi"/>
          <w:b/>
        </w:rPr>
        <w:t>Results</w:t>
      </w:r>
      <w:r w:rsidR="00F44C7B">
        <w:rPr>
          <w:rFonts w:cstheme="minorHAnsi"/>
          <w:b/>
        </w:rPr>
        <w:t xml:space="preserve"> &amp; Discussion</w:t>
      </w:r>
    </w:p>
    <w:p w14:paraId="2F006C5B" w14:textId="2BCA67E1" w:rsidR="002F457C" w:rsidRPr="00780961" w:rsidRDefault="002F457C" w:rsidP="004538A8">
      <w:pPr>
        <w:spacing w:line="480" w:lineRule="auto"/>
        <w:rPr>
          <w:rFonts w:cstheme="minorHAnsi"/>
          <w:i/>
        </w:rPr>
      </w:pPr>
      <w:r w:rsidRPr="00780961">
        <w:rPr>
          <w:rFonts w:cstheme="minorHAnsi"/>
          <w:i/>
        </w:rPr>
        <w:t>Sample Characteristics</w:t>
      </w:r>
    </w:p>
    <w:p w14:paraId="1652C62A" w14:textId="74714E67" w:rsidR="00E41922" w:rsidRDefault="00E41922" w:rsidP="00E41922">
      <w:pPr>
        <w:spacing w:line="480" w:lineRule="auto"/>
        <w:ind w:firstLine="720"/>
        <w:rPr>
          <w:rFonts w:cstheme="minorHAnsi"/>
        </w:rPr>
      </w:pPr>
      <w:r w:rsidRPr="00780961">
        <w:rPr>
          <w:rFonts w:cstheme="minorHAnsi"/>
        </w:rPr>
        <w:t>The clinical group were significantly older (</w:t>
      </w:r>
      <w:r w:rsidRPr="002D3689">
        <w:rPr>
          <w:rFonts w:cstheme="minorHAnsi"/>
          <w:i/>
        </w:rPr>
        <w:t>M</w:t>
      </w:r>
      <w:r w:rsidRPr="00780961">
        <w:rPr>
          <w:rFonts w:cstheme="minorHAnsi"/>
        </w:rPr>
        <w:t xml:space="preserve"> = 41.6, </w:t>
      </w:r>
      <w:r>
        <w:rPr>
          <w:rFonts w:cstheme="minorHAnsi"/>
          <w:i/>
        </w:rPr>
        <w:t>SD</w:t>
      </w:r>
      <w:r w:rsidRPr="00780961">
        <w:rPr>
          <w:rFonts w:cstheme="minorHAnsi"/>
        </w:rPr>
        <w:t xml:space="preserve"> = 1.55) than </w:t>
      </w:r>
      <w:r>
        <w:rPr>
          <w:rFonts w:cstheme="minorHAnsi"/>
        </w:rPr>
        <w:t>the healthy control group (</w:t>
      </w:r>
      <w:r w:rsidRPr="002D3689">
        <w:rPr>
          <w:rFonts w:cstheme="minorHAnsi"/>
          <w:i/>
        </w:rPr>
        <w:t>M</w:t>
      </w:r>
      <w:r>
        <w:rPr>
          <w:rFonts w:cstheme="minorHAnsi"/>
        </w:rPr>
        <w:t xml:space="preserve"> = 19.0, </w:t>
      </w:r>
      <w:r>
        <w:rPr>
          <w:rFonts w:cstheme="minorHAnsi"/>
          <w:i/>
        </w:rPr>
        <w:t>SD</w:t>
      </w:r>
      <w:r>
        <w:rPr>
          <w:rFonts w:cstheme="minorHAnsi"/>
        </w:rPr>
        <w:t xml:space="preserve"> = 1.29)</w:t>
      </w:r>
      <w:r w:rsidR="004A2AC7">
        <w:rPr>
          <w:rFonts w:cstheme="minorHAnsi"/>
        </w:rPr>
        <w:t xml:space="preserve">, </w:t>
      </w:r>
      <w:r w:rsidRPr="004F6985">
        <w:rPr>
          <w:rFonts w:cstheme="minorHAnsi"/>
          <w:i/>
        </w:rPr>
        <w:t>t</w:t>
      </w:r>
      <w:r w:rsidRPr="00780961">
        <w:rPr>
          <w:rFonts w:cstheme="minorHAnsi"/>
        </w:rPr>
        <w:t xml:space="preserve"> (</w:t>
      </w:r>
      <w:r>
        <w:rPr>
          <w:rFonts w:cstheme="minorHAnsi"/>
        </w:rPr>
        <w:t>70</w:t>
      </w:r>
      <w:r w:rsidRPr="00780961">
        <w:rPr>
          <w:rFonts w:cstheme="minorHAnsi"/>
        </w:rPr>
        <w:t xml:space="preserve">) = </w:t>
      </w:r>
      <w:r>
        <w:rPr>
          <w:rFonts w:cstheme="minorHAnsi"/>
        </w:rPr>
        <w:t>18.75</w:t>
      </w:r>
      <w:r w:rsidRPr="00780961">
        <w:rPr>
          <w:rFonts w:cstheme="minorHAnsi"/>
        </w:rPr>
        <w:t xml:space="preserve">, </w:t>
      </w:r>
      <w:r w:rsidRPr="004F6985">
        <w:rPr>
          <w:rFonts w:cstheme="minorHAnsi"/>
          <w:i/>
        </w:rPr>
        <w:t>p</w:t>
      </w:r>
      <w:r w:rsidRPr="00780961">
        <w:rPr>
          <w:rFonts w:cstheme="minorHAnsi"/>
        </w:rPr>
        <w:t xml:space="preserve">&lt;.0005, </w:t>
      </w:r>
      <w:r>
        <w:rPr>
          <w:rFonts w:cstheme="minorHAnsi"/>
        </w:rPr>
        <w:t xml:space="preserve">and </w:t>
      </w:r>
      <w:r w:rsidR="009449C4">
        <w:rPr>
          <w:rFonts w:cstheme="minorHAnsi"/>
        </w:rPr>
        <w:t>there was</w:t>
      </w:r>
      <w:r>
        <w:rPr>
          <w:rFonts w:cstheme="minorHAnsi"/>
        </w:rPr>
        <w:t xml:space="preserve"> </w:t>
      </w:r>
      <w:r w:rsidRPr="00780961">
        <w:rPr>
          <w:rFonts w:cstheme="minorHAnsi"/>
        </w:rPr>
        <w:t>a greater proportion of males in the clinical group (</w:t>
      </w:r>
      <w:r w:rsidRPr="00C029D3">
        <w:rPr>
          <w:rFonts w:cstheme="minorHAnsi"/>
          <w:i/>
          <w:iCs/>
        </w:rPr>
        <w:t>n</w:t>
      </w:r>
      <w:r w:rsidR="00C029D3">
        <w:rPr>
          <w:rFonts w:cstheme="minorHAnsi"/>
          <w:i/>
          <w:iCs/>
        </w:rPr>
        <w:t xml:space="preserve"> </w:t>
      </w:r>
      <w:r w:rsidRPr="00780961">
        <w:rPr>
          <w:rFonts w:cstheme="minorHAnsi"/>
        </w:rPr>
        <w:t>=</w:t>
      </w:r>
      <w:r w:rsidR="00C029D3">
        <w:rPr>
          <w:rFonts w:cstheme="minorHAnsi"/>
        </w:rPr>
        <w:t xml:space="preserve"> </w:t>
      </w:r>
      <w:r w:rsidRPr="00780961">
        <w:rPr>
          <w:rFonts w:cstheme="minorHAnsi"/>
        </w:rPr>
        <w:t xml:space="preserve">20) than </w:t>
      </w:r>
      <w:r>
        <w:rPr>
          <w:rFonts w:cstheme="minorHAnsi"/>
        </w:rPr>
        <w:t>in the healthy control group (</w:t>
      </w:r>
      <w:r w:rsidRPr="00C029D3">
        <w:rPr>
          <w:rFonts w:cstheme="minorHAnsi"/>
          <w:i/>
          <w:iCs/>
        </w:rPr>
        <w:t>n</w:t>
      </w:r>
      <w:r w:rsidR="00C029D3">
        <w:rPr>
          <w:rFonts w:cstheme="minorHAnsi"/>
        </w:rPr>
        <w:t xml:space="preserve"> </w:t>
      </w:r>
      <w:r>
        <w:rPr>
          <w:rFonts w:cstheme="minorHAnsi"/>
        </w:rPr>
        <w:t>=</w:t>
      </w:r>
      <w:r w:rsidR="00C029D3">
        <w:rPr>
          <w:rFonts w:cstheme="minorHAnsi"/>
        </w:rPr>
        <w:t xml:space="preserve"> </w:t>
      </w:r>
      <w:r>
        <w:rPr>
          <w:rFonts w:cstheme="minorHAnsi"/>
        </w:rPr>
        <w:t>9)</w:t>
      </w:r>
      <w:r w:rsidR="004A2AC7">
        <w:rPr>
          <w:rFonts w:cstheme="minorHAnsi"/>
        </w:rPr>
        <w:t xml:space="preserve">, </w:t>
      </w:r>
      <w:r w:rsidRPr="008C3932">
        <w:rPr>
          <w:rFonts w:ascii="Times New Roman" w:hAnsi="Times New Roman" w:cs="Times New Roman"/>
          <w:bCs/>
          <w:i/>
          <w:iCs/>
          <w:color w:val="000000" w:themeColor="text1"/>
          <w:sz w:val="24"/>
          <w:szCs w:val="24"/>
        </w:rPr>
        <w:t>χ²</w:t>
      </w:r>
      <w:r w:rsidRPr="00780961">
        <w:rPr>
          <w:rFonts w:cstheme="minorHAnsi"/>
        </w:rPr>
        <w:t xml:space="preserve"> = </w:t>
      </w:r>
      <w:r>
        <w:rPr>
          <w:rFonts w:cstheme="minorHAnsi"/>
        </w:rPr>
        <w:t>21.71</w:t>
      </w:r>
      <w:r w:rsidRPr="00780961">
        <w:rPr>
          <w:rFonts w:cstheme="minorHAnsi"/>
        </w:rPr>
        <w:t xml:space="preserve">, </w:t>
      </w:r>
      <w:r w:rsidRPr="004F6985">
        <w:rPr>
          <w:rFonts w:cstheme="minorHAnsi"/>
          <w:i/>
        </w:rPr>
        <w:t>p</w:t>
      </w:r>
      <w:r w:rsidRPr="00780961">
        <w:rPr>
          <w:rFonts w:cstheme="minorHAnsi"/>
        </w:rPr>
        <w:t>&lt;.0</w:t>
      </w:r>
      <w:r>
        <w:rPr>
          <w:rFonts w:cstheme="minorHAnsi"/>
        </w:rPr>
        <w:t>005</w:t>
      </w:r>
      <w:r w:rsidRPr="00780961">
        <w:rPr>
          <w:rFonts w:cstheme="minorHAnsi"/>
        </w:rPr>
        <w:t xml:space="preserve">.  </w:t>
      </w:r>
    </w:p>
    <w:p w14:paraId="0088EE63" w14:textId="24E08F13" w:rsidR="00E41922" w:rsidRPr="00780961" w:rsidRDefault="00E41922" w:rsidP="00E41922">
      <w:pPr>
        <w:spacing w:line="480" w:lineRule="auto"/>
        <w:rPr>
          <w:rFonts w:cstheme="minorHAnsi"/>
          <w:i/>
        </w:rPr>
      </w:pPr>
      <w:r w:rsidRPr="00780961">
        <w:rPr>
          <w:rFonts w:cstheme="minorHAnsi"/>
          <w:i/>
        </w:rPr>
        <w:t>Self-Structure</w:t>
      </w:r>
      <w:r w:rsidR="008A0D0A">
        <w:rPr>
          <w:rFonts w:cstheme="minorHAnsi"/>
          <w:i/>
        </w:rPr>
        <w:t xml:space="preserve"> – clinical versus control group</w:t>
      </w:r>
    </w:p>
    <w:p w14:paraId="202DF720" w14:textId="77777777" w:rsidR="00E41922" w:rsidRDefault="00E41922" w:rsidP="00E41922">
      <w:pPr>
        <w:spacing w:line="480" w:lineRule="auto"/>
        <w:ind w:firstLine="720"/>
        <w:rPr>
          <w:rFonts w:cstheme="minorHAnsi"/>
        </w:rPr>
      </w:pPr>
      <w:r>
        <w:rPr>
          <w:rFonts w:cstheme="minorHAnsi"/>
        </w:rPr>
        <w:t>S</w:t>
      </w:r>
      <w:r w:rsidRPr="00780961">
        <w:rPr>
          <w:rFonts w:cstheme="minorHAnsi"/>
        </w:rPr>
        <w:t xml:space="preserve">elf-structure </w:t>
      </w:r>
      <w:r>
        <w:rPr>
          <w:rFonts w:cstheme="minorHAnsi"/>
        </w:rPr>
        <w:t>indices</w:t>
      </w:r>
      <w:r w:rsidRPr="00780961">
        <w:rPr>
          <w:rFonts w:cstheme="minorHAnsi"/>
        </w:rPr>
        <w:t xml:space="preserve"> for the t</w:t>
      </w:r>
      <w:r>
        <w:rPr>
          <w:rFonts w:cstheme="minorHAnsi"/>
        </w:rPr>
        <w:t>wo groups are</w:t>
      </w:r>
      <w:r w:rsidRPr="00780961">
        <w:rPr>
          <w:rFonts w:cstheme="minorHAnsi"/>
        </w:rPr>
        <w:t xml:space="preserve"> summarised in Table 1.</w:t>
      </w:r>
      <w:r>
        <w:rPr>
          <w:rFonts w:cstheme="minorHAnsi"/>
        </w:rPr>
        <w:t xml:space="preserve"> All participants </w:t>
      </w:r>
      <w:r w:rsidRPr="00780961">
        <w:rPr>
          <w:rFonts w:cstheme="minorHAnsi"/>
        </w:rPr>
        <w:t>were able to identify multiple self-aspects (range 2-19).  Examples of self-aspects identified included ‘social self’, ‘self with family’, ‘self as a son’, ‘self as a child’</w:t>
      </w:r>
      <w:r>
        <w:rPr>
          <w:rFonts w:cstheme="minorHAnsi"/>
        </w:rPr>
        <w:t xml:space="preserve"> etc.  </w:t>
      </w:r>
    </w:p>
    <w:p w14:paraId="1E6E5215" w14:textId="77777777" w:rsidR="00E41922" w:rsidRDefault="00E41922" w:rsidP="00E41922">
      <w:pPr>
        <w:spacing w:line="480" w:lineRule="auto"/>
        <w:ind w:firstLine="720"/>
        <w:rPr>
          <w:rFonts w:cstheme="minorHAnsi"/>
        </w:rPr>
      </w:pPr>
    </w:p>
    <w:p w14:paraId="094FAB3D" w14:textId="77777777" w:rsidR="00E41922" w:rsidRPr="008C3932" w:rsidRDefault="00E41922" w:rsidP="00E41922">
      <w:pPr>
        <w:pBdr>
          <w:top w:val="single" w:sz="4" w:space="1" w:color="auto"/>
          <w:bottom w:val="single" w:sz="4" w:space="1" w:color="auto"/>
        </w:pBdr>
        <w:spacing w:line="360" w:lineRule="auto"/>
        <w:jc w:val="center"/>
        <w:rPr>
          <w:rFonts w:ascii="Times New Roman" w:eastAsia="DengXian" w:hAnsi="Times New Roman" w:cs="Times New Roman"/>
          <w:i/>
          <w:iCs/>
          <w:color w:val="000000" w:themeColor="text1"/>
          <w:sz w:val="24"/>
          <w:szCs w:val="24"/>
          <w:lang w:eastAsia="zh-CN"/>
        </w:rPr>
      </w:pPr>
      <w:r w:rsidRPr="008C3932">
        <w:rPr>
          <w:rFonts w:ascii="Times New Roman" w:eastAsia="DengXian" w:hAnsi="Times New Roman" w:cs="Times New Roman"/>
          <w:i/>
          <w:iCs/>
          <w:color w:val="000000" w:themeColor="text1"/>
          <w:sz w:val="24"/>
          <w:szCs w:val="24"/>
          <w:lang w:eastAsia="zh-CN"/>
        </w:rPr>
        <w:t>Insert Table 1 Here.</w:t>
      </w:r>
    </w:p>
    <w:p w14:paraId="5068F673" w14:textId="77777777" w:rsidR="00E41922" w:rsidRPr="008C3932" w:rsidRDefault="00E41922" w:rsidP="00E41922">
      <w:pPr>
        <w:spacing w:line="360" w:lineRule="auto"/>
        <w:rPr>
          <w:rFonts w:ascii="Times New Roman" w:eastAsia="Calibri" w:hAnsi="Times New Roman" w:cs="Times New Roman"/>
          <w:color w:val="000000" w:themeColor="text1"/>
          <w:sz w:val="24"/>
          <w:szCs w:val="24"/>
        </w:rPr>
      </w:pPr>
    </w:p>
    <w:p w14:paraId="65C36D35" w14:textId="0C238FBF" w:rsidR="00E41922" w:rsidRDefault="00E41922" w:rsidP="00E41922">
      <w:pPr>
        <w:spacing w:line="480" w:lineRule="auto"/>
        <w:ind w:firstLine="720"/>
        <w:rPr>
          <w:rFonts w:cstheme="minorHAnsi"/>
        </w:rPr>
      </w:pPr>
      <w:r>
        <w:rPr>
          <w:rFonts w:cstheme="minorHAnsi"/>
        </w:rPr>
        <w:t xml:space="preserve">The first analysis assessed whether, overall, self-structure differed across the two groups.  We conducted a Multivariate Analysis of </w:t>
      </w:r>
      <w:r w:rsidR="00FE7F4F">
        <w:rPr>
          <w:rFonts w:cstheme="minorHAnsi"/>
        </w:rPr>
        <w:t>Cov</w:t>
      </w:r>
      <w:r>
        <w:rPr>
          <w:rFonts w:cstheme="minorHAnsi"/>
        </w:rPr>
        <w:t>ariance (MAN</w:t>
      </w:r>
      <w:r w:rsidR="00FE7F4F">
        <w:rPr>
          <w:rFonts w:cstheme="minorHAnsi"/>
        </w:rPr>
        <w:t>C</w:t>
      </w:r>
      <w:r>
        <w:rPr>
          <w:rFonts w:cstheme="minorHAnsi"/>
        </w:rPr>
        <w:t>OVA) with the self-structure indices as dependent variables and group (clinical vs healthy control) as the between-subjects factor; age and gender were added as covariates.  There was a statistically significant difference in self-structure based on group</w:t>
      </w:r>
      <w:r w:rsidR="004A2AC7">
        <w:rPr>
          <w:rFonts w:cstheme="minorHAnsi"/>
        </w:rPr>
        <w:t>,</w:t>
      </w:r>
      <w:r>
        <w:rPr>
          <w:rFonts w:cstheme="minorHAnsi"/>
        </w:rPr>
        <w:t xml:space="preserve"> </w:t>
      </w:r>
      <w:r w:rsidRPr="00722699">
        <w:rPr>
          <w:rFonts w:cstheme="minorHAnsi"/>
          <w:i/>
        </w:rPr>
        <w:t>F</w:t>
      </w:r>
      <w:r>
        <w:rPr>
          <w:rFonts w:cstheme="minorHAnsi"/>
        </w:rPr>
        <w:t xml:space="preserve"> (1,68) = 4.62, </w:t>
      </w:r>
      <w:r w:rsidRPr="00722699">
        <w:rPr>
          <w:rFonts w:cstheme="minorHAnsi"/>
          <w:i/>
        </w:rPr>
        <w:t>p</w:t>
      </w:r>
      <w:r>
        <w:rPr>
          <w:rFonts w:cstheme="minorHAnsi"/>
        </w:rPr>
        <w:t>&lt;.001.  Age</w:t>
      </w:r>
      <w:r w:rsidR="00EA7A3D">
        <w:rPr>
          <w:rFonts w:cstheme="minorHAnsi"/>
        </w:rPr>
        <w:t>,</w:t>
      </w:r>
      <w:r>
        <w:rPr>
          <w:rFonts w:cstheme="minorHAnsi"/>
        </w:rPr>
        <w:t xml:space="preserve"> </w:t>
      </w:r>
      <w:r w:rsidRPr="00722699">
        <w:rPr>
          <w:rFonts w:cstheme="minorHAnsi"/>
          <w:i/>
        </w:rPr>
        <w:t>F</w:t>
      </w:r>
      <w:r>
        <w:rPr>
          <w:rFonts w:cstheme="minorHAnsi"/>
        </w:rPr>
        <w:t xml:space="preserve"> (1,68) = 2.4, </w:t>
      </w:r>
      <w:r w:rsidRPr="00722699">
        <w:rPr>
          <w:rFonts w:cstheme="minorHAnsi"/>
          <w:i/>
        </w:rPr>
        <w:t>p</w:t>
      </w:r>
      <w:r>
        <w:rPr>
          <w:rFonts w:cstheme="minorHAnsi"/>
        </w:rPr>
        <w:t>=.06</w:t>
      </w:r>
      <w:r w:rsidR="00EA7A3D">
        <w:rPr>
          <w:rFonts w:cstheme="minorHAnsi"/>
        </w:rPr>
        <w:t>,</w:t>
      </w:r>
      <w:r>
        <w:rPr>
          <w:rFonts w:cstheme="minorHAnsi"/>
        </w:rPr>
        <w:t xml:space="preserve"> and gender</w:t>
      </w:r>
      <w:r w:rsidR="00EA7A3D">
        <w:rPr>
          <w:rFonts w:cstheme="minorHAnsi"/>
        </w:rPr>
        <w:t>,</w:t>
      </w:r>
      <w:r>
        <w:rPr>
          <w:rFonts w:cstheme="minorHAnsi"/>
        </w:rPr>
        <w:t xml:space="preserve"> </w:t>
      </w:r>
      <w:r w:rsidRPr="00722699">
        <w:rPr>
          <w:rFonts w:cstheme="minorHAnsi"/>
          <w:i/>
        </w:rPr>
        <w:t>F</w:t>
      </w:r>
      <w:r>
        <w:rPr>
          <w:rFonts w:cstheme="minorHAnsi"/>
        </w:rPr>
        <w:t xml:space="preserve"> (1,68) = 1.26, </w:t>
      </w:r>
      <w:r w:rsidRPr="00722699">
        <w:rPr>
          <w:rFonts w:cstheme="minorHAnsi"/>
          <w:i/>
        </w:rPr>
        <w:t>p</w:t>
      </w:r>
      <w:r>
        <w:rPr>
          <w:rFonts w:cstheme="minorHAnsi"/>
        </w:rPr>
        <w:t xml:space="preserve"> = .30 were not significant covariates (and were therefore not controlled for in subsequent analyses).  Follow up univariate ANOVAs showed significantly lower number of self-aspects</w:t>
      </w:r>
      <w:r w:rsidR="008B6E35">
        <w:rPr>
          <w:rFonts w:cstheme="minorHAnsi"/>
        </w:rPr>
        <w:t>,</w:t>
      </w:r>
      <w:r>
        <w:rPr>
          <w:rFonts w:cstheme="minorHAnsi"/>
        </w:rPr>
        <w:t xml:space="preserve"> </w:t>
      </w:r>
      <w:r w:rsidRPr="00722699">
        <w:rPr>
          <w:rFonts w:cstheme="minorHAnsi"/>
          <w:i/>
        </w:rPr>
        <w:t>F</w:t>
      </w:r>
      <w:r>
        <w:rPr>
          <w:rFonts w:cstheme="minorHAnsi"/>
        </w:rPr>
        <w:t xml:space="preserve"> (1,72) = 23.65, </w:t>
      </w:r>
      <w:r w:rsidRPr="00F21CFB">
        <w:rPr>
          <w:rFonts w:cstheme="minorHAnsi"/>
          <w:i/>
        </w:rPr>
        <w:t>p</w:t>
      </w:r>
      <w:r>
        <w:rPr>
          <w:rFonts w:cstheme="minorHAnsi"/>
        </w:rPr>
        <w:t>&lt;.001, fewer total number of cards used</w:t>
      </w:r>
      <w:r w:rsidR="008B6E35">
        <w:rPr>
          <w:rFonts w:cstheme="minorHAnsi"/>
        </w:rPr>
        <w:t>,</w:t>
      </w:r>
      <w:r>
        <w:rPr>
          <w:rFonts w:cstheme="minorHAnsi"/>
        </w:rPr>
        <w:t xml:space="preserve"> </w:t>
      </w:r>
      <w:r w:rsidRPr="00F21CFB">
        <w:rPr>
          <w:rFonts w:cstheme="minorHAnsi"/>
          <w:i/>
        </w:rPr>
        <w:t>F</w:t>
      </w:r>
      <w:r>
        <w:rPr>
          <w:rFonts w:cstheme="minorHAnsi"/>
        </w:rPr>
        <w:t xml:space="preserve"> (1, 72) = 39.23, </w:t>
      </w:r>
      <w:r w:rsidRPr="00F21CFB">
        <w:rPr>
          <w:rFonts w:cstheme="minorHAnsi"/>
          <w:i/>
        </w:rPr>
        <w:t>p</w:t>
      </w:r>
      <w:r>
        <w:rPr>
          <w:rFonts w:cstheme="minorHAnsi"/>
        </w:rPr>
        <w:t>&lt;.0005, and a greater proportion of negative attributes</w:t>
      </w:r>
      <w:r w:rsidR="008B6E35">
        <w:rPr>
          <w:rFonts w:cstheme="minorHAnsi"/>
        </w:rPr>
        <w:t>,</w:t>
      </w:r>
      <w:r>
        <w:rPr>
          <w:rFonts w:cstheme="minorHAnsi"/>
        </w:rPr>
        <w:t xml:space="preserve"> </w:t>
      </w:r>
      <w:r w:rsidRPr="00F21CFB">
        <w:rPr>
          <w:rFonts w:cstheme="minorHAnsi"/>
          <w:i/>
        </w:rPr>
        <w:t>F</w:t>
      </w:r>
      <w:r>
        <w:rPr>
          <w:rFonts w:cstheme="minorHAnsi"/>
        </w:rPr>
        <w:t xml:space="preserve"> (1,72) = 25.36, </w:t>
      </w:r>
      <w:r w:rsidRPr="00F21CFB">
        <w:rPr>
          <w:rFonts w:cstheme="minorHAnsi"/>
          <w:i/>
        </w:rPr>
        <w:t>p</w:t>
      </w:r>
      <w:r>
        <w:rPr>
          <w:rFonts w:cstheme="minorHAnsi"/>
        </w:rPr>
        <w:t>&lt;.001</w:t>
      </w:r>
      <w:r w:rsidR="008B6E35">
        <w:rPr>
          <w:rFonts w:cstheme="minorHAnsi"/>
        </w:rPr>
        <w:t>,</w:t>
      </w:r>
      <w:r>
        <w:rPr>
          <w:rFonts w:cstheme="minorHAnsi"/>
        </w:rPr>
        <w:t xml:space="preserve"> in the clinical group compared with the healthy controls.  The clinical group also attributed significantly greater importance to negative self-aspects compared to controls</w:t>
      </w:r>
      <w:r w:rsidR="008B6E35">
        <w:rPr>
          <w:rFonts w:cstheme="minorHAnsi"/>
        </w:rPr>
        <w:t xml:space="preserve">, </w:t>
      </w:r>
      <w:r w:rsidRPr="00F21CFB">
        <w:rPr>
          <w:rFonts w:cstheme="minorHAnsi"/>
          <w:i/>
        </w:rPr>
        <w:t>F</w:t>
      </w:r>
      <w:r>
        <w:rPr>
          <w:rFonts w:cstheme="minorHAnsi"/>
        </w:rPr>
        <w:t xml:space="preserve"> (1,72) = 8.68, </w:t>
      </w:r>
      <w:r w:rsidRPr="00F21CFB">
        <w:rPr>
          <w:rFonts w:cstheme="minorHAnsi"/>
          <w:i/>
        </w:rPr>
        <w:t>p</w:t>
      </w:r>
      <w:r>
        <w:rPr>
          <w:rFonts w:cstheme="minorHAnsi"/>
        </w:rPr>
        <w:t>&lt;.004.  Finally, compartmentalisation was higher in the clinical group</w:t>
      </w:r>
      <w:r w:rsidR="008B6E35">
        <w:rPr>
          <w:rFonts w:cstheme="minorHAnsi"/>
        </w:rPr>
        <w:t>,</w:t>
      </w:r>
      <w:r>
        <w:rPr>
          <w:rFonts w:cstheme="minorHAnsi"/>
        </w:rPr>
        <w:t xml:space="preserve"> </w:t>
      </w:r>
      <w:r w:rsidRPr="00F21CFB">
        <w:rPr>
          <w:rFonts w:cstheme="minorHAnsi"/>
          <w:i/>
        </w:rPr>
        <w:t>F</w:t>
      </w:r>
      <w:r>
        <w:rPr>
          <w:rFonts w:cstheme="minorHAnsi"/>
        </w:rPr>
        <w:t xml:space="preserve"> (1,72) = 4.80, </w:t>
      </w:r>
      <w:r w:rsidRPr="00F21CFB">
        <w:rPr>
          <w:rFonts w:cstheme="minorHAnsi"/>
          <w:i/>
        </w:rPr>
        <w:t>p</w:t>
      </w:r>
      <w:r>
        <w:rPr>
          <w:rFonts w:cstheme="minorHAnsi"/>
        </w:rPr>
        <w:t xml:space="preserve">&lt;.03.   </w:t>
      </w:r>
    </w:p>
    <w:p w14:paraId="6C3188A9" w14:textId="2F0C6100" w:rsidR="001312B6" w:rsidRDefault="004A79CE" w:rsidP="001312B6">
      <w:pPr>
        <w:spacing w:line="480" w:lineRule="auto"/>
        <w:ind w:firstLine="720"/>
        <w:rPr>
          <w:rFonts w:cstheme="minorHAnsi"/>
        </w:rPr>
      </w:pPr>
      <w:r>
        <w:rPr>
          <w:rFonts w:cstheme="minorHAnsi"/>
        </w:rPr>
        <w:t xml:space="preserve">Overall, these results suggest that there were significant differences in </w:t>
      </w:r>
      <w:r w:rsidR="00E11198">
        <w:rPr>
          <w:rFonts w:cstheme="minorHAnsi"/>
        </w:rPr>
        <w:t xml:space="preserve">all </w:t>
      </w:r>
      <w:r>
        <w:rPr>
          <w:rFonts w:cstheme="minorHAnsi"/>
        </w:rPr>
        <w:t xml:space="preserve">self-structure </w:t>
      </w:r>
      <w:r w:rsidR="00E11198">
        <w:rPr>
          <w:rFonts w:cstheme="minorHAnsi"/>
        </w:rPr>
        <w:t xml:space="preserve">indices </w:t>
      </w:r>
      <w:r>
        <w:rPr>
          <w:rFonts w:cstheme="minorHAnsi"/>
        </w:rPr>
        <w:t>between individuals with persecutory delusions and healthy controls</w:t>
      </w:r>
      <w:r w:rsidR="00E11198">
        <w:rPr>
          <w:rFonts w:cstheme="minorHAnsi"/>
        </w:rPr>
        <w:t xml:space="preserve">.  However, the cross-sectional design means that no conclusions regarding causality can be made </w:t>
      </w:r>
      <w:r w:rsidR="001840A8">
        <w:rPr>
          <w:rFonts w:cstheme="minorHAnsi"/>
        </w:rPr>
        <w:t xml:space="preserve">and the study is silent about </w:t>
      </w:r>
      <w:r w:rsidR="00D87299">
        <w:rPr>
          <w:rFonts w:cstheme="minorHAnsi"/>
        </w:rPr>
        <w:t>whether self-structure might be amendable to change following psychological therapy.  We address this issue in study two.</w:t>
      </w:r>
      <w:r>
        <w:rPr>
          <w:rFonts w:cstheme="minorHAnsi"/>
        </w:rPr>
        <w:t xml:space="preserve"> </w:t>
      </w:r>
    </w:p>
    <w:p w14:paraId="21A2B14E" w14:textId="40186BCE" w:rsidR="001312B6" w:rsidRPr="001312B6" w:rsidRDefault="001312B6" w:rsidP="000460C6">
      <w:pPr>
        <w:spacing w:line="480" w:lineRule="auto"/>
        <w:jc w:val="center"/>
        <w:rPr>
          <w:rFonts w:cstheme="minorHAnsi"/>
          <w:b/>
          <w:bCs/>
        </w:rPr>
      </w:pPr>
      <w:r>
        <w:rPr>
          <w:rFonts w:cstheme="minorHAnsi"/>
          <w:b/>
          <w:bCs/>
        </w:rPr>
        <w:t>Study 2</w:t>
      </w:r>
    </w:p>
    <w:p w14:paraId="557920E6" w14:textId="3AECF24E" w:rsidR="001312B6" w:rsidRPr="00826BEE" w:rsidRDefault="002F79E0" w:rsidP="001312B6">
      <w:pPr>
        <w:spacing w:line="480" w:lineRule="auto"/>
        <w:ind w:firstLine="720"/>
        <w:rPr>
          <w:rFonts w:cstheme="minorHAnsi"/>
        </w:rPr>
      </w:pPr>
      <w:r>
        <w:rPr>
          <w:rFonts w:cstheme="minorHAnsi"/>
        </w:rPr>
        <w:t xml:space="preserve">Research examining the stability of self-structure indices and the extent to which they are amendable to change following psychological therapy in any clinical group is sparse.  We were therefore interested in examining stability in our clinical group by assessing whether self-structure indices changed following a 12-week mindfulness-based group intervention.  Research is starting to suggest that mindfulness is causally related to paranoia. For example, mindfulness has been found to moderate the effect of trait paranoia on state paranoia in day to day life (Kingston, </w:t>
      </w:r>
      <w:proofErr w:type="spellStart"/>
      <w:r>
        <w:rPr>
          <w:rFonts w:cstheme="minorHAnsi"/>
        </w:rPr>
        <w:t>Lassman</w:t>
      </w:r>
      <w:proofErr w:type="spellEnd"/>
      <w:r>
        <w:rPr>
          <w:rFonts w:cstheme="minorHAnsi"/>
        </w:rPr>
        <w:t xml:space="preserve">, Matias &amp; Ellett, 2019) and to reduce paranoia in both clinical (Ellett., 2013; Ellett et al., 2020) and nonclinical groups (Shore et al., 2018; Kingston et al., 2019).  There are several reasons why mindfulness might enhance an integrated self-structure. De-centring from and non-judgementally observing experience may (1) </w:t>
      </w:r>
      <w:r>
        <w:t>encourage more balanced consideration of self-referent information whereby positive and negative experiences can be accessed; (2) enable individuals to non-judgementally attend to new information in their environments that may help to modify globally negative self-views; (3) help to develop meta-cognitive awareness of the interaction between context and content.  One study has examined self-structure following a single brief (16 minute) mindfulness exercise in a healthy group and found that compartmentalisation was lower in participants who had taken part in a mindfulness exercise compared to an unfocused attention condition (</w:t>
      </w:r>
      <w:proofErr w:type="spellStart"/>
      <w:r>
        <w:t>Dummel</w:t>
      </w:r>
      <w:proofErr w:type="spellEnd"/>
      <w:r>
        <w:t xml:space="preserve"> &amp; Stahl., 2018).  However, without a baseline measure of compartmentalisation it is possible that effects were driven by unfocused attention rather than mindfulness. Furthermore, </w:t>
      </w:r>
      <w:r>
        <w:rPr>
          <w:rFonts w:cstheme="minorHAnsi"/>
        </w:rPr>
        <w:t>there was no examination of effects over time.  To our knowledge, there are currently no published studies examining whether self-structure changes following psychological therapy.</w:t>
      </w:r>
      <w:r w:rsidR="00ED712A">
        <w:rPr>
          <w:rFonts w:cstheme="minorHAnsi"/>
        </w:rPr>
        <w:t xml:space="preserve">  Therefore, i</w:t>
      </w:r>
      <w:r w:rsidR="001312B6">
        <w:rPr>
          <w:rFonts w:cstheme="minorHAnsi"/>
        </w:rPr>
        <w:t xml:space="preserve">n study two, we examined whether self-structure indices were associated with delusional symptom severity and depression in the </w:t>
      </w:r>
      <w:r w:rsidR="008E2A99">
        <w:rPr>
          <w:rFonts w:cstheme="minorHAnsi"/>
        </w:rPr>
        <w:t xml:space="preserve">same </w:t>
      </w:r>
      <w:r w:rsidR="001312B6">
        <w:rPr>
          <w:rFonts w:cstheme="minorHAnsi"/>
        </w:rPr>
        <w:t xml:space="preserve">clinical group </w:t>
      </w:r>
      <w:r w:rsidR="008E2A99">
        <w:rPr>
          <w:rFonts w:cstheme="minorHAnsi"/>
        </w:rPr>
        <w:t>of participants who took part in study one</w:t>
      </w:r>
      <w:r w:rsidR="001312B6">
        <w:rPr>
          <w:rFonts w:cstheme="minorHAnsi"/>
        </w:rPr>
        <w:t xml:space="preserve">.  The clinical group were randomised to receive either a 12-week mindfulness-based group psychological therapy (alongside treatment as usual) or treatment as usual alone.  Consistent with pilot RCT methodology, we report descriptive statistics and effect sizes for all self-structure comparisons both within (pre-post mindfulness therapy group only) and between (mindfulness vs treatment as usual control) participants. </w:t>
      </w:r>
    </w:p>
    <w:p w14:paraId="059733C8" w14:textId="5042159A" w:rsidR="001312B6" w:rsidRDefault="00787789" w:rsidP="00787789">
      <w:pPr>
        <w:spacing w:line="480" w:lineRule="auto"/>
        <w:jc w:val="center"/>
        <w:rPr>
          <w:rFonts w:cstheme="minorHAnsi"/>
          <w:b/>
          <w:bCs/>
          <w:iCs/>
        </w:rPr>
      </w:pPr>
      <w:r>
        <w:rPr>
          <w:rFonts w:cstheme="minorHAnsi"/>
          <w:b/>
          <w:bCs/>
          <w:iCs/>
        </w:rPr>
        <w:t>Methods</w:t>
      </w:r>
    </w:p>
    <w:p w14:paraId="12438D40" w14:textId="57F99897" w:rsidR="00787789" w:rsidRPr="00787789" w:rsidRDefault="00787789" w:rsidP="00787789">
      <w:pPr>
        <w:spacing w:line="480" w:lineRule="auto"/>
        <w:rPr>
          <w:rFonts w:cstheme="minorHAnsi"/>
          <w:i/>
        </w:rPr>
      </w:pPr>
      <w:r>
        <w:rPr>
          <w:rFonts w:cstheme="minorHAnsi"/>
          <w:i/>
        </w:rPr>
        <w:t>Design</w:t>
      </w:r>
    </w:p>
    <w:p w14:paraId="60EB3562" w14:textId="54F9CF95" w:rsidR="00D74A5B" w:rsidRPr="00C50D24" w:rsidRDefault="00787789" w:rsidP="00631A1E">
      <w:pPr>
        <w:pStyle w:val="Heading1"/>
        <w:spacing w:before="0" w:line="480" w:lineRule="auto"/>
        <w:ind w:firstLine="720"/>
        <w:rPr>
          <w:rFonts w:asciiTheme="minorHAnsi" w:hAnsiTheme="minorHAnsi" w:cstheme="minorHAnsi"/>
          <w:color w:val="auto"/>
          <w:sz w:val="22"/>
          <w:szCs w:val="22"/>
        </w:rPr>
      </w:pPr>
      <w:r w:rsidRPr="00AC3034">
        <w:rPr>
          <w:rFonts w:asciiTheme="minorHAnsi" w:hAnsiTheme="minorHAnsi" w:cstheme="minorHAnsi"/>
          <w:color w:val="auto"/>
          <w:sz w:val="22"/>
          <w:szCs w:val="22"/>
        </w:rPr>
        <w:t xml:space="preserve">A pilot randomised controlled trial design was used to examine stability of self-structure following a </w:t>
      </w:r>
      <w:r>
        <w:rPr>
          <w:rFonts w:asciiTheme="minorHAnsi" w:hAnsiTheme="minorHAnsi" w:cstheme="minorHAnsi"/>
          <w:color w:val="auto"/>
          <w:sz w:val="22"/>
          <w:szCs w:val="22"/>
        </w:rPr>
        <w:t xml:space="preserve">group </w:t>
      </w:r>
      <w:r w:rsidRPr="00AC3034">
        <w:rPr>
          <w:rFonts w:asciiTheme="minorHAnsi" w:hAnsiTheme="minorHAnsi" w:cstheme="minorHAnsi"/>
          <w:color w:val="auto"/>
          <w:sz w:val="22"/>
          <w:szCs w:val="22"/>
        </w:rPr>
        <w:t>mindfulness intervention</w:t>
      </w:r>
      <w:r w:rsidR="0059778A">
        <w:rPr>
          <w:rFonts w:asciiTheme="minorHAnsi" w:hAnsiTheme="minorHAnsi" w:cstheme="minorHAnsi"/>
          <w:color w:val="auto"/>
          <w:sz w:val="22"/>
          <w:szCs w:val="22"/>
        </w:rPr>
        <w:t xml:space="preserve"> (the main findings from the pilot trial reporting </w:t>
      </w:r>
      <w:r w:rsidR="007F5117">
        <w:rPr>
          <w:rFonts w:asciiTheme="minorHAnsi" w:hAnsiTheme="minorHAnsi" w:cstheme="minorHAnsi"/>
          <w:color w:val="auto"/>
          <w:sz w:val="22"/>
          <w:szCs w:val="22"/>
        </w:rPr>
        <w:t xml:space="preserve">feasibility, acceptability and </w:t>
      </w:r>
      <w:r w:rsidR="0059778A">
        <w:rPr>
          <w:rFonts w:asciiTheme="minorHAnsi" w:hAnsiTheme="minorHAnsi" w:cstheme="minorHAnsi"/>
          <w:color w:val="auto"/>
          <w:sz w:val="22"/>
          <w:szCs w:val="22"/>
        </w:rPr>
        <w:t>clinical outcomes are reported in Ellett et al., 2020)</w:t>
      </w:r>
      <w:r w:rsidRPr="00AC3034">
        <w:rPr>
          <w:rFonts w:asciiTheme="minorHAnsi" w:hAnsiTheme="minorHAnsi" w:cstheme="minorHAnsi"/>
          <w:color w:val="auto"/>
          <w:sz w:val="22"/>
          <w:szCs w:val="22"/>
        </w:rPr>
        <w:t xml:space="preserve">.  Clinical participants </w:t>
      </w:r>
      <w:r>
        <w:rPr>
          <w:rFonts w:asciiTheme="minorHAnsi" w:hAnsiTheme="minorHAnsi" w:cstheme="minorHAnsi"/>
          <w:color w:val="auto"/>
          <w:sz w:val="22"/>
          <w:szCs w:val="22"/>
        </w:rPr>
        <w:t xml:space="preserve">(the same </w:t>
      </w:r>
      <w:r w:rsidR="00631A1E">
        <w:rPr>
          <w:rFonts w:asciiTheme="minorHAnsi" w:hAnsiTheme="minorHAnsi" w:cstheme="minorHAnsi"/>
          <w:color w:val="auto"/>
          <w:sz w:val="22"/>
          <w:szCs w:val="22"/>
        </w:rPr>
        <w:t xml:space="preserve">clinical </w:t>
      </w:r>
      <w:r>
        <w:rPr>
          <w:rFonts w:asciiTheme="minorHAnsi" w:hAnsiTheme="minorHAnsi" w:cstheme="minorHAnsi"/>
          <w:color w:val="auto"/>
          <w:sz w:val="22"/>
          <w:szCs w:val="22"/>
        </w:rPr>
        <w:t xml:space="preserve">group </w:t>
      </w:r>
      <w:r w:rsidR="00631A1E">
        <w:rPr>
          <w:rFonts w:asciiTheme="minorHAnsi" w:hAnsiTheme="minorHAnsi" w:cstheme="minorHAnsi"/>
          <w:color w:val="auto"/>
          <w:sz w:val="22"/>
          <w:szCs w:val="22"/>
        </w:rPr>
        <w:t>from Study one</w:t>
      </w:r>
      <w:r>
        <w:rPr>
          <w:rFonts w:asciiTheme="minorHAnsi" w:hAnsiTheme="minorHAnsi" w:cstheme="minorHAnsi"/>
          <w:color w:val="auto"/>
          <w:sz w:val="22"/>
          <w:szCs w:val="22"/>
        </w:rPr>
        <w:t xml:space="preserve">) </w:t>
      </w:r>
      <w:r w:rsidRPr="00AC3034">
        <w:rPr>
          <w:rFonts w:asciiTheme="minorHAnsi" w:hAnsiTheme="minorHAnsi" w:cstheme="minorHAnsi"/>
          <w:color w:val="auto"/>
          <w:sz w:val="22"/>
          <w:szCs w:val="22"/>
        </w:rPr>
        <w:t xml:space="preserve">were randomised to either the intervention arm (12-week group mindfulness therapy + treatment as usual [TAU]) or the control arm (TAU alone). </w:t>
      </w:r>
      <w:r>
        <w:rPr>
          <w:rFonts w:asciiTheme="minorHAnsi" w:hAnsiTheme="minorHAnsi" w:cstheme="minorHAnsi"/>
          <w:color w:val="auto"/>
          <w:sz w:val="22"/>
          <w:szCs w:val="22"/>
        </w:rPr>
        <w:t xml:space="preserve"> </w:t>
      </w:r>
      <w:r w:rsidRPr="00C50D24">
        <w:rPr>
          <w:rFonts w:asciiTheme="minorHAnsi" w:hAnsiTheme="minorHAnsi" w:cstheme="minorHAnsi"/>
          <w:bCs/>
          <w:color w:val="auto"/>
          <w:sz w:val="22"/>
          <w:szCs w:val="22"/>
        </w:rPr>
        <w:t xml:space="preserve">Block randomisation was undertaken, using a computerised service from </w:t>
      </w:r>
      <w:r w:rsidR="00E116CF" w:rsidRPr="00C50D24">
        <w:rPr>
          <w:rFonts w:asciiTheme="minorHAnsi" w:hAnsiTheme="minorHAnsi" w:cstheme="minorHAnsi"/>
          <w:bCs/>
          <w:color w:val="auto"/>
          <w:sz w:val="22"/>
          <w:szCs w:val="22"/>
        </w:rPr>
        <w:t>a</w:t>
      </w:r>
      <w:r w:rsidRPr="00C50D24">
        <w:rPr>
          <w:rFonts w:asciiTheme="minorHAnsi" w:hAnsiTheme="minorHAnsi" w:cstheme="minorHAnsi"/>
          <w:bCs/>
          <w:color w:val="auto"/>
          <w:sz w:val="22"/>
          <w:szCs w:val="22"/>
        </w:rPr>
        <w:t xml:space="preserve"> Clinical Trials Unit, and post-group assessments were conducted by a research assistant who was blind to group allocation.</w:t>
      </w:r>
      <w:r w:rsidRPr="00C50D24">
        <w:rPr>
          <w:rFonts w:asciiTheme="minorHAnsi" w:hAnsiTheme="minorHAnsi" w:cstheme="minorHAnsi"/>
          <w:color w:val="auto"/>
          <w:sz w:val="22"/>
          <w:szCs w:val="22"/>
        </w:rPr>
        <w:t xml:space="preserve"> </w:t>
      </w:r>
    </w:p>
    <w:p w14:paraId="58781239" w14:textId="77777777" w:rsidR="00D74A5B" w:rsidRDefault="00D74A5B" w:rsidP="00631A1E">
      <w:pPr>
        <w:pStyle w:val="Heading1"/>
        <w:spacing w:before="0" w:line="480" w:lineRule="auto"/>
        <w:ind w:firstLine="720"/>
        <w:rPr>
          <w:rFonts w:asciiTheme="minorHAnsi" w:hAnsiTheme="minorHAnsi" w:cstheme="minorHAnsi"/>
          <w:color w:val="auto"/>
          <w:sz w:val="22"/>
          <w:szCs w:val="22"/>
        </w:rPr>
      </w:pPr>
    </w:p>
    <w:p w14:paraId="2C5CF3D9" w14:textId="6800B849" w:rsidR="00D74A5B" w:rsidRPr="00D74A5B" w:rsidRDefault="00D74A5B" w:rsidP="00D74A5B">
      <w:pPr>
        <w:pStyle w:val="Heading1"/>
        <w:spacing w:before="0" w:line="480" w:lineRule="auto"/>
        <w:rPr>
          <w:rFonts w:asciiTheme="minorHAnsi" w:hAnsiTheme="minorHAnsi" w:cstheme="minorHAnsi"/>
          <w:i/>
          <w:iCs/>
          <w:color w:val="auto"/>
          <w:sz w:val="22"/>
          <w:szCs w:val="22"/>
        </w:rPr>
      </w:pPr>
      <w:r>
        <w:rPr>
          <w:rFonts w:asciiTheme="minorHAnsi" w:hAnsiTheme="minorHAnsi" w:cstheme="minorHAnsi"/>
          <w:i/>
          <w:iCs/>
          <w:color w:val="auto"/>
          <w:sz w:val="22"/>
          <w:szCs w:val="22"/>
        </w:rPr>
        <w:t>Participants</w:t>
      </w:r>
    </w:p>
    <w:p w14:paraId="7CC168A0" w14:textId="18A3EB39" w:rsidR="00660B67" w:rsidRPr="00584488" w:rsidRDefault="00D74A5B" w:rsidP="00660B67">
      <w:pPr>
        <w:spacing w:after="0" w:line="480" w:lineRule="auto"/>
        <w:ind w:firstLine="720"/>
        <w:rPr>
          <w:rFonts w:cstheme="minorHAnsi"/>
        </w:rPr>
      </w:pPr>
      <w:r>
        <w:rPr>
          <w:rFonts w:cstheme="minorHAnsi"/>
        </w:rPr>
        <w:t>W</w:t>
      </w:r>
      <w:r w:rsidR="00787789" w:rsidRPr="00AC3034">
        <w:rPr>
          <w:rFonts w:cstheme="minorHAnsi"/>
        </w:rPr>
        <w:t xml:space="preserve">e followed good practice guideline recommendations </w:t>
      </w:r>
      <w:r w:rsidR="00F91D60">
        <w:rPr>
          <w:rFonts w:cstheme="minorHAnsi"/>
        </w:rPr>
        <w:t xml:space="preserve">for pilot RCTs </w:t>
      </w:r>
      <w:r w:rsidR="00787789" w:rsidRPr="00AC3034">
        <w:rPr>
          <w:rFonts w:cstheme="minorHAnsi"/>
        </w:rPr>
        <w:t>of at least 12 participants per study arm (</w:t>
      </w:r>
      <w:proofErr w:type="spellStart"/>
      <w:r w:rsidR="00787789" w:rsidRPr="00AC3034">
        <w:rPr>
          <w:rFonts w:cstheme="minorHAnsi"/>
        </w:rPr>
        <w:t>Julious</w:t>
      </w:r>
      <w:proofErr w:type="spellEnd"/>
      <w:r w:rsidR="00787789" w:rsidRPr="00AC3034">
        <w:rPr>
          <w:rFonts w:cstheme="minorHAnsi"/>
        </w:rPr>
        <w:t xml:space="preserve">, 2005).  </w:t>
      </w:r>
      <w:r w:rsidR="00906F78">
        <w:rPr>
          <w:rFonts w:cstheme="minorHAnsi"/>
        </w:rPr>
        <w:t>Participants were the same 27 individuals who took part in study one; r</w:t>
      </w:r>
      <w:r w:rsidR="00660B67">
        <w:t xml:space="preserve">andomisation allocated </w:t>
      </w:r>
      <w:r w:rsidR="00660B67">
        <w:rPr>
          <w:rFonts w:cstheme="minorHAnsi"/>
        </w:rPr>
        <w:t xml:space="preserve">n=14  to the </w:t>
      </w:r>
      <w:r w:rsidR="00906F78">
        <w:rPr>
          <w:rFonts w:cstheme="minorHAnsi"/>
        </w:rPr>
        <w:t xml:space="preserve">group </w:t>
      </w:r>
      <w:r w:rsidR="00660B67">
        <w:rPr>
          <w:rFonts w:cstheme="minorHAnsi"/>
        </w:rPr>
        <w:t>mindfulness intervention and n=13 to control.</w:t>
      </w:r>
      <w:r w:rsidR="00660B67" w:rsidRPr="00584488">
        <w:rPr>
          <w:rFonts w:cstheme="minorHAnsi"/>
        </w:rPr>
        <w:t xml:space="preserve"> </w:t>
      </w:r>
      <w:r w:rsidR="00660B67">
        <w:rPr>
          <w:rFonts w:cstheme="minorHAnsi"/>
        </w:rPr>
        <w:t xml:space="preserve"> </w:t>
      </w:r>
    </w:p>
    <w:p w14:paraId="7DCE8131" w14:textId="77777777" w:rsidR="00F828DE" w:rsidRDefault="00F828DE" w:rsidP="008A0D0A">
      <w:pPr>
        <w:spacing w:line="480" w:lineRule="auto"/>
        <w:rPr>
          <w:rFonts w:cstheme="minorHAnsi"/>
          <w:i/>
        </w:rPr>
      </w:pPr>
    </w:p>
    <w:p w14:paraId="18FBBD77" w14:textId="1219AB54" w:rsidR="00787789" w:rsidRDefault="007544B0" w:rsidP="008A0D0A">
      <w:pPr>
        <w:spacing w:line="480" w:lineRule="auto"/>
        <w:rPr>
          <w:rFonts w:cstheme="minorHAnsi"/>
          <w:i/>
        </w:rPr>
      </w:pPr>
      <w:r>
        <w:rPr>
          <w:rFonts w:cstheme="minorHAnsi"/>
          <w:i/>
        </w:rPr>
        <w:t>Measures</w:t>
      </w:r>
    </w:p>
    <w:p w14:paraId="6FF9F7C1" w14:textId="77777777" w:rsidR="007544B0" w:rsidRPr="00CC368C" w:rsidRDefault="007544B0" w:rsidP="007544B0">
      <w:pPr>
        <w:spacing w:line="480" w:lineRule="auto"/>
        <w:rPr>
          <w:rFonts w:cstheme="minorHAnsi"/>
          <w:i/>
        </w:rPr>
      </w:pPr>
      <w:r w:rsidRPr="00CC368C">
        <w:rPr>
          <w:rFonts w:cstheme="minorHAnsi"/>
          <w:i/>
        </w:rPr>
        <w:t xml:space="preserve">Psychotic Symptoms Rating Scale (PSYRATS: Delusions subscale) (Haddock et al., 1999) </w:t>
      </w:r>
    </w:p>
    <w:p w14:paraId="63A2AA89" w14:textId="3C1406FF" w:rsidR="007544B0" w:rsidRPr="007544B0" w:rsidRDefault="007544B0" w:rsidP="007F4A2F">
      <w:pPr>
        <w:spacing w:line="480" w:lineRule="auto"/>
        <w:ind w:firstLine="720"/>
        <w:rPr>
          <w:rFonts w:cstheme="minorHAnsi"/>
          <w:iCs/>
        </w:rPr>
      </w:pPr>
      <w:r w:rsidRPr="007544B0">
        <w:rPr>
          <w:rFonts w:cstheme="minorHAnsi"/>
          <w:iCs/>
        </w:rPr>
        <w:t>A 6-item rating scale designed to measure the different dimensions of delusions: cognitive interpretation (amount and duration of preoccupation, conviction, and disruption) and emotional characteristics (amount and intensity of distress). Each item is measured by the rater on a 5-point scale ranging from 0-4</w:t>
      </w:r>
      <w:r w:rsidR="005C648F">
        <w:rPr>
          <w:rFonts w:cstheme="minorHAnsi"/>
          <w:iCs/>
        </w:rPr>
        <w:t>, yielding a possible score range of 0-24</w:t>
      </w:r>
      <w:r w:rsidRPr="007544B0">
        <w:rPr>
          <w:rFonts w:cstheme="minorHAnsi"/>
          <w:iCs/>
        </w:rPr>
        <w:t xml:space="preserve">. </w:t>
      </w:r>
      <w:r w:rsidR="005C648F">
        <w:rPr>
          <w:rFonts w:cstheme="minorHAnsi"/>
          <w:iCs/>
        </w:rPr>
        <w:t xml:space="preserve"> </w:t>
      </w:r>
      <w:r w:rsidRPr="007544B0">
        <w:rPr>
          <w:rFonts w:cstheme="minorHAnsi"/>
          <w:iCs/>
        </w:rPr>
        <w:t>Acceptable inter-rater reliability and validity have been reported (Haddock et al., 1999).</w:t>
      </w:r>
    </w:p>
    <w:p w14:paraId="71B8DF81" w14:textId="77777777" w:rsidR="00C029D3" w:rsidRDefault="00C029D3" w:rsidP="007544B0">
      <w:pPr>
        <w:spacing w:line="480" w:lineRule="auto"/>
        <w:rPr>
          <w:rFonts w:cstheme="minorHAnsi"/>
          <w:i/>
        </w:rPr>
      </w:pPr>
    </w:p>
    <w:p w14:paraId="68DA85A5" w14:textId="77777777" w:rsidR="00C029D3" w:rsidRDefault="00C029D3" w:rsidP="007544B0">
      <w:pPr>
        <w:spacing w:line="480" w:lineRule="auto"/>
        <w:rPr>
          <w:rFonts w:cstheme="minorHAnsi"/>
          <w:i/>
        </w:rPr>
      </w:pPr>
    </w:p>
    <w:p w14:paraId="719CA397" w14:textId="77777777" w:rsidR="00C50D24" w:rsidRDefault="00C50D24" w:rsidP="007544B0">
      <w:pPr>
        <w:spacing w:line="480" w:lineRule="auto"/>
        <w:rPr>
          <w:rFonts w:cstheme="minorHAnsi"/>
          <w:i/>
        </w:rPr>
      </w:pPr>
    </w:p>
    <w:p w14:paraId="72753AAF" w14:textId="0304FE4E" w:rsidR="007544B0" w:rsidRPr="007544B0" w:rsidRDefault="007544B0" w:rsidP="007544B0">
      <w:pPr>
        <w:spacing w:line="480" w:lineRule="auto"/>
        <w:rPr>
          <w:rFonts w:cstheme="minorHAnsi"/>
          <w:i/>
        </w:rPr>
      </w:pPr>
      <w:r w:rsidRPr="007544B0">
        <w:rPr>
          <w:rFonts w:cstheme="minorHAnsi"/>
          <w:i/>
        </w:rPr>
        <w:t xml:space="preserve">Beck Depression Inventory II (Beck et al., 1996) </w:t>
      </w:r>
    </w:p>
    <w:p w14:paraId="16594184" w14:textId="77777777" w:rsidR="007544B0" w:rsidRPr="007544B0" w:rsidRDefault="007544B0" w:rsidP="007F4A2F">
      <w:pPr>
        <w:spacing w:line="480" w:lineRule="auto"/>
        <w:ind w:firstLine="720"/>
        <w:rPr>
          <w:rFonts w:cstheme="minorHAnsi"/>
          <w:iCs/>
        </w:rPr>
      </w:pPr>
      <w:r w:rsidRPr="007544B0">
        <w:rPr>
          <w:rFonts w:cstheme="minorHAnsi"/>
          <w:iCs/>
        </w:rPr>
        <w:t xml:space="preserve">A 21-item self-report questionnaire that measures the severity of depression. It has been found to be both reliable and valid, and is the gold standard measure of depression. </w:t>
      </w:r>
    </w:p>
    <w:p w14:paraId="7069272D" w14:textId="77777777" w:rsidR="00C029D3" w:rsidRDefault="00C029D3" w:rsidP="007F4A2F">
      <w:pPr>
        <w:pStyle w:val="Heading3"/>
        <w:spacing w:line="480" w:lineRule="auto"/>
        <w:rPr>
          <w:rFonts w:asciiTheme="minorHAnsi" w:eastAsia="Calibri" w:hAnsiTheme="minorHAnsi" w:cstheme="minorHAnsi"/>
          <w:i/>
          <w:color w:val="auto"/>
          <w:sz w:val="22"/>
          <w:szCs w:val="22"/>
        </w:rPr>
      </w:pPr>
    </w:p>
    <w:p w14:paraId="082AC2FE" w14:textId="53846A6A" w:rsidR="007F4A2F" w:rsidRPr="00780961" w:rsidRDefault="007F4A2F" w:rsidP="007F4A2F">
      <w:pPr>
        <w:pStyle w:val="Heading3"/>
        <w:spacing w:line="480" w:lineRule="auto"/>
        <w:rPr>
          <w:rFonts w:asciiTheme="minorHAnsi" w:eastAsia="Calibri" w:hAnsiTheme="minorHAnsi" w:cstheme="minorHAnsi"/>
          <w:i/>
          <w:color w:val="auto"/>
          <w:sz w:val="22"/>
          <w:szCs w:val="22"/>
        </w:rPr>
      </w:pPr>
      <w:r w:rsidRPr="00780961">
        <w:rPr>
          <w:rFonts w:asciiTheme="minorHAnsi" w:eastAsia="Calibri" w:hAnsiTheme="minorHAnsi" w:cstheme="minorHAnsi"/>
          <w:i/>
          <w:color w:val="auto"/>
          <w:sz w:val="22"/>
          <w:szCs w:val="22"/>
        </w:rPr>
        <w:t xml:space="preserve">Card </w:t>
      </w:r>
      <w:r w:rsidR="00C029D3">
        <w:rPr>
          <w:rFonts w:asciiTheme="minorHAnsi" w:eastAsia="Calibri" w:hAnsiTheme="minorHAnsi" w:cstheme="minorHAnsi"/>
          <w:i/>
          <w:color w:val="auto"/>
          <w:sz w:val="22"/>
          <w:szCs w:val="22"/>
        </w:rPr>
        <w:t>S</w:t>
      </w:r>
      <w:r w:rsidRPr="00780961">
        <w:rPr>
          <w:rFonts w:asciiTheme="minorHAnsi" w:eastAsia="Calibri" w:hAnsiTheme="minorHAnsi" w:cstheme="minorHAnsi"/>
          <w:i/>
          <w:color w:val="auto"/>
          <w:sz w:val="22"/>
          <w:szCs w:val="22"/>
        </w:rPr>
        <w:t xml:space="preserve">orting </w:t>
      </w:r>
      <w:r w:rsidR="00C029D3">
        <w:rPr>
          <w:rFonts w:asciiTheme="minorHAnsi" w:eastAsia="Calibri" w:hAnsiTheme="minorHAnsi" w:cstheme="minorHAnsi"/>
          <w:i/>
          <w:color w:val="auto"/>
          <w:sz w:val="22"/>
          <w:szCs w:val="22"/>
        </w:rPr>
        <w:t>T</w:t>
      </w:r>
      <w:r w:rsidRPr="00780961">
        <w:rPr>
          <w:rFonts w:asciiTheme="minorHAnsi" w:eastAsia="Calibri" w:hAnsiTheme="minorHAnsi" w:cstheme="minorHAnsi"/>
          <w:i/>
          <w:color w:val="auto"/>
          <w:sz w:val="22"/>
          <w:szCs w:val="22"/>
        </w:rPr>
        <w:t>ask (Linville, 1987; Showers, 1992;)</w:t>
      </w:r>
    </w:p>
    <w:p w14:paraId="104264CA" w14:textId="2C7FD912" w:rsidR="007544B0" w:rsidRPr="007F4A2F" w:rsidRDefault="007F4A2F" w:rsidP="008A0D0A">
      <w:pPr>
        <w:spacing w:line="480" w:lineRule="auto"/>
        <w:rPr>
          <w:rFonts w:cstheme="minorHAnsi"/>
          <w:iCs/>
        </w:rPr>
      </w:pPr>
      <w:r>
        <w:rPr>
          <w:rFonts w:cstheme="minorHAnsi"/>
          <w:i/>
        </w:rPr>
        <w:tab/>
      </w:r>
      <w:r w:rsidR="001D1963">
        <w:rPr>
          <w:rFonts w:cstheme="minorHAnsi"/>
          <w:i/>
        </w:rPr>
        <w:t>The same task a</w:t>
      </w:r>
      <w:r>
        <w:rPr>
          <w:rFonts w:cstheme="minorHAnsi"/>
          <w:iCs/>
        </w:rPr>
        <w:t xml:space="preserve">s reported in study one.  </w:t>
      </w:r>
    </w:p>
    <w:p w14:paraId="4DCC129B" w14:textId="77777777" w:rsidR="006641E8" w:rsidRPr="00584488" w:rsidRDefault="006641E8" w:rsidP="006641E8">
      <w:pPr>
        <w:spacing w:after="0" w:line="360" w:lineRule="auto"/>
        <w:rPr>
          <w:rFonts w:cstheme="minorHAnsi"/>
          <w:i/>
        </w:rPr>
      </w:pPr>
      <w:r w:rsidRPr="00584488">
        <w:rPr>
          <w:rFonts w:cstheme="minorHAnsi"/>
          <w:i/>
        </w:rPr>
        <w:t>Group Mindfulness-based Intervention</w:t>
      </w:r>
    </w:p>
    <w:p w14:paraId="28F29CCD" w14:textId="4C0E6172" w:rsidR="006641E8" w:rsidRPr="00584488" w:rsidRDefault="001D1963" w:rsidP="006641E8">
      <w:pPr>
        <w:spacing w:after="0" w:line="360" w:lineRule="auto"/>
        <w:ind w:firstLine="360"/>
        <w:rPr>
          <w:rFonts w:cstheme="minorHAnsi"/>
          <w:bCs/>
        </w:rPr>
      </w:pPr>
      <w:r>
        <w:rPr>
          <w:rFonts w:cstheme="minorHAnsi"/>
          <w:bCs/>
        </w:rPr>
        <w:t>Mindfulness g</w:t>
      </w:r>
      <w:r w:rsidR="006641E8" w:rsidRPr="00584488">
        <w:rPr>
          <w:rFonts w:cstheme="minorHAnsi"/>
          <w:bCs/>
        </w:rPr>
        <w:t>roups were facilitated by two qualified clinical psychologists (LE and JK), with weekly supervision from a Consultant Clinical Psychologist (PC).</w:t>
      </w:r>
      <w:r w:rsidR="006641E8" w:rsidRPr="00584488">
        <w:rPr>
          <w:rFonts w:cstheme="minorHAnsi"/>
        </w:rPr>
        <w:t xml:space="preserve">  The intervention was delivered </w:t>
      </w:r>
      <w:r w:rsidR="006641E8">
        <w:rPr>
          <w:rFonts w:cstheme="minorHAnsi"/>
        </w:rPr>
        <w:t xml:space="preserve">using our published manualised protocol (Chadwick., 2006), consisting of </w:t>
      </w:r>
      <w:r w:rsidR="006641E8" w:rsidRPr="00584488">
        <w:rPr>
          <w:rFonts w:cstheme="minorHAnsi"/>
        </w:rPr>
        <w:t>12 sessions each lasting 90 minutes.  The first half of each session was devoted to formal mindfulness practice (10 minutes) and guided enquiry, and discussion of key mindfulness principles (acceptance, kindness, recognising and letting go of habitual reactions). The second half of sessions focussed on understanding paranoia and its impact, building positive self-schematic experience, and positive behaviour change – with mindfulness principles informing all these areas. The protocol has previously been shown to benefit people with schizophrenia experiencing distressing voices (</w:t>
      </w:r>
      <w:proofErr w:type="spellStart"/>
      <w:r w:rsidR="006641E8" w:rsidRPr="00584488">
        <w:rPr>
          <w:rFonts w:cstheme="minorHAnsi"/>
        </w:rPr>
        <w:t>Dannahy</w:t>
      </w:r>
      <w:proofErr w:type="spellEnd"/>
      <w:r w:rsidR="006641E8" w:rsidRPr="00584488">
        <w:rPr>
          <w:rFonts w:cstheme="minorHAnsi"/>
        </w:rPr>
        <w:t xml:space="preserve"> et al., 2011</w:t>
      </w:r>
      <w:r w:rsidR="006641E8">
        <w:rPr>
          <w:rFonts w:cstheme="minorHAnsi"/>
        </w:rPr>
        <w:t>; Chadwick et al., 2016</w:t>
      </w:r>
      <w:r w:rsidR="006641E8" w:rsidRPr="00584488">
        <w:rPr>
          <w:rFonts w:cstheme="minorHAnsi"/>
        </w:rPr>
        <w:t xml:space="preserve">) and people diagnosed with chronic depression (Strauss et al., 2012). </w:t>
      </w:r>
    </w:p>
    <w:p w14:paraId="7E762BCD" w14:textId="77777777" w:rsidR="006641E8" w:rsidRDefault="006641E8" w:rsidP="006641E8">
      <w:pPr>
        <w:autoSpaceDE w:val="0"/>
        <w:autoSpaceDN w:val="0"/>
        <w:adjustRightInd w:val="0"/>
        <w:spacing w:after="0" w:line="360" w:lineRule="auto"/>
        <w:rPr>
          <w:rFonts w:cstheme="minorHAnsi"/>
          <w:i/>
        </w:rPr>
      </w:pPr>
    </w:p>
    <w:p w14:paraId="428B05F6" w14:textId="77777777" w:rsidR="00E2308D" w:rsidRDefault="00E2308D" w:rsidP="006641E8">
      <w:pPr>
        <w:autoSpaceDE w:val="0"/>
        <w:autoSpaceDN w:val="0"/>
        <w:adjustRightInd w:val="0"/>
        <w:spacing w:after="0" w:line="360" w:lineRule="auto"/>
        <w:rPr>
          <w:rFonts w:cstheme="minorHAnsi"/>
          <w:i/>
        </w:rPr>
      </w:pPr>
    </w:p>
    <w:p w14:paraId="167B54AE" w14:textId="3BFF0C63" w:rsidR="006641E8" w:rsidRPr="00584488" w:rsidRDefault="006641E8" w:rsidP="006641E8">
      <w:pPr>
        <w:autoSpaceDE w:val="0"/>
        <w:autoSpaceDN w:val="0"/>
        <w:adjustRightInd w:val="0"/>
        <w:spacing w:after="0" w:line="360" w:lineRule="auto"/>
        <w:rPr>
          <w:rFonts w:cstheme="minorHAnsi"/>
          <w:i/>
        </w:rPr>
      </w:pPr>
      <w:r w:rsidRPr="00584488">
        <w:rPr>
          <w:rFonts w:cstheme="minorHAnsi"/>
          <w:i/>
        </w:rPr>
        <w:t>Therapy fidelity</w:t>
      </w:r>
    </w:p>
    <w:p w14:paraId="146C5EC5" w14:textId="1170D011" w:rsidR="006641E8" w:rsidRPr="00584488" w:rsidRDefault="006641E8" w:rsidP="006641E8">
      <w:pPr>
        <w:spacing w:after="0" w:line="360" w:lineRule="auto"/>
        <w:ind w:firstLine="720"/>
        <w:rPr>
          <w:rFonts w:eastAsia="Calibri" w:cstheme="minorHAnsi"/>
        </w:rPr>
      </w:pPr>
      <w:r w:rsidRPr="00584488">
        <w:rPr>
          <w:rFonts w:cstheme="minorHAnsi"/>
        </w:rPr>
        <w:t>T</w:t>
      </w:r>
      <w:r w:rsidRPr="00584488">
        <w:rPr>
          <w:rFonts w:cstheme="minorHAnsi"/>
          <w:bCs/>
        </w:rPr>
        <w:t>herapy fidelity was assessed by participants using a checklist indicating adherence to four key elements of the therapy protocol for that week (e.g. Session 3: ‘we did a mindfulness practice’; ‘we talked about what we noticed after the mindfulness practice</w:t>
      </w:r>
      <w:r w:rsidR="00396FFF">
        <w:rPr>
          <w:rFonts w:cstheme="minorHAnsi"/>
          <w:bCs/>
        </w:rPr>
        <w:t>’</w:t>
      </w:r>
      <w:r w:rsidRPr="00584488">
        <w:rPr>
          <w:rFonts w:cstheme="minorHAnsi"/>
          <w:bCs/>
        </w:rPr>
        <w:t xml:space="preserve">; ‘we talked about distressing beliefs using an ABC table’; ‘we were asked about what we learned from today’s session’).  Checklists were administered by the study research assistant (without the group therapists being present) immediately after </w:t>
      </w:r>
      <w:r>
        <w:rPr>
          <w:rFonts w:cstheme="minorHAnsi"/>
          <w:bCs/>
        </w:rPr>
        <w:t>three randomly selected</w:t>
      </w:r>
      <w:r w:rsidRPr="00584488">
        <w:rPr>
          <w:rFonts w:cstheme="minorHAnsi"/>
          <w:bCs/>
        </w:rPr>
        <w:t xml:space="preserve"> </w:t>
      </w:r>
      <w:r>
        <w:rPr>
          <w:rFonts w:cstheme="minorHAnsi"/>
          <w:bCs/>
        </w:rPr>
        <w:t xml:space="preserve">therapy </w:t>
      </w:r>
      <w:r w:rsidRPr="00584488">
        <w:rPr>
          <w:rFonts w:cstheme="minorHAnsi"/>
          <w:bCs/>
        </w:rPr>
        <w:t>sessions</w:t>
      </w:r>
      <w:r>
        <w:rPr>
          <w:rFonts w:cstheme="minorHAnsi"/>
          <w:bCs/>
        </w:rPr>
        <w:t>.</w:t>
      </w:r>
      <w:r w:rsidRPr="00584488">
        <w:rPr>
          <w:rFonts w:cstheme="minorHAnsi"/>
          <w:bCs/>
        </w:rPr>
        <w:t xml:space="preserve"> </w:t>
      </w:r>
      <w:r w:rsidR="00C029D3">
        <w:rPr>
          <w:rFonts w:cstheme="minorHAnsi"/>
          <w:bCs/>
        </w:rPr>
        <w:t>Fidelity was reported as 100% for all three sessions.</w:t>
      </w:r>
    </w:p>
    <w:p w14:paraId="5E9586C0" w14:textId="77777777" w:rsidR="001312B6" w:rsidRPr="006641E8" w:rsidRDefault="001312B6" w:rsidP="008A0D0A">
      <w:pPr>
        <w:spacing w:line="480" w:lineRule="auto"/>
        <w:rPr>
          <w:rFonts w:cstheme="minorHAnsi"/>
          <w:iCs/>
        </w:rPr>
      </w:pPr>
    </w:p>
    <w:p w14:paraId="48642933" w14:textId="77777777" w:rsidR="001312B6" w:rsidRDefault="001312B6" w:rsidP="008A0D0A">
      <w:pPr>
        <w:spacing w:line="480" w:lineRule="auto"/>
        <w:rPr>
          <w:rFonts w:cstheme="minorHAnsi"/>
          <w:i/>
        </w:rPr>
      </w:pPr>
    </w:p>
    <w:p w14:paraId="5F973B0B" w14:textId="77777777" w:rsidR="00C029D3" w:rsidRDefault="00C029D3" w:rsidP="008A0D0A">
      <w:pPr>
        <w:spacing w:line="480" w:lineRule="auto"/>
        <w:rPr>
          <w:rFonts w:cstheme="minorHAnsi"/>
          <w:b/>
          <w:bCs/>
          <w:iCs/>
        </w:rPr>
      </w:pPr>
    </w:p>
    <w:p w14:paraId="17C9E867" w14:textId="2FEAD918" w:rsidR="00865447" w:rsidRDefault="00865447" w:rsidP="008A0D0A">
      <w:pPr>
        <w:spacing w:line="480" w:lineRule="auto"/>
        <w:rPr>
          <w:rFonts w:cstheme="minorHAnsi"/>
          <w:b/>
          <w:bCs/>
          <w:iCs/>
        </w:rPr>
      </w:pPr>
      <w:r>
        <w:rPr>
          <w:rFonts w:cstheme="minorHAnsi"/>
          <w:b/>
          <w:bCs/>
          <w:iCs/>
        </w:rPr>
        <w:t>Results and Discussion</w:t>
      </w:r>
    </w:p>
    <w:p w14:paraId="235D0303" w14:textId="3E036AAD" w:rsidR="00C31276" w:rsidRPr="00C31276" w:rsidRDefault="00C31276" w:rsidP="008A0D0A">
      <w:pPr>
        <w:spacing w:line="480" w:lineRule="auto"/>
        <w:rPr>
          <w:rFonts w:cstheme="minorHAnsi"/>
          <w:iCs/>
        </w:rPr>
      </w:pPr>
      <w:r>
        <w:rPr>
          <w:rFonts w:cstheme="minorHAnsi"/>
          <w:b/>
          <w:bCs/>
          <w:iCs/>
        </w:rPr>
        <w:tab/>
      </w:r>
      <w:r>
        <w:rPr>
          <w:rFonts w:cstheme="minorHAnsi"/>
          <w:iCs/>
        </w:rPr>
        <w:t>Descriptive statistics on the study measures are summarised in Table 2.</w:t>
      </w:r>
    </w:p>
    <w:p w14:paraId="067A2F23" w14:textId="77777777" w:rsidR="00C31276" w:rsidRDefault="00C31276" w:rsidP="008A0D0A">
      <w:pPr>
        <w:spacing w:line="480" w:lineRule="auto"/>
        <w:rPr>
          <w:rFonts w:cstheme="minorHAnsi"/>
          <w:i/>
        </w:rPr>
      </w:pPr>
    </w:p>
    <w:p w14:paraId="7B6FF8E0" w14:textId="24204EC2" w:rsidR="004715AC" w:rsidRDefault="008A0D0A" w:rsidP="008A0D0A">
      <w:pPr>
        <w:spacing w:line="480" w:lineRule="auto"/>
        <w:rPr>
          <w:rFonts w:cstheme="minorHAnsi"/>
          <w:i/>
        </w:rPr>
      </w:pPr>
      <w:r>
        <w:rPr>
          <w:rFonts w:cstheme="minorHAnsi"/>
          <w:i/>
        </w:rPr>
        <w:t>Self</w:t>
      </w:r>
      <w:r w:rsidR="00414881">
        <w:rPr>
          <w:rFonts w:cstheme="minorHAnsi"/>
          <w:i/>
        </w:rPr>
        <w:t>-</w:t>
      </w:r>
      <w:r>
        <w:rPr>
          <w:rFonts w:cstheme="minorHAnsi"/>
          <w:i/>
        </w:rPr>
        <w:t xml:space="preserve">Structure – association with </w:t>
      </w:r>
      <w:r w:rsidR="000574B8">
        <w:rPr>
          <w:rFonts w:cstheme="minorHAnsi"/>
          <w:i/>
        </w:rPr>
        <w:t xml:space="preserve">delusion </w:t>
      </w:r>
      <w:r>
        <w:rPr>
          <w:rFonts w:cstheme="minorHAnsi"/>
          <w:i/>
        </w:rPr>
        <w:t>symptom severity</w:t>
      </w:r>
      <w:r w:rsidR="000574B8">
        <w:rPr>
          <w:rFonts w:cstheme="minorHAnsi"/>
          <w:i/>
        </w:rPr>
        <w:t xml:space="preserve"> and depression</w:t>
      </w:r>
    </w:p>
    <w:p w14:paraId="53BAB610" w14:textId="2BDDBA63" w:rsidR="008A0D0A" w:rsidRDefault="008A0D0A" w:rsidP="008A0D0A">
      <w:pPr>
        <w:spacing w:line="480" w:lineRule="auto"/>
        <w:rPr>
          <w:rFonts w:cstheme="minorHAnsi"/>
        </w:rPr>
      </w:pPr>
      <w:r>
        <w:rPr>
          <w:rFonts w:cstheme="minorHAnsi"/>
        </w:rPr>
        <w:tab/>
        <w:t>We conducted correlational analyses to examine whether self-structure indices were related to delusion symptom severity</w:t>
      </w:r>
      <w:r w:rsidR="007E791C">
        <w:rPr>
          <w:rFonts w:cstheme="minorHAnsi"/>
        </w:rPr>
        <w:t xml:space="preserve"> and depression</w:t>
      </w:r>
      <w:r>
        <w:rPr>
          <w:rFonts w:cstheme="minorHAnsi"/>
        </w:rPr>
        <w:t>.  There were no significant associations between delusion severity (measured using the PSYRATS Delusion Subscale) and any of the self-structure indices</w:t>
      </w:r>
      <w:r w:rsidR="00384EE1">
        <w:rPr>
          <w:rFonts w:cstheme="minorHAnsi"/>
        </w:rPr>
        <w:t xml:space="preserve">.  The only significant association was between depression and </w:t>
      </w:r>
      <w:r w:rsidR="007B3911">
        <w:rPr>
          <w:rFonts w:cstheme="minorHAnsi"/>
        </w:rPr>
        <w:t>proportion of negative attributes (see Table 2).</w:t>
      </w:r>
      <w:r>
        <w:rPr>
          <w:rFonts w:cstheme="minorHAnsi"/>
        </w:rPr>
        <w:t xml:space="preserve"> </w:t>
      </w:r>
    </w:p>
    <w:p w14:paraId="26D34760" w14:textId="4F1BE2D4" w:rsidR="000574B8" w:rsidRPr="008C3932" w:rsidRDefault="000574B8" w:rsidP="000574B8">
      <w:pPr>
        <w:pBdr>
          <w:top w:val="single" w:sz="4" w:space="1" w:color="auto"/>
          <w:bottom w:val="single" w:sz="4" w:space="1" w:color="auto"/>
        </w:pBdr>
        <w:spacing w:line="360" w:lineRule="auto"/>
        <w:jc w:val="center"/>
        <w:rPr>
          <w:rFonts w:ascii="Times New Roman" w:eastAsia="DengXian" w:hAnsi="Times New Roman" w:cs="Times New Roman"/>
          <w:i/>
          <w:iCs/>
          <w:color w:val="000000" w:themeColor="text1"/>
          <w:sz w:val="24"/>
          <w:szCs w:val="24"/>
          <w:lang w:eastAsia="zh-CN"/>
        </w:rPr>
      </w:pPr>
      <w:r w:rsidRPr="008C3932">
        <w:rPr>
          <w:rFonts w:ascii="Times New Roman" w:eastAsia="DengXian" w:hAnsi="Times New Roman" w:cs="Times New Roman"/>
          <w:i/>
          <w:iCs/>
          <w:color w:val="000000" w:themeColor="text1"/>
          <w:sz w:val="24"/>
          <w:szCs w:val="24"/>
          <w:lang w:eastAsia="zh-CN"/>
        </w:rPr>
        <w:t xml:space="preserve">Insert Table </w:t>
      </w:r>
      <w:r>
        <w:rPr>
          <w:rFonts w:ascii="Times New Roman" w:eastAsia="DengXian" w:hAnsi="Times New Roman" w:cs="Times New Roman"/>
          <w:i/>
          <w:iCs/>
          <w:color w:val="000000" w:themeColor="text1"/>
          <w:sz w:val="24"/>
          <w:szCs w:val="24"/>
          <w:lang w:eastAsia="zh-CN"/>
        </w:rPr>
        <w:t>2</w:t>
      </w:r>
      <w:r w:rsidRPr="008C3932">
        <w:rPr>
          <w:rFonts w:ascii="Times New Roman" w:eastAsia="DengXian" w:hAnsi="Times New Roman" w:cs="Times New Roman"/>
          <w:i/>
          <w:iCs/>
          <w:color w:val="000000" w:themeColor="text1"/>
          <w:sz w:val="24"/>
          <w:szCs w:val="24"/>
          <w:lang w:eastAsia="zh-CN"/>
        </w:rPr>
        <w:t xml:space="preserve"> Here.</w:t>
      </w:r>
    </w:p>
    <w:p w14:paraId="1265F715" w14:textId="77777777" w:rsidR="000574B8" w:rsidRPr="008C3932" w:rsidRDefault="000574B8" w:rsidP="000574B8">
      <w:pPr>
        <w:spacing w:line="360" w:lineRule="auto"/>
        <w:rPr>
          <w:rFonts w:ascii="Times New Roman" w:eastAsia="Calibri" w:hAnsi="Times New Roman" w:cs="Times New Roman"/>
          <w:color w:val="000000" w:themeColor="text1"/>
          <w:sz w:val="24"/>
          <w:szCs w:val="24"/>
        </w:rPr>
      </w:pPr>
    </w:p>
    <w:p w14:paraId="2B46208E" w14:textId="77777777" w:rsidR="000574B8" w:rsidRPr="008A0D0A" w:rsidRDefault="000574B8" w:rsidP="008A0D0A">
      <w:pPr>
        <w:spacing w:line="480" w:lineRule="auto"/>
        <w:rPr>
          <w:rFonts w:cstheme="minorHAnsi"/>
        </w:rPr>
      </w:pPr>
    </w:p>
    <w:p w14:paraId="5F465CA0" w14:textId="7B070390" w:rsidR="002E574A" w:rsidRPr="002E574A" w:rsidRDefault="002E574A" w:rsidP="002E574A">
      <w:pPr>
        <w:spacing w:line="480" w:lineRule="auto"/>
        <w:rPr>
          <w:rFonts w:cstheme="minorHAnsi"/>
          <w:i/>
        </w:rPr>
      </w:pPr>
      <w:r>
        <w:rPr>
          <w:rFonts w:cstheme="minorHAnsi"/>
          <w:i/>
        </w:rPr>
        <w:t>Self</w:t>
      </w:r>
      <w:r w:rsidR="00414881">
        <w:rPr>
          <w:rFonts w:cstheme="minorHAnsi"/>
          <w:i/>
        </w:rPr>
        <w:t>-</w:t>
      </w:r>
      <w:r>
        <w:rPr>
          <w:rFonts w:cstheme="minorHAnsi"/>
          <w:i/>
        </w:rPr>
        <w:t>Structure following mindfulness or treatment as usual</w:t>
      </w:r>
    </w:p>
    <w:p w14:paraId="794C8957" w14:textId="28E3B30A" w:rsidR="001F0CFB" w:rsidRPr="00C1508C" w:rsidRDefault="001F0CFB" w:rsidP="001F0CFB">
      <w:pPr>
        <w:spacing w:line="480" w:lineRule="auto"/>
        <w:ind w:firstLine="720"/>
        <w:rPr>
          <w:rFonts w:cstheme="minorHAnsi"/>
        </w:rPr>
      </w:pPr>
      <w:r>
        <w:rPr>
          <w:rFonts w:cstheme="minorHAnsi"/>
        </w:rPr>
        <w:t xml:space="preserve">Descriptive statistics, effect sizes and 95% confidence intervals for the self-structure indices both as a within-subject comparison (pre-post in the mindfulness condition only), and as a between-subject comparison (mindfulness vs treatment as usual at post intervention) are shown in Table </w:t>
      </w:r>
      <w:r w:rsidR="00C81562">
        <w:rPr>
          <w:rFonts w:cstheme="minorHAnsi"/>
        </w:rPr>
        <w:t>3</w:t>
      </w:r>
      <w:r>
        <w:rPr>
          <w:rFonts w:cstheme="minorHAnsi"/>
        </w:rPr>
        <w:t>.  Within-subject comparisons i</w:t>
      </w:r>
      <w:r w:rsidRPr="00C1508C">
        <w:rPr>
          <w:rFonts w:cstheme="minorHAnsi"/>
        </w:rPr>
        <w:t>n the mindfulness group only</w:t>
      </w:r>
      <w:r>
        <w:rPr>
          <w:rFonts w:cstheme="minorHAnsi"/>
        </w:rPr>
        <w:t xml:space="preserve"> showed</w:t>
      </w:r>
      <w:r w:rsidRPr="00C1508C">
        <w:rPr>
          <w:rFonts w:cstheme="minorHAnsi"/>
        </w:rPr>
        <w:t xml:space="preserve"> large effect sizes </w:t>
      </w:r>
      <w:r>
        <w:rPr>
          <w:rFonts w:cstheme="minorHAnsi"/>
        </w:rPr>
        <w:t xml:space="preserve">for reductions in both compartmentalisation </w:t>
      </w:r>
      <w:r w:rsidRPr="00C1508C">
        <w:rPr>
          <w:rFonts w:cstheme="minorHAnsi"/>
        </w:rPr>
        <w:t>and p</w:t>
      </w:r>
      <w:r>
        <w:rPr>
          <w:rFonts w:cstheme="minorHAnsi"/>
        </w:rPr>
        <w:t>roportion</w:t>
      </w:r>
      <w:r w:rsidRPr="00C1508C">
        <w:rPr>
          <w:rFonts w:cstheme="minorHAnsi"/>
        </w:rPr>
        <w:t xml:space="preserve"> of negative attributes</w:t>
      </w:r>
      <w:r>
        <w:rPr>
          <w:rFonts w:cstheme="minorHAnsi"/>
        </w:rPr>
        <w:t xml:space="preserve"> across self-aspects.  There was a small effect size showing an increase in differential importance, suggesting that </w:t>
      </w:r>
      <w:r w:rsidRPr="00780961">
        <w:rPr>
          <w:rFonts w:eastAsia="Calibri" w:cstheme="minorHAnsi"/>
        </w:rPr>
        <w:t xml:space="preserve">positive self-aspects </w:t>
      </w:r>
      <w:r>
        <w:rPr>
          <w:rFonts w:eastAsia="Calibri" w:cstheme="minorHAnsi"/>
        </w:rPr>
        <w:t>were</w:t>
      </w:r>
      <w:r w:rsidRPr="00780961">
        <w:rPr>
          <w:rFonts w:eastAsia="Calibri" w:cstheme="minorHAnsi"/>
        </w:rPr>
        <w:t xml:space="preserve"> given more importance than negative ones</w:t>
      </w:r>
      <w:r>
        <w:rPr>
          <w:rFonts w:cstheme="minorHAnsi"/>
        </w:rPr>
        <w:t xml:space="preserve"> at post intervention.   B</w:t>
      </w:r>
      <w:r w:rsidRPr="00C1508C">
        <w:rPr>
          <w:rFonts w:cstheme="minorHAnsi"/>
        </w:rPr>
        <w:t>etween-subjects comparison</w:t>
      </w:r>
      <w:r>
        <w:rPr>
          <w:rFonts w:cstheme="minorHAnsi"/>
        </w:rPr>
        <w:t>s</w:t>
      </w:r>
      <w:r w:rsidRPr="00C1508C">
        <w:rPr>
          <w:rFonts w:cstheme="minorHAnsi"/>
        </w:rPr>
        <w:t xml:space="preserve"> at post intervention</w:t>
      </w:r>
      <w:r>
        <w:rPr>
          <w:rFonts w:cstheme="minorHAnsi"/>
        </w:rPr>
        <w:t xml:space="preserve"> showed a medium effect on proportion</w:t>
      </w:r>
      <w:r w:rsidRPr="00C1508C">
        <w:rPr>
          <w:rFonts w:cstheme="minorHAnsi"/>
        </w:rPr>
        <w:t xml:space="preserve"> of negative attributes, </w:t>
      </w:r>
      <w:r>
        <w:rPr>
          <w:rFonts w:cstheme="minorHAnsi"/>
        </w:rPr>
        <w:t>and small effects on</w:t>
      </w:r>
      <w:r w:rsidRPr="00C1508C">
        <w:rPr>
          <w:rFonts w:cstheme="minorHAnsi"/>
        </w:rPr>
        <w:t xml:space="preserve"> </w:t>
      </w:r>
      <w:r>
        <w:rPr>
          <w:rFonts w:cstheme="minorHAnsi"/>
        </w:rPr>
        <w:t>compartmentalisation</w:t>
      </w:r>
      <w:r w:rsidRPr="00C1508C">
        <w:rPr>
          <w:rFonts w:cstheme="minorHAnsi"/>
        </w:rPr>
        <w:t xml:space="preserve"> and differential importance</w:t>
      </w:r>
      <w:r>
        <w:rPr>
          <w:rFonts w:cstheme="minorHAnsi"/>
        </w:rPr>
        <w:t xml:space="preserve"> at post intervention between the mindfulness group and controls</w:t>
      </w:r>
      <w:r w:rsidRPr="00C1508C">
        <w:rPr>
          <w:rFonts w:cstheme="minorHAnsi"/>
        </w:rPr>
        <w:t xml:space="preserve">.  </w:t>
      </w:r>
    </w:p>
    <w:p w14:paraId="13A0FA76" w14:textId="77777777" w:rsidR="00F11566" w:rsidRDefault="00F11566" w:rsidP="00F11566">
      <w:pPr>
        <w:spacing w:line="240" w:lineRule="auto"/>
        <w:rPr>
          <w:rFonts w:cstheme="minorHAnsi"/>
        </w:rPr>
      </w:pPr>
    </w:p>
    <w:p w14:paraId="21B533AC" w14:textId="3E27B9E8" w:rsidR="00F11566" w:rsidRPr="008C3932" w:rsidRDefault="00F11566" w:rsidP="00F11566">
      <w:pPr>
        <w:pBdr>
          <w:top w:val="single" w:sz="4" w:space="1" w:color="auto"/>
          <w:bottom w:val="single" w:sz="4" w:space="1" w:color="auto"/>
        </w:pBdr>
        <w:spacing w:line="360" w:lineRule="auto"/>
        <w:jc w:val="center"/>
        <w:rPr>
          <w:rFonts w:ascii="Times New Roman" w:eastAsia="DengXian" w:hAnsi="Times New Roman" w:cs="Times New Roman"/>
          <w:i/>
          <w:iCs/>
          <w:color w:val="000000" w:themeColor="text1"/>
          <w:sz w:val="24"/>
          <w:szCs w:val="24"/>
          <w:lang w:eastAsia="zh-CN"/>
        </w:rPr>
      </w:pPr>
      <w:r w:rsidRPr="008C3932">
        <w:rPr>
          <w:rFonts w:ascii="Times New Roman" w:eastAsia="DengXian" w:hAnsi="Times New Roman" w:cs="Times New Roman"/>
          <w:i/>
          <w:iCs/>
          <w:color w:val="000000" w:themeColor="text1"/>
          <w:sz w:val="24"/>
          <w:szCs w:val="24"/>
          <w:lang w:eastAsia="zh-CN"/>
        </w:rPr>
        <w:t xml:space="preserve">Insert Table </w:t>
      </w:r>
      <w:r w:rsidR="000715B2">
        <w:rPr>
          <w:rFonts w:ascii="Times New Roman" w:eastAsia="DengXian" w:hAnsi="Times New Roman" w:cs="Times New Roman"/>
          <w:i/>
          <w:iCs/>
          <w:color w:val="000000" w:themeColor="text1"/>
          <w:sz w:val="24"/>
          <w:szCs w:val="24"/>
          <w:lang w:eastAsia="zh-CN"/>
        </w:rPr>
        <w:t>3</w:t>
      </w:r>
      <w:r w:rsidRPr="008C3932">
        <w:rPr>
          <w:rFonts w:ascii="Times New Roman" w:eastAsia="DengXian" w:hAnsi="Times New Roman" w:cs="Times New Roman"/>
          <w:i/>
          <w:iCs/>
          <w:color w:val="000000" w:themeColor="text1"/>
          <w:sz w:val="24"/>
          <w:szCs w:val="24"/>
          <w:lang w:eastAsia="zh-CN"/>
        </w:rPr>
        <w:t xml:space="preserve"> Here.</w:t>
      </w:r>
    </w:p>
    <w:p w14:paraId="3F8C06CE" w14:textId="77777777" w:rsidR="00F11566" w:rsidRPr="008C3932" w:rsidRDefault="00F11566" w:rsidP="00F11566">
      <w:pPr>
        <w:spacing w:line="360" w:lineRule="auto"/>
        <w:ind w:firstLine="720"/>
        <w:rPr>
          <w:rFonts w:ascii="Times New Roman" w:hAnsi="Times New Roman" w:cs="Times New Roman"/>
          <w:color w:val="000000" w:themeColor="text1"/>
          <w:sz w:val="24"/>
          <w:szCs w:val="24"/>
        </w:rPr>
      </w:pPr>
    </w:p>
    <w:p w14:paraId="0C051B52" w14:textId="79C403E5" w:rsidR="00695B21" w:rsidRPr="00B2228E" w:rsidRDefault="00865447" w:rsidP="00B2228E">
      <w:pPr>
        <w:spacing w:line="480" w:lineRule="auto"/>
        <w:jc w:val="center"/>
        <w:rPr>
          <w:rFonts w:cstheme="minorHAnsi"/>
          <w:b/>
        </w:rPr>
      </w:pPr>
      <w:r>
        <w:rPr>
          <w:rFonts w:cstheme="minorHAnsi"/>
          <w:b/>
        </w:rPr>
        <w:t xml:space="preserve">General </w:t>
      </w:r>
      <w:r w:rsidR="00695B21" w:rsidRPr="00B2228E">
        <w:rPr>
          <w:rFonts w:cstheme="minorHAnsi"/>
          <w:b/>
        </w:rPr>
        <w:t>Discussion</w:t>
      </w:r>
    </w:p>
    <w:p w14:paraId="12F4C205" w14:textId="74442B53" w:rsidR="00451F87" w:rsidRDefault="006C5FBA" w:rsidP="00B41E79">
      <w:pPr>
        <w:spacing w:line="480" w:lineRule="auto"/>
        <w:ind w:firstLine="720"/>
        <w:rPr>
          <w:rFonts w:cstheme="minorHAnsi"/>
        </w:rPr>
      </w:pPr>
      <w:r>
        <w:rPr>
          <w:rFonts w:cstheme="minorHAnsi"/>
        </w:rPr>
        <w:t xml:space="preserve">Our </w:t>
      </w:r>
      <w:r w:rsidR="00865447">
        <w:rPr>
          <w:rFonts w:cstheme="minorHAnsi"/>
        </w:rPr>
        <w:t xml:space="preserve">two </w:t>
      </w:r>
      <w:r>
        <w:rPr>
          <w:rFonts w:cstheme="minorHAnsi"/>
        </w:rPr>
        <w:t>stud</w:t>
      </w:r>
      <w:r w:rsidR="00865447">
        <w:rPr>
          <w:rFonts w:cstheme="minorHAnsi"/>
        </w:rPr>
        <w:t>ies</w:t>
      </w:r>
      <w:r>
        <w:rPr>
          <w:rFonts w:cstheme="minorHAnsi"/>
        </w:rPr>
        <w:t xml:space="preserve"> </w:t>
      </w:r>
      <w:r w:rsidR="00CC6E96">
        <w:rPr>
          <w:rFonts w:cstheme="minorHAnsi"/>
        </w:rPr>
        <w:t xml:space="preserve">make </w:t>
      </w:r>
      <w:r w:rsidR="0080014B">
        <w:rPr>
          <w:rFonts w:cstheme="minorHAnsi"/>
        </w:rPr>
        <w:t>important</w:t>
      </w:r>
      <w:r w:rsidR="00CC6E96">
        <w:rPr>
          <w:rFonts w:cstheme="minorHAnsi"/>
        </w:rPr>
        <w:t xml:space="preserve"> novel </w:t>
      </w:r>
      <w:r w:rsidR="000A1D7A">
        <w:rPr>
          <w:rFonts w:cstheme="minorHAnsi"/>
        </w:rPr>
        <w:t>contributions</w:t>
      </w:r>
      <w:r w:rsidR="00CC6E96">
        <w:rPr>
          <w:rFonts w:cstheme="minorHAnsi"/>
        </w:rPr>
        <w:t xml:space="preserve">. </w:t>
      </w:r>
      <w:r w:rsidR="008A067A">
        <w:rPr>
          <w:rFonts w:cstheme="minorHAnsi"/>
        </w:rPr>
        <w:t xml:space="preserve">Study one </w:t>
      </w:r>
      <w:r w:rsidR="000A1D7A">
        <w:rPr>
          <w:rFonts w:cstheme="minorHAnsi"/>
        </w:rPr>
        <w:t>assesse</w:t>
      </w:r>
      <w:r w:rsidR="008A067A">
        <w:rPr>
          <w:rFonts w:cstheme="minorHAnsi"/>
        </w:rPr>
        <w:t xml:space="preserve">d </w:t>
      </w:r>
      <w:r w:rsidR="000A1D7A">
        <w:rPr>
          <w:rFonts w:cstheme="minorHAnsi"/>
        </w:rPr>
        <w:t>if</w:t>
      </w:r>
      <w:r w:rsidR="00742AC9">
        <w:rPr>
          <w:rFonts w:cstheme="minorHAnsi"/>
        </w:rPr>
        <w:t>,</w:t>
      </w:r>
      <w:r w:rsidR="000A1D7A">
        <w:rPr>
          <w:rFonts w:cstheme="minorHAnsi"/>
        </w:rPr>
        <w:t xml:space="preserve"> </w:t>
      </w:r>
      <w:r w:rsidR="00F64BBE">
        <w:rPr>
          <w:rFonts w:cstheme="minorHAnsi"/>
        </w:rPr>
        <w:t>and in what ways</w:t>
      </w:r>
      <w:r w:rsidR="00742AC9">
        <w:rPr>
          <w:rFonts w:cstheme="minorHAnsi"/>
        </w:rPr>
        <w:t>,</w:t>
      </w:r>
      <w:r w:rsidR="00F64BBE">
        <w:rPr>
          <w:rFonts w:cstheme="minorHAnsi"/>
        </w:rPr>
        <w:t xml:space="preserve"> </w:t>
      </w:r>
      <w:r w:rsidR="00522872">
        <w:rPr>
          <w:rFonts w:cstheme="minorHAnsi"/>
        </w:rPr>
        <w:t>s</w:t>
      </w:r>
      <w:r>
        <w:rPr>
          <w:rFonts w:cstheme="minorHAnsi"/>
        </w:rPr>
        <w:t>elf</w:t>
      </w:r>
      <w:r w:rsidR="00522872">
        <w:rPr>
          <w:rFonts w:cstheme="minorHAnsi"/>
        </w:rPr>
        <w:t>-</w:t>
      </w:r>
      <w:r>
        <w:rPr>
          <w:rFonts w:cstheme="minorHAnsi"/>
        </w:rPr>
        <w:t>structure</w:t>
      </w:r>
      <w:r w:rsidR="00522872">
        <w:rPr>
          <w:rFonts w:cstheme="minorHAnsi"/>
        </w:rPr>
        <w:t xml:space="preserve"> differ</w:t>
      </w:r>
      <w:r w:rsidR="00D74FF8">
        <w:rPr>
          <w:rFonts w:cstheme="minorHAnsi"/>
        </w:rPr>
        <w:t>s</w:t>
      </w:r>
      <w:r w:rsidR="00EE5A5A">
        <w:rPr>
          <w:rFonts w:cstheme="minorHAnsi"/>
        </w:rPr>
        <w:t xml:space="preserve"> between people with persecutory delusions </w:t>
      </w:r>
      <w:r w:rsidR="00D728ED">
        <w:rPr>
          <w:rFonts w:cstheme="minorHAnsi"/>
        </w:rPr>
        <w:t xml:space="preserve">in the context of a schizophrenia-spectrum diagnosis </w:t>
      </w:r>
      <w:r w:rsidR="00EE5A5A">
        <w:rPr>
          <w:rFonts w:cstheme="minorHAnsi"/>
        </w:rPr>
        <w:t>and healthy controls</w:t>
      </w:r>
      <w:r w:rsidR="00627CE1">
        <w:rPr>
          <w:rFonts w:cstheme="minorHAnsi"/>
        </w:rPr>
        <w:t>.</w:t>
      </w:r>
      <w:r w:rsidR="00F64BBE">
        <w:rPr>
          <w:rFonts w:cstheme="minorHAnsi"/>
        </w:rPr>
        <w:t xml:space="preserve"> </w:t>
      </w:r>
      <w:r w:rsidR="00073114">
        <w:rPr>
          <w:rFonts w:cstheme="minorHAnsi"/>
        </w:rPr>
        <w:t xml:space="preserve">Study two </w:t>
      </w:r>
      <w:r w:rsidR="00F64BBE">
        <w:rPr>
          <w:rFonts w:cstheme="minorHAnsi"/>
        </w:rPr>
        <w:t>explore</w:t>
      </w:r>
      <w:r w:rsidR="00073114">
        <w:rPr>
          <w:rFonts w:cstheme="minorHAnsi"/>
        </w:rPr>
        <w:t>d</w:t>
      </w:r>
      <w:r w:rsidR="00F64BBE">
        <w:rPr>
          <w:rFonts w:cstheme="minorHAnsi"/>
        </w:rPr>
        <w:t xml:space="preserve"> a related question of whether </w:t>
      </w:r>
      <w:r w:rsidR="00015056">
        <w:rPr>
          <w:rFonts w:cstheme="minorHAnsi"/>
        </w:rPr>
        <w:t>with</w:t>
      </w:r>
      <w:r w:rsidR="00742AC9">
        <w:rPr>
          <w:rFonts w:cstheme="minorHAnsi"/>
        </w:rPr>
        <w:t>in the clinical sample</w:t>
      </w:r>
      <w:r w:rsidR="006F39C4">
        <w:rPr>
          <w:rFonts w:cstheme="minorHAnsi"/>
        </w:rPr>
        <w:t>,</w:t>
      </w:r>
      <w:r w:rsidR="00742AC9">
        <w:rPr>
          <w:rFonts w:cstheme="minorHAnsi"/>
        </w:rPr>
        <w:t xml:space="preserve"> </w:t>
      </w:r>
      <w:r w:rsidR="00F64BBE">
        <w:rPr>
          <w:rFonts w:cstheme="minorHAnsi"/>
        </w:rPr>
        <w:t xml:space="preserve">self-structure </w:t>
      </w:r>
      <w:r w:rsidR="003F053C">
        <w:rPr>
          <w:rFonts w:cstheme="minorHAnsi"/>
        </w:rPr>
        <w:t>indices</w:t>
      </w:r>
      <w:r w:rsidR="00F64BBE">
        <w:rPr>
          <w:rFonts w:cstheme="minorHAnsi"/>
        </w:rPr>
        <w:t xml:space="preserve"> </w:t>
      </w:r>
      <w:r w:rsidR="006F39C4">
        <w:rPr>
          <w:rFonts w:cstheme="minorHAnsi"/>
        </w:rPr>
        <w:t>were associated with delusion severity and depression, and whether</w:t>
      </w:r>
      <w:r w:rsidR="00CF5562">
        <w:rPr>
          <w:rFonts w:cstheme="minorHAnsi"/>
        </w:rPr>
        <w:t xml:space="preserve"> participation in a group </w:t>
      </w:r>
      <w:r w:rsidR="00801EE2">
        <w:rPr>
          <w:rFonts w:cstheme="minorHAnsi"/>
        </w:rPr>
        <w:t>mindfulness</w:t>
      </w:r>
      <w:r w:rsidR="00EE5A5A">
        <w:rPr>
          <w:rFonts w:cstheme="minorHAnsi"/>
        </w:rPr>
        <w:t>-based intervention</w:t>
      </w:r>
      <w:r w:rsidR="00801EE2">
        <w:rPr>
          <w:rFonts w:cstheme="minorHAnsi"/>
        </w:rPr>
        <w:t xml:space="preserve"> </w:t>
      </w:r>
      <w:r w:rsidR="00EE5A5A">
        <w:rPr>
          <w:rFonts w:cstheme="minorHAnsi"/>
        </w:rPr>
        <w:t>change</w:t>
      </w:r>
      <w:r w:rsidR="006F39C4">
        <w:rPr>
          <w:rFonts w:cstheme="minorHAnsi"/>
        </w:rPr>
        <w:t xml:space="preserve">d </w:t>
      </w:r>
      <w:r w:rsidR="00EE5A5A">
        <w:rPr>
          <w:rFonts w:cstheme="minorHAnsi"/>
        </w:rPr>
        <w:t>self-structure</w:t>
      </w:r>
      <w:r w:rsidR="00522872">
        <w:rPr>
          <w:rFonts w:cstheme="minorHAnsi"/>
        </w:rPr>
        <w:t xml:space="preserve"> in </w:t>
      </w:r>
      <w:r w:rsidR="00EE5A5A">
        <w:rPr>
          <w:rFonts w:cstheme="minorHAnsi"/>
        </w:rPr>
        <w:t>individuals with persecutory delusions</w:t>
      </w:r>
      <w:r w:rsidR="004864EE">
        <w:rPr>
          <w:rFonts w:cstheme="minorHAnsi"/>
        </w:rPr>
        <w:t xml:space="preserve"> – </w:t>
      </w:r>
      <w:r w:rsidR="000E466F">
        <w:rPr>
          <w:rFonts w:cstheme="minorHAnsi"/>
        </w:rPr>
        <w:t xml:space="preserve">in fact, this is the </w:t>
      </w:r>
      <w:r w:rsidR="004864EE">
        <w:rPr>
          <w:rFonts w:cstheme="minorHAnsi"/>
        </w:rPr>
        <w:t xml:space="preserve">first study to directly </w:t>
      </w:r>
      <w:r w:rsidR="00400BC9">
        <w:rPr>
          <w:rFonts w:cstheme="minorHAnsi"/>
        </w:rPr>
        <w:t>test</w:t>
      </w:r>
      <w:r w:rsidR="002406F8">
        <w:rPr>
          <w:rFonts w:cstheme="minorHAnsi"/>
        </w:rPr>
        <w:t xml:space="preserve"> </w:t>
      </w:r>
      <w:r w:rsidR="0080014B">
        <w:rPr>
          <w:rFonts w:cstheme="minorHAnsi"/>
        </w:rPr>
        <w:t xml:space="preserve">this potential benefit of mindfulness </w:t>
      </w:r>
      <w:r w:rsidR="004864EE">
        <w:rPr>
          <w:rFonts w:cstheme="minorHAnsi"/>
        </w:rPr>
        <w:t>in any clinical group.</w:t>
      </w:r>
      <w:r w:rsidR="00522872">
        <w:rPr>
          <w:rFonts w:cstheme="minorHAnsi"/>
        </w:rPr>
        <w:t xml:space="preserve"> </w:t>
      </w:r>
    </w:p>
    <w:p w14:paraId="3B03CF68" w14:textId="1EDC9698" w:rsidR="00AD1693" w:rsidRPr="00451F87" w:rsidRDefault="00677364" w:rsidP="00451F87">
      <w:pPr>
        <w:spacing w:line="480" w:lineRule="auto"/>
        <w:ind w:firstLine="360"/>
        <w:rPr>
          <w:rFonts w:cstheme="minorHAnsi"/>
        </w:rPr>
      </w:pPr>
      <w:r w:rsidRPr="00451F87">
        <w:rPr>
          <w:rFonts w:cstheme="minorHAnsi"/>
        </w:rPr>
        <w:t>Our data suggest that</w:t>
      </w:r>
      <w:r w:rsidR="002505E0" w:rsidRPr="00451F87">
        <w:rPr>
          <w:rFonts w:cstheme="minorHAnsi"/>
        </w:rPr>
        <w:t xml:space="preserve"> self-structure significantly differs </w:t>
      </w:r>
      <w:r w:rsidR="002E574A" w:rsidRPr="00451F87">
        <w:rPr>
          <w:rFonts w:cstheme="minorHAnsi"/>
        </w:rPr>
        <w:t>between individuals with persecutory delusions and</w:t>
      </w:r>
      <w:r w:rsidR="002505E0" w:rsidRPr="00451F87">
        <w:rPr>
          <w:rFonts w:cstheme="minorHAnsi"/>
        </w:rPr>
        <w:t xml:space="preserve"> </w:t>
      </w:r>
      <w:r w:rsidR="001F0CFB" w:rsidRPr="00451F87">
        <w:rPr>
          <w:rFonts w:cstheme="minorHAnsi"/>
        </w:rPr>
        <w:t>health</w:t>
      </w:r>
      <w:r w:rsidR="002E574A" w:rsidRPr="00451F87">
        <w:rPr>
          <w:rFonts w:cstheme="minorHAnsi"/>
        </w:rPr>
        <w:t>y</w:t>
      </w:r>
      <w:r w:rsidR="001F0CFB" w:rsidRPr="00451F87">
        <w:rPr>
          <w:rFonts w:cstheme="minorHAnsi"/>
        </w:rPr>
        <w:t xml:space="preserve"> </w:t>
      </w:r>
      <w:r w:rsidR="002505E0" w:rsidRPr="00451F87">
        <w:rPr>
          <w:rFonts w:cstheme="minorHAnsi"/>
        </w:rPr>
        <w:t xml:space="preserve">controls.  Specifically, </w:t>
      </w:r>
      <w:r w:rsidR="00820F4C" w:rsidRPr="00451F87">
        <w:rPr>
          <w:rFonts w:cstheme="minorHAnsi"/>
        </w:rPr>
        <w:t>parti</w:t>
      </w:r>
      <w:r w:rsidR="002E574A" w:rsidRPr="00451F87">
        <w:rPr>
          <w:rFonts w:cstheme="minorHAnsi"/>
        </w:rPr>
        <w:t>cipants in the clinical group</w:t>
      </w:r>
      <w:r w:rsidR="00820F4C" w:rsidRPr="00451F87">
        <w:rPr>
          <w:rFonts w:cstheme="minorHAnsi"/>
        </w:rPr>
        <w:t xml:space="preserve"> reported fewer self-aspects, used fewer items to describe their self-aspects, had a greater proportion of negative attributes across their self-aspects, assigned greater importance to their negative self-aspects</w:t>
      </w:r>
      <w:r w:rsidR="00616E7B" w:rsidRPr="00451F87">
        <w:rPr>
          <w:rFonts w:cstheme="minorHAnsi"/>
        </w:rPr>
        <w:t>,</w:t>
      </w:r>
      <w:r w:rsidR="00820F4C" w:rsidRPr="00451F87">
        <w:rPr>
          <w:rFonts w:cstheme="minorHAnsi"/>
        </w:rPr>
        <w:t xml:space="preserve"> and had more compartmentalised self-structures. </w:t>
      </w:r>
      <w:r w:rsidR="002E574A" w:rsidRPr="00451F87">
        <w:rPr>
          <w:rFonts w:cstheme="minorHAnsi"/>
        </w:rPr>
        <w:t xml:space="preserve"> </w:t>
      </w:r>
      <w:r w:rsidR="00820F4C" w:rsidRPr="00451F87">
        <w:rPr>
          <w:rFonts w:cstheme="minorHAnsi"/>
        </w:rPr>
        <w:t xml:space="preserve">These findings suggest that the way negative self-referent information is structured may be important for understanding the experiences of individuals with persecutory delusions, in addition to the specific content of negative beliefs. </w:t>
      </w:r>
      <w:r w:rsidR="00B41E79" w:rsidRPr="00451F87">
        <w:rPr>
          <w:rFonts w:cstheme="minorHAnsi"/>
        </w:rPr>
        <w:t xml:space="preserve"> </w:t>
      </w:r>
      <w:r w:rsidR="00143BFE" w:rsidRPr="00451F87">
        <w:rPr>
          <w:rFonts w:cstheme="minorHAnsi"/>
        </w:rPr>
        <w:t xml:space="preserve">This is </w:t>
      </w:r>
      <w:r w:rsidR="007A53A4" w:rsidRPr="00451F87">
        <w:rPr>
          <w:rFonts w:cstheme="minorHAnsi"/>
        </w:rPr>
        <w:t>consistent with theoretical accounts which emphasise the importance of negative self-views in persecutory delusions (Bentall et al., 1994; Trower &amp; Chadwick, 1995; Freeman et al., 2002).</w:t>
      </w:r>
      <w:r w:rsidRPr="00451F87">
        <w:rPr>
          <w:rFonts w:cstheme="minorHAnsi"/>
        </w:rPr>
        <w:t xml:space="preserve"> </w:t>
      </w:r>
      <w:r w:rsidR="00B41E79" w:rsidRPr="00451F87">
        <w:rPr>
          <w:rFonts w:cstheme="minorHAnsi"/>
        </w:rPr>
        <w:t xml:space="preserve"> That</w:t>
      </w:r>
      <w:r w:rsidRPr="00451F87">
        <w:rPr>
          <w:rFonts w:cstheme="minorHAnsi"/>
        </w:rPr>
        <w:t xml:space="preserve"> </w:t>
      </w:r>
      <w:r w:rsidR="00B41E79" w:rsidRPr="00451F87">
        <w:rPr>
          <w:rFonts w:cstheme="minorHAnsi"/>
        </w:rPr>
        <w:t>s</w:t>
      </w:r>
      <w:r w:rsidR="005F7E95" w:rsidRPr="00451F87">
        <w:rPr>
          <w:rFonts w:cstheme="minorHAnsi"/>
        </w:rPr>
        <w:t xml:space="preserve">elf-structure was also shown to be more compartmentalised in </w:t>
      </w:r>
      <w:r w:rsidR="00C13E34" w:rsidRPr="00451F87">
        <w:rPr>
          <w:rFonts w:cstheme="minorHAnsi"/>
        </w:rPr>
        <w:t>individuals with persecutory delusions</w:t>
      </w:r>
      <w:r w:rsidR="00B41E79" w:rsidRPr="00451F87">
        <w:rPr>
          <w:rFonts w:cstheme="minorHAnsi"/>
        </w:rPr>
        <w:t xml:space="preserve"> is</w:t>
      </w:r>
      <w:r w:rsidR="00C13E34" w:rsidRPr="00451F87">
        <w:rPr>
          <w:rFonts w:cstheme="minorHAnsi"/>
        </w:rPr>
        <w:t xml:space="preserve"> </w:t>
      </w:r>
      <w:r w:rsidR="00017A49" w:rsidRPr="00451F87">
        <w:rPr>
          <w:rFonts w:cstheme="minorHAnsi"/>
        </w:rPr>
        <w:t>consistent with previous studies in other clinical groups (Taylor et al., 20</w:t>
      </w:r>
      <w:r w:rsidR="00892CAB" w:rsidRPr="00451F87">
        <w:rPr>
          <w:rFonts w:cstheme="minorHAnsi"/>
        </w:rPr>
        <w:t xml:space="preserve">07; </w:t>
      </w:r>
      <w:r w:rsidR="00017A49" w:rsidRPr="00451F87">
        <w:rPr>
          <w:rFonts w:cstheme="minorHAnsi"/>
        </w:rPr>
        <w:t>Clifford et al., 2020)</w:t>
      </w:r>
      <w:r w:rsidR="00C13E34" w:rsidRPr="00451F87">
        <w:rPr>
          <w:rFonts w:cstheme="minorHAnsi"/>
        </w:rPr>
        <w:t>.  This raises an</w:t>
      </w:r>
      <w:r w:rsidRPr="00451F87">
        <w:rPr>
          <w:rFonts w:cstheme="minorHAnsi"/>
        </w:rPr>
        <w:t xml:space="preserve"> </w:t>
      </w:r>
      <w:r w:rsidR="00B41E79" w:rsidRPr="00451F87">
        <w:rPr>
          <w:rFonts w:cstheme="minorHAnsi"/>
        </w:rPr>
        <w:t>interesting</w:t>
      </w:r>
      <w:r w:rsidRPr="00451F87">
        <w:rPr>
          <w:rFonts w:cstheme="minorHAnsi"/>
        </w:rPr>
        <w:t xml:space="preserve"> </w:t>
      </w:r>
      <w:r w:rsidR="00C13E34" w:rsidRPr="00451F87">
        <w:rPr>
          <w:rFonts w:cstheme="minorHAnsi"/>
        </w:rPr>
        <w:t xml:space="preserve">possibility </w:t>
      </w:r>
      <w:r w:rsidRPr="00451F87">
        <w:rPr>
          <w:rFonts w:cstheme="minorHAnsi"/>
        </w:rPr>
        <w:t>that compartmentalised self-structure</w:t>
      </w:r>
      <w:r w:rsidR="00D40FEA" w:rsidRPr="00451F87">
        <w:rPr>
          <w:rFonts w:cstheme="minorHAnsi"/>
        </w:rPr>
        <w:t>s</w:t>
      </w:r>
      <w:r w:rsidRPr="00451F87">
        <w:rPr>
          <w:rFonts w:cstheme="minorHAnsi"/>
        </w:rPr>
        <w:t xml:space="preserve"> might be transdiagnostic</w:t>
      </w:r>
      <w:r w:rsidR="00017A49" w:rsidRPr="00451F87">
        <w:rPr>
          <w:rFonts w:cstheme="minorHAnsi"/>
        </w:rPr>
        <w:t>.</w:t>
      </w:r>
      <w:r w:rsidR="003B082E" w:rsidRPr="00451F87">
        <w:rPr>
          <w:rFonts w:cstheme="minorHAnsi"/>
        </w:rPr>
        <w:t xml:space="preserve">  </w:t>
      </w:r>
      <w:r w:rsidR="008E1AE8" w:rsidRPr="00451F87">
        <w:rPr>
          <w:rFonts w:cstheme="minorHAnsi"/>
        </w:rPr>
        <w:t xml:space="preserve">It will be important to determine in future research </w:t>
      </w:r>
      <w:r w:rsidR="00A8078B" w:rsidRPr="00451F87">
        <w:rPr>
          <w:rFonts w:cstheme="minorHAnsi"/>
        </w:rPr>
        <w:t xml:space="preserve">the extent to which </w:t>
      </w:r>
      <w:r w:rsidR="007D0C6A" w:rsidRPr="00451F87">
        <w:rPr>
          <w:rFonts w:cstheme="minorHAnsi"/>
        </w:rPr>
        <w:t xml:space="preserve">compartmentalised </w:t>
      </w:r>
      <w:r w:rsidR="00A8078B" w:rsidRPr="00451F87">
        <w:rPr>
          <w:rFonts w:cstheme="minorHAnsi"/>
        </w:rPr>
        <w:t xml:space="preserve">self-structure </w:t>
      </w:r>
      <w:r w:rsidR="00E26C25" w:rsidRPr="00451F87">
        <w:rPr>
          <w:rFonts w:cstheme="minorHAnsi"/>
        </w:rPr>
        <w:t xml:space="preserve">precedes the onset of </w:t>
      </w:r>
      <w:r w:rsidR="007D0C6A" w:rsidRPr="00451F87">
        <w:rPr>
          <w:rFonts w:cstheme="minorHAnsi"/>
        </w:rPr>
        <w:t xml:space="preserve">(psychotic) </w:t>
      </w:r>
      <w:r w:rsidR="00E26C25" w:rsidRPr="00451F87">
        <w:rPr>
          <w:rFonts w:cstheme="minorHAnsi"/>
        </w:rPr>
        <w:t>symptoms, or occurs as a response to symptom onset.</w:t>
      </w:r>
      <w:r w:rsidR="005C63E2" w:rsidRPr="00451F87">
        <w:rPr>
          <w:rFonts w:cstheme="minorHAnsi"/>
        </w:rPr>
        <w:t xml:space="preserve"> </w:t>
      </w:r>
      <w:r w:rsidR="007D0C6A" w:rsidRPr="00451F87">
        <w:rPr>
          <w:rFonts w:cstheme="minorHAnsi"/>
        </w:rPr>
        <w:t xml:space="preserve"> </w:t>
      </w:r>
    </w:p>
    <w:p w14:paraId="3BA6A44D" w14:textId="1FC0F061" w:rsidR="007D4192" w:rsidRDefault="004676CE" w:rsidP="005C63E2">
      <w:pPr>
        <w:spacing w:line="480" w:lineRule="auto"/>
        <w:ind w:firstLine="720"/>
        <w:rPr>
          <w:rFonts w:cstheme="minorHAnsi"/>
        </w:rPr>
      </w:pPr>
      <w:r>
        <w:rPr>
          <w:rFonts w:cstheme="minorHAnsi"/>
        </w:rPr>
        <w:t>S</w:t>
      </w:r>
      <w:r w:rsidR="00ED2A11">
        <w:rPr>
          <w:rFonts w:cstheme="minorHAnsi"/>
        </w:rPr>
        <w:t>elf-structure</w:t>
      </w:r>
      <w:r w:rsidR="00CA7905">
        <w:rPr>
          <w:rFonts w:cstheme="minorHAnsi"/>
        </w:rPr>
        <w:t xml:space="preserve"> </w:t>
      </w:r>
      <w:r w:rsidR="00783C9B">
        <w:rPr>
          <w:rFonts w:cstheme="minorHAnsi"/>
        </w:rPr>
        <w:t xml:space="preserve">indices were </w:t>
      </w:r>
      <w:r>
        <w:rPr>
          <w:rFonts w:cstheme="minorHAnsi"/>
        </w:rPr>
        <w:t>found to be un</w:t>
      </w:r>
      <w:r w:rsidR="00783C9B">
        <w:rPr>
          <w:rFonts w:cstheme="minorHAnsi"/>
        </w:rPr>
        <w:t xml:space="preserve">related to </w:t>
      </w:r>
      <w:r w:rsidR="007502CF">
        <w:rPr>
          <w:rFonts w:cstheme="minorHAnsi"/>
        </w:rPr>
        <w:t xml:space="preserve">overall </w:t>
      </w:r>
      <w:r w:rsidR="00A24B64">
        <w:rPr>
          <w:rFonts w:cstheme="minorHAnsi"/>
        </w:rPr>
        <w:t xml:space="preserve">delusional </w:t>
      </w:r>
      <w:r w:rsidR="00783C9B">
        <w:rPr>
          <w:rFonts w:cstheme="minorHAnsi"/>
        </w:rPr>
        <w:t>severity</w:t>
      </w:r>
      <w:r w:rsidR="007502CF">
        <w:rPr>
          <w:rFonts w:cstheme="minorHAnsi"/>
        </w:rPr>
        <w:t xml:space="preserve"> (</w:t>
      </w:r>
      <w:r w:rsidR="006B0C7E">
        <w:rPr>
          <w:rFonts w:cstheme="minorHAnsi"/>
        </w:rPr>
        <w:t xml:space="preserve">total score on the PSYRATS Delusions subscale) </w:t>
      </w:r>
      <w:r w:rsidR="00E47C3E">
        <w:rPr>
          <w:rFonts w:cstheme="minorHAnsi"/>
        </w:rPr>
        <w:t>)</w:t>
      </w:r>
      <w:r w:rsidR="00A27A6A">
        <w:rPr>
          <w:rFonts w:cstheme="minorHAnsi"/>
        </w:rPr>
        <w:t xml:space="preserve"> and depression (with the exception of proportion of negative attributes</w:t>
      </w:r>
      <w:r w:rsidR="00B86F7E">
        <w:rPr>
          <w:rFonts w:cstheme="minorHAnsi"/>
        </w:rPr>
        <w:t>)</w:t>
      </w:r>
      <w:r w:rsidR="00497761">
        <w:rPr>
          <w:rFonts w:cstheme="minorHAnsi"/>
        </w:rPr>
        <w:t>.</w:t>
      </w:r>
      <w:r w:rsidR="00B86F7E">
        <w:rPr>
          <w:rFonts w:cstheme="minorHAnsi"/>
        </w:rPr>
        <w:t xml:space="preserve"> </w:t>
      </w:r>
      <w:r w:rsidR="00A24DEC">
        <w:rPr>
          <w:rFonts w:cstheme="minorHAnsi"/>
        </w:rPr>
        <w:t xml:space="preserve"> I</w:t>
      </w:r>
      <w:r w:rsidR="002C55BA">
        <w:rPr>
          <w:rFonts w:cstheme="minorHAnsi"/>
        </w:rPr>
        <w:t>n the present study</w:t>
      </w:r>
      <w:r w:rsidR="00585F8E">
        <w:rPr>
          <w:rFonts w:cstheme="minorHAnsi"/>
        </w:rPr>
        <w:t>,</w:t>
      </w:r>
      <w:r w:rsidR="002C55BA">
        <w:rPr>
          <w:rFonts w:cstheme="minorHAnsi"/>
        </w:rPr>
        <w:t xml:space="preserve"> the lack of relationship between delusional severity and self-structure is not a result </w:t>
      </w:r>
      <w:r w:rsidR="00140EB7">
        <w:rPr>
          <w:rFonts w:cstheme="minorHAnsi"/>
        </w:rPr>
        <w:t>of restriction of range</w:t>
      </w:r>
      <w:r w:rsidR="00FE4DAD">
        <w:rPr>
          <w:rFonts w:cstheme="minorHAnsi"/>
        </w:rPr>
        <w:t xml:space="preserve"> </w:t>
      </w:r>
      <w:r w:rsidR="002C55BA">
        <w:rPr>
          <w:rFonts w:cstheme="minorHAnsi"/>
        </w:rPr>
        <w:t>of PSYRATS scores</w:t>
      </w:r>
      <w:r w:rsidR="00CE0823">
        <w:rPr>
          <w:rFonts w:cstheme="minorHAnsi"/>
        </w:rPr>
        <w:t xml:space="preserve"> (</w:t>
      </w:r>
      <w:r w:rsidR="001F7635">
        <w:rPr>
          <w:rFonts w:cstheme="minorHAnsi"/>
        </w:rPr>
        <w:t xml:space="preserve">PSYRATS mean total </w:t>
      </w:r>
      <w:r w:rsidR="00CE0823">
        <w:rPr>
          <w:rFonts w:cstheme="minorHAnsi"/>
        </w:rPr>
        <w:t>score was mid-range)</w:t>
      </w:r>
      <w:r w:rsidR="00AF794F">
        <w:rPr>
          <w:rFonts w:cstheme="minorHAnsi"/>
        </w:rPr>
        <w:t xml:space="preserve">. </w:t>
      </w:r>
      <w:r w:rsidR="002C55BA">
        <w:rPr>
          <w:rFonts w:cstheme="minorHAnsi"/>
        </w:rPr>
        <w:t>T</w:t>
      </w:r>
      <w:r w:rsidR="00AC3B0D">
        <w:rPr>
          <w:rFonts w:cstheme="minorHAnsi"/>
        </w:rPr>
        <w:t>he separability of delusional belief</w:t>
      </w:r>
      <w:r w:rsidR="002C55BA">
        <w:rPr>
          <w:rFonts w:cstheme="minorHAnsi"/>
        </w:rPr>
        <w:t xml:space="preserve"> severity</w:t>
      </w:r>
      <w:r w:rsidR="00AC3B0D">
        <w:rPr>
          <w:rFonts w:cstheme="minorHAnsi"/>
        </w:rPr>
        <w:t xml:space="preserve"> and self-structure </w:t>
      </w:r>
      <w:r w:rsidR="001E27A9">
        <w:rPr>
          <w:rFonts w:cstheme="minorHAnsi"/>
        </w:rPr>
        <w:t xml:space="preserve">fits well with therapeutic approaches to </w:t>
      </w:r>
      <w:r w:rsidR="00F32079">
        <w:rPr>
          <w:rFonts w:cstheme="minorHAnsi"/>
        </w:rPr>
        <w:t xml:space="preserve">delusions that work directly with self-processes rather than </w:t>
      </w:r>
      <w:r w:rsidR="00F45159">
        <w:rPr>
          <w:rFonts w:cstheme="minorHAnsi"/>
        </w:rPr>
        <w:t xml:space="preserve">with </w:t>
      </w:r>
      <w:r w:rsidR="008F3FE7">
        <w:rPr>
          <w:rFonts w:cstheme="minorHAnsi"/>
        </w:rPr>
        <w:t xml:space="preserve">persecutory beliefs. </w:t>
      </w:r>
      <w:r w:rsidR="00F45159">
        <w:rPr>
          <w:rFonts w:cstheme="minorHAnsi"/>
        </w:rPr>
        <w:t>For example, Chadwick (2003) describes how two-chair enactments may be u</w:t>
      </w:r>
      <w:r w:rsidR="004A5D54">
        <w:rPr>
          <w:rFonts w:cstheme="minorHAnsi"/>
        </w:rPr>
        <w:t>s</w:t>
      </w:r>
      <w:r w:rsidR="00F45159">
        <w:rPr>
          <w:rFonts w:cstheme="minorHAnsi"/>
        </w:rPr>
        <w:t xml:space="preserve">ed to support people with psychosis to decentre from and </w:t>
      </w:r>
      <w:r w:rsidR="00404A75">
        <w:rPr>
          <w:rFonts w:cstheme="minorHAnsi"/>
        </w:rPr>
        <w:t>gain new insights into the self</w:t>
      </w:r>
      <w:r w:rsidR="006E481F">
        <w:rPr>
          <w:rFonts w:cstheme="minorHAnsi"/>
        </w:rPr>
        <w:t>-structure</w:t>
      </w:r>
      <w:r w:rsidR="00404A75">
        <w:rPr>
          <w:rFonts w:cstheme="minorHAnsi"/>
        </w:rPr>
        <w:t xml:space="preserve">. </w:t>
      </w:r>
      <w:r w:rsidR="009E57F3">
        <w:rPr>
          <w:rFonts w:cstheme="minorHAnsi"/>
        </w:rPr>
        <w:t xml:space="preserve">Delusions are increasingly viewed </w:t>
      </w:r>
      <w:r w:rsidR="007405E5">
        <w:rPr>
          <w:rFonts w:cstheme="minorHAnsi"/>
        </w:rPr>
        <w:t xml:space="preserve">as lying on continua functions with ordinary </w:t>
      </w:r>
      <w:r w:rsidR="00851845">
        <w:rPr>
          <w:rFonts w:cstheme="minorHAnsi"/>
        </w:rPr>
        <w:t>behaviour</w:t>
      </w:r>
      <w:r w:rsidR="007050B6">
        <w:rPr>
          <w:rFonts w:cstheme="minorHAnsi"/>
        </w:rPr>
        <w:t xml:space="preserve"> (Strauss, 1969)</w:t>
      </w:r>
      <w:r w:rsidR="00851845">
        <w:rPr>
          <w:rFonts w:cstheme="minorHAnsi"/>
        </w:rPr>
        <w:t xml:space="preserve">. </w:t>
      </w:r>
      <w:r w:rsidR="00B93A6C">
        <w:rPr>
          <w:rFonts w:cstheme="minorHAnsi"/>
        </w:rPr>
        <w:t xml:space="preserve">Paranoia in particular has been conceptualised as an evolved </w:t>
      </w:r>
      <w:r w:rsidR="00883C05">
        <w:rPr>
          <w:rFonts w:cstheme="minorHAnsi"/>
        </w:rPr>
        <w:t xml:space="preserve">psychological </w:t>
      </w:r>
      <w:r w:rsidR="00B93A6C">
        <w:rPr>
          <w:rFonts w:cstheme="minorHAnsi"/>
        </w:rPr>
        <w:t xml:space="preserve">trait selected </w:t>
      </w:r>
      <w:r w:rsidR="00372208">
        <w:rPr>
          <w:rFonts w:cstheme="minorHAnsi"/>
        </w:rPr>
        <w:t>because of its adaptive value in ancestral environments (Ellett et al., 2003) and there is growing evidence that it is indeed a common human response to perceived interpersonal threat (</w:t>
      </w:r>
      <w:proofErr w:type="spellStart"/>
      <w:r w:rsidR="00623827">
        <w:rPr>
          <w:rFonts w:cstheme="minorHAnsi"/>
        </w:rPr>
        <w:t>Fenigstein</w:t>
      </w:r>
      <w:proofErr w:type="spellEnd"/>
      <w:r w:rsidR="00623827">
        <w:rPr>
          <w:rFonts w:cstheme="minorHAnsi"/>
        </w:rPr>
        <w:t xml:space="preserve"> &amp; </w:t>
      </w:r>
      <w:proofErr w:type="spellStart"/>
      <w:r w:rsidR="00623827">
        <w:rPr>
          <w:rFonts w:cstheme="minorHAnsi"/>
        </w:rPr>
        <w:t>Vanable</w:t>
      </w:r>
      <w:proofErr w:type="spellEnd"/>
      <w:r w:rsidR="00623827">
        <w:rPr>
          <w:rFonts w:cstheme="minorHAnsi"/>
        </w:rPr>
        <w:t>, 199</w:t>
      </w:r>
      <w:r w:rsidR="001C2762">
        <w:rPr>
          <w:rFonts w:cstheme="minorHAnsi"/>
        </w:rPr>
        <w:t>2</w:t>
      </w:r>
      <w:r w:rsidR="00623827">
        <w:rPr>
          <w:rFonts w:cstheme="minorHAnsi"/>
        </w:rPr>
        <w:t xml:space="preserve">; </w:t>
      </w:r>
      <w:r w:rsidR="001C2762">
        <w:rPr>
          <w:rFonts w:cstheme="minorHAnsi"/>
        </w:rPr>
        <w:t>Ellett &amp; Chadwick, 2007</w:t>
      </w:r>
      <w:r w:rsidR="00875470">
        <w:rPr>
          <w:rFonts w:cstheme="minorHAnsi"/>
        </w:rPr>
        <w:t>; Freeman et al., 2011).</w:t>
      </w:r>
      <w:r w:rsidR="00996F4E">
        <w:rPr>
          <w:rFonts w:cstheme="minorHAnsi"/>
        </w:rPr>
        <w:t xml:space="preserve"> Future research might examine </w:t>
      </w:r>
      <w:r w:rsidR="008D53E1">
        <w:rPr>
          <w:rFonts w:cstheme="minorHAnsi"/>
        </w:rPr>
        <w:t xml:space="preserve">the relationship between paranoia and self-indices in sub-clinical samples. </w:t>
      </w:r>
      <w:r w:rsidR="006453A1">
        <w:rPr>
          <w:rFonts w:cstheme="minorHAnsi"/>
        </w:rPr>
        <w:t xml:space="preserve"> </w:t>
      </w:r>
    </w:p>
    <w:p w14:paraId="7320A376" w14:textId="0C12BE42" w:rsidR="001861D7" w:rsidRDefault="00310F1A" w:rsidP="005C63E2">
      <w:pPr>
        <w:spacing w:line="480" w:lineRule="auto"/>
        <w:ind w:firstLine="720"/>
        <w:rPr>
          <w:rFonts w:cstheme="minorHAnsi"/>
        </w:rPr>
      </w:pPr>
      <w:r>
        <w:rPr>
          <w:rFonts w:cstheme="minorHAnsi"/>
        </w:rPr>
        <w:t xml:space="preserve">Findings from </w:t>
      </w:r>
      <w:r w:rsidR="00C60639">
        <w:rPr>
          <w:rFonts w:cstheme="minorHAnsi"/>
        </w:rPr>
        <w:t xml:space="preserve">clinical participants </w:t>
      </w:r>
      <w:r>
        <w:rPr>
          <w:rFonts w:cstheme="minorHAnsi"/>
        </w:rPr>
        <w:t xml:space="preserve">provide the first </w:t>
      </w:r>
      <w:r w:rsidR="000E4C71">
        <w:rPr>
          <w:rFonts w:cstheme="minorHAnsi"/>
        </w:rPr>
        <w:t xml:space="preserve">evidence that group mindfulness-based therapy might alter self-structure in people with persecutory delusions – indeed, this is the first </w:t>
      </w:r>
      <w:r w:rsidR="00581BBD">
        <w:rPr>
          <w:rFonts w:cstheme="minorHAnsi"/>
        </w:rPr>
        <w:t xml:space="preserve">mindfulness </w:t>
      </w:r>
      <w:r w:rsidR="000E4C71">
        <w:rPr>
          <w:rFonts w:cstheme="minorHAnsi"/>
        </w:rPr>
        <w:t xml:space="preserve">study </w:t>
      </w:r>
      <w:r w:rsidR="00581BBD">
        <w:rPr>
          <w:rFonts w:cstheme="minorHAnsi"/>
        </w:rPr>
        <w:t>to show this in any clinical group</w:t>
      </w:r>
      <w:r w:rsidR="000E4C71">
        <w:rPr>
          <w:rFonts w:cstheme="minorHAnsi"/>
        </w:rPr>
        <w:t xml:space="preserve">. </w:t>
      </w:r>
      <w:r w:rsidR="000C4562">
        <w:rPr>
          <w:rFonts w:cstheme="minorHAnsi"/>
        </w:rPr>
        <w:t>S</w:t>
      </w:r>
      <w:r w:rsidR="00865D82">
        <w:rPr>
          <w:rFonts w:cstheme="minorHAnsi"/>
        </w:rPr>
        <w:t>pecifically</w:t>
      </w:r>
      <w:r w:rsidR="000308E5">
        <w:rPr>
          <w:rFonts w:cstheme="minorHAnsi"/>
        </w:rPr>
        <w:t>,</w:t>
      </w:r>
      <w:r w:rsidR="00865D82">
        <w:rPr>
          <w:rFonts w:cstheme="minorHAnsi"/>
        </w:rPr>
        <w:t xml:space="preserve"> </w:t>
      </w:r>
      <w:r w:rsidR="00CA7905">
        <w:rPr>
          <w:rFonts w:cstheme="minorHAnsi"/>
        </w:rPr>
        <w:t>compartmentalisation and proportion of negative attributes both reduced</w:t>
      </w:r>
      <w:r w:rsidR="00C2478F">
        <w:rPr>
          <w:rFonts w:cstheme="minorHAnsi"/>
        </w:rPr>
        <w:t xml:space="preserve"> with large effect sizes</w:t>
      </w:r>
      <w:r w:rsidR="00CA7905">
        <w:rPr>
          <w:rFonts w:cstheme="minorHAnsi"/>
        </w:rPr>
        <w:t xml:space="preserve">.  </w:t>
      </w:r>
      <w:r w:rsidR="00CC529A">
        <w:rPr>
          <w:rFonts w:cstheme="minorHAnsi"/>
        </w:rPr>
        <w:t xml:space="preserve">Clearly, these </w:t>
      </w:r>
      <w:r w:rsidR="000C4562">
        <w:rPr>
          <w:rFonts w:cstheme="minorHAnsi"/>
        </w:rPr>
        <w:t xml:space="preserve">are only proof of concept </w:t>
      </w:r>
      <w:r w:rsidR="00CC529A">
        <w:rPr>
          <w:rFonts w:cstheme="minorHAnsi"/>
        </w:rPr>
        <w:t xml:space="preserve">findings </w:t>
      </w:r>
      <w:r w:rsidR="000C4562">
        <w:rPr>
          <w:rFonts w:cstheme="minorHAnsi"/>
        </w:rPr>
        <w:t xml:space="preserve">and will </w:t>
      </w:r>
      <w:r w:rsidR="00CC529A">
        <w:rPr>
          <w:rFonts w:cstheme="minorHAnsi"/>
        </w:rPr>
        <w:t xml:space="preserve">need to be replicated with larger clinical samples, </w:t>
      </w:r>
      <w:r w:rsidR="003A0E9A">
        <w:rPr>
          <w:rFonts w:cstheme="minorHAnsi"/>
        </w:rPr>
        <w:t xml:space="preserve">and with an active control condition, </w:t>
      </w:r>
      <w:r w:rsidR="00CC529A">
        <w:rPr>
          <w:rFonts w:cstheme="minorHAnsi"/>
        </w:rPr>
        <w:t xml:space="preserve">but they nonetheless </w:t>
      </w:r>
      <w:r w:rsidR="001B6E90">
        <w:rPr>
          <w:rFonts w:cstheme="minorHAnsi"/>
        </w:rPr>
        <w:t xml:space="preserve">point to a </w:t>
      </w:r>
      <w:r w:rsidR="006D1B5A">
        <w:rPr>
          <w:rFonts w:cstheme="minorHAnsi"/>
        </w:rPr>
        <w:t xml:space="preserve">further </w:t>
      </w:r>
      <w:r w:rsidR="001B6E90">
        <w:rPr>
          <w:rFonts w:cstheme="minorHAnsi"/>
        </w:rPr>
        <w:t xml:space="preserve">potential benefit of </w:t>
      </w:r>
      <w:r w:rsidR="006D1B5A">
        <w:rPr>
          <w:rFonts w:cstheme="minorHAnsi"/>
        </w:rPr>
        <w:t>mindfulness for psychosis</w:t>
      </w:r>
      <w:r w:rsidR="00B433AC">
        <w:rPr>
          <w:rFonts w:cstheme="minorHAnsi"/>
        </w:rPr>
        <w:t xml:space="preserve">. The findings on </w:t>
      </w:r>
      <w:r w:rsidR="007F5A91">
        <w:rPr>
          <w:rFonts w:cstheme="minorHAnsi"/>
        </w:rPr>
        <w:t xml:space="preserve">change in self-structure </w:t>
      </w:r>
      <w:r w:rsidR="00CA2826">
        <w:rPr>
          <w:rFonts w:cstheme="minorHAnsi"/>
        </w:rPr>
        <w:t xml:space="preserve">fit well with contemporary mindfulness-based approaches to psychosis which explicitly seek to </w:t>
      </w:r>
      <w:r w:rsidR="007F4EBF">
        <w:rPr>
          <w:rFonts w:cstheme="minorHAnsi"/>
        </w:rPr>
        <w:t xml:space="preserve">increase the </w:t>
      </w:r>
      <w:r w:rsidR="00CD5410">
        <w:rPr>
          <w:rFonts w:cstheme="minorHAnsi"/>
        </w:rPr>
        <w:t>number of positive self-attributes, to de-</w:t>
      </w:r>
      <w:r w:rsidR="00DC54A0">
        <w:rPr>
          <w:rFonts w:cstheme="minorHAnsi"/>
        </w:rPr>
        <w:t>emphasise</w:t>
      </w:r>
      <w:r w:rsidR="00CD5410">
        <w:rPr>
          <w:rFonts w:cstheme="minorHAnsi"/>
        </w:rPr>
        <w:t xml:space="preserve"> the </w:t>
      </w:r>
      <w:r w:rsidR="00DC54A0">
        <w:rPr>
          <w:rFonts w:cstheme="minorHAnsi"/>
        </w:rPr>
        <w:t xml:space="preserve">priority given to negative self-attributes, and to establish more balance between positive and negative self-attributes (Chadwick, 2006). </w:t>
      </w:r>
    </w:p>
    <w:p w14:paraId="462BCCBF" w14:textId="6B52411E" w:rsidR="00F42D85" w:rsidRDefault="009D0528" w:rsidP="00651266">
      <w:pPr>
        <w:spacing w:line="480" w:lineRule="auto"/>
        <w:ind w:firstLine="720"/>
        <w:rPr>
          <w:rFonts w:cstheme="minorHAnsi"/>
        </w:rPr>
      </w:pPr>
      <w:r>
        <w:rPr>
          <w:rFonts w:cstheme="minorHAnsi"/>
        </w:rPr>
        <w:t>There are several</w:t>
      </w:r>
      <w:r w:rsidR="00F42D85" w:rsidRPr="00780961">
        <w:rPr>
          <w:rFonts w:cstheme="minorHAnsi"/>
        </w:rPr>
        <w:t xml:space="preserve"> limitations</w:t>
      </w:r>
      <w:r w:rsidR="00811F61">
        <w:rPr>
          <w:rFonts w:cstheme="minorHAnsi"/>
        </w:rPr>
        <w:t xml:space="preserve"> that warrant consideration</w:t>
      </w:r>
      <w:r w:rsidR="008E1785">
        <w:rPr>
          <w:rFonts w:cstheme="minorHAnsi"/>
        </w:rPr>
        <w:t>.</w:t>
      </w:r>
      <w:r w:rsidR="00F42D85" w:rsidRPr="00780961">
        <w:rPr>
          <w:rFonts w:cstheme="minorHAnsi"/>
        </w:rPr>
        <w:t xml:space="preserve">  </w:t>
      </w:r>
      <w:r w:rsidR="002E574A">
        <w:rPr>
          <w:rFonts w:cstheme="minorHAnsi"/>
        </w:rPr>
        <w:t>The</w:t>
      </w:r>
      <w:r w:rsidR="00F42D85">
        <w:rPr>
          <w:rFonts w:cstheme="minorHAnsi"/>
        </w:rPr>
        <w:t xml:space="preserve"> </w:t>
      </w:r>
      <w:r w:rsidR="00F42D85" w:rsidRPr="00780961">
        <w:rPr>
          <w:rFonts w:cstheme="minorHAnsi"/>
        </w:rPr>
        <w:t>cross-sectional</w:t>
      </w:r>
      <w:r w:rsidR="004B7B3D">
        <w:rPr>
          <w:rFonts w:cstheme="minorHAnsi"/>
        </w:rPr>
        <w:t xml:space="preserve"> element of the </w:t>
      </w:r>
      <w:r w:rsidR="002E574A">
        <w:rPr>
          <w:rFonts w:cstheme="minorHAnsi"/>
        </w:rPr>
        <w:t>design</w:t>
      </w:r>
      <w:r w:rsidR="008F1F70">
        <w:rPr>
          <w:rFonts w:cstheme="minorHAnsi"/>
        </w:rPr>
        <w:t xml:space="preserve"> in study one</w:t>
      </w:r>
      <w:r w:rsidR="002E574A">
        <w:rPr>
          <w:rFonts w:cstheme="minorHAnsi"/>
        </w:rPr>
        <w:t xml:space="preserve"> means</w:t>
      </w:r>
      <w:r w:rsidR="00F42D85" w:rsidRPr="00780961">
        <w:rPr>
          <w:rFonts w:cstheme="minorHAnsi"/>
        </w:rPr>
        <w:t xml:space="preserve"> no inferences about causality can be made</w:t>
      </w:r>
      <w:r w:rsidR="00AA790A">
        <w:rPr>
          <w:rFonts w:cstheme="minorHAnsi"/>
        </w:rPr>
        <w:t xml:space="preserve"> and</w:t>
      </w:r>
      <w:r w:rsidR="00492B05">
        <w:rPr>
          <w:rFonts w:cstheme="minorHAnsi"/>
        </w:rPr>
        <w:t xml:space="preserve"> </w:t>
      </w:r>
      <w:r w:rsidR="00D82F9F">
        <w:rPr>
          <w:rFonts w:cstheme="minorHAnsi"/>
        </w:rPr>
        <w:t xml:space="preserve">the </w:t>
      </w:r>
      <w:r w:rsidR="00821999">
        <w:rPr>
          <w:rFonts w:cstheme="minorHAnsi"/>
        </w:rPr>
        <w:t>us</w:t>
      </w:r>
      <w:r w:rsidR="00663925">
        <w:rPr>
          <w:rFonts w:cstheme="minorHAnsi"/>
        </w:rPr>
        <w:t>e</w:t>
      </w:r>
      <w:r w:rsidR="002E574A">
        <w:rPr>
          <w:rFonts w:cstheme="minorHAnsi"/>
        </w:rPr>
        <w:t xml:space="preserve"> of </w:t>
      </w:r>
      <w:r w:rsidR="00F42D85">
        <w:rPr>
          <w:rFonts w:cstheme="minorHAnsi"/>
        </w:rPr>
        <w:t xml:space="preserve">pilot </w:t>
      </w:r>
      <w:r w:rsidR="00663925">
        <w:rPr>
          <w:rFonts w:cstheme="minorHAnsi"/>
        </w:rPr>
        <w:t xml:space="preserve">RCT </w:t>
      </w:r>
      <w:r w:rsidR="002E574A">
        <w:rPr>
          <w:rFonts w:cstheme="minorHAnsi"/>
        </w:rPr>
        <w:t>methodology</w:t>
      </w:r>
      <w:r w:rsidR="008F1F70">
        <w:rPr>
          <w:rFonts w:cstheme="minorHAnsi"/>
        </w:rPr>
        <w:t xml:space="preserve"> in study two</w:t>
      </w:r>
      <w:r w:rsidR="002E574A">
        <w:rPr>
          <w:rFonts w:cstheme="minorHAnsi"/>
        </w:rPr>
        <w:t xml:space="preserve"> meant that this study </w:t>
      </w:r>
      <w:r w:rsidR="00663925">
        <w:rPr>
          <w:rFonts w:cstheme="minorHAnsi"/>
        </w:rPr>
        <w:t>was</w:t>
      </w:r>
      <w:r w:rsidR="00D82F9F">
        <w:rPr>
          <w:rFonts w:cstheme="minorHAnsi"/>
        </w:rPr>
        <w:t xml:space="preserve"> by definition</w:t>
      </w:r>
      <w:r w:rsidR="00663925">
        <w:rPr>
          <w:rFonts w:cstheme="minorHAnsi"/>
        </w:rPr>
        <w:t xml:space="preserve"> </w:t>
      </w:r>
      <w:r w:rsidR="00BC77AC">
        <w:rPr>
          <w:rFonts w:cstheme="minorHAnsi"/>
        </w:rPr>
        <w:t>proof of concept</w:t>
      </w:r>
      <w:r w:rsidR="00F42D85">
        <w:rPr>
          <w:rFonts w:cstheme="minorHAnsi"/>
        </w:rPr>
        <w:t xml:space="preserve"> (</w:t>
      </w:r>
      <w:r w:rsidR="00BC77AC">
        <w:rPr>
          <w:rFonts w:cstheme="minorHAnsi"/>
        </w:rPr>
        <w:t>and</w:t>
      </w:r>
      <w:r w:rsidR="00F42D85">
        <w:rPr>
          <w:rFonts w:cstheme="minorHAnsi"/>
        </w:rPr>
        <w:t xml:space="preserve"> no statistical significance testing was undertaken for th</w:t>
      </w:r>
      <w:r w:rsidR="00B36C67">
        <w:rPr>
          <w:rFonts w:cstheme="minorHAnsi"/>
        </w:rPr>
        <w:t>is</w:t>
      </w:r>
      <w:r w:rsidR="00F42D85">
        <w:rPr>
          <w:rFonts w:cstheme="minorHAnsi"/>
        </w:rPr>
        <w:t xml:space="preserve"> reason)</w:t>
      </w:r>
      <w:r w:rsidR="00F42D85" w:rsidRPr="00780961">
        <w:rPr>
          <w:rFonts w:cstheme="minorHAnsi"/>
        </w:rPr>
        <w:t xml:space="preserve">.  </w:t>
      </w:r>
      <w:r w:rsidR="00A72DD4">
        <w:rPr>
          <w:rFonts w:cstheme="minorHAnsi"/>
        </w:rPr>
        <w:t>Whilst s</w:t>
      </w:r>
      <w:r w:rsidR="00F42D85" w:rsidRPr="00780961">
        <w:rPr>
          <w:rFonts w:cstheme="minorHAnsi"/>
        </w:rPr>
        <w:t>ample size</w:t>
      </w:r>
      <w:r w:rsidR="00F41612">
        <w:rPr>
          <w:rFonts w:cstheme="minorHAnsi"/>
        </w:rPr>
        <w:t xml:space="preserve"> (</w:t>
      </w:r>
      <w:r w:rsidR="00F41612" w:rsidRPr="00F41612">
        <w:rPr>
          <w:rFonts w:cstheme="minorHAnsi"/>
          <w:i/>
        </w:rPr>
        <w:t>n</w:t>
      </w:r>
      <w:r w:rsidR="00F41612">
        <w:rPr>
          <w:rFonts w:cstheme="minorHAnsi"/>
        </w:rPr>
        <w:t>=27)</w:t>
      </w:r>
      <w:r w:rsidR="00F42D85" w:rsidRPr="00780961">
        <w:rPr>
          <w:rFonts w:cstheme="minorHAnsi"/>
        </w:rPr>
        <w:t xml:space="preserve"> was </w:t>
      </w:r>
      <w:r w:rsidR="007704E5">
        <w:rPr>
          <w:rFonts w:cstheme="minorHAnsi"/>
        </w:rPr>
        <w:t xml:space="preserve">comparable to </w:t>
      </w:r>
      <w:r w:rsidR="00A40B43">
        <w:rPr>
          <w:rFonts w:cstheme="minorHAnsi"/>
        </w:rPr>
        <w:t xml:space="preserve">other published </w:t>
      </w:r>
      <w:r w:rsidR="007704E5">
        <w:rPr>
          <w:rFonts w:cstheme="minorHAnsi"/>
        </w:rPr>
        <w:t>research on self</w:t>
      </w:r>
      <w:r w:rsidR="00C63255">
        <w:rPr>
          <w:rFonts w:cstheme="minorHAnsi"/>
        </w:rPr>
        <w:t>-</w:t>
      </w:r>
      <w:r w:rsidR="007704E5">
        <w:rPr>
          <w:rFonts w:cstheme="minorHAnsi"/>
        </w:rPr>
        <w:t xml:space="preserve">structure in </w:t>
      </w:r>
      <w:r w:rsidR="00F41612">
        <w:rPr>
          <w:rFonts w:cstheme="minorHAnsi"/>
        </w:rPr>
        <w:t xml:space="preserve">clinical populations - </w:t>
      </w:r>
      <w:r w:rsidR="00A72DD4">
        <w:rPr>
          <w:rFonts w:cstheme="minorHAnsi"/>
        </w:rPr>
        <w:t xml:space="preserve">people with </w:t>
      </w:r>
      <w:r w:rsidR="00E41781">
        <w:rPr>
          <w:rFonts w:cstheme="minorHAnsi"/>
        </w:rPr>
        <w:t>b</w:t>
      </w:r>
      <w:r w:rsidR="00F41612">
        <w:rPr>
          <w:rFonts w:cstheme="minorHAnsi"/>
        </w:rPr>
        <w:t>ipolar disorder (</w:t>
      </w:r>
      <w:r w:rsidR="00F41612" w:rsidRPr="00F41612">
        <w:rPr>
          <w:rFonts w:cstheme="minorHAnsi"/>
          <w:i/>
        </w:rPr>
        <w:t>n</w:t>
      </w:r>
      <w:r w:rsidR="00F41612">
        <w:rPr>
          <w:rFonts w:cstheme="minorHAnsi"/>
        </w:rPr>
        <w:t>=18), recovered</w:t>
      </w:r>
      <w:r w:rsidR="00E41781">
        <w:rPr>
          <w:rFonts w:cstheme="minorHAnsi"/>
        </w:rPr>
        <w:t xml:space="preserve"> depression (</w:t>
      </w:r>
      <w:r w:rsidR="00E41781" w:rsidRPr="00F41612">
        <w:rPr>
          <w:rFonts w:cstheme="minorHAnsi"/>
          <w:i/>
        </w:rPr>
        <w:t>n</w:t>
      </w:r>
      <w:r w:rsidR="00E41781">
        <w:rPr>
          <w:rFonts w:cstheme="minorHAnsi"/>
        </w:rPr>
        <w:t>=</w:t>
      </w:r>
      <w:r w:rsidR="00F41612">
        <w:rPr>
          <w:rFonts w:cstheme="minorHAnsi"/>
        </w:rPr>
        <w:t>16)</w:t>
      </w:r>
      <w:r w:rsidR="00E41781">
        <w:rPr>
          <w:rFonts w:cstheme="minorHAnsi"/>
        </w:rPr>
        <w:t xml:space="preserve"> and PTSD (</w:t>
      </w:r>
      <w:r w:rsidR="00E41781" w:rsidRPr="00F41612">
        <w:rPr>
          <w:rFonts w:cstheme="minorHAnsi"/>
          <w:i/>
        </w:rPr>
        <w:t>n</w:t>
      </w:r>
      <w:r w:rsidR="00E41781">
        <w:rPr>
          <w:rFonts w:cstheme="minorHAnsi"/>
        </w:rPr>
        <w:t>=23)</w:t>
      </w:r>
      <w:r w:rsidR="00F41612">
        <w:rPr>
          <w:rFonts w:cstheme="minorHAnsi"/>
        </w:rPr>
        <w:t xml:space="preserve"> -</w:t>
      </w:r>
      <w:r w:rsidR="00AB1B9A">
        <w:rPr>
          <w:rFonts w:cstheme="minorHAnsi"/>
        </w:rPr>
        <w:t xml:space="preserve"> nonetheless replication of findings will be important. </w:t>
      </w:r>
      <w:r w:rsidR="00865D82">
        <w:rPr>
          <w:rFonts w:cstheme="minorHAnsi"/>
        </w:rPr>
        <w:t xml:space="preserve">Finally, </w:t>
      </w:r>
      <w:r w:rsidR="005C63E2">
        <w:rPr>
          <w:rFonts w:cstheme="minorHAnsi"/>
        </w:rPr>
        <w:t>w</w:t>
      </w:r>
      <w:r w:rsidR="00EE5099">
        <w:rPr>
          <w:rFonts w:cstheme="minorHAnsi"/>
        </w:rPr>
        <w:t>e did</w:t>
      </w:r>
      <w:r w:rsidR="00D7579D">
        <w:rPr>
          <w:rFonts w:cstheme="minorHAnsi"/>
        </w:rPr>
        <w:t xml:space="preserve"> not</w:t>
      </w:r>
      <w:r w:rsidR="00EE5099">
        <w:rPr>
          <w:rFonts w:cstheme="minorHAnsi"/>
        </w:rPr>
        <w:t xml:space="preserve"> measure other self-</w:t>
      </w:r>
      <w:r w:rsidR="00663925">
        <w:rPr>
          <w:rFonts w:cstheme="minorHAnsi"/>
        </w:rPr>
        <w:t>related</w:t>
      </w:r>
      <w:r w:rsidR="00EE5099">
        <w:rPr>
          <w:rFonts w:cstheme="minorHAnsi"/>
        </w:rPr>
        <w:t xml:space="preserve"> variables that </w:t>
      </w:r>
      <w:r w:rsidR="007C6A06">
        <w:rPr>
          <w:rFonts w:cstheme="minorHAnsi"/>
        </w:rPr>
        <w:t xml:space="preserve">have been shown to be important in psychosis such as self/other schemas </w:t>
      </w:r>
      <w:r w:rsidR="001E1EA7">
        <w:rPr>
          <w:rFonts w:cstheme="minorHAnsi"/>
        </w:rPr>
        <w:t>and</w:t>
      </w:r>
      <w:r w:rsidR="007C6A06">
        <w:rPr>
          <w:rFonts w:cstheme="minorHAnsi"/>
        </w:rPr>
        <w:t xml:space="preserve"> self-esteem</w:t>
      </w:r>
      <w:r w:rsidR="00834D89">
        <w:rPr>
          <w:rFonts w:cstheme="minorHAnsi"/>
        </w:rPr>
        <w:t xml:space="preserve">, or other variables that </w:t>
      </w:r>
      <w:r w:rsidR="00EE5099">
        <w:rPr>
          <w:rFonts w:cstheme="minorHAnsi"/>
        </w:rPr>
        <w:t>are hypothesised to interact with compartmentalisation, such as self-complexity</w:t>
      </w:r>
      <w:r w:rsidR="005C63E2">
        <w:rPr>
          <w:rFonts w:cstheme="minorHAnsi"/>
        </w:rPr>
        <w:t>.</w:t>
      </w:r>
      <w:r w:rsidR="00663925">
        <w:rPr>
          <w:rFonts w:cstheme="minorHAnsi"/>
        </w:rPr>
        <w:t xml:space="preserve"> </w:t>
      </w:r>
      <w:r w:rsidR="005C63E2">
        <w:rPr>
          <w:rFonts w:cstheme="minorHAnsi"/>
        </w:rPr>
        <w:t xml:space="preserve"> </w:t>
      </w:r>
    </w:p>
    <w:p w14:paraId="78295EA7" w14:textId="4A39A22F" w:rsidR="00412B27" w:rsidRPr="00EB242F" w:rsidRDefault="00412B27" w:rsidP="00EB242F">
      <w:pPr>
        <w:spacing w:line="480" w:lineRule="auto"/>
        <w:rPr>
          <w:rFonts w:cstheme="minorHAnsi"/>
          <w:i/>
        </w:rPr>
      </w:pPr>
      <w:r w:rsidRPr="00EB242F">
        <w:rPr>
          <w:rFonts w:cstheme="minorHAnsi"/>
          <w:i/>
        </w:rPr>
        <w:t>Conclusions</w:t>
      </w:r>
    </w:p>
    <w:p w14:paraId="4E2BF7EE" w14:textId="5CBB2365" w:rsidR="00E56325" w:rsidRPr="00823784" w:rsidRDefault="00047563" w:rsidP="00387A01">
      <w:pPr>
        <w:spacing w:line="480" w:lineRule="auto"/>
        <w:ind w:firstLine="360"/>
        <w:rPr>
          <w:rFonts w:cstheme="minorHAnsi"/>
        </w:rPr>
      </w:pPr>
      <w:r>
        <w:rPr>
          <w:rFonts w:cstheme="minorHAnsi"/>
        </w:rPr>
        <w:t xml:space="preserve">We </w:t>
      </w:r>
      <w:r w:rsidR="00ED5A0E">
        <w:rPr>
          <w:rFonts w:cstheme="minorHAnsi"/>
        </w:rPr>
        <w:t xml:space="preserve">present novel data </w:t>
      </w:r>
      <w:r>
        <w:rPr>
          <w:rFonts w:cstheme="minorHAnsi"/>
        </w:rPr>
        <w:t>examin</w:t>
      </w:r>
      <w:r w:rsidR="006B334F">
        <w:rPr>
          <w:rFonts w:cstheme="minorHAnsi"/>
        </w:rPr>
        <w:t>ing</w:t>
      </w:r>
      <w:r w:rsidR="00412B27">
        <w:rPr>
          <w:rFonts w:cstheme="minorHAnsi"/>
        </w:rPr>
        <w:t xml:space="preserve"> self-structure in individ</w:t>
      </w:r>
      <w:r w:rsidR="00504E8B">
        <w:rPr>
          <w:rFonts w:cstheme="minorHAnsi"/>
        </w:rPr>
        <w:t>uals with persecutory delusions</w:t>
      </w:r>
      <w:r w:rsidR="00E56325">
        <w:rPr>
          <w:rFonts w:cstheme="minorHAnsi"/>
        </w:rPr>
        <w:t>, including the extent to which self</w:t>
      </w:r>
      <w:r w:rsidR="00387A01">
        <w:rPr>
          <w:rFonts w:cstheme="minorHAnsi"/>
        </w:rPr>
        <w:t>-</w:t>
      </w:r>
      <w:r w:rsidR="00E56325">
        <w:rPr>
          <w:rFonts w:cstheme="minorHAnsi"/>
        </w:rPr>
        <w:t xml:space="preserve">structure is amendable to change following psychological therapy.  </w:t>
      </w:r>
      <w:r w:rsidR="003C4C94">
        <w:rPr>
          <w:rFonts w:cstheme="minorHAnsi"/>
        </w:rPr>
        <w:t xml:space="preserve">Findings support the central role of the self in theoretical models of paranoid thinking. </w:t>
      </w:r>
      <w:r w:rsidR="00E56325">
        <w:rPr>
          <w:rFonts w:cstheme="minorHAnsi"/>
        </w:rPr>
        <w:t xml:space="preserve">Our </w:t>
      </w:r>
      <w:r w:rsidR="003E7E35">
        <w:rPr>
          <w:rFonts w:cstheme="minorHAnsi"/>
        </w:rPr>
        <w:t xml:space="preserve">studies </w:t>
      </w:r>
      <w:r w:rsidR="00E56325">
        <w:rPr>
          <w:rFonts w:cstheme="minorHAnsi"/>
        </w:rPr>
        <w:t>s</w:t>
      </w:r>
      <w:r w:rsidR="00361D5C">
        <w:rPr>
          <w:rFonts w:cstheme="minorHAnsi"/>
        </w:rPr>
        <w:t>uggest</w:t>
      </w:r>
      <w:r w:rsidR="00E56325">
        <w:rPr>
          <w:rFonts w:cstheme="minorHAnsi"/>
        </w:rPr>
        <w:t xml:space="preserve"> that individuals with persecutory delusions have more compartmentalised </w:t>
      </w:r>
      <w:r w:rsidR="00736D87">
        <w:rPr>
          <w:rFonts w:cstheme="minorHAnsi"/>
        </w:rPr>
        <w:t xml:space="preserve">and negative </w:t>
      </w:r>
      <w:r w:rsidR="00E56325">
        <w:rPr>
          <w:rFonts w:cstheme="minorHAnsi"/>
        </w:rPr>
        <w:t xml:space="preserve">self-structures compared with healthy controls, </w:t>
      </w:r>
      <w:r w:rsidR="00361D5C">
        <w:rPr>
          <w:rFonts w:cstheme="minorHAnsi"/>
        </w:rPr>
        <w:t xml:space="preserve">that self-structure </w:t>
      </w:r>
      <w:r w:rsidR="003E7E35">
        <w:rPr>
          <w:rFonts w:cstheme="minorHAnsi"/>
        </w:rPr>
        <w:t>may be unre</w:t>
      </w:r>
      <w:r w:rsidR="00D149AA">
        <w:rPr>
          <w:rFonts w:cstheme="minorHAnsi"/>
        </w:rPr>
        <w:t>l</w:t>
      </w:r>
      <w:r w:rsidR="003E7E35">
        <w:rPr>
          <w:rFonts w:cstheme="minorHAnsi"/>
        </w:rPr>
        <w:t xml:space="preserve">ated to </w:t>
      </w:r>
      <w:r w:rsidR="00D149AA">
        <w:rPr>
          <w:rFonts w:cstheme="minorHAnsi"/>
        </w:rPr>
        <w:t xml:space="preserve">overall </w:t>
      </w:r>
      <w:r w:rsidR="003E7E35">
        <w:rPr>
          <w:rFonts w:cstheme="minorHAnsi"/>
        </w:rPr>
        <w:t xml:space="preserve">delusional intensity, </w:t>
      </w:r>
      <w:r w:rsidR="00E56325">
        <w:rPr>
          <w:rFonts w:cstheme="minorHAnsi"/>
        </w:rPr>
        <w:t xml:space="preserve">and that </w:t>
      </w:r>
      <w:r w:rsidR="00785AEF">
        <w:rPr>
          <w:rFonts w:cstheme="minorHAnsi"/>
        </w:rPr>
        <w:t xml:space="preserve">in line with its theoretical underpinnings (Chadwick, 2006), </w:t>
      </w:r>
      <w:r w:rsidR="00736D87">
        <w:rPr>
          <w:rFonts w:cstheme="minorHAnsi"/>
        </w:rPr>
        <w:t xml:space="preserve">mindfulness for psychosis might </w:t>
      </w:r>
      <w:r w:rsidR="00785AEF">
        <w:rPr>
          <w:rFonts w:cstheme="minorHAnsi"/>
        </w:rPr>
        <w:t xml:space="preserve">reduce compartmentalisation and </w:t>
      </w:r>
      <w:r w:rsidR="002E55D8">
        <w:rPr>
          <w:rFonts w:cstheme="minorHAnsi"/>
        </w:rPr>
        <w:t xml:space="preserve">establish greater emotional balance in </w:t>
      </w:r>
      <w:r w:rsidR="00D7519C">
        <w:rPr>
          <w:rFonts w:cstheme="minorHAnsi"/>
        </w:rPr>
        <w:t>self-structure in people with current persecutory delusions.</w:t>
      </w:r>
      <w:r w:rsidR="00E56325">
        <w:rPr>
          <w:rFonts w:cstheme="minorHAnsi"/>
        </w:rPr>
        <w:t xml:space="preserve"> </w:t>
      </w:r>
    </w:p>
    <w:p w14:paraId="200FC1C3" w14:textId="69313B38" w:rsidR="00412B27" w:rsidRPr="00412B27" w:rsidRDefault="00412B27" w:rsidP="00412B27">
      <w:pPr>
        <w:pStyle w:val="ListParagraph"/>
        <w:spacing w:line="480" w:lineRule="auto"/>
        <w:ind w:left="360"/>
        <w:rPr>
          <w:rFonts w:cstheme="minorHAnsi"/>
        </w:rPr>
      </w:pPr>
    </w:p>
    <w:p w14:paraId="156B4156" w14:textId="77777777" w:rsidR="005D0BDF" w:rsidRPr="005D0BDF" w:rsidRDefault="005D0BDF" w:rsidP="00F71C18">
      <w:pPr>
        <w:pStyle w:val="Heading2"/>
        <w:spacing w:line="480" w:lineRule="auto"/>
        <w:rPr>
          <w:rFonts w:asciiTheme="minorHAnsi" w:hAnsiTheme="minorHAnsi" w:cstheme="minorHAnsi"/>
          <w:color w:val="505050"/>
          <w:sz w:val="22"/>
          <w:szCs w:val="22"/>
        </w:rPr>
      </w:pPr>
      <w:r w:rsidRPr="005D0BDF">
        <w:rPr>
          <w:rFonts w:asciiTheme="minorHAnsi" w:hAnsiTheme="minorHAnsi" w:cstheme="minorHAnsi"/>
          <w:color w:val="505050"/>
          <w:sz w:val="22"/>
          <w:szCs w:val="22"/>
        </w:rPr>
        <w:t>Acknowledgements</w:t>
      </w:r>
    </w:p>
    <w:p w14:paraId="4EB62FE5" w14:textId="752558B5" w:rsidR="005D0BDF" w:rsidRPr="005D0BDF" w:rsidRDefault="005D0BDF" w:rsidP="00F71C18">
      <w:pPr>
        <w:pStyle w:val="NormalWeb"/>
        <w:spacing w:before="0" w:beforeAutospacing="0" w:after="0" w:afterAutospacing="0" w:line="480" w:lineRule="auto"/>
        <w:rPr>
          <w:rFonts w:asciiTheme="minorHAnsi" w:hAnsiTheme="minorHAnsi" w:cstheme="minorHAnsi"/>
          <w:color w:val="2E2E2E"/>
          <w:sz w:val="22"/>
          <w:szCs w:val="22"/>
        </w:rPr>
      </w:pPr>
      <w:r w:rsidRPr="005D0BDF">
        <w:rPr>
          <w:rFonts w:asciiTheme="minorHAnsi" w:hAnsiTheme="minorHAnsi" w:cstheme="minorHAnsi"/>
          <w:color w:val="2E2E2E"/>
          <w:sz w:val="22"/>
          <w:szCs w:val="22"/>
        </w:rPr>
        <w:t xml:space="preserve">This publication presents independent research funded </w:t>
      </w:r>
      <w:r w:rsidR="001F7635">
        <w:rPr>
          <w:rFonts w:asciiTheme="minorHAnsi" w:hAnsiTheme="minorHAnsi" w:cstheme="minorHAnsi"/>
          <w:color w:val="2E2E2E"/>
          <w:sz w:val="22"/>
          <w:szCs w:val="22"/>
        </w:rPr>
        <w:t xml:space="preserve">in part </w:t>
      </w:r>
      <w:r w:rsidRPr="005D0BDF">
        <w:rPr>
          <w:rFonts w:asciiTheme="minorHAnsi" w:hAnsiTheme="minorHAnsi" w:cstheme="minorHAnsi"/>
          <w:color w:val="2E2E2E"/>
          <w:sz w:val="22"/>
          <w:szCs w:val="22"/>
        </w:rPr>
        <w:t>by the National Institute for Health Research (NIHR). The views expressed are those of the author(s) and not necessarily those of the NHS, the NIHR or the Department of Health and Social Care.</w:t>
      </w:r>
    </w:p>
    <w:p w14:paraId="532B4B64" w14:textId="77777777" w:rsidR="00AA790A" w:rsidRDefault="00AA790A" w:rsidP="000259EA">
      <w:pPr>
        <w:spacing w:line="480" w:lineRule="auto"/>
        <w:rPr>
          <w:rFonts w:cstheme="minorHAnsi"/>
          <w:b/>
          <w:sz w:val="24"/>
          <w:szCs w:val="24"/>
        </w:rPr>
      </w:pPr>
    </w:p>
    <w:p w14:paraId="6CB34247" w14:textId="77777777" w:rsidR="004D6C1E" w:rsidRDefault="004D6C1E" w:rsidP="000259EA">
      <w:pPr>
        <w:spacing w:line="480" w:lineRule="auto"/>
        <w:rPr>
          <w:rFonts w:cstheme="minorHAnsi"/>
          <w:b/>
          <w:sz w:val="24"/>
          <w:szCs w:val="24"/>
        </w:rPr>
      </w:pPr>
    </w:p>
    <w:p w14:paraId="725A4830" w14:textId="77777777" w:rsidR="004D6C1E" w:rsidRDefault="004D6C1E" w:rsidP="000259EA">
      <w:pPr>
        <w:spacing w:line="480" w:lineRule="auto"/>
        <w:rPr>
          <w:rFonts w:cstheme="minorHAnsi"/>
          <w:b/>
          <w:sz w:val="24"/>
          <w:szCs w:val="24"/>
        </w:rPr>
      </w:pPr>
    </w:p>
    <w:p w14:paraId="03F6D3C3" w14:textId="77777777" w:rsidR="004D6C1E" w:rsidRDefault="004D6C1E" w:rsidP="000259EA">
      <w:pPr>
        <w:spacing w:line="480" w:lineRule="auto"/>
        <w:rPr>
          <w:rFonts w:cstheme="minorHAnsi"/>
          <w:b/>
          <w:sz w:val="24"/>
          <w:szCs w:val="24"/>
        </w:rPr>
      </w:pPr>
    </w:p>
    <w:p w14:paraId="36B9D4AB" w14:textId="77777777" w:rsidR="00220118" w:rsidRDefault="00220118">
      <w:pPr>
        <w:rPr>
          <w:rFonts w:cstheme="minorHAnsi"/>
          <w:b/>
          <w:sz w:val="24"/>
          <w:szCs w:val="24"/>
        </w:rPr>
      </w:pPr>
      <w:r>
        <w:rPr>
          <w:rFonts w:cstheme="minorHAnsi"/>
          <w:b/>
          <w:sz w:val="24"/>
          <w:szCs w:val="24"/>
        </w:rPr>
        <w:br w:type="page"/>
      </w:r>
    </w:p>
    <w:p w14:paraId="4371BC83" w14:textId="0B5AD569" w:rsidR="00FA6518" w:rsidRPr="008840BC" w:rsidRDefault="008B57FD" w:rsidP="00116F3D">
      <w:pPr>
        <w:spacing w:line="480" w:lineRule="auto"/>
        <w:jc w:val="center"/>
        <w:rPr>
          <w:rFonts w:cstheme="minorHAnsi"/>
          <w:b/>
          <w:sz w:val="24"/>
          <w:szCs w:val="24"/>
        </w:rPr>
      </w:pPr>
      <w:r>
        <w:rPr>
          <w:rFonts w:cstheme="minorHAnsi"/>
          <w:b/>
          <w:sz w:val="24"/>
          <w:szCs w:val="24"/>
        </w:rPr>
        <w:t>R</w:t>
      </w:r>
      <w:r w:rsidR="00FA6518" w:rsidRPr="008840BC">
        <w:rPr>
          <w:rFonts w:cstheme="minorHAnsi"/>
          <w:b/>
          <w:sz w:val="24"/>
          <w:szCs w:val="24"/>
        </w:rPr>
        <w:t>eferences</w:t>
      </w:r>
    </w:p>
    <w:p w14:paraId="5DF47075" w14:textId="77777777" w:rsidR="003C3D9C" w:rsidRDefault="00044D6A" w:rsidP="003C3D9C">
      <w:pPr>
        <w:widowControl w:val="0"/>
        <w:autoSpaceDE w:val="0"/>
        <w:autoSpaceDN w:val="0"/>
        <w:adjustRightInd w:val="0"/>
        <w:spacing w:after="0" w:line="360" w:lineRule="auto"/>
        <w:rPr>
          <w:rFonts w:cstheme="minorHAnsi"/>
          <w:sz w:val="24"/>
          <w:szCs w:val="24"/>
        </w:rPr>
      </w:pPr>
      <w:r w:rsidRPr="00044D6A">
        <w:rPr>
          <w:rFonts w:cstheme="minorHAnsi"/>
          <w:sz w:val="24"/>
          <w:szCs w:val="24"/>
        </w:rPr>
        <w:t xml:space="preserve">Beck, A.T., Steer, R.A., Brown, G.K., 1996. </w:t>
      </w:r>
      <w:r w:rsidRPr="00116F3D">
        <w:rPr>
          <w:rFonts w:cstheme="minorHAnsi"/>
          <w:i/>
          <w:sz w:val="24"/>
          <w:szCs w:val="24"/>
        </w:rPr>
        <w:t>Manual for the Beck Depression Inventory-II</w:t>
      </w:r>
      <w:r w:rsidRPr="00044D6A">
        <w:rPr>
          <w:rFonts w:cstheme="minorHAnsi"/>
          <w:sz w:val="24"/>
          <w:szCs w:val="24"/>
        </w:rPr>
        <w:t xml:space="preserve">. San </w:t>
      </w:r>
    </w:p>
    <w:p w14:paraId="7253250B" w14:textId="058B3078" w:rsidR="00044D6A" w:rsidRPr="00044D6A" w:rsidRDefault="00044D6A" w:rsidP="003C3D9C">
      <w:pPr>
        <w:widowControl w:val="0"/>
        <w:autoSpaceDE w:val="0"/>
        <w:autoSpaceDN w:val="0"/>
        <w:adjustRightInd w:val="0"/>
        <w:spacing w:after="0" w:line="360" w:lineRule="auto"/>
        <w:ind w:firstLine="709"/>
        <w:rPr>
          <w:rFonts w:cstheme="minorHAnsi"/>
          <w:sz w:val="24"/>
          <w:szCs w:val="24"/>
        </w:rPr>
      </w:pPr>
      <w:r w:rsidRPr="00044D6A">
        <w:rPr>
          <w:rFonts w:cstheme="minorHAnsi"/>
          <w:sz w:val="24"/>
          <w:szCs w:val="24"/>
        </w:rPr>
        <w:t>Antonio, TX: Psychological Corporation.</w:t>
      </w:r>
    </w:p>
    <w:p w14:paraId="24470D96" w14:textId="1F6E2CA2" w:rsidR="00C0606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Bentall, R. P., Corcoran, R., Howard, R., Blackwood, N., &amp; </w:t>
      </w:r>
      <w:proofErr w:type="spellStart"/>
      <w:r w:rsidRPr="001A3B33">
        <w:rPr>
          <w:rFonts w:cstheme="minorHAnsi"/>
          <w:sz w:val="24"/>
          <w:szCs w:val="24"/>
        </w:rPr>
        <w:t>Kinderman</w:t>
      </w:r>
      <w:proofErr w:type="spellEnd"/>
      <w:r w:rsidRPr="001A3B33">
        <w:rPr>
          <w:rFonts w:cstheme="minorHAnsi"/>
          <w:sz w:val="24"/>
          <w:szCs w:val="24"/>
        </w:rPr>
        <w:t>, P. (2001). Persecutory delusions: A review and theoretical integration. </w:t>
      </w:r>
      <w:r w:rsidRPr="001A3B33">
        <w:rPr>
          <w:rFonts w:cstheme="minorHAnsi"/>
          <w:i/>
          <w:iCs/>
          <w:sz w:val="24"/>
          <w:szCs w:val="24"/>
        </w:rPr>
        <w:t>Clinical Psychology Review</w:t>
      </w:r>
      <w:r w:rsidRPr="001A3B33">
        <w:rPr>
          <w:rFonts w:cstheme="minorHAnsi"/>
          <w:sz w:val="24"/>
          <w:szCs w:val="24"/>
        </w:rPr>
        <w:t>, </w:t>
      </w:r>
      <w:r w:rsidRPr="001A3B33">
        <w:rPr>
          <w:rFonts w:cstheme="minorHAnsi"/>
          <w:i/>
          <w:iCs/>
          <w:sz w:val="24"/>
          <w:szCs w:val="24"/>
        </w:rPr>
        <w:t>21</w:t>
      </w:r>
      <w:r w:rsidRPr="001A3B33">
        <w:rPr>
          <w:rFonts w:cstheme="minorHAnsi"/>
          <w:sz w:val="24"/>
          <w:szCs w:val="24"/>
        </w:rPr>
        <w:t>, 1143-1192.</w:t>
      </w:r>
      <w:r>
        <w:rPr>
          <w:rFonts w:cstheme="minorHAnsi"/>
          <w:sz w:val="24"/>
          <w:szCs w:val="24"/>
        </w:rPr>
        <w:t xml:space="preserve"> </w:t>
      </w:r>
      <w:r w:rsidRPr="00871893">
        <w:rPr>
          <w:rFonts w:cstheme="minorHAnsi"/>
          <w:sz w:val="24"/>
          <w:szCs w:val="24"/>
        </w:rPr>
        <w:t>https://doi.org/10.1016/S0272-7358(01)00106-4</w:t>
      </w:r>
    </w:p>
    <w:p w14:paraId="54E10922" w14:textId="77777777" w:rsidR="00C0606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Chadwick, P.  (2003).  Two chairs, schemata and a person based approach to psychosis.  </w:t>
      </w:r>
      <w:r w:rsidRPr="001A3B33">
        <w:rPr>
          <w:rFonts w:cstheme="minorHAnsi"/>
          <w:i/>
          <w:sz w:val="24"/>
          <w:szCs w:val="24"/>
        </w:rPr>
        <w:t xml:space="preserve">Behavioural and Cognitive Psychotherapy, 31, </w:t>
      </w:r>
      <w:r w:rsidRPr="001A3B33">
        <w:rPr>
          <w:rFonts w:cstheme="minorHAnsi"/>
          <w:sz w:val="24"/>
          <w:szCs w:val="24"/>
        </w:rPr>
        <w:t>439-449.</w:t>
      </w:r>
    </w:p>
    <w:p w14:paraId="58284ECB" w14:textId="055C31BC" w:rsidR="00C0606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Chadwick, P. </w:t>
      </w:r>
      <w:r w:rsidR="00116F3D">
        <w:rPr>
          <w:rFonts w:cstheme="minorHAnsi"/>
          <w:sz w:val="24"/>
          <w:szCs w:val="24"/>
        </w:rPr>
        <w:t>(</w:t>
      </w:r>
      <w:r w:rsidRPr="001A3B33">
        <w:rPr>
          <w:rFonts w:cstheme="minorHAnsi"/>
          <w:sz w:val="24"/>
          <w:szCs w:val="24"/>
        </w:rPr>
        <w:t>2006</w:t>
      </w:r>
      <w:r w:rsidR="00116F3D">
        <w:rPr>
          <w:rFonts w:cstheme="minorHAnsi"/>
          <w:sz w:val="24"/>
          <w:szCs w:val="24"/>
        </w:rPr>
        <w:t>)</w:t>
      </w:r>
      <w:r w:rsidRPr="001A3B33">
        <w:rPr>
          <w:rFonts w:cstheme="minorHAnsi"/>
          <w:sz w:val="24"/>
          <w:szCs w:val="24"/>
        </w:rPr>
        <w:t xml:space="preserve">. </w:t>
      </w:r>
      <w:r w:rsidRPr="00116F3D">
        <w:rPr>
          <w:rFonts w:cstheme="minorHAnsi"/>
          <w:i/>
          <w:iCs/>
          <w:sz w:val="24"/>
          <w:szCs w:val="24"/>
        </w:rPr>
        <w:t>Person-Based Cognitive Therapy for Distressing Psychosis</w:t>
      </w:r>
      <w:r w:rsidRPr="001A3B33">
        <w:rPr>
          <w:rFonts w:cstheme="minorHAnsi"/>
          <w:sz w:val="24"/>
          <w:szCs w:val="24"/>
        </w:rPr>
        <w:t>. Chichester: John Wiley &amp; Sons Ltd.</w:t>
      </w:r>
    </w:p>
    <w:p w14:paraId="1D639BBD" w14:textId="48700A26" w:rsidR="00C0606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Chadwick, P., Birchwood, M., Trower, P. </w:t>
      </w:r>
      <w:r w:rsidR="001B2988">
        <w:rPr>
          <w:rFonts w:cstheme="minorHAnsi"/>
          <w:sz w:val="24"/>
          <w:szCs w:val="24"/>
        </w:rPr>
        <w:t>(</w:t>
      </w:r>
      <w:r w:rsidRPr="001A3B33">
        <w:rPr>
          <w:rFonts w:cstheme="minorHAnsi"/>
          <w:sz w:val="24"/>
          <w:szCs w:val="24"/>
        </w:rPr>
        <w:t>1996</w:t>
      </w:r>
      <w:r w:rsidR="001B2988">
        <w:rPr>
          <w:rFonts w:cstheme="minorHAnsi"/>
          <w:sz w:val="24"/>
          <w:szCs w:val="24"/>
        </w:rPr>
        <w:t>)</w:t>
      </w:r>
      <w:r w:rsidRPr="001A3B33">
        <w:rPr>
          <w:rFonts w:cstheme="minorHAnsi"/>
          <w:sz w:val="24"/>
          <w:szCs w:val="24"/>
        </w:rPr>
        <w:t xml:space="preserve">. </w:t>
      </w:r>
      <w:r w:rsidR="001B2988">
        <w:rPr>
          <w:rFonts w:cstheme="minorHAnsi"/>
          <w:sz w:val="24"/>
          <w:szCs w:val="24"/>
        </w:rPr>
        <w:t xml:space="preserve"> </w:t>
      </w:r>
      <w:r w:rsidRPr="001B2988">
        <w:rPr>
          <w:rFonts w:cstheme="minorHAnsi"/>
          <w:i/>
          <w:sz w:val="24"/>
          <w:szCs w:val="24"/>
        </w:rPr>
        <w:t>Cognitive Therapy for Delusions, Voices and Paranoia.</w:t>
      </w:r>
      <w:r w:rsidRPr="001A3B33">
        <w:rPr>
          <w:rFonts w:cstheme="minorHAnsi"/>
          <w:iCs/>
          <w:sz w:val="24"/>
          <w:szCs w:val="24"/>
        </w:rPr>
        <w:t xml:space="preserve"> </w:t>
      </w:r>
      <w:r w:rsidRPr="001A3B33">
        <w:rPr>
          <w:rFonts w:cstheme="minorHAnsi"/>
          <w:sz w:val="24"/>
          <w:szCs w:val="24"/>
        </w:rPr>
        <w:t>Chichester: Wiley.</w:t>
      </w:r>
    </w:p>
    <w:p w14:paraId="7BD73BA3" w14:textId="4478F0D0" w:rsidR="000D57E4" w:rsidRPr="000D57E4" w:rsidRDefault="000D57E4" w:rsidP="001B2988">
      <w:pPr>
        <w:widowControl w:val="0"/>
        <w:overflowPunct w:val="0"/>
        <w:autoSpaceDE w:val="0"/>
        <w:autoSpaceDN w:val="0"/>
        <w:adjustRightInd w:val="0"/>
        <w:spacing w:after="0" w:line="360" w:lineRule="auto"/>
        <w:ind w:right="240"/>
        <w:rPr>
          <w:rFonts w:cstheme="minorHAnsi"/>
          <w:sz w:val="24"/>
          <w:szCs w:val="24"/>
        </w:rPr>
      </w:pPr>
      <w:r w:rsidRPr="000D57E4">
        <w:rPr>
          <w:rFonts w:cstheme="minorHAnsi"/>
          <w:sz w:val="24"/>
          <w:szCs w:val="24"/>
          <w:shd w:val="clear" w:color="auto" w:fill="FFFFFF"/>
        </w:rPr>
        <w:t xml:space="preserve">Chadwick, P., Strauss, C., Jones, A.M., </w:t>
      </w:r>
      <w:proofErr w:type="spellStart"/>
      <w:r w:rsidRPr="000D57E4">
        <w:rPr>
          <w:rFonts w:cstheme="minorHAnsi"/>
          <w:sz w:val="24"/>
          <w:szCs w:val="24"/>
          <w:shd w:val="clear" w:color="auto" w:fill="FFFFFF"/>
        </w:rPr>
        <w:t>Kingdon</w:t>
      </w:r>
      <w:proofErr w:type="spellEnd"/>
      <w:r w:rsidRPr="000D57E4">
        <w:rPr>
          <w:rFonts w:cstheme="minorHAnsi"/>
          <w:sz w:val="24"/>
          <w:szCs w:val="24"/>
          <w:shd w:val="clear" w:color="auto" w:fill="FFFFFF"/>
        </w:rPr>
        <w:t xml:space="preserve">, D., Ellett, L., </w:t>
      </w:r>
      <w:proofErr w:type="spellStart"/>
      <w:r w:rsidRPr="000D57E4">
        <w:rPr>
          <w:rFonts w:cstheme="minorHAnsi"/>
          <w:sz w:val="24"/>
          <w:szCs w:val="24"/>
          <w:shd w:val="clear" w:color="auto" w:fill="FFFFFF"/>
        </w:rPr>
        <w:t>Dannahy</w:t>
      </w:r>
      <w:proofErr w:type="spellEnd"/>
      <w:r w:rsidRPr="000D57E4">
        <w:rPr>
          <w:rFonts w:cstheme="minorHAnsi"/>
          <w:sz w:val="24"/>
          <w:szCs w:val="24"/>
          <w:shd w:val="clear" w:color="auto" w:fill="FFFFFF"/>
        </w:rPr>
        <w:t>, L., Hayward, M.</w:t>
      </w:r>
      <w:r w:rsidR="001B2988">
        <w:rPr>
          <w:rFonts w:cstheme="minorHAnsi"/>
          <w:sz w:val="24"/>
          <w:szCs w:val="24"/>
          <w:shd w:val="clear" w:color="auto" w:fill="FFFFFF"/>
        </w:rPr>
        <w:t xml:space="preserve"> </w:t>
      </w:r>
      <w:r w:rsidR="001B2988">
        <w:rPr>
          <w:rFonts w:cstheme="minorHAnsi"/>
          <w:sz w:val="24"/>
          <w:szCs w:val="24"/>
          <w:shd w:val="clear" w:color="auto" w:fill="FFFFFF"/>
        </w:rPr>
        <w:tab/>
        <w:t>(</w:t>
      </w:r>
      <w:r w:rsidRPr="000D57E4">
        <w:rPr>
          <w:rFonts w:cstheme="minorHAnsi"/>
          <w:sz w:val="24"/>
          <w:szCs w:val="24"/>
          <w:shd w:val="clear" w:color="auto" w:fill="FFFFFF"/>
        </w:rPr>
        <w:t>2016</w:t>
      </w:r>
      <w:r w:rsidR="001B2988">
        <w:rPr>
          <w:rFonts w:cstheme="minorHAnsi"/>
          <w:sz w:val="24"/>
          <w:szCs w:val="24"/>
          <w:shd w:val="clear" w:color="auto" w:fill="FFFFFF"/>
        </w:rPr>
        <w:t>).</w:t>
      </w:r>
      <w:r w:rsidRPr="000D57E4">
        <w:rPr>
          <w:rFonts w:cstheme="minorHAnsi"/>
          <w:sz w:val="24"/>
          <w:szCs w:val="24"/>
          <w:shd w:val="clear" w:color="auto" w:fill="FFFFFF"/>
        </w:rPr>
        <w:t xml:space="preserve"> </w:t>
      </w:r>
      <w:r w:rsidR="001B2988">
        <w:rPr>
          <w:rFonts w:cstheme="minorHAnsi"/>
          <w:sz w:val="24"/>
          <w:szCs w:val="24"/>
          <w:shd w:val="clear" w:color="auto" w:fill="FFFFFF"/>
        </w:rPr>
        <w:t xml:space="preserve"> </w:t>
      </w:r>
      <w:r w:rsidRPr="000D57E4">
        <w:rPr>
          <w:rFonts w:cstheme="minorHAnsi"/>
          <w:sz w:val="24"/>
          <w:szCs w:val="24"/>
          <w:shd w:val="clear" w:color="auto" w:fill="FFFFFF"/>
        </w:rPr>
        <w:t>Group mindfulness-based intervention for distressing voices: A pragmatic randomised controlled trial.</w:t>
      </w:r>
      <w:r w:rsidRPr="000D57E4">
        <w:rPr>
          <w:rStyle w:val="apple-converted-space"/>
          <w:rFonts w:cstheme="minorHAnsi"/>
          <w:sz w:val="24"/>
          <w:szCs w:val="24"/>
          <w:shd w:val="clear" w:color="auto" w:fill="FFFFFF"/>
        </w:rPr>
        <w:t> </w:t>
      </w:r>
      <w:r w:rsidRPr="000D57E4">
        <w:rPr>
          <w:rFonts w:cstheme="minorHAnsi"/>
          <w:iCs/>
          <w:sz w:val="24"/>
          <w:szCs w:val="24"/>
          <w:shd w:val="clear" w:color="auto" w:fill="FFFFFF"/>
        </w:rPr>
        <w:t xml:space="preserve"> </w:t>
      </w:r>
      <w:r w:rsidRPr="004D5DE3">
        <w:rPr>
          <w:rFonts w:cstheme="minorHAnsi"/>
          <w:i/>
          <w:sz w:val="24"/>
          <w:szCs w:val="24"/>
          <w:shd w:val="clear" w:color="auto" w:fill="FFFFFF"/>
        </w:rPr>
        <w:t>Schizophr</w:t>
      </w:r>
      <w:r w:rsidR="004D5DE3" w:rsidRPr="004D5DE3">
        <w:rPr>
          <w:rFonts w:cstheme="minorHAnsi"/>
          <w:i/>
          <w:sz w:val="24"/>
          <w:szCs w:val="24"/>
          <w:shd w:val="clear" w:color="auto" w:fill="FFFFFF"/>
        </w:rPr>
        <w:t>enia</w:t>
      </w:r>
      <w:r w:rsidRPr="004D5DE3">
        <w:rPr>
          <w:rFonts w:cstheme="minorHAnsi"/>
          <w:i/>
          <w:sz w:val="24"/>
          <w:szCs w:val="24"/>
          <w:shd w:val="clear" w:color="auto" w:fill="FFFFFF"/>
        </w:rPr>
        <w:t xml:space="preserve"> Res</w:t>
      </w:r>
      <w:r w:rsidR="004D5DE3" w:rsidRPr="004D5DE3">
        <w:rPr>
          <w:rFonts w:cstheme="minorHAnsi"/>
          <w:i/>
          <w:sz w:val="24"/>
          <w:szCs w:val="24"/>
          <w:shd w:val="clear" w:color="auto" w:fill="FFFFFF"/>
        </w:rPr>
        <w:t>earch</w:t>
      </w:r>
      <w:r w:rsidR="004D5DE3">
        <w:rPr>
          <w:rFonts w:cstheme="minorHAnsi"/>
          <w:iCs/>
          <w:sz w:val="24"/>
          <w:szCs w:val="24"/>
          <w:shd w:val="clear" w:color="auto" w:fill="FFFFFF"/>
        </w:rPr>
        <w:t>,</w:t>
      </w:r>
      <w:r w:rsidRPr="000D57E4">
        <w:rPr>
          <w:rFonts w:cstheme="minorHAnsi"/>
          <w:sz w:val="24"/>
          <w:szCs w:val="24"/>
          <w:shd w:val="clear" w:color="auto" w:fill="FFFFFF"/>
        </w:rPr>
        <w:t xml:space="preserve"> </w:t>
      </w:r>
      <w:r w:rsidRPr="001B2988">
        <w:rPr>
          <w:rFonts w:cstheme="minorHAnsi"/>
          <w:i/>
          <w:sz w:val="24"/>
          <w:szCs w:val="24"/>
          <w:shd w:val="clear" w:color="auto" w:fill="FFFFFF"/>
        </w:rPr>
        <w:t>175</w:t>
      </w:r>
      <w:r w:rsidRPr="000D57E4">
        <w:rPr>
          <w:rFonts w:cstheme="minorHAnsi"/>
          <w:sz w:val="24"/>
          <w:szCs w:val="24"/>
          <w:shd w:val="clear" w:color="auto" w:fill="FFFFFF"/>
        </w:rPr>
        <w:t>(1-3)</w:t>
      </w:r>
      <w:r w:rsidR="004D5DE3">
        <w:rPr>
          <w:rFonts w:cstheme="minorHAnsi"/>
          <w:sz w:val="24"/>
          <w:szCs w:val="24"/>
          <w:shd w:val="clear" w:color="auto" w:fill="FFFFFF"/>
        </w:rPr>
        <w:t>,</w:t>
      </w:r>
      <w:r w:rsidRPr="000D57E4">
        <w:rPr>
          <w:rFonts w:cstheme="minorHAnsi"/>
          <w:sz w:val="24"/>
          <w:szCs w:val="24"/>
          <w:shd w:val="clear" w:color="auto" w:fill="FFFFFF"/>
        </w:rPr>
        <w:t xml:space="preserve"> 168–173.</w:t>
      </w:r>
    </w:p>
    <w:p w14:paraId="115A5AE9" w14:textId="3FFDC6AA" w:rsidR="00C06063" w:rsidRPr="001A3B33" w:rsidRDefault="00C06063" w:rsidP="00C06063">
      <w:pPr>
        <w:widowControl w:val="0"/>
        <w:spacing w:after="0" w:line="480" w:lineRule="auto"/>
        <w:ind w:left="709" w:hanging="709"/>
        <w:rPr>
          <w:rFonts w:cstheme="minorHAnsi"/>
          <w:sz w:val="24"/>
          <w:szCs w:val="24"/>
        </w:rPr>
      </w:pPr>
      <w:r w:rsidRPr="001A3B33">
        <w:rPr>
          <w:rFonts w:cstheme="minorHAnsi"/>
          <w:sz w:val="24"/>
          <w:szCs w:val="24"/>
        </w:rPr>
        <w:t>Clifford, G., Hitchcock, C., &amp; Dalglei</w:t>
      </w:r>
      <w:r>
        <w:rPr>
          <w:rFonts w:cstheme="minorHAnsi"/>
          <w:sz w:val="24"/>
          <w:szCs w:val="24"/>
        </w:rPr>
        <w:t>s</w:t>
      </w:r>
      <w:r w:rsidRPr="001A3B33">
        <w:rPr>
          <w:rFonts w:cstheme="minorHAnsi"/>
          <w:sz w:val="24"/>
          <w:szCs w:val="24"/>
        </w:rPr>
        <w:t xml:space="preserve">h, T.  (2020).  Compartmentalisation of self-representations in female survivors of sexual abuse and assault, with </w:t>
      </w:r>
      <w:proofErr w:type="spellStart"/>
      <w:r w:rsidRPr="001A3B33">
        <w:rPr>
          <w:rFonts w:cstheme="minorHAnsi"/>
          <w:sz w:val="24"/>
          <w:szCs w:val="24"/>
        </w:rPr>
        <w:t>post traumatic</w:t>
      </w:r>
      <w:proofErr w:type="spellEnd"/>
      <w:r w:rsidRPr="001A3B33">
        <w:rPr>
          <w:rFonts w:cstheme="minorHAnsi"/>
          <w:sz w:val="24"/>
          <w:szCs w:val="24"/>
        </w:rPr>
        <w:t xml:space="preserve"> stress disorder.  </w:t>
      </w:r>
      <w:r w:rsidRPr="001A3B33">
        <w:rPr>
          <w:rFonts w:cstheme="minorHAnsi"/>
          <w:i/>
          <w:sz w:val="24"/>
          <w:szCs w:val="24"/>
        </w:rPr>
        <w:t xml:space="preserve">Psychological Medicine, 50, </w:t>
      </w:r>
      <w:r w:rsidRPr="001A3B33">
        <w:rPr>
          <w:rFonts w:cstheme="minorHAnsi"/>
          <w:sz w:val="24"/>
          <w:szCs w:val="24"/>
        </w:rPr>
        <w:t>956-963.</w:t>
      </w:r>
      <w:r>
        <w:rPr>
          <w:rFonts w:cstheme="minorHAnsi"/>
          <w:sz w:val="24"/>
          <w:szCs w:val="24"/>
        </w:rPr>
        <w:t xml:space="preserve"> </w:t>
      </w:r>
      <w:r w:rsidRPr="00871893">
        <w:rPr>
          <w:rFonts w:cstheme="minorHAnsi"/>
          <w:sz w:val="24"/>
          <w:szCs w:val="24"/>
        </w:rPr>
        <w:t>https://doi.org/10.1017/S0033291719000837</w:t>
      </w:r>
    </w:p>
    <w:p w14:paraId="525E476E" w14:textId="2EA8484F" w:rsidR="00C06063" w:rsidRDefault="00C06063" w:rsidP="00C06063">
      <w:pPr>
        <w:spacing w:after="0" w:line="360" w:lineRule="auto"/>
        <w:rPr>
          <w:rFonts w:eastAsia="Times New Roman" w:cstheme="minorHAnsi"/>
          <w:sz w:val="24"/>
          <w:szCs w:val="24"/>
          <w:lang w:val="en" w:eastAsia="en-GB"/>
        </w:rPr>
      </w:pPr>
      <w:r w:rsidRPr="00761ED5">
        <w:rPr>
          <w:rFonts w:eastAsia="Times New Roman" w:cstheme="minorHAnsi"/>
          <w:sz w:val="24"/>
          <w:szCs w:val="24"/>
          <w:lang w:val="en" w:eastAsia="en-GB"/>
        </w:rPr>
        <w:t xml:space="preserve">Cohen, J. </w:t>
      </w:r>
      <w:r w:rsidR="001B2988">
        <w:rPr>
          <w:rFonts w:eastAsia="Times New Roman" w:cstheme="minorHAnsi"/>
          <w:sz w:val="24"/>
          <w:szCs w:val="24"/>
          <w:lang w:val="en" w:eastAsia="en-GB"/>
        </w:rPr>
        <w:t>(</w:t>
      </w:r>
      <w:r w:rsidRPr="00761ED5">
        <w:rPr>
          <w:rFonts w:eastAsia="Times New Roman" w:cstheme="minorHAnsi"/>
          <w:sz w:val="24"/>
          <w:szCs w:val="24"/>
          <w:lang w:val="en" w:eastAsia="en-GB"/>
        </w:rPr>
        <w:t>1992</w:t>
      </w:r>
      <w:r w:rsidR="001B2988">
        <w:rPr>
          <w:rFonts w:eastAsia="Times New Roman" w:cstheme="minorHAnsi"/>
          <w:sz w:val="24"/>
          <w:szCs w:val="24"/>
          <w:lang w:val="en" w:eastAsia="en-GB"/>
        </w:rPr>
        <w:t>)</w:t>
      </w:r>
      <w:r w:rsidRPr="00761ED5">
        <w:rPr>
          <w:rFonts w:eastAsia="Times New Roman" w:cstheme="minorHAnsi"/>
          <w:sz w:val="24"/>
          <w:szCs w:val="24"/>
          <w:lang w:val="en" w:eastAsia="en-GB"/>
        </w:rPr>
        <w:t xml:space="preserve">.  A power primer.  </w:t>
      </w:r>
      <w:r w:rsidRPr="0012351E">
        <w:rPr>
          <w:rFonts w:eastAsia="Times New Roman" w:cstheme="minorHAnsi"/>
          <w:i/>
          <w:iCs/>
          <w:sz w:val="24"/>
          <w:szCs w:val="24"/>
          <w:lang w:val="en" w:eastAsia="en-GB"/>
        </w:rPr>
        <w:t>Psychol</w:t>
      </w:r>
      <w:r w:rsidR="0012351E" w:rsidRPr="0012351E">
        <w:rPr>
          <w:rFonts w:eastAsia="Times New Roman" w:cstheme="minorHAnsi"/>
          <w:i/>
          <w:iCs/>
          <w:sz w:val="24"/>
          <w:szCs w:val="24"/>
          <w:lang w:val="en" w:eastAsia="en-GB"/>
        </w:rPr>
        <w:t>ogical</w:t>
      </w:r>
      <w:r w:rsidRPr="0012351E">
        <w:rPr>
          <w:rFonts w:eastAsia="Times New Roman" w:cstheme="minorHAnsi"/>
          <w:i/>
          <w:iCs/>
          <w:sz w:val="24"/>
          <w:szCs w:val="24"/>
          <w:lang w:val="en" w:eastAsia="en-GB"/>
        </w:rPr>
        <w:t xml:space="preserve"> Bull</w:t>
      </w:r>
      <w:r w:rsidR="0012351E" w:rsidRPr="0012351E">
        <w:rPr>
          <w:rFonts w:eastAsia="Times New Roman" w:cstheme="minorHAnsi"/>
          <w:i/>
          <w:iCs/>
          <w:sz w:val="24"/>
          <w:szCs w:val="24"/>
          <w:lang w:val="en" w:eastAsia="en-GB"/>
        </w:rPr>
        <w:t>etin,</w:t>
      </w:r>
      <w:r w:rsidR="0012351E">
        <w:rPr>
          <w:rFonts w:eastAsia="Times New Roman" w:cstheme="minorHAnsi"/>
          <w:sz w:val="24"/>
          <w:szCs w:val="24"/>
          <w:lang w:val="en" w:eastAsia="en-GB"/>
        </w:rPr>
        <w:t xml:space="preserve"> </w:t>
      </w:r>
      <w:r w:rsidRPr="001B2988">
        <w:rPr>
          <w:rFonts w:eastAsia="Times New Roman" w:cstheme="minorHAnsi"/>
          <w:i/>
          <w:iCs/>
          <w:sz w:val="24"/>
          <w:szCs w:val="24"/>
          <w:lang w:val="en" w:eastAsia="en-GB"/>
        </w:rPr>
        <w:t>112</w:t>
      </w:r>
      <w:r w:rsidRPr="00761ED5">
        <w:rPr>
          <w:rFonts w:eastAsia="Times New Roman" w:cstheme="minorHAnsi"/>
          <w:sz w:val="24"/>
          <w:szCs w:val="24"/>
          <w:lang w:val="en" w:eastAsia="en-GB"/>
        </w:rPr>
        <w:t>(1), 155-159.</w:t>
      </w:r>
    </w:p>
    <w:p w14:paraId="21A18457" w14:textId="63A43218" w:rsidR="00301453" w:rsidRDefault="00301453" w:rsidP="001B2988">
      <w:pPr>
        <w:widowControl w:val="0"/>
        <w:autoSpaceDE w:val="0"/>
        <w:autoSpaceDN w:val="0"/>
        <w:adjustRightInd w:val="0"/>
        <w:spacing w:after="0" w:line="360" w:lineRule="auto"/>
        <w:rPr>
          <w:rFonts w:cstheme="minorHAnsi"/>
          <w:sz w:val="24"/>
          <w:szCs w:val="24"/>
        </w:rPr>
      </w:pPr>
      <w:proofErr w:type="spellStart"/>
      <w:r w:rsidRPr="00301453">
        <w:rPr>
          <w:rFonts w:cstheme="minorHAnsi"/>
          <w:sz w:val="24"/>
          <w:szCs w:val="24"/>
        </w:rPr>
        <w:t>Dannahy</w:t>
      </w:r>
      <w:proofErr w:type="spellEnd"/>
      <w:r w:rsidRPr="00301453">
        <w:rPr>
          <w:rFonts w:cstheme="minorHAnsi"/>
          <w:sz w:val="24"/>
          <w:szCs w:val="24"/>
        </w:rPr>
        <w:t xml:space="preserve">, L., Hayward, M., Strauss, C., Turton, W., Harding, E., Chadwick, P. </w:t>
      </w:r>
      <w:r w:rsidR="001B2988">
        <w:rPr>
          <w:rFonts w:cstheme="minorHAnsi"/>
          <w:sz w:val="24"/>
          <w:szCs w:val="24"/>
        </w:rPr>
        <w:t>(</w:t>
      </w:r>
      <w:r w:rsidRPr="00301453">
        <w:rPr>
          <w:rFonts w:cstheme="minorHAnsi"/>
          <w:sz w:val="24"/>
          <w:szCs w:val="24"/>
        </w:rPr>
        <w:t>2011</w:t>
      </w:r>
      <w:r w:rsidR="001B2988">
        <w:rPr>
          <w:rFonts w:cstheme="minorHAnsi"/>
          <w:sz w:val="24"/>
          <w:szCs w:val="24"/>
        </w:rPr>
        <w:t>)</w:t>
      </w:r>
      <w:r w:rsidRPr="00301453">
        <w:rPr>
          <w:rFonts w:cstheme="minorHAnsi"/>
          <w:sz w:val="24"/>
          <w:szCs w:val="24"/>
        </w:rPr>
        <w:t xml:space="preserve">. Group </w:t>
      </w:r>
    </w:p>
    <w:p w14:paraId="004F79AD" w14:textId="0AC1070A" w:rsidR="00301453" w:rsidRPr="00301453" w:rsidRDefault="00301453" w:rsidP="00301453">
      <w:pPr>
        <w:widowControl w:val="0"/>
        <w:autoSpaceDE w:val="0"/>
        <w:autoSpaceDN w:val="0"/>
        <w:adjustRightInd w:val="0"/>
        <w:spacing w:after="0" w:line="360" w:lineRule="auto"/>
        <w:ind w:left="709"/>
        <w:rPr>
          <w:rFonts w:cstheme="minorHAnsi"/>
          <w:sz w:val="24"/>
          <w:szCs w:val="24"/>
        </w:rPr>
      </w:pPr>
      <w:r w:rsidRPr="00301453">
        <w:rPr>
          <w:rFonts w:cstheme="minorHAnsi"/>
          <w:sz w:val="24"/>
          <w:szCs w:val="24"/>
        </w:rPr>
        <w:t xml:space="preserve">person-based cognitive therapy for distressing voices: Pilot data from nine groups. </w:t>
      </w:r>
      <w:r w:rsidRPr="00BB0B85">
        <w:rPr>
          <w:rFonts w:cstheme="minorHAnsi"/>
          <w:i/>
          <w:sz w:val="24"/>
          <w:szCs w:val="24"/>
        </w:rPr>
        <w:t>J</w:t>
      </w:r>
      <w:r w:rsidR="0012351E" w:rsidRPr="00BB0B85">
        <w:rPr>
          <w:rFonts w:cstheme="minorHAnsi"/>
          <w:i/>
          <w:sz w:val="24"/>
          <w:szCs w:val="24"/>
        </w:rPr>
        <w:t>ournal of</w:t>
      </w:r>
      <w:r w:rsidRPr="00BB0B85">
        <w:rPr>
          <w:rFonts w:cstheme="minorHAnsi"/>
          <w:i/>
          <w:sz w:val="24"/>
          <w:szCs w:val="24"/>
        </w:rPr>
        <w:t xml:space="preserve"> Behav</w:t>
      </w:r>
      <w:r w:rsidR="0012351E" w:rsidRPr="00BB0B85">
        <w:rPr>
          <w:rFonts w:cstheme="minorHAnsi"/>
          <w:i/>
          <w:sz w:val="24"/>
          <w:szCs w:val="24"/>
        </w:rPr>
        <w:t>iour</w:t>
      </w:r>
      <w:r w:rsidRPr="00BB0B85">
        <w:rPr>
          <w:rFonts w:cstheme="minorHAnsi"/>
          <w:i/>
          <w:sz w:val="24"/>
          <w:szCs w:val="24"/>
        </w:rPr>
        <w:t xml:space="preserve"> Ther</w:t>
      </w:r>
      <w:r w:rsidR="0012351E" w:rsidRPr="00BB0B85">
        <w:rPr>
          <w:rFonts w:cstheme="minorHAnsi"/>
          <w:i/>
          <w:sz w:val="24"/>
          <w:szCs w:val="24"/>
        </w:rPr>
        <w:t xml:space="preserve">apy and </w:t>
      </w:r>
      <w:r w:rsidRPr="00BB0B85">
        <w:rPr>
          <w:rFonts w:cstheme="minorHAnsi"/>
          <w:i/>
          <w:sz w:val="24"/>
          <w:szCs w:val="24"/>
        </w:rPr>
        <w:t>Exp</w:t>
      </w:r>
      <w:r w:rsidR="0012351E" w:rsidRPr="00BB0B85">
        <w:rPr>
          <w:rFonts w:cstheme="minorHAnsi"/>
          <w:i/>
          <w:sz w:val="24"/>
          <w:szCs w:val="24"/>
        </w:rPr>
        <w:t>erimental</w:t>
      </w:r>
      <w:r w:rsidRPr="00BB0B85">
        <w:rPr>
          <w:rFonts w:cstheme="minorHAnsi"/>
          <w:i/>
          <w:sz w:val="24"/>
          <w:szCs w:val="24"/>
        </w:rPr>
        <w:t xml:space="preserve"> Psy</w:t>
      </w:r>
      <w:r w:rsidR="0012351E" w:rsidRPr="00BB0B85">
        <w:rPr>
          <w:rFonts w:cstheme="minorHAnsi"/>
          <w:i/>
          <w:sz w:val="24"/>
          <w:szCs w:val="24"/>
        </w:rPr>
        <w:t>chiatry,</w:t>
      </w:r>
      <w:r w:rsidRPr="00BB0B85">
        <w:rPr>
          <w:rFonts w:cstheme="minorHAnsi"/>
          <w:i/>
          <w:sz w:val="24"/>
          <w:szCs w:val="24"/>
        </w:rPr>
        <w:t xml:space="preserve"> 42</w:t>
      </w:r>
      <w:r w:rsidR="0012351E" w:rsidRPr="00BB0B85">
        <w:rPr>
          <w:rFonts w:cstheme="minorHAnsi"/>
          <w:i/>
          <w:sz w:val="24"/>
          <w:szCs w:val="24"/>
        </w:rPr>
        <w:t>,</w:t>
      </w:r>
      <w:r w:rsidRPr="00301453">
        <w:rPr>
          <w:rFonts w:cstheme="minorHAnsi"/>
          <w:sz w:val="24"/>
          <w:szCs w:val="24"/>
        </w:rPr>
        <w:t xml:space="preserve"> 111-116. </w:t>
      </w:r>
    </w:p>
    <w:p w14:paraId="05E715F0" w14:textId="77777777" w:rsidR="00C06063" w:rsidRPr="00761ED5" w:rsidRDefault="00C06063" w:rsidP="00C06063">
      <w:pPr>
        <w:widowControl w:val="0"/>
        <w:spacing w:after="0" w:line="480" w:lineRule="auto"/>
        <w:ind w:left="709" w:hanging="709"/>
        <w:rPr>
          <w:rFonts w:cstheme="minorHAnsi"/>
          <w:sz w:val="24"/>
          <w:szCs w:val="24"/>
        </w:rPr>
      </w:pPr>
      <w:proofErr w:type="spellStart"/>
      <w:r w:rsidRPr="00761ED5">
        <w:rPr>
          <w:rFonts w:cstheme="minorHAnsi"/>
          <w:sz w:val="24"/>
          <w:szCs w:val="24"/>
        </w:rPr>
        <w:t>Dummel</w:t>
      </w:r>
      <w:proofErr w:type="spellEnd"/>
      <w:r w:rsidRPr="00761ED5">
        <w:rPr>
          <w:rFonts w:cstheme="minorHAnsi"/>
          <w:sz w:val="24"/>
          <w:szCs w:val="24"/>
        </w:rPr>
        <w:t xml:space="preserve">, S., &amp; </w:t>
      </w:r>
      <w:proofErr w:type="spellStart"/>
      <w:r w:rsidRPr="00761ED5">
        <w:rPr>
          <w:rFonts w:cstheme="minorHAnsi"/>
          <w:sz w:val="24"/>
          <w:szCs w:val="24"/>
        </w:rPr>
        <w:t>Shahl</w:t>
      </w:r>
      <w:proofErr w:type="spellEnd"/>
      <w:r w:rsidRPr="00761ED5">
        <w:rPr>
          <w:rFonts w:cstheme="minorHAnsi"/>
          <w:sz w:val="24"/>
          <w:szCs w:val="24"/>
        </w:rPr>
        <w:t>, J.  (2019).  Mindfulness and the evaluative organisation of self-knowledge.</w:t>
      </w:r>
      <w:r>
        <w:rPr>
          <w:rFonts w:cstheme="minorHAnsi"/>
          <w:sz w:val="24"/>
          <w:szCs w:val="24"/>
        </w:rPr>
        <w:t xml:space="preserve">  </w:t>
      </w:r>
      <w:r w:rsidRPr="00761ED5">
        <w:rPr>
          <w:rFonts w:cstheme="minorHAnsi"/>
          <w:i/>
          <w:sz w:val="24"/>
          <w:szCs w:val="24"/>
        </w:rPr>
        <w:t xml:space="preserve">Mindfulness, 10, </w:t>
      </w:r>
      <w:r w:rsidRPr="00761ED5">
        <w:rPr>
          <w:rFonts w:cstheme="minorHAnsi"/>
          <w:sz w:val="24"/>
          <w:szCs w:val="24"/>
        </w:rPr>
        <w:t xml:space="preserve">352-365.  </w:t>
      </w:r>
      <w:r w:rsidRPr="00871893">
        <w:rPr>
          <w:rFonts w:cstheme="minorHAnsi"/>
          <w:sz w:val="24"/>
          <w:szCs w:val="24"/>
        </w:rPr>
        <w:t>https://doi.org/10.1007/s12671-018-0980-6</w:t>
      </w:r>
    </w:p>
    <w:p w14:paraId="6FB4C1BD" w14:textId="52668E91" w:rsidR="001B2988" w:rsidRDefault="00C06063" w:rsidP="001B2988">
      <w:pPr>
        <w:spacing w:after="0" w:line="360" w:lineRule="auto"/>
        <w:rPr>
          <w:rFonts w:cstheme="minorHAnsi"/>
          <w:sz w:val="24"/>
          <w:szCs w:val="24"/>
        </w:rPr>
      </w:pPr>
      <w:r w:rsidRPr="00761ED5">
        <w:rPr>
          <w:rFonts w:cstheme="minorHAnsi"/>
          <w:sz w:val="24"/>
          <w:szCs w:val="24"/>
        </w:rPr>
        <w:t xml:space="preserve">Ellett, L. </w:t>
      </w:r>
      <w:r w:rsidR="001B2988">
        <w:rPr>
          <w:rFonts w:cstheme="minorHAnsi"/>
          <w:sz w:val="24"/>
          <w:szCs w:val="24"/>
        </w:rPr>
        <w:t>(</w:t>
      </w:r>
      <w:r w:rsidRPr="00761ED5">
        <w:rPr>
          <w:rFonts w:cstheme="minorHAnsi"/>
          <w:sz w:val="24"/>
          <w:szCs w:val="24"/>
        </w:rPr>
        <w:t>2013</w:t>
      </w:r>
      <w:r w:rsidR="001B2988">
        <w:rPr>
          <w:rFonts w:cstheme="minorHAnsi"/>
          <w:sz w:val="24"/>
          <w:szCs w:val="24"/>
        </w:rPr>
        <w:t>)</w:t>
      </w:r>
      <w:r w:rsidRPr="00761ED5">
        <w:rPr>
          <w:rFonts w:cstheme="minorHAnsi"/>
          <w:sz w:val="24"/>
          <w:szCs w:val="24"/>
        </w:rPr>
        <w:t xml:space="preserve">. Mindfulness for paranoid beliefs: Evidence from two case studies. </w:t>
      </w:r>
    </w:p>
    <w:p w14:paraId="1F95ACB0" w14:textId="21AE3AF9" w:rsidR="00C06063" w:rsidRPr="001B2988" w:rsidRDefault="00C06063" w:rsidP="001B2988">
      <w:pPr>
        <w:spacing w:after="0" w:line="360" w:lineRule="auto"/>
        <w:ind w:left="709"/>
        <w:rPr>
          <w:rFonts w:cstheme="minorHAnsi"/>
          <w:sz w:val="24"/>
          <w:szCs w:val="24"/>
        </w:rPr>
      </w:pPr>
      <w:r w:rsidRPr="001B2988">
        <w:rPr>
          <w:rFonts w:cstheme="minorHAnsi"/>
          <w:i/>
          <w:iCs/>
          <w:sz w:val="24"/>
          <w:szCs w:val="24"/>
        </w:rPr>
        <w:t>Behav</w:t>
      </w:r>
      <w:r w:rsidR="001B2988" w:rsidRPr="001B2988">
        <w:rPr>
          <w:rFonts w:cstheme="minorHAnsi"/>
          <w:i/>
          <w:iCs/>
          <w:sz w:val="24"/>
          <w:szCs w:val="24"/>
        </w:rPr>
        <w:t>ioural and Cognitive Psychotherapy,</w:t>
      </w:r>
      <w:r w:rsidRPr="001B2988">
        <w:rPr>
          <w:rFonts w:cstheme="minorHAnsi"/>
          <w:i/>
          <w:iCs/>
          <w:sz w:val="24"/>
          <w:szCs w:val="24"/>
        </w:rPr>
        <w:t xml:space="preserve"> 41</w:t>
      </w:r>
      <w:r w:rsidR="001B2988" w:rsidRPr="001B2988">
        <w:rPr>
          <w:rFonts w:cstheme="minorHAnsi"/>
          <w:i/>
          <w:iCs/>
          <w:sz w:val="24"/>
          <w:szCs w:val="24"/>
        </w:rPr>
        <w:t>,</w:t>
      </w:r>
      <w:r w:rsidRPr="001B2988">
        <w:rPr>
          <w:rFonts w:cstheme="minorHAnsi"/>
          <w:iCs/>
          <w:sz w:val="24"/>
          <w:szCs w:val="24"/>
        </w:rPr>
        <w:t xml:space="preserve"> </w:t>
      </w:r>
      <w:r w:rsidRPr="001B2988">
        <w:rPr>
          <w:rFonts w:cstheme="minorHAnsi"/>
          <w:sz w:val="24"/>
          <w:szCs w:val="24"/>
        </w:rPr>
        <w:t xml:space="preserve">238-242. </w:t>
      </w:r>
      <w:r w:rsidR="001B2988">
        <w:rPr>
          <w:rFonts w:cstheme="minorHAnsi"/>
          <w:sz w:val="24"/>
          <w:szCs w:val="24"/>
        </w:rPr>
        <w:t xml:space="preserve"> </w:t>
      </w:r>
      <w:r w:rsidRPr="001B2988">
        <w:rPr>
          <w:rFonts w:cstheme="minorHAnsi"/>
          <w:sz w:val="24"/>
          <w:szCs w:val="24"/>
        </w:rPr>
        <w:t>https://doi.org/10.1017/S1352465812000586</w:t>
      </w:r>
    </w:p>
    <w:p w14:paraId="4C0E9A34" w14:textId="77777777" w:rsidR="00C06063" w:rsidRPr="001C2762" w:rsidRDefault="00C06063" w:rsidP="00C06063">
      <w:pPr>
        <w:pStyle w:val="NormalWeb"/>
        <w:spacing w:before="0" w:beforeAutospacing="0" w:after="0" w:afterAutospacing="0" w:line="480" w:lineRule="exact"/>
        <w:ind w:left="450" w:hanging="450"/>
        <w:rPr>
          <w:rFonts w:asciiTheme="minorHAnsi" w:hAnsiTheme="minorHAnsi" w:cstheme="minorHAnsi"/>
          <w:color w:val="000000"/>
        </w:rPr>
      </w:pPr>
      <w:r w:rsidRPr="00C06063">
        <w:rPr>
          <w:rFonts w:asciiTheme="minorHAnsi" w:hAnsiTheme="minorHAnsi" w:cstheme="minorHAnsi"/>
          <w:color w:val="000000"/>
          <w:lang w:val="de-DE"/>
        </w:rPr>
        <w:t xml:space="preserve">Ellett, L., &amp; Chadwick, P. (2007). </w:t>
      </w:r>
      <w:r w:rsidRPr="001C2762">
        <w:rPr>
          <w:rFonts w:asciiTheme="minorHAnsi" w:hAnsiTheme="minorHAnsi" w:cstheme="minorHAnsi"/>
          <w:color w:val="000000"/>
        </w:rPr>
        <w:t>Paranoid cognitions, failure, and focus of attention in college students.</w:t>
      </w:r>
      <w:r w:rsidRPr="001C2762">
        <w:rPr>
          <w:rStyle w:val="apple-converted-space"/>
          <w:rFonts w:asciiTheme="minorHAnsi" w:hAnsiTheme="minorHAnsi" w:cstheme="minorHAnsi"/>
          <w:i/>
          <w:iCs/>
          <w:color w:val="000000"/>
        </w:rPr>
        <w:t> </w:t>
      </w:r>
      <w:r w:rsidRPr="001C2762">
        <w:rPr>
          <w:rFonts w:asciiTheme="minorHAnsi" w:hAnsiTheme="minorHAnsi" w:cstheme="minorHAnsi"/>
          <w:i/>
          <w:iCs/>
          <w:color w:val="000000"/>
        </w:rPr>
        <w:t>Cognition and Emotion,</w:t>
      </w:r>
      <w:r w:rsidRPr="001C2762">
        <w:rPr>
          <w:rStyle w:val="apple-converted-space"/>
          <w:rFonts w:asciiTheme="minorHAnsi" w:hAnsiTheme="minorHAnsi" w:cstheme="minorHAnsi"/>
          <w:i/>
          <w:iCs/>
          <w:color w:val="000000"/>
        </w:rPr>
        <w:t> </w:t>
      </w:r>
      <w:r w:rsidRPr="001C2762">
        <w:rPr>
          <w:rFonts w:asciiTheme="minorHAnsi" w:hAnsiTheme="minorHAnsi" w:cstheme="minorHAnsi"/>
          <w:i/>
          <w:iCs/>
          <w:color w:val="000000"/>
        </w:rPr>
        <w:t>21</w:t>
      </w:r>
      <w:r w:rsidRPr="001C2762">
        <w:rPr>
          <w:rFonts w:asciiTheme="minorHAnsi" w:hAnsiTheme="minorHAnsi" w:cstheme="minorHAnsi"/>
          <w:color w:val="000000"/>
        </w:rPr>
        <w:t>(3), 558-576.</w:t>
      </w:r>
      <w:r w:rsidRPr="00871893">
        <w:t xml:space="preserve"> </w:t>
      </w:r>
      <w:r w:rsidRPr="00871893">
        <w:rPr>
          <w:rFonts w:asciiTheme="minorHAnsi" w:hAnsiTheme="minorHAnsi" w:cstheme="minorHAnsi"/>
          <w:color w:val="000000"/>
        </w:rPr>
        <w:t>https://doi.org/10.1080/02699930600758155</w:t>
      </w:r>
    </w:p>
    <w:p w14:paraId="673E948E" w14:textId="77777777" w:rsidR="00C06063" w:rsidRPr="00BE554E" w:rsidRDefault="00C06063" w:rsidP="00C06063">
      <w:pPr>
        <w:pStyle w:val="NormalWeb"/>
        <w:spacing w:before="0" w:beforeAutospacing="0" w:after="0" w:afterAutospacing="0" w:line="480" w:lineRule="exact"/>
        <w:ind w:left="450" w:hanging="450"/>
        <w:rPr>
          <w:rFonts w:asciiTheme="minorHAnsi" w:hAnsiTheme="minorHAnsi" w:cstheme="minorHAnsi"/>
          <w:color w:val="000000"/>
        </w:rPr>
      </w:pPr>
      <w:r w:rsidRPr="001C2762">
        <w:rPr>
          <w:rFonts w:asciiTheme="minorHAnsi" w:hAnsiTheme="minorHAnsi" w:cstheme="minorHAnsi"/>
          <w:color w:val="000000"/>
        </w:rPr>
        <w:t xml:space="preserve">Ellett, L., Lopes, B., &amp; Chadwick, P. (2003). Paranoia in a nonclinical population of college </w:t>
      </w:r>
      <w:r w:rsidRPr="000308E5">
        <w:rPr>
          <w:rFonts w:asciiTheme="minorHAnsi" w:hAnsiTheme="minorHAnsi" w:cstheme="minorHAnsi"/>
          <w:color w:val="000000"/>
        </w:rPr>
        <w:t>students.</w:t>
      </w:r>
      <w:r w:rsidRPr="000308E5">
        <w:rPr>
          <w:rStyle w:val="apple-converted-space"/>
          <w:rFonts w:asciiTheme="minorHAnsi" w:hAnsiTheme="minorHAnsi" w:cstheme="minorHAnsi"/>
          <w:i/>
          <w:iCs/>
          <w:color w:val="000000"/>
        </w:rPr>
        <w:t> </w:t>
      </w:r>
      <w:r w:rsidRPr="000308E5">
        <w:rPr>
          <w:rFonts w:asciiTheme="minorHAnsi" w:hAnsiTheme="minorHAnsi" w:cstheme="minorHAnsi"/>
          <w:i/>
          <w:iCs/>
          <w:color w:val="000000"/>
        </w:rPr>
        <w:t xml:space="preserve">The Journal of </w:t>
      </w:r>
      <w:r w:rsidRPr="00871893">
        <w:rPr>
          <w:rFonts w:asciiTheme="minorHAnsi" w:hAnsiTheme="minorHAnsi" w:cstheme="minorHAnsi"/>
          <w:i/>
          <w:iCs/>
        </w:rPr>
        <w:t>Nervous and Mental Disease,</w:t>
      </w:r>
      <w:r w:rsidRPr="00871893">
        <w:rPr>
          <w:rStyle w:val="apple-converted-space"/>
          <w:rFonts w:asciiTheme="minorHAnsi" w:hAnsiTheme="minorHAnsi" w:cstheme="minorHAnsi"/>
          <w:i/>
          <w:iCs/>
        </w:rPr>
        <w:t> </w:t>
      </w:r>
      <w:r w:rsidRPr="00871893">
        <w:rPr>
          <w:rFonts w:asciiTheme="minorHAnsi" w:hAnsiTheme="minorHAnsi" w:cstheme="minorHAnsi"/>
          <w:i/>
          <w:iCs/>
        </w:rPr>
        <w:t>191</w:t>
      </w:r>
      <w:r w:rsidRPr="00871893">
        <w:rPr>
          <w:rFonts w:asciiTheme="minorHAnsi" w:hAnsiTheme="minorHAnsi" w:cstheme="minorHAnsi"/>
        </w:rPr>
        <w:t>(7), 425-430.</w:t>
      </w:r>
      <w:r w:rsidRPr="00871893">
        <w:rPr>
          <w:rFonts w:ascii="Arial" w:hAnsi="Arial" w:cs="Arial"/>
          <w:sz w:val="20"/>
          <w:szCs w:val="20"/>
          <w:shd w:val="clear" w:color="auto" w:fill="FFFFFF"/>
        </w:rPr>
        <w:t xml:space="preserve"> </w:t>
      </w:r>
      <w:proofErr w:type="spellStart"/>
      <w:r w:rsidRPr="00BE554E">
        <w:rPr>
          <w:rFonts w:asciiTheme="minorHAnsi" w:hAnsiTheme="minorHAnsi" w:cstheme="minorHAnsi"/>
          <w:shd w:val="clear" w:color="auto" w:fill="FFFFFF"/>
        </w:rPr>
        <w:t>doi</w:t>
      </w:r>
      <w:proofErr w:type="spellEnd"/>
      <w:r w:rsidRPr="00BE554E">
        <w:rPr>
          <w:rFonts w:asciiTheme="minorHAnsi" w:hAnsiTheme="minorHAnsi" w:cstheme="minorHAnsi"/>
          <w:shd w:val="clear" w:color="auto" w:fill="FFFFFF"/>
        </w:rPr>
        <w:t>: 10.1097/01.NMD.0000081646.33030.EF</w:t>
      </w:r>
    </w:p>
    <w:p w14:paraId="66D5F95B" w14:textId="77777777" w:rsidR="00C06063" w:rsidRDefault="00C06063" w:rsidP="00C06063">
      <w:pPr>
        <w:widowControl w:val="0"/>
        <w:spacing w:after="0" w:line="480" w:lineRule="auto"/>
        <w:ind w:left="709" w:hanging="709"/>
        <w:rPr>
          <w:rFonts w:cstheme="minorHAnsi"/>
          <w:sz w:val="24"/>
          <w:szCs w:val="24"/>
        </w:rPr>
      </w:pPr>
    </w:p>
    <w:p w14:paraId="39CBF5DF" w14:textId="4C89F5D6" w:rsidR="00C06063" w:rsidRPr="001A3B33" w:rsidRDefault="00C06063" w:rsidP="00C06063">
      <w:pPr>
        <w:widowControl w:val="0"/>
        <w:spacing w:after="0" w:line="480" w:lineRule="auto"/>
        <w:ind w:left="709" w:hanging="709"/>
        <w:rPr>
          <w:rFonts w:cstheme="minorHAnsi"/>
          <w:sz w:val="24"/>
          <w:szCs w:val="24"/>
        </w:rPr>
      </w:pPr>
      <w:r w:rsidRPr="000308E5">
        <w:rPr>
          <w:rFonts w:cstheme="minorHAnsi"/>
          <w:sz w:val="24"/>
          <w:szCs w:val="24"/>
        </w:rPr>
        <w:t xml:space="preserve">Ellett, L. Tarant, E., Kingston, J., </w:t>
      </w:r>
      <w:proofErr w:type="spellStart"/>
      <w:r w:rsidRPr="000308E5">
        <w:rPr>
          <w:rFonts w:cstheme="minorHAnsi"/>
          <w:sz w:val="24"/>
          <w:szCs w:val="24"/>
        </w:rPr>
        <w:t>Vivarelli</w:t>
      </w:r>
      <w:proofErr w:type="spellEnd"/>
      <w:r w:rsidRPr="000308E5">
        <w:rPr>
          <w:rFonts w:cstheme="minorHAnsi"/>
          <w:sz w:val="24"/>
          <w:szCs w:val="24"/>
        </w:rPr>
        <w:t xml:space="preserve">, L., </w:t>
      </w:r>
      <w:proofErr w:type="spellStart"/>
      <w:r w:rsidRPr="000308E5">
        <w:rPr>
          <w:rFonts w:cstheme="minorHAnsi"/>
          <w:sz w:val="24"/>
          <w:szCs w:val="24"/>
        </w:rPr>
        <w:t>Mendis</w:t>
      </w:r>
      <w:proofErr w:type="spellEnd"/>
      <w:r w:rsidRPr="000308E5">
        <w:rPr>
          <w:rFonts w:cstheme="minorHAnsi"/>
          <w:sz w:val="24"/>
          <w:szCs w:val="24"/>
        </w:rPr>
        <w:t xml:space="preserve">, J., &amp; Chadwick, P. (2020). Group </w:t>
      </w:r>
      <w:r w:rsidRPr="001A3B33">
        <w:rPr>
          <w:rFonts w:cstheme="minorHAnsi"/>
          <w:sz w:val="24"/>
          <w:szCs w:val="24"/>
        </w:rPr>
        <w:t xml:space="preserve">mindfulness-based therapy for persecutory delusions: A pilot randomised control trial. </w:t>
      </w:r>
      <w:r w:rsidRPr="001A3B33">
        <w:rPr>
          <w:rFonts w:cstheme="minorHAnsi"/>
          <w:i/>
          <w:sz w:val="24"/>
          <w:szCs w:val="24"/>
        </w:rPr>
        <w:t xml:space="preserve">Schizophrenia Research, 222, </w:t>
      </w:r>
      <w:r w:rsidRPr="001A3B33">
        <w:rPr>
          <w:rFonts w:cstheme="minorHAnsi"/>
          <w:sz w:val="24"/>
          <w:szCs w:val="24"/>
        </w:rPr>
        <w:t>534-536.</w:t>
      </w:r>
      <w:r w:rsidR="00EE6027">
        <w:rPr>
          <w:rFonts w:cstheme="minorHAnsi"/>
          <w:sz w:val="24"/>
          <w:szCs w:val="24"/>
        </w:rPr>
        <w:t xml:space="preserve"> </w:t>
      </w:r>
      <w:r w:rsidRPr="00871893">
        <w:rPr>
          <w:rFonts w:cstheme="minorHAnsi"/>
          <w:sz w:val="24"/>
          <w:szCs w:val="24"/>
        </w:rPr>
        <w:t>https://doi.org/10.1016/j.schres.2020.04.023</w:t>
      </w:r>
    </w:p>
    <w:p w14:paraId="60A42F5F" w14:textId="77777777" w:rsidR="00C06063" w:rsidRPr="00E763E7" w:rsidRDefault="00C06063" w:rsidP="00C06063">
      <w:pPr>
        <w:pStyle w:val="NormalWeb"/>
        <w:spacing w:before="0" w:beforeAutospacing="0" w:after="0" w:afterAutospacing="0" w:line="480" w:lineRule="exact"/>
        <w:ind w:left="450" w:hanging="450"/>
        <w:rPr>
          <w:rFonts w:asciiTheme="minorHAnsi" w:hAnsiTheme="minorHAnsi" w:cstheme="minorHAnsi"/>
          <w:color w:val="000000"/>
        </w:rPr>
      </w:pPr>
      <w:proofErr w:type="spellStart"/>
      <w:r w:rsidRPr="00E763E7">
        <w:rPr>
          <w:rFonts w:asciiTheme="minorHAnsi" w:hAnsiTheme="minorHAnsi" w:cstheme="minorHAnsi"/>
          <w:color w:val="000000"/>
        </w:rPr>
        <w:t>Fenigstein</w:t>
      </w:r>
      <w:proofErr w:type="spellEnd"/>
      <w:r w:rsidRPr="00E763E7">
        <w:rPr>
          <w:rFonts w:asciiTheme="minorHAnsi" w:hAnsiTheme="minorHAnsi" w:cstheme="minorHAnsi"/>
          <w:color w:val="000000"/>
        </w:rPr>
        <w:t xml:space="preserve">, A., &amp; </w:t>
      </w:r>
      <w:proofErr w:type="spellStart"/>
      <w:r w:rsidRPr="00E763E7">
        <w:rPr>
          <w:rFonts w:asciiTheme="minorHAnsi" w:hAnsiTheme="minorHAnsi" w:cstheme="minorHAnsi"/>
          <w:color w:val="000000"/>
        </w:rPr>
        <w:t>Vanable</w:t>
      </w:r>
      <w:proofErr w:type="spellEnd"/>
      <w:r w:rsidRPr="00E763E7">
        <w:rPr>
          <w:rFonts w:asciiTheme="minorHAnsi" w:hAnsiTheme="minorHAnsi" w:cstheme="minorHAnsi"/>
          <w:color w:val="000000"/>
        </w:rPr>
        <w:t>, P. A. (1992). Paranoia and self-consciousness.</w:t>
      </w:r>
      <w:r w:rsidRPr="00E763E7">
        <w:rPr>
          <w:rStyle w:val="apple-converted-space"/>
          <w:rFonts w:asciiTheme="minorHAnsi" w:hAnsiTheme="minorHAnsi" w:cstheme="minorHAnsi"/>
          <w:i/>
          <w:iCs/>
          <w:color w:val="000000"/>
        </w:rPr>
        <w:t> </w:t>
      </w:r>
      <w:r w:rsidRPr="00E763E7">
        <w:rPr>
          <w:rFonts w:asciiTheme="minorHAnsi" w:hAnsiTheme="minorHAnsi" w:cstheme="minorHAnsi"/>
          <w:i/>
          <w:iCs/>
          <w:color w:val="000000"/>
        </w:rPr>
        <w:t>Journal of Personality and Social Psychology,</w:t>
      </w:r>
      <w:r w:rsidRPr="00E763E7">
        <w:rPr>
          <w:rStyle w:val="apple-converted-space"/>
          <w:rFonts w:asciiTheme="minorHAnsi" w:hAnsiTheme="minorHAnsi" w:cstheme="minorHAnsi"/>
          <w:i/>
          <w:iCs/>
          <w:color w:val="000000"/>
        </w:rPr>
        <w:t> </w:t>
      </w:r>
      <w:r w:rsidRPr="00E763E7">
        <w:rPr>
          <w:rFonts w:asciiTheme="minorHAnsi" w:hAnsiTheme="minorHAnsi" w:cstheme="minorHAnsi"/>
          <w:i/>
          <w:iCs/>
          <w:color w:val="000000"/>
        </w:rPr>
        <w:t>62</w:t>
      </w:r>
      <w:r w:rsidRPr="00E763E7">
        <w:rPr>
          <w:rFonts w:asciiTheme="minorHAnsi" w:hAnsiTheme="minorHAnsi" w:cstheme="minorHAnsi"/>
          <w:color w:val="000000"/>
        </w:rPr>
        <w:t>(1), 129.</w:t>
      </w:r>
      <w:r>
        <w:rPr>
          <w:rFonts w:asciiTheme="minorHAnsi" w:hAnsiTheme="minorHAnsi" w:cstheme="minorHAnsi"/>
          <w:color w:val="000000"/>
        </w:rPr>
        <w:t xml:space="preserve"> </w:t>
      </w:r>
      <w:r w:rsidRPr="00871893">
        <w:rPr>
          <w:rFonts w:asciiTheme="minorHAnsi" w:hAnsiTheme="minorHAnsi" w:cstheme="minorHAnsi"/>
          <w:color w:val="000000"/>
        </w:rPr>
        <w:t>https://doi.org/10.1037//0022-3514.62.1.129</w:t>
      </w:r>
    </w:p>
    <w:p w14:paraId="15BA34AB" w14:textId="77777777" w:rsidR="00C06063" w:rsidRPr="00E763E7" w:rsidRDefault="00C06063" w:rsidP="00C06063">
      <w:pPr>
        <w:widowControl w:val="0"/>
        <w:spacing w:after="0" w:line="480" w:lineRule="auto"/>
        <w:ind w:left="709" w:hanging="709"/>
        <w:rPr>
          <w:rFonts w:cstheme="minorHAnsi"/>
          <w:sz w:val="24"/>
          <w:szCs w:val="24"/>
        </w:rPr>
      </w:pPr>
    </w:p>
    <w:p w14:paraId="23833FD7" w14:textId="539C9C0A" w:rsidR="00C06063" w:rsidRPr="001A3B3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Freeman, D., &amp; </w:t>
      </w:r>
      <w:proofErr w:type="spellStart"/>
      <w:r w:rsidRPr="001A3B33">
        <w:rPr>
          <w:rFonts w:cstheme="minorHAnsi"/>
          <w:sz w:val="24"/>
          <w:szCs w:val="24"/>
        </w:rPr>
        <w:t>Garety</w:t>
      </w:r>
      <w:proofErr w:type="spellEnd"/>
      <w:r w:rsidRPr="001A3B33">
        <w:rPr>
          <w:rFonts w:cstheme="minorHAnsi"/>
          <w:sz w:val="24"/>
          <w:szCs w:val="24"/>
        </w:rPr>
        <w:t>, P. (2000). Comments on the content of persecutory delusions:</w:t>
      </w:r>
      <w:r>
        <w:rPr>
          <w:rFonts w:cstheme="minorHAnsi"/>
          <w:sz w:val="24"/>
          <w:szCs w:val="24"/>
        </w:rPr>
        <w:t xml:space="preserve"> </w:t>
      </w:r>
      <w:r w:rsidRPr="001A3B33">
        <w:rPr>
          <w:rFonts w:cstheme="minorHAnsi"/>
          <w:sz w:val="24"/>
          <w:szCs w:val="24"/>
        </w:rPr>
        <w:t xml:space="preserve">Does the definition need clarification?  </w:t>
      </w:r>
      <w:r w:rsidRPr="0054366D">
        <w:rPr>
          <w:rFonts w:cstheme="minorHAnsi"/>
          <w:i/>
          <w:iCs/>
          <w:sz w:val="24"/>
          <w:szCs w:val="24"/>
        </w:rPr>
        <w:t>British Journal of Clinical Psychology</w:t>
      </w:r>
      <w:r w:rsidRPr="00BE554E">
        <w:rPr>
          <w:rFonts w:cstheme="minorHAnsi"/>
          <w:i/>
          <w:iCs/>
          <w:sz w:val="24"/>
          <w:szCs w:val="24"/>
        </w:rPr>
        <w:t>, 39,</w:t>
      </w:r>
      <w:r w:rsidR="0054366D">
        <w:rPr>
          <w:rFonts w:cstheme="minorHAnsi"/>
          <w:sz w:val="24"/>
          <w:szCs w:val="24"/>
        </w:rPr>
        <w:t xml:space="preserve"> </w:t>
      </w:r>
      <w:r w:rsidRPr="001A3B33">
        <w:rPr>
          <w:rFonts w:cstheme="minorHAnsi"/>
          <w:sz w:val="24"/>
          <w:szCs w:val="24"/>
        </w:rPr>
        <w:t>407–414.</w:t>
      </w:r>
      <w:r>
        <w:rPr>
          <w:rFonts w:cstheme="minorHAnsi"/>
          <w:sz w:val="24"/>
          <w:szCs w:val="24"/>
        </w:rPr>
        <w:t xml:space="preserve"> </w:t>
      </w:r>
      <w:r w:rsidRPr="00871893">
        <w:rPr>
          <w:rFonts w:cstheme="minorHAnsi"/>
          <w:sz w:val="24"/>
          <w:szCs w:val="24"/>
        </w:rPr>
        <w:t>https://doi.org/10.1348/014466500163400</w:t>
      </w:r>
    </w:p>
    <w:p w14:paraId="7D34EC06" w14:textId="77777777" w:rsidR="00C06063" w:rsidRPr="001A3B3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Freeman, D., </w:t>
      </w:r>
      <w:proofErr w:type="spellStart"/>
      <w:r w:rsidRPr="001A3B33">
        <w:rPr>
          <w:rFonts w:cstheme="minorHAnsi"/>
          <w:sz w:val="24"/>
          <w:szCs w:val="24"/>
        </w:rPr>
        <w:t>Garety</w:t>
      </w:r>
      <w:proofErr w:type="spellEnd"/>
      <w:r w:rsidRPr="001A3B33">
        <w:rPr>
          <w:rFonts w:cstheme="minorHAnsi"/>
          <w:sz w:val="24"/>
          <w:szCs w:val="24"/>
        </w:rPr>
        <w:t xml:space="preserve">, P. A., Bebbington, P. E., Smith, B., Rollinson, R., Fowler, D., ... &amp; Dunn, G. (2005). Psychological investigation of the structure of paranoia in a non-clinical population. </w:t>
      </w:r>
      <w:r w:rsidRPr="001A3B33">
        <w:rPr>
          <w:rFonts w:cstheme="minorHAnsi"/>
          <w:i/>
          <w:sz w:val="24"/>
          <w:szCs w:val="24"/>
        </w:rPr>
        <w:t>The British Journal of Psychiatry, 186,</w:t>
      </w:r>
      <w:r w:rsidRPr="001A3B33">
        <w:rPr>
          <w:rFonts w:cstheme="minorHAnsi"/>
          <w:sz w:val="24"/>
          <w:szCs w:val="24"/>
        </w:rPr>
        <w:t xml:space="preserve"> 427-435.</w:t>
      </w:r>
      <w:r>
        <w:rPr>
          <w:rFonts w:cstheme="minorHAnsi"/>
          <w:sz w:val="24"/>
          <w:szCs w:val="24"/>
        </w:rPr>
        <w:t xml:space="preserve"> </w:t>
      </w:r>
      <w:r w:rsidRPr="00871893">
        <w:rPr>
          <w:rFonts w:cstheme="minorHAnsi"/>
          <w:sz w:val="24"/>
          <w:szCs w:val="24"/>
        </w:rPr>
        <w:t>https://doi.org/10.1192/bjp.186.5.427</w:t>
      </w:r>
    </w:p>
    <w:p w14:paraId="724FA8F9" w14:textId="77777777" w:rsidR="00C06063" w:rsidRPr="001A3B33" w:rsidRDefault="00C06063" w:rsidP="00C06063">
      <w:pPr>
        <w:widowControl w:val="0"/>
        <w:spacing w:after="0" w:line="480" w:lineRule="auto"/>
        <w:ind w:left="709" w:hanging="709"/>
        <w:rPr>
          <w:rFonts w:cstheme="minorHAnsi"/>
          <w:i/>
          <w:sz w:val="24"/>
          <w:szCs w:val="24"/>
        </w:rPr>
      </w:pPr>
      <w:r w:rsidRPr="001A3B33">
        <w:rPr>
          <w:rFonts w:cstheme="minorHAnsi"/>
          <w:sz w:val="24"/>
          <w:szCs w:val="24"/>
        </w:rPr>
        <w:t xml:space="preserve">Freeman, D., </w:t>
      </w:r>
      <w:proofErr w:type="spellStart"/>
      <w:r w:rsidRPr="001A3B33">
        <w:rPr>
          <w:rFonts w:cstheme="minorHAnsi"/>
          <w:sz w:val="24"/>
          <w:szCs w:val="24"/>
        </w:rPr>
        <w:t>Garety</w:t>
      </w:r>
      <w:proofErr w:type="spellEnd"/>
      <w:r w:rsidRPr="001A3B33">
        <w:rPr>
          <w:rFonts w:cstheme="minorHAnsi"/>
          <w:sz w:val="24"/>
          <w:szCs w:val="24"/>
        </w:rPr>
        <w:t xml:space="preserve">, P., Kuipers, E., Fowler, D., &amp; Bebbington, P. (2002). A cognitive model of persecutory delusions.  </w:t>
      </w:r>
      <w:r w:rsidRPr="001A3B33">
        <w:rPr>
          <w:rFonts w:cstheme="minorHAnsi"/>
          <w:i/>
          <w:sz w:val="24"/>
          <w:szCs w:val="24"/>
        </w:rPr>
        <w:t xml:space="preserve">British Journal of Clinical Psychology, 41, </w:t>
      </w:r>
      <w:r w:rsidRPr="001A3B33">
        <w:rPr>
          <w:rFonts w:cstheme="minorHAnsi"/>
          <w:sz w:val="24"/>
          <w:szCs w:val="24"/>
        </w:rPr>
        <w:t>331-347.</w:t>
      </w:r>
      <w:r w:rsidRPr="001A3B33">
        <w:rPr>
          <w:rFonts w:cstheme="minorHAnsi"/>
          <w:i/>
          <w:sz w:val="24"/>
          <w:szCs w:val="24"/>
        </w:rPr>
        <w:t xml:space="preserve"> </w:t>
      </w:r>
      <w:r>
        <w:rPr>
          <w:rFonts w:cstheme="minorHAnsi"/>
          <w:i/>
          <w:sz w:val="24"/>
          <w:szCs w:val="24"/>
        </w:rPr>
        <w:t xml:space="preserve"> </w:t>
      </w:r>
      <w:r w:rsidRPr="00871893">
        <w:rPr>
          <w:rFonts w:cstheme="minorHAnsi"/>
          <w:i/>
          <w:sz w:val="24"/>
          <w:szCs w:val="24"/>
        </w:rPr>
        <w:t>https://doi.org/10.1348/014466502760387461</w:t>
      </w:r>
    </w:p>
    <w:p w14:paraId="75124FF7" w14:textId="77777777" w:rsidR="00C06063" w:rsidRPr="001A3B33" w:rsidRDefault="00C06063" w:rsidP="00C06063">
      <w:pPr>
        <w:widowControl w:val="0"/>
        <w:spacing w:after="0" w:line="480" w:lineRule="auto"/>
        <w:ind w:left="709" w:hanging="709"/>
        <w:rPr>
          <w:rFonts w:cstheme="minorHAnsi"/>
          <w:bCs/>
          <w:sz w:val="24"/>
          <w:szCs w:val="24"/>
        </w:rPr>
      </w:pPr>
      <w:r w:rsidRPr="001A3B33">
        <w:rPr>
          <w:rFonts w:cstheme="minorHAnsi"/>
          <w:sz w:val="24"/>
          <w:szCs w:val="24"/>
        </w:rPr>
        <w:t xml:space="preserve">Freeman, D., </w:t>
      </w:r>
      <w:proofErr w:type="spellStart"/>
      <w:r w:rsidRPr="001A3B33">
        <w:rPr>
          <w:rFonts w:cstheme="minorHAnsi"/>
          <w:sz w:val="24"/>
          <w:szCs w:val="24"/>
        </w:rPr>
        <w:t>Loe</w:t>
      </w:r>
      <w:proofErr w:type="spellEnd"/>
      <w:r w:rsidRPr="001A3B33">
        <w:rPr>
          <w:rFonts w:cstheme="minorHAnsi"/>
          <w:sz w:val="24"/>
          <w:szCs w:val="24"/>
        </w:rPr>
        <w:t xml:space="preserve">, B., </w:t>
      </w:r>
      <w:proofErr w:type="spellStart"/>
      <w:r w:rsidRPr="001A3B33">
        <w:rPr>
          <w:rFonts w:cstheme="minorHAnsi"/>
          <w:sz w:val="24"/>
          <w:szCs w:val="24"/>
        </w:rPr>
        <w:t>Kingdon</w:t>
      </w:r>
      <w:proofErr w:type="spellEnd"/>
      <w:r w:rsidRPr="001A3B33">
        <w:rPr>
          <w:rFonts w:cstheme="minorHAnsi"/>
          <w:sz w:val="24"/>
          <w:szCs w:val="24"/>
        </w:rPr>
        <w:t xml:space="preserve">, D., </w:t>
      </w:r>
      <w:proofErr w:type="spellStart"/>
      <w:r w:rsidRPr="001A3B33">
        <w:rPr>
          <w:rFonts w:cstheme="minorHAnsi"/>
          <w:sz w:val="24"/>
          <w:szCs w:val="24"/>
        </w:rPr>
        <w:t>Molodynski</w:t>
      </w:r>
      <w:proofErr w:type="spellEnd"/>
      <w:r w:rsidRPr="001A3B33">
        <w:rPr>
          <w:rFonts w:cstheme="minorHAnsi"/>
          <w:sz w:val="24"/>
          <w:szCs w:val="24"/>
        </w:rPr>
        <w:t xml:space="preserve">, A., </w:t>
      </w:r>
      <w:proofErr w:type="spellStart"/>
      <w:r w:rsidRPr="001A3B33">
        <w:rPr>
          <w:rFonts w:cstheme="minorHAnsi"/>
          <w:sz w:val="24"/>
          <w:szCs w:val="24"/>
        </w:rPr>
        <w:t>Rosebrock</w:t>
      </w:r>
      <w:proofErr w:type="spellEnd"/>
      <w:r w:rsidRPr="001A3B33">
        <w:rPr>
          <w:rFonts w:cstheme="minorHAnsi"/>
          <w:sz w:val="24"/>
          <w:szCs w:val="24"/>
        </w:rPr>
        <w:t xml:space="preserve">, L., Brown, P. et al. (2019).  </w:t>
      </w:r>
      <w:r w:rsidRPr="001A3B33">
        <w:rPr>
          <w:rFonts w:cstheme="minorHAnsi"/>
          <w:bCs/>
          <w:sz w:val="24"/>
          <w:szCs w:val="24"/>
        </w:rPr>
        <w:t xml:space="preserve">The revised Green et al., Paranoid Thoughts Scale (R-GPTS): psychometric properties, severity ranges, and clinical cut-offs. </w:t>
      </w:r>
      <w:r w:rsidRPr="001A3B33">
        <w:rPr>
          <w:rFonts w:cstheme="minorHAnsi"/>
          <w:bCs/>
          <w:i/>
          <w:sz w:val="24"/>
          <w:szCs w:val="24"/>
        </w:rPr>
        <w:t xml:space="preserve">Psychological Medicine, </w:t>
      </w:r>
      <w:r w:rsidRPr="001A3B33">
        <w:rPr>
          <w:rFonts w:cstheme="minorHAnsi"/>
          <w:bCs/>
          <w:sz w:val="24"/>
          <w:szCs w:val="24"/>
        </w:rPr>
        <w:t>1-10.</w:t>
      </w:r>
      <w:r>
        <w:rPr>
          <w:rFonts w:cstheme="minorHAnsi"/>
          <w:bCs/>
          <w:sz w:val="24"/>
          <w:szCs w:val="24"/>
        </w:rPr>
        <w:t xml:space="preserve"> </w:t>
      </w:r>
      <w:r w:rsidRPr="00871893">
        <w:rPr>
          <w:rFonts w:cstheme="minorHAnsi"/>
          <w:bCs/>
          <w:sz w:val="24"/>
          <w:szCs w:val="24"/>
        </w:rPr>
        <w:t>https://doi.org/10.1017/S0033291719003155</w:t>
      </w:r>
    </w:p>
    <w:p w14:paraId="5A92AC24" w14:textId="77777777" w:rsidR="00C0606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Freeman, D., McManus, S., </w:t>
      </w:r>
      <w:proofErr w:type="spellStart"/>
      <w:r w:rsidRPr="001A3B33">
        <w:rPr>
          <w:rFonts w:cstheme="minorHAnsi"/>
          <w:sz w:val="24"/>
          <w:szCs w:val="24"/>
        </w:rPr>
        <w:t>Brugha</w:t>
      </w:r>
      <w:proofErr w:type="spellEnd"/>
      <w:r w:rsidRPr="001A3B33">
        <w:rPr>
          <w:rFonts w:cstheme="minorHAnsi"/>
          <w:sz w:val="24"/>
          <w:szCs w:val="24"/>
        </w:rPr>
        <w:t xml:space="preserve">, T., Meltzer, H., Jenkins, R., &amp; Bebbington, P. (2011). Concomitants of paranoia in the general population. </w:t>
      </w:r>
      <w:r w:rsidRPr="001A3B33">
        <w:rPr>
          <w:rFonts w:cstheme="minorHAnsi"/>
          <w:i/>
          <w:sz w:val="24"/>
          <w:szCs w:val="24"/>
        </w:rPr>
        <w:t>Psychological Medicine, 41,</w:t>
      </w:r>
      <w:r w:rsidRPr="001A3B33">
        <w:rPr>
          <w:rFonts w:cstheme="minorHAnsi"/>
          <w:sz w:val="24"/>
          <w:szCs w:val="24"/>
        </w:rPr>
        <w:t xml:space="preserve"> 923-936.</w:t>
      </w:r>
      <w:r>
        <w:rPr>
          <w:rFonts w:cstheme="minorHAnsi"/>
          <w:sz w:val="24"/>
          <w:szCs w:val="24"/>
        </w:rPr>
        <w:t xml:space="preserve"> </w:t>
      </w:r>
      <w:r w:rsidRPr="00871893">
        <w:rPr>
          <w:rFonts w:cstheme="minorHAnsi"/>
          <w:sz w:val="24"/>
          <w:szCs w:val="24"/>
        </w:rPr>
        <w:t>https://doi.org/10.1017/S0033291710001546</w:t>
      </w:r>
    </w:p>
    <w:p w14:paraId="47E2D332" w14:textId="77777777" w:rsidR="00C06063" w:rsidRPr="008B57FD" w:rsidRDefault="00C06063" w:rsidP="00AF125F">
      <w:pPr>
        <w:widowControl w:val="0"/>
        <w:overflowPunct w:val="0"/>
        <w:autoSpaceDE w:val="0"/>
        <w:autoSpaceDN w:val="0"/>
        <w:adjustRightInd w:val="0"/>
        <w:spacing w:after="0" w:line="480" w:lineRule="auto"/>
        <w:ind w:right="920"/>
        <w:rPr>
          <w:rFonts w:cstheme="minorHAnsi"/>
          <w:sz w:val="24"/>
          <w:szCs w:val="24"/>
        </w:rPr>
      </w:pPr>
      <w:r w:rsidRPr="008B57FD">
        <w:rPr>
          <w:rFonts w:cstheme="minorHAnsi"/>
          <w:sz w:val="24"/>
          <w:szCs w:val="24"/>
        </w:rPr>
        <w:t xml:space="preserve">Haddock, G., McCarron, J., Tarrier, N., &amp; Faragher, E.B. (1999). Scales to measure </w:t>
      </w:r>
    </w:p>
    <w:p w14:paraId="63CCF124" w14:textId="77777777" w:rsidR="00C06063" w:rsidRPr="007C4535" w:rsidRDefault="00C06063" w:rsidP="00AF125F">
      <w:pPr>
        <w:widowControl w:val="0"/>
        <w:overflowPunct w:val="0"/>
        <w:autoSpaceDE w:val="0"/>
        <w:autoSpaceDN w:val="0"/>
        <w:adjustRightInd w:val="0"/>
        <w:spacing w:after="0" w:line="480" w:lineRule="auto"/>
        <w:ind w:left="720" w:right="920"/>
        <w:rPr>
          <w:rFonts w:cstheme="minorHAnsi"/>
          <w:sz w:val="24"/>
          <w:szCs w:val="24"/>
          <w:lang w:val="it-IT"/>
        </w:rPr>
      </w:pPr>
      <w:r w:rsidRPr="008B57FD">
        <w:rPr>
          <w:rFonts w:cstheme="minorHAnsi"/>
          <w:sz w:val="24"/>
          <w:szCs w:val="24"/>
        </w:rPr>
        <w:t xml:space="preserve">dimensions of hallucinations and delusions: the Psychotic Symptoms Raring Scale (PSYRATS). </w:t>
      </w:r>
      <w:r w:rsidRPr="007C4535">
        <w:rPr>
          <w:rFonts w:cstheme="minorHAnsi"/>
          <w:i/>
          <w:sz w:val="24"/>
          <w:szCs w:val="24"/>
          <w:lang w:val="it-IT"/>
        </w:rPr>
        <w:t>Psychological Medicine, 29,</w:t>
      </w:r>
      <w:r w:rsidRPr="007C4535">
        <w:rPr>
          <w:rFonts w:cstheme="minorHAnsi"/>
          <w:sz w:val="24"/>
          <w:szCs w:val="24"/>
          <w:lang w:val="it-IT"/>
        </w:rPr>
        <w:t xml:space="preserve"> 879-889. https://doi.org/10.1017/S0033291799008661</w:t>
      </w:r>
    </w:p>
    <w:p w14:paraId="1E7DAC13" w14:textId="75D48610" w:rsidR="00AF125F" w:rsidRPr="00AF125F" w:rsidRDefault="00AF125F" w:rsidP="00C06063">
      <w:pPr>
        <w:widowControl w:val="0"/>
        <w:spacing w:after="0" w:line="480" w:lineRule="auto"/>
        <w:ind w:left="709" w:hanging="709"/>
        <w:rPr>
          <w:rFonts w:cstheme="minorHAnsi"/>
          <w:sz w:val="24"/>
          <w:szCs w:val="24"/>
          <w:shd w:val="clear" w:color="auto" w:fill="FFFFFF"/>
        </w:rPr>
      </w:pPr>
      <w:r w:rsidRPr="00AF125F">
        <w:rPr>
          <w:rFonts w:cstheme="minorHAnsi"/>
          <w:color w:val="222222"/>
          <w:sz w:val="24"/>
          <w:szCs w:val="24"/>
          <w:shd w:val="clear" w:color="auto" w:fill="FFFFFF"/>
          <w:lang w:val="it-IT"/>
        </w:rPr>
        <w:t xml:space="preserve">Humphrey, C., Bucci, S., Varese, F., Degnan, A., &amp; Berry, K. (2021). </w:t>
      </w:r>
      <w:r w:rsidRPr="00AF125F">
        <w:rPr>
          <w:rFonts w:cstheme="minorHAnsi"/>
          <w:color w:val="222222"/>
          <w:sz w:val="24"/>
          <w:szCs w:val="24"/>
          <w:shd w:val="clear" w:color="auto" w:fill="FFFFFF"/>
        </w:rPr>
        <w:t>Paranoia and negative schema about the self and others: A systematic review and meta-analysis. </w:t>
      </w:r>
      <w:r w:rsidRPr="00AF125F">
        <w:rPr>
          <w:rFonts w:cstheme="minorHAnsi"/>
          <w:i/>
          <w:iCs/>
          <w:color w:val="222222"/>
          <w:sz w:val="24"/>
          <w:szCs w:val="24"/>
          <w:shd w:val="clear" w:color="auto" w:fill="FFFFFF"/>
        </w:rPr>
        <w:t xml:space="preserve">Clinical </w:t>
      </w:r>
      <w:r w:rsidR="00D14B0D">
        <w:rPr>
          <w:rFonts w:cstheme="minorHAnsi"/>
          <w:i/>
          <w:iCs/>
          <w:color w:val="222222"/>
          <w:sz w:val="24"/>
          <w:szCs w:val="24"/>
          <w:shd w:val="clear" w:color="auto" w:fill="FFFFFF"/>
        </w:rPr>
        <w:t>P</w:t>
      </w:r>
      <w:r w:rsidRPr="00AF125F">
        <w:rPr>
          <w:rFonts w:cstheme="minorHAnsi"/>
          <w:i/>
          <w:iCs/>
          <w:color w:val="222222"/>
          <w:sz w:val="24"/>
          <w:szCs w:val="24"/>
          <w:shd w:val="clear" w:color="auto" w:fill="FFFFFF"/>
        </w:rPr>
        <w:t xml:space="preserve">sychology </w:t>
      </w:r>
      <w:r w:rsidR="00D14B0D">
        <w:rPr>
          <w:rFonts w:cstheme="minorHAnsi"/>
          <w:i/>
          <w:iCs/>
          <w:color w:val="222222"/>
          <w:sz w:val="24"/>
          <w:szCs w:val="24"/>
          <w:shd w:val="clear" w:color="auto" w:fill="FFFFFF"/>
        </w:rPr>
        <w:t>R</w:t>
      </w:r>
      <w:r w:rsidRPr="00AF125F">
        <w:rPr>
          <w:rFonts w:cstheme="minorHAnsi"/>
          <w:i/>
          <w:iCs/>
          <w:color w:val="222222"/>
          <w:sz w:val="24"/>
          <w:szCs w:val="24"/>
          <w:shd w:val="clear" w:color="auto" w:fill="FFFFFF"/>
        </w:rPr>
        <w:t>eview</w:t>
      </w:r>
      <w:r w:rsidRPr="00AF125F">
        <w:rPr>
          <w:rFonts w:cstheme="minorHAnsi"/>
          <w:color w:val="222222"/>
          <w:sz w:val="24"/>
          <w:szCs w:val="24"/>
          <w:shd w:val="clear" w:color="auto" w:fill="FFFFFF"/>
        </w:rPr>
        <w:t>, </w:t>
      </w:r>
      <w:r w:rsidRPr="00AF125F">
        <w:rPr>
          <w:rFonts w:cstheme="minorHAnsi"/>
          <w:i/>
          <w:iCs/>
          <w:color w:val="222222"/>
          <w:sz w:val="24"/>
          <w:szCs w:val="24"/>
          <w:shd w:val="clear" w:color="auto" w:fill="FFFFFF"/>
        </w:rPr>
        <w:t>90</w:t>
      </w:r>
      <w:r w:rsidRPr="00AF125F">
        <w:rPr>
          <w:rFonts w:cstheme="minorHAnsi"/>
          <w:color w:val="222222"/>
          <w:sz w:val="24"/>
          <w:szCs w:val="24"/>
          <w:shd w:val="clear" w:color="auto" w:fill="FFFFFF"/>
        </w:rPr>
        <w:t>, 102081.</w:t>
      </w:r>
      <w:r>
        <w:rPr>
          <w:rFonts w:cstheme="minorHAnsi"/>
          <w:color w:val="222222"/>
          <w:sz w:val="24"/>
          <w:szCs w:val="24"/>
          <w:shd w:val="clear" w:color="auto" w:fill="FFFFFF"/>
        </w:rPr>
        <w:t xml:space="preserve">  </w:t>
      </w:r>
      <w:hyperlink r:id="rId8" w:tgtFrame="_blank" w:tooltip="Persistent link using digital object identifier" w:history="1">
        <w:r w:rsidRPr="00AF125F">
          <w:rPr>
            <w:rStyle w:val="Hyperlink"/>
            <w:rFonts w:cstheme="minorHAnsi"/>
            <w:color w:val="auto"/>
            <w:sz w:val="24"/>
            <w:szCs w:val="24"/>
            <w:u w:val="none"/>
          </w:rPr>
          <w:t>https://doi.org/10.1016/j.cpr.2021.102081</w:t>
        </w:r>
      </w:hyperlink>
    </w:p>
    <w:p w14:paraId="484BD2F6" w14:textId="3DA2B87A" w:rsidR="00C06063" w:rsidRPr="0095313C" w:rsidRDefault="00C06063" w:rsidP="00C06063">
      <w:pPr>
        <w:widowControl w:val="0"/>
        <w:spacing w:after="0" w:line="480" w:lineRule="auto"/>
        <w:ind w:left="709" w:hanging="709"/>
        <w:rPr>
          <w:rFonts w:cstheme="minorHAnsi"/>
          <w:sz w:val="24"/>
          <w:szCs w:val="24"/>
        </w:rPr>
      </w:pPr>
      <w:proofErr w:type="spellStart"/>
      <w:r w:rsidRPr="0095313C">
        <w:rPr>
          <w:rFonts w:cstheme="minorHAnsi"/>
          <w:sz w:val="24"/>
          <w:szCs w:val="24"/>
        </w:rPr>
        <w:t>Julious</w:t>
      </w:r>
      <w:proofErr w:type="spellEnd"/>
      <w:r w:rsidRPr="0095313C">
        <w:rPr>
          <w:rFonts w:cstheme="minorHAnsi"/>
          <w:sz w:val="24"/>
          <w:szCs w:val="24"/>
        </w:rPr>
        <w:t xml:space="preserve">, S.A. </w:t>
      </w:r>
      <w:r w:rsidR="0095313C" w:rsidRPr="0095313C">
        <w:rPr>
          <w:rFonts w:cstheme="minorHAnsi"/>
          <w:sz w:val="24"/>
          <w:szCs w:val="24"/>
        </w:rPr>
        <w:t>(</w:t>
      </w:r>
      <w:r w:rsidRPr="0095313C">
        <w:rPr>
          <w:rFonts w:cstheme="minorHAnsi"/>
          <w:sz w:val="24"/>
          <w:szCs w:val="24"/>
        </w:rPr>
        <w:t>2005</w:t>
      </w:r>
      <w:r w:rsidR="0095313C" w:rsidRPr="0095313C">
        <w:rPr>
          <w:rFonts w:cstheme="minorHAnsi"/>
          <w:sz w:val="24"/>
          <w:szCs w:val="24"/>
        </w:rPr>
        <w:t>)</w:t>
      </w:r>
      <w:r w:rsidRPr="0095313C">
        <w:rPr>
          <w:rFonts w:cstheme="minorHAnsi"/>
          <w:sz w:val="24"/>
          <w:szCs w:val="24"/>
        </w:rPr>
        <w:t xml:space="preserve">. </w:t>
      </w:r>
      <w:r w:rsidR="0095313C" w:rsidRPr="0095313C">
        <w:rPr>
          <w:rFonts w:cstheme="minorHAnsi"/>
          <w:sz w:val="24"/>
          <w:szCs w:val="24"/>
        </w:rPr>
        <w:t xml:space="preserve"> </w:t>
      </w:r>
      <w:r w:rsidRPr="0095313C">
        <w:rPr>
          <w:rFonts w:cstheme="minorHAnsi"/>
          <w:sz w:val="24"/>
          <w:szCs w:val="24"/>
        </w:rPr>
        <w:t xml:space="preserve">Sample size of 12 per group rule of thumb for a pilot study. </w:t>
      </w:r>
      <w:r w:rsidR="0095313C" w:rsidRPr="0095313C">
        <w:rPr>
          <w:rFonts w:cstheme="minorHAnsi"/>
          <w:sz w:val="24"/>
          <w:szCs w:val="24"/>
        </w:rPr>
        <w:t xml:space="preserve"> </w:t>
      </w:r>
      <w:r w:rsidR="0095313C" w:rsidRPr="0095313C">
        <w:rPr>
          <w:rFonts w:cstheme="minorHAnsi"/>
          <w:i/>
          <w:iCs/>
          <w:color w:val="222222"/>
          <w:sz w:val="24"/>
          <w:szCs w:val="24"/>
          <w:shd w:val="clear" w:color="auto" w:fill="FFFFFF"/>
        </w:rPr>
        <w:t>Pharmaceutical Statistics: The Journal of Applied Statistics in the Pharmaceutical Industry</w:t>
      </w:r>
      <w:r w:rsidR="0095313C" w:rsidRPr="0095313C">
        <w:rPr>
          <w:rFonts w:cstheme="minorHAnsi"/>
          <w:color w:val="222222"/>
          <w:sz w:val="24"/>
          <w:szCs w:val="24"/>
          <w:shd w:val="clear" w:color="auto" w:fill="FFFFFF"/>
        </w:rPr>
        <w:t>, </w:t>
      </w:r>
      <w:r w:rsidR="0095313C" w:rsidRPr="0095313C">
        <w:rPr>
          <w:rFonts w:cstheme="minorHAnsi"/>
          <w:i/>
          <w:iCs/>
          <w:color w:val="222222"/>
          <w:sz w:val="24"/>
          <w:szCs w:val="24"/>
          <w:shd w:val="clear" w:color="auto" w:fill="FFFFFF"/>
        </w:rPr>
        <w:t>4</w:t>
      </w:r>
      <w:r w:rsidR="0095313C" w:rsidRPr="0095313C">
        <w:rPr>
          <w:rFonts w:cstheme="minorHAnsi"/>
          <w:color w:val="222222"/>
          <w:sz w:val="24"/>
          <w:szCs w:val="24"/>
          <w:shd w:val="clear" w:color="auto" w:fill="FFFFFF"/>
        </w:rPr>
        <w:t>(4), 287-291.</w:t>
      </w:r>
      <w:r w:rsidRPr="0095313C">
        <w:rPr>
          <w:rFonts w:cstheme="minorHAnsi"/>
          <w:sz w:val="24"/>
          <w:szCs w:val="24"/>
        </w:rPr>
        <w:t xml:space="preserve"> https://doi.org/10.1002/pst.185</w:t>
      </w:r>
    </w:p>
    <w:p w14:paraId="1FE8FBE3" w14:textId="77777777" w:rsidR="00C06063" w:rsidRPr="001A3B33" w:rsidRDefault="00C06063" w:rsidP="00C06063">
      <w:pPr>
        <w:widowControl w:val="0"/>
        <w:spacing w:after="0" w:line="480" w:lineRule="auto"/>
        <w:ind w:left="709" w:hanging="709"/>
        <w:rPr>
          <w:rFonts w:cstheme="minorHAnsi"/>
          <w:sz w:val="24"/>
          <w:szCs w:val="24"/>
        </w:rPr>
      </w:pPr>
      <w:proofErr w:type="spellStart"/>
      <w:r w:rsidRPr="0095313C">
        <w:rPr>
          <w:rFonts w:cstheme="minorHAnsi"/>
        </w:rPr>
        <w:t>Kesting</w:t>
      </w:r>
      <w:proofErr w:type="spellEnd"/>
      <w:r w:rsidRPr="001A3B33">
        <w:rPr>
          <w:rFonts w:cstheme="minorHAnsi"/>
          <w:sz w:val="24"/>
          <w:szCs w:val="24"/>
        </w:rPr>
        <w:t>, M. L., &amp; Lincoln, T. M. (2013). The relevance of self-esteem and self-schemas to persecutory delusions: a systematic review. </w:t>
      </w:r>
      <w:r w:rsidRPr="001A3B33">
        <w:rPr>
          <w:rFonts w:cstheme="minorHAnsi"/>
          <w:i/>
          <w:iCs/>
          <w:sz w:val="24"/>
          <w:szCs w:val="24"/>
        </w:rPr>
        <w:t>Comprehensive Psychiatry</w:t>
      </w:r>
      <w:r w:rsidRPr="001A3B33">
        <w:rPr>
          <w:rFonts w:cstheme="minorHAnsi"/>
          <w:sz w:val="24"/>
          <w:szCs w:val="24"/>
        </w:rPr>
        <w:t>, </w:t>
      </w:r>
      <w:r w:rsidRPr="001A3B33">
        <w:rPr>
          <w:rFonts w:cstheme="minorHAnsi"/>
          <w:i/>
          <w:iCs/>
          <w:sz w:val="24"/>
          <w:szCs w:val="24"/>
        </w:rPr>
        <w:t>54</w:t>
      </w:r>
      <w:r w:rsidRPr="001A3B33">
        <w:rPr>
          <w:rFonts w:cstheme="minorHAnsi"/>
          <w:sz w:val="24"/>
          <w:szCs w:val="24"/>
        </w:rPr>
        <w:t>, 766-789.</w:t>
      </w:r>
      <w:r>
        <w:rPr>
          <w:rFonts w:cstheme="minorHAnsi"/>
          <w:sz w:val="24"/>
          <w:szCs w:val="24"/>
        </w:rPr>
        <w:t xml:space="preserve"> </w:t>
      </w:r>
      <w:r w:rsidRPr="00871893">
        <w:rPr>
          <w:rFonts w:cstheme="minorHAnsi"/>
          <w:sz w:val="24"/>
          <w:szCs w:val="24"/>
        </w:rPr>
        <w:t>https://doi.org/10.1016/j.comppsych.2013.03.002</w:t>
      </w:r>
    </w:p>
    <w:p w14:paraId="4814091C" w14:textId="4B303C01" w:rsidR="00C06063" w:rsidRPr="0095313C" w:rsidRDefault="00C06063" w:rsidP="00C06063">
      <w:pPr>
        <w:pStyle w:val="Heading3"/>
        <w:keepNext w:val="0"/>
        <w:keepLines w:val="0"/>
        <w:widowControl w:val="0"/>
        <w:spacing w:before="0" w:line="480" w:lineRule="auto"/>
        <w:ind w:left="709" w:hanging="709"/>
        <w:rPr>
          <w:rFonts w:asciiTheme="minorHAnsi" w:hAnsiTheme="minorHAnsi" w:cstheme="minorHAnsi"/>
          <w:color w:val="auto"/>
          <w:lang w:val="nl-NL"/>
        </w:rPr>
      </w:pPr>
      <w:r w:rsidRPr="001A3B33">
        <w:rPr>
          <w:rFonts w:asciiTheme="minorHAnsi" w:hAnsiTheme="minorHAnsi" w:cstheme="minorHAnsi"/>
          <w:color w:val="auto"/>
        </w:rPr>
        <w:t xml:space="preserve">Kingston, J., </w:t>
      </w:r>
      <w:proofErr w:type="spellStart"/>
      <w:r w:rsidRPr="001A3B33">
        <w:rPr>
          <w:rFonts w:asciiTheme="minorHAnsi" w:hAnsiTheme="minorHAnsi" w:cstheme="minorHAnsi"/>
          <w:color w:val="auto"/>
        </w:rPr>
        <w:t>Lassman</w:t>
      </w:r>
      <w:proofErr w:type="spellEnd"/>
      <w:r w:rsidRPr="001A3B33">
        <w:rPr>
          <w:rFonts w:asciiTheme="minorHAnsi" w:hAnsiTheme="minorHAnsi" w:cstheme="minorHAnsi"/>
          <w:color w:val="auto"/>
        </w:rPr>
        <w:t>, F., Matias, C., &amp; Ellett, L. (2019). Mindfulness and non-clinical paranoia: A cross-sectio</w:t>
      </w:r>
      <w:r w:rsidRPr="0095313C">
        <w:rPr>
          <w:rFonts w:asciiTheme="minorHAnsi" w:hAnsiTheme="minorHAnsi" w:cstheme="minorHAnsi"/>
          <w:color w:val="auto"/>
        </w:rPr>
        <w:t xml:space="preserve">nal, longitudinal and experimental analysis. </w:t>
      </w:r>
      <w:r w:rsidRPr="0095313C">
        <w:rPr>
          <w:rFonts w:asciiTheme="minorHAnsi" w:hAnsiTheme="minorHAnsi" w:cstheme="minorHAnsi"/>
          <w:i/>
          <w:color w:val="auto"/>
          <w:lang w:val="nl-NL"/>
        </w:rPr>
        <w:t>Mindfulness</w:t>
      </w:r>
      <w:r w:rsidR="00D14B0D" w:rsidRPr="0095313C">
        <w:rPr>
          <w:rFonts w:asciiTheme="minorHAnsi" w:hAnsiTheme="minorHAnsi" w:cstheme="minorHAnsi"/>
          <w:color w:val="auto"/>
          <w:lang w:val="nl-NL"/>
        </w:rPr>
        <w:t>,</w:t>
      </w:r>
      <w:r w:rsidRPr="0095313C">
        <w:rPr>
          <w:rFonts w:ascii="Segoe UI" w:hAnsi="Segoe UI" w:cs="Segoe UI"/>
          <w:b/>
          <w:bCs/>
          <w:color w:val="333333"/>
          <w:shd w:val="clear" w:color="auto" w:fill="FCFCFC"/>
          <w:lang w:val="nl-NL"/>
        </w:rPr>
        <w:t xml:space="preserve"> </w:t>
      </w:r>
      <w:r w:rsidRPr="0095313C">
        <w:rPr>
          <w:rFonts w:asciiTheme="minorHAnsi" w:hAnsiTheme="minorHAnsi" w:cstheme="minorHAnsi"/>
          <w:i/>
          <w:iCs/>
          <w:color w:val="333333"/>
          <w:shd w:val="clear" w:color="auto" w:fill="FCFCFC"/>
          <w:lang w:val="nl-NL"/>
        </w:rPr>
        <w:t>10</w:t>
      </w:r>
      <w:r w:rsidRPr="0095313C">
        <w:rPr>
          <w:rFonts w:asciiTheme="minorHAnsi" w:hAnsiTheme="minorHAnsi" w:cstheme="minorHAnsi"/>
          <w:color w:val="333333"/>
          <w:shd w:val="clear" w:color="auto" w:fill="FCFCFC"/>
          <w:lang w:val="nl-NL"/>
        </w:rPr>
        <w:t>, 2038–2045. https://doi.org/10.1007/s12671-019-01162-2</w:t>
      </w:r>
    </w:p>
    <w:p w14:paraId="43AE4240" w14:textId="77777777" w:rsidR="00C06063" w:rsidRPr="001A3B33" w:rsidRDefault="00C06063" w:rsidP="00C06063">
      <w:pPr>
        <w:widowControl w:val="0"/>
        <w:spacing w:after="0" w:line="480" w:lineRule="auto"/>
        <w:ind w:left="709" w:hanging="709"/>
        <w:rPr>
          <w:rFonts w:cstheme="minorHAnsi"/>
          <w:sz w:val="24"/>
          <w:szCs w:val="24"/>
          <w:shd w:val="clear" w:color="auto" w:fill="FFFFFF"/>
        </w:rPr>
      </w:pPr>
      <w:r w:rsidRPr="0095313C">
        <w:rPr>
          <w:rFonts w:cstheme="minorHAnsi"/>
          <w:sz w:val="24"/>
          <w:szCs w:val="24"/>
          <w:lang w:val="nl-NL"/>
        </w:rPr>
        <w:t>Krabbendam, L., Myin-Germeys</w:t>
      </w:r>
      <w:r w:rsidRPr="00C06063">
        <w:rPr>
          <w:rFonts w:cstheme="minorHAnsi"/>
          <w:sz w:val="24"/>
          <w:szCs w:val="24"/>
          <w:lang w:val="nl-NL"/>
        </w:rPr>
        <w:t xml:space="preserve">, I., Hanssen, M., de Graff, R., Vollenbergh, W., et al. </w:t>
      </w:r>
      <w:r w:rsidRPr="001A3B33">
        <w:rPr>
          <w:rFonts w:cstheme="minorHAnsi"/>
          <w:sz w:val="24"/>
          <w:szCs w:val="24"/>
        </w:rPr>
        <w:t xml:space="preserve">(2005). </w:t>
      </w:r>
      <w:r w:rsidRPr="001A3B33">
        <w:rPr>
          <w:rFonts w:cstheme="minorHAnsi"/>
          <w:sz w:val="24"/>
          <w:szCs w:val="24"/>
          <w:shd w:val="clear" w:color="auto" w:fill="FFFFFF"/>
        </w:rPr>
        <w:t xml:space="preserve">Development of depressed mood predicts onset of psychotic disorder in individuals who report hallucinatory experiences. </w:t>
      </w:r>
      <w:r w:rsidRPr="001A3B33">
        <w:rPr>
          <w:rFonts w:cstheme="minorHAnsi"/>
          <w:i/>
          <w:sz w:val="24"/>
          <w:szCs w:val="24"/>
          <w:shd w:val="clear" w:color="auto" w:fill="FFFFFF"/>
        </w:rPr>
        <w:t xml:space="preserve">British Journal of Clinical Psychology, 44, </w:t>
      </w:r>
      <w:r w:rsidRPr="001A3B33">
        <w:rPr>
          <w:rFonts w:cstheme="minorHAnsi"/>
          <w:sz w:val="24"/>
          <w:szCs w:val="24"/>
          <w:shd w:val="clear" w:color="auto" w:fill="FFFFFF"/>
        </w:rPr>
        <w:t>113-125.</w:t>
      </w:r>
      <w:r>
        <w:rPr>
          <w:rFonts w:cstheme="minorHAnsi"/>
          <w:sz w:val="24"/>
          <w:szCs w:val="24"/>
          <w:shd w:val="clear" w:color="auto" w:fill="FFFFFF"/>
        </w:rPr>
        <w:t xml:space="preserve"> </w:t>
      </w:r>
      <w:r w:rsidRPr="00871893">
        <w:rPr>
          <w:rFonts w:cstheme="minorHAnsi"/>
          <w:sz w:val="24"/>
          <w:szCs w:val="24"/>
          <w:shd w:val="clear" w:color="auto" w:fill="FFFFFF"/>
        </w:rPr>
        <w:t>https://doi.org/10.1348/014466504X19767</w:t>
      </w:r>
    </w:p>
    <w:p w14:paraId="0F306B3E" w14:textId="77777777" w:rsidR="00C06063" w:rsidRPr="005837B1" w:rsidRDefault="00C06063" w:rsidP="00C06063">
      <w:pPr>
        <w:pStyle w:val="Heading3"/>
        <w:keepNext w:val="0"/>
        <w:keepLines w:val="0"/>
        <w:widowControl w:val="0"/>
        <w:spacing w:before="0" w:line="480" w:lineRule="auto"/>
        <w:ind w:left="709" w:hanging="709"/>
        <w:rPr>
          <w:rFonts w:asciiTheme="minorHAnsi" w:hAnsiTheme="minorHAnsi" w:cstheme="minorHAnsi"/>
          <w:color w:val="auto"/>
        </w:rPr>
      </w:pPr>
      <w:r w:rsidRPr="005837B1">
        <w:rPr>
          <w:rFonts w:asciiTheme="minorHAnsi" w:hAnsiTheme="minorHAnsi" w:cstheme="minorHAnsi"/>
          <w:color w:val="auto"/>
        </w:rPr>
        <w:t xml:space="preserve">Linville, P. W. (1985). Self-complexity and affective extremity: don’t put all of your eggs in one basket. </w:t>
      </w:r>
      <w:r w:rsidRPr="00D14B0D">
        <w:rPr>
          <w:rFonts w:asciiTheme="minorHAnsi" w:hAnsiTheme="minorHAnsi" w:cstheme="minorHAnsi"/>
          <w:i/>
          <w:iCs/>
          <w:color w:val="auto"/>
        </w:rPr>
        <w:t>Social Cognition</w:t>
      </w:r>
      <w:r w:rsidRPr="00BE554E">
        <w:rPr>
          <w:rFonts w:asciiTheme="minorHAnsi" w:hAnsiTheme="minorHAnsi" w:cstheme="minorHAnsi"/>
          <w:i/>
          <w:iCs/>
          <w:color w:val="auto"/>
        </w:rPr>
        <w:t>, 3,</w:t>
      </w:r>
      <w:r w:rsidRPr="005837B1">
        <w:rPr>
          <w:rFonts w:asciiTheme="minorHAnsi" w:hAnsiTheme="minorHAnsi" w:cstheme="minorHAnsi"/>
          <w:color w:val="auto"/>
        </w:rPr>
        <w:t xml:space="preserve"> 94-120. </w:t>
      </w:r>
      <w:r>
        <w:rPr>
          <w:rFonts w:asciiTheme="minorHAnsi" w:hAnsiTheme="minorHAnsi" w:cstheme="minorHAnsi"/>
          <w:color w:val="auto"/>
        </w:rPr>
        <w:t xml:space="preserve"> </w:t>
      </w:r>
      <w:r w:rsidRPr="00871893">
        <w:rPr>
          <w:rFonts w:asciiTheme="minorHAnsi" w:hAnsiTheme="minorHAnsi" w:cstheme="minorHAnsi"/>
          <w:color w:val="auto"/>
        </w:rPr>
        <w:t>https://doi.org/10.1521/soco.1985.3.1.94</w:t>
      </w:r>
    </w:p>
    <w:p w14:paraId="4F8EE2C5" w14:textId="77777777" w:rsidR="00C06063" w:rsidRPr="005837B1" w:rsidRDefault="00C06063" w:rsidP="00C06063">
      <w:pPr>
        <w:pStyle w:val="Heading3"/>
        <w:keepNext w:val="0"/>
        <w:keepLines w:val="0"/>
        <w:widowControl w:val="0"/>
        <w:spacing w:before="0" w:line="480" w:lineRule="auto"/>
        <w:ind w:left="709" w:hanging="709"/>
        <w:rPr>
          <w:rFonts w:asciiTheme="minorHAnsi" w:hAnsiTheme="minorHAnsi" w:cstheme="minorHAnsi"/>
          <w:color w:val="auto"/>
        </w:rPr>
      </w:pPr>
      <w:r w:rsidRPr="005837B1">
        <w:rPr>
          <w:rFonts w:asciiTheme="minorHAnsi" w:hAnsiTheme="minorHAnsi" w:cstheme="minorHAnsi"/>
          <w:color w:val="auto"/>
        </w:rPr>
        <w:t xml:space="preserve">Linville, P. W. (1987). Self-complexity as a cognitive buffer against stress-related illness and depression. </w:t>
      </w:r>
      <w:r w:rsidRPr="00D14B0D">
        <w:rPr>
          <w:rFonts w:asciiTheme="minorHAnsi" w:hAnsiTheme="minorHAnsi" w:cstheme="minorHAnsi"/>
          <w:i/>
          <w:iCs/>
          <w:color w:val="auto"/>
        </w:rPr>
        <w:t>Journal of Personality and Social Psychology</w:t>
      </w:r>
      <w:r w:rsidRPr="0095313C">
        <w:rPr>
          <w:rFonts w:asciiTheme="minorHAnsi" w:hAnsiTheme="minorHAnsi" w:cstheme="minorHAnsi"/>
          <w:i/>
          <w:iCs/>
          <w:color w:val="auto"/>
        </w:rPr>
        <w:t>, 52,</w:t>
      </w:r>
      <w:r w:rsidRPr="005837B1">
        <w:rPr>
          <w:rFonts w:asciiTheme="minorHAnsi" w:hAnsiTheme="minorHAnsi" w:cstheme="minorHAnsi"/>
          <w:color w:val="auto"/>
        </w:rPr>
        <w:t xml:space="preserve"> 663-676. </w:t>
      </w:r>
      <w:r w:rsidRPr="00871893">
        <w:rPr>
          <w:rFonts w:asciiTheme="minorHAnsi" w:hAnsiTheme="minorHAnsi" w:cstheme="minorHAnsi"/>
          <w:color w:val="auto"/>
        </w:rPr>
        <w:t>https://psycnet.apa.org/doi/10.1037/0022-3514.52.4.663</w:t>
      </w:r>
    </w:p>
    <w:p w14:paraId="379E70B7" w14:textId="6F8EC859" w:rsidR="00C06063" w:rsidRPr="005837B1" w:rsidRDefault="00C06063" w:rsidP="00C06063">
      <w:pPr>
        <w:widowControl w:val="0"/>
        <w:spacing w:after="0" w:line="480" w:lineRule="auto"/>
        <w:ind w:left="709" w:hanging="709"/>
        <w:rPr>
          <w:rFonts w:cstheme="minorHAnsi"/>
          <w:sz w:val="24"/>
          <w:szCs w:val="24"/>
        </w:rPr>
      </w:pPr>
      <w:r w:rsidRPr="005837B1">
        <w:rPr>
          <w:rFonts w:cstheme="minorHAnsi"/>
          <w:sz w:val="24"/>
          <w:szCs w:val="24"/>
        </w:rPr>
        <w:t xml:space="preserve">Lovibond, P. F., &amp; Lovibond, S. H. (1995). The structure of negative emotional states: Comparison of the Depression Anxiety Stress Scales (DASS) with the Beck Depression and Anxiety Inventories. </w:t>
      </w:r>
      <w:r w:rsidR="00D14B0D">
        <w:rPr>
          <w:rFonts w:cstheme="minorHAnsi"/>
          <w:sz w:val="24"/>
          <w:szCs w:val="24"/>
        </w:rPr>
        <w:t xml:space="preserve"> </w:t>
      </w:r>
      <w:r w:rsidRPr="00D14B0D">
        <w:rPr>
          <w:rFonts w:cstheme="minorHAnsi"/>
          <w:i/>
          <w:sz w:val="24"/>
          <w:szCs w:val="24"/>
        </w:rPr>
        <w:t>Behav</w:t>
      </w:r>
      <w:r w:rsidR="00BE554E">
        <w:rPr>
          <w:rFonts w:cstheme="minorHAnsi"/>
          <w:i/>
          <w:sz w:val="24"/>
          <w:szCs w:val="24"/>
        </w:rPr>
        <w:t>i</w:t>
      </w:r>
      <w:r w:rsidRPr="00D14B0D">
        <w:rPr>
          <w:rFonts w:cstheme="minorHAnsi"/>
          <w:i/>
          <w:sz w:val="24"/>
          <w:szCs w:val="24"/>
        </w:rPr>
        <w:t>our Research and Therapy</w:t>
      </w:r>
      <w:r w:rsidRPr="005837B1">
        <w:rPr>
          <w:rFonts w:cstheme="minorHAnsi"/>
          <w:iCs/>
          <w:sz w:val="24"/>
          <w:szCs w:val="24"/>
        </w:rPr>
        <w:t xml:space="preserve">, </w:t>
      </w:r>
      <w:r w:rsidRPr="0095313C">
        <w:rPr>
          <w:rFonts w:cstheme="minorHAnsi"/>
          <w:i/>
          <w:sz w:val="24"/>
          <w:szCs w:val="24"/>
        </w:rPr>
        <w:t>33</w:t>
      </w:r>
      <w:r w:rsidRPr="005837B1">
        <w:rPr>
          <w:rFonts w:cstheme="minorHAnsi"/>
          <w:iCs/>
          <w:sz w:val="24"/>
          <w:szCs w:val="24"/>
        </w:rPr>
        <w:t xml:space="preserve">(3), </w:t>
      </w:r>
      <w:r w:rsidRPr="005837B1">
        <w:rPr>
          <w:rFonts w:cstheme="minorHAnsi"/>
          <w:sz w:val="24"/>
          <w:szCs w:val="24"/>
        </w:rPr>
        <w:t xml:space="preserve">335–343. </w:t>
      </w:r>
      <w:r w:rsidRPr="00FE2788">
        <w:rPr>
          <w:rFonts w:cstheme="minorHAnsi"/>
          <w:sz w:val="24"/>
          <w:szCs w:val="24"/>
        </w:rPr>
        <w:t>https://doi.org/10.1016/0005-7967(94)00075-U</w:t>
      </w:r>
    </w:p>
    <w:p w14:paraId="5456EB74" w14:textId="77777777" w:rsidR="00C06063" w:rsidRPr="001A3B33" w:rsidRDefault="00C06063" w:rsidP="00C06063">
      <w:pPr>
        <w:widowControl w:val="0"/>
        <w:spacing w:after="0" w:line="480" w:lineRule="auto"/>
        <w:ind w:left="709" w:hanging="709"/>
        <w:rPr>
          <w:rFonts w:cstheme="minorHAnsi"/>
          <w:spacing w:val="5"/>
          <w:sz w:val="24"/>
          <w:szCs w:val="24"/>
        </w:rPr>
      </w:pPr>
      <w:proofErr w:type="spellStart"/>
      <w:r w:rsidRPr="005837B1">
        <w:rPr>
          <w:rFonts w:cstheme="minorHAnsi"/>
          <w:sz w:val="24"/>
          <w:szCs w:val="24"/>
        </w:rPr>
        <w:t>Mihic</w:t>
      </w:r>
      <w:proofErr w:type="spellEnd"/>
      <w:r w:rsidRPr="001A3B33">
        <w:rPr>
          <w:rFonts w:cstheme="minorHAnsi"/>
          <w:sz w:val="24"/>
          <w:szCs w:val="24"/>
        </w:rPr>
        <w:t xml:space="preserve">, </w:t>
      </w:r>
      <w:proofErr w:type="spellStart"/>
      <w:r w:rsidRPr="001A3B33">
        <w:rPr>
          <w:rFonts w:cstheme="minorHAnsi"/>
          <w:sz w:val="24"/>
          <w:szCs w:val="24"/>
        </w:rPr>
        <w:t>Novovic</w:t>
      </w:r>
      <w:proofErr w:type="spellEnd"/>
      <w:r w:rsidRPr="001A3B33">
        <w:rPr>
          <w:rFonts w:cstheme="minorHAnsi"/>
          <w:sz w:val="24"/>
          <w:szCs w:val="24"/>
        </w:rPr>
        <w:t xml:space="preserve">, Z., Dozois, D., </w:t>
      </w:r>
      <w:proofErr w:type="spellStart"/>
      <w:r w:rsidRPr="001A3B33">
        <w:rPr>
          <w:rFonts w:cstheme="minorHAnsi"/>
          <w:sz w:val="24"/>
          <w:szCs w:val="24"/>
        </w:rPr>
        <w:t>Bental</w:t>
      </w:r>
      <w:proofErr w:type="spellEnd"/>
      <w:r w:rsidRPr="001A3B33">
        <w:rPr>
          <w:rFonts w:cstheme="minorHAnsi"/>
          <w:sz w:val="24"/>
          <w:szCs w:val="24"/>
        </w:rPr>
        <w:t xml:space="preserve">, R., &amp; Petrovic, T. (2018). Structure of self-schema in patients with paranoia. </w:t>
      </w:r>
      <w:proofErr w:type="spellStart"/>
      <w:r w:rsidRPr="001A3B33">
        <w:rPr>
          <w:rStyle w:val="Emphasis"/>
          <w:rFonts w:cstheme="minorHAnsi"/>
          <w:bCs/>
          <w:spacing w:val="5"/>
          <w:sz w:val="24"/>
          <w:szCs w:val="24"/>
        </w:rPr>
        <w:t>Psihologija</w:t>
      </w:r>
      <w:proofErr w:type="spellEnd"/>
      <w:r w:rsidRPr="001A3B33">
        <w:rPr>
          <w:rStyle w:val="Emphasis"/>
          <w:rFonts w:cstheme="minorHAnsi"/>
          <w:bCs/>
          <w:spacing w:val="5"/>
          <w:sz w:val="24"/>
          <w:szCs w:val="24"/>
        </w:rPr>
        <w:t xml:space="preserve">, 52, </w:t>
      </w:r>
      <w:r w:rsidRPr="001A3B33">
        <w:rPr>
          <w:rStyle w:val="Emphasis"/>
          <w:rFonts w:cstheme="minorHAnsi"/>
          <w:bCs/>
          <w:i w:val="0"/>
          <w:spacing w:val="5"/>
          <w:sz w:val="24"/>
          <w:szCs w:val="24"/>
        </w:rPr>
        <w:t>21-33.</w:t>
      </w:r>
      <w:r>
        <w:rPr>
          <w:rStyle w:val="Emphasis"/>
          <w:rFonts w:cstheme="minorHAnsi"/>
          <w:bCs/>
          <w:i w:val="0"/>
          <w:spacing w:val="5"/>
          <w:sz w:val="24"/>
          <w:szCs w:val="24"/>
        </w:rPr>
        <w:t xml:space="preserve"> </w:t>
      </w:r>
      <w:r w:rsidRPr="00FE2788">
        <w:rPr>
          <w:rStyle w:val="Emphasis"/>
          <w:rFonts w:cstheme="minorHAnsi"/>
          <w:bCs/>
          <w:i w:val="0"/>
          <w:spacing w:val="5"/>
          <w:sz w:val="24"/>
          <w:szCs w:val="24"/>
        </w:rPr>
        <w:t>https://doi.org/10.2298/PSI171120026M</w:t>
      </w:r>
    </w:p>
    <w:p w14:paraId="2593AC37" w14:textId="77777777" w:rsidR="00C06063" w:rsidRPr="0095313C"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Muller, H., de </w:t>
      </w:r>
      <w:proofErr w:type="spellStart"/>
      <w:r w:rsidRPr="001A3B33">
        <w:rPr>
          <w:rFonts w:cstheme="minorHAnsi"/>
          <w:sz w:val="24"/>
          <w:szCs w:val="24"/>
        </w:rPr>
        <w:t>Millas</w:t>
      </w:r>
      <w:proofErr w:type="spellEnd"/>
      <w:r w:rsidRPr="001A3B33">
        <w:rPr>
          <w:rFonts w:cstheme="minorHAnsi"/>
          <w:sz w:val="24"/>
          <w:szCs w:val="24"/>
        </w:rPr>
        <w:t xml:space="preserve">, W., </w:t>
      </w:r>
      <w:proofErr w:type="spellStart"/>
      <w:r w:rsidRPr="001A3B33">
        <w:rPr>
          <w:rFonts w:cstheme="minorHAnsi"/>
          <w:sz w:val="24"/>
          <w:szCs w:val="24"/>
        </w:rPr>
        <w:t>Gaebel</w:t>
      </w:r>
      <w:proofErr w:type="spellEnd"/>
      <w:r w:rsidRPr="001A3B33">
        <w:rPr>
          <w:rFonts w:cstheme="minorHAnsi"/>
          <w:sz w:val="24"/>
          <w:szCs w:val="24"/>
        </w:rPr>
        <w:t xml:space="preserve">, W., </w:t>
      </w:r>
      <w:proofErr w:type="spellStart"/>
      <w:r w:rsidRPr="001A3B33">
        <w:rPr>
          <w:rFonts w:cstheme="minorHAnsi"/>
          <w:sz w:val="24"/>
          <w:szCs w:val="24"/>
        </w:rPr>
        <w:t>Herrlich</w:t>
      </w:r>
      <w:proofErr w:type="spellEnd"/>
      <w:r w:rsidRPr="001A3B33">
        <w:rPr>
          <w:rFonts w:cstheme="minorHAnsi"/>
          <w:sz w:val="24"/>
          <w:szCs w:val="24"/>
        </w:rPr>
        <w:t xml:space="preserve">, J., Hasan, A., </w:t>
      </w:r>
      <w:proofErr w:type="spellStart"/>
      <w:r w:rsidRPr="001A3B33">
        <w:rPr>
          <w:rFonts w:cstheme="minorHAnsi"/>
          <w:sz w:val="24"/>
          <w:szCs w:val="24"/>
        </w:rPr>
        <w:t>Jassen</w:t>
      </w:r>
      <w:proofErr w:type="spellEnd"/>
      <w:r w:rsidRPr="001A3B33">
        <w:rPr>
          <w:rFonts w:cstheme="minorHAnsi"/>
          <w:sz w:val="24"/>
          <w:szCs w:val="24"/>
        </w:rPr>
        <w:t>, B. et al. (2018)</w:t>
      </w:r>
      <w:bookmarkStart w:id="1" w:name="citation"/>
      <w:r w:rsidRPr="001A3B33">
        <w:rPr>
          <w:rFonts w:cstheme="minorHAnsi"/>
          <w:sz w:val="24"/>
          <w:szCs w:val="24"/>
        </w:rPr>
        <w:t xml:space="preserve">. </w:t>
      </w:r>
      <w:r w:rsidRPr="001A3B33">
        <w:rPr>
          <w:rStyle w:val="Strong"/>
          <w:rFonts w:cstheme="minorHAnsi"/>
          <w:b w:val="0"/>
          <w:bCs w:val="0"/>
          <w:sz w:val="24"/>
          <w:szCs w:val="24"/>
          <w:bdr w:val="none" w:sz="0" w:space="0" w:color="auto" w:frame="1"/>
        </w:rPr>
        <w:t>Negative</w:t>
      </w:r>
      <w:r w:rsidRPr="001A3B33">
        <w:rPr>
          <w:rFonts w:cstheme="minorHAnsi"/>
          <w:sz w:val="24"/>
          <w:szCs w:val="24"/>
          <w:bdr w:val="none" w:sz="0" w:space="0" w:color="auto" w:frame="1"/>
        </w:rPr>
        <w:t> schemata about the </w:t>
      </w:r>
      <w:r w:rsidRPr="001A3B33">
        <w:rPr>
          <w:rStyle w:val="Strong"/>
          <w:rFonts w:cstheme="minorHAnsi"/>
          <w:b w:val="0"/>
          <w:bCs w:val="0"/>
          <w:sz w:val="24"/>
          <w:szCs w:val="24"/>
          <w:bdr w:val="none" w:sz="0" w:space="0" w:color="auto" w:frame="1"/>
        </w:rPr>
        <w:t>self</w:t>
      </w:r>
      <w:r w:rsidRPr="001A3B33">
        <w:rPr>
          <w:rFonts w:cstheme="minorHAnsi"/>
          <w:sz w:val="24"/>
          <w:szCs w:val="24"/>
          <w:bdr w:val="none" w:sz="0" w:space="0" w:color="auto" w:frame="1"/>
        </w:rPr>
        <w:t xml:space="preserve"> and others and paranoid ideation in at‐risk states </w:t>
      </w:r>
      <w:r w:rsidRPr="0095313C">
        <w:rPr>
          <w:rFonts w:cstheme="minorHAnsi"/>
          <w:sz w:val="24"/>
          <w:szCs w:val="24"/>
          <w:bdr w:val="none" w:sz="0" w:space="0" w:color="auto" w:frame="1"/>
        </w:rPr>
        <w:t xml:space="preserve">and those with persisting positive symptoms. </w:t>
      </w:r>
      <w:r w:rsidRPr="0095313C">
        <w:rPr>
          <w:rFonts w:cstheme="minorHAnsi"/>
          <w:i/>
          <w:sz w:val="24"/>
          <w:szCs w:val="24"/>
          <w:bdr w:val="none" w:sz="0" w:space="0" w:color="auto" w:frame="1"/>
        </w:rPr>
        <w:t xml:space="preserve">Early Intervention in Psychosis, 12, </w:t>
      </w:r>
      <w:r w:rsidRPr="0095313C">
        <w:rPr>
          <w:rFonts w:cstheme="minorHAnsi"/>
          <w:sz w:val="24"/>
          <w:szCs w:val="24"/>
          <w:bdr w:val="none" w:sz="0" w:space="0" w:color="auto" w:frame="1"/>
        </w:rPr>
        <w:t>1157-1165. https://doi.org/10.1111/eip.12433</w:t>
      </w:r>
    </w:p>
    <w:bookmarkEnd w:id="1"/>
    <w:p w14:paraId="2D42831D" w14:textId="77777777" w:rsidR="00C06063" w:rsidRPr="00E667E8" w:rsidRDefault="00C06063" w:rsidP="00C06063">
      <w:pPr>
        <w:widowControl w:val="0"/>
        <w:spacing w:after="0" w:line="480" w:lineRule="auto"/>
        <w:ind w:left="709" w:hanging="709"/>
        <w:rPr>
          <w:rFonts w:cstheme="minorHAnsi"/>
          <w:color w:val="212121"/>
          <w:sz w:val="24"/>
          <w:szCs w:val="24"/>
        </w:rPr>
      </w:pPr>
      <w:proofErr w:type="spellStart"/>
      <w:r w:rsidRPr="0095313C">
        <w:rPr>
          <w:rFonts w:cstheme="minorHAnsi"/>
          <w:sz w:val="24"/>
          <w:szCs w:val="24"/>
        </w:rPr>
        <w:t>Monso</w:t>
      </w:r>
      <w:r w:rsidRPr="00E667E8">
        <w:rPr>
          <w:rFonts w:cstheme="minorHAnsi"/>
          <w:sz w:val="24"/>
          <w:szCs w:val="24"/>
        </w:rPr>
        <w:t>net</w:t>
      </w:r>
      <w:proofErr w:type="spellEnd"/>
      <w:r w:rsidRPr="00E667E8">
        <w:rPr>
          <w:rFonts w:cstheme="minorHAnsi"/>
          <w:sz w:val="24"/>
          <w:szCs w:val="24"/>
        </w:rPr>
        <w:t xml:space="preserve">, M., </w:t>
      </w:r>
      <w:proofErr w:type="spellStart"/>
      <w:r w:rsidRPr="00E667E8">
        <w:rPr>
          <w:rFonts w:cstheme="minorHAnsi"/>
          <w:sz w:val="24"/>
          <w:szCs w:val="24"/>
        </w:rPr>
        <w:t>Kwapil</w:t>
      </w:r>
      <w:proofErr w:type="spellEnd"/>
      <w:r w:rsidRPr="00E667E8">
        <w:rPr>
          <w:rFonts w:cstheme="minorHAnsi"/>
          <w:sz w:val="24"/>
          <w:szCs w:val="24"/>
        </w:rPr>
        <w:t xml:space="preserve">, T., &amp; </w:t>
      </w:r>
      <w:proofErr w:type="spellStart"/>
      <w:r w:rsidRPr="00E667E8">
        <w:rPr>
          <w:rFonts w:cstheme="minorHAnsi"/>
          <w:sz w:val="24"/>
          <w:szCs w:val="24"/>
        </w:rPr>
        <w:t>Barrantes</w:t>
      </w:r>
      <w:proofErr w:type="spellEnd"/>
      <w:r w:rsidRPr="00E667E8">
        <w:rPr>
          <w:rFonts w:cstheme="minorHAnsi"/>
          <w:sz w:val="24"/>
          <w:szCs w:val="24"/>
        </w:rPr>
        <w:t xml:space="preserve">-Vidal, N. (2020). </w:t>
      </w:r>
      <w:r w:rsidRPr="00E667E8">
        <w:rPr>
          <w:rFonts w:cstheme="minorHAnsi"/>
          <w:color w:val="212121"/>
          <w:sz w:val="24"/>
          <w:szCs w:val="24"/>
        </w:rPr>
        <w:t xml:space="preserve">Deconstructing the relationships between self-esteem and </w:t>
      </w:r>
      <w:r w:rsidRPr="00E667E8">
        <w:rPr>
          <w:rFonts w:cstheme="minorHAnsi"/>
          <w:sz w:val="24"/>
          <w:szCs w:val="24"/>
        </w:rPr>
        <w:t xml:space="preserve">paranoia in early psychosis: an experience sampling study. </w:t>
      </w:r>
      <w:r w:rsidRPr="00E667E8">
        <w:rPr>
          <w:rFonts w:cstheme="minorHAnsi"/>
          <w:i/>
          <w:sz w:val="24"/>
          <w:szCs w:val="24"/>
        </w:rPr>
        <w:t xml:space="preserve">British Journal of Clinical Psychology, 59, </w:t>
      </w:r>
      <w:r w:rsidRPr="00E667E8">
        <w:rPr>
          <w:rFonts w:cstheme="minorHAnsi"/>
          <w:sz w:val="24"/>
          <w:szCs w:val="24"/>
        </w:rPr>
        <w:t xml:space="preserve">503-523. </w:t>
      </w:r>
      <w:proofErr w:type="spellStart"/>
      <w:r w:rsidRPr="00E667E8">
        <w:rPr>
          <w:rFonts w:cstheme="minorHAnsi"/>
          <w:sz w:val="24"/>
          <w:szCs w:val="24"/>
          <w:shd w:val="clear" w:color="auto" w:fill="FFFFFF"/>
        </w:rPr>
        <w:t>doi</w:t>
      </w:r>
      <w:proofErr w:type="spellEnd"/>
      <w:r w:rsidRPr="00E667E8">
        <w:rPr>
          <w:rFonts w:cstheme="minorHAnsi"/>
          <w:sz w:val="24"/>
          <w:szCs w:val="24"/>
          <w:shd w:val="clear" w:color="auto" w:fill="FFFFFF"/>
        </w:rPr>
        <w:t>: 10.1111/bjc.12263.</w:t>
      </w:r>
    </w:p>
    <w:p w14:paraId="6BACADCC" w14:textId="77777777" w:rsidR="00C06063" w:rsidRPr="001A3B33" w:rsidRDefault="00C06063" w:rsidP="00C06063">
      <w:pPr>
        <w:pStyle w:val="Heading3"/>
        <w:keepNext w:val="0"/>
        <w:keepLines w:val="0"/>
        <w:widowControl w:val="0"/>
        <w:spacing w:before="0" w:line="480" w:lineRule="auto"/>
        <w:ind w:left="709" w:hanging="709"/>
        <w:rPr>
          <w:rFonts w:asciiTheme="minorHAnsi" w:hAnsiTheme="minorHAnsi" w:cstheme="minorHAnsi"/>
          <w:b/>
          <w:color w:val="auto"/>
        </w:rPr>
      </w:pPr>
      <w:r w:rsidRPr="001A3B33">
        <w:rPr>
          <w:rFonts w:asciiTheme="minorHAnsi" w:hAnsiTheme="minorHAnsi" w:cstheme="minorHAnsi"/>
          <w:color w:val="auto"/>
        </w:rPr>
        <w:t xml:space="preserve">Shore, R., Strauss, C., Cavanaugh, K., Hayward, M., &amp; Ellett, L. (2017). </w:t>
      </w:r>
      <w:r w:rsidRPr="001A3B33">
        <w:rPr>
          <w:rFonts w:asciiTheme="minorHAnsi" w:hAnsiTheme="minorHAnsi" w:cstheme="minorHAnsi"/>
          <w:color w:val="auto"/>
          <w:lang w:val="en"/>
        </w:rPr>
        <w:t>Randomised controlled trial of a brief online mindfulness-based intervention on paranoia in a non-clinical sample</w:t>
      </w:r>
      <w:r w:rsidRPr="001A3B33">
        <w:rPr>
          <w:rFonts w:asciiTheme="minorHAnsi" w:hAnsiTheme="minorHAnsi" w:cstheme="minorHAnsi"/>
          <w:color w:val="auto"/>
        </w:rPr>
        <w:t xml:space="preserve">. </w:t>
      </w:r>
      <w:r w:rsidRPr="001A3B33">
        <w:rPr>
          <w:rFonts w:asciiTheme="minorHAnsi" w:hAnsiTheme="minorHAnsi" w:cstheme="minorHAnsi"/>
          <w:i/>
          <w:color w:val="auto"/>
        </w:rPr>
        <w:t xml:space="preserve">Mindfulness, 9, </w:t>
      </w:r>
      <w:r w:rsidRPr="001A3B33">
        <w:rPr>
          <w:rFonts w:asciiTheme="minorHAnsi" w:hAnsiTheme="minorHAnsi" w:cstheme="minorHAnsi"/>
          <w:color w:val="auto"/>
        </w:rPr>
        <w:t>294</w:t>
      </w:r>
      <w:r w:rsidRPr="00FE2788">
        <w:rPr>
          <w:rFonts w:asciiTheme="minorHAnsi" w:hAnsiTheme="minorHAnsi" w:cstheme="minorHAnsi"/>
          <w:color w:val="auto"/>
        </w:rPr>
        <w:t>-302</w:t>
      </w:r>
      <w:r w:rsidRPr="00FE2788">
        <w:rPr>
          <w:rFonts w:asciiTheme="minorHAnsi" w:hAnsiTheme="minorHAnsi" w:cstheme="minorHAnsi"/>
          <w:i/>
          <w:color w:val="auto"/>
        </w:rPr>
        <w:t xml:space="preserve">. </w:t>
      </w:r>
      <w:r w:rsidRPr="0095313C">
        <w:rPr>
          <w:rFonts w:asciiTheme="minorHAnsi" w:hAnsiTheme="minorHAnsi" w:cstheme="minorHAnsi"/>
          <w:color w:val="auto"/>
        </w:rPr>
        <w:t>DOI 10.1007/s12671-017-0774-2</w:t>
      </w:r>
    </w:p>
    <w:p w14:paraId="5A946923" w14:textId="77777777" w:rsidR="00C06063" w:rsidRPr="001A3B3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Showers, C. J. (1992). Compartmentalisation of positive and negative self-knowledge: keeping bad apples out of the bunch. </w:t>
      </w:r>
      <w:r w:rsidRPr="00D14B0D">
        <w:rPr>
          <w:rFonts w:cstheme="minorHAnsi"/>
          <w:i/>
          <w:iCs/>
          <w:sz w:val="24"/>
          <w:szCs w:val="24"/>
        </w:rPr>
        <w:t>Journal of Personality and Social Psychology</w:t>
      </w:r>
      <w:r w:rsidRPr="001A3B33">
        <w:rPr>
          <w:rFonts w:cstheme="minorHAnsi"/>
          <w:sz w:val="24"/>
          <w:szCs w:val="24"/>
        </w:rPr>
        <w:t xml:space="preserve">, </w:t>
      </w:r>
      <w:r w:rsidRPr="0095313C">
        <w:rPr>
          <w:rFonts w:cstheme="minorHAnsi"/>
          <w:i/>
          <w:iCs/>
          <w:sz w:val="24"/>
          <w:szCs w:val="24"/>
        </w:rPr>
        <w:t>62</w:t>
      </w:r>
      <w:r w:rsidRPr="001A3B33">
        <w:rPr>
          <w:rFonts w:cstheme="minorHAnsi"/>
          <w:sz w:val="24"/>
          <w:szCs w:val="24"/>
        </w:rPr>
        <w:t>(6), 1036-1049.</w:t>
      </w:r>
      <w:r>
        <w:rPr>
          <w:rFonts w:cstheme="minorHAnsi"/>
          <w:sz w:val="24"/>
          <w:szCs w:val="24"/>
        </w:rPr>
        <w:t xml:space="preserve"> </w:t>
      </w:r>
      <w:r w:rsidRPr="00FE2788">
        <w:rPr>
          <w:rFonts w:cstheme="minorHAnsi"/>
          <w:sz w:val="24"/>
          <w:szCs w:val="24"/>
        </w:rPr>
        <w:t>https://psycnet.apa.org/doi/10.1037/0022-3514.62.6.1036</w:t>
      </w:r>
    </w:p>
    <w:p w14:paraId="0A9251A3" w14:textId="47481F9A" w:rsidR="00C06063" w:rsidRPr="001A3B33" w:rsidRDefault="00C06063" w:rsidP="00C06063">
      <w:pPr>
        <w:widowControl w:val="0"/>
        <w:spacing w:after="0" w:line="480" w:lineRule="auto"/>
        <w:ind w:left="709" w:hanging="709"/>
        <w:rPr>
          <w:rFonts w:cstheme="minorHAnsi"/>
          <w:sz w:val="24"/>
          <w:szCs w:val="24"/>
        </w:rPr>
      </w:pPr>
      <w:r w:rsidRPr="001A3B33">
        <w:rPr>
          <w:rFonts w:cstheme="minorHAnsi"/>
          <w:sz w:val="24"/>
          <w:szCs w:val="24"/>
        </w:rPr>
        <w:t>Showers, C. J., &amp; Zeigler-Hill, V. (2006). Pathways among self-knowledge and self</w:t>
      </w:r>
      <w:r w:rsidR="0095313C">
        <w:rPr>
          <w:rFonts w:cstheme="minorHAnsi"/>
          <w:sz w:val="24"/>
          <w:szCs w:val="24"/>
        </w:rPr>
        <w:t>-</w:t>
      </w:r>
      <w:r w:rsidRPr="001A3B33">
        <w:rPr>
          <w:rFonts w:cstheme="minorHAnsi"/>
          <w:sz w:val="24"/>
          <w:szCs w:val="24"/>
        </w:rPr>
        <w:t xml:space="preserve">esteem: how are self-esteem and self-knowledge linked? Are these links direct or indirect? In M. H. </w:t>
      </w:r>
      <w:proofErr w:type="spellStart"/>
      <w:r w:rsidRPr="001A3B33">
        <w:rPr>
          <w:rFonts w:cstheme="minorHAnsi"/>
          <w:sz w:val="24"/>
          <w:szCs w:val="24"/>
        </w:rPr>
        <w:t>Kernis</w:t>
      </w:r>
      <w:proofErr w:type="spellEnd"/>
      <w:r w:rsidRPr="001A3B33">
        <w:rPr>
          <w:rFonts w:cstheme="minorHAnsi"/>
          <w:sz w:val="24"/>
          <w:szCs w:val="24"/>
        </w:rPr>
        <w:t xml:space="preserve"> (Ed.), </w:t>
      </w:r>
      <w:r w:rsidRPr="00A6370F">
        <w:rPr>
          <w:rFonts w:cstheme="minorHAnsi"/>
          <w:i/>
          <w:iCs/>
          <w:sz w:val="24"/>
          <w:szCs w:val="24"/>
        </w:rPr>
        <w:t>Self-esteem issues and answers: A source book of current perspectives</w:t>
      </w:r>
      <w:r w:rsidRPr="001A3B33">
        <w:rPr>
          <w:rFonts w:cstheme="minorHAnsi"/>
          <w:sz w:val="24"/>
          <w:szCs w:val="24"/>
        </w:rPr>
        <w:t xml:space="preserve"> (pp. 216e223) New York: Psychology Press.</w:t>
      </w:r>
    </w:p>
    <w:p w14:paraId="2A529F9A" w14:textId="77777777" w:rsidR="00C06063" w:rsidRPr="001A3B3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Stopa, L., Brown, M.A., Luke, M.A., &amp; Hirsch, C.R.  (2010).  Constructing a self: The role of self-structure and self-certainty in social anxiety.  </w:t>
      </w:r>
      <w:r w:rsidRPr="001A3B33">
        <w:rPr>
          <w:rFonts w:cstheme="minorHAnsi"/>
          <w:i/>
          <w:sz w:val="24"/>
          <w:szCs w:val="24"/>
        </w:rPr>
        <w:t xml:space="preserve">Behaviour, Research &amp; Therapy, 48, </w:t>
      </w:r>
      <w:r w:rsidRPr="001A3B33">
        <w:rPr>
          <w:rFonts w:cstheme="minorHAnsi"/>
          <w:sz w:val="24"/>
          <w:szCs w:val="24"/>
        </w:rPr>
        <w:t>955-965.</w:t>
      </w:r>
      <w:r>
        <w:rPr>
          <w:rFonts w:cstheme="minorHAnsi"/>
          <w:sz w:val="24"/>
          <w:szCs w:val="24"/>
        </w:rPr>
        <w:t xml:space="preserve"> </w:t>
      </w:r>
      <w:r w:rsidRPr="00FE2788">
        <w:rPr>
          <w:rFonts w:cstheme="minorHAnsi"/>
          <w:sz w:val="24"/>
          <w:szCs w:val="24"/>
        </w:rPr>
        <w:t>https://doi.org/10.1016/j.brat.2010.05.028</w:t>
      </w:r>
    </w:p>
    <w:p w14:paraId="3EC19210" w14:textId="77777777" w:rsidR="00C06063" w:rsidRPr="0095313C"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Strauss, J. S. (1969). Hallucinations and delusions as points on continua function. </w:t>
      </w:r>
      <w:r w:rsidRPr="001A3B33">
        <w:rPr>
          <w:rFonts w:cstheme="minorHAnsi"/>
          <w:i/>
          <w:sz w:val="24"/>
          <w:szCs w:val="24"/>
        </w:rPr>
        <w:t xml:space="preserve">Archives of </w:t>
      </w:r>
      <w:r w:rsidRPr="0095313C">
        <w:rPr>
          <w:rFonts w:cstheme="minorHAnsi"/>
          <w:i/>
          <w:sz w:val="24"/>
          <w:szCs w:val="24"/>
        </w:rPr>
        <w:t>General Psychiatry, 21</w:t>
      </w:r>
      <w:r w:rsidRPr="00BE554E">
        <w:rPr>
          <w:rFonts w:cstheme="minorHAnsi"/>
          <w:iCs/>
          <w:sz w:val="24"/>
          <w:szCs w:val="24"/>
        </w:rPr>
        <w:t>(5)</w:t>
      </w:r>
      <w:r w:rsidRPr="0095313C">
        <w:rPr>
          <w:rFonts w:cstheme="minorHAnsi"/>
          <w:i/>
          <w:sz w:val="24"/>
          <w:szCs w:val="24"/>
        </w:rPr>
        <w:t>,</w:t>
      </w:r>
      <w:r w:rsidRPr="0095313C">
        <w:rPr>
          <w:rFonts w:cstheme="minorHAnsi"/>
          <w:sz w:val="24"/>
          <w:szCs w:val="24"/>
        </w:rPr>
        <w:t xml:space="preserve"> 581–586. </w:t>
      </w:r>
      <w:r w:rsidRPr="0095313C">
        <w:rPr>
          <w:rFonts w:cstheme="minorHAnsi"/>
          <w:color w:val="333333"/>
          <w:sz w:val="24"/>
          <w:szCs w:val="24"/>
        </w:rPr>
        <w:t>doi:10.1001/archpsyc.1969.01740230069010</w:t>
      </w:r>
    </w:p>
    <w:p w14:paraId="15E8948F" w14:textId="72D01B97" w:rsidR="00AF728B" w:rsidRDefault="009D2D3C" w:rsidP="009D2D3C">
      <w:pPr>
        <w:widowControl w:val="0"/>
        <w:autoSpaceDE w:val="0"/>
        <w:autoSpaceDN w:val="0"/>
        <w:adjustRightInd w:val="0"/>
        <w:spacing w:after="0" w:line="360" w:lineRule="auto"/>
        <w:rPr>
          <w:rFonts w:cstheme="minorHAnsi"/>
          <w:sz w:val="24"/>
          <w:szCs w:val="24"/>
        </w:rPr>
      </w:pPr>
      <w:r w:rsidRPr="0095313C">
        <w:rPr>
          <w:rFonts w:cstheme="minorHAnsi"/>
          <w:sz w:val="24"/>
          <w:szCs w:val="24"/>
        </w:rPr>
        <w:t>Strauss</w:t>
      </w:r>
      <w:r w:rsidRPr="009D2D3C">
        <w:rPr>
          <w:rFonts w:cstheme="minorHAnsi"/>
          <w:sz w:val="24"/>
          <w:szCs w:val="24"/>
        </w:rPr>
        <w:t xml:space="preserve">, C., Hayward, M., Chadwick, P. </w:t>
      </w:r>
      <w:r w:rsidR="0095313C">
        <w:rPr>
          <w:rFonts w:cstheme="minorHAnsi"/>
          <w:sz w:val="24"/>
          <w:szCs w:val="24"/>
        </w:rPr>
        <w:t>(</w:t>
      </w:r>
      <w:r w:rsidRPr="009D2D3C">
        <w:rPr>
          <w:rFonts w:cstheme="minorHAnsi"/>
          <w:sz w:val="24"/>
          <w:szCs w:val="24"/>
        </w:rPr>
        <w:t>2012</w:t>
      </w:r>
      <w:r w:rsidR="0095313C">
        <w:rPr>
          <w:rFonts w:cstheme="minorHAnsi"/>
          <w:sz w:val="24"/>
          <w:szCs w:val="24"/>
        </w:rPr>
        <w:t>)</w:t>
      </w:r>
      <w:r w:rsidRPr="009D2D3C">
        <w:rPr>
          <w:rFonts w:cstheme="minorHAnsi"/>
          <w:sz w:val="24"/>
          <w:szCs w:val="24"/>
        </w:rPr>
        <w:t xml:space="preserve">. Group person-based cognitive therapy for </w:t>
      </w:r>
    </w:p>
    <w:p w14:paraId="1DC9AE0C" w14:textId="6CB2FF0E" w:rsidR="009D2D3C" w:rsidRPr="009D2D3C" w:rsidRDefault="009D2D3C" w:rsidP="00AF728B">
      <w:pPr>
        <w:widowControl w:val="0"/>
        <w:autoSpaceDE w:val="0"/>
        <w:autoSpaceDN w:val="0"/>
        <w:adjustRightInd w:val="0"/>
        <w:spacing w:after="0" w:line="360" w:lineRule="auto"/>
        <w:ind w:left="709"/>
        <w:rPr>
          <w:rFonts w:cstheme="minorHAnsi"/>
          <w:sz w:val="24"/>
          <w:szCs w:val="24"/>
        </w:rPr>
      </w:pPr>
      <w:r w:rsidRPr="009D2D3C">
        <w:rPr>
          <w:rFonts w:cstheme="minorHAnsi"/>
          <w:sz w:val="24"/>
          <w:szCs w:val="24"/>
        </w:rPr>
        <w:t>chronic depression: A pilot randomized controlled trial</w:t>
      </w:r>
      <w:r w:rsidRPr="009D2D3C">
        <w:rPr>
          <w:rFonts w:cstheme="minorHAnsi"/>
          <w:iCs/>
          <w:sz w:val="24"/>
          <w:szCs w:val="24"/>
        </w:rPr>
        <w:t xml:space="preserve">. </w:t>
      </w:r>
      <w:r w:rsidR="00A6370F">
        <w:rPr>
          <w:rFonts w:cstheme="minorHAnsi"/>
          <w:iCs/>
          <w:sz w:val="24"/>
          <w:szCs w:val="24"/>
        </w:rPr>
        <w:t xml:space="preserve"> </w:t>
      </w:r>
      <w:r w:rsidRPr="00A6370F">
        <w:rPr>
          <w:rFonts w:cstheme="minorHAnsi"/>
          <w:i/>
          <w:sz w:val="24"/>
          <w:szCs w:val="24"/>
        </w:rPr>
        <w:t>Brit</w:t>
      </w:r>
      <w:r w:rsidR="00A6370F" w:rsidRPr="00A6370F">
        <w:rPr>
          <w:rFonts w:cstheme="minorHAnsi"/>
          <w:i/>
          <w:sz w:val="24"/>
          <w:szCs w:val="24"/>
        </w:rPr>
        <w:t>ish</w:t>
      </w:r>
      <w:r w:rsidRPr="00A6370F">
        <w:rPr>
          <w:rFonts w:cstheme="minorHAnsi"/>
          <w:i/>
          <w:sz w:val="24"/>
          <w:szCs w:val="24"/>
        </w:rPr>
        <w:t xml:space="preserve"> J</w:t>
      </w:r>
      <w:r w:rsidR="00A6370F" w:rsidRPr="00A6370F">
        <w:rPr>
          <w:rFonts w:cstheme="minorHAnsi"/>
          <w:i/>
          <w:sz w:val="24"/>
          <w:szCs w:val="24"/>
        </w:rPr>
        <w:t>ournal of</w:t>
      </w:r>
      <w:r w:rsidRPr="00A6370F">
        <w:rPr>
          <w:rFonts w:cstheme="minorHAnsi"/>
          <w:i/>
          <w:sz w:val="24"/>
          <w:szCs w:val="24"/>
        </w:rPr>
        <w:t xml:space="preserve"> Clin</w:t>
      </w:r>
      <w:r w:rsidR="00A6370F" w:rsidRPr="00A6370F">
        <w:rPr>
          <w:rFonts w:cstheme="minorHAnsi"/>
          <w:i/>
          <w:sz w:val="24"/>
          <w:szCs w:val="24"/>
        </w:rPr>
        <w:t>ical</w:t>
      </w:r>
      <w:r w:rsidRPr="00A6370F">
        <w:rPr>
          <w:rFonts w:cstheme="minorHAnsi"/>
          <w:i/>
          <w:sz w:val="24"/>
          <w:szCs w:val="24"/>
        </w:rPr>
        <w:t xml:space="preserve"> Psychol</w:t>
      </w:r>
      <w:r w:rsidR="00A6370F" w:rsidRPr="00A6370F">
        <w:rPr>
          <w:rFonts w:cstheme="minorHAnsi"/>
          <w:i/>
          <w:sz w:val="24"/>
          <w:szCs w:val="24"/>
        </w:rPr>
        <w:t>ogy</w:t>
      </w:r>
      <w:r w:rsidR="00A6370F" w:rsidRPr="0095313C">
        <w:rPr>
          <w:rFonts w:cstheme="minorHAnsi"/>
          <w:i/>
          <w:sz w:val="24"/>
          <w:szCs w:val="24"/>
        </w:rPr>
        <w:t xml:space="preserve">, </w:t>
      </w:r>
      <w:r w:rsidRPr="0095313C">
        <w:rPr>
          <w:rFonts w:cstheme="minorHAnsi"/>
          <w:i/>
          <w:sz w:val="24"/>
          <w:szCs w:val="24"/>
        </w:rPr>
        <w:t>51</w:t>
      </w:r>
      <w:r w:rsidR="00A6370F" w:rsidRPr="0095313C">
        <w:rPr>
          <w:rFonts w:cstheme="minorHAnsi"/>
          <w:i/>
          <w:sz w:val="24"/>
          <w:szCs w:val="24"/>
        </w:rPr>
        <w:t>,</w:t>
      </w:r>
      <w:r w:rsidRPr="009D2D3C">
        <w:rPr>
          <w:rFonts w:cstheme="minorHAnsi"/>
          <w:iCs/>
          <w:sz w:val="24"/>
          <w:szCs w:val="24"/>
        </w:rPr>
        <w:t xml:space="preserve"> </w:t>
      </w:r>
      <w:r w:rsidRPr="009D2D3C">
        <w:rPr>
          <w:rFonts w:cstheme="minorHAnsi"/>
          <w:sz w:val="24"/>
          <w:szCs w:val="24"/>
        </w:rPr>
        <w:t xml:space="preserve">345-350. </w:t>
      </w:r>
    </w:p>
    <w:p w14:paraId="230D55B8" w14:textId="5673F8F2" w:rsidR="00C06063" w:rsidRPr="001A3B3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Smith, B., Fowler, D., Freeman, D., Bebbington, P., Bashford, H., </w:t>
      </w:r>
      <w:proofErr w:type="spellStart"/>
      <w:r w:rsidRPr="001A3B33">
        <w:rPr>
          <w:rFonts w:cstheme="minorHAnsi"/>
          <w:sz w:val="24"/>
          <w:szCs w:val="24"/>
        </w:rPr>
        <w:t>Garety</w:t>
      </w:r>
      <w:proofErr w:type="spellEnd"/>
      <w:r w:rsidRPr="001A3B33">
        <w:rPr>
          <w:rFonts w:cstheme="minorHAnsi"/>
          <w:sz w:val="24"/>
          <w:szCs w:val="24"/>
        </w:rPr>
        <w:t xml:space="preserve">, P. et al. (2006). </w:t>
      </w:r>
      <w:r w:rsidRPr="001A3B33">
        <w:rPr>
          <w:rStyle w:val="title-text"/>
          <w:rFonts w:cstheme="minorHAnsi"/>
          <w:sz w:val="24"/>
          <w:szCs w:val="24"/>
        </w:rPr>
        <w:t>Emotion and psychosis: Links between depression, self-esteem, negative schematic beliefs and delusions and hallucinations.</w:t>
      </w:r>
      <w:r w:rsidRPr="001A3B33">
        <w:rPr>
          <w:rFonts w:cstheme="minorHAnsi"/>
          <w:sz w:val="24"/>
          <w:szCs w:val="24"/>
        </w:rPr>
        <w:t xml:space="preserve"> </w:t>
      </w:r>
      <w:r w:rsidRPr="001A3B33">
        <w:rPr>
          <w:rFonts w:cstheme="minorHAnsi"/>
          <w:i/>
          <w:sz w:val="24"/>
          <w:szCs w:val="24"/>
        </w:rPr>
        <w:t>Schizophrenia Research, 86,</w:t>
      </w:r>
      <w:r w:rsidRPr="001A3B33">
        <w:rPr>
          <w:rFonts w:cstheme="minorHAnsi"/>
          <w:sz w:val="24"/>
          <w:szCs w:val="24"/>
        </w:rPr>
        <w:t xml:space="preserve"> 181-188. </w:t>
      </w:r>
      <w:r>
        <w:rPr>
          <w:rFonts w:cstheme="minorHAnsi"/>
          <w:sz w:val="24"/>
          <w:szCs w:val="24"/>
        </w:rPr>
        <w:t xml:space="preserve"> </w:t>
      </w:r>
      <w:r w:rsidRPr="00FE2788">
        <w:rPr>
          <w:rFonts w:cstheme="minorHAnsi"/>
          <w:sz w:val="24"/>
          <w:szCs w:val="24"/>
        </w:rPr>
        <w:t>https://doi.org/10.1016/j.schres.2006.06.018</w:t>
      </w:r>
    </w:p>
    <w:p w14:paraId="519E2885" w14:textId="320E584E" w:rsidR="00C06063" w:rsidRPr="001A3B3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Taylor, J. L., Morley, S., &amp; Barton, S. B. (2007). Self-organization in bipolar disorder: compartmentalization and self-complexity. </w:t>
      </w:r>
      <w:r w:rsidR="00A6370F">
        <w:rPr>
          <w:rFonts w:cstheme="minorHAnsi"/>
          <w:sz w:val="24"/>
          <w:szCs w:val="24"/>
        </w:rPr>
        <w:t xml:space="preserve"> </w:t>
      </w:r>
      <w:r w:rsidRPr="00A6370F">
        <w:rPr>
          <w:rFonts w:cstheme="minorHAnsi"/>
          <w:i/>
          <w:iCs/>
          <w:sz w:val="24"/>
          <w:szCs w:val="24"/>
        </w:rPr>
        <w:t>Cognitive Therapy and Research</w:t>
      </w:r>
      <w:r w:rsidRPr="0095313C">
        <w:rPr>
          <w:rFonts w:cstheme="minorHAnsi"/>
          <w:i/>
          <w:iCs/>
          <w:sz w:val="24"/>
          <w:szCs w:val="24"/>
        </w:rPr>
        <w:t>, 31,</w:t>
      </w:r>
      <w:r w:rsidRPr="001A3B33">
        <w:rPr>
          <w:rFonts w:cstheme="minorHAnsi"/>
          <w:sz w:val="24"/>
          <w:szCs w:val="24"/>
        </w:rPr>
        <w:t xml:space="preserve"> </w:t>
      </w:r>
      <w:r w:rsidRPr="0095313C">
        <w:rPr>
          <w:rFonts w:cstheme="minorHAnsi"/>
          <w:sz w:val="24"/>
          <w:szCs w:val="24"/>
        </w:rPr>
        <w:t>83</w:t>
      </w:r>
      <w:r w:rsidR="00BE554E">
        <w:rPr>
          <w:rFonts w:cstheme="minorHAnsi"/>
          <w:sz w:val="24"/>
          <w:szCs w:val="24"/>
        </w:rPr>
        <w:t>-</w:t>
      </w:r>
      <w:r w:rsidRPr="0095313C">
        <w:rPr>
          <w:rFonts w:cstheme="minorHAnsi"/>
          <w:sz w:val="24"/>
          <w:szCs w:val="24"/>
        </w:rPr>
        <w:t xml:space="preserve">96. </w:t>
      </w:r>
      <w:r w:rsidRPr="0095313C">
        <w:rPr>
          <w:rFonts w:cstheme="minorHAnsi"/>
          <w:color w:val="333333"/>
          <w:sz w:val="24"/>
          <w:szCs w:val="24"/>
          <w:shd w:val="clear" w:color="auto" w:fill="FCFCFC"/>
        </w:rPr>
        <w:t>https://doi.org/10.1007/s10608-006-9069-y</w:t>
      </w:r>
    </w:p>
    <w:p w14:paraId="3B854464" w14:textId="77777777" w:rsidR="00C06063" w:rsidRPr="00C06063" w:rsidRDefault="00C06063" w:rsidP="00C06063">
      <w:pPr>
        <w:widowControl w:val="0"/>
        <w:spacing w:after="0" w:line="480" w:lineRule="auto"/>
        <w:ind w:left="709" w:hanging="709"/>
        <w:rPr>
          <w:rFonts w:cstheme="minorHAnsi"/>
          <w:sz w:val="24"/>
          <w:szCs w:val="24"/>
          <w:lang w:val="nl-NL"/>
        </w:rPr>
      </w:pPr>
      <w:proofErr w:type="spellStart"/>
      <w:r w:rsidRPr="001A3B33">
        <w:rPr>
          <w:rFonts w:cstheme="minorHAnsi"/>
          <w:sz w:val="24"/>
          <w:szCs w:val="24"/>
        </w:rPr>
        <w:t>Thewissen</w:t>
      </w:r>
      <w:proofErr w:type="spellEnd"/>
      <w:r w:rsidRPr="001A3B33">
        <w:rPr>
          <w:rFonts w:cstheme="minorHAnsi"/>
          <w:sz w:val="24"/>
          <w:szCs w:val="24"/>
        </w:rPr>
        <w:t xml:space="preserve">, V., Bentall, R. P., </w:t>
      </w:r>
      <w:proofErr w:type="spellStart"/>
      <w:r w:rsidRPr="001A3B33">
        <w:rPr>
          <w:rFonts w:cstheme="minorHAnsi"/>
          <w:sz w:val="24"/>
          <w:szCs w:val="24"/>
        </w:rPr>
        <w:t>Lecomte</w:t>
      </w:r>
      <w:proofErr w:type="spellEnd"/>
      <w:r w:rsidRPr="001A3B33">
        <w:rPr>
          <w:rFonts w:cstheme="minorHAnsi"/>
          <w:sz w:val="24"/>
          <w:szCs w:val="24"/>
        </w:rPr>
        <w:t xml:space="preserve">, T., van </w:t>
      </w:r>
      <w:proofErr w:type="spellStart"/>
      <w:r w:rsidRPr="001A3B33">
        <w:rPr>
          <w:rFonts w:cstheme="minorHAnsi"/>
          <w:sz w:val="24"/>
          <w:szCs w:val="24"/>
        </w:rPr>
        <w:t>Os</w:t>
      </w:r>
      <w:proofErr w:type="spellEnd"/>
      <w:r w:rsidRPr="001A3B33">
        <w:rPr>
          <w:rFonts w:cstheme="minorHAnsi"/>
          <w:sz w:val="24"/>
          <w:szCs w:val="24"/>
        </w:rPr>
        <w:t xml:space="preserve">, J., &amp; </w:t>
      </w:r>
      <w:proofErr w:type="spellStart"/>
      <w:r w:rsidRPr="001A3B33">
        <w:rPr>
          <w:rFonts w:cstheme="minorHAnsi"/>
          <w:sz w:val="24"/>
          <w:szCs w:val="24"/>
        </w:rPr>
        <w:t>Myin-Germeys</w:t>
      </w:r>
      <w:proofErr w:type="spellEnd"/>
      <w:r w:rsidRPr="001A3B33">
        <w:rPr>
          <w:rFonts w:cstheme="minorHAnsi"/>
          <w:sz w:val="24"/>
          <w:szCs w:val="24"/>
        </w:rPr>
        <w:t xml:space="preserve">, I. (2008). Fluctuations in self-esteem and paranoia in the context of daily life. </w:t>
      </w:r>
      <w:r w:rsidRPr="00C06063">
        <w:rPr>
          <w:rFonts w:cstheme="minorHAnsi"/>
          <w:i/>
          <w:sz w:val="24"/>
          <w:szCs w:val="24"/>
          <w:lang w:val="nl-NL"/>
        </w:rPr>
        <w:t>Journal of Abnormal Psychology, 117,</w:t>
      </w:r>
      <w:r w:rsidRPr="00C06063">
        <w:rPr>
          <w:rFonts w:cstheme="minorHAnsi"/>
          <w:sz w:val="24"/>
          <w:szCs w:val="24"/>
          <w:lang w:val="nl-NL"/>
        </w:rPr>
        <w:t xml:space="preserve"> 143-153. https://psycnet.apa.org/doi/10.1037/0021-843X.117.1.143</w:t>
      </w:r>
    </w:p>
    <w:p w14:paraId="029D9483" w14:textId="77777777" w:rsidR="00C06063" w:rsidRPr="001A3B33" w:rsidRDefault="00C06063" w:rsidP="00C06063">
      <w:pPr>
        <w:widowControl w:val="0"/>
        <w:spacing w:after="0" w:line="480" w:lineRule="auto"/>
        <w:ind w:left="709" w:hanging="709"/>
        <w:rPr>
          <w:rFonts w:cstheme="minorHAnsi"/>
          <w:sz w:val="24"/>
          <w:szCs w:val="24"/>
        </w:rPr>
      </w:pPr>
      <w:r w:rsidRPr="00C06063">
        <w:rPr>
          <w:rFonts w:cstheme="minorHAnsi"/>
          <w:sz w:val="24"/>
          <w:szCs w:val="24"/>
          <w:lang w:val="nl-NL"/>
        </w:rPr>
        <w:t xml:space="preserve">Thewissen, V., Bentall, R. P., Oorschot, M., à Campo, J., van Lierop, T., van Os, J., &amp; Myin‐Germeys, I. (2011). </w:t>
      </w:r>
      <w:r w:rsidRPr="001A3B33">
        <w:rPr>
          <w:rFonts w:cstheme="minorHAnsi"/>
          <w:sz w:val="24"/>
          <w:szCs w:val="24"/>
        </w:rPr>
        <w:t>Emotions, self‐esteem, and paranoid episodes: An experience sampling study. </w:t>
      </w:r>
      <w:r w:rsidRPr="001A3B33">
        <w:rPr>
          <w:rFonts w:cstheme="minorHAnsi"/>
          <w:i/>
          <w:iCs/>
          <w:sz w:val="24"/>
          <w:szCs w:val="24"/>
        </w:rPr>
        <w:t>British Journal of Clinical Psychology</w:t>
      </w:r>
      <w:r w:rsidRPr="001A3B33">
        <w:rPr>
          <w:rFonts w:cstheme="minorHAnsi"/>
          <w:sz w:val="24"/>
          <w:szCs w:val="24"/>
        </w:rPr>
        <w:t>, </w:t>
      </w:r>
      <w:r w:rsidRPr="001A3B33">
        <w:rPr>
          <w:rFonts w:cstheme="minorHAnsi"/>
          <w:i/>
          <w:iCs/>
          <w:sz w:val="24"/>
          <w:szCs w:val="24"/>
        </w:rPr>
        <w:t>50</w:t>
      </w:r>
      <w:r w:rsidRPr="001A3B33">
        <w:rPr>
          <w:rFonts w:cstheme="minorHAnsi"/>
          <w:sz w:val="24"/>
          <w:szCs w:val="24"/>
        </w:rPr>
        <w:t>, 178-195.</w:t>
      </w:r>
      <w:r>
        <w:rPr>
          <w:rFonts w:cstheme="minorHAnsi"/>
          <w:sz w:val="24"/>
          <w:szCs w:val="24"/>
        </w:rPr>
        <w:t xml:space="preserve"> </w:t>
      </w:r>
      <w:r w:rsidRPr="00FE2788">
        <w:rPr>
          <w:rFonts w:cstheme="minorHAnsi"/>
          <w:sz w:val="24"/>
          <w:szCs w:val="24"/>
        </w:rPr>
        <w:t>https://doi.org/10.1348/014466510X508677</w:t>
      </w:r>
    </w:p>
    <w:p w14:paraId="72571371" w14:textId="77777777" w:rsidR="00C06063" w:rsidRPr="001A3B33" w:rsidRDefault="00C06063" w:rsidP="00C06063">
      <w:pPr>
        <w:widowControl w:val="0"/>
        <w:spacing w:after="0" w:line="480" w:lineRule="auto"/>
        <w:ind w:left="709" w:hanging="709"/>
        <w:rPr>
          <w:rFonts w:cstheme="minorHAnsi"/>
          <w:sz w:val="24"/>
          <w:szCs w:val="24"/>
        </w:rPr>
      </w:pPr>
      <w:r w:rsidRPr="001A3B33">
        <w:rPr>
          <w:rFonts w:cstheme="minorHAnsi"/>
          <w:sz w:val="24"/>
          <w:szCs w:val="24"/>
        </w:rPr>
        <w:t>Tiernan, B., Tracey, R., &amp; Shannon, C. (2014). Paranoia and self-concepts in psychosis: a systematic review of the literature. </w:t>
      </w:r>
      <w:r w:rsidRPr="001A3B33">
        <w:rPr>
          <w:rFonts w:cstheme="minorHAnsi"/>
          <w:i/>
          <w:iCs/>
          <w:sz w:val="24"/>
          <w:szCs w:val="24"/>
        </w:rPr>
        <w:t>Psychiatry Research</w:t>
      </w:r>
      <w:r w:rsidRPr="001A3B33">
        <w:rPr>
          <w:rFonts w:cstheme="minorHAnsi"/>
          <w:sz w:val="24"/>
          <w:szCs w:val="24"/>
        </w:rPr>
        <w:t>, </w:t>
      </w:r>
      <w:r w:rsidRPr="001A3B33">
        <w:rPr>
          <w:rFonts w:cstheme="minorHAnsi"/>
          <w:i/>
          <w:iCs/>
          <w:sz w:val="24"/>
          <w:szCs w:val="24"/>
        </w:rPr>
        <w:t>216</w:t>
      </w:r>
      <w:r w:rsidRPr="001A3B33">
        <w:rPr>
          <w:rFonts w:cstheme="minorHAnsi"/>
          <w:sz w:val="24"/>
          <w:szCs w:val="24"/>
        </w:rPr>
        <w:t>, 303-313.</w:t>
      </w:r>
      <w:r>
        <w:rPr>
          <w:rFonts w:cstheme="minorHAnsi"/>
          <w:sz w:val="24"/>
          <w:szCs w:val="24"/>
        </w:rPr>
        <w:t xml:space="preserve"> </w:t>
      </w:r>
      <w:r w:rsidRPr="00FE2788">
        <w:rPr>
          <w:rFonts w:cstheme="minorHAnsi"/>
          <w:sz w:val="24"/>
          <w:szCs w:val="24"/>
        </w:rPr>
        <w:t>https://doi.org/10.1016/j.psychres.2014.02.003</w:t>
      </w:r>
    </w:p>
    <w:p w14:paraId="1191DC8D" w14:textId="77777777" w:rsidR="00C06063" w:rsidRPr="001A3B3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Trower, P., &amp; Chadwick, P. (1995). Pathways to </w:t>
      </w:r>
      <w:proofErr w:type="spellStart"/>
      <w:r w:rsidRPr="001A3B33">
        <w:rPr>
          <w:rFonts w:cstheme="minorHAnsi"/>
          <w:sz w:val="24"/>
          <w:szCs w:val="24"/>
        </w:rPr>
        <w:t>defense</w:t>
      </w:r>
      <w:proofErr w:type="spellEnd"/>
      <w:r w:rsidRPr="001A3B33">
        <w:rPr>
          <w:rFonts w:cstheme="minorHAnsi"/>
          <w:sz w:val="24"/>
          <w:szCs w:val="24"/>
        </w:rPr>
        <w:t xml:space="preserve"> of the self: A theory of two types of paranoia. </w:t>
      </w:r>
      <w:r w:rsidRPr="001A3B33">
        <w:rPr>
          <w:rFonts w:cstheme="minorHAnsi"/>
          <w:i/>
          <w:iCs/>
          <w:sz w:val="24"/>
          <w:szCs w:val="24"/>
        </w:rPr>
        <w:t>Clinical Psychology: Science and Practice</w:t>
      </w:r>
      <w:r w:rsidRPr="001A3B33">
        <w:rPr>
          <w:rFonts w:cstheme="minorHAnsi"/>
          <w:sz w:val="24"/>
          <w:szCs w:val="24"/>
        </w:rPr>
        <w:t>, </w:t>
      </w:r>
      <w:r w:rsidRPr="001A3B33">
        <w:rPr>
          <w:rFonts w:cstheme="minorHAnsi"/>
          <w:i/>
          <w:iCs/>
          <w:sz w:val="24"/>
          <w:szCs w:val="24"/>
        </w:rPr>
        <w:t>2</w:t>
      </w:r>
      <w:r w:rsidRPr="001A3B33">
        <w:rPr>
          <w:rFonts w:cstheme="minorHAnsi"/>
          <w:sz w:val="24"/>
          <w:szCs w:val="24"/>
        </w:rPr>
        <w:t>, 263-278.</w:t>
      </w:r>
      <w:r>
        <w:rPr>
          <w:rFonts w:cstheme="minorHAnsi"/>
          <w:sz w:val="24"/>
          <w:szCs w:val="24"/>
        </w:rPr>
        <w:t xml:space="preserve"> </w:t>
      </w:r>
      <w:r w:rsidRPr="00FE2788">
        <w:rPr>
          <w:rFonts w:cstheme="minorHAnsi"/>
          <w:sz w:val="24"/>
          <w:szCs w:val="24"/>
        </w:rPr>
        <w:t>https://psycnet.apa.org/doi/10.1111/j.1468-2850.1995.tb00044.x</w:t>
      </w:r>
    </w:p>
    <w:p w14:paraId="23C6D96D" w14:textId="77777777" w:rsidR="00C06063" w:rsidRPr="001A3B33" w:rsidRDefault="00C06063" w:rsidP="00C06063">
      <w:pPr>
        <w:widowControl w:val="0"/>
        <w:spacing w:after="0" w:line="480" w:lineRule="auto"/>
        <w:ind w:left="709" w:hanging="709"/>
        <w:rPr>
          <w:rFonts w:cstheme="minorHAnsi"/>
          <w:sz w:val="24"/>
          <w:szCs w:val="24"/>
        </w:rPr>
      </w:pPr>
      <w:proofErr w:type="spellStart"/>
      <w:r w:rsidRPr="001A3B33">
        <w:rPr>
          <w:rFonts w:cstheme="minorHAnsi"/>
          <w:sz w:val="24"/>
          <w:szCs w:val="24"/>
        </w:rPr>
        <w:t>Vorontsova</w:t>
      </w:r>
      <w:proofErr w:type="spellEnd"/>
      <w:r w:rsidRPr="001A3B33">
        <w:rPr>
          <w:rFonts w:cstheme="minorHAnsi"/>
          <w:sz w:val="24"/>
          <w:szCs w:val="24"/>
        </w:rPr>
        <w:t xml:space="preserve">, N., </w:t>
      </w:r>
      <w:proofErr w:type="spellStart"/>
      <w:r w:rsidRPr="001A3B33">
        <w:rPr>
          <w:rFonts w:cstheme="minorHAnsi"/>
          <w:sz w:val="24"/>
          <w:szCs w:val="24"/>
        </w:rPr>
        <w:t>Garety</w:t>
      </w:r>
      <w:proofErr w:type="spellEnd"/>
      <w:r w:rsidRPr="001A3B33">
        <w:rPr>
          <w:rFonts w:cstheme="minorHAnsi"/>
          <w:sz w:val="24"/>
          <w:szCs w:val="24"/>
        </w:rPr>
        <w:t xml:space="preserve">, P.A., &amp; Freeman, D.  (2013).  Cognitive factors maintaining        persecutory delusions in psychosis: The contribution of depression.  </w:t>
      </w:r>
      <w:r w:rsidRPr="001A3B33">
        <w:rPr>
          <w:rFonts w:cstheme="minorHAnsi"/>
          <w:i/>
          <w:sz w:val="24"/>
          <w:szCs w:val="24"/>
        </w:rPr>
        <w:t>Journal of Abnormal Psychology, 122</w:t>
      </w:r>
      <w:r w:rsidRPr="00BE554E">
        <w:rPr>
          <w:rFonts w:cstheme="minorHAnsi"/>
          <w:iCs/>
          <w:sz w:val="24"/>
          <w:szCs w:val="24"/>
        </w:rPr>
        <w:t>(4)</w:t>
      </w:r>
      <w:r w:rsidRPr="001A3B33">
        <w:rPr>
          <w:rFonts w:cstheme="minorHAnsi"/>
          <w:i/>
          <w:sz w:val="24"/>
          <w:szCs w:val="24"/>
        </w:rPr>
        <w:t xml:space="preserve">, </w:t>
      </w:r>
      <w:r w:rsidRPr="001A3B33">
        <w:rPr>
          <w:rFonts w:cstheme="minorHAnsi"/>
          <w:sz w:val="24"/>
          <w:szCs w:val="24"/>
        </w:rPr>
        <w:t>1121-1131.</w:t>
      </w:r>
      <w:r>
        <w:rPr>
          <w:rFonts w:cstheme="minorHAnsi"/>
          <w:sz w:val="24"/>
          <w:szCs w:val="24"/>
        </w:rPr>
        <w:t xml:space="preserve"> </w:t>
      </w:r>
      <w:r w:rsidRPr="00FE2788">
        <w:rPr>
          <w:rFonts w:cstheme="minorHAnsi"/>
          <w:sz w:val="24"/>
          <w:szCs w:val="24"/>
        </w:rPr>
        <w:t>https://psycnet.apa.org/doi/10.1037/a0034952</w:t>
      </w:r>
    </w:p>
    <w:p w14:paraId="1E8FFA06" w14:textId="77777777" w:rsidR="00C06063" w:rsidRDefault="00C06063" w:rsidP="00C06063">
      <w:pPr>
        <w:widowControl w:val="0"/>
        <w:spacing w:after="0" w:line="480" w:lineRule="auto"/>
        <w:ind w:left="709" w:hanging="709"/>
        <w:rPr>
          <w:rFonts w:cstheme="minorHAnsi"/>
          <w:sz w:val="24"/>
          <w:szCs w:val="24"/>
        </w:rPr>
      </w:pPr>
      <w:r w:rsidRPr="001A3B33">
        <w:rPr>
          <w:rFonts w:cstheme="minorHAnsi"/>
          <w:sz w:val="24"/>
          <w:szCs w:val="24"/>
        </w:rPr>
        <w:t xml:space="preserve">Zeigler-Hill, V., &amp; Showers, C. J. (2007). Self-structure and self-esteem stability: the hidden vulnerability of compartmentalization. </w:t>
      </w:r>
      <w:r w:rsidRPr="00A6370F">
        <w:rPr>
          <w:rFonts w:cstheme="minorHAnsi"/>
          <w:i/>
          <w:iCs/>
          <w:sz w:val="24"/>
          <w:szCs w:val="24"/>
        </w:rPr>
        <w:t>Personality and Social Psychology Bulletin</w:t>
      </w:r>
      <w:r w:rsidRPr="001A3B33">
        <w:rPr>
          <w:rFonts w:cstheme="minorHAnsi"/>
          <w:sz w:val="24"/>
          <w:szCs w:val="24"/>
        </w:rPr>
        <w:t>,</w:t>
      </w:r>
      <w:r w:rsidRPr="0095313C">
        <w:rPr>
          <w:rFonts w:cstheme="minorHAnsi"/>
          <w:i/>
          <w:iCs/>
          <w:sz w:val="24"/>
          <w:szCs w:val="24"/>
        </w:rPr>
        <w:t xml:space="preserve"> 33,</w:t>
      </w:r>
      <w:r w:rsidRPr="001A3B33">
        <w:rPr>
          <w:rFonts w:cstheme="minorHAnsi"/>
          <w:sz w:val="24"/>
          <w:szCs w:val="24"/>
        </w:rPr>
        <w:t xml:space="preserve"> 143e159.</w:t>
      </w:r>
      <w:r>
        <w:rPr>
          <w:rFonts w:cstheme="minorHAnsi"/>
          <w:sz w:val="24"/>
          <w:szCs w:val="24"/>
        </w:rPr>
        <w:t xml:space="preserve"> </w:t>
      </w:r>
      <w:r w:rsidRPr="00FE2788">
        <w:rPr>
          <w:rFonts w:cstheme="minorHAnsi"/>
          <w:sz w:val="24"/>
          <w:szCs w:val="24"/>
        </w:rPr>
        <w:t>https://doi.org/10.1177%2F0146167206294872</w:t>
      </w:r>
    </w:p>
    <w:p w14:paraId="57A661C6" w14:textId="756E6DE3" w:rsidR="00F11566" w:rsidRDefault="00F11566" w:rsidP="001A3B33">
      <w:pPr>
        <w:widowControl w:val="0"/>
        <w:spacing w:after="0" w:line="480" w:lineRule="auto"/>
        <w:ind w:left="709" w:hanging="709"/>
        <w:rPr>
          <w:rFonts w:cstheme="minorHAnsi"/>
          <w:sz w:val="24"/>
          <w:szCs w:val="24"/>
        </w:rPr>
      </w:pPr>
    </w:p>
    <w:p w14:paraId="287A8ED5" w14:textId="48DAB087" w:rsidR="00F11566" w:rsidRDefault="00F11566" w:rsidP="001A3B33">
      <w:pPr>
        <w:widowControl w:val="0"/>
        <w:spacing w:after="0" w:line="480" w:lineRule="auto"/>
        <w:ind w:left="709" w:hanging="709"/>
        <w:rPr>
          <w:rFonts w:cstheme="minorHAnsi"/>
          <w:sz w:val="24"/>
          <w:szCs w:val="24"/>
        </w:rPr>
      </w:pPr>
    </w:p>
    <w:p w14:paraId="08B3112D" w14:textId="536B6D9E" w:rsidR="00F11566" w:rsidRDefault="00F11566" w:rsidP="001A3B33">
      <w:pPr>
        <w:widowControl w:val="0"/>
        <w:spacing w:after="0" w:line="480" w:lineRule="auto"/>
        <w:ind w:left="709" w:hanging="709"/>
        <w:rPr>
          <w:rFonts w:cstheme="minorHAnsi"/>
          <w:sz w:val="24"/>
          <w:szCs w:val="24"/>
        </w:rPr>
      </w:pPr>
    </w:p>
    <w:p w14:paraId="5890357B" w14:textId="77777777" w:rsidR="00EB242F" w:rsidRDefault="00EB242F" w:rsidP="00F11566">
      <w:pPr>
        <w:spacing w:line="240" w:lineRule="auto"/>
        <w:rPr>
          <w:rFonts w:cstheme="minorHAnsi"/>
          <w:b/>
        </w:rPr>
      </w:pPr>
    </w:p>
    <w:p w14:paraId="62F982B6" w14:textId="72E1C316" w:rsidR="00F11566" w:rsidRDefault="00F11566" w:rsidP="00F11566">
      <w:pPr>
        <w:spacing w:line="240" w:lineRule="auto"/>
        <w:rPr>
          <w:rFonts w:cstheme="minorHAnsi"/>
        </w:rPr>
      </w:pPr>
      <w:r w:rsidRPr="00E304C6">
        <w:rPr>
          <w:rFonts w:cstheme="minorHAnsi"/>
          <w:b/>
        </w:rPr>
        <w:t>Table 1.</w:t>
      </w:r>
      <w:r w:rsidRPr="00780961">
        <w:rPr>
          <w:rFonts w:cstheme="minorHAnsi"/>
        </w:rPr>
        <w:t xml:space="preserve"> Descriptive statistics for self-structure across the t</w:t>
      </w:r>
      <w:r>
        <w:rPr>
          <w:rFonts w:cstheme="minorHAnsi"/>
        </w:rPr>
        <w:t>wo</w:t>
      </w:r>
      <w:r w:rsidRPr="00780961">
        <w:rPr>
          <w:rFonts w:cstheme="minorHAnsi"/>
        </w:rPr>
        <w:t xml:space="preserve"> groups.</w:t>
      </w:r>
    </w:p>
    <w:tbl>
      <w:tblPr>
        <w:tblStyle w:val="TableGrid"/>
        <w:tblW w:w="73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1688"/>
        <w:gridCol w:w="1164"/>
        <w:gridCol w:w="1134"/>
        <w:gridCol w:w="1100"/>
      </w:tblGrid>
      <w:tr w:rsidR="00F11566" w:rsidRPr="00780961" w14:paraId="1BED84CD" w14:textId="77777777" w:rsidTr="008A22C0">
        <w:tc>
          <w:tcPr>
            <w:tcW w:w="2256" w:type="dxa"/>
            <w:tcBorders>
              <w:top w:val="single" w:sz="4" w:space="0" w:color="auto"/>
              <w:bottom w:val="single" w:sz="4" w:space="0" w:color="auto"/>
            </w:tcBorders>
          </w:tcPr>
          <w:p w14:paraId="19185FBA" w14:textId="77777777" w:rsidR="00F11566" w:rsidRPr="00780961" w:rsidRDefault="00F11566" w:rsidP="008A22C0">
            <w:pPr>
              <w:jc w:val="center"/>
              <w:rPr>
                <w:rFonts w:cstheme="minorHAnsi"/>
              </w:rPr>
            </w:pPr>
          </w:p>
          <w:p w14:paraId="571D33B7" w14:textId="77777777" w:rsidR="00F11566" w:rsidRPr="00780961" w:rsidRDefault="00F11566" w:rsidP="008A22C0">
            <w:pPr>
              <w:jc w:val="center"/>
              <w:rPr>
                <w:rFonts w:cstheme="minorHAnsi"/>
              </w:rPr>
            </w:pPr>
          </w:p>
          <w:p w14:paraId="1655E8D2" w14:textId="77777777" w:rsidR="00F11566" w:rsidRPr="00780961" w:rsidRDefault="00F11566" w:rsidP="008A22C0">
            <w:pPr>
              <w:jc w:val="center"/>
              <w:rPr>
                <w:rFonts w:cstheme="minorHAnsi"/>
              </w:rPr>
            </w:pPr>
          </w:p>
        </w:tc>
        <w:tc>
          <w:tcPr>
            <w:tcW w:w="1688" w:type="dxa"/>
            <w:tcBorders>
              <w:top w:val="single" w:sz="4" w:space="0" w:color="auto"/>
              <w:bottom w:val="single" w:sz="4" w:space="0" w:color="auto"/>
            </w:tcBorders>
          </w:tcPr>
          <w:p w14:paraId="78D184FF" w14:textId="77777777" w:rsidR="00F11566" w:rsidRPr="00780961" w:rsidRDefault="00F11566" w:rsidP="008A22C0">
            <w:pPr>
              <w:jc w:val="center"/>
              <w:rPr>
                <w:rFonts w:cstheme="minorHAnsi"/>
              </w:rPr>
            </w:pPr>
            <w:r w:rsidRPr="00780961">
              <w:rPr>
                <w:rFonts w:cstheme="minorHAnsi"/>
              </w:rPr>
              <w:t>Clinical (n=27)</w:t>
            </w:r>
          </w:p>
          <w:p w14:paraId="18E81A22" w14:textId="77777777" w:rsidR="00F11566" w:rsidRPr="00780961" w:rsidRDefault="00F11566" w:rsidP="008A22C0">
            <w:pPr>
              <w:jc w:val="center"/>
              <w:rPr>
                <w:rFonts w:cstheme="minorHAnsi"/>
              </w:rPr>
            </w:pPr>
            <w:r>
              <w:rPr>
                <w:rFonts w:cstheme="minorHAnsi"/>
              </w:rPr>
              <w:t>Mean (SD)</w:t>
            </w:r>
          </w:p>
        </w:tc>
        <w:tc>
          <w:tcPr>
            <w:tcW w:w="1164" w:type="dxa"/>
            <w:tcBorders>
              <w:top w:val="single" w:sz="4" w:space="0" w:color="auto"/>
              <w:bottom w:val="single" w:sz="4" w:space="0" w:color="auto"/>
            </w:tcBorders>
          </w:tcPr>
          <w:p w14:paraId="1B3F489F" w14:textId="77777777" w:rsidR="00F11566" w:rsidRPr="00780961" w:rsidRDefault="00F11566" w:rsidP="008A22C0">
            <w:pPr>
              <w:jc w:val="center"/>
              <w:rPr>
                <w:rFonts w:cstheme="minorHAnsi"/>
              </w:rPr>
            </w:pPr>
            <w:r>
              <w:rPr>
                <w:rFonts w:cstheme="minorHAnsi"/>
              </w:rPr>
              <w:t>Control (n=47</w:t>
            </w:r>
            <w:r w:rsidRPr="00780961">
              <w:rPr>
                <w:rFonts w:cstheme="minorHAnsi"/>
              </w:rPr>
              <w:t>)</w:t>
            </w:r>
          </w:p>
          <w:p w14:paraId="65D1AD10" w14:textId="77777777" w:rsidR="00F11566" w:rsidRPr="00780961" w:rsidRDefault="00F11566" w:rsidP="008A22C0">
            <w:pPr>
              <w:jc w:val="center"/>
              <w:rPr>
                <w:rFonts w:cstheme="minorHAnsi"/>
              </w:rPr>
            </w:pPr>
            <w:r>
              <w:rPr>
                <w:rFonts w:cstheme="minorHAnsi"/>
              </w:rPr>
              <w:t>Mean (SD)</w:t>
            </w:r>
          </w:p>
        </w:tc>
        <w:tc>
          <w:tcPr>
            <w:tcW w:w="1134" w:type="dxa"/>
            <w:tcBorders>
              <w:top w:val="single" w:sz="4" w:space="0" w:color="auto"/>
              <w:bottom w:val="single" w:sz="4" w:space="0" w:color="auto"/>
            </w:tcBorders>
          </w:tcPr>
          <w:p w14:paraId="37E92C95" w14:textId="77777777" w:rsidR="00F11566" w:rsidRDefault="00F11566" w:rsidP="008A22C0">
            <w:pPr>
              <w:jc w:val="center"/>
              <w:rPr>
                <w:rFonts w:cstheme="minorHAnsi"/>
              </w:rPr>
            </w:pPr>
            <w:r>
              <w:rPr>
                <w:rFonts w:cstheme="minorHAnsi"/>
              </w:rPr>
              <w:t>Effect Size</w:t>
            </w:r>
          </w:p>
          <w:p w14:paraId="07602DF1" w14:textId="77777777" w:rsidR="00F11566" w:rsidRDefault="00F11566" w:rsidP="008A22C0">
            <w:pPr>
              <w:jc w:val="center"/>
              <w:rPr>
                <w:rFonts w:cstheme="minorHAnsi"/>
              </w:rPr>
            </w:pPr>
            <w:r>
              <w:rPr>
                <w:rFonts w:cstheme="minorHAnsi"/>
              </w:rPr>
              <w:t>(Cohen’s d)</w:t>
            </w:r>
          </w:p>
        </w:tc>
        <w:tc>
          <w:tcPr>
            <w:tcW w:w="1100" w:type="dxa"/>
            <w:tcBorders>
              <w:top w:val="single" w:sz="4" w:space="0" w:color="auto"/>
              <w:bottom w:val="single" w:sz="4" w:space="0" w:color="auto"/>
            </w:tcBorders>
          </w:tcPr>
          <w:p w14:paraId="0FCF39EA" w14:textId="77777777" w:rsidR="00F11566" w:rsidRDefault="00F11566" w:rsidP="008A22C0">
            <w:pPr>
              <w:jc w:val="center"/>
              <w:rPr>
                <w:rFonts w:cstheme="minorHAnsi"/>
              </w:rPr>
            </w:pPr>
            <w:r>
              <w:rPr>
                <w:rFonts w:cstheme="minorHAnsi"/>
              </w:rPr>
              <w:t>95% CI</w:t>
            </w:r>
          </w:p>
        </w:tc>
      </w:tr>
      <w:tr w:rsidR="00F11566" w:rsidRPr="00780961" w14:paraId="1DD2F91D" w14:textId="77777777" w:rsidTr="008A22C0">
        <w:tc>
          <w:tcPr>
            <w:tcW w:w="2256" w:type="dxa"/>
            <w:tcBorders>
              <w:top w:val="single" w:sz="4" w:space="0" w:color="auto"/>
            </w:tcBorders>
          </w:tcPr>
          <w:p w14:paraId="020C6832" w14:textId="77777777" w:rsidR="00F11566" w:rsidRPr="00780961" w:rsidRDefault="00F11566" w:rsidP="008A22C0">
            <w:pPr>
              <w:rPr>
                <w:rFonts w:cstheme="minorHAnsi"/>
              </w:rPr>
            </w:pPr>
            <w:r w:rsidRPr="00780961">
              <w:rPr>
                <w:rFonts w:cstheme="minorHAnsi"/>
              </w:rPr>
              <w:t xml:space="preserve">Number of </w:t>
            </w:r>
            <w:proofErr w:type="spellStart"/>
            <w:r w:rsidRPr="00780961">
              <w:rPr>
                <w:rFonts w:cstheme="minorHAnsi"/>
              </w:rPr>
              <w:t>self aspects</w:t>
            </w:r>
            <w:proofErr w:type="spellEnd"/>
          </w:p>
        </w:tc>
        <w:tc>
          <w:tcPr>
            <w:tcW w:w="1688" w:type="dxa"/>
            <w:tcBorders>
              <w:top w:val="single" w:sz="4" w:space="0" w:color="auto"/>
            </w:tcBorders>
          </w:tcPr>
          <w:p w14:paraId="3105F0B9" w14:textId="77777777" w:rsidR="00F11566" w:rsidRPr="00780961" w:rsidRDefault="00F11566" w:rsidP="008A22C0">
            <w:pPr>
              <w:jc w:val="center"/>
              <w:rPr>
                <w:rFonts w:cstheme="minorHAnsi"/>
              </w:rPr>
            </w:pPr>
            <w:r>
              <w:rPr>
                <w:rFonts w:cstheme="minorHAnsi"/>
              </w:rPr>
              <w:t>4.41 (1.74)</w:t>
            </w:r>
          </w:p>
        </w:tc>
        <w:tc>
          <w:tcPr>
            <w:tcW w:w="1164" w:type="dxa"/>
            <w:tcBorders>
              <w:top w:val="single" w:sz="4" w:space="0" w:color="auto"/>
            </w:tcBorders>
          </w:tcPr>
          <w:p w14:paraId="4BF0C9A4" w14:textId="77777777" w:rsidR="00F11566" w:rsidRPr="00780961" w:rsidRDefault="00F11566" w:rsidP="008A22C0">
            <w:pPr>
              <w:jc w:val="center"/>
              <w:rPr>
                <w:rFonts w:cstheme="minorHAnsi"/>
              </w:rPr>
            </w:pPr>
            <w:r>
              <w:rPr>
                <w:rFonts w:cstheme="minorHAnsi"/>
              </w:rPr>
              <w:t>7.15 (2.61)</w:t>
            </w:r>
          </w:p>
        </w:tc>
        <w:tc>
          <w:tcPr>
            <w:tcW w:w="1134" w:type="dxa"/>
            <w:tcBorders>
              <w:top w:val="single" w:sz="4" w:space="0" w:color="auto"/>
            </w:tcBorders>
          </w:tcPr>
          <w:p w14:paraId="6F7480A7" w14:textId="77777777" w:rsidR="00F11566" w:rsidRPr="00780961" w:rsidRDefault="00F11566" w:rsidP="008A22C0">
            <w:pPr>
              <w:jc w:val="center"/>
              <w:rPr>
                <w:rFonts w:cstheme="minorHAnsi"/>
              </w:rPr>
            </w:pPr>
            <w:r>
              <w:rPr>
                <w:rFonts w:cstheme="minorHAnsi"/>
              </w:rPr>
              <w:t>1.17</w:t>
            </w:r>
          </w:p>
        </w:tc>
        <w:tc>
          <w:tcPr>
            <w:tcW w:w="1100" w:type="dxa"/>
            <w:tcBorders>
              <w:top w:val="single" w:sz="4" w:space="0" w:color="auto"/>
            </w:tcBorders>
          </w:tcPr>
          <w:p w14:paraId="63786BF8" w14:textId="77777777" w:rsidR="00F11566" w:rsidRPr="00780961" w:rsidRDefault="00F11566" w:rsidP="008A22C0">
            <w:pPr>
              <w:jc w:val="center"/>
              <w:rPr>
                <w:rFonts w:cstheme="minorHAnsi"/>
              </w:rPr>
            </w:pPr>
            <w:r>
              <w:rPr>
                <w:rFonts w:cstheme="minorHAnsi"/>
              </w:rPr>
              <w:t>0.66,1.64</w:t>
            </w:r>
          </w:p>
        </w:tc>
      </w:tr>
      <w:tr w:rsidR="00F11566" w:rsidRPr="00780961" w14:paraId="17F68F4F" w14:textId="77777777" w:rsidTr="008A22C0">
        <w:tc>
          <w:tcPr>
            <w:tcW w:w="2256" w:type="dxa"/>
          </w:tcPr>
          <w:p w14:paraId="41AB9637" w14:textId="77777777" w:rsidR="00F11566" w:rsidRPr="00780961" w:rsidRDefault="00F11566" w:rsidP="008A22C0">
            <w:pPr>
              <w:rPr>
                <w:rFonts w:cstheme="minorHAnsi"/>
              </w:rPr>
            </w:pPr>
            <w:r w:rsidRPr="00780961">
              <w:rPr>
                <w:rFonts w:cstheme="minorHAnsi"/>
              </w:rPr>
              <w:t>Total number of items</w:t>
            </w:r>
          </w:p>
        </w:tc>
        <w:tc>
          <w:tcPr>
            <w:tcW w:w="1688" w:type="dxa"/>
          </w:tcPr>
          <w:p w14:paraId="6EAE9D29" w14:textId="77777777" w:rsidR="00F11566" w:rsidRPr="00780961" w:rsidRDefault="00F11566" w:rsidP="008A22C0">
            <w:pPr>
              <w:jc w:val="center"/>
              <w:rPr>
                <w:rFonts w:cstheme="minorHAnsi"/>
              </w:rPr>
            </w:pPr>
            <w:r>
              <w:rPr>
                <w:rFonts w:cstheme="minorHAnsi"/>
              </w:rPr>
              <w:t>26.78 (17.10)</w:t>
            </w:r>
          </w:p>
        </w:tc>
        <w:tc>
          <w:tcPr>
            <w:tcW w:w="1164" w:type="dxa"/>
          </w:tcPr>
          <w:p w14:paraId="3BD01E4A" w14:textId="77777777" w:rsidR="00F11566" w:rsidRPr="00780961" w:rsidRDefault="00F11566" w:rsidP="008A22C0">
            <w:pPr>
              <w:jc w:val="center"/>
              <w:rPr>
                <w:rFonts w:cstheme="minorHAnsi"/>
              </w:rPr>
            </w:pPr>
            <w:r>
              <w:rPr>
                <w:rFonts w:cstheme="minorHAnsi"/>
              </w:rPr>
              <w:t>56.17 (20.64)</w:t>
            </w:r>
          </w:p>
        </w:tc>
        <w:tc>
          <w:tcPr>
            <w:tcW w:w="1134" w:type="dxa"/>
          </w:tcPr>
          <w:p w14:paraId="3A26C20B" w14:textId="77777777" w:rsidR="00F11566" w:rsidRPr="00780961" w:rsidRDefault="00F11566" w:rsidP="008A22C0">
            <w:pPr>
              <w:jc w:val="center"/>
              <w:rPr>
                <w:rFonts w:cstheme="minorHAnsi"/>
              </w:rPr>
            </w:pPr>
            <w:r>
              <w:rPr>
                <w:rFonts w:cstheme="minorHAnsi"/>
              </w:rPr>
              <w:t>1.51</w:t>
            </w:r>
          </w:p>
        </w:tc>
        <w:tc>
          <w:tcPr>
            <w:tcW w:w="1100" w:type="dxa"/>
          </w:tcPr>
          <w:p w14:paraId="7BEEEC92" w14:textId="77777777" w:rsidR="00F11566" w:rsidRPr="00780961" w:rsidRDefault="00F11566" w:rsidP="008A22C0">
            <w:pPr>
              <w:jc w:val="center"/>
              <w:rPr>
                <w:rFonts w:cstheme="minorHAnsi"/>
              </w:rPr>
            </w:pPr>
            <w:r>
              <w:rPr>
                <w:rFonts w:cstheme="minorHAnsi"/>
              </w:rPr>
              <w:t>0.98,2.04</w:t>
            </w:r>
          </w:p>
        </w:tc>
      </w:tr>
      <w:tr w:rsidR="00F11566" w:rsidRPr="00780961" w14:paraId="5733697A" w14:textId="77777777" w:rsidTr="008A22C0">
        <w:tc>
          <w:tcPr>
            <w:tcW w:w="2256" w:type="dxa"/>
          </w:tcPr>
          <w:p w14:paraId="68E47D53" w14:textId="77777777" w:rsidR="00F11566" w:rsidRPr="00780961" w:rsidRDefault="00F11566" w:rsidP="008A22C0">
            <w:pPr>
              <w:rPr>
                <w:rFonts w:cstheme="minorHAnsi"/>
              </w:rPr>
            </w:pPr>
            <w:r w:rsidRPr="00780961">
              <w:rPr>
                <w:rFonts w:cstheme="minorHAnsi"/>
              </w:rPr>
              <w:t>Percentage Negative</w:t>
            </w:r>
          </w:p>
        </w:tc>
        <w:tc>
          <w:tcPr>
            <w:tcW w:w="1688" w:type="dxa"/>
          </w:tcPr>
          <w:p w14:paraId="20A8B8C3" w14:textId="77777777" w:rsidR="00F11566" w:rsidRPr="00780961" w:rsidRDefault="00F11566" w:rsidP="008A22C0">
            <w:pPr>
              <w:jc w:val="center"/>
              <w:rPr>
                <w:rFonts w:cstheme="minorHAnsi"/>
              </w:rPr>
            </w:pPr>
            <w:r>
              <w:rPr>
                <w:rFonts w:cstheme="minorHAnsi"/>
              </w:rPr>
              <w:t>.45 (.24)</w:t>
            </w:r>
          </w:p>
        </w:tc>
        <w:tc>
          <w:tcPr>
            <w:tcW w:w="1164" w:type="dxa"/>
          </w:tcPr>
          <w:p w14:paraId="03C4E1FE" w14:textId="77777777" w:rsidR="00F11566" w:rsidRPr="00780961" w:rsidRDefault="00F11566" w:rsidP="008A22C0">
            <w:pPr>
              <w:jc w:val="center"/>
              <w:rPr>
                <w:rFonts w:cstheme="minorHAnsi"/>
              </w:rPr>
            </w:pPr>
            <w:r>
              <w:rPr>
                <w:rFonts w:cstheme="minorHAnsi"/>
              </w:rPr>
              <w:t>.22 (.15)</w:t>
            </w:r>
          </w:p>
        </w:tc>
        <w:tc>
          <w:tcPr>
            <w:tcW w:w="1134" w:type="dxa"/>
          </w:tcPr>
          <w:p w14:paraId="331E75E3" w14:textId="77777777" w:rsidR="00F11566" w:rsidRPr="00780961" w:rsidRDefault="00F11566" w:rsidP="008A22C0">
            <w:pPr>
              <w:jc w:val="center"/>
              <w:rPr>
                <w:rFonts w:cstheme="minorHAnsi"/>
              </w:rPr>
            </w:pPr>
            <w:r>
              <w:rPr>
                <w:rFonts w:cstheme="minorHAnsi"/>
              </w:rPr>
              <w:t>-1.23</w:t>
            </w:r>
          </w:p>
        </w:tc>
        <w:tc>
          <w:tcPr>
            <w:tcW w:w="1100" w:type="dxa"/>
          </w:tcPr>
          <w:p w14:paraId="329D4A2D" w14:textId="77777777" w:rsidR="00F11566" w:rsidRPr="00780961" w:rsidRDefault="00F11566" w:rsidP="008A22C0">
            <w:pPr>
              <w:jc w:val="center"/>
              <w:rPr>
                <w:rFonts w:cstheme="minorHAnsi"/>
              </w:rPr>
            </w:pPr>
            <w:r>
              <w:rPr>
                <w:rFonts w:cstheme="minorHAnsi"/>
              </w:rPr>
              <w:t>-0.71,-1.74</w:t>
            </w:r>
          </w:p>
        </w:tc>
      </w:tr>
      <w:tr w:rsidR="00F11566" w:rsidRPr="00780961" w14:paraId="06FD947E" w14:textId="77777777" w:rsidTr="008A22C0">
        <w:tc>
          <w:tcPr>
            <w:tcW w:w="2256" w:type="dxa"/>
          </w:tcPr>
          <w:p w14:paraId="6A6251F2" w14:textId="77777777" w:rsidR="00F11566" w:rsidRPr="00780961" w:rsidRDefault="00F11566" w:rsidP="008A22C0">
            <w:pPr>
              <w:rPr>
                <w:rFonts w:cstheme="minorHAnsi"/>
              </w:rPr>
            </w:pPr>
            <w:r w:rsidRPr="00780961">
              <w:rPr>
                <w:rFonts w:cstheme="minorHAnsi"/>
              </w:rPr>
              <w:t>Phi coefficient</w:t>
            </w:r>
          </w:p>
        </w:tc>
        <w:tc>
          <w:tcPr>
            <w:tcW w:w="1688" w:type="dxa"/>
          </w:tcPr>
          <w:p w14:paraId="58EEAEF1" w14:textId="77777777" w:rsidR="00F11566" w:rsidRPr="00780961" w:rsidRDefault="00F11566" w:rsidP="008A22C0">
            <w:pPr>
              <w:jc w:val="center"/>
              <w:rPr>
                <w:rFonts w:cstheme="minorHAnsi"/>
              </w:rPr>
            </w:pPr>
            <w:r w:rsidRPr="00780961">
              <w:rPr>
                <w:rFonts w:cstheme="minorHAnsi"/>
              </w:rPr>
              <w:t>.64 (.53)</w:t>
            </w:r>
          </w:p>
        </w:tc>
        <w:tc>
          <w:tcPr>
            <w:tcW w:w="1164" w:type="dxa"/>
          </w:tcPr>
          <w:p w14:paraId="57BA4152" w14:textId="77777777" w:rsidR="00F11566" w:rsidRPr="00780961" w:rsidRDefault="00F11566" w:rsidP="008A22C0">
            <w:pPr>
              <w:jc w:val="center"/>
              <w:rPr>
                <w:rFonts w:cstheme="minorHAnsi"/>
              </w:rPr>
            </w:pPr>
            <w:r>
              <w:rPr>
                <w:rFonts w:cstheme="minorHAnsi"/>
              </w:rPr>
              <w:t>.46 (.14)</w:t>
            </w:r>
          </w:p>
        </w:tc>
        <w:tc>
          <w:tcPr>
            <w:tcW w:w="1134" w:type="dxa"/>
          </w:tcPr>
          <w:p w14:paraId="1F68C49A" w14:textId="77777777" w:rsidR="00F11566" w:rsidRPr="00780961" w:rsidRDefault="00F11566" w:rsidP="008A22C0">
            <w:pPr>
              <w:jc w:val="center"/>
              <w:rPr>
                <w:rFonts w:cstheme="minorHAnsi"/>
              </w:rPr>
            </w:pPr>
            <w:r>
              <w:rPr>
                <w:rFonts w:cstheme="minorHAnsi"/>
              </w:rPr>
              <w:t>-0.53</w:t>
            </w:r>
          </w:p>
        </w:tc>
        <w:tc>
          <w:tcPr>
            <w:tcW w:w="1100" w:type="dxa"/>
          </w:tcPr>
          <w:p w14:paraId="114B0B4F" w14:textId="77777777" w:rsidR="00F11566" w:rsidRPr="00780961" w:rsidRDefault="00F11566" w:rsidP="008A22C0">
            <w:pPr>
              <w:jc w:val="center"/>
              <w:rPr>
                <w:rFonts w:cstheme="minorHAnsi"/>
              </w:rPr>
            </w:pPr>
            <w:r>
              <w:rPr>
                <w:rFonts w:cstheme="minorHAnsi"/>
              </w:rPr>
              <w:t>-0.05,-1.01</w:t>
            </w:r>
          </w:p>
        </w:tc>
      </w:tr>
      <w:tr w:rsidR="00F11566" w:rsidRPr="00780961" w14:paraId="13A854F7" w14:textId="77777777" w:rsidTr="008A22C0">
        <w:tc>
          <w:tcPr>
            <w:tcW w:w="2256" w:type="dxa"/>
            <w:tcBorders>
              <w:bottom w:val="single" w:sz="4" w:space="0" w:color="auto"/>
            </w:tcBorders>
          </w:tcPr>
          <w:p w14:paraId="4936617E" w14:textId="77777777" w:rsidR="00F11566" w:rsidRPr="00780961" w:rsidRDefault="00F11566" w:rsidP="008A22C0">
            <w:pPr>
              <w:rPr>
                <w:rFonts w:cstheme="minorHAnsi"/>
              </w:rPr>
            </w:pPr>
            <w:r w:rsidRPr="00780961">
              <w:rPr>
                <w:rFonts w:cstheme="minorHAnsi"/>
              </w:rPr>
              <w:t>Differential Importance</w:t>
            </w:r>
          </w:p>
        </w:tc>
        <w:tc>
          <w:tcPr>
            <w:tcW w:w="1688" w:type="dxa"/>
            <w:tcBorders>
              <w:bottom w:val="single" w:sz="4" w:space="0" w:color="auto"/>
            </w:tcBorders>
          </w:tcPr>
          <w:p w14:paraId="4646EFB2" w14:textId="77777777" w:rsidR="00F11566" w:rsidRPr="00780961" w:rsidRDefault="00F11566" w:rsidP="008A22C0">
            <w:pPr>
              <w:jc w:val="center"/>
              <w:rPr>
                <w:rFonts w:cstheme="minorHAnsi"/>
              </w:rPr>
            </w:pPr>
            <w:r w:rsidRPr="00780961">
              <w:rPr>
                <w:rFonts w:cstheme="minorHAnsi"/>
              </w:rPr>
              <w:t>-.03 (.59)</w:t>
            </w:r>
          </w:p>
        </w:tc>
        <w:tc>
          <w:tcPr>
            <w:tcW w:w="1164" w:type="dxa"/>
            <w:tcBorders>
              <w:bottom w:val="single" w:sz="4" w:space="0" w:color="auto"/>
            </w:tcBorders>
          </w:tcPr>
          <w:p w14:paraId="2A666019" w14:textId="77777777" w:rsidR="00F11566" w:rsidRPr="00780961" w:rsidRDefault="00F11566" w:rsidP="008A22C0">
            <w:pPr>
              <w:jc w:val="center"/>
              <w:rPr>
                <w:rFonts w:cstheme="minorHAnsi"/>
              </w:rPr>
            </w:pPr>
            <w:r>
              <w:rPr>
                <w:rFonts w:cstheme="minorHAnsi"/>
              </w:rPr>
              <w:t>.32 (.43)</w:t>
            </w:r>
          </w:p>
        </w:tc>
        <w:tc>
          <w:tcPr>
            <w:tcW w:w="1134" w:type="dxa"/>
            <w:tcBorders>
              <w:bottom w:val="single" w:sz="4" w:space="0" w:color="auto"/>
            </w:tcBorders>
          </w:tcPr>
          <w:p w14:paraId="34817028" w14:textId="77777777" w:rsidR="00F11566" w:rsidRPr="00780961" w:rsidRDefault="00F11566" w:rsidP="008A22C0">
            <w:pPr>
              <w:jc w:val="center"/>
              <w:rPr>
                <w:rFonts w:cstheme="minorHAnsi"/>
              </w:rPr>
            </w:pPr>
            <w:r>
              <w:rPr>
                <w:rFonts w:cstheme="minorHAnsi"/>
              </w:rPr>
              <w:t>0.71</w:t>
            </w:r>
          </w:p>
        </w:tc>
        <w:tc>
          <w:tcPr>
            <w:tcW w:w="1100" w:type="dxa"/>
            <w:tcBorders>
              <w:bottom w:val="single" w:sz="4" w:space="0" w:color="auto"/>
            </w:tcBorders>
          </w:tcPr>
          <w:p w14:paraId="64B87689" w14:textId="77777777" w:rsidR="00F11566" w:rsidRPr="00780961" w:rsidRDefault="00F11566" w:rsidP="008A22C0">
            <w:pPr>
              <w:jc w:val="center"/>
              <w:rPr>
                <w:rFonts w:cstheme="minorHAnsi"/>
              </w:rPr>
            </w:pPr>
            <w:r>
              <w:rPr>
                <w:rFonts w:cstheme="minorHAnsi"/>
              </w:rPr>
              <w:t>0.22-1.20</w:t>
            </w:r>
          </w:p>
        </w:tc>
      </w:tr>
    </w:tbl>
    <w:p w14:paraId="3BD0507D" w14:textId="77777777" w:rsidR="00F11566" w:rsidRDefault="00F11566" w:rsidP="00F11566">
      <w:pPr>
        <w:jc w:val="center"/>
        <w:rPr>
          <w:rFonts w:cstheme="minorHAnsi"/>
        </w:rPr>
      </w:pPr>
    </w:p>
    <w:p w14:paraId="41AC8D33" w14:textId="77777777" w:rsidR="00F11566" w:rsidRDefault="00F11566" w:rsidP="00F11566">
      <w:pPr>
        <w:rPr>
          <w:rFonts w:cstheme="minorHAnsi"/>
        </w:rPr>
      </w:pPr>
      <w:r>
        <w:rPr>
          <w:rFonts w:cstheme="minorHAnsi"/>
        </w:rPr>
        <w:br w:type="page"/>
      </w:r>
    </w:p>
    <w:p w14:paraId="73CBA303" w14:textId="5BD97571" w:rsidR="000715B2" w:rsidRPr="00BC7431" w:rsidRDefault="000715B2">
      <w:pPr>
        <w:rPr>
          <w:rFonts w:cstheme="minorHAnsi"/>
          <w:bCs/>
        </w:rPr>
      </w:pPr>
      <w:r>
        <w:rPr>
          <w:rFonts w:cstheme="minorHAnsi"/>
          <w:b/>
        </w:rPr>
        <w:t xml:space="preserve">Table 2. </w:t>
      </w:r>
      <w:r w:rsidR="00BC7431" w:rsidRPr="00BC7431">
        <w:rPr>
          <w:rFonts w:cstheme="minorHAnsi"/>
          <w:bCs/>
        </w:rPr>
        <w:t>Correlation matrix for self-structure indices, delusion severity</w:t>
      </w:r>
      <w:r w:rsidR="00BC7431">
        <w:rPr>
          <w:rFonts w:cstheme="minorHAnsi"/>
          <w:bCs/>
        </w:rPr>
        <w:t xml:space="preserve"> and depression.</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851"/>
        <w:gridCol w:w="822"/>
        <w:gridCol w:w="798"/>
        <w:gridCol w:w="782"/>
        <w:gridCol w:w="932"/>
        <w:gridCol w:w="997"/>
        <w:gridCol w:w="932"/>
        <w:gridCol w:w="869"/>
      </w:tblGrid>
      <w:tr w:rsidR="003F39CF" w14:paraId="22EB5D06" w14:textId="77777777" w:rsidTr="00AF125F">
        <w:tc>
          <w:tcPr>
            <w:tcW w:w="2033" w:type="dxa"/>
            <w:tcBorders>
              <w:top w:val="single" w:sz="4" w:space="0" w:color="auto"/>
              <w:bottom w:val="single" w:sz="4" w:space="0" w:color="auto"/>
            </w:tcBorders>
          </w:tcPr>
          <w:p w14:paraId="5560A8B4" w14:textId="77777777" w:rsidR="003F39CF" w:rsidRPr="00BC7431" w:rsidRDefault="003F39CF" w:rsidP="00B22BE2"/>
        </w:tc>
        <w:tc>
          <w:tcPr>
            <w:tcW w:w="851" w:type="dxa"/>
            <w:tcBorders>
              <w:top w:val="single" w:sz="4" w:space="0" w:color="auto"/>
              <w:bottom w:val="single" w:sz="4" w:space="0" w:color="auto"/>
            </w:tcBorders>
          </w:tcPr>
          <w:p w14:paraId="3445900C" w14:textId="5DF3863F" w:rsidR="003F39CF" w:rsidRDefault="003F39CF" w:rsidP="00B22BE2">
            <w:pPr>
              <w:jc w:val="center"/>
            </w:pPr>
            <w:r>
              <w:t>Mean (SD)</w:t>
            </w:r>
          </w:p>
        </w:tc>
        <w:tc>
          <w:tcPr>
            <w:tcW w:w="822" w:type="dxa"/>
            <w:tcBorders>
              <w:top w:val="single" w:sz="4" w:space="0" w:color="auto"/>
              <w:bottom w:val="single" w:sz="4" w:space="0" w:color="auto"/>
            </w:tcBorders>
          </w:tcPr>
          <w:p w14:paraId="7834F1DB" w14:textId="4A6F8B73" w:rsidR="003F39CF" w:rsidRDefault="003F39CF" w:rsidP="00B22BE2">
            <w:pPr>
              <w:jc w:val="center"/>
            </w:pPr>
            <w:r>
              <w:t>1</w:t>
            </w:r>
          </w:p>
        </w:tc>
        <w:tc>
          <w:tcPr>
            <w:tcW w:w="798" w:type="dxa"/>
            <w:tcBorders>
              <w:top w:val="single" w:sz="4" w:space="0" w:color="auto"/>
              <w:bottom w:val="single" w:sz="4" w:space="0" w:color="auto"/>
            </w:tcBorders>
          </w:tcPr>
          <w:p w14:paraId="222F510D" w14:textId="77777777" w:rsidR="003F39CF" w:rsidRDefault="003F39CF" w:rsidP="00B22BE2">
            <w:pPr>
              <w:jc w:val="center"/>
            </w:pPr>
            <w:r>
              <w:t>2</w:t>
            </w:r>
          </w:p>
        </w:tc>
        <w:tc>
          <w:tcPr>
            <w:tcW w:w="782" w:type="dxa"/>
            <w:tcBorders>
              <w:top w:val="single" w:sz="4" w:space="0" w:color="auto"/>
              <w:bottom w:val="single" w:sz="4" w:space="0" w:color="auto"/>
            </w:tcBorders>
          </w:tcPr>
          <w:p w14:paraId="0C45282F" w14:textId="77777777" w:rsidR="003F39CF" w:rsidRDefault="003F39CF" w:rsidP="00B22BE2">
            <w:pPr>
              <w:jc w:val="center"/>
            </w:pPr>
            <w:r>
              <w:t>3</w:t>
            </w:r>
          </w:p>
        </w:tc>
        <w:tc>
          <w:tcPr>
            <w:tcW w:w="932" w:type="dxa"/>
            <w:tcBorders>
              <w:top w:val="single" w:sz="4" w:space="0" w:color="auto"/>
              <w:bottom w:val="single" w:sz="4" w:space="0" w:color="auto"/>
            </w:tcBorders>
          </w:tcPr>
          <w:p w14:paraId="542338FD" w14:textId="77777777" w:rsidR="003F39CF" w:rsidRDefault="003F39CF" w:rsidP="00B22BE2">
            <w:pPr>
              <w:jc w:val="center"/>
            </w:pPr>
            <w:r>
              <w:t>4</w:t>
            </w:r>
          </w:p>
        </w:tc>
        <w:tc>
          <w:tcPr>
            <w:tcW w:w="997" w:type="dxa"/>
            <w:tcBorders>
              <w:top w:val="single" w:sz="4" w:space="0" w:color="auto"/>
              <w:bottom w:val="single" w:sz="4" w:space="0" w:color="auto"/>
            </w:tcBorders>
          </w:tcPr>
          <w:p w14:paraId="664E184D" w14:textId="77777777" w:rsidR="003F39CF" w:rsidRDefault="003F39CF" w:rsidP="00B22BE2">
            <w:pPr>
              <w:jc w:val="center"/>
            </w:pPr>
            <w:r>
              <w:t>5</w:t>
            </w:r>
          </w:p>
        </w:tc>
        <w:tc>
          <w:tcPr>
            <w:tcW w:w="932" w:type="dxa"/>
            <w:tcBorders>
              <w:top w:val="single" w:sz="4" w:space="0" w:color="auto"/>
              <w:bottom w:val="single" w:sz="4" w:space="0" w:color="auto"/>
            </w:tcBorders>
          </w:tcPr>
          <w:p w14:paraId="5D072C5F" w14:textId="77777777" w:rsidR="003F39CF" w:rsidRDefault="003F39CF" w:rsidP="00B22BE2">
            <w:pPr>
              <w:jc w:val="center"/>
            </w:pPr>
            <w:r>
              <w:t>6</w:t>
            </w:r>
          </w:p>
        </w:tc>
        <w:tc>
          <w:tcPr>
            <w:tcW w:w="869" w:type="dxa"/>
            <w:tcBorders>
              <w:top w:val="single" w:sz="4" w:space="0" w:color="auto"/>
              <w:bottom w:val="single" w:sz="4" w:space="0" w:color="auto"/>
            </w:tcBorders>
          </w:tcPr>
          <w:p w14:paraId="773E0FA6" w14:textId="77777777" w:rsidR="003F39CF" w:rsidRDefault="003F39CF" w:rsidP="00B22BE2">
            <w:pPr>
              <w:jc w:val="center"/>
            </w:pPr>
            <w:r>
              <w:t>7</w:t>
            </w:r>
          </w:p>
        </w:tc>
      </w:tr>
      <w:tr w:rsidR="003F39CF" w14:paraId="57E6838F" w14:textId="77777777" w:rsidTr="00AF125F">
        <w:tc>
          <w:tcPr>
            <w:tcW w:w="2033" w:type="dxa"/>
            <w:tcBorders>
              <w:top w:val="single" w:sz="4" w:space="0" w:color="auto"/>
            </w:tcBorders>
          </w:tcPr>
          <w:p w14:paraId="3A5C83A0" w14:textId="77777777" w:rsidR="003F39CF" w:rsidRDefault="003F39CF" w:rsidP="00B22BE2">
            <w:r>
              <w:t>1. Number of Groups</w:t>
            </w:r>
          </w:p>
        </w:tc>
        <w:tc>
          <w:tcPr>
            <w:tcW w:w="851" w:type="dxa"/>
            <w:tcBorders>
              <w:top w:val="single" w:sz="4" w:space="0" w:color="auto"/>
            </w:tcBorders>
          </w:tcPr>
          <w:p w14:paraId="6A5AE441" w14:textId="0ED0BAAB" w:rsidR="003F39CF" w:rsidRDefault="004B5AFE" w:rsidP="00B22BE2">
            <w:r>
              <w:t>4.</w:t>
            </w:r>
            <w:r w:rsidR="002C460C">
              <w:t>41 (1.74)</w:t>
            </w:r>
          </w:p>
        </w:tc>
        <w:tc>
          <w:tcPr>
            <w:tcW w:w="822" w:type="dxa"/>
            <w:tcBorders>
              <w:top w:val="single" w:sz="4" w:space="0" w:color="auto"/>
            </w:tcBorders>
          </w:tcPr>
          <w:p w14:paraId="0A325FCE" w14:textId="54AF7651" w:rsidR="003F39CF" w:rsidRDefault="003F39CF" w:rsidP="00B22BE2">
            <w:r>
              <w:t>-</w:t>
            </w:r>
          </w:p>
        </w:tc>
        <w:tc>
          <w:tcPr>
            <w:tcW w:w="798" w:type="dxa"/>
            <w:tcBorders>
              <w:top w:val="single" w:sz="4" w:space="0" w:color="auto"/>
            </w:tcBorders>
          </w:tcPr>
          <w:p w14:paraId="49920AAC" w14:textId="77777777" w:rsidR="003F39CF" w:rsidRDefault="003F39CF" w:rsidP="00B22BE2"/>
        </w:tc>
        <w:tc>
          <w:tcPr>
            <w:tcW w:w="782" w:type="dxa"/>
            <w:tcBorders>
              <w:top w:val="single" w:sz="4" w:space="0" w:color="auto"/>
            </w:tcBorders>
          </w:tcPr>
          <w:p w14:paraId="02B0421A" w14:textId="77777777" w:rsidR="003F39CF" w:rsidRDefault="003F39CF" w:rsidP="00B22BE2"/>
        </w:tc>
        <w:tc>
          <w:tcPr>
            <w:tcW w:w="932" w:type="dxa"/>
            <w:tcBorders>
              <w:top w:val="single" w:sz="4" w:space="0" w:color="auto"/>
            </w:tcBorders>
          </w:tcPr>
          <w:p w14:paraId="3EE49C36" w14:textId="77777777" w:rsidR="003F39CF" w:rsidRDefault="003F39CF" w:rsidP="00B22BE2"/>
        </w:tc>
        <w:tc>
          <w:tcPr>
            <w:tcW w:w="997" w:type="dxa"/>
            <w:tcBorders>
              <w:top w:val="single" w:sz="4" w:space="0" w:color="auto"/>
            </w:tcBorders>
          </w:tcPr>
          <w:p w14:paraId="6349A95F" w14:textId="77777777" w:rsidR="003F39CF" w:rsidRDefault="003F39CF" w:rsidP="00B22BE2"/>
        </w:tc>
        <w:tc>
          <w:tcPr>
            <w:tcW w:w="932" w:type="dxa"/>
            <w:tcBorders>
              <w:top w:val="single" w:sz="4" w:space="0" w:color="auto"/>
            </w:tcBorders>
          </w:tcPr>
          <w:p w14:paraId="1BF3859E" w14:textId="77777777" w:rsidR="003F39CF" w:rsidRDefault="003F39CF" w:rsidP="00B22BE2"/>
        </w:tc>
        <w:tc>
          <w:tcPr>
            <w:tcW w:w="869" w:type="dxa"/>
            <w:tcBorders>
              <w:top w:val="single" w:sz="4" w:space="0" w:color="auto"/>
            </w:tcBorders>
          </w:tcPr>
          <w:p w14:paraId="6859CBA6" w14:textId="77777777" w:rsidR="003F39CF" w:rsidRDefault="003F39CF" w:rsidP="00B22BE2"/>
        </w:tc>
      </w:tr>
      <w:tr w:rsidR="003F39CF" w14:paraId="064B941B" w14:textId="77777777" w:rsidTr="00AF125F">
        <w:tc>
          <w:tcPr>
            <w:tcW w:w="2033" w:type="dxa"/>
          </w:tcPr>
          <w:p w14:paraId="4151E023" w14:textId="77777777" w:rsidR="003F39CF" w:rsidRDefault="003F39CF" w:rsidP="00B22BE2">
            <w:r>
              <w:t>2. Total items</w:t>
            </w:r>
          </w:p>
        </w:tc>
        <w:tc>
          <w:tcPr>
            <w:tcW w:w="851" w:type="dxa"/>
          </w:tcPr>
          <w:p w14:paraId="089EA17F" w14:textId="1099558C" w:rsidR="003F39CF" w:rsidRDefault="002C460C" w:rsidP="00B22BE2">
            <w:r>
              <w:t>26.78 (17.10)</w:t>
            </w:r>
          </w:p>
        </w:tc>
        <w:tc>
          <w:tcPr>
            <w:tcW w:w="822" w:type="dxa"/>
          </w:tcPr>
          <w:p w14:paraId="7D107AB9" w14:textId="5A123C42" w:rsidR="003F39CF" w:rsidRDefault="003F39CF" w:rsidP="00B22BE2">
            <w:r>
              <w:t>.69**</w:t>
            </w:r>
          </w:p>
        </w:tc>
        <w:tc>
          <w:tcPr>
            <w:tcW w:w="798" w:type="dxa"/>
          </w:tcPr>
          <w:p w14:paraId="7C410D81" w14:textId="77777777" w:rsidR="003F39CF" w:rsidRDefault="003F39CF" w:rsidP="00B22BE2">
            <w:r>
              <w:t>-</w:t>
            </w:r>
          </w:p>
        </w:tc>
        <w:tc>
          <w:tcPr>
            <w:tcW w:w="782" w:type="dxa"/>
          </w:tcPr>
          <w:p w14:paraId="66B00945" w14:textId="77777777" w:rsidR="003F39CF" w:rsidRDefault="003F39CF" w:rsidP="00B22BE2"/>
        </w:tc>
        <w:tc>
          <w:tcPr>
            <w:tcW w:w="932" w:type="dxa"/>
          </w:tcPr>
          <w:p w14:paraId="0A607C34" w14:textId="77777777" w:rsidR="003F39CF" w:rsidRDefault="003F39CF" w:rsidP="00B22BE2"/>
        </w:tc>
        <w:tc>
          <w:tcPr>
            <w:tcW w:w="997" w:type="dxa"/>
          </w:tcPr>
          <w:p w14:paraId="32898C17" w14:textId="77777777" w:rsidR="003F39CF" w:rsidRDefault="003F39CF" w:rsidP="00B22BE2"/>
        </w:tc>
        <w:tc>
          <w:tcPr>
            <w:tcW w:w="932" w:type="dxa"/>
          </w:tcPr>
          <w:p w14:paraId="61D026D8" w14:textId="77777777" w:rsidR="003F39CF" w:rsidRDefault="003F39CF" w:rsidP="00B22BE2"/>
        </w:tc>
        <w:tc>
          <w:tcPr>
            <w:tcW w:w="869" w:type="dxa"/>
          </w:tcPr>
          <w:p w14:paraId="096F1A2B" w14:textId="77777777" w:rsidR="003F39CF" w:rsidRDefault="003F39CF" w:rsidP="00B22BE2"/>
        </w:tc>
      </w:tr>
      <w:tr w:rsidR="003F39CF" w14:paraId="5F180B29" w14:textId="77777777" w:rsidTr="00AF125F">
        <w:tc>
          <w:tcPr>
            <w:tcW w:w="2033" w:type="dxa"/>
          </w:tcPr>
          <w:p w14:paraId="1C7D70EE" w14:textId="77777777" w:rsidR="003F39CF" w:rsidRDefault="003F39CF" w:rsidP="00B22BE2">
            <w:r>
              <w:t>3. Phi</w:t>
            </w:r>
          </w:p>
        </w:tc>
        <w:tc>
          <w:tcPr>
            <w:tcW w:w="851" w:type="dxa"/>
          </w:tcPr>
          <w:p w14:paraId="5C5FC1EE" w14:textId="5D1AC45E" w:rsidR="003F39CF" w:rsidRDefault="002C460C" w:rsidP="00B22BE2">
            <w:r>
              <w:t>.64 (</w:t>
            </w:r>
            <w:r w:rsidR="007A4C61">
              <w:t>.53)</w:t>
            </w:r>
          </w:p>
        </w:tc>
        <w:tc>
          <w:tcPr>
            <w:tcW w:w="822" w:type="dxa"/>
          </w:tcPr>
          <w:p w14:paraId="136218E1" w14:textId="526734C1" w:rsidR="003F39CF" w:rsidRDefault="003F39CF" w:rsidP="00B22BE2">
            <w:r>
              <w:t>.02</w:t>
            </w:r>
          </w:p>
        </w:tc>
        <w:tc>
          <w:tcPr>
            <w:tcW w:w="798" w:type="dxa"/>
          </w:tcPr>
          <w:p w14:paraId="35612EFB" w14:textId="77777777" w:rsidR="003F39CF" w:rsidRDefault="003F39CF" w:rsidP="00B22BE2">
            <w:r>
              <w:t>-.09</w:t>
            </w:r>
          </w:p>
        </w:tc>
        <w:tc>
          <w:tcPr>
            <w:tcW w:w="782" w:type="dxa"/>
          </w:tcPr>
          <w:p w14:paraId="6C541259" w14:textId="77777777" w:rsidR="003F39CF" w:rsidRDefault="003F39CF" w:rsidP="00B22BE2">
            <w:r>
              <w:t>-</w:t>
            </w:r>
          </w:p>
        </w:tc>
        <w:tc>
          <w:tcPr>
            <w:tcW w:w="932" w:type="dxa"/>
          </w:tcPr>
          <w:p w14:paraId="7050BEE4" w14:textId="77777777" w:rsidR="003F39CF" w:rsidRDefault="003F39CF" w:rsidP="00B22BE2"/>
        </w:tc>
        <w:tc>
          <w:tcPr>
            <w:tcW w:w="997" w:type="dxa"/>
          </w:tcPr>
          <w:p w14:paraId="64B813A8" w14:textId="77777777" w:rsidR="003F39CF" w:rsidRDefault="003F39CF" w:rsidP="00B22BE2"/>
        </w:tc>
        <w:tc>
          <w:tcPr>
            <w:tcW w:w="932" w:type="dxa"/>
          </w:tcPr>
          <w:p w14:paraId="04D7045A" w14:textId="77777777" w:rsidR="003F39CF" w:rsidRDefault="003F39CF" w:rsidP="00B22BE2"/>
        </w:tc>
        <w:tc>
          <w:tcPr>
            <w:tcW w:w="869" w:type="dxa"/>
          </w:tcPr>
          <w:p w14:paraId="47CEAEE3" w14:textId="77777777" w:rsidR="003F39CF" w:rsidRDefault="003F39CF" w:rsidP="00B22BE2"/>
        </w:tc>
      </w:tr>
      <w:tr w:rsidR="003F39CF" w14:paraId="4A091CD6" w14:textId="77777777" w:rsidTr="00AF125F">
        <w:tc>
          <w:tcPr>
            <w:tcW w:w="2033" w:type="dxa"/>
          </w:tcPr>
          <w:p w14:paraId="387115C9" w14:textId="77777777" w:rsidR="003F39CF" w:rsidRDefault="003F39CF" w:rsidP="00B22BE2">
            <w:r>
              <w:t>4. DI</w:t>
            </w:r>
          </w:p>
        </w:tc>
        <w:tc>
          <w:tcPr>
            <w:tcW w:w="851" w:type="dxa"/>
          </w:tcPr>
          <w:p w14:paraId="695C70FA" w14:textId="597BF193" w:rsidR="003F39CF" w:rsidRDefault="007A4C61" w:rsidP="00B22BE2">
            <w:r>
              <w:t>-.03 (.59)</w:t>
            </w:r>
          </w:p>
        </w:tc>
        <w:tc>
          <w:tcPr>
            <w:tcW w:w="822" w:type="dxa"/>
          </w:tcPr>
          <w:p w14:paraId="655D9D74" w14:textId="04526E41" w:rsidR="003F39CF" w:rsidRDefault="003F39CF" w:rsidP="00B22BE2">
            <w:r>
              <w:t>-.03</w:t>
            </w:r>
          </w:p>
        </w:tc>
        <w:tc>
          <w:tcPr>
            <w:tcW w:w="798" w:type="dxa"/>
          </w:tcPr>
          <w:p w14:paraId="536E5863" w14:textId="77777777" w:rsidR="003F39CF" w:rsidRDefault="003F39CF" w:rsidP="00B22BE2">
            <w:r>
              <w:t>.09</w:t>
            </w:r>
          </w:p>
        </w:tc>
        <w:tc>
          <w:tcPr>
            <w:tcW w:w="782" w:type="dxa"/>
          </w:tcPr>
          <w:p w14:paraId="4B41A15C" w14:textId="77777777" w:rsidR="003F39CF" w:rsidRDefault="003F39CF" w:rsidP="00B22BE2">
            <w:r>
              <w:t>.87</w:t>
            </w:r>
          </w:p>
        </w:tc>
        <w:tc>
          <w:tcPr>
            <w:tcW w:w="932" w:type="dxa"/>
          </w:tcPr>
          <w:p w14:paraId="2FD826A2" w14:textId="77777777" w:rsidR="003F39CF" w:rsidRDefault="003F39CF" w:rsidP="00B22BE2">
            <w:r>
              <w:t>-</w:t>
            </w:r>
          </w:p>
        </w:tc>
        <w:tc>
          <w:tcPr>
            <w:tcW w:w="997" w:type="dxa"/>
          </w:tcPr>
          <w:p w14:paraId="124ED106" w14:textId="77777777" w:rsidR="003F39CF" w:rsidRDefault="003F39CF" w:rsidP="00B22BE2"/>
        </w:tc>
        <w:tc>
          <w:tcPr>
            <w:tcW w:w="932" w:type="dxa"/>
          </w:tcPr>
          <w:p w14:paraId="74B5812F" w14:textId="77777777" w:rsidR="003F39CF" w:rsidRDefault="003F39CF" w:rsidP="00B22BE2"/>
        </w:tc>
        <w:tc>
          <w:tcPr>
            <w:tcW w:w="869" w:type="dxa"/>
          </w:tcPr>
          <w:p w14:paraId="7229D624" w14:textId="77777777" w:rsidR="003F39CF" w:rsidRDefault="003F39CF" w:rsidP="00B22BE2"/>
        </w:tc>
      </w:tr>
      <w:tr w:rsidR="003F39CF" w14:paraId="5028639D" w14:textId="77777777" w:rsidTr="00AF125F">
        <w:tc>
          <w:tcPr>
            <w:tcW w:w="2033" w:type="dxa"/>
          </w:tcPr>
          <w:p w14:paraId="5AA41E06" w14:textId="5907358F" w:rsidR="003F39CF" w:rsidRDefault="003F39CF" w:rsidP="00B22BE2">
            <w:r>
              <w:t>5. Proportion negative</w:t>
            </w:r>
          </w:p>
        </w:tc>
        <w:tc>
          <w:tcPr>
            <w:tcW w:w="851" w:type="dxa"/>
          </w:tcPr>
          <w:p w14:paraId="538DC62F" w14:textId="235F5F4C" w:rsidR="003F39CF" w:rsidRDefault="00CB3FA1" w:rsidP="00B22BE2">
            <w:r>
              <w:t>.45 (.24)</w:t>
            </w:r>
          </w:p>
        </w:tc>
        <w:tc>
          <w:tcPr>
            <w:tcW w:w="822" w:type="dxa"/>
          </w:tcPr>
          <w:p w14:paraId="6520B5AD" w14:textId="54D391D0" w:rsidR="003F39CF" w:rsidRDefault="003F39CF" w:rsidP="00B22BE2">
            <w:r>
              <w:t>.01</w:t>
            </w:r>
          </w:p>
        </w:tc>
        <w:tc>
          <w:tcPr>
            <w:tcW w:w="798" w:type="dxa"/>
          </w:tcPr>
          <w:p w14:paraId="32E6A476" w14:textId="77777777" w:rsidR="003F39CF" w:rsidRDefault="003F39CF" w:rsidP="00B22BE2">
            <w:r>
              <w:t>.94</w:t>
            </w:r>
          </w:p>
        </w:tc>
        <w:tc>
          <w:tcPr>
            <w:tcW w:w="782" w:type="dxa"/>
          </w:tcPr>
          <w:p w14:paraId="55400AF2" w14:textId="77777777" w:rsidR="003F39CF" w:rsidRDefault="003F39CF" w:rsidP="00B22BE2">
            <w:r>
              <w:t>.52</w:t>
            </w:r>
          </w:p>
        </w:tc>
        <w:tc>
          <w:tcPr>
            <w:tcW w:w="932" w:type="dxa"/>
          </w:tcPr>
          <w:p w14:paraId="14F0DC14" w14:textId="77777777" w:rsidR="003F39CF" w:rsidRDefault="003F39CF" w:rsidP="00B22BE2">
            <w:r>
              <w:t>-.08</w:t>
            </w:r>
          </w:p>
        </w:tc>
        <w:tc>
          <w:tcPr>
            <w:tcW w:w="997" w:type="dxa"/>
          </w:tcPr>
          <w:p w14:paraId="7737AFE6" w14:textId="77777777" w:rsidR="003F39CF" w:rsidRDefault="003F39CF" w:rsidP="00B22BE2">
            <w:r>
              <w:t>-</w:t>
            </w:r>
          </w:p>
        </w:tc>
        <w:tc>
          <w:tcPr>
            <w:tcW w:w="932" w:type="dxa"/>
          </w:tcPr>
          <w:p w14:paraId="2E63F315" w14:textId="77777777" w:rsidR="003F39CF" w:rsidRDefault="003F39CF" w:rsidP="00B22BE2"/>
        </w:tc>
        <w:tc>
          <w:tcPr>
            <w:tcW w:w="869" w:type="dxa"/>
          </w:tcPr>
          <w:p w14:paraId="4B712F17" w14:textId="77777777" w:rsidR="003F39CF" w:rsidRDefault="003F39CF" w:rsidP="00B22BE2"/>
        </w:tc>
      </w:tr>
      <w:tr w:rsidR="003F39CF" w14:paraId="6FCF1F8F" w14:textId="77777777" w:rsidTr="00AF125F">
        <w:tc>
          <w:tcPr>
            <w:tcW w:w="2033" w:type="dxa"/>
          </w:tcPr>
          <w:p w14:paraId="38826B35" w14:textId="653E4F52" w:rsidR="003F39CF" w:rsidRDefault="003F39CF" w:rsidP="00B22BE2">
            <w:r>
              <w:t>6. PSYRATS</w:t>
            </w:r>
            <w:r w:rsidR="006B0C7E">
              <w:t xml:space="preserve"> Delusion Total</w:t>
            </w:r>
          </w:p>
        </w:tc>
        <w:tc>
          <w:tcPr>
            <w:tcW w:w="851" w:type="dxa"/>
          </w:tcPr>
          <w:p w14:paraId="50A479B0" w14:textId="01B8694F" w:rsidR="003F39CF" w:rsidRDefault="00CB3FA1" w:rsidP="00B22BE2">
            <w:r>
              <w:t>14.04 (5.93)</w:t>
            </w:r>
          </w:p>
        </w:tc>
        <w:tc>
          <w:tcPr>
            <w:tcW w:w="822" w:type="dxa"/>
          </w:tcPr>
          <w:p w14:paraId="7E579CAD" w14:textId="58FF2E6A" w:rsidR="003F39CF" w:rsidRDefault="003F39CF" w:rsidP="00B22BE2">
            <w:r>
              <w:t>.09</w:t>
            </w:r>
          </w:p>
        </w:tc>
        <w:tc>
          <w:tcPr>
            <w:tcW w:w="798" w:type="dxa"/>
          </w:tcPr>
          <w:p w14:paraId="0222A38B" w14:textId="18C15EF6" w:rsidR="003F39CF" w:rsidRDefault="003F39CF" w:rsidP="00B22BE2">
            <w:r>
              <w:t>.05</w:t>
            </w:r>
          </w:p>
        </w:tc>
        <w:tc>
          <w:tcPr>
            <w:tcW w:w="782" w:type="dxa"/>
          </w:tcPr>
          <w:p w14:paraId="05E8C75E" w14:textId="77777777" w:rsidR="003F39CF" w:rsidRDefault="003F39CF" w:rsidP="00B22BE2">
            <w:r>
              <w:t>.04</w:t>
            </w:r>
          </w:p>
        </w:tc>
        <w:tc>
          <w:tcPr>
            <w:tcW w:w="932" w:type="dxa"/>
          </w:tcPr>
          <w:p w14:paraId="4E3519A5" w14:textId="4E9B1BA6" w:rsidR="003F39CF" w:rsidRDefault="003F39CF" w:rsidP="00B22BE2">
            <w:r>
              <w:t>.15</w:t>
            </w:r>
          </w:p>
        </w:tc>
        <w:tc>
          <w:tcPr>
            <w:tcW w:w="997" w:type="dxa"/>
          </w:tcPr>
          <w:p w14:paraId="6625BE20" w14:textId="73562860" w:rsidR="003F39CF" w:rsidRDefault="003F39CF" w:rsidP="00B22BE2">
            <w:r>
              <w:t>.05</w:t>
            </w:r>
          </w:p>
        </w:tc>
        <w:tc>
          <w:tcPr>
            <w:tcW w:w="932" w:type="dxa"/>
          </w:tcPr>
          <w:p w14:paraId="50FBB175" w14:textId="77777777" w:rsidR="003F39CF" w:rsidRDefault="003F39CF" w:rsidP="00B22BE2">
            <w:r>
              <w:t>-</w:t>
            </w:r>
          </w:p>
        </w:tc>
        <w:tc>
          <w:tcPr>
            <w:tcW w:w="869" w:type="dxa"/>
          </w:tcPr>
          <w:p w14:paraId="62D3BB8E" w14:textId="77777777" w:rsidR="003F39CF" w:rsidRDefault="003F39CF" w:rsidP="00B22BE2"/>
        </w:tc>
      </w:tr>
      <w:tr w:rsidR="003F39CF" w14:paraId="4D397A4A" w14:textId="77777777" w:rsidTr="00AF125F">
        <w:tc>
          <w:tcPr>
            <w:tcW w:w="2033" w:type="dxa"/>
          </w:tcPr>
          <w:p w14:paraId="77FA9D25" w14:textId="77777777" w:rsidR="003F39CF" w:rsidRDefault="003F39CF" w:rsidP="00B22BE2">
            <w:r>
              <w:t>7. BDI</w:t>
            </w:r>
          </w:p>
        </w:tc>
        <w:tc>
          <w:tcPr>
            <w:tcW w:w="851" w:type="dxa"/>
          </w:tcPr>
          <w:p w14:paraId="79C9EA84" w14:textId="718D962E" w:rsidR="003F39CF" w:rsidRDefault="007C4535" w:rsidP="00B22BE2">
            <w:r>
              <w:t>24.40 (14.59)</w:t>
            </w:r>
          </w:p>
        </w:tc>
        <w:tc>
          <w:tcPr>
            <w:tcW w:w="822" w:type="dxa"/>
          </w:tcPr>
          <w:p w14:paraId="646B795E" w14:textId="114AB336" w:rsidR="003F39CF" w:rsidRDefault="003F39CF" w:rsidP="00B22BE2">
            <w:r>
              <w:t>-.10</w:t>
            </w:r>
          </w:p>
        </w:tc>
        <w:tc>
          <w:tcPr>
            <w:tcW w:w="798" w:type="dxa"/>
          </w:tcPr>
          <w:p w14:paraId="0A1BFEC4" w14:textId="77777777" w:rsidR="003F39CF" w:rsidRDefault="003F39CF" w:rsidP="00B22BE2">
            <w:r>
              <w:t>.001</w:t>
            </w:r>
          </w:p>
        </w:tc>
        <w:tc>
          <w:tcPr>
            <w:tcW w:w="782" w:type="dxa"/>
          </w:tcPr>
          <w:p w14:paraId="6F096317" w14:textId="77777777" w:rsidR="003F39CF" w:rsidRDefault="003F39CF" w:rsidP="00B22BE2">
            <w:r>
              <w:t>-.25</w:t>
            </w:r>
          </w:p>
        </w:tc>
        <w:tc>
          <w:tcPr>
            <w:tcW w:w="932" w:type="dxa"/>
          </w:tcPr>
          <w:p w14:paraId="562B6AE8" w14:textId="77777777" w:rsidR="003F39CF" w:rsidRDefault="003F39CF" w:rsidP="00B22BE2">
            <w:r>
              <w:t>.05</w:t>
            </w:r>
          </w:p>
        </w:tc>
        <w:tc>
          <w:tcPr>
            <w:tcW w:w="997" w:type="dxa"/>
          </w:tcPr>
          <w:p w14:paraId="5AB1225E" w14:textId="77777777" w:rsidR="003F39CF" w:rsidRDefault="003F39CF" w:rsidP="00B22BE2">
            <w:r>
              <w:t>.53**</w:t>
            </w:r>
          </w:p>
        </w:tc>
        <w:tc>
          <w:tcPr>
            <w:tcW w:w="932" w:type="dxa"/>
          </w:tcPr>
          <w:p w14:paraId="5880530D" w14:textId="77777777" w:rsidR="003F39CF" w:rsidRDefault="003F39CF" w:rsidP="00B22BE2">
            <w:r>
              <w:t>.14</w:t>
            </w:r>
          </w:p>
        </w:tc>
        <w:tc>
          <w:tcPr>
            <w:tcW w:w="869" w:type="dxa"/>
          </w:tcPr>
          <w:p w14:paraId="4DFF10EF" w14:textId="77777777" w:rsidR="003F39CF" w:rsidRDefault="003F39CF" w:rsidP="00B22BE2">
            <w:r>
              <w:t>-</w:t>
            </w:r>
          </w:p>
        </w:tc>
      </w:tr>
    </w:tbl>
    <w:p w14:paraId="31153E14" w14:textId="77777777" w:rsidR="00BC7431" w:rsidRDefault="00BC7431" w:rsidP="00BC7431">
      <w:r>
        <w:t>** sig at .01 level.</w:t>
      </w:r>
    </w:p>
    <w:p w14:paraId="486E5590" w14:textId="263253F5" w:rsidR="000715B2" w:rsidRDefault="000715B2">
      <w:pPr>
        <w:rPr>
          <w:rFonts w:cstheme="minorHAnsi"/>
          <w:b/>
        </w:rPr>
      </w:pPr>
      <w:r>
        <w:rPr>
          <w:rFonts w:cstheme="minorHAnsi"/>
          <w:b/>
        </w:rPr>
        <w:br w:type="page"/>
      </w:r>
    </w:p>
    <w:p w14:paraId="13B1A370" w14:textId="30C67474" w:rsidR="00F11566" w:rsidRDefault="00F11566" w:rsidP="00F11566">
      <w:pPr>
        <w:spacing w:line="240" w:lineRule="auto"/>
        <w:rPr>
          <w:rFonts w:cstheme="minorHAnsi"/>
        </w:rPr>
      </w:pPr>
      <w:r w:rsidRPr="00E304C6">
        <w:rPr>
          <w:rFonts w:cstheme="minorHAnsi"/>
          <w:b/>
        </w:rPr>
        <w:t xml:space="preserve">Table </w:t>
      </w:r>
      <w:r w:rsidR="000715B2">
        <w:rPr>
          <w:rFonts w:cstheme="minorHAnsi"/>
          <w:b/>
        </w:rPr>
        <w:t>3</w:t>
      </w:r>
      <w:r w:rsidRPr="00E304C6">
        <w:rPr>
          <w:rFonts w:cstheme="minorHAnsi"/>
          <w:b/>
        </w:rPr>
        <w:t>.</w:t>
      </w:r>
      <w:r w:rsidRPr="00780961">
        <w:rPr>
          <w:rFonts w:cstheme="minorHAnsi"/>
        </w:rPr>
        <w:t xml:space="preserve"> </w:t>
      </w:r>
      <w:r>
        <w:rPr>
          <w:rFonts w:cstheme="minorHAnsi"/>
        </w:rPr>
        <w:t>D</w:t>
      </w:r>
      <w:r w:rsidRPr="00780961">
        <w:rPr>
          <w:rFonts w:cstheme="minorHAnsi"/>
        </w:rPr>
        <w:t>escriptive statistics</w:t>
      </w:r>
      <w:r>
        <w:rPr>
          <w:rFonts w:cstheme="minorHAnsi"/>
        </w:rPr>
        <w:t>, effect sizes and 95% CIs</w:t>
      </w:r>
      <w:r w:rsidRPr="00780961">
        <w:rPr>
          <w:rFonts w:cstheme="minorHAnsi"/>
        </w:rPr>
        <w:t xml:space="preserve"> for self-structure </w:t>
      </w:r>
      <w:r>
        <w:rPr>
          <w:rFonts w:cstheme="minorHAnsi"/>
        </w:rPr>
        <w:t>indices.</w:t>
      </w:r>
      <w:r w:rsidRPr="00780961">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1337"/>
        <w:gridCol w:w="1095"/>
        <w:gridCol w:w="1413"/>
        <w:gridCol w:w="1386"/>
        <w:gridCol w:w="1317"/>
        <w:gridCol w:w="1118"/>
      </w:tblGrid>
      <w:tr w:rsidR="000D6231" w:rsidRPr="00780961" w14:paraId="62736F8B" w14:textId="77777777" w:rsidTr="00442F85">
        <w:tc>
          <w:tcPr>
            <w:tcW w:w="1422" w:type="dxa"/>
            <w:tcBorders>
              <w:top w:val="single" w:sz="12" w:space="0" w:color="auto"/>
              <w:bottom w:val="single" w:sz="12" w:space="0" w:color="auto"/>
            </w:tcBorders>
          </w:tcPr>
          <w:p w14:paraId="20D7C539" w14:textId="77777777" w:rsidR="00442F85" w:rsidRPr="00780961" w:rsidRDefault="00442F85" w:rsidP="008A22C0">
            <w:pPr>
              <w:spacing w:line="480" w:lineRule="auto"/>
              <w:rPr>
                <w:rFonts w:cstheme="minorHAnsi"/>
              </w:rPr>
            </w:pPr>
          </w:p>
        </w:tc>
        <w:tc>
          <w:tcPr>
            <w:tcW w:w="1349" w:type="dxa"/>
            <w:tcBorders>
              <w:top w:val="single" w:sz="12" w:space="0" w:color="auto"/>
              <w:bottom w:val="single" w:sz="12" w:space="0" w:color="auto"/>
            </w:tcBorders>
          </w:tcPr>
          <w:p w14:paraId="10B5E4C4" w14:textId="5E1AD5D0" w:rsidR="00442F85" w:rsidRDefault="00442F85" w:rsidP="008A22C0">
            <w:pPr>
              <w:rPr>
                <w:rFonts w:cstheme="minorHAnsi"/>
              </w:rPr>
            </w:pPr>
            <w:r>
              <w:rPr>
                <w:rFonts w:cstheme="minorHAnsi"/>
              </w:rPr>
              <w:t>Baseline</w:t>
            </w:r>
            <w:r w:rsidR="00647425">
              <w:rPr>
                <w:rFonts w:cstheme="minorHAnsi"/>
              </w:rPr>
              <w:t>: Mindfulness</w:t>
            </w:r>
            <w:r>
              <w:rPr>
                <w:rFonts w:cstheme="minorHAnsi"/>
              </w:rPr>
              <w:t xml:space="preserve">  </w:t>
            </w:r>
          </w:p>
          <w:p w14:paraId="2D15EA80" w14:textId="77777777" w:rsidR="00442F85" w:rsidRPr="00780961" w:rsidRDefault="00442F85" w:rsidP="008A22C0">
            <w:pPr>
              <w:rPr>
                <w:rFonts w:cstheme="minorHAnsi"/>
              </w:rPr>
            </w:pPr>
            <w:r>
              <w:rPr>
                <w:rFonts w:cstheme="minorHAnsi"/>
              </w:rPr>
              <w:t>Mean (</w:t>
            </w:r>
            <w:proofErr w:type="spellStart"/>
            <w:r>
              <w:rPr>
                <w:rFonts w:cstheme="minorHAnsi"/>
              </w:rPr>
              <w:t>sd</w:t>
            </w:r>
            <w:proofErr w:type="spellEnd"/>
            <w:r>
              <w:rPr>
                <w:rFonts w:cstheme="minorHAnsi"/>
              </w:rPr>
              <w:t>)</w:t>
            </w:r>
          </w:p>
        </w:tc>
        <w:tc>
          <w:tcPr>
            <w:tcW w:w="1137" w:type="dxa"/>
            <w:tcBorders>
              <w:top w:val="single" w:sz="12" w:space="0" w:color="auto"/>
              <w:bottom w:val="single" w:sz="12" w:space="0" w:color="auto"/>
            </w:tcBorders>
          </w:tcPr>
          <w:p w14:paraId="1273FB0C" w14:textId="77777777" w:rsidR="00442F85" w:rsidRDefault="00647425" w:rsidP="008A22C0">
            <w:pPr>
              <w:rPr>
                <w:rFonts w:cstheme="minorHAnsi"/>
              </w:rPr>
            </w:pPr>
            <w:r>
              <w:rPr>
                <w:rFonts w:cstheme="minorHAnsi"/>
              </w:rPr>
              <w:t>Baseline: TAU</w:t>
            </w:r>
          </w:p>
          <w:p w14:paraId="2A81E5E1" w14:textId="71C450E0" w:rsidR="00647425" w:rsidRDefault="00647425" w:rsidP="008A22C0">
            <w:pPr>
              <w:rPr>
                <w:rFonts w:cstheme="minorHAnsi"/>
              </w:rPr>
            </w:pPr>
            <w:r>
              <w:rPr>
                <w:rFonts w:cstheme="minorHAnsi"/>
              </w:rPr>
              <w:t>Mean (</w:t>
            </w:r>
            <w:proofErr w:type="spellStart"/>
            <w:r>
              <w:rPr>
                <w:rFonts w:cstheme="minorHAnsi"/>
              </w:rPr>
              <w:t>sd</w:t>
            </w:r>
            <w:proofErr w:type="spellEnd"/>
            <w:r>
              <w:rPr>
                <w:rFonts w:cstheme="minorHAnsi"/>
              </w:rPr>
              <w:t>)</w:t>
            </w:r>
          </w:p>
        </w:tc>
        <w:tc>
          <w:tcPr>
            <w:tcW w:w="1429" w:type="dxa"/>
            <w:tcBorders>
              <w:top w:val="single" w:sz="12" w:space="0" w:color="auto"/>
              <w:bottom w:val="single" w:sz="12" w:space="0" w:color="auto"/>
            </w:tcBorders>
          </w:tcPr>
          <w:p w14:paraId="3CD20C4A" w14:textId="46D9BF04" w:rsidR="00442F85" w:rsidRDefault="00442F85" w:rsidP="008A22C0">
            <w:pPr>
              <w:rPr>
                <w:rFonts w:cstheme="minorHAnsi"/>
              </w:rPr>
            </w:pPr>
            <w:r>
              <w:rPr>
                <w:rFonts w:cstheme="minorHAnsi"/>
              </w:rPr>
              <w:t>Post Intervention: Mindfulness Group</w:t>
            </w:r>
          </w:p>
          <w:p w14:paraId="612E39EA" w14:textId="77777777" w:rsidR="00442F85" w:rsidRDefault="00442F85" w:rsidP="008A22C0">
            <w:pPr>
              <w:rPr>
                <w:rFonts w:cstheme="minorHAnsi"/>
              </w:rPr>
            </w:pPr>
            <w:r>
              <w:rPr>
                <w:rFonts w:cstheme="minorHAnsi"/>
              </w:rPr>
              <w:t>Mean (</w:t>
            </w:r>
            <w:proofErr w:type="spellStart"/>
            <w:r>
              <w:rPr>
                <w:rFonts w:cstheme="minorHAnsi"/>
              </w:rPr>
              <w:t>sd</w:t>
            </w:r>
            <w:proofErr w:type="spellEnd"/>
            <w:r>
              <w:rPr>
                <w:rFonts w:cstheme="minorHAnsi"/>
              </w:rPr>
              <w:t>)</w:t>
            </w:r>
          </w:p>
        </w:tc>
        <w:tc>
          <w:tcPr>
            <w:tcW w:w="1386" w:type="dxa"/>
            <w:tcBorders>
              <w:top w:val="single" w:sz="12" w:space="0" w:color="auto"/>
              <w:bottom w:val="single" w:sz="12" w:space="0" w:color="auto"/>
            </w:tcBorders>
          </w:tcPr>
          <w:p w14:paraId="4570A757" w14:textId="77777777" w:rsidR="00442F85" w:rsidRDefault="00442F85" w:rsidP="008A22C0">
            <w:pPr>
              <w:rPr>
                <w:rFonts w:cstheme="minorHAnsi"/>
              </w:rPr>
            </w:pPr>
            <w:r>
              <w:rPr>
                <w:rFonts w:cstheme="minorHAnsi"/>
              </w:rPr>
              <w:t>Post Intervention: TAU Group</w:t>
            </w:r>
          </w:p>
          <w:p w14:paraId="0DD08C93" w14:textId="77777777" w:rsidR="00442F85" w:rsidRPr="00780961" w:rsidRDefault="00442F85" w:rsidP="008A22C0">
            <w:pPr>
              <w:rPr>
                <w:rFonts w:cstheme="minorHAnsi"/>
              </w:rPr>
            </w:pPr>
            <w:r>
              <w:rPr>
                <w:rFonts w:cstheme="minorHAnsi"/>
              </w:rPr>
              <w:t>Mean (</w:t>
            </w:r>
            <w:proofErr w:type="spellStart"/>
            <w:r>
              <w:rPr>
                <w:rFonts w:cstheme="minorHAnsi"/>
              </w:rPr>
              <w:t>sd</w:t>
            </w:r>
            <w:proofErr w:type="spellEnd"/>
            <w:r>
              <w:rPr>
                <w:rFonts w:cstheme="minorHAnsi"/>
              </w:rPr>
              <w:t>)</w:t>
            </w:r>
          </w:p>
        </w:tc>
        <w:tc>
          <w:tcPr>
            <w:tcW w:w="1185" w:type="dxa"/>
            <w:tcBorders>
              <w:top w:val="single" w:sz="12" w:space="0" w:color="auto"/>
              <w:bottom w:val="single" w:sz="12" w:space="0" w:color="auto"/>
            </w:tcBorders>
          </w:tcPr>
          <w:p w14:paraId="14ADA052" w14:textId="482F584B" w:rsidR="00442F85" w:rsidRDefault="00C102B3" w:rsidP="008A22C0">
            <w:pPr>
              <w:rPr>
                <w:rFonts w:cstheme="minorHAnsi"/>
              </w:rPr>
            </w:pPr>
            <w:r>
              <w:rPr>
                <w:rFonts w:cstheme="minorHAnsi"/>
              </w:rPr>
              <w:t xml:space="preserve">Mindfulness </w:t>
            </w:r>
            <w:r w:rsidR="00442F85">
              <w:rPr>
                <w:rFonts w:cstheme="minorHAnsi"/>
              </w:rPr>
              <w:t>Within Subjects Effect Size</w:t>
            </w:r>
          </w:p>
          <w:p w14:paraId="63EC371D" w14:textId="77777777" w:rsidR="00442F85" w:rsidRDefault="00442F85" w:rsidP="008A22C0">
            <w:pPr>
              <w:rPr>
                <w:rFonts w:cstheme="minorHAnsi"/>
              </w:rPr>
            </w:pPr>
            <w:r>
              <w:rPr>
                <w:rFonts w:cstheme="minorHAnsi"/>
              </w:rPr>
              <w:t>(95% CI)</w:t>
            </w:r>
          </w:p>
        </w:tc>
        <w:tc>
          <w:tcPr>
            <w:tcW w:w="1118" w:type="dxa"/>
            <w:tcBorders>
              <w:top w:val="single" w:sz="12" w:space="0" w:color="auto"/>
              <w:bottom w:val="single" w:sz="12" w:space="0" w:color="auto"/>
            </w:tcBorders>
          </w:tcPr>
          <w:p w14:paraId="780B3EC1" w14:textId="77777777" w:rsidR="00442F85" w:rsidRDefault="00442F85" w:rsidP="008A22C0">
            <w:pPr>
              <w:rPr>
                <w:rFonts w:cstheme="minorHAnsi"/>
              </w:rPr>
            </w:pPr>
            <w:r>
              <w:rPr>
                <w:rFonts w:cstheme="minorHAnsi"/>
              </w:rPr>
              <w:t>Between Subjects Effect Size (95% CI)</w:t>
            </w:r>
          </w:p>
        </w:tc>
      </w:tr>
      <w:tr w:rsidR="000D6231" w:rsidRPr="00780961" w14:paraId="44B0FE3A" w14:textId="77777777" w:rsidTr="00442F85">
        <w:tc>
          <w:tcPr>
            <w:tcW w:w="1422" w:type="dxa"/>
            <w:tcBorders>
              <w:top w:val="single" w:sz="12" w:space="0" w:color="auto"/>
            </w:tcBorders>
          </w:tcPr>
          <w:p w14:paraId="018B0409" w14:textId="77777777" w:rsidR="00442F85" w:rsidRPr="00780961" w:rsidRDefault="00442F85" w:rsidP="008A22C0">
            <w:pPr>
              <w:rPr>
                <w:rFonts w:cstheme="minorHAnsi"/>
              </w:rPr>
            </w:pPr>
            <w:r w:rsidRPr="00780961">
              <w:rPr>
                <w:rFonts w:cstheme="minorHAnsi"/>
              </w:rPr>
              <w:t>Percentage Negative</w:t>
            </w:r>
          </w:p>
        </w:tc>
        <w:tc>
          <w:tcPr>
            <w:tcW w:w="1349" w:type="dxa"/>
            <w:tcBorders>
              <w:top w:val="single" w:sz="12" w:space="0" w:color="auto"/>
            </w:tcBorders>
          </w:tcPr>
          <w:p w14:paraId="4D268D42" w14:textId="77777777" w:rsidR="00442F85" w:rsidRPr="00780961" w:rsidRDefault="00442F85" w:rsidP="008A22C0">
            <w:pPr>
              <w:rPr>
                <w:rFonts w:cstheme="minorHAnsi"/>
              </w:rPr>
            </w:pPr>
            <w:r>
              <w:rPr>
                <w:rFonts w:cstheme="minorHAnsi"/>
              </w:rPr>
              <w:t>.40 (.24)</w:t>
            </w:r>
          </w:p>
        </w:tc>
        <w:tc>
          <w:tcPr>
            <w:tcW w:w="1137" w:type="dxa"/>
            <w:tcBorders>
              <w:top w:val="single" w:sz="12" w:space="0" w:color="auto"/>
            </w:tcBorders>
          </w:tcPr>
          <w:p w14:paraId="6B1B6BAE" w14:textId="485BE7DC" w:rsidR="00442F85" w:rsidRDefault="00685EE2" w:rsidP="008A22C0">
            <w:pPr>
              <w:rPr>
                <w:rFonts w:cstheme="minorHAnsi"/>
              </w:rPr>
            </w:pPr>
            <w:r>
              <w:rPr>
                <w:rFonts w:cstheme="minorHAnsi"/>
              </w:rPr>
              <w:t>.51 (.24)</w:t>
            </w:r>
          </w:p>
        </w:tc>
        <w:tc>
          <w:tcPr>
            <w:tcW w:w="1429" w:type="dxa"/>
            <w:tcBorders>
              <w:top w:val="single" w:sz="12" w:space="0" w:color="auto"/>
            </w:tcBorders>
          </w:tcPr>
          <w:p w14:paraId="5B05FB76" w14:textId="6BF32D3D" w:rsidR="00442F85" w:rsidRDefault="00442F85" w:rsidP="008A22C0">
            <w:pPr>
              <w:rPr>
                <w:rFonts w:cstheme="minorHAnsi"/>
              </w:rPr>
            </w:pPr>
            <w:r>
              <w:rPr>
                <w:rFonts w:cstheme="minorHAnsi"/>
              </w:rPr>
              <w:t>.21 (.21)</w:t>
            </w:r>
          </w:p>
        </w:tc>
        <w:tc>
          <w:tcPr>
            <w:tcW w:w="1386" w:type="dxa"/>
            <w:tcBorders>
              <w:top w:val="single" w:sz="12" w:space="0" w:color="auto"/>
            </w:tcBorders>
          </w:tcPr>
          <w:p w14:paraId="0F8CC50C" w14:textId="77777777" w:rsidR="00442F85" w:rsidRPr="00780961" w:rsidRDefault="00442F85" w:rsidP="008A22C0">
            <w:pPr>
              <w:rPr>
                <w:rFonts w:cstheme="minorHAnsi"/>
              </w:rPr>
            </w:pPr>
            <w:r>
              <w:rPr>
                <w:rFonts w:cstheme="minorHAnsi"/>
              </w:rPr>
              <w:t>.35 (.32)</w:t>
            </w:r>
          </w:p>
        </w:tc>
        <w:tc>
          <w:tcPr>
            <w:tcW w:w="1185" w:type="dxa"/>
            <w:tcBorders>
              <w:top w:val="single" w:sz="12" w:space="0" w:color="auto"/>
            </w:tcBorders>
          </w:tcPr>
          <w:p w14:paraId="26701568" w14:textId="2FFC45CD" w:rsidR="00442F85" w:rsidRDefault="00442F85" w:rsidP="008A22C0">
            <w:pPr>
              <w:spacing w:line="480" w:lineRule="auto"/>
              <w:rPr>
                <w:rFonts w:cstheme="minorHAnsi"/>
              </w:rPr>
            </w:pPr>
            <w:r>
              <w:rPr>
                <w:rFonts w:cstheme="minorHAnsi"/>
              </w:rPr>
              <w:t>0.</w:t>
            </w:r>
            <w:r w:rsidR="00C102B3">
              <w:rPr>
                <w:rFonts w:cstheme="minorHAnsi"/>
              </w:rPr>
              <w:t>84</w:t>
            </w:r>
            <w:r>
              <w:rPr>
                <w:rFonts w:cstheme="minorHAnsi"/>
              </w:rPr>
              <w:t xml:space="preserve"> (0.</w:t>
            </w:r>
            <w:r w:rsidR="00C102B3">
              <w:rPr>
                <w:rFonts w:cstheme="minorHAnsi"/>
              </w:rPr>
              <w:t>54</w:t>
            </w:r>
            <w:r>
              <w:rPr>
                <w:rFonts w:cstheme="minorHAnsi"/>
              </w:rPr>
              <w:t>,1.</w:t>
            </w:r>
            <w:r w:rsidR="00C102B3">
              <w:rPr>
                <w:rFonts w:cstheme="minorHAnsi"/>
              </w:rPr>
              <w:t>15</w:t>
            </w:r>
            <w:r>
              <w:rPr>
                <w:rFonts w:cstheme="minorHAnsi"/>
              </w:rPr>
              <w:t>)</w:t>
            </w:r>
          </w:p>
        </w:tc>
        <w:tc>
          <w:tcPr>
            <w:tcW w:w="1118" w:type="dxa"/>
            <w:tcBorders>
              <w:top w:val="single" w:sz="12" w:space="0" w:color="auto"/>
            </w:tcBorders>
          </w:tcPr>
          <w:p w14:paraId="34F20B87" w14:textId="77777777" w:rsidR="00442F85" w:rsidRDefault="00442F85" w:rsidP="008A22C0">
            <w:pPr>
              <w:spacing w:line="480" w:lineRule="auto"/>
              <w:rPr>
                <w:rFonts w:cstheme="minorHAnsi"/>
              </w:rPr>
            </w:pPr>
            <w:r>
              <w:rPr>
                <w:rFonts w:cstheme="minorHAnsi"/>
              </w:rPr>
              <w:t>0.52 (-0.25,1.29)</w:t>
            </w:r>
          </w:p>
        </w:tc>
      </w:tr>
      <w:tr w:rsidR="000D6231" w:rsidRPr="00780961" w14:paraId="07E7562C" w14:textId="77777777" w:rsidTr="00442F85">
        <w:tc>
          <w:tcPr>
            <w:tcW w:w="1422" w:type="dxa"/>
          </w:tcPr>
          <w:p w14:paraId="5515DC26" w14:textId="77777777" w:rsidR="00442F85" w:rsidRPr="00780961" w:rsidRDefault="00442F85" w:rsidP="008A22C0">
            <w:pPr>
              <w:rPr>
                <w:rFonts w:cstheme="minorHAnsi"/>
              </w:rPr>
            </w:pPr>
            <w:r w:rsidRPr="00780961">
              <w:rPr>
                <w:rFonts w:cstheme="minorHAnsi"/>
              </w:rPr>
              <w:t>Phi coefficient</w:t>
            </w:r>
          </w:p>
        </w:tc>
        <w:tc>
          <w:tcPr>
            <w:tcW w:w="1349" w:type="dxa"/>
          </w:tcPr>
          <w:p w14:paraId="42AB78EB" w14:textId="77777777" w:rsidR="00442F85" w:rsidRPr="00780961" w:rsidRDefault="00442F85" w:rsidP="008A22C0">
            <w:pPr>
              <w:rPr>
                <w:rFonts w:cstheme="minorHAnsi"/>
              </w:rPr>
            </w:pPr>
            <w:r>
              <w:rPr>
                <w:rFonts w:cstheme="minorHAnsi"/>
              </w:rPr>
              <w:t>.69 (.53)</w:t>
            </w:r>
          </w:p>
        </w:tc>
        <w:tc>
          <w:tcPr>
            <w:tcW w:w="1137" w:type="dxa"/>
          </w:tcPr>
          <w:p w14:paraId="79DA1FAD" w14:textId="1BD906A1" w:rsidR="00442F85" w:rsidRDefault="00593E47" w:rsidP="008A22C0">
            <w:pPr>
              <w:rPr>
                <w:rFonts w:cstheme="minorHAnsi"/>
              </w:rPr>
            </w:pPr>
            <w:r>
              <w:rPr>
                <w:rFonts w:cstheme="minorHAnsi"/>
              </w:rPr>
              <w:t>.58 (.54)</w:t>
            </w:r>
          </w:p>
        </w:tc>
        <w:tc>
          <w:tcPr>
            <w:tcW w:w="1429" w:type="dxa"/>
          </w:tcPr>
          <w:p w14:paraId="474AA46A" w14:textId="4B6842DE" w:rsidR="00442F85" w:rsidRDefault="00442F85" w:rsidP="008A22C0">
            <w:pPr>
              <w:rPr>
                <w:rFonts w:cstheme="minorHAnsi"/>
              </w:rPr>
            </w:pPr>
            <w:r>
              <w:rPr>
                <w:rFonts w:cstheme="minorHAnsi"/>
              </w:rPr>
              <w:t>.10(.84)</w:t>
            </w:r>
          </w:p>
        </w:tc>
        <w:tc>
          <w:tcPr>
            <w:tcW w:w="1386" w:type="dxa"/>
          </w:tcPr>
          <w:p w14:paraId="15925692" w14:textId="77777777" w:rsidR="00442F85" w:rsidRPr="00780961" w:rsidRDefault="00442F85" w:rsidP="008A22C0">
            <w:pPr>
              <w:rPr>
                <w:rFonts w:cstheme="minorHAnsi"/>
              </w:rPr>
            </w:pPr>
            <w:r>
              <w:rPr>
                <w:rFonts w:cstheme="minorHAnsi"/>
              </w:rPr>
              <w:t>.29 (.67)</w:t>
            </w:r>
          </w:p>
        </w:tc>
        <w:tc>
          <w:tcPr>
            <w:tcW w:w="1185" w:type="dxa"/>
          </w:tcPr>
          <w:p w14:paraId="2A0FCD46" w14:textId="4894178C" w:rsidR="00442F85" w:rsidRDefault="00442F85" w:rsidP="008A22C0">
            <w:pPr>
              <w:spacing w:line="480" w:lineRule="auto"/>
              <w:rPr>
                <w:rFonts w:cstheme="minorHAnsi"/>
              </w:rPr>
            </w:pPr>
            <w:r>
              <w:rPr>
                <w:rFonts w:cstheme="minorHAnsi"/>
              </w:rPr>
              <w:t>0.84 (0.</w:t>
            </w:r>
            <w:r w:rsidR="00C102B3">
              <w:rPr>
                <w:rFonts w:cstheme="minorHAnsi"/>
              </w:rPr>
              <w:t>53</w:t>
            </w:r>
            <w:r>
              <w:rPr>
                <w:rFonts w:cstheme="minorHAnsi"/>
              </w:rPr>
              <w:t>,1.</w:t>
            </w:r>
            <w:r w:rsidR="00C102B3">
              <w:rPr>
                <w:rFonts w:cstheme="minorHAnsi"/>
              </w:rPr>
              <w:t>14</w:t>
            </w:r>
            <w:r>
              <w:rPr>
                <w:rFonts w:cstheme="minorHAnsi"/>
              </w:rPr>
              <w:t>)</w:t>
            </w:r>
          </w:p>
        </w:tc>
        <w:tc>
          <w:tcPr>
            <w:tcW w:w="1118" w:type="dxa"/>
          </w:tcPr>
          <w:p w14:paraId="3B42ACAE" w14:textId="77777777" w:rsidR="00442F85" w:rsidRDefault="00442F85" w:rsidP="008A22C0">
            <w:pPr>
              <w:spacing w:line="480" w:lineRule="auto"/>
              <w:rPr>
                <w:rFonts w:cstheme="minorHAnsi"/>
              </w:rPr>
            </w:pPr>
            <w:r>
              <w:rPr>
                <w:rFonts w:cstheme="minorHAnsi"/>
              </w:rPr>
              <w:t>0.25 (-0.51,1.01)</w:t>
            </w:r>
          </w:p>
        </w:tc>
      </w:tr>
      <w:tr w:rsidR="000D6231" w:rsidRPr="00780961" w14:paraId="4449988C" w14:textId="77777777" w:rsidTr="00442F85">
        <w:tc>
          <w:tcPr>
            <w:tcW w:w="1422" w:type="dxa"/>
            <w:tcBorders>
              <w:bottom w:val="single" w:sz="12" w:space="0" w:color="auto"/>
            </w:tcBorders>
          </w:tcPr>
          <w:p w14:paraId="50E189FC" w14:textId="77777777" w:rsidR="00442F85" w:rsidRPr="00780961" w:rsidRDefault="00442F85" w:rsidP="008A22C0">
            <w:pPr>
              <w:rPr>
                <w:rFonts w:cstheme="minorHAnsi"/>
              </w:rPr>
            </w:pPr>
            <w:r w:rsidRPr="00780961">
              <w:rPr>
                <w:rFonts w:cstheme="minorHAnsi"/>
              </w:rPr>
              <w:t>Differential Importance</w:t>
            </w:r>
          </w:p>
        </w:tc>
        <w:tc>
          <w:tcPr>
            <w:tcW w:w="1349" w:type="dxa"/>
            <w:tcBorders>
              <w:bottom w:val="single" w:sz="12" w:space="0" w:color="auto"/>
            </w:tcBorders>
          </w:tcPr>
          <w:p w14:paraId="777764A1" w14:textId="77777777" w:rsidR="00442F85" w:rsidRPr="00780961" w:rsidRDefault="00442F85" w:rsidP="008A22C0">
            <w:pPr>
              <w:rPr>
                <w:rFonts w:cstheme="minorHAnsi"/>
              </w:rPr>
            </w:pPr>
            <w:r>
              <w:rPr>
                <w:rFonts w:cstheme="minorHAnsi"/>
              </w:rPr>
              <w:t>.11 (.57)</w:t>
            </w:r>
          </w:p>
        </w:tc>
        <w:tc>
          <w:tcPr>
            <w:tcW w:w="1137" w:type="dxa"/>
            <w:tcBorders>
              <w:bottom w:val="single" w:sz="12" w:space="0" w:color="auto"/>
            </w:tcBorders>
          </w:tcPr>
          <w:p w14:paraId="3A3A2EF4" w14:textId="686080A8" w:rsidR="00442F85" w:rsidRDefault="00D41E4C" w:rsidP="008A22C0">
            <w:pPr>
              <w:rPr>
                <w:rFonts w:cstheme="minorHAnsi"/>
              </w:rPr>
            </w:pPr>
            <w:r>
              <w:rPr>
                <w:rFonts w:cstheme="minorHAnsi"/>
              </w:rPr>
              <w:t>.13 (.64)</w:t>
            </w:r>
          </w:p>
        </w:tc>
        <w:tc>
          <w:tcPr>
            <w:tcW w:w="1429" w:type="dxa"/>
            <w:tcBorders>
              <w:bottom w:val="single" w:sz="12" w:space="0" w:color="auto"/>
            </w:tcBorders>
          </w:tcPr>
          <w:p w14:paraId="3A5C7DC2" w14:textId="623C313F" w:rsidR="00442F85" w:rsidRDefault="00442F85" w:rsidP="008A22C0">
            <w:pPr>
              <w:rPr>
                <w:rFonts w:cstheme="minorHAnsi"/>
              </w:rPr>
            </w:pPr>
            <w:r>
              <w:rPr>
                <w:rFonts w:cstheme="minorHAnsi"/>
              </w:rPr>
              <w:t>.23 (.52)</w:t>
            </w:r>
          </w:p>
        </w:tc>
        <w:tc>
          <w:tcPr>
            <w:tcW w:w="1386" w:type="dxa"/>
            <w:tcBorders>
              <w:bottom w:val="single" w:sz="12" w:space="0" w:color="auto"/>
            </w:tcBorders>
          </w:tcPr>
          <w:p w14:paraId="09514C54" w14:textId="77777777" w:rsidR="00442F85" w:rsidRPr="00780961" w:rsidRDefault="00442F85" w:rsidP="008A22C0">
            <w:pPr>
              <w:rPr>
                <w:rFonts w:cstheme="minorHAnsi"/>
              </w:rPr>
            </w:pPr>
            <w:r>
              <w:rPr>
                <w:rFonts w:cstheme="minorHAnsi"/>
              </w:rPr>
              <w:t>.17 (.40)</w:t>
            </w:r>
          </w:p>
        </w:tc>
        <w:tc>
          <w:tcPr>
            <w:tcW w:w="1185" w:type="dxa"/>
            <w:tcBorders>
              <w:bottom w:val="single" w:sz="12" w:space="0" w:color="auto"/>
            </w:tcBorders>
          </w:tcPr>
          <w:p w14:paraId="0EE9E59F" w14:textId="0587A841" w:rsidR="00442F85" w:rsidRDefault="00442F85" w:rsidP="008A22C0">
            <w:pPr>
              <w:rPr>
                <w:rFonts w:cstheme="minorHAnsi"/>
              </w:rPr>
            </w:pPr>
            <w:r>
              <w:rPr>
                <w:rFonts w:cstheme="minorHAnsi"/>
              </w:rPr>
              <w:t xml:space="preserve">-0.22        </w:t>
            </w:r>
            <w:r w:rsidR="000D6231">
              <w:rPr>
                <w:rFonts w:cstheme="minorHAnsi"/>
              </w:rPr>
              <w:t xml:space="preserve">  </w:t>
            </w:r>
            <w:r>
              <w:rPr>
                <w:rFonts w:cstheme="minorHAnsi"/>
              </w:rPr>
              <w:t xml:space="preserve"> (-0.</w:t>
            </w:r>
            <w:r w:rsidR="0068660C">
              <w:rPr>
                <w:rFonts w:cstheme="minorHAnsi"/>
              </w:rPr>
              <w:t>50</w:t>
            </w:r>
            <w:r>
              <w:rPr>
                <w:rFonts w:cstheme="minorHAnsi"/>
              </w:rPr>
              <w:t>,0.</w:t>
            </w:r>
            <w:r w:rsidR="0068660C">
              <w:rPr>
                <w:rFonts w:cstheme="minorHAnsi"/>
              </w:rPr>
              <w:t>06</w:t>
            </w:r>
            <w:r>
              <w:rPr>
                <w:rFonts w:cstheme="minorHAnsi"/>
              </w:rPr>
              <w:t xml:space="preserve">) </w:t>
            </w:r>
          </w:p>
          <w:p w14:paraId="3E1AB398" w14:textId="77777777" w:rsidR="00442F85" w:rsidRDefault="00442F85" w:rsidP="008A22C0">
            <w:pPr>
              <w:spacing w:line="480" w:lineRule="auto"/>
              <w:rPr>
                <w:rFonts w:cstheme="minorHAnsi"/>
              </w:rPr>
            </w:pPr>
          </w:p>
        </w:tc>
        <w:tc>
          <w:tcPr>
            <w:tcW w:w="1118" w:type="dxa"/>
            <w:tcBorders>
              <w:bottom w:val="single" w:sz="12" w:space="0" w:color="auto"/>
            </w:tcBorders>
          </w:tcPr>
          <w:p w14:paraId="216895DA" w14:textId="22EC4B0D" w:rsidR="00442F85" w:rsidRDefault="00442F85" w:rsidP="008A22C0">
            <w:pPr>
              <w:spacing w:line="480" w:lineRule="auto"/>
              <w:rPr>
                <w:rFonts w:cstheme="minorHAnsi"/>
              </w:rPr>
            </w:pPr>
            <w:r>
              <w:rPr>
                <w:rFonts w:cstheme="minorHAnsi"/>
              </w:rPr>
              <w:t>0.13 (</w:t>
            </w:r>
            <w:r w:rsidR="000D6231">
              <w:rPr>
                <w:rFonts w:cstheme="minorHAnsi"/>
              </w:rPr>
              <w:t>-0.63,0.88</w:t>
            </w:r>
            <w:r>
              <w:rPr>
                <w:rFonts w:cstheme="minorHAnsi"/>
              </w:rPr>
              <w:t>)</w:t>
            </w:r>
          </w:p>
        </w:tc>
      </w:tr>
    </w:tbl>
    <w:p w14:paraId="566E1038" w14:textId="77777777" w:rsidR="00F11566" w:rsidRDefault="00F11566" w:rsidP="00F11566">
      <w:pPr>
        <w:spacing w:line="480" w:lineRule="auto"/>
        <w:rPr>
          <w:rFonts w:cstheme="minorHAnsi"/>
        </w:rPr>
      </w:pPr>
    </w:p>
    <w:p w14:paraId="57711A9F" w14:textId="77777777" w:rsidR="00F11566" w:rsidRDefault="00F11566" w:rsidP="00F11566">
      <w:pPr>
        <w:widowControl w:val="0"/>
        <w:spacing w:after="0" w:line="480" w:lineRule="auto"/>
        <w:ind w:left="709" w:hanging="709"/>
        <w:rPr>
          <w:rFonts w:cstheme="minorHAnsi"/>
          <w:sz w:val="24"/>
          <w:szCs w:val="24"/>
        </w:rPr>
      </w:pPr>
    </w:p>
    <w:p w14:paraId="1E1D5F5A" w14:textId="77777777" w:rsidR="00F11566" w:rsidRPr="001A3B33" w:rsidRDefault="00F11566" w:rsidP="001A3B33">
      <w:pPr>
        <w:widowControl w:val="0"/>
        <w:spacing w:after="0" w:line="480" w:lineRule="auto"/>
        <w:ind w:left="709" w:hanging="709"/>
        <w:rPr>
          <w:rFonts w:cstheme="minorHAnsi"/>
          <w:b/>
          <w:sz w:val="24"/>
          <w:szCs w:val="24"/>
        </w:rPr>
      </w:pPr>
    </w:p>
    <w:sectPr w:rsidR="00F11566" w:rsidRPr="001A3B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E8D6" w14:textId="77777777" w:rsidR="00145B39" w:rsidRDefault="00145B39" w:rsidP="00672D4A">
      <w:pPr>
        <w:spacing w:after="0" w:line="240" w:lineRule="auto"/>
      </w:pPr>
      <w:r>
        <w:separator/>
      </w:r>
    </w:p>
  </w:endnote>
  <w:endnote w:type="continuationSeparator" w:id="0">
    <w:p w14:paraId="5176AFD9" w14:textId="77777777" w:rsidR="00145B39" w:rsidRDefault="00145B39" w:rsidP="0067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849267"/>
      <w:docPartObj>
        <w:docPartGallery w:val="Page Numbers (Bottom of Page)"/>
        <w:docPartUnique/>
      </w:docPartObj>
    </w:sdtPr>
    <w:sdtEndPr>
      <w:rPr>
        <w:noProof/>
      </w:rPr>
    </w:sdtEndPr>
    <w:sdtContent>
      <w:p w14:paraId="60DEC360" w14:textId="5845E840" w:rsidR="00C77758" w:rsidRDefault="00C77758">
        <w:pPr>
          <w:pStyle w:val="Footer"/>
          <w:jc w:val="center"/>
        </w:pPr>
        <w:r>
          <w:fldChar w:fldCharType="begin"/>
        </w:r>
        <w:r>
          <w:instrText xml:space="preserve"> PAGE   \* MERGEFORMAT </w:instrText>
        </w:r>
        <w:r>
          <w:fldChar w:fldCharType="separate"/>
        </w:r>
        <w:r w:rsidR="0063180F">
          <w:rPr>
            <w:noProof/>
          </w:rPr>
          <w:t>2</w:t>
        </w:r>
        <w:r>
          <w:rPr>
            <w:noProof/>
          </w:rPr>
          <w:fldChar w:fldCharType="end"/>
        </w:r>
      </w:p>
    </w:sdtContent>
  </w:sdt>
  <w:p w14:paraId="57A64D92" w14:textId="77777777" w:rsidR="00672D4A" w:rsidRDefault="00672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2331" w14:textId="77777777" w:rsidR="00145B39" w:rsidRDefault="00145B39" w:rsidP="00672D4A">
      <w:pPr>
        <w:spacing w:after="0" w:line="240" w:lineRule="auto"/>
      </w:pPr>
      <w:r>
        <w:separator/>
      </w:r>
    </w:p>
  </w:footnote>
  <w:footnote w:type="continuationSeparator" w:id="0">
    <w:p w14:paraId="183B25B3" w14:textId="77777777" w:rsidR="00145B39" w:rsidRDefault="00145B39" w:rsidP="00672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9B8"/>
    <w:multiLevelType w:val="hybridMultilevel"/>
    <w:tmpl w:val="9A50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B0607"/>
    <w:multiLevelType w:val="hybridMultilevel"/>
    <w:tmpl w:val="184EC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A78EB"/>
    <w:multiLevelType w:val="hybridMultilevel"/>
    <w:tmpl w:val="9A38F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96BC6"/>
    <w:multiLevelType w:val="hybridMultilevel"/>
    <w:tmpl w:val="7116D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C6E33"/>
    <w:multiLevelType w:val="multilevel"/>
    <w:tmpl w:val="E1ECD9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865E3F"/>
    <w:multiLevelType w:val="hybridMultilevel"/>
    <w:tmpl w:val="BF0E1F72"/>
    <w:lvl w:ilvl="0" w:tplc="6BA03C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6F6222"/>
    <w:multiLevelType w:val="hybridMultilevel"/>
    <w:tmpl w:val="0942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E0A4E"/>
    <w:multiLevelType w:val="multilevel"/>
    <w:tmpl w:val="D47AC7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02056CE"/>
    <w:multiLevelType w:val="hybridMultilevel"/>
    <w:tmpl w:val="B91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90B30"/>
    <w:multiLevelType w:val="hybridMultilevel"/>
    <w:tmpl w:val="D0862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1283377">
    <w:abstractNumId w:val="0"/>
  </w:num>
  <w:num w:numId="2" w16cid:durableId="268589991">
    <w:abstractNumId w:val="1"/>
  </w:num>
  <w:num w:numId="3" w16cid:durableId="916093955">
    <w:abstractNumId w:val="5"/>
  </w:num>
  <w:num w:numId="4" w16cid:durableId="1562713328">
    <w:abstractNumId w:val="8"/>
  </w:num>
  <w:num w:numId="5" w16cid:durableId="899101448">
    <w:abstractNumId w:val="3"/>
  </w:num>
  <w:num w:numId="6" w16cid:durableId="68117966">
    <w:abstractNumId w:val="6"/>
  </w:num>
  <w:num w:numId="7" w16cid:durableId="494340575">
    <w:abstractNumId w:val="2"/>
  </w:num>
  <w:num w:numId="8" w16cid:durableId="1879731432">
    <w:abstractNumId w:val="9"/>
  </w:num>
  <w:num w:numId="9" w16cid:durableId="1697463130">
    <w:abstractNumId w:val="7"/>
  </w:num>
  <w:num w:numId="10" w16cid:durableId="921451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BE"/>
    <w:rsid w:val="00003B90"/>
    <w:rsid w:val="00013E9E"/>
    <w:rsid w:val="00015056"/>
    <w:rsid w:val="00016096"/>
    <w:rsid w:val="00017A49"/>
    <w:rsid w:val="00022375"/>
    <w:rsid w:val="000241C9"/>
    <w:rsid w:val="000259EA"/>
    <w:rsid w:val="00025D5D"/>
    <w:rsid w:val="000272D8"/>
    <w:rsid w:val="000308E5"/>
    <w:rsid w:val="00031E87"/>
    <w:rsid w:val="00033F6D"/>
    <w:rsid w:val="000348A6"/>
    <w:rsid w:val="00036CE4"/>
    <w:rsid w:val="00044D6A"/>
    <w:rsid w:val="00045BF4"/>
    <w:rsid w:val="000460C6"/>
    <w:rsid w:val="00047563"/>
    <w:rsid w:val="00047847"/>
    <w:rsid w:val="000550E5"/>
    <w:rsid w:val="000561E9"/>
    <w:rsid w:val="000570D2"/>
    <w:rsid w:val="000574B8"/>
    <w:rsid w:val="00057DEC"/>
    <w:rsid w:val="00061383"/>
    <w:rsid w:val="000625E5"/>
    <w:rsid w:val="00065A0E"/>
    <w:rsid w:val="00065BC6"/>
    <w:rsid w:val="0006796C"/>
    <w:rsid w:val="000715B2"/>
    <w:rsid w:val="00073114"/>
    <w:rsid w:val="00073351"/>
    <w:rsid w:val="0007405B"/>
    <w:rsid w:val="00074EDD"/>
    <w:rsid w:val="00077D39"/>
    <w:rsid w:val="00082414"/>
    <w:rsid w:val="0008758F"/>
    <w:rsid w:val="00090CD4"/>
    <w:rsid w:val="00090EFA"/>
    <w:rsid w:val="000916F5"/>
    <w:rsid w:val="00095E72"/>
    <w:rsid w:val="000973BE"/>
    <w:rsid w:val="000A1976"/>
    <w:rsid w:val="000A1D7A"/>
    <w:rsid w:val="000A2D83"/>
    <w:rsid w:val="000A5A01"/>
    <w:rsid w:val="000A73E2"/>
    <w:rsid w:val="000B249C"/>
    <w:rsid w:val="000B2609"/>
    <w:rsid w:val="000C1370"/>
    <w:rsid w:val="000C44B2"/>
    <w:rsid w:val="000C4562"/>
    <w:rsid w:val="000C485D"/>
    <w:rsid w:val="000C711D"/>
    <w:rsid w:val="000D2E47"/>
    <w:rsid w:val="000D34BE"/>
    <w:rsid w:val="000D57E4"/>
    <w:rsid w:val="000D5D46"/>
    <w:rsid w:val="000D6231"/>
    <w:rsid w:val="000D7961"/>
    <w:rsid w:val="000E13D4"/>
    <w:rsid w:val="000E1CF2"/>
    <w:rsid w:val="000E3C5A"/>
    <w:rsid w:val="000E466F"/>
    <w:rsid w:val="000E4C71"/>
    <w:rsid w:val="000F58CA"/>
    <w:rsid w:val="00101BD0"/>
    <w:rsid w:val="00105D85"/>
    <w:rsid w:val="00116F3D"/>
    <w:rsid w:val="00117EC3"/>
    <w:rsid w:val="00122CC4"/>
    <w:rsid w:val="00122FD5"/>
    <w:rsid w:val="0012351E"/>
    <w:rsid w:val="001312B6"/>
    <w:rsid w:val="00132C0A"/>
    <w:rsid w:val="00135114"/>
    <w:rsid w:val="001372BA"/>
    <w:rsid w:val="001401EC"/>
    <w:rsid w:val="00140EB7"/>
    <w:rsid w:val="0014258C"/>
    <w:rsid w:val="00143BFE"/>
    <w:rsid w:val="00143D22"/>
    <w:rsid w:val="00145B39"/>
    <w:rsid w:val="0014655A"/>
    <w:rsid w:val="00147542"/>
    <w:rsid w:val="001476B2"/>
    <w:rsid w:val="00151231"/>
    <w:rsid w:val="00151F73"/>
    <w:rsid w:val="00153D4E"/>
    <w:rsid w:val="00155380"/>
    <w:rsid w:val="00160778"/>
    <w:rsid w:val="0016663C"/>
    <w:rsid w:val="00170E8C"/>
    <w:rsid w:val="001737E9"/>
    <w:rsid w:val="001747C1"/>
    <w:rsid w:val="001751E4"/>
    <w:rsid w:val="00175DD7"/>
    <w:rsid w:val="001840A8"/>
    <w:rsid w:val="001861D7"/>
    <w:rsid w:val="001876F5"/>
    <w:rsid w:val="00187916"/>
    <w:rsid w:val="0019658F"/>
    <w:rsid w:val="001A3B33"/>
    <w:rsid w:val="001A42AB"/>
    <w:rsid w:val="001A4D79"/>
    <w:rsid w:val="001A52D7"/>
    <w:rsid w:val="001B130F"/>
    <w:rsid w:val="001B1D50"/>
    <w:rsid w:val="001B2988"/>
    <w:rsid w:val="001B6CD8"/>
    <w:rsid w:val="001B6E90"/>
    <w:rsid w:val="001C2762"/>
    <w:rsid w:val="001C6544"/>
    <w:rsid w:val="001C7DFC"/>
    <w:rsid w:val="001D0A7A"/>
    <w:rsid w:val="001D1963"/>
    <w:rsid w:val="001D49BF"/>
    <w:rsid w:val="001D52A2"/>
    <w:rsid w:val="001D74F4"/>
    <w:rsid w:val="001D7701"/>
    <w:rsid w:val="001D7B67"/>
    <w:rsid w:val="001E1EA7"/>
    <w:rsid w:val="001E27A9"/>
    <w:rsid w:val="001E3868"/>
    <w:rsid w:val="001E6E8C"/>
    <w:rsid w:val="001F0AC4"/>
    <w:rsid w:val="001F0CFB"/>
    <w:rsid w:val="001F3D94"/>
    <w:rsid w:val="001F7635"/>
    <w:rsid w:val="00200677"/>
    <w:rsid w:val="00201404"/>
    <w:rsid w:val="00204414"/>
    <w:rsid w:val="00206A36"/>
    <w:rsid w:val="0021390B"/>
    <w:rsid w:val="00220118"/>
    <w:rsid w:val="0022269E"/>
    <w:rsid w:val="002305EE"/>
    <w:rsid w:val="0023126F"/>
    <w:rsid w:val="00231DA5"/>
    <w:rsid w:val="0023259A"/>
    <w:rsid w:val="002340C5"/>
    <w:rsid w:val="0023470C"/>
    <w:rsid w:val="002406F8"/>
    <w:rsid w:val="00241275"/>
    <w:rsid w:val="00246072"/>
    <w:rsid w:val="002505E0"/>
    <w:rsid w:val="0026453D"/>
    <w:rsid w:val="00264557"/>
    <w:rsid w:val="00267AAD"/>
    <w:rsid w:val="0027109B"/>
    <w:rsid w:val="00271527"/>
    <w:rsid w:val="00276AE2"/>
    <w:rsid w:val="002803F4"/>
    <w:rsid w:val="0028158F"/>
    <w:rsid w:val="00281877"/>
    <w:rsid w:val="00290FF7"/>
    <w:rsid w:val="00293D4D"/>
    <w:rsid w:val="002A09BD"/>
    <w:rsid w:val="002A6511"/>
    <w:rsid w:val="002B0658"/>
    <w:rsid w:val="002C0D35"/>
    <w:rsid w:val="002C3476"/>
    <w:rsid w:val="002C460C"/>
    <w:rsid w:val="002C55BA"/>
    <w:rsid w:val="002C5D5E"/>
    <w:rsid w:val="002C71F4"/>
    <w:rsid w:val="002D1635"/>
    <w:rsid w:val="002D194A"/>
    <w:rsid w:val="002D31B3"/>
    <w:rsid w:val="002D3689"/>
    <w:rsid w:val="002E55D8"/>
    <w:rsid w:val="002E574A"/>
    <w:rsid w:val="002F457C"/>
    <w:rsid w:val="002F79E0"/>
    <w:rsid w:val="00301453"/>
    <w:rsid w:val="0030149B"/>
    <w:rsid w:val="003039A0"/>
    <w:rsid w:val="00310F1A"/>
    <w:rsid w:val="00311458"/>
    <w:rsid w:val="00311988"/>
    <w:rsid w:val="00312325"/>
    <w:rsid w:val="003132A1"/>
    <w:rsid w:val="00320086"/>
    <w:rsid w:val="003221BA"/>
    <w:rsid w:val="00322808"/>
    <w:rsid w:val="0033166F"/>
    <w:rsid w:val="00333F26"/>
    <w:rsid w:val="00337DC0"/>
    <w:rsid w:val="003557BC"/>
    <w:rsid w:val="00355FC9"/>
    <w:rsid w:val="0035653F"/>
    <w:rsid w:val="003568CC"/>
    <w:rsid w:val="00356EAC"/>
    <w:rsid w:val="00357D3A"/>
    <w:rsid w:val="00357ED5"/>
    <w:rsid w:val="00361D5C"/>
    <w:rsid w:val="00362393"/>
    <w:rsid w:val="00364CF2"/>
    <w:rsid w:val="0036508C"/>
    <w:rsid w:val="00365E56"/>
    <w:rsid w:val="00367255"/>
    <w:rsid w:val="00372208"/>
    <w:rsid w:val="00373B26"/>
    <w:rsid w:val="00380B9C"/>
    <w:rsid w:val="00380C2E"/>
    <w:rsid w:val="00384EE1"/>
    <w:rsid w:val="003859AE"/>
    <w:rsid w:val="00387A01"/>
    <w:rsid w:val="00390E4F"/>
    <w:rsid w:val="00394567"/>
    <w:rsid w:val="00395336"/>
    <w:rsid w:val="003955CD"/>
    <w:rsid w:val="00396FFF"/>
    <w:rsid w:val="003A0E9A"/>
    <w:rsid w:val="003B082E"/>
    <w:rsid w:val="003B08A0"/>
    <w:rsid w:val="003B5717"/>
    <w:rsid w:val="003B768C"/>
    <w:rsid w:val="003B78E4"/>
    <w:rsid w:val="003C28F4"/>
    <w:rsid w:val="003C375F"/>
    <w:rsid w:val="003C3D9C"/>
    <w:rsid w:val="003C4C94"/>
    <w:rsid w:val="003C4D78"/>
    <w:rsid w:val="003C5D5C"/>
    <w:rsid w:val="003C61B0"/>
    <w:rsid w:val="003C62B9"/>
    <w:rsid w:val="003C7D19"/>
    <w:rsid w:val="003C7FD8"/>
    <w:rsid w:val="003D0934"/>
    <w:rsid w:val="003D2818"/>
    <w:rsid w:val="003D6C05"/>
    <w:rsid w:val="003E0563"/>
    <w:rsid w:val="003E06A9"/>
    <w:rsid w:val="003E1A10"/>
    <w:rsid w:val="003E23D0"/>
    <w:rsid w:val="003E2508"/>
    <w:rsid w:val="003E6044"/>
    <w:rsid w:val="003E64BD"/>
    <w:rsid w:val="003E7E35"/>
    <w:rsid w:val="003F053C"/>
    <w:rsid w:val="003F130C"/>
    <w:rsid w:val="003F13DE"/>
    <w:rsid w:val="003F39CF"/>
    <w:rsid w:val="003F79B8"/>
    <w:rsid w:val="00400BC9"/>
    <w:rsid w:val="00403D54"/>
    <w:rsid w:val="00404A75"/>
    <w:rsid w:val="00410DB1"/>
    <w:rsid w:val="00412581"/>
    <w:rsid w:val="00412B27"/>
    <w:rsid w:val="00412E84"/>
    <w:rsid w:val="0041413B"/>
    <w:rsid w:val="00414881"/>
    <w:rsid w:val="00415429"/>
    <w:rsid w:val="00421A54"/>
    <w:rsid w:val="00425F38"/>
    <w:rsid w:val="004303B1"/>
    <w:rsid w:val="00430FB0"/>
    <w:rsid w:val="004353A4"/>
    <w:rsid w:val="00435AC0"/>
    <w:rsid w:val="00435F4E"/>
    <w:rsid w:val="00442139"/>
    <w:rsid w:val="00442F85"/>
    <w:rsid w:val="00444362"/>
    <w:rsid w:val="00444E49"/>
    <w:rsid w:val="00450B7D"/>
    <w:rsid w:val="00451556"/>
    <w:rsid w:val="00451F87"/>
    <w:rsid w:val="004538A8"/>
    <w:rsid w:val="00455FD2"/>
    <w:rsid w:val="00456F30"/>
    <w:rsid w:val="0045703E"/>
    <w:rsid w:val="0046360C"/>
    <w:rsid w:val="00463F75"/>
    <w:rsid w:val="004676CE"/>
    <w:rsid w:val="00470194"/>
    <w:rsid w:val="004715AC"/>
    <w:rsid w:val="00472879"/>
    <w:rsid w:val="004804D9"/>
    <w:rsid w:val="00485509"/>
    <w:rsid w:val="00485D83"/>
    <w:rsid w:val="004864EE"/>
    <w:rsid w:val="00490CB7"/>
    <w:rsid w:val="0049108E"/>
    <w:rsid w:val="00491804"/>
    <w:rsid w:val="00492287"/>
    <w:rsid w:val="00492435"/>
    <w:rsid w:val="00492B05"/>
    <w:rsid w:val="00493456"/>
    <w:rsid w:val="00493DDE"/>
    <w:rsid w:val="00495D9F"/>
    <w:rsid w:val="00497761"/>
    <w:rsid w:val="004A1BF5"/>
    <w:rsid w:val="004A2AC7"/>
    <w:rsid w:val="004A3B97"/>
    <w:rsid w:val="004A4150"/>
    <w:rsid w:val="004A5D54"/>
    <w:rsid w:val="004A79CE"/>
    <w:rsid w:val="004B06D1"/>
    <w:rsid w:val="004B5AFE"/>
    <w:rsid w:val="004B6ADB"/>
    <w:rsid w:val="004B754B"/>
    <w:rsid w:val="004B7B3D"/>
    <w:rsid w:val="004C26AE"/>
    <w:rsid w:val="004C4C15"/>
    <w:rsid w:val="004C6127"/>
    <w:rsid w:val="004C6D39"/>
    <w:rsid w:val="004C7C1B"/>
    <w:rsid w:val="004D02D4"/>
    <w:rsid w:val="004D3B17"/>
    <w:rsid w:val="004D5DE3"/>
    <w:rsid w:val="004D6C1E"/>
    <w:rsid w:val="004D7AA0"/>
    <w:rsid w:val="004E4148"/>
    <w:rsid w:val="004F4FA7"/>
    <w:rsid w:val="004F7A67"/>
    <w:rsid w:val="00504C00"/>
    <w:rsid w:val="00504E8B"/>
    <w:rsid w:val="005055F9"/>
    <w:rsid w:val="005075BE"/>
    <w:rsid w:val="00510084"/>
    <w:rsid w:val="00514056"/>
    <w:rsid w:val="0052103C"/>
    <w:rsid w:val="00522872"/>
    <w:rsid w:val="005249B7"/>
    <w:rsid w:val="00525DBA"/>
    <w:rsid w:val="0053288D"/>
    <w:rsid w:val="00533811"/>
    <w:rsid w:val="00533E7E"/>
    <w:rsid w:val="00534159"/>
    <w:rsid w:val="0053419A"/>
    <w:rsid w:val="00536353"/>
    <w:rsid w:val="00536A4E"/>
    <w:rsid w:val="00537C98"/>
    <w:rsid w:val="005427C2"/>
    <w:rsid w:val="0054366D"/>
    <w:rsid w:val="00544CBC"/>
    <w:rsid w:val="00545945"/>
    <w:rsid w:val="00547A85"/>
    <w:rsid w:val="005538FF"/>
    <w:rsid w:val="00555065"/>
    <w:rsid w:val="005558B7"/>
    <w:rsid w:val="0055729F"/>
    <w:rsid w:val="005574D7"/>
    <w:rsid w:val="00565812"/>
    <w:rsid w:val="005670D1"/>
    <w:rsid w:val="005734DA"/>
    <w:rsid w:val="00576731"/>
    <w:rsid w:val="005813AE"/>
    <w:rsid w:val="00581BBD"/>
    <w:rsid w:val="005837B1"/>
    <w:rsid w:val="00584AD0"/>
    <w:rsid w:val="005853FD"/>
    <w:rsid w:val="00585F8E"/>
    <w:rsid w:val="00585FAF"/>
    <w:rsid w:val="0059253A"/>
    <w:rsid w:val="00593277"/>
    <w:rsid w:val="00593E47"/>
    <w:rsid w:val="00595061"/>
    <w:rsid w:val="0059778A"/>
    <w:rsid w:val="005A0910"/>
    <w:rsid w:val="005A18CE"/>
    <w:rsid w:val="005A23BE"/>
    <w:rsid w:val="005A2A85"/>
    <w:rsid w:val="005A5B30"/>
    <w:rsid w:val="005A65A8"/>
    <w:rsid w:val="005B1E8A"/>
    <w:rsid w:val="005B7189"/>
    <w:rsid w:val="005C4613"/>
    <w:rsid w:val="005C5141"/>
    <w:rsid w:val="005C63E2"/>
    <w:rsid w:val="005C648F"/>
    <w:rsid w:val="005D0BDF"/>
    <w:rsid w:val="005D1E79"/>
    <w:rsid w:val="005D4DB0"/>
    <w:rsid w:val="005E060F"/>
    <w:rsid w:val="005E3634"/>
    <w:rsid w:val="005E6EF4"/>
    <w:rsid w:val="005E6F49"/>
    <w:rsid w:val="005E6FFE"/>
    <w:rsid w:val="005F7E95"/>
    <w:rsid w:val="006007A3"/>
    <w:rsid w:val="00600AB4"/>
    <w:rsid w:val="00601807"/>
    <w:rsid w:val="00603470"/>
    <w:rsid w:val="006121C5"/>
    <w:rsid w:val="006157E3"/>
    <w:rsid w:val="00616E7B"/>
    <w:rsid w:val="006206AD"/>
    <w:rsid w:val="00621225"/>
    <w:rsid w:val="0062133C"/>
    <w:rsid w:val="006223AC"/>
    <w:rsid w:val="00623827"/>
    <w:rsid w:val="00624EF5"/>
    <w:rsid w:val="00625F55"/>
    <w:rsid w:val="00627CE1"/>
    <w:rsid w:val="0063180F"/>
    <w:rsid w:val="00631A1E"/>
    <w:rsid w:val="00636092"/>
    <w:rsid w:val="006400F1"/>
    <w:rsid w:val="00643A56"/>
    <w:rsid w:val="00645269"/>
    <w:rsid w:val="006453A1"/>
    <w:rsid w:val="00645958"/>
    <w:rsid w:val="00645BC8"/>
    <w:rsid w:val="00646094"/>
    <w:rsid w:val="00647425"/>
    <w:rsid w:val="00651266"/>
    <w:rsid w:val="006558D4"/>
    <w:rsid w:val="00660B67"/>
    <w:rsid w:val="00661CD3"/>
    <w:rsid w:val="00662BCF"/>
    <w:rsid w:val="00663925"/>
    <w:rsid w:val="006641E8"/>
    <w:rsid w:val="006642A9"/>
    <w:rsid w:val="006663B1"/>
    <w:rsid w:val="006714F2"/>
    <w:rsid w:val="00672D4A"/>
    <w:rsid w:val="0067573E"/>
    <w:rsid w:val="00677364"/>
    <w:rsid w:val="006813FE"/>
    <w:rsid w:val="006857FF"/>
    <w:rsid w:val="00685E73"/>
    <w:rsid w:val="00685EE2"/>
    <w:rsid w:val="0068660C"/>
    <w:rsid w:val="00695B21"/>
    <w:rsid w:val="00696BD4"/>
    <w:rsid w:val="006A0B8A"/>
    <w:rsid w:val="006A10D9"/>
    <w:rsid w:val="006A11E7"/>
    <w:rsid w:val="006A1E16"/>
    <w:rsid w:val="006A3D20"/>
    <w:rsid w:val="006A3DAC"/>
    <w:rsid w:val="006A6CDD"/>
    <w:rsid w:val="006B0C7E"/>
    <w:rsid w:val="006B334F"/>
    <w:rsid w:val="006B6BBD"/>
    <w:rsid w:val="006C11BD"/>
    <w:rsid w:val="006C2673"/>
    <w:rsid w:val="006C4366"/>
    <w:rsid w:val="006C5FBA"/>
    <w:rsid w:val="006D1B5A"/>
    <w:rsid w:val="006D3E96"/>
    <w:rsid w:val="006D6BE2"/>
    <w:rsid w:val="006E481F"/>
    <w:rsid w:val="006F016B"/>
    <w:rsid w:val="006F2261"/>
    <w:rsid w:val="006F39C4"/>
    <w:rsid w:val="006F54FD"/>
    <w:rsid w:val="006F76F0"/>
    <w:rsid w:val="00701B0F"/>
    <w:rsid w:val="0070489C"/>
    <w:rsid w:val="007050B6"/>
    <w:rsid w:val="00707144"/>
    <w:rsid w:val="00714D33"/>
    <w:rsid w:val="00732017"/>
    <w:rsid w:val="0073228A"/>
    <w:rsid w:val="00736D87"/>
    <w:rsid w:val="00737E37"/>
    <w:rsid w:val="007405E5"/>
    <w:rsid w:val="00740C62"/>
    <w:rsid w:val="0074243A"/>
    <w:rsid w:val="0074271B"/>
    <w:rsid w:val="00742AC9"/>
    <w:rsid w:val="00743F93"/>
    <w:rsid w:val="0074564B"/>
    <w:rsid w:val="007502CF"/>
    <w:rsid w:val="00751E61"/>
    <w:rsid w:val="00753B08"/>
    <w:rsid w:val="007544B0"/>
    <w:rsid w:val="00761ED5"/>
    <w:rsid w:val="007623C0"/>
    <w:rsid w:val="00767F26"/>
    <w:rsid w:val="007704E5"/>
    <w:rsid w:val="00773877"/>
    <w:rsid w:val="0077484B"/>
    <w:rsid w:val="00777B3E"/>
    <w:rsid w:val="00780961"/>
    <w:rsid w:val="007839AB"/>
    <w:rsid w:val="00783C9B"/>
    <w:rsid w:val="00783D33"/>
    <w:rsid w:val="00785AAB"/>
    <w:rsid w:val="00785AEF"/>
    <w:rsid w:val="00787789"/>
    <w:rsid w:val="007905B7"/>
    <w:rsid w:val="00792B83"/>
    <w:rsid w:val="00796F29"/>
    <w:rsid w:val="007A1ECF"/>
    <w:rsid w:val="007A4677"/>
    <w:rsid w:val="007A4C61"/>
    <w:rsid w:val="007A5149"/>
    <w:rsid w:val="007A53A4"/>
    <w:rsid w:val="007A597C"/>
    <w:rsid w:val="007B3911"/>
    <w:rsid w:val="007B619B"/>
    <w:rsid w:val="007B6DCB"/>
    <w:rsid w:val="007C1225"/>
    <w:rsid w:val="007C16C0"/>
    <w:rsid w:val="007C3376"/>
    <w:rsid w:val="007C4535"/>
    <w:rsid w:val="007C6A06"/>
    <w:rsid w:val="007D0C6A"/>
    <w:rsid w:val="007D1249"/>
    <w:rsid w:val="007D200F"/>
    <w:rsid w:val="007D2BD5"/>
    <w:rsid w:val="007D4192"/>
    <w:rsid w:val="007D4562"/>
    <w:rsid w:val="007D5FFC"/>
    <w:rsid w:val="007D6840"/>
    <w:rsid w:val="007D6FBB"/>
    <w:rsid w:val="007E0108"/>
    <w:rsid w:val="007E03D5"/>
    <w:rsid w:val="007E26A2"/>
    <w:rsid w:val="007E3A42"/>
    <w:rsid w:val="007E6693"/>
    <w:rsid w:val="007E791C"/>
    <w:rsid w:val="007F4A2F"/>
    <w:rsid w:val="007F4EBF"/>
    <w:rsid w:val="007F5117"/>
    <w:rsid w:val="007F5A91"/>
    <w:rsid w:val="0080014B"/>
    <w:rsid w:val="00801EE2"/>
    <w:rsid w:val="00802099"/>
    <w:rsid w:val="00805DEF"/>
    <w:rsid w:val="00807B16"/>
    <w:rsid w:val="00811F61"/>
    <w:rsid w:val="0081379E"/>
    <w:rsid w:val="008200C7"/>
    <w:rsid w:val="00820F4C"/>
    <w:rsid w:val="00821999"/>
    <w:rsid w:val="00822313"/>
    <w:rsid w:val="00823784"/>
    <w:rsid w:val="00826BEE"/>
    <w:rsid w:val="00827D74"/>
    <w:rsid w:val="00832431"/>
    <w:rsid w:val="00833F52"/>
    <w:rsid w:val="00833FC7"/>
    <w:rsid w:val="00834D89"/>
    <w:rsid w:val="0084128B"/>
    <w:rsid w:val="00844035"/>
    <w:rsid w:val="008443C5"/>
    <w:rsid w:val="008448D7"/>
    <w:rsid w:val="0084558A"/>
    <w:rsid w:val="008466CF"/>
    <w:rsid w:val="008477EA"/>
    <w:rsid w:val="00851845"/>
    <w:rsid w:val="00860539"/>
    <w:rsid w:val="00861DAF"/>
    <w:rsid w:val="00862F18"/>
    <w:rsid w:val="00863855"/>
    <w:rsid w:val="00865447"/>
    <w:rsid w:val="00865D82"/>
    <w:rsid w:val="0086795D"/>
    <w:rsid w:val="0087137A"/>
    <w:rsid w:val="00875470"/>
    <w:rsid w:val="00880510"/>
    <w:rsid w:val="00880922"/>
    <w:rsid w:val="00880947"/>
    <w:rsid w:val="0088098D"/>
    <w:rsid w:val="00883C05"/>
    <w:rsid w:val="008840BC"/>
    <w:rsid w:val="00890FDD"/>
    <w:rsid w:val="00892CAB"/>
    <w:rsid w:val="00894C83"/>
    <w:rsid w:val="00897EAE"/>
    <w:rsid w:val="008A067A"/>
    <w:rsid w:val="008A0D0A"/>
    <w:rsid w:val="008A1426"/>
    <w:rsid w:val="008A6C9F"/>
    <w:rsid w:val="008B0FFF"/>
    <w:rsid w:val="008B1A2B"/>
    <w:rsid w:val="008B2BD2"/>
    <w:rsid w:val="008B4D89"/>
    <w:rsid w:val="008B57FD"/>
    <w:rsid w:val="008B6E35"/>
    <w:rsid w:val="008B7308"/>
    <w:rsid w:val="008C1C81"/>
    <w:rsid w:val="008C2BB5"/>
    <w:rsid w:val="008C533A"/>
    <w:rsid w:val="008D43BE"/>
    <w:rsid w:val="008D453D"/>
    <w:rsid w:val="008D53E1"/>
    <w:rsid w:val="008E1785"/>
    <w:rsid w:val="008E1AE8"/>
    <w:rsid w:val="008E2A99"/>
    <w:rsid w:val="008E2D74"/>
    <w:rsid w:val="008E43AF"/>
    <w:rsid w:val="008E5A51"/>
    <w:rsid w:val="008F1F70"/>
    <w:rsid w:val="008F25B2"/>
    <w:rsid w:val="008F3FE7"/>
    <w:rsid w:val="008F48FF"/>
    <w:rsid w:val="008F62D0"/>
    <w:rsid w:val="008F6D52"/>
    <w:rsid w:val="008F78B8"/>
    <w:rsid w:val="00903793"/>
    <w:rsid w:val="00904925"/>
    <w:rsid w:val="00905FEF"/>
    <w:rsid w:val="00906F78"/>
    <w:rsid w:val="00907074"/>
    <w:rsid w:val="0091113F"/>
    <w:rsid w:val="0091748E"/>
    <w:rsid w:val="0093216F"/>
    <w:rsid w:val="00936D80"/>
    <w:rsid w:val="0094177A"/>
    <w:rsid w:val="009449C4"/>
    <w:rsid w:val="0094505D"/>
    <w:rsid w:val="009458C5"/>
    <w:rsid w:val="00946D5D"/>
    <w:rsid w:val="00951FE0"/>
    <w:rsid w:val="0095249C"/>
    <w:rsid w:val="0095313C"/>
    <w:rsid w:val="009547F1"/>
    <w:rsid w:val="00955382"/>
    <w:rsid w:val="00955A59"/>
    <w:rsid w:val="00956BFE"/>
    <w:rsid w:val="00957F25"/>
    <w:rsid w:val="00964412"/>
    <w:rsid w:val="00964CB0"/>
    <w:rsid w:val="00964D1A"/>
    <w:rsid w:val="00972386"/>
    <w:rsid w:val="009752B8"/>
    <w:rsid w:val="0097559E"/>
    <w:rsid w:val="00976512"/>
    <w:rsid w:val="0097787E"/>
    <w:rsid w:val="00982A52"/>
    <w:rsid w:val="00990094"/>
    <w:rsid w:val="00991BAC"/>
    <w:rsid w:val="00992A09"/>
    <w:rsid w:val="00993FAB"/>
    <w:rsid w:val="00996F4E"/>
    <w:rsid w:val="009A1966"/>
    <w:rsid w:val="009A1D73"/>
    <w:rsid w:val="009A368E"/>
    <w:rsid w:val="009A7160"/>
    <w:rsid w:val="009B297C"/>
    <w:rsid w:val="009B3A5F"/>
    <w:rsid w:val="009B626D"/>
    <w:rsid w:val="009C07E0"/>
    <w:rsid w:val="009C07F9"/>
    <w:rsid w:val="009D0528"/>
    <w:rsid w:val="009D2D3C"/>
    <w:rsid w:val="009E57F3"/>
    <w:rsid w:val="009E5BAF"/>
    <w:rsid w:val="009F0DCD"/>
    <w:rsid w:val="009F362D"/>
    <w:rsid w:val="009F4224"/>
    <w:rsid w:val="009F4240"/>
    <w:rsid w:val="009F43EA"/>
    <w:rsid w:val="009F562D"/>
    <w:rsid w:val="009F5952"/>
    <w:rsid w:val="00A02F57"/>
    <w:rsid w:val="00A04475"/>
    <w:rsid w:val="00A073BE"/>
    <w:rsid w:val="00A17465"/>
    <w:rsid w:val="00A2220F"/>
    <w:rsid w:val="00A2274D"/>
    <w:rsid w:val="00A24B64"/>
    <w:rsid w:val="00A24DEC"/>
    <w:rsid w:val="00A26117"/>
    <w:rsid w:val="00A26C57"/>
    <w:rsid w:val="00A27292"/>
    <w:rsid w:val="00A27A6A"/>
    <w:rsid w:val="00A312E0"/>
    <w:rsid w:val="00A32EF1"/>
    <w:rsid w:val="00A40B43"/>
    <w:rsid w:val="00A40D20"/>
    <w:rsid w:val="00A41C6B"/>
    <w:rsid w:val="00A4241E"/>
    <w:rsid w:val="00A43202"/>
    <w:rsid w:val="00A548A5"/>
    <w:rsid w:val="00A56C8A"/>
    <w:rsid w:val="00A60527"/>
    <w:rsid w:val="00A62293"/>
    <w:rsid w:val="00A6370F"/>
    <w:rsid w:val="00A670B8"/>
    <w:rsid w:val="00A67A70"/>
    <w:rsid w:val="00A7261D"/>
    <w:rsid w:val="00A72DD4"/>
    <w:rsid w:val="00A767E3"/>
    <w:rsid w:val="00A8078B"/>
    <w:rsid w:val="00A82335"/>
    <w:rsid w:val="00A828B1"/>
    <w:rsid w:val="00A84635"/>
    <w:rsid w:val="00A85A03"/>
    <w:rsid w:val="00A91A35"/>
    <w:rsid w:val="00A92353"/>
    <w:rsid w:val="00A92FAE"/>
    <w:rsid w:val="00A93C8D"/>
    <w:rsid w:val="00A95697"/>
    <w:rsid w:val="00AA2D66"/>
    <w:rsid w:val="00AA5109"/>
    <w:rsid w:val="00AA790A"/>
    <w:rsid w:val="00AB1B9A"/>
    <w:rsid w:val="00AB3088"/>
    <w:rsid w:val="00AB44A2"/>
    <w:rsid w:val="00AB5072"/>
    <w:rsid w:val="00AB57CA"/>
    <w:rsid w:val="00AC3034"/>
    <w:rsid w:val="00AC34A7"/>
    <w:rsid w:val="00AC3B0D"/>
    <w:rsid w:val="00AC438B"/>
    <w:rsid w:val="00AC6C15"/>
    <w:rsid w:val="00AC6F50"/>
    <w:rsid w:val="00AC736E"/>
    <w:rsid w:val="00AD1693"/>
    <w:rsid w:val="00AD1B40"/>
    <w:rsid w:val="00AD1F0B"/>
    <w:rsid w:val="00AD4C18"/>
    <w:rsid w:val="00AE10F1"/>
    <w:rsid w:val="00AE4629"/>
    <w:rsid w:val="00AE5B29"/>
    <w:rsid w:val="00AE7254"/>
    <w:rsid w:val="00AF125F"/>
    <w:rsid w:val="00AF673F"/>
    <w:rsid w:val="00AF728B"/>
    <w:rsid w:val="00AF794F"/>
    <w:rsid w:val="00B01AE6"/>
    <w:rsid w:val="00B066B2"/>
    <w:rsid w:val="00B10F67"/>
    <w:rsid w:val="00B120FA"/>
    <w:rsid w:val="00B16791"/>
    <w:rsid w:val="00B201EA"/>
    <w:rsid w:val="00B21F4F"/>
    <w:rsid w:val="00B2228E"/>
    <w:rsid w:val="00B234A5"/>
    <w:rsid w:val="00B25FE9"/>
    <w:rsid w:val="00B27F85"/>
    <w:rsid w:val="00B3009D"/>
    <w:rsid w:val="00B33AE2"/>
    <w:rsid w:val="00B36C67"/>
    <w:rsid w:val="00B37886"/>
    <w:rsid w:val="00B37D2D"/>
    <w:rsid w:val="00B41C58"/>
    <w:rsid w:val="00B41E79"/>
    <w:rsid w:val="00B433AC"/>
    <w:rsid w:val="00B4457B"/>
    <w:rsid w:val="00B45CA2"/>
    <w:rsid w:val="00B5145F"/>
    <w:rsid w:val="00B5559F"/>
    <w:rsid w:val="00B64513"/>
    <w:rsid w:val="00B649D5"/>
    <w:rsid w:val="00B66585"/>
    <w:rsid w:val="00B7247A"/>
    <w:rsid w:val="00B73F3C"/>
    <w:rsid w:val="00B81BFA"/>
    <w:rsid w:val="00B8530C"/>
    <w:rsid w:val="00B86F7E"/>
    <w:rsid w:val="00B87EC1"/>
    <w:rsid w:val="00B9345E"/>
    <w:rsid w:val="00B93A6C"/>
    <w:rsid w:val="00B96376"/>
    <w:rsid w:val="00B9688D"/>
    <w:rsid w:val="00BA3C06"/>
    <w:rsid w:val="00BA6CDA"/>
    <w:rsid w:val="00BA6EED"/>
    <w:rsid w:val="00BB0B85"/>
    <w:rsid w:val="00BC3A8D"/>
    <w:rsid w:val="00BC51BE"/>
    <w:rsid w:val="00BC6BBC"/>
    <w:rsid w:val="00BC7431"/>
    <w:rsid w:val="00BC77AC"/>
    <w:rsid w:val="00BD41CB"/>
    <w:rsid w:val="00BD4814"/>
    <w:rsid w:val="00BD735D"/>
    <w:rsid w:val="00BE23A5"/>
    <w:rsid w:val="00BE5142"/>
    <w:rsid w:val="00BE554E"/>
    <w:rsid w:val="00BF0BAA"/>
    <w:rsid w:val="00BF58FA"/>
    <w:rsid w:val="00BF5F55"/>
    <w:rsid w:val="00C01AF6"/>
    <w:rsid w:val="00C029D3"/>
    <w:rsid w:val="00C04071"/>
    <w:rsid w:val="00C0414D"/>
    <w:rsid w:val="00C06063"/>
    <w:rsid w:val="00C0742D"/>
    <w:rsid w:val="00C0795B"/>
    <w:rsid w:val="00C102B3"/>
    <w:rsid w:val="00C11763"/>
    <w:rsid w:val="00C13E34"/>
    <w:rsid w:val="00C141F2"/>
    <w:rsid w:val="00C1508C"/>
    <w:rsid w:val="00C2296E"/>
    <w:rsid w:val="00C2478F"/>
    <w:rsid w:val="00C25F67"/>
    <w:rsid w:val="00C2688A"/>
    <w:rsid w:val="00C2792D"/>
    <w:rsid w:val="00C27B2F"/>
    <w:rsid w:val="00C31276"/>
    <w:rsid w:val="00C31C98"/>
    <w:rsid w:val="00C33120"/>
    <w:rsid w:val="00C50D24"/>
    <w:rsid w:val="00C542A8"/>
    <w:rsid w:val="00C57EDF"/>
    <w:rsid w:val="00C60639"/>
    <w:rsid w:val="00C60C81"/>
    <w:rsid w:val="00C61153"/>
    <w:rsid w:val="00C629A2"/>
    <w:rsid w:val="00C63255"/>
    <w:rsid w:val="00C63714"/>
    <w:rsid w:val="00C63BC5"/>
    <w:rsid w:val="00C66BDD"/>
    <w:rsid w:val="00C76366"/>
    <w:rsid w:val="00C77758"/>
    <w:rsid w:val="00C81562"/>
    <w:rsid w:val="00C871A8"/>
    <w:rsid w:val="00C921C2"/>
    <w:rsid w:val="00C933D4"/>
    <w:rsid w:val="00C962C4"/>
    <w:rsid w:val="00C97B98"/>
    <w:rsid w:val="00CA2826"/>
    <w:rsid w:val="00CA6508"/>
    <w:rsid w:val="00CA7905"/>
    <w:rsid w:val="00CB2230"/>
    <w:rsid w:val="00CB3FA1"/>
    <w:rsid w:val="00CB41C0"/>
    <w:rsid w:val="00CB43C9"/>
    <w:rsid w:val="00CB5909"/>
    <w:rsid w:val="00CB654B"/>
    <w:rsid w:val="00CB7BD7"/>
    <w:rsid w:val="00CC0AFA"/>
    <w:rsid w:val="00CC1697"/>
    <w:rsid w:val="00CC368C"/>
    <w:rsid w:val="00CC529A"/>
    <w:rsid w:val="00CC56C3"/>
    <w:rsid w:val="00CC6AE2"/>
    <w:rsid w:val="00CC6C2A"/>
    <w:rsid w:val="00CC6E96"/>
    <w:rsid w:val="00CD0FDD"/>
    <w:rsid w:val="00CD5410"/>
    <w:rsid w:val="00CE0823"/>
    <w:rsid w:val="00CE72DF"/>
    <w:rsid w:val="00CF0DCB"/>
    <w:rsid w:val="00CF5562"/>
    <w:rsid w:val="00D059CF"/>
    <w:rsid w:val="00D0674E"/>
    <w:rsid w:val="00D13377"/>
    <w:rsid w:val="00D13683"/>
    <w:rsid w:val="00D149AA"/>
    <w:rsid w:val="00D14B0D"/>
    <w:rsid w:val="00D23791"/>
    <w:rsid w:val="00D26A12"/>
    <w:rsid w:val="00D30441"/>
    <w:rsid w:val="00D312FB"/>
    <w:rsid w:val="00D32424"/>
    <w:rsid w:val="00D34D2C"/>
    <w:rsid w:val="00D40A8A"/>
    <w:rsid w:val="00D40FEA"/>
    <w:rsid w:val="00D415A9"/>
    <w:rsid w:val="00D41E4C"/>
    <w:rsid w:val="00D44A0D"/>
    <w:rsid w:val="00D464EB"/>
    <w:rsid w:val="00D516F3"/>
    <w:rsid w:val="00D53A09"/>
    <w:rsid w:val="00D548D4"/>
    <w:rsid w:val="00D628BE"/>
    <w:rsid w:val="00D64ACB"/>
    <w:rsid w:val="00D66B75"/>
    <w:rsid w:val="00D728ED"/>
    <w:rsid w:val="00D74A5B"/>
    <w:rsid w:val="00D74FF8"/>
    <w:rsid w:val="00D7519C"/>
    <w:rsid w:val="00D7579D"/>
    <w:rsid w:val="00D81249"/>
    <w:rsid w:val="00D82F9F"/>
    <w:rsid w:val="00D83B54"/>
    <w:rsid w:val="00D85F7C"/>
    <w:rsid w:val="00D87299"/>
    <w:rsid w:val="00D906C2"/>
    <w:rsid w:val="00D948E7"/>
    <w:rsid w:val="00D95129"/>
    <w:rsid w:val="00D96E94"/>
    <w:rsid w:val="00DA1BFB"/>
    <w:rsid w:val="00DA25DA"/>
    <w:rsid w:val="00DB23F4"/>
    <w:rsid w:val="00DB2C51"/>
    <w:rsid w:val="00DB347F"/>
    <w:rsid w:val="00DB637C"/>
    <w:rsid w:val="00DC0590"/>
    <w:rsid w:val="00DC0738"/>
    <w:rsid w:val="00DC54A0"/>
    <w:rsid w:val="00DC7394"/>
    <w:rsid w:val="00DC73C3"/>
    <w:rsid w:val="00DD1E80"/>
    <w:rsid w:val="00DD2447"/>
    <w:rsid w:val="00DD4ED8"/>
    <w:rsid w:val="00DE45E7"/>
    <w:rsid w:val="00DF03CF"/>
    <w:rsid w:val="00DF202E"/>
    <w:rsid w:val="00DF2C98"/>
    <w:rsid w:val="00DF6E69"/>
    <w:rsid w:val="00DF7EB4"/>
    <w:rsid w:val="00E0284C"/>
    <w:rsid w:val="00E03C53"/>
    <w:rsid w:val="00E074B3"/>
    <w:rsid w:val="00E0756F"/>
    <w:rsid w:val="00E11198"/>
    <w:rsid w:val="00E116CF"/>
    <w:rsid w:val="00E2308D"/>
    <w:rsid w:val="00E26C25"/>
    <w:rsid w:val="00E31C83"/>
    <w:rsid w:val="00E3424C"/>
    <w:rsid w:val="00E347F3"/>
    <w:rsid w:val="00E348AD"/>
    <w:rsid w:val="00E35A2C"/>
    <w:rsid w:val="00E40906"/>
    <w:rsid w:val="00E41781"/>
    <w:rsid w:val="00E41922"/>
    <w:rsid w:val="00E450CE"/>
    <w:rsid w:val="00E47C3E"/>
    <w:rsid w:val="00E5482F"/>
    <w:rsid w:val="00E557AF"/>
    <w:rsid w:val="00E56325"/>
    <w:rsid w:val="00E56B65"/>
    <w:rsid w:val="00E56B88"/>
    <w:rsid w:val="00E6260C"/>
    <w:rsid w:val="00E65579"/>
    <w:rsid w:val="00E656BD"/>
    <w:rsid w:val="00E667E8"/>
    <w:rsid w:val="00E67298"/>
    <w:rsid w:val="00E71ADB"/>
    <w:rsid w:val="00E71BC5"/>
    <w:rsid w:val="00E74F4C"/>
    <w:rsid w:val="00E763E7"/>
    <w:rsid w:val="00E8519C"/>
    <w:rsid w:val="00E871AE"/>
    <w:rsid w:val="00E91A7F"/>
    <w:rsid w:val="00E97916"/>
    <w:rsid w:val="00EA2548"/>
    <w:rsid w:val="00EA5AD5"/>
    <w:rsid w:val="00EA6D39"/>
    <w:rsid w:val="00EA7A3D"/>
    <w:rsid w:val="00EB159C"/>
    <w:rsid w:val="00EB1A2F"/>
    <w:rsid w:val="00EB214B"/>
    <w:rsid w:val="00EB242F"/>
    <w:rsid w:val="00EB34CA"/>
    <w:rsid w:val="00EB4907"/>
    <w:rsid w:val="00EB4A63"/>
    <w:rsid w:val="00EB6559"/>
    <w:rsid w:val="00EC09C4"/>
    <w:rsid w:val="00EC48A9"/>
    <w:rsid w:val="00EC7322"/>
    <w:rsid w:val="00EC7FB3"/>
    <w:rsid w:val="00ED1045"/>
    <w:rsid w:val="00ED1F5D"/>
    <w:rsid w:val="00ED2A11"/>
    <w:rsid w:val="00ED3D04"/>
    <w:rsid w:val="00ED593C"/>
    <w:rsid w:val="00ED5A0E"/>
    <w:rsid w:val="00ED6CBC"/>
    <w:rsid w:val="00ED712A"/>
    <w:rsid w:val="00EE3928"/>
    <w:rsid w:val="00EE5099"/>
    <w:rsid w:val="00EE5A5A"/>
    <w:rsid w:val="00EE6027"/>
    <w:rsid w:val="00EE62B0"/>
    <w:rsid w:val="00EE765F"/>
    <w:rsid w:val="00EF01BD"/>
    <w:rsid w:val="00F02D77"/>
    <w:rsid w:val="00F04E86"/>
    <w:rsid w:val="00F06C34"/>
    <w:rsid w:val="00F07BA6"/>
    <w:rsid w:val="00F11566"/>
    <w:rsid w:val="00F11FC8"/>
    <w:rsid w:val="00F120D4"/>
    <w:rsid w:val="00F154F3"/>
    <w:rsid w:val="00F32079"/>
    <w:rsid w:val="00F330D9"/>
    <w:rsid w:val="00F3448B"/>
    <w:rsid w:val="00F41612"/>
    <w:rsid w:val="00F42D85"/>
    <w:rsid w:val="00F44C7B"/>
    <w:rsid w:val="00F45159"/>
    <w:rsid w:val="00F54E80"/>
    <w:rsid w:val="00F6035D"/>
    <w:rsid w:val="00F6487C"/>
    <w:rsid w:val="00F64BBE"/>
    <w:rsid w:val="00F64E4A"/>
    <w:rsid w:val="00F65CB9"/>
    <w:rsid w:val="00F67D8E"/>
    <w:rsid w:val="00F71C18"/>
    <w:rsid w:val="00F720A0"/>
    <w:rsid w:val="00F72F8D"/>
    <w:rsid w:val="00F732FA"/>
    <w:rsid w:val="00F744BC"/>
    <w:rsid w:val="00F762D7"/>
    <w:rsid w:val="00F828DE"/>
    <w:rsid w:val="00F83847"/>
    <w:rsid w:val="00F84933"/>
    <w:rsid w:val="00F8507D"/>
    <w:rsid w:val="00F870E7"/>
    <w:rsid w:val="00F91ABF"/>
    <w:rsid w:val="00F91D60"/>
    <w:rsid w:val="00FA09F8"/>
    <w:rsid w:val="00FA56DC"/>
    <w:rsid w:val="00FA6518"/>
    <w:rsid w:val="00FA65DE"/>
    <w:rsid w:val="00FB4099"/>
    <w:rsid w:val="00FB4C38"/>
    <w:rsid w:val="00FD3943"/>
    <w:rsid w:val="00FE04C4"/>
    <w:rsid w:val="00FE3FCA"/>
    <w:rsid w:val="00FE4DAD"/>
    <w:rsid w:val="00FE678B"/>
    <w:rsid w:val="00FE7F4F"/>
    <w:rsid w:val="00FF23EE"/>
    <w:rsid w:val="00FF2F2C"/>
    <w:rsid w:val="00FF53AE"/>
    <w:rsid w:val="00FF7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D31F"/>
  <w15:chartTrackingRefBased/>
  <w15:docId w15:val="{0F2021C4-098A-44E5-8514-550ADB5C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1F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71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A716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1BE"/>
    <w:pPr>
      <w:ind w:left="720"/>
      <w:contextualSpacing/>
    </w:pPr>
  </w:style>
  <w:style w:type="table" w:styleId="TableGrid">
    <w:name w:val="Table Grid"/>
    <w:basedOn w:val="TableNormal"/>
    <w:uiPriority w:val="39"/>
    <w:rsid w:val="009C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716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A7160"/>
    <w:rPr>
      <w:rFonts w:ascii="Times New Roman" w:eastAsia="Times New Roman" w:hAnsi="Times New Roman" w:cs="Times New Roman"/>
      <w:b/>
      <w:bCs/>
      <w:sz w:val="24"/>
      <w:szCs w:val="24"/>
      <w:lang w:eastAsia="en-GB"/>
    </w:rPr>
  </w:style>
  <w:style w:type="character" w:customStyle="1" w:styleId="st1">
    <w:name w:val="st1"/>
    <w:basedOn w:val="DefaultParagraphFont"/>
    <w:rsid w:val="009752B8"/>
  </w:style>
  <w:style w:type="paragraph" w:styleId="CommentText">
    <w:name w:val="annotation text"/>
    <w:basedOn w:val="Normal"/>
    <w:link w:val="CommentTextChar"/>
    <w:uiPriority w:val="99"/>
    <w:unhideWhenUsed/>
    <w:rsid w:val="00714D33"/>
    <w:pPr>
      <w:spacing w:line="240" w:lineRule="auto"/>
    </w:pPr>
    <w:rPr>
      <w:sz w:val="20"/>
      <w:szCs w:val="20"/>
    </w:rPr>
  </w:style>
  <w:style w:type="character" w:customStyle="1" w:styleId="CommentTextChar">
    <w:name w:val="Comment Text Char"/>
    <w:basedOn w:val="DefaultParagraphFont"/>
    <w:link w:val="CommentText"/>
    <w:uiPriority w:val="99"/>
    <w:rsid w:val="00714D33"/>
    <w:rPr>
      <w:sz w:val="20"/>
      <w:szCs w:val="20"/>
    </w:rPr>
  </w:style>
  <w:style w:type="paragraph" w:styleId="Header">
    <w:name w:val="header"/>
    <w:basedOn w:val="Normal"/>
    <w:link w:val="HeaderChar"/>
    <w:uiPriority w:val="99"/>
    <w:unhideWhenUsed/>
    <w:rsid w:val="00672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D4A"/>
  </w:style>
  <w:style w:type="paragraph" w:styleId="Footer">
    <w:name w:val="footer"/>
    <w:basedOn w:val="Normal"/>
    <w:link w:val="FooterChar"/>
    <w:uiPriority w:val="99"/>
    <w:unhideWhenUsed/>
    <w:rsid w:val="00672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D4A"/>
  </w:style>
  <w:style w:type="character" w:styleId="CommentReference">
    <w:name w:val="annotation reference"/>
    <w:basedOn w:val="DefaultParagraphFont"/>
    <w:uiPriority w:val="99"/>
    <w:semiHidden/>
    <w:unhideWhenUsed/>
    <w:rsid w:val="00EB4A63"/>
    <w:rPr>
      <w:sz w:val="16"/>
      <w:szCs w:val="16"/>
    </w:rPr>
  </w:style>
  <w:style w:type="paragraph" w:styleId="CommentSubject">
    <w:name w:val="annotation subject"/>
    <w:basedOn w:val="CommentText"/>
    <w:next w:val="CommentText"/>
    <w:link w:val="CommentSubjectChar"/>
    <w:uiPriority w:val="99"/>
    <w:semiHidden/>
    <w:unhideWhenUsed/>
    <w:rsid w:val="00EB4A63"/>
    <w:rPr>
      <w:b/>
      <w:bCs/>
    </w:rPr>
  </w:style>
  <w:style w:type="character" w:customStyle="1" w:styleId="CommentSubjectChar">
    <w:name w:val="Comment Subject Char"/>
    <w:basedOn w:val="CommentTextChar"/>
    <w:link w:val="CommentSubject"/>
    <w:uiPriority w:val="99"/>
    <w:semiHidden/>
    <w:rsid w:val="00EB4A63"/>
    <w:rPr>
      <w:b/>
      <w:bCs/>
      <w:sz w:val="20"/>
      <w:szCs w:val="20"/>
    </w:rPr>
  </w:style>
  <w:style w:type="paragraph" w:styleId="BalloonText">
    <w:name w:val="Balloon Text"/>
    <w:basedOn w:val="Normal"/>
    <w:link w:val="BalloonTextChar"/>
    <w:uiPriority w:val="99"/>
    <w:semiHidden/>
    <w:unhideWhenUsed/>
    <w:rsid w:val="00EB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A63"/>
    <w:rPr>
      <w:rFonts w:ascii="Segoe UI" w:hAnsi="Segoe UI" w:cs="Segoe UI"/>
      <w:sz w:val="18"/>
      <w:szCs w:val="18"/>
    </w:rPr>
  </w:style>
  <w:style w:type="paragraph" w:customStyle="1" w:styleId="Default">
    <w:name w:val="Default"/>
    <w:rsid w:val="00CC6C2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840B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8840BC"/>
    <w:rPr>
      <w:b/>
      <w:bCs/>
    </w:rPr>
  </w:style>
  <w:style w:type="character" w:styleId="Hyperlink">
    <w:name w:val="Hyperlink"/>
    <w:basedOn w:val="DefaultParagraphFont"/>
    <w:uiPriority w:val="99"/>
    <w:semiHidden/>
    <w:unhideWhenUsed/>
    <w:rsid w:val="00951FE0"/>
    <w:rPr>
      <w:color w:val="0000FF"/>
      <w:u w:val="single"/>
    </w:rPr>
  </w:style>
  <w:style w:type="character" w:customStyle="1" w:styleId="Heading2Char">
    <w:name w:val="Heading 2 Char"/>
    <w:basedOn w:val="DefaultParagraphFont"/>
    <w:link w:val="Heading2"/>
    <w:uiPriority w:val="9"/>
    <w:semiHidden/>
    <w:rsid w:val="00951FE0"/>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951FE0"/>
    <w:rPr>
      <w:i/>
      <w:iCs/>
    </w:rPr>
  </w:style>
  <w:style w:type="character" w:customStyle="1" w:styleId="title-text">
    <w:name w:val="title-text"/>
    <w:basedOn w:val="DefaultParagraphFont"/>
    <w:rsid w:val="001A3B33"/>
  </w:style>
  <w:style w:type="paragraph" w:styleId="NormalWeb">
    <w:name w:val="Normal (Web)"/>
    <w:basedOn w:val="Normal"/>
    <w:uiPriority w:val="99"/>
    <w:unhideWhenUsed/>
    <w:rsid w:val="000308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3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4161">
      <w:bodyDiv w:val="1"/>
      <w:marLeft w:val="0"/>
      <w:marRight w:val="0"/>
      <w:marTop w:val="0"/>
      <w:marBottom w:val="0"/>
      <w:divBdr>
        <w:top w:val="none" w:sz="0" w:space="0" w:color="auto"/>
        <w:left w:val="none" w:sz="0" w:space="0" w:color="auto"/>
        <w:bottom w:val="none" w:sz="0" w:space="0" w:color="auto"/>
        <w:right w:val="none" w:sz="0" w:space="0" w:color="auto"/>
      </w:divBdr>
    </w:div>
    <w:div w:id="664405484">
      <w:bodyDiv w:val="1"/>
      <w:marLeft w:val="0"/>
      <w:marRight w:val="0"/>
      <w:marTop w:val="0"/>
      <w:marBottom w:val="0"/>
      <w:divBdr>
        <w:top w:val="none" w:sz="0" w:space="0" w:color="auto"/>
        <w:left w:val="none" w:sz="0" w:space="0" w:color="auto"/>
        <w:bottom w:val="none" w:sz="0" w:space="0" w:color="auto"/>
        <w:right w:val="none" w:sz="0" w:space="0" w:color="auto"/>
      </w:divBdr>
    </w:div>
    <w:div w:id="665210724">
      <w:bodyDiv w:val="1"/>
      <w:marLeft w:val="0"/>
      <w:marRight w:val="0"/>
      <w:marTop w:val="0"/>
      <w:marBottom w:val="0"/>
      <w:divBdr>
        <w:top w:val="none" w:sz="0" w:space="0" w:color="auto"/>
        <w:left w:val="none" w:sz="0" w:space="0" w:color="auto"/>
        <w:bottom w:val="none" w:sz="0" w:space="0" w:color="auto"/>
        <w:right w:val="none" w:sz="0" w:space="0" w:color="auto"/>
      </w:divBdr>
    </w:div>
    <w:div w:id="1148128238">
      <w:bodyDiv w:val="1"/>
      <w:marLeft w:val="0"/>
      <w:marRight w:val="0"/>
      <w:marTop w:val="0"/>
      <w:marBottom w:val="0"/>
      <w:divBdr>
        <w:top w:val="none" w:sz="0" w:space="0" w:color="auto"/>
        <w:left w:val="none" w:sz="0" w:space="0" w:color="auto"/>
        <w:bottom w:val="none" w:sz="0" w:space="0" w:color="auto"/>
        <w:right w:val="none" w:sz="0" w:space="0" w:color="auto"/>
      </w:divBdr>
    </w:div>
    <w:div w:id="1710490629">
      <w:bodyDiv w:val="1"/>
      <w:marLeft w:val="0"/>
      <w:marRight w:val="0"/>
      <w:marTop w:val="0"/>
      <w:marBottom w:val="0"/>
      <w:divBdr>
        <w:top w:val="none" w:sz="0" w:space="0" w:color="auto"/>
        <w:left w:val="none" w:sz="0" w:space="0" w:color="auto"/>
        <w:bottom w:val="none" w:sz="0" w:space="0" w:color="auto"/>
        <w:right w:val="none" w:sz="0" w:space="0" w:color="auto"/>
      </w:divBdr>
    </w:div>
    <w:div w:id="1901211128">
      <w:bodyDiv w:val="1"/>
      <w:marLeft w:val="0"/>
      <w:marRight w:val="0"/>
      <w:marTop w:val="0"/>
      <w:marBottom w:val="0"/>
      <w:divBdr>
        <w:top w:val="none" w:sz="0" w:space="0" w:color="auto"/>
        <w:left w:val="none" w:sz="0" w:space="0" w:color="auto"/>
        <w:bottom w:val="none" w:sz="0" w:space="0" w:color="auto"/>
        <w:right w:val="none" w:sz="0" w:space="0" w:color="auto"/>
      </w:divBdr>
    </w:div>
    <w:div w:id="1960255475">
      <w:bodyDiv w:val="1"/>
      <w:marLeft w:val="0"/>
      <w:marRight w:val="0"/>
      <w:marTop w:val="0"/>
      <w:marBottom w:val="0"/>
      <w:divBdr>
        <w:top w:val="none" w:sz="0" w:space="0" w:color="auto"/>
        <w:left w:val="none" w:sz="0" w:space="0" w:color="auto"/>
        <w:bottom w:val="none" w:sz="0" w:space="0" w:color="auto"/>
        <w:right w:val="none" w:sz="0" w:space="0" w:color="auto"/>
      </w:divBdr>
    </w:div>
    <w:div w:id="20235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pr.2021.1020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2A80-46C8-4E6F-B26B-323F33F3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6220</Words>
  <Characters>35458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Ellett</dc:creator>
  <cp:keywords/>
  <dc:description/>
  <cp:lastModifiedBy>Kingston, Jessica</cp:lastModifiedBy>
  <cp:revision>2</cp:revision>
  <dcterms:created xsi:type="dcterms:W3CDTF">2022-08-09T10:32:00Z</dcterms:created>
  <dcterms:modified xsi:type="dcterms:W3CDTF">2022-08-09T10:32:00Z</dcterms:modified>
</cp:coreProperties>
</file>